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5B3944" w:rsidRDefault="00540BEF" w:rsidP="00510F9C">
      <w:pPr>
        <w:tabs>
          <w:tab w:val="left" w:pos="288"/>
          <w:tab w:val="left" w:pos="4752"/>
        </w:tabs>
        <w:spacing w:line="240" w:lineRule="exact"/>
        <w:jc w:val="center"/>
        <w:rPr>
          <w:rFonts w:asciiTheme="minorHAnsi" w:hAnsiTheme="minorHAnsi"/>
          <w:color w:val="auto"/>
        </w:rPr>
      </w:pPr>
      <w:r w:rsidRPr="005B3944">
        <w:rPr>
          <w:rFonts w:asciiTheme="minorHAnsi" w:hAnsiTheme="minorHAnsi"/>
          <w:color w:val="auto"/>
        </w:rPr>
        <w:t>RECORD OF PROCEEDINGS</w:t>
      </w:r>
    </w:p>
    <w:p w:rsidR="00540BEF" w:rsidRPr="005B3944" w:rsidRDefault="00540BEF" w:rsidP="00510F9C">
      <w:pPr>
        <w:tabs>
          <w:tab w:val="left" w:pos="288"/>
          <w:tab w:val="left" w:pos="4752"/>
        </w:tabs>
        <w:spacing w:line="240" w:lineRule="exact"/>
        <w:jc w:val="center"/>
        <w:rPr>
          <w:rFonts w:asciiTheme="minorHAnsi" w:hAnsiTheme="minorHAnsi"/>
          <w:color w:val="auto"/>
        </w:rPr>
      </w:pPr>
      <w:r w:rsidRPr="005B3944">
        <w:rPr>
          <w:rFonts w:asciiTheme="minorHAnsi" w:hAnsiTheme="minorHAnsi"/>
          <w:color w:val="auto"/>
        </w:rPr>
        <w:t>PHYSICAL DISABILITY BOARD OF REVIEW</w:t>
      </w:r>
    </w:p>
    <w:p w:rsidR="00540BEF" w:rsidRPr="005B3944" w:rsidRDefault="00540BEF" w:rsidP="00510F9C">
      <w:pPr>
        <w:tabs>
          <w:tab w:val="left" w:pos="288"/>
          <w:tab w:val="left" w:pos="4752"/>
        </w:tabs>
        <w:spacing w:line="240" w:lineRule="exact"/>
        <w:jc w:val="both"/>
        <w:rPr>
          <w:rFonts w:asciiTheme="minorHAnsi" w:hAnsiTheme="minorHAnsi"/>
          <w:caps/>
          <w:color w:val="auto"/>
        </w:rPr>
      </w:pPr>
    </w:p>
    <w:p w:rsidR="00E0346A" w:rsidRPr="005B3944" w:rsidRDefault="00F629C0" w:rsidP="00E0346A">
      <w:pPr>
        <w:tabs>
          <w:tab w:val="left" w:pos="288"/>
          <w:tab w:val="left" w:pos="4752"/>
          <w:tab w:val="left" w:pos="5130"/>
          <w:tab w:val="left" w:pos="9270"/>
        </w:tabs>
        <w:spacing w:line="240" w:lineRule="exact"/>
        <w:jc w:val="both"/>
        <w:rPr>
          <w:rFonts w:asciiTheme="minorHAnsi" w:hAnsiTheme="minorHAnsi"/>
          <w:caps/>
          <w:color w:val="auto"/>
        </w:rPr>
      </w:pPr>
      <w:r w:rsidRPr="005B3944">
        <w:rPr>
          <w:rFonts w:asciiTheme="minorHAnsi" w:hAnsiTheme="minorHAnsi"/>
          <w:caps/>
          <w:color w:val="auto"/>
        </w:rPr>
        <w:t xml:space="preserve">NAME:  </w:t>
      </w:r>
      <w:r w:rsidR="00FD6C38">
        <w:rPr>
          <w:rFonts w:asciiTheme="minorHAnsi" w:hAnsiTheme="minorHAnsi"/>
          <w:caps/>
          <w:color w:val="auto"/>
        </w:rPr>
        <w:t>XXXXXXXXXXXX</w:t>
      </w:r>
      <w:r w:rsidR="004216DA" w:rsidRPr="005B3944">
        <w:rPr>
          <w:rFonts w:asciiTheme="minorHAnsi" w:hAnsiTheme="minorHAnsi"/>
          <w:caps/>
          <w:color w:val="auto"/>
        </w:rPr>
        <w:t xml:space="preserve">             </w:t>
      </w:r>
      <w:r w:rsidR="00332DE3" w:rsidRPr="005B3944">
        <w:rPr>
          <w:rFonts w:asciiTheme="minorHAnsi" w:hAnsiTheme="minorHAnsi"/>
          <w:caps/>
          <w:color w:val="auto"/>
        </w:rPr>
        <w:t xml:space="preserve"> </w:t>
      </w:r>
      <w:r w:rsidR="004216DA" w:rsidRPr="005B3944">
        <w:rPr>
          <w:rFonts w:asciiTheme="minorHAnsi" w:hAnsiTheme="minorHAnsi"/>
          <w:caps/>
          <w:color w:val="auto"/>
        </w:rPr>
        <w:t xml:space="preserve">  </w:t>
      </w:r>
      <w:r w:rsidR="00057019" w:rsidRPr="005B3944">
        <w:rPr>
          <w:rFonts w:asciiTheme="minorHAnsi" w:hAnsiTheme="minorHAnsi"/>
          <w:caps/>
          <w:color w:val="auto"/>
        </w:rPr>
        <w:tab/>
      </w:r>
      <w:r w:rsidR="00057019" w:rsidRPr="005B3944">
        <w:rPr>
          <w:rFonts w:asciiTheme="minorHAnsi" w:hAnsiTheme="minorHAnsi"/>
          <w:caps/>
          <w:color w:val="auto"/>
        </w:rPr>
        <w:tab/>
      </w:r>
      <w:r w:rsidR="00675F8D" w:rsidRPr="005B3944">
        <w:rPr>
          <w:rFonts w:asciiTheme="minorHAnsi" w:hAnsiTheme="minorHAnsi"/>
          <w:caps/>
          <w:color w:val="auto"/>
        </w:rPr>
        <w:t xml:space="preserve">                  </w:t>
      </w:r>
      <w:r w:rsidRPr="005B3944">
        <w:rPr>
          <w:rFonts w:asciiTheme="minorHAnsi" w:hAnsiTheme="minorHAnsi"/>
          <w:caps/>
          <w:color w:val="auto"/>
        </w:rPr>
        <w:t xml:space="preserve">BRANCH OF SERVICE: </w:t>
      </w:r>
      <w:r w:rsidR="004C24C5" w:rsidRPr="005B3944">
        <w:rPr>
          <w:rFonts w:asciiTheme="minorHAnsi" w:hAnsiTheme="minorHAnsi"/>
          <w:caps/>
          <w:color w:val="auto"/>
        </w:rPr>
        <w:t xml:space="preserve"> </w:t>
      </w:r>
      <w:r w:rsidR="00332DE3" w:rsidRPr="005B3944">
        <w:rPr>
          <w:rFonts w:asciiTheme="minorHAnsi" w:hAnsiTheme="minorHAnsi"/>
          <w:caps/>
          <w:color w:val="auto"/>
        </w:rPr>
        <w:t>air force</w:t>
      </w:r>
    </w:p>
    <w:p w:rsidR="00DE3AAD" w:rsidRPr="005B3944" w:rsidRDefault="00012733" w:rsidP="00E0346A">
      <w:pPr>
        <w:tabs>
          <w:tab w:val="left" w:pos="288"/>
          <w:tab w:val="left" w:pos="4752"/>
          <w:tab w:val="left" w:pos="5130"/>
          <w:tab w:val="left" w:pos="9270"/>
        </w:tabs>
        <w:spacing w:line="240" w:lineRule="exact"/>
        <w:jc w:val="both"/>
        <w:rPr>
          <w:rFonts w:asciiTheme="minorHAnsi" w:hAnsiTheme="minorHAnsi"/>
          <w:caps/>
          <w:color w:val="auto"/>
        </w:rPr>
      </w:pPr>
      <w:r w:rsidRPr="005B3944">
        <w:rPr>
          <w:rFonts w:asciiTheme="minorHAnsi" w:hAnsiTheme="minorHAnsi"/>
          <w:caps/>
          <w:color w:val="auto"/>
        </w:rPr>
        <w:t>C</w:t>
      </w:r>
      <w:r w:rsidR="00DE3AAD" w:rsidRPr="005B3944">
        <w:rPr>
          <w:rFonts w:asciiTheme="minorHAnsi" w:hAnsiTheme="minorHAnsi"/>
          <w:caps/>
          <w:color w:val="auto"/>
        </w:rPr>
        <w:t>ASE NUMBER:  PD</w:t>
      </w:r>
      <w:r w:rsidR="00375BE6" w:rsidRPr="005B3944">
        <w:rPr>
          <w:rFonts w:asciiTheme="minorHAnsi" w:hAnsiTheme="minorHAnsi"/>
          <w:caps/>
          <w:color w:val="auto"/>
        </w:rPr>
        <w:t>201100093</w:t>
      </w:r>
      <w:r w:rsidR="00DE3AAD" w:rsidRPr="005B3944">
        <w:rPr>
          <w:rFonts w:asciiTheme="minorHAnsi" w:hAnsiTheme="minorHAnsi"/>
          <w:color w:val="auto"/>
        </w:rPr>
        <w:t xml:space="preserve"> </w:t>
      </w:r>
      <w:r w:rsidR="00DE3AAD" w:rsidRPr="005B3944">
        <w:rPr>
          <w:rFonts w:asciiTheme="minorHAnsi" w:hAnsiTheme="minorHAnsi"/>
          <w:color w:val="auto"/>
        </w:rPr>
        <w:tab/>
        <w:t xml:space="preserve">       </w:t>
      </w:r>
      <w:r w:rsidR="00A7224A" w:rsidRPr="005B3944">
        <w:rPr>
          <w:rFonts w:asciiTheme="minorHAnsi" w:hAnsiTheme="minorHAnsi"/>
          <w:color w:val="auto"/>
        </w:rPr>
        <w:t xml:space="preserve">                  </w:t>
      </w:r>
      <w:r w:rsidR="00DE3AAD" w:rsidRPr="005B3944">
        <w:rPr>
          <w:rFonts w:asciiTheme="minorHAnsi" w:hAnsiTheme="minorHAnsi"/>
          <w:color w:val="auto"/>
        </w:rPr>
        <w:t>SEPARATION DATE:  200</w:t>
      </w:r>
      <w:r w:rsidR="00375BE6" w:rsidRPr="005B3944">
        <w:rPr>
          <w:rFonts w:asciiTheme="minorHAnsi" w:hAnsiTheme="minorHAnsi"/>
          <w:color w:val="auto"/>
        </w:rPr>
        <w:t>20723</w:t>
      </w:r>
    </w:p>
    <w:p w:rsidR="00827B29" w:rsidRPr="005B3944" w:rsidRDefault="004F3639" w:rsidP="00DC5028">
      <w:pPr>
        <w:tabs>
          <w:tab w:val="left" w:pos="288"/>
          <w:tab w:val="left" w:pos="3600"/>
          <w:tab w:val="left" w:pos="5130"/>
        </w:tabs>
        <w:spacing w:line="240" w:lineRule="exact"/>
        <w:jc w:val="both"/>
        <w:rPr>
          <w:rFonts w:asciiTheme="minorHAnsi" w:hAnsiTheme="minorHAnsi"/>
          <w:caps/>
          <w:color w:val="auto"/>
        </w:rPr>
      </w:pPr>
      <w:r w:rsidRPr="005B3944">
        <w:rPr>
          <w:rFonts w:asciiTheme="minorHAnsi" w:hAnsiTheme="minorHAnsi"/>
          <w:caps/>
          <w:color w:val="auto"/>
        </w:rPr>
        <w:t>BOARD DATE:  2011</w:t>
      </w:r>
      <w:r w:rsidR="00201F51" w:rsidRPr="005B3944">
        <w:rPr>
          <w:rFonts w:asciiTheme="minorHAnsi" w:hAnsiTheme="minorHAnsi"/>
          <w:caps/>
          <w:color w:val="auto"/>
        </w:rPr>
        <w:t>1007</w:t>
      </w:r>
      <w:r w:rsidR="00DC5028" w:rsidRPr="005B3944">
        <w:rPr>
          <w:rFonts w:asciiTheme="minorHAnsi" w:hAnsiTheme="minorHAnsi"/>
          <w:caps/>
          <w:color w:val="auto"/>
        </w:rPr>
        <w:tab/>
      </w:r>
    </w:p>
    <w:p w:rsidR="00640526" w:rsidRPr="005B3944" w:rsidRDefault="00640526" w:rsidP="00510F9C">
      <w:pPr>
        <w:pBdr>
          <w:bottom w:val="single" w:sz="12" w:space="1" w:color="auto"/>
        </w:pBdr>
        <w:tabs>
          <w:tab w:val="left" w:pos="288"/>
          <w:tab w:val="left" w:pos="4752"/>
        </w:tabs>
        <w:spacing w:line="240" w:lineRule="exact"/>
        <w:jc w:val="both"/>
        <w:rPr>
          <w:rFonts w:asciiTheme="minorHAnsi" w:hAnsiTheme="minorHAnsi"/>
          <w:color w:val="auto"/>
          <w:u w:val="single"/>
        </w:rPr>
      </w:pPr>
    </w:p>
    <w:p w:rsidR="00FF4C90" w:rsidRPr="005B3944" w:rsidRDefault="00FF4C90" w:rsidP="00FF4C90">
      <w:pPr>
        <w:tabs>
          <w:tab w:val="left" w:pos="288"/>
          <w:tab w:val="left" w:pos="4752"/>
        </w:tabs>
        <w:spacing w:line="240" w:lineRule="exact"/>
        <w:jc w:val="both"/>
        <w:rPr>
          <w:rFonts w:asciiTheme="minorHAnsi" w:hAnsiTheme="minorHAnsi"/>
          <w:color w:val="auto"/>
        </w:rPr>
      </w:pPr>
    </w:p>
    <w:p w:rsidR="004A6E73" w:rsidRPr="005B3944" w:rsidRDefault="00FB0E80" w:rsidP="004A6E73">
      <w:pPr>
        <w:tabs>
          <w:tab w:val="left" w:pos="288"/>
          <w:tab w:val="left" w:pos="4752"/>
        </w:tabs>
        <w:spacing w:line="240" w:lineRule="exact"/>
        <w:jc w:val="both"/>
        <w:rPr>
          <w:rFonts w:asciiTheme="minorHAnsi" w:hAnsiTheme="minorHAnsi"/>
          <w:color w:val="auto"/>
        </w:rPr>
      </w:pPr>
      <w:r w:rsidRPr="005B3944">
        <w:rPr>
          <w:rFonts w:asciiTheme="minorHAnsi" w:hAnsiTheme="minorHAnsi"/>
          <w:color w:val="auto"/>
          <w:u w:val="single"/>
        </w:rPr>
        <w:t>SUMMARY OF CASE</w:t>
      </w:r>
      <w:r w:rsidRPr="005B3944">
        <w:rPr>
          <w:rFonts w:asciiTheme="minorHAnsi" w:hAnsiTheme="minorHAnsi"/>
          <w:color w:val="auto"/>
        </w:rPr>
        <w:t xml:space="preserve">:  </w:t>
      </w:r>
      <w:r w:rsidR="009759C2" w:rsidRPr="005B3944">
        <w:rPr>
          <w:rFonts w:asciiTheme="minorHAnsi" w:hAnsiTheme="minorHAnsi"/>
          <w:color w:val="auto"/>
        </w:rPr>
        <w:t>Data extracted from the available evidence of record reflects that this covered individual (CI)</w:t>
      </w:r>
      <w:r w:rsidR="00570754" w:rsidRPr="005B3944">
        <w:rPr>
          <w:rFonts w:asciiTheme="minorHAnsi" w:hAnsiTheme="minorHAnsi"/>
          <w:color w:val="auto"/>
        </w:rPr>
        <w:t xml:space="preserve"> </w:t>
      </w:r>
      <w:r w:rsidR="002C6E5B" w:rsidRPr="005B3944">
        <w:rPr>
          <w:rFonts w:asciiTheme="minorHAnsi" w:hAnsiTheme="minorHAnsi"/>
          <w:color w:val="auto"/>
          <w:szCs w:val="24"/>
        </w:rPr>
        <w:t xml:space="preserve">was </w:t>
      </w:r>
      <w:r w:rsidR="00E322F7" w:rsidRPr="005B3944">
        <w:rPr>
          <w:rFonts w:asciiTheme="minorHAnsi" w:hAnsiTheme="minorHAnsi"/>
          <w:color w:val="auto"/>
          <w:szCs w:val="24"/>
        </w:rPr>
        <w:t xml:space="preserve">an </w:t>
      </w:r>
      <w:r w:rsidR="005758A0" w:rsidRPr="005B3944">
        <w:rPr>
          <w:rFonts w:asciiTheme="minorHAnsi" w:hAnsiTheme="minorHAnsi"/>
          <w:color w:val="auto"/>
          <w:szCs w:val="24"/>
        </w:rPr>
        <w:t xml:space="preserve">active duty </w:t>
      </w:r>
      <w:r w:rsidR="002E65E6" w:rsidRPr="005B3944">
        <w:rPr>
          <w:rFonts w:asciiTheme="minorHAnsi" w:hAnsiTheme="minorHAnsi"/>
          <w:color w:val="auto"/>
          <w:szCs w:val="24"/>
        </w:rPr>
        <w:t>member,</w:t>
      </w:r>
      <w:r w:rsidR="006D4E0E" w:rsidRPr="005B3944">
        <w:rPr>
          <w:rFonts w:asciiTheme="minorHAnsi" w:hAnsiTheme="minorHAnsi"/>
          <w:color w:val="auto"/>
          <w:szCs w:val="24"/>
        </w:rPr>
        <w:t xml:space="preserve"> </w:t>
      </w:r>
      <w:r w:rsidR="00EA76DA" w:rsidRPr="005B3944">
        <w:rPr>
          <w:rFonts w:asciiTheme="minorHAnsi" w:hAnsiTheme="minorHAnsi"/>
          <w:color w:val="auto"/>
          <w:szCs w:val="24"/>
        </w:rPr>
        <w:t>A1C/</w:t>
      </w:r>
      <w:r w:rsidR="00375BE6" w:rsidRPr="005B3944">
        <w:rPr>
          <w:rFonts w:asciiTheme="minorHAnsi" w:hAnsiTheme="minorHAnsi"/>
          <w:color w:val="auto"/>
          <w:szCs w:val="24"/>
        </w:rPr>
        <w:t>E-3</w:t>
      </w:r>
      <w:r w:rsidR="00705C40" w:rsidRPr="005B3944">
        <w:rPr>
          <w:rFonts w:asciiTheme="minorHAnsi" w:hAnsiTheme="minorHAnsi"/>
          <w:color w:val="auto"/>
          <w:szCs w:val="24"/>
        </w:rPr>
        <w:t xml:space="preserve"> (</w:t>
      </w:r>
      <w:r w:rsidR="00C7468A" w:rsidRPr="005B3944">
        <w:rPr>
          <w:rFonts w:asciiTheme="minorHAnsi" w:hAnsiTheme="minorHAnsi"/>
          <w:color w:val="auto"/>
          <w:szCs w:val="24"/>
        </w:rPr>
        <w:t>3P051</w:t>
      </w:r>
      <w:r w:rsidR="00C75F3D" w:rsidRPr="005B3944">
        <w:rPr>
          <w:rFonts w:asciiTheme="minorHAnsi" w:hAnsiTheme="minorHAnsi"/>
          <w:color w:val="auto"/>
          <w:szCs w:val="24"/>
        </w:rPr>
        <w:t xml:space="preserve"> / </w:t>
      </w:r>
      <w:r w:rsidR="00C7468A" w:rsidRPr="005B3944">
        <w:rPr>
          <w:rFonts w:asciiTheme="minorHAnsi" w:hAnsiTheme="minorHAnsi"/>
          <w:color w:val="auto"/>
          <w:szCs w:val="24"/>
        </w:rPr>
        <w:t>Security Forces Journeyman</w:t>
      </w:r>
      <w:r w:rsidR="00E322F7" w:rsidRPr="005B3944">
        <w:rPr>
          <w:rFonts w:asciiTheme="minorHAnsi" w:hAnsiTheme="minorHAnsi"/>
          <w:color w:val="auto"/>
          <w:szCs w:val="24"/>
        </w:rPr>
        <w:t>)</w:t>
      </w:r>
      <w:r w:rsidR="00C75F3D" w:rsidRPr="005B3944">
        <w:rPr>
          <w:rFonts w:asciiTheme="minorHAnsi" w:hAnsiTheme="minorHAnsi"/>
          <w:color w:val="auto"/>
          <w:szCs w:val="24"/>
        </w:rPr>
        <w:t xml:space="preserve">, </w:t>
      </w:r>
      <w:r w:rsidR="002C6E5B" w:rsidRPr="005B3944">
        <w:rPr>
          <w:rFonts w:asciiTheme="minorHAnsi" w:hAnsiTheme="minorHAnsi"/>
          <w:color w:val="auto"/>
          <w:szCs w:val="24"/>
        </w:rPr>
        <w:t xml:space="preserve">medically separated for </w:t>
      </w:r>
      <w:r w:rsidR="00C7468A" w:rsidRPr="005B3944">
        <w:rPr>
          <w:rFonts w:asciiTheme="minorHAnsi" w:hAnsiTheme="minorHAnsi"/>
          <w:color w:val="auto"/>
          <w:szCs w:val="24"/>
        </w:rPr>
        <w:t>neurocardiogenic syncope associated with depressive disorder.</w:t>
      </w:r>
      <w:r w:rsidR="001F11B9" w:rsidRPr="005B3944">
        <w:rPr>
          <w:rFonts w:asciiTheme="minorHAnsi" w:hAnsiTheme="minorHAnsi"/>
          <w:color w:val="auto"/>
          <w:szCs w:val="24"/>
        </w:rPr>
        <w:t xml:space="preserve">  The CI</w:t>
      </w:r>
      <w:r w:rsidR="00CC4E91" w:rsidRPr="005B3944">
        <w:rPr>
          <w:rFonts w:asciiTheme="minorHAnsi" w:hAnsiTheme="minorHAnsi"/>
          <w:color w:val="auto"/>
          <w:szCs w:val="24"/>
        </w:rPr>
        <w:t>’s symptoms began in</w:t>
      </w:r>
      <w:r w:rsidR="001F11B9" w:rsidRPr="005B3944">
        <w:rPr>
          <w:rFonts w:asciiTheme="minorHAnsi" w:hAnsiTheme="minorHAnsi"/>
          <w:color w:val="auto"/>
          <w:szCs w:val="24"/>
        </w:rPr>
        <w:t xml:space="preserve"> Sep</w:t>
      </w:r>
      <w:r w:rsidR="00CC4E91" w:rsidRPr="005B3944">
        <w:rPr>
          <w:rFonts w:asciiTheme="minorHAnsi" w:hAnsiTheme="minorHAnsi"/>
          <w:color w:val="auto"/>
          <w:szCs w:val="24"/>
        </w:rPr>
        <w:t>tember</w:t>
      </w:r>
      <w:r w:rsidR="001F11B9" w:rsidRPr="005B3944">
        <w:rPr>
          <w:rFonts w:asciiTheme="minorHAnsi" w:hAnsiTheme="minorHAnsi"/>
          <w:color w:val="auto"/>
          <w:szCs w:val="24"/>
        </w:rPr>
        <w:t xml:space="preserve"> 2000 when he experienced </w:t>
      </w:r>
      <w:r w:rsidR="009C3F11" w:rsidRPr="005B3944">
        <w:rPr>
          <w:rFonts w:asciiTheme="minorHAnsi" w:hAnsiTheme="minorHAnsi"/>
          <w:color w:val="auto"/>
          <w:szCs w:val="24"/>
        </w:rPr>
        <w:t>syncope or pre-syncope (</w:t>
      </w:r>
      <w:r w:rsidR="001F11B9" w:rsidRPr="005B3944">
        <w:rPr>
          <w:rFonts w:asciiTheme="minorHAnsi" w:hAnsiTheme="minorHAnsi"/>
          <w:color w:val="auto"/>
          <w:szCs w:val="24"/>
        </w:rPr>
        <w:t>lightheadedness</w:t>
      </w:r>
      <w:r w:rsidR="009C3F11" w:rsidRPr="005B3944">
        <w:rPr>
          <w:rFonts w:asciiTheme="minorHAnsi" w:hAnsiTheme="minorHAnsi"/>
          <w:color w:val="auto"/>
          <w:szCs w:val="24"/>
        </w:rPr>
        <w:t>, nausea)</w:t>
      </w:r>
      <w:r w:rsidR="001F11B9" w:rsidRPr="005B3944">
        <w:rPr>
          <w:rFonts w:asciiTheme="minorHAnsi" w:hAnsiTheme="minorHAnsi"/>
          <w:color w:val="auto"/>
          <w:szCs w:val="24"/>
        </w:rPr>
        <w:t xml:space="preserve"> after </w:t>
      </w:r>
      <w:r w:rsidR="009C3F11" w:rsidRPr="005B3944">
        <w:rPr>
          <w:rFonts w:asciiTheme="minorHAnsi" w:hAnsiTheme="minorHAnsi"/>
          <w:color w:val="auto"/>
          <w:szCs w:val="24"/>
        </w:rPr>
        <w:t>running</w:t>
      </w:r>
      <w:r w:rsidR="00CC4E91" w:rsidRPr="005B3944">
        <w:rPr>
          <w:rFonts w:asciiTheme="minorHAnsi" w:hAnsiTheme="minorHAnsi"/>
          <w:color w:val="auto"/>
          <w:szCs w:val="24"/>
        </w:rPr>
        <w:t xml:space="preserve">.  </w:t>
      </w:r>
      <w:r w:rsidR="00B137C3" w:rsidRPr="005B3944">
        <w:rPr>
          <w:rFonts w:asciiTheme="minorHAnsi" w:hAnsiTheme="minorHAnsi"/>
          <w:color w:val="auto"/>
          <w:szCs w:val="24"/>
        </w:rPr>
        <w:t xml:space="preserve">His evaluation included a </w:t>
      </w:r>
      <w:r w:rsidR="00675F8D" w:rsidRPr="005B3944">
        <w:rPr>
          <w:rFonts w:asciiTheme="minorHAnsi" w:hAnsiTheme="minorHAnsi"/>
          <w:color w:val="auto"/>
          <w:szCs w:val="24"/>
        </w:rPr>
        <w:t xml:space="preserve">normal </w:t>
      </w:r>
      <w:r w:rsidR="00B137C3" w:rsidRPr="005B3944">
        <w:rPr>
          <w:rFonts w:asciiTheme="minorHAnsi" w:hAnsiTheme="minorHAnsi"/>
          <w:color w:val="auto"/>
          <w:szCs w:val="24"/>
        </w:rPr>
        <w:t>treadmill stress test (</w:t>
      </w:r>
      <w:r w:rsidR="001F11B9" w:rsidRPr="005B3944">
        <w:rPr>
          <w:rFonts w:asciiTheme="minorHAnsi" w:hAnsiTheme="minorHAnsi"/>
          <w:color w:val="auto"/>
          <w:szCs w:val="24"/>
        </w:rPr>
        <w:t xml:space="preserve">followed by </w:t>
      </w:r>
      <w:r w:rsidR="003C47B0" w:rsidRPr="005B3944">
        <w:rPr>
          <w:rFonts w:asciiTheme="minorHAnsi" w:hAnsiTheme="minorHAnsi"/>
          <w:color w:val="auto"/>
          <w:szCs w:val="24"/>
        </w:rPr>
        <w:t xml:space="preserve">a </w:t>
      </w:r>
      <w:r w:rsidR="001F11B9" w:rsidRPr="005B3944">
        <w:rPr>
          <w:rFonts w:asciiTheme="minorHAnsi" w:hAnsiTheme="minorHAnsi"/>
          <w:color w:val="auto"/>
          <w:szCs w:val="24"/>
        </w:rPr>
        <w:t>pre-</w:t>
      </w:r>
      <w:proofErr w:type="spellStart"/>
      <w:r w:rsidR="001F11B9" w:rsidRPr="005B3944">
        <w:rPr>
          <w:rFonts w:asciiTheme="minorHAnsi" w:hAnsiTheme="minorHAnsi"/>
          <w:color w:val="auto"/>
          <w:szCs w:val="24"/>
        </w:rPr>
        <w:t>syncopal</w:t>
      </w:r>
      <w:proofErr w:type="spellEnd"/>
      <w:r w:rsidR="001F11B9" w:rsidRPr="005B3944">
        <w:rPr>
          <w:rFonts w:asciiTheme="minorHAnsi" w:hAnsiTheme="minorHAnsi"/>
          <w:color w:val="auto"/>
          <w:szCs w:val="24"/>
        </w:rPr>
        <w:t xml:space="preserve"> </w:t>
      </w:r>
      <w:proofErr w:type="spellStart"/>
      <w:r w:rsidR="00B137C3" w:rsidRPr="005B3944">
        <w:rPr>
          <w:rFonts w:asciiTheme="minorHAnsi" w:hAnsiTheme="minorHAnsi"/>
          <w:color w:val="auto"/>
          <w:szCs w:val="24"/>
        </w:rPr>
        <w:t>hypotensive</w:t>
      </w:r>
      <w:proofErr w:type="spellEnd"/>
      <w:r w:rsidR="00B137C3" w:rsidRPr="005B3944">
        <w:rPr>
          <w:rFonts w:asciiTheme="minorHAnsi" w:hAnsiTheme="minorHAnsi"/>
          <w:color w:val="auto"/>
          <w:szCs w:val="24"/>
        </w:rPr>
        <w:t xml:space="preserve"> </w:t>
      </w:r>
      <w:r w:rsidR="003C47B0" w:rsidRPr="005B3944">
        <w:rPr>
          <w:rFonts w:asciiTheme="minorHAnsi" w:hAnsiTheme="minorHAnsi"/>
          <w:color w:val="auto"/>
          <w:szCs w:val="24"/>
        </w:rPr>
        <w:t>episode</w:t>
      </w:r>
      <w:r w:rsidR="00B137C3" w:rsidRPr="005B3944">
        <w:rPr>
          <w:rFonts w:asciiTheme="minorHAnsi" w:hAnsiTheme="minorHAnsi"/>
          <w:color w:val="auto"/>
          <w:szCs w:val="24"/>
        </w:rPr>
        <w:t xml:space="preserve">), </w:t>
      </w:r>
      <w:r w:rsidR="00675F8D" w:rsidRPr="005B3944">
        <w:rPr>
          <w:rFonts w:asciiTheme="minorHAnsi" w:hAnsiTheme="minorHAnsi"/>
          <w:color w:val="auto"/>
          <w:szCs w:val="24"/>
        </w:rPr>
        <w:t xml:space="preserve">normal </w:t>
      </w:r>
      <w:r w:rsidR="00B137C3" w:rsidRPr="005B3944">
        <w:rPr>
          <w:rFonts w:asciiTheme="minorHAnsi" w:hAnsiTheme="minorHAnsi"/>
          <w:color w:val="auto"/>
          <w:szCs w:val="24"/>
        </w:rPr>
        <w:t>echocardiogram,</w:t>
      </w:r>
      <w:r w:rsidR="003C47B0" w:rsidRPr="005B3944">
        <w:rPr>
          <w:rFonts w:asciiTheme="minorHAnsi" w:hAnsiTheme="minorHAnsi"/>
          <w:color w:val="auto"/>
          <w:szCs w:val="24"/>
        </w:rPr>
        <w:t xml:space="preserve"> and </w:t>
      </w:r>
      <w:r w:rsidR="00675F8D" w:rsidRPr="005B3944">
        <w:rPr>
          <w:rFonts w:asciiTheme="minorHAnsi" w:hAnsiTheme="minorHAnsi"/>
          <w:color w:val="auto"/>
          <w:szCs w:val="24"/>
        </w:rPr>
        <w:t xml:space="preserve">abnormal </w:t>
      </w:r>
      <w:r w:rsidR="00B137C3" w:rsidRPr="005B3944">
        <w:rPr>
          <w:rFonts w:asciiTheme="minorHAnsi" w:hAnsiTheme="minorHAnsi"/>
          <w:color w:val="auto"/>
          <w:szCs w:val="24"/>
        </w:rPr>
        <w:t xml:space="preserve">tilt table testing </w:t>
      </w:r>
      <w:r w:rsidR="00675F8D" w:rsidRPr="005B3944">
        <w:rPr>
          <w:rFonts w:asciiTheme="minorHAnsi" w:hAnsiTheme="minorHAnsi"/>
          <w:color w:val="auto"/>
          <w:szCs w:val="24"/>
        </w:rPr>
        <w:t>demonstrating</w:t>
      </w:r>
      <w:r w:rsidR="00B137C3" w:rsidRPr="005B3944">
        <w:rPr>
          <w:rFonts w:asciiTheme="minorHAnsi" w:hAnsiTheme="minorHAnsi"/>
          <w:color w:val="auto"/>
          <w:szCs w:val="24"/>
        </w:rPr>
        <w:t xml:space="preserve"> </w:t>
      </w:r>
      <w:proofErr w:type="spellStart"/>
      <w:r w:rsidR="001F11B9" w:rsidRPr="005B3944">
        <w:rPr>
          <w:rFonts w:asciiTheme="minorHAnsi" w:hAnsiTheme="minorHAnsi"/>
          <w:color w:val="auto"/>
          <w:szCs w:val="24"/>
        </w:rPr>
        <w:t>neurocardiogenic</w:t>
      </w:r>
      <w:proofErr w:type="spellEnd"/>
      <w:r w:rsidR="001F11B9" w:rsidRPr="005B3944">
        <w:rPr>
          <w:rFonts w:asciiTheme="minorHAnsi" w:hAnsiTheme="minorHAnsi"/>
          <w:color w:val="auto"/>
          <w:szCs w:val="24"/>
        </w:rPr>
        <w:t xml:space="preserve"> syncope </w:t>
      </w:r>
      <w:r w:rsidR="00B137C3" w:rsidRPr="005B3944">
        <w:rPr>
          <w:rFonts w:asciiTheme="minorHAnsi" w:hAnsiTheme="minorHAnsi"/>
          <w:color w:val="auto"/>
          <w:szCs w:val="24"/>
        </w:rPr>
        <w:t xml:space="preserve">with a </w:t>
      </w:r>
      <w:r w:rsidR="003C47B0" w:rsidRPr="005B3944">
        <w:rPr>
          <w:rFonts w:asciiTheme="minorHAnsi" w:hAnsiTheme="minorHAnsi"/>
          <w:color w:val="auto"/>
          <w:szCs w:val="24"/>
        </w:rPr>
        <w:t xml:space="preserve">vasodepressor and </w:t>
      </w:r>
      <w:proofErr w:type="spellStart"/>
      <w:r w:rsidR="003C47B0" w:rsidRPr="005B3944">
        <w:rPr>
          <w:rFonts w:asciiTheme="minorHAnsi" w:hAnsiTheme="minorHAnsi"/>
          <w:color w:val="auto"/>
          <w:szCs w:val="24"/>
        </w:rPr>
        <w:t>cardioinhibitory</w:t>
      </w:r>
      <w:proofErr w:type="spellEnd"/>
      <w:r w:rsidR="003C47B0" w:rsidRPr="005B3944">
        <w:rPr>
          <w:rFonts w:asciiTheme="minorHAnsi" w:hAnsiTheme="minorHAnsi"/>
          <w:color w:val="auto"/>
          <w:szCs w:val="24"/>
        </w:rPr>
        <w:t xml:space="preserve"> response.  He was treated with </w:t>
      </w:r>
      <w:r w:rsidR="004A6E73" w:rsidRPr="005B3944">
        <w:rPr>
          <w:rFonts w:asciiTheme="minorHAnsi" w:hAnsiTheme="minorHAnsi"/>
          <w:color w:val="auto"/>
          <w:szCs w:val="24"/>
        </w:rPr>
        <w:t>medication</w:t>
      </w:r>
      <w:r w:rsidR="00675F8D" w:rsidRPr="005B3944">
        <w:rPr>
          <w:rFonts w:asciiTheme="minorHAnsi" w:hAnsiTheme="minorHAnsi"/>
          <w:color w:val="auto"/>
          <w:szCs w:val="24"/>
        </w:rPr>
        <w:t>,</w:t>
      </w:r>
      <w:r w:rsidR="004A6E73" w:rsidRPr="005B3944">
        <w:rPr>
          <w:rFonts w:asciiTheme="minorHAnsi" w:hAnsiTheme="minorHAnsi"/>
          <w:color w:val="auto"/>
          <w:szCs w:val="24"/>
        </w:rPr>
        <w:t xml:space="preserve"> but did not respond adequately to perform within his Air Force Specialty (AFS) or meet physical fitness standards.  He was issued a P4 </w:t>
      </w:r>
      <w:r w:rsidR="005758A0" w:rsidRPr="005B3944">
        <w:rPr>
          <w:rFonts w:asciiTheme="minorHAnsi" w:hAnsiTheme="minorHAnsi"/>
          <w:color w:val="auto"/>
          <w:szCs w:val="24"/>
        </w:rPr>
        <w:t xml:space="preserve">profile </w:t>
      </w:r>
      <w:r w:rsidR="004A6E73" w:rsidRPr="005B3944">
        <w:rPr>
          <w:rFonts w:asciiTheme="minorHAnsi" w:hAnsiTheme="minorHAnsi"/>
          <w:color w:val="auto"/>
          <w:szCs w:val="24"/>
        </w:rPr>
        <w:t>and underwent a Medical Evaluation Board (MEB).  “</w:t>
      </w:r>
      <w:proofErr w:type="spellStart"/>
      <w:r w:rsidR="004A6E73" w:rsidRPr="005B3944">
        <w:rPr>
          <w:rFonts w:asciiTheme="minorHAnsi" w:hAnsiTheme="minorHAnsi"/>
          <w:color w:val="auto"/>
          <w:szCs w:val="24"/>
        </w:rPr>
        <w:t>Neurocardiogenic</w:t>
      </w:r>
      <w:proofErr w:type="spellEnd"/>
      <w:r w:rsidR="004A6E73" w:rsidRPr="005B3944">
        <w:rPr>
          <w:rFonts w:asciiTheme="minorHAnsi" w:hAnsiTheme="minorHAnsi"/>
          <w:color w:val="auto"/>
          <w:szCs w:val="24"/>
        </w:rPr>
        <w:t xml:space="preserve"> syncope</w:t>
      </w:r>
      <w:r w:rsidR="00CC4E91" w:rsidRPr="005B3944">
        <w:rPr>
          <w:rFonts w:asciiTheme="minorHAnsi" w:hAnsiTheme="minorHAnsi"/>
          <w:color w:val="auto"/>
          <w:szCs w:val="24"/>
        </w:rPr>
        <w:t>;</w:t>
      </w:r>
      <w:r w:rsidR="004A6E73" w:rsidRPr="005B3944">
        <w:rPr>
          <w:rFonts w:asciiTheme="minorHAnsi" w:hAnsiTheme="minorHAnsi"/>
          <w:color w:val="auto"/>
          <w:szCs w:val="24"/>
        </w:rPr>
        <w:t xml:space="preserve"> pes planovalgus (EPTS); depressive disorder no</w:t>
      </w:r>
      <w:r w:rsidR="00675F8D" w:rsidRPr="005B3944">
        <w:rPr>
          <w:rFonts w:asciiTheme="minorHAnsi" w:hAnsiTheme="minorHAnsi"/>
          <w:color w:val="auto"/>
          <w:szCs w:val="24"/>
        </w:rPr>
        <w:t>t</w:t>
      </w:r>
      <w:r w:rsidR="004A6E73" w:rsidRPr="005B3944">
        <w:rPr>
          <w:rFonts w:asciiTheme="minorHAnsi" w:hAnsiTheme="minorHAnsi"/>
          <w:color w:val="auto"/>
          <w:szCs w:val="24"/>
        </w:rPr>
        <w:t xml:space="preserve"> otherwise specified; and mixed headache syndrome</w:t>
      </w:r>
      <w:r w:rsidR="00CC4E91" w:rsidRPr="005B3944">
        <w:rPr>
          <w:rFonts w:asciiTheme="minorHAnsi" w:hAnsiTheme="minorHAnsi"/>
          <w:color w:val="auto"/>
          <w:szCs w:val="24"/>
        </w:rPr>
        <w:t>, responding,</w:t>
      </w:r>
      <w:r w:rsidR="004A6E73" w:rsidRPr="005B3944">
        <w:rPr>
          <w:rFonts w:asciiTheme="minorHAnsi" w:hAnsiTheme="minorHAnsi"/>
          <w:color w:val="auto"/>
          <w:szCs w:val="24"/>
        </w:rPr>
        <w:t xml:space="preserve">” were forwarded to the Physical Evaluation Board (PEB) IAW AFI 48-123.  No other conditions appeared on the MEB’s submission.  Other conditions included in the Disability Evaluation System (DES) </w:t>
      </w:r>
      <w:r w:rsidR="00CC4E91" w:rsidRPr="005B3944">
        <w:rPr>
          <w:rFonts w:asciiTheme="minorHAnsi" w:hAnsiTheme="minorHAnsi"/>
          <w:color w:val="auto"/>
          <w:szCs w:val="24"/>
        </w:rPr>
        <w:t>file are</w:t>
      </w:r>
      <w:r w:rsidR="004A6E73" w:rsidRPr="005B3944">
        <w:rPr>
          <w:rFonts w:asciiTheme="minorHAnsi" w:hAnsiTheme="minorHAnsi"/>
          <w:color w:val="auto"/>
          <w:szCs w:val="24"/>
        </w:rPr>
        <w:t xml:space="preserve"> discussed below. </w:t>
      </w:r>
      <w:r w:rsidR="00CC4E91" w:rsidRPr="005B3944">
        <w:rPr>
          <w:rFonts w:asciiTheme="minorHAnsi" w:hAnsiTheme="minorHAnsi"/>
          <w:color w:val="auto"/>
          <w:szCs w:val="24"/>
        </w:rPr>
        <w:t xml:space="preserve"> </w:t>
      </w:r>
      <w:r w:rsidR="004A6E73" w:rsidRPr="005B3944">
        <w:rPr>
          <w:rFonts w:asciiTheme="minorHAnsi" w:hAnsiTheme="minorHAnsi"/>
          <w:color w:val="auto"/>
          <w:szCs w:val="24"/>
        </w:rPr>
        <w:t xml:space="preserve">The Informal PEB (IPEB) </w:t>
      </w:r>
      <w:r w:rsidR="00BD0759" w:rsidRPr="005B3944">
        <w:rPr>
          <w:rFonts w:asciiTheme="minorHAnsi" w:hAnsiTheme="minorHAnsi"/>
          <w:color w:val="auto"/>
          <w:szCs w:val="24"/>
        </w:rPr>
        <w:t xml:space="preserve">combined </w:t>
      </w:r>
      <w:r w:rsidR="004A6E73" w:rsidRPr="005B3944">
        <w:rPr>
          <w:rFonts w:asciiTheme="minorHAnsi" w:hAnsiTheme="minorHAnsi"/>
          <w:color w:val="auto"/>
          <w:szCs w:val="24"/>
        </w:rPr>
        <w:t xml:space="preserve">the </w:t>
      </w:r>
      <w:proofErr w:type="spellStart"/>
      <w:r w:rsidR="004A6E73" w:rsidRPr="005B3944">
        <w:rPr>
          <w:rFonts w:asciiTheme="minorHAnsi" w:hAnsiTheme="minorHAnsi"/>
          <w:color w:val="auto"/>
          <w:szCs w:val="24"/>
        </w:rPr>
        <w:t>neurocardiogenic</w:t>
      </w:r>
      <w:proofErr w:type="spellEnd"/>
      <w:r w:rsidR="004A6E73" w:rsidRPr="005B3944">
        <w:rPr>
          <w:rFonts w:asciiTheme="minorHAnsi" w:hAnsiTheme="minorHAnsi"/>
          <w:color w:val="auto"/>
          <w:szCs w:val="24"/>
        </w:rPr>
        <w:t xml:space="preserve"> syncope </w:t>
      </w:r>
      <w:r w:rsidR="00BD0759" w:rsidRPr="005B3944">
        <w:rPr>
          <w:rFonts w:asciiTheme="minorHAnsi" w:hAnsiTheme="minorHAnsi"/>
          <w:color w:val="auto"/>
          <w:szCs w:val="24"/>
        </w:rPr>
        <w:t xml:space="preserve">and </w:t>
      </w:r>
      <w:r w:rsidR="004A6E73" w:rsidRPr="005B3944">
        <w:rPr>
          <w:rFonts w:asciiTheme="minorHAnsi" w:hAnsiTheme="minorHAnsi"/>
          <w:color w:val="auto"/>
          <w:szCs w:val="24"/>
        </w:rPr>
        <w:t>associated depressive disorder</w:t>
      </w:r>
      <w:r w:rsidR="00BD0759" w:rsidRPr="005B3944">
        <w:rPr>
          <w:rFonts w:asciiTheme="minorHAnsi" w:hAnsiTheme="minorHAnsi"/>
          <w:color w:val="auto"/>
          <w:szCs w:val="24"/>
        </w:rPr>
        <w:t>,</w:t>
      </w:r>
      <w:r w:rsidR="004A6E73" w:rsidRPr="005B3944">
        <w:rPr>
          <w:rFonts w:asciiTheme="minorHAnsi" w:hAnsiTheme="minorHAnsi"/>
          <w:color w:val="auto"/>
          <w:szCs w:val="24"/>
        </w:rPr>
        <w:t xml:space="preserve"> </w:t>
      </w:r>
      <w:r w:rsidR="00BD0759" w:rsidRPr="005B3944">
        <w:rPr>
          <w:rFonts w:asciiTheme="minorHAnsi" w:hAnsiTheme="minorHAnsi"/>
          <w:color w:val="auto"/>
          <w:szCs w:val="24"/>
        </w:rPr>
        <w:t xml:space="preserve">and adjudicated the combined condition </w:t>
      </w:r>
      <w:r w:rsidR="004A6E73" w:rsidRPr="005B3944">
        <w:rPr>
          <w:rFonts w:asciiTheme="minorHAnsi" w:hAnsiTheme="minorHAnsi"/>
          <w:color w:val="auto"/>
          <w:szCs w:val="24"/>
        </w:rPr>
        <w:t>as unfitting, rated 10%</w:t>
      </w:r>
      <w:r w:rsidR="005758A0" w:rsidRPr="005B3944">
        <w:rPr>
          <w:rFonts w:asciiTheme="minorHAnsi" w:hAnsiTheme="minorHAnsi"/>
          <w:color w:val="auto"/>
          <w:szCs w:val="24"/>
        </w:rPr>
        <w:t>,</w:t>
      </w:r>
      <w:r w:rsidR="004A6E73" w:rsidRPr="005B3944">
        <w:rPr>
          <w:rFonts w:asciiTheme="minorHAnsi" w:hAnsiTheme="minorHAnsi"/>
          <w:color w:val="auto"/>
          <w:szCs w:val="24"/>
        </w:rPr>
        <w:t xml:space="preserve"> with application of the Veterans Administration Schedule for Rating Disabilities (VASRD).  </w:t>
      </w:r>
      <w:r w:rsidR="005758A0" w:rsidRPr="005B3944">
        <w:rPr>
          <w:rFonts w:asciiTheme="minorHAnsi" w:hAnsiTheme="minorHAnsi"/>
          <w:color w:val="auto"/>
        </w:rPr>
        <w:t xml:space="preserve">The CI </w:t>
      </w:r>
      <w:r w:rsidR="00820F04">
        <w:rPr>
          <w:rFonts w:asciiTheme="minorHAnsi" w:hAnsiTheme="minorHAnsi"/>
          <w:color w:val="auto"/>
        </w:rPr>
        <w:t>did not appeal for a F</w:t>
      </w:r>
      <w:r w:rsidR="00BD0759" w:rsidRPr="005B3944">
        <w:rPr>
          <w:rFonts w:asciiTheme="minorHAnsi" w:hAnsiTheme="minorHAnsi"/>
          <w:color w:val="auto"/>
        </w:rPr>
        <w:t>ormal PEB</w:t>
      </w:r>
      <w:r w:rsidR="005758A0" w:rsidRPr="005B3944">
        <w:rPr>
          <w:rFonts w:asciiTheme="minorHAnsi" w:hAnsiTheme="minorHAnsi"/>
          <w:color w:val="auto"/>
        </w:rPr>
        <w:t>, and was medically separated with a 10% disability rating.</w:t>
      </w:r>
    </w:p>
    <w:p w:rsidR="008E0D8F" w:rsidRPr="005B3944" w:rsidRDefault="008E0D8F" w:rsidP="00510F9C">
      <w:pPr>
        <w:pBdr>
          <w:bottom w:val="single" w:sz="12" w:space="1" w:color="auto"/>
        </w:pBdr>
        <w:tabs>
          <w:tab w:val="left" w:pos="288"/>
          <w:tab w:val="left" w:pos="4752"/>
        </w:tabs>
        <w:spacing w:line="240" w:lineRule="exact"/>
        <w:jc w:val="both"/>
        <w:rPr>
          <w:rFonts w:asciiTheme="minorHAnsi" w:hAnsiTheme="minorHAnsi"/>
          <w:color w:val="auto"/>
        </w:rPr>
      </w:pPr>
    </w:p>
    <w:p w:rsidR="005758A0" w:rsidRPr="005B3944" w:rsidRDefault="005758A0" w:rsidP="00375BE6">
      <w:pPr>
        <w:tabs>
          <w:tab w:val="left" w:pos="288"/>
          <w:tab w:val="left" w:pos="4752"/>
        </w:tabs>
        <w:spacing w:line="240" w:lineRule="exact"/>
        <w:jc w:val="both"/>
        <w:rPr>
          <w:rFonts w:asciiTheme="minorHAnsi" w:hAnsiTheme="minorHAnsi"/>
          <w:b/>
          <w:color w:val="auto"/>
          <w:u w:val="single"/>
        </w:rPr>
      </w:pPr>
    </w:p>
    <w:p w:rsidR="00575E45" w:rsidRPr="005B3944" w:rsidRDefault="002C6E5B" w:rsidP="00BD0759">
      <w:pPr>
        <w:tabs>
          <w:tab w:val="left" w:pos="288"/>
          <w:tab w:val="left" w:pos="4752"/>
        </w:tabs>
        <w:spacing w:line="240" w:lineRule="exact"/>
        <w:jc w:val="both"/>
        <w:rPr>
          <w:rFonts w:eastAsiaTheme="minorHAnsi" w:cstheme="minorBidi"/>
          <w:color w:val="auto"/>
          <w:szCs w:val="24"/>
        </w:rPr>
      </w:pPr>
      <w:r w:rsidRPr="005B3944">
        <w:rPr>
          <w:rFonts w:asciiTheme="minorHAnsi" w:hAnsiTheme="minorHAnsi"/>
          <w:color w:val="auto"/>
          <w:u w:val="single"/>
        </w:rPr>
        <w:t>CI CONTENTION</w:t>
      </w:r>
      <w:r w:rsidRPr="005B3944">
        <w:rPr>
          <w:rFonts w:asciiTheme="minorHAnsi" w:hAnsiTheme="minorHAnsi"/>
          <w:color w:val="auto"/>
        </w:rPr>
        <w:t>:</w:t>
      </w:r>
      <w:r w:rsidR="00057019" w:rsidRPr="005B3944">
        <w:rPr>
          <w:rFonts w:asciiTheme="minorHAnsi" w:hAnsiTheme="minorHAnsi"/>
          <w:color w:val="auto"/>
        </w:rPr>
        <w:t xml:space="preserve">  </w:t>
      </w:r>
      <w:r w:rsidR="00375BE6" w:rsidRPr="005B3944">
        <w:rPr>
          <w:rFonts w:asciiTheme="minorHAnsi" w:hAnsiTheme="minorHAnsi"/>
          <w:color w:val="auto"/>
        </w:rPr>
        <w:t xml:space="preserve">“My rating from the </w:t>
      </w:r>
      <w:r w:rsidR="00675F8D" w:rsidRPr="005B3944">
        <w:rPr>
          <w:rFonts w:asciiTheme="minorHAnsi" w:hAnsiTheme="minorHAnsi"/>
          <w:color w:val="auto"/>
        </w:rPr>
        <w:t>A</w:t>
      </w:r>
      <w:r w:rsidR="00375BE6" w:rsidRPr="005B3944">
        <w:rPr>
          <w:rFonts w:asciiTheme="minorHAnsi" w:hAnsiTheme="minorHAnsi"/>
          <w:color w:val="auto"/>
        </w:rPr>
        <w:t xml:space="preserve">ir </w:t>
      </w:r>
      <w:r w:rsidR="00675F8D" w:rsidRPr="005B3944">
        <w:rPr>
          <w:rFonts w:asciiTheme="minorHAnsi" w:hAnsiTheme="minorHAnsi"/>
          <w:color w:val="auto"/>
        </w:rPr>
        <w:t>F</w:t>
      </w:r>
      <w:r w:rsidR="00375BE6" w:rsidRPr="005B3944">
        <w:rPr>
          <w:rFonts w:asciiTheme="minorHAnsi" w:hAnsiTheme="minorHAnsi"/>
          <w:color w:val="auto"/>
        </w:rPr>
        <w:t xml:space="preserve">orce combined two disabilities into one, where the VA found it to be two separate conditions.  My overall rating was 20% from the Air Force and my initial Rating from the VA was 60%. </w:t>
      </w:r>
      <w:r w:rsidR="00640526" w:rsidRPr="005B3944">
        <w:rPr>
          <w:rFonts w:asciiTheme="minorHAnsi" w:hAnsiTheme="minorHAnsi"/>
          <w:color w:val="auto"/>
        </w:rPr>
        <w:t xml:space="preserve"> </w:t>
      </w:r>
      <w:r w:rsidR="00375BE6" w:rsidRPr="005B3944">
        <w:rPr>
          <w:rFonts w:asciiTheme="minorHAnsi" w:hAnsiTheme="minorHAnsi"/>
          <w:color w:val="auto"/>
        </w:rPr>
        <w:t>I appealed and it went to 90% and also granted IU and the decision was then made permanent and total</w:t>
      </w:r>
      <w:r w:rsidR="00640526" w:rsidRPr="005B3944">
        <w:rPr>
          <w:rFonts w:asciiTheme="minorHAnsi" w:hAnsiTheme="minorHAnsi"/>
          <w:color w:val="auto"/>
        </w:rPr>
        <w:t>.</w:t>
      </w:r>
      <w:r w:rsidR="00FD7375" w:rsidRPr="005B3944">
        <w:rPr>
          <w:rFonts w:asciiTheme="minorHAnsi" w:hAnsiTheme="minorHAnsi"/>
          <w:color w:val="auto"/>
        </w:rPr>
        <w:t>”</w:t>
      </w:r>
      <w:r w:rsidR="00375BE6" w:rsidRPr="005B3944">
        <w:rPr>
          <w:rFonts w:eastAsiaTheme="minorHAnsi" w:cstheme="minorBidi"/>
          <w:color w:val="auto"/>
          <w:szCs w:val="24"/>
        </w:rPr>
        <w:t xml:space="preserve">  He additionally lists all of his VA conditions and ratings as per the rating chart below.  A contention for their inclusion in the separation rating is therefore implied.</w:t>
      </w:r>
      <w:r w:rsidR="00640526" w:rsidRPr="005B3944">
        <w:rPr>
          <w:rFonts w:eastAsiaTheme="minorHAnsi" w:cstheme="minorBidi"/>
          <w:color w:val="auto"/>
          <w:szCs w:val="24"/>
        </w:rPr>
        <w:t xml:space="preserve">  </w:t>
      </w:r>
      <w:r w:rsidR="00575E45" w:rsidRPr="005B3944">
        <w:rPr>
          <w:color w:val="auto"/>
          <w:szCs w:val="24"/>
        </w:rPr>
        <w:t>All service conditions are reviewed by the Board for their potential contribution to its rating recommendations.</w:t>
      </w:r>
    </w:p>
    <w:p w:rsidR="00375BE6" w:rsidRPr="005B3944" w:rsidRDefault="00375BE6" w:rsidP="00510F9C">
      <w:pPr>
        <w:pBdr>
          <w:bottom w:val="single" w:sz="12" w:space="1" w:color="auto"/>
        </w:pBdr>
        <w:spacing w:line="240" w:lineRule="exact"/>
        <w:rPr>
          <w:rFonts w:asciiTheme="minorHAnsi" w:hAnsiTheme="minorHAnsi"/>
          <w:color w:val="auto"/>
          <w:u w:val="single"/>
        </w:rPr>
      </w:pPr>
    </w:p>
    <w:p w:rsidR="00D2288F" w:rsidRPr="005B3944" w:rsidRDefault="00D2288F" w:rsidP="00510F9C">
      <w:pPr>
        <w:spacing w:line="240" w:lineRule="exact"/>
        <w:rPr>
          <w:rFonts w:asciiTheme="minorHAnsi" w:hAnsiTheme="minorHAnsi"/>
          <w:color w:val="auto"/>
          <w:u w:val="single"/>
        </w:rPr>
      </w:pPr>
    </w:p>
    <w:p w:rsidR="00675F8D" w:rsidRPr="005B3944" w:rsidRDefault="00675F8D">
      <w:pPr>
        <w:rPr>
          <w:rFonts w:asciiTheme="minorHAnsi" w:hAnsiTheme="minorHAnsi"/>
          <w:color w:val="auto"/>
          <w:u w:val="single"/>
        </w:rPr>
      </w:pPr>
      <w:r w:rsidRPr="005B3944">
        <w:rPr>
          <w:rFonts w:asciiTheme="minorHAnsi" w:hAnsiTheme="minorHAnsi"/>
          <w:color w:val="auto"/>
          <w:u w:val="single"/>
        </w:rPr>
        <w:br w:type="page"/>
      </w:r>
    </w:p>
    <w:p w:rsidR="002338CA" w:rsidRPr="005B3944" w:rsidRDefault="007F0AB7" w:rsidP="00510F9C">
      <w:pPr>
        <w:spacing w:line="240" w:lineRule="exact"/>
        <w:rPr>
          <w:rFonts w:asciiTheme="minorHAnsi" w:hAnsiTheme="minorHAnsi"/>
          <w:color w:val="auto"/>
        </w:rPr>
      </w:pPr>
      <w:r w:rsidRPr="005B3944">
        <w:rPr>
          <w:rFonts w:asciiTheme="minorHAnsi" w:hAnsiTheme="minorHAnsi"/>
          <w:color w:val="auto"/>
          <w:u w:val="single"/>
        </w:rPr>
        <w:lastRenderedPageBreak/>
        <w:t>R</w:t>
      </w:r>
      <w:r w:rsidR="002C6E5B" w:rsidRPr="005B3944">
        <w:rPr>
          <w:rFonts w:asciiTheme="minorHAnsi" w:hAnsiTheme="minorHAnsi"/>
          <w:color w:val="auto"/>
          <w:u w:val="single"/>
        </w:rPr>
        <w:t>ATING COMPARISON</w:t>
      </w:r>
      <w:r w:rsidR="002C6E5B" w:rsidRPr="005B3944">
        <w:rPr>
          <w:rFonts w:asciiTheme="minorHAnsi" w:hAnsiTheme="minorHAnsi"/>
          <w:color w:val="auto"/>
        </w:rPr>
        <w:t>:</w:t>
      </w:r>
    </w:p>
    <w:p w:rsidR="000F0928" w:rsidRPr="005B3944" w:rsidRDefault="000F0928" w:rsidP="00510F9C">
      <w:pPr>
        <w:spacing w:line="240" w:lineRule="exact"/>
        <w:rPr>
          <w:rFonts w:asciiTheme="minorHAnsi" w:hAnsiTheme="minorHAnsi"/>
          <w:color w:val="auto"/>
        </w:rPr>
      </w:pPr>
    </w:p>
    <w:tbl>
      <w:tblPr>
        <w:tblStyle w:val="TableGrid"/>
        <w:tblW w:w="9576" w:type="dxa"/>
        <w:jc w:val="center"/>
        <w:tblLayout w:type="fixed"/>
        <w:tblLook w:val="04A0"/>
      </w:tblPr>
      <w:tblGrid>
        <w:gridCol w:w="2196"/>
        <w:gridCol w:w="1062"/>
        <w:gridCol w:w="900"/>
        <w:gridCol w:w="2538"/>
        <w:gridCol w:w="1062"/>
        <w:gridCol w:w="828"/>
        <w:gridCol w:w="990"/>
      </w:tblGrid>
      <w:tr w:rsidR="002B4E22" w:rsidRPr="005B3944" w:rsidTr="00B0472F">
        <w:trPr>
          <w:trHeight w:val="233"/>
          <w:jc w:val="center"/>
        </w:trPr>
        <w:tc>
          <w:tcPr>
            <w:tcW w:w="4158" w:type="dxa"/>
            <w:gridSpan w:val="3"/>
            <w:tcBorders>
              <w:right w:val="thinThickThinSmallGap" w:sz="24" w:space="0" w:color="auto"/>
            </w:tcBorders>
            <w:shd w:val="clear" w:color="auto" w:fill="D9D9D9" w:themeFill="background1" w:themeFillShade="D9"/>
            <w:vAlign w:val="center"/>
          </w:tcPr>
          <w:p w:rsidR="002B4E22" w:rsidRPr="005B3944" w:rsidRDefault="00B731E4" w:rsidP="00A6261A">
            <w:pPr>
              <w:spacing w:line="200" w:lineRule="exact"/>
              <w:contextualSpacing/>
              <w:jc w:val="center"/>
              <w:rPr>
                <w:b/>
                <w:color w:val="auto"/>
                <w:sz w:val="20"/>
                <w:szCs w:val="20"/>
              </w:rPr>
            </w:pPr>
            <w:r w:rsidRPr="005B3944">
              <w:rPr>
                <w:b/>
                <w:color w:val="auto"/>
                <w:sz w:val="20"/>
                <w:szCs w:val="20"/>
              </w:rPr>
              <w:t xml:space="preserve">Service </w:t>
            </w:r>
            <w:r w:rsidR="00A6261A" w:rsidRPr="005B3944">
              <w:rPr>
                <w:b/>
                <w:color w:val="auto"/>
                <w:sz w:val="20"/>
                <w:szCs w:val="20"/>
              </w:rPr>
              <w:t>I</w:t>
            </w:r>
            <w:r w:rsidRPr="005B3944">
              <w:rPr>
                <w:b/>
                <w:color w:val="auto"/>
                <w:sz w:val="20"/>
                <w:szCs w:val="20"/>
              </w:rPr>
              <w:t>PEB – Dated 200</w:t>
            </w:r>
            <w:r w:rsidR="00A6261A" w:rsidRPr="005B3944">
              <w:rPr>
                <w:b/>
                <w:color w:val="auto"/>
                <w:sz w:val="20"/>
                <w:szCs w:val="20"/>
              </w:rPr>
              <w:t>0506</w:t>
            </w:r>
          </w:p>
        </w:tc>
        <w:tc>
          <w:tcPr>
            <w:tcW w:w="5418" w:type="dxa"/>
            <w:gridSpan w:val="4"/>
            <w:tcBorders>
              <w:left w:val="thinThickThinSmallGap" w:sz="24" w:space="0" w:color="auto"/>
            </w:tcBorders>
            <w:shd w:val="clear" w:color="auto" w:fill="D9D9D9" w:themeFill="background1" w:themeFillShade="D9"/>
            <w:vAlign w:val="center"/>
          </w:tcPr>
          <w:p w:rsidR="002B4E22" w:rsidRPr="005B3944" w:rsidRDefault="002B4E22" w:rsidP="00C7468A">
            <w:pPr>
              <w:spacing w:line="200" w:lineRule="exact"/>
              <w:contextualSpacing/>
              <w:jc w:val="center"/>
              <w:rPr>
                <w:b/>
                <w:color w:val="auto"/>
                <w:sz w:val="20"/>
                <w:szCs w:val="20"/>
              </w:rPr>
            </w:pPr>
            <w:r w:rsidRPr="005B3944">
              <w:rPr>
                <w:b/>
                <w:color w:val="auto"/>
                <w:sz w:val="20"/>
                <w:szCs w:val="20"/>
              </w:rPr>
              <w:t>VA (</w:t>
            </w:r>
            <w:r w:rsidR="00C7468A" w:rsidRPr="005B3944">
              <w:rPr>
                <w:b/>
                <w:color w:val="auto"/>
                <w:sz w:val="20"/>
                <w:szCs w:val="20"/>
              </w:rPr>
              <w:t>5</w:t>
            </w:r>
            <w:r w:rsidR="0079154B" w:rsidRPr="005B3944">
              <w:rPr>
                <w:b/>
                <w:color w:val="auto"/>
                <w:sz w:val="20"/>
                <w:szCs w:val="20"/>
              </w:rPr>
              <w:t xml:space="preserve"> </w:t>
            </w:r>
            <w:r w:rsidRPr="005B3944">
              <w:rPr>
                <w:b/>
                <w:color w:val="auto"/>
                <w:sz w:val="20"/>
                <w:szCs w:val="20"/>
              </w:rPr>
              <w:t>Mo</w:t>
            </w:r>
            <w:r w:rsidR="00C7468A" w:rsidRPr="005B3944">
              <w:rPr>
                <w:b/>
                <w:color w:val="auto"/>
                <w:sz w:val="20"/>
                <w:szCs w:val="20"/>
              </w:rPr>
              <w:t>s</w:t>
            </w:r>
            <w:r w:rsidRPr="005B3944">
              <w:rPr>
                <w:b/>
                <w:color w:val="auto"/>
                <w:sz w:val="20"/>
                <w:szCs w:val="20"/>
              </w:rPr>
              <w:t xml:space="preserve">. </w:t>
            </w:r>
            <w:r w:rsidR="00C7468A" w:rsidRPr="005B3944">
              <w:rPr>
                <w:b/>
                <w:color w:val="auto"/>
                <w:sz w:val="20"/>
                <w:szCs w:val="20"/>
              </w:rPr>
              <w:t>Af</w:t>
            </w:r>
            <w:r w:rsidRPr="005B3944">
              <w:rPr>
                <w:b/>
                <w:color w:val="auto"/>
                <w:sz w:val="20"/>
                <w:szCs w:val="20"/>
              </w:rPr>
              <w:t xml:space="preserve">ter Separation) – All Effective </w:t>
            </w:r>
            <w:r w:rsidR="00A6261A" w:rsidRPr="005B3944">
              <w:rPr>
                <w:b/>
                <w:color w:val="auto"/>
                <w:sz w:val="20"/>
                <w:szCs w:val="20"/>
              </w:rPr>
              <w:t>20020724</w:t>
            </w:r>
          </w:p>
        </w:tc>
      </w:tr>
      <w:tr w:rsidR="002B4E22" w:rsidRPr="005B3944" w:rsidTr="00B0472F">
        <w:trPr>
          <w:trHeight w:val="278"/>
          <w:jc w:val="center"/>
        </w:trPr>
        <w:tc>
          <w:tcPr>
            <w:tcW w:w="2196" w:type="dxa"/>
            <w:tcBorders>
              <w:bottom w:val="single" w:sz="4" w:space="0" w:color="000000" w:themeColor="text1"/>
              <w:right w:val="single" w:sz="4" w:space="0" w:color="auto"/>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Condition</w:t>
            </w:r>
          </w:p>
        </w:tc>
        <w:tc>
          <w:tcPr>
            <w:tcW w:w="1062" w:type="dxa"/>
            <w:tcBorders>
              <w:left w:val="single" w:sz="4" w:space="0" w:color="auto"/>
              <w:bottom w:val="single" w:sz="4" w:space="0" w:color="000000" w:themeColor="text1"/>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Code</w:t>
            </w:r>
          </w:p>
        </w:tc>
        <w:tc>
          <w:tcPr>
            <w:tcW w:w="900" w:type="dxa"/>
            <w:tcBorders>
              <w:bottom w:val="single" w:sz="4" w:space="0" w:color="000000" w:themeColor="text1"/>
              <w:right w:val="thinThickThinSmallGap" w:sz="24" w:space="0" w:color="auto"/>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Rating</w:t>
            </w:r>
          </w:p>
        </w:tc>
        <w:tc>
          <w:tcPr>
            <w:tcW w:w="2538" w:type="dxa"/>
            <w:tcBorders>
              <w:left w:val="thinThickThinSmallGap" w:sz="24" w:space="0" w:color="auto"/>
              <w:bottom w:val="single" w:sz="4" w:space="0" w:color="000000" w:themeColor="text1"/>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Condition</w:t>
            </w:r>
          </w:p>
        </w:tc>
        <w:tc>
          <w:tcPr>
            <w:tcW w:w="1062" w:type="dxa"/>
            <w:tcBorders>
              <w:bottom w:val="single" w:sz="4" w:space="0" w:color="000000" w:themeColor="text1"/>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Code</w:t>
            </w:r>
          </w:p>
        </w:tc>
        <w:tc>
          <w:tcPr>
            <w:tcW w:w="828" w:type="dxa"/>
            <w:tcBorders>
              <w:bottom w:val="single" w:sz="4" w:space="0" w:color="000000" w:themeColor="text1"/>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Rating</w:t>
            </w:r>
          </w:p>
        </w:tc>
        <w:tc>
          <w:tcPr>
            <w:tcW w:w="990" w:type="dxa"/>
            <w:tcBorders>
              <w:bottom w:val="single" w:sz="4" w:space="0" w:color="000000" w:themeColor="text1"/>
            </w:tcBorders>
            <w:shd w:val="clear" w:color="auto" w:fill="D9D9D9" w:themeFill="background1" w:themeFillShade="D9"/>
            <w:vAlign w:val="center"/>
          </w:tcPr>
          <w:p w:rsidR="002B4E22" w:rsidRPr="005B3944" w:rsidRDefault="002B4E22" w:rsidP="00B0472F">
            <w:pPr>
              <w:spacing w:line="200" w:lineRule="exact"/>
              <w:contextualSpacing/>
              <w:jc w:val="center"/>
              <w:rPr>
                <w:b/>
                <w:color w:val="auto"/>
                <w:sz w:val="20"/>
                <w:szCs w:val="20"/>
              </w:rPr>
            </w:pPr>
            <w:r w:rsidRPr="005B3944">
              <w:rPr>
                <w:b/>
                <w:color w:val="auto"/>
                <w:sz w:val="20"/>
                <w:szCs w:val="20"/>
              </w:rPr>
              <w:t>Exam</w:t>
            </w:r>
          </w:p>
        </w:tc>
      </w:tr>
      <w:tr w:rsidR="00A6261A" w:rsidRPr="005B3944" w:rsidTr="00A6261A">
        <w:trPr>
          <w:trHeight w:val="332"/>
          <w:jc w:val="center"/>
        </w:trPr>
        <w:tc>
          <w:tcPr>
            <w:tcW w:w="2196" w:type="dxa"/>
            <w:vMerge w:val="restart"/>
            <w:tcBorders>
              <w:right w:val="single" w:sz="4" w:space="0" w:color="auto"/>
            </w:tcBorders>
            <w:shd w:val="clear" w:color="auto" w:fill="FFFFFF" w:themeFill="background1"/>
            <w:vAlign w:val="center"/>
          </w:tcPr>
          <w:p w:rsidR="00A6261A" w:rsidRPr="005B3944" w:rsidRDefault="00A6261A" w:rsidP="00FB7A8D">
            <w:pPr>
              <w:spacing w:line="180" w:lineRule="exact"/>
              <w:contextualSpacing/>
              <w:rPr>
                <w:color w:val="auto"/>
                <w:sz w:val="18"/>
                <w:szCs w:val="18"/>
              </w:rPr>
            </w:pPr>
            <w:proofErr w:type="spellStart"/>
            <w:r w:rsidRPr="005B3944">
              <w:rPr>
                <w:color w:val="auto"/>
                <w:sz w:val="18"/>
                <w:szCs w:val="18"/>
              </w:rPr>
              <w:t>Neurocardiogenic</w:t>
            </w:r>
            <w:proofErr w:type="spellEnd"/>
            <w:r w:rsidRPr="005B3944">
              <w:rPr>
                <w:color w:val="auto"/>
                <w:sz w:val="18"/>
                <w:szCs w:val="18"/>
              </w:rPr>
              <w:t xml:space="preserve">  Syncop</w:t>
            </w:r>
            <w:r w:rsidR="00816A56" w:rsidRPr="005B3944">
              <w:rPr>
                <w:color w:val="auto"/>
                <w:sz w:val="18"/>
                <w:szCs w:val="18"/>
              </w:rPr>
              <w:t>e</w:t>
            </w:r>
            <w:r w:rsidRPr="005B3944">
              <w:rPr>
                <w:color w:val="auto"/>
                <w:sz w:val="18"/>
                <w:szCs w:val="18"/>
              </w:rPr>
              <w:t xml:space="preserve"> Associated w/Depressive Disorder</w:t>
            </w:r>
          </w:p>
        </w:tc>
        <w:tc>
          <w:tcPr>
            <w:tcW w:w="1062" w:type="dxa"/>
            <w:vMerge w:val="restart"/>
            <w:tcBorders>
              <w:left w:val="single" w:sz="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8210-8299</w:t>
            </w:r>
          </w:p>
        </w:tc>
        <w:tc>
          <w:tcPr>
            <w:tcW w:w="900" w:type="dxa"/>
            <w:vMerge w:val="restart"/>
            <w:tcBorders>
              <w:right w:val="thinThickThinSmallGap" w:sz="2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10%</w:t>
            </w:r>
          </w:p>
        </w:tc>
        <w:tc>
          <w:tcPr>
            <w:tcW w:w="2538" w:type="dxa"/>
            <w:tcBorders>
              <w:left w:val="thinThickThinSmallGap" w:sz="24" w:space="0" w:color="auto"/>
              <w:bottom w:val="single" w:sz="4" w:space="0" w:color="auto"/>
            </w:tcBorders>
            <w:shd w:val="clear" w:color="auto" w:fill="FFFFFF" w:themeFill="background1"/>
            <w:vAlign w:val="center"/>
          </w:tcPr>
          <w:p w:rsidR="00A6261A" w:rsidRPr="005B3944" w:rsidRDefault="00A6261A" w:rsidP="001C2D9F">
            <w:pPr>
              <w:spacing w:line="180" w:lineRule="exact"/>
              <w:contextualSpacing/>
              <w:rPr>
                <w:color w:val="auto"/>
                <w:sz w:val="18"/>
                <w:szCs w:val="18"/>
              </w:rPr>
            </w:pPr>
            <w:r w:rsidRPr="005B3944">
              <w:rPr>
                <w:color w:val="auto"/>
                <w:sz w:val="18"/>
                <w:szCs w:val="18"/>
              </w:rPr>
              <w:t>Neurocardiogenic</w:t>
            </w:r>
            <w:r w:rsidR="00673479" w:rsidRPr="005B3944">
              <w:rPr>
                <w:color w:val="auto"/>
                <w:sz w:val="18"/>
                <w:szCs w:val="18"/>
              </w:rPr>
              <w:t xml:space="preserve"> </w:t>
            </w:r>
            <w:r w:rsidRPr="005B3944">
              <w:rPr>
                <w:color w:val="auto"/>
                <w:sz w:val="18"/>
                <w:szCs w:val="18"/>
              </w:rPr>
              <w:t>Syncope</w:t>
            </w:r>
          </w:p>
        </w:tc>
        <w:tc>
          <w:tcPr>
            <w:tcW w:w="1062" w:type="dxa"/>
            <w:tcBorders>
              <w:bottom w:val="single" w:sz="4" w:space="0" w:color="auto"/>
            </w:tcBorders>
            <w:shd w:val="clear" w:color="auto" w:fill="FFFFFF" w:themeFill="background1"/>
            <w:vAlign w:val="center"/>
          </w:tcPr>
          <w:p w:rsidR="00A6261A" w:rsidRPr="005B3944" w:rsidRDefault="00A6261A" w:rsidP="0047229C">
            <w:pPr>
              <w:spacing w:line="180" w:lineRule="exact"/>
              <w:contextualSpacing/>
              <w:jc w:val="center"/>
              <w:rPr>
                <w:color w:val="auto"/>
                <w:sz w:val="18"/>
                <w:szCs w:val="18"/>
              </w:rPr>
            </w:pPr>
            <w:r w:rsidRPr="005B3944">
              <w:rPr>
                <w:color w:val="auto"/>
                <w:sz w:val="18"/>
                <w:szCs w:val="18"/>
              </w:rPr>
              <w:t>8199-</w:t>
            </w:r>
            <w:r w:rsidR="0047229C" w:rsidRPr="005B3944">
              <w:rPr>
                <w:color w:val="auto"/>
                <w:sz w:val="18"/>
                <w:szCs w:val="18"/>
              </w:rPr>
              <w:t>6204</w:t>
            </w:r>
          </w:p>
        </w:tc>
        <w:tc>
          <w:tcPr>
            <w:tcW w:w="828" w:type="dxa"/>
            <w:tcBorders>
              <w:bottom w:val="single" w:sz="4" w:space="0" w:color="auto"/>
            </w:tcBorders>
            <w:shd w:val="clear" w:color="auto" w:fill="FFFFFF" w:themeFill="background1"/>
            <w:vAlign w:val="center"/>
          </w:tcPr>
          <w:p w:rsidR="00A6261A" w:rsidRPr="005B3944" w:rsidRDefault="0047229C" w:rsidP="00B0472F">
            <w:pPr>
              <w:spacing w:line="180" w:lineRule="exact"/>
              <w:contextualSpacing/>
              <w:jc w:val="center"/>
              <w:rPr>
                <w:color w:val="auto"/>
                <w:sz w:val="18"/>
                <w:szCs w:val="18"/>
              </w:rPr>
            </w:pPr>
            <w:r w:rsidRPr="005B3944">
              <w:rPr>
                <w:color w:val="auto"/>
                <w:sz w:val="18"/>
                <w:szCs w:val="18"/>
              </w:rPr>
              <w:t>3</w:t>
            </w:r>
            <w:r w:rsidR="00A6261A" w:rsidRPr="005B3944">
              <w:rPr>
                <w:color w:val="auto"/>
                <w:sz w:val="18"/>
                <w:szCs w:val="18"/>
              </w:rPr>
              <w:t>0%*</w:t>
            </w:r>
          </w:p>
        </w:tc>
        <w:tc>
          <w:tcPr>
            <w:tcW w:w="990" w:type="dxa"/>
            <w:tcBorders>
              <w:bottom w:val="single" w:sz="4" w:space="0" w:color="auto"/>
            </w:tcBorders>
            <w:shd w:val="clear" w:color="auto" w:fill="FFFFFF" w:themeFill="background1"/>
            <w:vAlign w:val="center"/>
          </w:tcPr>
          <w:p w:rsidR="00A6261A" w:rsidRPr="005B3944" w:rsidRDefault="00743F61" w:rsidP="00B0472F">
            <w:pPr>
              <w:spacing w:line="180" w:lineRule="exact"/>
              <w:contextualSpacing/>
              <w:jc w:val="center"/>
              <w:rPr>
                <w:color w:val="auto"/>
                <w:sz w:val="18"/>
                <w:szCs w:val="18"/>
              </w:rPr>
            </w:pPr>
            <w:r w:rsidRPr="005B3944">
              <w:rPr>
                <w:color w:val="auto"/>
                <w:sz w:val="18"/>
                <w:szCs w:val="18"/>
              </w:rPr>
              <w:t>20021212</w:t>
            </w:r>
          </w:p>
        </w:tc>
      </w:tr>
      <w:tr w:rsidR="00A6261A" w:rsidRPr="005B3944" w:rsidTr="00A6261A">
        <w:trPr>
          <w:trHeight w:val="190"/>
          <w:jc w:val="center"/>
        </w:trPr>
        <w:tc>
          <w:tcPr>
            <w:tcW w:w="2196" w:type="dxa"/>
            <w:vMerge/>
            <w:tcBorders>
              <w:right w:val="single" w:sz="4" w:space="0" w:color="auto"/>
            </w:tcBorders>
            <w:shd w:val="clear" w:color="auto" w:fill="FFFFFF" w:themeFill="background1"/>
            <w:vAlign w:val="center"/>
          </w:tcPr>
          <w:p w:rsidR="00A6261A" w:rsidRPr="005B3944" w:rsidRDefault="00A6261A" w:rsidP="00B0472F">
            <w:pPr>
              <w:spacing w:line="180" w:lineRule="exact"/>
              <w:contextualSpacing/>
              <w:rPr>
                <w:color w:val="auto"/>
                <w:sz w:val="18"/>
                <w:szCs w:val="18"/>
              </w:rPr>
            </w:pPr>
          </w:p>
        </w:tc>
        <w:tc>
          <w:tcPr>
            <w:tcW w:w="1062" w:type="dxa"/>
            <w:vMerge/>
            <w:tcBorders>
              <w:left w:val="single" w:sz="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p>
        </w:tc>
        <w:tc>
          <w:tcPr>
            <w:tcW w:w="900" w:type="dxa"/>
            <w:vMerge/>
            <w:tcBorders>
              <w:right w:val="thinThickThinSmallGap" w:sz="2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p>
        </w:tc>
        <w:tc>
          <w:tcPr>
            <w:tcW w:w="2538" w:type="dxa"/>
            <w:tcBorders>
              <w:top w:val="single" w:sz="4" w:space="0" w:color="auto"/>
              <w:left w:val="thinThickThinSmallGap" w:sz="24" w:space="0" w:color="auto"/>
            </w:tcBorders>
            <w:shd w:val="clear" w:color="auto" w:fill="FFFFFF" w:themeFill="background1"/>
            <w:vAlign w:val="center"/>
          </w:tcPr>
          <w:p w:rsidR="00A6261A" w:rsidRPr="005B3944" w:rsidRDefault="00A6261A" w:rsidP="00B0472F">
            <w:pPr>
              <w:spacing w:line="180" w:lineRule="exact"/>
              <w:contextualSpacing/>
              <w:rPr>
                <w:color w:val="auto"/>
                <w:sz w:val="18"/>
                <w:szCs w:val="18"/>
              </w:rPr>
            </w:pPr>
            <w:r w:rsidRPr="005B3944">
              <w:rPr>
                <w:color w:val="auto"/>
                <w:sz w:val="18"/>
                <w:szCs w:val="18"/>
              </w:rPr>
              <w:t>Major Depressive Disorder</w:t>
            </w:r>
          </w:p>
        </w:tc>
        <w:tc>
          <w:tcPr>
            <w:tcW w:w="1062" w:type="dxa"/>
            <w:tcBorders>
              <w:top w:val="single" w:sz="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9434</w:t>
            </w:r>
          </w:p>
        </w:tc>
        <w:tc>
          <w:tcPr>
            <w:tcW w:w="828" w:type="dxa"/>
            <w:tcBorders>
              <w:top w:val="single" w:sz="4" w:space="0" w:color="auto"/>
            </w:tcBorders>
            <w:shd w:val="clear" w:color="auto" w:fill="FFFFFF" w:themeFill="background1"/>
            <w:vAlign w:val="center"/>
          </w:tcPr>
          <w:p w:rsidR="00A6261A" w:rsidRPr="005B3944" w:rsidRDefault="000B5109" w:rsidP="00B0472F">
            <w:pPr>
              <w:spacing w:line="180" w:lineRule="exact"/>
              <w:contextualSpacing/>
              <w:jc w:val="center"/>
              <w:rPr>
                <w:color w:val="auto"/>
                <w:sz w:val="18"/>
                <w:szCs w:val="18"/>
              </w:rPr>
            </w:pPr>
            <w:r w:rsidRPr="005B3944">
              <w:rPr>
                <w:color w:val="auto"/>
                <w:sz w:val="18"/>
                <w:szCs w:val="18"/>
              </w:rPr>
              <w:t>3</w:t>
            </w:r>
            <w:r w:rsidR="00A6261A" w:rsidRPr="005B3944">
              <w:rPr>
                <w:color w:val="auto"/>
                <w:sz w:val="18"/>
                <w:szCs w:val="18"/>
              </w:rPr>
              <w:t>0%</w:t>
            </w:r>
            <w:r w:rsidR="00246FBE" w:rsidRPr="005B3944">
              <w:rPr>
                <w:color w:val="auto"/>
                <w:sz w:val="18"/>
                <w:szCs w:val="18"/>
              </w:rPr>
              <w:t>*</w:t>
            </w:r>
          </w:p>
        </w:tc>
        <w:tc>
          <w:tcPr>
            <w:tcW w:w="990" w:type="dxa"/>
            <w:tcBorders>
              <w:top w:val="single" w:sz="4" w:space="0" w:color="auto"/>
            </w:tcBorders>
            <w:shd w:val="clear" w:color="auto" w:fill="FFFFFF" w:themeFill="background1"/>
            <w:vAlign w:val="center"/>
          </w:tcPr>
          <w:p w:rsidR="00A6261A" w:rsidRPr="005B3944" w:rsidRDefault="00743F61" w:rsidP="00B0472F">
            <w:pPr>
              <w:spacing w:line="180" w:lineRule="exact"/>
              <w:contextualSpacing/>
              <w:jc w:val="center"/>
              <w:rPr>
                <w:color w:val="auto"/>
                <w:sz w:val="18"/>
                <w:szCs w:val="18"/>
              </w:rPr>
            </w:pPr>
            <w:r w:rsidRPr="005B3944">
              <w:rPr>
                <w:color w:val="auto"/>
                <w:sz w:val="18"/>
                <w:szCs w:val="18"/>
              </w:rPr>
              <w:t>20021202</w:t>
            </w:r>
          </w:p>
        </w:tc>
      </w:tr>
      <w:tr w:rsidR="002D08F3" w:rsidRPr="005B3944" w:rsidTr="00B0472F">
        <w:trPr>
          <w:trHeight w:val="287"/>
          <w:jc w:val="center"/>
        </w:trPr>
        <w:tc>
          <w:tcPr>
            <w:tcW w:w="2196" w:type="dxa"/>
            <w:tcBorders>
              <w:right w:val="single" w:sz="4" w:space="0" w:color="auto"/>
            </w:tcBorders>
            <w:shd w:val="clear" w:color="auto" w:fill="FFFFFF" w:themeFill="background1"/>
            <w:vAlign w:val="center"/>
          </w:tcPr>
          <w:p w:rsidR="002D08F3" w:rsidRPr="005B3944" w:rsidRDefault="00A6261A" w:rsidP="00B0472F">
            <w:pPr>
              <w:spacing w:line="180" w:lineRule="exact"/>
              <w:contextualSpacing/>
              <w:rPr>
                <w:color w:val="auto"/>
                <w:sz w:val="18"/>
                <w:szCs w:val="18"/>
              </w:rPr>
            </w:pPr>
            <w:r w:rsidRPr="005B3944">
              <w:rPr>
                <w:color w:val="auto"/>
                <w:sz w:val="18"/>
                <w:szCs w:val="18"/>
              </w:rPr>
              <w:t>Pes Planovalgus (EPTS)</w:t>
            </w:r>
          </w:p>
        </w:tc>
        <w:tc>
          <w:tcPr>
            <w:tcW w:w="1062" w:type="dxa"/>
            <w:tcBorders>
              <w:left w:val="single" w:sz="4" w:space="0" w:color="auto"/>
            </w:tcBorders>
            <w:shd w:val="clear" w:color="auto" w:fill="FFFFFF" w:themeFill="background1"/>
            <w:vAlign w:val="center"/>
          </w:tcPr>
          <w:p w:rsidR="002D08F3" w:rsidRPr="005B3944" w:rsidRDefault="00A6261A" w:rsidP="00B0472F">
            <w:pPr>
              <w:spacing w:line="180" w:lineRule="exact"/>
              <w:contextualSpacing/>
              <w:jc w:val="center"/>
              <w:rPr>
                <w:color w:val="auto"/>
                <w:sz w:val="18"/>
                <w:szCs w:val="18"/>
              </w:rPr>
            </w:pPr>
            <w:r w:rsidRPr="005B3944">
              <w:rPr>
                <w:color w:val="auto"/>
                <w:sz w:val="18"/>
                <w:szCs w:val="18"/>
              </w:rPr>
              <w:t>5276</w:t>
            </w:r>
          </w:p>
        </w:tc>
        <w:tc>
          <w:tcPr>
            <w:tcW w:w="900" w:type="dxa"/>
            <w:tcBorders>
              <w:right w:val="thinThickThinSmallGap" w:sz="24" w:space="0" w:color="auto"/>
            </w:tcBorders>
            <w:shd w:val="clear" w:color="auto" w:fill="FFFFFF" w:themeFill="background1"/>
            <w:vAlign w:val="center"/>
          </w:tcPr>
          <w:p w:rsidR="002D08F3" w:rsidRPr="005B3944" w:rsidRDefault="00A6261A" w:rsidP="00B0472F">
            <w:pPr>
              <w:spacing w:line="180" w:lineRule="exact"/>
              <w:contextualSpacing/>
              <w:jc w:val="center"/>
              <w:rPr>
                <w:color w:val="auto"/>
                <w:sz w:val="18"/>
                <w:szCs w:val="18"/>
              </w:rPr>
            </w:pPr>
            <w:r w:rsidRPr="005B3944">
              <w:rPr>
                <w:color w:val="auto"/>
                <w:sz w:val="18"/>
                <w:szCs w:val="18"/>
              </w:rPr>
              <w:t>Cat II</w:t>
            </w:r>
          </w:p>
        </w:tc>
        <w:tc>
          <w:tcPr>
            <w:tcW w:w="2538" w:type="dxa"/>
            <w:tcBorders>
              <w:left w:val="thinThickThinSmallGap" w:sz="24" w:space="0" w:color="auto"/>
              <w:right w:val="single" w:sz="4" w:space="0" w:color="auto"/>
            </w:tcBorders>
            <w:shd w:val="clear" w:color="auto" w:fill="FFFFFF" w:themeFill="background1"/>
            <w:vAlign w:val="center"/>
          </w:tcPr>
          <w:p w:rsidR="002D08F3" w:rsidRPr="005B3944" w:rsidRDefault="00A6261A" w:rsidP="00B0472F">
            <w:pPr>
              <w:spacing w:line="180" w:lineRule="exact"/>
              <w:contextualSpacing/>
              <w:rPr>
                <w:color w:val="auto"/>
                <w:sz w:val="18"/>
                <w:szCs w:val="18"/>
              </w:rPr>
            </w:pPr>
            <w:r w:rsidRPr="005B3944">
              <w:rPr>
                <w:color w:val="auto"/>
                <w:sz w:val="18"/>
                <w:szCs w:val="18"/>
              </w:rPr>
              <w:t xml:space="preserve">Bilateral Pes </w:t>
            </w:r>
            <w:proofErr w:type="spellStart"/>
            <w:r w:rsidRPr="005B3944">
              <w:rPr>
                <w:color w:val="auto"/>
                <w:sz w:val="18"/>
                <w:szCs w:val="18"/>
              </w:rPr>
              <w:t>Planus</w:t>
            </w:r>
            <w:proofErr w:type="spellEnd"/>
            <w:r w:rsidR="000B5109" w:rsidRPr="005B3944">
              <w:rPr>
                <w:color w:val="auto"/>
                <w:sz w:val="18"/>
                <w:szCs w:val="18"/>
              </w:rPr>
              <w:t>…</w:t>
            </w:r>
          </w:p>
        </w:tc>
        <w:tc>
          <w:tcPr>
            <w:tcW w:w="1062" w:type="dxa"/>
            <w:tcBorders>
              <w:left w:val="single" w:sz="4" w:space="0" w:color="auto"/>
            </w:tcBorders>
            <w:shd w:val="clear" w:color="auto" w:fill="FFFFFF" w:themeFill="background1"/>
            <w:vAlign w:val="center"/>
          </w:tcPr>
          <w:p w:rsidR="002D08F3" w:rsidRPr="005B3944" w:rsidRDefault="00A6261A" w:rsidP="00B0472F">
            <w:pPr>
              <w:spacing w:line="180" w:lineRule="exact"/>
              <w:contextualSpacing/>
              <w:jc w:val="center"/>
              <w:rPr>
                <w:color w:val="auto"/>
                <w:sz w:val="18"/>
                <w:szCs w:val="18"/>
              </w:rPr>
            </w:pPr>
            <w:r w:rsidRPr="005B3944">
              <w:rPr>
                <w:color w:val="auto"/>
                <w:sz w:val="18"/>
                <w:szCs w:val="18"/>
              </w:rPr>
              <w:t>5276</w:t>
            </w:r>
          </w:p>
        </w:tc>
        <w:tc>
          <w:tcPr>
            <w:tcW w:w="828" w:type="dxa"/>
            <w:shd w:val="clear" w:color="auto" w:fill="FFFFFF" w:themeFill="background1"/>
            <w:vAlign w:val="center"/>
          </w:tcPr>
          <w:p w:rsidR="002D08F3" w:rsidRPr="005B3944" w:rsidRDefault="00A6261A" w:rsidP="00B0472F">
            <w:pPr>
              <w:spacing w:line="180" w:lineRule="exact"/>
              <w:contextualSpacing/>
              <w:jc w:val="center"/>
              <w:rPr>
                <w:color w:val="auto"/>
                <w:sz w:val="18"/>
                <w:szCs w:val="18"/>
              </w:rPr>
            </w:pPr>
            <w:r w:rsidRPr="005B3944">
              <w:rPr>
                <w:color w:val="auto"/>
                <w:sz w:val="18"/>
                <w:szCs w:val="18"/>
              </w:rPr>
              <w:t>30%</w:t>
            </w:r>
          </w:p>
        </w:tc>
        <w:tc>
          <w:tcPr>
            <w:tcW w:w="990" w:type="dxa"/>
            <w:shd w:val="clear" w:color="auto" w:fill="FFFFFF" w:themeFill="background1"/>
            <w:vAlign w:val="center"/>
          </w:tcPr>
          <w:p w:rsidR="002D08F3" w:rsidRPr="005B3944" w:rsidRDefault="00743F61" w:rsidP="00B0472F">
            <w:pPr>
              <w:spacing w:line="180" w:lineRule="exact"/>
              <w:contextualSpacing/>
              <w:jc w:val="center"/>
              <w:rPr>
                <w:color w:val="auto"/>
                <w:sz w:val="18"/>
                <w:szCs w:val="18"/>
              </w:rPr>
            </w:pPr>
            <w:r w:rsidRPr="005B3944">
              <w:rPr>
                <w:color w:val="auto"/>
                <w:sz w:val="18"/>
                <w:szCs w:val="18"/>
              </w:rPr>
              <w:t>20021212</w:t>
            </w:r>
          </w:p>
        </w:tc>
      </w:tr>
      <w:tr w:rsidR="00A6261A" w:rsidRPr="005B3944" w:rsidTr="00B0472F">
        <w:trPr>
          <w:trHeight w:val="287"/>
          <w:jc w:val="center"/>
        </w:trPr>
        <w:tc>
          <w:tcPr>
            <w:tcW w:w="2196" w:type="dxa"/>
            <w:tcBorders>
              <w:right w:val="single" w:sz="4" w:space="0" w:color="auto"/>
            </w:tcBorders>
            <w:shd w:val="clear" w:color="auto" w:fill="FFFFFF" w:themeFill="background1"/>
            <w:vAlign w:val="center"/>
          </w:tcPr>
          <w:p w:rsidR="00A6261A" w:rsidRPr="005B3944" w:rsidRDefault="00A6261A" w:rsidP="00B0472F">
            <w:pPr>
              <w:spacing w:line="180" w:lineRule="exact"/>
              <w:contextualSpacing/>
              <w:rPr>
                <w:color w:val="auto"/>
                <w:sz w:val="18"/>
                <w:szCs w:val="18"/>
              </w:rPr>
            </w:pPr>
            <w:r w:rsidRPr="005B3944">
              <w:rPr>
                <w:color w:val="auto"/>
                <w:sz w:val="18"/>
                <w:szCs w:val="18"/>
              </w:rPr>
              <w:t>Headaches, controlled</w:t>
            </w:r>
          </w:p>
        </w:tc>
        <w:tc>
          <w:tcPr>
            <w:tcW w:w="1062" w:type="dxa"/>
            <w:tcBorders>
              <w:left w:val="single" w:sz="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8100</w:t>
            </w:r>
          </w:p>
        </w:tc>
        <w:tc>
          <w:tcPr>
            <w:tcW w:w="900" w:type="dxa"/>
            <w:tcBorders>
              <w:right w:val="thinThickThinSmallGap" w:sz="2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Cat II</w:t>
            </w:r>
          </w:p>
        </w:tc>
        <w:tc>
          <w:tcPr>
            <w:tcW w:w="2538" w:type="dxa"/>
            <w:tcBorders>
              <w:left w:val="thinThickThinSmallGap" w:sz="24" w:space="0" w:color="auto"/>
              <w:right w:val="single" w:sz="4" w:space="0" w:color="auto"/>
            </w:tcBorders>
            <w:shd w:val="clear" w:color="auto" w:fill="FFFFFF" w:themeFill="background1"/>
            <w:vAlign w:val="center"/>
          </w:tcPr>
          <w:p w:rsidR="00A6261A" w:rsidRPr="005B3944" w:rsidRDefault="00A6261A" w:rsidP="0047229C">
            <w:pPr>
              <w:spacing w:line="180" w:lineRule="exact"/>
              <w:contextualSpacing/>
              <w:rPr>
                <w:color w:val="auto"/>
                <w:sz w:val="18"/>
                <w:szCs w:val="18"/>
              </w:rPr>
            </w:pPr>
            <w:r w:rsidRPr="005B3944">
              <w:rPr>
                <w:color w:val="auto"/>
                <w:sz w:val="18"/>
                <w:szCs w:val="18"/>
              </w:rPr>
              <w:t>Mi</w:t>
            </w:r>
            <w:r w:rsidR="0047229C" w:rsidRPr="005B3944">
              <w:rPr>
                <w:color w:val="auto"/>
                <w:sz w:val="18"/>
                <w:szCs w:val="18"/>
              </w:rPr>
              <w:t>graine</w:t>
            </w:r>
            <w:r w:rsidRPr="005B3944">
              <w:rPr>
                <w:color w:val="auto"/>
                <w:sz w:val="18"/>
                <w:szCs w:val="18"/>
              </w:rPr>
              <w:t xml:space="preserve"> Headaches</w:t>
            </w:r>
          </w:p>
        </w:tc>
        <w:tc>
          <w:tcPr>
            <w:tcW w:w="1062" w:type="dxa"/>
            <w:tcBorders>
              <w:left w:val="single" w:sz="4" w:space="0" w:color="auto"/>
            </w:tcBorders>
            <w:shd w:val="clear" w:color="auto" w:fill="FFFFFF" w:themeFill="background1"/>
            <w:vAlign w:val="center"/>
          </w:tcPr>
          <w:p w:rsidR="00A6261A" w:rsidRPr="005B3944" w:rsidRDefault="00A6261A" w:rsidP="00B0472F">
            <w:pPr>
              <w:spacing w:line="180" w:lineRule="exact"/>
              <w:contextualSpacing/>
              <w:jc w:val="center"/>
              <w:rPr>
                <w:color w:val="auto"/>
                <w:sz w:val="18"/>
                <w:szCs w:val="18"/>
              </w:rPr>
            </w:pPr>
            <w:r w:rsidRPr="005B3944">
              <w:rPr>
                <w:color w:val="auto"/>
                <w:sz w:val="18"/>
                <w:szCs w:val="18"/>
              </w:rPr>
              <w:t>8199-8100</w:t>
            </w:r>
          </w:p>
        </w:tc>
        <w:tc>
          <w:tcPr>
            <w:tcW w:w="828" w:type="dxa"/>
            <w:shd w:val="clear" w:color="auto" w:fill="FFFFFF" w:themeFill="background1"/>
            <w:vAlign w:val="center"/>
          </w:tcPr>
          <w:p w:rsidR="00A6261A" w:rsidRPr="005B3944" w:rsidRDefault="0047229C" w:rsidP="0047229C">
            <w:pPr>
              <w:spacing w:line="180" w:lineRule="exact"/>
              <w:contextualSpacing/>
              <w:jc w:val="center"/>
              <w:rPr>
                <w:color w:val="auto"/>
                <w:sz w:val="18"/>
                <w:szCs w:val="18"/>
              </w:rPr>
            </w:pPr>
            <w:r w:rsidRPr="005B3944">
              <w:rPr>
                <w:color w:val="auto"/>
                <w:sz w:val="18"/>
                <w:szCs w:val="18"/>
              </w:rPr>
              <w:t>5</w:t>
            </w:r>
            <w:r w:rsidR="00A6261A" w:rsidRPr="005B3944">
              <w:rPr>
                <w:color w:val="auto"/>
                <w:sz w:val="18"/>
                <w:szCs w:val="18"/>
              </w:rPr>
              <w:t>0%</w:t>
            </w:r>
            <w:r w:rsidR="00246FBE" w:rsidRPr="005B3944">
              <w:rPr>
                <w:color w:val="auto"/>
                <w:sz w:val="18"/>
                <w:szCs w:val="18"/>
              </w:rPr>
              <w:t>*</w:t>
            </w:r>
          </w:p>
        </w:tc>
        <w:tc>
          <w:tcPr>
            <w:tcW w:w="990" w:type="dxa"/>
            <w:shd w:val="clear" w:color="auto" w:fill="FFFFFF" w:themeFill="background1"/>
            <w:vAlign w:val="center"/>
          </w:tcPr>
          <w:p w:rsidR="00A6261A" w:rsidRPr="005B3944" w:rsidRDefault="00743F61" w:rsidP="00B0472F">
            <w:pPr>
              <w:spacing w:line="180" w:lineRule="exact"/>
              <w:contextualSpacing/>
              <w:jc w:val="center"/>
              <w:rPr>
                <w:color w:val="auto"/>
                <w:sz w:val="18"/>
                <w:szCs w:val="18"/>
              </w:rPr>
            </w:pPr>
            <w:r w:rsidRPr="005B3944">
              <w:rPr>
                <w:color w:val="auto"/>
                <w:sz w:val="18"/>
                <w:szCs w:val="18"/>
              </w:rPr>
              <w:t>20021212</w:t>
            </w:r>
          </w:p>
        </w:tc>
      </w:tr>
      <w:tr w:rsidR="001C2D9F" w:rsidRPr="005B3944" w:rsidTr="00907EE1">
        <w:trPr>
          <w:trHeight w:val="287"/>
          <w:jc w:val="center"/>
        </w:trPr>
        <w:tc>
          <w:tcPr>
            <w:tcW w:w="4158" w:type="dxa"/>
            <w:gridSpan w:val="3"/>
            <w:vMerge w:val="restart"/>
            <w:tcBorders>
              <w:right w:val="thinThickThinSmallGap" w:sz="24" w:space="0" w:color="auto"/>
            </w:tcBorders>
            <w:shd w:val="clear" w:color="auto" w:fill="FFFFFF" w:themeFill="background1"/>
            <w:vAlign w:val="center"/>
          </w:tcPr>
          <w:p w:rsidR="001C2D9F" w:rsidRPr="005B3944" w:rsidRDefault="001C2D9F" w:rsidP="00B0472F">
            <w:pPr>
              <w:spacing w:line="180" w:lineRule="exact"/>
              <w:contextualSpacing/>
              <w:jc w:val="center"/>
              <w:rPr>
                <w:color w:val="auto"/>
                <w:sz w:val="18"/>
                <w:szCs w:val="18"/>
              </w:rPr>
            </w:pPr>
            <w:r w:rsidRPr="005B3944">
              <w:rPr>
                <w:color w:val="auto"/>
                <w:sz w:val="18"/>
                <w:szCs w:val="18"/>
              </w:rPr>
              <w:t>↓No Additional MEB/PEB Entries↓</w:t>
            </w:r>
          </w:p>
        </w:tc>
        <w:tc>
          <w:tcPr>
            <w:tcW w:w="2538" w:type="dxa"/>
            <w:tcBorders>
              <w:left w:val="thinThickThinSmallGap" w:sz="24" w:space="0" w:color="auto"/>
              <w:right w:val="single" w:sz="4" w:space="0" w:color="auto"/>
            </w:tcBorders>
            <w:shd w:val="clear" w:color="auto" w:fill="FFFFFF" w:themeFill="background1"/>
            <w:vAlign w:val="center"/>
          </w:tcPr>
          <w:p w:rsidR="001C2D9F" w:rsidRPr="005B3944" w:rsidRDefault="001C2D9F" w:rsidP="00FE7560">
            <w:pPr>
              <w:spacing w:line="180" w:lineRule="exact"/>
              <w:contextualSpacing/>
              <w:rPr>
                <w:color w:val="auto"/>
                <w:sz w:val="18"/>
                <w:szCs w:val="18"/>
              </w:rPr>
            </w:pPr>
            <w:r w:rsidRPr="005B3944">
              <w:rPr>
                <w:color w:val="auto"/>
                <w:sz w:val="18"/>
                <w:szCs w:val="18"/>
              </w:rPr>
              <w:t>Gastritis</w:t>
            </w:r>
          </w:p>
        </w:tc>
        <w:tc>
          <w:tcPr>
            <w:tcW w:w="1062" w:type="dxa"/>
            <w:tcBorders>
              <w:left w:val="single" w:sz="4" w:space="0" w:color="auto"/>
            </w:tcBorders>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7307</w:t>
            </w:r>
          </w:p>
        </w:tc>
        <w:tc>
          <w:tcPr>
            <w:tcW w:w="828"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30%</w:t>
            </w:r>
          </w:p>
        </w:tc>
        <w:tc>
          <w:tcPr>
            <w:tcW w:w="990"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20021212</w:t>
            </w:r>
          </w:p>
        </w:tc>
      </w:tr>
      <w:tr w:rsidR="001C2D9F" w:rsidRPr="005B3944" w:rsidTr="00907EE1">
        <w:trPr>
          <w:trHeight w:val="287"/>
          <w:jc w:val="center"/>
        </w:trPr>
        <w:tc>
          <w:tcPr>
            <w:tcW w:w="4158" w:type="dxa"/>
            <w:gridSpan w:val="3"/>
            <w:vMerge/>
            <w:tcBorders>
              <w:right w:val="thinThickThinSmallGap" w:sz="24" w:space="0" w:color="auto"/>
            </w:tcBorders>
            <w:shd w:val="clear" w:color="auto" w:fill="FFFFFF" w:themeFill="background1"/>
            <w:vAlign w:val="center"/>
          </w:tcPr>
          <w:p w:rsidR="001C2D9F" w:rsidRPr="005B3944" w:rsidRDefault="001C2D9F" w:rsidP="00B0472F">
            <w:pPr>
              <w:spacing w:line="18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vAlign w:val="center"/>
          </w:tcPr>
          <w:p w:rsidR="001C2D9F" w:rsidRPr="005B3944" w:rsidRDefault="001C2D9F" w:rsidP="00FE7560">
            <w:pPr>
              <w:spacing w:line="180" w:lineRule="exact"/>
              <w:contextualSpacing/>
              <w:rPr>
                <w:color w:val="auto"/>
                <w:sz w:val="18"/>
                <w:szCs w:val="18"/>
              </w:rPr>
            </w:pPr>
            <w:r w:rsidRPr="005B3944">
              <w:rPr>
                <w:color w:val="auto"/>
                <w:sz w:val="18"/>
                <w:szCs w:val="18"/>
              </w:rPr>
              <w:t>Lumbar Strain</w:t>
            </w:r>
          </w:p>
        </w:tc>
        <w:tc>
          <w:tcPr>
            <w:tcW w:w="1062" w:type="dxa"/>
            <w:tcBorders>
              <w:left w:val="single" w:sz="4" w:space="0" w:color="auto"/>
            </w:tcBorders>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5295</w:t>
            </w:r>
          </w:p>
        </w:tc>
        <w:tc>
          <w:tcPr>
            <w:tcW w:w="828"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20%*</w:t>
            </w:r>
          </w:p>
        </w:tc>
        <w:tc>
          <w:tcPr>
            <w:tcW w:w="990"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20021212</w:t>
            </w:r>
          </w:p>
        </w:tc>
      </w:tr>
      <w:tr w:rsidR="001C2D9F" w:rsidRPr="005B3944" w:rsidTr="00907EE1">
        <w:trPr>
          <w:trHeight w:val="287"/>
          <w:jc w:val="center"/>
        </w:trPr>
        <w:tc>
          <w:tcPr>
            <w:tcW w:w="4158" w:type="dxa"/>
            <w:gridSpan w:val="3"/>
            <w:vMerge/>
            <w:tcBorders>
              <w:right w:val="thinThickThinSmallGap" w:sz="24" w:space="0" w:color="auto"/>
            </w:tcBorders>
            <w:shd w:val="clear" w:color="auto" w:fill="FFFFFF" w:themeFill="background1"/>
            <w:vAlign w:val="center"/>
          </w:tcPr>
          <w:p w:rsidR="001C2D9F" w:rsidRPr="005B3944" w:rsidRDefault="001C2D9F" w:rsidP="00B0472F">
            <w:pPr>
              <w:spacing w:line="18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vAlign w:val="center"/>
          </w:tcPr>
          <w:p w:rsidR="001C2D9F" w:rsidRPr="005B3944" w:rsidRDefault="001C2D9F" w:rsidP="00FE7560">
            <w:pPr>
              <w:spacing w:line="180" w:lineRule="exact"/>
              <w:contextualSpacing/>
              <w:rPr>
                <w:color w:val="auto"/>
                <w:sz w:val="18"/>
                <w:szCs w:val="18"/>
              </w:rPr>
            </w:pPr>
            <w:r w:rsidRPr="005B3944">
              <w:rPr>
                <w:color w:val="auto"/>
                <w:sz w:val="18"/>
                <w:szCs w:val="18"/>
              </w:rPr>
              <w:t>Tinnitus</w:t>
            </w:r>
          </w:p>
        </w:tc>
        <w:tc>
          <w:tcPr>
            <w:tcW w:w="1062" w:type="dxa"/>
            <w:tcBorders>
              <w:left w:val="single" w:sz="4" w:space="0" w:color="auto"/>
            </w:tcBorders>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6260</w:t>
            </w:r>
          </w:p>
        </w:tc>
        <w:tc>
          <w:tcPr>
            <w:tcW w:w="828"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10%</w:t>
            </w:r>
          </w:p>
        </w:tc>
        <w:tc>
          <w:tcPr>
            <w:tcW w:w="990" w:type="dxa"/>
            <w:shd w:val="clear" w:color="auto" w:fill="FFFFFF" w:themeFill="background1"/>
            <w:vAlign w:val="center"/>
          </w:tcPr>
          <w:p w:rsidR="001C2D9F" w:rsidRPr="005B3944" w:rsidRDefault="001C2D9F" w:rsidP="00FE7560">
            <w:pPr>
              <w:spacing w:line="180" w:lineRule="exact"/>
              <w:contextualSpacing/>
              <w:jc w:val="center"/>
              <w:rPr>
                <w:color w:val="auto"/>
                <w:sz w:val="18"/>
                <w:szCs w:val="18"/>
              </w:rPr>
            </w:pPr>
            <w:r w:rsidRPr="005B3944">
              <w:rPr>
                <w:color w:val="auto"/>
                <w:sz w:val="18"/>
                <w:szCs w:val="18"/>
              </w:rPr>
              <w:t>20021212</w:t>
            </w:r>
          </w:p>
        </w:tc>
      </w:tr>
      <w:tr w:rsidR="001C2D9F" w:rsidRPr="005B3944" w:rsidTr="00907EE1">
        <w:trPr>
          <w:trHeight w:val="260"/>
          <w:jc w:val="center"/>
        </w:trPr>
        <w:tc>
          <w:tcPr>
            <w:tcW w:w="4158" w:type="dxa"/>
            <w:gridSpan w:val="3"/>
            <w:vMerge/>
            <w:tcBorders>
              <w:right w:val="thinThickThinSmallGap" w:sz="24" w:space="0" w:color="auto"/>
            </w:tcBorders>
            <w:shd w:val="clear" w:color="auto" w:fill="FFFFFF" w:themeFill="background1"/>
          </w:tcPr>
          <w:p w:rsidR="001C2D9F" w:rsidRPr="005B3944" w:rsidRDefault="001C2D9F" w:rsidP="00B0472F">
            <w:pPr>
              <w:spacing w:line="180" w:lineRule="exact"/>
              <w:contextualSpacing/>
              <w:jc w:val="center"/>
              <w:rPr>
                <w:color w:val="auto"/>
                <w:sz w:val="18"/>
                <w:szCs w:val="18"/>
              </w:rPr>
            </w:pPr>
          </w:p>
        </w:tc>
        <w:tc>
          <w:tcPr>
            <w:tcW w:w="4428" w:type="dxa"/>
            <w:gridSpan w:val="3"/>
            <w:tcBorders>
              <w:left w:val="thinThickThinSmallGap" w:sz="24" w:space="0" w:color="auto"/>
            </w:tcBorders>
            <w:shd w:val="clear" w:color="auto" w:fill="FFFFFF" w:themeFill="background1"/>
            <w:vAlign w:val="center"/>
          </w:tcPr>
          <w:p w:rsidR="001C2D9F" w:rsidRPr="005B3944" w:rsidRDefault="001C2D9F" w:rsidP="007B37C2">
            <w:pPr>
              <w:spacing w:line="180" w:lineRule="exact"/>
              <w:contextualSpacing/>
              <w:jc w:val="center"/>
              <w:rPr>
                <w:color w:val="auto"/>
                <w:sz w:val="18"/>
                <w:szCs w:val="18"/>
              </w:rPr>
            </w:pPr>
            <w:r w:rsidRPr="005B3944">
              <w:rPr>
                <w:rFonts w:cs="Times New Roman"/>
                <w:color w:val="auto"/>
                <w:sz w:val="18"/>
                <w:szCs w:val="18"/>
              </w:rPr>
              <w:t>0% x 1 / Not Service Connected x 5</w:t>
            </w:r>
          </w:p>
        </w:tc>
        <w:tc>
          <w:tcPr>
            <w:tcW w:w="990" w:type="dxa"/>
            <w:shd w:val="clear" w:color="auto" w:fill="FFFFFF" w:themeFill="background1"/>
            <w:vAlign w:val="center"/>
          </w:tcPr>
          <w:p w:rsidR="001C2D9F" w:rsidRPr="005B3944" w:rsidRDefault="001C2D9F" w:rsidP="00664296">
            <w:pPr>
              <w:spacing w:line="180" w:lineRule="exact"/>
              <w:contextualSpacing/>
              <w:jc w:val="center"/>
              <w:rPr>
                <w:color w:val="auto"/>
                <w:sz w:val="18"/>
                <w:szCs w:val="18"/>
              </w:rPr>
            </w:pPr>
            <w:r w:rsidRPr="005B3944">
              <w:rPr>
                <w:color w:val="auto"/>
                <w:sz w:val="18"/>
                <w:szCs w:val="18"/>
              </w:rPr>
              <w:t>20021212</w:t>
            </w:r>
          </w:p>
        </w:tc>
      </w:tr>
      <w:tr w:rsidR="001C2D9F" w:rsidRPr="005B3944" w:rsidTr="00B0472F">
        <w:trPr>
          <w:trHeight w:val="242"/>
          <w:jc w:val="center"/>
        </w:trPr>
        <w:tc>
          <w:tcPr>
            <w:tcW w:w="4158" w:type="dxa"/>
            <w:gridSpan w:val="3"/>
            <w:tcBorders>
              <w:right w:val="thinThickThinSmallGap" w:sz="24" w:space="0" w:color="auto"/>
            </w:tcBorders>
            <w:shd w:val="clear" w:color="auto" w:fill="D9D9D9" w:themeFill="background1" w:themeFillShade="D9"/>
            <w:vAlign w:val="center"/>
          </w:tcPr>
          <w:p w:rsidR="001C2D9F" w:rsidRPr="005B3944" w:rsidRDefault="001C2D9F" w:rsidP="00673479">
            <w:pPr>
              <w:spacing w:line="200" w:lineRule="exact"/>
              <w:contextualSpacing/>
              <w:jc w:val="center"/>
              <w:rPr>
                <w:b/>
                <w:color w:val="auto"/>
                <w:sz w:val="20"/>
                <w:szCs w:val="20"/>
              </w:rPr>
            </w:pPr>
            <w:r w:rsidRPr="005B3944">
              <w:rPr>
                <w:b/>
                <w:color w:val="auto"/>
                <w:sz w:val="20"/>
                <w:szCs w:val="20"/>
              </w:rPr>
              <w:t>Combined:  10%</w:t>
            </w:r>
          </w:p>
        </w:tc>
        <w:tc>
          <w:tcPr>
            <w:tcW w:w="5418" w:type="dxa"/>
            <w:gridSpan w:val="4"/>
            <w:tcBorders>
              <w:left w:val="thinThickThinSmallGap" w:sz="24" w:space="0" w:color="auto"/>
            </w:tcBorders>
            <w:shd w:val="clear" w:color="auto" w:fill="D9D9D9" w:themeFill="background1" w:themeFillShade="D9"/>
            <w:vAlign w:val="center"/>
          </w:tcPr>
          <w:p w:rsidR="001C2D9F" w:rsidRPr="005B3944" w:rsidRDefault="001C2D9F" w:rsidP="004735C8">
            <w:pPr>
              <w:spacing w:line="200" w:lineRule="exact"/>
              <w:contextualSpacing/>
              <w:jc w:val="center"/>
              <w:rPr>
                <w:b/>
                <w:color w:val="auto"/>
                <w:sz w:val="20"/>
                <w:szCs w:val="20"/>
              </w:rPr>
            </w:pPr>
            <w:r w:rsidRPr="005B3944">
              <w:rPr>
                <w:b/>
                <w:color w:val="auto"/>
                <w:sz w:val="20"/>
                <w:szCs w:val="20"/>
              </w:rPr>
              <w:t>Combined:  90%</w:t>
            </w:r>
          </w:p>
        </w:tc>
      </w:tr>
    </w:tbl>
    <w:p w:rsidR="007F6B83" w:rsidRPr="005B3944" w:rsidRDefault="007F6B83" w:rsidP="00675F8D">
      <w:pPr>
        <w:tabs>
          <w:tab w:val="left" w:pos="288"/>
          <w:tab w:val="left" w:pos="4752"/>
        </w:tabs>
        <w:spacing w:line="200" w:lineRule="exact"/>
        <w:rPr>
          <w:rFonts w:asciiTheme="minorHAnsi" w:hAnsiTheme="minorHAnsi"/>
          <w:color w:val="auto"/>
          <w:sz w:val="20"/>
        </w:rPr>
      </w:pPr>
      <w:r w:rsidRPr="005B3944">
        <w:rPr>
          <w:rFonts w:asciiTheme="minorHAnsi" w:hAnsiTheme="minorHAnsi"/>
          <w:color w:val="auto"/>
          <w:sz w:val="20"/>
        </w:rPr>
        <w:t>*</w:t>
      </w:r>
      <w:r w:rsidR="0047229C" w:rsidRPr="005B3944">
        <w:rPr>
          <w:rFonts w:asciiTheme="minorHAnsi" w:hAnsiTheme="minorHAnsi"/>
          <w:color w:val="auto"/>
          <w:sz w:val="20"/>
        </w:rPr>
        <w:t xml:space="preserve"> Syncope changed from 8199-8108 at 10% to 8199-6204 at 30% with same effective date via DRO </w:t>
      </w:r>
      <w:r w:rsidR="004735C8" w:rsidRPr="005B3944">
        <w:rPr>
          <w:rFonts w:asciiTheme="minorHAnsi" w:hAnsiTheme="minorHAnsi"/>
          <w:color w:val="auto"/>
          <w:sz w:val="20"/>
        </w:rPr>
        <w:t>d</w:t>
      </w:r>
      <w:r w:rsidR="0047229C" w:rsidRPr="005B3944">
        <w:rPr>
          <w:rFonts w:asciiTheme="minorHAnsi" w:hAnsiTheme="minorHAnsi"/>
          <w:color w:val="auto"/>
          <w:sz w:val="20"/>
        </w:rPr>
        <w:t xml:space="preserve">ecision </w:t>
      </w:r>
      <w:r w:rsidR="004735C8" w:rsidRPr="005B3944">
        <w:rPr>
          <w:rFonts w:asciiTheme="minorHAnsi" w:hAnsiTheme="minorHAnsi"/>
          <w:color w:val="auto"/>
          <w:sz w:val="20"/>
        </w:rPr>
        <w:t xml:space="preserve">(de novo review) </w:t>
      </w:r>
      <w:r w:rsidR="0047229C" w:rsidRPr="005B3944">
        <w:rPr>
          <w:rFonts w:asciiTheme="minorHAnsi" w:hAnsiTheme="minorHAnsi"/>
          <w:color w:val="auto"/>
          <w:sz w:val="20"/>
        </w:rPr>
        <w:t>20040302</w:t>
      </w:r>
      <w:r w:rsidRPr="005B3944">
        <w:rPr>
          <w:rFonts w:asciiTheme="minorHAnsi" w:hAnsiTheme="minorHAnsi"/>
          <w:color w:val="auto"/>
          <w:sz w:val="20"/>
        </w:rPr>
        <w:t>;</w:t>
      </w:r>
      <w:r w:rsidR="0047229C" w:rsidRPr="005B3944">
        <w:rPr>
          <w:rFonts w:asciiTheme="minorHAnsi" w:hAnsiTheme="minorHAnsi"/>
          <w:color w:val="auto"/>
          <w:sz w:val="20"/>
        </w:rPr>
        <w:t xml:space="preserve"> </w:t>
      </w:r>
      <w:r w:rsidR="004735C8" w:rsidRPr="005B3944">
        <w:rPr>
          <w:rFonts w:asciiTheme="minorHAnsi" w:hAnsiTheme="minorHAnsi"/>
          <w:color w:val="auto"/>
          <w:sz w:val="20"/>
        </w:rPr>
        <w:t xml:space="preserve">other changes in DRO decision include </w:t>
      </w:r>
      <w:r w:rsidR="00675F8D" w:rsidRPr="005B3944">
        <w:rPr>
          <w:rFonts w:asciiTheme="minorHAnsi" w:hAnsiTheme="minorHAnsi"/>
          <w:color w:val="auto"/>
          <w:sz w:val="20"/>
        </w:rPr>
        <w:t xml:space="preserve">MDD 9434 from 10% to 30%, </w:t>
      </w:r>
      <w:r w:rsidR="0047229C" w:rsidRPr="005B3944">
        <w:rPr>
          <w:rFonts w:asciiTheme="minorHAnsi" w:hAnsiTheme="minorHAnsi"/>
          <w:color w:val="auto"/>
          <w:sz w:val="20"/>
        </w:rPr>
        <w:t>Headaches</w:t>
      </w:r>
      <w:r w:rsidRPr="005B3944">
        <w:rPr>
          <w:rFonts w:asciiTheme="minorHAnsi" w:hAnsiTheme="minorHAnsi"/>
          <w:color w:val="auto"/>
          <w:sz w:val="20"/>
        </w:rPr>
        <w:t xml:space="preserve"> </w:t>
      </w:r>
      <w:r w:rsidR="00246FBE" w:rsidRPr="005B3944">
        <w:rPr>
          <w:rFonts w:asciiTheme="minorHAnsi" w:hAnsiTheme="minorHAnsi"/>
          <w:color w:val="auto"/>
          <w:sz w:val="20"/>
        </w:rPr>
        <w:t xml:space="preserve">8199-8100 from 10% to </w:t>
      </w:r>
      <w:r w:rsidR="004735C8" w:rsidRPr="005B3944">
        <w:rPr>
          <w:rFonts w:asciiTheme="minorHAnsi" w:hAnsiTheme="minorHAnsi"/>
          <w:color w:val="auto"/>
          <w:sz w:val="20"/>
        </w:rPr>
        <w:t>3</w:t>
      </w:r>
      <w:r w:rsidR="00246FBE" w:rsidRPr="005B3944">
        <w:rPr>
          <w:rFonts w:asciiTheme="minorHAnsi" w:hAnsiTheme="minorHAnsi"/>
          <w:color w:val="auto"/>
          <w:sz w:val="20"/>
        </w:rPr>
        <w:t>0%</w:t>
      </w:r>
      <w:r w:rsidR="004735C8" w:rsidRPr="005B3944">
        <w:rPr>
          <w:rFonts w:asciiTheme="minorHAnsi" w:hAnsiTheme="minorHAnsi"/>
          <w:color w:val="auto"/>
          <w:sz w:val="20"/>
        </w:rPr>
        <w:t xml:space="preserve"> (later 50% in second DRO decision), and Lu</w:t>
      </w:r>
      <w:r w:rsidR="000B5109" w:rsidRPr="005B3944">
        <w:rPr>
          <w:rFonts w:asciiTheme="minorHAnsi" w:hAnsiTheme="minorHAnsi"/>
          <w:color w:val="auto"/>
          <w:sz w:val="20"/>
        </w:rPr>
        <w:t xml:space="preserve">mbar </w:t>
      </w:r>
      <w:r w:rsidR="004735C8" w:rsidRPr="005B3944">
        <w:rPr>
          <w:rFonts w:asciiTheme="minorHAnsi" w:hAnsiTheme="minorHAnsi"/>
          <w:color w:val="auto"/>
          <w:sz w:val="20"/>
        </w:rPr>
        <w:t>S</w:t>
      </w:r>
      <w:r w:rsidR="000B5109" w:rsidRPr="005B3944">
        <w:rPr>
          <w:rFonts w:asciiTheme="minorHAnsi" w:hAnsiTheme="minorHAnsi"/>
          <w:color w:val="auto"/>
          <w:sz w:val="20"/>
        </w:rPr>
        <w:t>train</w:t>
      </w:r>
      <w:r w:rsidR="00246FBE" w:rsidRPr="005B3944">
        <w:rPr>
          <w:rFonts w:asciiTheme="minorHAnsi" w:hAnsiTheme="minorHAnsi"/>
          <w:color w:val="auto"/>
          <w:sz w:val="20"/>
        </w:rPr>
        <w:t xml:space="preserve"> 5295 from 10% to 20%</w:t>
      </w:r>
      <w:r w:rsidR="00675F8D" w:rsidRPr="005B3944">
        <w:rPr>
          <w:rFonts w:asciiTheme="minorHAnsi" w:hAnsiTheme="minorHAnsi"/>
          <w:color w:val="auto"/>
          <w:sz w:val="20"/>
        </w:rPr>
        <w:t xml:space="preserve"> </w:t>
      </w:r>
    </w:p>
    <w:p w:rsidR="00437D18" w:rsidRPr="005B3944" w:rsidRDefault="00437D18" w:rsidP="00510F9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7F6B83" w:rsidRPr="005B3944" w:rsidRDefault="007F6B83" w:rsidP="007F6B83">
      <w:pPr>
        <w:spacing w:line="240" w:lineRule="exact"/>
        <w:rPr>
          <w:rFonts w:asciiTheme="minorHAnsi" w:hAnsiTheme="minorHAnsi"/>
          <w:color w:val="auto"/>
        </w:rPr>
      </w:pPr>
    </w:p>
    <w:p w:rsidR="00D935C1" w:rsidRPr="005B3944" w:rsidRDefault="002C6E5B" w:rsidP="00D935C1">
      <w:pPr>
        <w:spacing w:line="240" w:lineRule="exact"/>
        <w:jc w:val="both"/>
        <w:rPr>
          <w:rFonts w:asciiTheme="minorHAnsi" w:hAnsiTheme="minorHAnsi"/>
          <w:color w:val="auto"/>
          <w:sz w:val="22"/>
          <w:szCs w:val="24"/>
        </w:rPr>
      </w:pPr>
      <w:r w:rsidRPr="005B3944">
        <w:rPr>
          <w:rFonts w:asciiTheme="minorHAnsi" w:hAnsiTheme="minorHAnsi"/>
          <w:color w:val="auto"/>
          <w:szCs w:val="24"/>
          <w:u w:val="single"/>
        </w:rPr>
        <w:t>ANALYSIS SUMMARY</w:t>
      </w:r>
      <w:r w:rsidRPr="005B3944">
        <w:rPr>
          <w:rFonts w:asciiTheme="minorHAnsi" w:hAnsiTheme="minorHAnsi"/>
          <w:color w:val="auto"/>
          <w:szCs w:val="24"/>
        </w:rPr>
        <w:t>:</w:t>
      </w:r>
    </w:p>
    <w:p w:rsidR="002C6E5B" w:rsidRPr="005B3944" w:rsidRDefault="002C6E5B" w:rsidP="00C6170B">
      <w:pPr>
        <w:rPr>
          <w:rFonts w:asciiTheme="minorHAnsi" w:hAnsiTheme="minorHAnsi"/>
          <w:color w:val="auto"/>
          <w:szCs w:val="24"/>
        </w:rPr>
      </w:pPr>
    </w:p>
    <w:p w:rsidR="00881C3A" w:rsidRPr="005B3944" w:rsidRDefault="005758A0" w:rsidP="00D61000">
      <w:pPr>
        <w:tabs>
          <w:tab w:val="left" w:pos="288"/>
          <w:tab w:val="left" w:pos="4752"/>
        </w:tabs>
        <w:spacing w:line="240" w:lineRule="exact"/>
        <w:jc w:val="both"/>
        <w:rPr>
          <w:rFonts w:asciiTheme="minorHAnsi" w:hAnsiTheme="minorHAnsi"/>
          <w:color w:val="auto"/>
          <w:szCs w:val="24"/>
        </w:rPr>
      </w:pPr>
      <w:proofErr w:type="spellStart"/>
      <w:r w:rsidRPr="005B3944">
        <w:rPr>
          <w:rFonts w:asciiTheme="minorHAnsi" w:hAnsiTheme="minorHAnsi"/>
          <w:color w:val="auto"/>
          <w:szCs w:val="24"/>
          <w:u w:val="single"/>
        </w:rPr>
        <w:t>Neurocardiogenic</w:t>
      </w:r>
      <w:proofErr w:type="spellEnd"/>
      <w:r w:rsidRPr="005B3944">
        <w:rPr>
          <w:rFonts w:asciiTheme="minorHAnsi" w:hAnsiTheme="minorHAnsi"/>
          <w:color w:val="auto"/>
          <w:szCs w:val="24"/>
          <w:u w:val="single"/>
        </w:rPr>
        <w:t xml:space="preserve"> Syncop</w:t>
      </w:r>
      <w:r w:rsidR="00101B91" w:rsidRPr="005B3944">
        <w:rPr>
          <w:rFonts w:asciiTheme="minorHAnsi" w:hAnsiTheme="minorHAnsi"/>
          <w:color w:val="auto"/>
          <w:szCs w:val="24"/>
          <w:u w:val="single"/>
        </w:rPr>
        <w:t>e</w:t>
      </w:r>
      <w:r w:rsidRPr="005B3944">
        <w:rPr>
          <w:rFonts w:asciiTheme="minorHAnsi" w:hAnsiTheme="minorHAnsi"/>
          <w:color w:val="auto"/>
          <w:szCs w:val="24"/>
          <w:u w:val="single"/>
        </w:rPr>
        <w:t xml:space="preserve"> Associated w</w:t>
      </w:r>
      <w:r w:rsidR="00881C3A" w:rsidRPr="005B3944">
        <w:rPr>
          <w:rFonts w:asciiTheme="minorHAnsi" w:hAnsiTheme="minorHAnsi"/>
          <w:color w:val="auto"/>
          <w:szCs w:val="24"/>
          <w:u w:val="single"/>
        </w:rPr>
        <w:t xml:space="preserve">ith </w:t>
      </w:r>
      <w:r w:rsidRPr="005B3944">
        <w:rPr>
          <w:rFonts w:asciiTheme="minorHAnsi" w:hAnsiTheme="minorHAnsi"/>
          <w:color w:val="auto"/>
          <w:szCs w:val="24"/>
          <w:u w:val="single"/>
        </w:rPr>
        <w:t>Depressive Disorder</w:t>
      </w:r>
      <w:r w:rsidR="00664296" w:rsidRPr="005B3944">
        <w:rPr>
          <w:rFonts w:asciiTheme="minorHAnsi" w:hAnsiTheme="minorHAnsi"/>
          <w:color w:val="auto"/>
          <w:szCs w:val="24"/>
        </w:rPr>
        <w:t xml:space="preserve">.  </w:t>
      </w:r>
      <w:r w:rsidR="00881C3A" w:rsidRPr="005B3944">
        <w:rPr>
          <w:rFonts w:asciiTheme="minorHAnsi" w:hAnsiTheme="minorHAnsi"/>
          <w:color w:val="auto"/>
          <w:szCs w:val="24"/>
        </w:rPr>
        <w:t xml:space="preserve">The PEB combined </w:t>
      </w:r>
      <w:proofErr w:type="spellStart"/>
      <w:r w:rsidR="00881C3A" w:rsidRPr="005B3944">
        <w:rPr>
          <w:rFonts w:asciiTheme="minorHAnsi" w:hAnsiTheme="minorHAnsi"/>
          <w:color w:val="auto"/>
          <w:szCs w:val="24"/>
        </w:rPr>
        <w:t>neurocardiogenic</w:t>
      </w:r>
      <w:proofErr w:type="spellEnd"/>
      <w:r w:rsidR="00881C3A" w:rsidRPr="005B3944">
        <w:rPr>
          <w:rFonts w:asciiTheme="minorHAnsi" w:hAnsiTheme="minorHAnsi"/>
          <w:color w:val="auto"/>
          <w:szCs w:val="24"/>
        </w:rPr>
        <w:t xml:space="preserve"> syncope and depressive disorder as a single unfitting condition, coded analogously to </w:t>
      </w:r>
      <w:r w:rsidR="00535170" w:rsidRPr="005B3944">
        <w:rPr>
          <w:rFonts w:asciiTheme="minorHAnsi" w:hAnsiTheme="minorHAnsi"/>
          <w:color w:val="auto"/>
          <w:szCs w:val="24"/>
        </w:rPr>
        <w:t>8210 (tenth [</w:t>
      </w:r>
      <w:proofErr w:type="spellStart"/>
      <w:r w:rsidR="00535170" w:rsidRPr="005B3944">
        <w:rPr>
          <w:rFonts w:asciiTheme="minorHAnsi" w:hAnsiTheme="minorHAnsi"/>
          <w:color w:val="auto"/>
          <w:szCs w:val="24"/>
        </w:rPr>
        <w:t>vagus</w:t>
      </w:r>
      <w:proofErr w:type="spellEnd"/>
      <w:r w:rsidR="00535170" w:rsidRPr="005B3944">
        <w:rPr>
          <w:rFonts w:asciiTheme="minorHAnsi" w:hAnsiTheme="minorHAnsi"/>
          <w:color w:val="auto"/>
          <w:szCs w:val="24"/>
        </w:rPr>
        <w:t>] cranial nerve paralysis)</w:t>
      </w:r>
      <w:r w:rsidR="00881C3A" w:rsidRPr="005B3944">
        <w:rPr>
          <w:rFonts w:asciiTheme="minorHAnsi" w:hAnsiTheme="minorHAnsi"/>
          <w:color w:val="auto"/>
          <w:szCs w:val="24"/>
        </w:rPr>
        <w:t xml:space="preserve"> and rated 10%. </w:t>
      </w:r>
      <w:r w:rsidR="00535170" w:rsidRPr="005B3944">
        <w:rPr>
          <w:rFonts w:asciiTheme="minorHAnsi" w:hAnsiTheme="minorHAnsi"/>
          <w:color w:val="auto"/>
          <w:szCs w:val="24"/>
        </w:rPr>
        <w:t xml:space="preserve"> </w:t>
      </w:r>
      <w:r w:rsidR="00881C3A" w:rsidRPr="005B3944">
        <w:rPr>
          <w:rFonts w:asciiTheme="minorHAnsi" w:hAnsiTheme="minorHAnsi"/>
          <w:color w:val="auto"/>
          <w:szCs w:val="24"/>
        </w:rPr>
        <w:t xml:space="preserve">The Board’s initial charge in this case was therefore directed at determining if the PEB’s approach of combining conditions under a single rating was justified in lieu of separate ratings. </w:t>
      </w:r>
      <w:r w:rsidR="00535170" w:rsidRPr="005B3944">
        <w:rPr>
          <w:rFonts w:asciiTheme="minorHAnsi" w:hAnsiTheme="minorHAnsi"/>
          <w:color w:val="auto"/>
          <w:szCs w:val="24"/>
        </w:rPr>
        <w:t xml:space="preserve"> </w:t>
      </w:r>
      <w:r w:rsidR="00881C3A" w:rsidRPr="005B3944">
        <w:rPr>
          <w:rFonts w:asciiTheme="minorHAnsi" w:hAnsiTheme="minorHAnsi"/>
          <w:color w:val="auto"/>
          <w:szCs w:val="24"/>
        </w:rPr>
        <w:t xml:space="preserve">The Board must apply separate codes and ratings in its recommendations if compensable ratings for each condition are achieved IAW </w:t>
      </w:r>
      <w:r w:rsidR="00535170" w:rsidRPr="005B3944">
        <w:rPr>
          <w:rFonts w:asciiTheme="minorHAnsi" w:hAnsiTheme="minorHAnsi"/>
          <w:color w:val="auto"/>
          <w:szCs w:val="24"/>
        </w:rPr>
        <w:t xml:space="preserve">the </w:t>
      </w:r>
      <w:r w:rsidR="00881C3A" w:rsidRPr="005B3944">
        <w:rPr>
          <w:rFonts w:asciiTheme="minorHAnsi" w:hAnsiTheme="minorHAnsi"/>
          <w:color w:val="auto"/>
          <w:szCs w:val="24"/>
        </w:rPr>
        <w:t>VASRD.</w:t>
      </w:r>
      <w:r w:rsidR="00535170" w:rsidRPr="005B3944">
        <w:rPr>
          <w:rFonts w:asciiTheme="minorHAnsi" w:hAnsiTheme="minorHAnsi"/>
          <w:color w:val="auto"/>
          <w:szCs w:val="24"/>
        </w:rPr>
        <w:t xml:space="preserve"> </w:t>
      </w:r>
      <w:r w:rsidR="00881C3A" w:rsidRPr="005B3944">
        <w:rPr>
          <w:rFonts w:asciiTheme="minorHAnsi" w:hAnsiTheme="minorHAnsi"/>
          <w:color w:val="auto"/>
          <w:szCs w:val="24"/>
        </w:rPr>
        <w:t xml:space="preserve"> If the Board judges that two or more separate ratings are warranted in such cases, however, it must satisfy the requirement that each ‘unbundled’ condition was unfitting in and of itself. </w:t>
      </w:r>
      <w:r w:rsidR="00535170" w:rsidRPr="005B3944">
        <w:rPr>
          <w:rFonts w:asciiTheme="minorHAnsi" w:hAnsiTheme="minorHAnsi"/>
          <w:color w:val="auto"/>
          <w:szCs w:val="24"/>
        </w:rPr>
        <w:t xml:space="preserve"> </w:t>
      </w:r>
      <w:r w:rsidR="00881C3A" w:rsidRPr="005B3944">
        <w:rPr>
          <w:rFonts w:asciiTheme="minorHAnsi" w:hAnsiTheme="minorHAnsi"/>
          <w:color w:val="auto"/>
          <w:szCs w:val="24"/>
        </w:rPr>
        <w:t xml:space="preserve">Not uncommonly this approach by the PEB reflected its judgment that the constellation of conditions was unfitting, and there was no need for separate fitness adjudications or implied adjudication that each condition was separately unfitting. </w:t>
      </w:r>
      <w:r w:rsidR="00535170" w:rsidRPr="005B3944">
        <w:rPr>
          <w:rFonts w:asciiTheme="minorHAnsi" w:hAnsiTheme="minorHAnsi"/>
          <w:color w:val="auto"/>
          <w:szCs w:val="24"/>
        </w:rPr>
        <w:t xml:space="preserve"> </w:t>
      </w:r>
      <w:r w:rsidR="00881C3A" w:rsidRPr="005B3944">
        <w:rPr>
          <w:rFonts w:asciiTheme="minorHAnsi" w:hAnsiTheme="minorHAnsi"/>
          <w:color w:val="auto"/>
          <w:szCs w:val="24"/>
        </w:rPr>
        <w:t>Thus the Board must maintain the prerogative of separate fitness recommendations in this circumstance, with the caveat that its recommendations may not produce a lower combin</w:t>
      </w:r>
      <w:r w:rsidR="00535170" w:rsidRPr="005B3944">
        <w:rPr>
          <w:rFonts w:asciiTheme="minorHAnsi" w:hAnsiTheme="minorHAnsi"/>
          <w:color w:val="auto"/>
          <w:szCs w:val="24"/>
        </w:rPr>
        <w:t>ed rating than that of the PEB.</w:t>
      </w:r>
      <w:r w:rsidR="00531B30" w:rsidRPr="005B3944">
        <w:rPr>
          <w:rFonts w:asciiTheme="minorHAnsi" w:hAnsiTheme="minorHAnsi"/>
          <w:color w:val="auto"/>
          <w:szCs w:val="24"/>
        </w:rPr>
        <w:t xml:space="preserve">  The evidence in the record is summarized below.</w:t>
      </w:r>
    </w:p>
    <w:p w:rsidR="00535170" w:rsidRPr="005B3944" w:rsidRDefault="00535170" w:rsidP="00535170">
      <w:pPr>
        <w:spacing w:line="240" w:lineRule="exact"/>
        <w:jc w:val="both"/>
        <w:rPr>
          <w:rFonts w:asciiTheme="minorHAnsi" w:hAnsiTheme="minorHAnsi"/>
          <w:color w:val="auto"/>
          <w:szCs w:val="24"/>
        </w:rPr>
      </w:pPr>
    </w:p>
    <w:p w:rsidR="007C3D4E" w:rsidRPr="005B3944" w:rsidRDefault="007C3D4E" w:rsidP="00E2574E">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w:t>
      </w:r>
      <w:r w:rsidR="00B95B70">
        <w:rPr>
          <w:rFonts w:asciiTheme="minorHAnsi" w:hAnsiTheme="minorHAnsi"/>
          <w:color w:val="auto"/>
          <w:szCs w:val="24"/>
        </w:rPr>
        <w:t>narrative summary (</w:t>
      </w:r>
      <w:r w:rsidRPr="005B3944">
        <w:rPr>
          <w:rFonts w:asciiTheme="minorHAnsi" w:hAnsiTheme="minorHAnsi"/>
          <w:color w:val="auto"/>
          <w:szCs w:val="24"/>
        </w:rPr>
        <w:t>NARSUM</w:t>
      </w:r>
      <w:r w:rsidR="00B95B70">
        <w:rPr>
          <w:rFonts w:asciiTheme="minorHAnsi" w:hAnsiTheme="minorHAnsi"/>
          <w:color w:val="auto"/>
          <w:szCs w:val="24"/>
        </w:rPr>
        <w:t>)</w:t>
      </w:r>
      <w:r w:rsidRPr="005B3944">
        <w:rPr>
          <w:rFonts w:asciiTheme="minorHAnsi" w:hAnsiTheme="minorHAnsi"/>
          <w:color w:val="auto"/>
          <w:szCs w:val="24"/>
        </w:rPr>
        <w:t xml:space="preserve">, three months pre-separation, reported the CI experienced “a couple episodes” of syncope and “multiple episodes” of pre-syncope shortly after </w:t>
      </w:r>
      <w:r w:rsidR="00E2574E" w:rsidRPr="005B3944">
        <w:rPr>
          <w:rFonts w:asciiTheme="minorHAnsi" w:hAnsiTheme="minorHAnsi"/>
          <w:color w:val="auto"/>
          <w:szCs w:val="24"/>
        </w:rPr>
        <w:t>exercise (</w:t>
      </w:r>
      <w:r w:rsidRPr="005B3944">
        <w:rPr>
          <w:rFonts w:asciiTheme="minorHAnsi" w:hAnsiTheme="minorHAnsi"/>
          <w:color w:val="auto"/>
          <w:szCs w:val="24"/>
        </w:rPr>
        <w:t>running</w:t>
      </w:r>
      <w:r w:rsidR="00E2574E" w:rsidRPr="005B3944">
        <w:rPr>
          <w:rFonts w:asciiTheme="minorHAnsi" w:hAnsiTheme="minorHAnsi"/>
          <w:color w:val="auto"/>
          <w:szCs w:val="24"/>
        </w:rPr>
        <w:t>)</w:t>
      </w:r>
      <w:r w:rsidRPr="005B3944">
        <w:rPr>
          <w:rFonts w:asciiTheme="minorHAnsi" w:hAnsiTheme="minorHAnsi"/>
          <w:color w:val="auto"/>
          <w:szCs w:val="24"/>
        </w:rPr>
        <w:t xml:space="preserve">.  </w:t>
      </w:r>
      <w:r w:rsidR="00465B4D" w:rsidRPr="005B3944">
        <w:rPr>
          <w:rFonts w:asciiTheme="minorHAnsi" w:hAnsiTheme="minorHAnsi"/>
          <w:color w:val="auto"/>
          <w:szCs w:val="24"/>
        </w:rPr>
        <w:t xml:space="preserve">He also experienced one episode of orthostatic syncope seven months pre-separation.  </w:t>
      </w:r>
      <w:r w:rsidR="00E2574E" w:rsidRPr="005B3944">
        <w:rPr>
          <w:rFonts w:asciiTheme="minorHAnsi" w:hAnsiTheme="minorHAnsi"/>
          <w:color w:val="auto"/>
          <w:szCs w:val="24"/>
        </w:rPr>
        <w:t>His pre-syncope was characterized by lightheadedness and nausea, and it required him to lie down for approximately 20 minutes until the feeling resolved.  After a treadmill stress test which was otherwise normal, the CI became pre-</w:t>
      </w:r>
      <w:proofErr w:type="spellStart"/>
      <w:r w:rsidR="00E2574E" w:rsidRPr="005B3944">
        <w:rPr>
          <w:rFonts w:asciiTheme="minorHAnsi" w:hAnsiTheme="minorHAnsi"/>
          <w:color w:val="auto"/>
          <w:szCs w:val="24"/>
        </w:rPr>
        <w:t>syncopal</w:t>
      </w:r>
      <w:proofErr w:type="spellEnd"/>
      <w:r w:rsidR="00E2574E" w:rsidRPr="005B3944">
        <w:rPr>
          <w:rFonts w:asciiTheme="minorHAnsi" w:hAnsiTheme="minorHAnsi"/>
          <w:color w:val="auto"/>
          <w:szCs w:val="24"/>
        </w:rPr>
        <w:t xml:space="preserve">, </w:t>
      </w:r>
      <w:proofErr w:type="spellStart"/>
      <w:r w:rsidR="00E2574E" w:rsidRPr="005B3944">
        <w:rPr>
          <w:rFonts w:asciiTheme="minorHAnsi" w:hAnsiTheme="minorHAnsi"/>
          <w:color w:val="auto"/>
          <w:szCs w:val="24"/>
        </w:rPr>
        <w:t>hypotensive</w:t>
      </w:r>
      <w:proofErr w:type="spellEnd"/>
      <w:r w:rsidR="00E2574E" w:rsidRPr="005B3944">
        <w:rPr>
          <w:rFonts w:asciiTheme="minorHAnsi" w:hAnsiTheme="minorHAnsi"/>
          <w:color w:val="auto"/>
          <w:szCs w:val="24"/>
        </w:rPr>
        <w:t xml:space="preserve"> (100/50), and </w:t>
      </w:r>
      <w:proofErr w:type="spellStart"/>
      <w:r w:rsidR="00E2574E" w:rsidRPr="005B3944">
        <w:rPr>
          <w:rFonts w:asciiTheme="minorHAnsi" w:hAnsiTheme="minorHAnsi"/>
          <w:color w:val="auto"/>
          <w:szCs w:val="24"/>
        </w:rPr>
        <w:t>tachycardic</w:t>
      </w:r>
      <w:proofErr w:type="spellEnd"/>
      <w:r w:rsidR="00E2574E" w:rsidRPr="005B3944">
        <w:rPr>
          <w:rFonts w:asciiTheme="minorHAnsi" w:hAnsiTheme="minorHAnsi"/>
          <w:color w:val="auto"/>
          <w:szCs w:val="24"/>
        </w:rPr>
        <w:t xml:space="preserve"> (180).  Tilt table testing reproduced syncope with vasodepressor and </w:t>
      </w:r>
      <w:proofErr w:type="spellStart"/>
      <w:r w:rsidR="00E2574E" w:rsidRPr="005B3944">
        <w:rPr>
          <w:rFonts w:asciiTheme="minorHAnsi" w:hAnsiTheme="minorHAnsi"/>
          <w:color w:val="auto"/>
          <w:szCs w:val="24"/>
        </w:rPr>
        <w:t>cardioinhibitory</w:t>
      </w:r>
      <w:proofErr w:type="spellEnd"/>
      <w:r w:rsidR="00E2574E" w:rsidRPr="005B3944">
        <w:rPr>
          <w:rFonts w:asciiTheme="minorHAnsi" w:hAnsiTheme="minorHAnsi"/>
          <w:color w:val="auto"/>
          <w:szCs w:val="24"/>
        </w:rPr>
        <w:t xml:space="preserve"> re</w:t>
      </w:r>
      <w:r w:rsidR="00465B4D" w:rsidRPr="005B3944">
        <w:rPr>
          <w:rFonts w:asciiTheme="minorHAnsi" w:hAnsiTheme="minorHAnsi"/>
          <w:color w:val="auto"/>
          <w:szCs w:val="24"/>
        </w:rPr>
        <w:t>sponse</w:t>
      </w:r>
      <w:r w:rsidR="00E2574E" w:rsidRPr="005B3944">
        <w:rPr>
          <w:rFonts w:asciiTheme="minorHAnsi" w:hAnsiTheme="minorHAnsi"/>
          <w:color w:val="auto"/>
          <w:szCs w:val="24"/>
        </w:rPr>
        <w:t>.</w:t>
      </w:r>
      <w:r w:rsidR="00465B4D" w:rsidRPr="005B3944">
        <w:rPr>
          <w:rFonts w:asciiTheme="minorHAnsi" w:hAnsiTheme="minorHAnsi"/>
          <w:color w:val="auto"/>
          <w:szCs w:val="24"/>
        </w:rPr>
        <w:t xml:space="preserve">  </w:t>
      </w:r>
    </w:p>
    <w:p w:rsidR="00CA39FF" w:rsidRPr="005B3944" w:rsidRDefault="00CA39FF" w:rsidP="00E2574E">
      <w:pPr>
        <w:spacing w:line="240" w:lineRule="exact"/>
        <w:jc w:val="both"/>
        <w:rPr>
          <w:rFonts w:asciiTheme="minorHAnsi" w:hAnsiTheme="minorHAnsi"/>
          <w:color w:val="auto"/>
          <w:szCs w:val="24"/>
        </w:rPr>
      </w:pPr>
    </w:p>
    <w:p w:rsidR="00CA39FF" w:rsidRPr="005B3944" w:rsidRDefault="00CA39FF" w:rsidP="00E2574E">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w:t>
      </w:r>
      <w:r w:rsidR="00B95B70">
        <w:rPr>
          <w:rFonts w:asciiTheme="minorHAnsi" w:hAnsiTheme="minorHAnsi"/>
          <w:color w:val="auto"/>
          <w:szCs w:val="24"/>
        </w:rPr>
        <w:t>Department of Veterans’ Affairs (</w:t>
      </w:r>
      <w:r w:rsidRPr="005B3944">
        <w:rPr>
          <w:rFonts w:asciiTheme="minorHAnsi" w:hAnsiTheme="minorHAnsi"/>
          <w:color w:val="auto"/>
          <w:szCs w:val="24"/>
        </w:rPr>
        <w:t>VA</w:t>
      </w:r>
      <w:r w:rsidR="00B95B70">
        <w:rPr>
          <w:rFonts w:asciiTheme="minorHAnsi" w:hAnsiTheme="minorHAnsi"/>
          <w:color w:val="auto"/>
          <w:szCs w:val="24"/>
        </w:rPr>
        <w:t>)</w:t>
      </w:r>
      <w:r w:rsidRPr="005B3944">
        <w:rPr>
          <w:rFonts w:asciiTheme="minorHAnsi" w:hAnsiTheme="minorHAnsi"/>
          <w:color w:val="auto"/>
          <w:szCs w:val="24"/>
        </w:rPr>
        <w:t xml:space="preserve"> exam, five months post-separation, reported a similar history, although less detailed than the NARSUM.  The CI reported that temperature changes were another trigger for his hypotensive episodes.  </w:t>
      </w:r>
      <w:r w:rsidR="00341A5E" w:rsidRPr="005B3944">
        <w:rPr>
          <w:rFonts w:asciiTheme="minorHAnsi" w:hAnsiTheme="minorHAnsi"/>
          <w:color w:val="auto"/>
          <w:szCs w:val="24"/>
        </w:rPr>
        <w:t xml:space="preserve">The physical exam was devoid of significant neurological or cardiovascular findings, and no </w:t>
      </w:r>
      <w:r w:rsidR="009A5661" w:rsidRPr="005B3944">
        <w:rPr>
          <w:rFonts w:asciiTheme="minorHAnsi" w:hAnsiTheme="minorHAnsi"/>
          <w:color w:val="auto"/>
          <w:szCs w:val="24"/>
        </w:rPr>
        <w:t xml:space="preserve">additional </w:t>
      </w:r>
      <w:r w:rsidR="00341A5E" w:rsidRPr="005B3944">
        <w:rPr>
          <w:rFonts w:asciiTheme="minorHAnsi" w:hAnsiTheme="minorHAnsi"/>
          <w:color w:val="auto"/>
          <w:szCs w:val="24"/>
        </w:rPr>
        <w:t>tilt table or stress testing was performed.</w:t>
      </w:r>
    </w:p>
    <w:p w:rsidR="000346D2" w:rsidRPr="005B3944" w:rsidRDefault="000346D2" w:rsidP="00E2574E">
      <w:pPr>
        <w:spacing w:line="240" w:lineRule="exact"/>
        <w:jc w:val="both"/>
        <w:rPr>
          <w:rFonts w:asciiTheme="minorHAnsi" w:hAnsiTheme="minorHAnsi"/>
          <w:color w:val="auto"/>
          <w:szCs w:val="24"/>
        </w:rPr>
      </w:pPr>
    </w:p>
    <w:p w:rsidR="00F70EA2" w:rsidRPr="005B3944" w:rsidRDefault="00F70EA2" w:rsidP="00F70EA2">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Board first considered if </w:t>
      </w:r>
      <w:r w:rsidR="00531B30" w:rsidRPr="005B3944">
        <w:rPr>
          <w:rFonts w:asciiTheme="minorHAnsi" w:hAnsiTheme="minorHAnsi"/>
          <w:color w:val="auto"/>
          <w:szCs w:val="24"/>
        </w:rPr>
        <w:t>the syncope condition</w:t>
      </w:r>
      <w:r w:rsidRPr="005B3944">
        <w:rPr>
          <w:rFonts w:asciiTheme="minorHAnsi" w:hAnsiTheme="minorHAnsi"/>
          <w:color w:val="auto"/>
          <w:szCs w:val="24"/>
        </w:rPr>
        <w:t xml:space="preserve">, having been de-coupled from the combined PEB adjudication, remained independently unfitting as established above. </w:t>
      </w:r>
      <w:r w:rsidR="00531B30" w:rsidRPr="005B3944">
        <w:rPr>
          <w:rFonts w:asciiTheme="minorHAnsi" w:hAnsiTheme="minorHAnsi"/>
          <w:color w:val="auto"/>
          <w:szCs w:val="24"/>
        </w:rPr>
        <w:t xml:space="preserve"> </w:t>
      </w:r>
      <w:r w:rsidRPr="005B3944">
        <w:rPr>
          <w:rFonts w:asciiTheme="minorHAnsi" w:hAnsiTheme="minorHAnsi"/>
          <w:color w:val="auto"/>
          <w:szCs w:val="24"/>
        </w:rPr>
        <w:t xml:space="preserve">All </w:t>
      </w:r>
      <w:r w:rsidRPr="005B3944">
        <w:rPr>
          <w:rFonts w:asciiTheme="minorHAnsi" w:hAnsiTheme="minorHAnsi"/>
          <w:color w:val="auto"/>
          <w:szCs w:val="24"/>
        </w:rPr>
        <w:lastRenderedPageBreak/>
        <w:t xml:space="preserve">members agreed that </w:t>
      </w:r>
      <w:r w:rsidR="00531B30" w:rsidRPr="005B3944">
        <w:rPr>
          <w:rFonts w:asciiTheme="minorHAnsi" w:hAnsiTheme="minorHAnsi"/>
          <w:color w:val="auto"/>
          <w:szCs w:val="24"/>
        </w:rPr>
        <w:t xml:space="preserve">the CI’s recurrent </w:t>
      </w:r>
      <w:proofErr w:type="spellStart"/>
      <w:r w:rsidR="00531B30" w:rsidRPr="005B3944">
        <w:rPr>
          <w:rFonts w:asciiTheme="minorHAnsi" w:hAnsiTheme="minorHAnsi"/>
          <w:color w:val="auto"/>
          <w:szCs w:val="24"/>
        </w:rPr>
        <w:t>neurocardiogenic</w:t>
      </w:r>
      <w:proofErr w:type="spellEnd"/>
      <w:r w:rsidR="00531B30" w:rsidRPr="005B3944">
        <w:rPr>
          <w:rFonts w:asciiTheme="minorHAnsi" w:hAnsiTheme="minorHAnsi"/>
          <w:color w:val="auto"/>
          <w:szCs w:val="24"/>
        </w:rPr>
        <w:t xml:space="preserve"> syncope</w:t>
      </w:r>
      <w:r w:rsidRPr="005B3944">
        <w:rPr>
          <w:rFonts w:asciiTheme="minorHAnsi" w:hAnsiTheme="minorHAnsi"/>
          <w:color w:val="auto"/>
          <w:szCs w:val="24"/>
        </w:rPr>
        <w:t xml:space="preserve">, as an isolated condition, would have rendered the CI incapable of continued service within his </w:t>
      </w:r>
      <w:r w:rsidR="00B95B70">
        <w:rPr>
          <w:rFonts w:asciiTheme="minorHAnsi" w:hAnsiTheme="minorHAnsi"/>
          <w:color w:val="auto"/>
          <w:szCs w:val="24"/>
        </w:rPr>
        <w:t>AFS</w:t>
      </w:r>
      <w:r w:rsidRPr="005B3944">
        <w:rPr>
          <w:rFonts w:asciiTheme="minorHAnsi" w:hAnsiTheme="minorHAnsi"/>
          <w:color w:val="auto"/>
          <w:szCs w:val="24"/>
        </w:rPr>
        <w:t>; and,</w:t>
      </w:r>
      <w:r w:rsidR="00B95B70">
        <w:rPr>
          <w:rFonts w:asciiTheme="minorHAnsi" w:hAnsiTheme="minorHAnsi"/>
          <w:color w:val="auto"/>
          <w:szCs w:val="24"/>
        </w:rPr>
        <w:t xml:space="preserve"> accordingly merits a separate s</w:t>
      </w:r>
      <w:r w:rsidRPr="005B3944">
        <w:rPr>
          <w:rFonts w:asciiTheme="minorHAnsi" w:hAnsiTheme="minorHAnsi"/>
          <w:color w:val="auto"/>
          <w:szCs w:val="24"/>
        </w:rPr>
        <w:t xml:space="preserve">ervice rating. </w:t>
      </w:r>
      <w:r w:rsidR="00531B30" w:rsidRPr="005B3944">
        <w:rPr>
          <w:rFonts w:asciiTheme="minorHAnsi" w:hAnsiTheme="minorHAnsi"/>
          <w:color w:val="auto"/>
          <w:szCs w:val="24"/>
        </w:rPr>
        <w:t xml:space="preserve"> The Board considered multiple coding options, including</w:t>
      </w:r>
      <w:r w:rsidR="00944D7C" w:rsidRPr="005B3944">
        <w:rPr>
          <w:rFonts w:asciiTheme="minorHAnsi" w:hAnsiTheme="minorHAnsi"/>
          <w:color w:val="auto"/>
          <w:szCs w:val="24"/>
        </w:rPr>
        <w:t xml:space="preserve">: </w:t>
      </w:r>
      <w:r w:rsidR="00531B30" w:rsidRPr="005B3944">
        <w:rPr>
          <w:rFonts w:asciiTheme="minorHAnsi" w:hAnsiTheme="minorHAnsi"/>
          <w:color w:val="auto"/>
          <w:szCs w:val="24"/>
        </w:rPr>
        <w:t xml:space="preserve"> </w:t>
      </w:r>
      <w:r w:rsidR="00944D7C" w:rsidRPr="005B3944">
        <w:rPr>
          <w:rFonts w:asciiTheme="minorHAnsi" w:hAnsiTheme="minorHAnsi"/>
          <w:color w:val="auto"/>
          <w:szCs w:val="24"/>
        </w:rPr>
        <w:t xml:space="preserve">the PEB’s </w:t>
      </w:r>
      <w:r w:rsidR="00531B30" w:rsidRPr="005B3944">
        <w:rPr>
          <w:rFonts w:asciiTheme="minorHAnsi" w:hAnsiTheme="minorHAnsi"/>
          <w:color w:val="auto"/>
          <w:szCs w:val="24"/>
        </w:rPr>
        <w:t xml:space="preserve">analogous coding to </w:t>
      </w:r>
      <w:r w:rsidR="00944D7C" w:rsidRPr="005B3944">
        <w:rPr>
          <w:rFonts w:asciiTheme="minorHAnsi" w:hAnsiTheme="minorHAnsi"/>
          <w:color w:val="auto"/>
          <w:szCs w:val="24"/>
        </w:rPr>
        <w:t>8210, tenth (</w:t>
      </w:r>
      <w:proofErr w:type="spellStart"/>
      <w:r w:rsidR="00944D7C" w:rsidRPr="005B3944">
        <w:rPr>
          <w:rFonts w:asciiTheme="minorHAnsi" w:hAnsiTheme="minorHAnsi"/>
          <w:color w:val="auto"/>
          <w:szCs w:val="24"/>
        </w:rPr>
        <w:t>vagus</w:t>
      </w:r>
      <w:proofErr w:type="spellEnd"/>
      <w:r w:rsidR="00944D7C" w:rsidRPr="005B3944">
        <w:rPr>
          <w:rFonts w:asciiTheme="minorHAnsi" w:hAnsiTheme="minorHAnsi"/>
          <w:color w:val="auto"/>
          <w:szCs w:val="24"/>
        </w:rPr>
        <w:t xml:space="preserve">) nerve paralysis; the VA’s analogous coding to 6204, peripheral vestibular disorders; analogous coding to 7020, </w:t>
      </w:r>
      <w:proofErr w:type="spellStart"/>
      <w:r w:rsidR="00944D7C" w:rsidRPr="005B3944">
        <w:rPr>
          <w:rFonts w:asciiTheme="minorHAnsi" w:hAnsiTheme="minorHAnsi"/>
          <w:color w:val="auto"/>
          <w:szCs w:val="24"/>
        </w:rPr>
        <w:t>cardiomyopathy</w:t>
      </w:r>
      <w:proofErr w:type="spellEnd"/>
      <w:r w:rsidR="00944D7C" w:rsidRPr="005B3944">
        <w:rPr>
          <w:rFonts w:asciiTheme="minorHAnsi" w:hAnsiTheme="minorHAnsi"/>
          <w:color w:val="auto"/>
          <w:szCs w:val="24"/>
        </w:rPr>
        <w:t>, and analogous coding to 8911, petit mal epilepsy.</w:t>
      </w:r>
      <w:r w:rsidR="005D314B" w:rsidRPr="005B3944">
        <w:rPr>
          <w:rFonts w:asciiTheme="minorHAnsi" w:hAnsiTheme="minorHAnsi"/>
          <w:color w:val="auto"/>
          <w:szCs w:val="24"/>
        </w:rPr>
        <w:t xml:space="preserve">  The PEB’s 8210 </w:t>
      </w:r>
      <w:r w:rsidR="0014125B" w:rsidRPr="005B3944">
        <w:rPr>
          <w:rFonts w:asciiTheme="minorHAnsi" w:hAnsiTheme="minorHAnsi"/>
          <w:color w:val="auto"/>
          <w:szCs w:val="24"/>
        </w:rPr>
        <w:t>coding was</w:t>
      </w:r>
      <w:r w:rsidR="005D314B" w:rsidRPr="005B3944">
        <w:rPr>
          <w:rFonts w:asciiTheme="minorHAnsi" w:hAnsiTheme="minorHAnsi"/>
          <w:color w:val="auto"/>
          <w:szCs w:val="24"/>
        </w:rPr>
        <w:t xml:space="preserve"> more physiologically accurate, and </w:t>
      </w:r>
      <w:r w:rsidR="0014125B" w:rsidRPr="005B3944">
        <w:rPr>
          <w:rFonts w:asciiTheme="minorHAnsi" w:hAnsiTheme="minorHAnsi"/>
          <w:color w:val="auto"/>
          <w:szCs w:val="24"/>
        </w:rPr>
        <w:t>wa</w:t>
      </w:r>
      <w:r w:rsidR="00B95B70">
        <w:rPr>
          <w:rFonts w:asciiTheme="minorHAnsi" w:hAnsiTheme="minorHAnsi"/>
          <w:color w:val="auto"/>
          <w:szCs w:val="24"/>
        </w:rPr>
        <w:t>s indicated in the alphabetical listing of analogous c</w:t>
      </w:r>
      <w:r w:rsidR="005D314B" w:rsidRPr="005B3944">
        <w:rPr>
          <w:rFonts w:asciiTheme="minorHAnsi" w:hAnsiTheme="minorHAnsi"/>
          <w:color w:val="auto"/>
          <w:szCs w:val="24"/>
        </w:rPr>
        <w:t xml:space="preserve">ode.  </w:t>
      </w:r>
      <w:r w:rsidR="00892F0C" w:rsidRPr="005B3944">
        <w:rPr>
          <w:rFonts w:asciiTheme="minorHAnsi" w:hAnsiTheme="minorHAnsi"/>
          <w:color w:val="auto"/>
          <w:szCs w:val="24"/>
        </w:rPr>
        <w:t xml:space="preserve">Given the frequency </w:t>
      </w:r>
      <w:r w:rsidR="00A7224A" w:rsidRPr="005B3944">
        <w:rPr>
          <w:rFonts w:asciiTheme="minorHAnsi" w:hAnsiTheme="minorHAnsi"/>
          <w:color w:val="auto"/>
          <w:szCs w:val="24"/>
        </w:rPr>
        <w:t xml:space="preserve">of </w:t>
      </w:r>
      <w:r w:rsidR="00892F0C" w:rsidRPr="005B3944">
        <w:rPr>
          <w:rFonts w:asciiTheme="minorHAnsi" w:hAnsiTheme="minorHAnsi"/>
          <w:color w:val="auto"/>
          <w:szCs w:val="24"/>
        </w:rPr>
        <w:t xml:space="preserve">syncope episodes </w:t>
      </w:r>
      <w:r w:rsidR="00E827AF" w:rsidRPr="005B3944">
        <w:rPr>
          <w:rFonts w:asciiTheme="minorHAnsi" w:hAnsiTheme="minorHAnsi"/>
          <w:color w:val="auto"/>
          <w:szCs w:val="24"/>
        </w:rPr>
        <w:t xml:space="preserve">and severity of pre-syncope events </w:t>
      </w:r>
      <w:r w:rsidR="00892F0C" w:rsidRPr="005B3944">
        <w:rPr>
          <w:rFonts w:asciiTheme="minorHAnsi" w:hAnsiTheme="minorHAnsi"/>
          <w:color w:val="auto"/>
          <w:szCs w:val="24"/>
        </w:rPr>
        <w:t xml:space="preserve">described in the record, the Board majority considered that the “moderate” 10% rating rather than the “severe” 30% rating more accurately reflected the severity of the CI’s condition.  </w:t>
      </w:r>
      <w:r w:rsidRPr="005B3944">
        <w:rPr>
          <w:rFonts w:asciiTheme="minorHAnsi" w:hAnsiTheme="minorHAnsi"/>
          <w:color w:val="auto"/>
          <w:szCs w:val="24"/>
        </w:rPr>
        <w:t xml:space="preserve">After due deliberation, considering all of the evidence, the Board </w:t>
      </w:r>
      <w:r w:rsidR="00D228A7" w:rsidRPr="005B3944">
        <w:rPr>
          <w:rFonts w:asciiTheme="minorHAnsi" w:hAnsiTheme="minorHAnsi"/>
          <w:color w:val="auto"/>
          <w:szCs w:val="24"/>
        </w:rPr>
        <w:t xml:space="preserve">majority </w:t>
      </w:r>
      <w:r w:rsidRPr="005B3944">
        <w:rPr>
          <w:rFonts w:asciiTheme="minorHAnsi" w:hAnsiTheme="minorHAnsi"/>
          <w:color w:val="auto"/>
          <w:szCs w:val="24"/>
        </w:rPr>
        <w:t xml:space="preserve">recommends a separation rating of </w:t>
      </w:r>
      <w:r w:rsidR="00D228A7" w:rsidRPr="005B3944">
        <w:rPr>
          <w:rFonts w:asciiTheme="minorHAnsi" w:hAnsiTheme="minorHAnsi"/>
          <w:color w:val="auto"/>
          <w:szCs w:val="24"/>
        </w:rPr>
        <w:t>1</w:t>
      </w:r>
      <w:r w:rsidRPr="005B3944">
        <w:rPr>
          <w:rFonts w:asciiTheme="minorHAnsi" w:hAnsiTheme="minorHAnsi"/>
          <w:color w:val="auto"/>
          <w:szCs w:val="24"/>
        </w:rPr>
        <w:t xml:space="preserve">0% for the </w:t>
      </w:r>
      <w:proofErr w:type="spellStart"/>
      <w:r w:rsidR="005D314B" w:rsidRPr="005B3944">
        <w:rPr>
          <w:rFonts w:asciiTheme="minorHAnsi" w:hAnsiTheme="minorHAnsi"/>
          <w:color w:val="auto"/>
          <w:szCs w:val="24"/>
        </w:rPr>
        <w:t>neurocardiogenic</w:t>
      </w:r>
      <w:proofErr w:type="spellEnd"/>
      <w:r w:rsidR="005D314B" w:rsidRPr="005B3944">
        <w:rPr>
          <w:rFonts w:asciiTheme="minorHAnsi" w:hAnsiTheme="minorHAnsi"/>
          <w:color w:val="auto"/>
          <w:szCs w:val="24"/>
        </w:rPr>
        <w:t xml:space="preserve"> syncope </w:t>
      </w:r>
      <w:r w:rsidRPr="005B3944">
        <w:rPr>
          <w:rFonts w:asciiTheme="minorHAnsi" w:hAnsiTheme="minorHAnsi"/>
          <w:color w:val="auto"/>
          <w:szCs w:val="24"/>
        </w:rPr>
        <w:t>condition</w:t>
      </w:r>
      <w:r w:rsidR="009A5661" w:rsidRPr="005B3944">
        <w:rPr>
          <w:rFonts w:asciiTheme="minorHAnsi" w:hAnsiTheme="minorHAnsi"/>
          <w:color w:val="auto"/>
          <w:szCs w:val="24"/>
        </w:rPr>
        <w:t>, coded 8299-8210</w:t>
      </w:r>
      <w:r w:rsidRPr="005B3944">
        <w:rPr>
          <w:rFonts w:asciiTheme="minorHAnsi" w:hAnsiTheme="minorHAnsi"/>
          <w:color w:val="auto"/>
          <w:szCs w:val="24"/>
        </w:rPr>
        <w:t xml:space="preserve">.  </w:t>
      </w:r>
    </w:p>
    <w:p w:rsidR="00F70EA2" w:rsidRPr="005B3944" w:rsidRDefault="00F70EA2" w:rsidP="00F70EA2">
      <w:pPr>
        <w:spacing w:line="240" w:lineRule="exact"/>
        <w:jc w:val="both"/>
        <w:rPr>
          <w:rFonts w:asciiTheme="minorHAnsi" w:hAnsiTheme="minorHAnsi"/>
          <w:color w:val="auto"/>
          <w:szCs w:val="24"/>
        </w:rPr>
      </w:pPr>
    </w:p>
    <w:p w:rsidR="00535170" w:rsidRPr="005B3944" w:rsidRDefault="002B3445" w:rsidP="00FA0EBA">
      <w:pPr>
        <w:spacing w:line="240" w:lineRule="exact"/>
        <w:jc w:val="both"/>
        <w:rPr>
          <w:rFonts w:asciiTheme="minorHAnsi" w:hAnsiTheme="minorHAnsi"/>
          <w:color w:val="auto"/>
          <w:szCs w:val="24"/>
        </w:rPr>
      </w:pPr>
      <w:proofErr w:type="gramStart"/>
      <w:r w:rsidRPr="005B3944">
        <w:rPr>
          <w:rFonts w:asciiTheme="minorHAnsi" w:hAnsiTheme="minorHAnsi"/>
          <w:color w:val="auto"/>
          <w:szCs w:val="24"/>
          <w:u w:val="single"/>
        </w:rPr>
        <w:t>Depressive Disorder</w:t>
      </w:r>
      <w:r w:rsidRPr="005B3944">
        <w:rPr>
          <w:rFonts w:asciiTheme="minorHAnsi" w:hAnsiTheme="minorHAnsi"/>
          <w:color w:val="auto"/>
          <w:szCs w:val="24"/>
        </w:rPr>
        <w:t>.</w:t>
      </w:r>
      <w:proofErr w:type="gramEnd"/>
      <w:r w:rsidRPr="005B3944">
        <w:rPr>
          <w:rFonts w:asciiTheme="minorHAnsi" w:hAnsiTheme="minorHAnsi"/>
          <w:color w:val="auto"/>
          <w:szCs w:val="24"/>
        </w:rPr>
        <w:t xml:space="preserve">  The NARSUM Addendum, three months pre-separation, described </w:t>
      </w:r>
      <w:r w:rsidR="00EB2097" w:rsidRPr="005B3944">
        <w:rPr>
          <w:rFonts w:asciiTheme="minorHAnsi" w:hAnsiTheme="minorHAnsi"/>
          <w:color w:val="auto"/>
          <w:szCs w:val="24"/>
        </w:rPr>
        <w:t>significant depressive symptoms</w:t>
      </w:r>
      <w:r w:rsidRPr="005B3944">
        <w:rPr>
          <w:rFonts w:asciiTheme="minorHAnsi" w:hAnsiTheme="minorHAnsi"/>
          <w:color w:val="auto"/>
          <w:szCs w:val="24"/>
        </w:rPr>
        <w:t>.</w:t>
      </w:r>
      <w:r w:rsidR="00EB2097" w:rsidRPr="005B3944">
        <w:rPr>
          <w:rFonts w:asciiTheme="minorHAnsi" w:hAnsiTheme="minorHAnsi"/>
          <w:color w:val="auto"/>
          <w:szCs w:val="24"/>
        </w:rPr>
        <w:t xml:space="preserve"> </w:t>
      </w:r>
      <w:r w:rsidRPr="005B3944">
        <w:rPr>
          <w:rFonts w:asciiTheme="minorHAnsi" w:hAnsiTheme="minorHAnsi"/>
          <w:color w:val="auto"/>
          <w:szCs w:val="24"/>
        </w:rPr>
        <w:t xml:space="preserve"> </w:t>
      </w:r>
      <w:r w:rsidR="00EB2097" w:rsidRPr="005B3944">
        <w:rPr>
          <w:rFonts w:asciiTheme="minorHAnsi" w:hAnsiTheme="minorHAnsi"/>
          <w:color w:val="auto"/>
          <w:szCs w:val="24"/>
        </w:rPr>
        <w:t>These</w:t>
      </w:r>
      <w:r w:rsidRPr="005B3944">
        <w:rPr>
          <w:rFonts w:asciiTheme="minorHAnsi" w:hAnsiTheme="minorHAnsi"/>
          <w:color w:val="auto"/>
          <w:szCs w:val="24"/>
        </w:rPr>
        <w:t xml:space="preserve"> included depressed mood, irritability, poor sleep, conflicts with supervisors and coworkers, decreased energy, decreased motivation, </w:t>
      </w:r>
      <w:proofErr w:type="spellStart"/>
      <w:r w:rsidRPr="005B3944">
        <w:rPr>
          <w:rFonts w:asciiTheme="minorHAnsi" w:hAnsiTheme="minorHAnsi"/>
          <w:color w:val="auto"/>
          <w:szCs w:val="24"/>
        </w:rPr>
        <w:t>anhedonia</w:t>
      </w:r>
      <w:proofErr w:type="spellEnd"/>
      <w:r w:rsidRPr="005B3944">
        <w:rPr>
          <w:rFonts w:asciiTheme="minorHAnsi" w:hAnsiTheme="minorHAnsi"/>
          <w:color w:val="auto"/>
          <w:szCs w:val="24"/>
        </w:rPr>
        <w:t xml:space="preserve">, </w:t>
      </w:r>
      <w:r w:rsidR="00907EE1" w:rsidRPr="005B3944">
        <w:rPr>
          <w:rFonts w:asciiTheme="minorHAnsi" w:hAnsiTheme="minorHAnsi"/>
          <w:color w:val="auto"/>
          <w:szCs w:val="24"/>
        </w:rPr>
        <w:t xml:space="preserve">and decreased concentration/forgetfulness.  Social withdrawal was also noted, without additional details.  </w:t>
      </w:r>
      <w:r w:rsidR="002E161C" w:rsidRPr="005B3944">
        <w:rPr>
          <w:rFonts w:asciiTheme="minorHAnsi" w:hAnsiTheme="minorHAnsi"/>
          <w:color w:val="auto"/>
          <w:szCs w:val="24"/>
        </w:rPr>
        <w:t xml:space="preserve">The NARSUM reported the CI was </w:t>
      </w:r>
      <w:r w:rsidR="0014125B" w:rsidRPr="005B3944">
        <w:rPr>
          <w:rFonts w:asciiTheme="minorHAnsi" w:hAnsiTheme="minorHAnsi"/>
          <w:color w:val="auto"/>
          <w:szCs w:val="24"/>
        </w:rPr>
        <w:t>prescribed</w:t>
      </w:r>
      <w:r w:rsidR="002E161C" w:rsidRPr="005B3944">
        <w:rPr>
          <w:rFonts w:asciiTheme="minorHAnsi" w:hAnsiTheme="minorHAnsi"/>
          <w:color w:val="auto"/>
          <w:szCs w:val="24"/>
        </w:rPr>
        <w:t xml:space="preserve"> two psychotropic medications, and the addendum noted two sessions of psychotherapy.  </w:t>
      </w:r>
      <w:r w:rsidR="0014125B" w:rsidRPr="005B3944">
        <w:rPr>
          <w:rFonts w:asciiTheme="minorHAnsi" w:hAnsiTheme="minorHAnsi"/>
          <w:color w:val="auto"/>
          <w:szCs w:val="24"/>
        </w:rPr>
        <w:t xml:space="preserve">The commander’s statement noted the CI’s </w:t>
      </w:r>
      <w:proofErr w:type="spellStart"/>
      <w:r w:rsidR="0014125B" w:rsidRPr="005B3944">
        <w:rPr>
          <w:rFonts w:asciiTheme="minorHAnsi" w:hAnsiTheme="minorHAnsi"/>
          <w:color w:val="auto"/>
          <w:szCs w:val="24"/>
        </w:rPr>
        <w:t>syncopal</w:t>
      </w:r>
      <w:proofErr w:type="spellEnd"/>
      <w:r w:rsidR="0014125B" w:rsidRPr="005B3944">
        <w:rPr>
          <w:rFonts w:asciiTheme="minorHAnsi" w:hAnsiTheme="minorHAnsi"/>
          <w:color w:val="auto"/>
          <w:szCs w:val="24"/>
        </w:rPr>
        <w:t xml:space="preserve"> episodes “may have physical and emotional causes,” </w:t>
      </w:r>
      <w:r w:rsidR="005D40EB" w:rsidRPr="005B3944">
        <w:rPr>
          <w:rFonts w:asciiTheme="minorHAnsi" w:hAnsiTheme="minorHAnsi"/>
          <w:color w:val="auto"/>
          <w:szCs w:val="24"/>
        </w:rPr>
        <w:t>but did not identify any other mental health-related impairment; the commander further noted the CI’s</w:t>
      </w:r>
      <w:r w:rsidR="0014125B" w:rsidRPr="005B3944">
        <w:rPr>
          <w:rFonts w:asciiTheme="minorHAnsi" w:hAnsiTheme="minorHAnsi"/>
          <w:color w:val="auto"/>
          <w:szCs w:val="24"/>
        </w:rPr>
        <w:t xml:space="preserve"> condition interfered with his functional reliability such that he could not perform his Security Forces duties, </w:t>
      </w:r>
      <w:r w:rsidR="00BE4400" w:rsidRPr="005B3944">
        <w:rPr>
          <w:rFonts w:asciiTheme="minorHAnsi" w:hAnsiTheme="minorHAnsi"/>
          <w:color w:val="auto"/>
          <w:szCs w:val="24"/>
        </w:rPr>
        <w:t>“</w:t>
      </w:r>
      <w:r w:rsidR="0014125B" w:rsidRPr="005B3944">
        <w:rPr>
          <w:rFonts w:asciiTheme="minorHAnsi" w:hAnsiTheme="minorHAnsi"/>
          <w:color w:val="auto"/>
          <w:szCs w:val="24"/>
        </w:rPr>
        <w:t>although it did not preclude him from serving in the military in some other capacity.</w:t>
      </w:r>
      <w:r w:rsidR="00BE4400" w:rsidRPr="005B3944">
        <w:rPr>
          <w:rFonts w:asciiTheme="minorHAnsi" w:hAnsiTheme="minorHAnsi"/>
          <w:color w:val="auto"/>
          <w:szCs w:val="24"/>
        </w:rPr>
        <w:t>”</w:t>
      </w:r>
      <w:r w:rsidR="0014125B" w:rsidRPr="005B3944">
        <w:rPr>
          <w:rFonts w:asciiTheme="minorHAnsi" w:hAnsiTheme="minorHAnsi"/>
          <w:color w:val="auto"/>
          <w:szCs w:val="24"/>
        </w:rPr>
        <w:t xml:space="preserve">  </w:t>
      </w:r>
      <w:r w:rsidR="00907EE1" w:rsidRPr="005B3944">
        <w:rPr>
          <w:rFonts w:asciiTheme="minorHAnsi" w:hAnsiTheme="minorHAnsi"/>
          <w:color w:val="auto"/>
          <w:szCs w:val="24"/>
        </w:rPr>
        <w:t>Mental Status Exam (MSE) revealed depressed mood and blunted affect.  The remainder of the exam was normal, with no suicidal or homicidal ideation, psychotic symptoms, cognitive impairment, or speech abnormalities.</w:t>
      </w:r>
      <w:r w:rsidR="0030372F" w:rsidRPr="005B3944">
        <w:rPr>
          <w:rFonts w:asciiTheme="minorHAnsi" w:hAnsiTheme="minorHAnsi"/>
          <w:color w:val="auto"/>
          <w:szCs w:val="24"/>
        </w:rPr>
        <w:t xml:space="preserve">  Global Assessment of Functioning (GAF) was </w:t>
      </w:r>
      <w:r w:rsidR="005D40EB" w:rsidRPr="005B3944">
        <w:rPr>
          <w:rFonts w:asciiTheme="minorHAnsi" w:hAnsiTheme="minorHAnsi"/>
          <w:color w:val="auto"/>
          <w:szCs w:val="24"/>
        </w:rPr>
        <w:t xml:space="preserve">not </w:t>
      </w:r>
      <w:r w:rsidR="0030372F" w:rsidRPr="005B3944">
        <w:rPr>
          <w:rFonts w:asciiTheme="minorHAnsi" w:hAnsiTheme="minorHAnsi"/>
          <w:color w:val="auto"/>
          <w:szCs w:val="24"/>
        </w:rPr>
        <w:t>found in the record.</w:t>
      </w:r>
      <w:r w:rsidR="00907EE1" w:rsidRPr="005B3944">
        <w:rPr>
          <w:rFonts w:asciiTheme="minorHAnsi" w:hAnsiTheme="minorHAnsi"/>
          <w:color w:val="auto"/>
          <w:szCs w:val="24"/>
        </w:rPr>
        <w:t xml:space="preserve"> </w:t>
      </w:r>
      <w:r w:rsidR="009F1B12" w:rsidRPr="005B3944">
        <w:rPr>
          <w:rFonts w:asciiTheme="minorHAnsi" w:hAnsiTheme="minorHAnsi"/>
          <w:color w:val="auto"/>
          <w:szCs w:val="24"/>
        </w:rPr>
        <w:t xml:space="preserve"> </w:t>
      </w:r>
      <w:r w:rsidR="00BE4400" w:rsidRPr="005B3944">
        <w:rPr>
          <w:rFonts w:asciiTheme="minorHAnsi" w:hAnsiTheme="minorHAnsi"/>
          <w:color w:val="auto"/>
          <w:szCs w:val="24"/>
        </w:rPr>
        <w:t xml:space="preserve">The CI was on two </w:t>
      </w:r>
      <w:r w:rsidR="002742C3" w:rsidRPr="005B3944">
        <w:rPr>
          <w:rFonts w:asciiTheme="minorHAnsi" w:hAnsiTheme="minorHAnsi"/>
          <w:color w:val="auto"/>
          <w:szCs w:val="24"/>
        </w:rPr>
        <w:t xml:space="preserve">psychotropic </w:t>
      </w:r>
      <w:r w:rsidR="00BE4400" w:rsidRPr="005B3944">
        <w:rPr>
          <w:rFonts w:asciiTheme="minorHAnsi" w:hAnsiTheme="minorHAnsi"/>
          <w:color w:val="auto"/>
          <w:szCs w:val="24"/>
        </w:rPr>
        <w:t xml:space="preserve">medications for mental health symptoms.  </w:t>
      </w:r>
      <w:r w:rsidR="009F1B12" w:rsidRPr="005B3944">
        <w:rPr>
          <w:rFonts w:asciiTheme="minorHAnsi" w:hAnsiTheme="minorHAnsi"/>
          <w:color w:val="auto"/>
          <w:szCs w:val="24"/>
        </w:rPr>
        <w:t>The MEB noted the CI’s social and industrial im</w:t>
      </w:r>
      <w:r w:rsidR="00FA0EBA" w:rsidRPr="005B3944">
        <w:rPr>
          <w:rFonts w:asciiTheme="minorHAnsi" w:hAnsiTheme="minorHAnsi"/>
          <w:color w:val="auto"/>
          <w:szCs w:val="24"/>
        </w:rPr>
        <w:t>pairment was “mild,</w:t>
      </w:r>
      <w:r w:rsidR="009F1B12" w:rsidRPr="005B3944">
        <w:rPr>
          <w:rFonts w:asciiTheme="minorHAnsi" w:hAnsiTheme="minorHAnsi"/>
          <w:color w:val="auto"/>
          <w:szCs w:val="24"/>
        </w:rPr>
        <w:t xml:space="preserve">” </w:t>
      </w:r>
      <w:r w:rsidR="00FA0EBA" w:rsidRPr="005B3944">
        <w:rPr>
          <w:rFonts w:asciiTheme="minorHAnsi" w:hAnsiTheme="minorHAnsi"/>
          <w:color w:val="auto"/>
          <w:szCs w:val="24"/>
        </w:rPr>
        <w:t>and the NARSUM stated that the CI’s psychiatric examiner “believes that psychological factors may play a role affecting his other medical conditions, but that his depression is otherwise well controlled.”</w:t>
      </w:r>
    </w:p>
    <w:p w:rsidR="00907EE1" w:rsidRPr="005B3944" w:rsidRDefault="00907EE1" w:rsidP="002B3445">
      <w:pPr>
        <w:spacing w:line="240" w:lineRule="exact"/>
        <w:jc w:val="both"/>
        <w:rPr>
          <w:rFonts w:asciiTheme="minorHAnsi" w:hAnsiTheme="minorHAnsi"/>
          <w:color w:val="auto"/>
          <w:szCs w:val="24"/>
        </w:rPr>
      </w:pPr>
    </w:p>
    <w:p w:rsidR="00907EE1" w:rsidRPr="005B3944" w:rsidRDefault="00907EE1" w:rsidP="00614D1C">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VA exam, five months post-separation, </w:t>
      </w:r>
      <w:r w:rsidR="00CC3736" w:rsidRPr="005B3944">
        <w:rPr>
          <w:rFonts w:asciiTheme="minorHAnsi" w:hAnsiTheme="minorHAnsi"/>
          <w:color w:val="auto"/>
          <w:szCs w:val="24"/>
        </w:rPr>
        <w:t>diagnosed major depressive disorder, recurrent, mild</w:t>
      </w:r>
      <w:r w:rsidR="00614D1C" w:rsidRPr="005B3944">
        <w:rPr>
          <w:rFonts w:asciiTheme="minorHAnsi" w:hAnsiTheme="minorHAnsi"/>
          <w:color w:val="auto"/>
          <w:szCs w:val="24"/>
        </w:rPr>
        <w:t xml:space="preserve">.  In addition to his pre-separation </w:t>
      </w:r>
      <w:r w:rsidR="00CC3736" w:rsidRPr="005B3944">
        <w:rPr>
          <w:rFonts w:asciiTheme="minorHAnsi" w:hAnsiTheme="minorHAnsi"/>
          <w:color w:val="auto"/>
          <w:szCs w:val="24"/>
        </w:rPr>
        <w:t>symptoms</w:t>
      </w:r>
      <w:r w:rsidR="00614D1C" w:rsidRPr="005B3944">
        <w:rPr>
          <w:rFonts w:asciiTheme="minorHAnsi" w:hAnsiTheme="minorHAnsi"/>
          <w:color w:val="auto"/>
          <w:szCs w:val="24"/>
        </w:rPr>
        <w:t>, the CI noted insomnia with three to four hours of sleep per night</w:t>
      </w:r>
      <w:r w:rsidR="008442CE" w:rsidRPr="005B3944">
        <w:rPr>
          <w:rFonts w:asciiTheme="minorHAnsi" w:hAnsiTheme="minorHAnsi"/>
          <w:color w:val="auto"/>
          <w:szCs w:val="24"/>
        </w:rPr>
        <w:t>, and occasional anxiety in social situations</w:t>
      </w:r>
      <w:r w:rsidR="002E161C" w:rsidRPr="005B3944">
        <w:rPr>
          <w:rFonts w:asciiTheme="minorHAnsi" w:hAnsiTheme="minorHAnsi"/>
          <w:color w:val="auto"/>
          <w:szCs w:val="24"/>
        </w:rPr>
        <w:t>.</w:t>
      </w:r>
      <w:r w:rsidR="00CC3736" w:rsidRPr="005B3944">
        <w:rPr>
          <w:rFonts w:asciiTheme="minorHAnsi" w:hAnsiTheme="minorHAnsi"/>
          <w:color w:val="auto"/>
          <w:szCs w:val="24"/>
        </w:rPr>
        <w:t xml:space="preserve">  </w:t>
      </w:r>
      <w:r w:rsidR="005D40EB" w:rsidRPr="005B3944">
        <w:rPr>
          <w:rFonts w:asciiTheme="minorHAnsi" w:hAnsiTheme="minorHAnsi"/>
          <w:color w:val="auto"/>
          <w:szCs w:val="24"/>
        </w:rPr>
        <w:t>The CI</w:t>
      </w:r>
      <w:r w:rsidR="002E161C" w:rsidRPr="005B3944">
        <w:rPr>
          <w:rFonts w:asciiTheme="minorHAnsi" w:hAnsiTheme="minorHAnsi"/>
          <w:color w:val="auto"/>
          <w:szCs w:val="24"/>
        </w:rPr>
        <w:t xml:space="preserve"> reported no improvement from his three drug psychotropic regimen.  </w:t>
      </w:r>
      <w:r w:rsidR="00614D1C" w:rsidRPr="005B3944">
        <w:rPr>
          <w:rFonts w:asciiTheme="minorHAnsi" w:hAnsiTheme="minorHAnsi"/>
          <w:color w:val="auto"/>
          <w:szCs w:val="24"/>
        </w:rPr>
        <w:t>The CI was unemployed</w:t>
      </w:r>
      <w:r w:rsidR="002E161C" w:rsidRPr="005B3944">
        <w:rPr>
          <w:rFonts w:asciiTheme="minorHAnsi" w:hAnsiTheme="minorHAnsi"/>
          <w:color w:val="auto"/>
          <w:szCs w:val="24"/>
        </w:rPr>
        <w:t xml:space="preserve"> a</w:t>
      </w:r>
      <w:r w:rsidR="00614D1C" w:rsidRPr="005B3944">
        <w:rPr>
          <w:rFonts w:asciiTheme="minorHAnsi" w:hAnsiTheme="minorHAnsi"/>
          <w:color w:val="auto"/>
          <w:szCs w:val="24"/>
        </w:rPr>
        <w:t xml:space="preserve">nd “had to file for bankruptcy and collect unemployment due to being unable to find a job since his discharge from the military.”  </w:t>
      </w:r>
      <w:r w:rsidR="002E161C" w:rsidRPr="005B3944">
        <w:rPr>
          <w:rFonts w:asciiTheme="minorHAnsi" w:hAnsiTheme="minorHAnsi"/>
          <w:color w:val="auto"/>
          <w:szCs w:val="24"/>
        </w:rPr>
        <w:t xml:space="preserve">The examiner noted mild difficulties in establishing and maintaining social relationships due to his depression.  </w:t>
      </w:r>
      <w:r w:rsidR="00CC3736" w:rsidRPr="005B3944">
        <w:rPr>
          <w:rFonts w:asciiTheme="minorHAnsi" w:hAnsiTheme="minorHAnsi"/>
          <w:color w:val="auto"/>
          <w:szCs w:val="24"/>
        </w:rPr>
        <w:t xml:space="preserve">MSE was significant for mildly depressed mood with congruent affect.  There was no suicidal ideation, psychotic symptoms, speech disturbance, cognitive impairment or other abnormalities.  </w:t>
      </w:r>
      <w:r w:rsidR="0030372F" w:rsidRPr="005B3944">
        <w:rPr>
          <w:rFonts w:asciiTheme="minorHAnsi" w:hAnsiTheme="minorHAnsi"/>
          <w:color w:val="auto"/>
          <w:szCs w:val="24"/>
        </w:rPr>
        <w:t xml:space="preserve">GAF </w:t>
      </w:r>
      <w:r w:rsidR="00CC3736" w:rsidRPr="005B3944">
        <w:rPr>
          <w:rFonts w:asciiTheme="minorHAnsi" w:hAnsiTheme="minorHAnsi"/>
          <w:color w:val="auto"/>
          <w:szCs w:val="24"/>
        </w:rPr>
        <w:t xml:space="preserve">was 55, indicating moderate symptoms or moderate difficulty in social or occupational functioning.  The VA rated the exam at 30% IAW VASRD </w:t>
      </w:r>
      <w:r w:rsidR="00CC3736" w:rsidRPr="005B3944">
        <w:rPr>
          <w:rFonts w:asciiTheme="minorHAnsi" w:hAnsiTheme="minorHAnsi" w:cstheme="minorHAnsi"/>
          <w:color w:val="auto"/>
          <w:szCs w:val="24"/>
        </w:rPr>
        <w:t>§</w:t>
      </w:r>
      <w:r w:rsidR="00CC3736" w:rsidRPr="005B3944">
        <w:rPr>
          <w:rFonts w:asciiTheme="minorHAnsi" w:hAnsiTheme="minorHAnsi"/>
          <w:color w:val="auto"/>
          <w:szCs w:val="24"/>
        </w:rPr>
        <w:t>4.130.</w:t>
      </w:r>
    </w:p>
    <w:p w:rsidR="00EB2097" w:rsidRPr="005B3944" w:rsidRDefault="00EB2097" w:rsidP="00614D1C">
      <w:pPr>
        <w:spacing w:line="240" w:lineRule="exact"/>
        <w:jc w:val="both"/>
        <w:rPr>
          <w:rFonts w:asciiTheme="minorHAnsi" w:hAnsiTheme="minorHAnsi"/>
          <w:color w:val="auto"/>
          <w:szCs w:val="24"/>
        </w:rPr>
      </w:pPr>
    </w:p>
    <w:p w:rsidR="007E65B8" w:rsidRPr="005B3944" w:rsidRDefault="00E744FB" w:rsidP="005B7F32">
      <w:pPr>
        <w:spacing w:line="240" w:lineRule="exact"/>
        <w:jc w:val="both"/>
        <w:rPr>
          <w:rFonts w:asciiTheme="minorHAnsi" w:hAnsiTheme="minorHAnsi"/>
          <w:color w:val="auto"/>
          <w:szCs w:val="24"/>
        </w:rPr>
      </w:pPr>
      <w:r w:rsidRPr="005B3944">
        <w:rPr>
          <w:rFonts w:asciiTheme="minorHAnsi" w:hAnsiTheme="minorHAnsi"/>
          <w:color w:val="auto"/>
          <w:szCs w:val="24"/>
        </w:rPr>
        <w:t xml:space="preserve">Although remote from separation, a VA outpatient note at 13 months post-separation, reported the CI stated he was hospitalized for homicidal ideation toward a coworker for one week at some point prior to separation (not confirmed in record).  </w:t>
      </w:r>
      <w:r w:rsidR="005B7F32" w:rsidRPr="005B3944">
        <w:rPr>
          <w:rFonts w:asciiTheme="minorHAnsi" w:hAnsiTheme="minorHAnsi"/>
          <w:color w:val="auto"/>
          <w:szCs w:val="24"/>
        </w:rPr>
        <w:t xml:space="preserve">The CI also reported a history of occasional auditory hallucinations.  The examiner assigned a GAF of 65, indicating some mild symptoms or some difficulty in social or occupational functioning, but generally functioning pretty well, having some meaningful interpersonal relationships.  </w:t>
      </w:r>
      <w:r w:rsidR="007E65B8" w:rsidRPr="005B3944">
        <w:rPr>
          <w:rFonts w:asciiTheme="minorHAnsi" w:hAnsiTheme="minorHAnsi"/>
          <w:color w:val="auto"/>
          <w:szCs w:val="24"/>
        </w:rPr>
        <w:t xml:space="preserve">Also, at a VA exam for headaches and syncope, 19 months post-separation, the examiner reported the CI was “unable to get any employment because of his medical background of migraine headaches and syncope,” without mention of occupational impact from any mental </w:t>
      </w:r>
      <w:r w:rsidR="005B7F32" w:rsidRPr="005B3944">
        <w:rPr>
          <w:rFonts w:asciiTheme="minorHAnsi" w:hAnsiTheme="minorHAnsi"/>
          <w:color w:val="auto"/>
          <w:szCs w:val="24"/>
        </w:rPr>
        <w:t>condition</w:t>
      </w:r>
      <w:r w:rsidR="007E65B8" w:rsidRPr="005B3944">
        <w:rPr>
          <w:rFonts w:asciiTheme="minorHAnsi" w:hAnsiTheme="minorHAnsi"/>
          <w:color w:val="auto"/>
          <w:szCs w:val="24"/>
        </w:rPr>
        <w:t>.</w:t>
      </w:r>
    </w:p>
    <w:p w:rsidR="00E744FB" w:rsidRPr="005B3944" w:rsidRDefault="00E744FB" w:rsidP="00614D1C">
      <w:pPr>
        <w:spacing w:line="240" w:lineRule="exact"/>
        <w:jc w:val="both"/>
        <w:rPr>
          <w:rFonts w:asciiTheme="minorHAnsi" w:hAnsiTheme="minorHAnsi"/>
          <w:color w:val="auto"/>
          <w:szCs w:val="24"/>
        </w:rPr>
      </w:pPr>
    </w:p>
    <w:p w:rsidR="00FE7560" w:rsidRPr="005B3944" w:rsidRDefault="00FE7560" w:rsidP="00FE7560">
      <w:pPr>
        <w:spacing w:line="240" w:lineRule="exact"/>
        <w:jc w:val="both"/>
        <w:rPr>
          <w:rFonts w:asciiTheme="minorHAnsi" w:hAnsiTheme="minorHAnsi"/>
          <w:color w:val="auto"/>
          <w:szCs w:val="24"/>
        </w:rPr>
      </w:pPr>
      <w:r w:rsidRPr="005B3944">
        <w:rPr>
          <w:rFonts w:asciiTheme="minorHAnsi" w:hAnsiTheme="minorHAnsi"/>
          <w:color w:val="auto"/>
          <w:szCs w:val="24"/>
        </w:rPr>
        <w:lastRenderedPageBreak/>
        <w:t xml:space="preserve">The Board considered if the depressive disorder, having been de-coupled from the combined PEB adjudication with syncope, remained independently unfitting as established above.  There was no indication that the CI’s unfitting syncope was due to a psychiatric component, and there was sufficient diagnostic testing to support the diagnosis of </w:t>
      </w:r>
      <w:proofErr w:type="spellStart"/>
      <w:r w:rsidRPr="005B3944">
        <w:rPr>
          <w:rFonts w:asciiTheme="minorHAnsi" w:hAnsiTheme="minorHAnsi"/>
          <w:color w:val="auto"/>
          <w:szCs w:val="24"/>
        </w:rPr>
        <w:t>neurocardiogenic</w:t>
      </w:r>
      <w:proofErr w:type="spellEnd"/>
      <w:r w:rsidRPr="005B3944">
        <w:rPr>
          <w:rFonts w:asciiTheme="minorHAnsi" w:hAnsiTheme="minorHAnsi"/>
          <w:color w:val="auto"/>
          <w:szCs w:val="24"/>
        </w:rPr>
        <w:t xml:space="preserve"> syncope.  The depressive disorder was attributed to </w:t>
      </w:r>
      <w:r w:rsidR="00FC718E" w:rsidRPr="005B3944">
        <w:rPr>
          <w:rFonts w:asciiTheme="minorHAnsi" w:hAnsiTheme="minorHAnsi"/>
          <w:color w:val="auto"/>
          <w:szCs w:val="24"/>
        </w:rPr>
        <w:t xml:space="preserve">occupational difficulties tied to his syncope and work restrictions.  </w:t>
      </w:r>
      <w:r w:rsidR="00080811" w:rsidRPr="005B3944">
        <w:rPr>
          <w:rFonts w:asciiTheme="minorHAnsi" w:hAnsiTheme="minorHAnsi"/>
          <w:color w:val="auto"/>
          <w:szCs w:val="24"/>
        </w:rPr>
        <w:t xml:space="preserve">In addition to this workplace stress, the CI likely experienced stress attributable to the DES process and impending separation.  </w:t>
      </w:r>
      <w:r w:rsidR="00264FC6" w:rsidRPr="005B3944">
        <w:rPr>
          <w:rFonts w:asciiTheme="minorHAnsi" w:hAnsiTheme="minorHAnsi"/>
          <w:color w:val="auto"/>
          <w:szCs w:val="24"/>
        </w:rPr>
        <w:t xml:space="preserve">Also, the neurology addendum “impression” conflicted with </w:t>
      </w:r>
      <w:r w:rsidR="00080811" w:rsidRPr="005B3944">
        <w:rPr>
          <w:rFonts w:asciiTheme="minorHAnsi" w:hAnsiTheme="minorHAnsi"/>
          <w:color w:val="auto"/>
          <w:szCs w:val="24"/>
        </w:rPr>
        <w:t>the</w:t>
      </w:r>
      <w:r w:rsidR="00D228A7" w:rsidRPr="005B3944">
        <w:rPr>
          <w:rFonts w:asciiTheme="minorHAnsi" w:hAnsiTheme="minorHAnsi"/>
          <w:color w:val="auto"/>
          <w:szCs w:val="24"/>
        </w:rPr>
        <w:t xml:space="preserve"> psychiatric addendum </w:t>
      </w:r>
      <w:r w:rsidR="00080811" w:rsidRPr="005B3944">
        <w:rPr>
          <w:rFonts w:asciiTheme="minorHAnsi" w:hAnsiTheme="minorHAnsi"/>
          <w:color w:val="auto"/>
          <w:szCs w:val="24"/>
        </w:rPr>
        <w:t>list</w:t>
      </w:r>
      <w:r w:rsidR="00264FC6" w:rsidRPr="005B3944">
        <w:rPr>
          <w:rFonts w:asciiTheme="minorHAnsi" w:hAnsiTheme="minorHAnsi"/>
          <w:color w:val="auto"/>
          <w:szCs w:val="24"/>
        </w:rPr>
        <w:t xml:space="preserve"> of</w:t>
      </w:r>
      <w:r w:rsidR="00080811" w:rsidRPr="005B3944">
        <w:rPr>
          <w:rFonts w:asciiTheme="minorHAnsi" w:hAnsiTheme="minorHAnsi"/>
          <w:color w:val="auto"/>
          <w:szCs w:val="24"/>
        </w:rPr>
        <w:t xml:space="preserve"> </w:t>
      </w:r>
      <w:r w:rsidR="00D228A7" w:rsidRPr="005B3944">
        <w:rPr>
          <w:rFonts w:asciiTheme="minorHAnsi" w:hAnsiTheme="minorHAnsi"/>
          <w:color w:val="auto"/>
          <w:szCs w:val="24"/>
        </w:rPr>
        <w:t>diagnoses</w:t>
      </w:r>
      <w:r w:rsidR="00264FC6" w:rsidRPr="005B3944">
        <w:rPr>
          <w:rFonts w:asciiTheme="minorHAnsi" w:hAnsiTheme="minorHAnsi"/>
          <w:color w:val="auto"/>
          <w:szCs w:val="24"/>
        </w:rPr>
        <w:t xml:space="preserve">. </w:t>
      </w:r>
      <w:r w:rsidR="00D228A7" w:rsidRPr="005B3944">
        <w:rPr>
          <w:rFonts w:asciiTheme="minorHAnsi" w:hAnsiTheme="minorHAnsi"/>
          <w:color w:val="auto"/>
          <w:szCs w:val="24"/>
        </w:rPr>
        <w:t xml:space="preserve"> </w:t>
      </w:r>
      <w:r w:rsidR="00264FC6" w:rsidRPr="005B3944">
        <w:rPr>
          <w:rFonts w:asciiTheme="minorHAnsi" w:hAnsiTheme="minorHAnsi"/>
          <w:color w:val="auto"/>
          <w:szCs w:val="24"/>
        </w:rPr>
        <w:t xml:space="preserve">The neurology addendum </w:t>
      </w:r>
      <w:r w:rsidR="00080811" w:rsidRPr="005B3944">
        <w:rPr>
          <w:rFonts w:asciiTheme="minorHAnsi" w:hAnsiTheme="minorHAnsi"/>
          <w:color w:val="auto"/>
          <w:szCs w:val="24"/>
        </w:rPr>
        <w:t>noted</w:t>
      </w:r>
      <w:r w:rsidR="00D228A7" w:rsidRPr="005B3944">
        <w:rPr>
          <w:rFonts w:asciiTheme="minorHAnsi" w:hAnsiTheme="minorHAnsi"/>
          <w:color w:val="auto"/>
          <w:szCs w:val="24"/>
        </w:rPr>
        <w:t xml:space="preserve"> “adjustment disorder with depressed mood, chronic </w:t>
      </w:r>
      <w:r w:rsidR="00080811" w:rsidRPr="005B3944">
        <w:rPr>
          <w:rFonts w:asciiTheme="minorHAnsi" w:hAnsiTheme="minorHAnsi"/>
          <w:color w:val="auto"/>
          <w:szCs w:val="24"/>
        </w:rPr>
        <w:t>vs.</w:t>
      </w:r>
      <w:r w:rsidR="00D228A7" w:rsidRPr="005B3944">
        <w:rPr>
          <w:rFonts w:asciiTheme="minorHAnsi" w:hAnsiTheme="minorHAnsi"/>
          <w:color w:val="auto"/>
          <w:szCs w:val="24"/>
        </w:rPr>
        <w:t xml:space="preserve"> major depressive disorder, recurrent,” </w:t>
      </w:r>
      <w:r w:rsidR="00080811" w:rsidRPr="005B3944">
        <w:rPr>
          <w:rFonts w:asciiTheme="minorHAnsi" w:hAnsiTheme="minorHAnsi"/>
          <w:color w:val="auto"/>
          <w:szCs w:val="24"/>
        </w:rPr>
        <w:t xml:space="preserve">(in addition to “psychological factors affecting physical condition”), </w:t>
      </w:r>
      <w:r w:rsidR="00D228A7" w:rsidRPr="005B3944">
        <w:rPr>
          <w:rFonts w:asciiTheme="minorHAnsi" w:hAnsiTheme="minorHAnsi"/>
          <w:color w:val="auto"/>
          <w:szCs w:val="24"/>
        </w:rPr>
        <w:t xml:space="preserve">while the </w:t>
      </w:r>
      <w:r w:rsidR="00264FC6" w:rsidRPr="005B3944">
        <w:rPr>
          <w:rFonts w:asciiTheme="minorHAnsi" w:hAnsiTheme="minorHAnsi"/>
          <w:color w:val="auto"/>
          <w:szCs w:val="24"/>
        </w:rPr>
        <w:t>psychiatric addendum</w:t>
      </w:r>
      <w:r w:rsidR="00D228A7" w:rsidRPr="005B3944">
        <w:rPr>
          <w:rFonts w:asciiTheme="minorHAnsi" w:hAnsiTheme="minorHAnsi"/>
          <w:color w:val="auto"/>
          <w:szCs w:val="24"/>
        </w:rPr>
        <w:t xml:space="preserve"> listed “depressive disorder, not otherwise specified” as an Axis I diagnosis.</w:t>
      </w:r>
    </w:p>
    <w:p w:rsidR="00FE7560" w:rsidRPr="005B3944" w:rsidRDefault="00FE7560" w:rsidP="00FE7560">
      <w:pPr>
        <w:spacing w:line="240" w:lineRule="exact"/>
        <w:jc w:val="both"/>
        <w:rPr>
          <w:rFonts w:asciiTheme="minorHAnsi" w:hAnsiTheme="minorHAnsi"/>
          <w:color w:val="auto"/>
          <w:szCs w:val="24"/>
        </w:rPr>
      </w:pPr>
    </w:p>
    <w:p w:rsidR="00341A5E" w:rsidRPr="005B3944" w:rsidRDefault="002742C3" w:rsidP="00341A5E">
      <w:pPr>
        <w:spacing w:line="240" w:lineRule="exact"/>
        <w:jc w:val="both"/>
        <w:rPr>
          <w:rFonts w:asciiTheme="minorHAnsi" w:hAnsiTheme="minorHAnsi"/>
          <w:color w:val="auto"/>
          <w:szCs w:val="24"/>
        </w:rPr>
      </w:pPr>
      <w:r w:rsidRPr="005B3944">
        <w:rPr>
          <w:rFonts w:asciiTheme="minorHAnsi" w:hAnsiTheme="minorHAnsi"/>
          <w:color w:val="auto"/>
          <w:szCs w:val="24"/>
        </w:rPr>
        <w:t xml:space="preserve">As previously elaborated, the Board must first consider whether depressive disorder remains separately unfitting, having de-coupled it from a combined PEB adjudication.  In analyzing the intrinsic impairment for appropriately coding and rating the depressive disorder, the Board is left with a questionable basis for arguing that it was indeed independently unfitting.  The CI had an S1 profile and the commander’s statement only mentioned that the syncope may have had emotional causes.  </w:t>
      </w:r>
      <w:r w:rsidR="00341A5E" w:rsidRPr="005B3944">
        <w:rPr>
          <w:rFonts w:asciiTheme="minorHAnsi" w:hAnsiTheme="minorHAnsi"/>
          <w:color w:val="auto"/>
          <w:szCs w:val="24"/>
        </w:rPr>
        <w:t xml:space="preserve">After due deliberation, the Board agreed that evidence does not support a conclusion that depressive disorder, as an isolated condition, would have rendered the CI incapable of continued service within his </w:t>
      </w:r>
      <w:r w:rsidR="004E3C99">
        <w:rPr>
          <w:rFonts w:asciiTheme="minorHAnsi" w:hAnsiTheme="minorHAnsi"/>
          <w:color w:val="auto"/>
          <w:szCs w:val="24"/>
        </w:rPr>
        <w:t>AFS</w:t>
      </w:r>
      <w:r w:rsidR="00341A5E" w:rsidRPr="005B3944">
        <w:rPr>
          <w:rFonts w:asciiTheme="minorHAnsi" w:hAnsiTheme="minorHAnsi"/>
          <w:color w:val="auto"/>
          <w:szCs w:val="24"/>
        </w:rPr>
        <w:t>; and, accordingly cannot recommend a separate Service rating for it.</w:t>
      </w:r>
    </w:p>
    <w:p w:rsidR="00BE37C1" w:rsidRPr="005B3944" w:rsidRDefault="00BE37C1" w:rsidP="0030372F">
      <w:pPr>
        <w:spacing w:line="240" w:lineRule="exact"/>
        <w:jc w:val="both"/>
        <w:rPr>
          <w:rFonts w:asciiTheme="minorHAnsi" w:hAnsiTheme="minorHAnsi"/>
          <w:color w:val="auto"/>
          <w:szCs w:val="24"/>
        </w:rPr>
      </w:pPr>
    </w:p>
    <w:p w:rsidR="00664296" w:rsidRPr="005B3944" w:rsidRDefault="00FC718E" w:rsidP="008442CE">
      <w:pPr>
        <w:spacing w:line="240" w:lineRule="exact"/>
        <w:jc w:val="both"/>
        <w:rPr>
          <w:rFonts w:asciiTheme="minorHAnsi" w:eastAsia="HiddenHorzOCR" w:hAnsiTheme="minorHAnsi"/>
          <w:color w:val="auto"/>
          <w:szCs w:val="24"/>
        </w:rPr>
      </w:pPr>
      <w:proofErr w:type="gramStart"/>
      <w:r w:rsidRPr="005B3944">
        <w:rPr>
          <w:rFonts w:asciiTheme="minorHAnsi" w:eastAsia="HiddenHorzOCR" w:hAnsiTheme="minorHAnsi"/>
          <w:color w:val="auto"/>
          <w:szCs w:val="24"/>
          <w:u w:val="single"/>
        </w:rPr>
        <w:t xml:space="preserve">Other PEB </w:t>
      </w:r>
      <w:r w:rsidR="00664296" w:rsidRPr="005B3944">
        <w:rPr>
          <w:rFonts w:asciiTheme="minorHAnsi" w:eastAsia="HiddenHorzOCR" w:hAnsiTheme="minorHAnsi"/>
          <w:color w:val="auto"/>
          <w:szCs w:val="24"/>
          <w:u w:val="single"/>
        </w:rPr>
        <w:t>Conditions</w:t>
      </w:r>
      <w:r w:rsidR="00664296" w:rsidRPr="005B3944">
        <w:rPr>
          <w:rFonts w:asciiTheme="minorHAnsi" w:eastAsia="HiddenHorzOCR" w:hAnsiTheme="minorHAnsi"/>
          <w:color w:val="auto"/>
          <w:szCs w:val="24"/>
        </w:rPr>
        <w:t>.</w:t>
      </w:r>
      <w:proofErr w:type="gramEnd"/>
      <w:r w:rsidR="00664296" w:rsidRPr="005B3944">
        <w:rPr>
          <w:rFonts w:asciiTheme="minorHAnsi" w:eastAsia="HiddenHorzOCR" w:hAnsiTheme="minorHAnsi"/>
          <w:color w:val="auto"/>
          <w:szCs w:val="24"/>
        </w:rPr>
        <w:t xml:space="preserve"> </w:t>
      </w:r>
      <w:r w:rsidR="007658AC" w:rsidRPr="005B3944">
        <w:rPr>
          <w:rFonts w:asciiTheme="minorHAnsi" w:eastAsia="HiddenHorzOCR" w:hAnsiTheme="minorHAnsi"/>
          <w:color w:val="auto"/>
          <w:szCs w:val="24"/>
        </w:rPr>
        <w:t xml:space="preserve">  </w:t>
      </w:r>
      <w:r w:rsidR="00664296" w:rsidRPr="005B3944">
        <w:rPr>
          <w:rFonts w:asciiTheme="minorHAnsi" w:eastAsia="HiddenHorzOCR" w:hAnsiTheme="minorHAnsi"/>
          <w:color w:val="auto"/>
          <w:szCs w:val="24"/>
        </w:rPr>
        <w:t xml:space="preserve">The other conditions forwarded by the MEB and adjudicated as </w:t>
      </w:r>
      <w:r w:rsidR="004735C8" w:rsidRPr="005B3944">
        <w:rPr>
          <w:rFonts w:asciiTheme="minorHAnsi" w:hAnsiTheme="minorHAnsi"/>
          <w:color w:val="auto"/>
          <w:szCs w:val="24"/>
        </w:rPr>
        <w:t>C</w:t>
      </w:r>
      <w:r w:rsidR="00983523" w:rsidRPr="005B3944">
        <w:rPr>
          <w:rFonts w:asciiTheme="minorHAnsi" w:hAnsiTheme="minorHAnsi"/>
          <w:color w:val="auto"/>
          <w:szCs w:val="24"/>
        </w:rPr>
        <w:t xml:space="preserve">ategory II </w:t>
      </w:r>
      <w:r w:rsidR="004735C8" w:rsidRPr="005B3944">
        <w:rPr>
          <w:rFonts w:asciiTheme="minorHAnsi" w:hAnsiTheme="minorHAnsi"/>
          <w:color w:val="auto"/>
          <w:szCs w:val="24"/>
        </w:rPr>
        <w:t>“</w:t>
      </w:r>
      <w:r w:rsidR="00983523" w:rsidRPr="005B3944">
        <w:rPr>
          <w:rFonts w:asciiTheme="minorHAnsi" w:hAnsiTheme="minorHAnsi"/>
          <w:color w:val="auto"/>
          <w:szCs w:val="24"/>
        </w:rPr>
        <w:t xml:space="preserve">conditions </w:t>
      </w:r>
      <w:r w:rsidR="004735C8" w:rsidRPr="005B3944">
        <w:rPr>
          <w:rFonts w:asciiTheme="minorHAnsi" w:hAnsiTheme="minorHAnsi"/>
          <w:color w:val="auto"/>
          <w:szCs w:val="24"/>
        </w:rPr>
        <w:t xml:space="preserve">that can be unfitting but are </w:t>
      </w:r>
      <w:r w:rsidR="00983523" w:rsidRPr="005B3944">
        <w:rPr>
          <w:rFonts w:asciiTheme="minorHAnsi" w:hAnsiTheme="minorHAnsi"/>
          <w:color w:val="auto"/>
          <w:szCs w:val="24"/>
        </w:rPr>
        <w:t>not currently compensable or ratabl</w:t>
      </w:r>
      <w:r w:rsidR="004735C8" w:rsidRPr="005B3944">
        <w:rPr>
          <w:rFonts w:asciiTheme="minorHAnsi" w:hAnsiTheme="minorHAnsi"/>
          <w:color w:val="auto"/>
          <w:szCs w:val="24"/>
        </w:rPr>
        <w:t>e”</w:t>
      </w:r>
      <w:r w:rsidR="00983523" w:rsidRPr="005B3944">
        <w:rPr>
          <w:rFonts w:asciiTheme="minorHAnsi" w:eastAsia="HiddenHorzOCR" w:hAnsiTheme="minorHAnsi"/>
          <w:color w:val="auto"/>
          <w:szCs w:val="24"/>
        </w:rPr>
        <w:t xml:space="preserve"> </w:t>
      </w:r>
      <w:r w:rsidR="00664296" w:rsidRPr="005B3944">
        <w:rPr>
          <w:rFonts w:asciiTheme="minorHAnsi" w:eastAsia="HiddenHorzOCR" w:hAnsiTheme="minorHAnsi"/>
          <w:color w:val="auto"/>
          <w:szCs w:val="24"/>
        </w:rPr>
        <w:t xml:space="preserve">by the PEB were </w:t>
      </w:r>
      <w:r w:rsidR="00983523" w:rsidRPr="005B3944">
        <w:rPr>
          <w:rFonts w:asciiTheme="minorHAnsi" w:hAnsiTheme="minorHAnsi"/>
          <w:color w:val="auto"/>
          <w:szCs w:val="24"/>
        </w:rPr>
        <w:t xml:space="preserve">pes planovalgus </w:t>
      </w:r>
      <w:r w:rsidRPr="005B3944">
        <w:rPr>
          <w:rFonts w:asciiTheme="minorHAnsi" w:hAnsiTheme="minorHAnsi"/>
          <w:color w:val="auto"/>
          <w:szCs w:val="24"/>
        </w:rPr>
        <w:t xml:space="preserve">(EPTS) </w:t>
      </w:r>
      <w:r w:rsidR="00983523" w:rsidRPr="005B3944">
        <w:rPr>
          <w:rFonts w:asciiTheme="minorHAnsi" w:hAnsiTheme="minorHAnsi"/>
          <w:color w:val="auto"/>
          <w:szCs w:val="24"/>
        </w:rPr>
        <w:t>and headaches</w:t>
      </w:r>
      <w:r w:rsidRPr="005B3944">
        <w:rPr>
          <w:rFonts w:asciiTheme="minorHAnsi" w:hAnsiTheme="minorHAnsi"/>
          <w:color w:val="auto"/>
          <w:szCs w:val="24"/>
        </w:rPr>
        <w:t>, controlled</w:t>
      </w:r>
      <w:r w:rsidR="00983523" w:rsidRPr="005B3944">
        <w:rPr>
          <w:rFonts w:asciiTheme="minorHAnsi" w:hAnsiTheme="minorHAnsi"/>
          <w:color w:val="auto"/>
          <w:szCs w:val="24"/>
        </w:rPr>
        <w:t xml:space="preserve">.  </w:t>
      </w:r>
      <w:r w:rsidR="00881C3A" w:rsidRPr="005B3944">
        <w:rPr>
          <w:rFonts w:asciiTheme="minorHAnsi" w:hAnsiTheme="minorHAnsi"/>
          <w:color w:val="auto"/>
          <w:szCs w:val="24"/>
        </w:rPr>
        <w:t>Of these, only pes planovalgus was profiled</w:t>
      </w:r>
      <w:r w:rsidR="009F1B12" w:rsidRPr="005B3944">
        <w:rPr>
          <w:rFonts w:asciiTheme="minorHAnsi" w:hAnsiTheme="minorHAnsi"/>
          <w:color w:val="auto"/>
          <w:szCs w:val="24"/>
        </w:rPr>
        <w:t>, and that was a temporary L3 profile for bilateral foot pain at 34 months pre-separation</w:t>
      </w:r>
      <w:r w:rsidR="00881C3A" w:rsidRPr="005B3944">
        <w:rPr>
          <w:rFonts w:asciiTheme="minorHAnsi" w:hAnsiTheme="minorHAnsi"/>
          <w:color w:val="auto"/>
          <w:szCs w:val="24"/>
        </w:rPr>
        <w:t xml:space="preserve">.  </w:t>
      </w:r>
      <w:r w:rsidR="00F13B0A" w:rsidRPr="005B3944">
        <w:rPr>
          <w:rFonts w:asciiTheme="minorHAnsi" w:hAnsiTheme="minorHAnsi"/>
          <w:color w:val="auto"/>
          <w:szCs w:val="24"/>
        </w:rPr>
        <w:t xml:space="preserve">The NARSUM reported the CI would typically stop running after about a mile due to his bilateral foot pain.  The MEB stated pes planovalgus existed prior to service (EPTS) and was not permanently aggravated by service.  The CI’s rebuttal to the MEB stated that his foot pain first began after a </w:t>
      </w:r>
      <w:proofErr w:type="spellStart"/>
      <w:r w:rsidR="00F13B0A" w:rsidRPr="005B3944">
        <w:rPr>
          <w:rFonts w:asciiTheme="minorHAnsi" w:hAnsiTheme="minorHAnsi"/>
          <w:color w:val="auto"/>
          <w:szCs w:val="24"/>
        </w:rPr>
        <w:t>ruck</w:t>
      </w:r>
      <w:proofErr w:type="spellEnd"/>
      <w:r w:rsidR="00F13B0A" w:rsidRPr="005B3944">
        <w:rPr>
          <w:rFonts w:asciiTheme="minorHAnsi" w:hAnsiTheme="minorHAnsi"/>
          <w:color w:val="auto"/>
          <w:szCs w:val="24"/>
        </w:rPr>
        <w:t xml:space="preserve"> march du</w:t>
      </w:r>
      <w:r w:rsidR="004E3C99">
        <w:rPr>
          <w:rFonts w:asciiTheme="minorHAnsi" w:hAnsiTheme="minorHAnsi"/>
          <w:color w:val="auto"/>
          <w:szCs w:val="24"/>
        </w:rPr>
        <w:t>ring t</w:t>
      </w:r>
      <w:r w:rsidR="00F13B0A" w:rsidRPr="005B3944">
        <w:rPr>
          <w:rFonts w:asciiTheme="minorHAnsi" w:hAnsiTheme="minorHAnsi"/>
          <w:color w:val="auto"/>
          <w:szCs w:val="24"/>
        </w:rPr>
        <w:t>ech school, and that, although mild flat feet was noted in his MEPS exam</w:t>
      </w:r>
      <w:r w:rsidR="009C3F11" w:rsidRPr="005B3944">
        <w:rPr>
          <w:rFonts w:asciiTheme="minorHAnsi" w:hAnsiTheme="minorHAnsi"/>
          <w:color w:val="auto"/>
          <w:szCs w:val="24"/>
        </w:rPr>
        <w:t xml:space="preserve"> (confirmed in record)</w:t>
      </w:r>
      <w:r w:rsidR="00F13B0A" w:rsidRPr="005B3944">
        <w:rPr>
          <w:rFonts w:asciiTheme="minorHAnsi" w:hAnsiTheme="minorHAnsi"/>
          <w:color w:val="auto"/>
          <w:szCs w:val="24"/>
        </w:rPr>
        <w:t xml:space="preserve">, he did not re-experience foot pain until after his first year of active duty, when his job changed and required prolonged standing.  </w:t>
      </w:r>
      <w:r w:rsidR="008442CE" w:rsidRPr="005B3944">
        <w:rPr>
          <w:rFonts w:asciiTheme="minorHAnsi" w:hAnsiTheme="minorHAnsi"/>
          <w:color w:val="auto"/>
          <w:szCs w:val="24"/>
        </w:rPr>
        <w:t xml:space="preserve">Regarding the headache condition, the neurology addendum noted the CI experienced full relief with medications, and the NARSUM stated that, per </w:t>
      </w:r>
      <w:proofErr w:type="spellStart"/>
      <w:r w:rsidR="008442CE" w:rsidRPr="005B3944">
        <w:rPr>
          <w:rFonts w:asciiTheme="minorHAnsi" w:hAnsiTheme="minorHAnsi"/>
          <w:color w:val="auto"/>
          <w:szCs w:val="24"/>
        </w:rPr>
        <w:t>neurololgy</w:t>
      </w:r>
      <w:proofErr w:type="spellEnd"/>
      <w:r w:rsidR="008442CE" w:rsidRPr="005B3944">
        <w:rPr>
          <w:rFonts w:asciiTheme="minorHAnsi" w:hAnsiTheme="minorHAnsi"/>
          <w:color w:val="auto"/>
          <w:szCs w:val="24"/>
        </w:rPr>
        <w:t xml:space="preserve">, the CI’s headaches “may moderately affect </w:t>
      </w:r>
      <w:r w:rsidRPr="005B3944">
        <w:rPr>
          <w:rFonts w:asciiTheme="minorHAnsi" w:hAnsiTheme="minorHAnsi"/>
          <w:color w:val="auto"/>
          <w:szCs w:val="24"/>
        </w:rPr>
        <w:t>[CI’s]</w:t>
      </w:r>
      <w:r w:rsidR="008442CE" w:rsidRPr="005B3944">
        <w:rPr>
          <w:rFonts w:asciiTheme="minorHAnsi" w:hAnsiTheme="minorHAnsi"/>
          <w:color w:val="auto"/>
          <w:szCs w:val="24"/>
        </w:rPr>
        <w:t xml:space="preserve"> ability to perform his duties, but his symptoms have improved on treatment, and [the neurologist] believes they will continue to improve.”  </w:t>
      </w:r>
      <w:r w:rsidR="00664296" w:rsidRPr="005B3944">
        <w:rPr>
          <w:rFonts w:asciiTheme="minorHAnsi" w:eastAsia="HiddenHorzOCR" w:hAnsiTheme="minorHAnsi"/>
          <w:color w:val="auto"/>
          <w:szCs w:val="24"/>
        </w:rPr>
        <w:t xml:space="preserve">Neither of these conditions </w:t>
      </w:r>
      <w:proofErr w:type="gramStart"/>
      <w:r w:rsidR="00664296" w:rsidRPr="005B3944">
        <w:rPr>
          <w:rFonts w:asciiTheme="minorHAnsi" w:eastAsia="HiddenHorzOCR" w:hAnsiTheme="minorHAnsi"/>
          <w:color w:val="auto"/>
          <w:szCs w:val="24"/>
        </w:rPr>
        <w:t>were</w:t>
      </w:r>
      <w:proofErr w:type="gramEnd"/>
      <w:r w:rsidR="00664296" w:rsidRPr="005B3944">
        <w:rPr>
          <w:rFonts w:asciiTheme="minorHAnsi" w:eastAsia="HiddenHorzOCR" w:hAnsiTheme="minorHAnsi"/>
          <w:color w:val="auto"/>
          <w:szCs w:val="24"/>
        </w:rPr>
        <w:t xml:space="preserve"> implicated in the commander’s statement</w:t>
      </w:r>
      <w:r w:rsidR="00E335C1" w:rsidRPr="005B3944">
        <w:rPr>
          <w:rFonts w:asciiTheme="minorHAnsi" w:eastAsia="HiddenHorzOCR" w:hAnsiTheme="minorHAnsi"/>
          <w:color w:val="auto"/>
          <w:szCs w:val="24"/>
        </w:rPr>
        <w:t xml:space="preserve">. </w:t>
      </w:r>
      <w:r w:rsidR="00664296" w:rsidRPr="005B3944">
        <w:rPr>
          <w:rFonts w:asciiTheme="minorHAnsi" w:eastAsia="HiddenHorzOCR" w:hAnsiTheme="minorHAnsi"/>
          <w:color w:val="auto"/>
          <w:szCs w:val="24"/>
        </w:rPr>
        <w:t xml:space="preserve"> Both were reviewed by the action officer and considered by the Board.  There was no indication from the record that </w:t>
      </w:r>
      <w:r w:rsidR="00091005" w:rsidRPr="005B3944">
        <w:rPr>
          <w:rFonts w:asciiTheme="minorHAnsi" w:eastAsia="HiddenHorzOCR" w:hAnsiTheme="minorHAnsi"/>
          <w:color w:val="auto"/>
          <w:szCs w:val="24"/>
        </w:rPr>
        <w:t xml:space="preserve">the pes planovalgus condition did not exist prior to service, or that the headache condition </w:t>
      </w:r>
      <w:r w:rsidR="00664296" w:rsidRPr="005B3944">
        <w:rPr>
          <w:rFonts w:asciiTheme="minorHAnsi" w:eastAsia="HiddenHorzOCR" w:hAnsiTheme="minorHAnsi"/>
          <w:color w:val="auto"/>
          <w:szCs w:val="24"/>
        </w:rPr>
        <w:t>significantly interfered with satisfactory per</w:t>
      </w:r>
      <w:r w:rsidR="004E3C99">
        <w:rPr>
          <w:rFonts w:asciiTheme="minorHAnsi" w:eastAsia="HiddenHorzOCR" w:hAnsiTheme="minorHAnsi"/>
          <w:color w:val="auto"/>
          <w:szCs w:val="24"/>
        </w:rPr>
        <w:t>formance of AFS</w:t>
      </w:r>
      <w:r w:rsidR="00664296" w:rsidRPr="005B3944">
        <w:rPr>
          <w:rFonts w:asciiTheme="minorHAnsi" w:eastAsia="HiddenHorzOCR" w:hAnsiTheme="minorHAnsi"/>
          <w:color w:val="auto"/>
          <w:szCs w:val="24"/>
        </w:rPr>
        <w:t xml:space="preserve"> duty requirements.  All evidence considered</w:t>
      </w:r>
      <w:proofErr w:type="gramStart"/>
      <w:r w:rsidR="00664296" w:rsidRPr="005B3944">
        <w:rPr>
          <w:rFonts w:asciiTheme="minorHAnsi" w:eastAsia="HiddenHorzOCR" w:hAnsiTheme="minorHAnsi"/>
          <w:color w:val="auto"/>
          <w:szCs w:val="24"/>
        </w:rPr>
        <w:t>,</w:t>
      </w:r>
      <w:proofErr w:type="gramEnd"/>
      <w:r w:rsidR="00664296" w:rsidRPr="005B3944">
        <w:rPr>
          <w:rFonts w:asciiTheme="minorHAnsi" w:eastAsia="HiddenHorzOCR" w:hAnsiTheme="minorHAnsi"/>
          <w:color w:val="auto"/>
          <w:szCs w:val="24"/>
        </w:rPr>
        <w:t xml:space="preserve"> there is not reasonable doubt in the CI’s favor supporting recharacterization of the PEB fitness adjudication for either of the stated conditions.</w:t>
      </w:r>
    </w:p>
    <w:p w:rsidR="00563AB8" w:rsidRPr="005B3944" w:rsidRDefault="00563AB8" w:rsidP="00BD0759">
      <w:pPr>
        <w:spacing w:line="240" w:lineRule="exact"/>
        <w:jc w:val="both"/>
        <w:rPr>
          <w:rFonts w:asciiTheme="minorHAnsi" w:eastAsia="HiddenHorzOCR" w:hAnsiTheme="minorHAnsi"/>
          <w:color w:val="auto"/>
          <w:szCs w:val="24"/>
        </w:rPr>
      </w:pPr>
    </w:p>
    <w:p w:rsidR="00664296" w:rsidRPr="005B3944" w:rsidRDefault="00664296" w:rsidP="00BD0759">
      <w:pPr>
        <w:spacing w:line="240" w:lineRule="exact"/>
        <w:jc w:val="both"/>
        <w:rPr>
          <w:rFonts w:asciiTheme="minorHAnsi" w:hAnsiTheme="minorHAnsi"/>
          <w:color w:val="auto"/>
          <w:szCs w:val="24"/>
        </w:rPr>
      </w:pPr>
      <w:proofErr w:type="gramStart"/>
      <w:r w:rsidRPr="005B3944">
        <w:rPr>
          <w:rFonts w:asciiTheme="minorHAnsi" w:eastAsia="HiddenHorzOCR" w:hAnsiTheme="minorHAnsi"/>
          <w:color w:val="auto"/>
          <w:szCs w:val="24"/>
          <w:u w:val="single"/>
        </w:rPr>
        <w:t>Other Contended Conditions</w:t>
      </w:r>
      <w:r w:rsidRPr="005B3944">
        <w:rPr>
          <w:rFonts w:asciiTheme="minorHAnsi" w:eastAsia="HiddenHorzOCR" w:hAnsiTheme="minorHAnsi"/>
          <w:color w:val="auto"/>
          <w:szCs w:val="24"/>
        </w:rPr>
        <w:t>.</w:t>
      </w:r>
      <w:proofErr w:type="gramEnd"/>
      <w:r w:rsidRPr="005B3944">
        <w:rPr>
          <w:rFonts w:asciiTheme="minorHAnsi" w:eastAsia="HiddenHorzOCR" w:hAnsiTheme="minorHAnsi"/>
          <w:color w:val="auto"/>
          <w:szCs w:val="24"/>
        </w:rPr>
        <w:t xml:space="preserve">  The CI’s application asserts that compensable ratings should be considered for</w:t>
      </w:r>
      <w:r w:rsidR="00091005" w:rsidRPr="005B3944">
        <w:rPr>
          <w:rFonts w:asciiTheme="minorHAnsi" w:eastAsia="HiddenHorzOCR" w:hAnsiTheme="minorHAnsi"/>
          <w:color w:val="auto"/>
          <w:szCs w:val="24"/>
        </w:rPr>
        <w:t xml:space="preserve"> gastritis (VA 30%)</w:t>
      </w:r>
      <w:r w:rsidR="007658AC" w:rsidRPr="005B3944">
        <w:rPr>
          <w:rFonts w:asciiTheme="minorHAnsi" w:eastAsia="HiddenHorzOCR" w:hAnsiTheme="minorHAnsi"/>
          <w:color w:val="auto"/>
          <w:szCs w:val="24"/>
        </w:rPr>
        <w:t xml:space="preserve">, </w:t>
      </w:r>
      <w:r w:rsidR="008D2A4D" w:rsidRPr="005B3944">
        <w:rPr>
          <w:rFonts w:asciiTheme="minorHAnsi" w:eastAsia="HiddenHorzOCR" w:hAnsiTheme="minorHAnsi"/>
          <w:color w:val="auto"/>
          <w:szCs w:val="24"/>
        </w:rPr>
        <w:t xml:space="preserve">and </w:t>
      </w:r>
      <w:r w:rsidR="007658AC" w:rsidRPr="005B3944">
        <w:rPr>
          <w:rFonts w:asciiTheme="minorHAnsi" w:eastAsia="HiddenHorzOCR" w:hAnsiTheme="minorHAnsi"/>
          <w:color w:val="auto"/>
          <w:szCs w:val="24"/>
        </w:rPr>
        <w:t>lumbar strai</w:t>
      </w:r>
      <w:r w:rsidR="00091005" w:rsidRPr="005B3944">
        <w:rPr>
          <w:rFonts w:asciiTheme="minorHAnsi" w:eastAsia="HiddenHorzOCR" w:hAnsiTheme="minorHAnsi"/>
          <w:color w:val="auto"/>
          <w:szCs w:val="24"/>
        </w:rPr>
        <w:t xml:space="preserve">n (VA 20%), and tinnitus (VA 10%).  </w:t>
      </w:r>
      <w:r w:rsidR="00892F0C" w:rsidRPr="005B3944">
        <w:rPr>
          <w:rFonts w:asciiTheme="minorHAnsi" w:eastAsia="HiddenHorzOCR" w:hAnsiTheme="minorHAnsi"/>
          <w:color w:val="auto"/>
          <w:szCs w:val="24"/>
        </w:rPr>
        <w:t xml:space="preserve">Gastritis and tinnitus were not documented in the DES file.  </w:t>
      </w:r>
      <w:r w:rsidR="00892F0C" w:rsidRPr="005B3944">
        <w:rPr>
          <w:rFonts w:asciiTheme="minorHAnsi" w:hAnsiTheme="minorHAnsi"/>
          <w:color w:val="auto"/>
          <w:szCs w:val="24"/>
        </w:rPr>
        <w:t xml:space="preserve">The Board does not have the authority under DoDI 6040.44 to render fitness or rating recommendations for any conditions not considered by the DES.  </w:t>
      </w:r>
      <w:r w:rsidR="00892F0C" w:rsidRPr="005B3944">
        <w:rPr>
          <w:rFonts w:asciiTheme="minorHAnsi" w:eastAsia="HiddenHorzOCR" w:hAnsiTheme="minorHAnsi"/>
          <w:color w:val="auto"/>
          <w:szCs w:val="24"/>
        </w:rPr>
        <w:t>The lumbar strain condition was</w:t>
      </w:r>
      <w:r w:rsidRPr="005B3944">
        <w:rPr>
          <w:rFonts w:asciiTheme="minorHAnsi" w:hAnsiTheme="minorHAnsi"/>
          <w:color w:val="auto"/>
          <w:szCs w:val="24"/>
        </w:rPr>
        <w:t xml:space="preserve"> reviewed by the action officer and considered by the Board.  There was no evidence for concluding that </w:t>
      </w:r>
      <w:r w:rsidR="00892F0C" w:rsidRPr="005B3944">
        <w:rPr>
          <w:rFonts w:asciiTheme="minorHAnsi" w:hAnsiTheme="minorHAnsi"/>
          <w:color w:val="auto"/>
          <w:szCs w:val="24"/>
        </w:rPr>
        <w:t>it</w:t>
      </w:r>
      <w:r w:rsidRPr="005B3944">
        <w:rPr>
          <w:rFonts w:asciiTheme="minorHAnsi" w:hAnsiTheme="minorHAnsi"/>
          <w:color w:val="auto"/>
          <w:szCs w:val="24"/>
        </w:rPr>
        <w:t xml:space="preserve"> interfered with duty performance to a degree that could be argued as unfitting.  The Board determined therefore that none of the stated conditions were subject to Service disability rating</w:t>
      </w:r>
      <w:r w:rsidR="00892F0C" w:rsidRPr="005B3944">
        <w:rPr>
          <w:rFonts w:asciiTheme="minorHAnsi" w:hAnsiTheme="minorHAnsi"/>
          <w:color w:val="auto"/>
          <w:szCs w:val="24"/>
        </w:rPr>
        <w:t>.</w:t>
      </w:r>
    </w:p>
    <w:p w:rsidR="00664296" w:rsidRPr="005B3944" w:rsidRDefault="00664296" w:rsidP="00BD0759">
      <w:pPr>
        <w:spacing w:line="240" w:lineRule="exact"/>
        <w:jc w:val="both"/>
        <w:rPr>
          <w:rFonts w:asciiTheme="minorHAnsi" w:hAnsiTheme="minorHAnsi"/>
          <w:color w:val="auto"/>
          <w:szCs w:val="24"/>
          <w:u w:val="single"/>
        </w:rPr>
      </w:pPr>
    </w:p>
    <w:p w:rsidR="00664296" w:rsidRPr="005B3944" w:rsidRDefault="00664296" w:rsidP="00664296">
      <w:pPr>
        <w:spacing w:line="240" w:lineRule="exact"/>
        <w:jc w:val="both"/>
        <w:rPr>
          <w:rFonts w:asciiTheme="minorHAnsi" w:hAnsiTheme="minorHAnsi"/>
          <w:color w:val="auto"/>
          <w:szCs w:val="24"/>
        </w:rPr>
      </w:pPr>
      <w:proofErr w:type="gramStart"/>
      <w:r w:rsidRPr="005B3944">
        <w:rPr>
          <w:rFonts w:asciiTheme="minorHAnsi" w:hAnsiTheme="minorHAnsi"/>
          <w:color w:val="auto"/>
          <w:szCs w:val="24"/>
          <w:u w:val="single"/>
        </w:rPr>
        <w:t>Remaining Conditions</w:t>
      </w:r>
      <w:r w:rsidRPr="005B3944">
        <w:rPr>
          <w:rFonts w:asciiTheme="minorHAnsi" w:hAnsiTheme="minorHAnsi"/>
          <w:color w:val="auto"/>
          <w:szCs w:val="24"/>
        </w:rPr>
        <w:t>.</w:t>
      </w:r>
      <w:proofErr w:type="gramEnd"/>
      <w:r w:rsidRPr="005B3944">
        <w:rPr>
          <w:rFonts w:asciiTheme="minorHAnsi" w:hAnsiTheme="minorHAnsi"/>
          <w:color w:val="auto"/>
          <w:szCs w:val="24"/>
        </w:rPr>
        <w:t xml:space="preserve"> </w:t>
      </w:r>
      <w:r w:rsidR="00FB7A8D" w:rsidRPr="005B3944">
        <w:rPr>
          <w:rFonts w:asciiTheme="minorHAnsi" w:hAnsiTheme="minorHAnsi"/>
          <w:color w:val="auto"/>
          <w:szCs w:val="24"/>
        </w:rPr>
        <w:t xml:space="preserve"> </w:t>
      </w:r>
      <w:r w:rsidRPr="005B3944">
        <w:rPr>
          <w:rFonts w:asciiTheme="minorHAnsi" w:hAnsiTheme="minorHAnsi"/>
          <w:color w:val="auto"/>
          <w:szCs w:val="24"/>
        </w:rPr>
        <w:t xml:space="preserve">No other conditions were noted in the NARSUM or found elsewhere in the DES file.  The Board does not have the authority under DoDI 6040.44 to render fitness or </w:t>
      </w:r>
      <w:r w:rsidRPr="005B3944">
        <w:rPr>
          <w:rFonts w:asciiTheme="minorHAnsi" w:hAnsiTheme="minorHAnsi"/>
          <w:color w:val="auto"/>
          <w:szCs w:val="24"/>
        </w:rPr>
        <w:lastRenderedPageBreak/>
        <w:t>rating recommendations for any conditions not considered by the DES.  The Board, therefore, has no reasonable basis for recommending any additional unfitting conditions for separation rating.</w:t>
      </w:r>
    </w:p>
    <w:p w:rsidR="00F1737C" w:rsidRPr="005B3944" w:rsidRDefault="00F1737C" w:rsidP="00F1737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C174C1" w:rsidRPr="005B3944" w:rsidRDefault="00C174C1" w:rsidP="00C174C1">
      <w:pPr>
        <w:spacing w:line="240" w:lineRule="exact"/>
        <w:jc w:val="both"/>
        <w:rPr>
          <w:rFonts w:asciiTheme="minorHAnsi" w:eastAsiaTheme="minorHAnsi" w:hAnsiTheme="minorHAnsi"/>
          <w:color w:val="auto"/>
          <w:sz w:val="20"/>
        </w:rPr>
      </w:pPr>
    </w:p>
    <w:p w:rsidR="004F011E" w:rsidRPr="005B3944" w:rsidRDefault="00C56FC8" w:rsidP="004F011E">
      <w:pPr>
        <w:spacing w:line="240" w:lineRule="exact"/>
        <w:jc w:val="both"/>
        <w:rPr>
          <w:rFonts w:asciiTheme="minorHAnsi" w:hAnsiTheme="minorHAnsi"/>
          <w:color w:val="auto"/>
          <w:szCs w:val="24"/>
        </w:rPr>
      </w:pPr>
      <w:r w:rsidRPr="005B3944">
        <w:rPr>
          <w:rFonts w:asciiTheme="minorHAnsi" w:hAnsiTheme="minorHAnsi"/>
          <w:color w:val="auto"/>
          <w:szCs w:val="24"/>
          <w:u w:val="single"/>
        </w:rPr>
        <w:t>BOARD FINDINGS</w:t>
      </w:r>
      <w:r w:rsidRPr="005B3944">
        <w:rPr>
          <w:rFonts w:asciiTheme="minorHAnsi" w:hAnsiTheme="minorHAnsi"/>
          <w:color w:val="auto"/>
          <w:szCs w:val="24"/>
        </w:rPr>
        <w:t>:</w:t>
      </w:r>
      <w:r w:rsidRPr="005B3944">
        <w:rPr>
          <w:rFonts w:asciiTheme="minorHAnsi" w:eastAsiaTheme="minorHAnsi" w:hAnsi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FB7A8D" w:rsidRPr="005B3944">
        <w:rPr>
          <w:rFonts w:asciiTheme="minorHAnsi" w:eastAsiaTheme="minorHAnsi" w:hAnsiTheme="minorHAnsi"/>
          <w:color w:val="auto"/>
          <w:szCs w:val="24"/>
        </w:rPr>
        <w:t xml:space="preserve">  </w:t>
      </w:r>
      <w:r w:rsidR="004F011E" w:rsidRPr="005B3944">
        <w:rPr>
          <w:rFonts w:asciiTheme="minorHAnsi" w:eastAsiaTheme="minorHAnsi" w:hAnsiTheme="minorHAnsi"/>
          <w:color w:val="auto"/>
          <w:szCs w:val="24"/>
        </w:rPr>
        <w:t xml:space="preserve">The Board did not surmise from the record or PEB ruling in this case that any prerogatives outside the VASRD were exercised.  In the matter of the </w:t>
      </w:r>
      <w:proofErr w:type="spellStart"/>
      <w:r w:rsidR="00FB7A8D" w:rsidRPr="005B3944">
        <w:rPr>
          <w:rFonts w:asciiTheme="minorHAnsi" w:eastAsiaTheme="minorHAnsi" w:hAnsiTheme="minorHAnsi"/>
          <w:color w:val="auto"/>
          <w:szCs w:val="24"/>
        </w:rPr>
        <w:t>neurocardiogenic</w:t>
      </w:r>
      <w:proofErr w:type="spellEnd"/>
      <w:r w:rsidR="00FB7A8D" w:rsidRPr="005B3944">
        <w:rPr>
          <w:rFonts w:asciiTheme="minorHAnsi" w:eastAsiaTheme="minorHAnsi" w:hAnsiTheme="minorHAnsi"/>
          <w:color w:val="auto"/>
          <w:szCs w:val="24"/>
        </w:rPr>
        <w:t xml:space="preserve"> syncope associated with depressive disorder</w:t>
      </w:r>
      <w:r w:rsidR="004F011E" w:rsidRPr="005B3944">
        <w:rPr>
          <w:rFonts w:asciiTheme="minorHAnsi" w:eastAsiaTheme="minorHAnsi" w:hAnsiTheme="minorHAnsi"/>
          <w:color w:val="auto"/>
          <w:szCs w:val="24"/>
        </w:rPr>
        <w:t xml:space="preserve"> condition, the Board unanimously recommends </w:t>
      </w:r>
      <w:r w:rsidR="00FB7A8D" w:rsidRPr="005B3944">
        <w:rPr>
          <w:rFonts w:asciiTheme="minorHAnsi" w:eastAsiaTheme="minorHAnsi" w:hAnsiTheme="minorHAnsi"/>
          <w:color w:val="auto"/>
          <w:szCs w:val="24"/>
        </w:rPr>
        <w:t xml:space="preserve">that it be rated for two separate conditions as follows:  </w:t>
      </w:r>
      <w:proofErr w:type="spellStart"/>
      <w:r w:rsidR="00FB7A8D" w:rsidRPr="005B3944">
        <w:rPr>
          <w:rFonts w:asciiTheme="minorHAnsi" w:eastAsiaTheme="minorHAnsi" w:hAnsiTheme="minorHAnsi"/>
          <w:color w:val="auto"/>
          <w:szCs w:val="24"/>
        </w:rPr>
        <w:t>neurocardiogenic</w:t>
      </w:r>
      <w:proofErr w:type="spellEnd"/>
      <w:r w:rsidR="00FB7A8D" w:rsidRPr="005B3944">
        <w:rPr>
          <w:rFonts w:asciiTheme="minorHAnsi" w:eastAsiaTheme="minorHAnsi" w:hAnsiTheme="minorHAnsi"/>
          <w:color w:val="auto"/>
          <w:szCs w:val="24"/>
        </w:rPr>
        <w:t xml:space="preserve"> syncope as unfitting, rated</w:t>
      </w:r>
      <w:r w:rsidR="004F011E" w:rsidRPr="005B3944">
        <w:rPr>
          <w:rFonts w:asciiTheme="minorHAnsi" w:eastAsiaTheme="minorHAnsi" w:hAnsiTheme="minorHAnsi"/>
          <w:color w:val="auto"/>
          <w:szCs w:val="24"/>
        </w:rPr>
        <w:t xml:space="preserve"> </w:t>
      </w:r>
      <w:r w:rsidR="00A03204" w:rsidRPr="005B3944">
        <w:rPr>
          <w:rFonts w:asciiTheme="minorHAnsi" w:eastAsiaTheme="minorHAnsi" w:hAnsiTheme="minorHAnsi"/>
          <w:color w:val="auto"/>
          <w:szCs w:val="24"/>
        </w:rPr>
        <w:t>1</w:t>
      </w:r>
      <w:r w:rsidR="004F011E" w:rsidRPr="005B3944">
        <w:rPr>
          <w:rFonts w:asciiTheme="minorHAnsi" w:eastAsiaTheme="minorHAnsi" w:hAnsiTheme="minorHAnsi"/>
          <w:color w:val="auto"/>
          <w:szCs w:val="24"/>
        </w:rPr>
        <w:t xml:space="preserve">0% </w:t>
      </w:r>
      <w:r w:rsidR="00A03204" w:rsidRPr="005B3944">
        <w:rPr>
          <w:rFonts w:asciiTheme="minorHAnsi" w:eastAsiaTheme="minorHAnsi" w:hAnsiTheme="minorHAnsi"/>
          <w:color w:val="auto"/>
          <w:szCs w:val="24"/>
        </w:rPr>
        <w:t xml:space="preserve">by a vote of 2:1 </w:t>
      </w:r>
      <w:r w:rsidR="00FB7A8D" w:rsidRPr="005B3944">
        <w:rPr>
          <w:rFonts w:asciiTheme="minorHAnsi" w:eastAsiaTheme="minorHAnsi" w:hAnsiTheme="minorHAnsi"/>
          <w:color w:val="auto"/>
          <w:szCs w:val="24"/>
        </w:rPr>
        <w:t xml:space="preserve">and </w:t>
      </w:r>
      <w:r w:rsidR="004F011E" w:rsidRPr="005B3944">
        <w:rPr>
          <w:rFonts w:asciiTheme="minorHAnsi" w:eastAsiaTheme="minorHAnsi" w:hAnsiTheme="minorHAnsi"/>
          <w:color w:val="auto"/>
          <w:szCs w:val="24"/>
        </w:rPr>
        <w:t xml:space="preserve">coded </w:t>
      </w:r>
      <w:r w:rsidR="00FB7A8D" w:rsidRPr="005B3944">
        <w:rPr>
          <w:rFonts w:asciiTheme="minorHAnsi" w:eastAsiaTheme="minorHAnsi" w:hAnsiTheme="minorHAnsi"/>
          <w:color w:val="auto"/>
          <w:szCs w:val="24"/>
        </w:rPr>
        <w:t>8299-8210</w:t>
      </w:r>
      <w:r w:rsidR="004F011E" w:rsidRPr="005B3944">
        <w:rPr>
          <w:rFonts w:asciiTheme="minorHAnsi" w:eastAsiaTheme="minorHAnsi" w:hAnsiTheme="minorHAnsi"/>
          <w:color w:val="auto"/>
          <w:szCs w:val="24"/>
        </w:rPr>
        <w:t xml:space="preserve"> </w:t>
      </w:r>
      <w:r w:rsidR="004F011E" w:rsidRPr="005B3944">
        <w:rPr>
          <w:rFonts w:asciiTheme="minorHAnsi" w:hAnsiTheme="minorHAnsi"/>
          <w:color w:val="auto"/>
          <w:szCs w:val="24"/>
        </w:rPr>
        <w:t>IAW VASRD §4.1</w:t>
      </w:r>
      <w:r w:rsidR="00FB7A8D" w:rsidRPr="005B3944">
        <w:rPr>
          <w:rFonts w:asciiTheme="minorHAnsi" w:hAnsiTheme="minorHAnsi"/>
          <w:color w:val="auto"/>
          <w:szCs w:val="24"/>
        </w:rPr>
        <w:t>24</w:t>
      </w:r>
      <w:r w:rsidR="004F011E" w:rsidRPr="005B3944">
        <w:rPr>
          <w:rFonts w:asciiTheme="minorHAnsi" w:hAnsiTheme="minorHAnsi"/>
          <w:color w:val="auto"/>
          <w:szCs w:val="24"/>
        </w:rPr>
        <w:t>a</w:t>
      </w:r>
      <w:r w:rsidR="00FB7A8D" w:rsidRPr="005B3944">
        <w:rPr>
          <w:rFonts w:asciiTheme="minorHAnsi" w:hAnsiTheme="minorHAnsi"/>
          <w:color w:val="auto"/>
          <w:szCs w:val="24"/>
        </w:rPr>
        <w:t xml:space="preserve">; </w:t>
      </w:r>
      <w:r w:rsidR="002742C3" w:rsidRPr="005B3944">
        <w:rPr>
          <w:rFonts w:asciiTheme="minorHAnsi" w:hAnsiTheme="minorHAnsi"/>
          <w:color w:val="auto"/>
          <w:szCs w:val="24"/>
        </w:rPr>
        <w:t xml:space="preserve">and depressive disorder </w:t>
      </w:r>
      <w:r w:rsidR="00264FC6" w:rsidRPr="005B3944">
        <w:rPr>
          <w:rFonts w:asciiTheme="minorHAnsi" w:hAnsiTheme="minorHAnsi"/>
          <w:color w:val="auto"/>
          <w:szCs w:val="24"/>
        </w:rPr>
        <w:t xml:space="preserve">unanimously </w:t>
      </w:r>
      <w:r w:rsidR="002742C3" w:rsidRPr="005B3944">
        <w:rPr>
          <w:rFonts w:asciiTheme="minorHAnsi" w:hAnsiTheme="minorHAnsi"/>
          <w:color w:val="auto"/>
          <w:szCs w:val="24"/>
        </w:rPr>
        <w:t xml:space="preserve">as not unfitting.  </w:t>
      </w:r>
      <w:r w:rsidR="009313B2" w:rsidRPr="005B3944">
        <w:rPr>
          <w:rFonts w:asciiTheme="minorHAnsi" w:eastAsiaTheme="minorHAnsi" w:hAnsiTheme="minorHAnsi"/>
          <w:color w:val="auto"/>
          <w:szCs w:val="24"/>
        </w:rPr>
        <w:t xml:space="preserve">The single voter for dissent (who recommended </w:t>
      </w:r>
      <w:proofErr w:type="spellStart"/>
      <w:r w:rsidR="00A03204" w:rsidRPr="005B3944">
        <w:rPr>
          <w:rFonts w:asciiTheme="minorHAnsi" w:eastAsiaTheme="minorHAnsi" w:hAnsiTheme="minorHAnsi"/>
          <w:color w:val="auto"/>
          <w:szCs w:val="24"/>
        </w:rPr>
        <w:t>neurocardiogenic</w:t>
      </w:r>
      <w:proofErr w:type="spellEnd"/>
      <w:r w:rsidR="00A03204" w:rsidRPr="005B3944">
        <w:rPr>
          <w:rFonts w:asciiTheme="minorHAnsi" w:eastAsiaTheme="minorHAnsi" w:hAnsiTheme="minorHAnsi"/>
          <w:color w:val="auto"/>
          <w:szCs w:val="24"/>
        </w:rPr>
        <w:t xml:space="preserve"> syncope be rated at 30%</w:t>
      </w:r>
      <w:r w:rsidR="009313B2" w:rsidRPr="005B3944">
        <w:rPr>
          <w:rFonts w:asciiTheme="minorHAnsi" w:eastAsiaTheme="minorHAnsi" w:hAnsiTheme="minorHAnsi"/>
          <w:color w:val="auto"/>
          <w:szCs w:val="24"/>
        </w:rPr>
        <w:t xml:space="preserve">) submitted the </w:t>
      </w:r>
      <w:proofErr w:type="spellStart"/>
      <w:r w:rsidR="009313B2" w:rsidRPr="005B3944">
        <w:rPr>
          <w:rFonts w:asciiTheme="minorHAnsi" w:eastAsiaTheme="minorHAnsi" w:hAnsiTheme="minorHAnsi"/>
          <w:color w:val="auto"/>
          <w:szCs w:val="24"/>
        </w:rPr>
        <w:t>addended</w:t>
      </w:r>
      <w:proofErr w:type="spellEnd"/>
      <w:r w:rsidR="009313B2" w:rsidRPr="005B3944">
        <w:rPr>
          <w:rFonts w:asciiTheme="minorHAnsi" w:eastAsiaTheme="minorHAnsi" w:hAnsiTheme="minorHAnsi"/>
          <w:color w:val="auto"/>
          <w:szCs w:val="24"/>
        </w:rPr>
        <w:t xml:space="preserve"> minority opinion.</w:t>
      </w:r>
      <w:r w:rsidR="00264FC6" w:rsidRPr="005B3944">
        <w:rPr>
          <w:rFonts w:asciiTheme="minorHAnsi" w:eastAsiaTheme="minorHAnsi" w:hAnsiTheme="minorHAnsi"/>
          <w:color w:val="auto"/>
          <w:szCs w:val="24"/>
        </w:rPr>
        <w:t xml:space="preserve">  </w:t>
      </w:r>
      <w:r w:rsidR="004F011E" w:rsidRPr="005B3944">
        <w:rPr>
          <w:rFonts w:asciiTheme="minorHAnsi" w:hAnsiTheme="minorHAnsi"/>
          <w:color w:val="auto"/>
          <w:szCs w:val="24"/>
        </w:rPr>
        <w:t xml:space="preserve">In the matter of the </w:t>
      </w:r>
      <w:r w:rsidR="00FB7A8D" w:rsidRPr="005B3944">
        <w:rPr>
          <w:rFonts w:asciiTheme="minorHAnsi" w:hAnsiTheme="minorHAnsi"/>
          <w:color w:val="auto"/>
          <w:szCs w:val="24"/>
        </w:rPr>
        <w:t>pes planovalgus</w:t>
      </w:r>
      <w:r w:rsidR="004F011E" w:rsidRPr="005B3944">
        <w:rPr>
          <w:rFonts w:asciiTheme="minorHAnsi" w:hAnsiTheme="minorHAnsi"/>
          <w:color w:val="auto"/>
          <w:szCs w:val="24"/>
        </w:rPr>
        <w:t xml:space="preserve"> </w:t>
      </w:r>
      <w:r w:rsidR="00FC718E" w:rsidRPr="005B3944">
        <w:rPr>
          <w:rFonts w:asciiTheme="minorHAnsi" w:hAnsiTheme="minorHAnsi"/>
          <w:color w:val="auto"/>
          <w:szCs w:val="24"/>
        </w:rPr>
        <w:t xml:space="preserve">(EPTS) </w:t>
      </w:r>
      <w:r w:rsidR="004F011E" w:rsidRPr="005B3944">
        <w:rPr>
          <w:rFonts w:asciiTheme="minorHAnsi" w:hAnsiTheme="minorHAnsi"/>
          <w:color w:val="auto"/>
          <w:szCs w:val="24"/>
        </w:rPr>
        <w:t xml:space="preserve">and </w:t>
      </w:r>
      <w:r w:rsidR="00FB7A8D" w:rsidRPr="005B3944">
        <w:rPr>
          <w:rFonts w:asciiTheme="minorHAnsi" w:hAnsiTheme="minorHAnsi"/>
          <w:color w:val="auto"/>
          <w:szCs w:val="24"/>
        </w:rPr>
        <w:t>headache</w:t>
      </w:r>
      <w:r w:rsidR="004F011E" w:rsidRPr="005B3944">
        <w:rPr>
          <w:rFonts w:asciiTheme="minorHAnsi" w:hAnsiTheme="minorHAnsi"/>
          <w:color w:val="auto"/>
          <w:szCs w:val="24"/>
        </w:rPr>
        <w:t xml:space="preserve"> conditions, the Board unanimously recommends no change from the PEB adjudications as </w:t>
      </w:r>
      <w:r w:rsidR="00F26BFA" w:rsidRPr="005B3944">
        <w:rPr>
          <w:rFonts w:asciiTheme="minorHAnsi" w:hAnsiTheme="minorHAnsi"/>
          <w:color w:val="auto"/>
          <w:szCs w:val="24"/>
        </w:rPr>
        <w:t>Category II</w:t>
      </w:r>
      <w:r w:rsidR="004F011E" w:rsidRPr="005B3944">
        <w:rPr>
          <w:rFonts w:asciiTheme="minorHAnsi" w:hAnsiTheme="minorHAnsi"/>
          <w:color w:val="auto"/>
          <w:szCs w:val="24"/>
        </w:rPr>
        <w:t>.</w:t>
      </w:r>
      <w:r w:rsidR="00F26BFA" w:rsidRPr="005B3944">
        <w:rPr>
          <w:rFonts w:asciiTheme="minorHAnsi" w:hAnsiTheme="minorHAnsi"/>
          <w:color w:val="auto"/>
          <w:szCs w:val="24"/>
        </w:rPr>
        <w:t xml:space="preserve">  </w:t>
      </w:r>
      <w:r w:rsidR="004F011E" w:rsidRPr="005B3944">
        <w:rPr>
          <w:rFonts w:asciiTheme="minorHAnsi" w:hAnsiTheme="minorHAnsi"/>
          <w:color w:val="auto"/>
          <w:szCs w:val="24"/>
        </w:rPr>
        <w:t xml:space="preserve">In the matter of the </w:t>
      </w:r>
      <w:r w:rsidR="00F26BFA" w:rsidRPr="005B3944">
        <w:rPr>
          <w:rFonts w:asciiTheme="minorHAnsi" w:hAnsiTheme="minorHAnsi"/>
          <w:color w:val="auto"/>
          <w:szCs w:val="24"/>
        </w:rPr>
        <w:t xml:space="preserve">gastritis, lumbar strain, and tinnitus </w:t>
      </w:r>
      <w:r w:rsidR="004F011E" w:rsidRPr="005B3944">
        <w:rPr>
          <w:rFonts w:asciiTheme="minorHAnsi" w:eastAsiaTheme="minorHAnsi" w:hAnsiTheme="minorHAnsi"/>
          <w:color w:val="auto"/>
          <w:szCs w:val="24"/>
        </w:rPr>
        <w:t>conditions</w:t>
      </w:r>
      <w:r w:rsidR="004F011E" w:rsidRPr="005B3944">
        <w:rPr>
          <w:rFonts w:asciiTheme="minorHAnsi" w:hAnsiTheme="minorHAnsi"/>
          <w:color w:val="auto"/>
          <w:szCs w:val="24"/>
        </w:rPr>
        <w:t xml:space="preserve"> or any other medical conditions eligible for Board consideration; the Board unanimously agrees that it cannot recommend any findings of unfit for additional rating at separation.</w:t>
      </w:r>
    </w:p>
    <w:p w:rsidR="00B61D2D" w:rsidRPr="005B3944" w:rsidRDefault="00B61D2D" w:rsidP="00C174C1">
      <w:pPr>
        <w:pBdr>
          <w:bottom w:val="single" w:sz="12" w:space="1" w:color="auto"/>
        </w:pBdr>
        <w:tabs>
          <w:tab w:val="left" w:pos="288"/>
          <w:tab w:val="left" w:pos="4752"/>
        </w:tabs>
        <w:spacing w:line="240" w:lineRule="exact"/>
        <w:jc w:val="both"/>
        <w:rPr>
          <w:rFonts w:asciiTheme="minorHAnsi" w:hAnsiTheme="minorHAnsi"/>
          <w:b/>
          <w:color w:val="auto"/>
          <w:u w:val="single"/>
        </w:rPr>
      </w:pPr>
    </w:p>
    <w:p w:rsidR="00C174C1" w:rsidRPr="005B3944" w:rsidRDefault="00C174C1" w:rsidP="00510F9C">
      <w:pPr>
        <w:spacing w:line="240" w:lineRule="exact"/>
        <w:jc w:val="both"/>
        <w:rPr>
          <w:rFonts w:asciiTheme="minorHAnsi" w:eastAsiaTheme="minorHAnsi" w:hAnsiTheme="minorHAnsi"/>
          <w:b/>
          <w:color w:val="auto"/>
          <w:szCs w:val="24"/>
        </w:rPr>
      </w:pPr>
    </w:p>
    <w:p w:rsidR="008208C3" w:rsidRPr="005B3944" w:rsidRDefault="00C56FC8" w:rsidP="00BD0759">
      <w:pPr>
        <w:spacing w:line="240" w:lineRule="exact"/>
        <w:jc w:val="both"/>
        <w:rPr>
          <w:rFonts w:asciiTheme="minorHAnsi" w:hAnsiTheme="minorHAnsi"/>
          <w:color w:val="auto"/>
          <w:szCs w:val="24"/>
        </w:rPr>
      </w:pPr>
      <w:r w:rsidRPr="005B3944">
        <w:rPr>
          <w:rFonts w:asciiTheme="minorHAnsi" w:hAnsiTheme="minorHAnsi"/>
          <w:color w:val="auto"/>
          <w:szCs w:val="24"/>
          <w:u w:val="single"/>
        </w:rPr>
        <w:t>RECOMMENDATION</w:t>
      </w:r>
      <w:r w:rsidRPr="005B3944">
        <w:rPr>
          <w:rFonts w:asciiTheme="minorHAnsi" w:hAnsiTheme="minorHAnsi"/>
          <w:color w:val="auto"/>
          <w:szCs w:val="24"/>
        </w:rPr>
        <w:t xml:space="preserve">: </w:t>
      </w:r>
      <w:r w:rsidR="00F26BFA" w:rsidRPr="005B3944">
        <w:rPr>
          <w:rFonts w:asciiTheme="minorHAnsi" w:hAnsiTheme="minorHAnsi"/>
          <w:color w:val="auto"/>
          <w:szCs w:val="24"/>
        </w:rPr>
        <w:t xml:space="preserve"> </w:t>
      </w:r>
      <w:r w:rsidR="00B15DF9" w:rsidRPr="005B3944">
        <w:rPr>
          <w:rFonts w:asciiTheme="minorHAnsi" w:hAnsiTheme="minorHAnsi"/>
          <w:color w:val="auto"/>
          <w:szCs w:val="24"/>
        </w:rPr>
        <w:t>The Board recommends that the CI’s prior determination be modified as follows, effective as of the date of his prior medical separation:</w:t>
      </w:r>
    </w:p>
    <w:p w:rsidR="006B4AA2" w:rsidRPr="005B3944" w:rsidRDefault="006B4AA2" w:rsidP="00BD0759">
      <w:pPr>
        <w:spacing w:line="240" w:lineRule="exact"/>
        <w:jc w:val="both"/>
        <w:rPr>
          <w:rFonts w:asciiTheme="minorHAnsi" w:hAnsiTheme="minorHAnsi"/>
          <w:color w:val="auto"/>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A95BBA" w:rsidRPr="005B3944" w:rsidTr="00103948">
        <w:trPr>
          <w:trHeight w:val="233"/>
          <w:jc w:val="center"/>
        </w:trPr>
        <w:tc>
          <w:tcPr>
            <w:tcW w:w="6480" w:type="dxa"/>
            <w:shd w:val="clear" w:color="auto" w:fill="D9D9D9"/>
            <w:vAlign w:val="center"/>
          </w:tcPr>
          <w:p w:rsidR="00A95BBA" w:rsidRPr="005B3944" w:rsidRDefault="00A95BBA" w:rsidP="00103948">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UNFITTING CONDITION</w:t>
            </w:r>
          </w:p>
        </w:tc>
        <w:tc>
          <w:tcPr>
            <w:tcW w:w="1710" w:type="dxa"/>
            <w:shd w:val="clear" w:color="auto" w:fill="D9D9D9"/>
            <w:vAlign w:val="center"/>
          </w:tcPr>
          <w:p w:rsidR="00A95BBA" w:rsidRPr="005B3944" w:rsidRDefault="00A95BBA" w:rsidP="00103948">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VASRD CODE</w:t>
            </w:r>
          </w:p>
        </w:tc>
        <w:tc>
          <w:tcPr>
            <w:tcW w:w="1170" w:type="dxa"/>
            <w:shd w:val="clear" w:color="auto" w:fill="D9D9D9"/>
            <w:vAlign w:val="center"/>
          </w:tcPr>
          <w:p w:rsidR="00A95BBA" w:rsidRPr="005B3944" w:rsidRDefault="00A95BBA" w:rsidP="00103948">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RATING</w:t>
            </w:r>
          </w:p>
        </w:tc>
      </w:tr>
      <w:tr w:rsidR="00A95BBA" w:rsidRPr="005B3944" w:rsidTr="00103948">
        <w:trPr>
          <w:jc w:val="center"/>
        </w:trPr>
        <w:tc>
          <w:tcPr>
            <w:tcW w:w="6480" w:type="dxa"/>
            <w:vAlign w:val="center"/>
          </w:tcPr>
          <w:p w:rsidR="00A95BBA" w:rsidRPr="005B3944" w:rsidRDefault="00EB2097" w:rsidP="00103948">
            <w:pPr>
              <w:tabs>
                <w:tab w:val="left" w:pos="288"/>
                <w:tab w:val="left" w:pos="4752"/>
              </w:tabs>
              <w:spacing w:line="240" w:lineRule="exact"/>
              <w:rPr>
                <w:rFonts w:asciiTheme="minorHAnsi" w:hAnsiTheme="minorHAnsi"/>
                <w:color w:val="auto"/>
                <w:szCs w:val="24"/>
              </w:rPr>
            </w:pPr>
            <w:proofErr w:type="spellStart"/>
            <w:r w:rsidRPr="005B3944">
              <w:rPr>
                <w:rFonts w:asciiTheme="minorHAnsi" w:hAnsiTheme="minorHAnsi"/>
                <w:color w:val="auto"/>
                <w:szCs w:val="24"/>
              </w:rPr>
              <w:t>Neurocardiogenic</w:t>
            </w:r>
            <w:proofErr w:type="spellEnd"/>
            <w:r w:rsidRPr="005B3944">
              <w:rPr>
                <w:rFonts w:asciiTheme="minorHAnsi" w:hAnsiTheme="minorHAnsi"/>
                <w:color w:val="auto"/>
                <w:szCs w:val="24"/>
              </w:rPr>
              <w:t xml:space="preserve"> Syncope</w:t>
            </w:r>
          </w:p>
        </w:tc>
        <w:tc>
          <w:tcPr>
            <w:tcW w:w="1710" w:type="dxa"/>
            <w:vAlign w:val="center"/>
          </w:tcPr>
          <w:p w:rsidR="00A95BBA" w:rsidRPr="005B3944" w:rsidRDefault="00FB7A8D" w:rsidP="00103948">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8299-8210</w:t>
            </w:r>
          </w:p>
        </w:tc>
        <w:tc>
          <w:tcPr>
            <w:tcW w:w="1170" w:type="dxa"/>
            <w:vAlign w:val="center"/>
          </w:tcPr>
          <w:p w:rsidR="00A95BBA" w:rsidRPr="005B3944" w:rsidRDefault="00A03204" w:rsidP="00103948">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1</w:t>
            </w:r>
            <w:r w:rsidR="00A95BBA" w:rsidRPr="005B3944">
              <w:rPr>
                <w:rFonts w:asciiTheme="minorHAnsi" w:hAnsiTheme="minorHAnsi"/>
                <w:color w:val="auto"/>
                <w:szCs w:val="24"/>
              </w:rPr>
              <w:t>0%</w:t>
            </w:r>
          </w:p>
        </w:tc>
      </w:tr>
      <w:tr w:rsidR="00A03204" w:rsidRPr="005B3944" w:rsidTr="00E827AF">
        <w:trPr>
          <w:jc w:val="center"/>
        </w:trPr>
        <w:tc>
          <w:tcPr>
            <w:tcW w:w="6480" w:type="dxa"/>
            <w:vAlign w:val="center"/>
          </w:tcPr>
          <w:p w:rsidR="00A03204" w:rsidRPr="005B3944" w:rsidRDefault="00A03204" w:rsidP="00103948">
            <w:pPr>
              <w:tabs>
                <w:tab w:val="left" w:pos="288"/>
                <w:tab w:val="left" w:pos="4752"/>
              </w:tabs>
              <w:spacing w:line="240" w:lineRule="exact"/>
              <w:rPr>
                <w:rFonts w:asciiTheme="minorHAnsi" w:hAnsiTheme="minorHAnsi"/>
                <w:color w:val="auto"/>
                <w:szCs w:val="24"/>
              </w:rPr>
            </w:pPr>
            <w:r w:rsidRPr="005B3944">
              <w:rPr>
                <w:rFonts w:asciiTheme="minorHAnsi" w:hAnsiTheme="minorHAnsi"/>
                <w:color w:val="auto"/>
                <w:szCs w:val="24"/>
              </w:rPr>
              <w:t>Depressive Disorder</w:t>
            </w:r>
          </w:p>
        </w:tc>
        <w:tc>
          <w:tcPr>
            <w:tcW w:w="2880" w:type="dxa"/>
            <w:gridSpan w:val="2"/>
            <w:vAlign w:val="center"/>
          </w:tcPr>
          <w:p w:rsidR="00A03204" w:rsidRPr="005B3944" w:rsidRDefault="00A03204" w:rsidP="00103948">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Not Unfitting</w:t>
            </w:r>
          </w:p>
        </w:tc>
      </w:tr>
      <w:tr w:rsidR="00A95BBA" w:rsidRPr="005B3944" w:rsidTr="00103948">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A95BBA" w:rsidRPr="005B3944" w:rsidRDefault="00A95BBA" w:rsidP="00103948">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A95BBA" w:rsidRPr="005B3944" w:rsidRDefault="00A03204" w:rsidP="00103948">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1</w:t>
            </w:r>
            <w:r w:rsidR="00A95BBA" w:rsidRPr="005B3944">
              <w:rPr>
                <w:rFonts w:asciiTheme="minorHAnsi" w:hAnsiTheme="minorHAnsi"/>
                <w:b/>
                <w:color w:val="auto"/>
                <w:szCs w:val="24"/>
              </w:rPr>
              <w:t>0%</w:t>
            </w:r>
          </w:p>
        </w:tc>
      </w:tr>
    </w:tbl>
    <w:p w:rsidR="00A83C15" w:rsidRPr="005B3944" w:rsidRDefault="00A83C15" w:rsidP="00510F9C">
      <w:pPr>
        <w:tabs>
          <w:tab w:val="left" w:pos="288"/>
          <w:tab w:val="left" w:pos="1710"/>
        </w:tabs>
        <w:spacing w:line="240" w:lineRule="exact"/>
        <w:rPr>
          <w:rFonts w:asciiTheme="minorHAnsi" w:hAnsiTheme="minorHAnsi"/>
          <w:b/>
          <w:caps/>
          <w:color w:val="auto"/>
          <w:u w:val="single"/>
        </w:rPr>
      </w:pPr>
      <w:r w:rsidRPr="005B3944">
        <w:rPr>
          <w:rFonts w:asciiTheme="minorHAnsi" w:hAnsiTheme="minorHAnsi"/>
          <w:b/>
          <w:color w:val="auto"/>
          <w:u w:val="single"/>
        </w:rPr>
        <w:t>_____________________________________________________________________________</w:t>
      </w:r>
    </w:p>
    <w:p w:rsidR="00106AD8" w:rsidRPr="005B3944" w:rsidRDefault="00106AD8" w:rsidP="00510F9C">
      <w:pPr>
        <w:tabs>
          <w:tab w:val="left" w:pos="288"/>
          <w:tab w:val="left" w:pos="4752"/>
        </w:tabs>
        <w:spacing w:line="240" w:lineRule="exact"/>
        <w:rPr>
          <w:b/>
          <w:color w:val="auto"/>
          <w:szCs w:val="24"/>
        </w:rPr>
      </w:pPr>
    </w:p>
    <w:p w:rsidR="00D91DA6" w:rsidRPr="005B3944" w:rsidRDefault="00FB1725" w:rsidP="00510F9C">
      <w:pPr>
        <w:tabs>
          <w:tab w:val="left" w:pos="288"/>
          <w:tab w:val="left" w:pos="4752"/>
        </w:tabs>
        <w:spacing w:line="240" w:lineRule="exact"/>
        <w:jc w:val="both"/>
        <w:rPr>
          <w:rFonts w:asciiTheme="minorHAnsi" w:hAnsiTheme="minorHAnsi"/>
          <w:color w:val="auto"/>
        </w:rPr>
      </w:pPr>
      <w:r w:rsidRPr="005B3944">
        <w:rPr>
          <w:rFonts w:asciiTheme="minorHAnsi" w:hAnsiTheme="minorHAnsi"/>
          <w:color w:val="auto"/>
        </w:rPr>
        <w:t>The following documentary evidence was considered:</w:t>
      </w:r>
    </w:p>
    <w:p w:rsidR="00EB5EFD" w:rsidRPr="005B3944" w:rsidRDefault="00EB5EFD" w:rsidP="00510F9C">
      <w:pPr>
        <w:tabs>
          <w:tab w:val="left" w:pos="288"/>
          <w:tab w:val="left" w:pos="4752"/>
        </w:tabs>
        <w:spacing w:line="240" w:lineRule="exact"/>
        <w:jc w:val="both"/>
        <w:rPr>
          <w:rFonts w:asciiTheme="minorHAnsi" w:hAnsiTheme="minorHAnsi"/>
          <w:color w:val="auto"/>
        </w:rPr>
      </w:pPr>
    </w:p>
    <w:p w:rsidR="00114F20" w:rsidRPr="005B3944" w:rsidRDefault="00FB1725" w:rsidP="00510F9C">
      <w:pPr>
        <w:tabs>
          <w:tab w:val="left" w:pos="288"/>
          <w:tab w:val="left" w:pos="4752"/>
        </w:tabs>
        <w:spacing w:line="240" w:lineRule="exact"/>
        <w:jc w:val="both"/>
        <w:rPr>
          <w:rFonts w:asciiTheme="minorHAnsi" w:hAnsiTheme="minorHAnsi"/>
          <w:color w:val="auto"/>
        </w:rPr>
      </w:pPr>
      <w:r w:rsidRPr="005B3944">
        <w:rPr>
          <w:rFonts w:asciiTheme="minorHAnsi" w:hAnsiTheme="minorHAnsi"/>
          <w:color w:val="auto"/>
        </w:rPr>
        <w:t>Exhibit A.  DD Form 294, dated 20</w:t>
      </w:r>
      <w:r w:rsidR="00375BE6" w:rsidRPr="005B3944">
        <w:rPr>
          <w:rFonts w:asciiTheme="minorHAnsi" w:hAnsiTheme="minorHAnsi"/>
          <w:color w:val="auto"/>
        </w:rPr>
        <w:t>110128</w:t>
      </w:r>
      <w:r w:rsidR="004E3C99">
        <w:rPr>
          <w:rFonts w:asciiTheme="minorHAnsi" w:hAnsiTheme="minorHAnsi"/>
          <w:color w:val="auto"/>
        </w:rPr>
        <w:t>, w/atchs</w:t>
      </w:r>
    </w:p>
    <w:p w:rsidR="00114F20" w:rsidRPr="005B3944" w:rsidRDefault="00FB1725" w:rsidP="00510F9C">
      <w:pPr>
        <w:tabs>
          <w:tab w:val="left" w:pos="288"/>
          <w:tab w:val="left" w:pos="4752"/>
        </w:tabs>
        <w:spacing w:line="240" w:lineRule="exact"/>
        <w:jc w:val="both"/>
        <w:rPr>
          <w:rFonts w:asciiTheme="minorHAnsi" w:hAnsiTheme="minorHAnsi"/>
          <w:color w:val="auto"/>
        </w:rPr>
      </w:pPr>
      <w:r w:rsidRPr="005B3944">
        <w:rPr>
          <w:rFonts w:asciiTheme="minorHAnsi" w:hAnsiTheme="minorHAnsi"/>
          <w:color w:val="auto"/>
        </w:rPr>
        <w:t>Exhib</w:t>
      </w:r>
      <w:r w:rsidR="004E3C99">
        <w:rPr>
          <w:rFonts w:asciiTheme="minorHAnsi" w:hAnsiTheme="minorHAnsi"/>
          <w:color w:val="auto"/>
        </w:rPr>
        <w:t>it B.  Service Treatment Record</w:t>
      </w:r>
    </w:p>
    <w:p w:rsidR="00114F20" w:rsidRPr="005B3944" w:rsidRDefault="00FB1725" w:rsidP="00510F9C">
      <w:pPr>
        <w:tabs>
          <w:tab w:val="left" w:pos="288"/>
          <w:tab w:val="left" w:pos="4752"/>
        </w:tabs>
        <w:spacing w:line="240" w:lineRule="exact"/>
        <w:jc w:val="both"/>
        <w:rPr>
          <w:rFonts w:asciiTheme="minorHAnsi" w:hAnsiTheme="minorHAnsi"/>
          <w:color w:val="auto"/>
        </w:rPr>
      </w:pPr>
      <w:r w:rsidRPr="005B3944">
        <w:rPr>
          <w:rFonts w:asciiTheme="minorHAnsi" w:hAnsiTheme="minorHAnsi"/>
          <w:color w:val="auto"/>
        </w:rPr>
        <w:t xml:space="preserve">Exhibit C.  Department of Veterans' </w:t>
      </w:r>
      <w:r w:rsidR="004E3C99">
        <w:rPr>
          <w:rFonts w:asciiTheme="minorHAnsi" w:hAnsiTheme="minorHAnsi"/>
          <w:color w:val="auto"/>
        </w:rPr>
        <w:t>Affairs Treatment Record</w:t>
      </w:r>
    </w:p>
    <w:p w:rsidR="00D91DA6" w:rsidRPr="005B3944" w:rsidRDefault="00D91DA6" w:rsidP="00510F9C">
      <w:pPr>
        <w:tabs>
          <w:tab w:val="left" w:pos="288"/>
          <w:tab w:val="left" w:pos="4752"/>
        </w:tabs>
        <w:spacing w:line="240" w:lineRule="exact"/>
        <w:jc w:val="both"/>
        <w:rPr>
          <w:rFonts w:asciiTheme="minorHAnsi" w:hAnsiTheme="minorHAnsi"/>
          <w:color w:val="auto"/>
        </w:rPr>
      </w:pPr>
    </w:p>
    <w:p w:rsidR="00114F20" w:rsidRPr="005B3944" w:rsidRDefault="00114F20" w:rsidP="00510F9C">
      <w:pPr>
        <w:tabs>
          <w:tab w:val="left" w:pos="288"/>
          <w:tab w:val="left" w:pos="4752"/>
        </w:tabs>
        <w:spacing w:line="240" w:lineRule="exact"/>
        <w:jc w:val="both"/>
        <w:rPr>
          <w:rFonts w:asciiTheme="minorHAnsi" w:hAnsiTheme="minorHAnsi"/>
          <w:color w:val="auto"/>
        </w:rPr>
      </w:pPr>
    </w:p>
    <w:p w:rsidR="00114F20" w:rsidRPr="005B3944" w:rsidRDefault="00114F20" w:rsidP="00510F9C">
      <w:pPr>
        <w:tabs>
          <w:tab w:val="left" w:pos="288"/>
          <w:tab w:val="left" w:pos="4752"/>
        </w:tabs>
        <w:spacing w:line="240" w:lineRule="exact"/>
        <w:jc w:val="both"/>
        <w:rPr>
          <w:rFonts w:asciiTheme="minorHAnsi" w:hAnsiTheme="minorHAnsi"/>
          <w:color w:val="auto"/>
        </w:rPr>
      </w:pPr>
    </w:p>
    <w:p w:rsidR="00114F20" w:rsidRPr="005B3944" w:rsidRDefault="00114F20" w:rsidP="00510F9C">
      <w:pPr>
        <w:tabs>
          <w:tab w:val="left" w:pos="288"/>
          <w:tab w:val="left" w:pos="4752"/>
        </w:tabs>
        <w:spacing w:line="240" w:lineRule="exact"/>
        <w:jc w:val="both"/>
        <w:rPr>
          <w:rFonts w:asciiTheme="minorHAnsi" w:hAnsiTheme="minorHAnsi"/>
          <w:color w:val="auto"/>
        </w:rPr>
      </w:pPr>
    </w:p>
    <w:p w:rsidR="004F011E" w:rsidRPr="005B3944" w:rsidRDefault="004F011E" w:rsidP="004F011E">
      <w:pPr>
        <w:tabs>
          <w:tab w:val="left" w:pos="0"/>
          <w:tab w:val="left" w:pos="4320"/>
        </w:tabs>
        <w:spacing w:line="240" w:lineRule="exact"/>
        <w:jc w:val="both"/>
        <w:rPr>
          <w:rFonts w:asciiTheme="minorHAnsi" w:hAnsiTheme="minorHAnsi"/>
          <w:color w:val="auto"/>
        </w:rPr>
      </w:pPr>
      <w:r w:rsidRPr="005B3944">
        <w:rPr>
          <w:rFonts w:asciiTheme="minorHAnsi" w:hAnsiTheme="minorHAnsi"/>
          <w:color w:val="auto"/>
        </w:rPr>
        <w:tab/>
      </w:r>
      <w:r w:rsidRPr="005B3944">
        <w:rPr>
          <w:rFonts w:asciiTheme="minorHAnsi" w:hAnsiTheme="minorHAnsi"/>
          <w:color w:val="auto"/>
        </w:rPr>
        <w:tab/>
      </w:r>
    </w:p>
    <w:p w:rsidR="004F011E" w:rsidRPr="005B3944" w:rsidRDefault="004F011E" w:rsidP="004F011E">
      <w:pPr>
        <w:tabs>
          <w:tab w:val="left" w:pos="0"/>
          <w:tab w:val="left" w:pos="4320"/>
        </w:tabs>
        <w:spacing w:line="240" w:lineRule="exact"/>
        <w:jc w:val="both"/>
        <w:rPr>
          <w:rFonts w:asciiTheme="minorHAnsi" w:hAnsiTheme="minorHAnsi"/>
          <w:color w:val="auto"/>
        </w:rPr>
      </w:pPr>
      <w:r w:rsidRPr="005B3944">
        <w:rPr>
          <w:rFonts w:asciiTheme="minorHAnsi" w:hAnsiTheme="minorHAnsi"/>
          <w:color w:val="auto"/>
        </w:rPr>
        <w:tab/>
      </w:r>
      <w:r w:rsidRPr="005B3944">
        <w:rPr>
          <w:rFonts w:asciiTheme="minorHAnsi" w:hAnsiTheme="minorHAnsi"/>
          <w:color w:val="auto"/>
        </w:rPr>
        <w:tab/>
        <w:t>President</w:t>
      </w:r>
    </w:p>
    <w:p w:rsidR="004F011E" w:rsidRPr="005B3944" w:rsidRDefault="004F011E" w:rsidP="004F011E">
      <w:pPr>
        <w:tabs>
          <w:tab w:val="left" w:pos="0"/>
          <w:tab w:val="left" w:pos="4320"/>
        </w:tabs>
        <w:spacing w:line="240" w:lineRule="exact"/>
        <w:jc w:val="both"/>
        <w:rPr>
          <w:rFonts w:asciiTheme="minorHAnsi" w:hAnsiTheme="minorHAnsi"/>
          <w:color w:val="auto"/>
        </w:rPr>
      </w:pPr>
      <w:r w:rsidRPr="005B3944">
        <w:rPr>
          <w:rFonts w:asciiTheme="minorHAnsi" w:hAnsiTheme="minorHAnsi"/>
          <w:color w:val="auto"/>
        </w:rPr>
        <w:tab/>
      </w:r>
      <w:r w:rsidRPr="005B3944">
        <w:rPr>
          <w:rFonts w:asciiTheme="minorHAnsi" w:hAnsiTheme="minorHAnsi"/>
          <w:color w:val="auto"/>
        </w:rPr>
        <w:tab/>
        <w:t>Physical Disability Board of Review</w:t>
      </w:r>
    </w:p>
    <w:p w:rsidR="00A7224A" w:rsidRPr="005B3944" w:rsidRDefault="00A7224A">
      <w:pPr>
        <w:rPr>
          <w:rFonts w:asciiTheme="minorHAnsi" w:hAnsiTheme="minorHAnsi"/>
          <w:color w:val="auto"/>
          <w:szCs w:val="24"/>
          <w:u w:val="single"/>
        </w:rPr>
      </w:pPr>
      <w:r w:rsidRPr="005B3944">
        <w:rPr>
          <w:rFonts w:asciiTheme="minorHAnsi" w:hAnsiTheme="minorHAnsi"/>
          <w:color w:val="auto"/>
          <w:szCs w:val="24"/>
          <w:u w:val="single"/>
        </w:rPr>
        <w:br w:type="page"/>
      </w:r>
    </w:p>
    <w:p w:rsidR="00487EE2" w:rsidRPr="005B3944" w:rsidRDefault="00A03204" w:rsidP="00C174C1">
      <w:pPr>
        <w:tabs>
          <w:tab w:val="left" w:pos="288"/>
          <w:tab w:val="left" w:pos="4770"/>
        </w:tabs>
        <w:spacing w:line="240" w:lineRule="exact"/>
        <w:jc w:val="both"/>
        <w:rPr>
          <w:rFonts w:asciiTheme="minorHAnsi" w:hAnsiTheme="minorHAnsi"/>
          <w:color w:val="auto"/>
          <w:szCs w:val="24"/>
        </w:rPr>
      </w:pPr>
      <w:r w:rsidRPr="005B3944">
        <w:rPr>
          <w:rFonts w:asciiTheme="minorHAnsi" w:hAnsiTheme="minorHAnsi"/>
          <w:color w:val="auto"/>
          <w:szCs w:val="24"/>
          <w:u w:val="single"/>
        </w:rPr>
        <w:lastRenderedPageBreak/>
        <w:t>Minority Opinion</w:t>
      </w:r>
      <w:r w:rsidR="00487EE2" w:rsidRPr="005B3944">
        <w:rPr>
          <w:rFonts w:asciiTheme="minorHAnsi" w:hAnsiTheme="minorHAnsi"/>
          <w:color w:val="auto"/>
          <w:szCs w:val="24"/>
        </w:rPr>
        <w:t>:</w:t>
      </w:r>
    </w:p>
    <w:p w:rsidR="00983523" w:rsidRPr="005B3944" w:rsidRDefault="00983523" w:rsidP="00983523">
      <w:pPr>
        <w:spacing w:line="240" w:lineRule="exact"/>
        <w:rPr>
          <w:rFonts w:asciiTheme="minorHAnsi" w:hAnsiTheme="minorHAnsi"/>
          <w:color w:val="auto"/>
          <w:szCs w:val="24"/>
        </w:rPr>
      </w:pPr>
    </w:p>
    <w:p w:rsidR="00A7224A" w:rsidRPr="005B3944" w:rsidRDefault="00820F04" w:rsidP="00992899">
      <w:pPr>
        <w:spacing w:line="240" w:lineRule="exact"/>
        <w:jc w:val="both"/>
        <w:rPr>
          <w:rFonts w:asciiTheme="minorHAnsi" w:hAnsiTheme="minorHAnsi"/>
          <w:color w:val="auto"/>
          <w:szCs w:val="24"/>
        </w:rPr>
      </w:pPr>
      <w:r>
        <w:rPr>
          <w:rFonts w:asciiTheme="minorHAnsi" w:hAnsiTheme="minorHAnsi"/>
          <w:color w:val="auto"/>
          <w:szCs w:val="24"/>
        </w:rPr>
        <w:t>The action o</w:t>
      </w:r>
      <w:r w:rsidR="00B15DF9" w:rsidRPr="005B3944">
        <w:rPr>
          <w:rFonts w:asciiTheme="minorHAnsi" w:hAnsiTheme="minorHAnsi"/>
          <w:color w:val="auto"/>
          <w:szCs w:val="24"/>
        </w:rPr>
        <w:t xml:space="preserve">fficer (AO) recommended a 30% rating in this case, based on appropriate application of the VASRD and reasonable doubt regarding the severity of the CI’s condition as elaborated in the Record of Proceedings.  </w:t>
      </w:r>
      <w:r w:rsidR="00E827AF" w:rsidRPr="005B3944">
        <w:rPr>
          <w:rFonts w:asciiTheme="minorHAnsi" w:hAnsiTheme="minorHAnsi"/>
          <w:color w:val="auto"/>
          <w:szCs w:val="24"/>
        </w:rPr>
        <w:t xml:space="preserve">The </w:t>
      </w:r>
      <w:r w:rsidR="00B15DF9" w:rsidRPr="005B3944">
        <w:rPr>
          <w:rFonts w:asciiTheme="minorHAnsi" w:hAnsiTheme="minorHAnsi"/>
          <w:color w:val="auto"/>
          <w:szCs w:val="24"/>
        </w:rPr>
        <w:t>AO</w:t>
      </w:r>
      <w:r w:rsidR="00E827AF" w:rsidRPr="005B3944">
        <w:rPr>
          <w:rFonts w:asciiTheme="minorHAnsi" w:hAnsiTheme="minorHAnsi"/>
          <w:color w:val="auto"/>
          <w:szCs w:val="24"/>
        </w:rPr>
        <w:t xml:space="preserve"> </w:t>
      </w:r>
      <w:r w:rsidR="00992899" w:rsidRPr="005B3944">
        <w:rPr>
          <w:rFonts w:asciiTheme="minorHAnsi" w:hAnsiTheme="minorHAnsi"/>
          <w:color w:val="auto"/>
          <w:szCs w:val="24"/>
        </w:rPr>
        <w:t>argues</w:t>
      </w:r>
      <w:r w:rsidR="00E827AF" w:rsidRPr="005B3944">
        <w:rPr>
          <w:rFonts w:asciiTheme="minorHAnsi" w:hAnsiTheme="minorHAnsi"/>
          <w:color w:val="auto"/>
          <w:szCs w:val="24"/>
        </w:rPr>
        <w:t xml:space="preserve"> that </w:t>
      </w:r>
      <w:r w:rsidR="00992899" w:rsidRPr="005B3944">
        <w:rPr>
          <w:rFonts w:asciiTheme="minorHAnsi" w:hAnsiTheme="minorHAnsi"/>
          <w:color w:val="auto"/>
          <w:szCs w:val="24"/>
        </w:rPr>
        <w:t>the</w:t>
      </w:r>
      <w:r w:rsidR="00E827AF" w:rsidRPr="005B3944">
        <w:rPr>
          <w:rFonts w:asciiTheme="minorHAnsi" w:hAnsiTheme="minorHAnsi"/>
          <w:color w:val="auto"/>
          <w:szCs w:val="24"/>
        </w:rPr>
        <w:t xml:space="preserve"> “moderate” </w:t>
      </w:r>
      <w:r w:rsidR="00992899" w:rsidRPr="005B3944">
        <w:rPr>
          <w:rFonts w:asciiTheme="minorHAnsi" w:hAnsiTheme="minorHAnsi"/>
          <w:color w:val="auto"/>
          <w:szCs w:val="24"/>
        </w:rPr>
        <w:t xml:space="preserve">10% </w:t>
      </w:r>
      <w:r w:rsidR="00E827AF" w:rsidRPr="005B3944">
        <w:rPr>
          <w:rFonts w:asciiTheme="minorHAnsi" w:hAnsiTheme="minorHAnsi"/>
          <w:color w:val="auto"/>
          <w:szCs w:val="24"/>
        </w:rPr>
        <w:t xml:space="preserve">rating </w:t>
      </w:r>
      <w:r w:rsidR="00992899" w:rsidRPr="005B3944">
        <w:rPr>
          <w:rFonts w:asciiTheme="minorHAnsi" w:hAnsiTheme="minorHAnsi"/>
          <w:color w:val="auto"/>
          <w:szCs w:val="24"/>
        </w:rPr>
        <w:t>does</w:t>
      </w:r>
      <w:r w:rsidR="00E827AF" w:rsidRPr="005B3944">
        <w:rPr>
          <w:rFonts w:asciiTheme="minorHAnsi" w:hAnsiTheme="minorHAnsi"/>
          <w:color w:val="auto"/>
          <w:szCs w:val="24"/>
        </w:rPr>
        <w:t xml:space="preserve"> not </w:t>
      </w:r>
      <w:r w:rsidR="00992899" w:rsidRPr="005B3944">
        <w:rPr>
          <w:rFonts w:asciiTheme="minorHAnsi" w:hAnsiTheme="minorHAnsi"/>
          <w:color w:val="auto"/>
          <w:szCs w:val="24"/>
        </w:rPr>
        <w:t>reflect</w:t>
      </w:r>
      <w:r w:rsidR="00E827AF" w:rsidRPr="005B3944">
        <w:rPr>
          <w:rFonts w:asciiTheme="minorHAnsi" w:hAnsiTheme="minorHAnsi"/>
          <w:color w:val="auto"/>
          <w:szCs w:val="24"/>
        </w:rPr>
        <w:t xml:space="preserve"> the full scope of the CI’s </w:t>
      </w:r>
      <w:r w:rsidR="00A7224A" w:rsidRPr="005B3944">
        <w:rPr>
          <w:rFonts w:asciiTheme="minorHAnsi" w:hAnsiTheme="minorHAnsi"/>
          <w:color w:val="auto"/>
          <w:szCs w:val="24"/>
        </w:rPr>
        <w:t>disability</w:t>
      </w:r>
      <w:r w:rsidR="00E827AF" w:rsidRPr="005B3944">
        <w:rPr>
          <w:rFonts w:asciiTheme="minorHAnsi" w:hAnsiTheme="minorHAnsi"/>
          <w:color w:val="auto"/>
          <w:szCs w:val="24"/>
        </w:rPr>
        <w:t xml:space="preserve">, which included multiple episodes of total loss of consciousness (syncope) in addition to recurrent </w:t>
      </w:r>
      <w:r w:rsidR="000A5AD4" w:rsidRPr="005B3944">
        <w:rPr>
          <w:rFonts w:asciiTheme="minorHAnsi" w:hAnsiTheme="minorHAnsi"/>
          <w:color w:val="auto"/>
          <w:szCs w:val="24"/>
        </w:rPr>
        <w:t xml:space="preserve">prostrating </w:t>
      </w:r>
      <w:r w:rsidR="00E827AF" w:rsidRPr="005B3944">
        <w:rPr>
          <w:rFonts w:asciiTheme="minorHAnsi" w:hAnsiTheme="minorHAnsi"/>
          <w:color w:val="auto"/>
          <w:szCs w:val="24"/>
        </w:rPr>
        <w:t xml:space="preserve">pre-syncope requiring the CI to lie down for 20 minutes to recover.  </w:t>
      </w:r>
      <w:r w:rsidR="00A7224A" w:rsidRPr="005B3944">
        <w:rPr>
          <w:rFonts w:asciiTheme="minorHAnsi" w:hAnsiTheme="minorHAnsi"/>
          <w:color w:val="auto"/>
          <w:szCs w:val="24"/>
        </w:rPr>
        <w:t xml:space="preserve">Both the NARSUM and final PEB description clearly outline full </w:t>
      </w:r>
      <w:proofErr w:type="spellStart"/>
      <w:r w:rsidR="00A7224A" w:rsidRPr="005B3944">
        <w:rPr>
          <w:rFonts w:asciiTheme="minorHAnsi" w:hAnsiTheme="minorHAnsi"/>
          <w:color w:val="auto"/>
          <w:szCs w:val="24"/>
        </w:rPr>
        <w:t>syncopal</w:t>
      </w:r>
      <w:proofErr w:type="spellEnd"/>
      <w:r w:rsidR="00A7224A" w:rsidRPr="005B3944">
        <w:rPr>
          <w:rFonts w:asciiTheme="minorHAnsi" w:hAnsiTheme="minorHAnsi"/>
          <w:color w:val="auto"/>
          <w:szCs w:val="24"/>
        </w:rPr>
        <w:t xml:space="preserve"> episodes, rather than only pre-</w:t>
      </w:r>
      <w:proofErr w:type="spellStart"/>
      <w:r w:rsidR="00A7224A" w:rsidRPr="005B3944">
        <w:rPr>
          <w:rFonts w:asciiTheme="minorHAnsi" w:hAnsiTheme="minorHAnsi"/>
          <w:color w:val="auto"/>
          <w:szCs w:val="24"/>
        </w:rPr>
        <w:t>syncopal</w:t>
      </w:r>
      <w:proofErr w:type="spellEnd"/>
      <w:r w:rsidR="00A7224A" w:rsidRPr="005B3944">
        <w:rPr>
          <w:rFonts w:asciiTheme="minorHAnsi" w:hAnsiTheme="minorHAnsi"/>
          <w:color w:val="auto"/>
          <w:szCs w:val="24"/>
        </w:rPr>
        <w:t xml:space="preserve"> episodes.  </w:t>
      </w:r>
    </w:p>
    <w:p w:rsidR="00A7224A" w:rsidRPr="005B3944" w:rsidRDefault="00A7224A" w:rsidP="00992899">
      <w:pPr>
        <w:spacing w:line="240" w:lineRule="exact"/>
        <w:jc w:val="both"/>
        <w:rPr>
          <w:rFonts w:asciiTheme="minorHAnsi" w:hAnsiTheme="minorHAnsi"/>
          <w:color w:val="auto"/>
          <w:szCs w:val="24"/>
        </w:rPr>
      </w:pPr>
    </w:p>
    <w:p w:rsidR="00A7224A" w:rsidRPr="005B3944" w:rsidRDefault="00102C73" w:rsidP="00992899">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“moderate” 10% rating might have been justified were there no true </w:t>
      </w:r>
      <w:proofErr w:type="spellStart"/>
      <w:r w:rsidRPr="005B3944">
        <w:rPr>
          <w:rFonts w:asciiTheme="minorHAnsi" w:hAnsiTheme="minorHAnsi"/>
          <w:color w:val="auto"/>
          <w:szCs w:val="24"/>
        </w:rPr>
        <w:t>syncopal</w:t>
      </w:r>
      <w:proofErr w:type="spellEnd"/>
      <w:r w:rsidRPr="005B3944">
        <w:rPr>
          <w:rFonts w:asciiTheme="minorHAnsi" w:hAnsiTheme="minorHAnsi"/>
          <w:color w:val="auto"/>
          <w:szCs w:val="24"/>
        </w:rPr>
        <w:t xml:space="preserve"> episodes, and if the pre-</w:t>
      </w:r>
      <w:proofErr w:type="spellStart"/>
      <w:r w:rsidRPr="005B3944">
        <w:rPr>
          <w:rFonts w:asciiTheme="minorHAnsi" w:hAnsiTheme="minorHAnsi"/>
          <w:color w:val="auto"/>
          <w:szCs w:val="24"/>
        </w:rPr>
        <w:t>syncopal</w:t>
      </w:r>
      <w:proofErr w:type="spellEnd"/>
      <w:r w:rsidRPr="005B3944">
        <w:rPr>
          <w:rFonts w:asciiTheme="minorHAnsi" w:hAnsiTheme="minorHAnsi"/>
          <w:color w:val="auto"/>
          <w:szCs w:val="24"/>
        </w:rPr>
        <w:t xml:space="preserve"> episodes were not as debilitating as documented.  However, t</w:t>
      </w:r>
      <w:r w:rsidR="00A71BB8" w:rsidRPr="005B3944">
        <w:rPr>
          <w:rFonts w:asciiTheme="minorHAnsi" w:hAnsiTheme="minorHAnsi"/>
          <w:color w:val="auto"/>
          <w:szCs w:val="24"/>
        </w:rPr>
        <w:t xml:space="preserve">he CI’s condition was much closer to a “severe” 30% rating under the </w:t>
      </w:r>
      <w:r w:rsidR="00804F51" w:rsidRPr="005B3944">
        <w:rPr>
          <w:rFonts w:asciiTheme="minorHAnsi" w:hAnsiTheme="minorHAnsi"/>
          <w:color w:val="auto"/>
          <w:szCs w:val="24"/>
        </w:rPr>
        <w:t xml:space="preserve">analogous </w:t>
      </w:r>
      <w:r w:rsidR="00A71BB8" w:rsidRPr="005B3944">
        <w:rPr>
          <w:rFonts w:asciiTheme="minorHAnsi" w:hAnsiTheme="minorHAnsi"/>
          <w:color w:val="auto"/>
          <w:szCs w:val="24"/>
        </w:rPr>
        <w:t xml:space="preserve">8210 </w:t>
      </w:r>
      <w:r w:rsidR="00804F51" w:rsidRPr="005B3944">
        <w:rPr>
          <w:rFonts w:asciiTheme="minorHAnsi" w:hAnsiTheme="minorHAnsi"/>
          <w:color w:val="auto"/>
          <w:szCs w:val="24"/>
        </w:rPr>
        <w:t xml:space="preserve">code </w:t>
      </w:r>
      <w:r w:rsidR="00A71BB8" w:rsidRPr="005B3944">
        <w:rPr>
          <w:rFonts w:asciiTheme="minorHAnsi" w:hAnsiTheme="minorHAnsi"/>
          <w:color w:val="auto"/>
          <w:szCs w:val="24"/>
        </w:rPr>
        <w:t xml:space="preserve">(Tenth cranial nerve paralysis), supported by the fact that the CI experienced </w:t>
      </w:r>
      <w:r w:rsidR="00804F51" w:rsidRPr="005B3944">
        <w:rPr>
          <w:rFonts w:asciiTheme="minorHAnsi" w:hAnsiTheme="minorHAnsi"/>
          <w:color w:val="auto"/>
          <w:szCs w:val="24"/>
        </w:rPr>
        <w:t>more than one</w:t>
      </w:r>
      <w:r w:rsidR="00A71BB8" w:rsidRPr="005B3944">
        <w:rPr>
          <w:rFonts w:asciiTheme="minorHAnsi" w:hAnsiTheme="minorHAnsi"/>
          <w:color w:val="auto"/>
          <w:szCs w:val="24"/>
        </w:rPr>
        <w:t xml:space="preserve"> episode of unconsciousness (total incapacitation) </w:t>
      </w:r>
      <w:r w:rsidR="00804F51" w:rsidRPr="005B3944">
        <w:rPr>
          <w:rFonts w:asciiTheme="minorHAnsi" w:hAnsiTheme="minorHAnsi"/>
          <w:color w:val="auto"/>
          <w:szCs w:val="24"/>
        </w:rPr>
        <w:t>and multiple episodes of</w:t>
      </w:r>
      <w:r w:rsidR="00A71BB8" w:rsidRPr="005B3944">
        <w:rPr>
          <w:rFonts w:asciiTheme="minorHAnsi" w:hAnsiTheme="minorHAnsi"/>
          <w:color w:val="auto"/>
          <w:szCs w:val="24"/>
        </w:rPr>
        <w:t xml:space="preserve"> pre-</w:t>
      </w:r>
      <w:proofErr w:type="spellStart"/>
      <w:r w:rsidR="00A71BB8" w:rsidRPr="005B3944">
        <w:rPr>
          <w:rFonts w:asciiTheme="minorHAnsi" w:hAnsiTheme="minorHAnsi"/>
          <w:color w:val="auto"/>
          <w:szCs w:val="24"/>
        </w:rPr>
        <w:t>syncopal</w:t>
      </w:r>
      <w:proofErr w:type="spellEnd"/>
      <w:r w:rsidR="00A71BB8" w:rsidRPr="005B3944">
        <w:rPr>
          <w:rFonts w:asciiTheme="minorHAnsi" w:hAnsiTheme="minorHAnsi"/>
          <w:color w:val="auto"/>
          <w:szCs w:val="24"/>
        </w:rPr>
        <w:t xml:space="preserve"> lightheadedness</w:t>
      </w:r>
      <w:r w:rsidRPr="005B3944">
        <w:rPr>
          <w:rFonts w:asciiTheme="minorHAnsi" w:hAnsiTheme="minorHAnsi"/>
          <w:color w:val="auto"/>
          <w:szCs w:val="24"/>
        </w:rPr>
        <w:t xml:space="preserve"> requiring laying down to recover</w:t>
      </w:r>
      <w:r w:rsidR="00A7224A" w:rsidRPr="005B3944">
        <w:rPr>
          <w:rFonts w:asciiTheme="minorHAnsi" w:hAnsiTheme="minorHAnsi"/>
          <w:color w:val="auto"/>
          <w:szCs w:val="24"/>
        </w:rPr>
        <w:t>.</w:t>
      </w:r>
    </w:p>
    <w:p w:rsidR="00A7224A" w:rsidRPr="005B3944" w:rsidRDefault="00A7224A" w:rsidP="00992899">
      <w:pPr>
        <w:spacing w:line="240" w:lineRule="exact"/>
        <w:jc w:val="both"/>
        <w:rPr>
          <w:rFonts w:asciiTheme="minorHAnsi" w:hAnsiTheme="minorHAnsi"/>
          <w:color w:val="auto"/>
          <w:szCs w:val="24"/>
        </w:rPr>
      </w:pPr>
    </w:p>
    <w:p w:rsidR="00102C73" w:rsidRPr="005B3944" w:rsidRDefault="00E827AF" w:rsidP="00992899">
      <w:pPr>
        <w:spacing w:line="240" w:lineRule="exact"/>
        <w:jc w:val="both"/>
        <w:rPr>
          <w:rFonts w:asciiTheme="minorHAnsi" w:hAnsiTheme="minorHAnsi"/>
          <w:color w:val="auto"/>
          <w:szCs w:val="24"/>
        </w:rPr>
      </w:pPr>
      <w:r w:rsidRPr="005B3944">
        <w:rPr>
          <w:rFonts w:asciiTheme="minorHAnsi" w:hAnsiTheme="minorHAnsi"/>
          <w:color w:val="auto"/>
          <w:szCs w:val="24"/>
        </w:rPr>
        <w:t xml:space="preserve">The VA Decision Review Officer </w:t>
      </w:r>
      <w:r w:rsidR="00992899" w:rsidRPr="005B3944">
        <w:rPr>
          <w:rFonts w:asciiTheme="minorHAnsi" w:hAnsiTheme="minorHAnsi"/>
          <w:color w:val="auto"/>
          <w:szCs w:val="24"/>
        </w:rPr>
        <w:t xml:space="preserve">(DRO) </w:t>
      </w:r>
      <w:r w:rsidRPr="005B3944">
        <w:rPr>
          <w:rFonts w:asciiTheme="minorHAnsi" w:hAnsiTheme="minorHAnsi"/>
          <w:color w:val="auto"/>
          <w:szCs w:val="24"/>
        </w:rPr>
        <w:t xml:space="preserve">was acting reasonably when </w:t>
      </w:r>
      <w:r w:rsidR="00992899" w:rsidRPr="005B3944">
        <w:rPr>
          <w:rFonts w:asciiTheme="minorHAnsi" w:hAnsiTheme="minorHAnsi"/>
          <w:color w:val="auto"/>
          <w:szCs w:val="24"/>
        </w:rPr>
        <w:t>the</w:t>
      </w:r>
      <w:r w:rsidR="00102C73" w:rsidRPr="005B3944">
        <w:rPr>
          <w:rFonts w:asciiTheme="minorHAnsi" w:hAnsiTheme="minorHAnsi"/>
          <w:color w:val="auto"/>
          <w:szCs w:val="24"/>
        </w:rPr>
        <w:t>y corrected the</w:t>
      </w:r>
      <w:r w:rsidR="00992899" w:rsidRPr="005B3944">
        <w:rPr>
          <w:rFonts w:asciiTheme="minorHAnsi" w:hAnsiTheme="minorHAnsi"/>
          <w:color w:val="auto"/>
          <w:szCs w:val="24"/>
        </w:rPr>
        <w:t xml:space="preserve"> CI’s </w:t>
      </w:r>
      <w:r w:rsidR="00102C73" w:rsidRPr="005B3944">
        <w:rPr>
          <w:rFonts w:asciiTheme="minorHAnsi" w:hAnsiTheme="minorHAnsi"/>
          <w:color w:val="auto"/>
          <w:szCs w:val="24"/>
        </w:rPr>
        <w:t xml:space="preserve">VA </w:t>
      </w:r>
      <w:r w:rsidR="00992899" w:rsidRPr="005B3944">
        <w:rPr>
          <w:rFonts w:asciiTheme="minorHAnsi" w:hAnsiTheme="minorHAnsi"/>
          <w:color w:val="auto"/>
          <w:szCs w:val="24"/>
        </w:rPr>
        <w:t>coding and rating</w:t>
      </w:r>
      <w:r w:rsidR="00992899" w:rsidRPr="005B3944">
        <w:rPr>
          <w:color w:val="auto"/>
        </w:rPr>
        <w:t xml:space="preserve"> from</w:t>
      </w:r>
      <w:r w:rsidR="00992899" w:rsidRPr="005B3944">
        <w:rPr>
          <w:rFonts w:asciiTheme="minorHAnsi" w:hAnsiTheme="minorHAnsi"/>
          <w:color w:val="auto"/>
          <w:szCs w:val="24"/>
        </w:rPr>
        <w:t xml:space="preserve"> 8199-8108</w:t>
      </w:r>
      <w:r w:rsidR="000A5AD4" w:rsidRPr="005B3944">
        <w:rPr>
          <w:rFonts w:asciiTheme="minorHAnsi" w:hAnsiTheme="minorHAnsi"/>
          <w:color w:val="auto"/>
          <w:szCs w:val="24"/>
        </w:rPr>
        <w:t xml:space="preserve"> (analogous </w:t>
      </w:r>
      <w:r w:rsidR="00A71BB8" w:rsidRPr="005B3944">
        <w:rPr>
          <w:rFonts w:asciiTheme="minorHAnsi" w:hAnsiTheme="minorHAnsi"/>
          <w:color w:val="auto"/>
          <w:szCs w:val="24"/>
        </w:rPr>
        <w:t xml:space="preserve">to </w:t>
      </w:r>
      <w:r w:rsidR="000A5AD4" w:rsidRPr="005B3944">
        <w:rPr>
          <w:rFonts w:asciiTheme="minorHAnsi" w:hAnsiTheme="minorHAnsi"/>
          <w:color w:val="auto"/>
          <w:szCs w:val="24"/>
        </w:rPr>
        <w:t>narcolepsy)</w:t>
      </w:r>
      <w:r w:rsidR="00992899" w:rsidRPr="005B3944">
        <w:rPr>
          <w:rFonts w:asciiTheme="minorHAnsi" w:hAnsiTheme="minorHAnsi"/>
          <w:color w:val="auto"/>
          <w:szCs w:val="24"/>
        </w:rPr>
        <w:t xml:space="preserve"> at 10% to 8199-6204 </w:t>
      </w:r>
      <w:r w:rsidR="000A5AD4" w:rsidRPr="005B3944">
        <w:rPr>
          <w:rFonts w:asciiTheme="minorHAnsi" w:hAnsiTheme="minorHAnsi"/>
          <w:color w:val="auto"/>
          <w:szCs w:val="24"/>
        </w:rPr>
        <w:t xml:space="preserve">(analogous </w:t>
      </w:r>
      <w:r w:rsidR="00A71BB8" w:rsidRPr="005B3944">
        <w:rPr>
          <w:rFonts w:asciiTheme="minorHAnsi" w:hAnsiTheme="minorHAnsi"/>
          <w:color w:val="auto"/>
          <w:szCs w:val="24"/>
        </w:rPr>
        <w:t xml:space="preserve">to </w:t>
      </w:r>
      <w:r w:rsidR="000A5AD4" w:rsidRPr="005B3944">
        <w:rPr>
          <w:rFonts w:asciiTheme="minorHAnsi" w:hAnsiTheme="minorHAnsi"/>
          <w:color w:val="auto"/>
          <w:szCs w:val="24"/>
        </w:rPr>
        <w:t xml:space="preserve">vestibular disorder) </w:t>
      </w:r>
      <w:r w:rsidR="00992899" w:rsidRPr="005B3944">
        <w:rPr>
          <w:rFonts w:asciiTheme="minorHAnsi" w:hAnsiTheme="minorHAnsi"/>
          <w:color w:val="auto"/>
          <w:szCs w:val="24"/>
        </w:rPr>
        <w:t xml:space="preserve">at 30%.  The DRO </w:t>
      </w:r>
      <w:r w:rsidR="00102C73" w:rsidRPr="005B3944">
        <w:rPr>
          <w:rFonts w:asciiTheme="minorHAnsi" w:hAnsiTheme="minorHAnsi"/>
          <w:color w:val="auto"/>
          <w:szCs w:val="24"/>
        </w:rPr>
        <w:t xml:space="preserve">used only the service treatment record and initial VA C&amp;P exam without any </w:t>
      </w:r>
      <w:r w:rsidR="00992899" w:rsidRPr="005B3944">
        <w:rPr>
          <w:rFonts w:asciiTheme="minorHAnsi" w:hAnsiTheme="minorHAnsi"/>
          <w:color w:val="auto"/>
          <w:szCs w:val="24"/>
        </w:rPr>
        <w:t>evidence</w:t>
      </w:r>
      <w:r w:rsidR="00102C73" w:rsidRPr="005B3944">
        <w:rPr>
          <w:rFonts w:asciiTheme="minorHAnsi" w:hAnsiTheme="minorHAnsi"/>
          <w:color w:val="auto"/>
          <w:szCs w:val="24"/>
        </w:rPr>
        <w:t xml:space="preserve"> further removed from separation.  T</w:t>
      </w:r>
      <w:r w:rsidR="00992899" w:rsidRPr="005B3944">
        <w:rPr>
          <w:rFonts w:asciiTheme="minorHAnsi" w:hAnsiTheme="minorHAnsi"/>
          <w:color w:val="auto"/>
          <w:szCs w:val="24"/>
        </w:rPr>
        <w:t xml:space="preserve">he </w:t>
      </w:r>
      <w:r w:rsidR="00102C73" w:rsidRPr="005B3944">
        <w:rPr>
          <w:rFonts w:asciiTheme="minorHAnsi" w:hAnsiTheme="minorHAnsi"/>
          <w:color w:val="auto"/>
          <w:szCs w:val="24"/>
        </w:rPr>
        <w:t xml:space="preserve">rating </w:t>
      </w:r>
      <w:r w:rsidR="00992899" w:rsidRPr="005B3944">
        <w:rPr>
          <w:rFonts w:asciiTheme="minorHAnsi" w:hAnsiTheme="minorHAnsi"/>
          <w:color w:val="auto"/>
          <w:szCs w:val="24"/>
        </w:rPr>
        <w:t xml:space="preserve">change was supported by </w:t>
      </w:r>
      <w:r w:rsidR="00804F51" w:rsidRPr="005B3944">
        <w:rPr>
          <w:rFonts w:asciiTheme="minorHAnsi" w:hAnsiTheme="minorHAnsi"/>
          <w:color w:val="auto"/>
          <w:szCs w:val="24"/>
        </w:rPr>
        <w:t>the same facts</w:t>
      </w:r>
      <w:r w:rsidR="000A5AD4" w:rsidRPr="005B3944">
        <w:rPr>
          <w:rFonts w:asciiTheme="minorHAnsi" w:hAnsiTheme="minorHAnsi"/>
          <w:color w:val="auto"/>
          <w:szCs w:val="24"/>
        </w:rPr>
        <w:t xml:space="preserve">, including multiple episodes </w:t>
      </w:r>
      <w:r w:rsidR="00102C73" w:rsidRPr="005B3944">
        <w:rPr>
          <w:rFonts w:asciiTheme="minorHAnsi" w:hAnsiTheme="minorHAnsi"/>
          <w:color w:val="auto"/>
          <w:szCs w:val="24"/>
        </w:rPr>
        <w:t xml:space="preserve">adjudged </w:t>
      </w:r>
      <w:r w:rsidR="000A5AD4" w:rsidRPr="005B3944">
        <w:rPr>
          <w:rFonts w:asciiTheme="minorHAnsi" w:hAnsiTheme="minorHAnsi"/>
          <w:color w:val="auto"/>
          <w:szCs w:val="24"/>
        </w:rPr>
        <w:t>equivalent to “dizziness and occasional staggering” under 6204.</w:t>
      </w:r>
      <w:r w:rsidR="00FF3CD8" w:rsidRPr="005B3944">
        <w:rPr>
          <w:rFonts w:asciiTheme="minorHAnsi" w:hAnsiTheme="minorHAnsi"/>
          <w:color w:val="auto"/>
          <w:szCs w:val="24"/>
        </w:rPr>
        <w:t xml:space="preserve">  The DRO decision adds credence to the AO opinion that the 30% (severe) rating </w:t>
      </w:r>
      <w:r w:rsidR="00804F51" w:rsidRPr="005B3944">
        <w:rPr>
          <w:rFonts w:asciiTheme="minorHAnsi" w:hAnsiTheme="minorHAnsi"/>
          <w:color w:val="auto"/>
          <w:szCs w:val="24"/>
        </w:rPr>
        <w:t xml:space="preserve">much </w:t>
      </w:r>
      <w:r w:rsidR="00FF3CD8" w:rsidRPr="005B3944">
        <w:rPr>
          <w:rFonts w:asciiTheme="minorHAnsi" w:hAnsiTheme="minorHAnsi"/>
          <w:color w:val="auto"/>
          <w:szCs w:val="24"/>
        </w:rPr>
        <w:t>more accurately depicts the CI’s disability picture.</w:t>
      </w:r>
      <w:r w:rsidR="00A71BB8" w:rsidRPr="005B3944">
        <w:rPr>
          <w:rFonts w:asciiTheme="minorHAnsi" w:hAnsiTheme="minorHAnsi"/>
          <w:color w:val="auto"/>
          <w:szCs w:val="24"/>
        </w:rPr>
        <w:t xml:space="preserve">  </w:t>
      </w:r>
    </w:p>
    <w:p w:rsidR="00102C73" w:rsidRPr="005B3944" w:rsidRDefault="00102C73" w:rsidP="00992899">
      <w:pPr>
        <w:spacing w:line="240" w:lineRule="exact"/>
        <w:jc w:val="both"/>
        <w:rPr>
          <w:rFonts w:asciiTheme="minorHAnsi" w:hAnsiTheme="minorHAnsi"/>
          <w:color w:val="auto"/>
          <w:szCs w:val="24"/>
        </w:rPr>
      </w:pPr>
    </w:p>
    <w:p w:rsidR="00A03204" w:rsidRPr="005B3944" w:rsidRDefault="00FF3CD8" w:rsidP="00992899">
      <w:pPr>
        <w:spacing w:line="240" w:lineRule="exact"/>
        <w:jc w:val="both"/>
        <w:rPr>
          <w:rFonts w:asciiTheme="minorHAnsi" w:hAnsiTheme="minorHAnsi"/>
          <w:color w:val="auto"/>
          <w:szCs w:val="24"/>
        </w:rPr>
      </w:pPr>
      <w:r w:rsidRPr="005B3944">
        <w:rPr>
          <w:rFonts w:asciiTheme="minorHAnsi" w:hAnsiTheme="minorHAnsi"/>
          <w:color w:val="auto"/>
          <w:szCs w:val="24"/>
        </w:rPr>
        <w:t>Although t</w:t>
      </w:r>
      <w:r w:rsidR="00E827AF" w:rsidRPr="005B3944">
        <w:rPr>
          <w:rFonts w:asciiTheme="minorHAnsi" w:hAnsiTheme="minorHAnsi"/>
          <w:color w:val="auto"/>
          <w:szCs w:val="24"/>
        </w:rPr>
        <w:t>he r</w:t>
      </w:r>
      <w:r w:rsidR="00A03204" w:rsidRPr="005B3944">
        <w:rPr>
          <w:rFonts w:asciiTheme="minorHAnsi" w:hAnsiTheme="minorHAnsi"/>
          <w:color w:val="auto"/>
          <w:szCs w:val="24"/>
        </w:rPr>
        <w:t xml:space="preserve">ecord provided </w:t>
      </w:r>
      <w:r w:rsidRPr="005B3944">
        <w:rPr>
          <w:rFonts w:asciiTheme="minorHAnsi" w:hAnsiTheme="minorHAnsi"/>
          <w:color w:val="auto"/>
          <w:szCs w:val="24"/>
        </w:rPr>
        <w:t>an</w:t>
      </w:r>
      <w:r w:rsidR="00A03204" w:rsidRPr="005B3944">
        <w:rPr>
          <w:rFonts w:asciiTheme="minorHAnsi" w:hAnsiTheme="minorHAnsi"/>
          <w:color w:val="auto"/>
          <w:szCs w:val="24"/>
        </w:rPr>
        <w:t xml:space="preserve"> imprecise number</w:t>
      </w:r>
      <w:r w:rsidR="00E827AF" w:rsidRPr="005B3944">
        <w:rPr>
          <w:rFonts w:asciiTheme="minorHAnsi" w:hAnsiTheme="minorHAnsi"/>
          <w:color w:val="auto"/>
          <w:szCs w:val="24"/>
        </w:rPr>
        <w:t xml:space="preserve"> or </w:t>
      </w:r>
      <w:r w:rsidR="00A03204" w:rsidRPr="005B3944">
        <w:rPr>
          <w:rFonts w:asciiTheme="minorHAnsi" w:hAnsiTheme="minorHAnsi"/>
          <w:color w:val="auto"/>
          <w:szCs w:val="24"/>
        </w:rPr>
        <w:t>frequency of full syncope</w:t>
      </w:r>
      <w:r w:rsidR="00E827AF" w:rsidRPr="005B3944">
        <w:rPr>
          <w:rFonts w:asciiTheme="minorHAnsi" w:hAnsiTheme="minorHAnsi"/>
          <w:color w:val="auto"/>
          <w:szCs w:val="24"/>
        </w:rPr>
        <w:t xml:space="preserve"> (loss of consciousness)</w:t>
      </w:r>
      <w:r w:rsidR="00A03204" w:rsidRPr="005B3944">
        <w:rPr>
          <w:rFonts w:asciiTheme="minorHAnsi" w:hAnsiTheme="minorHAnsi"/>
          <w:color w:val="auto"/>
          <w:szCs w:val="24"/>
        </w:rPr>
        <w:t xml:space="preserve"> versus pre-syncope episodes</w:t>
      </w:r>
      <w:r w:rsidRPr="005B3944">
        <w:rPr>
          <w:rFonts w:asciiTheme="minorHAnsi" w:hAnsiTheme="minorHAnsi"/>
          <w:color w:val="auto"/>
          <w:szCs w:val="24"/>
        </w:rPr>
        <w:t xml:space="preserve">, it is </w:t>
      </w:r>
      <w:r w:rsidR="00A71BB8" w:rsidRPr="005B3944">
        <w:rPr>
          <w:rFonts w:asciiTheme="minorHAnsi" w:hAnsiTheme="minorHAnsi"/>
          <w:color w:val="auto"/>
          <w:szCs w:val="24"/>
        </w:rPr>
        <w:t>apparent</w:t>
      </w:r>
      <w:r w:rsidRPr="005B3944">
        <w:rPr>
          <w:rFonts w:asciiTheme="minorHAnsi" w:hAnsiTheme="minorHAnsi"/>
          <w:color w:val="auto"/>
          <w:szCs w:val="24"/>
        </w:rPr>
        <w:t xml:space="preserve"> that there were at least two episodes of </w:t>
      </w:r>
      <w:proofErr w:type="gramStart"/>
      <w:r w:rsidRPr="005B3944">
        <w:rPr>
          <w:rFonts w:asciiTheme="minorHAnsi" w:hAnsiTheme="minorHAnsi"/>
          <w:color w:val="auto"/>
          <w:szCs w:val="24"/>
        </w:rPr>
        <w:t>syncope,</w:t>
      </w:r>
      <w:proofErr w:type="gramEnd"/>
      <w:r w:rsidRPr="005B3944">
        <w:rPr>
          <w:rFonts w:asciiTheme="minorHAnsi" w:hAnsiTheme="minorHAnsi"/>
          <w:color w:val="auto"/>
          <w:szCs w:val="24"/>
        </w:rPr>
        <w:t xml:space="preserve"> and </w:t>
      </w:r>
      <w:r w:rsidR="000A5AD4" w:rsidRPr="005B3944">
        <w:rPr>
          <w:rFonts w:asciiTheme="minorHAnsi" w:hAnsiTheme="minorHAnsi"/>
          <w:color w:val="auto"/>
          <w:szCs w:val="24"/>
        </w:rPr>
        <w:t xml:space="preserve">multiple episodes of </w:t>
      </w:r>
      <w:r w:rsidR="00102C73" w:rsidRPr="005B3944">
        <w:rPr>
          <w:rFonts w:asciiTheme="minorHAnsi" w:hAnsiTheme="minorHAnsi"/>
          <w:color w:val="auto"/>
          <w:szCs w:val="24"/>
        </w:rPr>
        <w:t xml:space="preserve">significant </w:t>
      </w:r>
      <w:r w:rsidR="000A5AD4" w:rsidRPr="005B3944">
        <w:rPr>
          <w:rFonts w:asciiTheme="minorHAnsi" w:hAnsiTheme="minorHAnsi"/>
          <w:color w:val="auto"/>
          <w:szCs w:val="24"/>
        </w:rPr>
        <w:t>pre-syncope</w:t>
      </w:r>
      <w:r w:rsidRPr="005B3944">
        <w:rPr>
          <w:rFonts w:asciiTheme="minorHAnsi" w:hAnsiTheme="minorHAnsi"/>
          <w:color w:val="auto"/>
          <w:szCs w:val="24"/>
        </w:rPr>
        <w:t xml:space="preserve"> </w:t>
      </w:r>
      <w:r w:rsidR="000A5AD4" w:rsidRPr="005B3944">
        <w:rPr>
          <w:rFonts w:asciiTheme="minorHAnsi" w:hAnsiTheme="minorHAnsi"/>
          <w:color w:val="auto"/>
          <w:szCs w:val="24"/>
        </w:rPr>
        <w:t xml:space="preserve">after </w:t>
      </w:r>
      <w:r w:rsidR="00A71BB8" w:rsidRPr="005B3944">
        <w:rPr>
          <w:rFonts w:asciiTheme="minorHAnsi" w:hAnsiTheme="minorHAnsi"/>
          <w:color w:val="auto"/>
          <w:szCs w:val="24"/>
        </w:rPr>
        <w:t xml:space="preserve">only </w:t>
      </w:r>
      <w:r w:rsidR="000A5AD4" w:rsidRPr="005B3944">
        <w:rPr>
          <w:rFonts w:asciiTheme="minorHAnsi" w:hAnsiTheme="minorHAnsi"/>
          <w:color w:val="auto"/>
          <w:szCs w:val="24"/>
        </w:rPr>
        <w:t>moderate exercise</w:t>
      </w:r>
      <w:r w:rsidR="00E827AF" w:rsidRPr="005B3944">
        <w:rPr>
          <w:rFonts w:asciiTheme="minorHAnsi" w:hAnsiTheme="minorHAnsi"/>
          <w:color w:val="auto"/>
          <w:szCs w:val="24"/>
        </w:rPr>
        <w:t xml:space="preserve">.  </w:t>
      </w:r>
      <w:r w:rsidR="000A5AD4" w:rsidRPr="005B3944">
        <w:rPr>
          <w:rFonts w:asciiTheme="minorHAnsi" w:hAnsiTheme="minorHAnsi"/>
          <w:color w:val="auto"/>
          <w:szCs w:val="24"/>
        </w:rPr>
        <w:t xml:space="preserve">The CI’s P4 profile was </w:t>
      </w:r>
      <w:r w:rsidR="00804F51" w:rsidRPr="005B3944">
        <w:rPr>
          <w:rFonts w:asciiTheme="minorHAnsi" w:hAnsiTheme="minorHAnsi"/>
          <w:color w:val="auto"/>
          <w:szCs w:val="24"/>
        </w:rPr>
        <w:t>extremely</w:t>
      </w:r>
      <w:r w:rsidR="000A5AD4" w:rsidRPr="005B3944">
        <w:rPr>
          <w:rFonts w:asciiTheme="minorHAnsi" w:hAnsiTheme="minorHAnsi"/>
          <w:color w:val="auto"/>
          <w:szCs w:val="24"/>
        </w:rPr>
        <w:t xml:space="preserve"> restrictive, including restrictions against all exercise including cycle </w:t>
      </w:r>
      <w:proofErr w:type="spellStart"/>
      <w:r w:rsidR="000A5AD4" w:rsidRPr="005B3944">
        <w:rPr>
          <w:rFonts w:asciiTheme="minorHAnsi" w:hAnsiTheme="minorHAnsi"/>
          <w:color w:val="auto"/>
          <w:szCs w:val="24"/>
        </w:rPr>
        <w:t>ergometry</w:t>
      </w:r>
      <w:proofErr w:type="spellEnd"/>
      <w:r w:rsidR="000A5AD4" w:rsidRPr="005B3944">
        <w:rPr>
          <w:rFonts w:asciiTheme="minorHAnsi" w:hAnsiTheme="minorHAnsi"/>
          <w:color w:val="auto"/>
          <w:szCs w:val="24"/>
        </w:rPr>
        <w:t xml:space="preserve">, standing over 30 minutes, lifting over 10 pounds, push-ups, sit-ups, and handling of weapons.  </w:t>
      </w:r>
      <w:r w:rsidR="00A71BB8" w:rsidRPr="005B3944">
        <w:rPr>
          <w:rFonts w:asciiTheme="minorHAnsi" w:hAnsiTheme="minorHAnsi"/>
          <w:color w:val="auto"/>
          <w:szCs w:val="24"/>
        </w:rPr>
        <w:t>Clearly, the “severe” 30% rating is more appropriate in this case</w:t>
      </w:r>
      <w:r w:rsidR="005B3944" w:rsidRPr="005B3944">
        <w:rPr>
          <w:rFonts w:asciiTheme="minorHAnsi" w:hAnsiTheme="minorHAnsi"/>
          <w:color w:val="auto"/>
          <w:szCs w:val="24"/>
        </w:rPr>
        <w:t xml:space="preserve"> and especially so when the tenants of VASRD §4.3 (reasonable doubt)</w:t>
      </w:r>
      <w:r w:rsidR="00A71BB8" w:rsidRPr="005B3944">
        <w:rPr>
          <w:rFonts w:asciiTheme="minorHAnsi" w:hAnsiTheme="minorHAnsi"/>
          <w:color w:val="auto"/>
          <w:szCs w:val="24"/>
        </w:rPr>
        <w:t>.</w:t>
      </w:r>
    </w:p>
    <w:p w:rsidR="00B15DF9" w:rsidRPr="005B3944" w:rsidRDefault="00B15DF9" w:rsidP="00992899">
      <w:pPr>
        <w:spacing w:line="240" w:lineRule="exact"/>
        <w:jc w:val="both"/>
        <w:rPr>
          <w:rFonts w:asciiTheme="minorHAnsi" w:hAnsiTheme="minorHAnsi"/>
          <w:color w:val="auto"/>
          <w:szCs w:val="24"/>
        </w:rPr>
      </w:pPr>
    </w:p>
    <w:p w:rsidR="00B15DF9" w:rsidRPr="005B3944" w:rsidRDefault="00B15DF9" w:rsidP="00992899">
      <w:pPr>
        <w:spacing w:line="240" w:lineRule="exact"/>
        <w:jc w:val="both"/>
        <w:rPr>
          <w:rFonts w:asciiTheme="minorHAnsi" w:hAnsiTheme="minorHAnsi"/>
          <w:color w:val="auto"/>
          <w:szCs w:val="24"/>
        </w:rPr>
      </w:pPr>
      <w:r w:rsidRPr="005B3944">
        <w:rPr>
          <w:rFonts w:asciiTheme="minorHAnsi" w:hAnsiTheme="minorHAnsi"/>
          <w:color w:val="auto"/>
          <w:szCs w:val="24"/>
        </w:rPr>
        <w:t>The AO</w:t>
      </w:r>
      <w:r w:rsidR="00C050BE" w:rsidRPr="005B3944">
        <w:rPr>
          <w:rFonts w:asciiTheme="minorHAnsi" w:hAnsiTheme="minorHAnsi"/>
          <w:color w:val="auto"/>
          <w:szCs w:val="24"/>
        </w:rPr>
        <w:t>’s</w:t>
      </w:r>
      <w:r w:rsidRPr="005B3944">
        <w:rPr>
          <w:rFonts w:asciiTheme="minorHAnsi" w:hAnsiTheme="minorHAnsi"/>
          <w:color w:val="auto"/>
          <w:szCs w:val="24"/>
        </w:rPr>
        <w:t xml:space="preserve"> recommendations</w:t>
      </w:r>
      <w:r w:rsidR="00C050BE" w:rsidRPr="005B3944">
        <w:rPr>
          <w:rFonts w:asciiTheme="minorHAnsi" w:hAnsiTheme="minorHAnsi"/>
          <w:color w:val="auto"/>
          <w:szCs w:val="24"/>
        </w:rPr>
        <w:t xml:space="preserve">, </w:t>
      </w:r>
      <w:r w:rsidRPr="005B3944">
        <w:rPr>
          <w:rFonts w:asciiTheme="minorHAnsi" w:hAnsiTheme="minorHAnsi"/>
          <w:color w:val="auto"/>
          <w:szCs w:val="24"/>
        </w:rPr>
        <w:t>summarized below</w:t>
      </w:r>
      <w:r w:rsidR="00C050BE" w:rsidRPr="005B3944">
        <w:rPr>
          <w:rFonts w:asciiTheme="minorHAnsi" w:hAnsiTheme="minorHAnsi"/>
          <w:color w:val="auto"/>
          <w:szCs w:val="24"/>
        </w:rPr>
        <w:t xml:space="preserve">, </w:t>
      </w:r>
      <w:r w:rsidRPr="005B3944">
        <w:rPr>
          <w:rFonts w:asciiTheme="minorHAnsi" w:hAnsiTheme="minorHAnsi"/>
          <w:color w:val="auto"/>
          <w:szCs w:val="24"/>
        </w:rPr>
        <w:t>advocate that the CI’s prior determination be modified and that the discharge with severance pay be recharacterized to reflect permanent disability retirement, effective as of the date of his prior medical separation</w:t>
      </w:r>
      <w:r w:rsidR="00C050BE" w:rsidRPr="005B3944">
        <w:rPr>
          <w:rFonts w:asciiTheme="minorHAnsi" w:hAnsiTheme="minorHAnsi"/>
          <w:color w:val="auto"/>
          <w:szCs w:val="24"/>
        </w:rPr>
        <w:t>.</w:t>
      </w:r>
    </w:p>
    <w:p w:rsidR="00B15DF9" w:rsidRPr="005B3944" w:rsidRDefault="00B15DF9" w:rsidP="00B15DF9">
      <w:pPr>
        <w:spacing w:line="240" w:lineRule="exact"/>
        <w:jc w:val="both"/>
        <w:rPr>
          <w:rFonts w:asciiTheme="minorHAnsi" w:hAnsiTheme="minorHAnsi"/>
          <w:color w:val="auto"/>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B15DF9" w:rsidRPr="005B3944" w:rsidTr="008B6AAE">
        <w:trPr>
          <w:trHeight w:val="233"/>
          <w:jc w:val="center"/>
        </w:trPr>
        <w:tc>
          <w:tcPr>
            <w:tcW w:w="6480" w:type="dxa"/>
            <w:shd w:val="clear" w:color="auto" w:fill="D9D9D9"/>
            <w:vAlign w:val="center"/>
          </w:tcPr>
          <w:p w:rsidR="00B15DF9" w:rsidRPr="005B3944" w:rsidRDefault="00B15DF9" w:rsidP="008B6AAE">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UNFITTING CONDITION</w:t>
            </w:r>
          </w:p>
        </w:tc>
        <w:tc>
          <w:tcPr>
            <w:tcW w:w="1710" w:type="dxa"/>
            <w:shd w:val="clear" w:color="auto" w:fill="D9D9D9"/>
            <w:vAlign w:val="center"/>
          </w:tcPr>
          <w:p w:rsidR="00B15DF9" w:rsidRPr="005B3944" w:rsidRDefault="00B15DF9" w:rsidP="008B6AAE">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VASRD CODE</w:t>
            </w:r>
          </w:p>
        </w:tc>
        <w:tc>
          <w:tcPr>
            <w:tcW w:w="1170" w:type="dxa"/>
            <w:shd w:val="clear" w:color="auto" w:fill="D9D9D9"/>
            <w:vAlign w:val="center"/>
          </w:tcPr>
          <w:p w:rsidR="00B15DF9" w:rsidRPr="005B3944" w:rsidRDefault="00B15DF9" w:rsidP="008B6AAE">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RATING</w:t>
            </w:r>
          </w:p>
        </w:tc>
      </w:tr>
      <w:tr w:rsidR="00B15DF9" w:rsidRPr="005B3944" w:rsidTr="008B6AAE">
        <w:trPr>
          <w:jc w:val="center"/>
        </w:trPr>
        <w:tc>
          <w:tcPr>
            <w:tcW w:w="6480" w:type="dxa"/>
            <w:vAlign w:val="center"/>
          </w:tcPr>
          <w:p w:rsidR="00B15DF9" w:rsidRPr="005B3944" w:rsidRDefault="00B15DF9" w:rsidP="008B6AAE">
            <w:pPr>
              <w:tabs>
                <w:tab w:val="left" w:pos="288"/>
                <w:tab w:val="left" w:pos="4752"/>
              </w:tabs>
              <w:spacing w:line="240" w:lineRule="exact"/>
              <w:rPr>
                <w:rFonts w:asciiTheme="minorHAnsi" w:hAnsiTheme="minorHAnsi"/>
                <w:color w:val="auto"/>
                <w:szCs w:val="24"/>
              </w:rPr>
            </w:pPr>
            <w:proofErr w:type="spellStart"/>
            <w:r w:rsidRPr="005B3944">
              <w:rPr>
                <w:rFonts w:asciiTheme="minorHAnsi" w:hAnsiTheme="minorHAnsi"/>
                <w:color w:val="auto"/>
                <w:szCs w:val="24"/>
              </w:rPr>
              <w:t>Neurocardiogenic</w:t>
            </w:r>
            <w:proofErr w:type="spellEnd"/>
            <w:r w:rsidRPr="005B3944">
              <w:rPr>
                <w:rFonts w:asciiTheme="minorHAnsi" w:hAnsiTheme="minorHAnsi"/>
                <w:color w:val="auto"/>
                <w:szCs w:val="24"/>
              </w:rPr>
              <w:t xml:space="preserve"> Syncope</w:t>
            </w:r>
          </w:p>
        </w:tc>
        <w:tc>
          <w:tcPr>
            <w:tcW w:w="1710" w:type="dxa"/>
            <w:vAlign w:val="center"/>
          </w:tcPr>
          <w:p w:rsidR="00B15DF9" w:rsidRPr="005B3944" w:rsidRDefault="00B15DF9" w:rsidP="008B6AAE">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8299-8210</w:t>
            </w:r>
          </w:p>
        </w:tc>
        <w:tc>
          <w:tcPr>
            <w:tcW w:w="1170" w:type="dxa"/>
            <w:vAlign w:val="center"/>
          </w:tcPr>
          <w:p w:rsidR="00B15DF9" w:rsidRPr="005B3944" w:rsidRDefault="00B15DF9" w:rsidP="008B6AAE">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30%</w:t>
            </w:r>
          </w:p>
        </w:tc>
      </w:tr>
      <w:tr w:rsidR="00B15DF9" w:rsidRPr="005B3944" w:rsidTr="008B6AAE">
        <w:trPr>
          <w:jc w:val="center"/>
        </w:trPr>
        <w:tc>
          <w:tcPr>
            <w:tcW w:w="6480" w:type="dxa"/>
            <w:vAlign w:val="center"/>
          </w:tcPr>
          <w:p w:rsidR="00B15DF9" w:rsidRPr="005B3944" w:rsidRDefault="00B15DF9" w:rsidP="008B6AAE">
            <w:pPr>
              <w:tabs>
                <w:tab w:val="left" w:pos="288"/>
                <w:tab w:val="left" w:pos="4752"/>
              </w:tabs>
              <w:spacing w:line="240" w:lineRule="exact"/>
              <w:rPr>
                <w:rFonts w:asciiTheme="minorHAnsi" w:hAnsiTheme="minorHAnsi"/>
                <w:color w:val="auto"/>
                <w:szCs w:val="24"/>
              </w:rPr>
            </w:pPr>
            <w:r w:rsidRPr="005B3944">
              <w:rPr>
                <w:rFonts w:asciiTheme="minorHAnsi" w:hAnsiTheme="minorHAnsi"/>
                <w:color w:val="auto"/>
                <w:szCs w:val="24"/>
              </w:rPr>
              <w:t>Depressive Disorder</w:t>
            </w:r>
          </w:p>
        </w:tc>
        <w:tc>
          <w:tcPr>
            <w:tcW w:w="2880" w:type="dxa"/>
            <w:gridSpan w:val="2"/>
            <w:vAlign w:val="center"/>
          </w:tcPr>
          <w:p w:rsidR="00B15DF9" w:rsidRPr="005B3944" w:rsidRDefault="00B15DF9" w:rsidP="008B6AAE">
            <w:pPr>
              <w:tabs>
                <w:tab w:val="left" w:pos="288"/>
                <w:tab w:val="left" w:pos="4752"/>
              </w:tabs>
              <w:spacing w:line="240" w:lineRule="exact"/>
              <w:jc w:val="center"/>
              <w:rPr>
                <w:rFonts w:asciiTheme="minorHAnsi" w:hAnsiTheme="minorHAnsi"/>
                <w:color w:val="auto"/>
                <w:szCs w:val="24"/>
              </w:rPr>
            </w:pPr>
            <w:r w:rsidRPr="005B3944">
              <w:rPr>
                <w:rFonts w:asciiTheme="minorHAnsi" w:hAnsiTheme="minorHAnsi"/>
                <w:color w:val="auto"/>
                <w:szCs w:val="24"/>
              </w:rPr>
              <w:t>Not Unfitting</w:t>
            </w:r>
          </w:p>
        </w:tc>
      </w:tr>
      <w:tr w:rsidR="00B15DF9" w:rsidRPr="005B3944" w:rsidTr="008B6AAE">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B15DF9" w:rsidRPr="005B3944" w:rsidRDefault="00B15DF9" w:rsidP="008B6AAE">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B15DF9" w:rsidRPr="005B3944" w:rsidRDefault="00B15DF9" w:rsidP="008B6AAE">
            <w:pPr>
              <w:tabs>
                <w:tab w:val="left" w:pos="288"/>
                <w:tab w:val="left" w:pos="4752"/>
              </w:tabs>
              <w:spacing w:line="240" w:lineRule="exact"/>
              <w:jc w:val="center"/>
              <w:rPr>
                <w:rFonts w:asciiTheme="minorHAnsi" w:hAnsiTheme="minorHAnsi"/>
                <w:b/>
                <w:color w:val="auto"/>
                <w:szCs w:val="24"/>
              </w:rPr>
            </w:pPr>
            <w:r w:rsidRPr="005B3944">
              <w:rPr>
                <w:rFonts w:asciiTheme="minorHAnsi" w:hAnsiTheme="minorHAnsi"/>
                <w:b/>
                <w:color w:val="auto"/>
                <w:szCs w:val="24"/>
              </w:rPr>
              <w:t>30%</w:t>
            </w:r>
          </w:p>
        </w:tc>
      </w:tr>
    </w:tbl>
    <w:p w:rsidR="00FD6C38" w:rsidRDefault="00FD6C38" w:rsidP="00FD6C38">
      <w:pPr>
        <w:tabs>
          <w:tab w:val="left" w:pos="576"/>
        </w:tabs>
        <w:spacing w:line="240" w:lineRule="exact"/>
        <w:ind w:right="-1080"/>
        <w:rPr>
          <w:rFonts w:ascii="Times New Roman" w:hAnsi="Times New Roman"/>
          <w:color w:val="auto"/>
        </w:rPr>
      </w:pPr>
    </w:p>
    <w:p w:rsidR="00FD6C38" w:rsidRDefault="00FD6C38">
      <w:pPr>
        <w:rPr>
          <w:rFonts w:ascii="Times New Roman" w:hAnsi="Times New Roman"/>
          <w:color w:val="auto"/>
        </w:rPr>
      </w:pPr>
      <w:r>
        <w:rPr>
          <w:rFonts w:ascii="Times New Roman" w:hAnsi="Times New Roman"/>
          <w:color w:val="auto"/>
        </w:rPr>
        <w:br w:type="page"/>
      </w:r>
    </w:p>
    <w:p w:rsidR="00FD6C38" w:rsidRDefault="00FD6C38" w:rsidP="00FD6C38">
      <w:pPr>
        <w:tabs>
          <w:tab w:val="left" w:pos="576"/>
        </w:tabs>
        <w:spacing w:line="240" w:lineRule="exact"/>
        <w:ind w:right="-1080"/>
        <w:rPr>
          <w:rFonts w:ascii="Times New Roman" w:hAnsi="Times New Roman"/>
          <w:color w:val="auto"/>
        </w:rPr>
      </w:pPr>
      <w:r>
        <w:rPr>
          <w:rFonts w:ascii="Times New Roman" w:hAnsi="Times New Roman"/>
          <w:color w:val="auto"/>
        </w:rPr>
        <w:lastRenderedPageBreak/>
        <w:t>SAF/MRB</w:t>
      </w:r>
    </w:p>
    <w:p w:rsidR="00FD6C38" w:rsidRDefault="00FD6C38" w:rsidP="00FD6C38">
      <w:pPr>
        <w:tabs>
          <w:tab w:val="left" w:pos="576"/>
        </w:tabs>
        <w:spacing w:line="240" w:lineRule="exact"/>
        <w:ind w:right="-1080"/>
        <w:rPr>
          <w:rFonts w:ascii="Times New Roman" w:hAnsi="Times New Roman"/>
          <w:color w:val="auto"/>
        </w:rPr>
      </w:pPr>
      <w:r>
        <w:rPr>
          <w:rFonts w:ascii="Times New Roman" w:hAnsi="Times New Roman"/>
          <w:color w:val="auto"/>
        </w:rPr>
        <w:t>1500 West Perimeter Road, Suite 3700</w:t>
      </w:r>
    </w:p>
    <w:p w:rsidR="00FD6C38" w:rsidRDefault="00FD6C38" w:rsidP="00FD6C38">
      <w:pPr>
        <w:tabs>
          <w:tab w:val="left" w:pos="576"/>
        </w:tabs>
        <w:spacing w:line="240" w:lineRule="exact"/>
        <w:ind w:right="-1080"/>
        <w:rPr>
          <w:rFonts w:ascii="Times New Roman" w:hAnsi="Times New Roman"/>
          <w:color w:val="auto"/>
        </w:rPr>
      </w:pPr>
      <w:r>
        <w:rPr>
          <w:rFonts w:ascii="Times New Roman" w:hAnsi="Times New Roman"/>
          <w:color w:val="auto"/>
        </w:rPr>
        <w:t>Joint Base Andrews MD  20762</w:t>
      </w:r>
    </w:p>
    <w:p w:rsidR="00FD6C38" w:rsidRDefault="00FD6C38" w:rsidP="00FD6C38">
      <w:pPr>
        <w:tabs>
          <w:tab w:val="left" w:pos="576"/>
        </w:tabs>
        <w:spacing w:line="240" w:lineRule="exact"/>
        <w:ind w:right="-1080"/>
        <w:rPr>
          <w:rFonts w:ascii="Times New Roman" w:hAnsi="Times New Roman"/>
          <w:color w:val="auto"/>
        </w:rPr>
      </w:pPr>
    </w:p>
    <w:p w:rsidR="00FD6C38" w:rsidRDefault="00FD6C38" w:rsidP="00FD6C38">
      <w:pPr>
        <w:tabs>
          <w:tab w:val="left" w:pos="720"/>
        </w:tabs>
        <w:spacing w:line="240" w:lineRule="exact"/>
        <w:ind w:right="-1080"/>
        <w:rPr>
          <w:rFonts w:ascii="Times New Roman" w:hAnsi="Times New Roman"/>
          <w:color w:val="auto"/>
          <w:sz w:val="20"/>
        </w:rPr>
      </w:pPr>
    </w:p>
    <w:p w:rsidR="00FD6C38" w:rsidRDefault="00FD6C38" w:rsidP="00FD6C38">
      <w:pPr>
        <w:tabs>
          <w:tab w:val="left" w:pos="720"/>
        </w:tabs>
        <w:spacing w:line="240" w:lineRule="exact"/>
        <w:ind w:right="-1080"/>
        <w:rPr>
          <w:rFonts w:ascii="Times New Roman" w:hAnsi="Times New Roman"/>
          <w:color w:val="auto"/>
        </w:rPr>
      </w:pPr>
      <w:r>
        <w:rPr>
          <w:rFonts w:ascii="Times New Roman" w:hAnsi="Times New Roman"/>
          <w:color w:val="auto"/>
        </w:rPr>
        <w:t>Dear XXXXXXXXXX:</w:t>
      </w:r>
    </w:p>
    <w:p w:rsidR="00FD6C38" w:rsidRDefault="00FD6C38" w:rsidP="00FD6C38">
      <w:pPr>
        <w:tabs>
          <w:tab w:val="left" w:pos="720"/>
        </w:tabs>
        <w:spacing w:line="240" w:lineRule="exact"/>
        <w:ind w:right="-1080"/>
        <w:rPr>
          <w:rFonts w:ascii="Times New Roman" w:hAnsi="Times New Roman"/>
          <w:color w:val="auto"/>
          <w:sz w:val="20"/>
        </w:rPr>
      </w:pPr>
    </w:p>
    <w:p w:rsidR="00FD6C38" w:rsidRDefault="00FD6C38" w:rsidP="00FD6C38">
      <w:pPr>
        <w:tabs>
          <w:tab w:val="left" w:pos="720"/>
        </w:tabs>
        <w:spacing w:line="240" w:lineRule="exact"/>
        <w:rPr>
          <w:rFonts w:ascii="Times New Roman" w:hAnsi="Times New Roman"/>
          <w:color w:val="auto"/>
        </w:rPr>
      </w:pPr>
      <w:r>
        <w:rPr>
          <w:rFonts w:ascii="Times New Roman" w:hAnsi="Times New Roman"/>
          <w:color w:val="auto"/>
        </w:rPr>
        <w:tab/>
        <w:t>Reference your application submitted under the provisions of DoDI 6040.44 (Section 1554, 10 USC), PDBR Case Number PD-2011-00093.</w:t>
      </w:r>
    </w:p>
    <w:p w:rsidR="00FD6C38" w:rsidRDefault="00FD6C38" w:rsidP="00FD6C38">
      <w:pPr>
        <w:tabs>
          <w:tab w:val="left" w:pos="720"/>
        </w:tabs>
        <w:spacing w:line="240" w:lineRule="exact"/>
        <w:rPr>
          <w:rFonts w:ascii="Times New Roman" w:hAnsi="Times New Roman"/>
          <w:color w:val="auto"/>
        </w:rPr>
      </w:pPr>
    </w:p>
    <w:p w:rsidR="00FD6C38" w:rsidRDefault="00FD6C38" w:rsidP="00FD6C38">
      <w:pPr>
        <w:tabs>
          <w:tab w:val="left" w:pos="720"/>
        </w:tabs>
        <w:spacing w:line="240" w:lineRule="exact"/>
        <w:rPr>
          <w:rFonts w:ascii="Times New Roman" w:hAnsi="Times New Roman"/>
          <w:color w:val="auto"/>
        </w:rPr>
      </w:pPr>
      <w:r>
        <w:rPr>
          <w:rFonts w:ascii="Times New Roman" w:hAnsi="Times New Roman"/>
          <w:color w:val="auto"/>
        </w:rPr>
        <w:tab/>
        <w:t xml:space="preserve">After careful consideration of your application and treatment records, the Physical Disability Board of Review determined that the rating assigned at the time of final disposition of your disability evaluation system processing was not appropriate under the guidelines of the Veterans Administration Schedule for Rating Disabilities.  Accordingly, the Board recommended modification of your assigned disability rating without re-characterization of your separation with severance pay. </w:t>
      </w:r>
    </w:p>
    <w:p w:rsidR="00FD6C38" w:rsidRDefault="00FD6C38" w:rsidP="00FD6C38">
      <w:pPr>
        <w:tabs>
          <w:tab w:val="left" w:pos="720"/>
        </w:tabs>
        <w:spacing w:line="240" w:lineRule="exact"/>
        <w:ind w:right="-1080"/>
        <w:rPr>
          <w:rFonts w:ascii="Times New Roman" w:hAnsi="Times New Roman"/>
          <w:color w:val="auto"/>
        </w:rPr>
      </w:pPr>
    </w:p>
    <w:p w:rsidR="00FD6C38" w:rsidRDefault="00FD6C38" w:rsidP="00FD6C38">
      <w:pPr>
        <w:tabs>
          <w:tab w:val="left" w:pos="720"/>
        </w:tabs>
        <w:spacing w:line="240" w:lineRule="exact"/>
        <w:rPr>
          <w:rFonts w:ascii="Times New Roman" w:hAnsi="Times New Roman"/>
          <w:color w:val="auto"/>
        </w:rPr>
      </w:pPr>
      <w:r>
        <w:rPr>
          <w:rFonts w:ascii="Times New Roman" w:hAnsi="Times New Roman"/>
          <w:color w:val="auto"/>
        </w:rPr>
        <w:tab/>
        <w:t>I have carefully reviewed the evidence of record and the recommendation of the Board.  I concur with that finding, accept their recommendation and direct that your records be corrected as set forth in the attached copy of a Memorandum for the Chief of Staff, United States Air Force.  The office responsible for making the correction will inform you when your records have been changed.</w:t>
      </w:r>
    </w:p>
    <w:p w:rsidR="00FD6C38" w:rsidRDefault="00FD6C38" w:rsidP="00FD6C38">
      <w:pPr>
        <w:tabs>
          <w:tab w:val="left" w:pos="720"/>
        </w:tabs>
        <w:spacing w:line="240" w:lineRule="exact"/>
        <w:rPr>
          <w:rFonts w:ascii="Times New Roman" w:hAnsi="Times New Roman"/>
          <w:color w:val="auto"/>
        </w:rPr>
      </w:pPr>
    </w:p>
    <w:p w:rsidR="00FD6C38" w:rsidRDefault="00FD6C38" w:rsidP="00FD6C38">
      <w:pPr>
        <w:pStyle w:val="BodyText2"/>
        <w:rPr>
          <w:rFonts w:ascii="Times New Roman" w:hAnsi="Times New Roman"/>
          <w:color w:val="auto"/>
        </w:rPr>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Sincerely,</w:t>
      </w:r>
    </w:p>
    <w:p w:rsidR="00FD6C38" w:rsidRDefault="00FD6C38" w:rsidP="00FD6C38">
      <w:pPr>
        <w:pStyle w:val="BodyText2"/>
        <w:rPr>
          <w:rFonts w:ascii="Times New Roman" w:hAnsi="Times New Roman"/>
          <w:color w:val="auto"/>
        </w:rPr>
      </w:pPr>
    </w:p>
    <w:p w:rsidR="00FD6C38" w:rsidRDefault="00FD6C38" w:rsidP="00FD6C38">
      <w:pPr>
        <w:tabs>
          <w:tab w:val="left" w:pos="720"/>
        </w:tabs>
        <w:spacing w:line="240" w:lineRule="exact"/>
        <w:ind w:right="-1080"/>
        <w:rPr>
          <w:rFonts w:ascii="Times New Roman" w:hAnsi="Times New Roman"/>
          <w:color w:val="auto"/>
        </w:rPr>
      </w:pPr>
    </w:p>
    <w:p w:rsidR="00FD6C38" w:rsidRDefault="00FD6C38" w:rsidP="00FD6C38">
      <w:pPr>
        <w:tabs>
          <w:tab w:val="left" w:pos="720"/>
        </w:tabs>
        <w:spacing w:line="240" w:lineRule="exact"/>
        <w:ind w:right="-1080"/>
        <w:rPr>
          <w:rFonts w:ascii="Times New Roman" w:hAnsi="Times New Roman"/>
          <w:color w:val="auto"/>
        </w:rPr>
      </w:pPr>
    </w:p>
    <w:p w:rsidR="00FD6C38" w:rsidRDefault="00FD6C38" w:rsidP="00FD6C38">
      <w:pPr>
        <w:tabs>
          <w:tab w:val="left" w:pos="720"/>
        </w:tabs>
        <w:spacing w:line="240" w:lineRule="exact"/>
        <w:ind w:right="-1080"/>
        <w:rPr>
          <w:rFonts w:ascii="Times New Roman" w:hAnsi="Times New Roman"/>
          <w:color w:val="auto"/>
        </w:rPr>
      </w:pPr>
    </w:p>
    <w:p w:rsidR="00FD6C38" w:rsidRDefault="00FD6C38" w:rsidP="00FD6C38">
      <w:pPr>
        <w:tabs>
          <w:tab w:val="left" w:pos="720"/>
        </w:tabs>
        <w:spacing w:line="240" w:lineRule="exact"/>
        <w:ind w:right="-1080"/>
        <w:rPr>
          <w:rFonts w:ascii="Times New Roman" w:hAnsi="Times New Roman"/>
          <w:color w:val="auto"/>
        </w:rPr>
      </w:pPr>
    </w:p>
    <w:p w:rsidR="00FD6C38" w:rsidRDefault="00FD6C38" w:rsidP="00FD6C38">
      <w:pPr>
        <w:tabs>
          <w:tab w:val="left" w:pos="720"/>
        </w:tabs>
        <w:spacing w:line="240" w:lineRule="exact"/>
        <w:ind w:left="5040" w:right="-1080"/>
        <w:rPr>
          <w:rFonts w:ascii="Times New Roman" w:hAnsi="Times New Roman"/>
          <w:color w:val="auto"/>
        </w:rPr>
      </w:pPr>
      <w:r>
        <w:rPr>
          <w:rFonts w:ascii="Times New Roman" w:hAnsi="Times New Roman"/>
          <w:color w:val="auto"/>
        </w:rPr>
        <w:t>Director</w:t>
      </w:r>
    </w:p>
    <w:p w:rsidR="00FD6C38" w:rsidRDefault="00FD6C38" w:rsidP="00FD6C38">
      <w:pPr>
        <w:tabs>
          <w:tab w:val="left" w:pos="720"/>
        </w:tabs>
        <w:spacing w:line="240" w:lineRule="exact"/>
        <w:ind w:left="5040" w:right="-1080"/>
        <w:rPr>
          <w:rFonts w:ascii="Times New Roman" w:hAnsi="Times New Roman"/>
          <w:color w:val="auto"/>
        </w:rPr>
      </w:pPr>
      <w:r>
        <w:rPr>
          <w:rFonts w:ascii="Times New Roman" w:hAnsi="Times New Roman"/>
          <w:color w:val="auto"/>
        </w:rPr>
        <w:t>Air Force Review Boards Agency</w:t>
      </w:r>
    </w:p>
    <w:p w:rsidR="00FD6C38" w:rsidRDefault="00FD6C38" w:rsidP="00FD6C38">
      <w:pPr>
        <w:tabs>
          <w:tab w:val="left" w:pos="720"/>
        </w:tabs>
        <w:spacing w:line="240" w:lineRule="exact"/>
        <w:ind w:right="-1080"/>
        <w:rPr>
          <w:rFonts w:ascii="Times New Roman" w:hAnsi="Times New Roman"/>
          <w:color w:val="auto"/>
        </w:rPr>
      </w:pPr>
    </w:p>
    <w:p w:rsidR="00FD6C38" w:rsidRDefault="00FD6C38">
      <w:pPr>
        <w:rPr>
          <w:rFonts w:ascii="Times New Roman" w:hAnsi="Times New Roman"/>
          <w:color w:val="auto"/>
        </w:rPr>
      </w:pPr>
      <w:r>
        <w:rPr>
          <w:rFonts w:ascii="Times New Roman" w:hAnsi="Times New Roman"/>
          <w:color w:val="auto"/>
        </w:rPr>
        <w:br w:type="page"/>
      </w:r>
    </w:p>
    <w:p w:rsidR="00FD6C38" w:rsidRDefault="00FD6C38" w:rsidP="00FD6C38">
      <w:pPr>
        <w:tabs>
          <w:tab w:val="left" w:pos="720"/>
        </w:tabs>
        <w:spacing w:line="240" w:lineRule="exact"/>
        <w:ind w:right="-360"/>
        <w:outlineLvl w:val="0"/>
        <w:rPr>
          <w:rFonts w:ascii="Times New Roman" w:hAnsi="Times New Roman"/>
          <w:color w:val="auto"/>
        </w:rPr>
      </w:pPr>
      <w:r>
        <w:rPr>
          <w:rFonts w:ascii="Times New Roman" w:hAnsi="Times New Roman"/>
          <w:color w:val="auto"/>
        </w:rPr>
        <w:lastRenderedPageBreak/>
        <w:t>PDBR PD-2011-00093</w:t>
      </w: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outlineLvl w:val="0"/>
        <w:rPr>
          <w:rFonts w:ascii="Times New Roman" w:hAnsi="Times New Roman"/>
          <w:color w:val="auto"/>
        </w:rPr>
      </w:pPr>
      <w:r>
        <w:rPr>
          <w:rFonts w:ascii="Times New Roman" w:hAnsi="Times New Roman"/>
          <w:color w:val="auto"/>
        </w:rPr>
        <w:t>MEMORANDUM FOR THE CHIEF OF STAFF</w:t>
      </w: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r>
        <w:rPr>
          <w:rFonts w:ascii="Times New Roman" w:hAnsi="Times New Roman"/>
          <w:color w:val="auto"/>
        </w:rPr>
        <w:tab/>
        <w:t>Having received and considered the recommendation of the Physical Disability Board of Review and under the authority of Section 1554, Title 10, United States Code (122 Stat. 466) and Section 1552, Title 10, United States Code (70A Stat. 116) it is directed that:</w:t>
      </w: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r>
        <w:rPr>
          <w:rFonts w:ascii="Times New Roman" w:hAnsi="Times New Roman"/>
          <w:color w:val="auto"/>
        </w:rPr>
        <w:tab/>
        <w:t xml:space="preserve">The pertinent military records of the Department of the Air Force relating XXXXXXXXX, be corrected to show that the diagnosis in his finding of unfitness was </w:t>
      </w:r>
      <w:proofErr w:type="spellStart"/>
      <w:r>
        <w:rPr>
          <w:rFonts w:ascii="Times New Roman" w:hAnsi="Times New Roman"/>
          <w:color w:val="auto"/>
        </w:rPr>
        <w:t>Neurocardiogenic</w:t>
      </w:r>
      <w:proofErr w:type="spellEnd"/>
      <w:r>
        <w:rPr>
          <w:rFonts w:ascii="Times New Roman" w:hAnsi="Times New Roman"/>
          <w:color w:val="auto"/>
        </w:rPr>
        <w:t xml:space="preserve"> Syncope, VASRD Code 8299-8210, rated at 10%; and Depressive Disorder, not unfitting with a combined disability rating of 10%; rather than </w:t>
      </w:r>
      <w:proofErr w:type="spellStart"/>
      <w:r>
        <w:rPr>
          <w:rFonts w:ascii="Times New Roman" w:hAnsi="Times New Roman"/>
          <w:color w:val="auto"/>
        </w:rPr>
        <w:t>Neurocardiogenic</w:t>
      </w:r>
      <w:proofErr w:type="spellEnd"/>
      <w:r>
        <w:rPr>
          <w:rFonts w:ascii="Times New Roman" w:hAnsi="Times New Roman"/>
          <w:color w:val="auto"/>
        </w:rPr>
        <w:t xml:space="preserve"> Syncope Associated w/Depressive Disorder, VASRD Code 8210-8299, rated at 10%.</w:t>
      </w: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rPr>
          <w:rFonts w:ascii="Times New Roman" w:hAnsi="Times New Roman"/>
          <w:color w:val="auto"/>
        </w:rPr>
      </w:pPr>
    </w:p>
    <w:p w:rsidR="00FD6C38" w:rsidRDefault="00FD6C38" w:rsidP="00FD6C38">
      <w:pPr>
        <w:tabs>
          <w:tab w:val="left" w:pos="720"/>
        </w:tabs>
        <w:spacing w:line="240" w:lineRule="exact"/>
        <w:ind w:right="-360"/>
        <w:outlineLvl w:val="0"/>
        <w:rPr>
          <w:rFonts w:ascii="Times New Roman" w:hAnsi="Times New Roman"/>
          <w:color w:val="auto"/>
        </w:rPr>
      </w:pPr>
    </w:p>
    <w:p w:rsidR="00FD6C38" w:rsidRDefault="00FD6C38" w:rsidP="00FD6C38">
      <w:pPr>
        <w:tabs>
          <w:tab w:val="left" w:pos="720"/>
        </w:tabs>
        <w:spacing w:line="240" w:lineRule="exact"/>
        <w:ind w:right="-360"/>
        <w:outlineLvl w:val="0"/>
        <w:rPr>
          <w:rFonts w:ascii="Times New Roman" w:hAnsi="Times New Roman"/>
          <w:color w:val="auto"/>
        </w:rPr>
      </w:pPr>
    </w:p>
    <w:p w:rsidR="00FD6C38" w:rsidRDefault="00FD6C38" w:rsidP="00FD6C38">
      <w:pPr>
        <w:tabs>
          <w:tab w:val="left" w:pos="720"/>
        </w:tabs>
        <w:spacing w:line="240" w:lineRule="exact"/>
        <w:ind w:right="-360"/>
        <w:outlineLvl w:val="0"/>
        <w:rPr>
          <w:rFonts w:ascii="Times New Roman" w:hAnsi="Times New Roman"/>
          <w:color w:val="auto"/>
        </w:rPr>
      </w:pPr>
    </w:p>
    <w:p w:rsidR="00FD6C38" w:rsidRDefault="00FD6C38" w:rsidP="00FD6C38">
      <w:pPr>
        <w:tabs>
          <w:tab w:val="left" w:pos="720"/>
        </w:tabs>
        <w:spacing w:line="240" w:lineRule="exact"/>
        <w:ind w:right="-360"/>
        <w:outlineLvl w:val="0"/>
        <w:rPr>
          <w:rFonts w:ascii="Times New Roman" w:hAnsi="Times New Roman"/>
          <w:color w:val="auto"/>
        </w:rPr>
      </w:pPr>
      <w:r>
        <w:rPr>
          <w:rFonts w:ascii="Times New Roman" w:hAnsi="Times New Roman"/>
          <w:color w:val="auto"/>
        </w:rPr>
        <w:t xml:space="preserve">                                                                            Director</w:t>
      </w:r>
    </w:p>
    <w:p w:rsidR="00FD6C38" w:rsidRDefault="00FD6C38" w:rsidP="00FD6C38">
      <w:pPr>
        <w:tabs>
          <w:tab w:val="left" w:pos="720"/>
        </w:tabs>
        <w:spacing w:line="240" w:lineRule="exact"/>
        <w:ind w:right="-360"/>
        <w:rPr>
          <w:rFonts w:ascii="Times New Roman" w:hAnsi="Times New Roman"/>
          <w:color w:val="auto"/>
        </w:rPr>
      </w:pPr>
      <w:r>
        <w:rPr>
          <w:rFonts w:ascii="Times New Roman" w:hAnsi="Times New Roman"/>
          <w:color w:val="auto"/>
        </w:rPr>
        <w:t xml:space="preserve">                                                                            Air Force Review Boards Agency</w:t>
      </w:r>
    </w:p>
    <w:p w:rsidR="00E827AF" w:rsidRPr="005B3944" w:rsidRDefault="00E827AF" w:rsidP="00102C73">
      <w:pPr>
        <w:spacing w:line="240" w:lineRule="exact"/>
        <w:jc w:val="both"/>
        <w:rPr>
          <w:rFonts w:asciiTheme="minorHAnsi" w:hAnsiTheme="minorHAnsi"/>
          <w:color w:val="auto"/>
          <w:szCs w:val="24"/>
        </w:rPr>
      </w:pPr>
    </w:p>
    <w:sectPr w:rsidR="00E827AF" w:rsidRPr="005B3944" w:rsidSect="002A5C3C">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CF7" w:rsidRDefault="00926CF7">
      <w:r>
        <w:separator/>
      </w:r>
    </w:p>
  </w:endnote>
  <w:endnote w:type="continuationSeparator" w:id="0">
    <w:p w:rsidR="00926CF7" w:rsidRDefault="00926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84766"/>
      <w:docPartObj>
        <w:docPartGallery w:val="Page Numbers (Bottom of Page)"/>
        <w:docPartUnique/>
      </w:docPartObj>
    </w:sdtPr>
    <w:sdtContent>
      <w:p w:rsidR="000A5AD4" w:rsidRPr="00684CE6" w:rsidRDefault="000018A1" w:rsidP="00F65ED5">
        <w:pPr>
          <w:pStyle w:val="Footer"/>
          <w:jc w:val="right"/>
          <w:rPr>
            <w:color w:val="auto"/>
          </w:rPr>
        </w:pPr>
        <w:r w:rsidRPr="00684CE6">
          <w:rPr>
            <w:color w:val="auto"/>
          </w:rPr>
          <w:fldChar w:fldCharType="begin"/>
        </w:r>
        <w:r w:rsidR="000A5AD4" w:rsidRPr="00684CE6">
          <w:rPr>
            <w:color w:val="auto"/>
          </w:rPr>
          <w:instrText xml:space="preserve"> PAGE   \* MERGEFORMAT </w:instrText>
        </w:r>
        <w:r w:rsidRPr="00684CE6">
          <w:rPr>
            <w:color w:val="auto"/>
          </w:rPr>
          <w:fldChar w:fldCharType="separate"/>
        </w:r>
        <w:r w:rsidR="00FD6C38">
          <w:rPr>
            <w:noProof/>
            <w:color w:val="auto"/>
          </w:rPr>
          <w:t>8</w:t>
        </w:r>
        <w:r w:rsidRPr="00684CE6">
          <w:rPr>
            <w:color w:val="auto"/>
          </w:rPr>
          <w:fldChar w:fldCharType="end"/>
        </w:r>
        <w:r w:rsidR="000A5AD4" w:rsidRPr="00684CE6">
          <w:rPr>
            <w:color w:val="auto"/>
          </w:rPr>
          <w:t xml:space="preserve">                                                           PD</w:t>
        </w:r>
        <w:r w:rsidR="000A5AD4">
          <w:rPr>
            <w:color w:val="auto"/>
          </w:rPr>
          <w:t>201100093</w:t>
        </w:r>
      </w:p>
    </w:sdtContent>
  </w:sdt>
  <w:p w:rsidR="000A5AD4" w:rsidRPr="00684CE6" w:rsidRDefault="000A5AD4">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CF7" w:rsidRDefault="00926CF7">
      <w:r>
        <w:separator/>
      </w:r>
    </w:p>
  </w:footnote>
  <w:footnote w:type="continuationSeparator" w:id="0">
    <w:p w:rsidR="00926CF7" w:rsidRDefault="00926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F14EEB"/>
    <w:multiLevelType w:val="hybridMultilevel"/>
    <w:tmpl w:val="A5C2833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71C56"/>
    <w:multiLevelType w:val="hybridMultilevel"/>
    <w:tmpl w:val="E8F47BEC"/>
    <w:lvl w:ilvl="0" w:tplc="8426079A">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nsid w:val="17BA7C44"/>
    <w:multiLevelType w:val="hybridMultilevel"/>
    <w:tmpl w:val="7C12628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422F0"/>
    <w:multiLevelType w:val="hybridMultilevel"/>
    <w:tmpl w:val="DF66D326"/>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38FD"/>
    <w:multiLevelType w:val="hybridMultilevel"/>
    <w:tmpl w:val="6AA8201E"/>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A3FF5"/>
    <w:multiLevelType w:val="hybridMultilevel"/>
    <w:tmpl w:val="CDACECDE"/>
    <w:lvl w:ilvl="0" w:tplc="DF86C5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F193D"/>
    <w:multiLevelType w:val="hybridMultilevel"/>
    <w:tmpl w:val="9C4EF4C6"/>
    <w:lvl w:ilvl="0" w:tplc="3B98A07E">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06437"/>
    <w:multiLevelType w:val="hybridMultilevel"/>
    <w:tmpl w:val="F88001A6"/>
    <w:lvl w:ilvl="0" w:tplc="5E7A03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172F4"/>
    <w:multiLevelType w:val="hybridMultilevel"/>
    <w:tmpl w:val="3B98A040"/>
    <w:lvl w:ilvl="0" w:tplc="C5A26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637FB"/>
    <w:multiLevelType w:val="hybridMultilevel"/>
    <w:tmpl w:val="E81C20AE"/>
    <w:lvl w:ilvl="0" w:tplc="41C210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20263"/>
    <w:multiLevelType w:val="hybridMultilevel"/>
    <w:tmpl w:val="5ABA2AD0"/>
    <w:lvl w:ilvl="0" w:tplc="C3D8C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4670E"/>
    <w:multiLevelType w:val="hybridMultilevel"/>
    <w:tmpl w:val="7C92692E"/>
    <w:lvl w:ilvl="0" w:tplc="20A6E1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A16B7"/>
    <w:multiLevelType w:val="hybridMultilevel"/>
    <w:tmpl w:val="3BD2466C"/>
    <w:lvl w:ilvl="0" w:tplc="AABA2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6"/>
  </w:num>
  <w:num w:numId="5">
    <w:abstractNumId w:val="3"/>
  </w:num>
  <w:num w:numId="6">
    <w:abstractNumId w:val="8"/>
  </w:num>
  <w:num w:numId="7">
    <w:abstractNumId w:val="0"/>
  </w:num>
  <w:num w:numId="8">
    <w:abstractNumId w:val="5"/>
  </w:num>
  <w:num w:numId="9">
    <w:abstractNumId w:val="15"/>
  </w:num>
  <w:num w:numId="10">
    <w:abstractNumId w:val="10"/>
  </w:num>
  <w:num w:numId="11">
    <w:abstractNumId w:val="4"/>
  </w:num>
  <w:num w:numId="12">
    <w:abstractNumId w:val="13"/>
  </w:num>
  <w:num w:numId="13">
    <w:abstractNumId w:val="7"/>
  </w:num>
  <w:num w:numId="14">
    <w:abstractNumId w:val="14"/>
  </w:num>
  <w:num w:numId="15">
    <w:abstractNumId w:val="18"/>
  </w:num>
  <w:num w:numId="16">
    <w:abstractNumId w:val="1"/>
  </w:num>
  <w:num w:numId="17">
    <w:abstractNumId w:val="1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45762"/>
  </w:hdrShapeDefaults>
  <w:footnotePr>
    <w:numRestart w:val="eachSect"/>
    <w:footnote w:id="-1"/>
    <w:footnote w:id="0"/>
  </w:footnotePr>
  <w:endnotePr>
    <w:endnote w:id="-1"/>
    <w:endnote w:id="0"/>
  </w:endnotePr>
  <w:compat/>
  <w:rsids>
    <w:rsidRoot w:val="001C28D1"/>
    <w:rsid w:val="000018A1"/>
    <w:rsid w:val="000024F5"/>
    <w:rsid w:val="000059FA"/>
    <w:rsid w:val="00006186"/>
    <w:rsid w:val="00006F87"/>
    <w:rsid w:val="00007107"/>
    <w:rsid w:val="00010ABA"/>
    <w:rsid w:val="00010B0F"/>
    <w:rsid w:val="00012428"/>
    <w:rsid w:val="00012733"/>
    <w:rsid w:val="00013417"/>
    <w:rsid w:val="000145C2"/>
    <w:rsid w:val="0001473F"/>
    <w:rsid w:val="00014A9E"/>
    <w:rsid w:val="0001542F"/>
    <w:rsid w:val="00021361"/>
    <w:rsid w:val="00022CF3"/>
    <w:rsid w:val="00023913"/>
    <w:rsid w:val="00023D43"/>
    <w:rsid w:val="00024DE7"/>
    <w:rsid w:val="00025594"/>
    <w:rsid w:val="00026092"/>
    <w:rsid w:val="00030776"/>
    <w:rsid w:val="00032E07"/>
    <w:rsid w:val="000332CA"/>
    <w:rsid w:val="0003374E"/>
    <w:rsid w:val="000344D8"/>
    <w:rsid w:val="000344E6"/>
    <w:rsid w:val="000346D2"/>
    <w:rsid w:val="00035C3A"/>
    <w:rsid w:val="00036E4B"/>
    <w:rsid w:val="00037929"/>
    <w:rsid w:val="000379D0"/>
    <w:rsid w:val="00040FC4"/>
    <w:rsid w:val="000416F8"/>
    <w:rsid w:val="00042C26"/>
    <w:rsid w:val="00043382"/>
    <w:rsid w:val="00044623"/>
    <w:rsid w:val="000452D7"/>
    <w:rsid w:val="00051622"/>
    <w:rsid w:val="00051A11"/>
    <w:rsid w:val="00052234"/>
    <w:rsid w:val="00053D7C"/>
    <w:rsid w:val="00057019"/>
    <w:rsid w:val="000575C5"/>
    <w:rsid w:val="000577C9"/>
    <w:rsid w:val="00060FFD"/>
    <w:rsid w:val="0006431E"/>
    <w:rsid w:val="000652EA"/>
    <w:rsid w:val="00065E21"/>
    <w:rsid w:val="000673ED"/>
    <w:rsid w:val="00070DED"/>
    <w:rsid w:val="00072433"/>
    <w:rsid w:val="0007488B"/>
    <w:rsid w:val="00075702"/>
    <w:rsid w:val="00075A0C"/>
    <w:rsid w:val="000775C2"/>
    <w:rsid w:val="000806AD"/>
    <w:rsid w:val="00080811"/>
    <w:rsid w:val="00080BDF"/>
    <w:rsid w:val="00082482"/>
    <w:rsid w:val="00084CF2"/>
    <w:rsid w:val="00084EC4"/>
    <w:rsid w:val="00085D7B"/>
    <w:rsid w:val="0008708B"/>
    <w:rsid w:val="00091005"/>
    <w:rsid w:val="00092237"/>
    <w:rsid w:val="00092619"/>
    <w:rsid w:val="00092C66"/>
    <w:rsid w:val="000933EC"/>
    <w:rsid w:val="000949DD"/>
    <w:rsid w:val="00094E4F"/>
    <w:rsid w:val="000A2BCE"/>
    <w:rsid w:val="000A33C8"/>
    <w:rsid w:val="000A41E3"/>
    <w:rsid w:val="000A4BBA"/>
    <w:rsid w:val="000A5071"/>
    <w:rsid w:val="000A5AD4"/>
    <w:rsid w:val="000B0AD2"/>
    <w:rsid w:val="000B1022"/>
    <w:rsid w:val="000B2FB8"/>
    <w:rsid w:val="000B4C99"/>
    <w:rsid w:val="000B5109"/>
    <w:rsid w:val="000C06F6"/>
    <w:rsid w:val="000C1D34"/>
    <w:rsid w:val="000C2362"/>
    <w:rsid w:val="000C2FA8"/>
    <w:rsid w:val="000C3C13"/>
    <w:rsid w:val="000C4D5F"/>
    <w:rsid w:val="000C53F9"/>
    <w:rsid w:val="000C5813"/>
    <w:rsid w:val="000C7350"/>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6457"/>
    <w:rsid w:val="000D7D55"/>
    <w:rsid w:val="000E0993"/>
    <w:rsid w:val="000E2E50"/>
    <w:rsid w:val="000E37E0"/>
    <w:rsid w:val="000E3F20"/>
    <w:rsid w:val="000E4CBF"/>
    <w:rsid w:val="000E5577"/>
    <w:rsid w:val="000E7034"/>
    <w:rsid w:val="000F02BE"/>
    <w:rsid w:val="000F0928"/>
    <w:rsid w:val="000F2E2B"/>
    <w:rsid w:val="000F427B"/>
    <w:rsid w:val="000F43D0"/>
    <w:rsid w:val="000F4F18"/>
    <w:rsid w:val="000F688E"/>
    <w:rsid w:val="000F7181"/>
    <w:rsid w:val="001007CE"/>
    <w:rsid w:val="001008C1"/>
    <w:rsid w:val="00101B91"/>
    <w:rsid w:val="001023DB"/>
    <w:rsid w:val="00102B8D"/>
    <w:rsid w:val="00102C73"/>
    <w:rsid w:val="00103948"/>
    <w:rsid w:val="00103CCF"/>
    <w:rsid w:val="0010417F"/>
    <w:rsid w:val="001042D2"/>
    <w:rsid w:val="0010530E"/>
    <w:rsid w:val="00105C07"/>
    <w:rsid w:val="00106AD8"/>
    <w:rsid w:val="00107EC5"/>
    <w:rsid w:val="001103CD"/>
    <w:rsid w:val="00113D2A"/>
    <w:rsid w:val="00114F20"/>
    <w:rsid w:val="0011590B"/>
    <w:rsid w:val="001211AF"/>
    <w:rsid w:val="001219DF"/>
    <w:rsid w:val="0012220B"/>
    <w:rsid w:val="00122ABE"/>
    <w:rsid w:val="001231DC"/>
    <w:rsid w:val="0012489B"/>
    <w:rsid w:val="001272AE"/>
    <w:rsid w:val="00130756"/>
    <w:rsid w:val="001315DD"/>
    <w:rsid w:val="0013525F"/>
    <w:rsid w:val="00135385"/>
    <w:rsid w:val="001364D1"/>
    <w:rsid w:val="001374C7"/>
    <w:rsid w:val="0014125B"/>
    <w:rsid w:val="001421FD"/>
    <w:rsid w:val="001425C8"/>
    <w:rsid w:val="00142EBA"/>
    <w:rsid w:val="00143B79"/>
    <w:rsid w:val="00145965"/>
    <w:rsid w:val="00150B8A"/>
    <w:rsid w:val="00150DCB"/>
    <w:rsid w:val="00151912"/>
    <w:rsid w:val="00153740"/>
    <w:rsid w:val="00153D88"/>
    <w:rsid w:val="001541C5"/>
    <w:rsid w:val="0015623F"/>
    <w:rsid w:val="00156585"/>
    <w:rsid w:val="00156BA9"/>
    <w:rsid w:val="00161642"/>
    <w:rsid w:val="00161761"/>
    <w:rsid w:val="00165589"/>
    <w:rsid w:val="00166182"/>
    <w:rsid w:val="0017139A"/>
    <w:rsid w:val="001724C8"/>
    <w:rsid w:val="001732C4"/>
    <w:rsid w:val="001745DD"/>
    <w:rsid w:val="00174FDE"/>
    <w:rsid w:val="00174FE3"/>
    <w:rsid w:val="00177659"/>
    <w:rsid w:val="001779E5"/>
    <w:rsid w:val="00180826"/>
    <w:rsid w:val="00181240"/>
    <w:rsid w:val="00182A4C"/>
    <w:rsid w:val="00183F77"/>
    <w:rsid w:val="00183FB3"/>
    <w:rsid w:val="001844D8"/>
    <w:rsid w:val="00185DA8"/>
    <w:rsid w:val="00185ECB"/>
    <w:rsid w:val="001865E0"/>
    <w:rsid w:val="00186AD0"/>
    <w:rsid w:val="001870F0"/>
    <w:rsid w:val="00190E48"/>
    <w:rsid w:val="0019273F"/>
    <w:rsid w:val="00193814"/>
    <w:rsid w:val="00193AAB"/>
    <w:rsid w:val="00193AD5"/>
    <w:rsid w:val="00194930"/>
    <w:rsid w:val="00195AAC"/>
    <w:rsid w:val="001A025E"/>
    <w:rsid w:val="001A08CD"/>
    <w:rsid w:val="001A0A1E"/>
    <w:rsid w:val="001A2182"/>
    <w:rsid w:val="001A323E"/>
    <w:rsid w:val="001A5320"/>
    <w:rsid w:val="001A5E62"/>
    <w:rsid w:val="001A6848"/>
    <w:rsid w:val="001A7282"/>
    <w:rsid w:val="001A7538"/>
    <w:rsid w:val="001B06FB"/>
    <w:rsid w:val="001B0B1A"/>
    <w:rsid w:val="001B4C0B"/>
    <w:rsid w:val="001B4EC2"/>
    <w:rsid w:val="001B5B59"/>
    <w:rsid w:val="001B60E0"/>
    <w:rsid w:val="001B755A"/>
    <w:rsid w:val="001B7C8C"/>
    <w:rsid w:val="001C0688"/>
    <w:rsid w:val="001C181A"/>
    <w:rsid w:val="001C1877"/>
    <w:rsid w:val="001C2053"/>
    <w:rsid w:val="001C252F"/>
    <w:rsid w:val="001C256E"/>
    <w:rsid w:val="001C28D1"/>
    <w:rsid w:val="001C2D9F"/>
    <w:rsid w:val="001C3473"/>
    <w:rsid w:val="001C5BDA"/>
    <w:rsid w:val="001C5CFC"/>
    <w:rsid w:val="001C7231"/>
    <w:rsid w:val="001C7418"/>
    <w:rsid w:val="001C7EBE"/>
    <w:rsid w:val="001D0051"/>
    <w:rsid w:val="001D13A5"/>
    <w:rsid w:val="001D169A"/>
    <w:rsid w:val="001D2224"/>
    <w:rsid w:val="001D31AA"/>
    <w:rsid w:val="001D3DC0"/>
    <w:rsid w:val="001D4F88"/>
    <w:rsid w:val="001D68CF"/>
    <w:rsid w:val="001D6A8C"/>
    <w:rsid w:val="001D6E67"/>
    <w:rsid w:val="001D7A56"/>
    <w:rsid w:val="001E15C0"/>
    <w:rsid w:val="001E18E0"/>
    <w:rsid w:val="001E18E2"/>
    <w:rsid w:val="001E19D0"/>
    <w:rsid w:val="001E2A30"/>
    <w:rsid w:val="001E2FF1"/>
    <w:rsid w:val="001E41FE"/>
    <w:rsid w:val="001E635C"/>
    <w:rsid w:val="001F0297"/>
    <w:rsid w:val="001F11B9"/>
    <w:rsid w:val="00200AA0"/>
    <w:rsid w:val="00201F51"/>
    <w:rsid w:val="00202325"/>
    <w:rsid w:val="00202736"/>
    <w:rsid w:val="00203652"/>
    <w:rsid w:val="00204562"/>
    <w:rsid w:val="00205B4F"/>
    <w:rsid w:val="002060B6"/>
    <w:rsid w:val="002066B5"/>
    <w:rsid w:val="00211612"/>
    <w:rsid w:val="002119B6"/>
    <w:rsid w:val="00211BA3"/>
    <w:rsid w:val="00212B40"/>
    <w:rsid w:val="00213BD0"/>
    <w:rsid w:val="00214DBA"/>
    <w:rsid w:val="002151AB"/>
    <w:rsid w:val="0021548C"/>
    <w:rsid w:val="00215C4C"/>
    <w:rsid w:val="00215ED6"/>
    <w:rsid w:val="00216049"/>
    <w:rsid w:val="002163FA"/>
    <w:rsid w:val="00217606"/>
    <w:rsid w:val="00217C09"/>
    <w:rsid w:val="00220F5C"/>
    <w:rsid w:val="002216BF"/>
    <w:rsid w:val="00221B9B"/>
    <w:rsid w:val="00222268"/>
    <w:rsid w:val="00225080"/>
    <w:rsid w:val="00225196"/>
    <w:rsid w:val="00225CB4"/>
    <w:rsid w:val="00226B1A"/>
    <w:rsid w:val="00227F0B"/>
    <w:rsid w:val="0023049F"/>
    <w:rsid w:val="002310C3"/>
    <w:rsid w:val="002316F6"/>
    <w:rsid w:val="00232C9B"/>
    <w:rsid w:val="00232E73"/>
    <w:rsid w:val="00232F09"/>
    <w:rsid w:val="002335D5"/>
    <w:rsid w:val="002338CA"/>
    <w:rsid w:val="00233FE5"/>
    <w:rsid w:val="00234B3B"/>
    <w:rsid w:val="00234D98"/>
    <w:rsid w:val="00236018"/>
    <w:rsid w:val="002374C9"/>
    <w:rsid w:val="0024174E"/>
    <w:rsid w:val="00242238"/>
    <w:rsid w:val="0024227D"/>
    <w:rsid w:val="00242D14"/>
    <w:rsid w:val="002432F4"/>
    <w:rsid w:val="00246860"/>
    <w:rsid w:val="002468D9"/>
    <w:rsid w:val="00246DFF"/>
    <w:rsid w:val="00246E89"/>
    <w:rsid w:val="00246FBE"/>
    <w:rsid w:val="0025183C"/>
    <w:rsid w:val="00252351"/>
    <w:rsid w:val="002528EC"/>
    <w:rsid w:val="00253EAA"/>
    <w:rsid w:val="00255049"/>
    <w:rsid w:val="00257AFF"/>
    <w:rsid w:val="00257DE5"/>
    <w:rsid w:val="00260531"/>
    <w:rsid w:val="00260B9A"/>
    <w:rsid w:val="00262EA5"/>
    <w:rsid w:val="0026318D"/>
    <w:rsid w:val="00264148"/>
    <w:rsid w:val="00264FC6"/>
    <w:rsid w:val="002660AF"/>
    <w:rsid w:val="00270864"/>
    <w:rsid w:val="00270C27"/>
    <w:rsid w:val="002712F7"/>
    <w:rsid w:val="0027159C"/>
    <w:rsid w:val="002722F2"/>
    <w:rsid w:val="002742C3"/>
    <w:rsid w:val="00274549"/>
    <w:rsid w:val="00274E46"/>
    <w:rsid w:val="002752AE"/>
    <w:rsid w:val="002769AF"/>
    <w:rsid w:val="00276C86"/>
    <w:rsid w:val="00276FD0"/>
    <w:rsid w:val="00277217"/>
    <w:rsid w:val="002810A4"/>
    <w:rsid w:val="00282DB6"/>
    <w:rsid w:val="00284A26"/>
    <w:rsid w:val="00285095"/>
    <w:rsid w:val="00287006"/>
    <w:rsid w:val="00292397"/>
    <w:rsid w:val="00292AB2"/>
    <w:rsid w:val="00293DB6"/>
    <w:rsid w:val="00293FE8"/>
    <w:rsid w:val="00294437"/>
    <w:rsid w:val="00297A45"/>
    <w:rsid w:val="00297E20"/>
    <w:rsid w:val="002A233F"/>
    <w:rsid w:val="002A3237"/>
    <w:rsid w:val="002A4119"/>
    <w:rsid w:val="002A58B7"/>
    <w:rsid w:val="002A5943"/>
    <w:rsid w:val="002A5C3C"/>
    <w:rsid w:val="002A685E"/>
    <w:rsid w:val="002A72C7"/>
    <w:rsid w:val="002B0204"/>
    <w:rsid w:val="002B03B2"/>
    <w:rsid w:val="002B0749"/>
    <w:rsid w:val="002B2645"/>
    <w:rsid w:val="002B303A"/>
    <w:rsid w:val="002B32E9"/>
    <w:rsid w:val="002B3445"/>
    <w:rsid w:val="002B4E22"/>
    <w:rsid w:val="002B6FA0"/>
    <w:rsid w:val="002B7645"/>
    <w:rsid w:val="002C0DEA"/>
    <w:rsid w:val="002C34F6"/>
    <w:rsid w:val="002C3B6D"/>
    <w:rsid w:val="002C492D"/>
    <w:rsid w:val="002C5D9D"/>
    <w:rsid w:val="002C5F10"/>
    <w:rsid w:val="002C6E5B"/>
    <w:rsid w:val="002D08F3"/>
    <w:rsid w:val="002D18B4"/>
    <w:rsid w:val="002D231A"/>
    <w:rsid w:val="002D5330"/>
    <w:rsid w:val="002D5F57"/>
    <w:rsid w:val="002D73D4"/>
    <w:rsid w:val="002D7787"/>
    <w:rsid w:val="002E161C"/>
    <w:rsid w:val="002E1877"/>
    <w:rsid w:val="002E1C31"/>
    <w:rsid w:val="002E2E0F"/>
    <w:rsid w:val="002E333A"/>
    <w:rsid w:val="002E3474"/>
    <w:rsid w:val="002E400C"/>
    <w:rsid w:val="002E49C3"/>
    <w:rsid w:val="002E5114"/>
    <w:rsid w:val="002E5988"/>
    <w:rsid w:val="002E65E6"/>
    <w:rsid w:val="002E7072"/>
    <w:rsid w:val="002E7570"/>
    <w:rsid w:val="002E764B"/>
    <w:rsid w:val="002F0D6A"/>
    <w:rsid w:val="002F0E28"/>
    <w:rsid w:val="002F287E"/>
    <w:rsid w:val="002F2981"/>
    <w:rsid w:val="002F2D63"/>
    <w:rsid w:val="002F6AD8"/>
    <w:rsid w:val="002F7F81"/>
    <w:rsid w:val="00300A36"/>
    <w:rsid w:val="00301A7F"/>
    <w:rsid w:val="00301B45"/>
    <w:rsid w:val="0030372F"/>
    <w:rsid w:val="00305856"/>
    <w:rsid w:val="0030678B"/>
    <w:rsid w:val="00306D16"/>
    <w:rsid w:val="00307595"/>
    <w:rsid w:val="00310117"/>
    <w:rsid w:val="00310CD7"/>
    <w:rsid w:val="00313D7A"/>
    <w:rsid w:val="0032136A"/>
    <w:rsid w:val="0032143F"/>
    <w:rsid w:val="00323A90"/>
    <w:rsid w:val="00323E70"/>
    <w:rsid w:val="003258A7"/>
    <w:rsid w:val="00325BA2"/>
    <w:rsid w:val="003262BD"/>
    <w:rsid w:val="00326B1C"/>
    <w:rsid w:val="00326C08"/>
    <w:rsid w:val="00326F7F"/>
    <w:rsid w:val="00330311"/>
    <w:rsid w:val="00330D55"/>
    <w:rsid w:val="003320E8"/>
    <w:rsid w:val="003328FD"/>
    <w:rsid w:val="00332DE3"/>
    <w:rsid w:val="0033334F"/>
    <w:rsid w:val="00334514"/>
    <w:rsid w:val="0033555E"/>
    <w:rsid w:val="00336805"/>
    <w:rsid w:val="00337351"/>
    <w:rsid w:val="00341A54"/>
    <w:rsid w:val="00341A5E"/>
    <w:rsid w:val="00344A4F"/>
    <w:rsid w:val="00344D17"/>
    <w:rsid w:val="0034669F"/>
    <w:rsid w:val="00350428"/>
    <w:rsid w:val="00351498"/>
    <w:rsid w:val="00352B22"/>
    <w:rsid w:val="00352CBF"/>
    <w:rsid w:val="00354547"/>
    <w:rsid w:val="003549F5"/>
    <w:rsid w:val="003567DE"/>
    <w:rsid w:val="003574F3"/>
    <w:rsid w:val="00357831"/>
    <w:rsid w:val="003604A5"/>
    <w:rsid w:val="0036319E"/>
    <w:rsid w:val="003632A4"/>
    <w:rsid w:val="00363362"/>
    <w:rsid w:val="00365767"/>
    <w:rsid w:val="003659C0"/>
    <w:rsid w:val="003660DF"/>
    <w:rsid w:val="00367D4F"/>
    <w:rsid w:val="00370743"/>
    <w:rsid w:val="00370EF5"/>
    <w:rsid w:val="0037135B"/>
    <w:rsid w:val="00372251"/>
    <w:rsid w:val="00373F64"/>
    <w:rsid w:val="00374EA1"/>
    <w:rsid w:val="0037520D"/>
    <w:rsid w:val="00375724"/>
    <w:rsid w:val="00375809"/>
    <w:rsid w:val="00375BE6"/>
    <w:rsid w:val="00375CF1"/>
    <w:rsid w:val="0037628C"/>
    <w:rsid w:val="00376B81"/>
    <w:rsid w:val="00376E08"/>
    <w:rsid w:val="00377BD2"/>
    <w:rsid w:val="00380FD4"/>
    <w:rsid w:val="00381E16"/>
    <w:rsid w:val="003821E1"/>
    <w:rsid w:val="003840F6"/>
    <w:rsid w:val="00384866"/>
    <w:rsid w:val="003857D4"/>
    <w:rsid w:val="00385D6F"/>
    <w:rsid w:val="00386D43"/>
    <w:rsid w:val="00387095"/>
    <w:rsid w:val="00387E95"/>
    <w:rsid w:val="00390092"/>
    <w:rsid w:val="00391858"/>
    <w:rsid w:val="00393651"/>
    <w:rsid w:val="00394926"/>
    <w:rsid w:val="00394FF9"/>
    <w:rsid w:val="00395651"/>
    <w:rsid w:val="00395E12"/>
    <w:rsid w:val="003962A8"/>
    <w:rsid w:val="00396779"/>
    <w:rsid w:val="00396BF1"/>
    <w:rsid w:val="00397DB7"/>
    <w:rsid w:val="003A27B2"/>
    <w:rsid w:val="003A34D7"/>
    <w:rsid w:val="003A40B4"/>
    <w:rsid w:val="003A41BA"/>
    <w:rsid w:val="003A5491"/>
    <w:rsid w:val="003A5958"/>
    <w:rsid w:val="003A6A99"/>
    <w:rsid w:val="003A6E60"/>
    <w:rsid w:val="003A7FF8"/>
    <w:rsid w:val="003B17AC"/>
    <w:rsid w:val="003B227A"/>
    <w:rsid w:val="003B3A77"/>
    <w:rsid w:val="003B4319"/>
    <w:rsid w:val="003B5854"/>
    <w:rsid w:val="003B6764"/>
    <w:rsid w:val="003B7A8B"/>
    <w:rsid w:val="003C294B"/>
    <w:rsid w:val="003C47B0"/>
    <w:rsid w:val="003C5046"/>
    <w:rsid w:val="003C6068"/>
    <w:rsid w:val="003C7AEC"/>
    <w:rsid w:val="003D2BA3"/>
    <w:rsid w:val="003D316B"/>
    <w:rsid w:val="003D3C22"/>
    <w:rsid w:val="003D56A0"/>
    <w:rsid w:val="003D5E9B"/>
    <w:rsid w:val="003D63B3"/>
    <w:rsid w:val="003D69F5"/>
    <w:rsid w:val="003D7089"/>
    <w:rsid w:val="003D7DDB"/>
    <w:rsid w:val="003E024F"/>
    <w:rsid w:val="003E02C7"/>
    <w:rsid w:val="003E0543"/>
    <w:rsid w:val="003E061D"/>
    <w:rsid w:val="003E0B5A"/>
    <w:rsid w:val="003E1682"/>
    <w:rsid w:val="003E31E3"/>
    <w:rsid w:val="003E3E93"/>
    <w:rsid w:val="003E46D1"/>
    <w:rsid w:val="003E6214"/>
    <w:rsid w:val="003F070E"/>
    <w:rsid w:val="003F1206"/>
    <w:rsid w:val="003F28DB"/>
    <w:rsid w:val="003F2EEE"/>
    <w:rsid w:val="003F58B0"/>
    <w:rsid w:val="003F776F"/>
    <w:rsid w:val="004007E9"/>
    <w:rsid w:val="00400810"/>
    <w:rsid w:val="00401825"/>
    <w:rsid w:val="00401BBC"/>
    <w:rsid w:val="00403BFB"/>
    <w:rsid w:val="00404B45"/>
    <w:rsid w:val="00405BCF"/>
    <w:rsid w:val="00406CC5"/>
    <w:rsid w:val="004074A4"/>
    <w:rsid w:val="004101B2"/>
    <w:rsid w:val="004123D7"/>
    <w:rsid w:val="00412658"/>
    <w:rsid w:val="004129DA"/>
    <w:rsid w:val="00415EA4"/>
    <w:rsid w:val="0041604B"/>
    <w:rsid w:val="004172DB"/>
    <w:rsid w:val="00420A1D"/>
    <w:rsid w:val="00421485"/>
    <w:rsid w:val="004216DA"/>
    <w:rsid w:val="00422B75"/>
    <w:rsid w:val="00423250"/>
    <w:rsid w:val="00424612"/>
    <w:rsid w:val="0042528C"/>
    <w:rsid w:val="00425672"/>
    <w:rsid w:val="00425A6A"/>
    <w:rsid w:val="00427F54"/>
    <w:rsid w:val="004316FD"/>
    <w:rsid w:val="00433F36"/>
    <w:rsid w:val="00434860"/>
    <w:rsid w:val="0043503A"/>
    <w:rsid w:val="00437B8A"/>
    <w:rsid w:val="00437D18"/>
    <w:rsid w:val="00437D77"/>
    <w:rsid w:val="004435BE"/>
    <w:rsid w:val="0044384F"/>
    <w:rsid w:val="0044411E"/>
    <w:rsid w:val="00444472"/>
    <w:rsid w:val="00444F80"/>
    <w:rsid w:val="00445599"/>
    <w:rsid w:val="00446018"/>
    <w:rsid w:val="0045027B"/>
    <w:rsid w:val="004504E7"/>
    <w:rsid w:val="00451F9D"/>
    <w:rsid w:val="00453167"/>
    <w:rsid w:val="004543BC"/>
    <w:rsid w:val="0045645D"/>
    <w:rsid w:val="004574C6"/>
    <w:rsid w:val="00457743"/>
    <w:rsid w:val="00457BCF"/>
    <w:rsid w:val="00457DCE"/>
    <w:rsid w:val="00460E3F"/>
    <w:rsid w:val="0046111A"/>
    <w:rsid w:val="00462F68"/>
    <w:rsid w:val="0046369B"/>
    <w:rsid w:val="004640E9"/>
    <w:rsid w:val="00465B4D"/>
    <w:rsid w:val="00466115"/>
    <w:rsid w:val="00466CED"/>
    <w:rsid w:val="00466EB5"/>
    <w:rsid w:val="00467592"/>
    <w:rsid w:val="00467690"/>
    <w:rsid w:val="004718E7"/>
    <w:rsid w:val="00472289"/>
    <w:rsid w:val="0047229C"/>
    <w:rsid w:val="00472535"/>
    <w:rsid w:val="004735C8"/>
    <w:rsid w:val="004761CC"/>
    <w:rsid w:val="004766C9"/>
    <w:rsid w:val="00480D4A"/>
    <w:rsid w:val="00481DA1"/>
    <w:rsid w:val="00483A2B"/>
    <w:rsid w:val="00484212"/>
    <w:rsid w:val="00484BA9"/>
    <w:rsid w:val="0048599A"/>
    <w:rsid w:val="00486818"/>
    <w:rsid w:val="00487EE2"/>
    <w:rsid w:val="0049255F"/>
    <w:rsid w:val="0049445D"/>
    <w:rsid w:val="00495350"/>
    <w:rsid w:val="00495E3C"/>
    <w:rsid w:val="00497156"/>
    <w:rsid w:val="004A0C79"/>
    <w:rsid w:val="004A1AEA"/>
    <w:rsid w:val="004A24D2"/>
    <w:rsid w:val="004A3214"/>
    <w:rsid w:val="004A4136"/>
    <w:rsid w:val="004A417B"/>
    <w:rsid w:val="004A4378"/>
    <w:rsid w:val="004A6E73"/>
    <w:rsid w:val="004A712D"/>
    <w:rsid w:val="004B03F3"/>
    <w:rsid w:val="004B0CC9"/>
    <w:rsid w:val="004B2536"/>
    <w:rsid w:val="004B46D7"/>
    <w:rsid w:val="004B6AF3"/>
    <w:rsid w:val="004B715E"/>
    <w:rsid w:val="004B7169"/>
    <w:rsid w:val="004B79C9"/>
    <w:rsid w:val="004C00DD"/>
    <w:rsid w:val="004C05CF"/>
    <w:rsid w:val="004C0776"/>
    <w:rsid w:val="004C1EF8"/>
    <w:rsid w:val="004C2063"/>
    <w:rsid w:val="004C24C5"/>
    <w:rsid w:val="004C47D5"/>
    <w:rsid w:val="004C4CAF"/>
    <w:rsid w:val="004C5E33"/>
    <w:rsid w:val="004C60A3"/>
    <w:rsid w:val="004C6CDA"/>
    <w:rsid w:val="004D10D4"/>
    <w:rsid w:val="004D16BD"/>
    <w:rsid w:val="004D2AAB"/>
    <w:rsid w:val="004D6E90"/>
    <w:rsid w:val="004D6F2B"/>
    <w:rsid w:val="004E0248"/>
    <w:rsid w:val="004E21A3"/>
    <w:rsid w:val="004E21D0"/>
    <w:rsid w:val="004E32EA"/>
    <w:rsid w:val="004E3C99"/>
    <w:rsid w:val="004E6866"/>
    <w:rsid w:val="004F011E"/>
    <w:rsid w:val="004F0C58"/>
    <w:rsid w:val="004F3222"/>
    <w:rsid w:val="004F3639"/>
    <w:rsid w:val="004F3BFA"/>
    <w:rsid w:val="004F4E3C"/>
    <w:rsid w:val="004F5A1A"/>
    <w:rsid w:val="004F77A3"/>
    <w:rsid w:val="005000AB"/>
    <w:rsid w:val="00500F3C"/>
    <w:rsid w:val="005025EE"/>
    <w:rsid w:val="00502AA8"/>
    <w:rsid w:val="00503DDF"/>
    <w:rsid w:val="00505524"/>
    <w:rsid w:val="00505A0B"/>
    <w:rsid w:val="00506688"/>
    <w:rsid w:val="00510588"/>
    <w:rsid w:val="00510F9C"/>
    <w:rsid w:val="0051146C"/>
    <w:rsid w:val="00511CB1"/>
    <w:rsid w:val="0051220B"/>
    <w:rsid w:val="00512253"/>
    <w:rsid w:val="00512484"/>
    <w:rsid w:val="00514449"/>
    <w:rsid w:val="00515419"/>
    <w:rsid w:val="005157BD"/>
    <w:rsid w:val="005214A3"/>
    <w:rsid w:val="005222E7"/>
    <w:rsid w:val="00523A8B"/>
    <w:rsid w:val="00523E04"/>
    <w:rsid w:val="00525003"/>
    <w:rsid w:val="0052590B"/>
    <w:rsid w:val="00526591"/>
    <w:rsid w:val="00527178"/>
    <w:rsid w:val="005278CB"/>
    <w:rsid w:val="00531B30"/>
    <w:rsid w:val="00534D42"/>
    <w:rsid w:val="005350A5"/>
    <w:rsid w:val="00535170"/>
    <w:rsid w:val="00536379"/>
    <w:rsid w:val="00537238"/>
    <w:rsid w:val="005400C5"/>
    <w:rsid w:val="005404CD"/>
    <w:rsid w:val="00540BE0"/>
    <w:rsid w:val="00540BEF"/>
    <w:rsid w:val="00542C9A"/>
    <w:rsid w:val="005436C2"/>
    <w:rsid w:val="005442D4"/>
    <w:rsid w:val="00544483"/>
    <w:rsid w:val="0054586A"/>
    <w:rsid w:val="0054631F"/>
    <w:rsid w:val="00546C24"/>
    <w:rsid w:val="005471BA"/>
    <w:rsid w:val="00547BE6"/>
    <w:rsid w:val="0055034F"/>
    <w:rsid w:val="0055288D"/>
    <w:rsid w:val="00555259"/>
    <w:rsid w:val="00555303"/>
    <w:rsid w:val="00555C66"/>
    <w:rsid w:val="005569EF"/>
    <w:rsid w:val="00556BDE"/>
    <w:rsid w:val="00560D57"/>
    <w:rsid w:val="00562A94"/>
    <w:rsid w:val="00563AB8"/>
    <w:rsid w:val="00563FAD"/>
    <w:rsid w:val="005701C1"/>
    <w:rsid w:val="005703BF"/>
    <w:rsid w:val="00570754"/>
    <w:rsid w:val="005709F7"/>
    <w:rsid w:val="005710A9"/>
    <w:rsid w:val="00571B11"/>
    <w:rsid w:val="00571D1B"/>
    <w:rsid w:val="00571DA3"/>
    <w:rsid w:val="005738F5"/>
    <w:rsid w:val="00573D34"/>
    <w:rsid w:val="005758A0"/>
    <w:rsid w:val="00575963"/>
    <w:rsid w:val="00575E45"/>
    <w:rsid w:val="00575EBE"/>
    <w:rsid w:val="0058039C"/>
    <w:rsid w:val="00580A63"/>
    <w:rsid w:val="00583379"/>
    <w:rsid w:val="0058417C"/>
    <w:rsid w:val="00586EC6"/>
    <w:rsid w:val="00587DDE"/>
    <w:rsid w:val="0059044A"/>
    <w:rsid w:val="00593043"/>
    <w:rsid w:val="00595B60"/>
    <w:rsid w:val="00595BF0"/>
    <w:rsid w:val="00597E16"/>
    <w:rsid w:val="005A0B1D"/>
    <w:rsid w:val="005A1846"/>
    <w:rsid w:val="005A258C"/>
    <w:rsid w:val="005A2A9D"/>
    <w:rsid w:val="005A3560"/>
    <w:rsid w:val="005A464E"/>
    <w:rsid w:val="005A62FC"/>
    <w:rsid w:val="005A6C99"/>
    <w:rsid w:val="005A7D5D"/>
    <w:rsid w:val="005B0040"/>
    <w:rsid w:val="005B011A"/>
    <w:rsid w:val="005B0283"/>
    <w:rsid w:val="005B1ADA"/>
    <w:rsid w:val="005B1D8F"/>
    <w:rsid w:val="005B1E94"/>
    <w:rsid w:val="005B3944"/>
    <w:rsid w:val="005B5B3D"/>
    <w:rsid w:val="005B64CF"/>
    <w:rsid w:val="005B7EAE"/>
    <w:rsid w:val="005B7F32"/>
    <w:rsid w:val="005C0E87"/>
    <w:rsid w:val="005C16F3"/>
    <w:rsid w:val="005C3758"/>
    <w:rsid w:val="005C41DC"/>
    <w:rsid w:val="005C4D72"/>
    <w:rsid w:val="005C50C1"/>
    <w:rsid w:val="005C62C2"/>
    <w:rsid w:val="005D2306"/>
    <w:rsid w:val="005D256D"/>
    <w:rsid w:val="005D314B"/>
    <w:rsid w:val="005D40EB"/>
    <w:rsid w:val="005D4A74"/>
    <w:rsid w:val="005D5AA1"/>
    <w:rsid w:val="005D5E91"/>
    <w:rsid w:val="005D67EF"/>
    <w:rsid w:val="005E2D3F"/>
    <w:rsid w:val="005E3064"/>
    <w:rsid w:val="005E312E"/>
    <w:rsid w:val="005E6AEE"/>
    <w:rsid w:val="005E72B2"/>
    <w:rsid w:val="005F0409"/>
    <w:rsid w:val="005F1115"/>
    <w:rsid w:val="005F1AB6"/>
    <w:rsid w:val="005F27F2"/>
    <w:rsid w:val="005F2B27"/>
    <w:rsid w:val="005F3567"/>
    <w:rsid w:val="005F3AFE"/>
    <w:rsid w:val="005F424D"/>
    <w:rsid w:val="005F55F5"/>
    <w:rsid w:val="005F5EC1"/>
    <w:rsid w:val="005F67A9"/>
    <w:rsid w:val="005F6B6D"/>
    <w:rsid w:val="006008F8"/>
    <w:rsid w:val="00605AAB"/>
    <w:rsid w:val="00606BEB"/>
    <w:rsid w:val="0061014A"/>
    <w:rsid w:val="0061054B"/>
    <w:rsid w:val="00612FB0"/>
    <w:rsid w:val="0061356D"/>
    <w:rsid w:val="00613E26"/>
    <w:rsid w:val="00614D1C"/>
    <w:rsid w:val="00615641"/>
    <w:rsid w:val="00616959"/>
    <w:rsid w:val="0062036E"/>
    <w:rsid w:val="006211D0"/>
    <w:rsid w:val="00621595"/>
    <w:rsid w:val="0062359D"/>
    <w:rsid w:val="00623634"/>
    <w:rsid w:val="00624D0C"/>
    <w:rsid w:val="006274B4"/>
    <w:rsid w:val="006307BA"/>
    <w:rsid w:val="006315BA"/>
    <w:rsid w:val="00634C4A"/>
    <w:rsid w:val="0063532E"/>
    <w:rsid w:val="0063645C"/>
    <w:rsid w:val="00637063"/>
    <w:rsid w:val="0063737C"/>
    <w:rsid w:val="00637BDC"/>
    <w:rsid w:val="00640526"/>
    <w:rsid w:val="00640622"/>
    <w:rsid w:val="006418C9"/>
    <w:rsid w:val="00642BD6"/>
    <w:rsid w:val="00645046"/>
    <w:rsid w:val="0064527A"/>
    <w:rsid w:val="006458FD"/>
    <w:rsid w:val="00645EA2"/>
    <w:rsid w:val="00651E6D"/>
    <w:rsid w:val="00653D2D"/>
    <w:rsid w:val="006555E7"/>
    <w:rsid w:val="006560B6"/>
    <w:rsid w:val="006573F2"/>
    <w:rsid w:val="00662AD0"/>
    <w:rsid w:val="00662F08"/>
    <w:rsid w:val="00663589"/>
    <w:rsid w:val="00664296"/>
    <w:rsid w:val="006649CD"/>
    <w:rsid w:val="00665D75"/>
    <w:rsid w:val="006708E3"/>
    <w:rsid w:val="00670DDC"/>
    <w:rsid w:val="00671389"/>
    <w:rsid w:val="00671EB4"/>
    <w:rsid w:val="00673479"/>
    <w:rsid w:val="00673CDC"/>
    <w:rsid w:val="0067443B"/>
    <w:rsid w:val="00675F8D"/>
    <w:rsid w:val="006770AA"/>
    <w:rsid w:val="00682486"/>
    <w:rsid w:val="0068440D"/>
    <w:rsid w:val="00684CE6"/>
    <w:rsid w:val="00684E2B"/>
    <w:rsid w:val="00687C7E"/>
    <w:rsid w:val="00690569"/>
    <w:rsid w:val="00690FDA"/>
    <w:rsid w:val="00691E61"/>
    <w:rsid w:val="00692656"/>
    <w:rsid w:val="006937C6"/>
    <w:rsid w:val="00693C5E"/>
    <w:rsid w:val="00693CEE"/>
    <w:rsid w:val="00694EEA"/>
    <w:rsid w:val="006955B4"/>
    <w:rsid w:val="00695DEF"/>
    <w:rsid w:val="00696476"/>
    <w:rsid w:val="00696C74"/>
    <w:rsid w:val="006A10FA"/>
    <w:rsid w:val="006A40E6"/>
    <w:rsid w:val="006A516B"/>
    <w:rsid w:val="006A5362"/>
    <w:rsid w:val="006A543A"/>
    <w:rsid w:val="006A5C07"/>
    <w:rsid w:val="006A75FA"/>
    <w:rsid w:val="006B07D5"/>
    <w:rsid w:val="006B1309"/>
    <w:rsid w:val="006B31E6"/>
    <w:rsid w:val="006B3923"/>
    <w:rsid w:val="006B3F3E"/>
    <w:rsid w:val="006B4AA2"/>
    <w:rsid w:val="006B53C4"/>
    <w:rsid w:val="006B586B"/>
    <w:rsid w:val="006B5923"/>
    <w:rsid w:val="006B67D9"/>
    <w:rsid w:val="006B6C14"/>
    <w:rsid w:val="006B715E"/>
    <w:rsid w:val="006B7F77"/>
    <w:rsid w:val="006C1D6E"/>
    <w:rsid w:val="006C2EF6"/>
    <w:rsid w:val="006C3A68"/>
    <w:rsid w:val="006C3B08"/>
    <w:rsid w:val="006C4B9D"/>
    <w:rsid w:val="006C6AB1"/>
    <w:rsid w:val="006C6E6B"/>
    <w:rsid w:val="006D145F"/>
    <w:rsid w:val="006D1D34"/>
    <w:rsid w:val="006D2000"/>
    <w:rsid w:val="006D2D39"/>
    <w:rsid w:val="006D2F31"/>
    <w:rsid w:val="006D4250"/>
    <w:rsid w:val="006D4E0E"/>
    <w:rsid w:val="006D5861"/>
    <w:rsid w:val="006D5CE2"/>
    <w:rsid w:val="006D7854"/>
    <w:rsid w:val="006E06D1"/>
    <w:rsid w:val="006E1313"/>
    <w:rsid w:val="006E2DC8"/>
    <w:rsid w:val="006E7356"/>
    <w:rsid w:val="006E77C8"/>
    <w:rsid w:val="006F0F9C"/>
    <w:rsid w:val="006F1167"/>
    <w:rsid w:val="006F149D"/>
    <w:rsid w:val="006F1A46"/>
    <w:rsid w:val="006F4F06"/>
    <w:rsid w:val="006F5A4E"/>
    <w:rsid w:val="006F5D37"/>
    <w:rsid w:val="006F6005"/>
    <w:rsid w:val="007005EA"/>
    <w:rsid w:val="00703B6C"/>
    <w:rsid w:val="00703BB0"/>
    <w:rsid w:val="00704519"/>
    <w:rsid w:val="00704C88"/>
    <w:rsid w:val="00704EA1"/>
    <w:rsid w:val="00705C40"/>
    <w:rsid w:val="00706482"/>
    <w:rsid w:val="00706754"/>
    <w:rsid w:val="00706BEF"/>
    <w:rsid w:val="00707ECE"/>
    <w:rsid w:val="00710CE8"/>
    <w:rsid w:val="00711350"/>
    <w:rsid w:val="007116BC"/>
    <w:rsid w:val="00711961"/>
    <w:rsid w:val="00711CA6"/>
    <w:rsid w:val="007165CE"/>
    <w:rsid w:val="00717CEB"/>
    <w:rsid w:val="0072035D"/>
    <w:rsid w:val="00720968"/>
    <w:rsid w:val="00721705"/>
    <w:rsid w:val="00721B7A"/>
    <w:rsid w:val="00721D12"/>
    <w:rsid w:val="00721F8B"/>
    <w:rsid w:val="007237CE"/>
    <w:rsid w:val="00724688"/>
    <w:rsid w:val="007272F1"/>
    <w:rsid w:val="0073062D"/>
    <w:rsid w:val="0073093B"/>
    <w:rsid w:val="00731599"/>
    <w:rsid w:val="0073254D"/>
    <w:rsid w:val="00732D5E"/>
    <w:rsid w:val="007340F3"/>
    <w:rsid w:val="00735704"/>
    <w:rsid w:val="00736A49"/>
    <w:rsid w:val="007419A1"/>
    <w:rsid w:val="00743B71"/>
    <w:rsid w:val="00743C2D"/>
    <w:rsid w:val="00743E36"/>
    <w:rsid w:val="00743F05"/>
    <w:rsid w:val="00743F61"/>
    <w:rsid w:val="007441C1"/>
    <w:rsid w:val="007446F7"/>
    <w:rsid w:val="00744EBB"/>
    <w:rsid w:val="00745B0A"/>
    <w:rsid w:val="00745DBE"/>
    <w:rsid w:val="007468AC"/>
    <w:rsid w:val="00746AE2"/>
    <w:rsid w:val="00750C82"/>
    <w:rsid w:val="00750E3A"/>
    <w:rsid w:val="00752035"/>
    <w:rsid w:val="0076100C"/>
    <w:rsid w:val="007612A5"/>
    <w:rsid w:val="00763CAE"/>
    <w:rsid w:val="00763F95"/>
    <w:rsid w:val="007651ED"/>
    <w:rsid w:val="007658AC"/>
    <w:rsid w:val="00766C87"/>
    <w:rsid w:val="00771043"/>
    <w:rsid w:val="00773AF7"/>
    <w:rsid w:val="00774FFD"/>
    <w:rsid w:val="00780378"/>
    <w:rsid w:val="0078085E"/>
    <w:rsid w:val="00780B69"/>
    <w:rsid w:val="00781BD4"/>
    <w:rsid w:val="00782562"/>
    <w:rsid w:val="007828B4"/>
    <w:rsid w:val="00784832"/>
    <w:rsid w:val="00784EA0"/>
    <w:rsid w:val="00785D77"/>
    <w:rsid w:val="00786111"/>
    <w:rsid w:val="00790963"/>
    <w:rsid w:val="0079154B"/>
    <w:rsid w:val="00791F1E"/>
    <w:rsid w:val="007927BE"/>
    <w:rsid w:val="007935B8"/>
    <w:rsid w:val="00794ADE"/>
    <w:rsid w:val="00794F3D"/>
    <w:rsid w:val="00795448"/>
    <w:rsid w:val="00795CE9"/>
    <w:rsid w:val="00796045"/>
    <w:rsid w:val="007968AC"/>
    <w:rsid w:val="007969AB"/>
    <w:rsid w:val="007973D8"/>
    <w:rsid w:val="00797801"/>
    <w:rsid w:val="007A0B39"/>
    <w:rsid w:val="007A14A4"/>
    <w:rsid w:val="007A168F"/>
    <w:rsid w:val="007A2346"/>
    <w:rsid w:val="007A28E4"/>
    <w:rsid w:val="007A3BB3"/>
    <w:rsid w:val="007A3F91"/>
    <w:rsid w:val="007A5AD1"/>
    <w:rsid w:val="007A5B7B"/>
    <w:rsid w:val="007A65A9"/>
    <w:rsid w:val="007B0128"/>
    <w:rsid w:val="007B0A06"/>
    <w:rsid w:val="007B0B24"/>
    <w:rsid w:val="007B1C83"/>
    <w:rsid w:val="007B37C2"/>
    <w:rsid w:val="007B4181"/>
    <w:rsid w:val="007B5C5C"/>
    <w:rsid w:val="007B6CE0"/>
    <w:rsid w:val="007B7B37"/>
    <w:rsid w:val="007B7C41"/>
    <w:rsid w:val="007C05C5"/>
    <w:rsid w:val="007C11E9"/>
    <w:rsid w:val="007C3D4E"/>
    <w:rsid w:val="007C433E"/>
    <w:rsid w:val="007C4452"/>
    <w:rsid w:val="007C4B3C"/>
    <w:rsid w:val="007C4DB1"/>
    <w:rsid w:val="007C6046"/>
    <w:rsid w:val="007C6941"/>
    <w:rsid w:val="007C6F0C"/>
    <w:rsid w:val="007D0292"/>
    <w:rsid w:val="007D136C"/>
    <w:rsid w:val="007D21AC"/>
    <w:rsid w:val="007D24B0"/>
    <w:rsid w:val="007D3882"/>
    <w:rsid w:val="007D39E4"/>
    <w:rsid w:val="007D3FE7"/>
    <w:rsid w:val="007D568A"/>
    <w:rsid w:val="007D574E"/>
    <w:rsid w:val="007D57C0"/>
    <w:rsid w:val="007D67CB"/>
    <w:rsid w:val="007D6BFE"/>
    <w:rsid w:val="007E2046"/>
    <w:rsid w:val="007E3883"/>
    <w:rsid w:val="007E4876"/>
    <w:rsid w:val="007E48CD"/>
    <w:rsid w:val="007E4ACB"/>
    <w:rsid w:val="007E4FBB"/>
    <w:rsid w:val="007E55BF"/>
    <w:rsid w:val="007E59E3"/>
    <w:rsid w:val="007E5E39"/>
    <w:rsid w:val="007E65B8"/>
    <w:rsid w:val="007E71B1"/>
    <w:rsid w:val="007E7B4E"/>
    <w:rsid w:val="007E7F02"/>
    <w:rsid w:val="007F0292"/>
    <w:rsid w:val="007F0AB7"/>
    <w:rsid w:val="007F0CE2"/>
    <w:rsid w:val="007F0EFF"/>
    <w:rsid w:val="007F1375"/>
    <w:rsid w:val="007F1AFD"/>
    <w:rsid w:val="007F30E4"/>
    <w:rsid w:val="007F6B83"/>
    <w:rsid w:val="0080064F"/>
    <w:rsid w:val="00801B85"/>
    <w:rsid w:val="00803765"/>
    <w:rsid w:val="00803850"/>
    <w:rsid w:val="008039E8"/>
    <w:rsid w:val="00804385"/>
    <w:rsid w:val="00804E0E"/>
    <w:rsid w:val="00804F51"/>
    <w:rsid w:val="00805AFD"/>
    <w:rsid w:val="008078D8"/>
    <w:rsid w:val="0080798E"/>
    <w:rsid w:val="00811D5B"/>
    <w:rsid w:val="00813C51"/>
    <w:rsid w:val="00816A56"/>
    <w:rsid w:val="00816CCB"/>
    <w:rsid w:val="00817572"/>
    <w:rsid w:val="00817713"/>
    <w:rsid w:val="008208C3"/>
    <w:rsid w:val="00820F04"/>
    <w:rsid w:val="008220F1"/>
    <w:rsid w:val="0082340B"/>
    <w:rsid w:val="00823D6A"/>
    <w:rsid w:val="00827B29"/>
    <w:rsid w:val="00827DB6"/>
    <w:rsid w:val="008304B2"/>
    <w:rsid w:val="00830999"/>
    <w:rsid w:val="00830D5E"/>
    <w:rsid w:val="00830F69"/>
    <w:rsid w:val="008324D9"/>
    <w:rsid w:val="00833418"/>
    <w:rsid w:val="0083387F"/>
    <w:rsid w:val="00834458"/>
    <w:rsid w:val="00834AEA"/>
    <w:rsid w:val="00835841"/>
    <w:rsid w:val="00835BF8"/>
    <w:rsid w:val="00835FB7"/>
    <w:rsid w:val="00837465"/>
    <w:rsid w:val="0084002E"/>
    <w:rsid w:val="00840159"/>
    <w:rsid w:val="00840621"/>
    <w:rsid w:val="00841243"/>
    <w:rsid w:val="00841457"/>
    <w:rsid w:val="0084374E"/>
    <w:rsid w:val="008442CE"/>
    <w:rsid w:val="00844842"/>
    <w:rsid w:val="00844A53"/>
    <w:rsid w:val="00844B99"/>
    <w:rsid w:val="00844DD0"/>
    <w:rsid w:val="008455C8"/>
    <w:rsid w:val="00846407"/>
    <w:rsid w:val="0085006A"/>
    <w:rsid w:val="0085089F"/>
    <w:rsid w:val="0085206E"/>
    <w:rsid w:val="00852273"/>
    <w:rsid w:val="0085293D"/>
    <w:rsid w:val="00852AD4"/>
    <w:rsid w:val="00852BA8"/>
    <w:rsid w:val="00852BF0"/>
    <w:rsid w:val="00853718"/>
    <w:rsid w:val="008541EF"/>
    <w:rsid w:val="00856AC7"/>
    <w:rsid w:val="00856FA4"/>
    <w:rsid w:val="00860E60"/>
    <w:rsid w:val="0086102A"/>
    <w:rsid w:val="0086162B"/>
    <w:rsid w:val="00861710"/>
    <w:rsid w:val="00861D5C"/>
    <w:rsid w:val="00861E7C"/>
    <w:rsid w:val="00865207"/>
    <w:rsid w:val="008656A7"/>
    <w:rsid w:val="00865A59"/>
    <w:rsid w:val="00865FA3"/>
    <w:rsid w:val="00866231"/>
    <w:rsid w:val="00871262"/>
    <w:rsid w:val="0087170E"/>
    <w:rsid w:val="00871D4E"/>
    <w:rsid w:val="00871E7B"/>
    <w:rsid w:val="008721BB"/>
    <w:rsid w:val="0087566D"/>
    <w:rsid w:val="00875B50"/>
    <w:rsid w:val="00875B51"/>
    <w:rsid w:val="00875F2D"/>
    <w:rsid w:val="008764DC"/>
    <w:rsid w:val="00881C3A"/>
    <w:rsid w:val="00882CC2"/>
    <w:rsid w:val="0088325A"/>
    <w:rsid w:val="00883930"/>
    <w:rsid w:val="00884535"/>
    <w:rsid w:val="008902BE"/>
    <w:rsid w:val="0089038F"/>
    <w:rsid w:val="00890CDA"/>
    <w:rsid w:val="00891BBA"/>
    <w:rsid w:val="00892079"/>
    <w:rsid w:val="00892B90"/>
    <w:rsid w:val="00892D6B"/>
    <w:rsid w:val="00892F0C"/>
    <w:rsid w:val="00896535"/>
    <w:rsid w:val="00896683"/>
    <w:rsid w:val="00896E71"/>
    <w:rsid w:val="0089750B"/>
    <w:rsid w:val="00897589"/>
    <w:rsid w:val="008A0D4F"/>
    <w:rsid w:val="008A2D08"/>
    <w:rsid w:val="008A39D7"/>
    <w:rsid w:val="008A55DE"/>
    <w:rsid w:val="008A5C34"/>
    <w:rsid w:val="008A63A9"/>
    <w:rsid w:val="008A7073"/>
    <w:rsid w:val="008A79F0"/>
    <w:rsid w:val="008A7F7E"/>
    <w:rsid w:val="008B04DB"/>
    <w:rsid w:val="008B09B4"/>
    <w:rsid w:val="008B1DF4"/>
    <w:rsid w:val="008B27FD"/>
    <w:rsid w:val="008B2FDB"/>
    <w:rsid w:val="008B3AF2"/>
    <w:rsid w:val="008B446D"/>
    <w:rsid w:val="008B515D"/>
    <w:rsid w:val="008B5D31"/>
    <w:rsid w:val="008B6705"/>
    <w:rsid w:val="008C22F3"/>
    <w:rsid w:val="008C3FD0"/>
    <w:rsid w:val="008C4F01"/>
    <w:rsid w:val="008D1484"/>
    <w:rsid w:val="008D29E7"/>
    <w:rsid w:val="008D2A4D"/>
    <w:rsid w:val="008D5104"/>
    <w:rsid w:val="008D75F4"/>
    <w:rsid w:val="008D795D"/>
    <w:rsid w:val="008D7B07"/>
    <w:rsid w:val="008E0D8F"/>
    <w:rsid w:val="008E0F4E"/>
    <w:rsid w:val="008E1E94"/>
    <w:rsid w:val="008E2D99"/>
    <w:rsid w:val="008E30D4"/>
    <w:rsid w:val="008E38B0"/>
    <w:rsid w:val="008E4A60"/>
    <w:rsid w:val="008E744D"/>
    <w:rsid w:val="008F1E08"/>
    <w:rsid w:val="008F6FC8"/>
    <w:rsid w:val="0090045D"/>
    <w:rsid w:val="00900D8F"/>
    <w:rsid w:val="009014E3"/>
    <w:rsid w:val="009020ED"/>
    <w:rsid w:val="009026E8"/>
    <w:rsid w:val="00902FDD"/>
    <w:rsid w:val="00905EEF"/>
    <w:rsid w:val="00906EB7"/>
    <w:rsid w:val="00907EE1"/>
    <w:rsid w:val="009102BF"/>
    <w:rsid w:val="00911490"/>
    <w:rsid w:val="009115F2"/>
    <w:rsid w:val="00911B11"/>
    <w:rsid w:val="00914ADB"/>
    <w:rsid w:val="00917182"/>
    <w:rsid w:val="00923B25"/>
    <w:rsid w:val="0092402E"/>
    <w:rsid w:val="00924417"/>
    <w:rsid w:val="009259BA"/>
    <w:rsid w:val="00926CF7"/>
    <w:rsid w:val="00926FCB"/>
    <w:rsid w:val="009303BB"/>
    <w:rsid w:val="0093108A"/>
    <w:rsid w:val="009313B2"/>
    <w:rsid w:val="0093311A"/>
    <w:rsid w:val="009346D0"/>
    <w:rsid w:val="009419B4"/>
    <w:rsid w:val="00941A4C"/>
    <w:rsid w:val="00942645"/>
    <w:rsid w:val="00944D7C"/>
    <w:rsid w:val="009461E6"/>
    <w:rsid w:val="00950A3A"/>
    <w:rsid w:val="00951FBA"/>
    <w:rsid w:val="0095340A"/>
    <w:rsid w:val="00953AF6"/>
    <w:rsid w:val="0095423E"/>
    <w:rsid w:val="00954581"/>
    <w:rsid w:val="0095466C"/>
    <w:rsid w:val="00954E5B"/>
    <w:rsid w:val="00955316"/>
    <w:rsid w:val="00955E45"/>
    <w:rsid w:val="009576BC"/>
    <w:rsid w:val="00957899"/>
    <w:rsid w:val="00960357"/>
    <w:rsid w:val="0096168C"/>
    <w:rsid w:val="00961840"/>
    <w:rsid w:val="009625E3"/>
    <w:rsid w:val="00962F2D"/>
    <w:rsid w:val="00963A7A"/>
    <w:rsid w:val="009672CD"/>
    <w:rsid w:val="00972996"/>
    <w:rsid w:val="009732B8"/>
    <w:rsid w:val="00974647"/>
    <w:rsid w:val="0097514A"/>
    <w:rsid w:val="009759C2"/>
    <w:rsid w:val="00975C72"/>
    <w:rsid w:val="00976869"/>
    <w:rsid w:val="00977740"/>
    <w:rsid w:val="00977CB4"/>
    <w:rsid w:val="009809B8"/>
    <w:rsid w:val="00981086"/>
    <w:rsid w:val="009818AF"/>
    <w:rsid w:val="00981B1C"/>
    <w:rsid w:val="0098222D"/>
    <w:rsid w:val="00983523"/>
    <w:rsid w:val="00985099"/>
    <w:rsid w:val="00985D32"/>
    <w:rsid w:val="00986514"/>
    <w:rsid w:val="00986D2A"/>
    <w:rsid w:val="00986FCC"/>
    <w:rsid w:val="00992899"/>
    <w:rsid w:val="009935C3"/>
    <w:rsid w:val="0099421F"/>
    <w:rsid w:val="00994FC8"/>
    <w:rsid w:val="009960DF"/>
    <w:rsid w:val="009A0DE3"/>
    <w:rsid w:val="009A1643"/>
    <w:rsid w:val="009A215A"/>
    <w:rsid w:val="009A49D3"/>
    <w:rsid w:val="009A4F1B"/>
    <w:rsid w:val="009A5661"/>
    <w:rsid w:val="009A66C5"/>
    <w:rsid w:val="009A66E7"/>
    <w:rsid w:val="009A79BA"/>
    <w:rsid w:val="009B14D1"/>
    <w:rsid w:val="009B1534"/>
    <w:rsid w:val="009B4963"/>
    <w:rsid w:val="009B4A3B"/>
    <w:rsid w:val="009B556A"/>
    <w:rsid w:val="009B69D3"/>
    <w:rsid w:val="009B7BA7"/>
    <w:rsid w:val="009B7C01"/>
    <w:rsid w:val="009C0938"/>
    <w:rsid w:val="009C0C22"/>
    <w:rsid w:val="009C15D9"/>
    <w:rsid w:val="009C22C8"/>
    <w:rsid w:val="009C3F11"/>
    <w:rsid w:val="009C3F82"/>
    <w:rsid w:val="009C582A"/>
    <w:rsid w:val="009C5C56"/>
    <w:rsid w:val="009C72DD"/>
    <w:rsid w:val="009C78FD"/>
    <w:rsid w:val="009C7DF5"/>
    <w:rsid w:val="009D056C"/>
    <w:rsid w:val="009D060F"/>
    <w:rsid w:val="009D1ADE"/>
    <w:rsid w:val="009D3652"/>
    <w:rsid w:val="009D37CA"/>
    <w:rsid w:val="009D4229"/>
    <w:rsid w:val="009D4268"/>
    <w:rsid w:val="009E0915"/>
    <w:rsid w:val="009E09D0"/>
    <w:rsid w:val="009E1283"/>
    <w:rsid w:val="009E377D"/>
    <w:rsid w:val="009E3A7F"/>
    <w:rsid w:val="009E4C9B"/>
    <w:rsid w:val="009E4DFC"/>
    <w:rsid w:val="009E5789"/>
    <w:rsid w:val="009E57B1"/>
    <w:rsid w:val="009E6379"/>
    <w:rsid w:val="009F020F"/>
    <w:rsid w:val="009F1B12"/>
    <w:rsid w:val="009F3B63"/>
    <w:rsid w:val="009F43E2"/>
    <w:rsid w:val="009F6292"/>
    <w:rsid w:val="009F7809"/>
    <w:rsid w:val="009F7AF5"/>
    <w:rsid w:val="00A006F1"/>
    <w:rsid w:val="00A007A7"/>
    <w:rsid w:val="00A00D14"/>
    <w:rsid w:val="00A01408"/>
    <w:rsid w:val="00A02457"/>
    <w:rsid w:val="00A03190"/>
    <w:rsid w:val="00A03204"/>
    <w:rsid w:val="00A0404B"/>
    <w:rsid w:val="00A06F66"/>
    <w:rsid w:val="00A0798C"/>
    <w:rsid w:val="00A07BDD"/>
    <w:rsid w:val="00A07F12"/>
    <w:rsid w:val="00A1105B"/>
    <w:rsid w:val="00A1213C"/>
    <w:rsid w:val="00A13026"/>
    <w:rsid w:val="00A130E8"/>
    <w:rsid w:val="00A15B6B"/>
    <w:rsid w:val="00A15EB4"/>
    <w:rsid w:val="00A16172"/>
    <w:rsid w:val="00A16876"/>
    <w:rsid w:val="00A200AA"/>
    <w:rsid w:val="00A20558"/>
    <w:rsid w:val="00A211DD"/>
    <w:rsid w:val="00A2186F"/>
    <w:rsid w:val="00A2270B"/>
    <w:rsid w:val="00A234F4"/>
    <w:rsid w:val="00A23B89"/>
    <w:rsid w:val="00A23FE3"/>
    <w:rsid w:val="00A247D1"/>
    <w:rsid w:val="00A248C3"/>
    <w:rsid w:val="00A2496E"/>
    <w:rsid w:val="00A2515A"/>
    <w:rsid w:val="00A253E8"/>
    <w:rsid w:val="00A258B7"/>
    <w:rsid w:val="00A25A0C"/>
    <w:rsid w:val="00A25A83"/>
    <w:rsid w:val="00A262B6"/>
    <w:rsid w:val="00A307A5"/>
    <w:rsid w:val="00A31FE2"/>
    <w:rsid w:val="00A32743"/>
    <w:rsid w:val="00A40039"/>
    <w:rsid w:val="00A40FFB"/>
    <w:rsid w:val="00A41468"/>
    <w:rsid w:val="00A414A9"/>
    <w:rsid w:val="00A44141"/>
    <w:rsid w:val="00A44CCA"/>
    <w:rsid w:val="00A44D75"/>
    <w:rsid w:val="00A47CF1"/>
    <w:rsid w:val="00A50418"/>
    <w:rsid w:val="00A54A47"/>
    <w:rsid w:val="00A559F0"/>
    <w:rsid w:val="00A56D26"/>
    <w:rsid w:val="00A571A7"/>
    <w:rsid w:val="00A5749A"/>
    <w:rsid w:val="00A57BA8"/>
    <w:rsid w:val="00A608FB"/>
    <w:rsid w:val="00A60D83"/>
    <w:rsid w:val="00A60F68"/>
    <w:rsid w:val="00A621F4"/>
    <w:rsid w:val="00A6261A"/>
    <w:rsid w:val="00A63DF3"/>
    <w:rsid w:val="00A65C78"/>
    <w:rsid w:val="00A660A8"/>
    <w:rsid w:val="00A66A45"/>
    <w:rsid w:val="00A67591"/>
    <w:rsid w:val="00A67CA6"/>
    <w:rsid w:val="00A70E7B"/>
    <w:rsid w:val="00A717EA"/>
    <w:rsid w:val="00A71BB8"/>
    <w:rsid w:val="00A7224A"/>
    <w:rsid w:val="00A73B84"/>
    <w:rsid w:val="00A7411D"/>
    <w:rsid w:val="00A756C4"/>
    <w:rsid w:val="00A7592B"/>
    <w:rsid w:val="00A76094"/>
    <w:rsid w:val="00A768E2"/>
    <w:rsid w:val="00A82C52"/>
    <w:rsid w:val="00A838E8"/>
    <w:rsid w:val="00A83C15"/>
    <w:rsid w:val="00A84EC4"/>
    <w:rsid w:val="00A86CB6"/>
    <w:rsid w:val="00A90D55"/>
    <w:rsid w:val="00A944D8"/>
    <w:rsid w:val="00A959E7"/>
    <w:rsid w:val="00A95BBA"/>
    <w:rsid w:val="00A961EE"/>
    <w:rsid w:val="00AA04B3"/>
    <w:rsid w:val="00AA1253"/>
    <w:rsid w:val="00AA1ED0"/>
    <w:rsid w:val="00AA1F5B"/>
    <w:rsid w:val="00AA28EF"/>
    <w:rsid w:val="00AA3593"/>
    <w:rsid w:val="00AA38CA"/>
    <w:rsid w:val="00AA493E"/>
    <w:rsid w:val="00AA73AF"/>
    <w:rsid w:val="00AB0A8A"/>
    <w:rsid w:val="00AB1754"/>
    <w:rsid w:val="00AB1F8D"/>
    <w:rsid w:val="00AB27DD"/>
    <w:rsid w:val="00AB592E"/>
    <w:rsid w:val="00AC0120"/>
    <w:rsid w:val="00AC37BE"/>
    <w:rsid w:val="00AC439D"/>
    <w:rsid w:val="00AC62CC"/>
    <w:rsid w:val="00AC713F"/>
    <w:rsid w:val="00AC7329"/>
    <w:rsid w:val="00AC7D96"/>
    <w:rsid w:val="00AD00E4"/>
    <w:rsid w:val="00AD067E"/>
    <w:rsid w:val="00AD168B"/>
    <w:rsid w:val="00AD1B4E"/>
    <w:rsid w:val="00AD2801"/>
    <w:rsid w:val="00AD3496"/>
    <w:rsid w:val="00AD3B49"/>
    <w:rsid w:val="00AD49A1"/>
    <w:rsid w:val="00AD5771"/>
    <w:rsid w:val="00AD6870"/>
    <w:rsid w:val="00AD68C5"/>
    <w:rsid w:val="00AD7F8F"/>
    <w:rsid w:val="00AE0BF9"/>
    <w:rsid w:val="00AE1273"/>
    <w:rsid w:val="00AE18C5"/>
    <w:rsid w:val="00AE2CF4"/>
    <w:rsid w:val="00AE2D29"/>
    <w:rsid w:val="00AE2F15"/>
    <w:rsid w:val="00AE4624"/>
    <w:rsid w:val="00AE4B3E"/>
    <w:rsid w:val="00AE5E14"/>
    <w:rsid w:val="00AE6115"/>
    <w:rsid w:val="00AE625B"/>
    <w:rsid w:val="00AF01B2"/>
    <w:rsid w:val="00AF1103"/>
    <w:rsid w:val="00AF1668"/>
    <w:rsid w:val="00AF28DE"/>
    <w:rsid w:val="00AF4FA5"/>
    <w:rsid w:val="00AF6ECC"/>
    <w:rsid w:val="00B022DC"/>
    <w:rsid w:val="00B04562"/>
    <w:rsid w:val="00B0472F"/>
    <w:rsid w:val="00B04D0C"/>
    <w:rsid w:val="00B06930"/>
    <w:rsid w:val="00B0773A"/>
    <w:rsid w:val="00B07955"/>
    <w:rsid w:val="00B1176B"/>
    <w:rsid w:val="00B137C3"/>
    <w:rsid w:val="00B140B8"/>
    <w:rsid w:val="00B14FAA"/>
    <w:rsid w:val="00B15BED"/>
    <w:rsid w:val="00B15D30"/>
    <w:rsid w:val="00B15DF9"/>
    <w:rsid w:val="00B16D18"/>
    <w:rsid w:val="00B177DE"/>
    <w:rsid w:val="00B20624"/>
    <w:rsid w:val="00B23436"/>
    <w:rsid w:val="00B237F1"/>
    <w:rsid w:val="00B23F10"/>
    <w:rsid w:val="00B24328"/>
    <w:rsid w:val="00B24ED4"/>
    <w:rsid w:val="00B24F33"/>
    <w:rsid w:val="00B26354"/>
    <w:rsid w:val="00B26CA0"/>
    <w:rsid w:val="00B31965"/>
    <w:rsid w:val="00B32179"/>
    <w:rsid w:val="00B32341"/>
    <w:rsid w:val="00B32C2B"/>
    <w:rsid w:val="00B33007"/>
    <w:rsid w:val="00B331A9"/>
    <w:rsid w:val="00B33498"/>
    <w:rsid w:val="00B33598"/>
    <w:rsid w:val="00B36569"/>
    <w:rsid w:val="00B37345"/>
    <w:rsid w:val="00B37F53"/>
    <w:rsid w:val="00B40A05"/>
    <w:rsid w:val="00B40A3E"/>
    <w:rsid w:val="00B427BB"/>
    <w:rsid w:val="00B43BA2"/>
    <w:rsid w:val="00B449EE"/>
    <w:rsid w:val="00B454AE"/>
    <w:rsid w:val="00B50227"/>
    <w:rsid w:val="00B50510"/>
    <w:rsid w:val="00B51AB2"/>
    <w:rsid w:val="00B522CD"/>
    <w:rsid w:val="00B55143"/>
    <w:rsid w:val="00B555C8"/>
    <w:rsid w:val="00B55917"/>
    <w:rsid w:val="00B5646A"/>
    <w:rsid w:val="00B56F3D"/>
    <w:rsid w:val="00B57921"/>
    <w:rsid w:val="00B57E78"/>
    <w:rsid w:val="00B57EB8"/>
    <w:rsid w:val="00B609F6"/>
    <w:rsid w:val="00B60E75"/>
    <w:rsid w:val="00B61D2D"/>
    <w:rsid w:val="00B643A6"/>
    <w:rsid w:val="00B64DD6"/>
    <w:rsid w:val="00B66505"/>
    <w:rsid w:val="00B6710C"/>
    <w:rsid w:val="00B67E84"/>
    <w:rsid w:val="00B72076"/>
    <w:rsid w:val="00B72303"/>
    <w:rsid w:val="00B72C72"/>
    <w:rsid w:val="00B72D9A"/>
    <w:rsid w:val="00B72ED9"/>
    <w:rsid w:val="00B731E4"/>
    <w:rsid w:val="00B751CE"/>
    <w:rsid w:val="00B75A8B"/>
    <w:rsid w:val="00B75B61"/>
    <w:rsid w:val="00B76796"/>
    <w:rsid w:val="00B771E0"/>
    <w:rsid w:val="00B7793B"/>
    <w:rsid w:val="00B77EE7"/>
    <w:rsid w:val="00B80EDD"/>
    <w:rsid w:val="00B812BD"/>
    <w:rsid w:val="00B81964"/>
    <w:rsid w:val="00B82277"/>
    <w:rsid w:val="00B83F87"/>
    <w:rsid w:val="00B8478F"/>
    <w:rsid w:val="00B91676"/>
    <w:rsid w:val="00B9322B"/>
    <w:rsid w:val="00B955D5"/>
    <w:rsid w:val="00B95833"/>
    <w:rsid w:val="00B95B70"/>
    <w:rsid w:val="00BA1824"/>
    <w:rsid w:val="00BA2D98"/>
    <w:rsid w:val="00BA2F0C"/>
    <w:rsid w:val="00BA30D1"/>
    <w:rsid w:val="00BA30E1"/>
    <w:rsid w:val="00BA4609"/>
    <w:rsid w:val="00BA51FC"/>
    <w:rsid w:val="00BA5BE2"/>
    <w:rsid w:val="00BA7F46"/>
    <w:rsid w:val="00BB0A0A"/>
    <w:rsid w:val="00BB0A9F"/>
    <w:rsid w:val="00BB133C"/>
    <w:rsid w:val="00BB1F04"/>
    <w:rsid w:val="00BB32E9"/>
    <w:rsid w:val="00BB45B5"/>
    <w:rsid w:val="00BB4DDE"/>
    <w:rsid w:val="00BB6064"/>
    <w:rsid w:val="00BB65CE"/>
    <w:rsid w:val="00BB7012"/>
    <w:rsid w:val="00BC09D1"/>
    <w:rsid w:val="00BC1CF3"/>
    <w:rsid w:val="00BC2BE0"/>
    <w:rsid w:val="00BC3573"/>
    <w:rsid w:val="00BC7F82"/>
    <w:rsid w:val="00BD0759"/>
    <w:rsid w:val="00BD2A49"/>
    <w:rsid w:val="00BD3683"/>
    <w:rsid w:val="00BD4068"/>
    <w:rsid w:val="00BD40AB"/>
    <w:rsid w:val="00BD6297"/>
    <w:rsid w:val="00BD6806"/>
    <w:rsid w:val="00BD7433"/>
    <w:rsid w:val="00BD7831"/>
    <w:rsid w:val="00BD7C10"/>
    <w:rsid w:val="00BE046F"/>
    <w:rsid w:val="00BE0DEB"/>
    <w:rsid w:val="00BE2AB8"/>
    <w:rsid w:val="00BE2FC1"/>
    <w:rsid w:val="00BE3142"/>
    <w:rsid w:val="00BE37C1"/>
    <w:rsid w:val="00BE4039"/>
    <w:rsid w:val="00BE4400"/>
    <w:rsid w:val="00BE6365"/>
    <w:rsid w:val="00BF01B7"/>
    <w:rsid w:val="00BF0B7F"/>
    <w:rsid w:val="00BF10E8"/>
    <w:rsid w:val="00BF2988"/>
    <w:rsid w:val="00BF4720"/>
    <w:rsid w:val="00BF4F49"/>
    <w:rsid w:val="00BF6759"/>
    <w:rsid w:val="00BF70A6"/>
    <w:rsid w:val="00BF7B4F"/>
    <w:rsid w:val="00BF7B63"/>
    <w:rsid w:val="00C0359D"/>
    <w:rsid w:val="00C038EC"/>
    <w:rsid w:val="00C050BE"/>
    <w:rsid w:val="00C05C6D"/>
    <w:rsid w:val="00C072D7"/>
    <w:rsid w:val="00C104DB"/>
    <w:rsid w:val="00C10F5B"/>
    <w:rsid w:val="00C1122B"/>
    <w:rsid w:val="00C127F2"/>
    <w:rsid w:val="00C13B34"/>
    <w:rsid w:val="00C13F26"/>
    <w:rsid w:val="00C1474E"/>
    <w:rsid w:val="00C14C37"/>
    <w:rsid w:val="00C157AA"/>
    <w:rsid w:val="00C162E1"/>
    <w:rsid w:val="00C16BE4"/>
    <w:rsid w:val="00C16E9F"/>
    <w:rsid w:val="00C1713D"/>
    <w:rsid w:val="00C174C1"/>
    <w:rsid w:val="00C17523"/>
    <w:rsid w:val="00C177F1"/>
    <w:rsid w:val="00C17EE6"/>
    <w:rsid w:val="00C217F7"/>
    <w:rsid w:val="00C2272E"/>
    <w:rsid w:val="00C22F3A"/>
    <w:rsid w:val="00C23311"/>
    <w:rsid w:val="00C24AD9"/>
    <w:rsid w:val="00C25978"/>
    <w:rsid w:val="00C261C6"/>
    <w:rsid w:val="00C26621"/>
    <w:rsid w:val="00C26E7C"/>
    <w:rsid w:val="00C276CD"/>
    <w:rsid w:val="00C27827"/>
    <w:rsid w:val="00C30A97"/>
    <w:rsid w:val="00C31DDC"/>
    <w:rsid w:val="00C3223A"/>
    <w:rsid w:val="00C34168"/>
    <w:rsid w:val="00C34326"/>
    <w:rsid w:val="00C34CEB"/>
    <w:rsid w:val="00C36201"/>
    <w:rsid w:val="00C368E8"/>
    <w:rsid w:val="00C36C3D"/>
    <w:rsid w:val="00C372C7"/>
    <w:rsid w:val="00C4227E"/>
    <w:rsid w:val="00C42443"/>
    <w:rsid w:val="00C42CBA"/>
    <w:rsid w:val="00C4338C"/>
    <w:rsid w:val="00C43C2B"/>
    <w:rsid w:val="00C450AD"/>
    <w:rsid w:val="00C45B27"/>
    <w:rsid w:val="00C46824"/>
    <w:rsid w:val="00C472C7"/>
    <w:rsid w:val="00C5019E"/>
    <w:rsid w:val="00C51962"/>
    <w:rsid w:val="00C5377C"/>
    <w:rsid w:val="00C53E8A"/>
    <w:rsid w:val="00C54DF3"/>
    <w:rsid w:val="00C560A7"/>
    <w:rsid w:val="00C56FC8"/>
    <w:rsid w:val="00C60F23"/>
    <w:rsid w:val="00C6170B"/>
    <w:rsid w:val="00C62EB2"/>
    <w:rsid w:val="00C64C87"/>
    <w:rsid w:val="00C665FE"/>
    <w:rsid w:val="00C71036"/>
    <w:rsid w:val="00C71BEC"/>
    <w:rsid w:val="00C7468A"/>
    <w:rsid w:val="00C74D3A"/>
    <w:rsid w:val="00C75F3D"/>
    <w:rsid w:val="00C80511"/>
    <w:rsid w:val="00C826F5"/>
    <w:rsid w:val="00C83740"/>
    <w:rsid w:val="00C84AD1"/>
    <w:rsid w:val="00C85579"/>
    <w:rsid w:val="00C862F1"/>
    <w:rsid w:val="00C863E5"/>
    <w:rsid w:val="00C87BE6"/>
    <w:rsid w:val="00C87F76"/>
    <w:rsid w:val="00C931FC"/>
    <w:rsid w:val="00C932C5"/>
    <w:rsid w:val="00C94CB6"/>
    <w:rsid w:val="00C95299"/>
    <w:rsid w:val="00C95A72"/>
    <w:rsid w:val="00C9650E"/>
    <w:rsid w:val="00C97000"/>
    <w:rsid w:val="00C975BD"/>
    <w:rsid w:val="00CA068D"/>
    <w:rsid w:val="00CA1228"/>
    <w:rsid w:val="00CA1C73"/>
    <w:rsid w:val="00CA282D"/>
    <w:rsid w:val="00CA39FF"/>
    <w:rsid w:val="00CA3F73"/>
    <w:rsid w:val="00CA4670"/>
    <w:rsid w:val="00CA5006"/>
    <w:rsid w:val="00CA5F89"/>
    <w:rsid w:val="00CA6B1A"/>
    <w:rsid w:val="00CB1B18"/>
    <w:rsid w:val="00CB20DC"/>
    <w:rsid w:val="00CB23DC"/>
    <w:rsid w:val="00CB2487"/>
    <w:rsid w:val="00CB28E2"/>
    <w:rsid w:val="00CB2F20"/>
    <w:rsid w:val="00CB758D"/>
    <w:rsid w:val="00CB7A3E"/>
    <w:rsid w:val="00CB7FF7"/>
    <w:rsid w:val="00CC0D0E"/>
    <w:rsid w:val="00CC1253"/>
    <w:rsid w:val="00CC19B3"/>
    <w:rsid w:val="00CC2044"/>
    <w:rsid w:val="00CC3736"/>
    <w:rsid w:val="00CC39D2"/>
    <w:rsid w:val="00CC4E91"/>
    <w:rsid w:val="00CC69EC"/>
    <w:rsid w:val="00CC78A2"/>
    <w:rsid w:val="00CC7DF8"/>
    <w:rsid w:val="00CD15BE"/>
    <w:rsid w:val="00CD1EF2"/>
    <w:rsid w:val="00CD32BD"/>
    <w:rsid w:val="00CD34C7"/>
    <w:rsid w:val="00CD5653"/>
    <w:rsid w:val="00CD5E6D"/>
    <w:rsid w:val="00CD63C8"/>
    <w:rsid w:val="00CD76F8"/>
    <w:rsid w:val="00CE02E8"/>
    <w:rsid w:val="00CE069E"/>
    <w:rsid w:val="00CE0DE0"/>
    <w:rsid w:val="00CE3722"/>
    <w:rsid w:val="00CF158D"/>
    <w:rsid w:val="00CF2166"/>
    <w:rsid w:val="00CF4340"/>
    <w:rsid w:val="00CF4394"/>
    <w:rsid w:val="00CF48B4"/>
    <w:rsid w:val="00D000A9"/>
    <w:rsid w:val="00D00384"/>
    <w:rsid w:val="00D005DB"/>
    <w:rsid w:val="00D0064E"/>
    <w:rsid w:val="00D00981"/>
    <w:rsid w:val="00D02596"/>
    <w:rsid w:val="00D0280D"/>
    <w:rsid w:val="00D02AEF"/>
    <w:rsid w:val="00D05669"/>
    <w:rsid w:val="00D061EB"/>
    <w:rsid w:val="00D06952"/>
    <w:rsid w:val="00D07A72"/>
    <w:rsid w:val="00D10577"/>
    <w:rsid w:val="00D12405"/>
    <w:rsid w:val="00D12A4E"/>
    <w:rsid w:val="00D1323B"/>
    <w:rsid w:val="00D14BAE"/>
    <w:rsid w:val="00D1648B"/>
    <w:rsid w:val="00D16819"/>
    <w:rsid w:val="00D17DD9"/>
    <w:rsid w:val="00D20AC0"/>
    <w:rsid w:val="00D2288F"/>
    <w:rsid w:val="00D228A7"/>
    <w:rsid w:val="00D2321B"/>
    <w:rsid w:val="00D23350"/>
    <w:rsid w:val="00D237E7"/>
    <w:rsid w:val="00D23DE4"/>
    <w:rsid w:val="00D25A5C"/>
    <w:rsid w:val="00D26873"/>
    <w:rsid w:val="00D31683"/>
    <w:rsid w:val="00D336C8"/>
    <w:rsid w:val="00D339E8"/>
    <w:rsid w:val="00D3654A"/>
    <w:rsid w:val="00D3662E"/>
    <w:rsid w:val="00D40B1F"/>
    <w:rsid w:val="00D40D75"/>
    <w:rsid w:val="00D43978"/>
    <w:rsid w:val="00D43CBD"/>
    <w:rsid w:val="00D449F0"/>
    <w:rsid w:val="00D462D7"/>
    <w:rsid w:val="00D4731E"/>
    <w:rsid w:val="00D5062C"/>
    <w:rsid w:val="00D50C8C"/>
    <w:rsid w:val="00D52393"/>
    <w:rsid w:val="00D523E4"/>
    <w:rsid w:val="00D5279D"/>
    <w:rsid w:val="00D52A1B"/>
    <w:rsid w:val="00D52AA7"/>
    <w:rsid w:val="00D52FCC"/>
    <w:rsid w:val="00D53F14"/>
    <w:rsid w:val="00D54BE4"/>
    <w:rsid w:val="00D54DDB"/>
    <w:rsid w:val="00D554BC"/>
    <w:rsid w:val="00D560DC"/>
    <w:rsid w:val="00D56602"/>
    <w:rsid w:val="00D60483"/>
    <w:rsid w:val="00D61000"/>
    <w:rsid w:val="00D61ABB"/>
    <w:rsid w:val="00D62D5C"/>
    <w:rsid w:val="00D63577"/>
    <w:rsid w:val="00D65B9E"/>
    <w:rsid w:val="00D676A6"/>
    <w:rsid w:val="00D67FD7"/>
    <w:rsid w:val="00D72251"/>
    <w:rsid w:val="00D72410"/>
    <w:rsid w:val="00D73D53"/>
    <w:rsid w:val="00D7408A"/>
    <w:rsid w:val="00D74261"/>
    <w:rsid w:val="00D7441B"/>
    <w:rsid w:val="00D75589"/>
    <w:rsid w:val="00D76AB2"/>
    <w:rsid w:val="00D77C8F"/>
    <w:rsid w:val="00D80490"/>
    <w:rsid w:val="00D829AD"/>
    <w:rsid w:val="00D82EE2"/>
    <w:rsid w:val="00D83D1B"/>
    <w:rsid w:val="00D84061"/>
    <w:rsid w:val="00D84133"/>
    <w:rsid w:val="00D8545C"/>
    <w:rsid w:val="00D86E57"/>
    <w:rsid w:val="00D87788"/>
    <w:rsid w:val="00D877C8"/>
    <w:rsid w:val="00D91040"/>
    <w:rsid w:val="00D910C2"/>
    <w:rsid w:val="00D9168C"/>
    <w:rsid w:val="00D9189B"/>
    <w:rsid w:val="00D91DA6"/>
    <w:rsid w:val="00D921A0"/>
    <w:rsid w:val="00D935C1"/>
    <w:rsid w:val="00D93A41"/>
    <w:rsid w:val="00D93B9A"/>
    <w:rsid w:val="00D95984"/>
    <w:rsid w:val="00D95C64"/>
    <w:rsid w:val="00D9706F"/>
    <w:rsid w:val="00D972D4"/>
    <w:rsid w:val="00DA195B"/>
    <w:rsid w:val="00DA27F3"/>
    <w:rsid w:val="00DA2D1E"/>
    <w:rsid w:val="00DA3EC8"/>
    <w:rsid w:val="00DA40C1"/>
    <w:rsid w:val="00DA5564"/>
    <w:rsid w:val="00DA6B55"/>
    <w:rsid w:val="00DA6B97"/>
    <w:rsid w:val="00DA6CEE"/>
    <w:rsid w:val="00DB0015"/>
    <w:rsid w:val="00DB0359"/>
    <w:rsid w:val="00DB0ABB"/>
    <w:rsid w:val="00DB2AAD"/>
    <w:rsid w:val="00DB44E2"/>
    <w:rsid w:val="00DB4A6D"/>
    <w:rsid w:val="00DB5941"/>
    <w:rsid w:val="00DB626D"/>
    <w:rsid w:val="00DB6365"/>
    <w:rsid w:val="00DC07B7"/>
    <w:rsid w:val="00DC0BF1"/>
    <w:rsid w:val="00DC17F2"/>
    <w:rsid w:val="00DC41C3"/>
    <w:rsid w:val="00DC4A3C"/>
    <w:rsid w:val="00DC4FA4"/>
    <w:rsid w:val="00DC5028"/>
    <w:rsid w:val="00DC5B37"/>
    <w:rsid w:val="00DD286D"/>
    <w:rsid w:val="00DD2CAF"/>
    <w:rsid w:val="00DD3593"/>
    <w:rsid w:val="00DD64E0"/>
    <w:rsid w:val="00DD7BE0"/>
    <w:rsid w:val="00DE0C67"/>
    <w:rsid w:val="00DE3AAD"/>
    <w:rsid w:val="00DE598A"/>
    <w:rsid w:val="00DE6952"/>
    <w:rsid w:val="00DE7E74"/>
    <w:rsid w:val="00DF071B"/>
    <w:rsid w:val="00DF5C84"/>
    <w:rsid w:val="00DF6EF8"/>
    <w:rsid w:val="00E00A69"/>
    <w:rsid w:val="00E017BC"/>
    <w:rsid w:val="00E017F0"/>
    <w:rsid w:val="00E01A0E"/>
    <w:rsid w:val="00E0346A"/>
    <w:rsid w:val="00E041E4"/>
    <w:rsid w:val="00E04AEE"/>
    <w:rsid w:val="00E1012B"/>
    <w:rsid w:val="00E103C8"/>
    <w:rsid w:val="00E1085B"/>
    <w:rsid w:val="00E1308B"/>
    <w:rsid w:val="00E14581"/>
    <w:rsid w:val="00E14623"/>
    <w:rsid w:val="00E15539"/>
    <w:rsid w:val="00E16541"/>
    <w:rsid w:val="00E17EC9"/>
    <w:rsid w:val="00E202F4"/>
    <w:rsid w:val="00E207C3"/>
    <w:rsid w:val="00E21386"/>
    <w:rsid w:val="00E242AF"/>
    <w:rsid w:val="00E24849"/>
    <w:rsid w:val="00E2536E"/>
    <w:rsid w:val="00E2574E"/>
    <w:rsid w:val="00E25B8A"/>
    <w:rsid w:val="00E25EF8"/>
    <w:rsid w:val="00E2632B"/>
    <w:rsid w:val="00E26F75"/>
    <w:rsid w:val="00E27423"/>
    <w:rsid w:val="00E322F7"/>
    <w:rsid w:val="00E335C1"/>
    <w:rsid w:val="00E3369B"/>
    <w:rsid w:val="00E34CA6"/>
    <w:rsid w:val="00E362D2"/>
    <w:rsid w:val="00E36D76"/>
    <w:rsid w:val="00E40478"/>
    <w:rsid w:val="00E405EA"/>
    <w:rsid w:val="00E408B7"/>
    <w:rsid w:val="00E41637"/>
    <w:rsid w:val="00E42789"/>
    <w:rsid w:val="00E43F59"/>
    <w:rsid w:val="00E464F0"/>
    <w:rsid w:val="00E46EF3"/>
    <w:rsid w:val="00E47370"/>
    <w:rsid w:val="00E473E9"/>
    <w:rsid w:val="00E4789F"/>
    <w:rsid w:val="00E47B47"/>
    <w:rsid w:val="00E50BEB"/>
    <w:rsid w:val="00E548FA"/>
    <w:rsid w:val="00E57703"/>
    <w:rsid w:val="00E57ED4"/>
    <w:rsid w:val="00E57F25"/>
    <w:rsid w:val="00E57FED"/>
    <w:rsid w:val="00E6092F"/>
    <w:rsid w:val="00E60BD0"/>
    <w:rsid w:val="00E62049"/>
    <w:rsid w:val="00E629DA"/>
    <w:rsid w:val="00E64374"/>
    <w:rsid w:val="00E6469F"/>
    <w:rsid w:val="00E65D39"/>
    <w:rsid w:val="00E670F8"/>
    <w:rsid w:val="00E6733C"/>
    <w:rsid w:val="00E6741B"/>
    <w:rsid w:val="00E67FAC"/>
    <w:rsid w:val="00E7200B"/>
    <w:rsid w:val="00E738CB"/>
    <w:rsid w:val="00E73C88"/>
    <w:rsid w:val="00E74437"/>
    <w:rsid w:val="00E7443D"/>
    <w:rsid w:val="00E744FB"/>
    <w:rsid w:val="00E75ACE"/>
    <w:rsid w:val="00E771AF"/>
    <w:rsid w:val="00E80386"/>
    <w:rsid w:val="00E809C3"/>
    <w:rsid w:val="00E81A1A"/>
    <w:rsid w:val="00E81B22"/>
    <w:rsid w:val="00E81C3E"/>
    <w:rsid w:val="00E82359"/>
    <w:rsid w:val="00E827AF"/>
    <w:rsid w:val="00E82B6D"/>
    <w:rsid w:val="00E83187"/>
    <w:rsid w:val="00E831E9"/>
    <w:rsid w:val="00E8608F"/>
    <w:rsid w:val="00E86C1D"/>
    <w:rsid w:val="00E916B3"/>
    <w:rsid w:val="00E9763D"/>
    <w:rsid w:val="00EA1177"/>
    <w:rsid w:val="00EA118B"/>
    <w:rsid w:val="00EA11B6"/>
    <w:rsid w:val="00EA2181"/>
    <w:rsid w:val="00EA2DD8"/>
    <w:rsid w:val="00EA4475"/>
    <w:rsid w:val="00EA52FE"/>
    <w:rsid w:val="00EA681F"/>
    <w:rsid w:val="00EA76DA"/>
    <w:rsid w:val="00EB04C6"/>
    <w:rsid w:val="00EB06A6"/>
    <w:rsid w:val="00EB2097"/>
    <w:rsid w:val="00EB21A6"/>
    <w:rsid w:val="00EB3307"/>
    <w:rsid w:val="00EB3823"/>
    <w:rsid w:val="00EB47D8"/>
    <w:rsid w:val="00EB57D3"/>
    <w:rsid w:val="00EB5EFD"/>
    <w:rsid w:val="00EB679F"/>
    <w:rsid w:val="00EB76E4"/>
    <w:rsid w:val="00EC0E65"/>
    <w:rsid w:val="00EC1251"/>
    <w:rsid w:val="00EC1CCB"/>
    <w:rsid w:val="00EC2938"/>
    <w:rsid w:val="00EC337D"/>
    <w:rsid w:val="00EC38EF"/>
    <w:rsid w:val="00EC47F7"/>
    <w:rsid w:val="00EC50C9"/>
    <w:rsid w:val="00EC58B4"/>
    <w:rsid w:val="00EC5BB2"/>
    <w:rsid w:val="00ED1296"/>
    <w:rsid w:val="00ED12F0"/>
    <w:rsid w:val="00ED290C"/>
    <w:rsid w:val="00ED2A6C"/>
    <w:rsid w:val="00ED4773"/>
    <w:rsid w:val="00ED5284"/>
    <w:rsid w:val="00ED664B"/>
    <w:rsid w:val="00ED6A61"/>
    <w:rsid w:val="00ED7DA4"/>
    <w:rsid w:val="00EE03BB"/>
    <w:rsid w:val="00EE0552"/>
    <w:rsid w:val="00EE0B44"/>
    <w:rsid w:val="00EE125D"/>
    <w:rsid w:val="00EE23DE"/>
    <w:rsid w:val="00EE48BB"/>
    <w:rsid w:val="00EE55E8"/>
    <w:rsid w:val="00EE6FE0"/>
    <w:rsid w:val="00EE704A"/>
    <w:rsid w:val="00EE7840"/>
    <w:rsid w:val="00EF2E75"/>
    <w:rsid w:val="00EF4C74"/>
    <w:rsid w:val="00EF5268"/>
    <w:rsid w:val="00EF608E"/>
    <w:rsid w:val="00EF6C4A"/>
    <w:rsid w:val="00F0044B"/>
    <w:rsid w:val="00F03525"/>
    <w:rsid w:val="00F0424D"/>
    <w:rsid w:val="00F04957"/>
    <w:rsid w:val="00F04997"/>
    <w:rsid w:val="00F05807"/>
    <w:rsid w:val="00F06451"/>
    <w:rsid w:val="00F07052"/>
    <w:rsid w:val="00F0706C"/>
    <w:rsid w:val="00F11EBE"/>
    <w:rsid w:val="00F12293"/>
    <w:rsid w:val="00F12BA8"/>
    <w:rsid w:val="00F130D0"/>
    <w:rsid w:val="00F13B0A"/>
    <w:rsid w:val="00F14933"/>
    <w:rsid w:val="00F1516A"/>
    <w:rsid w:val="00F15EE5"/>
    <w:rsid w:val="00F171F9"/>
    <w:rsid w:val="00F1737C"/>
    <w:rsid w:val="00F22A26"/>
    <w:rsid w:val="00F24072"/>
    <w:rsid w:val="00F26432"/>
    <w:rsid w:val="00F26BFA"/>
    <w:rsid w:val="00F3197A"/>
    <w:rsid w:val="00F32139"/>
    <w:rsid w:val="00F33D56"/>
    <w:rsid w:val="00F34E08"/>
    <w:rsid w:val="00F41D91"/>
    <w:rsid w:val="00F41F52"/>
    <w:rsid w:val="00F42363"/>
    <w:rsid w:val="00F427C4"/>
    <w:rsid w:val="00F43D6C"/>
    <w:rsid w:val="00F46964"/>
    <w:rsid w:val="00F46F9A"/>
    <w:rsid w:val="00F470FD"/>
    <w:rsid w:val="00F50F30"/>
    <w:rsid w:val="00F5126A"/>
    <w:rsid w:val="00F5126E"/>
    <w:rsid w:val="00F516EF"/>
    <w:rsid w:val="00F51755"/>
    <w:rsid w:val="00F5580D"/>
    <w:rsid w:val="00F56EA1"/>
    <w:rsid w:val="00F606D5"/>
    <w:rsid w:val="00F611B3"/>
    <w:rsid w:val="00F6196E"/>
    <w:rsid w:val="00F624DD"/>
    <w:rsid w:val="00F629C0"/>
    <w:rsid w:val="00F63FC7"/>
    <w:rsid w:val="00F65E1F"/>
    <w:rsid w:val="00F65ED5"/>
    <w:rsid w:val="00F6608B"/>
    <w:rsid w:val="00F6636A"/>
    <w:rsid w:val="00F667C5"/>
    <w:rsid w:val="00F67E31"/>
    <w:rsid w:val="00F70EA2"/>
    <w:rsid w:val="00F718A8"/>
    <w:rsid w:val="00F72183"/>
    <w:rsid w:val="00F76D01"/>
    <w:rsid w:val="00F80B43"/>
    <w:rsid w:val="00F81C35"/>
    <w:rsid w:val="00F82981"/>
    <w:rsid w:val="00F8311F"/>
    <w:rsid w:val="00F83248"/>
    <w:rsid w:val="00F83376"/>
    <w:rsid w:val="00F853AE"/>
    <w:rsid w:val="00F87252"/>
    <w:rsid w:val="00F908D5"/>
    <w:rsid w:val="00F913B9"/>
    <w:rsid w:val="00F93C74"/>
    <w:rsid w:val="00F93DCC"/>
    <w:rsid w:val="00F9435D"/>
    <w:rsid w:val="00F966F9"/>
    <w:rsid w:val="00F96F61"/>
    <w:rsid w:val="00F97740"/>
    <w:rsid w:val="00FA0C8F"/>
    <w:rsid w:val="00FA0EBA"/>
    <w:rsid w:val="00FA2DEF"/>
    <w:rsid w:val="00FA2F7B"/>
    <w:rsid w:val="00FA3C97"/>
    <w:rsid w:val="00FA3D30"/>
    <w:rsid w:val="00FA4B49"/>
    <w:rsid w:val="00FA54F8"/>
    <w:rsid w:val="00FA78C8"/>
    <w:rsid w:val="00FA7A2F"/>
    <w:rsid w:val="00FB09FE"/>
    <w:rsid w:val="00FB0E80"/>
    <w:rsid w:val="00FB101D"/>
    <w:rsid w:val="00FB1725"/>
    <w:rsid w:val="00FB2493"/>
    <w:rsid w:val="00FB42B7"/>
    <w:rsid w:val="00FB4484"/>
    <w:rsid w:val="00FB593A"/>
    <w:rsid w:val="00FB6410"/>
    <w:rsid w:val="00FB6E82"/>
    <w:rsid w:val="00FB792E"/>
    <w:rsid w:val="00FB7A8D"/>
    <w:rsid w:val="00FB7CF0"/>
    <w:rsid w:val="00FC0042"/>
    <w:rsid w:val="00FC0A57"/>
    <w:rsid w:val="00FC1E67"/>
    <w:rsid w:val="00FC2A13"/>
    <w:rsid w:val="00FC4284"/>
    <w:rsid w:val="00FC4576"/>
    <w:rsid w:val="00FC5229"/>
    <w:rsid w:val="00FC5FF5"/>
    <w:rsid w:val="00FC6285"/>
    <w:rsid w:val="00FC718E"/>
    <w:rsid w:val="00FC78FB"/>
    <w:rsid w:val="00FC7DBC"/>
    <w:rsid w:val="00FD076A"/>
    <w:rsid w:val="00FD08DE"/>
    <w:rsid w:val="00FD0AA0"/>
    <w:rsid w:val="00FD1D5A"/>
    <w:rsid w:val="00FD5059"/>
    <w:rsid w:val="00FD554D"/>
    <w:rsid w:val="00FD5BCC"/>
    <w:rsid w:val="00FD6C38"/>
    <w:rsid w:val="00FD7375"/>
    <w:rsid w:val="00FD7B23"/>
    <w:rsid w:val="00FE2A48"/>
    <w:rsid w:val="00FE4FDC"/>
    <w:rsid w:val="00FE5D0A"/>
    <w:rsid w:val="00FE6469"/>
    <w:rsid w:val="00FE7560"/>
    <w:rsid w:val="00FF05D0"/>
    <w:rsid w:val="00FF06CE"/>
    <w:rsid w:val="00FF0FF7"/>
    <w:rsid w:val="00FF1022"/>
    <w:rsid w:val="00FF10A2"/>
    <w:rsid w:val="00FF1438"/>
    <w:rsid w:val="00FF3A38"/>
    <w:rsid w:val="00FF3C25"/>
    <w:rsid w:val="00FF3CD8"/>
    <w:rsid w:val="00FF4129"/>
    <w:rsid w:val="00FF437A"/>
    <w:rsid w:val="00FF44F7"/>
    <w:rsid w:val="00FF4C90"/>
    <w:rsid w:val="00FF523D"/>
    <w:rsid w:val="00FF5806"/>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C90"/>
    <w:rPr>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character" w:styleId="LineNumber">
    <w:name w:val="line number"/>
    <w:basedOn w:val="DefaultParagraphFont"/>
    <w:rsid w:val="004766C9"/>
  </w:style>
  <w:style w:type="character" w:styleId="CommentReference">
    <w:name w:val="annotation reference"/>
    <w:basedOn w:val="DefaultParagraphFont"/>
    <w:rsid w:val="0046111A"/>
    <w:rPr>
      <w:sz w:val="16"/>
      <w:szCs w:val="16"/>
    </w:rPr>
  </w:style>
  <w:style w:type="paragraph" w:styleId="CommentText">
    <w:name w:val="annotation text"/>
    <w:basedOn w:val="Normal"/>
    <w:link w:val="CommentTextChar"/>
    <w:rsid w:val="0046111A"/>
    <w:rPr>
      <w:sz w:val="20"/>
    </w:rPr>
  </w:style>
  <w:style w:type="character" w:customStyle="1" w:styleId="CommentTextChar">
    <w:name w:val="Comment Text Char"/>
    <w:basedOn w:val="DefaultParagraphFont"/>
    <w:link w:val="CommentText"/>
    <w:rsid w:val="0046111A"/>
    <w:rPr>
      <w:color w:val="008080"/>
      <w:sz w:val="20"/>
    </w:rPr>
  </w:style>
  <w:style w:type="paragraph" w:styleId="CommentSubject">
    <w:name w:val="annotation subject"/>
    <w:basedOn w:val="CommentText"/>
    <w:next w:val="CommentText"/>
    <w:link w:val="CommentSubjectChar"/>
    <w:rsid w:val="0046111A"/>
    <w:rPr>
      <w:b/>
      <w:bCs/>
    </w:rPr>
  </w:style>
  <w:style w:type="character" w:customStyle="1" w:styleId="CommentSubjectChar">
    <w:name w:val="Comment Subject Char"/>
    <w:basedOn w:val="CommentTextChar"/>
    <w:link w:val="CommentSubject"/>
    <w:rsid w:val="0046111A"/>
    <w:rPr>
      <w:b/>
      <w:bCs/>
    </w:rPr>
  </w:style>
  <w:style w:type="character" w:styleId="Hyperlink">
    <w:name w:val="Hyperlink"/>
    <w:basedOn w:val="DefaultParagraphFont"/>
    <w:rsid w:val="00750E3A"/>
    <w:rPr>
      <w:color w:val="0000FF" w:themeColor="hyperlink"/>
      <w:u w:val="single"/>
    </w:rPr>
  </w:style>
  <w:style w:type="character" w:styleId="FollowedHyperlink">
    <w:name w:val="FollowedHyperlink"/>
    <w:basedOn w:val="DefaultParagraphFont"/>
    <w:rsid w:val="00750E3A"/>
    <w:rPr>
      <w:color w:val="800080" w:themeColor="followedHyperlink"/>
      <w:u w:val="single"/>
    </w:rPr>
  </w:style>
  <w:style w:type="paragraph" w:customStyle="1" w:styleId="Default">
    <w:name w:val="Default"/>
    <w:rsid w:val="00C4227E"/>
    <w:pPr>
      <w:autoSpaceDE w:val="0"/>
      <w:autoSpaceDN w:val="0"/>
      <w:adjustRightInd w:val="0"/>
    </w:pPr>
    <w:rPr>
      <w:rFonts w:ascii="Times New Roman" w:hAnsi="Times New Roman"/>
      <w:color w:val="000000"/>
      <w:szCs w:val="24"/>
    </w:rPr>
  </w:style>
  <w:style w:type="paragraph" w:styleId="BodyText2">
    <w:name w:val="Body Text 2"/>
    <w:basedOn w:val="Normal"/>
    <w:link w:val="BodyText2Char"/>
    <w:rsid w:val="00FD6C38"/>
    <w:pPr>
      <w:spacing w:after="120" w:line="480" w:lineRule="auto"/>
    </w:pPr>
  </w:style>
  <w:style w:type="character" w:customStyle="1" w:styleId="BodyText2Char">
    <w:name w:val="Body Text 2 Char"/>
    <w:basedOn w:val="DefaultParagraphFont"/>
    <w:link w:val="BodyText2"/>
    <w:rsid w:val="00FD6C38"/>
    <w:rPr>
      <w:color w:val="008080"/>
    </w:rPr>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66877821">
      <w:bodyDiv w:val="1"/>
      <w:marLeft w:val="0"/>
      <w:marRight w:val="0"/>
      <w:marTop w:val="0"/>
      <w:marBottom w:val="0"/>
      <w:divBdr>
        <w:top w:val="none" w:sz="0" w:space="0" w:color="auto"/>
        <w:left w:val="none" w:sz="0" w:space="0" w:color="auto"/>
        <w:bottom w:val="none" w:sz="0" w:space="0" w:color="auto"/>
        <w:right w:val="none" w:sz="0" w:space="0" w:color="auto"/>
      </w:divBdr>
      <w:divsChild>
        <w:div w:id="421874026">
          <w:marLeft w:val="0"/>
          <w:marRight w:val="0"/>
          <w:marTop w:val="0"/>
          <w:marBottom w:val="0"/>
          <w:divBdr>
            <w:top w:val="none" w:sz="0" w:space="0" w:color="auto"/>
            <w:left w:val="none" w:sz="0" w:space="0" w:color="auto"/>
            <w:bottom w:val="none" w:sz="0" w:space="0" w:color="auto"/>
            <w:right w:val="none" w:sz="0" w:space="0" w:color="auto"/>
          </w:divBdr>
          <w:divsChild>
            <w:div w:id="720595736">
              <w:marLeft w:val="0"/>
              <w:marRight w:val="0"/>
              <w:marTop w:val="0"/>
              <w:marBottom w:val="0"/>
              <w:divBdr>
                <w:top w:val="single" w:sz="2" w:space="0" w:color="CCCCCC"/>
                <w:left w:val="single" w:sz="4" w:space="7" w:color="CCCCCC"/>
                <w:bottom w:val="single" w:sz="4" w:space="0" w:color="CCCCCC"/>
                <w:right w:val="single" w:sz="4" w:space="7" w:color="CCCCCC"/>
              </w:divBdr>
              <w:divsChild>
                <w:div w:id="1852604229">
                  <w:marLeft w:val="0"/>
                  <w:marRight w:val="0"/>
                  <w:marTop w:val="0"/>
                  <w:marBottom w:val="0"/>
                  <w:divBdr>
                    <w:top w:val="none" w:sz="0" w:space="0" w:color="auto"/>
                    <w:left w:val="none" w:sz="0" w:space="0" w:color="auto"/>
                    <w:bottom w:val="none" w:sz="0" w:space="0" w:color="auto"/>
                    <w:right w:val="single" w:sz="4" w:space="0" w:color="CCCCCC"/>
                  </w:divBdr>
                  <w:divsChild>
                    <w:div w:id="1359817087">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sChild>
        </w:div>
      </w:divsChild>
    </w:div>
    <w:div w:id="127627782">
      <w:bodyDiv w:val="1"/>
      <w:marLeft w:val="0"/>
      <w:marRight w:val="0"/>
      <w:marTop w:val="0"/>
      <w:marBottom w:val="0"/>
      <w:divBdr>
        <w:top w:val="none" w:sz="0" w:space="0" w:color="auto"/>
        <w:left w:val="none" w:sz="0" w:space="0" w:color="auto"/>
        <w:bottom w:val="none" w:sz="0" w:space="0" w:color="auto"/>
        <w:right w:val="none" w:sz="0" w:space="0" w:color="auto"/>
      </w:divBdr>
    </w:div>
    <w:div w:id="185489995">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592055981">
      <w:bodyDiv w:val="1"/>
      <w:marLeft w:val="0"/>
      <w:marRight w:val="0"/>
      <w:marTop w:val="0"/>
      <w:marBottom w:val="0"/>
      <w:divBdr>
        <w:top w:val="none" w:sz="0" w:space="0" w:color="auto"/>
        <w:left w:val="none" w:sz="0" w:space="0" w:color="auto"/>
        <w:bottom w:val="none" w:sz="0" w:space="0" w:color="auto"/>
        <w:right w:val="none" w:sz="0" w:space="0" w:color="auto"/>
      </w:divBdr>
      <w:divsChild>
        <w:div w:id="1250234356">
          <w:marLeft w:val="0"/>
          <w:marRight w:val="0"/>
          <w:marTop w:val="0"/>
          <w:marBottom w:val="0"/>
          <w:divBdr>
            <w:top w:val="none" w:sz="0" w:space="0" w:color="auto"/>
            <w:left w:val="none" w:sz="0" w:space="0" w:color="auto"/>
            <w:bottom w:val="none" w:sz="0" w:space="0" w:color="auto"/>
            <w:right w:val="none" w:sz="0" w:space="0" w:color="auto"/>
          </w:divBdr>
          <w:divsChild>
            <w:div w:id="1452090592">
              <w:marLeft w:val="0"/>
              <w:marRight w:val="0"/>
              <w:marTop w:val="0"/>
              <w:marBottom w:val="0"/>
              <w:divBdr>
                <w:top w:val="single" w:sz="2" w:space="0" w:color="CCCCCC"/>
                <w:left w:val="single" w:sz="4" w:space="7" w:color="CCCCCC"/>
                <w:bottom w:val="single" w:sz="4" w:space="0" w:color="CCCCCC"/>
                <w:right w:val="single" w:sz="4" w:space="7" w:color="CCCCCC"/>
              </w:divBdr>
              <w:divsChild>
                <w:div w:id="1268585098">
                  <w:marLeft w:val="0"/>
                  <w:marRight w:val="0"/>
                  <w:marTop w:val="0"/>
                  <w:marBottom w:val="0"/>
                  <w:divBdr>
                    <w:top w:val="none" w:sz="0" w:space="0" w:color="auto"/>
                    <w:left w:val="none" w:sz="0" w:space="0" w:color="auto"/>
                    <w:bottom w:val="none" w:sz="0" w:space="0" w:color="auto"/>
                    <w:right w:val="single" w:sz="4" w:space="0" w:color="CCCCCC"/>
                  </w:divBdr>
                  <w:divsChild>
                    <w:div w:id="1187255589">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sChild>
        </w:div>
      </w:divsChild>
    </w:div>
    <w:div w:id="888033592">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040016148">
      <w:bodyDiv w:val="1"/>
      <w:marLeft w:val="0"/>
      <w:marRight w:val="0"/>
      <w:marTop w:val="0"/>
      <w:marBottom w:val="0"/>
      <w:divBdr>
        <w:top w:val="none" w:sz="0" w:space="0" w:color="auto"/>
        <w:left w:val="none" w:sz="0" w:space="0" w:color="auto"/>
        <w:bottom w:val="none" w:sz="0" w:space="0" w:color="auto"/>
        <w:right w:val="none" w:sz="0" w:space="0" w:color="auto"/>
      </w:divBdr>
    </w:div>
    <w:div w:id="1083331340">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19820232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39180129">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68031727">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578244801">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 w:id="20746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4BF7-0328-46E5-813A-84A9D33A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21696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GREGORY.JOHNSON1</cp:lastModifiedBy>
  <cp:revision>2</cp:revision>
  <cp:lastPrinted>2011-04-08T11:41:00Z</cp:lastPrinted>
  <dcterms:created xsi:type="dcterms:W3CDTF">2012-05-10T15:21:00Z</dcterms:created>
  <dcterms:modified xsi:type="dcterms:W3CDTF">2012-05-10T15:21:00Z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