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5C" w:rsidRPr="00396779" w:rsidRDefault="00BD675C" w:rsidP="00BD675C">
      <w:pPr>
        <w:tabs>
          <w:tab w:val="left" w:pos="288"/>
          <w:tab w:val="left" w:pos="4752"/>
        </w:tabs>
        <w:spacing w:line="240" w:lineRule="exact"/>
        <w:jc w:val="center"/>
      </w:pPr>
      <w:r w:rsidRPr="00396779">
        <w:t>RECORD OF PROCEEDINGS</w:t>
      </w:r>
    </w:p>
    <w:p w:rsidR="00BD675C" w:rsidRPr="00396779" w:rsidRDefault="00BD675C" w:rsidP="00BD675C">
      <w:pPr>
        <w:tabs>
          <w:tab w:val="left" w:pos="288"/>
          <w:tab w:val="left" w:pos="4752"/>
        </w:tabs>
        <w:spacing w:line="240" w:lineRule="exact"/>
        <w:jc w:val="center"/>
      </w:pPr>
      <w:r w:rsidRPr="00396779">
        <w:t>PHYSICAL DISABILITY BOARD OF REVIEW</w:t>
      </w:r>
    </w:p>
    <w:p w:rsidR="00BD675C" w:rsidRPr="00396779" w:rsidRDefault="00BD675C" w:rsidP="00BD675C">
      <w:pPr>
        <w:tabs>
          <w:tab w:val="left" w:pos="288"/>
          <w:tab w:val="left" w:pos="4752"/>
        </w:tabs>
        <w:spacing w:line="240" w:lineRule="exact"/>
        <w:jc w:val="both"/>
        <w:rPr>
          <w:caps/>
        </w:rPr>
      </w:pPr>
    </w:p>
    <w:p w:rsidR="00BD675C" w:rsidRPr="001E669C" w:rsidRDefault="00BD675C" w:rsidP="00BD675C">
      <w:pPr>
        <w:tabs>
          <w:tab w:val="left" w:pos="288"/>
          <w:tab w:val="left" w:pos="5760"/>
          <w:tab w:val="left" w:pos="9270"/>
        </w:tabs>
        <w:spacing w:line="240" w:lineRule="exact"/>
        <w:jc w:val="both"/>
        <w:rPr>
          <w:caps/>
        </w:rPr>
      </w:pPr>
      <w:r w:rsidRPr="001E669C">
        <w:rPr>
          <w:caps/>
        </w:rPr>
        <w:t xml:space="preserve">NAME:  </w:t>
      </w:r>
      <w:r>
        <w:t>XXXXXXXXXX</w:t>
      </w:r>
      <w:r>
        <w:rPr>
          <w:caps/>
        </w:rPr>
        <w:tab/>
        <w:t xml:space="preserve">       </w:t>
      </w:r>
      <w:r w:rsidRPr="001E669C">
        <w:rPr>
          <w:caps/>
        </w:rPr>
        <w:t xml:space="preserve">BRANCH OF SERVICE: </w:t>
      </w:r>
      <w:r>
        <w:rPr>
          <w:caps/>
        </w:rPr>
        <w:t xml:space="preserve"> Army</w:t>
      </w:r>
    </w:p>
    <w:p w:rsidR="00BD675C" w:rsidRPr="001E669C" w:rsidRDefault="00BD675C" w:rsidP="00BD675C">
      <w:pPr>
        <w:tabs>
          <w:tab w:val="left" w:pos="288"/>
          <w:tab w:val="left" w:pos="5760"/>
          <w:tab w:val="left" w:pos="9270"/>
        </w:tabs>
        <w:spacing w:line="240" w:lineRule="exact"/>
        <w:jc w:val="both"/>
        <w:rPr>
          <w:caps/>
        </w:rPr>
      </w:pPr>
      <w:r w:rsidRPr="001E669C">
        <w:rPr>
          <w:caps/>
        </w:rPr>
        <w:t>CASE NUMBER:  PD</w:t>
      </w:r>
      <w:r>
        <w:rPr>
          <w:caps/>
        </w:rPr>
        <w:t>1100082</w:t>
      </w:r>
      <w:r>
        <w:tab/>
        <w:t xml:space="preserve">       </w:t>
      </w:r>
      <w:r w:rsidRPr="001E669C">
        <w:t>SEPARATION DATE:  200</w:t>
      </w:r>
      <w:r>
        <w:t>60407</w:t>
      </w:r>
    </w:p>
    <w:p w:rsidR="00BD675C" w:rsidRPr="00CA7DB2" w:rsidRDefault="00BD675C" w:rsidP="00BD675C">
      <w:pPr>
        <w:tabs>
          <w:tab w:val="left" w:pos="288"/>
          <w:tab w:val="left" w:pos="5040"/>
        </w:tabs>
        <w:spacing w:line="240" w:lineRule="exact"/>
        <w:jc w:val="both"/>
        <w:rPr>
          <w:caps/>
        </w:rPr>
      </w:pPr>
      <w:r w:rsidRPr="001E669C">
        <w:rPr>
          <w:caps/>
        </w:rPr>
        <w:t>BOARD DATE:  2011</w:t>
      </w:r>
      <w:r>
        <w:rPr>
          <w:caps/>
        </w:rPr>
        <w:t>1209</w:t>
      </w:r>
    </w:p>
    <w:p w:rsidR="00BD675C" w:rsidRPr="001E669C" w:rsidRDefault="00BD675C" w:rsidP="00BD675C">
      <w:pPr>
        <w:pBdr>
          <w:bottom w:val="single" w:sz="12" w:space="1" w:color="auto"/>
        </w:pBdr>
        <w:tabs>
          <w:tab w:val="left" w:pos="288"/>
          <w:tab w:val="left" w:pos="4752"/>
        </w:tabs>
        <w:spacing w:line="240" w:lineRule="exact"/>
        <w:jc w:val="both"/>
        <w:rPr>
          <w:u w:val="single"/>
        </w:rPr>
      </w:pPr>
    </w:p>
    <w:p w:rsidR="00BD675C" w:rsidRDefault="00BD675C" w:rsidP="00BD675C">
      <w:pPr>
        <w:tabs>
          <w:tab w:val="left" w:pos="288"/>
          <w:tab w:val="left" w:pos="4752"/>
        </w:tabs>
        <w:spacing w:line="240" w:lineRule="exact"/>
        <w:rPr>
          <w:rFonts w:ascii="Calibri" w:hAnsi="Calibri"/>
          <w:szCs w:val="24"/>
        </w:rPr>
      </w:pPr>
    </w:p>
    <w:p w:rsidR="00BD675C" w:rsidRPr="00AB2E29" w:rsidRDefault="00BD675C" w:rsidP="00BD675C">
      <w:pPr>
        <w:tabs>
          <w:tab w:val="left" w:pos="288"/>
          <w:tab w:val="left" w:pos="4752"/>
        </w:tabs>
        <w:spacing w:line="240" w:lineRule="exact"/>
        <w:jc w:val="both"/>
        <w:rPr>
          <w:szCs w:val="24"/>
        </w:rPr>
      </w:pPr>
      <w:r w:rsidRPr="006609AD">
        <w:rPr>
          <w:u w:val="single"/>
        </w:rPr>
        <w:t>SUMMARY</w:t>
      </w:r>
      <w:r w:rsidRPr="00396779">
        <w:rPr>
          <w:u w:val="single"/>
        </w:rPr>
        <w:t xml:space="preserve"> OF CASE</w:t>
      </w:r>
      <w:r w:rsidRPr="00396779">
        <w:t>:</w:t>
      </w:r>
      <w:r>
        <w:t xml:space="preserve"> </w:t>
      </w:r>
      <w:r w:rsidRPr="00396779">
        <w:t xml:space="preserve"> </w:t>
      </w:r>
      <w:r w:rsidRPr="00EC337D">
        <w:t xml:space="preserve">Data </w:t>
      </w:r>
      <w:r w:rsidRPr="003C5DFA">
        <w:t xml:space="preserve">extracted from the available evidence of record reflects that this covered individual (CI) </w:t>
      </w:r>
      <w:r w:rsidRPr="003C5DFA">
        <w:rPr>
          <w:szCs w:val="24"/>
        </w:rPr>
        <w:t xml:space="preserve">was a National Guard member, SPC/E-4 (21B, Combat Engineer), medically separated for </w:t>
      </w:r>
      <w:r>
        <w:rPr>
          <w:szCs w:val="24"/>
        </w:rPr>
        <w:t>a lumbar spine condition</w:t>
      </w:r>
      <w:r w:rsidRPr="003C5DFA">
        <w:rPr>
          <w:szCs w:val="24"/>
        </w:rPr>
        <w:t xml:space="preserve">.  In 2004 the CI </w:t>
      </w:r>
      <w:r>
        <w:rPr>
          <w:szCs w:val="24"/>
        </w:rPr>
        <w:t>experienced an abrupt onset of back pain related to duties during training</w:t>
      </w:r>
      <w:r w:rsidRPr="003C5DFA">
        <w:rPr>
          <w:szCs w:val="24"/>
        </w:rPr>
        <w:t xml:space="preserve">. </w:t>
      </w:r>
      <w:r>
        <w:rPr>
          <w:szCs w:val="24"/>
        </w:rPr>
        <w:t>Clinical evaluation revealed multi-level disk and degenerative disease, and i</w:t>
      </w:r>
      <w:r w:rsidRPr="003C5DFA">
        <w:rPr>
          <w:szCs w:val="24"/>
        </w:rPr>
        <w:t xml:space="preserve">n 2005 he underwent </w:t>
      </w:r>
      <w:r>
        <w:rPr>
          <w:szCs w:val="24"/>
        </w:rPr>
        <w:t>surgical intervention</w:t>
      </w:r>
      <w:r w:rsidRPr="003C5DFA">
        <w:rPr>
          <w:szCs w:val="24"/>
        </w:rPr>
        <w:t xml:space="preserve"> </w:t>
      </w:r>
      <w:r>
        <w:rPr>
          <w:szCs w:val="24"/>
        </w:rPr>
        <w:t>(</w:t>
      </w:r>
      <w:r w:rsidRPr="003C5DFA">
        <w:rPr>
          <w:szCs w:val="24"/>
        </w:rPr>
        <w:t>L4-S1 posterior decompression and fusion</w:t>
      </w:r>
      <w:r>
        <w:rPr>
          <w:szCs w:val="24"/>
        </w:rPr>
        <w:t>)</w:t>
      </w:r>
      <w:r w:rsidRPr="003C5DFA">
        <w:rPr>
          <w:szCs w:val="24"/>
        </w:rPr>
        <w:t xml:space="preserve">.  </w:t>
      </w:r>
      <w:r>
        <w:rPr>
          <w:szCs w:val="24"/>
        </w:rPr>
        <w:t>He</w:t>
      </w:r>
      <w:r w:rsidRPr="003C5DFA">
        <w:rPr>
          <w:szCs w:val="24"/>
        </w:rPr>
        <w:t xml:space="preserve"> did not </w:t>
      </w:r>
      <w:r>
        <w:rPr>
          <w:szCs w:val="24"/>
        </w:rPr>
        <w:t>improve</w:t>
      </w:r>
      <w:r w:rsidRPr="003C5DFA">
        <w:rPr>
          <w:szCs w:val="24"/>
        </w:rPr>
        <w:t xml:space="preserve"> adequately </w:t>
      </w:r>
      <w:r>
        <w:rPr>
          <w:szCs w:val="24"/>
        </w:rPr>
        <w:t>with post-operative</w:t>
      </w:r>
      <w:r w:rsidRPr="003C5DFA">
        <w:rPr>
          <w:szCs w:val="24"/>
        </w:rPr>
        <w:t xml:space="preserve"> treatment </w:t>
      </w:r>
      <w:r>
        <w:rPr>
          <w:szCs w:val="24"/>
        </w:rPr>
        <w:t>to fulfill the physical demands of his military occupational s</w:t>
      </w:r>
      <w:r w:rsidRPr="003C5DFA">
        <w:rPr>
          <w:szCs w:val="24"/>
        </w:rPr>
        <w:t xml:space="preserve">pecialty (MOS) or meet physical fitness standards.  He was issued a permanent L3 profile and referred for a Medical Evaluation Board (MEB).  </w:t>
      </w:r>
      <w:r>
        <w:rPr>
          <w:szCs w:val="24"/>
        </w:rPr>
        <w:t xml:space="preserve">The CI was also evaluated by the MEB for a right knee condition, resulting from an injury during deployment to Iraq in 2004.  </w:t>
      </w:r>
      <w:r w:rsidRPr="003C5DFA">
        <w:rPr>
          <w:szCs w:val="24"/>
        </w:rPr>
        <w:t xml:space="preserve">The MEB forwarded </w:t>
      </w:r>
      <w:r>
        <w:rPr>
          <w:szCs w:val="24"/>
        </w:rPr>
        <w:t xml:space="preserve">the lumbar spine condition </w:t>
      </w:r>
      <w:r w:rsidRPr="003C5DFA">
        <w:rPr>
          <w:szCs w:val="24"/>
        </w:rPr>
        <w:t>to the Physical Examination Board (PEB) as medically unacceptable</w:t>
      </w:r>
      <w:r>
        <w:rPr>
          <w:szCs w:val="24"/>
        </w:rPr>
        <w:t xml:space="preserve"> </w:t>
      </w:r>
      <w:r w:rsidRPr="00C472C7">
        <w:rPr>
          <w:szCs w:val="24"/>
        </w:rPr>
        <w:t xml:space="preserve">IAW </w:t>
      </w:r>
      <w:r w:rsidRPr="00C877F8">
        <w:rPr>
          <w:szCs w:val="24"/>
        </w:rPr>
        <w:t>AR 40-501</w:t>
      </w:r>
      <w:r>
        <w:rPr>
          <w:szCs w:val="24"/>
        </w:rPr>
        <w:t xml:space="preserve">; and, the right knee condition was forwarded as medically </w:t>
      </w:r>
      <w:r w:rsidRPr="003C5DFA">
        <w:rPr>
          <w:szCs w:val="24"/>
        </w:rPr>
        <w:t xml:space="preserve">acceptable.  </w:t>
      </w:r>
      <w:r>
        <w:rPr>
          <w:szCs w:val="24"/>
        </w:rPr>
        <w:t>An I</w:t>
      </w:r>
      <w:r w:rsidRPr="003C5DFA">
        <w:rPr>
          <w:szCs w:val="24"/>
        </w:rPr>
        <w:t>nformal PEB</w:t>
      </w:r>
      <w:r>
        <w:rPr>
          <w:szCs w:val="24"/>
        </w:rPr>
        <w:t xml:space="preserve"> (IPEB) </w:t>
      </w:r>
      <w:r w:rsidRPr="003C5DFA">
        <w:rPr>
          <w:szCs w:val="24"/>
        </w:rPr>
        <w:t xml:space="preserve">adjudicated the </w:t>
      </w:r>
      <w:r>
        <w:rPr>
          <w:szCs w:val="24"/>
        </w:rPr>
        <w:t>lumbar spine condition as unfitting,</w:t>
      </w:r>
      <w:r w:rsidRPr="003C5DFA">
        <w:rPr>
          <w:szCs w:val="24"/>
        </w:rPr>
        <w:t xml:space="preserve"> rated 10% with application of the US Army Physical Disability Agency (USAPDA) pain policy</w:t>
      </w:r>
      <w:r>
        <w:rPr>
          <w:szCs w:val="24"/>
        </w:rPr>
        <w:t>; and, the right knee condition as not unfitting</w:t>
      </w:r>
      <w:r w:rsidRPr="003C5DFA">
        <w:rPr>
          <w:szCs w:val="24"/>
        </w:rPr>
        <w:t xml:space="preserve">.  </w:t>
      </w:r>
      <w:r>
        <w:rPr>
          <w:szCs w:val="24"/>
        </w:rPr>
        <w:t xml:space="preserve">Although the IPEB recommended </w:t>
      </w:r>
      <w:r w:rsidRPr="003C5DFA">
        <w:rPr>
          <w:szCs w:val="24"/>
        </w:rPr>
        <w:t>placement on the Temporary Disability Retired List (TDRL)</w:t>
      </w:r>
      <w:r>
        <w:rPr>
          <w:szCs w:val="24"/>
        </w:rPr>
        <w:t xml:space="preserve">, a reconsideration decision by the </w:t>
      </w:r>
      <w:r w:rsidRPr="003C5DFA">
        <w:rPr>
          <w:szCs w:val="24"/>
        </w:rPr>
        <w:t xml:space="preserve">USAPDA </w:t>
      </w:r>
      <w:r>
        <w:rPr>
          <w:szCs w:val="24"/>
        </w:rPr>
        <w:t xml:space="preserve">dropped the TDRL stipulation.  IPEB ratings and fitness determinations were affirmed.  </w:t>
      </w:r>
      <w:r w:rsidRPr="003C5DFA">
        <w:t>The CI made no appeals, and was medically separated with a 10% disability rating.</w:t>
      </w:r>
    </w:p>
    <w:p w:rsidR="00BD675C" w:rsidRPr="006609AD" w:rsidRDefault="00BD675C" w:rsidP="00BD675C">
      <w:pPr>
        <w:pBdr>
          <w:bottom w:val="single" w:sz="12" w:space="1" w:color="auto"/>
        </w:pBdr>
        <w:tabs>
          <w:tab w:val="left" w:pos="288"/>
          <w:tab w:val="left" w:pos="4752"/>
        </w:tabs>
        <w:spacing w:line="240" w:lineRule="exact"/>
        <w:jc w:val="both"/>
        <w:rPr>
          <w:rFonts w:ascii="Calibri" w:hAnsi="Calibri"/>
          <w:szCs w:val="24"/>
        </w:rPr>
      </w:pPr>
    </w:p>
    <w:p w:rsidR="00BD675C" w:rsidRPr="006609AD" w:rsidRDefault="00BD675C" w:rsidP="00BD675C">
      <w:pPr>
        <w:tabs>
          <w:tab w:val="left" w:pos="288"/>
          <w:tab w:val="left" w:pos="4752"/>
        </w:tabs>
        <w:spacing w:line="240" w:lineRule="exact"/>
        <w:rPr>
          <w:rFonts w:ascii="Calibri" w:hAnsi="Calibri"/>
          <w:szCs w:val="24"/>
        </w:rPr>
      </w:pPr>
    </w:p>
    <w:p w:rsidR="00BD675C" w:rsidRPr="000C44B7" w:rsidRDefault="00BD675C" w:rsidP="00BD675C">
      <w:pPr>
        <w:tabs>
          <w:tab w:val="left" w:pos="288"/>
          <w:tab w:val="left" w:pos="4752"/>
        </w:tabs>
        <w:spacing w:line="240" w:lineRule="exact"/>
        <w:jc w:val="both"/>
        <w:rPr>
          <w:rFonts w:ascii="Calibri" w:eastAsiaTheme="minorHAnsi" w:hAnsi="Calibri"/>
          <w:szCs w:val="24"/>
        </w:rPr>
      </w:pPr>
      <w:r w:rsidRPr="006609AD">
        <w:rPr>
          <w:u w:val="single"/>
        </w:rPr>
        <w:t>CI</w:t>
      </w:r>
      <w:r w:rsidRPr="00326C08">
        <w:rPr>
          <w:u w:val="single"/>
        </w:rPr>
        <w:t xml:space="preserve"> CONTENTION</w:t>
      </w:r>
      <w:r w:rsidRPr="00326C08">
        <w:t xml:space="preserve">:  </w:t>
      </w:r>
      <w:r>
        <w:t xml:space="preserve">“I believe that </w:t>
      </w:r>
      <w:r w:rsidRPr="006929E8">
        <w:t xml:space="preserve">the rendered disability rating on 20060225 (encl 1) failed to properly document my PTSD and knee </w:t>
      </w:r>
      <w:proofErr w:type="spellStart"/>
      <w:r w:rsidRPr="006929E8">
        <w:t>meniscal</w:t>
      </w:r>
      <w:proofErr w:type="spellEnd"/>
      <w:r w:rsidRPr="006929E8">
        <w:t xml:space="preserve"> injury incurred and aggravated by my combat service in Operation Iraqi Freedom from 20040229 to 20040617</w:t>
      </w:r>
      <w:r>
        <w:t xml:space="preserve"> (encl 2).  On 20040513 as indicated at encl 3</w:t>
      </w:r>
      <w:r w:rsidRPr="00972F5D">
        <w:t>, I injured my knee</w:t>
      </w:r>
      <w:r>
        <w:t xml:space="preserve"> in the LOD while in a combat environment, and during the period of Nov 2005 through 31 Mar 06 I provide documentary </w:t>
      </w:r>
      <w:r w:rsidRPr="00CE0FD2">
        <w:rPr>
          <w:rFonts w:cstheme="minorHAnsi"/>
          <w:szCs w:val="24"/>
        </w:rPr>
        <w:t>evidence (encl</w:t>
      </w:r>
      <w:r>
        <w:rPr>
          <w:rFonts w:cstheme="minorHAnsi"/>
          <w:szCs w:val="24"/>
        </w:rPr>
        <w:t xml:space="preserve"> </w:t>
      </w:r>
      <w:r w:rsidRPr="00CE0FD2">
        <w:rPr>
          <w:rFonts w:cstheme="minorHAnsi"/>
          <w:szCs w:val="24"/>
        </w:rPr>
        <w:t>4) that I was suf</w:t>
      </w:r>
      <w:r>
        <w:rPr>
          <w:rFonts w:cstheme="minorHAnsi"/>
          <w:szCs w:val="24"/>
        </w:rPr>
        <w:t>f</w:t>
      </w:r>
      <w:r w:rsidRPr="00CE0FD2">
        <w:rPr>
          <w:rFonts w:cstheme="minorHAnsi"/>
          <w:szCs w:val="24"/>
        </w:rPr>
        <w:t>ering sympto</w:t>
      </w:r>
      <w:r>
        <w:rPr>
          <w:rFonts w:cstheme="minorHAnsi"/>
          <w:szCs w:val="24"/>
        </w:rPr>
        <w:t>m</w:t>
      </w:r>
      <w:r w:rsidRPr="00CE0FD2">
        <w:rPr>
          <w:rFonts w:cstheme="minorHAnsi"/>
          <w:szCs w:val="24"/>
        </w:rPr>
        <w:t xml:space="preserve">s which were subsequently diagnosed by the </w:t>
      </w:r>
      <w:r>
        <w:rPr>
          <w:rFonts w:cstheme="minorHAnsi"/>
          <w:szCs w:val="24"/>
        </w:rPr>
        <w:t>Department of Veterans’ Affairs (</w:t>
      </w:r>
      <w:r w:rsidRPr="00CE0FD2">
        <w:rPr>
          <w:rFonts w:cstheme="minorHAnsi"/>
          <w:szCs w:val="24"/>
        </w:rPr>
        <w:t>VA</w:t>
      </w:r>
      <w:r>
        <w:rPr>
          <w:rFonts w:cstheme="minorHAnsi"/>
          <w:szCs w:val="24"/>
        </w:rPr>
        <w:t>)</w:t>
      </w:r>
      <w:r w:rsidRPr="00CE0FD2">
        <w:rPr>
          <w:rFonts w:cstheme="minorHAnsi"/>
          <w:szCs w:val="24"/>
        </w:rPr>
        <w:t xml:space="preserve"> as </w:t>
      </w:r>
      <w:r>
        <w:rPr>
          <w:rFonts w:cstheme="minorHAnsi"/>
          <w:szCs w:val="24"/>
        </w:rPr>
        <w:t>posttraumatic stress disorder (</w:t>
      </w:r>
      <w:r w:rsidRPr="00CE0FD2">
        <w:rPr>
          <w:rFonts w:cstheme="minorHAnsi"/>
          <w:szCs w:val="24"/>
        </w:rPr>
        <w:t>PTSD</w:t>
      </w:r>
      <w:r>
        <w:rPr>
          <w:rFonts w:cstheme="minorHAnsi"/>
          <w:szCs w:val="24"/>
        </w:rPr>
        <w:t>)</w:t>
      </w:r>
      <w:r w:rsidRPr="00CE0FD2">
        <w:rPr>
          <w:rFonts w:cstheme="minorHAnsi"/>
          <w:szCs w:val="24"/>
        </w:rPr>
        <w:t xml:space="preserve">. </w:t>
      </w:r>
      <w:r>
        <w:rPr>
          <w:rFonts w:cstheme="minorHAnsi"/>
          <w:szCs w:val="24"/>
        </w:rPr>
        <w:t xml:space="preserve"> </w:t>
      </w:r>
      <w:r w:rsidRPr="00CE0FD2">
        <w:rPr>
          <w:rFonts w:cstheme="minorHAnsi"/>
          <w:szCs w:val="24"/>
        </w:rPr>
        <w:t xml:space="preserve">These very symptoms were </w:t>
      </w:r>
      <w:r>
        <w:rPr>
          <w:rFonts w:cstheme="minorHAnsi"/>
          <w:szCs w:val="24"/>
        </w:rPr>
        <w:t xml:space="preserve">neither </w:t>
      </w:r>
      <w:r w:rsidRPr="00CE0FD2">
        <w:rPr>
          <w:rFonts w:cstheme="minorHAnsi"/>
          <w:szCs w:val="24"/>
        </w:rPr>
        <w:t xml:space="preserve">diagnosed nor </w:t>
      </w:r>
      <w:r>
        <w:rPr>
          <w:rFonts w:cstheme="minorHAnsi"/>
          <w:szCs w:val="24"/>
        </w:rPr>
        <w:t>treated</w:t>
      </w:r>
      <w:r w:rsidRPr="00CE0FD2">
        <w:rPr>
          <w:rFonts w:cstheme="minorHAnsi"/>
          <w:szCs w:val="24"/>
        </w:rPr>
        <w:t xml:space="preserve">, although I repeatedly </w:t>
      </w:r>
      <w:r w:rsidRPr="00CE0FD2">
        <w:rPr>
          <w:rFonts w:eastAsia="HiddenHorzOCR" w:cstheme="minorHAnsi"/>
          <w:szCs w:val="24"/>
        </w:rPr>
        <w:t>comp</w:t>
      </w:r>
      <w:r>
        <w:rPr>
          <w:rFonts w:eastAsia="HiddenHorzOCR" w:cstheme="minorHAnsi"/>
          <w:szCs w:val="24"/>
        </w:rPr>
        <w:t>l</w:t>
      </w:r>
      <w:r w:rsidRPr="00CE0FD2">
        <w:rPr>
          <w:rFonts w:eastAsia="HiddenHorzOCR" w:cstheme="minorHAnsi"/>
          <w:szCs w:val="24"/>
        </w:rPr>
        <w:t>ai</w:t>
      </w:r>
      <w:r>
        <w:rPr>
          <w:rFonts w:eastAsia="HiddenHorzOCR" w:cstheme="minorHAnsi"/>
          <w:szCs w:val="24"/>
        </w:rPr>
        <w:t>ned to</w:t>
      </w:r>
      <w:r w:rsidRPr="00CE0FD2">
        <w:rPr>
          <w:rFonts w:cstheme="minorHAnsi"/>
          <w:szCs w:val="24"/>
        </w:rPr>
        <w:t xml:space="preserve"> the doctor of my nightmares, episodes, and awakening at night.</w:t>
      </w:r>
      <w:r>
        <w:rPr>
          <w:rFonts w:cstheme="minorHAnsi"/>
          <w:szCs w:val="24"/>
        </w:rPr>
        <w:t xml:space="preserve"> </w:t>
      </w:r>
      <w:r w:rsidRPr="00CE0FD2">
        <w:rPr>
          <w:rFonts w:cstheme="minorHAnsi"/>
          <w:szCs w:val="24"/>
        </w:rPr>
        <w:t xml:space="preserve"> The PEB physician</w:t>
      </w:r>
      <w:r>
        <w:rPr>
          <w:rFonts w:cstheme="minorHAnsi"/>
          <w:szCs w:val="24"/>
        </w:rPr>
        <w:t xml:space="preserve"> </w:t>
      </w:r>
      <w:r w:rsidRPr="00CE0FD2">
        <w:rPr>
          <w:rFonts w:cstheme="minorHAnsi"/>
          <w:szCs w:val="24"/>
        </w:rPr>
        <w:t xml:space="preserve">failed </w:t>
      </w:r>
      <w:r>
        <w:rPr>
          <w:rFonts w:cstheme="minorHAnsi"/>
          <w:szCs w:val="24"/>
        </w:rPr>
        <w:t>to</w:t>
      </w:r>
      <w:r w:rsidRPr="00CE0FD2">
        <w:rPr>
          <w:rFonts w:cstheme="minorHAnsi"/>
          <w:szCs w:val="24"/>
        </w:rPr>
        <w:t xml:space="preserve"> diagnose and record the findings in the PEB report (en</w:t>
      </w:r>
      <w:r>
        <w:rPr>
          <w:rFonts w:cstheme="minorHAnsi"/>
          <w:szCs w:val="24"/>
        </w:rPr>
        <w:t>c</w:t>
      </w:r>
      <w:r w:rsidRPr="00CE0FD2">
        <w:rPr>
          <w:rFonts w:cstheme="minorHAnsi"/>
          <w:szCs w:val="24"/>
        </w:rPr>
        <w:t xml:space="preserve">l 1). </w:t>
      </w:r>
      <w:r>
        <w:rPr>
          <w:rFonts w:cstheme="minorHAnsi"/>
          <w:szCs w:val="24"/>
        </w:rPr>
        <w:t xml:space="preserve"> </w:t>
      </w:r>
      <w:r w:rsidRPr="00CE0FD2">
        <w:rPr>
          <w:rFonts w:cstheme="minorHAnsi"/>
          <w:szCs w:val="24"/>
        </w:rPr>
        <w:t>At the time of f</w:t>
      </w:r>
      <w:r>
        <w:rPr>
          <w:rFonts w:cstheme="minorHAnsi"/>
          <w:szCs w:val="24"/>
        </w:rPr>
        <w:t>i</w:t>
      </w:r>
      <w:r w:rsidRPr="00CE0FD2">
        <w:rPr>
          <w:rFonts w:cstheme="minorHAnsi"/>
          <w:szCs w:val="24"/>
        </w:rPr>
        <w:t>na</w:t>
      </w:r>
      <w:r>
        <w:rPr>
          <w:rFonts w:cstheme="minorHAnsi"/>
          <w:szCs w:val="24"/>
        </w:rPr>
        <w:t>l</w:t>
      </w:r>
      <w:r w:rsidRPr="00CE0FD2">
        <w:rPr>
          <w:rFonts w:cstheme="minorHAnsi"/>
          <w:szCs w:val="24"/>
        </w:rPr>
        <w:t>izing my PEB board findings</w:t>
      </w:r>
      <w:r>
        <w:rPr>
          <w:rFonts w:cstheme="minorHAnsi"/>
          <w:szCs w:val="24"/>
        </w:rPr>
        <w:t xml:space="preserve">, MSG [Name] </w:t>
      </w:r>
      <w:r w:rsidRPr="00CE0FD2">
        <w:rPr>
          <w:rFonts w:cstheme="minorHAnsi"/>
          <w:szCs w:val="24"/>
        </w:rPr>
        <w:t xml:space="preserve"> (en</w:t>
      </w:r>
      <w:r>
        <w:rPr>
          <w:rFonts w:cstheme="minorHAnsi"/>
          <w:szCs w:val="24"/>
        </w:rPr>
        <w:t>c</w:t>
      </w:r>
      <w:r w:rsidRPr="00CE0FD2">
        <w:rPr>
          <w:rFonts w:cstheme="minorHAnsi"/>
          <w:szCs w:val="24"/>
        </w:rPr>
        <w:t>l 1)</w:t>
      </w:r>
      <w:r>
        <w:rPr>
          <w:rFonts w:cstheme="minorHAnsi"/>
          <w:szCs w:val="24"/>
        </w:rPr>
        <w:t xml:space="preserve"> </w:t>
      </w:r>
      <w:r w:rsidRPr="00CE0FD2">
        <w:rPr>
          <w:rFonts w:cstheme="minorHAnsi"/>
          <w:szCs w:val="24"/>
        </w:rPr>
        <w:t>informed me that submi</w:t>
      </w:r>
      <w:r>
        <w:rPr>
          <w:rFonts w:cstheme="minorHAnsi"/>
          <w:szCs w:val="24"/>
        </w:rPr>
        <w:t>tt</w:t>
      </w:r>
      <w:r w:rsidRPr="00CE0FD2">
        <w:rPr>
          <w:rFonts w:cstheme="minorHAnsi"/>
          <w:szCs w:val="24"/>
        </w:rPr>
        <w:t>a</w:t>
      </w:r>
      <w:r>
        <w:rPr>
          <w:rFonts w:cstheme="minorHAnsi"/>
          <w:szCs w:val="24"/>
        </w:rPr>
        <w:t>l</w:t>
      </w:r>
      <w:r w:rsidRPr="00CE0FD2">
        <w:rPr>
          <w:rFonts w:cstheme="minorHAnsi"/>
          <w:szCs w:val="24"/>
        </w:rPr>
        <w:t xml:space="preserve"> of a VA claim </w:t>
      </w:r>
      <w:r>
        <w:rPr>
          <w:rFonts w:cstheme="minorHAnsi"/>
          <w:szCs w:val="24"/>
        </w:rPr>
        <w:t>for</w:t>
      </w:r>
      <w:r w:rsidRPr="00CE0FD2">
        <w:rPr>
          <w:rFonts w:cstheme="minorHAnsi"/>
          <w:szCs w:val="24"/>
        </w:rPr>
        <w:t xml:space="preserve"> my PTSD and knee i</w:t>
      </w:r>
      <w:r>
        <w:rPr>
          <w:rFonts w:cstheme="minorHAnsi"/>
          <w:szCs w:val="24"/>
        </w:rPr>
        <w:t>n</w:t>
      </w:r>
      <w:r w:rsidRPr="00CE0FD2">
        <w:rPr>
          <w:rFonts w:cstheme="minorHAnsi"/>
          <w:szCs w:val="24"/>
        </w:rPr>
        <w:t>jury would be</w:t>
      </w:r>
      <w:r>
        <w:rPr>
          <w:rFonts w:cstheme="minorHAnsi"/>
          <w:szCs w:val="24"/>
        </w:rPr>
        <w:t xml:space="preserve"> more</w:t>
      </w:r>
      <w:r w:rsidRPr="00CE0FD2">
        <w:rPr>
          <w:rFonts w:cstheme="minorHAnsi"/>
          <w:szCs w:val="24"/>
        </w:rPr>
        <w:t xml:space="preserve"> advantageous </w:t>
      </w:r>
      <w:r>
        <w:rPr>
          <w:rFonts w:cstheme="minorHAnsi"/>
          <w:szCs w:val="24"/>
        </w:rPr>
        <w:t>th</w:t>
      </w:r>
      <w:r w:rsidRPr="00CE0FD2">
        <w:rPr>
          <w:rFonts w:cstheme="minorHAnsi"/>
          <w:szCs w:val="24"/>
        </w:rPr>
        <w:t>an requesting a f</w:t>
      </w:r>
      <w:r>
        <w:rPr>
          <w:rFonts w:cstheme="minorHAnsi"/>
          <w:szCs w:val="24"/>
        </w:rPr>
        <w:t>o</w:t>
      </w:r>
      <w:r w:rsidRPr="00CE0FD2">
        <w:rPr>
          <w:rFonts w:cstheme="minorHAnsi"/>
          <w:szCs w:val="24"/>
        </w:rPr>
        <w:t>rma</w:t>
      </w:r>
      <w:r>
        <w:rPr>
          <w:rFonts w:cstheme="minorHAnsi"/>
          <w:szCs w:val="24"/>
        </w:rPr>
        <w:t>l h</w:t>
      </w:r>
      <w:r w:rsidRPr="00CE0FD2">
        <w:rPr>
          <w:rFonts w:cstheme="minorHAnsi"/>
          <w:szCs w:val="24"/>
        </w:rPr>
        <w:t>earing of</w:t>
      </w:r>
      <w:r>
        <w:rPr>
          <w:rFonts w:cstheme="minorHAnsi"/>
          <w:szCs w:val="24"/>
        </w:rPr>
        <w:t xml:space="preserve"> </w:t>
      </w:r>
      <w:r w:rsidRPr="00CE0FD2">
        <w:rPr>
          <w:rFonts w:cstheme="minorHAnsi"/>
          <w:szCs w:val="24"/>
        </w:rPr>
        <w:t>my PEB</w:t>
      </w:r>
      <w:r>
        <w:rPr>
          <w:rFonts w:cstheme="minorHAnsi"/>
          <w:szCs w:val="24"/>
        </w:rPr>
        <w:t xml:space="preserve"> </w:t>
      </w:r>
      <w:r w:rsidRPr="00CE0FD2">
        <w:rPr>
          <w:rFonts w:cstheme="minorHAnsi"/>
          <w:szCs w:val="24"/>
        </w:rPr>
        <w:t xml:space="preserve">case. </w:t>
      </w:r>
      <w:r>
        <w:rPr>
          <w:rFonts w:cstheme="minorHAnsi"/>
          <w:szCs w:val="24"/>
        </w:rPr>
        <w:t xml:space="preserve"> </w:t>
      </w:r>
      <w:r w:rsidRPr="00CE0FD2">
        <w:rPr>
          <w:rFonts w:cstheme="minorHAnsi"/>
          <w:szCs w:val="24"/>
        </w:rPr>
        <w:t>Based on this inf</w:t>
      </w:r>
      <w:r>
        <w:rPr>
          <w:rFonts w:cstheme="minorHAnsi"/>
          <w:szCs w:val="24"/>
        </w:rPr>
        <w:t>o</w:t>
      </w:r>
      <w:r w:rsidRPr="00CE0FD2">
        <w:rPr>
          <w:rFonts w:cstheme="minorHAnsi"/>
          <w:szCs w:val="24"/>
        </w:rPr>
        <w:t>rmation and no clear of unders</w:t>
      </w:r>
      <w:r>
        <w:rPr>
          <w:rFonts w:cstheme="minorHAnsi"/>
          <w:szCs w:val="24"/>
        </w:rPr>
        <w:t>tan</w:t>
      </w:r>
      <w:r w:rsidRPr="00CE0FD2">
        <w:rPr>
          <w:rFonts w:cstheme="minorHAnsi"/>
          <w:szCs w:val="24"/>
        </w:rPr>
        <w:t>ding of</w:t>
      </w:r>
      <w:r>
        <w:rPr>
          <w:rFonts w:cstheme="minorHAnsi"/>
          <w:szCs w:val="24"/>
        </w:rPr>
        <w:t xml:space="preserve"> </w:t>
      </w:r>
      <w:r w:rsidRPr="00CE0FD2">
        <w:rPr>
          <w:rFonts w:cstheme="minorHAnsi"/>
          <w:szCs w:val="24"/>
        </w:rPr>
        <w:t xml:space="preserve">PEB appellate </w:t>
      </w:r>
      <w:r>
        <w:rPr>
          <w:rFonts w:cstheme="minorHAnsi"/>
          <w:szCs w:val="24"/>
        </w:rPr>
        <w:t>proc</w:t>
      </w:r>
      <w:r w:rsidRPr="00CE0FD2">
        <w:rPr>
          <w:rFonts w:cstheme="minorHAnsi"/>
          <w:szCs w:val="24"/>
        </w:rPr>
        <w:t xml:space="preserve">edures I opted to waive a </w:t>
      </w:r>
      <w:r>
        <w:rPr>
          <w:rFonts w:cstheme="minorHAnsi"/>
          <w:szCs w:val="24"/>
        </w:rPr>
        <w:t>form</w:t>
      </w:r>
      <w:r w:rsidRPr="00CE0FD2">
        <w:rPr>
          <w:rFonts w:cstheme="minorHAnsi"/>
          <w:szCs w:val="24"/>
        </w:rPr>
        <w:t>a</w:t>
      </w:r>
      <w:r>
        <w:rPr>
          <w:rFonts w:cstheme="minorHAnsi"/>
          <w:szCs w:val="24"/>
        </w:rPr>
        <w:t>l</w:t>
      </w:r>
      <w:r w:rsidRPr="00CE0FD2">
        <w:rPr>
          <w:rFonts w:cstheme="minorHAnsi"/>
          <w:szCs w:val="24"/>
        </w:rPr>
        <w:t xml:space="preserve"> hearing of my case.</w:t>
      </w:r>
      <w:r>
        <w:rPr>
          <w:rFonts w:cstheme="minorHAnsi"/>
          <w:szCs w:val="24"/>
        </w:rPr>
        <w:t xml:space="preserve">  </w:t>
      </w:r>
      <w:r w:rsidRPr="00CE0FD2">
        <w:rPr>
          <w:rFonts w:cstheme="minorHAnsi"/>
          <w:szCs w:val="24"/>
        </w:rPr>
        <w:t xml:space="preserve">Subsequent to the final PEB </w:t>
      </w:r>
      <w:r>
        <w:rPr>
          <w:rFonts w:cstheme="minorHAnsi"/>
          <w:szCs w:val="24"/>
        </w:rPr>
        <w:t>I</w:t>
      </w:r>
      <w:r w:rsidRPr="00CE0FD2">
        <w:rPr>
          <w:rFonts w:cstheme="minorHAnsi"/>
          <w:szCs w:val="24"/>
        </w:rPr>
        <w:t xml:space="preserve"> was issued Transition Orders (</w:t>
      </w:r>
      <w:proofErr w:type="spellStart"/>
      <w:r w:rsidRPr="00CE0FD2">
        <w:rPr>
          <w:rFonts w:cstheme="minorHAnsi"/>
          <w:szCs w:val="24"/>
        </w:rPr>
        <w:t>encI</w:t>
      </w:r>
      <w:proofErr w:type="spellEnd"/>
      <w:r w:rsidRPr="00CE0FD2">
        <w:rPr>
          <w:rFonts w:cstheme="minorHAnsi"/>
          <w:szCs w:val="24"/>
        </w:rPr>
        <w:t xml:space="preserve"> 5), stating that my disability is based on i</w:t>
      </w:r>
      <w:r>
        <w:rPr>
          <w:rFonts w:cstheme="minorHAnsi"/>
          <w:szCs w:val="24"/>
        </w:rPr>
        <w:t>n</w:t>
      </w:r>
      <w:r w:rsidRPr="00CE0FD2">
        <w:rPr>
          <w:rFonts w:cstheme="minorHAnsi"/>
          <w:szCs w:val="24"/>
        </w:rPr>
        <w:t>jury r</w:t>
      </w:r>
      <w:r>
        <w:rPr>
          <w:rFonts w:cstheme="minorHAnsi"/>
          <w:szCs w:val="24"/>
        </w:rPr>
        <w:t>ece</w:t>
      </w:r>
      <w:r w:rsidRPr="00CE0FD2">
        <w:rPr>
          <w:rFonts w:cstheme="minorHAnsi"/>
          <w:szCs w:val="24"/>
        </w:rPr>
        <w:t xml:space="preserve">ived in </w:t>
      </w:r>
      <w:r>
        <w:rPr>
          <w:rFonts w:cstheme="minorHAnsi"/>
          <w:szCs w:val="24"/>
        </w:rPr>
        <w:t>t</w:t>
      </w:r>
      <w:r w:rsidRPr="00CE0FD2">
        <w:rPr>
          <w:rFonts w:cstheme="minorHAnsi"/>
          <w:szCs w:val="24"/>
        </w:rPr>
        <w:t xml:space="preserve">he </w:t>
      </w:r>
      <w:r w:rsidRPr="00CE0FD2">
        <w:rPr>
          <w:rFonts w:cstheme="minorHAnsi"/>
          <w:iCs/>
          <w:szCs w:val="24"/>
        </w:rPr>
        <w:t xml:space="preserve">LOD </w:t>
      </w:r>
      <w:r w:rsidRPr="00CE0FD2">
        <w:rPr>
          <w:rFonts w:cstheme="minorHAnsi"/>
          <w:szCs w:val="24"/>
        </w:rPr>
        <w:t>as a direct</w:t>
      </w:r>
      <w:r>
        <w:rPr>
          <w:rFonts w:cstheme="minorHAnsi"/>
          <w:szCs w:val="24"/>
        </w:rPr>
        <w:t xml:space="preserve"> </w:t>
      </w:r>
      <w:r w:rsidRPr="00CE0FD2">
        <w:rPr>
          <w:rFonts w:cstheme="minorHAnsi"/>
          <w:szCs w:val="24"/>
        </w:rPr>
        <w:t xml:space="preserve">result of </w:t>
      </w:r>
      <w:r>
        <w:rPr>
          <w:rFonts w:cstheme="minorHAnsi"/>
          <w:szCs w:val="24"/>
        </w:rPr>
        <w:t>ar</w:t>
      </w:r>
      <w:r w:rsidRPr="00CE0FD2">
        <w:rPr>
          <w:rFonts w:cstheme="minorHAnsi"/>
          <w:szCs w:val="24"/>
        </w:rPr>
        <w:t xml:space="preserve">med </w:t>
      </w:r>
      <w:r>
        <w:rPr>
          <w:rFonts w:cstheme="minorHAnsi"/>
          <w:szCs w:val="24"/>
        </w:rPr>
        <w:t>c</w:t>
      </w:r>
      <w:r w:rsidRPr="00CE0FD2">
        <w:rPr>
          <w:rFonts w:cstheme="minorHAnsi"/>
          <w:szCs w:val="24"/>
        </w:rPr>
        <w:t>onf</w:t>
      </w:r>
      <w:r>
        <w:rPr>
          <w:rFonts w:cstheme="minorHAnsi"/>
          <w:szCs w:val="24"/>
        </w:rPr>
        <w:t>l</w:t>
      </w:r>
      <w:r w:rsidRPr="00CE0FD2">
        <w:rPr>
          <w:rFonts w:cstheme="minorHAnsi"/>
          <w:szCs w:val="24"/>
        </w:rPr>
        <w:t>ict or caused by an ins</w:t>
      </w:r>
      <w:r>
        <w:rPr>
          <w:rFonts w:cstheme="minorHAnsi"/>
          <w:szCs w:val="24"/>
        </w:rPr>
        <w:t>trumentality</w:t>
      </w:r>
      <w:r w:rsidRPr="00CE0FD2">
        <w:rPr>
          <w:rFonts w:cstheme="minorHAnsi"/>
          <w:szCs w:val="24"/>
        </w:rPr>
        <w:t xml:space="preserve"> of war and in</w:t>
      </w:r>
      <w:r>
        <w:rPr>
          <w:rFonts w:cstheme="minorHAnsi"/>
          <w:szCs w:val="24"/>
        </w:rPr>
        <w:t>c</w:t>
      </w:r>
      <w:r w:rsidRPr="00CE0FD2">
        <w:rPr>
          <w:rFonts w:cstheme="minorHAnsi"/>
          <w:szCs w:val="24"/>
        </w:rPr>
        <w:t>urred in t</w:t>
      </w:r>
      <w:r>
        <w:rPr>
          <w:rFonts w:cstheme="minorHAnsi"/>
          <w:szCs w:val="24"/>
        </w:rPr>
        <w:t>h</w:t>
      </w:r>
      <w:r w:rsidRPr="00CE0FD2">
        <w:rPr>
          <w:rFonts w:cstheme="minorHAnsi"/>
          <w:szCs w:val="24"/>
        </w:rPr>
        <w:t xml:space="preserve">e </w:t>
      </w:r>
      <w:r>
        <w:rPr>
          <w:rFonts w:cstheme="minorHAnsi"/>
          <w:iCs/>
          <w:szCs w:val="24"/>
        </w:rPr>
        <w:t>LOD</w:t>
      </w:r>
      <w:r w:rsidRPr="00CE0FD2">
        <w:rPr>
          <w:rFonts w:cstheme="minorHAnsi"/>
          <w:i/>
          <w:iCs/>
          <w:szCs w:val="24"/>
        </w:rPr>
        <w:t xml:space="preserve"> </w:t>
      </w:r>
      <w:r w:rsidRPr="00CE0FD2">
        <w:rPr>
          <w:rFonts w:cstheme="minorHAnsi"/>
          <w:szCs w:val="24"/>
        </w:rPr>
        <w:t xml:space="preserve">during a  period as defined by </w:t>
      </w:r>
      <w:r>
        <w:rPr>
          <w:rFonts w:cstheme="minorHAnsi"/>
          <w:szCs w:val="24"/>
        </w:rPr>
        <w:t>law</w:t>
      </w:r>
      <w:r w:rsidRPr="000C44B7">
        <w:rPr>
          <w:rFonts w:cstheme="minorHAnsi"/>
          <w:szCs w:val="24"/>
        </w:rPr>
        <w:t>.”</w:t>
      </w:r>
      <w:r w:rsidRPr="000C44B7">
        <w:rPr>
          <w:szCs w:val="24"/>
        </w:rPr>
        <w:t xml:space="preserve"> </w:t>
      </w:r>
      <w:r>
        <w:rPr>
          <w:rFonts w:ascii="Calibri" w:eastAsiaTheme="minorHAnsi" w:hAnsi="Calibri"/>
          <w:szCs w:val="24"/>
        </w:rPr>
        <w:t>The CI</w:t>
      </w:r>
      <w:r w:rsidRPr="000C44B7">
        <w:rPr>
          <w:rFonts w:ascii="Calibri" w:eastAsiaTheme="minorHAnsi" w:hAnsi="Calibri"/>
          <w:szCs w:val="24"/>
        </w:rPr>
        <w:t xml:space="preserve"> elaborates no specific contentions regarding rating or coding and mentions no additionally contended conditions.</w:t>
      </w:r>
    </w:p>
    <w:p w:rsidR="00BD675C" w:rsidRPr="006609AD" w:rsidRDefault="00BD675C" w:rsidP="00BD675C">
      <w:pPr>
        <w:pBdr>
          <w:bottom w:val="single" w:sz="12" w:space="1" w:color="auto"/>
        </w:pBdr>
        <w:tabs>
          <w:tab w:val="left" w:pos="288"/>
          <w:tab w:val="left" w:pos="4752"/>
        </w:tabs>
        <w:spacing w:line="240" w:lineRule="exact"/>
        <w:jc w:val="both"/>
        <w:rPr>
          <w:rFonts w:ascii="Calibri" w:hAnsi="Calibri"/>
          <w:szCs w:val="24"/>
        </w:rPr>
      </w:pPr>
    </w:p>
    <w:p w:rsidR="00BD675C" w:rsidRPr="006609AD" w:rsidRDefault="00BD675C" w:rsidP="00BD675C">
      <w:pPr>
        <w:tabs>
          <w:tab w:val="left" w:pos="288"/>
          <w:tab w:val="left" w:pos="4752"/>
        </w:tabs>
        <w:spacing w:line="240" w:lineRule="exact"/>
        <w:rPr>
          <w:rFonts w:ascii="Calibri" w:hAnsi="Calibri"/>
          <w:szCs w:val="24"/>
        </w:rPr>
      </w:pPr>
    </w:p>
    <w:p w:rsidR="00BD675C" w:rsidRDefault="00BD675C" w:rsidP="00BD675C">
      <w:pPr>
        <w:rPr>
          <w:u w:val="single"/>
        </w:rPr>
      </w:pPr>
      <w:r>
        <w:rPr>
          <w:u w:val="single"/>
        </w:rPr>
        <w:br w:type="page"/>
      </w:r>
    </w:p>
    <w:p w:rsidR="00BD675C" w:rsidRDefault="00BD675C" w:rsidP="00BD675C">
      <w:r w:rsidRPr="00326C08">
        <w:rPr>
          <w:u w:val="single"/>
        </w:rPr>
        <w:t>RATING COMPARISON</w:t>
      </w:r>
      <w:r w:rsidRPr="00972F5D">
        <w:t>:</w:t>
      </w:r>
    </w:p>
    <w:p w:rsidR="00BD675C" w:rsidRDefault="00BD675C" w:rsidP="00BD675C">
      <w:pPr>
        <w:spacing w:line="240" w:lineRule="exact"/>
      </w:pPr>
    </w:p>
    <w:tbl>
      <w:tblPr>
        <w:tblW w:w="9297" w:type="dxa"/>
        <w:jc w:val="center"/>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520"/>
        <w:gridCol w:w="720"/>
        <w:gridCol w:w="810"/>
        <w:gridCol w:w="2367"/>
        <w:gridCol w:w="1062"/>
        <w:gridCol w:w="828"/>
        <w:gridCol w:w="990"/>
      </w:tblGrid>
      <w:tr w:rsidR="00BD675C" w:rsidRPr="002A4119" w:rsidTr="00BD675C">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Service IPEB – Dated 20060315</w:t>
            </w:r>
          </w:p>
        </w:tc>
        <w:tc>
          <w:tcPr>
            <w:tcW w:w="5247" w:type="dxa"/>
            <w:gridSpan w:val="4"/>
            <w:tcBorders>
              <w:left w:val="thinThickThinSmallGap" w:sz="24" w:space="0" w:color="auto"/>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VA (2 Mo After Separation) – All Effective Date 20060408</w:t>
            </w:r>
          </w:p>
        </w:tc>
      </w:tr>
      <w:tr w:rsidR="00BD675C" w:rsidRPr="002A4119" w:rsidTr="00BD675C">
        <w:trPr>
          <w:trHeight w:val="278"/>
          <w:jc w:val="center"/>
        </w:trPr>
        <w:tc>
          <w:tcPr>
            <w:tcW w:w="2520" w:type="dxa"/>
            <w:tcBorders>
              <w:bottom w:val="single" w:sz="4" w:space="0" w:color="000000" w:themeColor="text1"/>
              <w:right w:val="single" w:sz="4" w:space="0" w:color="auto"/>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Rating</w:t>
            </w:r>
          </w:p>
        </w:tc>
        <w:tc>
          <w:tcPr>
            <w:tcW w:w="2367" w:type="dxa"/>
            <w:tcBorders>
              <w:left w:val="thinThickThinSmallGap" w:sz="24" w:space="0" w:color="auto"/>
              <w:bottom w:val="single" w:sz="4" w:space="0" w:color="000000" w:themeColor="text1"/>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Code</w:t>
            </w:r>
          </w:p>
        </w:tc>
        <w:tc>
          <w:tcPr>
            <w:tcW w:w="828" w:type="dxa"/>
            <w:tcBorders>
              <w:bottom w:val="single" w:sz="4" w:space="0" w:color="000000" w:themeColor="text1"/>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BD675C" w:rsidRPr="00BD675C" w:rsidRDefault="00BD675C" w:rsidP="00BD675C">
            <w:pPr>
              <w:spacing w:line="240" w:lineRule="exact"/>
              <w:contextualSpacing/>
              <w:jc w:val="center"/>
              <w:rPr>
                <w:b/>
                <w:sz w:val="20"/>
                <w:szCs w:val="20"/>
              </w:rPr>
            </w:pPr>
            <w:r w:rsidRPr="00BD675C">
              <w:rPr>
                <w:b/>
                <w:sz w:val="20"/>
                <w:szCs w:val="20"/>
              </w:rPr>
              <w:t>Exam</w:t>
            </w:r>
          </w:p>
        </w:tc>
      </w:tr>
      <w:tr w:rsidR="00BD675C" w:rsidRPr="002A4119" w:rsidTr="00BD675C">
        <w:trPr>
          <w:trHeight w:val="80"/>
          <w:jc w:val="center"/>
        </w:trPr>
        <w:tc>
          <w:tcPr>
            <w:tcW w:w="2520" w:type="dxa"/>
            <w:tcBorders>
              <w:right w:val="single" w:sz="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Chronic Low Back Pain</w:t>
            </w:r>
          </w:p>
        </w:tc>
        <w:tc>
          <w:tcPr>
            <w:tcW w:w="720" w:type="dxa"/>
            <w:tcBorders>
              <w:lef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5241</w:t>
            </w:r>
          </w:p>
        </w:tc>
        <w:tc>
          <w:tcPr>
            <w:tcW w:w="810" w:type="dxa"/>
            <w:tcBorders>
              <w:righ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10%</w:t>
            </w:r>
          </w:p>
        </w:tc>
        <w:tc>
          <w:tcPr>
            <w:tcW w:w="2367" w:type="dxa"/>
            <w:tcBorders>
              <w:left w:val="thinThickThinSmallGap" w:sz="2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HNP L5-S1 …</w:t>
            </w:r>
          </w:p>
        </w:tc>
        <w:tc>
          <w:tcPr>
            <w:tcW w:w="1062" w:type="dxa"/>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5235-5242</w:t>
            </w:r>
          </w:p>
        </w:tc>
        <w:tc>
          <w:tcPr>
            <w:tcW w:w="828" w:type="dxa"/>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40%</w:t>
            </w:r>
          </w:p>
        </w:tc>
        <w:tc>
          <w:tcPr>
            <w:tcW w:w="990" w:type="dxa"/>
            <w:shd w:val="clear" w:color="auto" w:fill="FFFFFF" w:themeFill="background1"/>
            <w:vAlign w:val="center"/>
          </w:tcPr>
          <w:p w:rsidR="00BD675C" w:rsidRPr="00BD675C" w:rsidRDefault="00BD675C" w:rsidP="00BD675C">
            <w:pPr>
              <w:spacing w:line="220" w:lineRule="exact"/>
              <w:contextualSpacing/>
              <w:jc w:val="center"/>
              <w:rPr>
                <w:sz w:val="18"/>
                <w:szCs w:val="18"/>
                <w:highlight w:val="yellow"/>
              </w:rPr>
            </w:pPr>
            <w:r w:rsidRPr="00BD675C">
              <w:rPr>
                <w:sz w:val="18"/>
                <w:szCs w:val="18"/>
              </w:rPr>
              <w:t>20060614</w:t>
            </w:r>
          </w:p>
        </w:tc>
      </w:tr>
      <w:tr w:rsidR="00BD675C" w:rsidRPr="002A4119" w:rsidTr="00BD675C">
        <w:trPr>
          <w:trHeight w:val="66"/>
          <w:jc w:val="center"/>
        </w:trPr>
        <w:tc>
          <w:tcPr>
            <w:tcW w:w="2520" w:type="dxa"/>
            <w:tcBorders>
              <w:right w:val="single" w:sz="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Right Knee Pain, Arthritis</w:t>
            </w:r>
          </w:p>
        </w:tc>
        <w:tc>
          <w:tcPr>
            <w:tcW w:w="1530" w:type="dxa"/>
            <w:gridSpan w:val="2"/>
            <w:tcBorders>
              <w:left w:val="single" w:sz="4" w:space="0" w:color="auto"/>
              <w:righ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highlight w:val="yellow"/>
              </w:rPr>
            </w:pPr>
            <w:r w:rsidRPr="00BD675C">
              <w:rPr>
                <w:sz w:val="18"/>
                <w:szCs w:val="18"/>
              </w:rPr>
              <w:t>Not Unfitting</w:t>
            </w:r>
          </w:p>
        </w:tc>
        <w:tc>
          <w:tcPr>
            <w:tcW w:w="2367" w:type="dxa"/>
            <w:tcBorders>
              <w:left w:val="thinThickThinSmallGap" w:sz="24" w:space="0" w:color="auto"/>
              <w:right w:val="single" w:sz="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Residuals, R Knee …</w:t>
            </w:r>
          </w:p>
        </w:tc>
        <w:tc>
          <w:tcPr>
            <w:tcW w:w="1062" w:type="dxa"/>
            <w:tcBorders>
              <w:lef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5099-5010</w:t>
            </w:r>
          </w:p>
        </w:tc>
        <w:tc>
          <w:tcPr>
            <w:tcW w:w="828" w:type="dxa"/>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10%</w:t>
            </w:r>
          </w:p>
        </w:tc>
        <w:tc>
          <w:tcPr>
            <w:tcW w:w="990" w:type="dxa"/>
            <w:shd w:val="clear" w:color="auto" w:fill="FFFFFF" w:themeFill="background1"/>
            <w:vAlign w:val="center"/>
          </w:tcPr>
          <w:p w:rsidR="00BD675C" w:rsidRPr="00BD675C" w:rsidRDefault="00BD675C" w:rsidP="00BD675C">
            <w:pPr>
              <w:spacing w:line="220" w:lineRule="exact"/>
              <w:contextualSpacing/>
              <w:jc w:val="center"/>
              <w:rPr>
                <w:sz w:val="18"/>
                <w:szCs w:val="18"/>
                <w:highlight w:val="yellow"/>
              </w:rPr>
            </w:pPr>
            <w:r w:rsidRPr="00BD675C">
              <w:rPr>
                <w:sz w:val="18"/>
                <w:szCs w:val="18"/>
              </w:rPr>
              <w:t>20060614</w:t>
            </w:r>
          </w:p>
        </w:tc>
      </w:tr>
      <w:tr w:rsidR="00BD675C" w:rsidRPr="002A4119" w:rsidTr="00BD675C">
        <w:trPr>
          <w:trHeight w:val="161"/>
          <w:jc w:val="center"/>
        </w:trPr>
        <w:tc>
          <w:tcPr>
            <w:tcW w:w="4050" w:type="dxa"/>
            <w:gridSpan w:val="3"/>
            <w:vMerge w:val="restart"/>
            <w:tcBorders>
              <w:righ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No Additional MEB/PEB Entries</w:t>
            </w:r>
          </w:p>
        </w:tc>
        <w:tc>
          <w:tcPr>
            <w:tcW w:w="2367" w:type="dxa"/>
            <w:tcBorders>
              <w:left w:val="thinThickThinSmallGap" w:sz="24" w:space="0" w:color="auto"/>
              <w:right w:val="single" w:sz="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PTSD</w:t>
            </w:r>
          </w:p>
        </w:tc>
        <w:tc>
          <w:tcPr>
            <w:tcW w:w="1062" w:type="dxa"/>
            <w:tcBorders>
              <w:left w:val="single" w:sz="4" w:space="0" w:color="auto"/>
              <w:righ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9413</w:t>
            </w:r>
          </w:p>
        </w:tc>
        <w:tc>
          <w:tcPr>
            <w:tcW w:w="828" w:type="dxa"/>
            <w:tcBorders>
              <w:lef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30%</w:t>
            </w:r>
          </w:p>
        </w:tc>
        <w:tc>
          <w:tcPr>
            <w:tcW w:w="990" w:type="dxa"/>
            <w:shd w:val="clear" w:color="auto" w:fill="FFFFFF" w:themeFill="background1"/>
            <w:vAlign w:val="center"/>
          </w:tcPr>
          <w:p w:rsidR="00BD675C" w:rsidRPr="00BD675C" w:rsidRDefault="00BD675C" w:rsidP="00BD675C">
            <w:pPr>
              <w:spacing w:line="220" w:lineRule="exact"/>
              <w:contextualSpacing/>
              <w:jc w:val="center"/>
              <w:rPr>
                <w:sz w:val="18"/>
                <w:szCs w:val="18"/>
                <w:highlight w:val="yellow"/>
              </w:rPr>
            </w:pPr>
            <w:r w:rsidRPr="00BD675C">
              <w:rPr>
                <w:sz w:val="18"/>
                <w:szCs w:val="18"/>
              </w:rPr>
              <w:t>20060614</w:t>
            </w:r>
          </w:p>
        </w:tc>
      </w:tr>
      <w:tr w:rsidR="00BD675C" w:rsidRPr="002A4119" w:rsidTr="00BD675C">
        <w:trPr>
          <w:trHeight w:val="116"/>
          <w:jc w:val="center"/>
        </w:trPr>
        <w:tc>
          <w:tcPr>
            <w:tcW w:w="4050" w:type="dxa"/>
            <w:gridSpan w:val="3"/>
            <w:vMerge/>
            <w:tcBorders>
              <w:righ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p>
        </w:tc>
        <w:tc>
          <w:tcPr>
            <w:tcW w:w="2367" w:type="dxa"/>
            <w:tcBorders>
              <w:left w:val="thinThickThinSmallGap" w:sz="24" w:space="0" w:color="auto"/>
              <w:right w:val="single" w:sz="4" w:space="0" w:color="auto"/>
            </w:tcBorders>
            <w:shd w:val="clear" w:color="auto" w:fill="FFFFFF" w:themeFill="background1"/>
            <w:vAlign w:val="center"/>
          </w:tcPr>
          <w:p w:rsidR="00BD675C" w:rsidRPr="00BD675C" w:rsidRDefault="00BD675C" w:rsidP="00BD675C">
            <w:pPr>
              <w:spacing w:line="220" w:lineRule="exact"/>
              <w:contextualSpacing/>
              <w:rPr>
                <w:sz w:val="18"/>
                <w:szCs w:val="18"/>
              </w:rPr>
            </w:pPr>
            <w:r w:rsidRPr="00BD675C">
              <w:rPr>
                <w:sz w:val="18"/>
                <w:szCs w:val="18"/>
              </w:rPr>
              <w:t>Cervical Strain</w:t>
            </w:r>
          </w:p>
        </w:tc>
        <w:tc>
          <w:tcPr>
            <w:tcW w:w="1062" w:type="dxa"/>
            <w:tcBorders>
              <w:left w:val="single" w:sz="4" w:space="0" w:color="auto"/>
              <w:righ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5237</w:t>
            </w:r>
          </w:p>
        </w:tc>
        <w:tc>
          <w:tcPr>
            <w:tcW w:w="828" w:type="dxa"/>
            <w:tcBorders>
              <w:left w:val="single" w:sz="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20%</w:t>
            </w:r>
          </w:p>
        </w:tc>
        <w:tc>
          <w:tcPr>
            <w:tcW w:w="990" w:type="dxa"/>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sz w:val="18"/>
                <w:szCs w:val="18"/>
              </w:rPr>
              <w:t>20060614</w:t>
            </w:r>
          </w:p>
        </w:tc>
      </w:tr>
      <w:tr w:rsidR="00BD675C" w:rsidRPr="002A4119" w:rsidTr="00BD675C">
        <w:trPr>
          <w:trHeight w:val="66"/>
          <w:jc w:val="center"/>
        </w:trPr>
        <w:tc>
          <w:tcPr>
            <w:tcW w:w="4050" w:type="dxa"/>
            <w:gridSpan w:val="3"/>
            <w:vMerge/>
            <w:tcBorders>
              <w:righ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p>
        </w:tc>
        <w:tc>
          <w:tcPr>
            <w:tcW w:w="4257" w:type="dxa"/>
            <w:gridSpan w:val="3"/>
            <w:tcBorders>
              <w:left w:val="thinThickThinSmallGap" w:sz="24" w:space="0" w:color="auto"/>
            </w:tcBorders>
            <w:shd w:val="clear" w:color="auto" w:fill="FFFFFF" w:themeFill="background1"/>
            <w:vAlign w:val="center"/>
          </w:tcPr>
          <w:p w:rsidR="00BD675C" w:rsidRPr="00BD675C" w:rsidRDefault="00BD675C" w:rsidP="00BD675C">
            <w:pPr>
              <w:spacing w:line="220" w:lineRule="exact"/>
              <w:contextualSpacing/>
              <w:jc w:val="center"/>
              <w:rPr>
                <w:sz w:val="18"/>
                <w:szCs w:val="18"/>
              </w:rPr>
            </w:pPr>
            <w:r w:rsidRPr="00BD675C">
              <w:rPr>
                <w:rFonts w:cs="Times New Roman"/>
                <w:sz w:val="18"/>
                <w:szCs w:val="18"/>
              </w:rPr>
              <w:t>Not Service Connected x 1</w:t>
            </w:r>
          </w:p>
        </w:tc>
        <w:tc>
          <w:tcPr>
            <w:tcW w:w="990" w:type="dxa"/>
            <w:shd w:val="clear" w:color="auto" w:fill="FFFFFF" w:themeFill="background1"/>
            <w:vAlign w:val="center"/>
          </w:tcPr>
          <w:p w:rsidR="00BD675C" w:rsidRPr="00BD675C" w:rsidRDefault="00BD675C" w:rsidP="00BD675C">
            <w:pPr>
              <w:spacing w:line="220" w:lineRule="exact"/>
              <w:contextualSpacing/>
              <w:jc w:val="center"/>
              <w:rPr>
                <w:sz w:val="18"/>
                <w:szCs w:val="18"/>
                <w:highlight w:val="yellow"/>
              </w:rPr>
            </w:pPr>
            <w:r w:rsidRPr="00BD675C">
              <w:rPr>
                <w:sz w:val="18"/>
                <w:szCs w:val="18"/>
              </w:rPr>
              <w:t>20060614</w:t>
            </w:r>
          </w:p>
        </w:tc>
      </w:tr>
      <w:tr w:rsidR="00BD675C" w:rsidRPr="002A4119" w:rsidTr="00BD675C">
        <w:trPr>
          <w:trHeight w:val="242"/>
          <w:jc w:val="center"/>
        </w:trPr>
        <w:tc>
          <w:tcPr>
            <w:tcW w:w="4050" w:type="dxa"/>
            <w:gridSpan w:val="3"/>
            <w:tcBorders>
              <w:right w:val="thinThickThinSmallGap" w:sz="24" w:space="0" w:color="auto"/>
            </w:tcBorders>
            <w:shd w:val="clear" w:color="auto" w:fill="D9D9D9" w:themeFill="background1" w:themeFillShade="D9"/>
          </w:tcPr>
          <w:p w:rsidR="00BD675C" w:rsidRPr="00BD675C" w:rsidRDefault="00BD675C" w:rsidP="00BD675C">
            <w:pPr>
              <w:spacing w:line="240" w:lineRule="exact"/>
              <w:contextualSpacing/>
              <w:jc w:val="center"/>
              <w:rPr>
                <w:b/>
                <w:sz w:val="20"/>
                <w:szCs w:val="20"/>
              </w:rPr>
            </w:pPr>
            <w:r w:rsidRPr="00BD675C">
              <w:rPr>
                <w:b/>
                <w:sz w:val="20"/>
                <w:szCs w:val="20"/>
              </w:rPr>
              <w:t>Combined:  10%</w:t>
            </w:r>
          </w:p>
        </w:tc>
        <w:tc>
          <w:tcPr>
            <w:tcW w:w="5247" w:type="dxa"/>
            <w:gridSpan w:val="4"/>
            <w:tcBorders>
              <w:left w:val="thinThickThinSmallGap" w:sz="24" w:space="0" w:color="auto"/>
            </w:tcBorders>
            <w:shd w:val="clear" w:color="auto" w:fill="D9D9D9" w:themeFill="background1" w:themeFillShade="D9"/>
          </w:tcPr>
          <w:p w:rsidR="00BD675C" w:rsidRPr="00BD675C" w:rsidRDefault="00BD675C" w:rsidP="00BD675C">
            <w:pPr>
              <w:spacing w:line="240" w:lineRule="exact"/>
              <w:contextualSpacing/>
              <w:jc w:val="center"/>
              <w:rPr>
                <w:b/>
                <w:sz w:val="20"/>
                <w:szCs w:val="20"/>
              </w:rPr>
            </w:pPr>
            <w:r w:rsidRPr="00BD675C">
              <w:rPr>
                <w:b/>
                <w:sz w:val="20"/>
                <w:szCs w:val="20"/>
              </w:rPr>
              <w:t>Combined:  70%*</w:t>
            </w:r>
          </w:p>
        </w:tc>
      </w:tr>
    </w:tbl>
    <w:p w:rsidR="00BD675C" w:rsidRPr="006609AD" w:rsidRDefault="00BD675C" w:rsidP="00BD675C">
      <w:pPr>
        <w:pBdr>
          <w:bottom w:val="single" w:sz="12" w:space="1" w:color="auto"/>
        </w:pBdr>
        <w:tabs>
          <w:tab w:val="left" w:pos="288"/>
          <w:tab w:val="left" w:pos="4752"/>
        </w:tabs>
        <w:spacing w:line="240" w:lineRule="exact"/>
        <w:jc w:val="both"/>
        <w:rPr>
          <w:rFonts w:ascii="Calibri" w:hAnsi="Calibri"/>
          <w:szCs w:val="24"/>
        </w:rPr>
      </w:pPr>
    </w:p>
    <w:p w:rsidR="00BD675C" w:rsidRPr="006609AD" w:rsidRDefault="00BD675C" w:rsidP="00BD675C">
      <w:pPr>
        <w:tabs>
          <w:tab w:val="left" w:pos="288"/>
          <w:tab w:val="left" w:pos="4752"/>
        </w:tabs>
        <w:spacing w:line="240" w:lineRule="exact"/>
        <w:rPr>
          <w:rFonts w:ascii="Calibri" w:hAnsi="Calibri"/>
          <w:szCs w:val="24"/>
        </w:rPr>
      </w:pPr>
    </w:p>
    <w:p w:rsidR="00BD675C" w:rsidRPr="00972F5D" w:rsidRDefault="00BD675C" w:rsidP="00BD675C">
      <w:pPr>
        <w:pStyle w:val="Default"/>
        <w:spacing w:line="240" w:lineRule="exact"/>
        <w:jc w:val="both"/>
      </w:pPr>
      <w:r w:rsidRPr="00396779">
        <w:rPr>
          <w:rFonts w:asciiTheme="minorHAnsi" w:hAnsiTheme="minorHAnsi"/>
          <w:color w:val="auto"/>
          <w:u w:val="single"/>
        </w:rPr>
        <w:t>ANALYSIS SUMMARY</w:t>
      </w:r>
      <w:r w:rsidRPr="00396779">
        <w:rPr>
          <w:rFonts w:asciiTheme="minorHAnsi" w:hAnsiTheme="minorHAnsi"/>
          <w:color w:val="auto"/>
        </w:rPr>
        <w:t>:</w:t>
      </w:r>
      <w:r>
        <w:rPr>
          <w:rFonts w:asciiTheme="minorHAnsi" w:hAnsiTheme="minorHAnsi"/>
          <w:color w:val="auto"/>
        </w:rPr>
        <w:t xml:space="preserve">  </w:t>
      </w:r>
      <w:r w:rsidRPr="00972F5D">
        <w:t xml:space="preserve">The Board acknowledges the </w:t>
      </w:r>
      <w:r w:rsidRPr="00344EFD">
        <w:t xml:space="preserve">CI’s assertions that </w:t>
      </w:r>
      <w:r w:rsidRPr="00344EFD">
        <w:rPr>
          <w:rFonts w:asciiTheme="minorHAnsi" w:hAnsiTheme="minorHAnsi"/>
          <w:color w:val="auto"/>
        </w:rPr>
        <w:t xml:space="preserve">that </w:t>
      </w:r>
      <w:r>
        <w:rPr>
          <w:rFonts w:asciiTheme="minorHAnsi" w:hAnsiTheme="minorHAnsi"/>
          <w:color w:val="auto"/>
        </w:rPr>
        <w:t xml:space="preserve">some of his Service-incurred conditions were not addressed, that unfair procedures were followed, and that he was inadequately informed regarding due process.  </w:t>
      </w:r>
      <w:r w:rsidRPr="00344EFD">
        <w:t>It is noted for the record that the Board has neither the jurisdiction nor authority to</w:t>
      </w:r>
      <w:r w:rsidRPr="00972F5D">
        <w:t xml:space="preserve"> scrutinize or render opinions in reference to </w:t>
      </w:r>
      <w:r>
        <w:t>alleged or</w:t>
      </w:r>
      <w:r w:rsidRPr="00972F5D">
        <w:t xml:space="preserve"> suspected Service improprieties in the processing of </w:t>
      </w:r>
      <w:r>
        <w:t>a</w:t>
      </w:r>
      <w:r w:rsidRPr="00972F5D">
        <w:t xml:space="preserve"> case. </w:t>
      </w:r>
      <w:r>
        <w:t xml:space="preserve"> </w:t>
      </w:r>
      <w:r w:rsidRPr="00972F5D">
        <w:t xml:space="preserve">The Board’s role is confined to the review of medical records and all evidence at hand to assess the fairness of PEB rating determinations, compared to </w:t>
      </w:r>
      <w:r>
        <w:t>Veterans Administration Schedule for Rating (</w:t>
      </w:r>
      <w:r w:rsidRPr="00972F5D">
        <w:t>VASRD</w:t>
      </w:r>
      <w:r>
        <w:t>)</w:t>
      </w:r>
      <w:r w:rsidRPr="00972F5D">
        <w:t xml:space="preserve"> standards, based on severity at the time of separation.</w:t>
      </w:r>
      <w:r>
        <w:t xml:space="preserve"> </w:t>
      </w:r>
      <w:r w:rsidRPr="00972F5D">
        <w:t xml:space="preserve"> It must also judge the fairness of PEB fitness adjudications based on the fitness consequences of conditions as they existed at the time of separation. </w:t>
      </w:r>
      <w:r>
        <w:t xml:space="preserve"> The Board further has no purview over Service line-of-duty or armed conflict/instrumentality of war determinations.  Pursuit of corrections of such determinations and of remedy for alleged Service procedural violations remains under the authority of the </w:t>
      </w:r>
      <w:r w:rsidRPr="0078455A">
        <w:t>Army Board for Corrections of Military Records (ABCMR)</w:t>
      </w:r>
      <w:r>
        <w:t>.</w:t>
      </w:r>
    </w:p>
    <w:p w:rsidR="00BD675C" w:rsidRPr="00396779" w:rsidRDefault="00BD675C" w:rsidP="00BD675C">
      <w:pPr>
        <w:tabs>
          <w:tab w:val="left" w:pos="288"/>
          <w:tab w:val="left" w:pos="4752"/>
        </w:tabs>
        <w:spacing w:line="240" w:lineRule="exact"/>
        <w:jc w:val="both"/>
        <w:rPr>
          <w:szCs w:val="24"/>
        </w:rPr>
      </w:pPr>
    </w:p>
    <w:p w:rsidR="00BD675C" w:rsidRDefault="00BD675C" w:rsidP="00BD675C">
      <w:pPr>
        <w:tabs>
          <w:tab w:val="left" w:pos="288"/>
          <w:tab w:val="left" w:pos="4752"/>
        </w:tabs>
        <w:spacing w:line="240" w:lineRule="exact"/>
        <w:jc w:val="both"/>
        <w:rPr>
          <w:szCs w:val="24"/>
        </w:rPr>
      </w:pPr>
      <w:proofErr w:type="gramStart"/>
      <w:r>
        <w:rPr>
          <w:szCs w:val="24"/>
          <w:u w:val="single"/>
        </w:rPr>
        <w:t>Lumbar Spine</w:t>
      </w:r>
      <w:r w:rsidRPr="000927BD">
        <w:rPr>
          <w:szCs w:val="24"/>
          <w:u w:val="single"/>
        </w:rPr>
        <w:t xml:space="preserve"> Condition</w:t>
      </w:r>
      <w:r w:rsidRPr="000927BD">
        <w:rPr>
          <w:szCs w:val="24"/>
        </w:rPr>
        <w:t>.</w:t>
      </w:r>
      <w:proofErr w:type="gramEnd"/>
      <w:r w:rsidRPr="000927BD">
        <w:rPr>
          <w:szCs w:val="24"/>
        </w:rPr>
        <w:t xml:space="preserve">  </w:t>
      </w:r>
      <w:r>
        <w:rPr>
          <w:szCs w:val="24"/>
        </w:rPr>
        <w:t xml:space="preserve">The CI initially responded poorly to post-operative attempts at rehabilitation, and was separated seven months after surgery.  Subsequent VA evidence reflects significant improvement (and decreased rating to 20%) at about a year post-separation.  There were two </w:t>
      </w:r>
      <w:r w:rsidRPr="000927BD">
        <w:rPr>
          <w:szCs w:val="24"/>
        </w:rPr>
        <w:t xml:space="preserve">goniometric range-of-motion (ROM) evaluations in evidence </w:t>
      </w:r>
      <w:r>
        <w:rPr>
          <w:szCs w:val="24"/>
        </w:rPr>
        <w:t>available to</w:t>
      </w:r>
      <w:r w:rsidRPr="000927BD">
        <w:rPr>
          <w:szCs w:val="24"/>
        </w:rPr>
        <w:t xml:space="preserve"> the Board </w:t>
      </w:r>
      <w:r>
        <w:rPr>
          <w:szCs w:val="24"/>
        </w:rPr>
        <w:t>for</w:t>
      </w:r>
      <w:r w:rsidRPr="000927BD">
        <w:rPr>
          <w:szCs w:val="24"/>
        </w:rPr>
        <w:t xml:space="preserve"> arriving at its rating recommendation</w:t>
      </w:r>
      <w:r>
        <w:rPr>
          <w:szCs w:val="24"/>
        </w:rPr>
        <w:t xml:space="preserve">; and, only the post-separation VA </w:t>
      </w:r>
      <w:r w:rsidRPr="007B28DA">
        <w:rPr>
          <w:szCs w:val="24"/>
        </w:rPr>
        <w:t>Compensation and Pension (C&amp;P)</w:t>
      </w:r>
      <w:r w:rsidRPr="000927BD">
        <w:rPr>
          <w:szCs w:val="24"/>
        </w:rPr>
        <w:t xml:space="preserve"> </w:t>
      </w:r>
      <w:r>
        <w:rPr>
          <w:szCs w:val="24"/>
        </w:rPr>
        <w:t xml:space="preserve">evaluation was fully compliant with </w:t>
      </w:r>
      <w:r w:rsidRPr="007B28DA">
        <w:rPr>
          <w:szCs w:val="24"/>
        </w:rPr>
        <w:t>VASRD §4.46 (accurate measurement)</w:t>
      </w:r>
      <w:r>
        <w:rPr>
          <w:szCs w:val="24"/>
        </w:rPr>
        <w:t>.</w:t>
      </w:r>
      <w:r w:rsidRPr="000927BD">
        <w:rPr>
          <w:szCs w:val="24"/>
        </w:rPr>
        <w:t xml:space="preserve"> </w:t>
      </w:r>
      <w:r>
        <w:rPr>
          <w:szCs w:val="24"/>
        </w:rPr>
        <w:t xml:space="preserve"> </w:t>
      </w:r>
      <w:r w:rsidRPr="000927BD">
        <w:rPr>
          <w:szCs w:val="24"/>
        </w:rPr>
        <w:t>These exams are summarized in the chart below.</w:t>
      </w:r>
    </w:p>
    <w:p w:rsidR="00BD675C" w:rsidRDefault="00BD675C" w:rsidP="00BD675C">
      <w:pPr>
        <w:tabs>
          <w:tab w:val="left" w:pos="288"/>
          <w:tab w:val="left" w:pos="4752"/>
        </w:tabs>
        <w:spacing w:line="240" w:lineRule="exact"/>
        <w:jc w:val="both"/>
        <w:rPr>
          <w:szCs w:val="24"/>
        </w:rPr>
      </w:pPr>
    </w:p>
    <w:tbl>
      <w:tblPr>
        <w:tblW w:w="7481"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452"/>
        <w:gridCol w:w="2509"/>
      </w:tblGrid>
      <w:tr w:rsidR="00BD675C" w:rsidRPr="00472828" w:rsidTr="00D54979">
        <w:trPr>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D9D9D9"/>
            <w:hideMark/>
          </w:tcPr>
          <w:p w:rsidR="00BD675C" w:rsidRPr="00472828" w:rsidRDefault="00BD675C" w:rsidP="00D54979">
            <w:pPr>
              <w:spacing w:line="240" w:lineRule="exact"/>
              <w:jc w:val="center"/>
              <w:rPr>
                <w:rFonts w:ascii="Calibri" w:eastAsia="Calibri" w:hAnsi="Calibri"/>
                <w:b/>
              </w:rPr>
            </w:pPr>
            <w:proofErr w:type="spellStart"/>
            <w:r w:rsidRPr="00472828">
              <w:rPr>
                <w:rFonts w:ascii="Calibri" w:eastAsia="Calibri" w:hAnsi="Calibri"/>
                <w:b/>
              </w:rPr>
              <w:t>Thoracolumbar</w:t>
            </w:r>
            <w:proofErr w:type="spellEnd"/>
            <w:r w:rsidRPr="00472828">
              <w:rPr>
                <w:rFonts w:ascii="Calibri" w:eastAsia="Calibri" w:hAnsi="Calibri"/>
                <w:b/>
              </w:rPr>
              <w:t xml:space="preserve"> ROM</w:t>
            </w:r>
          </w:p>
        </w:tc>
        <w:tc>
          <w:tcPr>
            <w:tcW w:w="2452" w:type="dxa"/>
            <w:tcBorders>
              <w:top w:val="single" w:sz="4" w:space="0" w:color="000000"/>
              <w:left w:val="single" w:sz="4" w:space="0" w:color="000000"/>
              <w:bottom w:val="single" w:sz="4" w:space="0" w:color="000000"/>
              <w:right w:val="single" w:sz="4" w:space="0" w:color="000000"/>
            </w:tcBorders>
            <w:shd w:val="clear" w:color="auto" w:fill="D9D9D9"/>
            <w:hideMark/>
          </w:tcPr>
          <w:p w:rsidR="00BD675C" w:rsidRPr="00472828" w:rsidRDefault="00BD675C" w:rsidP="00D54979">
            <w:pPr>
              <w:spacing w:line="240" w:lineRule="exact"/>
              <w:jc w:val="center"/>
              <w:rPr>
                <w:rFonts w:ascii="Calibri" w:eastAsia="Calibri" w:hAnsi="Calibri"/>
                <w:b/>
              </w:rPr>
            </w:pPr>
            <w:r w:rsidRPr="00472828">
              <w:rPr>
                <w:rFonts w:ascii="Calibri" w:eastAsia="Calibri" w:hAnsi="Calibri"/>
                <w:b/>
              </w:rPr>
              <w:t>MEB</w:t>
            </w:r>
            <w:r>
              <w:rPr>
                <w:rFonts w:ascii="Calibri" w:eastAsia="Calibri" w:hAnsi="Calibri"/>
                <w:b/>
              </w:rPr>
              <w:t xml:space="preserve"> PT</w:t>
            </w:r>
            <w:r w:rsidRPr="00472828">
              <w:rPr>
                <w:rFonts w:ascii="Calibri" w:eastAsia="Calibri" w:hAnsi="Calibri"/>
                <w:b/>
              </w:rPr>
              <w:t xml:space="preserve"> </w:t>
            </w:r>
            <w:r>
              <w:rPr>
                <w:rFonts w:ascii="Calibri" w:eastAsia="Calibri" w:hAnsi="Calibri"/>
                <w:b/>
              </w:rPr>
              <w:t>(3 Mo</w:t>
            </w:r>
            <w:r w:rsidRPr="00472828">
              <w:rPr>
                <w:rFonts w:ascii="Calibri" w:eastAsia="Calibri" w:hAnsi="Calibri"/>
                <w:b/>
              </w:rPr>
              <w:t>. Pre-Sep</w:t>
            </w:r>
            <w:r>
              <w:rPr>
                <w:rFonts w:ascii="Calibri" w:eastAsia="Calibri" w:hAnsi="Calibri"/>
                <w:b/>
              </w:rPr>
              <w:t>)</w:t>
            </w:r>
          </w:p>
        </w:tc>
        <w:tc>
          <w:tcPr>
            <w:tcW w:w="2509" w:type="dxa"/>
            <w:tcBorders>
              <w:top w:val="single" w:sz="4" w:space="0" w:color="000000"/>
              <w:left w:val="single" w:sz="4" w:space="0" w:color="000000"/>
              <w:bottom w:val="single" w:sz="4" w:space="0" w:color="000000"/>
              <w:right w:val="single" w:sz="4" w:space="0" w:color="000000"/>
            </w:tcBorders>
            <w:shd w:val="clear" w:color="auto" w:fill="D9D9D9"/>
            <w:hideMark/>
          </w:tcPr>
          <w:p w:rsidR="00BD675C" w:rsidRPr="00472828" w:rsidRDefault="00BD675C" w:rsidP="00D54979">
            <w:pPr>
              <w:spacing w:line="240" w:lineRule="exact"/>
              <w:jc w:val="center"/>
              <w:rPr>
                <w:rFonts w:ascii="Calibri" w:eastAsia="Calibri" w:hAnsi="Calibri"/>
                <w:b/>
              </w:rPr>
            </w:pPr>
            <w:r>
              <w:rPr>
                <w:rFonts w:ascii="Calibri" w:eastAsia="Calibri" w:hAnsi="Calibri"/>
                <w:b/>
              </w:rPr>
              <w:t>VA C&amp;P</w:t>
            </w:r>
            <w:r w:rsidRPr="00472828">
              <w:rPr>
                <w:rFonts w:ascii="Calibri" w:eastAsia="Calibri" w:hAnsi="Calibri"/>
                <w:b/>
              </w:rPr>
              <w:t xml:space="preserve"> </w:t>
            </w:r>
            <w:r>
              <w:rPr>
                <w:rFonts w:ascii="Calibri" w:eastAsia="Calibri" w:hAnsi="Calibri"/>
                <w:b/>
              </w:rPr>
              <w:t>(2 Mo</w:t>
            </w:r>
            <w:r w:rsidRPr="00472828">
              <w:rPr>
                <w:rFonts w:ascii="Calibri" w:eastAsia="Calibri" w:hAnsi="Calibri"/>
                <w:b/>
              </w:rPr>
              <w:t>. Post-Sep</w:t>
            </w:r>
            <w:r>
              <w:rPr>
                <w:rFonts w:ascii="Calibri" w:eastAsia="Calibri" w:hAnsi="Calibri"/>
                <w:b/>
              </w:rPr>
              <w:t>)</w:t>
            </w:r>
          </w:p>
        </w:tc>
      </w:tr>
      <w:tr w:rsidR="00BD675C" w:rsidRPr="00472828" w:rsidTr="00D54979">
        <w:trPr>
          <w:jc w:val="center"/>
        </w:trPr>
        <w:tc>
          <w:tcPr>
            <w:tcW w:w="2520"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sidRPr="00472828">
              <w:rPr>
                <w:rFonts w:ascii="Calibri" w:eastAsia="Calibri" w:hAnsi="Calibri"/>
              </w:rPr>
              <w:t>Flexion (90⁰ Normal)</w:t>
            </w:r>
          </w:p>
        </w:tc>
        <w:tc>
          <w:tcPr>
            <w:tcW w:w="2452"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Pr>
                <w:rFonts w:ascii="Calibri" w:eastAsia="Calibri" w:hAnsi="Calibri"/>
              </w:rPr>
              <w:t>26</w:t>
            </w:r>
            <w:r w:rsidRPr="00472828">
              <w:rPr>
                <w:rFonts w:ascii="Calibri" w:eastAsia="Calibri" w:hAnsi="Calibri"/>
              </w:rPr>
              <w:t>⁰</w:t>
            </w:r>
          </w:p>
        </w:tc>
        <w:tc>
          <w:tcPr>
            <w:tcW w:w="2509"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Pr>
                <w:rFonts w:ascii="Calibri" w:eastAsia="Calibri" w:hAnsi="Calibri"/>
              </w:rPr>
              <w:t>30</w:t>
            </w:r>
            <w:r w:rsidRPr="00472828">
              <w:rPr>
                <w:rFonts w:ascii="Calibri" w:eastAsia="Calibri" w:hAnsi="Calibri"/>
              </w:rPr>
              <w:t>⁰</w:t>
            </w:r>
          </w:p>
        </w:tc>
      </w:tr>
      <w:tr w:rsidR="00BD675C" w:rsidRPr="00472828" w:rsidTr="00D54979">
        <w:trPr>
          <w:jc w:val="center"/>
        </w:trPr>
        <w:tc>
          <w:tcPr>
            <w:tcW w:w="2520"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sidRPr="00472828">
              <w:rPr>
                <w:rFonts w:ascii="Calibri" w:eastAsia="Calibri" w:hAnsi="Calibri"/>
              </w:rPr>
              <w:t>Combined (240⁰ Normal)</w:t>
            </w:r>
          </w:p>
        </w:tc>
        <w:tc>
          <w:tcPr>
            <w:tcW w:w="2452"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Pr>
                <w:rFonts w:ascii="Calibri" w:eastAsia="Calibri" w:hAnsi="Calibri"/>
              </w:rPr>
              <w:t>Incomplete</w:t>
            </w:r>
          </w:p>
        </w:tc>
        <w:tc>
          <w:tcPr>
            <w:tcW w:w="2509"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spacing w:line="240" w:lineRule="exact"/>
              <w:jc w:val="center"/>
              <w:rPr>
                <w:rFonts w:ascii="Calibri" w:eastAsia="Calibri" w:hAnsi="Calibri"/>
              </w:rPr>
            </w:pPr>
            <w:r>
              <w:rPr>
                <w:rFonts w:ascii="Calibri" w:eastAsia="Calibri" w:hAnsi="Calibri"/>
              </w:rPr>
              <w:t>100</w:t>
            </w:r>
            <w:r w:rsidRPr="00472828">
              <w:rPr>
                <w:rFonts w:ascii="Calibri" w:eastAsia="Calibri" w:hAnsi="Calibri"/>
              </w:rPr>
              <w:t>⁰</w:t>
            </w:r>
          </w:p>
        </w:tc>
      </w:tr>
      <w:tr w:rsidR="00BD675C" w:rsidRPr="00472828" w:rsidTr="00D54979">
        <w:trPr>
          <w:trHeight w:val="70"/>
          <w:jc w:val="center"/>
        </w:trPr>
        <w:tc>
          <w:tcPr>
            <w:tcW w:w="2520"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tabs>
                <w:tab w:val="left" w:pos="288"/>
                <w:tab w:val="left" w:pos="4752"/>
              </w:tabs>
              <w:spacing w:line="240" w:lineRule="exact"/>
              <w:jc w:val="center"/>
              <w:rPr>
                <w:rFonts w:ascii="Calibri" w:eastAsia="Calibri" w:hAnsi="Calibri"/>
              </w:rPr>
            </w:pPr>
            <w:r w:rsidRPr="00472828">
              <w:rPr>
                <w:rFonts w:ascii="Calibri" w:eastAsia="Calibri" w:hAnsi="Calibri"/>
              </w:rPr>
              <w:t xml:space="preserve">§4.71a Rating </w:t>
            </w:r>
          </w:p>
        </w:tc>
        <w:tc>
          <w:tcPr>
            <w:tcW w:w="2452"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tabs>
                <w:tab w:val="left" w:pos="288"/>
                <w:tab w:val="left" w:pos="4752"/>
              </w:tabs>
              <w:spacing w:line="240" w:lineRule="exact"/>
              <w:jc w:val="center"/>
              <w:rPr>
                <w:rFonts w:ascii="Calibri" w:eastAsia="Calibri" w:hAnsi="Calibri"/>
              </w:rPr>
            </w:pPr>
            <w:r>
              <w:rPr>
                <w:rFonts w:ascii="Calibri" w:eastAsia="Calibri" w:hAnsi="Calibri"/>
              </w:rPr>
              <w:t>4</w:t>
            </w:r>
            <w:r w:rsidRPr="00472828">
              <w:rPr>
                <w:rFonts w:ascii="Calibri" w:eastAsia="Calibri" w:hAnsi="Calibri"/>
              </w:rPr>
              <w:t>0%</w:t>
            </w:r>
          </w:p>
        </w:tc>
        <w:tc>
          <w:tcPr>
            <w:tcW w:w="2509" w:type="dxa"/>
            <w:tcBorders>
              <w:top w:val="single" w:sz="4" w:space="0" w:color="000000"/>
              <w:left w:val="single" w:sz="4" w:space="0" w:color="000000"/>
              <w:bottom w:val="single" w:sz="4" w:space="0" w:color="000000"/>
              <w:right w:val="single" w:sz="4" w:space="0" w:color="000000"/>
            </w:tcBorders>
            <w:hideMark/>
          </w:tcPr>
          <w:p w:rsidR="00BD675C" w:rsidRPr="00472828" w:rsidRDefault="00BD675C" w:rsidP="00D54979">
            <w:pPr>
              <w:tabs>
                <w:tab w:val="left" w:pos="288"/>
                <w:tab w:val="left" w:pos="4752"/>
              </w:tabs>
              <w:spacing w:line="240" w:lineRule="exact"/>
              <w:jc w:val="center"/>
              <w:rPr>
                <w:rFonts w:ascii="Calibri" w:eastAsia="Calibri" w:hAnsi="Calibri"/>
              </w:rPr>
            </w:pPr>
            <w:r>
              <w:rPr>
                <w:rFonts w:ascii="Calibri" w:eastAsia="Calibri" w:hAnsi="Calibri"/>
              </w:rPr>
              <w:t>4</w:t>
            </w:r>
            <w:r w:rsidRPr="00472828">
              <w:rPr>
                <w:rFonts w:ascii="Calibri" w:eastAsia="Calibri" w:hAnsi="Calibri"/>
              </w:rPr>
              <w:t>0%</w:t>
            </w:r>
          </w:p>
        </w:tc>
      </w:tr>
    </w:tbl>
    <w:p w:rsidR="00BD675C" w:rsidRPr="007B28DA" w:rsidRDefault="00BD675C" w:rsidP="00BD675C">
      <w:pPr>
        <w:tabs>
          <w:tab w:val="left" w:pos="288"/>
          <w:tab w:val="left" w:pos="4752"/>
        </w:tabs>
        <w:spacing w:line="240" w:lineRule="exact"/>
        <w:jc w:val="both"/>
        <w:rPr>
          <w:rFonts w:eastAsia="Calibri"/>
          <w:szCs w:val="24"/>
        </w:rPr>
      </w:pPr>
    </w:p>
    <w:p w:rsidR="00BD675C" w:rsidRPr="00D93256" w:rsidRDefault="00BD675C" w:rsidP="00BD675C">
      <w:pPr>
        <w:spacing w:line="240" w:lineRule="exact"/>
        <w:jc w:val="both"/>
        <w:rPr>
          <w:szCs w:val="24"/>
        </w:rPr>
      </w:pPr>
      <w:proofErr w:type="gramStart"/>
      <w:r w:rsidRPr="007B28DA">
        <w:rPr>
          <w:rFonts w:eastAsia="Calibri"/>
          <w:szCs w:val="24"/>
        </w:rPr>
        <w:t xml:space="preserve">The </w:t>
      </w:r>
      <w:r>
        <w:rPr>
          <w:rFonts w:eastAsia="Calibri"/>
          <w:szCs w:val="24"/>
        </w:rPr>
        <w:t xml:space="preserve">narrative summary (NARSUM) documented </w:t>
      </w:r>
      <w:r w:rsidRPr="00D93256">
        <w:rPr>
          <w:rFonts w:cstheme="minorHAnsi"/>
          <w:szCs w:val="24"/>
        </w:rPr>
        <w:t>“</w:t>
      </w:r>
      <w:r w:rsidRPr="00D93256">
        <w:rPr>
          <w:rFonts w:eastAsia="Calibri" w:cstheme="minorHAnsi"/>
          <w:szCs w:val="24"/>
        </w:rPr>
        <w:t>little flexion due to pain”</w:t>
      </w:r>
      <w:r>
        <w:rPr>
          <w:rFonts w:eastAsia="Calibri" w:cstheme="minorHAnsi"/>
          <w:szCs w:val="24"/>
        </w:rPr>
        <w:t xml:space="preserve"> </w:t>
      </w:r>
      <w:r>
        <w:rPr>
          <w:rFonts w:eastAsia="Calibri"/>
          <w:szCs w:val="24"/>
        </w:rPr>
        <w:t>without goniometric detail.</w:t>
      </w:r>
      <w:proofErr w:type="gramEnd"/>
      <w:r>
        <w:rPr>
          <w:rFonts w:eastAsia="Calibri"/>
          <w:szCs w:val="24"/>
        </w:rPr>
        <w:t xml:space="preserve">  All examiners described normal gait and spinal contour.  All examiners described normal neurological findings, although the CI continued to manifest </w:t>
      </w:r>
      <w:proofErr w:type="spellStart"/>
      <w:r>
        <w:rPr>
          <w:rFonts w:eastAsia="Calibri"/>
          <w:szCs w:val="24"/>
        </w:rPr>
        <w:t>radicular</w:t>
      </w:r>
      <w:proofErr w:type="spellEnd"/>
      <w:r>
        <w:rPr>
          <w:rFonts w:eastAsia="Calibri"/>
          <w:szCs w:val="24"/>
        </w:rPr>
        <w:t xml:space="preserve"> pain bilaterally.  The PEB and the VA chose different codes for the lumbar condition, although this did not bear on rating.  </w:t>
      </w:r>
      <w:r w:rsidRPr="00556CDC">
        <w:rPr>
          <w:rFonts w:eastAsia="Calibri"/>
          <w:szCs w:val="24"/>
        </w:rPr>
        <w:t xml:space="preserve">The PEB’s </w:t>
      </w:r>
      <w:r>
        <w:rPr>
          <w:rFonts w:eastAsia="Calibri"/>
          <w:szCs w:val="24"/>
        </w:rPr>
        <w:t>1</w:t>
      </w:r>
      <w:r w:rsidRPr="00556CDC">
        <w:rPr>
          <w:rFonts w:eastAsia="Calibri"/>
          <w:szCs w:val="24"/>
        </w:rPr>
        <w:t xml:space="preserve">0% rating was supported by the USAPDA pain policy, but was not consistent with VASRD §4.71a standards for the ROM evidence provided by the MEB.  </w:t>
      </w:r>
      <w:proofErr w:type="gramStart"/>
      <w:r>
        <w:rPr>
          <w:rFonts w:eastAsia="Calibri"/>
          <w:szCs w:val="24"/>
        </w:rPr>
        <w:t xml:space="preserve">All of the </w:t>
      </w:r>
      <w:r>
        <w:rPr>
          <w:rFonts w:eastAsia="Calibri"/>
          <w:szCs w:val="24"/>
        </w:rPr>
        <w:lastRenderedPageBreak/>
        <w:t xml:space="preserve">ROM data in evidence supports a </w:t>
      </w:r>
      <w:r w:rsidRPr="00556CDC">
        <w:rPr>
          <w:rFonts w:eastAsia="Calibri"/>
          <w:szCs w:val="24"/>
        </w:rPr>
        <w:t>§4.71a</w:t>
      </w:r>
      <w:r>
        <w:rPr>
          <w:rFonts w:eastAsia="Calibri"/>
          <w:szCs w:val="24"/>
        </w:rPr>
        <w:t>-based rating of 40%.</w:t>
      </w:r>
      <w:proofErr w:type="gramEnd"/>
      <w:r>
        <w:rPr>
          <w:rFonts w:eastAsia="Calibri"/>
          <w:szCs w:val="24"/>
        </w:rPr>
        <w:t xml:space="preserve">  </w:t>
      </w:r>
      <w:r w:rsidRPr="00556CDC">
        <w:rPr>
          <w:rFonts w:eastAsiaTheme="minorHAnsi"/>
          <w:szCs w:val="24"/>
        </w:rPr>
        <w:t>There was no evidence of ratable peripheral nerve impairment or documentation of incapacitating episodes which would provide for additional or higher rating.</w:t>
      </w:r>
      <w:r>
        <w:rPr>
          <w:rFonts w:eastAsiaTheme="minorHAnsi"/>
          <w:szCs w:val="24"/>
        </w:rPr>
        <w:t xml:space="preserve">  </w:t>
      </w:r>
      <w:r w:rsidRPr="00260DCD">
        <w:rPr>
          <w:rFonts w:eastAsiaTheme="minorHAnsi"/>
          <w:szCs w:val="24"/>
        </w:rPr>
        <w:t xml:space="preserve">After due deliberation, considering all of the evidence and mindful of VASRD §4.3 (reasonable doubt), the Board recommends a separation rating of </w:t>
      </w:r>
      <w:r>
        <w:rPr>
          <w:rFonts w:eastAsiaTheme="minorHAnsi"/>
          <w:szCs w:val="24"/>
        </w:rPr>
        <w:t>4</w:t>
      </w:r>
      <w:r w:rsidRPr="00260DCD">
        <w:rPr>
          <w:rFonts w:eastAsiaTheme="minorHAnsi"/>
          <w:szCs w:val="24"/>
        </w:rPr>
        <w:t xml:space="preserve">0% for the </w:t>
      </w:r>
      <w:r>
        <w:rPr>
          <w:rFonts w:eastAsiaTheme="minorHAnsi"/>
          <w:szCs w:val="24"/>
        </w:rPr>
        <w:t>lumbar spine</w:t>
      </w:r>
      <w:r w:rsidRPr="00260DCD">
        <w:rPr>
          <w:rFonts w:eastAsiaTheme="minorHAnsi"/>
          <w:szCs w:val="24"/>
        </w:rPr>
        <w:t xml:space="preserve"> condition.</w:t>
      </w:r>
      <w:r>
        <w:rPr>
          <w:rFonts w:eastAsiaTheme="minorHAnsi"/>
          <w:szCs w:val="24"/>
        </w:rPr>
        <w:t xml:space="preserve">  The PEB assigned code, 5241 (spinal fusion), was appropriate to the pathology. </w:t>
      </w:r>
    </w:p>
    <w:p w:rsidR="00BD675C" w:rsidRPr="00D93256" w:rsidRDefault="00BD675C" w:rsidP="00BD675C">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highlight w:val="yellow"/>
        </w:rPr>
      </w:pPr>
    </w:p>
    <w:p w:rsidR="00BD675C" w:rsidRPr="00443937" w:rsidRDefault="00BD675C" w:rsidP="00BD675C">
      <w:pPr>
        <w:autoSpaceDE w:val="0"/>
        <w:autoSpaceDN w:val="0"/>
        <w:adjustRightInd w:val="0"/>
        <w:spacing w:line="240" w:lineRule="exact"/>
        <w:jc w:val="both"/>
        <w:rPr>
          <w:rFonts w:cstheme="minorHAnsi"/>
          <w:szCs w:val="24"/>
        </w:rPr>
      </w:pPr>
      <w:r w:rsidRPr="00D64A52">
        <w:rPr>
          <w:rFonts w:cstheme="minorHAnsi"/>
          <w:szCs w:val="24"/>
          <w:u w:val="single"/>
        </w:rPr>
        <w:t xml:space="preserve">Right Knee </w:t>
      </w:r>
      <w:r>
        <w:rPr>
          <w:rFonts w:cstheme="minorHAnsi"/>
          <w:szCs w:val="24"/>
          <w:u w:val="single"/>
        </w:rPr>
        <w:t>Condition</w:t>
      </w:r>
      <w:r>
        <w:rPr>
          <w:rFonts w:cstheme="minorHAnsi"/>
          <w:szCs w:val="24"/>
        </w:rPr>
        <w:t xml:space="preserve">:  The CI twisted the knee in a fall during his 2004 Iraq deployment, and was subsequently transferred to </w:t>
      </w:r>
      <w:proofErr w:type="spellStart"/>
      <w:r>
        <w:rPr>
          <w:rFonts w:cstheme="minorHAnsi"/>
          <w:szCs w:val="24"/>
        </w:rPr>
        <w:t>Landstuhl</w:t>
      </w:r>
      <w:proofErr w:type="spellEnd"/>
      <w:r>
        <w:rPr>
          <w:rFonts w:cstheme="minorHAnsi"/>
          <w:szCs w:val="24"/>
        </w:rPr>
        <w:t xml:space="preserve"> where a </w:t>
      </w:r>
      <w:proofErr w:type="spellStart"/>
      <w:r>
        <w:rPr>
          <w:rFonts w:cstheme="minorHAnsi"/>
          <w:szCs w:val="24"/>
        </w:rPr>
        <w:t>meniscal</w:t>
      </w:r>
      <w:proofErr w:type="spellEnd"/>
      <w:r>
        <w:rPr>
          <w:rFonts w:cstheme="minorHAnsi"/>
          <w:szCs w:val="24"/>
        </w:rPr>
        <w:t xml:space="preserve"> tear was diagnosed; he underwent arthroscopic repair later in 2004 after redeployment.  </w:t>
      </w:r>
      <w:r w:rsidRPr="007B6096">
        <w:rPr>
          <w:rFonts w:cstheme="minorHAnsi"/>
          <w:szCs w:val="24"/>
        </w:rPr>
        <w:t>The Board’s main charge in respect to this condition is an assessment of the appropriateness of the PEB’s fitness adjudication.</w:t>
      </w:r>
      <w:r>
        <w:rPr>
          <w:rFonts w:cstheme="minorHAnsi"/>
          <w:szCs w:val="24"/>
        </w:rPr>
        <w:t xml:space="preserve">  </w:t>
      </w:r>
      <w:r w:rsidRPr="007B6096">
        <w:rPr>
          <w:rFonts w:cstheme="minorHAnsi"/>
          <w:szCs w:val="24"/>
        </w:rPr>
        <w:t xml:space="preserve">The Board’s threshold for countering DES fitness determinations is higher than the VASRD §4.3 (reasonable doubt) standard used for its rating recommendations, but remains adherent to the </w:t>
      </w:r>
      <w:proofErr w:type="spellStart"/>
      <w:r w:rsidRPr="007B6096">
        <w:rPr>
          <w:rFonts w:cstheme="minorHAnsi"/>
          <w:szCs w:val="24"/>
        </w:rPr>
        <w:t>DoDI</w:t>
      </w:r>
      <w:proofErr w:type="spellEnd"/>
      <w:r w:rsidRPr="007B6096">
        <w:rPr>
          <w:rFonts w:cstheme="minorHAnsi"/>
          <w:szCs w:val="24"/>
        </w:rPr>
        <w:t xml:space="preserve"> 6040.44 “fair and equitable” standard.  </w:t>
      </w:r>
      <w:r>
        <w:rPr>
          <w:rFonts w:cstheme="minorHAnsi"/>
          <w:szCs w:val="24"/>
        </w:rPr>
        <w:t>The condition was judged by the MEB orthopedist to meet retention standards.  An outpatient entry a year before separation documented that the knee had been “cleared” and the treatment was confined to home exercises; and, there is no documentation in the Service file of active issues after that.  An outpatient note six months prior to separation stated, “</w:t>
      </w:r>
      <w:r w:rsidRPr="0088322F">
        <w:rPr>
          <w:rFonts w:eastAsiaTheme="minorHAnsi" w:cstheme="minorHAnsi"/>
          <w:szCs w:val="24"/>
        </w:rPr>
        <w:t>He still has a little bit of intermittent, achy pain back of right knee</w:t>
      </w:r>
      <w:r>
        <w:rPr>
          <w:rFonts w:eastAsiaTheme="minorHAnsi" w:cstheme="minorHAnsi"/>
          <w:szCs w:val="24"/>
        </w:rPr>
        <w:t>.” He was place on a permanent L2 profile for the knee, with the only restriction directed at deep knee bends.  The knee was incorporated into the permanent L3 profile for the back; but, the profile in effect at separation contained the specific comment, “Revision of existing permanent profile modified to reflect L2 status of the right knee condition.”</w:t>
      </w:r>
      <w:r>
        <w:rPr>
          <w:rFonts w:cstheme="minorHAnsi"/>
          <w:szCs w:val="24"/>
        </w:rPr>
        <w:t xml:space="preserve">  The commander’s statement made note of the knee injury, but provided no information relating it to MOS impairment; citing only that the CI was “still in a body brace” and that he carried a P3 profile.  </w:t>
      </w:r>
      <w:proofErr w:type="gramStart"/>
      <w:r>
        <w:rPr>
          <w:rFonts w:cstheme="minorHAnsi"/>
          <w:szCs w:val="24"/>
        </w:rPr>
        <w:t>Neither the NARSUM nor MEB physical documented exam abnormalities of the knee.</w:t>
      </w:r>
      <w:proofErr w:type="gramEnd"/>
      <w:r>
        <w:rPr>
          <w:rFonts w:cstheme="minorHAnsi"/>
          <w:szCs w:val="24"/>
        </w:rPr>
        <w:t xml:space="preserve">  The VA post-separation C&amp;P exam noted painful ROM, but no instability or gait disturbance. </w:t>
      </w:r>
      <w:r>
        <w:rPr>
          <w:rFonts w:eastAsiaTheme="minorHAnsi" w:cstheme="minorHAnsi"/>
          <w:szCs w:val="24"/>
        </w:rPr>
        <w:t xml:space="preserve"> </w:t>
      </w:r>
      <w:r w:rsidRPr="007B6096">
        <w:rPr>
          <w:rFonts w:cstheme="minorHAnsi"/>
          <w:szCs w:val="24"/>
        </w:rPr>
        <w:t xml:space="preserve">After due deliberation, and in consideration of the totality of the evidence, the Board cannot find adequate justification for recommending the </w:t>
      </w:r>
      <w:r>
        <w:rPr>
          <w:rFonts w:cstheme="minorHAnsi"/>
          <w:szCs w:val="24"/>
        </w:rPr>
        <w:t xml:space="preserve">right knee </w:t>
      </w:r>
      <w:r w:rsidRPr="007B6096">
        <w:rPr>
          <w:rFonts w:cstheme="minorHAnsi"/>
          <w:szCs w:val="24"/>
        </w:rPr>
        <w:t xml:space="preserve">condition as additionally unfitting for separation rating.  </w:t>
      </w:r>
    </w:p>
    <w:p w:rsidR="00BD675C" w:rsidRDefault="00BD675C" w:rsidP="00BD675C">
      <w:pPr>
        <w:spacing w:line="240" w:lineRule="exact"/>
        <w:jc w:val="both"/>
        <w:rPr>
          <w:szCs w:val="24"/>
        </w:rPr>
      </w:pPr>
    </w:p>
    <w:p w:rsidR="00BD675C" w:rsidRDefault="00BD675C" w:rsidP="00BD675C">
      <w:pPr>
        <w:spacing w:line="240" w:lineRule="exact"/>
        <w:contextualSpacing/>
        <w:jc w:val="both"/>
        <w:rPr>
          <w:rFonts w:cstheme="minorHAnsi"/>
          <w:szCs w:val="24"/>
        </w:rPr>
      </w:pPr>
      <w:proofErr w:type="gramStart"/>
      <w:r>
        <w:rPr>
          <w:rFonts w:cstheme="minorHAnsi"/>
          <w:szCs w:val="24"/>
          <w:u w:val="single"/>
        </w:rPr>
        <w:t>Contended Postt</w:t>
      </w:r>
      <w:r w:rsidRPr="00B65DA9">
        <w:rPr>
          <w:rFonts w:cstheme="minorHAnsi"/>
          <w:szCs w:val="24"/>
          <w:u w:val="single"/>
        </w:rPr>
        <w:t>raumatic Stress Disorder</w:t>
      </w:r>
      <w:r>
        <w:rPr>
          <w:rFonts w:cstheme="minorHAnsi"/>
          <w:szCs w:val="24"/>
        </w:rPr>
        <w:t>.</w:t>
      </w:r>
      <w:proofErr w:type="gramEnd"/>
      <w:r w:rsidRPr="00B65DA9">
        <w:rPr>
          <w:rFonts w:cstheme="minorHAnsi"/>
          <w:szCs w:val="24"/>
        </w:rPr>
        <w:t xml:space="preserve">  The CI’s application asserts that </w:t>
      </w:r>
      <w:r>
        <w:rPr>
          <w:rFonts w:cstheme="minorHAnsi"/>
          <w:szCs w:val="24"/>
        </w:rPr>
        <w:t xml:space="preserve">a compensable rating </w:t>
      </w:r>
      <w:r w:rsidRPr="00B65DA9">
        <w:rPr>
          <w:rFonts w:cstheme="minorHAnsi"/>
          <w:szCs w:val="24"/>
        </w:rPr>
        <w:t xml:space="preserve">should be considered for </w:t>
      </w:r>
      <w:r>
        <w:rPr>
          <w:rFonts w:cstheme="minorHAnsi"/>
          <w:szCs w:val="24"/>
        </w:rPr>
        <w:t>PTSD.</w:t>
      </w:r>
      <w:r w:rsidRPr="00B65DA9">
        <w:rPr>
          <w:rFonts w:cstheme="minorHAnsi"/>
          <w:szCs w:val="24"/>
        </w:rPr>
        <w:t xml:space="preserve"> </w:t>
      </w:r>
      <w:r>
        <w:rPr>
          <w:rFonts w:cstheme="minorHAnsi"/>
          <w:szCs w:val="24"/>
        </w:rPr>
        <w:t xml:space="preserve">  Although there is documentation of sleep disturbance (as contended), there is no Service evidence for a psychiatric diagnosis or treatment.  On the MEB physical questionnaire, the only positive psychiatric response was “trouble sleeping for a year and half since coming back from Iraq – take nothing for it.” </w:t>
      </w:r>
      <w:r w:rsidRPr="009A7E7B">
        <w:rPr>
          <w:rFonts w:cstheme="minorHAnsi"/>
          <w:szCs w:val="24"/>
        </w:rPr>
        <w:t xml:space="preserve"> </w:t>
      </w:r>
      <w:r>
        <w:rPr>
          <w:rFonts w:cstheme="minorHAnsi"/>
          <w:szCs w:val="24"/>
        </w:rPr>
        <w:t>There was no psychiatric impairment profiled or documented by the commander.  The CI was not identified with symptoms specific to PTSD until two months after separation; citing the stressor of witnessed casualties during transfer for his knee injury.</w:t>
      </w:r>
      <w:r w:rsidRPr="00B65DA9">
        <w:rPr>
          <w:rFonts w:cstheme="minorHAnsi"/>
          <w:szCs w:val="24"/>
        </w:rPr>
        <w:t xml:space="preserve"> </w:t>
      </w:r>
      <w:r>
        <w:rPr>
          <w:rFonts w:cstheme="minorHAnsi"/>
          <w:szCs w:val="24"/>
        </w:rPr>
        <w:t xml:space="preserve"> </w:t>
      </w:r>
      <w:r w:rsidRPr="00CB1FD1">
        <w:rPr>
          <w:rFonts w:cstheme="minorHAnsi"/>
          <w:szCs w:val="24"/>
        </w:rPr>
        <w:t xml:space="preserve">The Board acknowledges the presence of </w:t>
      </w:r>
      <w:r>
        <w:rPr>
          <w:rFonts w:cstheme="minorHAnsi"/>
          <w:szCs w:val="24"/>
        </w:rPr>
        <w:t xml:space="preserve">PTSD </w:t>
      </w:r>
      <w:r w:rsidRPr="00CB1FD1">
        <w:rPr>
          <w:rFonts w:cstheme="minorHAnsi"/>
          <w:szCs w:val="24"/>
        </w:rPr>
        <w:t>as a currently rated condition by the VA, but the scope of its recommendations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Service rating.</w:t>
      </w:r>
      <w:r>
        <w:rPr>
          <w:rFonts w:cstheme="minorHAnsi"/>
          <w:szCs w:val="24"/>
        </w:rPr>
        <w:t xml:space="preserve">  The condition, especially since it is contended that the symptoms were not properly addressed by the Service, remains eligible for appeal to the ABMCR.</w:t>
      </w:r>
    </w:p>
    <w:p w:rsidR="00BD675C" w:rsidRPr="00B65DA9" w:rsidRDefault="00BD675C" w:rsidP="00BD675C">
      <w:pPr>
        <w:spacing w:line="240" w:lineRule="exact"/>
        <w:jc w:val="both"/>
        <w:rPr>
          <w:rFonts w:cstheme="minorHAnsi"/>
          <w:szCs w:val="24"/>
        </w:rPr>
      </w:pPr>
    </w:p>
    <w:p w:rsidR="00BD675C" w:rsidRPr="002F26DC" w:rsidRDefault="00BD675C" w:rsidP="00BD675C">
      <w:pPr>
        <w:tabs>
          <w:tab w:val="left" w:pos="288"/>
          <w:tab w:val="left" w:pos="4752"/>
        </w:tabs>
        <w:spacing w:line="240" w:lineRule="exact"/>
        <w:jc w:val="both"/>
        <w:rPr>
          <w:rFonts w:cstheme="minorHAnsi"/>
          <w:szCs w:val="24"/>
          <w:highlight w:val="green"/>
        </w:rPr>
      </w:pPr>
      <w:proofErr w:type="gramStart"/>
      <w:r w:rsidRPr="00957D7F">
        <w:rPr>
          <w:rFonts w:cstheme="minorHAnsi"/>
          <w:szCs w:val="24"/>
          <w:u w:val="single"/>
        </w:rPr>
        <w:t>Remaining Conditions</w:t>
      </w:r>
      <w:r w:rsidRPr="002F26DC">
        <w:rPr>
          <w:rFonts w:cstheme="minorHAnsi"/>
          <w:szCs w:val="24"/>
        </w:rPr>
        <w:t>.</w:t>
      </w:r>
      <w:proofErr w:type="gramEnd"/>
      <w:r w:rsidRPr="002F26DC">
        <w:rPr>
          <w:rFonts w:cstheme="minorHAnsi"/>
          <w:szCs w:val="24"/>
        </w:rPr>
        <w:t xml:space="preserve"> </w:t>
      </w:r>
      <w:r>
        <w:rPr>
          <w:rFonts w:cstheme="minorHAnsi"/>
          <w:szCs w:val="24"/>
        </w:rPr>
        <w:t xml:space="preserve"> Other conditions identified in the DES file were sinusitis, psoriasis, heartburn, and a remote fracture of the left middle finger.  Some additional non-acute conditions and medical complaints were also documented.  None of these conditions were clinically active during the MEB period; none carried attached profiles; and, none were implicated in the commander’s statement.  These conditions were reviewed by the action officer and considered by the Board.  It was determined that none could be argued as unfitting and subject to separation rating. A c</w:t>
      </w:r>
      <w:r w:rsidRPr="002F26DC">
        <w:rPr>
          <w:rFonts w:cstheme="minorHAnsi"/>
          <w:szCs w:val="24"/>
        </w:rPr>
        <w:t xml:space="preserve">ervical </w:t>
      </w:r>
      <w:r>
        <w:rPr>
          <w:rFonts w:cstheme="minorHAnsi"/>
          <w:szCs w:val="24"/>
        </w:rPr>
        <w:t xml:space="preserve">spine </w:t>
      </w:r>
      <w:r w:rsidRPr="002F26DC">
        <w:rPr>
          <w:rFonts w:cstheme="minorHAnsi"/>
          <w:szCs w:val="24"/>
        </w:rPr>
        <w:t>condition identified by th</w:t>
      </w:r>
      <w:r>
        <w:rPr>
          <w:rFonts w:cstheme="minorHAnsi"/>
          <w:szCs w:val="24"/>
        </w:rPr>
        <w:t xml:space="preserve">e VA soon </w:t>
      </w:r>
      <w:proofErr w:type="gramStart"/>
      <w:r>
        <w:rPr>
          <w:rFonts w:cstheme="minorHAnsi"/>
          <w:szCs w:val="24"/>
        </w:rPr>
        <w:t>after  separation</w:t>
      </w:r>
      <w:proofErr w:type="gramEnd"/>
      <w:r>
        <w:rPr>
          <w:rFonts w:cstheme="minorHAnsi"/>
          <w:szCs w:val="24"/>
        </w:rPr>
        <w:t xml:space="preserve"> was</w:t>
      </w:r>
      <w:r w:rsidRPr="002F26DC">
        <w:rPr>
          <w:rFonts w:cstheme="minorHAnsi"/>
          <w:szCs w:val="24"/>
        </w:rPr>
        <w:t xml:space="preserve"> not documented in the DES file. </w:t>
      </w:r>
      <w:r>
        <w:rPr>
          <w:rFonts w:cstheme="minorHAnsi"/>
          <w:szCs w:val="24"/>
        </w:rPr>
        <w:t xml:space="preserve"> </w:t>
      </w:r>
      <w:r w:rsidRPr="002F26DC">
        <w:rPr>
          <w:rFonts w:cstheme="minorHAnsi"/>
          <w:szCs w:val="24"/>
        </w:rPr>
        <w:t xml:space="preserve">The Board does not have the authority under </w:t>
      </w:r>
      <w:proofErr w:type="spellStart"/>
      <w:r w:rsidRPr="002F26DC">
        <w:rPr>
          <w:rFonts w:cstheme="minorHAnsi"/>
          <w:szCs w:val="24"/>
        </w:rPr>
        <w:t>DoDI</w:t>
      </w:r>
      <w:proofErr w:type="spellEnd"/>
      <w:r w:rsidRPr="002F26DC">
        <w:rPr>
          <w:rFonts w:cstheme="minorHAnsi"/>
          <w:szCs w:val="24"/>
        </w:rPr>
        <w:t xml:space="preserve"> 6040.44 to render fitness or rating recommendations for any conditions not considered by the DES.</w:t>
      </w:r>
      <w:r>
        <w:rPr>
          <w:rFonts w:cstheme="minorHAnsi"/>
          <w:szCs w:val="24"/>
        </w:rPr>
        <w:t xml:space="preserve"> </w:t>
      </w:r>
      <w:r w:rsidRPr="002F26DC">
        <w:rPr>
          <w:rFonts w:cstheme="minorHAnsi"/>
          <w:szCs w:val="24"/>
        </w:rPr>
        <w:t xml:space="preserve"> The Board thus has no basis for recommending any additional unfitting conditions for separation rating.</w:t>
      </w:r>
    </w:p>
    <w:p w:rsidR="00BD675C" w:rsidRPr="006609AD" w:rsidRDefault="00BD675C" w:rsidP="00BD675C">
      <w:pPr>
        <w:pBdr>
          <w:bottom w:val="single" w:sz="12" w:space="1" w:color="auto"/>
        </w:pBdr>
        <w:tabs>
          <w:tab w:val="left" w:pos="288"/>
          <w:tab w:val="left" w:pos="4752"/>
        </w:tabs>
        <w:spacing w:line="240" w:lineRule="exact"/>
        <w:jc w:val="both"/>
        <w:rPr>
          <w:rFonts w:ascii="Calibri" w:hAnsi="Calibri"/>
          <w:szCs w:val="24"/>
        </w:rPr>
      </w:pPr>
    </w:p>
    <w:p w:rsidR="00BD675C" w:rsidRPr="006609AD" w:rsidRDefault="00BD675C" w:rsidP="00BD675C">
      <w:pPr>
        <w:tabs>
          <w:tab w:val="left" w:pos="288"/>
          <w:tab w:val="left" w:pos="4752"/>
        </w:tabs>
        <w:spacing w:line="240" w:lineRule="exact"/>
        <w:jc w:val="both"/>
        <w:rPr>
          <w:rFonts w:ascii="Calibri" w:hAnsi="Calibri"/>
          <w:szCs w:val="24"/>
        </w:rPr>
      </w:pPr>
    </w:p>
    <w:p w:rsidR="00BD675C" w:rsidRDefault="00BD675C" w:rsidP="00BD675C">
      <w:pPr>
        <w:spacing w:line="240" w:lineRule="exact"/>
        <w:jc w:val="both"/>
        <w:rPr>
          <w:szCs w:val="24"/>
          <w:u w:val="single"/>
        </w:rPr>
      </w:pPr>
    </w:p>
    <w:p w:rsidR="00BD675C" w:rsidRPr="008907D0" w:rsidRDefault="00BD675C" w:rsidP="00BD675C">
      <w:pPr>
        <w:spacing w:line="240" w:lineRule="exact"/>
        <w:jc w:val="both"/>
        <w:rPr>
          <w:szCs w:val="24"/>
        </w:rPr>
      </w:pPr>
      <w:r w:rsidRPr="00C276CD">
        <w:rPr>
          <w:szCs w:val="24"/>
          <w:u w:val="single"/>
        </w:rPr>
        <w:t>BOARD FINDINGS</w:t>
      </w:r>
      <w:r w:rsidRPr="00C276CD">
        <w:rPr>
          <w:szCs w:val="24"/>
        </w:rPr>
        <w:t>:</w:t>
      </w:r>
      <w:r w:rsidRPr="00C276CD">
        <w:rPr>
          <w:rFonts w:eastAsiaTheme="minorHAnsi"/>
          <w:szCs w:val="24"/>
        </w:rPr>
        <w:t xml:space="preserve">  IAW </w:t>
      </w:r>
      <w:proofErr w:type="spellStart"/>
      <w:r w:rsidRPr="00C276CD">
        <w:rPr>
          <w:rFonts w:eastAsiaTheme="minorHAnsi"/>
          <w:szCs w:val="24"/>
        </w:rPr>
        <w:t>DoDI</w:t>
      </w:r>
      <w:proofErr w:type="spellEnd"/>
      <w:r w:rsidRPr="00C276CD">
        <w:rPr>
          <w:rFonts w:eastAsiaTheme="minorHAnsi"/>
          <w:szCs w:val="24"/>
        </w:rPr>
        <w:t xml:space="preserve"> 6040.44, provisions </w:t>
      </w:r>
      <w:r>
        <w:rPr>
          <w:rFonts w:eastAsiaTheme="minorHAnsi"/>
          <w:szCs w:val="24"/>
        </w:rPr>
        <w:t xml:space="preserve">of </w:t>
      </w:r>
      <w:proofErr w:type="spellStart"/>
      <w:proofErr w:type="gramStart"/>
      <w:r>
        <w:rPr>
          <w:rFonts w:eastAsiaTheme="minorHAnsi"/>
          <w:szCs w:val="24"/>
        </w:rPr>
        <w:t>DoD</w:t>
      </w:r>
      <w:proofErr w:type="spellEnd"/>
      <w:proofErr w:type="gramEnd"/>
      <w:r>
        <w:rPr>
          <w:rFonts w:eastAsiaTheme="minorHAnsi"/>
          <w:szCs w:val="24"/>
        </w:rPr>
        <w:t xml:space="preserve"> or military d</w:t>
      </w:r>
      <w:r w:rsidRPr="00396779">
        <w:rPr>
          <w:rFonts w:eastAsiaTheme="minorHAnsi"/>
          <w:szCs w:val="24"/>
        </w:rPr>
        <w:t xml:space="preserve">epartment regulations or guidelines relied upon by the PEB will not be considered by the Board to the extent they were inconsistent with the VASRD in effect at the time of the adjudication.  </w:t>
      </w:r>
      <w:r w:rsidRPr="009B320B">
        <w:rPr>
          <w:rFonts w:ascii="Calibri" w:eastAsiaTheme="minorHAnsi" w:hAnsi="Calibri"/>
          <w:szCs w:val="24"/>
        </w:rPr>
        <w:t xml:space="preserve">As discussed above, PEB reliance on the USAPDA pain policy for rating </w:t>
      </w:r>
      <w:r>
        <w:rPr>
          <w:rFonts w:ascii="Calibri" w:eastAsiaTheme="minorHAnsi" w:hAnsi="Calibri"/>
          <w:szCs w:val="24"/>
        </w:rPr>
        <w:t>the lumbar spine condition</w:t>
      </w:r>
      <w:r w:rsidRPr="009B320B">
        <w:rPr>
          <w:rFonts w:ascii="Calibri" w:eastAsiaTheme="minorHAnsi" w:hAnsi="Calibri"/>
          <w:szCs w:val="24"/>
        </w:rPr>
        <w:t xml:space="preserve"> was operant in this case and the condition was adjudicated </w:t>
      </w:r>
      <w:r w:rsidRPr="009060C4">
        <w:rPr>
          <w:rFonts w:ascii="Calibri" w:eastAsiaTheme="minorHAnsi" w:hAnsi="Calibri"/>
          <w:szCs w:val="24"/>
        </w:rPr>
        <w:t xml:space="preserve">independently of that policy by the Board.  </w:t>
      </w:r>
      <w:r w:rsidRPr="009060C4">
        <w:rPr>
          <w:rFonts w:eastAsiaTheme="minorHAnsi"/>
          <w:szCs w:val="24"/>
        </w:rPr>
        <w:t xml:space="preserve">In the matter of the </w:t>
      </w:r>
      <w:r w:rsidRPr="009060C4">
        <w:rPr>
          <w:rFonts w:ascii="Calibri" w:eastAsiaTheme="minorHAnsi" w:hAnsi="Calibri"/>
          <w:szCs w:val="24"/>
        </w:rPr>
        <w:t>lumbar spine condition</w:t>
      </w:r>
      <w:r w:rsidRPr="009060C4">
        <w:rPr>
          <w:rFonts w:eastAsiaTheme="minorHAnsi"/>
          <w:szCs w:val="24"/>
        </w:rPr>
        <w:t xml:space="preserve">, the Board unanimously recommends a rating of 40%, coded </w:t>
      </w:r>
      <w:r w:rsidRPr="009060C4">
        <w:rPr>
          <w:rFonts w:eastAsiaTheme="minorHAnsi"/>
          <w:szCs w:val="24"/>
        </w:rPr>
        <w:lastRenderedPageBreak/>
        <w:t xml:space="preserve">5241, </w:t>
      </w:r>
      <w:r w:rsidRPr="009060C4">
        <w:rPr>
          <w:szCs w:val="24"/>
        </w:rPr>
        <w:t>IAW VASRD §4.71a.  In the matter of the right knee condition, the Board unanimously recommends no change from the PEB adjudication as not unfitting.  In the matter of the</w:t>
      </w:r>
      <w:r w:rsidRPr="009060C4">
        <w:rPr>
          <w:rFonts w:cstheme="minorHAnsi"/>
          <w:szCs w:val="24"/>
        </w:rPr>
        <w:t xml:space="preserve"> </w:t>
      </w:r>
      <w:r>
        <w:rPr>
          <w:rFonts w:cstheme="minorHAnsi"/>
          <w:szCs w:val="24"/>
        </w:rPr>
        <w:t>contended PTSD</w:t>
      </w:r>
      <w:r w:rsidRPr="009060C4">
        <w:rPr>
          <w:rFonts w:cstheme="minorHAnsi"/>
          <w:szCs w:val="24"/>
        </w:rPr>
        <w:t xml:space="preserve">, </w:t>
      </w:r>
      <w:r w:rsidRPr="009060C4">
        <w:rPr>
          <w:rFonts w:ascii="Calibri" w:hAnsi="Calibri"/>
          <w:szCs w:val="24"/>
        </w:rPr>
        <w:t xml:space="preserve">the Board unanimously agrees that it is ineligible for a recommendation regarding Service disability rating.  </w:t>
      </w:r>
      <w:r w:rsidRPr="009060C4">
        <w:rPr>
          <w:rFonts w:eastAsiaTheme="minorHAnsi"/>
          <w:szCs w:val="24"/>
        </w:rPr>
        <w:t>The Board unanimously</w:t>
      </w:r>
      <w:r w:rsidRPr="008907D0">
        <w:rPr>
          <w:rFonts w:eastAsiaTheme="minorHAnsi"/>
          <w:szCs w:val="24"/>
        </w:rPr>
        <w:t xml:space="preserve"> agrees that there were no other conditions eligible for Board consideration which could be recommended as additionally unfitting for rating at separation.</w:t>
      </w:r>
    </w:p>
    <w:p w:rsidR="00BD675C" w:rsidRPr="006609AD" w:rsidRDefault="00BD675C" w:rsidP="00BD675C">
      <w:pPr>
        <w:pBdr>
          <w:bottom w:val="single" w:sz="12" w:space="1" w:color="auto"/>
        </w:pBdr>
        <w:tabs>
          <w:tab w:val="left" w:pos="288"/>
          <w:tab w:val="left" w:pos="4752"/>
        </w:tabs>
        <w:spacing w:line="240" w:lineRule="exact"/>
        <w:jc w:val="both"/>
        <w:rPr>
          <w:rFonts w:ascii="Calibri" w:hAnsi="Calibri"/>
          <w:szCs w:val="24"/>
        </w:rPr>
      </w:pPr>
      <w:r w:rsidRPr="009A7E7B">
        <w:rPr>
          <w:rFonts w:ascii="Calibri" w:hAnsi="Calibri"/>
          <w:szCs w:val="24"/>
        </w:rPr>
        <w:t xml:space="preserve">  </w:t>
      </w:r>
    </w:p>
    <w:p w:rsidR="00BD675C" w:rsidRPr="006609AD" w:rsidRDefault="00BD675C" w:rsidP="00BD675C">
      <w:pPr>
        <w:tabs>
          <w:tab w:val="left" w:pos="288"/>
          <w:tab w:val="left" w:pos="4752"/>
        </w:tabs>
        <w:spacing w:line="240" w:lineRule="exact"/>
        <w:jc w:val="both"/>
        <w:rPr>
          <w:rFonts w:ascii="Calibri" w:hAnsi="Calibri"/>
          <w:szCs w:val="24"/>
        </w:rPr>
      </w:pPr>
    </w:p>
    <w:p w:rsidR="00BD675C" w:rsidRPr="001E669C" w:rsidRDefault="00BD675C" w:rsidP="00BD675C">
      <w:pPr>
        <w:spacing w:line="240" w:lineRule="exact"/>
        <w:jc w:val="both"/>
        <w:rPr>
          <w:szCs w:val="24"/>
        </w:rPr>
      </w:pPr>
      <w:r w:rsidRPr="006609AD">
        <w:rPr>
          <w:szCs w:val="24"/>
          <w:u w:val="single"/>
        </w:rPr>
        <w:t>R</w:t>
      </w:r>
      <w:r w:rsidRPr="00396779">
        <w:rPr>
          <w:szCs w:val="24"/>
          <w:u w:val="single"/>
        </w:rPr>
        <w:t>ECOMMENDATION</w:t>
      </w:r>
      <w:r w:rsidRPr="00556EC5">
        <w:rPr>
          <w:szCs w:val="24"/>
        </w:rPr>
        <w:t xml:space="preserve">:  </w:t>
      </w:r>
      <w:r w:rsidRPr="001E669C">
        <w:rPr>
          <w:szCs w:val="24"/>
        </w:rPr>
        <w:t xml:space="preserve">The Board recommends that the CI’s prior determination be modified as follows and that the discharge with severance pay be </w:t>
      </w:r>
      <w:proofErr w:type="spellStart"/>
      <w:r w:rsidRPr="001E669C">
        <w:rPr>
          <w:szCs w:val="24"/>
        </w:rPr>
        <w:t>recharacterized</w:t>
      </w:r>
      <w:proofErr w:type="spellEnd"/>
      <w:r w:rsidRPr="001E669C">
        <w:rPr>
          <w:szCs w:val="24"/>
        </w:rPr>
        <w:t xml:space="preserve"> to reflect permanent disability retirement, effective as of the date of his prior medical separation:</w:t>
      </w:r>
    </w:p>
    <w:p w:rsidR="00BD675C" w:rsidRPr="001E669C" w:rsidRDefault="00BD675C" w:rsidP="00BD675C">
      <w:pPr>
        <w:tabs>
          <w:tab w:val="left" w:pos="288"/>
          <w:tab w:val="left" w:pos="4752"/>
        </w:tabs>
        <w:spacing w:line="240" w:lineRule="exact"/>
        <w:jc w:val="both"/>
      </w:pP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5"/>
        <w:gridCol w:w="1620"/>
        <w:gridCol w:w="1035"/>
      </w:tblGrid>
      <w:tr w:rsidR="00BD675C" w:rsidRPr="001E669C" w:rsidTr="00D54979">
        <w:trPr>
          <w:trHeight w:val="233"/>
          <w:jc w:val="center"/>
        </w:trPr>
        <w:tc>
          <w:tcPr>
            <w:tcW w:w="66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675C" w:rsidRPr="001E669C" w:rsidRDefault="00BD675C" w:rsidP="00D54979">
            <w:pPr>
              <w:tabs>
                <w:tab w:val="left" w:pos="288"/>
                <w:tab w:val="left" w:pos="4752"/>
              </w:tabs>
              <w:spacing w:line="240" w:lineRule="exact"/>
              <w:jc w:val="center"/>
              <w:rPr>
                <w:b/>
                <w:szCs w:val="24"/>
              </w:rPr>
            </w:pPr>
            <w:r w:rsidRPr="001E669C">
              <w:rPr>
                <w:b/>
                <w:szCs w:val="24"/>
              </w:rPr>
              <w:t>UNFITTING CONDITION</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675C" w:rsidRPr="001E669C" w:rsidRDefault="00BD675C" w:rsidP="00D54979">
            <w:pPr>
              <w:tabs>
                <w:tab w:val="left" w:pos="288"/>
                <w:tab w:val="left" w:pos="4752"/>
              </w:tabs>
              <w:spacing w:line="240" w:lineRule="exact"/>
              <w:jc w:val="center"/>
              <w:rPr>
                <w:b/>
                <w:szCs w:val="24"/>
              </w:rPr>
            </w:pPr>
            <w:r w:rsidRPr="001E669C">
              <w:rPr>
                <w:b/>
                <w:szCs w:val="24"/>
              </w:rPr>
              <w:t>VASRD CODE</w:t>
            </w:r>
          </w:p>
        </w:tc>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675C" w:rsidRPr="001E669C" w:rsidRDefault="00BD675C" w:rsidP="00D54979">
            <w:pPr>
              <w:tabs>
                <w:tab w:val="left" w:pos="288"/>
                <w:tab w:val="left" w:pos="4752"/>
              </w:tabs>
              <w:spacing w:line="240" w:lineRule="exact"/>
              <w:jc w:val="center"/>
              <w:rPr>
                <w:b/>
                <w:szCs w:val="24"/>
              </w:rPr>
            </w:pPr>
            <w:r w:rsidRPr="001E669C">
              <w:rPr>
                <w:b/>
                <w:szCs w:val="24"/>
              </w:rPr>
              <w:t>RATING</w:t>
            </w:r>
          </w:p>
        </w:tc>
      </w:tr>
      <w:tr w:rsidR="00BD675C" w:rsidRPr="001E669C" w:rsidTr="00D54979">
        <w:trPr>
          <w:trHeight w:val="269"/>
          <w:jc w:val="center"/>
        </w:trPr>
        <w:tc>
          <w:tcPr>
            <w:tcW w:w="6615" w:type="dxa"/>
            <w:tcBorders>
              <w:top w:val="single" w:sz="4" w:space="0" w:color="000000"/>
              <w:left w:val="single" w:sz="4" w:space="0" w:color="000000"/>
              <w:bottom w:val="single" w:sz="4" w:space="0" w:color="000000"/>
              <w:right w:val="single" w:sz="4" w:space="0" w:color="000000"/>
            </w:tcBorders>
            <w:vAlign w:val="center"/>
            <w:hideMark/>
          </w:tcPr>
          <w:p w:rsidR="00BD675C" w:rsidRPr="001E669C" w:rsidRDefault="00BD675C" w:rsidP="00D54979">
            <w:pPr>
              <w:tabs>
                <w:tab w:val="left" w:pos="288"/>
                <w:tab w:val="left" w:pos="4752"/>
              </w:tabs>
              <w:spacing w:line="240" w:lineRule="exact"/>
              <w:rPr>
                <w:szCs w:val="24"/>
              </w:rPr>
            </w:pPr>
            <w:r>
              <w:rPr>
                <w:rFonts w:cstheme="minorHAnsi"/>
                <w:szCs w:val="24"/>
              </w:rPr>
              <w:t>Surgical Residuals, Lumbar Disc Disease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D675C" w:rsidRPr="001E669C" w:rsidRDefault="00BD675C" w:rsidP="00D54979">
            <w:pPr>
              <w:tabs>
                <w:tab w:val="left" w:pos="288"/>
                <w:tab w:val="left" w:pos="4752"/>
              </w:tabs>
              <w:spacing w:line="240" w:lineRule="exact"/>
              <w:jc w:val="center"/>
              <w:rPr>
                <w:szCs w:val="24"/>
              </w:rPr>
            </w:pPr>
            <w:r>
              <w:rPr>
                <w:szCs w:val="24"/>
              </w:rPr>
              <w:t>5241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D675C" w:rsidRPr="001E669C" w:rsidRDefault="00BD675C" w:rsidP="00D54979">
            <w:pPr>
              <w:tabs>
                <w:tab w:val="left" w:pos="288"/>
                <w:tab w:val="left" w:pos="4752"/>
              </w:tabs>
              <w:spacing w:line="240" w:lineRule="exact"/>
              <w:jc w:val="center"/>
              <w:rPr>
                <w:szCs w:val="24"/>
              </w:rPr>
            </w:pPr>
            <w:r w:rsidRPr="008907D0">
              <w:rPr>
                <w:szCs w:val="24"/>
              </w:rPr>
              <w:t>40%</w:t>
            </w:r>
          </w:p>
        </w:tc>
      </w:tr>
      <w:tr w:rsidR="00BD675C" w:rsidRPr="001E669C" w:rsidTr="00D54979">
        <w:trPr>
          <w:gridBefore w:val="1"/>
          <w:wBefore w:w="6615" w:type="dxa"/>
          <w:trHeight w:val="152"/>
          <w:jc w:val="center"/>
        </w:trPr>
        <w:tc>
          <w:tcPr>
            <w:tcW w:w="162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BD675C" w:rsidRPr="001E669C" w:rsidRDefault="00BD675C" w:rsidP="00D54979">
            <w:pPr>
              <w:tabs>
                <w:tab w:val="left" w:pos="288"/>
                <w:tab w:val="left" w:pos="4752"/>
              </w:tabs>
              <w:spacing w:line="240" w:lineRule="exact"/>
              <w:jc w:val="center"/>
              <w:rPr>
                <w:b/>
                <w:szCs w:val="24"/>
              </w:rPr>
            </w:pPr>
            <w:r w:rsidRPr="001E669C">
              <w:rPr>
                <w:b/>
                <w:szCs w:val="24"/>
              </w:rPr>
              <w:t>COMBINED</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D675C" w:rsidRPr="001E669C" w:rsidRDefault="00BD675C" w:rsidP="00D54979">
            <w:pPr>
              <w:tabs>
                <w:tab w:val="left" w:pos="288"/>
                <w:tab w:val="left" w:pos="4752"/>
              </w:tabs>
              <w:spacing w:line="240" w:lineRule="exact"/>
              <w:jc w:val="center"/>
              <w:rPr>
                <w:b/>
                <w:szCs w:val="24"/>
              </w:rPr>
            </w:pPr>
            <w:r w:rsidRPr="008907D0">
              <w:rPr>
                <w:b/>
                <w:szCs w:val="24"/>
              </w:rPr>
              <w:t>40%</w:t>
            </w:r>
          </w:p>
        </w:tc>
      </w:tr>
    </w:tbl>
    <w:p w:rsidR="00BD675C" w:rsidRPr="00556EC5" w:rsidRDefault="00BD675C" w:rsidP="00BD675C">
      <w:pPr>
        <w:tabs>
          <w:tab w:val="left" w:pos="288"/>
          <w:tab w:val="left" w:pos="4752"/>
        </w:tabs>
        <w:spacing w:line="240" w:lineRule="exact"/>
        <w:rPr>
          <w:rFonts w:ascii="Calibri" w:hAnsi="Calibri"/>
          <w:szCs w:val="24"/>
        </w:rPr>
      </w:pPr>
      <w:r w:rsidRPr="00556EC5">
        <w:rPr>
          <w:rFonts w:ascii="Calibri" w:hAnsi="Calibri"/>
          <w:szCs w:val="24"/>
        </w:rPr>
        <w:t>______________________________________________________________________________</w:t>
      </w:r>
    </w:p>
    <w:p w:rsidR="00BD675C" w:rsidRPr="00556EC5" w:rsidRDefault="00BD675C" w:rsidP="00BD675C">
      <w:pPr>
        <w:tabs>
          <w:tab w:val="left" w:pos="288"/>
          <w:tab w:val="left" w:pos="4752"/>
        </w:tabs>
        <w:spacing w:line="240" w:lineRule="exact"/>
        <w:jc w:val="both"/>
      </w:pPr>
    </w:p>
    <w:p w:rsidR="00BD675C" w:rsidRPr="00006186" w:rsidRDefault="00BD675C" w:rsidP="00BD675C">
      <w:pPr>
        <w:tabs>
          <w:tab w:val="left" w:pos="288"/>
          <w:tab w:val="left" w:pos="4752"/>
        </w:tabs>
        <w:spacing w:line="240" w:lineRule="exact"/>
        <w:jc w:val="both"/>
      </w:pPr>
      <w:r>
        <w:t>The following documentary evidence was considered:</w:t>
      </w:r>
    </w:p>
    <w:p w:rsidR="00BD675C" w:rsidRPr="00006186" w:rsidRDefault="00BD675C" w:rsidP="00BD675C">
      <w:pPr>
        <w:tabs>
          <w:tab w:val="left" w:pos="288"/>
          <w:tab w:val="left" w:pos="4752"/>
        </w:tabs>
        <w:spacing w:line="240" w:lineRule="exact"/>
        <w:jc w:val="both"/>
      </w:pPr>
    </w:p>
    <w:p w:rsidR="00BD675C" w:rsidRPr="00006186" w:rsidRDefault="00BD675C" w:rsidP="00BD675C">
      <w:pPr>
        <w:tabs>
          <w:tab w:val="left" w:pos="288"/>
          <w:tab w:val="left" w:pos="4752"/>
        </w:tabs>
        <w:spacing w:line="240" w:lineRule="exact"/>
        <w:jc w:val="both"/>
      </w:pPr>
      <w:r>
        <w:t>Exhibit A.  DD Form 294, dated 20110122, w/</w:t>
      </w:r>
      <w:proofErr w:type="spellStart"/>
      <w:r>
        <w:t>atchs</w:t>
      </w:r>
      <w:proofErr w:type="spellEnd"/>
    </w:p>
    <w:p w:rsidR="00BD675C" w:rsidRPr="00006186" w:rsidRDefault="00BD675C" w:rsidP="00BD675C">
      <w:pPr>
        <w:tabs>
          <w:tab w:val="left" w:pos="288"/>
          <w:tab w:val="left" w:pos="4752"/>
        </w:tabs>
        <w:spacing w:line="240" w:lineRule="exact"/>
        <w:jc w:val="both"/>
      </w:pPr>
      <w:r>
        <w:t>Exhibit B.  Service Treatment Record</w:t>
      </w:r>
    </w:p>
    <w:p w:rsidR="00BD675C" w:rsidRPr="00006186" w:rsidRDefault="00BD675C" w:rsidP="00BD675C">
      <w:pPr>
        <w:tabs>
          <w:tab w:val="left" w:pos="288"/>
          <w:tab w:val="left" w:pos="4752"/>
        </w:tabs>
        <w:spacing w:line="240" w:lineRule="exact"/>
        <w:jc w:val="both"/>
      </w:pPr>
      <w:r>
        <w:t>Exhibit C.  Department of Veterans' Affairs Treatment Record</w:t>
      </w:r>
    </w:p>
    <w:p w:rsidR="00BD675C" w:rsidRPr="00006186" w:rsidRDefault="00BD675C" w:rsidP="00BD675C">
      <w:pPr>
        <w:tabs>
          <w:tab w:val="left" w:pos="288"/>
          <w:tab w:val="left" w:pos="4752"/>
        </w:tabs>
        <w:spacing w:line="240" w:lineRule="exact"/>
        <w:jc w:val="both"/>
      </w:pPr>
    </w:p>
    <w:p w:rsidR="00BD675C" w:rsidRPr="00006186" w:rsidRDefault="00BD675C" w:rsidP="00BD675C">
      <w:pPr>
        <w:tabs>
          <w:tab w:val="left" w:pos="288"/>
          <w:tab w:val="left" w:pos="4752"/>
        </w:tabs>
        <w:spacing w:line="240" w:lineRule="exact"/>
        <w:jc w:val="both"/>
      </w:pPr>
    </w:p>
    <w:p w:rsidR="00BD675C" w:rsidRPr="00006186" w:rsidRDefault="00BD675C" w:rsidP="00BD675C">
      <w:pPr>
        <w:tabs>
          <w:tab w:val="left" w:pos="288"/>
          <w:tab w:val="left" w:pos="4752"/>
        </w:tabs>
        <w:spacing w:line="240" w:lineRule="exact"/>
        <w:jc w:val="both"/>
      </w:pPr>
    </w:p>
    <w:p w:rsidR="00BD675C" w:rsidRPr="00006186" w:rsidRDefault="00BD675C" w:rsidP="00BD675C">
      <w:pPr>
        <w:tabs>
          <w:tab w:val="left" w:pos="288"/>
          <w:tab w:val="left" w:pos="4752"/>
        </w:tabs>
        <w:spacing w:line="240" w:lineRule="exact"/>
        <w:jc w:val="both"/>
      </w:pPr>
      <w:bookmarkStart w:id="0" w:name="_GoBack"/>
      <w:bookmarkEnd w:id="0"/>
    </w:p>
    <w:p w:rsidR="00BD675C" w:rsidRPr="00006186" w:rsidRDefault="00BD675C" w:rsidP="00BD675C">
      <w:pPr>
        <w:tabs>
          <w:tab w:val="left" w:pos="0"/>
          <w:tab w:val="left" w:pos="4320"/>
        </w:tabs>
        <w:spacing w:line="240" w:lineRule="exact"/>
        <w:jc w:val="both"/>
      </w:pPr>
      <w:r>
        <w:tab/>
        <w:t>.</w:t>
      </w:r>
      <w:r>
        <w:tab/>
        <w:t>XXXXXXXXXX</w:t>
      </w:r>
    </w:p>
    <w:p w:rsidR="00BD675C" w:rsidRDefault="00BD675C" w:rsidP="00BD675C">
      <w:pPr>
        <w:tabs>
          <w:tab w:val="left" w:pos="0"/>
          <w:tab w:val="left" w:pos="4320"/>
        </w:tabs>
        <w:spacing w:line="240" w:lineRule="exact"/>
        <w:jc w:val="both"/>
      </w:pPr>
      <w:r>
        <w:tab/>
        <w:t xml:space="preserve"> </w:t>
      </w:r>
      <w:r>
        <w:tab/>
        <w:t>President</w:t>
      </w:r>
    </w:p>
    <w:p w:rsidR="00BD675C" w:rsidRPr="00443937" w:rsidRDefault="00BD675C" w:rsidP="00BD675C">
      <w:pPr>
        <w:tabs>
          <w:tab w:val="left" w:pos="0"/>
          <w:tab w:val="left" w:pos="4320"/>
        </w:tabs>
        <w:spacing w:line="240" w:lineRule="exact"/>
        <w:jc w:val="both"/>
      </w:pPr>
      <w:r>
        <w:tab/>
      </w:r>
      <w:r>
        <w:tab/>
        <w:t>Physical Disability Board of Review</w:t>
      </w:r>
    </w:p>
    <w:p w:rsidR="00BD675C" w:rsidRDefault="00BD675C"/>
    <w:p w:rsidR="00000000" w:rsidRDefault="00004587">
      <w:pPr>
        <w:pStyle w:val="Default"/>
        <w:framePr w:w="13025" w:wrap="auto" w:vAnchor="page" w:hAnchor="page" w:x="1" w:y="1"/>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15pt;height:791.15pt;mso-position-vertical:absolute">
            <v:imagedata r:id="rId4" o:title=""/>
          </v:shape>
        </w:pict>
      </w:r>
    </w:p>
    <w:p w:rsidR="00000000" w:rsidRDefault="00BD675C">
      <w:pPr>
        <w:pStyle w:val="Default"/>
        <w:framePr w:w="13025" w:wrap="auto" w:vAnchor="page" w:hAnchor="page" w:x="1" w:y="1"/>
      </w:pPr>
    </w:p>
    <w:p w:rsidR="00000000" w:rsidRDefault="00004587">
      <w:pPr>
        <w:pStyle w:val="Default"/>
        <w:pageBreakBefore/>
        <w:framePr w:w="13018" w:wrap="auto" w:vAnchor="page" w:hAnchor="page" w:x="1" w:y="1"/>
      </w:pPr>
      <w:r>
        <w:lastRenderedPageBreak/>
        <w:pict>
          <v:shape id="_x0000_i1026" type="#_x0000_t75" style="width:610.3pt;height:792.85pt;mso-position-vertical:absolute">
            <v:imagedata r:id="rId5" o:title=""/>
          </v:shape>
        </w:pict>
      </w:r>
    </w:p>
    <w:sectPr w:rsidR="00000000">
      <w:pgSz w:w="12220" w:h="15820"/>
      <w:pgMar w:top="9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587"/>
    <w:rsid w:val="00004587"/>
    <w:rsid w:val="00BD67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BD67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D675C"/>
    <w:rPr>
      <w:rFonts w:ascii="Consolas" w:eastAsia="Calibri" w:hAnsi="Consolas" w:cs="Times New Roman"/>
      <w:sz w:val="21"/>
      <w:szCs w:val="21"/>
    </w:rPr>
  </w:style>
  <w:style w:type="table" w:styleId="TableGrid">
    <w:name w:val="Table Grid"/>
    <w:basedOn w:val="TableNormal"/>
    <w:uiPriority w:val="59"/>
    <w:rsid w:val="00BD675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10803</Characters>
  <Application>Microsoft Office Word</Application>
  <DocSecurity>0</DocSecurity>
  <Lines>90</Lines>
  <Paragraphs>25</Paragraphs>
  <ScaleCrop>false</ScaleCrop>
  <Company>U.S. Air Force</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alicia.dupree</dc:creator>
  <cp:lastModifiedBy>alicia.dupree</cp:lastModifiedBy>
  <cp:revision>2</cp:revision>
  <dcterms:created xsi:type="dcterms:W3CDTF">2012-08-15T15:17:00Z</dcterms:created>
  <dcterms:modified xsi:type="dcterms:W3CDTF">2012-08-15T15:17:00Z</dcterms:modified>
</cp:coreProperties>
</file>