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79011E" w:rsidRDefault="00540BEF" w:rsidP="00BF0E94">
      <w:pPr>
        <w:tabs>
          <w:tab w:val="left" w:pos="288"/>
          <w:tab w:val="left" w:pos="4752"/>
        </w:tabs>
        <w:rPr>
          <w:color w:val="000000" w:themeColor="text1"/>
        </w:rPr>
      </w:pPr>
      <w:r w:rsidRPr="0079011E">
        <w:rPr>
          <w:color w:val="000000" w:themeColor="text1"/>
        </w:rPr>
        <w:t>RECORD OF PROCEEDINGS</w:t>
      </w:r>
    </w:p>
    <w:p w:rsidR="00540BEF" w:rsidRPr="0079011E" w:rsidRDefault="00540BEF" w:rsidP="00BF0E94">
      <w:pPr>
        <w:tabs>
          <w:tab w:val="left" w:pos="288"/>
          <w:tab w:val="left" w:pos="4752"/>
        </w:tabs>
        <w:rPr>
          <w:color w:val="000000" w:themeColor="text1"/>
        </w:rPr>
      </w:pPr>
      <w:r w:rsidRPr="0079011E">
        <w:rPr>
          <w:color w:val="000000" w:themeColor="text1"/>
        </w:rPr>
        <w:t>PHYSICAL DISABILITY BOARD OF REVIEW</w:t>
      </w:r>
    </w:p>
    <w:p w:rsidR="00540BEF" w:rsidRPr="0079011E" w:rsidRDefault="00540BEF" w:rsidP="00BF0E94">
      <w:pPr>
        <w:tabs>
          <w:tab w:val="left" w:pos="288"/>
          <w:tab w:val="left" w:pos="4752"/>
        </w:tabs>
        <w:jc w:val="both"/>
        <w:rPr>
          <w:caps/>
          <w:color w:val="000000" w:themeColor="text1"/>
        </w:rPr>
      </w:pPr>
    </w:p>
    <w:p w:rsidR="00E0346A" w:rsidRPr="0079011E" w:rsidRDefault="00F629C0" w:rsidP="004A1BD3">
      <w:pPr>
        <w:tabs>
          <w:tab w:val="right" w:pos="9270"/>
        </w:tabs>
        <w:jc w:val="both"/>
        <w:rPr>
          <w:caps/>
          <w:color w:val="000000" w:themeColor="text1"/>
        </w:rPr>
      </w:pPr>
      <w:r w:rsidRPr="0079011E">
        <w:rPr>
          <w:caps/>
          <w:color w:val="000000" w:themeColor="text1"/>
        </w:rPr>
        <w:t>NAME:</w:t>
      </w:r>
      <w:r w:rsidR="004A1BD3">
        <w:rPr>
          <w:caps/>
          <w:color w:val="auto"/>
        </w:rPr>
        <w:tab/>
      </w:r>
      <w:r w:rsidRPr="0079011E">
        <w:rPr>
          <w:caps/>
          <w:color w:val="000000" w:themeColor="text1"/>
        </w:rPr>
        <w:t xml:space="preserve">BRANCH OF SERVICE: </w:t>
      </w:r>
      <w:r w:rsidR="004C24C5" w:rsidRPr="0079011E">
        <w:rPr>
          <w:caps/>
          <w:color w:val="000000" w:themeColor="text1"/>
        </w:rPr>
        <w:t xml:space="preserve"> </w:t>
      </w:r>
      <w:r w:rsidR="00332DE3" w:rsidRPr="0079011E">
        <w:rPr>
          <w:caps/>
          <w:color w:val="000000" w:themeColor="text1"/>
        </w:rPr>
        <w:t>Army</w:t>
      </w:r>
    </w:p>
    <w:p w:rsidR="00DE3AAD" w:rsidRPr="0079011E" w:rsidRDefault="00012733" w:rsidP="004A1BD3">
      <w:pPr>
        <w:tabs>
          <w:tab w:val="right" w:pos="9270"/>
        </w:tabs>
        <w:jc w:val="both"/>
        <w:rPr>
          <w:caps/>
          <w:color w:val="000000" w:themeColor="text1"/>
        </w:rPr>
      </w:pPr>
      <w:r w:rsidRPr="0079011E">
        <w:rPr>
          <w:caps/>
          <w:color w:val="000000" w:themeColor="text1"/>
        </w:rPr>
        <w:t>C</w:t>
      </w:r>
      <w:r w:rsidR="00DE3AAD" w:rsidRPr="0079011E">
        <w:rPr>
          <w:caps/>
          <w:color w:val="000000" w:themeColor="text1"/>
        </w:rPr>
        <w:t>ASE NUMBER:  PD</w:t>
      </w:r>
      <w:r w:rsidR="008F58E1" w:rsidRPr="0079011E">
        <w:rPr>
          <w:caps/>
          <w:color w:val="000000" w:themeColor="text1"/>
        </w:rPr>
        <w:t>11</w:t>
      </w:r>
      <w:r w:rsidR="00DE3AAD" w:rsidRPr="0079011E">
        <w:rPr>
          <w:caps/>
          <w:color w:val="000000" w:themeColor="text1"/>
        </w:rPr>
        <w:t>00</w:t>
      </w:r>
      <w:r w:rsidR="004237E7" w:rsidRPr="0079011E">
        <w:rPr>
          <w:caps/>
          <w:color w:val="000000" w:themeColor="text1"/>
        </w:rPr>
        <w:t>073</w:t>
      </w:r>
      <w:r w:rsidR="004A1BD3">
        <w:rPr>
          <w:color w:val="000000" w:themeColor="text1"/>
        </w:rPr>
        <w:tab/>
      </w:r>
      <w:r w:rsidR="00D71027" w:rsidRPr="0079011E">
        <w:rPr>
          <w:rFonts w:cs="Times New Roman"/>
          <w:caps/>
          <w:color w:val="000000" w:themeColor="text1"/>
          <w:szCs w:val="24"/>
        </w:rPr>
        <w:t xml:space="preserve">Date of Permanent </w:t>
      </w:r>
      <w:r w:rsidR="00D71027" w:rsidRPr="0079011E">
        <w:rPr>
          <w:rFonts w:cs="Times New Roman"/>
          <w:color w:val="000000" w:themeColor="text1"/>
          <w:szCs w:val="24"/>
        </w:rPr>
        <w:t>SEPARATION:  20051222</w:t>
      </w:r>
    </w:p>
    <w:p w:rsidR="003B2143" w:rsidRPr="0079011E" w:rsidRDefault="004F3639" w:rsidP="004A1BD3">
      <w:pPr>
        <w:tabs>
          <w:tab w:val="right" w:pos="9270"/>
        </w:tabs>
        <w:jc w:val="both"/>
        <w:rPr>
          <w:color w:val="000000" w:themeColor="text1"/>
        </w:rPr>
      </w:pPr>
      <w:r w:rsidRPr="0079011E">
        <w:rPr>
          <w:caps/>
          <w:color w:val="000000" w:themeColor="text1"/>
        </w:rPr>
        <w:t>BOARD DATE:  201</w:t>
      </w:r>
      <w:r w:rsidR="0064500F">
        <w:rPr>
          <w:caps/>
          <w:color w:val="000000" w:themeColor="text1"/>
        </w:rPr>
        <w:t>20</w:t>
      </w:r>
      <w:r w:rsidR="0079011E" w:rsidRPr="0079011E">
        <w:rPr>
          <w:caps/>
          <w:color w:val="000000" w:themeColor="text1"/>
        </w:rPr>
        <w:t>118</w:t>
      </w:r>
      <w:r w:rsidR="003B2143" w:rsidRPr="0079011E">
        <w:rPr>
          <w:caps/>
          <w:color w:val="000000" w:themeColor="text1"/>
        </w:rPr>
        <w:tab/>
      </w:r>
      <w:r w:rsidR="0079011E" w:rsidRPr="0079011E">
        <w:rPr>
          <w:caps/>
          <w:color w:val="000000" w:themeColor="text1"/>
        </w:rPr>
        <w:t xml:space="preserve"> </w:t>
      </w:r>
      <w:r w:rsidR="003B2143" w:rsidRPr="0079011E">
        <w:rPr>
          <w:rFonts w:cs="Times New Roman"/>
          <w:color w:val="000000" w:themeColor="text1"/>
          <w:szCs w:val="24"/>
        </w:rPr>
        <w:t xml:space="preserve">DATE OF PLACEMENT ON TDRL:  </w:t>
      </w:r>
      <w:r w:rsidR="005F22B0" w:rsidRPr="0079011E">
        <w:rPr>
          <w:color w:val="000000" w:themeColor="text1"/>
        </w:rPr>
        <w:t>2004111</w:t>
      </w:r>
      <w:r w:rsidR="00684DEE" w:rsidRPr="0079011E">
        <w:rPr>
          <w:color w:val="000000" w:themeColor="text1"/>
        </w:rPr>
        <w:t>3</w:t>
      </w:r>
    </w:p>
    <w:p w:rsidR="00D27C99" w:rsidRPr="0079011E" w:rsidRDefault="001133BE" w:rsidP="00D27C99">
      <w:pPr>
        <w:tabs>
          <w:tab w:val="left" w:pos="288"/>
          <w:tab w:val="left" w:pos="4680"/>
          <w:tab w:val="left" w:pos="5130"/>
        </w:tabs>
        <w:jc w:val="left"/>
        <w:rPr>
          <w:rFonts w:asciiTheme="minorHAnsi" w:hAnsiTheme="minorHAnsi" w:cs="Times New Roman"/>
          <w:color w:val="000000" w:themeColor="text1"/>
          <w:sz w:val="20"/>
        </w:rPr>
      </w:pPr>
      <w:r w:rsidRPr="0079011E">
        <w:rPr>
          <w:rFonts w:asciiTheme="minorHAnsi" w:hAnsiTheme="minorHAnsi" w:cs="Times New Roman"/>
          <w:b/>
          <w:color w:val="000000" w:themeColor="text1"/>
          <w:sz w:val="20"/>
        </w:rPr>
        <w:t>_____________________________________________________________________________________________</w:t>
      </w:r>
    </w:p>
    <w:p w:rsidR="00FF4C90" w:rsidRPr="0079011E" w:rsidRDefault="00FF4C90" w:rsidP="00BF0E94">
      <w:pPr>
        <w:tabs>
          <w:tab w:val="left" w:pos="288"/>
          <w:tab w:val="left" w:pos="4752"/>
        </w:tabs>
        <w:jc w:val="both"/>
        <w:rPr>
          <w:color w:val="000000" w:themeColor="text1"/>
        </w:rPr>
      </w:pPr>
    </w:p>
    <w:p w:rsidR="001133BE" w:rsidRPr="0079011E" w:rsidRDefault="00FB0E80" w:rsidP="004237E7">
      <w:pPr>
        <w:tabs>
          <w:tab w:val="left" w:pos="288"/>
          <w:tab w:val="left" w:pos="4752"/>
        </w:tabs>
        <w:jc w:val="both"/>
        <w:rPr>
          <w:color w:val="auto"/>
          <w:szCs w:val="24"/>
        </w:rPr>
      </w:pPr>
      <w:r w:rsidRPr="0079011E">
        <w:rPr>
          <w:color w:val="000000" w:themeColor="text1"/>
          <w:u w:val="single"/>
        </w:rPr>
        <w:t>SUMMARY OF CASE</w:t>
      </w:r>
      <w:r w:rsidR="004237E7" w:rsidRPr="0079011E">
        <w:rPr>
          <w:color w:val="000000" w:themeColor="text1"/>
        </w:rPr>
        <w:t>:</w:t>
      </w:r>
      <w:r w:rsidR="0062625D" w:rsidRPr="0079011E">
        <w:rPr>
          <w:color w:val="000000" w:themeColor="text1"/>
        </w:rPr>
        <w:t xml:space="preserve"> </w:t>
      </w:r>
      <w:r w:rsidR="004237E7" w:rsidRPr="0079011E">
        <w:rPr>
          <w:color w:val="000000" w:themeColor="text1"/>
        </w:rPr>
        <w:t xml:space="preserve"> </w:t>
      </w:r>
      <w:r w:rsidR="004237E7" w:rsidRPr="0079011E">
        <w:rPr>
          <w:color w:val="auto"/>
        </w:rPr>
        <w:t xml:space="preserve">Data extracted from the available evidence of record reflects that this covered individual (CI) </w:t>
      </w:r>
      <w:r w:rsidR="004237E7" w:rsidRPr="0079011E">
        <w:rPr>
          <w:color w:val="auto"/>
          <w:szCs w:val="24"/>
        </w:rPr>
        <w:t>was an active duty SPC/E-4 (11B10</w:t>
      </w:r>
      <w:r w:rsidR="004A1BD3">
        <w:rPr>
          <w:color w:val="auto"/>
          <w:szCs w:val="24"/>
        </w:rPr>
        <w:t xml:space="preserve">, </w:t>
      </w:r>
      <w:r w:rsidR="004237E7" w:rsidRPr="0079011E">
        <w:rPr>
          <w:color w:val="auto"/>
          <w:szCs w:val="24"/>
        </w:rPr>
        <w:t xml:space="preserve">Infantryman), medically separated for </w:t>
      </w:r>
      <w:r w:rsidR="004A1BD3">
        <w:rPr>
          <w:color w:val="auto"/>
          <w:szCs w:val="24"/>
        </w:rPr>
        <w:t xml:space="preserve">posttraumatic stress disorder </w:t>
      </w:r>
      <w:r w:rsidR="0062625D" w:rsidRPr="0079011E">
        <w:rPr>
          <w:color w:val="auto"/>
          <w:szCs w:val="24"/>
        </w:rPr>
        <w:t>(</w:t>
      </w:r>
      <w:r w:rsidR="00635998" w:rsidRPr="0079011E">
        <w:rPr>
          <w:color w:val="auto"/>
          <w:szCs w:val="24"/>
        </w:rPr>
        <w:t>PTSD)</w:t>
      </w:r>
      <w:r w:rsidR="004237E7" w:rsidRPr="0079011E">
        <w:rPr>
          <w:color w:val="auto"/>
          <w:szCs w:val="24"/>
        </w:rPr>
        <w:t xml:space="preserve">.  He was diagnosed with PTSD after a </w:t>
      </w:r>
      <w:r w:rsidR="004A1BD3">
        <w:rPr>
          <w:color w:val="auto"/>
          <w:szCs w:val="24"/>
        </w:rPr>
        <w:t xml:space="preserve">February-November </w:t>
      </w:r>
      <w:r w:rsidR="004237E7" w:rsidRPr="0079011E">
        <w:rPr>
          <w:color w:val="auto"/>
          <w:szCs w:val="24"/>
        </w:rPr>
        <w:t xml:space="preserve">2003 Iraq deployment.  </w:t>
      </w:r>
      <w:r w:rsidR="0062625D" w:rsidRPr="0079011E">
        <w:rPr>
          <w:color w:val="auto"/>
          <w:szCs w:val="24"/>
        </w:rPr>
        <w:t>The CI</w:t>
      </w:r>
      <w:r w:rsidR="001133BE" w:rsidRPr="0079011E">
        <w:rPr>
          <w:color w:val="auto"/>
          <w:szCs w:val="24"/>
        </w:rPr>
        <w:t xml:space="preserve"> </w:t>
      </w:r>
      <w:r w:rsidR="0062625D" w:rsidRPr="0079011E">
        <w:rPr>
          <w:color w:val="auto"/>
          <w:szCs w:val="24"/>
        </w:rPr>
        <w:t>was treated</w:t>
      </w:r>
      <w:r w:rsidR="004237E7" w:rsidRPr="0079011E">
        <w:rPr>
          <w:color w:val="auto"/>
          <w:szCs w:val="24"/>
        </w:rPr>
        <w:t xml:space="preserve"> with medication and outpatient therapy</w:t>
      </w:r>
      <w:r w:rsidR="0062625D" w:rsidRPr="0079011E">
        <w:rPr>
          <w:color w:val="auto"/>
          <w:szCs w:val="24"/>
        </w:rPr>
        <w:t xml:space="preserve"> however h</w:t>
      </w:r>
      <w:r w:rsidR="004237E7" w:rsidRPr="0079011E">
        <w:rPr>
          <w:color w:val="auto"/>
          <w:szCs w:val="24"/>
        </w:rPr>
        <w:t xml:space="preserve">e did not respond adequately to treatment and was unable to perform within his Military Occupational Specialty </w:t>
      </w:r>
      <w:r w:rsidR="004A1BD3">
        <w:rPr>
          <w:color w:val="auto"/>
          <w:szCs w:val="24"/>
        </w:rPr>
        <w:t>(MOS)</w:t>
      </w:r>
      <w:r w:rsidR="0062625D" w:rsidRPr="0079011E">
        <w:rPr>
          <w:color w:val="auto"/>
          <w:szCs w:val="24"/>
        </w:rPr>
        <w:t>.</w:t>
      </w:r>
      <w:r w:rsidR="004237E7" w:rsidRPr="0079011E">
        <w:rPr>
          <w:color w:val="auto"/>
          <w:szCs w:val="24"/>
        </w:rPr>
        <w:t xml:space="preserve"> </w:t>
      </w:r>
      <w:r w:rsidR="0062625D" w:rsidRPr="0079011E">
        <w:rPr>
          <w:color w:val="auto"/>
          <w:szCs w:val="24"/>
        </w:rPr>
        <w:t xml:space="preserve"> </w:t>
      </w:r>
      <w:r w:rsidR="001133BE" w:rsidRPr="0079011E">
        <w:rPr>
          <w:color w:val="auto"/>
          <w:szCs w:val="24"/>
        </w:rPr>
        <w:t>Th</w:t>
      </w:r>
      <w:r w:rsidR="004237E7" w:rsidRPr="0079011E">
        <w:rPr>
          <w:color w:val="auto"/>
          <w:szCs w:val="24"/>
        </w:rPr>
        <w:t>e</w:t>
      </w:r>
      <w:r w:rsidR="001133BE" w:rsidRPr="0079011E">
        <w:rPr>
          <w:color w:val="auto"/>
          <w:szCs w:val="24"/>
        </w:rPr>
        <w:t xml:space="preserve"> </w:t>
      </w:r>
      <w:r w:rsidR="0062625D" w:rsidRPr="0079011E">
        <w:rPr>
          <w:color w:val="auto"/>
          <w:szCs w:val="24"/>
        </w:rPr>
        <w:t>CI was</w:t>
      </w:r>
      <w:r w:rsidR="004237E7" w:rsidRPr="0079011E">
        <w:rPr>
          <w:color w:val="auto"/>
          <w:szCs w:val="24"/>
        </w:rPr>
        <w:t xml:space="preserve"> issued a permanent S3 profile and underwent a Medical Evaluation Board (MEB).  </w:t>
      </w:r>
      <w:r w:rsidR="004A1BD3">
        <w:rPr>
          <w:color w:val="auto"/>
          <w:szCs w:val="24"/>
        </w:rPr>
        <w:t>The MEB forwarded PTSD, chronic and major depressive d</w:t>
      </w:r>
      <w:r w:rsidR="00635998" w:rsidRPr="004A1BD3">
        <w:rPr>
          <w:color w:val="auto"/>
          <w:szCs w:val="24"/>
        </w:rPr>
        <w:t>isorder</w:t>
      </w:r>
      <w:r w:rsidR="009C6BC6" w:rsidRPr="004A1BD3">
        <w:rPr>
          <w:color w:val="auto"/>
          <w:szCs w:val="24"/>
        </w:rPr>
        <w:t xml:space="preserve"> (MDD)</w:t>
      </w:r>
      <w:r w:rsidR="004A1BD3" w:rsidRPr="004A1BD3">
        <w:rPr>
          <w:color w:val="auto"/>
          <w:szCs w:val="24"/>
        </w:rPr>
        <w:t xml:space="preserve"> sing</w:t>
      </w:r>
      <w:r w:rsidR="004A1BD3">
        <w:rPr>
          <w:color w:val="auto"/>
          <w:szCs w:val="24"/>
        </w:rPr>
        <w:t>le episode</w:t>
      </w:r>
      <w:r w:rsidR="00635998" w:rsidRPr="0079011E">
        <w:rPr>
          <w:color w:val="auto"/>
          <w:szCs w:val="24"/>
        </w:rPr>
        <w:t xml:space="preserve"> on DA Form 3947 to the </w:t>
      </w:r>
      <w:r w:rsidR="004237E7" w:rsidRPr="0079011E">
        <w:rPr>
          <w:color w:val="auto"/>
          <w:szCs w:val="24"/>
        </w:rPr>
        <w:t>Physical Evaluation Board (PEB) as medically unacceptable IAW AR 40-501.</w:t>
      </w:r>
      <w:r w:rsidR="00635998" w:rsidRPr="0079011E">
        <w:rPr>
          <w:color w:val="auto"/>
          <w:szCs w:val="24"/>
        </w:rPr>
        <w:t xml:space="preserve">  </w:t>
      </w:r>
      <w:r w:rsidR="004237E7" w:rsidRPr="0079011E">
        <w:rPr>
          <w:color w:val="auto"/>
          <w:szCs w:val="24"/>
        </w:rPr>
        <w:t>Three other conditions</w:t>
      </w:r>
      <w:r w:rsidR="0062625D" w:rsidRPr="0079011E">
        <w:rPr>
          <w:color w:val="auto"/>
          <w:szCs w:val="24"/>
        </w:rPr>
        <w:t xml:space="preserve"> </w:t>
      </w:r>
      <w:r w:rsidR="004237E7" w:rsidRPr="0079011E">
        <w:rPr>
          <w:color w:val="auto"/>
          <w:szCs w:val="24"/>
        </w:rPr>
        <w:t>were forwarded on the MEB submission as medically acceptable conditions</w:t>
      </w:r>
      <w:r w:rsidR="001133BE" w:rsidRPr="0079011E">
        <w:rPr>
          <w:color w:val="auto"/>
          <w:szCs w:val="24"/>
        </w:rPr>
        <w:t xml:space="preserve">.  </w:t>
      </w:r>
      <w:r w:rsidR="004237E7" w:rsidRPr="0079011E">
        <w:rPr>
          <w:color w:val="auto"/>
          <w:szCs w:val="24"/>
        </w:rPr>
        <w:t xml:space="preserve">The </w:t>
      </w:r>
      <w:r w:rsidR="004A1BD3">
        <w:rPr>
          <w:color w:val="auto"/>
          <w:szCs w:val="24"/>
        </w:rPr>
        <w:t xml:space="preserve">PEB </w:t>
      </w:r>
      <w:r w:rsidR="004237E7" w:rsidRPr="0079011E">
        <w:rPr>
          <w:color w:val="auto"/>
          <w:szCs w:val="24"/>
        </w:rPr>
        <w:t xml:space="preserve">adjudicated the PTSD as unfitting, rated 30%, with application of the Veterans Administration Schedule </w:t>
      </w:r>
      <w:r w:rsidR="0030009E">
        <w:rPr>
          <w:color w:val="auto"/>
          <w:szCs w:val="24"/>
        </w:rPr>
        <w:t>for Rating Disabilities (VASRD) and t</w:t>
      </w:r>
      <w:r w:rsidR="004237E7" w:rsidRPr="0079011E">
        <w:rPr>
          <w:color w:val="auto"/>
          <w:szCs w:val="24"/>
        </w:rPr>
        <w:t>he CI was placed on Temporary Disability Retired List (TDRL)</w:t>
      </w:r>
      <w:r w:rsidR="001133BE" w:rsidRPr="0079011E">
        <w:rPr>
          <w:color w:val="auto"/>
          <w:szCs w:val="24"/>
        </w:rPr>
        <w:t xml:space="preserve">.  The CI was separated from TDRL </w:t>
      </w:r>
      <w:r w:rsidR="0062625D" w:rsidRPr="0079011E">
        <w:rPr>
          <w:color w:val="auto"/>
          <w:szCs w:val="24"/>
        </w:rPr>
        <w:t>with</w:t>
      </w:r>
      <w:r w:rsidR="001133BE" w:rsidRPr="0079011E">
        <w:rPr>
          <w:color w:val="auto"/>
          <w:szCs w:val="24"/>
        </w:rPr>
        <w:t xml:space="preserve"> a final disability rating of 10%</w:t>
      </w:r>
      <w:r w:rsidR="004A1BD3">
        <w:rPr>
          <w:color w:val="auto"/>
          <w:szCs w:val="24"/>
        </w:rPr>
        <w:t xml:space="preserve">.  The CI </w:t>
      </w:r>
      <w:r w:rsidR="001133BE" w:rsidRPr="0079011E">
        <w:rPr>
          <w:color w:val="auto"/>
          <w:szCs w:val="24"/>
        </w:rPr>
        <w:t xml:space="preserve">made no appeals. </w:t>
      </w:r>
      <w:r w:rsidR="004A1BD3">
        <w:rPr>
          <w:color w:val="auto"/>
          <w:szCs w:val="24"/>
        </w:rPr>
        <w:t xml:space="preserve"> </w:t>
      </w:r>
    </w:p>
    <w:p w:rsidR="004174F0" w:rsidRPr="0079011E" w:rsidRDefault="004174F0" w:rsidP="00BF0E94">
      <w:pPr>
        <w:pBdr>
          <w:bottom w:val="single" w:sz="12" w:space="1" w:color="auto"/>
        </w:pBdr>
        <w:tabs>
          <w:tab w:val="left" w:pos="288"/>
          <w:tab w:val="left" w:pos="4752"/>
        </w:tabs>
        <w:jc w:val="both"/>
        <w:rPr>
          <w:color w:val="000000" w:themeColor="text1"/>
        </w:rPr>
      </w:pPr>
    </w:p>
    <w:p w:rsidR="004174F0" w:rsidRPr="0079011E" w:rsidRDefault="004174F0" w:rsidP="00BF0E94">
      <w:pPr>
        <w:tabs>
          <w:tab w:val="left" w:pos="288"/>
          <w:tab w:val="left" w:pos="4752"/>
        </w:tabs>
        <w:jc w:val="both"/>
        <w:rPr>
          <w:color w:val="000000" w:themeColor="text1"/>
        </w:rPr>
      </w:pPr>
    </w:p>
    <w:p w:rsidR="004A1BD3" w:rsidRDefault="002C6E5B" w:rsidP="004A1BD3">
      <w:pPr>
        <w:pBdr>
          <w:bottom w:val="single" w:sz="12" w:space="1" w:color="auto"/>
        </w:pBdr>
        <w:tabs>
          <w:tab w:val="left" w:pos="288"/>
          <w:tab w:val="left" w:pos="4752"/>
        </w:tabs>
        <w:jc w:val="both"/>
        <w:rPr>
          <w:color w:val="auto"/>
          <w:szCs w:val="24"/>
        </w:rPr>
      </w:pPr>
      <w:r w:rsidRPr="0079011E">
        <w:rPr>
          <w:color w:val="000000" w:themeColor="text1"/>
          <w:u w:val="single"/>
        </w:rPr>
        <w:t>CI CONTENTION</w:t>
      </w:r>
      <w:r w:rsidRPr="0079011E">
        <w:rPr>
          <w:color w:val="000000" w:themeColor="text1"/>
        </w:rPr>
        <w:t>:</w:t>
      </w:r>
      <w:r w:rsidR="008B785A" w:rsidRPr="0079011E">
        <w:rPr>
          <w:color w:val="000000" w:themeColor="text1"/>
        </w:rPr>
        <w:t xml:space="preserve"> </w:t>
      </w:r>
      <w:r w:rsidR="004237E7" w:rsidRPr="0079011E">
        <w:rPr>
          <w:color w:val="auto"/>
        </w:rPr>
        <w:t xml:space="preserve"> “</w:t>
      </w:r>
      <w:r w:rsidR="004237E7" w:rsidRPr="0079011E">
        <w:rPr>
          <w:color w:val="auto"/>
          <w:szCs w:val="24"/>
        </w:rPr>
        <w:t xml:space="preserve">Sabo “I was assigned less than 50% disability rating by the military for my unfitting PTSD upon discharge from active duty. </w:t>
      </w:r>
      <w:r w:rsidR="008B785A" w:rsidRPr="0079011E">
        <w:rPr>
          <w:color w:val="auto"/>
          <w:szCs w:val="24"/>
        </w:rPr>
        <w:t xml:space="preserve"> </w:t>
      </w:r>
      <w:r w:rsidR="004237E7" w:rsidRPr="0079011E">
        <w:rPr>
          <w:color w:val="auto"/>
          <w:szCs w:val="24"/>
        </w:rPr>
        <w:t>The PDBR should assign the highest final disability rating applicable consistent with 38 CFR4.I29 and DOD policy (continuation).  Please see attached list of contentions regarding why the PDBR should make the changes request in Item</w:t>
      </w:r>
      <w:r w:rsidR="00CC5C0E">
        <w:rPr>
          <w:color w:val="auto"/>
          <w:szCs w:val="24"/>
        </w:rPr>
        <w:t xml:space="preserve"> </w:t>
      </w:r>
      <w:r w:rsidR="0063652B">
        <w:rPr>
          <w:color w:val="auto"/>
          <w:szCs w:val="24"/>
        </w:rPr>
        <w:t>3</w:t>
      </w:r>
      <w:r w:rsidR="004237E7" w:rsidRPr="0079011E">
        <w:rPr>
          <w:color w:val="auto"/>
          <w:szCs w:val="24"/>
        </w:rPr>
        <w:t xml:space="preserve">.”  </w:t>
      </w:r>
    </w:p>
    <w:p w:rsidR="004A1BD3" w:rsidRPr="0079011E" w:rsidRDefault="004A1BD3" w:rsidP="004A1BD3">
      <w:pPr>
        <w:pBdr>
          <w:bottom w:val="single" w:sz="12" w:space="1" w:color="auto"/>
        </w:pBdr>
        <w:tabs>
          <w:tab w:val="left" w:pos="288"/>
          <w:tab w:val="left" w:pos="4752"/>
        </w:tabs>
        <w:jc w:val="both"/>
        <w:rPr>
          <w:color w:val="000000" w:themeColor="text1"/>
        </w:rPr>
      </w:pPr>
    </w:p>
    <w:p w:rsidR="004A1BD3" w:rsidRPr="0079011E" w:rsidRDefault="004A1BD3" w:rsidP="004A1BD3">
      <w:pPr>
        <w:tabs>
          <w:tab w:val="left" w:pos="288"/>
          <w:tab w:val="left" w:pos="4752"/>
        </w:tabs>
        <w:jc w:val="both"/>
        <w:rPr>
          <w:color w:val="000000" w:themeColor="text1"/>
        </w:rPr>
      </w:pPr>
    </w:p>
    <w:p w:rsidR="005D2E82" w:rsidRDefault="007F0AB7" w:rsidP="004A1BD3">
      <w:pPr>
        <w:tabs>
          <w:tab w:val="left" w:pos="288"/>
          <w:tab w:val="left" w:pos="4752"/>
        </w:tabs>
        <w:jc w:val="left"/>
        <w:rPr>
          <w:color w:val="000000" w:themeColor="text1"/>
        </w:rPr>
      </w:pPr>
      <w:r w:rsidRPr="0079011E">
        <w:rPr>
          <w:color w:val="000000" w:themeColor="text1"/>
          <w:u w:val="single"/>
        </w:rPr>
        <w:t>R</w:t>
      </w:r>
      <w:r w:rsidR="002C6E5B" w:rsidRPr="0079011E">
        <w:rPr>
          <w:color w:val="000000" w:themeColor="text1"/>
          <w:u w:val="single"/>
        </w:rPr>
        <w:t>ATING COMPARISON</w:t>
      </w:r>
      <w:r w:rsidR="002C6E5B" w:rsidRPr="0079011E">
        <w:rPr>
          <w:color w:val="000000" w:themeColor="text1"/>
        </w:rPr>
        <w:t>:</w:t>
      </w:r>
    </w:p>
    <w:p w:rsidR="0063652B" w:rsidRPr="0079011E" w:rsidRDefault="0063652B" w:rsidP="0063652B">
      <w:pPr>
        <w:jc w:val="left"/>
        <w:rPr>
          <w:color w:val="auto"/>
          <w:szCs w:val="24"/>
        </w:rPr>
      </w:pPr>
    </w:p>
    <w:tbl>
      <w:tblPr>
        <w:tblW w:w="9442" w:type="dxa"/>
        <w:jc w:val="center"/>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8"/>
        <w:gridCol w:w="720"/>
        <w:gridCol w:w="720"/>
        <w:gridCol w:w="1260"/>
        <w:gridCol w:w="1440"/>
        <w:gridCol w:w="877"/>
        <w:gridCol w:w="810"/>
        <w:gridCol w:w="1087"/>
      </w:tblGrid>
      <w:tr w:rsidR="008B785A" w:rsidRPr="0079011E" w:rsidTr="0063652B">
        <w:trPr>
          <w:trHeight w:val="233"/>
          <w:jc w:val="center"/>
        </w:trPr>
        <w:tc>
          <w:tcPr>
            <w:tcW w:w="5228" w:type="dxa"/>
            <w:gridSpan w:val="4"/>
            <w:tcBorders>
              <w:right w:val="thinThickThinSmallGap" w:sz="24" w:space="0" w:color="auto"/>
            </w:tcBorders>
            <w:shd w:val="clear" w:color="auto" w:fill="D9D9D9"/>
            <w:vAlign w:val="center"/>
          </w:tcPr>
          <w:p w:rsidR="008B785A" w:rsidRPr="0079011E" w:rsidRDefault="008B785A" w:rsidP="0063652B">
            <w:pPr>
              <w:spacing w:line="200" w:lineRule="exact"/>
              <w:contextualSpacing/>
              <w:rPr>
                <w:rFonts w:eastAsia="Calibri"/>
                <w:b/>
                <w:color w:val="auto"/>
                <w:sz w:val="20"/>
              </w:rPr>
            </w:pPr>
            <w:r w:rsidRPr="0079011E">
              <w:rPr>
                <w:rFonts w:eastAsia="Calibri"/>
                <w:b/>
                <w:color w:val="auto"/>
                <w:sz w:val="20"/>
              </w:rPr>
              <w:t>Final Service IPEB – Dated 20051207</w:t>
            </w:r>
          </w:p>
        </w:tc>
        <w:tc>
          <w:tcPr>
            <w:tcW w:w="4214" w:type="dxa"/>
            <w:gridSpan w:val="4"/>
            <w:tcBorders>
              <w:left w:val="thinThickThinSmallGap" w:sz="24" w:space="0" w:color="auto"/>
            </w:tcBorders>
            <w:shd w:val="clear" w:color="auto" w:fill="D9D9D9"/>
            <w:vAlign w:val="center"/>
          </w:tcPr>
          <w:p w:rsidR="008B785A" w:rsidRPr="0079011E" w:rsidRDefault="008B785A" w:rsidP="0063652B">
            <w:pPr>
              <w:spacing w:line="200" w:lineRule="exact"/>
              <w:contextualSpacing/>
              <w:rPr>
                <w:rFonts w:eastAsia="Calibri"/>
                <w:b/>
                <w:color w:val="auto"/>
                <w:sz w:val="20"/>
              </w:rPr>
            </w:pPr>
            <w:r w:rsidRPr="0079011E">
              <w:rPr>
                <w:rFonts w:eastAsia="Calibri"/>
                <w:b/>
                <w:color w:val="auto"/>
                <w:sz w:val="20"/>
              </w:rPr>
              <w:t>VA* – All Effective Date 20090821</w:t>
            </w:r>
          </w:p>
        </w:tc>
      </w:tr>
      <w:tr w:rsidR="008B785A" w:rsidRPr="0079011E" w:rsidTr="0063652B">
        <w:trPr>
          <w:trHeight w:val="233"/>
          <w:jc w:val="center"/>
        </w:trPr>
        <w:tc>
          <w:tcPr>
            <w:tcW w:w="2528" w:type="dxa"/>
            <w:tcBorders>
              <w:bottom w:val="single" w:sz="4" w:space="0" w:color="000000"/>
            </w:tcBorders>
            <w:shd w:val="clear" w:color="auto" w:fill="D9D9D9"/>
            <w:vAlign w:val="center"/>
          </w:tcPr>
          <w:p w:rsidR="008B785A" w:rsidRPr="0079011E" w:rsidRDefault="008B785A" w:rsidP="0063652B">
            <w:pPr>
              <w:spacing w:line="200" w:lineRule="exact"/>
              <w:contextualSpacing/>
              <w:rPr>
                <w:rFonts w:eastAsia="Calibri"/>
                <w:b/>
                <w:color w:val="auto"/>
                <w:sz w:val="20"/>
              </w:rPr>
            </w:pPr>
            <w:r w:rsidRPr="0079011E">
              <w:rPr>
                <w:rFonts w:eastAsia="Calibri"/>
                <w:b/>
                <w:color w:val="auto"/>
                <w:sz w:val="20"/>
              </w:rPr>
              <w:t>Condition</w:t>
            </w:r>
          </w:p>
        </w:tc>
        <w:tc>
          <w:tcPr>
            <w:tcW w:w="720" w:type="dxa"/>
            <w:tcBorders>
              <w:bottom w:val="single" w:sz="4" w:space="0" w:color="000000"/>
            </w:tcBorders>
            <w:shd w:val="clear" w:color="auto" w:fill="D9D9D9"/>
            <w:vAlign w:val="center"/>
          </w:tcPr>
          <w:p w:rsidR="008B785A" w:rsidRPr="0079011E" w:rsidRDefault="008B785A" w:rsidP="0063652B">
            <w:pPr>
              <w:spacing w:line="200" w:lineRule="exact"/>
              <w:contextualSpacing/>
              <w:rPr>
                <w:rFonts w:eastAsia="Calibri"/>
                <w:b/>
                <w:color w:val="auto"/>
                <w:sz w:val="20"/>
              </w:rPr>
            </w:pPr>
            <w:r w:rsidRPr="0079011E">
              <w:rPr>
                <w:rFonts w:eastAsia="Calibri"/>
                <w:b/>
                <w:color w:val="auto"/>
                <w:sz w:val="20"/>
              </w:rPr>
              <w:t>Code</w:t>
            </w:r>
          </w:p>
        </w:tc>
        <w:tc>
          <w:tcPr>
            <w:tcW w:w="1980" w:type="dxa"/>
            <w:gridSpan w:val="2"/>
            <w:tcBorders>
              <w:bottom w:val="single" w:sz="4" w:space="0" w:color="000000"/>
              <w:right w:val="thinThickThinSmallGap" w:sz="24" w:space="0" w:color="auto"/>
            </w:tcBorders>
            <w:shd w:val="clear" w:color="auto" w:fill="D9D9D9"/>
            <w:vAlign w:val="center"/>
          </w:tcPr>
          <w:p w:rsidR="008B785A" w:rsidRPr="0079011E" w:rsidRDefault="008B785A" w:rsidP="0063652B">
            <w:pPr>
              <w:spacing w:line="200" w:lineRule="exact"/>
              <w:contextualSpacing/>
              <w:rPr>
                <w:rFonts w:eastAsia="Calibri"/>
                <w:b/>
                <w:color w:val="auto"/>
                <w:sz w:val="20"/>
              </w:rPr>
            </w:pPr>
            <w:r w:rsidRPr="0079011E">
              <w:rPr>
                <w:rFonts w:eastAsia="Calibri"/>
                <w:b/>
                <w:color w:val="auto"/>
                <w:sz w:val="20"/>
              </w:rPr>
              <w:t>Rating</w:t>
            </w:r>
          </w:p>
        </w:tc>
        <w:tc>
          <w:tcPr>
            <w:tcW w:w="1440" w:type="dxa"/>
            <w:vMerge w:val="restart"/>
            <w:tcBorders>
              <w:left w:val="thinThickThinSmallGap" w:sz="24" w:space="0" w:color="auto"/>
            </w:tcBorders>
            <w:shd w:val="clear" w:color="auto" w:fill="D9D9D9"/>
            <w:vAlign w:val="center"/>
          </w:tcPr>
          <w:p w:rsidR="008B785A" w:rsidRPr="0079011E" w:rsidRDefault="008B785A" w:rsidP="0063652B">
            <w:pPr>
              <w:spacing w:line="200" w:lineRule="exact"/>
              <w:contextualSpacing/>
              <w:rPr>
                <w:rFonts w:eastAsia="Calibri"/>
                <w:b/>
                <w:color w:val="auto"/>
                <w:sz w:val="20"/>
              </w:rPr>
            </w:pPr>
            <w:r w:rsidRPr="0079011E">
              <w:rPr>
                <w:rFonts w:eastAsia="Calibri"/>
                <w:b/>
                <w:color w:val="auto"/>
                <w:sz w:val="20"/>
              </w:rPr>
              <w:t>Condition</w:t>
            </w:r>
          </w:p>
        </w:tc>
        <w:tc>
          <w:tcPr>
            <w:tcW w:w="877" w:type="dxa"/>
            <w:vMerge w:val="restart"/>
            <w:shd w:val="clear" w:color="auto" w:fill="D9D9D9"/>
            <w:vAlign w:val="center"/>
          </w:tcPr>
          <w:p w:rsidR="008B785A" w:rsidRPr="0079011E" w:rsidRDefault="008B785A" w:rsidP="0063652B">
            <w:pPr>
              <w:spacing w:line="200" w:lineRule="exact"/>
              <w:contextualSpacing/>
              <w:rPr>
                <w:rFonts w:eastAsia="Calibri"/>
                <w:b/>
                <w:color w:val="auto"/>
                <w:sz w:val="20"/>
              </w:rPr>
            </w:pPr>
            <w:r w:rsidRPr="0079011E">
              <w:rPr>
                <w:rFonts w:eastAsia="Calibri"/>
                <w:b/>
                <w:color w:val="auto"/>
                <w:sz w:val="20"/>
              </w:rPr>
              <w:t>Code</w:t>
            </w:r>
          </w:p>
        </w:tc>
        <w:tc>
          <w:tcPr>
            <w:tcW w:w="810" w:type="dxa"/>
            <w:vMerge w:val="restart"/>
            <w:shd w:val="clear" w:color="auto" w:fill="D9D9D9"/>
            <w:vAlign w:val="center"/>
          </w:tcPr>
          <w:p w:rsidR="008B785A" w:rsidRPr="0079011E" w:rsidRDefault="008B785A" w:rsidP="0063652B">
            <w:pPr>
              <w:spacing w:line="200" w:lineRule="exact"/>
              <w:contextualSpacing/>
              <w:rPr>
                <w:rFonts w:eastAsia="Calibri"/>
                <w:b/>
                <w:color w:val="auto"/>
                <w:sz w:val="20"/>
              </w:rPr>
            </w:pPr>
            <w:r w:rsidRPr="0079011E">
              <w:rPr>
                <w:rFonts w:eastAsia="Calibri"/>
                <w:b/>
                <w:color w:val="auto"/>
                <w:sz w:val="20"/>
              </w:rPr>
              <w:t>Rating</w:t>
            </w:r>
          </w:p>
        </w:tc>
        <w:tc>
          <w:tcPr>
            <w:tcW w:w="1087" w:type="dxa"/>
            <w:vMerge w:val="restart"/>
            <w:shd w:val="clear" w:color="auto" w:fill="D9D9D9"/>
            <w:vAlign w:val="center"/>
          </w:tcPr>
          <w:p w:rsidR="008B785A" w:rsidRPr="0079011E" w:rsidRDefault="008B785A" w:rsidP="0063652B">
            <w:pPr>
              <w:spacing w:line="200" w:lineRule="exact"/>
              <w:contextualSpacing/>
              <w:rPr>
                <w:rFonts w:eastAsia="Calibri"/>
                <w:b/>
                <w:color w:val="auto"/>
                <w:sz w:val="20"/>
              </w:rPr>
            </w:pPr>
            <w:r w:rsidRPr="0079011E">
              <w:rPr>
                <w:rFonts w:eastAsia="Calibri"/>
                <w:b/>
                <w:color w:val="auto"/>
                <w:sz w:val="20"/>
              </w:rPr>
              <w:t>Exam</w:t>
            </w:r>
          </w:p>
        </w:tc>
      </w:tr>
      <w:tr w:rsidR="008B785A" w:rsidRPr="0079011E" w:rsidTr="0063652B">
        <w:trPr>
          <w:trHeight w:val="152"/>
          <w:jc w:val="center"/>
        </w:trPr>
        <w:tc>
          <w:tcPr>
            <w:tcW w:w="2528" w:type="dxa"/>
            <w:shd w:val="clear" w:color="auto" w:fill="D9D9D9"/>
            <w:vAlign w:val="center"/>
          </w:tcPr>
          <w:p w:rsidR="008B785A" w:rsidRPr="0079011E" w:rsidRDefault="008B785A" w:rsidP="0063652B">
            <w:pPr>
              <w:spacing w:line="200" w:lineRule="exact"/>
              <w:contextualSpacing/>
              <w:rPr>
                <w:rFonts w:eastAsia="Calibri"/>
                <w:b/>
                <w:color w:val="auto"/>
                <w:sz w:val="20"/>
              </w:rPr>
            </w:pPr>
            <w:r w:rsidRPr="0079011E">
              <w:rPr>
                <w:rFonts w:eastAsia="Calibri"/>
                <w:b/>
                <w:color w:val="auto"/>
                <w:sz w:val="20"/>
              </w:rPr>
              <w:t>On TDRL – 20050616</w:t>
            </w:r>
          </w:p>
        </w:tc>
        <w:tc>
          <w:tcPr>
            <w:tcW w:w="720" w:type="dxa"/>
            <w:shd w:val="clear" w:color="auto" w:fill="D9D9D9"/>
            <w:vAlign w:val="center"/>
          </w:tcPr>
          <w:p w:rsidR="008B785A" w:rsidRPr="0079011E" w:rsidRDefault="008B785A" w:rsidP="0063652B">
            <w:pPr>
              <w:spacing w:line="200" w:lineRule="exact"/>
              <w:contextualSpacing/>
              <w:rPr>
                <w:rFonts w:eastAsia="Calibri"/>
                <w:color w:val="auto"/>
                <w:sz w:val="20"/>
              </w:rPr>
            </w:pPr>
          </w:p>
        </w:tc>
        <w:tc>
          <w:tcPr>
            <w:tcW w:w="720" w:type="dxa"/>
            <w:tcBorders>
              <w:right w:val="single" w:sz="4" w:space="0" w:color="auto"/>
            </w:tcBorders>
            <w:shd w:val="clear" w:color="auto" w:fill="D9D9D9"/>
            <w:vAlign w:val="center"/>
          </w:tcPr>
          <w:p w:rsidR="008B785A" w:rsidRPr="0079011E" w:rsidRDefault="008B785A" w:rsidP="0063652B">
            <w:pPr>
              <w:spacing w:line="200" w:lineRule="exact"/>
              <w:contextualSpacing/>
              <w:rPr>
                <w:rFonts w:eastAsia="Calibri"/>
                <w:b/>
                <w:color w:val="auto"/>
                <w:sz w:val="20"/>
              </w:rPr>
            </w:pPr>
            <w:r w:rsidRPr="0079011E">
              <w:rPr>
                <w:rFonts w:eastAsia="Calibri"/>
                <w:b/>
                <w:color w:val="auto"/>
                <w:sz w:val="20"/>
              </w:rPr>
              <w:t>TDRL</w:t>
            </w:r>
          </w:p>
        </w:tc>
        <w:tc>
          <w:tcPr>
            <w:tcW w:w="1260" w:type="dxa"/>
            <w:tcBorders>
              <w:left w:val="single" w:sz="4" w:space="0" w:color="auto"/>
              <w:right w:val="thinThickThinSmallGap" w:sz="24" w:space="0" w:color="auto"/>
            </w:tcBorders>
            <w:shd w:val="clear" w:color="auto" w:fill="D9D9D9"/>
            <w:vAlign w:val="center"/>
          </w:tcPr>
          <w:p w:rsidR="008B785A" w:rsidRPr="0079011E" w:rsidRDefault="008B785A" w:rsidP="0063652B">
            <w:pPr>
              <w:tabs>
                <w:tab w:val="left" w:pos="206"/>
                <w:tab w:val="center" w:pos="387"/>
              </w:tabs>
              <w:spacing w:line="200" w:lineRule="exact"/>
              <w:contextualSpacing/>
              <w:rPr>
                <w:rFonts w:eastAsia="Calibri"/>
                <w:b/>
                <w:color w:val="auto"/>
                <w:sz w:val="20"/>
              </w:rPr>
            </w:pPr>
            <w:r w:rsidRPr="0079011E">
              <w:rPr>
                <w:rFonts w:eastAsia="Calibri"/>
                <w:b/>
                <w:color w:val="auto"/>
                <w:sz w:val="20"/>
              </w:rPr>
              <w:t>Sep</w:t>
            </w:r>
            <w:r w:rsidR="0063652B">
              <w:rPr>
                <w:rFonts w:eastAsia="Calibri"/>
                <w:b/>
                <w:color w:val="auto"/>
                <w:sz w:val="20"/>
              </w:rPr>
              <w:t>aration</w:t>
            </w:r>
          </w:p>
        </w:tc>
        <w:tc>
          <w:tcPr>
            <w:tcW w:w="1440" w:type="dxa"/>
            <w:vMerge/>
            <w:tcBorders>
              <w:left w:val="thinThickThinSmallGap" w:sz="24" w:space="0" w:color="auto"/>
            </w:tcBorders>
            <w:shd w:val="clear" w:color="auto" w:fill="D9D9D9"/>
            <w:vAlign w:val="center"/>
          </w:tcPr>
          <w:p w:rsidR="008B785A" w:rsidRPr="0079011E" w:rsidRDefault="008B785A" w:rsidP="00244C55">
            <w:pPr>
              <w:spacing w:line="200" w:lineRule="exact"/>
              <w:contextualSpacing/>
              <w:rPr>
                <w:rFonts w:eastAsia="Calibri"/>
                <w:b/>
                <w:color w:val="auto"/>
                <w:sz w:val="20"/>
              </w:rPr>
            </w:pPr>
          </w:p>
        </w:tc>
        <w:tc>
          <w:tcPr>
            <w:tcW w:w="877" w:type="dxa"/>
            <w:vMerge/>
            <w:shd w:val="clear" w:color="auto" w:fill="C6D9F1"/>
          </w:tcPr>
          <w:p w:rsidR="008B785A" w:rsidRPr="0079011E" w:rsidRDefault="008B785A" w:rsidP="00244C55">
            <w:pPr>
              <w:spacing w:line="200" w:lineRule="exact"/>
              <w:contextualSpacing/>
              <w:rPr>
                <w:rFonts w:eastAsia="Calibri"/>
                <w:color w:val="auto"/>
                <w:sz w:val="20"/>
              </w:rPr>
            </w:pPr>
          </w:p>
        </w:tc>
        <w:tc>
          <w:tcPr>
            <w:tcW w:w="810" w:type="dxa"/>
            <w:vMerge/>
            <w:shd w:val="clear" w:color="auto" w:fill="C6D9F1"/>
          </w:tcPr>
          <w:p w:rsidR="008B785A" w:rsidRPr="0079011E" w:rsidRDefault="008B785A" w:rsidP="00244C55">
            <w:pPr>
              <w:spacing w:line="200" w:lineRule="exact"/>
              <w:contextualSpacing/>
              <w:rPr>
                <w:rFonts w:eastAsia="Calibri"/>
                <w:color w:val="auto"/>
                <w:sz w:val="20"/>
              </w:rPr>
            </w:pPr>
          </w:p>
        </w:tc>
        <w:tc>
          <w:tcPr>
            <w:tcW w:w="1087" w:type="dxa"/>
            <w:vMerge/>
            <w:shd w:val="clear" w:color="auto" w:fill="C6D9F1"/>
          </w:tcPr>
          <w:p w:rsidR="008B785A" w:rsidRPr="0079011E" w:rsidRDefault="008B785A" w:rsidP="00244C55">
            <w:pPr>
              <w:spacing w:line="200" w:lineRule="exact"/>
              <w:contextualSpacing/>
              <w:rPr>
                <w:rFonts w:eastAsia="Calibri"/>
                <w:color w:val="auto"/>
                <w:sz w:val="20"/>
              </w:rPr>
            </w:pPr>
          </w:p>
        </w:tc>
      </w:tr>
      <w:tr w:rsidR="005D2E82" w:rsidRPr="0079011E" w:rsidTr="0063652B">
        <w:trPr>
          <w:trHeight w:val="350"/>
          <w:jc w:val="center"/>
        </w:trPr>
        <w:tc>
          <w:tcPr>
            <w:tcW w:w="2528" w:type="dxa"/>
            <w:tcBorders>
              <w:right w:val="single" w:sz="4" w:space="0" w:color="auto"/>
            </w:tcBorders>
            <w:shd w:val="clear" w:color="auto" w:fill="FFFFFF"/>
            <w:vAlign w:val="center"/>
          </w:tcPr>
          <w:p w:rsidR="005D2E82" w:rsidRPr="0079011E" w:rsidRDefault="005D2E82" w:rsidP="0063652B">
            <w:pPr>
              <w:spacing w:line="180" w:lineRule="exact"/>
              <w:contextualSpacing/>
              <w:jc w:val="left"/>
              <w:rPr>
                <w:rFonts w:eastAsia="Calibri"/>
                <w:color w:val="auto"/>
                <w:sz w:val="18"/>
                <w:szCs w:val="18"/>
              </w:rPr>
            </w:pPr>
            <w:r w:rsidRPr="0079011E">
              <w:rPr>
                <w:rFonts w:eastAsia="Calibri"/>
                <w:color w:val="auto"/>
                <w:sz w:val="18"/>
                <w:szCs w:val="18"/>
              </w:rPr>
              <w:t>Post</w:t>
            </w:r>
            <w:r w:rsidR="0063652B">
              <w:rPr>
                <w:rFonts w:eastAsia="Calibri"/>
                <w:color w:val="auto"/>
                <w:sz w:val="18"/>
                <w:szCs w:val="18"/>
              </w:rPr>
              <w:t xml:space="preserve"> T</w:t>
            </w:r>
            <w:r w:rsidRPr="0079011E">
              <w:rPr>
                <w:rFonts w:eastAsia="Calibri"/>
                <w:color w:val="auto"/>
                <w:sz w:val="18"/>
                <w:szCs w:val="18"/>
              </w:rPr>
              <w:t>raumatic Stress Disorder</w:t>
            </w:r>
          </w:p>
        </w:tc>
        <w:tc>
          <w:tcPr>
            <w:tcW w:w="720" w:type="dxa"/>
            <w:tcBorders>
              <w:left w:val="single" w:sz="4" w:space="0" w:color="auto"/>
            </w:tcBorders>
            <w:shd w:val="clear" w:color="auto" w:fill="FFFFFF"/>
            <w:vAlign w:val="center"/>
          </w:tcPr>
          <w:p w:rsidR="005D2E82" w:rsidRPr="0079011E" w:rsidRDefault="005D2E82" w:rsidP="0063652B">
            <w:pPr>
              <w:spacing w:line="180" w:lineRule="exact"/>
              <w:contextualSpacing/>
              <w:rPr>
                <w:rFonts w:eastAsia="Calibri"/>
                <w:color w:val="auto"/>
                <w:sz w:val="18"/>
                <w:szCs w:val="18"/>
              </w:rPr>
            </w:pPr>
            <w:r w:rsidRPr="0079011E">
              <w:rPr>
                <w:rFonts w:eastAsia="Calibri"/>
                <w:color w:val="auto"/>
                <w:sz w:val="18"/>
                <w:szCs w:val="18"/>
              </w:rPr>
              <w:t>9411</w:t>
            </w:r>
          </w:p>
        </w:tc>
        <w:tc>
          <w:tcPr>
            <w:tcW w:w="720" w:type="dxa"/>
            <w:tcBorders>
              <w:right w:val="single" w:sz="4" w:space="0" w:color="auto"/>
            </w:tcBorders>
            <w:shd w:val="clear" w:color="auto" w:fill="FFFFFF"/>
            <w:vAlign w:val="center"/>
          </w:tcPr>
          <w:p w:rsidR="005D2E82" w:rsidRPr="0079011E" w:rsidRDefault="005D2E82" w:rsidP="0063652B">
            <w:pPr>
              <w:rPr>
                <w:rFonts w:eastAsia="Calibri"/>
                <w:color w:val="auto"/>
                <w:sz w:val="22"/>
                <w:szCs w:val="22"/>
              </w:rPr>
            </w:pPr>
            <w:r w:rsidRPr="0079011E">
              <w:rPr>
                <w:rFonts w:eastAsia="Calibri"/>
                <w:color w:val="auto"/>
                <w:sz w:val="18"/>
                <w:szCs w:val="18"/>
              </w:rPr>
              <w:t>30%</w:t>
            </w:r>
          </w:p>
        </w:tc>
        <w:tc>
          <w:tcPr>
            <w:tcW w:w="1260" w:type="dxa"/>
            <w:tcBorders>
              <w:left w:val="single" w:sz="4" w:space="0" w:color="auto"/>
              <w:right w:val="thinThickThinSmallGap" w:sz="24" w:space="0" w:color="auto"/>
            </w:tcBorders>
            <w:shd w:val="clear" w:color="auto" w:fill="FFFFFF"/>
            <w:vAlign w:val="center"/>
          </w:tcPr>
          <w:p w:rsidR="005D2E82" w:rsidRPr="0079011E" w:rsidRDefault="005D2E82" w:rsidP="0063652B">
            <w:pPr>
              <w:rPr>
                <w:rFonts w:eastAsia="Calibri"/>
                <w:color w:val="auto"/>
                <w:sz w:val="22"/>
                <w:szCs w:val="22"/>
              </w:rPr>
            </w:pPr>
            <w:r w:rsidRPr="0079011E">
              <w:rPr>
                <w:rFonts w:eastAsia="Calibri"/>
                <w:color w:val="auto"/>
                <w:sz w:val="18"/>
                <w:szCs w:val="18"/>
              </w:rPr>
              <w:t>10%</w:t>
            </w:r>
          </w:p>
        </w:tc>
        <w:tc>
          <w:tcPr>
            <w:tcW w:w="1440" w:type="dxa"/>
            <w:vMerge w:val="restart"/>
            <w:tcBorders>
              <w:left w:val="thinThickThinSmallGap" w:sz="24" w:space="0" w:color="auto"/>
            </w:tcBorders>
            <w:shd w:val="clear" w:color="auto" w:fill="FFFFFF"/>
            <w:vAlign w:val="center"/>
          </w:tcPr>
          <w:p w:rsidR="005D2E82" w:rsidRPr="0079011E" w:rsidRDefault="005D2E82" w:rsidP="0063652B">
            <w:pPr>
              <w:spacing w:line="180" w:lineRule="exact"/>
              <w:contextualSpacing/>
              <w:jc w:val="left"/>
              <w:rPr>
                <w:rFonts w:eastAsia="Calibri"/>
                <w:color w:val="auto"/>
                <w:sz w:val="18"/>
                <w:szCs w:val="18"/>
              </w:rPr>
            </w:pPr>
            <w:r w:rsidRPr="0079011E">
              <w:rPr>
                <w:rFonts w:eastAsia="Calibri"/>
                <w:color w:val="auto"/>
                <w:sz w:val="18"/>
                <w:szCs w:val="18"/>
              </w:rPr>
              <w:t>Post</w:t>
            </w:r>
            <w:r w:rsidR="0063652B">
              <w:rPr>
                <w:rFonts w:eastAsia="Calibri"/>
                <w:color w:val="auto"/>
                <w:sz w:val="18"/>
                <w:szCs w:val="18"/>
              </w:rPr>
              <w:t xml:space="preserve"> T</w:t>
            </w:r>
            <w:r w:rsidRPr="0079011E">
              <w:rPr>
                <w:rFonts w:eastAsia="Calibri"/>
                <w:color w:val="auto"/>
                <w:sz w:val="18"/>
                <w:szCs w:val="18"/>
              </w:rPr>
              <w:t>raumatic Stress Disorder</w:t>
            </w:r>
          </w:p>
        </w:tc>
        <w:tc>
          <w:tcPr>
            <w:tcW w:w="877" w:type="dxa"/>
            <w:vMerge w:val="restart"/>
            <w:shd w:val="clear" w:color="auto" w:fill="FFFFFF"/>
            <w:vAlign w:val="center"/>
          </w:tcPr>
          <w:p w:rsidR="005D2E82" w:rsidRPr="0079011E" w:rsidRDefault="005D2E82" w:rsidP="00244C55">
            <w:pPr>
              <w:spacing w:line="180" w:lineRule="exact"/>
              <w:contextualSpacing/>
              <w:rPr>
                <w:rFonts w:eastAsia="Calibri"/>
                <w:color w:val="auto"/>
                <w:sz w:val="18"/>
                <w:szCs w:val="18"/>
              </w:rPr>
            </w:pPr>
            <w:r w:rsidRPr="0079011E">
              <w:rPr>
                <w:rFonts w:eastAsia="Calibri"/>
                <w:color w:val="auto"/>
                <w:sz w:val="18"/>
                <w:szCs w:val="18"/>
              </w:rPr>
              <w:t>9434</w:t>
            </w:r>
          </w:p>
        </w:tc>
        <w:tc>
          <w:tcPr>
            <w:tcW w:w="810" w:type="dxa"/>
            <w:vMerge w:val="restart"/>
            <w:tcBorders>
              <w:right w:val="single" w:sz="4" w:space="0" w:color="auto"/>
            </w:tcBorders>
            <w:shd w:val="clear" w:color="auto" w:fill="FFFFFF"/>
            <w:vAlign w:val="center"/>
          </w:tcPr>
          <w:p w:rsidR="005D2E82" w:rsidRPr="0079011E" w:rsidRDefault="005D2E82" w:rsidP="00244C55">
            <w:pPr>
              <w:spacing w:line="180" w:lineRule="exact"/>
              <w:contextualSpacing/>
              <w:rPr>
                <w:rFonts w:eastAsia="Calibri"/>
                <w:color w:val="auto"/>
                <w:sz w:val="18"/>
                <w:szCs w:val="18"/>
              </w:rPr>
            </w:pPr>
            <w:r w:rsidRPr="0079011E">
              <w:rPr>
                <w:rFonts w:eastAsia="Calibri"/>
                <w:color w:val="auto"/>
                <w:sz w:val="18"/>
                <w:szCs w:val="18"/>
              </w:rPr>
              <w:t>30%</w:t>
            </w:r>
          </w:p>
        </w:tc>
        <w:tc>
          <w:tcPr>
            <w:tcW w:w="1087" w:type="dxa"/>
            <w:vMerge w:val="restart"/>
            <w:tcBorders>
              <w:left w:val="single" w:sz="4" w:space="0" w:color="auto"/>
            </w:tcBorders>
            <w:shd w:val="clear" w:color="auto" w:fill="FFFFFF"/>
            <w:vAlign w:val="center"/>
          </w:tcPr>
          <w:p w:rsidR="005D2E82" w:rsidRPr="0079011E" w:rsidRDefault="005D2E82" w:rsidP="00244C55">
            <w:pPr>
              <w:spacing w:line="180" w:lineRule="exact"/>
              <w:contextualSpacing/>
              <w:rPr>
                <w:rFonts w:eastAsia="Calibri"/>
                <w:color w:val="auto"/>
                <w:sz w:val="18"/>
                <w:szCs w:val="18"/>
              </w:rPr>
            </w:pPr>
            <w:r w:rsidRPr="0079011E">
              <w:rPr>
                <w:rFonts w:eastAsia="Calibri"/>
                <w:color w:val="auto"/>
                <w:sz w:val="18"/>
                <w:szCs w:val="18"/>
              </w:rPr>
              <w:t>20090821</w:t>
            </w:r>
          </w:p>
        </w:tc>
      </w:tr>
      <w:tr w:rsidR="005D2E82" w:rsidRPr="0079011E" w:rsidTr="0063652B">
        <w:trPr>
          <w:trHeight w:val="287"/>
          <w:jc w:val="center"/>
        </w:trPr>
        <w:tc>
          <w:tcPr>
            <w:tcW w:w="2528" w:type="dxa"/>
            <w:tcBorders>
              <w:right w:val="single" w:sz="4" w:space="0" w:color="auto"/>
            </w:tcBorders>
            <w:shd w:val="clear" w:color="auto" w:fill="FFFFFF"/>
            <w:vAlign w:val="center"/>
          </w:tcPr>
          <w:p w:rsidR="005D2E82" w:rsidRPr="0079011E" w:rsidRDefault="005D2E82" w:rsidP="0063652B">
            <w:pPr>
              <w:spacing w:line="180" w:lineRule="exact"/>
              <w:contextualSpacing/>
              <w:jc w:val="left"/>
              <w:rPr>
                <w:rFonts w:eastAsia="Calibri"/>
                <w:color w:val="auto"/>
                <w:sz w:val="18"/>
                <w:szCs w:val="18"/>
              </w:rPr>
            </w:pPr>
            <w:r w:rsidRPr="0079011E">
              <w:rPr>
                <w:rFonts w:eastAsia="Calibri"/>
                <w:color w:val="auto"/>
                <w:sz w:val="18"/>
                <w:szCs w:val="18"/>
              </w:rPr>
              <w:t>Major Depressive Disorder</w:t>
            </w:r>
          </w:p>
        </w:tc>
        <w:tc>
          <w:tcPr>
            <w:tcW w:w="2700" w:type="dxa"/>
            <w:gridSpan w:val="3"/>
            <w:tcBorders>
              <w:left w:val="single" w:sz="4" w:space="0" w:color="auto"/>
              <w:right w:val="thinThickThinSmallGap" w:sz="24" w:space="0" w:color="auto"/>
            </w:tcBorders>
            <w:shd w:val="clear" w:color="auto" w:fill="FFFFFF"/>
            <w:vAlign w:val="center"/>
          </w:tcPr>
          <w:p w:rsidR="005D2E82" w:rsidRPr="0079011E" w:rsidRDefault="005D2E82" w:rsidP="00244C55">
            <w:pPr>
              <w:rPr>
                <w:rFonts w:eastAsia="Calibri"/>
                <w:color w:val="auto"/>
                <w:sz w:val="18"/>
                <w:szCs w:val="18"/>
              </w:rPr>
            </w:pPr>
            <w:r w:rsidRPr="0079011E">
              <w:rPr>
                <w:rFonts w:eastAsia="Calibri"/>
                <w:color w:val="auto"/>
                <w:sz w:val="18"/>
                <w:szCs w:val="18"/>
              </w:rPr>
              <w:t>Not Separately Rated</w:t>
            </w:r>
          </w:p>
        </w:tc>
        <w:tc>
          <w:tcPr>
            <w:tcW w:w="1440" w:type="dxa"/>
            <w:vMerge/>
            <w:tcBorders>
              <w:left w:val="thinThickThinSmallGap" w:sz="24" w:space="0" w:color="auto"/>
            </w:tcBorders>
            <w:shd w:val="clear" w:color="auto" w:fill="FFFFFF"/>
          </w:tcPr>
          <w:p w:rsidR="005D2E82" w:rsidRPr="0079011E" w:rsidRDefault="005D2E82" w:rsidP="00244C55">
            <w:pPr>
              <w:spacing w:line="180" w:lineRule="exact"/>
              <w:contextualSpacing/>
              <w:jc w:val="both"/>
              <w:rPr>
                <w:rFonts w:eastAsia="Calibri"/>
                <w:color w:val="auto"/>
                <w:sz w:val="18"/>
                <w:szCs w:val="18"/>
              </w:rPr>
            </w:pPr>
          </w:p>
        </w:tc>
        <w:tc>
          <w:tcPr>
            <w:tcW w:w="877" w:type="dxa"/>
            <w:vMerge/>
            <w:shd w:val="clear" w:color="auto" w:fill="FFFFFF"/>
            <w:vAlign w:val="center"/>
          </w:tcPr>
          <w:p w:rsidR="005D2E82" w:rsidRPr="0079011E" w:rsidRDefault="005D2E82" w:rsidP="00244C55">
            <w:pPr>
              <w:spacing w:line="180" w:lineRule="exact"/>
              <w:contextualSpacing/>
              <w:rPr>
                <w:rFonts w:eastAsia="Calibri"/>
                <w:color w:val="auto"/>
                <w:sz w:val="18"/>
                <w:szCs w:val="18"/>
              </w:rPr>
            </w:pPr>
          </w:p>
        </w:tc>
        <w:tc>
          <w:tcPr>
            <w:tcW w:w="810" w:type="dxa"/>
            <w:vMerge/>
            <w:tcBorders>
              <w:bottom w:val="single" w:sz="4" w:space="0" w:color="auto"/>
              <w:right w:val="single" w:sz="4" w:space="0" w:color="auto"/>
            </w:tcBorders>
            <w:shd w:val="clear" w:color="auto" w:fill="FFFFFF"/>
            <w:vAlign w:val="center"/>
          </w:tcPr>
          <w:p w:rsidR="005D2E82" w:rsidRPr="0079011E" w:rsidRDefault="005D2E82" w:rsidP="00244C55">
            <w:pPr>
              <w:spacing w:line="180" w:lineRule="exact"/>
              <w:contextualSpacing/>
              <w:rPr>
                <w:rFonts w:eastAsia="Calibri"/>
                <w:color w:val="auto"/>
                <w:sz w:val="18"/>
                <w:szCs w:val="18"/>
              </w:rPr>
            </w:pPr>
          </w:p>
        </w:tc>
        <w:tc>
          <w:tcPr>
            <w:tcW w:w="1087" w:type="dxa"/>
            <w:vMerge/>
            <w:tcBorders>
              <w:left w:val="single" w:sz="4" w:space="0" w:color="auto"/>
            </w:tcBorders>
            <w:shd w:val="clear" w:color="auto" w:fill="FFFFFF"/>
            <w:vAlign w:val="center"/>
          </w:tcPr>
          <w:p w:rsidR="005D2E82" w:rsidRPr="0079011E" w:rsidRDefault="005D2E82" w:rsidP="00244C55">
            <w:pPr>
              <w:spacing w:line="180" w:lineRule="exact"/>
              <w:contextualSpacing/>
              <w:rPr>
                <w:rFonts w:eastAsia="Calibri"/>
                <w:color w:val="auto"/>
                <w:sz w:val="18"/>
                <w:szCs w:val="18"/>
              </w:rPr>
            </w:pPr>
          </w:p>
        </w:tc>
      </w:tr>
      <w:tr w:rsidR="0063652B" w:rsidRPr="0079011E" w:rsidTr="0063652B">
        <w:trPr>
          <w:trHeight w:val="125"/>
          <w:jc w:val="center"/>
        </w:trPr>
        <w:tc>
          <w:tcPr>
            <w:tcW w:w="2528" w:type="dxa"/>
            <w:tcBorders>
              <w:right w:val="single" w:sz="4" w:space="0" w:color="auto"/>
            </w:tcBorders>
            <w:shd w:val="clear" w:color="auto" w:fill="FFFFFF"/>
            <w:vAlign w:val="center"/>
          </w:tcPr>
          <w:p w:rsidR="0063652B" w:rsidRPr="0079011E" w:rsidRDefault="0063652B" w:rsidP="0063652B">
            <w:pPr>
              <w:spacing w:line="180" w:lineRule="exact"/>
              <w:contextualSpacing/>
              <w:jc w:val="left"/>
              <w:rPr>
                <w:rFonts w:eastAsia="Calibri"/>
                <w:color w:val="auto"/>
                <w:sz w:val="18"/>
                <w:szCs w:val="18"/>
              </w:rPr>
            </w:pPr>
            <w:r w:rsidRPr="0079011E">
              <w:rPr>
                <w:rFonts w:eastAsia="Calibri"/>
                <w:color w:val="auto"/>
                <w:sz w:val="18"/>
                <w:szCs w:val="18"/>
              </w:rPr>
              <w:t xml:space="preserve"> Back Pain</w:t>
            </w:r>
          </w:p>
        </w:tc>
        <w:tc>
          <w:tcPr>
            <w:tcW w:w="2700" w:type="dxa"/>
            <w:gridSpan w:val="3"/>
            <w:vMerge w:val="restart"/>
            <w:tcBorders>
              <w:right w:val="thinThickThinSmallGap" w:sz="24" w:space="0" w:color="auto"/>
            </w:tcBorders>
            <w:shd w:val="clear" w:color="auto" w:fill="FFFFFF"/>
            <w:vAlign w:val="center"/>
          </w:tcPr>
          <w:p w:rsidR="0063652B" w:rsidRPr="0079011E" w:rsidRDefault="0063652B" w:rsidP="00244C55">
            <w:pPr>
              <w:spacing w:line="180" w:lineRule="exact"/>
              <w:contextualSpacing/>
              <w:rPr>
                <w:rFonts w:eastAsia="Calibri"/>
                <w:color w:val="auto"/>
                <w:sz w:val="18"/>
                <w:szCs w:val="18"/>
              </w:rPr>
            </w:pPr>
            <w:r w:rsidRPr="0079011E">
              <w:rPr>
                <w:rFonts w:eastAsia="Calibri"/>
                <w:color w:val="auto"/>
                <w:sz w:val="18"/>
                <w:szCs w:val="18"/>
              </w:rPr>
              <w:t>Not Unfitting</w:t>
            </w:r>
          </w:p>
        </w:tc>
        <w:tc>
          <w:tcPr>
            <w:tcW w:w="4214" w:type="dxa"/>
            <w:gridSpan w:val="4"/>
            <w:vMerge w:val="restart"/>
            <w:tcBorders>
              <w:left w:val="thinThickThinSmallGap" w:sz="24" w:space="0" w:color="auto"/>
            </w:tcBorders>
            <w:shd w:val="clear" w:color="auto" w:fill="FFFFFF"/>
          </w:tcPr>
          <w:p w:rsidR="0063652B" w:rsidRPr="0079011E" w:rsidRDefault="0063652B" w:rsidP="00244C55">
            <w:pPr>
              <w:spacing w:line="180" w:lineRule="exact"/>
              <w:contextualSpacing/>
              <w:rPr>
                <w:rFonts w:eastAsia="Calibri"/>
                <w:color w:val="auto"/>
                <w:sz w:val="18"/>
                <w:szCs w:val="18"/>
              </w:rPr>
            </w:pPr>
          </w:p>
          <w:p w:rsidR="0063652B" w:rsidRPr="0079011E" w:rsidRDefault="0063652B" w:rsidP="00244C55">
            <w:pPr>
              <w:spacing w:line="180" w:lineRule="exact"/>
              <w:contextualSpacing/>
              <w:rPr>
                <w:rFonts w:eastAsia="Calibri"/>
                <w:color w:val="auto"/>
                <w:sz w:val="18"/>
                <w:szCs w:val="18"/>
              </w:rPr>
            </w:pPr>
            <w:r w:rsidRPr="0079011E">
              <w:rPr>
                <w:rFonts w:eastAsia="Calibri"/>
                <w:color w:val="auto"/>
                <w:sz w:val="18"/>
                <w:szCs w:val="18"/>
              </w:rPr>
              <w:t>No VA Entry</w:t>
            </w:r>
          </w:p>
        </w:tc>
      </w:tr>
      <w:tr w:rsidR="008B785A" w:rsidRPr="0079011E" w:rsidTr="0063652B">
        <w:trPr>
          <w:trHeight w:val="233"/>
          <w:jc w:val="center"/>
        </w:trPr>
        <w:tc>
          <w:tcPr>
            <w:tcW w:w="2528" w:type="dxa"/>
            <w:tcBorders>
              <w:right w:val="single" w:sz="4" w:space="0" w:color="auto"/>
            </w:tcBorders>
            <w:shd w:val="clear" w:color="auto" w:fill="FFFFFF"/>
            <w:vAlign w:val="center"/>
          </w:tcPr>
          <w:p w:rsidR="008B785A" w:rsidRPr="0079011E" w:rsidRDefault="008B785A" w:rsidP="0063652B">
            <w:pPr>
              <w:spacing w:line="180" w:lineRule="exact"/>
              <w:contextualSpacing/>
              <w:jc w:val="left"/>
              <w:rPr>
                <w:rFonts w:eastAsia="Calibri"/>
                <w:color w:val="auto"/>
                <w:sz w:val="18"/>
                <w:szCs w:val="18"/>
              </w:rPr>
            </w:pPr>
            <w:r w:rsidRPr="0079011E">
              <w:rPr>
                <w:rFonts w:eastAsia="Calibri"/>
                <w:color w:val="auto"/>
                <w:sz w:val="18"/>
                <w:szCs w:val="18"/>
              </w:rPr>
              <w:t>Stress Fracture-Left Foot</w:t>
            </w:r>
          </w:p>
        </w:tc>
        <w:tc>
          <w:tcPr>
            <w:tcW w:w="2700" w:type="dxa"/>
            <w:gridSpan w:val="3"/>
            <w:vMerge/>
            <w:tcBorders>
              <w:right w:val="thinThickThinSmallGap" w:sz="24" w:space="0" w:color="auto"/>
            </w:tcBorders>
            <w:shd w:val="clear" w:color="auto" w:fill="FFFFFF"/>
          </w:tcPr>
          <w:p w:rsidR="008B785A" w:rsidRPr="0079011E" w:rsidRDefault="008B785A" w:rsidP="00244C55">
            <w:pPr>
              <w:spacing w:line="180" w:lineRule="exact"/>
              <w:contextualSpacing/>
              <w:rPr>
                <w:rFonts w:eastAsia="Calibri"/>
                <w:color w:val="auto"/>
                <w:sz w:val="18"/>
                <w:szCs w:val="18"/>
              </w:rPr>
            </w:pPr>
          </w:p>
        </w:tc>
        <w:tc>
          <w:tcPr>
            <w:tcW w:w="4214" w:type="dxa"/>
            <w:gridSpan w:val="4"/>
            <w:vMerge/>
            <w:tcBorders>
              <w:left w:val="thinThickThinSmallGap" w:sz="24" w:space="0" w:color="auto"/>
            </w:tcBorders>
            <w:shd w:val="clear" w:color="auto" w:fill="FFFFFF"/>
          </w:tcPr>
          <w:p w:rsidR="008B785A" w:rsidRPr="0079011E" w:rsidRDefault="008B785A" w:rsidP="00244C55">
            <w:pPr>
              <w:spacing w:line="180" w:lineRule="exact"/>
              <w:contextualSpacing/>
              <w:rPr>
                <w:rFonts w:eastAsia="Calibri"/>
                <w:color w:val="auto"/>
                <w:sz w:val="18"/>
                <w:szCs w:val="18"/>
              </w:rPr>
            </w:pPr>
          </w:p>
        </w:tc>
      </w:tr>
      <w:tr w:rsidR="008B785A" w:rsidRPr="0079011E" w:rsidTr="0063652B">
        <w:trPr>
          <w:trHeight w:val="170"/>
          <w:jc w:val="center"/>
        </w:trPr>
        <w:tc>
          <w:tcPr>
            <w:tcW w:w="2528" w:type="dxa"/>
            <w:tcBorders>
              <w:right w:val="single" w:sz="4" w:space="0" w:color="auto"/>
            </w:tcBorders>
            <w:shd w:val="clear" w:color="auto" w:fill="FFFFFF"/>
            <w:vAlign w:val="center"/>
          </w:tcPr>
          <w:p w:rsidR="008B785A" w:rsidRPr="0079011E" w:rsidRDefault="008B785A" w:rsidP="0063652B">
            <w:pPr>
              <w:spacing w:line="180" w:lineRule="exact"/>
              <w:contextualSpacing/>
              <w:jc w:val="left"/>
              <w:rPr>
                <w:rFonts w:eastAsia="Calibri"/>
                <w:color w:val="auto"/>
                <w:sz w:val="18"/>
                <w:szCs w:val="18"/>
              </w:rPr>
            </w:pPr>
            <w:r w:rsidRPr="0079011E">
              <w:rPr>
                <w:rFonts w:eastAsia="Calibri"/>
                <w:color w:val="auto"/>
                <w:sz w:val="18"/>
                <w:szCs w:val="18"/>
              </w:rPr>
              <w:t>Left Knee Pain</w:t>
            </w:r>
          </w:p>
        </w:tc>
        <w:tc>
          <w:tcPr>
            <w:tcW w:w="2700" w:type="dxa"/>
            <w:gridSpan w:val="3"/>
            <w:vMerge/>
            <w:tcBorders>
              <w:right w:val="thinThickThinSmallGap" w:sz="24" w:space="0" w:color="auto"/>
            </w:tcBorders>
            <w:shd w:val="clear" w:color="auto" w:fill="FFFFFF"/>
          </w:tcPr>
          <w:p w:rsidR="008B785A" w:rsidRPr="0079011E" w:rsidRDefault="008B785A" w:rsidP="00244C55">
            <w:pPr>
              <w:spacing w:line="180" w:lineRule="exact"/>
              <w:contextualSpacing/>
              <w:rPr>
                <w:rFonts w:eastAsia="Calibri"/>
                <w:color w:val="auto"/>
                <w:sz w:val="18"/>
                <w:szCs w:val="18"/>
              </w:rPr>
            </w:pPr>
          </w:p>
        </w:tc>
        <w:tc>
          <w:tcPr>
            <w:tcW w:w="4214" w:type="dxa"/>
            <w:gridSpan w:val="4"/>
            <w:vMerge/>
            <w:tcBorders>
              <w:left w:val="thinThickThinSmallGap" w:sz="24" w:space="0" w:color="auto"/>
              <w:bottom w:val="single" w:sz="4" w:space="0" w:color="auto"/>
            </w:tcBorders>
            <w:shd w:val="clear" w:color="auto" w:fill="FFFFFF"/>
          </w:tcPr>
          <w:p w:rsidR="008B785A" w:rsidRPr="0079011E" w:rsidRDefault="008B785A" w:rsidP="00244C55">
            <w:pPr>
              <w:spacing w:line="180" w:lineRule="exact"/>
              <w:contextualSpacing/>
              <w:rPr>
                <w:rFonts w:eastAsia="Calibri"/>
                <w:color w:val="auto"/>
                <w:sz w:val="18"/>
                <w:szCs w:val="18"/>
              </w:rPr>
            </w:pPr>
          </w:p>
        </w:tc>
      </w:tr>
      <w:tr w:rsidR="008B785A" w:rsidRPr="0079011E" w:rsidTr="0063652B">
        <w:trPr>
          <w:trHeight w:val="188"/>
          <w:jc w:val="center"/>
        </w:trPr>
        <w:tc>
          <w:tcPr>
            <w:tcW w:w="5228" w:type="dxa"/>
            <w:gridSpan w:val="4"/>
            <w:tcBorders>
              <w:bottom w:val="single" w:sz="4" w:space="0" w:color="000000"/>
              <w:right w:val="thinThickThinSmallGap" w:sz="24" w:space="0" w:color="auto"/>
            </w:tcBorders>
            <w:shd w:val="clear" w:color="auto" w:fill="FFFFFF"/>
          </w:tcPr>
          <w:p w:rsidR="008B785A" w:rsidRPr="0079011E" w:rsidRDefault="008B785A" w:rsidP="00244C55">
            <w:pPr>
              <w:spacing w:line="180" w:lineRule="exact"/>
              <w:contextualSpacing/>
              <w:rPr>
                <w:rFonts w:eastAsia="Calibri"/>
                <w:color w:val="auto"/>
                <w:sz w:val="18"/>
                <w:szCs w:val="18"/>
              </w:rPr>
            </w:pPr>
            <w:r w:rsidRPr="0079011E">
              <w:rPr>
                <w:rFonts w:eastAsia="Calibri"/>
                <w:color w:val="auto"/>
                <w:sz w:val="18"/>
                <w:szCs w:val="18"/>
              </w:rPr>
              <w:t>↓No Additional MEB/PEB Entries↓</w:t>
            </w:r>
          </w:p>
        </w:tc>
        <w:tc>
          <w:tcPr>
            <w:tcW w:w="4214" w:type="dxa"/>
            <w:gridSpan w:val="4"/>
            <w:tcBorders>
              <w:top w:val="nil"/>
              <w:left w:val="thinThickThinSmallGap" w:sz="24" w:space="0" w:color="auto"/>
              <w:bottom w:val="single" w:sz="4" w:space="0" w:color="000000"/>
            </w:tcBorders>
            <w:shd w:val="clear" w:color="auto" w:fill="FFFFFF"/>
            <w:vAlign w:val="center"/>
          </w:tcPr>
          <w:p w:rsidR="008B785A" w:rsidRPr="0079011E" w:rsidRDefault="008B785A" w:rsidP="00244C55">
            <w:pPr>
              <w:spacing w:line="180" w:lineRule="exact"/>
              <w:contextualSpacing/>
              <w:rPr>
                <w:rFonts w:eastAsia="Calibri"/>
                <w:color w:val="auto"/>
                <w:sz w:val="18"/>
                <w:szCs w:val="18"/>
              </w:rPr>
            </w:pPr>
            <w:r w:rsidRPr="0079011E">
              <w:rPr>
                <w:rFonts w:eastAsia="Calibri"/>
                <w:color w:val="auto"/>
                <w:sz w:val="18"/>
                <w:szCs w:val="18"/>
              </w:rPr>
              <w:t>0% x</w:t>
            </w:r>
            <w:r w:rsidR="0063652B">
              <w:rPr>
                <w:rFonts w:eastAsia="Calibri"/>
                <w:color w:val="auto"/>
                <w:sz w:val="18"/>
                <w:szCs w:val="18"/>
              </w:rPr>
              <w:t xml:space="preserve"> </w:t>
            </w:r>
            <w:r w:rsidRPr="0079011E">
              <w:rPr>
                <w:rFonts w:eastAsia="Calibri"/>
                <w:color w:val="auto"/>
                <w:sz w:val="18"/>
                <w:szCs w:val="18"/>
              </w:rPr>
              <w:t>0</w:t>
            </w:r>
            <w:r w:rsidR="005D2E82" w:rsidRPr="0079011E">
              <w:rPr>
                <w:rFonts w:eastAsia="Calibri"/>
                <w:color w:val="auto"/>
                <w:sz w:val="18"/>
                <w:szCs w:val="18"/>
              </w:rPr>
              <w:t xml:space="preserve"> </w:t>
            </w:r>
            <w:r w:rsidRPr="0079011E">
              <w:rPr>
                <w:rFonts w:eastAsia="Calibri"/>
                <w:color w:val="auto"/>
                <w:sz w:val="18"/>
                <w:szCs w:val="18"/>
              </w:rPr>
              <w:t>Not Service Connected x</w:t>
            </w:r>
            <w:r w:rsidR="0063652B">
              <w:rPr>
                <w:rFonts w:eastAsia="Calibri"/>
                <w:color w:val="auto"/>
                <w:sz w:val="18"/>
                <w:szCs w:val="18"/>
              </w:rPr>
              <w:t xml:space="preserve"> </w:t>
            </w:r>
            <w:r w:rsidRPr="0079011E">
              <w:rPr>
                <w:rFonts w:eastAsia="Calibri"/>
                <w:color w:val="auto"/>
                <w:sz w:val="18"/>
                <w:szCs w:val="18"/>
              </w:rPr>
              <w:t>0</w:t>
            </w:r>
          </w:p>
        </w:tc>
      </w:tr>
      <w:tr w:rsidR="008B785A" w:rsidRPr="0079011E" w:rsidTr="0063652B">
        <w:trPr>
          <w:trHeight w:val="242"/>
          <w:jc w:val="center"/>
        </w:trPr>
        <w:tc>
          <w:tcPr>
            <w:tcW w:w="5228" w:type="dxa"/>
            <w:gridSpan w:val="4"/>
            <w:tcBorders>
              <w:right w:val="thinThickThinSmallGap" w:sz="24" w:space="0" w:color="auto"/>
            </w:tcBorders>
            <w:shd w:val="clear" w:color="auto" w:fill="D9D9D9"/>
            <w:vAlign w:val="center"/>
          </w:tcPr>
          <w:p w:rsidR="008B785A" w:rsidRPr="0079011E" w:rsidRDefault="008B785A" w:rsidP="00244C55">
            <w:pPr>
              <w:spacing w:line="200" w:lineRule="exact"/>
              <w:contextualSpacing/>
              <w:rPr>
                <w:rFonts w:eastAsia="Calibri"/>
                <w:b/>
                <w:color w:val="auto"/>
                <w:sz w:val="20"/>
              </w:rPr>
            </w:pPr>
            <w:r w:rsidRPr="0079011E">
              <w:rPr>
                <w:rFonts w:eastAsia="Calibri"/>
                <w:b/>
                <w:color w:val="auto"/>
                <w:sz w:val="20"/>
              </w:rPr>
              <w:t>Combined:  10%</w:t>
            </w:r>
          </w:p>
        </w:tc>
        <w:tc>
          <w:tcPr>
            <w:tcW w:w="4214" w:type="dxa"/>
            <w:gridSpan w:val="4"/>
            <w:tcBorders>
              <w:left w:val="thinThickThinSmallGap" w:sz="24" w:space="0" w:color="auto"/>
            </w:tcBorders>
            <w:shd w:val="clear" w:color="auto" w:fill="D9D9D9"/>
            <w:vAlign w:val="center"/>
          </w:tcPr>
          <w:p w:rsidR="008B785A" w:rsidRPr="0079011E" w:rsidRDefault="008B785A" w:rsidP="00244C55">
            <w:pPr>
              <w:spacing w:line="200" w:lineRule="exact"/>
              <w:contextualSpacing/>
              <w:rPr>
                <w:rFonts w:eastAsia="Calibri"/>
                <w:b/>
                <w:color w:val="auto"/>
                <w:sz w:val="20"/>
              </w:rPr>
            </w:pPr>
            <w:r w:rsidRPr="0079011E">
              <w:rPr>
                <w:rFonts w:eastAsia="Calibri"/>
                <w:b/>
                <w:color w:val="auto"/>
                <w:sz w:val="20"/>
              </w:rPr>
              <w:t>Combined:  30%</w:t>
            </w:r>
          </w:p>
        </w:tc>
      </w:tr>
    </w:tbl>
    <w:p w:rsidR="004A1BD3" w:rsidRPr="0079011E" w:rsidRDefault="004A1BD3" w:rsidP="004A1BD3">
      <w:pPr>
        <w:pBdr>
          <w:bottom w:val="single" w:sz="12" w:space="1" w:color="auto"/>
        </w:pBdr>
        <w:tabs>
          <w:tab w:val="left" w:pos="288"/>
          <w:tab w:val="left" w:pos="4752"/>
        </w:tabs>
        <w:jc w:val="both"/>
        <w:rPr>
          <w:color w:val="000000" w:themeColor="text1"/>
        </w:rPr>
      </w:pPr>
    </w:p>
    <w:p w:rsidR="004A1BD3" w:rsidRPr="0079011E" w:rsidRDefault="004A1BD3" w:rsidP="004A1BD3">
      <w:pPr>
        <w:tabs>
          <w:tab w:val="left" w:pos="288"/>
          <w:tab w:val="left" w:pos="4752"/>
        </w:tabs>
        <w:jc w:val="both"/>
        <w:rPr>
          <w:color w:val="000000" w:themeColor="text1"/>
        </w:rPr>
      </w:pPr>
    </w:p>
    <w:p w:rsidR="002C6E5B" w:rsidRPr="0079011E" w:rsidRDefault="002C6E5B" w:rsidP="009369A6">
      <w:pPr>
        <w:jc w:val="left"/>
        <w:rPr>
          <w:color w:val="000000" w:themeColor="text1"/>
          <w:szCs w:val="24"/>
          <w:u w:val="single"/>
        </w:rPr>
      </w:pPr>
      <w:r w:rsidRPr="0079011E">
        <w:rPr>
          <w:color w:val="000000" w:themeColor="text1"/>
          <w:szCs w:val="24"/>
          <w:u w:val="single"/>
        </w:rPr>
        <w:t>ANALYSIS SUMMARY</w:t>
      </w:r>
      <w:r w:rsidRPr="0079011E">
        <w:rPr>
          <w:color w:val="000000" w:themeColor="text1"/>
          <w:szCs w:val="24"/>
        </w:rPr>
        <w:t>:</w:t>
      </w:r>
    </w:p>
    <w:p w:rsidR="00833E52" w:rsidRPr="0079011E" w:rsidRDefault="00833E52" w:rsidP="00833E52">
      <w:pPr>
        <w:jc w:val="both"/>
        <w:rPr>
          <w:color w:val="000000" w:themeColor="text1"/>
          <w:szCs w:val="24"/>
          <w:u w:val="single"/>
        </w:rPr>
      </w:pPr>
    </w:p>
    <w:p w:rsidR="00833E52" w:rsidRPr="0079011E" w:rsidRDefault="00833E52" w:rsidP="00833E52">
      <w:pPr>
        <w:jc w:val="both"/>
        <w:rPr>
          <w:color w:val="000000" w:themeColor="text1"/>
          <w:szCs w:val="24"/>
        </w:rPr>
      </w:pPr>
      <w:r w:rsidRPr="0079011E">
        <w:rPr>
          <w:color w:val="000000" w:themeColor="text1"/>
          <w:szCs w:val="24"/>
          <w:u w:val="single"/>
        </w:rPr>
        <w:t>PTSD Condition</w:t>
      </w:r>
      <w:r w:rsidRPr="0079011E">
        <w:rPr>
          <w:color w:val="000000" w:themeColor="text1"/>
          <w:szCs w:val="24"/>
        </w:rPr>
        <w:t>.</w:t>
      </w:r>
      <w:r w:rsidR="00E27B93" w:rsidRPr="0079011E">
        <w:rPr>
          <w:color w:val="000000" w:themeColor="text1"/>
          <w:szCs w:val="24"/>
        </w:rPr>
        <w:t xml:space="preserve">  </w:t>
      </w:r>
      <w:r w:rsidR="009C7DE2" w:rsidRPr="0079011E">
        <w:rPr>
          <w:color w:val="000000" w:themeColor="text1"/>
          <w:szCs w:val="24"/>
        </w:rPr>
        <w:t xml:space="preserve">The CI was deployed to Iraq as an infantryman from February to November 2003 and was exposed to multiple traumatic events. </w:t>
      </w:r>
      <w:r w:rsidR="0079011E">
        <w:rPr>
          <w:color w:val="000000" w:themeColor="text1"/>
          <w:szCs w:val="24"/>
        </w:rPr>
        <w:t xml:space="preserve"> </w:t>
      </w:r>
      <w:r w:rsidR="009C7DE2" w:rsidRPr="0079011E">
        <w:rPr>
          <w:color w:val="000000" w:themeColor="text1"/>
          <w:szCs w:val="24"/>
        </w:rPr>
        <w:t xml:space="preserve">He </w:t>
      </w:r>
      <w:r w:rsidR="0079011E" w:rsidRPr="0079011E">
        <w:rPr>
          <w:color w:val="000000" w:themeColor="text1"/>
          <w:szCs w:val="24"/>
        </w:rPr>
        <w:t>redeployed</w:t>
      </w:r>
      <w:r w:rsidR="009C7DE2" w:rsidRPr="0079011E">
        <w:rPr>
          <w:color w:val="000000" w:themeColor="text1"/>
          <w:szCs w:val="24"/>
        </w:rPr>
        <w:t xml:space="preserve"> early due to worsening nightmares and anxiety that began in October 2003.</w:t>
      </w:r>
      <w:r w:rsidR="0079011E">
        <w:rPr>
          <w:color w:val="000000" w:themeColor="text1"/>
          <w:szCs w:val="24"/>
        </w:rPr>
        <w:t xml:space="preserve"> </w:t>
      </w:r>
      <w:r w:rsidR="009C7DE2" w:rsidRPr="0079011E">
        <w:rPr>
          <w:color w:val="000000" w:themeColor="text1"/>
          <w:szCs w:val="24"/>
        </w:rPr>
        <w:t xml:space="preserve"> </w:t>
      </w:r>
      <w:r w:rsidR="009C7C5E" w:rsidRPr="0079011E">
        <w:rPr>
          <w:color w:val="000000" w:themeColor="text1"/>
          <w:szCs w:val="24"/>
        </w:rPr>
        <w:t xml:space="preserve">The CI endorsed symptoms of worsening nightmares, anxiety, </w:t>
      </w:r>
      <w:r w:rsidR="00FF5C7C" w:rsidRPr="0079011E">
        <w:rPr>
          <w:color w:val="000000" w:themeColor="text1"/>
          <w:szCs w:val="24"/>
        </w:rPr>
        <w:t xml:space="preserve">intense </w:t>
      </w:r>
      <w:r w:rsidR="009C7C5E" w:rsidRPr="0079011E">
        <w:rPr>
          <w:color w:val="000000" w:themeColor="text1"/>
          <w:szCs w:val="24"/>
        </w:rPr>
        <w:t>fear, feeling of helplessness</w:t>
      </w:r>
      <w:r w:rsidR="00FF5C7C" w:rsidRPr="0079011E">
        <w:rPr>
          <w:color w:val="000000" w:themeColor="text1"/>
          <w:szCs w:val="24"/>
        </w:rPr>
        <w:t>,</w:t>
      </w:r>
      <w:r w:rsidR="009C7C5E" w:rsidRPr="0079011E">
        <w:rPr>
          <w:color w:val="000000" w:themeColor="text1"/>
          <w:szCs w:val="24"/>
        </w:rPr>
        <w:t xml:space="preserve"> rapid heart rate and sweating.</w:t>
      </w:r>
      <w:r w:rsidR="008B785A" w:rsidRPr="0079011E">
        <w:rPr>
          <w:color w:val="000000" w:themeColor="text1"/>
          <w:szCs w:val="24"/>
        </w:rPr>
        <w:t xml:space="preserve"> </w:t>
      </w:r>
      <w:r w:rsidR="00FF5C7C" w:rsidRPr="0079011E">
        <w:rPr>
          <w:color w:val="000000" w:themeColor="text1"/>
          <w:szCs w:val="24"/>
        </w:rPr>
        <w:t xml:space="preserve"> The MEB examination</w:t>
      </w:r>
      <w:r w:rsidR="0036677C" w:rsidRPr="0079011E">
        <w:rPr>
          <w:color w:val="000000" w:themeColor="text1"/>
          <w:szCs w:val="24"/>
        </w:rPr>
        <w:t xml:space="preserve"> </w:t>
      </w:r>
      <w:r w:rsidR="00684DEE" w:rsidRPr="0079011E">
        <w:rPr>
          <w:color w:val="000000" w:themeColor="text1"/>
          <w:szCs w:val="24"/>
        </w:rPr>
        <w:t>three months</w:t>
      </w:r>
      <w:r w:rsidR="0036677C" w:rsidRPr="0079011E">
        <w:rPr>
          <w:color w:val="000000" w:themeColor="text1"/>
          <w:szCs w:val="24"/>
        </w:rPr>
        <w:t xml:space="preserve"> prior to entry into TDRL</w:t>
      </w:r>
      <w:r w:rsidR="00C975B2" w:rsidRPr="0079011E">
        <w:rPr>
          <w:color w:val="000000" w:themeColor="text1"/>
          <w:szCs w:val="24"/>
        </w:rPr>
        <w:t xml:space="preserve"> in November 2004</w:t>
      </w:r>
      <w:r w:rsidR="0036677C" w:rsidRPr="0079011E">
        <w:rPr>
          <w:color w:val="000000" w:themeColor="text1"/>
          <w:szCs w:val="24"/>
        </w:rPr>
        <w:t>, indicated symptoms of significant startle response</w:t>
      </w:r>
      <w:r w:rsidR="009C6BC6" w:rsidRPr="0079011E">
        <w:rPr>
          <w:color w:val="000000" w:themeColor="text1"/>
          <w:szCs w:val="24"/>
        </w:rPr>
        <w:t xml:space="preserve">; </w:t>
      </w:r>
      <w:r w:rsidR="0062625D" w:rsidRPr="0079011E">
        <w:rPr>
          <w:color w:val="000000" w:themeColor="text1"/>
          <w:szCs w:val="24"/>
        </w:rPr>
        <w:t>reacting</w:t>
      </w:r>
      <w:r w:rsidR="0036677C" w:rsidRPr="0079011E">
        <w:rPr>
          <w:color w:val="000000" w:themeColor="text1"/>
          <w:szCs w:val="24"/>
        </w:rPr>
        <w:t xml:space="preserve"> thoughts</w:t>
      </w:r>
      <w:r w:rsidR="009C6BC6" w:rsidRPr="0079011E">
        <w:rPr>
          <w:color w:val="000000" w:themeColor="text1"/>
          <w:szCs w:val="24"/>
        </w:rPr>
        <w:t>;</w:t>
      </w:r>
      <w:r w:rsidR="0036677C" w:rsidRPr="0079011E">
        <w:rPr>
          <w:color w:val="000000" w:themeColor="text1"/>
          <w:szCs w:val="24"/>
        </w:rPr>
        <w:t xml:space="preserve"> feeling of impending doom</w:t>
      </w:r>
      <w:r w:rsidR="009C6BC6" w:rsidRPr="0079011E">
        <w:rPr>
          <w:color w:val="000000" w:themeColor="text1"/>
          <w:szCs w:val="24"/>
        </w:rPr>
        <w:t>;</w:t>
      </w:r>
      <w:r w:rsidR="0036677C" w:rsidRPr="0079011E">
        <w:rPr>
          <w:color w:val="000000" w:themeColor="text1"/>
          <w:szCs w:val="24"/>
        </w:rPr>
        <w:t xml:space="preserve"> rapid </w:t>
      </w:r>
      <w:r w:rsidR="0062625D" w:rsidRPr="0079011E">
        <w:rPr>
          <w:color w:val="000000" w:themeColor="text1"/>
          <w:szCs w:val="24"/>
        </w:rPr>
        <w:t>heart</w:t>
      </w:r>
      <w:r w:rsidR="0036677C" w:rsidRPr="0079011E">
        <w:rPr>
          <w:color w:val="000000" w:themeColor="text1"/>
          <w:szCs w:val="24"/>
        </w:rPr>
        <w:t xml:space="preserve"> rate</w:t>
      </w:r>
      <w:r w:rsidR="009C6BC6" w:rsidRPr="0079011E">
        <w:rPr>
          <w:color w:val="000000" w:themeColor="text1"/>
          <w:szCs w:val="24"/>
        </w:rPr>
        <w:t xml:space="preserve">; </w:t>
      </w:r>
      <w:r w:rsidR="00720242">
        <w:rPr>
          <w:color w:val="000000" w:themeColor="text1"/>
          <w:szCs w:val="24"/>
        </w:rPr>
        <w:t>self-</w:t>
      </w:r>
      <w:r w:rsidR="0036677C" w:rsidRPr="0079011E">
        <w:rPr>
          <w:color w:val="000000" w:themeColor="text1"/>
          <w:szCs w:val="24"/>
        </w:rPr>
        <w:t>isolation</w:t>
      </w:r>
      <w:r w:rsidR="009C6BC6" w:rsidRPr="0079011E">
        <w:rPr>
          <w:color w:val="000000" w:themeColor="text1"/>
          <w:szCs w:val="24"/>
        </w:rPr>
        <w:t>;</w:t>
      </w:r>
      <w:r w:rsidR="0036677C" w:rsidRPr="0079011E">
        <w:rPr>
          <w:color w:val="000000" w:themeColor="text1"/>
          <w:szCs w:val="24"/>
        </w:rPr>
        <w:t xml:space="preserve"> </w:t>
      </w:r>
      <w:r w:rsidR="009C6BC6" w:rsidRPr="0079011E">
        <w:rPr>
          <w:color w:val="000000" w:themeColor="text1"/>
          <w:szCs w:val="24"/>
        </w:rPr>
        <w:t xml:space="preserve">depressed mood and affect; </w:t>
      </w:r>
      <w:r w:rsidR="0036677C" w:rsidRPr="0079011E">
        <w:rPr>
          <w:color w:val="000000" w:themeColor="text1"/>
          <w:szCs w:val="24"/>
        </w:rPr>
        <w:t>hypersomnia</w:t>
      </w:r>
      <w:r w:rsidR="009C6BC6" w:rsidRPr="0079011E">
        <w:rPr>
          <w:color w:val="000000" w:themeColor="text1"/>
          <w:szCs w:val="24"/>
        </w:rPr>
        <w:t>;</w:t>
      </w:r>
      <w:r w:rsidR="0036677C" w:rsidRPr="0079011E">
        <w:rPr>
          <w:color w:val="000000" w:themeColor="text1"/>
          <w:szCs w:val="24"/>
        </w:rPr>
        <w:t xml:space="preserve"> </w:t>
      </w:r>
      <w:r w:rsidR="0062625D" w:rsidRPr="0079011E">
        <w:rPr>
          <w:color w:val="000000" w:themeColor="text1"/>
          <w:szCs w:val="24"/>
        </w:rPr>
        <w:t>decreased</w:t>
      </w:r>
      <w:r w:rsidR="0036677C" w:rsidRPr="0079011E">
        <w:rPr>
          <w:color w:val="000000" w:themeColor="text1"/>
          <w:szCs w:val="24"/>
        </w:rPr>
        <w:t xml:space="preserve"> inter</w:t>
      </w:r>
      <w:r w:rsidR="009C6BC6" w:rsidRPr="0079011E">
        <w:rPr>
          <w:color w:val="000000" w:themeColor="text1"/>
          <w:szCs w:val="24"/>
        </w:rPr>
        <w:t>e</w:t>
      </w:r>
      <w:r w:rsidR="0036677C" w:rsidRPr="0079011E">
        <w:rPr>
          <w:color w:val="000000" w:themeColor="text1"/>
          <w:szCs w:val="24"/>
        </w:rPr>
        <w:t xml:space="preserve">st in </w:t>
      </w:r>
      <w:r w:rsidR="0036677C" w:rsidRPr="0079011E">
        <w:rPr>
          <w:color w:val="000000" w:themeColor="text1"/>
          <w:szCs w:val="24"/>
        </w:rPr>
        <w:lastRenderedPageBreak/>
        <w:t>normal hobbies and activities</w:t>
      </w:r>
      <w:r w:rsidR="009C6BC6" w:rsidRPr="0079011E">
        <w:rPr>
          <w:color w:val="000000" w:themeColor="text1"/>
          <w:szCs w:val="24"/>
        </w:rPr>
        <w:t>;</w:t>
      </w:r>
      <w:r w:rsidR="0036677C" w:rsidRPr="0079011E">
        <w:rPr>
          <w:color w:val="000000" w:themeColor="text1"/>
          <w:szCs w:val="24"/>
        </w:rPr>
        <w:t xml:space="preserve"> constant thoughts of guilt regarding Iraq </w:t>
      </w:r>
      <w:r w:rsidR="0062625D" w:rsidRPr="0079011E">
        <w:rPr>
          <w:color w:val="000000" w:themeColor="text1"/>
          <w:szCs w:val="24"/>
        </w:rPr>
        <w:t>activities</w:t>
      </w:r>
      <w:r w:rsidR="009C6BC6" w:rsidRPr="0079011E">
        <w:rPr>
          <w:color w:val="000000" w:themeColor="text1"/>
          <w:szCs w:val="24"/>
        </w:rPr>
        <w:t>;</w:t>
      </w:r>
      <w:r w:rsidR="0036677C" w:rsidRPr="0079011E">
        <w:rPr>
          <w:color w:val="000000" w:themeColor="text1"/>
          <w:szCs w:val="24"/>
        </w:rPr>
        <w:t xml:space="preserve"> decrea</w:t>
      </w:r>
      <w:r w:rsidR="009C6BC6" w:rsidRPr="0079011E">
        <w:rPr>
          <w:color w:val="000000" w:themeColor="text1"/>
          <w:szCs w:val="24"/>
        </w:rPr>
        <w:t>s</w:t>
      </w:r>
      <w:r w:rsidR="0036677C" w:rsidRPr="0079011E">
        <w:rPr>
          <w:color w:val="000000" w:themeColor="text1"/>
          <w:szCs w:val="24"/>
        </w:rPr>
        <w:t>ed energy</w:t>
      </w:r>
      <w:r w:rsidR="009C6BC6" w:rsidRPr="0079011E">
        <w:rPr>
          <w:color w:val="000000" w:themeColor="text1"/>
          <w:szCs w:val="24"/>
        </w:rPr>
        <w:t>;</w:t>
      </w:r>
      <w:r w:rsidR="0036677C" w:rsidRPr="0079011E">
        <w:rPr>
          <w:color w:val="000000" w:themeColor="text1"/>
          <w:szCs w:val="24"/>
        </w:rPr>
        <w:t xml:space="preserve"> poor concentration</w:t>
      </w:r>
      <w:r w:rsidR="00720242">
        <w:rPr>
          <w:color w:val="000000" w:themeColor="text1"/>
          <w:szCs w:val="24"/>
        </w:rPr>
        <w:t>;</w:t>
      </w:r>
      <w:r w:rsidR="0036677C" w:rsidRPr="0079011E">
        <w:rPr>
          <w:color w:val="000000" w:themeColor="text1"/>
          <w:szCs w:val="24"/>
        </w:rPr>
        <w:t xml:space="preserve"> irritab</w:t>
      </w:r>
      <w:r w:rsidR="009C6BC6" w:rsidRPr="0079011E">
        <w:rPr>
          <w:color w:val="000000" w:themeColor="text1"/>
          <w:szCs w:val="24"/>
        </w:rPr>
        <w:t xml:space="preserve">ility; low volume of speech; poor eye contact; and </w:t>
      </w:r>
      <w:r w:rsidR="0062625D" w:rsidRPr="0079011E">
        <w:rPr>
          <w:color w:val="000000" w:themeColor="text1"/>
          <w:szCs w:val="24"/>
        </w:rPr>
        <w:t>hypervigilance</w:t>
      </w:r>
      <w:r w:rsidR="009C6BC6" w:rsidRPr="0079011E">
        <w:rPr>
          <w:color w:val="000000" w:themeColor="text1"/>
          <w:szCs w:val="24"/>
        </w:rPr>
        <w:t>.</w:t>
      </w:r>
      <w:r w:rsidR="00FF5C7C" w:rsidRPr="0079011E">
        <w:rPr>
          <w:color w:val="000000" w:themeColor="text1"/>
          <w:szCs w:val="24"/>
        </w:rPr>
        <w:t xml:space="preserve">  </w:t>
      </w:r>
      <w:r w:rsidR="00C975B2" w:rsidRPr="0079011E">
        <w:rPr>
          <w:color w:val="000000" w:themeColor="text1"/>
          <w:szCs w:val="24"/>
        </w:rPr>
        <w:t xml:space="preserve">The mental status examination documented was from a previous evaluation completed </w:t>
      </w:r>
      <w:r w:rsidR="004A1BD3">
        <w:rPr>
          <w:color w:val="000000" w:themeColor="text1"/>
          <w:szCs w:val="24"/>
        </w:rPr>
        <w:t xml:space="preserve">20 May </w:t>
      </w:r>
      <w:r w:rsidR="00C975B2" w:rsidRPr="0079011E">
        <w:rPr>
          <w:color w:val="000000" w:themeColor="text1"/>
          <w:szCs w:val="24"/>
        </w:rPr>
        <w:t xml:space="preserve">2004 while he was </w:t>
      </w:r>
      <w:r w:rsidR="0079011E" w:rsidRPr="0079011E">
        <w:rPr>
          <w:color w:val="000000" w:themeColor="text1"/>
          <w:szCs w:val="24"/>
        </w:rPr>
        <w:t>hospitalized</w:t>
      </w:r>
      <w:r w:rsidR="00C975B2" w:rsidRPr="0079011E">
        <w:rPr>
          <w:color w:val="000000" w:themeColor="text1"/>
          <w:szCs w:val="24"/>
        </w:rPr>
        <w:t xml:space="preserve">. </w:t>
      </w:r>
      <w:r w:rsidR="0079011E">
        <w:rPr>
          <w:color w:val="000000" w:themeColor="text1"/>
          <w:szCs w:val="24"/>
        </w:rPr>
        <w:t xml:space="preserve"> </w:t>
      </w:r>
      <w:r w:rsidR="00C975B2" w:rsidRPr="0079011E">
        <w:rPr>
          <w:color w:val="000000" w:themeColor="text1"/>
          <w:szCs w:val="24"/>
        </w:rPr>
        <w:t xml:space="preserve">It noted a low volume of speech and poor eye contact when relating experiences in Iraq. </w:t>
      </w:r>
      <w:r w:rsidR="0079011E">
        <w:rPr>
          <w:color w:val="000000" w:themeColor="text1"/>
          <w:szCs w:val="24"/>
        </w:rPr>
        <w:t xml:space="preserve"> </w:t>
      </w:r>
      <w:r w:rsidR="00C975B2" w:rsidRPr="0079011E">
        <w:rPr>
          <w:color w:val="000000" w:themeColor="text1"/>
          <w:szCs w:val="24"/>
        </w:rPr>
        <w:t>He was easily startled during the interview and both mood an</w:t>
      </w:r>
      <w:r w:rsidR="00720242">
        <w:rPr>
          <w:color w:val="000000" w:themeColor="text1"/>
          <w:szCs w:val="24"/>
        </w:rPr>
        <w:t>d</w:t>
      </w:r>
      <w:r w:rsidR="00C975B2" w:rsidRPr="0079011E">
        <w:rPr>
          <w:color w:val="000000" w:themeColor="text1"/>
          <w:szCs w:val="24"/>
        </w:rPr>
        <w:t xml:space="preserve"> affect were depressed. </w:t>
      </w:r>
      <w:r w:rsidR="0079011E">
        <w:rPr>
          <w:color w:val="000000" w:themeColor="text1"/>
          <w:szCs w:val="24"/>
        </w:rPr>
        <w:t xml:space="preserve"> </w:t>
      </w:r>
      <w:r w:rsidR="00C975B2" w:rsidRPr="0079011E">
        <w:rPr>
          <w:color w:val="000000" w:themeColor="text1"/>
          <w:szCs w:val="24"/>
        </w:rPr>
        <w:t>He had been taking Zoloft and his depression had partially improved but the PTSD symptoms continued.</w:t>
      </w:r>
      <w:r w:rsidR="0079011E">
        <w:rPr>
          <w:color w:val="000000" w:themeColor="text1"/>
          <w:szCs w:val="24"/>
        </w:rPr>
        <w:t xml:space="preserve"> </w:t>
      </w:r>
      <w:r w:rsidR="00C975B2" w:rsidRPr="0079011E">
        <w:rPr>
          <w:color w:val="000000" w:themeColor="text1"/>
          <w:szCs w:val="24"/>
        </w:rPr>
        <w:t xml:space="preserve"> </w:t>
      </w:r>
      <w:r w:rsidR="009C7DE2" w:rsidRPr="0079011E">
        <w:rPr>
          <w:color w:val="000000" w:themeColor="text1"/>
          <w:szCs w:val="24"/>
        </w:rPr>
        <w:t xml:space="preserve">He was engaged but his fiancé lived in Mississippi </w:t>
      </w:r>
      <w:r w:rsidR="00720242">
        <w:rPr>
          <w:color w:val="000000" w:themeColor="text1"/>
          <w:szCs w:val="24"/>
        </w:rPr>
        <w:t>while</w:t>
      </w:r>
      <w:r w:rsidR="009C7DE2" w:rsidRPr="0079011E">
        <w:rPr>
          <w:color w:val="000000" w:themeColor="text1"/>
          <w:szCs w:val="24"/>
        </w:rPr>
        <w:t xml:space="preserve"> he was in Hawaii.</w:t>
      </w:r>
      <w:r w:rsidR="0079011E">
        <w:rPr>
          <w:color w:val="000000" w:themeColor="text1"/>
          <w:szCs w:val="24"/>
        </w:rPr>
        <w:t xml:space="preserve"> </w:t>
      </w:r>
      <w:r w:rsidR="009C7DE2" w:rsidRPr="0079011E">
        <w:rPr>
          <w:color w:val="000000" w:themeColor="text1"/>
          <w:szCs w:val="24"/>
        </w:rPr>
        <w:t xml:space="preserve"> </w:t>
      </w:r>
      <w:r w:rsidR="009C6BC6" w:rsidRPr="0079011E">
        <w:rPr>
          <w:color w:val="000000" w:themeColor="text1"/>
          <w:szCs w:val="24"/>
        </w:rPr>
        <w:t xml:space="preserve">The examiner opined that for the PTSD, there was a marked impairment of military/psychiatric impairment </w:t>
      </w:r>
      <w:r w:rsidR="0062625D" w:rsidRPr="0079011E">
        <w:rPr>
          <w:color w:val="000000" w:themeColor="text1"/>
          <w:szCs w:val="24"/>
        </w:rPr>
        <w:t>and considerable</w:t>
      </w:r>
      <w:r w:rsidR="009C6BC6" w:rsidRPr="0079011E">
        <w:rPr>
          <w:color w:val="000000" w:themeColor="text1"/>
          <w:szCs w:val="24"/>
        </w:rPr>
        <w:t xml:space="preserve"> social and industrial impairment.  The examiner also diagnosed MDD </w:t>
      </w:r>
      <w:r w:rsidR="00B8214B" w:rsidRPr="0079011E">
        <w:rPr>
          <w:color w:val="000000" w:themeColor="text1"/>
          <w:szCs w:val="24"/>
        </w:rPr>
        <w:t xml:space="preserve">in partial remission </w:t>
      </w:r>
      <w:r w:rsidR="009C6BC6" w:rsidRPr="0079011E">
        <w:rPr>
          <w:color w:val="000000" w:themeColor="text1"/>
          <w:szCs w:val="24"/>
        </w:rPr>
        <w:t xml:space="preserve">with symptoms of hypersomnia, decreased interest, </w:t>
      </w:r>
      <w:r w:rsidR="0062625D" w:rsidRPr="0079011E">
        <w:rPr>
          <w:color w:val="000000" w:themeColor="text1"/>
          <w:szCs w:val="24"/>
        </w:rPr>
        <w:t>and constant</w:t>
      </w:r>
      <w:r w:rsidR="009C6BC6" w:rsidRPr="0079011E">
        <w:rPr>
          <w:color w:val="000000" w:themeColor="text1"/>
          <w:szCs w:val="24"/>
        </w:rPr>
        <w:t xml:space="preserve"> thoughts of guilt, decreased energy and poor </w:t>
      </w:r>
      <w:r w:rsidR="008A33A3" w:rsidRPr="0079011E">
        <w:rPr>
          <w:color w:val="000000" w:themeColor="text1"/>
          <w:szCs w:val="24"/>
        </w:rPr>
        <w:t xml:space="preserve">concentration.  The examiner opined that there was moderate military/psychiatric impairment and mild </w:t>
      </w:r>
      <w:r w:rsidR="00527CED" w:rsidRPr="0079011E">
        <w:rPr>
          <w:color w:val="000000" w:themeColor="text1"/>
          <w:szCs w:val="24"/>
        </w:rPr>
        <w:t>social and industrial adaptability impairment</w:t>
      </w:r>
      <w:r w:rsidR="00720242">
        <w:rPr>
          <w:color w:val="000000" w:themeColor="text1"/>
          <w:szCs w:val="24"/>
        </w:rPr>
        <w:t xml:space="preserve"> related to the MDD</w:t>
      </w:r>
      <w:r w:rsidR="00527CED" w:rsidRPr="0079011E">
        <w:rPr>
          <w:color w:val="000000" w:themeColor="text1"/>
          <w:szCs w:val="24"/>
        </w:rPr>
        <w:t xml:space="preserve">.  The Global Assessment of Function </w:t>
      </w:r>
      <w:r w:rsidR="004A1BD3">
        <w:rPr>
          <w:color w:val="000000" w:themeColor="text1"/>
          <w:szCs w:val="24"/>
        </w:rPr>
        <w:t xml:space="preserve">(GAF) </w:t>
      </w:r>
      <w:r w:rsidR="00527CED" w:rsidRPr="0079011E">
        <w:rPr>
          <w:color w:val="000000" w:themeColor="text1"/>
          <w:szCs w:val="24"/>
        </w:rPr>
        <w:t>was 50-</w:t>
      </w:r>
      <w:r w:rsidR="00720242">
        <w:rPr>
          <w:color w:val="000000" w:themeColor="text1"/>
          <w:szCs w:val="24"/>
        </w:rPr>
        <w:t>-</w:t>
      </w:r>
      <w:r w:rsidR="00527CED" w:rsidRPr="0079011E">
        <w:rPr>
          <w:color w:val="000000" w:themeColor="text1"/>
          <w:szCs w:val="24"/>
        </w:rPr>
        <w:t>serious impairment in social, occupational or school functioning.</w:t>
      </w:r>
      <w:r w:rsidR="0079011E">
        <w:rPr>
          <w:color w:val="000000" w:themeColor="text1"/>
          <w:szCs w:val="24"/>
        </w:rPr>
        <w:t xml:space="preserve"> </w:t>
      </w:r>
      <w:r w:rsidR="00C975B2" w:rsidRPr="0079011E">
        <w:rPr>
          <w:color w:val="000000" w:themeColor="text1"/>
          <w:szCs w:val="24"/>
        </w:rPr>
        <w:t xml:space="preserve"> The record available for review by the Board contains two outpatients mental health visits from April 2004,</w:t>
      </w:r>
      <w:r w:rsidR="00B8214B" w:rsidRPr="0079011E">
        <w:rPr>
          <w:color w:val="000000" w:themeColor="text1"/>
          <w:szCs w:val="24"/>
        </w:rPr>
        <w:t xml:space="preserve"> three administrative notes from behavioral health concerned with scheduling visits, </w:t>
      </w:r>
      <w:r w:rsidR="00C975B2" w:rsidRPr="0079011E">
        <w:rPr>
          <w:color w:val="000000" w:themeColor="text1"/>
          <w:szCs w:val="24"/>
        </w:rPr>
        <w:t>no information</w:t>
      </w:r>
      <w:r w:rsidR="00B8214B" w:rsidRPr="0079011E">
        <w:rPr>
          <w:color w:val="000000" w:themeColor="text1"/>
          <w:szCs w:val="24"/>
        </w:rPr>
        <w:t xml:space="preserve"> about the hospitalization, and multiple VA treatment notes from </w:t>
      </w:r>
      <w:r w:rsidR="004A1BD3">
        <w:rPr>
          <w:color w:val="000000" w:themeColor="text1"/>
          <w:szCs w:val="24"/>
        </w:rPr>
        <w:t xml:space="preserve">13 July </w:t>
      </w:r>
      <w:r w:rsidR="00B8214B" w:rsidRPr="0079011E">
        <w:rPr>
          <w:color w:val="000000" w:themeColor="text1"/>
          <w:szCs w:val="24"/>
        </w:rPr>
        <w:t xml:space="preserve">2009 to </w:t>
      </w:r>
      <w:r w:rsidR="004A1BD3">
        <w:rPr>
          <w:color w:val="000000" w:themeColor="text1"/>
          <w:szCs w:val="24"/>
        </w:rPr>
        <w:t xml:space="preserve">28 September </w:t>
      </w:r>
      <w:r w:rsidR="00B8214B" w:rsidRPr="0079011E">
        <w:rPr>
          <w:color w:val="000000" w:themeColor="text1"/>
          <w:szCs w:val="24"/>
        </w:rPr>
        <w:t>2009.</w:t>
      </w:r>
    </w:p>
    <w:p w:rsidR="00527CED" w:rsidRPr="0079011E" w:rsidRDefault="00527CED" w:rsidP="00833E52">
      <w:pPr>
        <w:jc w:val="both"/>
        <w:rPr>
          <w:color w:val="000000" w:themeColor="text1"/>
          <w:szCs w:val="24"/>
        </w:rPr>
      </w:pPr>
    </w:p>
    <w:p w:rsidR="00527CED" w:rsidRPr="0079011E" w:rsidRDefault="004A1BD3" w:rsidP="00833E52">
      <w:pPr>
        <w:jc w:val="both"/>
        <w:rPr>
          <w:color w:val="000000" w:themeColor="text1"/>
          <w:szCs w:val="24"/>
        </w:rPr>
      </w:pPr>
      <w:r>
        <w:rPr>
          <w:color w:val="000000" w:themeColor="text1"/>
          <w:szCs w:val="24"/>
        </w:rPr>
        <w:t>The c</w:t>
      </w:r>
      <w:r w:rsidR="00527CED" w:rsidRPr="0079011E">
        <w:rPr>
          <w:color w:val="000000" w:themeColor="text1"/>
          <w:szCs w:val="24"/>
        </w:rPr>
        <w:t xml:space="preserve">ommander’s statement in July 2004 noted that the CI‘s duty performance had </w:t>
      </w:r>
      <w:r w:rsidR="00720242">
        <w:rPr>
          <w:color w:val="000000" w:themeColor="text1"/>
          <w:szCs w:val="24"/>
        </w:rPr>
        <w:t xml:space="preserve">previously </w:t>
      </w:r>
      <w:r w:rsidR="00527CED" w:rsidRPr="0079011E">
        <w:rPr>
          <w:color w:val="000000" w:themeColor="text1"/>
          <w:szCs w:val="24"/>
        </w:rPr>
        <w:t xml:space="preserve">been above average however his mental status limited him from </w:t>
      </w:r>
      <w:r w:rsidR="0062625D" w:rsidRPr="0079011E">
        <w:rPr>
          <w:color w:val="000000" w:themeColor="text1"/>
          <w:szCs w:val="24"/>
        </w:rPr>
        <w:t>performing</w:t>
      </w:r>
      <w:r w:rsidR="00527CED" w:rsidRPr="0079011E">
        <w:rPr>
          <w:color w:val="000000" w:themeColor="text1"/>
          <w:szCs w:val="24"/>
        </w:rPr>
        <w:t xml:space="preserve"> soldier </w:t>
      </w:r>
      <w:r w:rsidR="0062625D" w:rsidRPr="0079011E">
        <w:rPr>
          <w:color w:val="000000" w:themeColor="text1"/>
          <w:szCs w:val="24"/>
        </w:rPr>
        <w:t>duties</w:t>
      </w:r>
      <w:r w:rsidR="00527CED" w:rsidRPr="0079011E">
        <w:rPr>
          <w:color w:val="000000" w:themeColor="text1"/>
          <w:szCs w:val="24"/>
        </w:rPr>
        <w:t xml:space="preserve"> by missing valuable work time and restrictions of no combat, no weapons, no exposure to wounded or exposure to violence.</w:t>
      </w:r>
    </w:p>
    <w:p w:rsidR="00527CED" w:rsidRPr="0079011E" w:rsidRDefault="00527CED" w:rsidP="00833E52">
      <w:pPr>
        <w:jc w:val="both"/>
        <w:rPr>
          <w:color w:val="000000" w:themeColor="text1"/>
          <w:szCs w:val="24"/>
        </w:rPr>
      </w:pPr>
    </w:p>
    <w:p w:rsidR="00527CED" w:rsidRPr="0079011E" w:rsidRDefault="00DD33E2" w:rsidP="00833E52">
      <w:pPr>
        <w:jc w:val="both"/>
        <w:rPr>
          <w:rFonts w:asciiTheme="minorHAnsi" w:hAnsiTheme="minorHAnsi"/>
          <w:color w:val="auto"/>
          <w:szCs w:val="24"/>
        </w:rPr>
      </w:pPr>
      <w:r w:rsidRPr="0079011E">
        <w:rPr>
          <w:color w:val="000000" w:themeColor="text1"/>
          <w:szCs w:val="24"/>
        </w:rPr>
        <w:t xml:space="preserve">The TDRL </w:t>
      </w:r>
      <w:r w:rsidR="00720242">
        <w:rPr>
          <w:color w:val="000000" w:themeColor="text1"/>
          <w:szCs w:val="24"/>
        </w:rPr>
        <w:t xml:space="preserve">exit </w:t>
      </w:r>
      <w:r w:rsidRPr="0079011E">
        <w:rPr>
          <w:color w:val="000000" w:themeColor="text1"/>
          <w:szCs w:val="24"/>
        </w:rPr>
        <w:t xml:space="preserve">examination </w:t>
      </w:r>
      <w:r w:rsidR="00B8214B" w:rsidRPr="0079011E">
        <w:rPr>
          <w:color w:val="000000" w:themeColor="text1"/>
          <w:szCs w:val="24"/>
        </w:rPr>
        <w:t xml:space="preserve">two </w:t>
      </w:r>
      <w:r w:rsidRPr="0079011E">
        <w:rPr>
          <w:color w:val="000000" w:themeColor="text1"/>
          <w:szCs w:val="24"/>
        </w:rPr>
        <w:t>month</w:t>
      </w:r>
      <w:r w:rsidR="00B8214B" w:rsidRPr="0079011E">
        <w:rPr>
          <w:color w:val="000000" w:themeColor="text1"/>
          <w:szCs w:val="24"/>
        </w:rPr>
        <w:t>s</w:t>
      </w:r>
      <w:r w:rsidRPr="0079011E">
        <w:rPr>
          <w:color w:val="000000" w:themeColor="text1"/>
          <w:szCs w:val="24"/>
        </w:rPr>
        <w:t xml:space="preserve"> prior to </w:t>
      </w:r>
      <w:r w:rsidR="004A1BD3">
        <w:rPr>
          <w:color w:val="000000" w:themeColor="text1"/>
          <w:szCs w:val="24"/>
        </w:rPr>
        <w:t xml:space="preserve">the </w:t>
      </w:r>
      <w:r w:rsidR="00B8214B" w:rsidRPr="0079011E">
        <w:rPr>
          <w:color w:val="000000" w:themeColor="text1"/>
          <w:szCs w:val="24"/>
        </w:rPr>
        <w:t>PEB</w:t>
      </w:r>
      <w:r w:rsidRPr="0079011E">
        <w:rPr>
          <w:color w:val="000000" w:themeColor="text1"/>
          <w:szCs w:val="24"/>
        </w:rPr>
        <w:t xml:space="preserve"> documented that the CI’s symptoms continued without the benefit of mental </w:t>
      </w:r>
      <w:r w:rsidR="0062625D" w:rsidRPr="0079011E">
        <w:rPr>
          <w:color w:val="000000" w:themeColor="text1"/>
          <w:szCs w:val="24"/>
        </w:rPr>
        <w:t>health</w:t>
      </w:r>
      <w:r w:rsidRPr="0079011E">
        <w:rPr>
          <w:color w:val="000000" w:themeColor="text1"/>
          <w:szCs w:val="24"/>
        </w:rPr>
        <w:t xml:space="preserve"> care or medications.</w:t>
      </w:r>
      <w:r w:rsidRPr="0079011E">
        <w:rPr>
          <w:rFonts w:asciiTheme="minorHAnsi" w:hAnsiTheme="minorHAnsi"/>
          <w:color w:val="auto"/>
          <w:szCs w:val="24"/>
        </w:rPr>
        <w:t xml:space="preserve"> </w:t>
      </w:r>
      <w:r w:rsidR="0079011E">
        <w:rPr>
          <w:rFonts w:asciiTheme="minorHAnsi" w:hAnsiTheme="minorHAnsi"/>
          <w:color w:val="auto"/>
          <w:szCs w:val="24"/>
        </w:rPr>
        <w:t xml:space="preserve"> </w:t>
      </w:r>
      <w:r w:rsidR="00B8214B" w:rsidRPr="0079011E">
        <w:rPr>
          <w:rFonts w:asciiTheme="minorHAnsi" w:hAnsiTheme="minorHAnsi"/>
          <w:color w:val="auto"/>
          <w:szCs w:val="24"/>
        </w:rPr>
        <w:t>The CI had stopped his Zoloft but denied any significant symptoms of depression</w:t>
      </w:r>
      <w:r w:rsidR="004A1BD3">
        <w:rPr>
          <w:rFonts w:asciiTheme="minorHAnsi" w:hAnsiTheme="minorHAnsi"/>
          <w:color w:val="auto"/>
          <w:szCs w:val="24"/>
        </w:rPr>
        <w:t>; h</w:t>
      </w:r>
      <w:r w:rsidR="00B8214B" w:rsidRPr="0079011E">
        <w:rPr>
          <w:rFonts w:asciiTheme="minorHAnsi" w:hAnsiTheme="minorHAnsi"/>
          <w:color w:val="auto"/>
          <w:szCs w:val="24"/>
        </w:rPr>
        <w:t xml:space="preserve">owever, his PTSD symptoms continued. </w:t>
      </w:r>
      <w:r w:rsidR="004A1BD3">
        <w:rPr>
          <w:rFonts w:asciiTheme="minorHAnsi" w:hAnsiTheme="minorHAnsi"/>
          <w:color w:val="auto"/>
          <w:szCs w:val="24"/>
        </w:rPr>
        <w:t xml:space="preserve"> </w:t>
      </w:r>
      <w:r w:rsidRPr="0079011E">
        <w:rPr>
          <w:rFonts w:asciiTheme="minorHAnsi" w:hAnsiTheme="minorHAnsi"/>
          <w:color w:val="auto"/>
          <w:szCs w:val="24"/>
        </w:rPr>
        <w:t xml:space="preserve">The CI continued to endorse symptoms of </w:t>
      </w:r>
      <w:r w:rsidR="002D0DAD" w:rsidRPr="0079011E">
        <w:rPr>
          <w:rFonts w:asciiTheme="minorHAnsi" w:hAnsiTheme="minorHAnsi"/>
          <w:color w:val="auto"/>
          <w:szCs w:val="24"/>
        </w:rPr>
        <w:t xml:space="preserve">recurrent distressing recollections of events; </w:t>
      </w:r>
      <w:r w:rsidR="00B8214B" w:rsidRPr="0079011E">
        <w:rPr>
          <w:rFonts w:asciiTheme="minorHAnsi" w:hAnsiTheme="minorHAnsi"/>
          <w:color w:val="auto"/>
          <w:szCs w:val="24"/>
        </w:rPr>
        <w:t>nightmares</w:t>
      </w:r>
      <w:r w:rsidR="009C7DE2" w:rsidRPr="0079011E">
        <w:rPr>
          <w:rFonts w:asciiTheme="minorHAnsi" w:hAnsiTheme="minorHAnsi"/>
          <w:color w:val="auto"/>
          <w:szCs w:val="24"/>
        </w:rPr>
        <w:t xml:space="preserve"> of combat experiences about three times a week</w:t>
      </w:r>
      <w:r w:rsidR="00720242">
        <w:rPr>
          <w:rFonts w:asciiTheme="minorHAnsi" w:hAnsiTheme="minorHAnsi"/>
          <w:color w:val="auto"/>
          <w:szCs w:val="24"/>
        </w:rPr>
        <w:t>;</w:t>
      </w:r>
      <w:r w:rsidR="009C7DE2" w:rsidRPr="0079011E">
        <w:rPr>
          <w:rFonts w:asciiTheme="minorHAnsi" w:hAnsiTheme="minorHAnsi"/>
          <w:color w:val="auto"/>
          <w:szCs w:val="24"/>
        </w:rPr>
        <w:t xml:space="preserve"> </w:t>
      </w:r>
      <w:r w:rsidR="002D0DAD" w:rsidRPr="0079011E">
        <w:rPr>
          <w:rFonts w:asciiTheme="minorHAnsi" w:hAnsiTheme="minorHAnsi"/>
          <w:color w:val="auto"/>
          <w:szCs w:val="24"/>
        </w:rPr>
        <w:t xml:space="preserve">feeling </w:t>
      </w:r>
      <w:r w:rsidR="0062625D" w:rsidRPr="0079011E">
        <w:rPr>
          <w:rFonts w:asciiTheme="minorHAnsi" w:hAnsiTheme="minorHAnsi"/>
          <w:color w:val="auto"/>
          <w:szCs w:val="24"/>
        </w:rPr>
        <w:t>detached and</w:t>
      </w:r>
      <w:r w:rsidR="002D0DAD" w:rsidRPr="0079011E">
        <w:rPr>
          <w:rFonts w:asciiTheme="minorHAnsi" w:hAnsiTheme="minorHAnsi"/>
          <w:color w:val="auto"/>
          <w:szCs w:val="24"/>
        </w:rPr>
        <w:t xml:space="preserve"> estranged from others; impaired memory; insomnia; </w:t>
      </w:r>
      <w:r w:rsidR="0062625D" w:rsidRPr="0079011E">
        <w:rPr>
          <w:rFonts w:asciiTheme="minorHAnsi" w:hAnsiTheme="minorHAnsi"/>
          <w:color w:val="auto"/>
          <w:szCs w:val="24"/>
        </w:rPr>
        <w:t>irritability; hypervigilance</w:t>
      </w:r>
      <w:r w:rsidR="00720242">
        <w:rPr>
          <w:rFonts w:asciiTheme="minorHAnsi" w:hAnsiTheme="minorHAnsi"/>
          <w:color w:val="auto"/>
          <w:szCs w:val="24"/>
        </w:rPr>
        <w:t>;</w:t>
      </w:r>
      <w:r w:rsidR="002D0DAD" w:rsidRPr="0079011E">
        <w:rPr>
          <w:rFonts w:asciiTheme="minorHAnsi" w:hAnsiTheme="minorHAnsi"/>
          <w:color w:val="auto"/>
          <w:szCs w:val="24"/>
        </w:rPr>
        <w:t xml:space="preserve"> and exaggerated startle response. </w:t>
      </w:r>
      <w:r w:rsidR="008B785A" w:rsidRPr="0079011E">
        <w:rPr>
          <w:rFonts w:asciiTheme="minorHAnsi" w:hAnsiTheme="minorHAnsi"/>
          <w:color w:val="auto"/>
          <w:szCs w:val="24"/>
        </w:rPr>
        <w:t xml:space="preserve"> </w:t>
      </w:r>
      <w:r w:rsidR="009C7DE2" w:rsidRPr="0079011E">
        <w:rPr>
          <w:rFonts w:asciiTheme="minorHAnsi" w:hAnsiTheme="minorHAnsi"/>
          <w:color w:val="auto"/>
          <w:szCs w:val="24"/>
        </w:rPr>
        <w:t xml:space="preserve">He had difficulty finding a job but had been working for three months in a tire store, loading and unloading </w:t>
      </w:r>
      <w:r w:rsidR="0079011E" w:rsidRPr="0079011E">
        <w:rPr>
          <w:rFonts w:asciiTheme="minorHAnsi" w:hAnsiTheme="minorHAnsi"/>
          <w:color w:val="auto"/>
          <w:szCs w:val="24"/>
        </w:rPr>
        <w:t>a tire</w:t>
      </w:r>
      <w:r w:rsidR="009C7DE2" w:rsidRPr="0079011E">
        <w:rPr>
          <w:rFonts w:asciiTheme="minorHAnsi" w:hAnsiTheme="minorHAnsi"/>
          <w:color w:val="auto"/>
          <w:szCs w:val="24"/>
        </w:rPr>
        <w:t xml:space="preserve"> and driving a truck and </w:t>
      </w:r>
      <w:r w:rsidR="0079011E" w:rsidRPr="0079011E">
        <w:rPr>
          <w:rFonts w:asciiTheme="minorHAnsi" w:hAnsiTheme="minorHAnsi"/>
          <w:color w:val="auto"/>
          <w:szCs w:val="24"/>
        </w:rPr>
        <w:t>reported</w:t>
      </w:r>
      <w:r w:rsidR="009C7DE2" w:rsidRPr="0079011E">
        <w:rPr>
          <w:rFonts w:asciiTheme="minorHAnsi" w:hAnsiTheme="minorHAnsi"/>
          <w:color w:val="auto"/>
          <w:szCs w:val="24"/>
        </w:rPr>
        <w:t xml:space="preserve"> no problems at work. </w:t>
      </w:r>
      <w:r w:rsidR="0079011E">
        <w:rPr>
          <w:rFonts w:asciiTheme="minorHAnsi" w:hAnsiTheme="minorHAnsi"/>
          <w:color w:val="auto"/>
          <w:szCs w:val="24"/>
        </w:rPr>
        <w:t xml:space="preserve"> </w:t>
      </w:r>
      <w:r w:rsidR="002D0DAD" w:rsidRPr="0079011E">
        <w:rPr>
          <w:rFonts w:asciiTheme="minorHAnsi" w:hAnsiTheme="minorHAnsi"/>
          <w:color w:val="auto"/>
          <w:szCs w:val="24"/>
        </w:rPr>
        <w:t xml:space="preserve">The examiner opined that there was </w:t>
      </w:r>
      <w:r w:rsidR="0062625D" w:rsidRPr="0079011E">
        <w:rPr>
          <w:rFonts w:asciiTheme="minorHAnsi" w:hAnsiTheme="minorHAnsi"/>
          <w:color w:val="auto"/>
          <w:szCs w:val="24"/>
        </w:rPr>
        <w:t>marked</w:t>
      </w:r>
      <w:r w:rsidR="002D0DAD" w:rsidRPr="0079011E">
        <w:rPr>
          <w:rFonts w:asciiTheme="minorHAnsi" w:hAnsiTheme="minorHAnsi"/>
          <w:color w:val="auto"/>
          <w:szCs w:val="24"/>
        </w:rPr>
        <w:t xml:space="preserve"> military duty impairment and </w:t>
      </w:r>
      <w:r w:rsidR="0062625D" w:rsidRPr="0079011E">
        <w:rPr>
          <w:rFonts w:asciiTheme="minorHAnsi" w:hAnsiTheme="minorHAnsi"/>
          <w:color w:val="auto"/>
          <w:szCs w:val="24"/>
        </w:rPr>
        <w:t>mild</w:t>
      </w:r>
      <w:r w:rsidR="002D0DAD" w:rsidRPr="0079011E">
        <w:rPr>
          <w:rFonts w:asciiTheme="minorHAnsi" w:hAnsiTheme="minorHAnsi"/>
          <w:color w:val="auto"/>
          <w:szCs w:val="24"/>
        </w:rPr>
        <w:t xml:space="preserve"> social and industrial adaptability impairment.  </w:t>
      </w:r>
      <w:r w:rsidR="00B8214B" w:rsidRPr="0079011E">
        <w:rPr>
          <w:rFonts w:asciiTheme="minorHAnsi" w:hAnsiTheme="minorHAnsi"/>
          <w:color w:val="auto"/>
          <w:szCs w:val="24"/>
        </w:rPr>
        <w:t xml:space="preserve">This evaluation documents the CI reported </w:t>
      </w:r>
      <w:r w:rsidR="0079011E" w:rsidRPr="0079011E">
        <w:rPr>
          <w:rFonts w:asciiTheme="minorHAnsi" w:hAnsiTheme="minorHAnsi"/>
          <w:color w:val="auto"/>
          <w:szCs w:val="24"/>
        </w:rPr>
        <w:t>he had</w:t>
      </w:r>
      <w:r w:rsidR="00B8214B" w:rsidRPr="0079011E">
        <w:rPr>
          <w:rFonts w:asciiTheme="minorHAnsi" w:hAnsiTheme="minorHAnsi"/>
          <w:color w:val="auto"/>
          <w:szCs w:val="24"/>
        </w:rPr>
        <w:t xml:space="preserve"> </w:t>
      </w:r>
      <w:r w:rsidR="0079011E" w:rsidRPr="0079011E">
        <w:rPr>
          <w:rFonts w:asciiTheme="minorHAnsi" w:hAnsiTheme="minorHAnsi"/>
          <w:color w:val="auto"/>
          <w:szCs w:val="24"/>
        </w:rPr>
        <w:t>completed</w:t>
      </w:r>
      <w:r w:rsidR="00B8214B" w:rsidRPr="0079011E">
        <w:rPr>
          <w:rFonts w:asciiTheme="minorHAnsi" w:hAnsiTheme="minorHAnsi"/>
          <w:color w:val="auto"/>
          <w:szCs w:val="24"/>
        </w:rPr>
        <w:t xml:space="preserve"> a packet for treatment at the VA and was going to start counseling there in the near future.</w:t>
      </w:r>
      <w:r w:rsidR="0079011E">
        <w:rPr>
          <w:rFonts w:asciiTheme="minorHAnsi" w:hAnsiTheme="minorHAnsi"/>
          <w:color w:val="auto"/>
          <w:szCs w:val="24"/>
        </w:rPr>
        <w:t xml:space="preserve"> </w:t>
      </w:r>
      <w:r w:rsidR="00B8214B" w:rsidRPr="0079011E">
        <w:rPr>
          <w:rFonts w:asciiTheme="minorHAnsi" w:hAnsiTheme="minorHAnsi"/>
          <w:color w:val="auto"/>
          <w:szCs w:val="24"/>
        </w:rPr>
        <w:t xml:space="preserve"> However, there are no visits in the record available for review until 2009.</w:t>
      </w:r>
    </w:p>
    <w:p w:rsidR="00833E52" w:rsidRPr="0079011E" w:rsidRDefault="00833E52" w:rsidP="00833E52">
      <w:pPr>
        <w:jc w:val="both"/>
        <w:rPr>
          <w:rFonts w:asciiTheme="minorHAnsi" w:hAnsiTheme="minorHAnsi"/>
          <w:color w:val="auto"/>
          <w:szCs w:val="24"/>
        </w:rPr>
      </w:pPr>
    </w:p>
    <w:p w:rsidR="00E27B93" w:rsidRDefault="002D0DAD" w:rsidP="00D044BD">
      <w:pPr>
        <w:jc w:val="both"/>
        <w:rPr>
          <w:rFonts w:asciiTheme="minorHAnsi" w:hAnsiTheme="minorHAnsi"/>
          <w:color w:val="auto"/>
          <w:szCs w:val="24"/>
        </w:rPr>
      </w:pPr>
      <w:r w:rsidRPr="0079011E">
        <w:rPr>
          <w:rFonts w:asciiTheme="minorHAnsi" w:hAnsiTheme="minorHAnsi"/>
          <w:color w:val="auto"/>
          <w:szCs w:val="24"/>
        </w:rPr>
        <w:t xml:space="preserve">The VA Compensation &amp; </w:t>
      </w:r>
      <w:r w:rsidRPr="004A1BD3">
        <w:rPr>
          <w:rFonts w:asciiTheme="minorHAnsi" w:hAnsiTheme="minorHAnsi"/>
          <w:color w:val="auto"/>
          <w:szCs w:val="24"/>
        </w:rPr>
        <w:t xml:space="preserve">Pension </w:t>
      </w:r>
      <w:r w:rsidR="00720242" w:rsidRPr="004A1BD3">
        <w:rPr>
          <w:rFonts w:asciiTheme="minorHAnsi" w:hAnsiTheme="minorHAnsi"/>
          <w:color w:val="auto"/>
          <w:szCs w:val="24"/>
        </w:rPr>
        <w:t xml:space="preserve">(C&amp;P) </w:t>
      </w:r>
      <w:r w:rsidRPr="004A1BD3">
        <w:rPr>
          <w:rFonts w:asciiTheme="minorHAnsi" w:hAnsiTheme="minorHAnsi"/>
          <w:color w:val="auto"/>
          <w:szCs w:val="24"/>
        </w:rPr>
        <w:t>exa</w:t>
      </w:r>
      <w:r w:rsidRPr="0079011E">
        <w:rPr>
          <w:rFonts w:asciiTheme="minorHAnsi" w:hAnsiTheme="minorHAnsi"/>
          <w:color w:val="auto"/>
          <w:szCs w:val="24"/>
        </w:rPr>
        <w:t xml:space="preserve">mination four years after final separation indicated that the CI was still experiencing </w:t>
      </w:r>
      <w:r w:rsidR="00AC31A5" w:rsidRPr="0079011E">
        <w:rPr>
          <w:rFonts w:asciiTheme="minorHAnsi" w:hAnsiTheme="minorHAnsi"/>
          <w:color w:val="auto"/>
          <w:szCs w:val="24"/>
        </w:rPr>
        <w:t xml:space="preserve">decreased concentration; </w:t>
      </w:r>
      <w:r w:rsidR="0062625D" w:rsidRPr="0079011E">
        <w:rPr>
          <w:rFonts w:asciiTheme="minorHAnsi" w:hAnsiTheme="minorHAnsi"/>
          <w:color w:val="auto"/>
          <w:szCs w:val="24"/>
        </w:rPr>
        <w:t>hypervigilance</w:t>
      </w:r>
      <w:r w:rsidR="00AC31A5" w:rsidRPr="0079011E">
        <w:rPr>
          <w:rFonts w:asciiTheme="minorHAnsi" w:hAnsiTheme="minorHAnsi"/>
          <w:color w:val="auto"/>
          <w:szCs w:val="24"/>
        </w:rPr>
        <w:t xml:space="preserve">; exaggerated </w:t>
      </w:r>
      <w:r w:rsidR="0062625D" w:rsidRPr="0079011E">
        <w:rPr>
          <w:rFonts w:asciiTheme="minorHAnsi" w:hAnsiTheme="minorHAnsi"/>
          <w:color w:val="auto"/>
          <w:szCs w:val="24"/>
        </w:rPr>
        <w:t>startle</w:t>
      </w:r>
      <w:r w:rsidR="00AC31A5" w:rsidRPr="0079011E">
        <w:rPr>
          <w:rFonts w:asciiTheme="minorHAnsi" w:hAnsiTheme="minorHAnsi"/>
          <w:color w:val="auto"/>
          <w:szCs w:val="24"/>
        </w:rPr>
        <w:t xml:space="preserve"> response; i</w:t>
      </w:r>
      <w:r w:rsidRPr="0079011E">
        <w:rPr>
          <w:rFonts w:asciiTheme="minorHAnsi" w:hAnsiTheme="minorHAnsi"/>
          <w:color w:val="auto"/>
          <w:szCs w:val="24"/>
        </w:rPr>
        <w:t>ncreased arousal; irritab</w:t>
      </w:r>
      <w:r w:rsidR="00AC31A5" w:rsidRPr="0079011E">
        <w:rPr>
          <w:rFonts w:asciiTheme="minorHAnsi" w:hAnsiTheme="minorHAnsi"/>
          <w:color w:val="auto"/>
          <w:szCs w:val="24"/>
        </w:rPr>
        <w:t xml:space="preserve">ility; marked diminished </w:t>
      </w:r>
      <w:r w:rsidR="0062625D" w:rsidRPr="0079011E">
        <w:rPr>
          <w:rFonts w:asciiTheme="minorHAnsi" w:hAnsiTheme="minorHAnsi"/>
          <w:color w:val="auto"/>
          <w:szCs w:val="24"/>
        </w:rPr>
        <w:t>interest</w:t>
      </w:r>
      <w:r w:rsidR="00AC31A5" w:rsidRPr="0079011E">
        <w:rPr>
          <w:rFonts w:asciiTheme="minorHAnsi" w:hAnsiTheme="minorHAnsi"/>
          <w:color w:val="auto"/>
          <w:szCs w:val="24"/>
        </w:rPr>
        <w:t xml:space="preserve"> in previously enjoyable </w:t>
      </w:r>
      <w:r w:rsidR="0062625D" w:rsidRPr="0079011E">
        <w:rPr>
          <w:rFonts w:asciiTheme="minorHAnsi" w:hAnsiTheme="minorHAnsi"/>
          <w:color w:val="auto"/>
          <w:szCs w:val="24"/>
        </w:rPr>
        <w:t>activities</w:t>
      </w:r>
      <w:r w:rsidR="00AC31A5" w:rsidRPr="0079011E">
        <w:rPr>
          <w:rFonts w:asciiTheme="minorHAnsi" w:hAnsiTheme="minorHAnsi"/>
          <w:color w:val="auto"/>
          <w:szCs w:val="24"/>
        </w:rPr>
        <w:t xml:space="preserve">; persistent </w:t>
      </w:r>
      <w:r w:rsidR="0062625D" w:rsidRPr="0079011E">
        <w:rPr>
          <w:rFonts w:asciiTheme="minorHAnsi" w:hAnsiTheme="minorHAnsi"/>
          <w:color w:val="auto"/>
          <w:szCs w:val="24"/>
        </w:rPr>
        <w:t>experiencing</w:t>
      </w:r>
      <w:r w:rsidR="00AC31A5" w:rsidRPr="0079011E">
        <w:rPr>
          <w:rFonts w:asciiTheme="minorHAnsi" w:hAnsiTheme="minorHAnsi"/>
          <w:color w:val="auto"/>
          <w:szCs w:val="24"/>
        </w:rPr>
        <w:t xml:space="preserve"> of traumatic effects; combat  related flashbacks; and intrusive distressing combat related thoughts and memories.  </w:t>
      </w:r>
      <w:r w:rsidR="009C7DE2" w:rsidRPr="0079011E">
        <w:rPr>
          <w:rFonts w:asciiTheme="minorHAnsi" w:hAnsiTheme="minorHAnsi"/>
          <w:color w:val="auto"/>
          <w:szCs w:val="24"/>
        </w:rPr>
        <w:t>The histo</w:t>
      </w:r>
      <w:r w:rsidR="004A1BD3">
        <w:rPr>
          <w:rFonts w:asciiTheme="minorHAnsi" w:hAnsiTheme="minorHAnsi"/>
          <w:color w:val="auto"/>
          <w:szCs w:val="24"/>
        </w:rPr>
        <w:t xml:space="preserve">ry of his illness reported </w:t>
      </w:r>
      <w:r w:rsidR="009C7DE2" w:rsidRPr="0079011E">
        <w:rPr>
          <w:rFonts w:asciiTheme="minorHAnsi" w:hAnsiTheme="minorHAnsi"/>
          <w:color w:val="auto"/>
          <w:szCs w:val="24"/>
        </w:rPr>
        <w:t xml:space="preserve">was consistent with military evaluations. </w:t>
      </w:r>
      <w:r w:rsidR="0079011E">
        <w:rPr>
          <w:rFonts w:asciiTheme="minorHAnsi" w:hAnsiTheme="minorHAnsi"/>
          <w:color w:val="auto"/>
          <w:szCs w:val="24"/>
        </w:rPr>
        <w:t xml:space="preserve"> </w:t>
      </w:r>
      <w:r w:rsidR="00652057" w:rsidRPr="0079011E">
        <w:rPr>
          <w:rFonts w:asciiTheme="minorHAnsi" w:hAnsiTheme="minorHAnsi"/>
          <w:color w:val="auto"/>
          <w:szCs w:val="24"/>
        </w:rPr>
        <w:t>He had married in 2006 and divorced in 2009 and had a two year old son. He maintained good relationships with his siblings and mother and had been in contact with his biological father.</w:t>
      </w:r>
      <w:r w:rsidR="0079011E">
        <w:rPr>
          <w:rFonts w:asciiTheme="minorHAnsi" w:hAnsiTheme="minorHAnsi"/>
          <w:color w:val="auto"/>
          <w:szCs w:val="24"/>
        </w:rPr>
        <w:t xml:space="preserve"> </w:t>
      </w:r>
      <w:r w:rsidR="00652057" w:rsidRPr="0079011E">
        <w:rPr>
          <w:rFonts w:asciiTheme="minorHAnsi" w:hAnsiTheme="minorHAnsi"/>
          <w:color w:val="auto"/>
          <w:szCs w:val="24"/>
        </w:rPr>
        <w:t xml:space="preserve"> His stepfather had died in 2007. </w:t>
      </w:r>
      <w:r w:rsidR="0079011E">
        <w:rPr>
          <w:rFonts w:asciiTheme="minorHAnsi" w:hAnsiTheme="minorHAnsi"/>
          <w:color w:val="auto"/>
          <w:szCs w:val="24"/>
        </w:rPr>
        <w:t xml:space="preserve"> </w:t>
      </w:r>
      <w:r w:rsidR="00652057" w:rsidRPr="0079011E">
        <w:rPr>
          <w:rFonts w:asciiTheme="minorHAnsi" w:hAnsiTheme="minorHAnsi"/>
          <w:color w:val="auto"/>
          <w:szCs w:val="24"/>
        </w:rPr>
        <w:t xml:space="preserve">He reported using significant amounts of alcohol to help him sleep. </w:t>
      </w:r>
      <w:r w:rsidR="0079011E">
        <w:rPr>
          <w:rFonts w:asciiTheme="minorHAnsi" w:hAnsiTheme="minorHAnsi"/>
          <w:color w:val="auto"/>
          <w:szCs w:val="24"/>
        </w:rPr>
        <w:t xml:space="preserve"> </w:t>
      </w:r>
      <w:r w:rsidR="00652057" w:rsidRPr="0079011E">
        <w:rPr>
          <w:rFonts w:asciiTheme="minorHAnsi" w:hAnsiTheme="minorHAnsi"/>
          <w:color w:val="auto"/>
          <w:szCs w:val="24"/>
        </w:rPr>
        <w:t>He was currently attending community college.</w:t>
      </w:r>
      <w:r w:rsidR="0079011E">
        <w:rPr>
          <w:rFonts w:asciiTheme="minorHAnsi" w:hAnsiTheme="minorHAnsi"/>
          <w:color w:val="auto"/>
          <w:szCs w:val="24"/>
        </w:rPr>
        <w:t xml:space="preserve">  </w:t>
      </w:r>
      <w:r w:rsidR="00720242" w:rsidRPr="0079011E">
        <w:rPr>
          <w:rFonts w:asciiTheme="minorHAnsi" w:hAnsiTheme="minorHAnsi"/>
          <w:color w:val="auto"/>
          <w:szCs w:val="24"/>
        </w:rPr>
        <w:t xml:space="preserve">He did have some problems with being easily startled. </w:t>
      </w:r>
      <w:r w:rsidR="00720242">
        <w:rPr>
          <w:rFonts w:asciiTheme="minorHAnsi" w:hAnsiTheme="minorHAnsi"/>
          <w:color w:val="auto"/>
          <w:szCs w:val="24"/>
        </w:rPr>
        <w:t xml:space="preserve"> </w:t>
      </w:r>
      <w:r w:rsidR="00652057" w:rsidRPr="0079011E">
        <w:rPr>
          <w:rFonts w:asciiTheme="minorHAnsi" w:hAnsiTheme="minorHAnsi"/>
          <w:color w:val="auto"/>
          <w:szCs w:val="24"/>
        </w:rPr>
        <w:t>He had had multiple different jobs and his longest period of employment was two years</w:t>
      </w:r>
      <w:r w:rsidR="00720242">
        <w:rPr>
          <w:rFonts w:asciiTheme="minorHAnsi" w:hAnsiTheme="minorHAnsi"/>
          <w:color w:val="auto"/>
          <w:szCs w:val="24"/>
        </w:rPr>
        <w:t xml:space="preserve"> at the tire store</w:t>
      </w:r>
      <w:r w:rsidR="00652057" w:rsidRPr="0079011E">
        <w:rPr>
          <w:rFonts w:asciiTheme="minorHAnsi" w:hAnsiTheme="minorHAnsi"/>
          <w:color w:val="auto"/>
          <w:szCs w:val="24"/>
        </w:rPr>
        <w:t xml:space="preserve">. </w:t>
      </w:r>
      <w:r w:rsidR="0079011E">
        <w:rPr>
          <w:rFonts w:asciiTheme="minorHAnsi" w:hAnsiTheme="minorHAnsi"/>
          <w:color w:val="auto"/>
          <w:szCs w:val="24"/>
        </w:rPr>
        <w:t xml:space="preserve"> </w:t>
      </w:r>
      <w:r w:rsidR="00652057" w:rsidRPr="0079011E">
        <w:rPr>
          <w:rFonts w:asciiTheme="minorHAnsi" w:hAnsiTheme="minorHAnsi"/>
          <w:color w:val="auto"/>
          <w:szCs w:val="24"/>
        </w:rPr>
        <w:t>He was fired from that job for inappropriate conduct.</w:t>
      </w:r>
      <w:r w:rsidR="0079011E">
        <w:rPr>
          <w:rFonts w:asciiTheme="minorHAnsi" w:hAnsiTheme="minorHAnsi"/>
          <w:color w:val="auto"/>
          <w:szCs w:val="24"/>
        </w:rPr>
        <w:t xml:space="preserve"> </w:t>
      </w:r>
      <w:r w:rsidR="00652057" w:rsidRPr="0079011E">
        <w:rPr>
          <w:rFonts w:asciiTheme="minorHAnsi" w:hAnsiTheme="minorHAnsi"/>
          <w:color w:val="auto"/>
          <w:szCs w:val="24"/>
        </w:rPr>
        <w:t xml:space="preserve"> He had been working for the previous four months</w:t>
      </w:r>
      <w:r w:rsidR="00D044BD" w:rsidRPr="0079011E">
        <w:rPr>
          <w:rFonts w:asciiTheme="minorHAnsi" w:hAnsiTheme="minorHAnsi"/>
          <w:color w:val="auto"/>
          <w:szCs w:val="24"/>
        </w:rPr>
        <w:t xml:space="preserve"> </w:t>
      </w:r>
      <w:r w:rsidR="00652057" w:rsidRPr="0079011E">
        <w:rPr>
          <w:rFonts w:asciiTheme="minorHAnsi" w:hAnsiTheme="minorHAnsi"/>
          <w:color w:val="auto"/>
          <w:szCs w:val="24"/>
        </w:rPr>
        <w:t xml:space="preserve">for a family member who was </w:t>
      </w:r>
      <w:proofErr w:type="gramStart"/>
      <w:r w:rsidR="00652057" w:rsidRPr="0079011E">
        <w:rPr>
          <w:rFonts w:asciiTheme="minorHAnsi" w:hAnsiTheme="minorHAnsi"/>
          <w:color w:val="auto"/>
          <w:szCs w:val="24"/>
        </w:rPr>
        <w:t>understanding</w:t>
      </w:r>
      <w:proofErr w:type="gramEnd"/>
      <w:r w:rsidR="00652057" w:rsidRPr="0079011E">
        <w:rPr>
          <w:rFonts w:asciiTheme="minorHAnsi" w:hAnsiTheme="minorHAnsi"/>
          <w:color w:val="auto"/>
          <w:szCs w:val="24"/>
        </w:rPr>
        <w:t xml:space="preserve"> of his issues and not </w:t>
      </w:r>
      <w:r w:rsidR="0079011E" w:rsidRPr="0079011E">
        <w:rPr>
          <w:rFonts w:asciiTheme="minorHAnsi" w:hAnsiTheme="minorHAnsi"/>
          <w:color w:val="auto"/>
          <w:szCs w:val="24"/>
        </w:rPr>
        <w:t>being</w:t>
      </w:r>
      <w:r w:rsidR="00652057" w:rsidRPr="0079011E">
        <w:rPr>
          <w:rFonts w:asciiTheme="minorHAnsi" w:hAnsiTheme="minorHAnsi"/>
          <w:color w:val="auto"/>
          <w:szCs w:val="24"/>
        </w:rPr>
        <w:t xml:space="preserve"> able to work around a lot of people or with loud noises.</w:t>
      </w:r>
      <w:r w:rsidR="0079011E">
        <w:rPr>
          <w:rFonts w:asciiTheme="minorHAnsi" w:hAnsiTheme="minorHAnsi"/>
          <w:color w:val="auto"/>
          <w:szCs w:val="24"/>
        </w:rPr>
        <w:t xml:space="preserve"> </w:t>
      </w:r>
      <w:r w:rsidR="00652057" w:rsidRPr="0079011E">
        <w:rPr>
          <w:rFonts w:asciiTheme="minorHAnsi" w:hAnsiTheme="minorHAnsi"/>
          <w:color w:val="auto"/>
          <w:szCs w:val="24"/>
        </w:rPr>
        <w:t xml:space="preserve"> </w:t>
      </w:r>
      <w:r w:rsidR="00D044BD" w:rsidRPr="0079011E">
        <w:rPr>
          <w:rFonts w:asciiTheme="minorHAnsi" w:hAnsiTheme="minorHAnsi"/>
          <w:color w:val="auto"/>
          <w:szCs w:val="24"/>
        </w:rPr>
        <w:t>He had not received</w:t>
      </w:r>
      <w:r w:rsidR="00720242">
        <w:rPr>
          <w:rFonts w:asciiTheme="minorHAnsi" w:hAnsiTheme="minorHAnsi"/>
          <w:color w:val="auto"/>
          <w:szCs w:val="24"/>
        </w:rPr>
        <w:t xml:space="preserve"> any mental health treatment since</w:t>
      </w:r>
      <w:r w:rsidR="00D044BD" w:rsidRPr="0079011E">
        <w:rPr>
          <w:rFonts w:asciiTheme="minorHAnsi" w:hAnsiTheme="minorHAnsi"/>
          <w:color w:val="auto"/>
          <w:szCs w:val="24"/>
        </w:rPr>
        <w:t xml:space="preserve"> the time of discharge except for a few counseling sessions </w:t>
      </w:r>
      <w:r w:rsidR="00C319A9" w:rsidRPr="0079011E">
        <w:rPr>
          <w:rFonts w:asciiTheme="minorHAnsi" w:hAnsiTheme="minorHAnsi"/>
          <w:color w:val="auto"/>
          <w:szCs w:val="24"/>
        </w:rPr>
        <w:t>from April to September</w:t>
      </w:r>
      <w:r w:rsidR="00D044BD" w:rsidRPr="0079011E">
        <w:rPr>
          <w:rFonts w:asciiTheme="minorHAnsi" w:hAnsiTheme="minorHAnsi"/>
          <w:color w:val="auto"/>
          <w:szCs w:val="24"/>
        </w:rPr>
        <w:t xml:space="preserve"> 2009</w:t>
      </w:r>
      <w:r w:rsidR="004A1BD3">
        <w:rPr>
          <w:rFonts w:asciiTheme="minorHAnsi" w:hAnsiTheme="minorHAnsi"/>
          <w:color w:val="auto"/>
          <w:szCs w:val="24"/>
        </w:rPr>
        <w:t xml:space="preserve">; </w:t>
      </w:r>
      <w:r w:rsidR="00720242">
        <w:rPr>
          <w:rFonts w:asciiTheme="minorHAnsi" w:hAnsiTheme="minorHAnsi"/>
          <w:color w:val="auto"/>
          <w:szCs w:val="24"/>
        </w:rPr>
        <w:t>notes fro</w:t>
      </w:r>
      <w:r w:rsidR="00C319A9" w:rsidRPr="0079011E">
        <w:rPr>
          <w:rFonts w:asciiTheme="minorHAnsi" w:hAnsiTheme="minorHAnsi"/>
          <w:color w:val="auto"/>
          <w:szCs w:val="24"/>
        </w:rPr>
        <w:t xml:space="preserve">m these visits are available in the record. </w:t>
      </w:r>
      <w:r w:rsidR="0079011E">
        <w:rPr>
          <w:rFonts w:asciiTheme="minorHAnsi" w:hAnsiTheme="minorHAnsi"/>
          <w:color w:val="auto"/>
          <w:szCs w:val="24"/>
        </w:rPr>
        <w:t xml:space="preserve"> </w:t>
      </w:r>
      <w:r w:rsidR="00D044BD" w:rsidRPr="0079011E">
        <w:rPr>
          <w:rFonts w:asciiTheme="minorHAnsi" w:hAnsiTheme="minorHAnsi"/>
          <w:color w:val="auto"/>
          <w:szCs w:val="24"/>
        </w:rPr>
        <w:t>He reported these were helpful but he stopped going because he did not have insurance.</w:t>
      </w:r>
      <w:r w:rsidR="0079011E">
        <w:rPr>
          <w:rFonts w:asciiTheme="minorHAnsi" w:hAnsiTheme="minorHAnsi"/>
          <w:color w:val="auto"/>
          <w:szCs w:val="24"/>
        </w:rPr>
        <w:t xml:space="preserve"> </w:t>
      </w:r>
      <w:r w:rsidR="00D044BD" w:rsidRPr="0079011E">
        <w:rPr>
          <w:rFonts w:asciiTheme="minorHAnsi" w:hAnsiTheme="minorHAnsi"/>
          <w:color w:val="auto"/>
          <w:szCs w:val="24"/>
        </w:rPr>
        <w:t xml:space="preserve"> He was planning to continue treatment at the VA after obtaining </w:t>
      </w:r>
      <w:r w:rsidR="00D044BD" w:rsidRPr="0079011E">
        <w:rPr>
          <w:rFonts w:asciiTheme="minorHAnsi" w:hAnsiTheme="minorHAnsi"/>
          <w:color w:val="auto"/>
          <w:szCs w:val="24"/>
        </w:rPr>
        <w:lastRenderedPageBreak/>
        <w:t>benefits.</w:t>
      </w:r>
      <w:r w:rsidR="0079011E">
        <w:rPr>
          <w:rFonts w:asciiTheme="minorHAnsi" w:hAnsiTheme="minorHAnsi"/>
          <w:color w:val="auto"/>
          <w:szCs w:val="24"/>
        </w:rPr>
        <w:t xml:space="preserve"> </w:t>
      </w:r>
      <w:r w:rsidR="00D044BD" w:rsidRPr="0079011E">
        <w:rPr>
          <w:rFonts w:asciiTheme="minorHAnsi" w:hAnsiTheme="minorHAnsi"/>
          <w:color w:val="auto"/>
          <w:szCs w:val="24"/>
        </w:rPr>
        <w:t xml:space="preserve"> His sister had accompanied him </w:t>
      </w:r>
      <w:r w:rsidR="00720242">
        <w:rPr>
          <w:rFonts w:asciiTheme="minorHAnsi" w:hAnsiTheme="minorHAnsi"/>
          <w:color w:val="auto"/>
          <w:szCs w:val="24"/>
        </w:rPr>
        <w:t xml:space="preserve">to the VA </w:t>
      </w:r>
      <w:r w:rsidR="00D044BD" w:rsidRPr="0079011E">
        <w:rPr>
          <w:rFonts w:asciiTheme="minorHAnsi" w:hAnsiTheme="minorHAnsi"/>
          <w:color w:val="auto"/>
          <w:szCs w:val="24"/>
        </w:rPr>
        <w:t xml:space="preserve">and she provided input to the examiner about how the CI had changed since returning </w:t>
      </w:r>
      <w:r w:rsidR="0079011E" w:rsidRPr="0079011E">
        <w:rPr>
          <w:rFonts w:asciiTheme="minorHAnsi" w:hAnsiTheme="minorHAnsi"/>
          <w:color w:val="auto"/>
          <w:szCs w:val="24"/>
        </w:rPr>
        <w:t>from</w:t>
      </w:r>
      <w:r w:rsidR="00D044BD" w:rsidRPr="0079011E">
        <w:rPr>
          <w:rFonts w:asciiTheme="minorHAnsi" w:hAnsiTheme="minorHAnsi"/>
          <w:color w:val="auto"/>
          <w:szCs w:val="24"/>
        </w:rPr>
        <w:t xml:space="preserve"> Iraq. </w:t>
      </w:r>
      <w:r w:rsidR="004A1BD3">
        <w:rPr>
          <w:rFonts w:asciiTheme="minorHAnsi" w:hAnsiTheme="minorHAnsi"/>
          <w:color w:val="auto"/>
          <w:szCs w:val="24"/>
        </w:rPr>
        <w:t xml:space="preserve"> </w:t>
      </w:r>
      <w:r w:rsidR="00D044BD" w:rsidRPr="0079011E">
        <w:rPr>
          <w:rFonts w:asciiTheme="minorHAnsi" w:hAnsiTheme="minorHAnsi"/>
          <w:color w:val="auto"/>
          <w:szCs w:val="24"/>
        </w:rPr>
        <w:t>He also provided four statements in support of claim</w:t>
      </w:r>
      <w:r w:rsidR="000C37F3" w:rsidRPr="0079011E">
        <w:rPr>
          <w:rFonts w:asciiTheme="minorHAnsi" w:hAnsiTheme="minorHAnsi"/>
          <w:color w:val="auto"/>
          <w:szCs w:val="24"/>
        </w:rPr>
        <w:t xml:space="preserve"> from his sister, brother-in-law, work supervisor, and a coworker</w:t>
      </w:r>
      <w:r w:rsidR="00D044BD" w:rsidRPr="0079011E">
        <w:rPr>
          <w:rFonts w:asciiTheme="minorHAnsi" w:hAnsiTheme="minorHAnsi"/>
          <w:color w:val="auto"/>
          <w:szCs w:val="24"/>
        </w:rPr>
        <w:t>.  These statements described difficulties with distancing from others, concentration problems, startle reaction, hypervigilance, talking in a foreign language during his sleep, losing his temper, drinking "to ease the edge and to help him sleep," and nervousness.</w:t>
      </w:r>
      <w:r w:rsidR="0079011E">
        <w:rPr>
          <w:rFonts w:asciiTheme="minorHAnsi" w:hAnsiTheme="minorHAnsi"/>
          <w:color w:val="auto"/>
          <w:szCs w:val="24"/>
        </w:rPr>
        <w:t xml:space="preserve"> </w:t>
      </w:r>
      <w:r w:rsidR="000C37F3" w:rsidRPr="0079011E">
        <w:rPr>
          <w:rFonts w:asciiTheme="minorHAnsi" w:hAnsiTheme="minorHAnsi"/>
          <w:color w:val="auto"/>
          <w:szCs w:val="24"/>
        </w:rPr>
        <w:t xml:space="preserve"> The examiner noted the CI’s social functioning appeared mildly to moderately </w:t>
      </w:r>
      <w:proofErr w:type="gramStart"/>
      <w:r w:rsidR="000C37F3" w:rsidRPr="0079011E">
        <w:rPr>
          <w:rFonts w:asciiTheme="minorHAnsi" w:hAnsiTheme="minorHAnsi"/>
          <w:color w:val="auto"/>
          <w:szCs w:val="24"/>
        </w:rPr>
        <w:t>impaired</w:t>
      </w:r>
      <w:proofErr w:type="gramEnd"/>
      <w:r w:rsidR="000C37F3" w:rsidRPr="0079011E">
        <w:rPr>
          <w:rFonts w:asciiTheme="minorHAnsi" w:hAnsiTheme="minorHAnsi"/>
          <w:color w:val="auto"/>
          <w:szCs w:val="24"/>
        </w:rPr>
        <w:t xml:space="preserve">. </w:t>
      </w:r>
      <w:r w:rsidR="004A1BD3">
        <w:rPr>
          <w:rFonts w:asciiTheme="minorHAnsi" w:hAnsiTheme="minorHAnsi"/>
          <w:color w:val="auto"/>
          <w:szCs w:val="24"/>
        </w:rPr>
        <w:t xml:space="preserve"> </w:t>
      </w:r>
      <w:r w:rsidR="000C37F3" w:rsidRPr="0079011E">
        <w:rPr>
          <w:rFonts w:asciiTheme="minorHAnsi" w:hAnsiTheme="minorHAnsi"/>
          <w:color w:val="auto"/>
          <w:szCs w:val="24"/>
        </w:rPr>
        <w:t>His continued symptoms did limit his work performance as well as job choice.</w:t>
      </w:r>
      <w:r w:rsidR="0079011E">
        <w:rPr>
          <w:rFonts w:asciiTheme="minorHAnsi" w:hAnsiTheme="minorHAnsi"/>
          <w:color w:val="auto"/>
          <w:szCs w:val="24"/>
        </w:rPr>
        <w:t xml:space="preserve"> </w:t>
      </w:r>
      <w:r w:rsidR="00D044BD" w:rsidRPr="0079011E">
        <w:rPr>
          <w:rFonts w:asciiTheme="minorHAnsi" w:hAnsiTheme="minorHAnsi"/>
          <w:color w:val="auto"/>
          <w:szCs w:val="24"/>
        </w:rPr>
        <w:t xml:space="preserve"> </w:t>
      </w:r>
      <w:r w:rsidR="00720242">
        <w:rPr>
          <w:rFonts w:asciiTheme="minorHAnsi" w:hAnsiTheme="minorHAnsi"/>
          <w:color w:val="auto"/>
          <w:szCs w:val="24"/>
        </w:rPr>
        <w:t xml:space="preserve">The </w:t>
      </w:r>
      <w:r w:rsidR="00720242" w:rsidRPr="004A1BD3">
        <w:rPr>
          <w:rFonts w:asciiTheme="minorHAnsi" w:hAnsiTheme="minorHAnsi"/>
          <w:color w:val="auto"/>
          <w:szCs w:val="24"/>
        </w:rPr>
        <w:t>GAF w</w:t>
      </w:r>
      <w:r w:rsidR="00720242">
        <w:rPr>
          <w:rFonts w:asciiTheme="minorHAnsi" w:hAnsiTheme="minorHAnsi"/>
          <w:color w:val="auto"/>
          <w:szCs w:val="24"/>
        </w:rPr>
        <w:t>as 55--</w:t>
      </w:r>
      <w:r w:rsidR="00AC31A5" w:rsidRPr="0079011E">
        <w:rPr>
          <w:rFonts w:asciiTheme="minorHAnsi" w:hAnsiTheme="minorHAnsi"/>
          <w:color w:val="auto"/>
          <w:szCs w:val="24"/>
        </w:rPr>
        <w:t xml:space="preserve">moderate difficulty in social, occupational or school functioning. </w:t>
      </w:r>
      <w:r w:rsidR="008B785A" w:rsidRPr="0079011E">
        <w:rPr>
          <w:rFonts w:asciiTheme="minorHAnsi" w:hAnsiTheme="minorHAnsi"/>
          <w:color w:val="auto"/>
          <w:szCs w:val="24"/>
        </w:rPr>
        <w:t xml:space="preserve"> </w:t>
      </w:r>
      <w:r w:rsidR="00581575" w:rsidRPr="0079011E">
        <w:rPr>
          <w:rFonts w:asciiTheme="minorHAnsi" w:hAnsiTheme="minorHAnsi"/>
          <w:color w:val="auto"/>
          <w:szCs w:val="24"/>
        </w:rPr>
        <w:t xml:space="preserve">The CI did not file a claim at the VA until </w:t>
      </w:r>
      <w:r w:rsidR="004A1BD3">
        <w:rPr>
          <w:rFonts w:asciiTheme="minorHAnsi" w:hAnsiTheme="minorHAnsi"/>
          <w:color w:val="auto"/>
          <w:szCs w:val="24"/>
        </w:rPr>
        <w:t xml:space="preserve">21 August </w:t>
      </w:r>
      <w:r w:rsidR="00581575" w:rsidRPr="0079011E">
        <w:rPr>
          <w:rFonts w:asciiTheme="minorHAnsi" w:hAnsiTheme="minorHAnsi"/>
          <w:color w:val="auto"/>
          <w:szCs w:val="24"/>
        </w:rPr>
        <w:t xml:space="preserve">2009 and as this was more than one year after separation from </w:t>
      </w:r>
      <w:proofErr w:type="gramStart"/>
      <w:r w:rsidR="00720242">
        <w:rPr>
          <w:rFonts w:asciiTheme="minorHAnsi" w:hAnsiTheme="minorHAnsi"/>
          <w:color w:val="auto"/>
          <w:szCs w:val="24"/>
        </w:rPr>
        <w:t>service,</w:t>
      </w:r>
      <w:proofErr w:type="gramEnd"/>
      <w:r w:rsidR="00581575" w:rsidRPr="0079011E">
        <w:rPr>
          <w:rFonts w:asciiTheme="minorHAnsi" w:hAnsiTheme="minorHAnsi"/>
          <w:color w:val="auto"/>
          <w:szCs w:val="24"/>
        </w:rPr>
        <w:t xml:space="preserve"> his VA benefits were effective as of the date of application.</w:t>
      </w:r>
      <w:r w:rsidR="0079011E">
        <w:rPr>
          <w:rFonts w:asciiTheme="minorHAnsi" w:hAnsiTheme="minorHAnsi"/>
          <w:color w:val="auto"/>
          <w:szCs w:val="24"/>
        </w:rPr>
        <w:t xml:space="preserve"> </w:t>
      </w:r>
      <w:r w:rsidR="00581575" w:rsidRPr="0079011E">
        <w:rPr>
          <w:rFonts w:asciiTheme="minorHAnsi" w:hAnsiTheme="minorHAnsi"/>
          <w:color w:val="auto"/>
          <w:szCs w:val="24"/>
        </w:rPr>
        <w:t xml:space="preserve"> </w:t>
      </w:r>
      <w:r w:rsidR="00A7099C" w:rsidRPr="0079011E">
        <w:rPr>
          <w:rFonts w:asciiTheme="minorHAnsi" w:hAnsiTheme="minorHAnsi"/>
          <w:color w:val="auto"/>
          <w:szCs w:val="24"/>
        </w:rPr>
        <w:t xml:space="preserve">Although the C&amp;P examination is </w:t>
      </w:r>
      <w:r w:rsidR="0062625D" w:rsidRPr="0079011E">
        <w:rPr>
          <w:rFonts w:asciiTheme="minorHAnsi" w:hAnsiTheme="minorHAnsi"/>
          <w:color w:val="auto"/>
          <w:szCs w:val="24"/>
        </w:rPr>
        <w:t>remote</w:t>
      </w:r>
      <w:r w:rsidR="00A7099C" w:rsidRPr="0079011E">
        <w:rPr>
          <w:rFonts w:asciiTheme="minorHAnsi" w:hAnsiTheme="minorHAnsi"/>
          <w:color w:val="auto"/>
          <w:szCs w:val="24"/>
        </w:rPr>
        <w:t xml:space="preserve"> from the time of permanent separation, it is the only C&amp;P examination and </w:t>
      </w:r>
      <w:r w:rsidR="00720242">
        <w:rPr>
          <w:rFonts w:asciiTheme="minorHAnsi" w:hAnsiTheme="minorHAnsi"/>
          <w:color w:val="auto"/>
          <w:szCs w:val="24"/>
        </w:rPr>
        <w:t>demonstrates</w:t>
      </w:r>
      <w:r w:rsidR="00A7099C" w:rsidRPr="0079011E">
        <w:rPr>
          <w:rFonts w:asciiTheme="minorHAnsi" w:hAnsiTheme="minorHAnsi"/>
          <w:color w:val="auto"/>
          <w:szCs w:val="24"/>
        </w:rPr>
        <w:t xml:space="preserve"> that the CI’s </w:t>
      </w:r>
      <w:r w:rsidR="0062625D" w:rsidRPr="0079011E">
        <w:rPr>
          <w:rFonts w:asciiTheme="minorHAnsi" w:hAnsiTheme="minorHAnsi"/>
          <w:color w:val="auto"/>
          <w:szCs w:val="24"/>
        </w:rPr>
        <w:t>condition</w:t>
      </w:r>
      <w:r w:rsidR="00A7099C" w:rsidRPr="0079011E">
        <w:rPr>
          <w:rFonts w:asciiTheme="minorHAnsi" w:hAnsiTheme="minorHAnsi"/>
          <w:color w:val="auto"/>
          <w:szCs w:val="24"/>
        </w:rPr>
        <w:t xml:space="preserve"> </w:t>
      </w:r>
      <w:r w:rsidR="00720242">
        <w:rPr>
          <w:rFonts w:asciiTheme="minorHAnsi" w:hAnsiTheme="minorHAnsi"/>
          <w:color w:val="auto"/>
          <w:szCs w:val="24"/>
        </w:rPr>
        <w:t xml:space="preserve">had continued </w:t>
      </w:r>
      <w:r w:rsidR="00A7099C" w:rsidRPr="0079011E">
        <w:rPr>
          <w:rFonts w:asciiTheme="minorHAnsi" w:hAnsiTheme="minorHAnsi"/>
          <w:color w:val="auto"/>
          <w:szCs w:val="24"/>
        </w:rPr>
        <w:t>four years later.</w:t>
      </w:r>
    </w:p>
    <w:p w:rsidR="004A1BD3" w:rsidRDefault="004A1BD3" w:rsidP="00D044BD">
      <w:pPr>
        <w:jc w:val="both"/>
        <w:rPr>
          <w:rFonts w:asciiTheme="minorHAnsi" w:hAnsiTheme="minorHAnsi"/>
          <w:color w:val="auto"/>
          <w:szCs w:val="24"/>
        </w:rPr>
      </w:pPr>
    </w:p>
    <w:p w:rsidR="00833E52" w:rsidRPr="0079011E" w:rsidRDefault="004A1BD3" w:rsidP="00833E52">
      <w:pPr>
        <w:jc w:val="both"/>
        <w:rPr>
          <w:rFonts w:asciiTheme="minorHAnsi" w:hAnsiTheme="minorHAnsi"/>
          <w:color w:val="auto"/>
          <w:szCs w:val="24"/>
        </w:rPr>
      </w:pPr>
      <w:r w:rsidRPr="004A1BD3">
        <w:rPr>
          <w:rFonts w:asciiTheme="minorHAnsi" w:hAnsiTheme="minorHAnsi"/>
          <w:color w:val="auto"/>
          <w:szCs w:val="24"/>
        </w:rPr>
        <w:t xml:space="preserve">The PEB rating at final separation, as described above, was derived from </w:t>
      </w:r>
      <w:proofErr w:type="spellStart"/>
      <w:r w:rsidRPr="004A1BD3">
        <w:rPr>
          <w:rFonts w:asciiTheme="minorHAnsi" w:hAnsiTheme="minorHAnsi"/>
          <w:color w:val="auto"/>
          <w:szCs w:val="24"/>
        </w:rPr>
        <w:t>DoDI</w:t>
      </w:r>
      <w:proofErr w:type="spellEnd"/>
      <w:r w:rsidRPr="004A1BD3">
        <w:rPr>
          <w:rFonts w:asciiTheme="minorHAnsi" w:hAnsiTheme="minorHAnsi"/>
          <w:color w:val="auto"/>
          <w:szCs w:val="24"/>
        </w:rPr>
        <w:t xml:space="preserve"> 1332.39 and preceded the promulgation of the National Defense Authorization Act (NDAA) 2008 mandate for DoD adherence to the VASRD §4.129.  IAW </w:t>
      </w:r>
      <w:proofErr w:type="spellStart"/>
      <w:r w:rsidRPr="004A1BD3">
        <w:rPr>
          <w:rFonts w:asciiTheme="minorHAnsi" w:hAnsiTheme="minorHAnsi"/>
          <w:color w:val="auto"/>
          <w:szCs w:val="24"/>
        </w:rPr>
        <w:t>DoDI</w:t>
      </w:r>
      <w:proofErr w:type="spellEnd"/>
      <w:r w:rsidRPr="004A1BD3">
        <w:rPr>
          <w:rFonts w:asciiTheme="minorHAnsi" w:hAnsiTheme="minorHAnsi"/>
          <w:color w:val="auto"/>
          <w:szCs w:val="24"/>
        </w:rPr>
        <w:t xml:space="preserve"> 6040.44 and </w:t>
      </w:r>
      <w:proofErr w:type="spellStart"/>
      <w:proofErr w:type="gramStart"/>
      <w:r w:rsidRPr="004A1BD3">
        <w:rPr>
          <w:rFonts w:asciiTheme="minorHAnsi" w:hAnsiTheme="minorHAnsi"/>
          <w:color w:val="auto"/>
          <w:szCs w:val="24"/>
        </w:rPr>
        <w:t>DoD</w:t>
      </w:r>
      <w:proofErr w:type="spellEnd"/>
      <w:proofErr w:type="gramEnd"/>
      <w:r w:rsidRPr="004A1BD3">
        <w:rPr>
          <w:rFonts w:asciiTheme="minorHAnsi" w:hAnsiTheme="minorHAnsi"/>
          <w:color w:val="auto"/>
          <w:szCs w:val="24"/>
        </w:rPr>
        <w:t xml:space="preserve"> guidance (which applies current VASRD §4.129 to all Board cases); the Board is obligated to recommend a minimum 50% PTSD rating for the period on the TDRL.  Since the Service was in compliance with the §4.129 TDRL requirement, the Board need not apply a constructive TDRL rating interval in this case; although, the 50% minimum TDRL rating remains applicable as above, as held by the Federal court in the Sabo V. United States class action settlement.  The Board must then determine the most appropriate fit with VASRD §4.130 criteria at the end of the TDRL interval for its permanent rating recommendation.</w:t>
      </w:r>
      <w:r w:rsidRPr="00D45DD1">
        <w:rPr>
          <w:rFonts w:asciiTheme="minorHAnsi" w:hAnsiTheme="minorHAnsi"/>
          <w:color w:val="auto"/>
          <w:szCs w:val="24"/>
        </w:rPr>
        <w:t xml:space="preserve">  </w:t>
      </w:r>
      <w:r w:rsidR="00833E52" w:rsidRPr="0079011E">
        <w:rPr>
          <w:rFonts w:asciiTheme="minorHAnsi" w:hAnsiTheme="minorHAnsi"/>
          <w:color w:val="auto"/>
          <w:szCs w:val="24"/>
        </w:rPr>
        <w:t>The most proximate source of comprehensive evidence on which to base the permanent rating recommendation in this case is the TDRL narrative su</w:t>
      </w:r>
      <w:r w:rsidR="00833E52" w:rsidRPr="004A1BD3">
        <w:rPr>
          <w:rFonts w:asciiTheme="minorHAnsi" w:hAnsiTheme="minorHAnsi"/>
          <w:color w:val="auto"/>
          <w:szCs w:val="24"/>
        </w:rPr>
        <w:t>mmary (NARSUM),</w:t>
      </w:r>
      <w:r w:rsidR="00833E52" w:rsidRPr="0079011E">
        <w:rPr>
          <w:rFonts w:asciiTheme="minorHAnsi" w:hAnsiTheme="minorHAnsi"/>
          <w:color w:val="auto"/>
          <w:szCs w:val="24"/>
        </w:rPr>
        <w:t xml:space="preserve"> performed </w:t>
      </w:r>
      <w:r w:rsidR="00AC7670">
        <w:rPr>
          <w:rFonts w:asciiTheme="minorHAnsi" w:hAnsiTheme="minorHAnsi"/>
          <w:color w:val="auto"/>
          <w:szCs w:val="24"/>
        </w:rPr>
        <w:t xml:space="preserve">approximately </w:t>
      </w:r>
      <w:r w:rsidR="0079011E" w:rsidRPr="0079011E">
        <w:rPr>
          <w:rFonts w:asciiTheme="minorHAnsi" w:hAnsiTheme="minorHAnsi"/>
          <w:color w:val="auto"/>
          <w:szCs w:val="24"/>
        </w:rPr>
        <w:t>one year</w:t>
      </w:r>
      <w:r w:rsidR="00221D4D" w:rsidRPr="0079011E">
        <w:rPr>
          <w:rFonts w:asciiTheme="minorHAnsi" w:hAnsiTheme="minorHAnsi"/>
          <w:color w:val="auto"/>
          <w:szCs w:val="24"/>
        </w:rPr>
        <w:t xml:space="preserve"> </w:t>
      </w:r>
      <w:r w:rsidR="00833E52" w:rsidRPr="0079011E">
        <w:rPr>
          <w:rFonts w:asciiTheme="minorHAnsi" w:hAnsiTheme="minorHAnsi"/>
          <w:color w:val="auto"/>
          <w:szCs w:val="24"/>
        </w:rPr>
        <w:t xml:space="preserve">after being placed on TDRL and </w:t>
      </w:r>
      <w:r w:rsidR="00221D4D" w:rsidRPr="0079011E">
        <w:rPr>
          <w:rFonts w:asciiTheme="minorHAnsi" w:hAnsiTheme="minorHAnsi"/>
          <w:color w:val="auto"/>
          <w:szCs w:val="24"/>
        </w:rPr>
        <w:t>one</w:t>
      </w:r>
      <w:r w:rsidR="00833E52" w:rsidRPr="0079011E">
        <w:rPr>
          <w:rFonts w:asciiTheme="minorHAnsi" w:hAnsiTheme="minorHAnsi"/>
          <w:color w:val="auto"/>
          <w:szCs w:val="24"/>
        </w:rPr>
        <w:t xml:space="preserve"> month prior to </w:t>
      </w:r>
      <w:r w:rsidR="00C319A9" w:rsidRPr="0079011E">
        <w:rPr>
          <w:rFonts w:asciiTheme="minorHAnsi" w:hAnsiTheme="minorHAnsi"/>
          <w:color w:val="auto"/>
          <w:szCs w:val="24"/>
        </w:rPr>
        <w:t>the final PEB</w:t>
      </w:r>
      <w:r w:rsidR="00833E52" w:rsidRPr="0079011E">
        <w:rPr>
          <w:rFonts w:asciiTheme="minorHAnsi" w:hAnsiTheme="minorHAnsi"/>
          <w:color w:val="auto"/>
          <w:szCs w:val="24"/>
        </w:rPr>
        <w:t xml:space="preserve">.  </w:t>
      </w:r>
    </w:p>
    <w:p w:rsidR="00833E52" w:rsidRPr="0079011E" w:rsidRDefault="00833E52" w:rsidP="00833E52">
      <w:pPr>
        <w:jc w:val="both"/>
        <w:rPr>
          <w:rFonts w:asciiTheme="minorHAnsi" w:eastAsiaTheme="minorHAnsi" w:hAnsiTheme="minorHAnsi"/>
          <w:color w:val="auto"/>
          <w:szCs w:val="24"/>
        </w:rPr>
      </w:pPr>
    </w:p>
    <w:p w:rsidR="00833E52" w:rsidRPr="0079011E" w:rsidRDefault="00833E52" w:rsidP="00833E52">
      <w:pPr>
        <w:jc w:val="both"/>
        <w:rPr>
          <w:rFonts w:asciiTheme="minorHAnsi" w:hAnsiTheme="minorHAnsi"/>
          <w:color w:val="auto"/>
          <w:szCs w:val="24"/>
        </w:rPr>
      </w:pPr>
      <w:r w:rsidRPr="0079011E">
        <w:rPr>
          <w:rFonts w:asciiTheme="minorHAnsi" w:eastAsiaTheme="minorHAnsi" w:hAnsiTheme="minorHAnsi"/>
          <w:color w:val="auto"/>
          <w:szCs w:val="24"/>
        </w:rPr>
        <w:t>The Board directs it attention to its rating recommendations based on the evidence just described.  All members agreed that the §4.130 threshold for a rating higher than 50% were not met at the time of TDRL entry and therefore, the minimum 50% TDRL rating (as explained above) is applicable.  As regards for the permanent rating recommendation, all members agreed that the §4.130 threshold for a 50% rating was not approached.  The deliberations settled on arguments for a 30% versus a 10% permanent rating recommendation.  The Board noted that at the examination most proximate to the end of TDRL that th</w:t>
      </w:r>
      <w:r w:rsidR="00221D4D" w:rsidRPr="0079011E">
        <w:rPr>
          <w:rFonts w:asciiTheme="minorHAnsi" w:eastAsiaTheme="minorHAnsi" w:hAnsiTheme="minorHAnsi"/>
          <w:color w:val="auto"/>
          <w:szCs w:val="24"/>
        </w:rPr>
        <w:t>e CI was still experiencing insomnia, impaired memory and concentration,</w:t>
      </w:r>
      <w:r w:rsidR="00492536" w:rsidRPr="0079011E">
        <w:rPr>
          <w:rFonts w:asciiTheme="minorHAnsi" w:eastAsiaTheme="minorHAnsi" w:hAnsiTheme="minorHAnsi"/>
          <w:color w:val="auto"/>
          <w:szCs w:val="24"/>
        </w:rPr>
        <w:t xml:space="preserve"> </w:t>
      </w:r>
      <w:r w:rsidR="0062625D" w:rsidRPr="0079011E">
        <w:rPr>
          <w:rFonts w:asciiTheme="minorHAnsi" w:eastAsiaTheme="minorHAnsi" w:hAnsiTheme="minorHAnsi"/>
          <w:color w:val="auto"/>
          <w:szCs w:val="24"/>
        </w:rPr>
        <w:t>hyper vigilance</w:t>
      </w:r>
      <w:r w:rsidR="00492536" w:rsidRPr="0079011E">
        <w:rPr>
          <w:rFonts w:asciiTheme="minorHAnsi" w:eastAsiaTheme="minorHAnsi" w:hAnsiTheme="minorHAnsi"/>
          <w:color w:val="auto"/>
          <w:szCs w:val="24"/>
        </w:rPr>
        <w:t>,</w:t>
      </w:r>
      <w:r w:rsidR="00221D4D" w:rsidRPr="0079011E">
        <w:rPr>
          <w:rFonts w:asciiTheme="minorHAnsi" w:eastAsiaTheme="minorHAnsi" w:hAnsiTheme="minorHAnsi"/>
          <w:color w:val="auto"/>
          <w:szCs w:val="24"/>
        </w:rPr>
        <w:t xml:space="preserve"> increased irritability</w:t>
      </w:r>
      <w:r w:rsidRPr="0079011E">
        <w:rPr>
          <w:rFonts w:asciiTheme="minorHAnsi" w:eastAsiaTheme="minorHAnsi" w:hAnsiTheme="minorHAnsi"/>
          <w:color w:val="auto"/>
          <w:szCs w:val="24"/>
        </w:rPr>
        <w:t>,</w:t>
      </w:r>
      <w:r w:rsidR="00221D4D" w:rsidRPr="0079011E">
        <w:rPr>
          <w:rFonts w:asciiTheme="minorHAnsi" w:eastAsiaTheme="minorHAnsi" w:hAnsiTheme="minorHAnsi"/>
          <w:color w:val="auto"/>
          <w:szCs w:val="24"/>
        </w:rPr>
        <w:t xml:space="preserve"> and avoidance of crowds</w:t>
      </w:r>
      <w:r w:rsidRPr="0079011E">
        <w:rPr>
          <w:rFonts w:asciiTheme="minorHAnsi" w:eastAsiaTheme="minorHAnsi" w:hAnsiTheme="minorHAnsi"/>
          <w:color w:val="auto"/>
          <w:szCs w:val="24"/>
        </w:rPr>
        <w:t xml:space="preserve">.  </w:t>
      </w:r>
      <w:r w:rsidR="0079011E" w:rsidRPr="0079011E">
        <w:rPr>
          <w:rFonts w:asciiTheme="minorHAnsi" w:eastAsiaTheme="minorHAnsi" w:hAnsiTheme="minorHAnsi"/>
          <w:color w:val="auto"/>
          <w:szCs w:val="24"/>
        </w:rPr>
        <w:t>He had limited interactions with anyone outside his family and his symptoms limited his occupational opportunities as well</w:t>
      </w:r>
      <w:r w:rsidR="0079011E">
        <w:rPr>
          <w:rFonts w:asciiTheme="minorHAnsi" w:eastAsiaTheme="minorHAnsi" w:hAnsiTheme="minorHAnsi"/>
          <w:color w:val="auto"/>
          <w:szCs w:val="24"/>
        </w:rPr>
        <w:t xml:space="preserve"> a</w:t>
      </w:r>
      <w:r w:rsidR="0079011E" w:rsidRPr="0079011E">
        <w:rPr>
          <w:rFonts w:asciiTheme="minorHAnsi" w:eastAsiaTheme="minorHAnsi" w:hAnsiTheme="minorHAnsi"/>
          <w:color w:val="auto"/>
          <w:szCs w:val="24"/>
        </w:rPr>
        <w:t xml:space="preserve">s affecting his performance. </w:t>
      </w:r>
      <w:r w:rsidRPr="0079011E">
        <w:rPr>
          <w:rFonts w:asciiTheme="minorHAnsi" w:eastAsiaTheme="minorHAnsi" w:hAnsiTheme="minorHAnsi"/>
          <w:color w:val="auto"/>
          <w:szCs w:val="24"/>
        </w:rPr>
        <w:t xml:space="preserve">Thus the 30% description </w:t>
      </w:r>
      <w:r w:rsidRPr="0079011E">
        <w:rPr>
          <w:rFonts w:asciiTheme="minorHAnsi" w:hAnsiTheme="minorHAnsi"/>
          <w:color w:val="auto"/>
          <w:szCs w:val="24"/>
        </w:rPr>
        <w:t>(occupational and social impairment</w:t>
      </w:r>
      <w:r w:rsidR="00221D4D" w:rsidRPr="0079011E">
        <w:rPr>
          <w:rFonts w:asciiTheme="minorHAnsi" w:hAnsiTheme="minorHAnsi"/>
          <w:color w:val="auto"/>
          <w:szCs w:val="24"/>
        </w:rPr>
        <w:t>)</w:t>
      </w:r>
      <w:r w:rsidRPr="0079011E">
        <w:rPr>
          <w:rFonts w:asciiTheme="minorHAnsi" w:hAnsiTheme="minorHAnsi"/>
          <w:color w:val="auto"/>
          <w:szCs w:val="24"/>
        </w:rPr>
        <w:t xml:space="preserve"> with aligns with the evidence in this case.  After due deliberation, considering all of the evidence and mindful of VASRD §4.3 (reasonable doubt), the Board recommends a separation rating of 30% for the PTSD condition.  </w:t>
      </w:r>
    </w:p>
    <w:p w:rsidR="004C60A3" w:rsidRPr="0079011E" w:rsidRDefault="004C60A3" w:rsidP="00BF0E94">
      <w:pPr>
        <w:jc w:val="left"/>
        <w:rPr>
          <w:color w:val="000000" w:themeColor="text1"/>
          <w:szCs w:val="24"/>
        </w:rPr>
      </w:pPr>
    </w:p>
    <w:p w:rsidR="00492536" w:rsidRPr="0079011E" w:rsidRDefault="00492536" w:rsidP="00492536">
      <w:pPr>
        <w:jc w:val="both"/>
        <w:rPr>
          <w:color w:val="000000" w:themeColor="text1"/>
          <w:szCs w:val="24"/>
        </w:rPr>
      </w:pPr>
      <w:r w:rsidRPr="0079011E">
        <w:rPr>
          <w:color w:val="000000" w:themeColor="text1"/>
          <w:szCs w:val="24"/>
          <w:u w:val="single"/>
        </w:rPr>
        <w:t>Remaining Conditions.</w:t>
      </w:r>
      <w:r w:rsidRPr="0079011E">
        <w:rPr>
          <w:color w:val="000000" w:themeColor="text1"/>
          <w:szCs w:val="24"/>
        </w:rPr>
        <w:t xml:space="preserve">  Other conditions </w:t>
      </w:r>
      <w:r w:rsidR="004A1BD3">
        <w:rPr>
          <w:color w:val="000000" w:themeColor="text1"/>
          <w:szCs w:val="24"/>
        </w:rPr>
        <w:t xml:space="preserve">identified in the DES file were back pain, left foot stress fractures, </w:t>
      </w:r>
      <w:r w:rsidR="00A7099C" w:rsidRPr="0079011E">
        <w:rPr>
          <w:color w:val="000000" w:themeColor="text1"/>
          <w:szCs w:val="24"/>
        </w:rPr>
        <w:t xml:space="preserve">and </w:t>
      </w:r>
      <w:r w:rsidR="004A1BD3">
        <w:rPr>
          <w:color w:val="000000" w:themeColor="text1"/>
          <w:szCs w:val="24"/>
        </w:rPr>
        <w:t>p</w:t>
      </w:r>
      <w:r w:rsidR="00A7099C" w:rsidRPr="0079011E">
        <w:rPr>
          <w:color w:val="000000" w:themeColor="text1"/>
          <w:szCs w:val="24"/>
        </w:rPr>
        <w:t xml:space="preserve">ainful </w:t>
      </w:r>
      <w:r w:rsidR="004A1BD3">
        <w:rPr>
          <w:color w:val="000000" w:themeColor="text1"/>
          <w:szCs w:val="24"/>
        </w:rPr>
        <w:t>a</w:t>
      </w:r>
      <w:r w:rsidR="00A7099C" w:rsidRPr="0079011E">
        <w:rPr>
          <w:color w:val="000000" w:themeColor="text1"/>
          <w:szCs w:val="24"/>
        </w:rPr>
        <w:t xml:space="preserve">rches and </w:t>
      </w:r>
      <w:r w:rsidR="004A1BD3">
        <w:rPr>
          <w:color w:val="000000" w:themeColor="text1"/>
          <w:szCs w:val="24"/>
        </w:rPr>
        <w:t>l</w:t>
      </w:r>
      <w:r w:rsidR="005D2E82" w:rsidRPr="0079011E">
        <w:rPr>
          <w:color w:val="000000" w:themeColor="text1"/>
          <w:szCs w:val="24"/>
        </w:rPr>
        <w:t xml:space="preserve">eft </w:t>
      </w:r>
      <w:r w:rsidR="004A1BD3">
        <w:rPr>
          <w:color w:val="000000" w:themeColor="text1"/>
          <w:szCs w:val="24"/>
        </w:rPr>
        <w:t>k</w:t>
      </w:r>
      <w:r w:rsidR="00A7099C" w:rsidRPr="0079011E">
        <w:rPr>
          <w:color w:val="000000" w:themeColor="text1"/>
          <w:szCs w:val="24"/>
        </w:rPr>
        <w:t xml:space="preserve">nee </w:t>
      </w:r>
      <w:r w:rsidR="004A1BD3">
        <w:rPr>
          <w:color w:val="000000" w:themeColor="text1"/>
          <w:szCs w:val="24"/>
        </w:rPr>
        <w:t>p</w:t>
      </w:r>
      <w:r w:rsidR="005D2E82" w:rsidRPr="0079011E">
        <w:rPr>
          <w:color w:val="000000" w:themeColor="text1"/>
          <w:szCs w:val="24"/>
        </w:rPr>
        <w:t>ain</w:t>
      </w:r>
      <w:r w:rsidR="00A7099C" w:rsidRPr="0079011E">
        <w:rPr>
          <w:color w:val="000000" w:themeColor="text1"/>
          <w:szCs w:val="24"/>
        </w:rPr>
        <w:t xml:space="preserve">.  </w:t>
      </w:r>
      <w:r w:rsidRPr="0079011E">
        <w:rPr>
          <w:color w:val="000000" w:themeColor="text1"/>
          <w:szCs w:val="24"/>
        </w:rPr>
        <w:t xml:space="preserve">None of these conditions were significantly clinically or occupationally active during the MEB period, none carried </w:t>
      </w:r>
      <w:r w:rsidR="00AC7670">
        <w:rPr>
          <w:color w:val="000000" w:themeColor="text1"/>
          <w:szCs w:val="24"/>
        </w:rPr>
        <w:t xml:space="preserve">attached profiles, and none </w:t>
      </w:r>
      <w:r w:rsidRPr="0079011E">
        <w:rPr>
          <w:color w:val="000000" w:themeColor="text1"/>
          <w:szCs w:val="24"/>
        </w:rPr>
        <w:t xml:space="preserve">were implicated in the commander’s statement.  These conditions were reviewed by the </w:t>
      </w:r>
      <w:r w:rsidR="004A1BD3">
        <w:rPr>
          <w:color w:val="000000" w:themeColor="text1"/>
          <w:szCs w:val="24"/>
        </w:rPr>
        <w:t>action o</w:t>
      </w:r>
      <w:r w:rsidRPr="0079011E">
        <w:rPr>
          <w:color w:val="000000" w:themeColor="text1"/>
          <w:szCs w:val="24"/>
        </w:rPr>
        <w:t xml:space="preserve">fficer and considered by the Board.  It was determined that none could be argued as unfitting and subject to separation rating.  </w:t>
      </w:r>
    </w:p>
    <w:p w:rsidR="001031F4" w:rsidRPr="0079011E" w:rsidRDefault="001031F4" w:rsidP="00BF0E94">
      <w:pPr>
        <w:pBdr>
          <w:bottom w:val="single" w:sz="12" w:space="1" w:color="auto"/>
        </w:pBdr>
        <w:tabs>
          <w:tab w:val="left" w:pos="288"/>
          <w:tab w:val="left" w:pos="4752"/>
        </w:tabs>
        <w:jc w:val="both"/>
        <w:rPr>
          <w:color w:val="000000" w:themeColor="text1"/>
        </w:rPr>
      </w:pPr>
    </w:p>
    <w:p w:rsidR="00F1737C" w:rsidRPr="0079011E" w:rsidRDefault="00F1737C" w:rsidP="006364ED">
      <w:pPr>
        <w:jc w:val="left"/>
        <w:rPr>
          <w:color w:val="000000" w:themeColor="text1"/>
          <w:szCs w:val="24"/>
        </w:rPr>
      </w:pPr>
    </w:p>
    <w:p w:rsidR="008B785A" w:rsidRPr="0079011E" w:rsidRDefault="00C56FC8" w:rsidP="008B785A">
      <w:pPr>
        <w:jc w:val="both"/>
        <w:rPr>
          <w:rFonts w:asciiTheme="minorHAnsi" w:hAnsiTheme="minorHAnsi"/>
          <w:color w:val="auto"/>
          <w:szCs w:val="24"/>
        </w:rPr>
      </w:pPr>
      <w:r w:rsidRPr="0079011E">
        <w:rPr>
          <w:color w:val="000000" w:themeColor="text1"/>
          <w:szCs w:val="24"/>
          <w:u w:val="single"/>
        </w:rPr>
        <w:t>BOARD FINDINGS</w:t>
      </w:r>
      <w:r w:rsidRPr="0079011E">
        <w:rPr>
          <w:color w:val="000000" w:themeColor="text1"/>
          <w:szCs w:val="24"/>
        </w:rPr>
        <w:t>:</w:t>
      </w:r>
      <w:r w:rsidRPr="0079011E">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62625D" w:rsidRPr="0079011E">
        <w:rPr>
          <w:rFonts w:asciiTheme="minorHAnsi" w:hAnsiTheme="minorHAnsi"/>
          <w:color w:val="auto"/>
          <w:szCs w:val="24"/>
        </w:rPr>
        <w:t xml:space="preserve"> </w:t>
      </w:r>
      <w:r w:rsidR="008B785A" w:rsidRPr="0079011E">
        <w:rPr>
          <w:rFonts w:asciiTheme="minorHAnsi" w:hAnsiTheme="minorHAnsi"/>
          <w:color w:val="auto"/>
          <w:szCs w:val="24"/>
        </w:rPr>
        <w:t xml:space="preserve"> </w:t>
      </w:r>
      <w:r w:rsidR="004A1BD3">
        <w:rPr>
          <w:rFonts w:asciiTheme="minorHAnsi" w:eastAsiaTheme="minorHAnsi" w:hAnsiTheme="minorHAnsi"/>
          <w:color w:val="auto"/>
          <w:szCs w:val="24"/>
        </w:rPr>
        <w:t xml:space="preserve">In the matter of the PTSD </w:t>
      </w:r>
      <w:r w:rsidR="004A1BD3">
        <w:rPr>
          <w:rFonts w:asciiTheme="minorHAnsi" w:eastAsiaTheme="minorHAnsi" w:hAnsiTheme="minorHAnsi"/>
          <w:color w:val="auto"/>
          <w:szCs w:val="24"/>
        </w:rPr>
        <w:lastRenderedPageBreak/>
        <w:t xml:space="preserve">condition, the Board, recommends a </w:t>
      </w:r>
      <w:r w:rsidR="00583C63">
        <w:rPr>
          <w:rFonts w:asciiTheme="minorHAnsi" w:eastAsiaTheme="minorHAnsi" w:hAnsiTheme="minorHAnsi"/>
          <w:color w:val="auto"/>
          <w:szCs w:val="24"/>
        </w:rPr>
        <w:t xml:space="preserve">permanent </w:t>
      </w:r>
      <w:r w:rsidR="004A1BD3">
        <w:rPr>
          <w:rFonts w:asciiTheme="minorHAnsi" w:eastAsiaTheme="minorHAnsi" w:hAnsiTheme="minorHAnsi"/>
          <w:color w:val="auto"/>
          <w:szCs w:val="24"/>
        </w:rPr>
        <w:t>separation rating after TDRL of 30% coded 9411 IAW VASRD §4.130.</w:t>
      </w:r>
      <w:r w:rsidR="00957AC3">
        <w:rPr>
          <w:rFonts w:asciiTheme="minorHAnsi" w:eastAsiaTheme="minorHAnsi" w:hAnsiTheme="minorHAnsi"/>
          <w:color w:val="auto"/>
          <w:szCs w:val="24"/>
        </w:rPr>
        <w:t xml:space="preserve"> </w:t>
      </w:r>
      <w:r w:rsidR="004A1BD3">
        <w:rPr>
          <w:rFonts w:asciiTheme="minorHAnsi" w:eastAsiaTheme="minorHAnsi" w:hAnsiTheme="minorHAnsi"/>
          <w:color w:val="auto"/>
          <w:szCs w:val="24"/>
        </w:rPr>
        <w:t xml:space="preserve"> </w:t>
      </w:r>
      <w:r w:rsidR="008B785A" w:rsidRPr="0079011E">
        <w:rPr>
          <w:rFonts w:asciiTheme="minorHAnsi" w:hAnsiTheme="minorHAnsi"/>
          <w:color w:val="auto"/>
          <w:szCs w:val="24"/>
        </w:rPr>
        <w:t xml:space="preserve">In the matter of the </w:t>
      </w:r>
      <w:r w:rsidR="004A1BD3">
        <w:rPr>
          <w:color w:val="000000" w:themeColor="text1"/>
          <w:szCs w:val="24"/>
        </w:rPr>
        <w:t>mechanical low back pain; stress f</w:t>
      </w:r>
      <w:r w:rsidR="008B785A" w:rsidRPr="0079011E">
        <w:rPr>
          <w:color w:val="000000" w:themeColor="text1"/>
          <w:szCs w:val="24"/>
        </w:rPr>
        <w:t xml:space="preserve">ractures and </w:t>
      </w:r>
      <w:r w:rsidR="004A1BD3">
        <w:rPr>
          <w:color w:val="000000" w:themeColor="text1"/>
          <w:szCs w:val="24"/>
        </w:rPr>
        <w:t>painful arches; and knee p</w:t>
      </w:r>
      <w:r w:rsidR="008B785A" w:rsidRPr="0079011E">
        <w:rPr>
          <w:color w:val="000000" w:themeColor="text1"/>
          <w:szCs w:val="24"/>
        </w:rPr>
        <w:t xml:space="preserve">roblems </w:t>
      </w:r>
      <w:r w:rsidR="008B785A" w:rsidRPr="0079011E">
        <w:rPr>
          <w:rFonts w:asciiTheme="minorHAnsi" w:eastAsiaTheme="minorHAnsi" w:hAnsiTheme="minorHAnsi"/>
          <w:color w:val="auto"/>
          <w:szCs w:val="24"/>
        </w:rPr>
        <w:t>conditions</w:t>
      </w:r>
      <w:r w:rsidR="008B785A" w:rsidRPr="0079011E">
        <w:rPr>
          <w:rFonts w:asciiTheme="minorHAnsi" w:hAnsiTheme="minorHAnsi"/>
          <w:color w:val="auto"/>
          <w:szCs w:val="24"/>
        </w:rPr>
        <w:t xml:space="preserve"> or any other medical conditions eligible for Board consideration; the Board unanimously agrees that it cannot</w:t>
      </w:r>
      <w:r w:rsidR="008B785A" w:rsidRPr="0079011E">
        <w:rPr>
          <w:rFonts w:asciiTheme="minorHAnsi" w:hAnsiTheme="minorHAnsi"/>
          <w:color w:val="000080"/>
          <w:szCs w:val="24"/>
        </w:rPr>
        <w:t xml:space="preserve"> </w:t>
      </w:r>
      <w:r w:rsidR="008B785A" w:rsidRPr="0079011E">
        <w:rPr>
          <w:rFonts w:asciiTheme="minorHAnsi" w:hAnsiTheme="minorHAnsi"/>
          <w:color w:val="auto"/>
          <w:szCs w:val="24"/>
        </w:rPr>
        <w:t>recommend any findings of unfit for additional rating at separation.</w:t>
      </w:r>
    </w:p>
    <w:p w:rsidR="00F1737C" w:rsidRPr="0079011E" w:rsidRDefault="00F1737C" w:rsidP="00BF0E94">
      <w:pPr>
        <w:pBdr>
          <w:bottom w:val="single" w:sz="12" w:space="1" w:color="auto"/>
        </w:pBdr>
        <w:tabs>
          <w:tab w:val="left" w:pos="288"/>
          <w:tab w:val="left" w:pos="4752"/>
        </w:tabs>
        <w:jc w:val="both"/>
        <w:rPr>
          <w:color w:val="000000" w:themeColor="text1"/>
        </w:rPr>
      </w:pPr>
    </w:p>
    <w:p w:rsidR="00F1737C" w:rsidRPr="0079011E" w:rsidRDefault="00F1737C" w:rsidP="006364ED">
      <w:pPr>
        <w:jc w:val="left"/>
        <w:rPr>
          <w:color w:val="000000" w:themeColor="text1"/>
          <w:szCs w:val="24"/>
        </w:rPr>
      </w:pPr>
    </w:p>
    <w:p w:rsidR="00DF071B" w:rsidRPr="0079011E" w:rsidRDefault="00C56FC8" w:rsidP="00583C63">
      <w:pPr>
        <w:jc w:val="both"/>
        <w:rPr>
          <w:color w:val="000000" w:themeColor="text1"/>
        </w:rPr>
      </w:pPr>
      <w:r w:rsidRPr="0079011E">
        <w:rPr>
          <w:color w:val="000000" w:themeColor="text1"/>
          <w:szCs w:val="24"/>
          <w:u w:val="single"/>
        </w:rPr>
        <w:t>RECOMMENDATION</w:t>
      </w:r>
      <w:r w:rsidRPr="0079011E">
        <w:rPr>
          <w:color w:val="000000" w:themeColor="text1"/>
          <w:szCs w:val="24"/>
        </w:rPr>
        <w:t>:</w:t>
      </w:r>
      <w:r w:rsidR="00A7099C" w:rsidRPr="0079011E">
        <w:rPr>
          <w:color w:val="000000" w:themeColor="text1"/>
        </w:rPr>
        <w:t xml:space="preserve">  </w:t>
      </w:r>
      <w:r w:rsidR="00957AC3">
        <w:rPr>
          <w:color w:val="auto"/>
          <w:szCs w:val="24"/>
        </w:rPr>
        <w:t xml:space="preserve">The Board recommends that the CI’s prior determination be modified as follows and that the discharge with severance pay be </w:t>
      </w:r>
      <w:proofErr w:type="spellStart"/>
      <w:r w:rsidR="00957AC3">
        <w:rPr>
          <w:color w:val="auto"/>
          <w:szCs w:val="24"/>
        </w:rPr>
        <w:t>recharacterized</w:t>
      </w:r>
      <w:proofErr w:type="spellEnd"/>
      <w:r w:rsidR="00957AC3">
        <w:rPr>
          <w:color w:val="auto"/>
          <w:szCs w:val="24"/>
        </w:rPr>
        <w:t xml:space="preserve"> to reflect permanent disability retirement after removal from TDRL, effective as of the date of his prior medical separation:</w:t>
      </w:r>
    </w:p>
    <w:p w:rsidR="00DB0015" w:rsidRDefault="00DB0015" w:rsidP="00BF0E94">
      <w:pPr>
        <w:jc w:val="both"/>
        <w:rPr>
          <w:color w:val="000000" w:themeColor="text1"/>
          <w:szCs w:val="24"/>
        </w:rPr>
      </w:pPr>
    </w:p>
    <w:tbl>
      <w:tblPr>
        <w:tblpPr w:leftFromText="187" w:rightFromText="187"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96"/>
        <w:gridCol w:w="1710"/>
        <w:gridCol w:w="1530"/>
      </w:tblGrid>
      <w:tr w:rsidR="00957AC3" w:rsidTr="002B1C07">
        <w:tc>
          <w:tcPr>
            <w:tcW w:w="579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7AC3" w:rsidRDefault="00957AC3" w:rsidP="002B1C07">
            <w:pPr>
              <w:tabs>
                <w:tab w:val="left" w:pos="288"/>
                <w:tab w:val="left" w:pos="4752"/>
              </w:tabs>
              <w:ind w:left="-198" w:firstLine="198"/>
              <w:rPr>
                <w:b/>
                <w:color w:val="auto"/>
                <w:szCs w:val="24"/>
              </w:rPr>
            </w:pPr>
            <w:r>
              <w:rPr>
                <w:b/>
                <w:color w:val="auto"/>
                <w:szCs w:val="24"/>
              </w:rPr>
              <w:t>UNFITTING CONDITION</w:t>
            </w:r>
          </w:p>
        </w:tc>
        <w:tc>
          <w:tcPr>
            <w:tcW w:w="171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957AC3" w:rsidRDefault="00957AC3" w:rsidP="002B1C07">
            <w:pPr>
              <w:tabs>
                <w:tab w:val="left" w:pos="288"/>
                <w:tab w:val="left" w:pos="4752"/>
              </w:tabs>
              <w:rPr>
                <w:b/>
                <w:color w:val="auto"/>
                <w:szCs w:val="24"/>
              </w:rPr>
            </w:pPr>
            <w:r>
              <w:rPr>
                <w:b/>
                <w:color w:val="auto"/>
                <w:szCs w:val="24"/>
              </w:rPr>
              <w:t>VASRD CODE</w:t>
            </w:r>
          </w:p>
        </w:tc>
        <w:tc>
          <w:tcPr>
            <w:tcW w:w="15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57AC3" w:rsidRDefault="00957AC3" w:rsidP="002B1C07">
            <w:pPr>
              <w:tabs>
                <w:tab w:val="left" w:pos="288"/>
                <w:tab w:val="left" w:pos="4752"/>
              </w:tabs>
              <w:rPr>
                <w:b/>
                <w:color w:val="auto"/>
                <w:szCs w:val="24"/>
              </w:rPr>
            </w:pPr>
            <w:r>
              <w:rPr>
                <w:b/>
                <w:color w:val="auto"/>
                <w:szCs w:val="24"/>
              </w:rPr>
              <w:t>PERMANENT</w:t>
            </w:r>
          </w:p>
          <w:p w:rsidR="00957AC3" w:rsidRDefault="00957AC3" w:rsidP="002B1C07">
            <w:pPr>
              <w:tabs>
                <w:tab w:val="left" w:pos="288"/>
                <w:tab w:val="left" w:pos="4752"/>
              </w:tabs>
              <w:rPr>
                <w:b/>
                <w:color w:val="auto"/>
                <w:szCs w:val="24"/>
              </w:rPr>
            </w:pPr>
            <w:r>
              <w:rPr>
                <w:b/>
                <w:color w:val="auto"/>
                <w:szCs w:val="24"/>
              </w:rPr>
              <w:t>RATING</w:t>
            </w:r>
          </w:p>
        </w:tc>
      </w:tr>
      <w:tr w:rsidR="00957AC3" w:rsidTr="002B1C07">
        <w:trPr>
          <w:trHeight w:val="188"/>
        </w:trPr>
        <w:tc>
          <w:tcPr>
            <w:tcW w:w="5796" w:type="dxa"/>
            <w:tcBorders>
              <w:top w:val="single" w:sz="4" w:space="0" w:color="000000"/>
              <w:left w:val="single" w:sz="4" w:space="0" w:color="000000"/>
              <w:bottom w:val="single" w:sz="4" w:space="0" w:color="000000"/>
              <w:right w:val="single" w:sz="4" w:space="0" w:color="000000"/>
            </w:tcBorders>
            <w:vAlign w:val="center"/>
            <w:hideMark/>
          </w:tcPr>
          <w:p w:rsidR="00957AC3" w:rsidRDefault="00957AC3" w:rsidP="002B1C07">
            <w:pPr>
              <w:tabs>
                <w:tab w:val="left" w:pos="288"/>
                <w:tab w:val="left" w:pos="3538"/>
              </w:tabs>
              <w:jc w:val="both"/>
              <w:rPr>
                <w:color w:val="auto"/>
                <w:szCs w:val="24"/>
              </w:rPr>
            </w:pPr>
            <w:r>
              <w:rPr>
                <w:color w:val="auto"/>
                <w:szCs w:val="24"/>
              </w:rPr>
              <w:t>Posttraumatic Stress Disorder</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957AC3" w:rsidRDefault="00957AC3" w:rsidP="002B1C07">
            <w:pPr>
              <w:tabs>
                <w:tab w:val="left" w:pos="288"/>
                <w:tab w:val="left" w:pos="4752"/>
              </w:tabs>
              <w:rPr>
                <w:color w:val="auto"/>
                <w:szCs w:val="24"/>
              </w:rPr>
            </w:pPr>
            <w:r>
              <w:rPr>
                <w:color w:val="auto"/>
                <w:szCs w:val="24"/>
              </w:rPr>
              <w:t>9411</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957AC3" w:rsidRDefault="00957AC3" w:rsidP="002B1C07">
            <w:pPr>
              <w:tabs>
                <w:tab w:val="left" w:pos="288"/>
                <w:tab w:val="left" w:pos="4752"/>
              </w:tabs>
              <w:rPr>
                <w:color w:val="auto"/>
                <w:szCs w:val="24"/>
              </w:rPr>
            </w:pPr>
            <w:r>
              <w:rPr>
                <w:color w:val="auto"/>
                <w:szCs w:val="24"/>
              </w:rPr>
              <w:t>30%</w:t>
            </w:r>
          </w:p>
        </w:tc>
      </w:tr>
      <w:tr w:rsidR="00957AC3" w:rsidTr="002B1C07">
        <w:trPr>
          <w:gridBefore w:val="1"/>
          <w:wBefore w:w="5796" w:type="dxa"/>
          <w:trHeight w:val="188"/>
        </w:trPr>
        <w:tc>
          <w:tcPr>
            <w:tcW w:w="1710" w:type="dxa"/>
            <w:tcBorders>
              <w:top w:val="single" w:sz="4" w:space="0" w:color="000000"/>
              <w:left w:val="single" w:sz="4" w:space="0" w:color="auto"/>
              <w:bottom w:val="single" w:sz="4" w:space="0" w:color="000000"/>
              <w:right w:val="single" w:sz="4" w:space="0" w:color="000000"/>
            </w:tcBorders>
            <w:shd w:val="pct15" w:color="auto" w:fill="auto"/>
            <w:vAlign w:val="center"/>
            <w:hideMark/>
          </w:tcPr>
          <w:p w:rsidR="00957AC3" w:rsidRDefault="00957AC3" w:rsidP="002B1C07">
            <w:pPr>
              <w:tabs>
                <w:tab w:val="left" w:pos="288"/>
                <w:tab w:val="left" w:pos="4752"/>
              </w:tabs>
              <w:rPr>
                <w:b/>
                <w:color w:val="auto"/>
                <w:szCs w:val="24"/>
              </w:rPr>
            </w:pPr>
            <w:r>
              <w:rPr>
                <w:b/>
                <w:color w:val="auto"/>
                <w:szCs w:val="24"/>
              </w:rPr>
              <w:t>COMBINED</w:t>
            </w:r>
          </w:p>
        </w:tc>
        <w:tc>
          <w:tcPr>
            <w:tcW w:w="15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957AC3" w:rsidRDefault="00957AC3" w:rsidP="002B1C07">
            <w:pPr>
              <w:tabs>
                <w:tab w:val="left" w:pos="288"/>
                <w:tab w:val="left" w:pos="4752"/>
              </w:tabs>
              <w:rPr>
                <w:b/>
                <w:color w:val="auto"/>
                <w:szCs w:val="24"/>
              </w:rPr>
            </w:pPr>
            <w:r>
              <w:rPr>
                <w:b/>
                <w:color w:val="auto"/>
                <w:szCs w:val="24"/>
              </w:rPr>
              <w:t>30%</w:t>
            </w:r>
          </w:p>
        </w:tc>
      </w:tr>
    </w:tbl>
    <w:p w:rsidR="00957AC3" w:rsidRPr="0079011E" w:rsidRDefault="00957AC3" w:rsidP="00957AC3">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5154F3">
        <w:rPr>
          <w:color w:val="000000" w:themeColor="text1"/>
          <w:szCs w:val="24"/>
        </w:rPr>
        <w:t>01210</w:t>
      </w:r>
      <w:r w:rsidR="00957AC3">
        <w:rPr>
          <w:color w:val="000000" w:themeColor="text1"/>
        </w:rPr>
        <w:t>, w/</w:t>
      </w:r>
      <w:proofErr w:type="spellStart"/>
      <w:r w:rsidR="00957AC3">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Exhib</w:t>
      </w:r>
      <w:r w:rsidR="00957AC3">
        <w:rPr>
          <w:color w:val="000000" w:themeColor="text1"/>
        </w:rPr>
        <w:t>it B.  Service 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C.  Department of Veterans </w:t>
      </w:r>
      <w:r w:rsidR="00957AC3">
        <w:rPr>
          <w:color w:val="000000" w:themeColor="text1"/>
        </w:rPr>
        <w:t>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073FC1" w:rsidRDefault="00073FC1">
      <w:pPr>
        <w:rPr>
          <w:color w:val="000000" w:themeColor="text1"/>
        </w:rPr>
      </w:pPr>
      <w:r>
        <w:rPr>
          <w:color w:val="000000" w:themeColor="text1"/>
        </w:rPr>
        <w:br w:type="page"/>
      </w:r>
    </w:p>
    <w:p w:rsidR="00073FC1" w:rsidRDefault="00073FC1" w:rsidP="00073FC1">
      <w:pPr>
        <w:jc w:val="both"/>
        <w:rPr>
          <w:color w:val="000000" w:themeColor="text1"/>
        </w:rPr>
      </w:pPr>
      <w:r>
        <w:rPr>
          <w:noProof/>
          <w:color w:val="000000" w:themeColor="text1"/>
        </w:rPr>
        <w:lastRenderedPageBreak/>
        <w:drawing>
          <wp:anchor distT="0" distB="0" distL="114300" distR="114300" simplePos="0" relativeHeight="251658240" behindDoc="0" locked="0" layoutInCell="1" allowOverlap="1">
            <wp:simplePos x="933450" y="-7520940"/>
            <wp:positionH relativeFrom="margin">
              <wp:align>left</wp:align>
            </wp:positionH>
            <wp:positionV relativeFrom="margin">
              <wp:align>top</wp:align>
            </wp:positionV>
            <wp:extent cx="5939790" cy="7688580"/>
            <wp:effectExtent l="19050" t="0" r="3810" b="0"/>
            <wp:wrapSquare wrapText="bothSides"/>
            <wp:docPr id="6" name="Picture 6" descr="D:\READING room\11-073_Page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EADING room\11-073_Page_1.tiff"/>
                    <pic:cNvPicPr>
                      <a:picLocks noChangeAspect="1" noChangeArrowheads="1"/>
                    </pic:cNvPicPr>
                  </pic:nvPicPr>
                  <pic:blipFill>
                    <a:blip r:embed="rId8" cstate="print"/>
                    <a:srcRect/>
                    <a:stretch>
                      <a:fillRect/>
                    </a:stretch>
                  </pic:blipFill>
                  <pic:spPr bwMode="auto">
                    <a:xfrm>
                      <a:off x="0" y="0"/>
                      <a:ext cx="5939790" cy="7688580"/>
                    </a:xfrm>
                    <a:prstGeom prst="rect">
                      <a:avLst/>
                    </a:prstGeom>
                    <a:noFill/>
                    <a:ln w="9525">
                      <a:noFill/>
                      <a:miter lim="800000"/>
                      <a:headEnd/>
                      <a:tailEnd/>
                    </a:ln>
                  </pic:spPr>
                </pic:pic>
              </a:graphicData>
            </a:graphic>
          </wp:anchor>
        </w:drawing>
      </w:r>
    </w:p>
    <w:p w:rsidR="00114F20" w:rsidRDefault="00114F20" w:rsidP="00BF0E94">
      <w:pPr>
        <w:tabs>
          <w:tab w:val="left" w:pos="288"/>
          <w:tab w:val="left" w:pos="4752"/>
        </w:tabs>
        <w:jc w:val="both"/>
        <w:rPr>
          <w:color w:val="000000" w:themeColor="text1"/>
        </w:rPr>
      </w:pPr>
    </w:p>
    <w:p w:rsidR="00073FC1" w:rsidRDefault="00073FC1" w:rsidP="00BF0E94">
      <w:pPr>
        <w:tabs>
          <w:tab w:val="left" w:pos="288"/>
          <w:tab w:val="left" w:pos="4752"/>
        </w:tabs>
        <w:jc w:val="both"/>
        <w:rPr>
          <w:color w:val="000000" w:themeColor="text1"/>
        </w:rPr>
      </w:pPr>
    </w:p>
    <w:p w:rsidR="00073FC1" w:rsidRPr="001F29F9" w:rsidRDefault="00073FC1" w:rsidP="00BF0E94">
      <w:pPr>
        <w:tabs>
          <w:tab w:val="left" w:pos="288"/>
          <w:tab w:val="left" w:pos="4752"/>
        </w:tabs>
        <w:jc w:val="both"/>
        <w:rPr>
          <w:color w:val="000000" w:themeColor="text1"/>
        </w:rPr>
      </w:pPr>
      <w:r>
        <w:rPr>
          <w:noProof/>
          <w:color w:val="000000" w:themeColor="text1"/>
        </w:rPr>
        <w:lastRenderedPageBreak/>
        <w:drawing>
          <wp:anchor distT="0" distB="0" distL="114300" distR="114300" simplePos="0" relativeHeight="251659264" behindDoc="0" locked="0" layoutInCell="1" allowOverlap="1">
            <wp:simplePos x="933450" y="-7528560"/>
            <wp:positionH relativeFrom="margin">
              <wp:align>left</wp:align>
            </wp:positionH>
            <wp:positionV relativeFrom="margin">
              <wp:align>center</wp:align>
            </wp:positionV>
            <wp:extent cx="5947410" cy="7696200"/>
            <wp:effectExtent l="19050" t="0" r="0" b="0"/>
            <wp:wrapSquare wrapText="bothSides"/>
            <wp:docPr id="8" name="Picture 8" descr="D:\READING room\11-073_Page_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EADING room\11-073_Page_2.tiff"/>
                    <pic:cNvPicPr>
                      <a:picLocks noChangeAspect="1" noChangeArrowheads="1"/>
                    </pic:cNvPicPr>
                  </pic:nvPicPr>
                  <pic:blipFill>
                    <a:blip r:embed="rId9" cstate="print"/>
                    <a:srcRect/>
                    <a:stretch>
                      <a:fillRect/>
                    </a:stretch>
                  </pic:blipFill>
                  <pic:spPr bwMode="auto">
                    <a:xfrm>
                      <a:off x="0" y="0"/>
                      <a:ext cx="5947410" cy="7696200"/>
                    </a:xfrm>
                    <a:prstGeom prst="rect">
                      <a:avLst/>
                    </a:prstGeom>
                    <a:noFill/>
                    <a:ln w="9525">
                      <a:noFill/>
                      <a:miter lim="800000"/>
                      <a:headEnd/>
                      <a:tailEnd/>
                    </a:ln>
                  </pic:spPr>
                </pic:pic>
              </a:graphicData>
            </a:graphic>
          </wp:anchor>
        </w:drawing>
      </w:r>
    </w:p>
    <w:sectPr w:rsidR="00073FC1" w:rsidRPr="001F29F9" w:rsidSect="00E70164">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B6B" w:rsidRDefault="00C64B6B">
      <w:r>
        <w:separator/>
      </w:r>
    </w:p>
  </w:endnote>
  <w:endnote w:type="continuationSeparator" w:id="0">
    <w:p w:rsidR="00C64B6B" w:rsidRDefault="00C64B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D044BD" w:rsidRPr="00374247" w:rsidRDefault="00D044BD" w:rsidP="00374247">
        <w:pPr>
          <w:pStyle w:val="Footer"/>
          <w:ind w:firstLine="4320"/>
          <w:rPr>
            <w:color w:val="auto"/>
            <w:szCs w:val="24"/>
          </w:rPr>
        </w:pPr>
        <w:r w:rsidRPr="00374247">
          <w:rPr>
            <w:color w:val="auto"/>
            <w:szCs w:val="24"/>
          </w:rPr>
          <w:t xml:space="preserve">   </w:t>
        </w:r>
        <w:r w:rsidR="00F13EB3" w:rsidRPr="00374247">
          <w:rPr>
            <w:color w:val="auto"/>
            <w:szCs w:val="24"/>
          </w:rPr>
          <w:fldChar w:fldCharType="begin"/>
        </w:r>
        <w:r w:rsidRPr="00374247">
          <w:rPr>
            <w:color w:val="auto"/>
            <w:szCs w:val="24"/>
          </w:rPr>
          <w:instrText xml:space="preserve"> PAGE   \* MERGEFORMAT </w:instrText>
        </w:r>
        <w:r w:rsidR="00F13EB3" w:rsidRPr="00374247">
          <w:rPr>
            <w:color w:val="auto"/>
            <w:szCs w:val="24"/>
          </w:rPr>
          <w:fldChar w:fldCharType="separate"/>
        </w:r>
        <w:r w:rsidR="00073FC1" w:rsidRPr="00073FC1">
          <w:rPr>
            <w:noProof/>
            <w:color w:val="auto"/>
          </w:rPr>
          <w:t>2</w:t>
        </w:r>
        <w:r w:rsidR="00F13EB3" w:rsidRPr="00374247">
          <w:rPr>
            <w:color w:val="auto"/>
            <w:szCs w:val="24"/>
          </w:rPr>
          <w:fldChar w:fldCharType="end"/>
        </w:r>
        <w:r w:rsidRPr="00374247">
          <w:rPr>
            <w:color w:val="auto"/>
            <w:szCs w:val="24"/>
          </w:rPr>
          <w:t xml:space="preserve">                                                           </w:t>
        </w:r>
        <w:r w:rsidRPr="0079011E">
          <w:rPr>
            <w:color w:val="auto"/>
            <w:szCs w:val="24"/>
          </w:rPr>
          <w:t>PD1100</w:t>
        </w:r>
        <w:r>
          <w:rPr>
            <w:color w:val="auto"/>
            <w:szCs w:val="24"/>
          </w:rPr>
          <w:t>073</w:t>
        </w:r>
      </w:p>
    </w:sdtContent>
  </w:sdt>
  <w:p w:rsidR="00D044BD" w:rsidRPr="00684CE6" w:rsidRDefault="00D044B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B6B" w:rsidRDefault="00C64B6B">
      <w:r>
        <w:separator/>
      </w:r>
    </w:p>
  </w:footnote>
  <w:footnote w:type="continuationSeparator" w:id="0">
    <w:p w:rsidR="00C64B6B" w:rsidRDefault="00C64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6562"/>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3FC1"/>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B742F"/>
    <w:rsid w:val="000C06F6"/>
    <w:rsid w:val="000C15F8"/>
    <w:rsid w:val="000C1D34"/>
    <w:rsid w:val="000C2362"/>
    <w:rsid w:val="000C2FA8"/>
    <w:rsid w:val="000C37F3"/>
    <w:rsid w:val="000C3C13"/>
    <w:rsid w:val="000C3CC6"/>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3BE"/>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1D4D"/>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C8D"/>
    <w:rsid w:val="00242D14"/>
    <w:rsid w:val="002432F4"/>
    <w:rsid w:val="00244C55"/>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DB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546E"/>
    <w:rsid w:val="002B6FA0"/>
    <w:rsid w:val="002B7710"/>
    <w:rsid w:val="002C0DEA"/>
    <w:rsid w:val="002C34F6"/>
    <w:rsid w:val="002C3B6D"/>
    <w:rsid w:val="002C3F59"/>
    <w:rsid w:val="002C5D9D"/>
    <w:rsid w:val="002C5F10"/>
    <w:rsid w:val="002C6E5B"/>
    <w:rsid w:val="002D08F3"/>
    <w:rsid w:val="002D0DAD"/>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09E"/>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677C"/>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3FB8"/>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37E7"/>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4EA5"/>
    <w:rsid w:val="0048599A"/>
    <w:rsid w:val="00486818"/>
    <w:rsid w:val="00492536"/>
    <w:rsid w:val="0049255F"/>
    <w:rsid w:val="0049445D"/>
    <w:rsid w:val="00494D39"/>
    <w:rsid w:val="00495350"/>
    <w:rsid w:val="00495E3C"/>
    <w:rsid w:val="00496041"/>
    <w:rsid w:val="00497156"/>
    <w:rsid w:val="004A0C79"/>
    <w:rsid w:val="004A1BD3"/>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08EC"/>
    <w:rsid w:val="004D0CE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4F3"/>
    <w:rsid w:val="005157BD"/>
    <w:rsid w:val="005214A3"/>
    <w:rsid w:val="005222E7"/>
    <w:rsid w:val="00523488"/>
    <w:rsid w:val="00523A8B"/>
    <w:rsid w:val="00523E04"/>
    <w:rsid w:val="00525003"/>
    <w:rsid w:val="0052590B"/>
    <w:rsid w:val="0052592B"/>
    <w:rsid w:val="00526591"/>
    <w:rsid w:val="00527178"/>
    <w:rsid w:val="00527618"/>
    <w:rsid w:val="005278CB"/>
    <w:rsid w:val="00527CED"/>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1575"/>
    <w:rsid w:val="00583379"/>
    <w:rsid w:val="00583C63"/>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2E82"/>
    <w:rsid w:val="005D4548"/>
    <w:rsid w:val="005D4A74"/>
    <w:rsid w:val="005D5E91"/>
    <w:rsid w:val="005D67EF"/>
    <w:rsid w:val="005E3064"/>
    <w:rsid w:val="005E54DC"/>
    <w:rsid w:val="005E65DC"/>
    <w:rsid w:val="005E6AEE"/>
    <w:rsid w:val="005E72B2"/>
    <w:rsid w:val="005E79A0"/>
    <w:rsid w:val="005F097E"/>
    <w:rsid w:val="005F1115"/>
    <w:rsid w:val="005F1AB6"/>
    <w:rsid w:val="005F22B0"/>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5BA2"/>
    <w:rsid w:val="00616959"/>
    <w:rsid w:val="0062036E"/>
    <w:rsid w:val="006211D0"/>
    <w:rsid w:val="00621595"/>
    <w:rsid w:val="0062359D"/>
    <w:rsid w:val="00623634"/>
    <w:rsid w:val="00624D0C"/>
    <w:rsid w:val="0062625D"/>
    <w:rsid w:val="00626A0F"/>
    <w:rsid w:val="006274B4"/>
    <w:rsid w:val="006307BA"/>
    <w:rsid w:val="006315BA"/>
    <w:rsid w:val="00634C4A"/>
    <w:rsid w:val="0063532E"/>
    <w:rsid w:val="0063579F"/>
    <w:rsid w:val="00635998"/>
    <w:rsid w:val="006364ED"/>
    <w:rsid w:val="0063652B"/>
    <w:rsid w:val="00637063"/>
    <w:rsid w:val="0063737C"/>
    <w:rsid w:val="00637BDC"/>
    <w:rsid w:val="00640363"/>
    <w:rsid w:val="00640622"/>
    <w:rsid w:val="006418C9"/>
    <w:rsid w:val="00642BD6"/>
    <w:rsid w:val="00643C8F"/>
    <w:rsid w:val="0064452C"/>
    <w:rsid w:val="0064500F"/>
    <w:rsid w:val="00645046"/>
    <w:rsid w:val="0064527A"/>
    <w:rsid w:val="006458FD"/>
    <w:rsid w:val="00645DE8"/>
    <w:rsid w:val="00645EA2"/>
    <w:rsid w:val="00651E6D"/>
    <w:rsid w:val="00652057"/>
    <w:rsid w:val="0065237D"/>
    <w:rsid w:val="00652943"/>
    <w:rsid w:val="00653AB2"/>
    <w:rsid w:val="00653D2D"/>
    <w:rsid w:val="0065435E"/>
    <w:rsid w:val="00654551"/>
    <w:rsid w:val="00654F91"/>
    <w:rsid w:val="006555E7"/>
    <w:rsid w:val="00655CCC"/>
    <w:rsid w:val="006560B6"/>
    <w:rsid w:val="0065726D"/>
    <w:rsid w:val="006573F2"/>
    <w:rsid w:val="00661BA2"/>
    <w:rsid w:val="006623F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DEE"/>
    <w:rsid w:val="00684E2B"/>
    <w:rsid w:val="006857A0"/>
    <w:rsid w:val="00687C7E"/>
    <w:rsid w:val="00687D3D"/>
    <w:rsid w:val="00690569"/>
    <w:rsid w:val="00690FDA"/>
    <w:rsid w:val="00691E61"/>
    <w:rsid w:val="00691F0A"/>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39C5"/>
    <w:rsid w:val="006F45A0"/>
    <w:rsid w:val="006F4F06"/>
    <w:rsid w:val="006F5A4E"/>
    <w:rsid w:val="006F5D37"/>
    <w:rsid w:val="006F6005"/>
    <w:rsid w:val="006F781F"/>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4711"/>
    <w:rsid w:val="007165CE"/>
    <w:rsid w:val="00717CEB"/>
    <w:rsid w:val="00720242"/>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298C"/>
    <w:rsid w:val="00773AF7"/>
    <w:rsid w:val="00774FFD"/>
    <w:rsid w:val="00780378"/>
    <w:rsid w:val="0078085E"/>
    <w:rsid w:val="00781BD4"/>
    <w:rsid w:val="00782562"/>
    <w:rsid w:val="007828B4"/>
    <w:rsid w:val="00784832"/>
    <w:rsid w:val="00784EA0"/>
    <w:rsid w:val="00785D77"/>
    <w:rsid w:val="00786111"/>
    <w:rsid w:val="0079011E"/>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69F"/>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1FB"/>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3E52"/>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5718F"/>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97BE3"/>
    <w:rsid w:val="008A0C99"/>
    <w:rsid w:val="008A0D4F"/>
    <w:rsid w:val="008A1CC3"/>
    <w:rsid w:val="008A33A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B785A"/>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57AC3"/>
    <w:rsid w:val="00960357"/>
    <w:rsid w:val="0096168C"/>
    <w:rsid w:val="00961840"/>
    <w:rsid w:val="009625E3"/>
    <w:rsid w:val="00962F2D"/>
    <w:rsid w:val="00962FCB"/>
    <w:rsid w:val="00963A7A"/>
    <w:rsid w:val="009672CD"/>
    <w:rsid w:val="00971810"/>
    <w:rsid w:val="00972996"/>
    <w:rsid w:val="009730B4"/>
    <w:rsid w:val="0097320E"/>
    <w:rsid w:val="009732B8"/>
    <w:rsid w:val="00974647"/>
    <w:rsid w:val="00974CE3"/>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4C6B"/>
    <w:rsid w:val="009B6023"/>
    <w:rsid w:val="009B69D3"/>
    <w:rsid w:val="009B721E"/>
    <w:rsid w:val="009B7BA7"/>
    <w:rsid w:val="009B7C01"/>
    <w:rsid w:val="009C0938"/>
    <w:rsid w:val="009C0C22"/>
    <w:rsid w:val="009C15D9"/>
    <w:rsid w:val="009C1A1D"/>
    <w:rsid w:val="009C22C8"/>
    <w:rsid w:val="009C3F82"/>
    <w:rsid w:val="009C582A"/>
    <w:rsid w:val="009C5C56"/>
    <w:rsid w:val="009C6BC6"/>
    <w:rsid w:val="009C72DD"/>
    <w:rsid w:val="009C78FD"/>
    <w:rsid w:val="009C7C5E"/>
    <w:rsid w:val="009C7DE2"/>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797"/>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101"/>
    <w:rsid w:val="00A63DF3"/>
    <w:rsid w:val="00A65C78"/>
    <w:rsid w:val="00A65F67"/>
    <w:rsid w:val="00A660A8"/>
    <w:rsid w:val="00A66A45"/>
    <w:rsid w:val="00A67591"/>
    <w:rsid w:val="00A67911"/>
    <w:rsid w:val="00A67CA6"/>
    <w:rsid w:val="00A7099C"/>
    <w:rsid w:val="00A70E7B"/>
    <w:rsid w:val="00A717EA"/>
    <w:rsid w:val="00A7300A"/>
    <w:rsid w:val="00A730B0"/>
    <w:rsid w:val="00A73B84"/>
    <w:rsid w:val="00A7411D"/>
    <w:rsid w:val="00A756C4"/>
    <w:rsid w:val="00A7592B"/>
    <w:rsid w:val="00A759CF"/>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1A5"/>
    <w:rsid w:val="00AC37BE"/>
    <w:rsid w:val="00AC439D"/>
    <w:rsid w:val="00AC62CC"/>
    <w:rsid w:val="00AC713F"/>
    <w:rsid w:val="00AC7329"/>
    <w:rsid w:val="00AC7670"/>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535B"/>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5AF5"/>
    <w:rsid w:val="00B36569"/>
    <w:rsid w:val="00B37345"/>
    <w:rsid w:val="00B37F53"/>
    <w:rsid w:val="00B40A05"/>
    <w:rsid w:val="00B40A3E"/>
    <w:rsid w:val="00B427BB"/>
    <w:rsid w:val="00B43BA2"/>
    <w:rsid w:val="00B449EE"/>
    <w:rsid w:val="00B454AE"/>
    <w:rsid w:val="00B4567A"/>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14B"/>
    <w:rsid w:val="00B82277"/>
    <w:rsid w:val="00B83F87"/>
    <w:rsid w:val="00B8478F"/>
    <w:rsid w:val="00B84F93"/>
    <w:rsid w:val="00B85017"/>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0DF3"/>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5D61"/>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9A9"/>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B6B"/>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2"/>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5C0E"/>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44BD"/>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1027"/>
    <w:rsid w:val="00D71EB1"/>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3E2"/>
    <w:rsid w:val="00DD3593"/>
    <w:rsid w:val="00DD5E49"/>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27B9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3EB3"/>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14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606"/>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5C7C"/>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298F1-38CE-4696-8F87-23D3BA10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1914</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13</cp:revision>
  <cp:lastPrinted>2012-01-24T13:25:00Z</cp:lastPrinted>
  <dcterms:created xsi:type="dcterms:W3CDTF">2012-01-19T13:18:00Z</dcterms:created>
  <dcterms:modified xsi:type="dcterms:W3CDTF">2012-02-14T19:38:00Z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