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D45DD1" w:rsidRDefault="00895F4D" w:rsidP="00BF0E94">
      <w:pPr>
        <w:tabs>
          <w:tab w:val="left" w:pos="288"/>
          <w:tab w:val="left" w:pos="4752"/>
        </w:tabs>
        <w:rPr>
          <w:color w:val="000000" w:themeColor="text1"/>
        </w:rPr>
      </w:pPr>
      <w:r>
        <w:rPr>
          <w:color w:val="000000" w:themeColor="text1"/>
        </w:rPr>
        <w:t>RECO</w:t>
      </w:r>
      <w:r w:rsidR="00540BEF" w:rsidRPr="00D45DD1">
        <w:rPr>
          <w:color w:val="000000" w:themeColor="text1"/>
        </w:rPr>
        <w:t>RD OF PROCEEDINGS</w:t>
      </w:r>
    </w:p>
    <w:p w:rsidR="00540BEF" w:rsidRPr="00D45DD1" w:rsidRDefault="00540BEF" w:rsidP="00BF0E94">
      <w:pPr>
        <w:tabs>
          <w:tab w:val="left" w:pos="288"/>
          <w:tab w:val="left" w:pos="4752"/>
        </w:tabs>
        <w:rPr>
          <w:color w:val="000000" w:themeColor="text1"/>
        </w:rPr>
      </w:pPr>
      <w:r w:rsidRPr="00D45DD1">
        <w:rPr>
          <w:color w:val="000000" w:themeColor="text1"/>
        </w:rPr>
        <w:t>PHYSICAL DISABILITY BOARD OF REVIEW</w:t>
      </w:r>
    </w:p>
    <w:p w:rsidR="00540BEF" w:rsidRPr="00D45DD1" w:rsidRDefault="00540BEF" w:rsidP="00BF0E94">
      <w:pPr>
        <w:tabs>
          <w:tab w:val="left" w:pos="288"/>
          <w:tab w:val="left" w:pos="4752"/>
        </w:tabs>
        <w:jc w:val="both"/>
        <w:rPr>
          <w:caps/>
          <w:color w:val="000000" w:themeColor="text1"/>
        </w:rPr>
      </w:pPr>
    </w:p>
    <w:p w:rsidR="00E0346A" w:rsidRPr="00D45DD1" w:rsidRDefault="00F629C0" w:rsidP="00020C35">
      <w:pPr>
        <w:tabs>
          <w:tab w:val="left" w:pos="288"/>
          <w:tab w:val="right" w:pos="9180"/>
        </w:tabs>
        <w:jc w:val="both"/>
        <w:rPr>
          <w:caps/>
          <w:color w:val="000000" w:themeColor="text1"/>
        </w:rPr>
      </w:pPr>
      <w:r w:rsidRPr="00D45DD1">
        <w:rPr>
          <w:caps/>
          <w:color w:val="000000" w:themeColor="text1"/>
        </w:rPr>
        <w:t xml:space="preserve">NAME:  </w:t>
      </w:r>
      <w:r w:rsidR="00961CF7">
        <w:rPr>
          <w:caps/>
          <w:color w:val="000000" w:themeColor="text1"/>
        </w:rPr>
        <w:tab/>
      </w:r>
      <w:r w:rsidRPr="00D45DD1">
        <w:rPr>
          <w:caps/>
          <w:color w:val="000000" w:themeColor="text1"/>
        </w:rPr>
        <w:t xml:space="preserve">BRANCH OF SERVICE: </w:t>
      </w:r>
      <w:r w:rsidR="004C24C5" w:rsidRPr="00D45DD1">
        <w:rPr>
          <w:caps/>
          <w:color w:val="000000" w:themeColor="text1"/>
        </w:rPr>
        <w:t xml:space="preserve"> </w:t>
      </w:r>
      <w:r w:rsidR="00332DE3" w:rsidRPr="00D45DD1">
        <w:rPr>
          <w:caps/>
          <w:color w:val="000000" w:themeColor="text1"/>
        </w:rPr>
        <w:t xml:space="preserve">Army </w:t>
      </w:r>
    </w:p>
    <w:p w:rsidR="00DE3AAD" w:rsidRPr="00D45DD1" w:rsidRDefault="00012733" w:rsidP="00020C35">
      <w:pPr>
        <w:tabs>
          <w:tab w:val="right" w:pos="9180"/>
        </w:tabs>
        <w:jc w:val="both"/>
        <w:rPr>
          <w:caps/>
          <w:color w:val="000000" w:themeColor="text1"/>
        </w:rPr>
      </w:pPr>
      <w:r w:rsidRPr="00D45DD1">
        <w:rPr>
          <w:caps/>
          <w:color w:val="000000" w:themeColor="text1"/>
        </w:rPr>
        <w:t>C</w:t>
      </w:r>
      <w:r w:rsidR="00DE3AAD" w:rsidRPr="00D45DD1">
        <w:rPr>
          <w:caps/>
          <w:color w:val="000000" w:themeColor="text1"/>
        </w:rPr>
        <w:t>ASE NUMBER:  PD</w:t>
      </w:r>
      <w:r w:rsidR="008F58E1" w:rsidRPr="00D45DD1">
        <w:rPr>
          <w:caps/>
          <w:color w:val="000000" w:themeColor="text1"/>
        </w:rPr>
        <w:t>11</w:t>
      </w:r>
      <w:r w:rsidR="00DE3AAD" w:rsidRPr="00D45DD1">
        <w:rPr>
          <w:caps/>
          <w:color w:val="000000" w:themeColor="text1"/>
        </w:rPr>
        <w:t>00</w:t>
      </w:r>
      <w:r w:rsidR="00F814FE" w:rsidRPr="00D45DD1">
        <w:rPr>
          <w:caps/>
          <w:color w:val="000000" w:themeColor="text1"/>
        </w:rPr>
        <w:t>059</w:t>
      </w:r>
      <w:r w:rsidR="00DE3AAD" w:rsidRPr="00D45DD1">
        <w:rPr>
          <w:color w:val="000000" w:themeColor="text1"/>
        </w:rPr>
        <w:t xml:space="preserve"> </w:t>
      </w:r>
      <w:r w:rsidR="00014166" w:rsidRPr="00D45DD1">
        <w:rPr>
          <w:color w:val="000000" w:themeColor="text1"/>
        </w:rPr>
        <w:tab/>
      </w:r>
      <w:r w:rsidR="006B18A1" w:rsidRPr="00D45DD1">
        <w:rPr>
          <w:rFonts w:cs="Times New Roman"/>
          <w:color w:val="000000" w:themeColor="text1"/>
          <w:szCs w:val="24"/>
        </w:rPr>
        <w:t xml:space="preserve">DATE OF PLACEMENT ON TDRL:  </w:t>
      </w:r>
      <w:r w:rsidR="006B18A1" w:rsidRPr="00D45DD1">
        <w:rPr>
          <w:color w:val="000000" w:themeColor="text1"/>
        </w:rPr>
        <w:t>20031229</w:t>
      </w:r>
      <w:r w:rsidR="00DE3AAD" w:rsidRPr="00D45DD1">
        <w:rPr>
          <w:color w:val="000000" w:themeColor="text1"/>
        </w:rPr>
        <w:tab/>
      </w:r>
    </w:p>
    <w:p w:rsidR="003B2143" w:rsidRPr="00D45DD1" w:rsidRDefault="00E675DF" w:rsidP="00961CF7">
      <w:pPr>
        <w:tabs>
          <w:tab w:val="left" w:pos="5040"/>
        </w:tabs>
        <w:jc w:val="both"/>
        <w:rPr>
          <w:rFonts w:cs="Times New Roman"/>
          <w:caps/>
          <w:color w:val="000000" w:themeColor="text1"/>
          <w:szCs w:val="24"/>
        </w:rPr>
      </w:pPr>
      <w:r w:rsidRPr="00D45DD1">
        <w:rPr>
          <w:caps/>
          <w:color w:val="000000" w:themeColor="text1"/>
        </w:rPr>
        <w:t>BOARD DATE:  20120104</w:t>
      </w:r>
      <w:r w:rsidR="00961CF7">
        <w:rPr>
          <w:caps/>
          <w:color w:val="000000" w:themeColor="text1"/>
        </w:rPr>
        <w:tab/>
      </w:r>
    </w:p>
    <w:p w:rsidR="008E0D8F" w:rsidRPr="00D45DD1" w:rsidRDefault="00DD1B65" w:rsidP="009B721E">
      <w:pPr>
        <w:jc w:val="left"/>
        <w:rPr>
          <w:color w:val="000000" w:themeColor="text1"/>
        </w:rPr>
      </w:pPr>
      <w:r w:rsidRPr="00D45DD1">
        <w:rPr>
          <w:color w:val="000000" w:themeColor="text1"/>
        </w:rPr>
        <w:t>______________________________________________________________________________</w:t>
      </w:r>
    </w:p>
    <w:p w:rsidR="00FF4C90" w:rsidRPr="00D45DD1" w:rsidRDefault="00FF4C90" w:rsidP="00BF0E94">
      <w:pPr>
        <w:tabs>
          <w:tab w:val="left" w:pos="288"/>
          <w:tab w:val="left" w:pos="4752"/>
        </w:tabs>
        <w:jc w:val="both"/>
        <w:rPr>
          <w:color w:val="000000" w:themeColor="text1"/>
        </w:rPr>
      </w:pPr>
    </w:p>
    <w:p w:rsidR="004174F0" w:rsidRPr="00961CF7" w:rsidRDefault="00FB0E80" w:rsidP="00961CF7">
      <w:pPr>
        <w:tabs>
          <w:tab w:val="left" w:pos="288"/>
          <w:tab w:val="left" w:pos="4752"/>
        </w:tabs>
        <w:jc w:val="both"/>
        <w:rPr>
          <w:color w:val="auto"/>
        </w:rPr>
      </w:pPr>
      <w:r w:rsidRPr="00D45DD1">
        <w:rPr>
          <w:color w:val="000000" w:themeColor="text1"/>
          <w:u w:val="single"/>
        </w:rPr>
        <w:t>SUMMARY OF CASE</w:t>
      </w:r>
      <w:r w:rsidRPr="00D45DD1">
        <w:rPr>
          <w:color w:val="000000" w:themeColor="text1"/>
        </w:rPr>
        <w:t xml:space="preserve">:  </w:t>
      </w:r>
      <w:r w:rsidR="009759C2" w:rsidRPr="00D45DD1">
        <w:rPr>
          <w:color w:val="000000" w:themeColor="text1"/>
        </w:rPr>
        <w:t>Data extracted from the available evidence of record reflects that this covered individual (CI)</w:t>
      </w:r>
      <w:r w:rsidR="00570754" w:rsidRPr="00D45DD1">
        <w:rPr>
          <w:color w:val="000000" w:themeColor="text1"/>
        </w:rPr>
        <w:t xml:space="preserve"> </w:t>
      </w:r>
      <w:r w:rsidR="002C6E5B" w:rsidRPr="00D45DD1">
        <w:rPr>
          <w:color w:val="000000" w:themeColor="text1"/>
          <w:szCs w:val="24"/>
        </w:rPr>
        <w:t xml:space="preserve">was </w:t>
      </w:r>
      <w:r w:rsidR="00E322F7" w:rsidRPr="00D45DD1">
        <w:rPr>
          <w:color w:val="000000" w:themeColor="text1"/>
          <w:szCs w:val="24"/>
        </w:rPr>
        <w:t>a</w:t>
      </w:r>
      <w:r w:rsidR="00F814FE" w:rsidRPr="00D45DD1">
        <w:rPr>
          <w:color w:val="auto"/>
          <w:szCs w:val="24"/>
        </w:rPr>
        <w:t xml:space="preserve"> Nati</w:t>
      </w:r>
      <w:r w:rsidR="00961CF7">
        <w:rPr>
          <w:color w:val="auto"/>
          <w:szCs w:val="24"/>
        </w:rPr>
        <w:t>onal Guard SGT/E-5 (62E,</w:t>
      </w:r>
      <w:r w:rsidR="00F814FE" w:rsidRPr="00D45DD1">
        <w:rPr>
          <w:color w:val="auto"/>
          <w:szCs w:val="24"/>
        </w:rPr>
        <w:t xml:space="preserve"> Heavy Construction Equipment Oper</w:t>
      </w:r>
      <w:r w:rsidR="00961CF7">
        <w:rPr>
          <w:color w:val="auto"/>
          <w:szCs w:val="24"/>
        </w:rPr>
        <w:t>ator), medically separated for posttraumatic stress d</w:t>
      </w:r>
      <w:r w:rsidR="00F814FE" w:rsidRPr="00D45DD1">
        <w:rPr>
          <w:color w:val="auto"/>
          <w:szCs w:val="24"/>
        </w:rPr>
        <w:t>isorder (PTSD).  He was diagnosed with PTSD after a F</w:t>
      </w:r>
      <w:r w:rsidR="00014166" w:rsidRPr="00D45DD1">
        <w:rPr>
          <w:color w:val="auto"/>
          <w:szCs w:val="24"/>
        </w:rPr>
        <w:t>ebruary</w:t>
      </w:r>
      <w:r w:rsidR="00F814FE" w:rsidRPr="00D45DD1">
        <w:rPr>
          <w:color w:val="auto"/>
          <w:szCs w:val="24"/>
        </w:rPr>
        <w:t xml:space="preserve"> 2003 Iraq deployment.  Criterion A combat stressors were documented a</w:t>
      </w:r>
      <w:r w:rsidR="00961CF7">
        <w:rPr>
          <w:color w:val="auto"/>
          <w:szCs w:val="24"/>
        </w:rPr>
        <w:t>nd the D</w:t>
      </w:r>
      <w:r w:rsidR="00F814FE" w:rsidRPr="00D45DD1">
        <w:rPr>
          <w:color w:val="auto"/>
          <w:szCs w:val="24"/>
        </w:rPr>
        <w:t xml:space="preserve">iagnostic and Statistical Manual of Mental Disorders (DSM IV) criteria for an Axis I diagnosis of PTSD were met.  Symptoms of panic, chest pressure, </w:t>
      </w:r>
      <w:r w:rsidR="00704D61" w:rsidRPr="00D45DD1">
        <w:rPr>
          <w:color w:val="auto"/>
          <w:szCs w:val="24"/>
        </w:rPr>
        <w:t>and shortness</w:t>
      </w:r>
      <w:r w:rsidR="00F814FE" w:rsidRPr="00D45DD1">
        <w:rPr>
          <w:color w:val="auto"/>
          <w:szCs w:val="24"/>
        </w:rPr>
        <w:t xml:space="preserve"> of breath, palpations, </w:t>
      </w:r>
      <w:r w:rsidR="00704D61" w:rsidRPr="00D45DD1">
        <w:rPr>
          <w:color w:val="auto"/>
          <w:szCs w:val="24"/>
        </w:rPr>
        <w:t>and feelings</w:t>
      </w:r>
      <w:r w:rsidR="00F814FE" w:rsidRPr="00D45DD1">
        <w:rPr>
          <w:color w:val="auto"/>
          <w:szCs w:val="24"/>
        </w:rPr>
        <w:t xml:space="preserve"> of doom, flashbacks, nightmares, and avoidance began two weeks after arriving in Iraq. </w:t>
      </w:r>
      <w:r w:rsidR="00961CF7">
        <w:rPr>
          <w:color w:val="auto"/>
          <w:szCs w:val="24"/>
        </w:rPr>
        <w:t xml:space="preserve"> </w:t>
      </w:r>
      <w:r w:rsidR="00D8783B" w:rsidRPr="00D45DD1">
        <w:rPr>
          <w:color w:val="auto"/>
          <w:szCs w:val="24"/>
        </w:rPr>
        <w:t>The CI</w:t>
      </w:r>
      <w:r w:rsidR="00F814FE" w:rsidRPr="00D45DD1">
        <w:rPr>
          <w:color w:val="auto"/>
          <w:szCs w:val="24"/>
        </w:rPr>
        <w:t xml:space="preserve"> eventually transferred L</w:t>
      </w:r>
      <w:r w:rsidR="006929B3" w:rsidRPr="00D45DD1">
        <w:rPr>
          <w:color w:val="auto"/>
          <w:szCs w:val="24"/>
        </w:rPr>
        <w:t xml:space="preserve">andstuhl </w:t>
      </w:r>
      <w:r w:rsidR="00F814FE" w:rsidRPr="00D45DD1">
        <w:rPr>
          <w:color w:val="auto"/>
          <w:szCs w:val="24"/>
        </w:rPr>
        <w:t>R</w:t>
      </w:r>
      <w:r w:rsidR="006929B3" w:rsidRPr="00D45DD1">
        <w:rPr>
          <w:color w:val="auto"/>
          <w:szCs w:val="24"/>
        </w:rPr>
        <w:t xml:space="preserve">egional </w:t>
      </w:r>
      <w:r w:rsidR="00F814FE" w:rsidRPr="00D45DD1">
        <w:rPr>
          <w:color w:val="auto"/>
          <w:szCs w:val="24"/>
        </w:rPr>
        <w:t>M</w:t>
      </w:r>
      <w:r w:rsidR="006929B3" w:rsidRPr="00D45DD1">
        <w:rPr>
          <w:color w:val="auto"/>
          <w:szCs w:val="24"/>
        </w:rPr>
        <w:t xml:space="preserve">edical </w:t>
      </w:r>
      <w:r w:rsidR="00F814FE" w:rsidRPr="00D45DD1">
        <w:rPr>
          <w:color w:val="auto"/>
          <w:szCs w:val="24"/>
        </w:rPr>
        <w:t>C</w:t>
      </w:r>
      <w:r w:rsidR="006929B3" w:rsidRPr="00D45DD1">
        <w:rPr>
          <w:color w:val="auto"/>
          <w:szCs w:val="24"/>
        </w:rPr>
        <w:t>enter (LRMC)</w:t>
      </w:r>
      <w:r w:rsidR="00F814FE" w:rsidRPr="00D45DD1">
        <w:rPr>
          <w:color w:val="auto"/>
          <w:szCs w:val="24"/>
        </w:rPr>
        <w:t xml:space="preserve"> and then to Walter Reed</w:t>
      </w:r>
      <w:r w:rsidR="006929B3" w:rsidRPr="00D45DD1">
        <w:rPr>
          <w:color w:val="auto"/>
          <w:szCs w:val="24"/>
        </w:rPr>
        <w:t xml:space="preserve"> Army Medical Center (WRAMC)</w:t>
      </w:r>
      <w:r w:rsidR="00F814FE" w:rsidRPr="00D45DD1">
        <w:rPr>
          <w:color w:val="auto"/>
          <w:szCs w:val="24"/>
        </w:rPr>
        <w:t>.  He was hospitalized in August 2003 for anxiety.  The CI initially experienced these symptoms in 1991 after his return from the first Gulf War.  The symptoms were resolved after one year</w:t>
      </w:r>
      <w:r w:rsidR="00B0401E">
        <w:rPr>
          <w:color w:val="auto"/>
          <w:szCs w:val="24"/>
        </w:rPr>
        <w:t>;</w:t>
      </w:r>
      <w:r w:rsidR="00D8783B" w:rsidRPr="00D45DD1">
        <w:rPr>
          <w:color w:val="auto"/>
          <w:szCs w:val="24"/>
        </w:rPr>
        <w:t xml:space="preserve"> however</w:t>
      </w:r>
      <w:r w:rsidR="00B0401E">
        <w:rPr>
          <w:color w:val="auto"/>
          <w:szCs w:val="24"/>
        </w:rPr>
        <w:t>,</w:t>
      </w:r>
      <w:r w:rsidR="00D8783B" w:rsidRPr="00D45DD1">
        <w:rPr>
          <w:color w:val="auto"/>
          <w:szCs w:val="24"/>
        </w:rPr>
        <w:t xml:space="preserve"> the</w:t>
      </w:r>
      <w:r w:rsidR="00F814FE" w:rsidRPr="00D45DD1">
        <w:rPr>
          <w:color w:val="auto"/>
          <w:szCs w:val="24"/>
        </w:rPr>
        <w:t xml:space="preserve"> symptoms resurfaced in 1995 and were exacerbated after the death of a fellow civilian law enforcement officer.  In all cases </w:t>
      </w:r>
      <w:r w:rsidR="00D8783B" w:rsidRPr="00D45DD1">
        <w:rPr>
          <w:color w:val="auto"/>
          <w:szCs w:val="24"/>
        </w:rPr>
        <w:t>t</w:t>
      </w:r>
      <w:r w:rsidR="00F814FE" w:rsidRPr="00D45DD1">
        <w:rPr>
          <w:color w:val="auto"/>
          <w:szCs w:val="24"/>
        </w:rPr>
        <w:t>he</w:t>
      </w:r>
      <w:r w:rsidR="00D8783B" w:rsidRPr="00D45DD1">
        <w:rPr>
          <w:color w:val="auto"/>
          <w:szCs w:val="24"/>
        </w:rPr>
        <w:t xml:space="preserve"> CI</w:t>
      </w:r>
      <w:r w:rsidR="00F814FE" w:rsidRPr="00D45DD1">
        <w:rPr>
          <w:color w:val="auto"/>
          <w:szCs w:val="24"/>
        </w:rPr>
        <w:t xml:space="preserve"> was treated with medication and counseling.  He did not respond adequately to treatment and was unable to perform within his Military Occupational Specialty (MOS) or mee</w:t>
      </w:r>
      <w:r w:rsidR="00D8783B" w:rsidRPr="00D45DD1">
        <w:rPr>
          <w:color w:val="auto"/>
          <w:szCs w:val="24"/>
        </w:rPr>
        <w:t>t physical fitness standards.  The CI</w:t>
      </w:r>
      <w:r w:rsidR="00F814FE" w:rsidRPr="00D45DD1">
        <w:rPr>
          <w:color w:val="auto"/>
          <w:szCs w:val="24"/>
        </w:rPr>
        <w:t xml:space="preserve"> was issued a permanent S4 profile and underwent a Medical Evaluation Board (MEB).  </w:t>
      </w:r>
      <w:r w:rsidR="00A17628" w:rsidRPr="00D45DD1">
        <w:rPr>
          <w:color w:val="auto"/>
          <w:szCs w:val="24"/>
        </w:rPr>
        <w:t>The M</w:t>
      </w:r>
      <w:r w:rsidR="00961CF7">
        <w:rPr>
          <w:color w:val="auto"/>
          <w:szCs w:val="24"/>
        </w:rPr>
        <w:t xml:space="preserve">EB forwarded </w:t>
      </w:r>
      <w:r w:rsidR="00D717F6" w:rsidRPr="00D45DD1">
        <w:rPr>
          <w:color w:val="auto"/>
          <w:szCs w:val="24"/>
        </w:rPr>
        <w:t>PTSD</w:t>
      </w:r>
      <w:r w:rsidR="00961CF7">
        <w:rPr>
          <w:color w:val="auto"/>
          <w:szCs w:val="24"/>
        </w:rPr>
        <w:t>, chronic manifested by r</w:t>
      </w:r>
      <w:r w:rsidR="00A17628" w:rsidRPr="00D45DD1">
        <w:rPr>
          <w:color w:val="auto"/>
          <w:szCs w:val="24"/>
        </w:rPr>
        <w:t>ecurrent</w:t>
      </w:r>
      <w:r w:rsidR="00D717F6" w:rsidRPr="00D45DD1">
        <w:rPr>
          <w:color w:val="auto"/>
          <w:szCs w:val="24"/>
        </w:rPr>
        <w:t xml:space="preserve"> on DA Form 3947 </w:t>
      </w:r>
      <w:r w:rsidR="00F814FE" w:rsidRPr="00D45DD1">
        <w:rPr>
          <w:color w:val="auto"/>
          <w:szCs w:val="24"/>
        </w:rPr>
        <w:t xml:space="preserve">to the Physical Evaluation Board (PEB) as medically unacceptable IAW AR 40-501.  No other conditions appeared on the MEB’s submission.  Other conditions included in the Disability Evaluation System (DES) packet will be discussed below.  </w:t>
      </w:r>
      <w:r w:rsidR="00014166" w:rsidRPr="00D45DD1">
        <w:rPr>
          <w:color w:val="auto"/>
          <w:szCs w:val="24"/>
        </w:rPr>
        <w:t>An initial</w:t>
      </w:r>
      <w:r w:rsidR="00F814FE" w:rsidRPr="00D45DD1">
        <w:rPr>
          <w:color w:val="auto"/>
          <w:szCs w:val="24"/>
        </w:rPr>
        <w:t xml:space="preserve"> Informal PEB (IPEB) </w:t>
      </w:r>
      <w:r w:rsidR="00014166" w:rsidRPr="00D45DD1">
        <w:rPr>
          <w:color w:val="auto"/>
          <w:szCs w:val="24"/>
        </w:rPr>
        <w:t xml:space="preserve">determined the CI’s PTSD was unfitting but the level of impairment was </w:t>
      </w:r>
      <w:r w:rsidR="00C15168" w:rsidRPr="00D45DD1">
        <w:rPr>
          <w:color w:val="auto"/>
          <w:szCs w:val="24"/>
        </w:rPr>
        <w:t>unstable</w:t>
      </w:r>
      <w:r w:rsidR="00014166" w:rsidRPr="00D45DD1">
        <w:rPr>
          <w:color w:val="auto"/>
          <w:szCs w:val="24"/>
        </w:rPr>
        <w:t xml:space="preserve"> and t</w:t>
      </w:r>
      <w:r w:rsidR="00704D61" w:rsidRPr="00D45DD1">
        <w:rPr>
          <w:color w:val="auto"/>
          <w:szCs w:val="24"/>
        </w:rPr>
        <w:t>he CI</w:t>
      </w:r>
      <w:r w:rsidR="00F814FE" w:rsidRPr="00D45DD1">
        <w:rPr>
          <w:color w:val="auto"/>
          <w:szCs w:val="24"/>
        </w:rPr>
        <w:t xml:space="preserve"> was placed on Temporary Disability Retired List (TDRL)</w:t>
      </w:r>
      <w:r w:rsidR="00014166" w:rsidRPr="00D45DD1">
        <w:rPr>
          <w:color w:val="auto"/>
          <w:szCs w:val="24"/>
        </w:rPr>
        <w:t xml:space="preserve"> with a 30% rating. </w:t>
      </w:r>
      <w:r w:rsidR="00961CF7">
        <w:rPr>
          <w:color w:val="auto"/>
          <w:szCs w:val="24"/>
        </w:rPr>
        <w:t xml:space="preserve"> </w:t>
      </w:r>
      <w:r w:rsidR="00014166" w:rsidRPr="00D45DD1">
        <w:rPr>
          <w:color w:val="auto"/>
          <w:szCs w:val="24"/>
        </w:rPr>
        <w:t>A TDRL evaluation completed approximately two years after placement on the TDRL.</w:t>
      </w:r>
      <w:r w:rsidR="00F814FE" w:rsidRPr="00D45DD1">
        <w:rPr>
          <w:color w:val="auto"/>
          <w:szCs w:val="24"/>
        </w:rPr>
        <w:t xml:space="preserve">  Although the </w:t>
      </w:r>
      <w:r w:rsidR="00014166" w:rsidRPr="00D45DD1">
        <w:rPr>
          <w:color w:val="auto"/>
          <w:szCs w:val="24"/>
        </w:rPr>
        <w:t>examin</w:t>
      </w:r>
      <w:r w:rsidR="00F814FE" w:rsidRPr="00D45DD1">
        <w:rPr>
          <w:color w:val="auto"/>
          <w:szCs w:val="24"/>
        </w:rPr>
        <w:t>ing psychiatrist recommended continuation on TDRL</w:t>
      </w:r>
      <w:r w:rsidR="00014166" w:rsidRPr="00D45DD1">
        <w:rPr>
          <w:color w:val="auto"/>
          <w:szCs w:val="24"/>
        </w:rPr>
        <w:t>,</w:t>
      </w:r>
      <w:r w:rsidR="00F814FE" w:rsidRPr="00D45DD1">
        <w:rPr>
          <w:color w:val="auto"/>
          <w:szCs w:val="24"/>
        </w:rPr>
        <w:t xml:space="preserve"> the PEB determined the CI’s condition was sufficiently stable for final adjudication</w:t>
      </w:r>
      <w:r w:rsidR="00014166" w:rsidRPr="00D45DD1">
        <w:rPr>
          <w:color w:val="auto"/>
          <w:szCs w:val="24"/>
        </w:rPr>
        <w:t xml:space="preserve">. </w:t>
      </w:r>
      <w:r w:rsidR="008A2753">
        <w:rPr>
          <w:color w:val="auto"/>
          <w:szCs w:val="24"/>
        </w:rPr>
        <w:t xml:space="preserve"> </w:t>
      </w:r>
      <w:r w:rsidR="00014166" w:rsidRPr="00D45DD1">
        <w:rPr>
          <w:color w:val="auto"/>
          <w:szCs w:val="24"/>
        </w:rPr>
        <w:t>The PTSD</w:t>
      </w:r>
      <w:r w:rsidR="00D717F6" w:rsidRPr="00D45DD1">
        <w:rPr>
          <w:color w:val="auto"/>
          <w:szCs w:val="24"/>
        </w:rPr>
        <w:t xml:space="preserve"> was</w:t>
      </w:r>
      <w:r w:rsidR="00F814FE" w:rsidRPr="00D45DD1">
        <w:rPr>
          <w:color w:val="auto"/>
          <w:szCs w:val="24"/>
        </w:rPr>
        <w:t xml:space="preserve"> determined to be unfitting and rated 10%, with application of DoDI 1332.39.  </w:t>
      </w:r>
      <w:r w:rsidR="00F814FE" w:rsidRPr="00D45DD1">
        <w:rPr>
          <w:color w:val="auto"/>
        </w:rPr>
        <w:t xml:space="preserve">The CI appealed </w:t>
      </w:r>
      <w:r w:rsidR="00014166" w:rsidRPr="00D45DD1">
        <w:rPr>
          <w:color w:val="auto"/>
        </w:rPr>
        <w:t xml:space="preserve">and a </w:t>
      </w:r>
      <w:r w:rsidR="00B0401E">
        <w:rPr>
          <w:color w:val="auto"/>
        </w:rPr>
        <w:t>F</w:t>
      </w:r>
      <w:r w:rsidR="00014166" w:rsidRPr="00D45DD1">
        <w:rPr>
          <w:color w:val="auto"/>
        </w:rPr>
        <w:t>ormal PEB (</w:t>
      </w:r>
      <w:r w:rsidR="00F814FE" w:rsidRPr="00D45DD1">
        <w:rPr>
          <w:color w:val="auto"/>
        </w:rPr>
        <w:t>FPEB</w:t>
      </w:r>
      <w:r w:rsidR="00014166" w:rsidRPr="00D45DD1">
        <w:rPr>
          <w:color w:val="auto"/>
        </w:rPr>
        <w:t>)</w:t>
      </w:r>
      <w:r w:rsidR="00D717F6" w:rsidRPr="00D45DD1">
        <w:rPr>
          <w:color w:val="auto"/>
        </w:rPr>
        <w:t xml:space="preserve"> </w:t>
      </w:r>
      <w:r w:rsidR="00295095" w:rsidRPr="00D45DD1">
        <w:rPr>
          <w:color w:val="auto"/>
        </w:rPr>
        <w:t xml:space="preserve">met on </w:t>
      </w:r>
      <w:r w:rsidR="00186D1F">
        <w:rPr>
          <w:color w:val="auto"/>
        </w:rPr>
        <w:t>29</w:t>
      </w:r>
      <w:r w:rsidR="00961CF7">
        <w:rPr>
          <w:color w:val="auto"/>
        </w:rPr>
        <w:t xml:space="preserve"> December </w:t>
      </w:r>
      <w:r w:rsidR="00295095" w:rsidRPr="00D45DD1">
        <w:rPr>
          <w:color w:val="auto"/>
        </w:rPr>
        <w:t xml:space="preserve">2005 and </w:t>
      </w:r>
      <w:r w:rsidR="00D717F6" w:rsidRPr="00D45DD1">
        <w:rPr>
          <w:color w:val="auto"/>
        </w:rPr>
        <w:t xml:space="preserve">upheld the decision of the IPEB.  The CI was separated from TDRL </w:t>
      </w:r>
      <w:r w:rsidR="00F814FE" w:rsidRPr="00D45DD1">
        <w:rPr>
          <w:color w:val="auto"/>
        </w:rPr>
        <w:t xml:space="preserve">with a </w:t>
      </w:r>
      <w:r w:rsidR="009A13D9" w:rsidRPr="00D45DD1">
        <w:rPr>
          <w:color w:val="auto"/>
        </w:rPr>
        <w:t xml:space="preserve">final disability </w:t>
      </w:r>
      <w:r w:rsidR="00704D61" w:rsidRPr="00D45DD1">
        <w:rPr>
          <w:color w:val="auto"/>
        </w:rPr>
        <w:t>rating of</w:t>
      </w:r>
      <w:r w:rsidR="00610647" w:rsidRPr="00D45DD1">
        <w:rPr>
          <w:color w:val="auto"/>
        </w:rPr>
        <w:t xml:space="preserve"> </w:t>
      </w:r>
      <w:r w:rsidR="00704D61" w:rsidRPr="00D45DD1">
        <w:rPr>
          <w:color w:val="auto"/>
        </w:rPr>
        <w:t>10</w:t>
      </w:r>
      <w:r w:rsidR="00F814FE" w:rsidRPr="00D45DD1">
        <w:rPr>
          <w:color w:val="auto"/>
        </w:rPr>
        <w:t>%.</w:t>
      </w:r>
      <w:r w:rsidR="00961CF7">
        <w:rPr>
          <w:color w:val="auto"/>
        </w:rPr>
        <w:t xml:space="preserve">  </w:t>
      </w:r>
    </w:p>
    <w:p w:rsidR="00961CF7" w:rsidRPr="00D45DD1" w:rsidRDefault="00961CF7" w:rsidP="00961CF7">
      <w:pPr>
        <w:pBdr>
          <w:bottom w:val="single" w:sz="12" w:space="1" w:color="auto"/>
        </w:pBdr>
        <w:tabs>
          <w:tab w:val="left" w:pos="288"/>
          <w:tab w:val="left" w:pos="4752"/>
        </w:tabs>
        <w:jc w:val="both"/>
        <w:rPr>
          <w:color w:val="000000" w:themeColor="text1"/>
        </w:rPr>
      </w:pPr>
    </w:p>
    <w:p w:rsidR="004174F0" w:rsidRPr="00D45DD1" w:rsidRDefault="004174F0" w:rsidP="002F27EF">
      <w:pPr>
        <w:tabs>
          <w:tab w:val="left" w:pos="288"/>
          <w:tab w:val="left" w:pos="4752"/>
        </w:tabs>
        <w:jc w:val="both"/>
        <w:rPr>
          <w:color w:val="000000" w:themeColor="text1"/>
        </w:rPr>
      </w:pPr>
    </w:p>
    <w:p w:rsidR="00F814FE" w:rsidRPr="00D45DD1" w:rsidRDefault="002C6E5B" w:rsidP="002F27EF">
      <w:pPr>
        <w:tabs>
          <w:tab w:val="left" w:pos="288"/>
          <w:tab w:val="left" w:pos="4752"/>
        </w:tabs>
        <w:jc w:val="both"/>
        <w:rPr>
          <w:color w:val="auto"/>
        </w:rPr>
      </w:pPr>
      <w:r w:rsidRPr="00D45DD1">
        <w:rPr>
          <w:color w:val="000000" w:themeColor="text1"/>
          <w:u w:val="single"/>
        </w:rPr>
        <w:t>CI CONTENTION</w:t>
      </w:r>
      <w:r w:rsidRPr="00D45DD1">
        <w:rPr>
          <w:color w:val="000000" w:themeColor="text1"/>
        </w:rPr>
        <w:t>:</w:t>
      </w:r>
      <w:r w:rsidR="00F814FE" w:rsidRPr="00D45DD1">
        <w:rPr>
          <w:color w:val="auto"/>
        </w:rPr>
        <w:t xml:space="preserve"> “I was assigned less than 50% disability rating by the military for my unfitting PTSD upon discharge from active duty. … assign the highest final disability rating applicable consistent with 38 CFR 4.129 and DoD policy…” to the extent such increase will not adversely affect my total compensation, including but not limited to compensation pursuant to CRSC.”  </w:t>
      </w:r>
    </w:p>
    <w:p w:rsidR="00F814FE" w:rsidRPr="00D45DD1" w:rsidRDefault="00F814FE" w:rsidP="002F27EF">
      <w:pPr>
        <w:tabs>
          <w:tab w:val="left" w:pos="288"/>
          <w:tab w:val="left" w:pos="4752"/>
        </w:tabs>
        <w:jc w:val="both"/>
        <w:rPr>
          <w:rFonts w:eastAsia="Calibri"/>
          <w:color w:val="auto"/>
          <w:szCs w:val="24"/>
        </w:rPr>
      </w:pPr>
      <w:r w:rsidRPr="00D45DD1">
        <w:rPr>
          <w:rFonts w:eastAsiaTheme="minorHAnsi" w:cstheme="minorBidi"/>
          <w:color w:val="auto"/>
          <w:szCs w:val="24"/>
        </w:rPr>
        <w:t>He elaborates no specific contentions regarding rating or coding and mentions no additionally contended conditions.</w:t>
      </w:r>
    </w:p>
    <w:p w:rsidR="004174F0" w:rsidRPr="00D45DD1" w:rsidRDefault="004174F0" w:rsidP="002F27EF">
      <w:pPr>
        <w:pBdr>
          <w:bottom w:val="single" w:sz="12" w:space="1" w:color="auto"/>
        </w:pBdr>
        <w:tabs>
          <w:tab w:val="left" w:pos="288"/>
          <w:tab w:val="left" w:pos="4752"/>
        </w:tabs>
        <w:jc w:val="both"/>
        <w:rPr>
          <w:color w:val="000000" w:themeColor="text1"/>
        </w:rPr>
      </w:pPr>
    </w:p>
    <w:p w:rsidR="00961CF7" w:rsidRDefault="00961CF7">
      <w:pPr>
        <w:rPr>
          <w:color w:val="000000" w:themeColor="text1"/>
          <w:u w:val="single"/>
        </w:rPr>
      </w:pPr>
      <w:r>
        <w:rPr>
          <w:color w:val="000000" w:themeColor="text1"/>
          <w:u w:val="single"/>
        </w:rPr>
        <w:br w:type="page"/>
      </w:r>
    </w:p>
    <w:p w:rsidR="00F814FE" w:rsidRPr="00D45DD1" w:rsidRDefault="007F0AB7" w:rsidP="00F814FE">
      <w:pPr>
        <w:jc w:val="left"/>
        <w:rPr>
          <w:color w:val="auto"/>
        </w:rPr>
      </w:pPr>
      <w:r w:rsidRPr="00D45DD1">
        <w:rPr>
          <w:color w:val="000000" w:themeColor="text1"/>
          <w:u w:val="single"/>
        </w:rPr>
        <w:lastRenderedPageBreak/>
        <w:t>R</w:t>
      </w:r>
      <w:r w:rsidR="002C6E5B" w:rsidRPr="00D45DD1">
        <w:rPr>
          <w:color w:val="000000" w:themeColor="text1"/>
          <w:u w:val="single"/>
        </w:rPr>
        <w:t>ATING COMPARISON</w:t>
      </w:r>
      <w:r w:rsidR="00F814FE" w:rsidRPr="00D45DD1">
        <w:rPr>
          <w:color w:val="auto"/>
        </w:rPr>
        <w:t xml:space="preserve">:  </w:t>
      </w:r>
    </w:p>
    <w:p w:rsidR="00F814FE" w:rsidRPr="00D45DD1" w:rsidRDefault="00F814FE" w:rsidP="00F814FE">
      <w:pPr>
        <w:jc w:val="left"/>
        <w:rPr>
          <w:color w:val="auto"/>
        </w:rPr>
      </w:pPr>
    </w:p>
    <w:p w:rsidR="00F814FE" w:rsidRPr="00D45DD1" w:rsidRDefault="00F814FE" w:rsidP="00F814FE">
      <w:pPr>
        <w:jc w:val="left"/>
        <w:rPr>
          <w:color w:val="000000" w:themeColor="text1"/>
        </w:rPr>
      </w:pPr>
      <w:r w:rsidRPr="00D45DD1">
        <w:rPr>
          <w:color w:val="auto"/>
          <w:szCs w:val="24"/>
          <w:u w:val="single"/>
        </w:rPr>
        <w:t>TDRL Rating Chart</w:t>
      </w:r>
    </w:p>
    <w:p w:rsidR="00F814FE" w:rsidRPr="00D45DD1" w:rsidRDefault="00F814FE" w:rsidP="00F814FE">
      <w:pPr>
        <w:tabs>
          <w:tab w:val="left" w:pos="288"/>
          <w:tab w:val="left" w:pos="4752"/>
        </w:tabs>
        <w:jc w:val="both"/>
        <w:rPr>
          <w:b/>
          <w:color w:val="auto"/>
          <w:sz w:val="18"/>
          <w:szCs w:val="18"/>
          <w:u w:val="single"/>
        </w:rPr>
      </w:pPr>
    </w:p>
    <w:tbl>
      <w:tblPr>
        <w:tblW w:w="9479" w:type="dxa"/>
        <w:jc w:val="center"/>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0"/>
        <w:gridCol w:w="720"/>
        <w:gridCol w:w="720"/>
        <w:gridCol w:w="990"/>
        <w:gridCol w:w="2068"/>
        <w:gridCol w:w="990"/>
        <w:gridCol w:w="810"/>
        <w:gridCol w:w="961"/>
      </w:tblGrid>
      <w:tr w:rsidR="00F814FE" w:rsidRPr="00D45DD1" w:rsidTr="00F814FE">
        <w:trPr>
          <w:trHeight w:val="233"/>
          <w:jc w:val="center"/>
        </w:trPr>
        <w:tc>
          <w:tcPr>
            <w:tcW w:w="4650" w:type="dxa"/>
            <w:gridSpan w:val="4"/>
            <w:tcBorders>
              <w:righ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Final Service FPEB – Dated 20051213</w:t>
            </w:r>
          </w:p>
        </w:tc>
        <w:tc>
          <w:tcPr>
            <w:tcW w:w="4829" w:type="dxa"/>
            <w:gridSpan w:val="4"/>
            <w:tcBorders>
              <w:lef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VA*– All Effective 20031230</w:t>
            </w:r>
          </w:p>
        </w:tc>
      </w:tr>
      <w:tr w:rsidR="00F814FE" w:rsidRPr="00D45DD1" w:rsidTr="00F814FE">
        <w:trPr>
          <w:trHeight w:val="233"/>
          <w:jc w:val="center"/>
        </w:trPr>
        <w:tc>
          <w:tcPr>
            <w:tcW w:w="2220" w:type="dxa"/>
            <w:tcBorders>
              <w:bottom w:val="single" w:sz="4" w:space="0" w:color="000000"/>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Condition</w:t>
            </w:r>
          </w:p>
        </w:tc>
        <w:tc>
          <w:tcPr>
            <w:tcW w:w="720" w:type="dxa"/>
            <w:tcBorders>
              <w:bottom w:val="single" w:sz="4" w:space="0" w:color="000000"/>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Code</w:t>
            </w:r>
          </w:p>
        </w:tc>
        <w:tc>
          <w:tcPr>
            <w:tcW w:w="1710" w:type="dxa"/>
            <w:gridSpan w:val="2"/>
            <w:tcBorders>
              <w:bottom w:val="single" w:sz="4" w:space="0" w:color="000000"/>
              <w:righ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Rating</w:t>
            </w:r>
          </w:p>
        </w:tc>
        <w:tc>
          <w:tcPr>
            <w:tcW w:w="2068" w:type="dxa"/>
            <w:vMerge w:val="restart"/>
            <w:tcBorders>
              <w:lef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Condition</w:t>
            </w:r>
          </w:p>
        </w:tc>
        <w:tc>
          <w:tcPr>
            <w:tcW w:w="990" w:type="dxa"/>
            <w:vMerge w:val="restart"/>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Code</w:t>
            </w:r>
          </w:p>
        </w:tc>
        <w:tc>
          <w:tcPr>
            <w:tcW w:w="810" w:type="dxa"/>
            <w:vMerge w:val="restart"/>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Rating</w:t>
            </w:r>
          </w:p>
        </w:tc>
        <w:tc>
          <w:tcPr>
            <w:tcW w:w="961" w:type="dxa"/>
            <w:vMerge w:val="restart"/>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Exam</w:t>
            </w:r>
          </w:p>
        </w:tc>
      </w:tr>
      <w:tr w:rsidR="00F814FE" w:rsidRPr="00D45DD1" w:rsidTr="00F814FE">
        <w:trPr>
          <w:trHeight w:val="152"/>
          <w:jc w:val="center"/>
        </w:trPr>
        <w:tc>
          <w:tcPr>
            <w:tcW w:w="2220" w:type="dxa"/>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On TDRL – 20031107**</w:t>
            </w:r>
          </w:p>
        </w:tc>
        <w:tc>
          <w:tcPr>
            <w:tcW w:w="720" w:type="dxa"/>
            <w:shd w:val="clear" w:color="auto" w:fill="D9D9D9"/>
            <w:vAlign w:val="center"/>
          </w:tcPr>
          <w:p w:rsidR="00F814FE" w:rsidRPr="00D45DD1" w:rsidRDefault="00F814FE" w:rsidP="002E6CAE">
            <w:pPr>
              <w:spacing w:line="200" w:lineRule="exact"/>
              <w:contextualSpacing/>
              <w:rPr>
                <w:rFonts w:eastAsia="Calibri"/>
                <w:color w:val="auto"/>
                <w:sz w:val="18"/>
                <w:szCs w:val="18"/>
              </w:rPr>
            </w:pPr>
          </w:p>
        </w:tc>
        <w:tc>
          <w:tcPr>
            <w:tcW w:w="720" w:type="dxa"/>
            <w:tcBorders>
              <w:right w:val="single" w:sz="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TDRL</w:t>
            </w:r>
          </w:p>
        </w:tc>
        <w:tc>
          <w:tcPr>
            <w:tcW w:w="990" w:type="dxa"/>
            <w:tcBorders>
              <w:left w:val="single" w:sz="4" w:space="0" w:color="auto"/>
              <w:right w:val="thinThickThinSmallGap" w:sz="24" w:space="0" w:color="auto"/>
            </w:tcBorders>
            <w:shd w:val="clear" w:color="auto" w:fill="D9D9D9"/>
            <w:vAlign w:val="center"/>
          </w:tcPr>
          <w:p w:rsidR="00F814FE" w:rsidRPr="00D45DD1" w:rsidRDefault="00F814FE" w:rsidP="002E6CAE">
            <w:pPr>
              <w:tabs>
                <w:tab w:val="left" w:pos="206"/>
                <w:tab w:val="center" w:pos="387"/>
              </w:tabs>
              <w:spacing w:line="200" w:lineRule="exact"/>
              <w:contextualSpacing/>
              <w:rPr>
                <w:rFonts w:eastAsia="Calibri"/>
                <w:b/>
                <w:color w:val="auto"/>
                <w:sz w:val="18"/>
                <w:szCs w:val="18"/>
              </w:rPr>
            </w:pPr>
            <w:r w:rsidRPr="00D45DD1">
              <w:rPr>
                <w:rFonts w:eastAsia="Calibri"/>
                <w:b/>
                <w:color w:val="auto"/>
                <w:sz w:val="18"/>
                <w:szCs w:val="18"/>
              </w:rPr>
              <w:t>Sep.</w:t>
            </w:r>
          </w:p>
        </w:tc>
        <w:tc>
          <w:tcPr>
            <w:tcW w:w="2068" w:type="dxa"/>
            <w:vMerge/>
            <w:tcBorders>
              <w:lef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p>
        </w:tc>
        <w:tc>
          <w:tcPr>
            <w:tcW w:w="990" w:type="dxa"/>
            <w:vMerge/>
            <w:shd w:val="clear" w:color="auto" w:fill="C6D9F1"/>
          </w:tcPr>
          <w:p w:rsidR="00F814FE" w:rsidRPr="00D45DD1" w:rsidRDefault="00F814FE" w:rsidP="002E6CAE">
            <w:pPr>
              <w:spacing w:line="200" w:lineRule="exact"/>
              <w:contextualSpacing/>
              <w:rPr>
                <w:rFonts w:eastAsia="Calibri"/>
                <w:color w:val="auto"/>
                <w:sz w:val="18"/>
                <w:szCs w:val="18"/>
              </w:rPr>
            </w:pPr>
          </w:p>
        </w:tc>
        <w:tc>
          <w:tcPr>
            <w:tcW w:w="810" w:type="dxa"/>
            <w:vMerge/>
            <w:shd w:val="clear" w:color="auto" w:fill="C6D9F1"/>
          </w:tcPr>
          <w:p w:rsidR="00F814FE" w:rsidRPr="00D45DD1" w:rsidRDefault="00F814FE" w:rsidP="002E6CAE">
            <w:pPr>
              <w:spacing w:line="200" w:lineRule="exact"/>
              <w:contextualSpacing/>
              <w:rPr>
                <w:rFonts w:eastAsia="Calibri"/>
                <w:color w:val="auto"/>
                <w:sz w:val="18"/>
                <w:szCs w:val="18"/>
              </w:rPr>
            </w:pPr>
          </w:p>
        </w:tc>
        <w:tc>
          <w:tcPr>
            <w:tcW w:w="961" w:type="dxa"/>
            <w:vMerge/>
            <w:shd w:val="clear" w:color="auto" w:fill="C6D9F1"/>
          </w:tcPr>
          <w:p w:rsidR="00F814FE" w:rsidRPr="00D45DD1" w:rsidRDefault="00F814FE" w:rsidP="002E6CAE">
            <w:pPr>
              <w:spacing w:line="200" w:lineRule="exact"/>
              <w:contextualSpacing/>
              <w:rPr>
                <w:rFonts w:eastAsia="Calibri"/>
                <w:color w:val="auto"/>
                <w:sz w:val="18"/>
                <w:szCs w:val="18"/>
              </w:rPr>
            </w:pPr>
          </w:p>
        </w:tc>
      </w:tr>
      <w:tr w:rsidR="00F814FE" w:rsidRPr="00D45DD1" w:rsidTr="00F814FE">
        <w:trPr>
          <w:trHeight w:val="125"/>
          <w:jc w:val="center"/>
        </w:trPr>
        <w:tc>
          <w:tcPr>
            <w:tcW w:w="2220" w:type="dxa"/>
            <w:tcBorders>
              <w:right w:val="single" w:sz="4" w:space="0" w:color="auto"/>
            </w:tcBorders>
            <w:shd w:val="clear" w:color="auto" w:fill="FFFFFF"/>
          </w:tcPr>
          <w:p w:rsidR="00F814FE" w:rsidRPr="00D45DD1" w:rsidRDefault="00A17628" w:rsidP="002E6CAE">
            <w:pPr>
              <w:spacing w:line="180" w:lineRule="exact"/>
              <w:contextualSpacing/>
              <w:rPr>
                <w:rFonts w:eastAsia="Calibri"/>
                <w:color w:val="auto"/>
                <w:sz w:val="18"/>
                <w:szCs w:val="18"/>
              </w:rPr>
            </w:pPr>
            <w:r w:rsidRPr="00D45DD1">
              <w:rPr>
                <w:rFonts w:eastAsia="Calibri"/>
                <w:color w:val="auto"/>
                <w:sz w:val="18"/>
                <w:szCs w:val="18"/>
              </w:rPr>
              <w:t>PTSD, Chronic Improved</w:t>
            </w:r>
          </w:p>
        </w:tc>
        <w:tc>
          <w:tcPr>
            <w:tcW w:w="720" w:type="dxa"/>
            <w:tcBorders>
              <w:left w:val="single" w:sz="4" w:space="0" w:color="auto"/>
            </w:tcBorders>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9411</w:t>
            </w:r>
          </w:p>
        </w:tc>
        <w:tc>
          <w:tcPr>
            <w:tcW w:w="720" w:type="dxa"/>
            <w:tcBorders>
              <w:right w:val="single" w:sz="4" w:space="0" w:color="auto"/>
            </w:tcBorders>
            <w:shd w:val="clear" w:color="auto" w:fill="FFFFFF"/>
            <w:vAlign w:val="center"/>
          </w:tcPr>
          <w:p w:rsidR="00F814FE" w:rsidRPr="00D45DD1" w:rsidRDefault="00F814FE" w:rsidP="002E6CAE">
            <w:pPr>
              <w:rPr>
                <w:rFonts w:eastAsia="Calibri"/>
                <w:color w:val="auto"/>
                <w:sz w:val="18"/>
                <w:szCs w:val="18"/>
              </w:rPr>
            </w:pPr>
            <w:r w:rsidRPr="00D45DD1">
              <w:rPr>
                <w:rFonts w:eastAsia="Calibri"/>
                <w:color w:val="auto"/>
                <w:sz w:val="18"/>
                <w:szCs w:val="18"/>
              </w:rPr>
              <w:t>30%</w:t>
            </w:r>
          </w:p>
        </w:tc>
        <w:tc>
          <w:tcPr>
            <w:tcW w:w="990" w:type="dxa"/>
            <w:tcBorders>
              <w:left w:val="single" w:sz="4" w:space="0" w:color="auto"/>
              <w:right w:val="thinThickThinSmallGap" w:sz="24" w:space="0" w:color="auto"/>
            </w:tcBorders>
            <w:shd w:val="clear" w:color="auto" w:fill="FFFFFF"/>
            <w:vAlign w:val="center"/>
          </w:tcPr>
          <w:p w:rsidR="00F814FE" w:rsidRPr="00D45DD1" w:rsidRDefault="00F814FE" w:rsidP="002E6CAE">
            <w:pPr>
              <w:rPr>
                <w:rFonts w:eastAsia="Calibri"/>
                <w:color w:val="auto"/>
                <w:sz w:val="18"/>
                <w:szCs w:val="18"/>
              </w:rPr>
            </w:pPr>
            <w:r w:rsidRPr="00D45DD1">
              <w:rPr>
                <w:rFonts w:eastAsia="Calibri"/>
                <w:color w:val="auto"/>
                <w:sz w:val="18"/>
                <w:szCs w:val="18"/>
              </w:rPr>
              <w:t>10%</w:t>
            </w:r>
          </w:p>
        </w:tc>
        <w:tc>
          <w:tcPr>
            <w:tcW w:w="2068" w:type="dxa"/>
            <w:tcBorders>
              <w:left w:val="thinThickThinSmallGap" w:sz="24" w:space="0" w:color="auto"/>
            </w:tcBorders>
            <w:shd w:val="clear" w:color="auto" w:fill="FFFFFF"/>
          </w:tcPr>
          <w:p w:rsidR="00F814FE" w:rsidRPr="00D45DD1" w:rsidRDefault="00F814FE" w:rsidP="00A17628">
            <w:pPr>
              <w:spacing w:line="180" w:lineRule="exact"/>
              <w:contextualSpacing/>
              <w:jc w:val="both"/>
              <w:rPr>
                <w:rFonts w:eastAsia="Calibri"/>
                <w:color w:val="auto"/>
                <w:sz w:val="18"/>
                <w:szCs w:val="18"/>
              </w:rPr>
            </w:pPr>
            <w:r w:rsidRPr="00D45DD1">
              <w:rPr>
                <w:rFonts w:eastAsia="Calibri"/>
                <w:color w:val="auto"/>
                <w:sz w:val="18"/>
                <w:szCs w:val="18"/>
              </w:rPr>
              <w:t>P</w:t>
            </w:r>
            <w:r w:rsidR="00A17628" w:rsidRPr="00D45DD1">
              <w:rPr>
                <w:rFonts w:eastAsia="Calibri"/>
                <w:color w:val="auto"/>
                <w:sz w:val="18"/>
                <w:szCs w:val="18"/>
              </w:rPr>
              <w:t>TSD</w:t>
            </w:r>
          </w:p>
        </w:tc>
        <w:tc>
          <w:tcPr>
            <w:tcW w:w="990" w:type="dxa"/>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9411</w:t>
            </w:r>
          </w:p>
        </w:tc>
        <w:tc>
          <w:tcPr>
            <w:tcW w:w="810" w:type="dxa"/>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50%</w:t>
            </w:r>
            <w:r w:rsidR="00940A7A" w:rsidRPr="00D45DD1">
              <w:rPr>
                <w:rFonts w:eastAsia="Calibri"/>
                <w:color w:val="auto"/>
                <w:sz w:val="18"/>
                <w:szCs w:val="18"/>
              </w:rPr>
              <w:t>**</w:t>
            </w:r>
          </w:p>
        </w:tc>
        <w:tc>
          <w:tcPr>
            <w:tcW w:w="961" w:type="dxa"/>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20040126</w:t>
            </w:r>
          </w:p>
        </w:tc>
      </w:tr>
      <w:tr w:rsidR="00F814FE" w:rsidRPr="00D45DD1" w:rsidTr="00F814FE">
        <w:trPr>
          <w:trHeight w:val="188"/>
          <w:jc w:val="center"/>
        </w:trPr>
        <w:tc>
          <w:tcPr>
            <w:tcW w:w="4650" w:type="dxa"/>
            <w:gridSpan w:val="4"/>
            <w:tcBorders>
              <w:bottom w:val="single" w:sz="4" w:space="0" w:color="000000"/>
              <w:right w:val="thinThickThinSmallGap" w:sz="24" w:space="0" w:color="auto"/>
            </w:tcBorders>
            <w:shd w:val="clear" w:color="auto" w:fill="FFFFFF"/>
          </w:tcPr>
          <w:p w:rsidR="00F814FE" w:rsidRPr="00D45DD1" w:rsidRDefault="00F814FE" w:rsidP="002E6CAE">
            <w:pPr>
              <w:spacing w:line="180" w:lineRule="exact"/>
              <w:contextualSpacing/>
              <w:jc w:val="both"/>
              <w:rPr>
                <w:rFonts w:eastAsia="Calibri"/>
                <w:color w:val="auto"/>
                <w:sz w:val="18"/>
                <w:szCs w:val="18"/>
              </w:rPr>
            </w:pPr>
            <w:r w:rsidRPr="00D45DD1">
              <w:rPr>
                <w:rFonts w:eastAsia="Calibri"/>
                <w:color w:val="auto"/>
                <w:sz w:val="18"/>
                <w:szCs w:val="18"/>
              </w:rPr>
              <w:t xml:space="preserve">                           ↓No Additional MEB/PEB Entries↓</w:t>
            </w:r>
          </w:p>
        </w:tc>
        <w:tc>
          <w:tcPr>
            <w:tcW w:w="3868" w:type="dxa"/>
            <w:gridSpan w:val="3"/>
            <w:tcBorders>
              <w:left w:val="thinThickThinSmallGap" w:sz="24" w:space="0" w:color="auto"/>
              <w:bottom w:val="single" w:sz="4" w:space="0" w:color="000000"/>
            </w:tcBorders>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 xml:space="preserve">                    0% x 0/Not Service Connected x 0</w:t>
            </w:r>
          </w:p>
        </w:tc>
        <w:tc>
          <w:tcPr>
            <w:tcW w:w="961" w:type="dxa"/>
            <w:tcBorders>
              <w:bottom w:val="single" w:sz="4" w:space="0" w:color="000000"/>
            </w:tcBorders>
            <w:shd w:val="clear" w:color="auto" w:fill="FFFFFF"/>
            <w:vAlign w:val="center"/>
          </w:tcPr>
          <w:p w:rsidR="00F814FE" w:rsidRPr="00D45DD1" w:rsidRDefault="00F814FE" w:rsidP="002E6CAE">
            <w:pPr>
              <w:spacing w:line="180" w:lineRule="exact"/>
              <w:contextualSpacing/>
              <w:rPr>
                <w:rFonts w:eastAsia="Calibri"/>
                <w:color w:val="auto"/>
                <w:sz w:val="18"/>
                <w:szCs w:val="18"/>
              </w:rPr>
            </w:pPr>
            <w:r w:rsidRPr="00D45DD1">
              <w:rPr>
                <w:rFonts w:eastAsia="Calibri"/>
                <w:color w:val="auto"/>
                <w:sz w:val="18"/>
                <w:szCs w:val="18"/>
              </w:rPr>
              <w:t>20040126</w:t>
            </w:r>
          </w:p>
        </w:tc>
      </w:tr>
      <w:tr w:rsidR="00F814FE" w:rsidRPr="00D45DD1" w:rsidTr="00F814FE">
        <w:trPr>
          <w:trHeight w:val="242"/>
          <w:jc w:val="center"/>
        </w:trPr>
        <w:tc>
          <w:tcPr>
            <w:tcW w:w="4650" w:type="dxa"/>
            <w:gridSpan w:val="4"/>
            <w:tcBorders>
              <w:righ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Combined:  10%</w:t>
            </w:r>
          </w:p>
        </w:tc>
        <w:tc>
          <w:tcPr>
            <w:tcW w:w="4829" w:type="dxa"/>
            <w:gridSpan w:val="4"/>
            <w:tcBorders>
              <w:left w:val="thinThickThinSmallGap" w:sz="24" w:space="0" w:color="auto"/>
            </w:tcBorders>
            <w:shd w:val="clear" w:color="auto" w:fill="D9D9D9"/>
            <w:vAlign w:val="center"/>
          </w:tcPr>
          <w:p w:rsidR="00F814FE" w:rsidRPr="00D45DD1" w:rsidRDefault="00F814FE" w:rsidP="002E6CAE">
            <w:pPr>
              <w:spacing w:line="200" w:lineRule="exact"/>
              <w:contextualSpacing/>
              <w:rPr>
                <w:rFonts w:eastAsia="Calibri"/>
                <w:b/>
                <w:color w:val="auto"/>
                <w:sz w:val="18"/>
                <w:szCs w:val="18"/>
              </w:rPr>
            </w:pPr>
            <w:r w:rsidRPr="00D45DD1">
              <w:rPr>
                <w:rFonts w:eastAsia="Calibri"/>
                <w:b/>
                <w:color w:val="auto"/>
                <w:sz w:val="18"/>
                <w:szCs w:val="18"/>
              </w:rPr>
              <w:t>Combined:  50%</w:t>
            </w:r>
          </w:p>
        </w:tc>
      </w:tr>
    </w:tbl>
    <w:p w:rsidR="009369A6" w:rsidRPr="00D45DD1" w:rsidRDefault="00F814FE" w:rsidP="00F814FE">
      <w:pPr>
        <w:pBdr>
          <w:bottom w:val="single" w:sz="12" w:space="2" w:color="auto"/>
        </w:pBdr>
        <w:tabs>
          <w:tab w:val="left" w:pos="288"/>
          <w:tab w:val="left" w:pos="4752"/>
        </w:tabs>
        <w:jc w:val="both"/>
        <w:rPr>
          <w:color w:val="000000" w:themeColor="text1"/>
          <w:sz w:val="18"/>
          <w:szCs w:val="18"/>
        </w:rPr>
      </w:pPr>
      <w:r w:rsidRPr="00D45DD1">
        <w:rPr>
          <w:rFonts w:asciiTheme="minorHAnsi" w:hAnsiTheme="minorHAnsi"/>
          <w:color w:val="auto"/>
          <w:sz w:val="18"/>
          <w:szCs w:val="18"/>
        </w:rPr>
        <w:t>* VA rating based on exam dated 20040126.</w:t>
      </w:r>
      <w:r w:rsidRPr="00D45DD1">
        <w:rPr>
          <w:color w:val="000000" w:themeColor="text1"/>
          <w:szCs w:val="28"/>
        </w:rPr>
        <w:t xml:space="preserve"> </w:t>
      </w:r>
      <w:r w:rsidR="00940A7A" w:rsidRPr="00D45DD1">
        <w:rPr>
          <w:color w:val="000000" w:themeColor="text1"/>
          <w:sz w:val="18"/>
          <w:szCs w:val="18"/>
        </w:rPr>
        <w:t>** Increased to 100% effective 20080209 and 100% rating continued 20110304</w:t>
      </w:r>
      <w:r w:rsidR="006556BB" w:rsidRPr="00D45DD1">
        <w:rPr>
          <w:color w:val="000000" w:themeColor="text1"/>
          <w:sz w:val="18"/>
          <w:szCs w:val="18"/>
        </w:rPr>
        <w:t>.</w:t>
      </w:r>
    </w:p>
    <w:p w:rsidR="00E21BC7" w:rsidRPr="00D45DD1" w:rsidRDefault="00E21BC7" w:rsidP="00F814FE">
      <w:pPr>
        <w:pBdr>
          <w:bottom w:val="single" w:sz="12" w:space="2" w:color="auto"/>
        </w:pBdr>
        <w:tabs>
          <w:tab w:val="left" w:pos="288"/>
          <w:tab w:val="left" w:pos="4752"/>
        </w:tabs>
        <w:jc w:val="both"/>
        <w:rPr>
          <w:color w:val="000000" w:themeColor="text1"/>
        </w:rPr>
      </w:pPr>
    </w:p>
    <w:p w:rsidR="009369A6" w:rsidRPr="00D45DD1" w:rsidRDefault="009369A6" w:rsidP="009369A6">
      <w:pPr>
        <w:rPr>
          <w:color w:val="000000" w:themeColor="text1"/>
          <w:szCs w:val="24"/>
          <w:u w:val="single"/>
        </w:rPr>
      </w:pPr>
    </w:p>
    <w:p w:rsidR="002C6E5B" w:rsidRPr="00D45DD1" w:rsidRDefault="002C6E5B" w:rsidP="009369A6">
      <w:pPr>
        <w:jc w:val="left"/>
        <w:rPr>
          <w:color w:val="000000" w:themeColor="text1"/>
          <w:szCs w:val="24"/>
          <w:u w:val="single"/>
        </w:rPr>
      </w:pPr>
      <w:r w:rsidRPr="00D45DD1">
        <w:rPr>
          <w:color w:val="000000" w:themeColor="text1"/>
          <w:szCs w:val="24"/>
          <w:u w:val="single"/>
        </w:rPr>
        <w:t>ANALYSIS SUMMARY</w:t>
      </w:r>
      <w:r w:rsidRPr="00D45DD1">
        <w:rPr>
          <w:color w:val="000000" w:themeColor="text1"/>
          <w:szCs w:val="24"/>
        </w:rPr>
        <w:t>:</w:t>
      </w:r>
    </w:p>
    <w:p w:rsidR="002F6AD8" w:rsidRPr="00D45DD1" w:rsidRDefault="002F6AD8" w:rsidP="00BF0E94">
      <w:pPr>
        <w:jc w:val="left"/>
        <w:rPr>
          <w:color w:val="000000" w:themeColor="text1"/>
          <w:szCs w:val="24"/>
          <w:u w:val="single"/>
        </w:rPr>
      </w:pPr>
    </w:p>
    <w:p w:rsidR="00946C2F" w:rsidRPr="00D45DD1" w:rsidRDefault="003F2EEE" w:rsidP="00961CF7">
      <w:pPr>
        <w:jc w:val="both"/>
        <w:rPr>
          <w:rFonts w:asciiTheme="minorHAnsi" w:hAnsiTheme="minorHAnsi"/>
          <w:color w:val="auto"/>
          <w:szCs w:val="24"/>
        </w:rPr>
      </w:pPr>
      <w:r w:rsidRPr="00D45DD1">
        <w:rPr>
          <w:color w:val="000000" w:themeColor="text1"/>
          <w:szCs w:val="24"/>
          <w:u w:val="single"/>
        </w:rPr>
        <w:t>PTSD Condition</w:t>
      </w:r>
      <w:r w:rsidR="00D8783B" w:rsidRPr="00D45DD1">
        <w:rPr>
          <w:color w:val="000000" w:themeColor="text1"/>
          <w:szCs w:val="24"/>
        </w:rPr>
        <w:t>.</w:t>
      </w:r>
      <w:r w:rsidRPr="00D45DD1">
        <w:rPr>
          <w:color w:val="000000" w:themeColor="text1"/>
          <w:szCs w:val="24"/>
        </w:rPr>
        <w:t xml:space="preserve">  </w:t>
      </w:r>
      <w:r w:rsidR="00384A81" w:rsidRPr="00D45DD1">
        <w:rPr>
          <w:color w:val="000000" w:themeColor="text1"/>
          <w:szCs w:val="24"/>
        </w:rPr>
        <w:t xml:space="preserve">The CI had a long history of PTSD-like </w:t>
      </w:r>
      <w:r w:rsidR="00C15168" w:rsidRPr="00D45DD1">
        <w:rPr>
          <w:color w:val="000000" w:themeColor="text1"/>
          <w:szCs w:val="24"/>
        </w:rPr>
        <w:t>symptoms which</w:t>
      </w:r>
      <w:r w:rsidR="00384A81" w:rsidRPr="00D45DD1">
        <w:rPr>
          <w:color w:val="000000" w:themeColor="text1"/>
          <w:szCs w:val="24"/>
        </w:rPr>
        <w:t xml:space="preserve"> started in 1991</w:t>
      </w:r>
      <w:r w:rsidR="0010616A" w:rsidRPr="00D45DD1">
        <w:rPr>
          <w:color w:val="000000" w:themeColor="text1"/>
          <w:szCs w:val="24"/>
        </w:rPr>
        <w:t xml:space="preserve"> and were</w:t>
      </w:r>
      <w:r w:rsidR="00384A81" w:rsidRPr="00D45DD1">
        <w:rPr>
          <w:color w:val="000000" w:themeColor="text1"/>
          <w:szCs w:val="24"/>
        </w:rPr>
        <w:t xml:space="preserve"> exacerbated in 1995 after the death of o</w:t>
      </w:r>
      <w:r w:rsidR="0010616A" w:rsidRPr="00D45DD1">
        <w:rPr>
          <w:color w:val="000000" w:themeColor="text1"/>
          <w:szCs w:val="24"/>
        </w:rPr>
        <w:t>ne of his fellow police officer</w:t>
      </w:r>
      <w:r w:rsidR="00384A81" w:rsidRPr="00D45DD1">
        <w:rPr>
          <w:color w:val="000000" w:themeColor="text1"/>
          <w:szCs w:val="24"/>
        </w:rPr>
        <w:t>s</w:t>
      </w:r>
      <w:r w:rsidR="0010616A" w:rsidRPr="00D45DD1">
        <w:rPr>
          <w:color w:val="000000" w:themeColor="text1"/>
          <w:szCs w:val="24"/>
        </w:rPr>
        <w:t xml:space="preserve">. </w:t>
      </w:r>
      <w:r w:rsidR="00961CF7">
        <w:rPr>
          <w:color w:val="000000" w:themeColor="text1"/>
          <w:szCs w:val="24"/>
        </w:rPr>
        <w:t xml:space="preserve"> </w:t>
      </w:r>
      <w:r w:rsidR="0010616A" w:rsidRPr="00D45DD1">
        <w:rPr>
          <w:color w:val="000000" w:themeColor="text1"/>
          <w:szCs w:val="24"/>
        </w:rPr>
        <w:t>Symptoms reached</w:t>
      </w:r>
      <w:r w:rsidR="00384A81" w:rsidRPr="00D45DD1">
        <w:rPr>
          <w:color w:val="000000" w:themeColor="text1"/>
          <w:szCs w:val="24"/>
        </w:rPr>
        <w:t xml:space="preserve"> the point wh</w:t>
      </w:r>
      <w:r w:rsidR="002E6CAE" w:rsidRPr="00D45DD1">
        <w:rPr>
          <w:color w:val="000000" w:themeColor="text1"/>
          <w:szCs w:val="24"/>
        </w:rPr>
        <w:t>e</w:t>
      </w:r>
      <w:r w:rsidR="00384A81" w:rsidRPr="00D45DD1">
        <w:rPr>
          <w:color w:val="000000" w:themeColor="text1"/>
          <w:szCs w:val="24"/>
        </w:rPr>
        <w:t xml:space="preserve">re he </w:t>
      </w:r>
      <w:r w:rsidR="002E6CAE" w:rsidRPr="00D45DD1">
        <w:rPr>
          <w:color w:val="000000" w:themeColor="text1"/>
          <w:szCs w:val="24"/>
        </w:rPr>
        <w:t xml:space="preserve">would empty his pistol </w:t>
      </w:r>
      <w:r w:rsidR="00C15168" w:rsidRPr="00D45DD1">
        <w:rPr>
          <w:color w:val="000000" w:themeColor="text1"/>
          <w:szCs w:val="24"/>
        </w:rPr>
        <w:t>magazine for</w:t>
      </w:r>
      <w:r w:rsidR="002E6CAE" w:rsidRPr="00D45DD1">
        <w:rPr>
          <w:color w:val="000000" w:themeColor="text1"/>
          <w:szCs w:val="24"/>
        </w:rPr>
        <w:t xml:space="preserve"> fear he would impulsively shoot himself.</w:t>
      </w:r>
      <w:r w:rsidR="00E62EF7" w:rsidRPr="00D45DD1">
        <w:rPr>
          <w:color w:val="000000" w:themeColor="text1"/>
          <w:szCs w:val="24"/>
        </w:rPr>
        <w:t xml:space="preserve">  The symptoms remained until the CI sought </w:t>
      </w:r>
      <w:r w:rsidR="00704D61" w:rsidRPr="00D45DD1">
        <w:rPr>
          <w:color w:val="000000" w:themeColor="text1"/>
          <w:szCs w:val="24"/>
        </w:rPr>
        <w:t>psychiatric intervention</w:t>
      </w:r>
      <w:r w:rsidR="00E62EF7" w:rsidRPr="00D45DD1">
        <w:rPr>
          <w:color w:val="000000" w:themeColor="text1"/>
          <w:szCs w:val="24"/>
        </w:rPr>
        <w:t xml:space="preserve"> and was started on an antidepressant.</w:t>
      </w:r>
      <w:r w:rsidR="007A5C25" w:rsidRPr="00D45DD1">
        <w:rPr>
          <w:color w:val="000000" w:themeColor="text1"/>
          <w:szCs w:val="24"/>
        </w:rPr>
        <w:t xml:space="preserve">  He stopped the medication when he was deployed but he brought the medication with him if he needed it in Kuwait.</w:t>
      </w:r>
      <w:r w:rsidR="00961CF7">
        <w:rPr>
          <w:color w:val="000000" w:themeColor="text1"/>
          <w:szCs w:val="24"/>
        </w:rPr>
        <w:t xml:space="preserve">  </w:t>
      </w:r>
      <w:r w:rsidR="009A13D9" w:rsidRPr="00D45DD1">
        <w:rPr>
          <w:rFonts w:asciiTheme="minorHAnsi" w:hAnsiTheme="minorHAnsi"/>
          <w:color w:val="auto"/>
          <w:szCs w:val="24"/>
        </w:rPr>
        <w:t>The CI</w:t>
      </w:r>
      <w:r w:rsidR="00B04F8D" w:rsidRPr="00D45DD1">
        <w:rPr>
          <w:rFonts w:asciiTheme="minorHAnsi" w:hAnsiTheme="minorHAnsi"/>
          <w:color w:val="auto"/>
          <w:szCs w:val="24"/>
        </w:rPr>
        <w:t>’s</w:t>
      </w:r>
      <w:r w:rsidR="009A13D9" w:rsidRPr="00D45DD1">
        <w:rPr>
          <w:rFonts w:asciiTheme="minorHAnsi" w:hAnsiTheme="minorHAnsi"/>
          <w:color w:val="auto"/>
          <w:szCs w:val="24"/>
        </w:rPr>
        <w:t xml:space="preserve"> </w:t>
      </w:r>
      <w:r w:rsidR="00B04F8D" w:rsidRPr="00D45DD1">
        <w:rPr>
          <w:rFonts w:asciiTheme="minorHAnsi" w:hAnsiTheme="minorHAnsi"/>
          <w:color w:val="auto"/>
          <w:szCs w:val="24"/>
        </w:rPr>
        <w:t xml:space="preserve">PTSD symptoms </w:t>
      </w:r>
      <w:r w:rsidR="007A5C25" w:rsidRPr="00D45DD1">
        <w:rPr>
          <w:rFonts w:asciiTheme="minorHAnsi" w:hAnsiTheme="minorHAnsi"/>
          <w:color w:val="auto"/>
          <w:szCs w:val="24"/>
        </w:rPr>
        <w:t xml:space="preserve">reemerged </w:t>
      </w:r>
      <w:r w:rsidR="00B04F8D" w:rsidRPr="00D45DD1">
        <w:rPr>
          <w:rFonts w:asciiTheme="minorHAnsi" w:hAnsiTheme="minorHAnsi"/>
          <w:color w:val="auto"/>
          <w:szCs w:val="24"/>
        </w:rPr>
        <w:t xml:space="preserve">in February 2003 approximately two weeks after he deployed to Kuwait.  He endorsed symptoms of chest pressure, </w:t>
      </w:r>
      <w:r w:rsidR="00384A81" w:rsidRPr="00D45DD1">
        <w:rPr>
          <w:rFonts w:asciiTheme="minorHAnsi" w:hAnsiTheme="minorHAnsi"/>
          <w:color w:val="auto"/>
          <w:szCs w:val="24"/>
        </w:rPr>
        <w:t>shortness of breath, palpitations and feelings of impendi</w:t>
      </w:r>
      <w:r w:rsidR="007A5C25" w:rsidRPr="00D45DD1">
        <w:rPr>
          <w:rFonts w:asciiTheme="minorHAnsi" w:hAnsiTheme="minorHAnsi"/>
          <w:color w:val="auto"/>
          <w:szCs w:val="24"/>
        </w:rPr>
        <w:t xml:space="preserve">ng doom.  A worsening of </w:t>
      </w:r>
      <w:r w:rsidR="00704D61" w:rsidRPr="00D45DD1">
        <w:rPr>
          <w:rFonts w:asciiTheme="minorHAnsi" w:hAnsiTheme="minorHAnsi"/>
          <w:color w:val="auto"/>
          <w:szCs w:val="24"/>
        </w:rPr>
        <w:t>symptoms</w:t>
      </w:r>
      <w:r w:rsidR="00384A81" w:rsidRPr="00D45DD1">
        <w:rPr>
          <w:rFonts w:asciiTheme="minorHAnsi" w:hAnsiTheme="minorHAnsi"/>
          <w:color w:val="auto"/>
          <w:szCs w:val="24"/>
        </w:rPr>
        <w:t xml:space="preserve"> necessitated an evacuation</w:t>
      </w:r>
      <w:r w:rsidR="00961CF7">
        <w:rPr>
          <w:rFonts w:asciiTheme="minorHAnsi" w:hAnsiTheme="minorHAnsi"/>
          <w:color w:val="auto"/>
          <w:szCs w:val="24"/>
        </w:rPr>
        <w:t xml:space="preserve"> from t</w:t>
      </w:r>
      <w:r w:rsidR="00384A81" w:rsidRPr="00D45DD1">
        <w:rPr>
          <w:rFonts w:asciiTheme="minorHAnsi" w:hAnsiTheme="minorHAnsi"/>
          <w:color w:val="auto"/>
          <w:szCs w:val="24"/>
        </w:rPr>
        <w:t>heater</w:t>
      </w:r>
      <w:r w:rsidR="007A5C25" w:rsidRPr="00D45DD1">
        <w:rPr>
          <w:rFonts w:asciiTheme="minorHAnsi" w:hAnsiTheme="minorHAnsi"/>
          <w:color w:val="auto"/>
          <w:szCs w:val="24"/>
        </w:rPr>
        <w:t xml:space="preserve"> to LRMC where he was stabilized, diagnosed with PTS</w:t>
      </w:r>
      <w:r w:rsidR="00961CF7">
        <w:rPr>
          <w:rFonts w:asciiTheme="minorHAnsi" w:hAnsiTheme="minorHAnsi"/>
          <w:color w:val="auto"/>
          <w:szCs w:val="24"/>
        </w:rPr>
        <w:t>D and was transferred to WRAMC i</w:t>
      </w:r>
      <w:r w:rsidR="00B0401E">
        <w:rPr>
          <w:rFonts w:asciiTheme="minorHAnsi" w:hAnsiTheme="minorHAnsi"/>
          <w:color w:val="auto"/>
          <w:szCs w:val="24"/>
        </w:rPr>
        <w:t>n</w:t>
      </w:r>
      <w:r w:rsidR="007A5C25" w:rsidRPr="00D45DD1">
        <w:rPr>
          <w:rFonts w:asciiTheme="minorHAnsi" w:hAnsiTheme="minorHAnsi"/>
          <w:color w:val="auto"/>
          <w:szCs w:val="24"/>
        </w:rPr>
        <w:t xml:space="preserve">patient Psychiatry.  At the time of the MEB </w:t>
      </w:r>
      <w:r w:rsidR="002F27EF" w:rsidRPr="00D45DD1">
        <w:rPr>
          <w:rFonts w:asciiTheme="minorHAnsi" w:hAnsiTheme="minorHAnsi"/>
          <w:color w:val="auto"/>
          <w:szCs w:val="24"/>
        </w:rPr>
        <w:t>examination two</w:t>
      </w:r>
      <w:r w:rsidR="007A5C25" w:rsidRPr="00D45DD1">
        <w:rPr>
          <w:rFonts w:asciiTheme="minorHAnsi" w:hAnsiTheme="minorHAnsi"/>
          <w:color w:val="auto"/>
          <w:szCs w:val="24"/>
        </w:rPr>
        <w:t xml:space="preserve"> months prior to TDRL entry, the CI was an inpatient on a </w:t>
      </w:r>
      <w:r w:rsidR="00704D61" w:rsidRPr="00D45DD1">
        <w:rPr>
          <w:rFonts w:asciiTheme="minorHAnsi" w:hAnsiTheme="minorHAnsi"/>
          <w:color w:val="auto"/>
          <w:szCs w:val="24"/>
        </w:rPr>
        <w:t>Psychiatric</w:t>
      </w:r>
      <w:r w:rsidR="007A5C25" w:rsidRPr="00D45DD1">
        <w:rPr>
          <w:rFonts w:asciiTheme="minorHAnsi" w:hAnsiTheme="minorHAnsi"/>
          <w:color w:val="auto"/>
          <w:szCs w:val="24"/>
        </w:rPr>
        <w:t xml:space="preserve"> unit at WRAMC.  </w:t>
      </w:r>
      <w:r w:rsidR="00B206DE" w:rsidRPr="00D45DD1">
        <w:rPr>
          <w:rFonts w:asciiTheme="minorHAnsi" w:hAnsiTheme="minorHAnsi"/>
          <w:color w:val="auto"/>
          <w:szCs w:val="24"/>
        </w:rPr>
        <w:t xml:space="preserve">The CI </w:t>
      </w:r>
      <w:r w:rsidR="00C15168" w:rsidRPr="00D45DD1">
        <w:rPr>
          <w:rFonts w:asciiTheme="minorHAnsi" w:hAnsiTheme="minorHAnsi"/>
          <w:color w:val="auto"/>
          <w:szCs w:val="24"/>
        </w:rPr>
        <w:t>endorsed symptoms</w:t>
      </w:r>
      <w:r w:rsidR="00B206DE" w:rsidRPr="00D45DD1">
        <w:rPr>
          <w:rFonts w:asciiTheme="minorHAnsi" w:hAnsiTheme="minorHAnsi"/>
          <w:color w:val="auto"/>
          <w:szCs w:val="24"/>
        </w:rPr>
        <w:t xml:space="preserve"> of anxiety surrounding the event along with efforts of avoiding situations </w:t>
      </w:r>
      <w:r w:rsidR="00704D61" w:rsidRPr="00D45DD1">
        <w:rPr>
          <w:rFonts w:asciiTheme="minorHAnsi" w:hAnsiTheme="minorHAnsi"/>
          <w:color w:val="auto"/>
          <w:szCs w:val="24"/>
        </w:rPr>
        <w:t>that</w:t>
      </w:r>
      <w:r w:rsidR="00B206DE" w:rsidRPr="00D45DD1">
        <w:rPr>
          <w:rFonts w:asciiTheme="minorHAnsi" w:hAnsiTheme="minorHAnsi"/>
          <w:color w:val="auto"/>
          <w:szCs w:val="24"/>
        </w:rPr>
        <w:t xml:space="preserve"> reminded him </w:t>
      </w:r>
      <w:r w:rsidR="0058274A" w:rsidRPr="00D45DD1">
        <w:rPr>
          <w:rFonts w:asciiTheme="minorHAnsi" w:hAnsiTheme="minorHAnsi"/>
          <w:color w:val="auto"/>
          <w:szCs w:val="24"/>
        </w:rPr>
        <w:t>o</w:t>
      </w:r>
      <w:r w:rsidR="00B206DE" w:rsidRPr="00D45DD1">
        <w:rPr>
          <w:rFonts w:asciiTheme="minorHAnsi" w:hAnsiTheme="minorHAnsi"/>
          <w:color w:val="auto"/>
          <w:szCs w:val="24"/>
        </w:rPr>
        <w:t>f the ev</w:t>
      </w:r>
      <w:r w:rsidR="00D757B6" w:rsidRPr="00D45DD1">
        <w:rPr>
          <w:rFonts w:asciiTheme="minorHAnsi" w:hAnsiTheme="minorHAnsi"/>
          <w:color w:val="auto"/>
          <w:szCs w:val="24"/>
        </w:rPr>
        <w:t>ent,</w:t>
      </w:r>
      <w:r w:rsidR="0058274A" w:rsidRPr="00D45DD1">
        <w:rPr>
          <w:rFonts w:asciiTheme="minorHAnsi" w:hAnsiTheme="minorHAnsi"/>
          <w:color w:val="auto"/>
          <w:szCs w:val="24"/>
        </w:rPr>
        <w:t xml:space="preserve"> a feeling of </w:t>
      </w:r>
      <w:r w:rsidR="00704D61" w:rsidRPr="00D45DD1">
        <w:rPr>
          <w:rFonts w:asciiTheme="minorHAnsi" w:hAnsiTheme="minorHAnsi"/>
          <w:color w:val="auto"/>
          <w:szCs w:val="24"/>
        </w:rPr>
        <w:t>detachment</w:t>
      </w:r>
      <w:r w:rsidR="0058274A" w:rsidRPr="00D45DD1">
        <w:rPr>
          <w:rFonts w:asciiTheme="minorHAnsi" w:hAnsiTheme="minorHAnsi"/>
          <w:color w:val="auto"/>
          <w:szCs w:val="24"/>
        </w:rPr>
        <w:t xml:space="preserve"> with </w:t>
      </w:r>
      <w:r w:rsidR="00C15168" w:rsidRPr="00D45DD1">
        <w:rPr>
          <w:rFonts w:asciiTheme="minorHAnsi" w:hAnsiTheme="minorHAnsi"/>
          <w:color w:val="auto"/>
          <w:szCs w:val="24"/>
        </w:rPr>
        <w:t>a sense</w:t>
      </w:r>
      <w:r w:rsidR="00D757B6" w:rsidRPr="00D45DD1">
        <w:rPr>
          <w:rFonts w:asciiTheme="minorHAnsi" w:hAnsiTheme="minorHAnsi"/>
          <w:color w:val="auto"/>
          <w:szCs w:val="24"/>
        </w:rPr>
        <w:t xml:space="preserve"> of foreshortened future, difficulty staying asleep,</w:t>
      </w:r>
      <w:r w:rsidR="0058274A" w:rsidRPr="00D45DD1">
        <w:rPr>
          <w:rFonts w:asciiTheme="minorHAnsi" w:hAnsiTheme="minorHAnsi"/>
          <w:color w:val="auto"/>
          <w:szCs w:val="24"/>
        </w:rPr>
        <w:t xml:space="preserve"> difficulty concentrating </w:t>
      </w:r>
      <w:r w:rsidR="00704D61" w:rsidRPr="00D45DD1">
        <w:rPr>
          <w:rFonts w:asciiTheme="minorHAnsi" w:hAnsiTheme="minorHAnsi"/>
          <w:color w:val="auto"/>
          <w:szCs w:val="24"/>
        </w:rPr>
        <w:t>lasting</w:t>
      </w:r>
      <w:r w:rsidR="00D757B6" w:rsidRPr="00D45DD1">
        <w:rPr>
          <w:rFonts w:asciiTheme="minorHAnsi" w:hAnsiTheme="minorHAnsi"/>
          <w:color w:val="auto"/>
          <w:szCs w:val="24"/>
        </w:rPr>
        <w:t xml:space="preserve"> more than one month,</w:t>
      </w:r>
      <w:r w:rsidR="0058274A" w:rsidRPr="00D45DD1">
        <w:rPr>
          <w:rFonts w:asciiTheme="minorHAnsi" w:hAnsiTheme="minorHAnsi"/>
          <w:color w:val="auto"/>
          <w:szCs w:val="24"/>
        </w:rPr>
        <w:t xml:space="preserve"> </w:t>
      </w:r>
      <w:r w:rsidR="00D757B6" w:rsidRPr="00D45DD1">
        <w:rPr>
          <w:rFonts w:asciiTheme="minorHAnsi" w:hAnsiTheme="minorHAnsi"/>
          <w:color w:val="auto"/>
          <w:szCs w:val="24"/>
        </w:rPr>
        <w:t>hyper</w:t>
      </w:r>
      <w:r w:rsidR="00B206DE" w:rsidRPr="00D45DD1">
        <w:rPr>
          <w:rFonts w:asciiTheme="minorHAnsi" w:hAnsiTheme="minorHAnsi"/>
          <w:color w:val="auto"/>
          <w:szCs w:val="24"/>
        </w:rPr>
        <w:t>vigilance, int</w:t>
      </w:r>
      <w:r w:rsidR="00D757B6" w:rsidRPr="00D45DD1">
        <w:rPr>
          <w:rFonts w:asciiTheme="minorHAnsi" w:hAnsiTheme="minorHAnsi"/>
          <w:color w:val="auto"/>
          <w:szCs w:val="24"/>
        </w:rPr>
        <w:t>rusive recollections,</w:t>
      </w:r>
      <w:r w:rsidR="00B206DE" w:rsidRPr="00D45DD1">
        <w:rPr>
          <w:rFonts w:asciiTheme="minorHAnsi" w:hAnsiTheme="minorHAnsi"/>
          <w:color w:val="auto"/>
          <w:szCs w:val="24"/>
        </w:rPr>
        <w:t xml:space="preserve"> fair insight and </w:t>
      </w:r>
      <w:r w:rsidR="00704D61" w:rsidRPr="00D45DD1">
        <w:rPr>
          <w:rFonts w:asciiTheme="minorHAnsi" w:hAnsiTheme="minorHAnsi"/>
          <w:color w:val="auto"/>
          <w:szCs w:val="24"/>
        </w:rPr>
        <w:t>judgment</w:t>
      </w:r>
      <w:r w:rsidR="00D757B6" w:rsidRPr="00D45DD1">
        <w:rPr>
          <w:rFonts w:asciiTheme="minorHAnsi" w:hAnsiTheme="minorHAnsi"/>
          <w:color w:val="auto"/>
          <w:szCs w:val="24"/>
        </w:rPr>
        <w:t>,</w:t>
      </w:r>
      <w:r w:rsidR="0058274A" w:rsidRPr="00D45DD1">
        <w:rPr>
          <w:rFonts w:asciiTheme="minorHAnsi" w:hAnsiTheme="minorHAnsi"/>
          <w:color w:val="auto"/>
          <w:szCs w:val="24"/>
        </w:rPr>
        <w:t xml:space="preserve"> </w:t>
      </w:r>
      <w:r w:rsidR="00C15168" w:rsidRPr="00D45DD1">
        <w:rPr>
          <w:rFonts w:asciiTheme="minorHAnsi" w:hAnsiTheme="minorHAnsi"/>
          <w:color w:val="auto"/>
          <w:szCs w:val="24"/>
        </w:rPr>
        <w:t>and daily</w:t>
      </w:r>
      <w:r w:rsidR="00B206DE" w:rsidRPr="00D45DD1">
        <w:rPr>
          <w:rFonts w:asciiTheme="minorHAnsi" w:hAnsiTheme="minorHAnsi"/>
          <w:color w:val="auto"/>
          <w:szCs w:val="24"/>
        </w:rPr>
        <w:t xml:space="preserve"> panic attacks</w:t>
      </w:r>
      <w:r w:rsidR="00D757B6" w:rsidRPr="00D45DD1">
        <w:rPr>
          <w:rFonts w:asciiTheme="minorHAnsi" w:hAnsiTheme="minorHAnsi"/>
          <w:color w:val="auto"/>
          <w:szCs w:val="24"/>
        </w:rPr>
        <w:t xml:space="preserve"> </w:t>
      </w:r>
      <w:r w:rsidR="00B206DE" w:rsidRPr="00D45DD1">
        <w:rPr>
          <w:rFonts w:asciiTheme="minorHAnsi" w:hAnsiTheme="minorHAnsi"/>
          <w:color w:val="auto"/>
          <w:szCs w:val="24"/>
        </w:rPr>
        <w:t>(improved from several times a day).</w:t>
      </w:r>
      <w:r w:rsidR="00D8783B" w:rsidRPr="00D45DD1">
        <w:rPr>
          <w:rFonts w:asciiTheme="minorHAnsi" w:hAnsiTheme="minorHAnsi"/>
          <w:color w:val="auto"/>
          <w:szCs w:val="24"/>
        </w:rPr>
        <w:t xml:space="preserve"> </w:t>
      </w:r>
      <w:r w:rsidR="00B206DE" w:rsidRPr="00D45DD1">
        <w:rPr>
          <w:rFonts w:asciiTheme="minorHAnsi" w:hAnsiTheme="minorHAnsi"/>
          <w:color w:val="auto"/>
          <w:szCs w:val="24"/>
        </w:rPr>
        <w:t xml:space="preserve"> </w:t>
      </w:r>
      <w:r w:rsidR="00946C2F" w:rsidRPr="00D45DD1">
        <w:rPr>
          <w:rFonts w:asciiTheme="minorHAnsi" w:hAnsiTheme="minorHAnsi"/>
          <w:color w:val="auto"/>
          <w:szCs w:val="24"/>
        </w:rPr>
        <w:t xml:space="preserve">In the first 48 hours of admission, the CI was found </w:t>
      </w:r>
      <w:r w:rsidR="00704D61" w:rsidRPr="00D45DD1">
        <w:rPr>
          <w:rFonts w:asciiTheme="minorHAnsi" w:hAnsiTheme="minorHAnsi"/>
          <w:color w:val="auto"/>
          <w:szCs w:val="24"/>
        </w:rPr>
        <w:t>huddled</w:t>
      </w:r>
      <w:r w:rsidR="00946C2F" w:rsidRPr="00D45DD1">
        <w:rPr>
          <w:rFonts w:asciiTheme="minorHAnsi" w:hAnsiTheme="minorHAnsi"/>
          <w:color w:val="auto"/>
          <w:szCs w:val="24"/>
        </w:rPr>
        <w:t xml:space="preserve"> in a corner sobbing and he was st</w:t>
      </w:r>
      <w:r w:rsidR="004F7B0D" w:rsidRPr="00D45DD1">
        <w:rPr>
          <w:rFonts w:asciiTheme="minorHAnsi" w:hAnsiTheme="minorHAnsi"/>
          <w:color w:val="auto"/>
          <w:szCs w:val="24"/>
        </w:rPr>
        <w:t>a</w:t>
      </w:r>
      <w:r w:rsidR="00946C2F" w:rsidRPr="00D45DD1">
        <w:rPr>
          <w:rFonts w:asciiTheme="minorHAnsi" w:hAnsiTheme="minorHAnsi"/>
          <w:color w:val="auto"/>
          <w:szCs w:val="24"/>
        </w:rPr>
        <w:t>rted on medication</w:t>
      </w:r>
      <w:r w:rsidR="004F7B0D" w:rsidRPr="00D45DD1">
        <w:rPr>
          <w:rFonts w:asciiTheme="minorHAnsi" w:hAnsiTheme="minorHAnsi"/>
          <w:color w:val="auto"/>
          <w:szCs w:val="24"/>
        </w:rPr>
        <w:t xml:space="preserve"> for </w:t>
      </w:r>
      <w:r w:rsidR="00704D61" w:rsidRPr="00D45DD1">
        <w:rPr>
          <w:rFonts w:asciiTheme="minorHAnsi" w:hAnsiTheme="minorHAnsi"/>
          <w:color w:val="auto"/>
          <w:szCs w:val="24"/>
        </w:rPr>
        <w:t>depression (</w:t>
      </w:r>
      <w:r w:rsidR="004F7B0D" w:rsidRPr="00D45DD1">
        <w:rPr>
          <w:rFonts w:asciiTheme="minorHAnsi" w:hAnsiTheme="minorHAnsi"/>
          <w:color w:val="auto"/>
          <w:szCs w:val="24"/>
        </w:rPr>
        <w:t xml:space="preserve">Prozac), panic </w:t>
      </w:r>
      <w:r w:rsidR="00704D61" w:rsidRPr="00D45DD1">
        <w:rPr>
          <w:rFonts w:asciiTheme="minorHAnsi" w:hAnsiTheme="minorHAnsi"/>
          <w:color w:val="auto"/>
          <w:szCs w:val="24"/>
        </w:rPr>
        <w:t>attacks (</w:t>
      </w:r>
      <w:r w:rsidR="002F5A4D" w:rsidRPr="00D45DD1">
        <w:rPr>
          <w:rFonts w:asciiTheme="minorHAnsi" w:hAnsiTheme="minorHAnsi"/>
          <w:color w:val="auto"/>
          <w:szCs w:val="24"/>
        </w:rPr>
        <w:t>Klonopin)</w:t>
      </w:r>
      <w:r w:rsidR="004F7B0D" w:rsidRPr="00D45DD1">
        <w:rPr>
          <w:rFonts w:asciiTheme="minorHAnsi" w:hAnsiTheme="minorHAnsi"/>
          <w:color w:val="auto"/>
          <w:szCs w:val="24"/>
        </w:rPr>
        <w:t xml:space="preserve">, </w:t>
      </w:r>
      <w:r w:rsidR="00704D61" w:rsidRPr="00D45DD1">
        <w:rPr>
          <w:rFonts w:asciiTheme="minorHAnsi" w:hAnsiTheme="minorHAnsi"/>
          <w:color w:val="auto"/>
          <w:szCs w:val="24"/>
        </w:rPr>
        <w:t>psychosis (</w:t>
      </w:r>
      <w:r w:rsidR="002F5A4D" w:rsidRPr="00D45DD1">
        <w:rPr>
          <w:rFonts w:asciiTheme="minorHAnsi" w:hAnsiTheme="minorHAnsi"/>
          <w:color w:val="auto"/>
          <w:szCs w:val="24"/>
        </w:rPr>
        <w:t>Seroquel)</w:t>
      </w:r>
      <w:r w:rsidR="00D757B6" w:rsidRPr="00D45DD1">
        <w:rPr>
          <w:rFonts w:asciiTheme="minorHAnsi" w:hAnsiTheme="minorHAnsi"/>
          <w:color w:val="auto"/>
          <w:szCs w:val="24"/>
        </w:rPr>
        <w:t>,</w:t>
      </w:r>
      <w:r w:rsidR="004F7B0D" w:rsidRPr="00D45DD1">
        <w:rPr>
          <w:rFonts w:asciiTheme="minorHAnsi" w:hAnsiTheme="minorHAnsi"/>
          <w:color w:val="auto"/>
          <w:szCs w:val="24"/>
        </w:rPr>
        <w:t xml:space="preserve"> and </w:t>
      </w:r>
      <w:r w:rsidR="00704D61" w:rsidRPr="00D45DD1">
        <w:rPr>
          <w:rFonts w:asciiTheme="minorHAnsi" w:hAnsiTheme="minorHAnsi"/>
          <w:color w:val="auto"/>
          <w:szCs w:val="24"/>
        </w:rPr>
        <w:t>anxiety (</w:t>
      </w:r>
      <w:r w:rsidR="002F5A4D" w:rsidRPr="00D45DD1">
        <w:rPr>
          <w:rFonts w:asciiTheme="minorHAnsi" w:hAnsiTheme="minorHAnsi"/>
          <w:color w:val="auto"/>
          <w:szCs w:val="24"/>
        </w:rPr>
        <w:t>Ativan)</w:t>
      </w:r>
      <w:r w:rsidR="004F7B0D" w:rsidRPr="00D45DD1">
        <w:rPr>
          <w:rFonts w:asciiTheme="minorHAnsi" w:hAnsiTheme="minorHAnsi"/>
          <w:color w:val="auto"/>
          <w:szCs w:val="24"/>
        </w:rPr>
        <w:t>.</w:t>
      </w:r>
      <w:r w:rsidR="002F5A4D" w:rsidRPr="00D45DD1">
        <w:rPr>
          <w:rFonts w:asciiTheme="minorHAnsi" w:hAnsiTheme="minorHAnsi"/>
          <w:color w:val="auto"/>
          <w:szCs w:val="24"/>
        </w:rPr>
        <w:t xml:space="preserve">  </w:t>
      </w:r>
      <w:r w:rsidR="00B206DE" w:rsidRPr="00D45DD1">
        <w:rPr>
          <w:rFonts w:asciiTheme="minorHAnsi" w:hAnsiTheme="minorHAnsi"/>
          <w:color w:val="auto"/>
          <w:szCs w:val="24"/>
        </w:rPr>
        <w:t xml:space="preserve">The examiner opined </w:t>
      </w:r>
      <w:r w:rsidR="0058274A" w:rsidRPr="00D45DD1">
        <w:rPr>
          <w:rFonts w:asciiTheme="minorHAnsi" w:hAnsiTheme="minorHAnsi"/>
          <w:color w:val="auto"/>
          <w:szCs w:val="24"/>
        </w:rPr>
        <w:t>that the CI had moderate stress</w:t>
      </w:r>
      <w:r w:rsidR="002F5A4D" w:rsidRPr="00D45DD1">
        <w:rPr>
          <w:rFonts w:asciiTheme="minorHAnsi" w:hAnsiTheme="minorHAnsi"/>
          <w:color w:val="auto"/>
          <w:szCs w:val="24"/>
        </w:rPr>
        <w:t xml:space="preserve"> </w:t>
      </w:r>
      <w:r w:rsidR="0058274A" w:rsidRPr="00D45DD1">
        <w:rPr>
          <w:rFonts w:asciiTheme="minorHAnsi" w:hAnsiTheme="minorHAnsi"/>
          <w:color w:val="auto"/>
          <w:szCs w:val="24"/>
        </w:rPr>
        <w:t xml:space="preserve">with </w:t>
      </w:r>
      <w:r w:rsidR="00704D61" w:rsidRPr="00D45DD1">
        <w:rPr>
          <w:rFonts w:asciiTheme="minorHAnsi" w:hAnsiTheme="minorHAnsi"/>
          <w:color w:val="auto"/>
          <w:szCs w:val="24"/>
        </w:rPr>
        <w:t>deployment</w:t>
      </w:r>
      <w:r w:rsidR="00D757B6" w:rsidRPr="00D45DD1">
        <w:rPr>
          <w:rFonts w:asciiTheme="minorHAnsi" w:hAnsiTheme="minorHAnsi"/>
          <w:color w:val="auto"/>
          <w:szCs w:val="24"/>
        </w:rPr>
        <w:t xml:space="preserve"> to Iraq with a</w:t>
      </w:r>
      <w:r w:rsidR="0058274A" w:rsidRPr="00D45DD1">
        <w:rPr>
          <w:rFonts w:asciiTheme="minorHAnsi" w:hAnsiTheme="minorHAnsi"/>
          <w:color w:val="auto"/>
          <w:szCs w:val="24"/>
        </w:rPr>
        <w:t xml:space="preserve"> severe predisposition from being previously diagnose</w:t>
      </w:r>
      <w:r w:rsidR="00946C2F" w:rsidRPr="00D45DD1">
        <w:rPr>
          <w:rFonts w:asciiTheme="minorHAnsi" w:hAnsiTheme="minorHAnsi"/>
          <w:color w:val="auto"/>
          <w:szCs w:val="24"/>
        </w:rPr>
        <w:t>d</w:t>
      </w:r>
      <w:r w:rsidR="00D757B6" w:rsidRPr="00D45DD1">
        <w:rPr>
          <w:rFonts w:asciiTheme="minorHAnsi" w:hAnsiTheme="minorHAnsi"/>
          <w:color w:val="auto"/>
          <w:szCs w:val="24"/>
        </w:rPr>
        <w:t xml:space="preserve"> with PTSD,</w:t>
      </w:r>
      <w:r w:rsidR="0058274A" w:rsidRPr="00D45DD1">
        <w:rPr>
          <w:rFonts w:asciiTheme="minorHAnsi" w:hAnsiTheme="minorHAnsi"/>
          <w:color w:val="auto"/>
          <w:szCs w:val="24"/>
        </w:rPr>
        <w:t xml:space="preserve"> marked impairment for further military duty</w:t>
      </w:r>
      <w:r w:rsidR="00D757B6" w:rsidRPr="00D45DD1">
        <w:rPr>
          <w:rFonts w:asciiTheme="minorHAnsi" w:hAnsiTheme="minorHAnsi"/>
          <w:color w:val="auto"/>
          <w:szCs w:val="24"/>
        </w:rPr>
        <w:t>,</w:t>
      </w:r>
      <w:r w:rsidR="0058274A" w:rsidRPr="00D45DD1">
        <w:rPr>
          <w:rFonts w:asciiTheme="minorHAnsi" w:hAnsiTheme="minorHAnsi"/>
          <w:color w:val="auto"/>
          <w:szCs w:val="24"/>
        </w:rPr>
        <w:t xml:space="preserve"> and definite impairment for social and industrial </w:t>
      </w:r>
      <w:r w:rsidR="00704D61" w:rsidRPr="00D45DD1">
        <w:rPr>
          <w:rFonts w:asciiTheme="minorHAnsi" w:hAnsiTheme="minorHAnsi"/>
          <w:color w:val="auto"/>
          <w:szCs w:val="24"/>
        </w:rPr>
        <w:t>adaptability</w:t>
      </w:r>
      <w:r w:rsidR="0058274A" w:rsidRPr="00D45DD1">
        <w:rPr>
          <w:rFonts w:asciiTheme="minorHAnsi" w:hAnsiTheme="minorHAnsi"/>
          <w:color w:val="auto"/>
          <w:szCs w:val="24"/>
        </w:rPr>
        <w:t xml:space="preserve">.  The examiner further opined that the CI would have </w:t>
      </w:r>
      <w:r w:rsidR="00704D61" w:rsidRPr="00D45DD1">
        <w:rPr>
          <w:rFonts w:asciiTheme="minorHAnsi" w:hAnsiTheme="minorHAnsi"/>
          <w:color w:val="auto"/>
          <w:szCs w:val="24"/>
        </w:rPr>
        <w:t>long</w:t>
      </w:r>
      <w:r w:rsidR="0058274A" w:rsidRPr="00D45DD1">
        <w:rPr>
          <w:rFonts w:asciiTheme="minorHAnsi" w:hAnsiTheme="minorHAnsi"/>
          <w:color w:val="auto"/>
          <w:szCs w:val="24"/>
        </w:rPr>
        <w:t xml:space="preserve"> term symptoms and require medications.  The </w:t>
      </w:r>
      <w:r w:rsidR="00B0401E">
        <w:rPr>
          <w:rFonts w:asciiTheme="minorHAnsi" w:hAnsiTheme="minorHAnsi"/>
          <w:color w:val="auto"/>
          <w:szCs w:val="24"/>
        </w:rPr>
        <w:t>G</w:t>
      </w:r>
      <w:r w:rsidR="00946C2F" w:rsidRPr="00D45DD1">
        <w:rPr>
          <w:rFonts w:asciiTheme="minorHAnsi" w:hAnsiTheme="minorHAnsi"/>
          <w:color w:val="auto"/>
          <w:szCs w:val="24"/>
        </w:rPr>
        <w:t xml:space="preserve">lobal </w:t>
      </w:r>
      <w:r w:rsidR="00B0401E">
        <w:rPr>
          <w:rFonts w:asciiTheme="minorHAnsi" w:hAnsiTheme="minorHAnsi"/>
          <w:color w:val="auto"/>
          <w:szCs w:val="24"/>
        </w:rPr>
        <w:t>A</w:t>
      </w:r>
      <w:r w:rsidR="00946C2F" w:rsidRPr="00D45DD1">
        <w:rPr>
          <w:rFonts w:asciiTheme="minorHAnsi" w:hAnsiTheme="minorHAnsi"/>
          <w:color w:val="auto"/>
          <w:szCs w:val="24"/>
        </w:rPr>
        <w:t xml:space="preserve">ssessment of </w:t>
      </w:r>
      <w:r w:rsidR="00B0401E">
        <w:rPr>
          <w:rFonts w:asciiTheme="minorHAnsi" w:hAnsiTheme="minorHAnsi"/>
          <w:color w:val="auto"/>
          <w:szCs w:val="24"/>
        </w:rPr>
        <w:t>F</w:t>
      </w:r>
      <w:r w:rsidR="00946C2F" w:rsidRPr="00D45DD1">
        <w:rPr>
          <w:rFonts w:asciiTheme="minorHAnsi" w:hAnsiTheme="minorHAnsi"/>
          <w:color w:val="auto"/>
          <w:szCs w:val="24"/>
        </w:rPr>
        <w:t>unction</w:t>
      </w:r>
      <w:r w:rsidR="0058274A" w:rsidRPr="00D45DD1">
        <w:rPr>
          <w:rFonts w:asciiTheme="minorHAnsi" w:hAnsiTheme="minorHAnsi"/>
          <w:color w:val="auto"/>
          <w:szCs w:val="24"/>
        </w:rPr>
        <w:t xml:space="preserve"> </w:t>
      </w:r>
      <w:r w:rsidR="00946C2F" w:rsidRPr="00D45DD1">
        <w:rPr>
          <w:rFonts w:asciiTheme="minorHAnsi" w:hAnsiTheme="minorHAnsi"/>
          <w:color w:val="auto"/>
          <w:szCs w:val="24"/>
        </w:rPr>
        <w:t>(GAF) was 6</w:t>
      </w:r>
      <w:r w:rsidR="008A2753">
        <w:rPr>
          <w:rFonts w:asciiTheme="minorHAnsi" w:hAnsiTheme="minorHAnsi"/>
          <w:color w:val="auto"/>
          <w:szCs w:val="24"/>
        </w:rPr>
        <w:t>5 (</w:t>
      </w:r>
      <w:r w:rsidR="00946C2F" w:rsidRPr="00D45DD1">
        <w:rPr>
          <w:rFonts w:asciiTheme="minorHAnsi" w:hAnsiTheme="minorHAnsi"/>
          <w:color w:val="000000"/>
          <w:szCs w:val="24"/>
        </w:rPr>
        <w:t>some difficulty in social, occupational, or school functioning</w:t>
      </w:r>
      <w:r w:rsidR="008A2753">
        <w:rPr>
          <w:rFonts w:asciiTheme="minorHAnsi" w:hAnsiTheme="minorHAnsi"/>
          <w:color w:val="000000"/>
          <w:szCs w:val="24"/>
        </w:rPr>
        <w:t>)</w:t>
      </w:r>
      <w:r w:rsidR="00946C2F" w:rsidRPr="00D45DD1">
        <w:rPr>
          <w:rFonts w:asciiTheme="minorHAnsi" w:hAnsiTheme="minorHAnsi"/>
          <w:color w:val="000000"/>
          <w:szCs w:val="24"/>
        </w:rPr>
        <w:t xml:space="preserve"> but generally functioning pretty well, has some meaningful interpersonal relationships.</w:t>
      </w:r>
    </w:p>
    <w:p w:rsidR="00F814FE" w:rsidRPr="00D45DD1" w:rsidRDefault="00F814FE" w:rsidP="002F27EF">
      <w:pPr>
        <w:jc w:val="both"/>
        <w:rPr>
          <w:rFonts w:eastAsia="HiddenHorzOCR"/>
          <w:color w:val="000000" w:themeColor="text1"/>
          <w:szCs w:val="24"/>
          <w:u w:val="single"/>
        </w:rPr>
      </w:pPr>
    </w:p>
    <w:p w:rsidR="00E92D1C" w:rsidRPr="00D45DD1" w:rsidRDefault="00B0401E" w:rsidP="002F27EF">
      <w:pPr>
        <w:jc w:val="both"/>
        <w:rPr>
          <w:rFonts w:asciiTheme="minorHAnsi" w:hAnsiTheme="minorHAnsi"/>
          <w:color w:val="auto"/>
          <w:szCs w:val="24"/>
        </w:rPr>
      </w:pPr>
      <w:r>
        <w:rPr>
          <w:rFonts w:asciiTheme="minorHAnsi" w:hAnsiTheme="minorHAnsi"/>
          <w:color w:val="auto"/>
          <w:szCs w:val="24"/>
        </w:rPr>
        <w:t>The VA Compensation &amp; P</w:t>
      </w:r>
      <w:r w:rsidR="009A13D9" w:rsidRPr="00D45DD1">
        <w:rPr>
          <w:rFonts w:asciiTheme="minorHAnsi" w:hAnsiTheme="minorHAnsi"/>
          <w:color w:val="auto"/>
          <w:szCs w:val="24"/>
        </w:rPr>
        <w:t>ension (C&amp;P) examination</w:t>
      </w:r>
      <w:r w:rsidR="00B223A4" w:rsidRPr="00D45DD1">
        <w:rPr>
          <w:rFonts w:asciiTheme="minorHAnsi" w:hAnsiTheme="minorHAnsi"/>
          <w:color w:val="auto"/>
          <w:szCs w:val="24"/>
        </w:rPr>
        <w:t xml:space="preserve"> 23 months prior to </w:t>
      </w:r>
      <w:r w:rsidR="00940A7A" w:rsidRPr="00D45DD1">
        <w:rPr>
          <w:rFonts w:asciiTheme="minorHAnsi" w:hAnsiTheme="minorHAnsi"/>
          <w:color w:val="auto"/>
          <w:szCs w:val="24"/>
        </w:rPr>
        <w:t>the FPEB</w:t>
      </w:r>
      <w:r w:rsidR="00B223A4" w:rsidRPr="00D45DD1">
        <w:rPr>
          <w:rFonts w:asciiTheme="minorHAnsi" w:hAnsiTheme="minorHAnsi"/>
          <w:color w:val="auto"/>
          <w:szCs w:val="24"/>
        </w:rPr>
        <w:t xml:space="preserve"> </w:t>
      </w:r>
      <w:r w:rsidR="00770568" w:rsidRPr="00D45DD1">
        <w:rPr>
          <w:rFonts w:asciiTheme="minorHAnsi" w:hAnsiTheme="minorHAnsi"/>
          <w:color w:val="auto"/>
          <w:szCs w:val="24"/>
        </w:rPr>
        <w:t xml:space="preserve">documented that the CI had bad anxiety with panic attacks three to four times per week lasting about 20 minutes each; poor </w:t>
      </w:r>
      <w:r w:rsidR="00704D61" w:rsidRPr="00D45DD1">
        <w:rPr>
          <w:rFonts w:asciiTheme="minorHAnsi" w:hAnsiTheme="minorHAnsi"/>
          <w:color w:val="auto"/>
          <w:szCs w:val="24"/>
        </w:rPr>
        <w:t>concentration</w:t>
      </w:r>
      <w:r w:rsidR="00770568" w:rsidRPr="00D45DD1">
        <w:rPr>
          <w:rFonts w:asciiTheme="minorHAnsi" w:hAnsiTheme="minorHAnsi"/>
          <w:color w:val="auto"/>
          <w:szCs w:val="24"/>
        </w:rPr>
        <w:t>; poor train of thought, easily distracted, feelings of being uptight, tense and uneasiness; guilt from leaving Iraq too early on his second tour; apathy; depression;</w:t>
      </w:r>
      <w:r w:rsidR="00E92D1C" w:rsidRPr="00D45DD1">
        <w:rPr>
          <w:rFonts w:asciiTheme="minorHAnsi" w:hAnsiTheme="minorHAnsi"/>
          <w:color w:val="auto"/>
          <w:szCs w:val="24"/>
        </w:rPr>
        <w:t xml:space="preserve"> passive suicidal ideations; </w:t>
      </w:r>
      <w:r w:rsidR="00770568" w:rsidRPr="00D45DD1">
        <w:rPr>
          <w:rFonts w:asciiTheme="minorHAnsi" w:hAnsiTheme="minorHAnsi"/>
          <w:color w:val="auto"/>
          <w:szCs w:val="24"/>
        </w:rPr>
        <w:t xml:space="preserve">increased difficulty with organizing or developing a course of action at work; lack of initiation; </w:t>
      </w:r>
      <w:r w:rsidR="00D757B6" w:rsidRPr="00D45DD1">
        <w:rPr>
          <w:rFonts w:asciiTheme="minorHAnsi" w:hAnsiTheme="minorHAnsi"/>
          <w:color w:val="auto"/>
          <w:szCs w:val="24"/>
        </w:rPr>
        <w:t xml:space="preserve">and </w:t>
      </w:r>
      <w:r w:rsidR="00770568" w:rsidRPr="00D45DD1">
        <w:rPr>
          <w:rFonts w:asciiTheme="minorHAnsi" w:hAnsiTheme="minorHAnsi"/>
          <w:color w:val="auto"/>
          <w:szCs w:val="24"/>
        </w:rPr>
        <w:t>feeling pressured and wanting to end work quickly a</w:t>
      </w:r>
      <w:r w:rsidR="00D757B6" w:rsidRPr="00D45DD1">
        <w:rPr>
          <w:rFonts w:asciiTheme="minorHAnsi" w:hAnsiTheme="minorHAnsi"/>
          <w:color w:val="auto"/>
          <w:szCs w:val="24"/>
        </w:rPr>
        <w:t>t</w:t>
      </w:r>
      <w:r w:rsidR="00770568" w:rsidRPr="00D45DD1">
        <w:rPr>
          <w:rFonts w:asciiTheme="minorHAnsi" w:hAnsiTheme="minorHAnsi"/>
          <w:color w:val="auto"/>
          <w:szCs w:val="24"/>
        </w:rPr>
        <w:t xml:space="preserve"> the end of each day.  The CI’s </w:t>
      </w:r>
      <w:r w:rsidR="00791DC0" w:rsidRPr="00D45DD1">
        <w:rPr>
          <w:rFonts w:asciiTheme="minorHAnsi" w:hAnsiTheme="minorHAnsi"/>
          <w:color w:val="auto"/>
          <w:szCs w:val="24"/>
        </w:rPr>
        <w:t xml:space="preserve">affect was restricted and his </w:t>
      </w:r>
      <w:r w:rsidR="00770568" w:rsidRPr="00D45DD1">
        <w:rPr>
          <w:rFonts w:asciiTheme="minorHAnsi" w:hAnsiTheme="minorHAnsi"/>
          <w:color w:val="auto"/>
          <w:szCs w:val="24"/>
        </w:rPr>
        <w:t>mood</w:t>
      </w:r>
      <w:r w:rsidR="00791DC0" w:rsidRPr="00D45DD1">
        <w:rPr>
          <w:rFonts w:asciiTheme="minorHAnsi" w:hAnsiTheme="minorHAnsi"/>
          <w:color w:val="auto"/>
          <w:szCs w:val="24"/>
        </w:rPr>
        <w:t xml:space="preserve"> was anxious, tense, sad, and depressed.  He</w:t>
      </w:r>
      <w:r w:rsidR="00770568" w:rsidRPr="00D45DD1">
        <w:rPr>
          <w:rFonts w:asciiTheme="minorHAnsi" w:hAnsiTheme="minorHAnsi"/>
          <w:color w:val="auto"/>
          <w:szCs w:val="24"/>
        </w:rPr>
        <w:t xml:space="preserve"> </w:t>
      </w:r>
      <w:r w:rsidR="00791DC0" w:rsidRPr="00D45DD1">
        <w:rPr>
          <w:rFonts w:asciiTheme="minorHAnsi" w:hAnsiTheme="minorHAnsi"/>
          <w:color w:val="auto"/>
          <w:szCs w:val="24"/>
        </w:rPr>
        <w:t xml:space="preserve">felt paranoid most of the time and was </w:t>
      </w:r>
      <w:proofErr w:type="spellStart"/>
      <w:r w:rsidR="00D757B6" w:rsidRPr="00D45DD1">
        <w:rPr>
          <w:rFonts w:asciiTheme="minorHAnsi" w:hAnsiTheme="minorHAnsi"/>
          <w:color w:val="auto"/>
          <w:szCs w:val="24"/>
        </w:rPr>
        <w:t>hyper</w:t>
      </w:r>
      <w:r w:rsidR="002F27EF" w:rsidRPr="00D45DD1">
        <w:rPr>
          <w:rFonts w:asciiTheme="minorHAnsi" w:hAnsiTheme="minorHAnsi"/>
          <w:color w:val="auto"/>
          <w:szCs w:val="24"/>
        </w:rPr>
        <w:t>vigilant</w:t>
      </w:r>
      <w:proofErr w:type="spellEnd"/>
      <w:r w:rsidR="00791DC0" w:rsidRPr="00D45DD1">
        <w:rPr>
          <w:rFonts w:asciiTheme="minorHAnsi" w:hAnsiTheme="minorHAnsi"/>
          <w:color w:val="auto"/>
          <w:szCs w:val="24"/>
        </w:rPr>
        <w:t>.</w:t>
      </w:r>
      <w:r w:rsidR="008A2753">
        <w:rPr>
          <w:rFonts w:asciiTheme="minorHAnsi" w:hAnsiTheme="minorHAnsi"/>
          <w:color w:val="auto"/>
          <w:szCs w:val="24"/>
        </w:rPr>
        <w:t xml:space="preserve"> </w:t>
      </w:r>
      <w:r w:rsidR="00791DC0" w:rsidRPr="00D45DD1">
        <w:rPr>
          <w:rFonts w:asciiTheme="minorHAnsi" w:hAnsiTheme="minorHAnsi"/>
          <w:color w:val="auto"/>
          <w:szCs w:val="24"/>
        </w:rPr>
        <w:t xml:space="preserve"> Cognition was fair to good and short-term memory was fair. </w:t>
      </w:r>
      <w:r w:rsidR="008A2753">
        <w:rPr>
          <w:rFonts w:asciiTheme="minorHAnsi" w:hAnsiTheme="minorHAnsi"/>
          <w:color w:val="auto"/>
          <w:szCs w:val="24"/>
        </w:rPr>
        <w:t xml:space="preserve"> </w:t>
      </w:r>
      <w:r w:rsidR="00791DC0" w:rsidRPr="00D45DD1">
        <w:rPr>
          <w:rFonts w:asciiTheme="minorHAnsi" w:hAnsiTheme="minorHAnsi"/>
          <w:color w:val="auto"/>
          <w:szCs w:val="24"/>
        </w:rPr>
        <w:t xml:space="preserve">He reported chronic anxiety, worry, uneasiness, tense, and chronic depression. </w:t>
      </w:r>
      <w:r w:rsidR="008A2753">
        <w:rPr>
          <w:rFonts w:asciiTheme="minorHAnsi" w:hAnsiTheme="minorHAnsi"/>
          <w:color w:val="auto"/>
          <w:szCs w:val="24"/>
        </w:rPr>
        <w:t xml:space="preserve"> </w:t>
      </w:r>
      <w:r w:rsidR="00791DC0" w:rsidRPr="00D45DD1">
        <w:rPr>
          <w:rFonts w:asciiTheme="minorHAnsi" w:hAnsiTheme="minorHAnsi"/>
          <w:color w:val="auto"/>
          <w:szCs w:val="24"/>
        </w:rPr>
        <w:t xml:space="preserve">His anxiety sometimes drove him crazy and lead to feelings of frustration </w:t>
      </w:r>
      <w:r w:rsidR="002F27EF" w:rsidRPr="00D45DD1">
        <w:rPr>
          <w:rFonts w:asciiTheme="minorHAnsi" w:hAnsiTheme="minorHAnsi"/>
          <w:color w:val="auto"/>
          <w:szCs w:val="24"/>
        </w:rPr>
        <w:t>and helplessness</w:t>
      </w:r>
      <w:r w:rsidR="00791DC0" w:rsidRPr="00D45DD1">
        <w:rPr>
          <w:rFonts w:asciiTheme="minorHAnsi" w:hAnsiTheme="minorHAnsi"/>
          <w:color w:val="auto"/>
          <w:szCs w:val="24"/>
        </w:rPr>
        <w:t xml:space="preserve"> and a fear of losing control.  He continued to have problems sleeping, nightmares, social avoidance, </w:t>
      </w:r>
      <w:r w:rsidR="00D757B6" w:rsidRPr="00D45DD1">
        <w:rPr>
          <w:rFonts w:asciiTheme="minorHAnsi" w:hAnsiTheme="minorHAnsi"/>
          <w:color w:val="auto"/>
          <w:szCs w:val="24"/>
        </w:rPr>
        <w:t>and hyper</w:t>
      </w:r>
      <w:r w:rsidR="002F27EF" w:rsidRPr="00D45DD1">
        <w:rPr>
          <w:rFonts w:asciiTheme="minorHAnsi" w:hAnsiTheme="minorHAnsi"/>
          <w:color w:val="auto"/>
          <w:szCs w:val="24"/>
        </w:rPr>
        <w:t>startle</w:t>
      </w:r>
      <w:r w:rsidR="00791DC0" w:rsidRPr="00D45DD1">
        <w:rPr>
          <w:rFonts w:asciiTheme="minorHAnsi" w:hAnsiTheme="minorHAnsi"/>
          <w:color w:val="auto"/>
          <w:szCs w:val="24"/>
        </w:rPr>
        <w:t xml:space="preserve"> response to loud noises, poor concentration, attention, and short term memory. </w:t>
      </w:r>
      <w:r w:rsidR="008A2753">
        <w:rPr>
          <w:rFonts w:asciiTheme="minorHAnsi" w:hAnsiTheme="minorHAnsi"/>
          <w:color w:val="auto"/>
          <w:szCs w:val="24"/>
        </w:rPr>
        <w:t xml:space="preserve"> </w:t>
      </w:r>
      <w:r w:rsidR="00791DC0" w:rsidRPr="00D45DD1">
        <w:rPr>
          <w:rFonts w:asciiTheme="minorHAnsi" w:hAnsiTheme="minorHAnsi"/>
          <w:color w:val="auto"/>
          <w:szCs w:val="24"/>
        </w:rPr>
        <w:t xml:space="preserve">He had difficulty functioning at work and </w:t>
      </w:r>
      <w:r w:rsidR="00791DC0" w:rsidRPr="00D45DD1">
        <w:rPr>
          <w:rFonts w:asciiTheme="minorHAnsi" w:hAnsiTheme="minorHAnsi"/>
          <w:color w:val="auto"/>
          <w:szCs w:val="24"/>
        </w:rPr>
        <w:lastRenderedPageBreak/>
        <w:t>was afraid he might have a panic attack at work.</w:t>
      </w:r>
      <w:r w:rsidR="008A2753">
        <w:rPr>
          <w:rFonts w:asciiTheme="minorHAnsi" w:hAnsiTheme="minorHAnsi"/>
          <w:color w:val="auto"/>
          <w:szCs w:val="24"/>
        </w:rPr>
        <w:t xml:space="preserve"> </w:t>
      </w:r>
      <w:r w:rsidR="00791DC0" w:rsidRPr="00D45DD1">
        <w:rPr>
          <w:rFonts w:asciiTheme="minorHAnsi" w:hAnsiTheme="minorHAnsi"/>
          <w:color w:val="auto"/>
          <w:szCs w:val="24"/>
        </w:rPr>
        <w:t xml:space="preserve"> </w:t>
      </w:r>
      <w:r w:rsidR="00D757B6" w:rsidRPr="00D45DD1">
        <w:rPr>
          <w:rFonts w:asciiTheme="minorHAnsi" w:hAnsiTheme="minorHAnsi"/>
          <w:color w:val="auto"/>
          <w:szCs w:val="24"/>
        </w:rPr>
        <w:t>The GAF was between 35</w:t>
      </w:r>
      <w:r w:rsidR="008A2753">
        <w:rPr>
          <w:rFonts w:asciiTheme="minorHAnsi" w:hAnsiTheme="minorHAnsi"/>
          <w:color w:val="auto"/>
          <w:szCs w:val="24"/>
        </w:rPr>
        <w:t xml:space="preserve"> (</w:t>
      </w:r>
      <w:r w:rsidR="00E92D1C" w:rsidRPr="00D45DD1">
        <w:rPr>
          <w:rFonts w:asciiTheme="minorHAnsi" w:hAnsiTheme="minorHAnsi"/>
          <w:color w:val="auto"/>
          <w:szCs w:val="24"/>
        </w:rPr>
        <w:t xml:space="preserve">major </w:t>
      </w:r>
      <w:r w:rsidR="00704D61" w:rsidRPr="00D45DD1">
        <w:rPr>
          <w:rFonts w:asciiTheme="minorHAnsi" w:hAnsiTheme="minorHAnsi"/>
          <w:color w:val="auto"/>
          <w:szCs w:val="24"/>
        </w:rPr>
        <w:t>impairment in several</w:t>
      </w:r>
      <w:r w:rsidR="00E92D1C" w:rsidRPr="00D45DD1">
        <w:rPr>
          <w:rFonts w:asciiTheme="minorHAnsi" w:hAnsiTheme="minorHAnsi"/>
          <w:color w:val="auto"/>
          <w:szCs w:val="24"/>
        </w:rPr>
        <w:t xml:space="preserve"> </w:t>
      </w:r>
      <w:r w:rsidR="00704D61" w:rsidRPr="00D45DD1">
        <w:rPr>
          <w:rFonts w:asciiTheme="minorHAnsi" w:hAnsiTheme="minorHAnsi"/>
          <w:color w:val="auto"/>
          <w:szCs w:val="24"/>
        </w:rPr>
        <w:t>areas</w:t>
      </w:r>
      <w:r w:rsidR="00E92D1C" w:rsidRPr="00D45DD1">
        <w:rPr>
          <w:rFonts w:asciiTheme="minorHAnsi" w:hAnsiTheme="minorHAnsi"/>
          <w:color w:val="auto"/>
          <w:szCs w:val="24"/>
        </w:rPr>
        <w:t xml:space="preserve"> such as work, or school, family relations, </w:t>
      </w:r>
      <w:r w:rsidR="00704D61" w:rsidRPr="00D45DD1">
        <w:rPr>
          <w:rFonts w:asciiTheme="minorHAnsi" w:hAnsiTheme="minorHAnsi"/>
          <w:color w:val="auto"/>
          <w:szCs w:val="24"/>
        </w:rPr>
        <w:t>judgment</w:t>
      </w:r>
      <w:r w:rsidR="00D757B6" w:rsidRPr="00D45DD1">
        <w:rPr>
          <w:rFonts w:asciiTheme="minorHAnsi" w:hAnsiTheme="minorHAnsi"/>
          <w:color w:val="auto"/>
          <w:szCs w:val="24"/>
        </w:rPr>
        <w:t>, thinking or mood</w:t>
      </w:r>
      <w:r w:rsidR="008A2753">
        <w:rPr>
          <w:rFonts w:asciiTheme="minorHAnsi" w:hAnsiTheme="minorHAnsi"/>
          <w:color w:val="auto"/>
          <w:szCs w:val="24"/>
        </w:rPr>
        <w:t>)</w:t>
      </w:r>
      <w:r w:rsidR="00D757B6" w:rsidRPr="00D45DD1">
        <w:rPr>
          <w:rFonts w:asciiTheme="minorHAnsi" w:hAnsiTheme="minorHAnsi"/>
          <w:color w:val="auto"/>
          <w:szCs w:val="24"/>
        </w:rPr>
        <w:t xml:space="preserve"> and 45</w:t>
      </w:r>
      <w:r w:rsidR="008A2753">
        <w:rPr>
          <w:rFonts w:asciiTheme="minorHAnsi" w:hAnsiTheme="minorHAnsi"/>
          <w:color w:val="auto"/>
          <w:szCs w:val="24"/>
        </w:rPr>
        <w:t xml:space="preserve"> (</w:t>
      </w:r>
      <w:r w:rsidR="00E92D1C" w:rsidRPr="00D45DD1">
        <w:rPr>
          <w:rFonts w:asciiTheme="minorHAnsi" w:hAnsiTheme="minorHAnsi"/>
          <w:color w:val="auto"/>
          <w:szCs w:val="24"/>
        </w:rPr>
        <w:t>serious impairment in social, occupational or school functioning</w:t>
      </w:r>
      <w:r w:rsidR="008A2753">
        <w:rPr>
          <w:rFonts w:asciiTheme="minorHAnsi" w:hAnsiTheme="minorHAnsi"/>
          <w:color w:val="auto"/>
          <w:szCs w:val="24"/>
        </w:rPr>
        <w:t>)</w:t>
      </w:r>
      <w:r w:rsidR="00E92D1C" w:rsidRPr="00D45DD1">
        <w:rPr>
          <w:rFonts w:asciiTheme="minorHAnsi" w:hAnsiTheme="minorHAnsi"/>
          <w:color w:val="auto"/>
          <w:szCs w:val="24"/>
        </w:rPr>
        <w:t>.</w:t>
      </w:r>
    </w:p>
    <w:p w:rsidR="00E92D1C" w:rsidRPr="00D45DD1" w:rsidRDefault="00E92D1C" w:rsidP="002F27EF">
      <w:pPr>
        <w:jc w:val="both"/>
        <w:rPr>
          <w:rFonts w:asciiTheme="minorHAnsi" w:hAnsiTheme="minorHAnsi"/>
          <w:color w:val="auto"/>
          <w:szCs w:val="24"/>
        </w:rPr>
      </w:pPr>
    </w:p>
    <w:p w:rsidR="00E52B52" w:rsidRPr="00D45DD1" w:rsidRDefault="0047563B" w:rsidP="002F27EF">
      <w:pPr>
        <w:autoSpaceDE w:val="0"/>
        <w:autoSpaceDN w:val="0"/>
        <w:adjustRightInd w:val="0"/>
        <w:jc w:val="both"/>
        <w:rPr>
          <w:rFonts w:asciiTheme="minorHAnsi" w:hAnsiTheme="minorHAnsi"/>
          <w:color w:val="000000"/>
          <w:szCs w:val="24"/>
        </w:rPr>
      </w:pPr>
      <w:r w:rsidRPr="00D45DD1">
        <w:rPr>
          <w:rFonts w:asciiTheme="minorHAnsi" w:hAnsiTheme="minorHAnsi"/>
          <w:color w:val="auto"/>
          <w:szCs w:val="24"/>
        </w:rPr>
        <w:t xml:space="preserve">The TDRL </w:t>
      </w:r>
      <w:r w:rsidR="002F27EF" w:rsidRPr="00D45DD1">
        <w:rPr>
          <w:rFonts w:asciiTheme="minorHAnsi" w:hAnsiTheme="minorHAnsi"/>
          <w:color w:val="auto"/>
          <w:szCs w:val="24"/>
        </w:rPr>
        <w:t>examination four</w:t>
      </w:r>
      <w:r w:rsidR="00940A7A" w:rsidRPr="00D45DD1">
        <w:rPr>
          <w:rFonts w:asciiTheme="minorHAnsi" w:hAnsiTheme="minorHAnsi"/>
          <w:color w:val="auto"/>
          <w:szCs w:val="24"/>
        </w:rPr>
        <w:t xml:space="preserve"> </w:t>
      </w:r>
      <w:r w:rsidRPr="00D45DD1">
        <w:rPr>
          <w:rFonts w:asciiTheme="minorHAnsi" w:hAnsiTheme="minorHAnsi"/>
          <w:color w:val="auto"/>
          <w:szCs w:val="24"/>
        </w:rPr>
        <w:t>mo</w:t>
      </w:r>
      <w:r w:rsidR="002965B2" w:rsidRPr="00D45DD1">
        <w:rPr>
          <w:rFonts w:asciiTheme="minorHAnsi" w:hAnsiTheme="minorHAnsi"/>
          <w:color w:val="auto"/>
          <w:szCs w:val="24"/>
        </w:rPr>
        <w:t>n</w:t>
      </w:r>
      <w:r w:rsidRPr="00D45DD1">
        <w:rPr>
          <w:rFonts w:asciiTheme="minorHAnsi" w:hAnsiTheme="minorHAnsi"/>
          <w:color w:val="auto"/>
          <w:szCs w:val="24"/>
        </w:rPr>
        <w:t xml:space="preserve">ths prior to </w:t>
      </w:r>
      <w:r w:rsidR="00940A7A" w:rsidRPr="00D45DD1">
        <w:rPr>
          <w:rFonts w:asciiTheme="minorHAnsi" w:hAnsiTheme="minorHAnsi"/>
          <w:color w:val="auto"/>
          <w:szCs w:val="24"/>
        </w:rPr>
        <w:t>the FPEB</w:t>
      </w:r>
      <w:r w:rsidR="00704D61" w:rsidRPr="00D45DD1">
        <w:rPr>
          <w:rFonts w:asciiTheme="minorHAnsi" w:hAnsiTheme="minorHAnsi"/>
          <w:color w:val="auto"/>
          <w:szCs w:val="24"/>
        </w:rPr>
        <w:t xml:space="preserve"> documented</w:t>
      </w:r>
      <w:r w:rsidRPr="00D45DD1">
        <w:rPr>
          <w:rFonts w:asciiTheme="minorHAnsi" w:hAnsiTheme="minorHAnsi"/>
          <w:color w:val="auto"/>
          <w:szCs w:val="24"/>
        </w:rPr>
        <w:t xml:space="preserve"> that the CI had some improvement in depressive symptoms (a detached feeling or feeling that something’s going to end</w:t>
      </w:r>
      <w:r w:rsidR="00704D61" w:rsidRPr="00D45DD1">
        <w:rPr>
          <w:rFonts w:asciiTheme="minorHAnsi" w:hAnsiTheme="minorHAnsi"/>
          <w:color w:val="auto"/>
          <w:szCs w:val="24"/>
        </w:rPr>
        <w:t>) although</w:t>
      </w:r>
      <w:r w:rsidRPr="00D45DD1">
        <w:rPr>
          <w:rFonts w:asciiTheme="minorHAnsi" w:hAnsiTheme="minorHAnsi"/>
          <w:color w:val="auto"/>
          <w:szCs w:val="24"/>
        </w:rPr>
        <w:t xml:space="preserve"> he still felt detached from fellow polic</w:t>
      </w:r>
      <w:r w:rsidR="00E52B52" w:rsidRPr="00D45DD1">
        <w:rPr>
          <w:rFonts w:asciiTheme="minorHAnsi" w:hAnsiTheme="minorHAnsi"/>
          <w:color w:val="auto"/>
          <w:szCs w:val="24"/>
        </w:rPr>
        <w:t>e</w:t>
      </w:r>
      <w:r w:rsidRPr="00D45DD1">
        <w:rPr>
          <w:rFonts w:asciiTheme="minorHAnsi" w:hAnsiTheme="minorHAnsi"/>
          <w:color w:val="auto"/>
          <w:szCs w:val="24"/>
        </w:rPr>
        <w:t xml:space="preserve"> officers since </w:t>
      </w:r>
      <w:r w:rsidR="00D757B6" w:rsidRPr="00D45DD1">
        <w:rPr>
          <w:rFonts w:asciiTheme="minorHAnsi" w:hAnsiTheme="minorHAnsi"/>
          <w:color w:val="auto"/>
          <w:szCs w:val="24"/>
        </w:rPr>
        <w:t xml:space="preserve">his </w:t>
      </w:r>
      <w:r w:rsidRPr="00D45DD1">
        <w:rPr>
          <w:rFonts w:asciiTheme="minorHAnsi" w:hAnsiTheme="minorHAnsi"/>
          <w:color w:val="auto"/>
          <w:szCs w:val="24"/>
        </w:rPr>
        <w:t xml:space="preserve">return from </w:t>
      </w:r>
      <w:r w:rsidR="008A2753">
        <w:rPr>
          <w:rFonts w:asciiTheme="minorHAnsi" w:hAnsiTheme="minorHAnsi"/>
          <w:color w:val="auto"/>
          <w:szCs w:val="24"/>
        </w:rPr>
        <w:t>Iraq</w:t>
      </w:r>
      <w:r w:rsidR="00D757B6" w:rsidRPr="00D45DD1">
        <w:rPr>
          <w:rFonts w:asciiTheme="minorHAnsi" w:hAnsiTheme="minorHAnsi"/>
          <w:color w:val="auto"/>
          <w:szCs w:val="24"/>
        </w:rPr>
        <w:t xml:space="preserve"> and</w:t>
      </w:r>
      <w:r w:rsidR="00E52B52" w:rsidRPr="00D45DD1">
        <w:rPr>
          <w:rFonts w:asciiTheme="minorHAnsi" w:hAnsiTheme="minorHAnsi"/>
          <w:color w:val="auto"/>
          <w:szCs w:val="24"/>
        </w:rPr>
        <w:t xml:space="preserve"> panic symptoms still </w:t>
      </w:r>
      <w:r w:rsidR="00704D61" w:rsidRPr="00D45DD1">
        <w:rPr>
          <w:rFonts w:asciiTheme="minorHAnsi" w:hAnsiTheme="minorHAnsi"/>
          <w:color w:val="auto"/>
          <w:szCs w:val="24"/>
        </w:rPr>
        <w:t>persisted</w:t>
      </w:r>
      <w:r w:rsidR="00E52B52" w:rsidRPr="00D45DD1">
        <w:rPr>
          <w:rFonts w:asciiTheme="minorHAnsi" w:hAnsiTheme="minorHAnsi"/>
          <w:color w:val="auto"/>
          <w:szCs w:val="24"/>
        </w:rPr>
        <w:t xml:space="preserve"> 1-2 times per month with insomnia and nightmares</w:t>
      </w:r>
      <w:r w:rsidR="00D757B6" w:rsidRPr="00D45DD1">
        <w:rPr>
          <w:rFonts w:asciiTheme="minorHAnsi" w:hAnsiTheme="minorHAnsi"/>
          <w:color w:val="auto"/>
          <w:szCs w:val="24"/>
        </w:rPr>
        <w:t>.</w:t>
      </w:r>
      <w:r w:rsidRPr="00D45DD1">
        <w:rPr>
          <w:rFonts w:asciiTheme="minorHAnsi" w:hAnsiTheme="minorHAnsi"/>
          <w:color w:val="auto"/>
          <w:szCs w:val="24"/>
        </w:rPr>
        <w:t xml:space="preserve"> </w:t>
      </w:r>
      <w:r w:rsidR="008A2753">
        <w:rPr>
          <w:rFonts w:asciiTheme="minorHAnsi" w:hAnsiTheme="minorHAnsi"/>
          <w:color w:val="auto"/>
          <w:szCs w:val="24"/>
        </w:rPr>
        <w:t xml:space="preserve"> </w:t>
      </w:r>
      <w:r w:rsidR="00D757B6" w:rsidRPr="00D45DD1">
        <w:rPr>
          <w:rFonts w:asciiTheme="minorHAnsi" w:hAnsiTheme="minorHAnsi"/>
          <w:color w:val="auto"/>
          <w:szCs w:val="24"/>
        </w:rPr>
        <w:t>H</w:t>
      </w:r>
      <w:r w:rsidRPr="00D45DD1">
        <w:rPr>
          <w:rFonts w:asciiTheme="minorHAnsi" w:hAnsiTheme="minorHAnsi"/>
          <w:color w:val="auto"/>
          <w:szCs w:val="24"/>
        </w:rPr>
        <w:t xml:space="preserve">owever </w:t>
      </w:r>
      <w:r w:rsidR="002965B2" w:rsidRPr="00D45DD1">
        <w:rPr>
          <w:rFonts w:asciiTheme="minorHAnsi" w:hAnsiTheme="minorHAnsi"/>
          <w:color w:val="auto"/>
          <w:szCs w:val="24"/>
        </w:rPr>
        <w:t xml:space="preserve">he had only rare crying spells </w:t>
      </w:r>
      <w:r w:rsidR="00704D61" w:rsidRPr="00D45DD1">
        <w:rPr>
          <w:rFonts w:asciiTheme="minorHAnsi" w:hAnsiTheme="minorHAnsi"/>
          <w:color w:val="auto"/>
          <w:szCs w:val="24"/>
        </w:rPr>
        <w:t>and no</w:t>
      </w:r>
      <w:r w:rsidRPr="00D45DD1">
        <w:rPr>
          <w:rFonts w:asciiTheme="minorHAnsi" w:hAnsiTheme="minorHAnsi"/>
          <w:color w:val="auto"/>
          <w:szCs w:val="24"/>
        </w:rPr>
        <w:t xml:space="preserve"> passive death wish or </w:t>
      </w:r>
      <w:r w:rsidR="00704D61" w:rsidRPr="00D45DD1">
        <w:rPr>
          <w:rFonts w:asciiTheme="minorHAnsi" w:hAnsiTheme="minorHAnsi"/>
          <w:color w:val="auto"/>
          <w:szCs w:val="24"/>
        </w:rPr>
        <w:t>suicidal</w:t>
      </w:r>
      <w:r w:rsidRPr="00D45DD1">
        <w:rPr>
          <w:rFonts w:asciiTheme="minorHAnsi" w:hAnsiTheme="minorHAnsi"/>
          <w:color w:val="auto"/>
          <w:szCs w:val="24"/>
        </w:rPr>
        <w:t xml:space="preserve"> thoughts</w:t>
      </w:r>
      <w:r w:rsidR="002965B2" w:rsidRPr="00D45DD1">
        <w:rPr>
          <w:rFonts w:asciiTheme="minorHAnsi" w:hAnsiTheme="minorHAnsi"/>
          <w:color w:val="auto"/>
          <w:szCs w:val="24"/>
        </w:rPr>
        <w:t xml:space="preserve">.  </w:t>
      </w:r>
      <w:r w:rsidR="00791DC0" w:rsidRPr="00D45DD1">
        <w:rPr>
          <w:rFonts w:asciiTheme="minorHAnsi" w:hAnsiTheme="minorHAnsi"/>
          <w:color w:val="auto"/>
          <w:szCs w:val="24"/>
        </w:rPr>
        <w:t xml:space="preserve">His affect was full-ranging, reactive, and appropriate and his mood was </w:t>
      </w:r>
      <w:r w:rsidR="002F27EF" w:rsidRPr="00D45DD1">
        <w:rPr>
          <w:rFonts w:asciiTheme="minorHAnsi" w:hAnsiTheme="minorHAnsi"/>
          <w:color w:val="auto"/>
          <w:szCs w:val="24"/>
        </w:rPr>
        <w:t>euthymic.  The</w:t>
      </w:r>
      <w:r w:rsidR="002965B2" w:rsidRPr="00D45DD1">
        <w:rPr>
          <w:rFonts w:asciiTheme="minorHAnsi" w:hAnsiTheme="minorHAnsi"/>
          <w:color w:val="auto"/>
          <w:szCs w:val="24"/>
        </w:rPr>
        <w:t xml:space="preserve"> C</w:t>
      </w:r>
      <w:r w:rsidR="00D757B6" w:rsidRPr="00D45DD1">
        <w:rPr>
          <w:rFonts w:asciiTheme="minorHAnsi" w:hAnsiTheme="minorHAnsi"/>
          <w:color w:val="auto"/>
          <w:szCs w:val="24"/>
        </w:rPr>
        <w:t>I did have a propensity to self-</w:t>
      </w:r>
      <w:r w:rsidR="002965B2" w:rsidRPr="00D45DD1">
        <w:rPr>
          <w:rFonts w:asciiTheme="minorHAnsi" w:hAnsiTheme="minorHAnsi"/>
          <w:color w:val="auto"/>
          <w:szCs w:val="24"/>
        </w:rPr>
        <w:t xml:space="preserve">medicate with </w:t>
      </w:r>
      <w:r w:rsidR="00704D61" w:rsidRPr="00D45DD1">
        <w:rPr>
          <w:rFonts w:asciiTheme="minorHAnsi" w:hAnsiTheme="minorHAnsi"/>
          <w:color w:val="auto"/>
          <w:szCs w:val="24"/>
        </w:rPr>
        <w:t>alcohol</w:t>
      </w:r>
      <w:r w:rsidR="002965B2" w:rsidRPr="00D45DD1">
        <w:rPr>
          <w:rFonts w:asciiTheme="minorHAnsi" w:hAnsiTheme="minorHAnsi"/>
          <w:color w:val="auto"/>
          <w:szCs w:val="24"/>
        </w:rPr>
        <w:t>.</w:t>
      </w:r>
      <w:r w:rsidR="00D8783B" w:rsidRPr="00D45DD1">
        <w:rPr>
          <w:rFonts w:asciiTheme="minorHAnsi" w:hAnsiTheme="minorHAnsi"/>
          <w:color w:val="auto"/>
          <w:szCs w:val="24"/>
        </w:rPr>
        <w:t xml:space="preserve">  </w:t>
      </w:r>
      <w:r w:rsidR="00791DC0" w:rsidRPr="00D45DD1">
        <w:rPr>
          <w:rFonts w:asciiTheme="minorHAnsi" w:hAnsiTheme="minorHAnsi"/>
          <w:color w:val="auto"/>
          <w:szCs w:val="24"/>
        </w:rPr>
        <w:t>He was in treatment and was seeing a psychiatrist monthly</w:t>
      </w:r>
      <w:r w:rsidR="00E54D1E" w:rsidRPr="00D45DD1">
        <w:rPr>
          <w:rFonts w:asciiTheme="minorHAnsi" w:hAnsiTheme="minorHAnsi"/>
          <w:color w:val="auto"/>
          <w:szCs w:val="24"/>
        </w:rPr>
        <w:t xml:space="preserve"> as well as taking medications. </w:t>
      </w:r>
      <w:r w:rsidR="008A2753">
        <w:rPr>
          <w:rFonts w:asciiTheme="minorHAnsi" w:hAnsiTheme="minorHAnsi"/>
          <w:color w:val="auto"/>
          <w:szCs w:val="24"/>
        </w:rPr>
        <w:t xml:space="preserve"> </w:t>
      </w:r>
      <w:r w:rsidR="00E54D1E" w:rsidRPr="00D45DD1">
        <w:rPr>
          <w:rFonts w:asciiTheme="minorHAnsi" w:hAnsiTheme="minorHAnsi"/>
          <w:color w:val="auto"/>
          <w:szCs w:val="24"/>
        </w:rPr>
        <w:t xml:space="preserve">The examiner noted his return to full-time </w:t>
      </w:r>
      <w:r w:rsidR="002F27EF" w:rsidRPr="00D45DD1">
        <w:rPr>
          <w:rFonts w:asciiTheme="minorHAnsi" w:hAnsiTheme="minorHAnsi"/>
          <w:color w:val="auto"/>
          <w:szCs w:val="24"/>
        </w:rPr>
        <w:t>police work</w:t>
      </w:r>
      <w:r w:rsidR="00E54D1E" w:rsidRPr="00D45DD1">
        <w:rPr>
          <w:rFonts w:asciiTheme="minorHAnsi" w:hAnsiTheme="minorHAnsi"/>
          <w:color w:val="auto"/>
          <w:szCs w:val="24"/>
        </w:rPr>
        <w:t xml:space="preserve"> was a good sign but felt his mental health condition had not stabilized enough to make a final determination concerning severity and occupational functioning. </w:t>
      </w:r>
      <w:r w:rsidR="008A2753">
        <w:rPr>
          <w:rFonts w:asciiTheme="minorHAnsi" w:hAnsiTheme="minorHAnsi"/>
          <w:color w:val="auto"/>
          <w:szCs w:val="24"/>
        </w:rPr>
        <w:t xml:space="preserve"> </w:t>
      </w:r>
      <w:r w:rsidR="002965B2" w:rsidRPr="00D45DD1">
        <w:rPr>
          <w:rFonts w:asciiTheme="minorHAnsi" w:hAnsiTheme="minorHAnsi"/>
          <w:color w:val="auto"/>
          <w:szCs w:val="24"/>
        </w:rPr>
        <w:t xml:space="preserve">The examiner opined that there was a marked impairment for military/psychiatric impairment and a definite impairment for social and </w:t>
      </w:r>
      <w:r w:rsidR="00704D61" w:rsidRPr="00D45DD1">
        <w:rPr>
          <w:rFonts w:asciiTheme="minorHAnsi" w:hAnsiTheme="minorHAnsi"/>
          <w:color w:val="auto"/>
          <w:szCs w:val="24"/>
        </w:rPr>
        <w:t>industrial</w:t>
      </w:r>
      <w:r w:rsidR="002965B2" w:rsidRPr="00D45DD1">
        <w:rPr>
          <w:rFonts w:asciiTheme="minorHAnsi" w:hAnsiTheme="minorHAnsi"/>
          <w:color w:val="auto"/>
          <w:szCs w:val="24"/>
        </w:rPr>
        <w:t xml:space="preserve"> adaptability.</w:t>
      </w:r>
      <w:r w:rsidR="00E52B52" w:rsidRPr="00D45DD1">
        <w:rPr>
          <w:rFonts w:asciiTheme="minorHAnsi" w:hAnsiTheme="minorHAnsi"/>
          <w:color w:val="auto"/>
          <w:szCs w:val="24"/>
        </w:rPr>
        <w:t xml:space="preserve">  The GAF was 65</w:t>
      </w:r>
      <w:r w:rsidR="00E52B52" w:rsidRPr="00D45DD1">
        <w:rPr>
          <w:rFonts w:asciiTheme="minorHAnsi" w:hAnsiTheme="minorHAnsi"/>
          <w:color w:val="000000"/>
          <w:szCs w:val="24"/>
        </w:rPr>
        <w:t xml:space="preserve"> but generally functioning pretty well, has some meaningful interpersonal relationships.</w:t>
      </w:r>
      <w:r w:rsidR="002F27EF" w:rsidRPr="00D45DD1">
        <w:rPr>
          <w:rFonts w:asciiTheme="minorHAnsi" w:hAnsiTheme="minorHAnsi"/>
          <w:color w:val="000000"/>
          <w:szCs w:val="24"/>
        </w:rPr>
        <w:t xml:space="preserve"> </w:t>
      </w:r>
      <w:r w:rsidR="00E54D1E" w:rsidRPr="00D45DD1">
        <w:rPr>
          <w:rFonts w:asciiTheme="minorHAnsi" w:hAnsiTheme="minorHAnsi"/>
          <w:color w:val="000000"/>
          <w:szCs w:val="24"/>
        </w:rPr>
        <w:t xml:space="preserve"> The Board notes that this GAF is unchanged fro</w:t>
      </w:r>
      <w:r w:rsidR="002F27EF" w:rsidRPr="00D45DD1">
        <w:rPr>
          <w:rFonts w:asciiTheme="minorHAnsi" w:hAnsiTheme="minorHAnsi"/>
          <w:color w:val="000000"/>
          <w:szCs w:val="24"/>
        </w:rPr>
        <w:t xml:space="preserve">m the GAF </w:t>
      </w:r>
      <w:r w:rsidR="00E54D1E" w:rsidRPr="00D45DD1">
        <w:rPr>
          <w:rFonts w:asciiTheme="minorHAnsi" w:hAnsiTheme="minorHAnsi"/>
          <w:color w:val="000000"/>
          <w:szCs w:val="24"/>
        </w:rPr>
        <w:t xml:space="preserve">when the CI entered the TDRL. </w:t>
      </w:r>
      <w:r w:rsidR="008A2753">
        <w:rPr>
          <w:rFonts w:asciiTheme="minorHAnsi" w:hAnsiTheme="minorHAnsi"/>
          <w:color w:val="000000"/>
          <w:szCs w:val="24"/>
        </w:rPr>
        <w:t xml:space="preserve"> </w:t>
      </w:r>
      <w:r w:rsidR="00E54D1E" w:rsidRPr="00D45DD1">
        <w:rPr>
          <w:rFonts w:asciiTheme="minorHAnsi" w:hAnsiTheme="minorHAnsi"/>
          <w:color w:val="000000"/>
          <w:szCs w:val="24"/>
        </w:rPr>
        <w:t xml:space="preserve">Although the examining psychiatrist recommended continuation on the TDRL, the </w:t>
      </w:r>
      <w:r w:rsidR="008A2753">
        <w:rPr>
          <w:rFonts w:asciiTheme="minorHAnsi" w:hAnsiTheme="minorHAnsi"/>
          <w:color w:val="000000"/>
          <w:szCs w:val="24"/>
        </w:rPr>
        <w:t>IPEB</w:t>
      </w:r>
      <w:r w:rsidR="00B0401E">
        <w:rPr>
          <w:rFonts w:asciiTheme="minorHAnsi" w:hAnsiTheme="minorHAnsi"/>
          <w:color w:val="000000"/>
          <w:szCs w:val="24"/>
        </w:rPr>
        <w:t xml:space="preserve"> </w:t>
      </w:r>
      <w:r w:rsidR="00D757B6" w:rsidRPr="00D45DD1">
        <w:rPr>
          <w:rFonts w:asciiTheme="minorHAnsi" w:hAnsiTheme="minorHAnsi"/>
          <w:color w:val="000000"/>
          <w:szCs w:val="24"/>
        </w:rPr>
        <w:t xml:space="preserve">that </w:t>
      </w:r>
      <w:r w:rsidR="00E54D1E" w:rsidRPr="00D45DD1">
        <w:rPr>
          <w:rFonts w:asciiTheme="minorHAnsi" w:hAnsiTheme="minorHAnsi"/>
          <w:color w:val="000000"/>
          <w:szCs w:val="24"/>
        </w:rPr>
        <w:t xml:space="preserve">convened on </w:t>
      </w:r>
      <w:r w:rsidR="008A2753">
        <w:rPr>
          <w:rFonts w:asciiTheme="minorHAnsi" w:hAnsiTheme="minorHAnsi"/>
          <w:color w:val="000000"/>
          <w:szCs w:val="24"/>
        </w:rPr>
        <w:t xml:space="preserve">2 November 2005 </w:t>
      </w:r>
      <w:r w:rsidR="00E54D1E" w:rsidRPr="00D45DD1">
        <w:rPr>
          <w:rFonts w:asciiTheme="minorHAnsi" w:hAnsiTheme="minorHAnsi"/>
          <w:color w:val="000000"/>
          <w:szCs w:val="24"/>
        </w:rPr>
        <w:t xml:space="preserve">determined the CI’s condition had stabilized to the point that a permanent degree of severity could be determined and they recommended the CI be separated with </w:t>
      </w:r>
      <w:r w:rsidR="002F27EF" w:rsidRPr="00D45DD1">
        <w:rPr>
          <w:rFonts w:asciiTheme="minorHAnsi" w:hAnsiTheme="minorHAnsi"/>
          <w:color w:val="000000"/>
          <w:szCs w:val="24"/>
        </w:rPr>
        <w:t>a 10</w:t>
      </w:r>
      <w:r w:rsidR="00E54D1E" w:rsidRPr="00D45DD1">
        <w:rPr>
          <w:rFonts w:asciiTheme="minorHAnsi" w:hAnsiTheme="minorHAnsi"/>
          <w:color w:val="000000"/>
          <w:szCs w:val="24"/>
        </w:rPr>
        <w:t>% rating.</w:t>
      </w:r>
    </w:p>
    <w:p w:rsidR="0047563B" w:rsidRPr="00D45DD1" w:rsidRDefault="0047563B" w:rsidP="002F27EF">
      <w:pPr>
        <w:jc w:val="both"/>
        <w:rPr>
          <w:rFonts w:eastAsia="HiddenHorzOCR"/>
          <w:color w:val="000000" w:themeColor="text1"/>
          <w:szCs w:val="24"/>
          <w:u w:val="single"/>
        </w:rPr>
      </w:pPr>
    </w:p>
    <w:p w:rsidR="00F814FE" w:rsidRPr="00D45DD1" w:rsidRDefault="005948AE" w:rsidP="002F27EF">
      <w:pPr>
        <w:jc w:val="both"/>
        <w:rPr>
          <w:rFonts w:asciiTheme="minorHAnsi" w:hAnsiTheme="minorHAnsi"/>
          <w:color w:val="auto"/>
          <w:szCs w:val="24"/>
        </w:rPr>
      </w:pPr>
      <w:r w:rsidRPr="00D45DD1">
        <w:rPr>
          <w:rFonts w:asciiTheme="minorHAnsi" w:hAnsiTheme="minorHAnsi"/>
          <w:color w:val="auto"/>
          <w:szCs w:val="24"/>
        </w:rPr>
        <w:t>In November 2005</w:t>
      </w:r>
      <w:r w:rsidR="00D757B6" w:rsidRPr="00D45DD1">
        <w:rPr>
          <w:rFonts w:asciiTheme="minorHAnsi" w:hAnsiTheme="minorHAnsi"/>
          <w:color w:val="auto"/>
          <w:szCs w:val="24"/>
        </w:rPr>
        <w:t>, one month prior to the FPEB,</w:t>
      </w:r>
      <w:r w:rsidRPr="00D45DD1">
        <w:rPr>
          <w:rFonts w:asciiTheme="minorHAnsi" w:hAnsiTheme="minorHAnsi"/>
          <w:color w:val="auto"/>
          <w:szCs w:val="24"/>
        </w:rPr>
        <w:t xml:space="preserve"> </w:t>
      </w:r>
      <w:r w:rsidR="00704D61" w:rsidRPr="00D45DD1">
        <w:rPr>
          <w:rFonts w:asciiTheme="minorHAnsi" w:hAnsiTheme="minorHAnsi"/>
          <w:color w:val="auto"/>
          <w:szCs w:val="24"/>
        </w:rPr>
        <w:t>the CI</w:t>
      </w:r>
      <w:r w:rsidR="003774C7" w:rsidRPr="00D45DD1">
        <w:rPr>
          <w:rFonts w:asciiTheme="minorHAnsi" w:hAnsiTheme="minorHAnsi"/>
          <w:color w:val="auto"/>
          <w:szCs w:val="24"/>
        </w:rPr>
        <w:t xml:space="preserve"> had a four day </w:t>
      </w:r>
      <w:r w:rsidR="00295095" w:rsidRPr="00D45DD1">
        <w:rPr>
          <w:rFonts w:asciiTheme="minorHAnsi" w:hAnsiTheme="minorHAnsi"/>
          <w:color w:val="auto"/>
          <w:szCs w:val="24"/>
        </w:rPr>
        <w:t xml:space="preserve">psychiatric </w:t>
      </w:r>
      <w:r w:rsidR="003774C7" w:rsidRPr="00D45DD1">
        <w:rPr>
          <w:rFonts w:asciiTheme="minorHAnsi" w:hAnsiTheme="minorHAnsi"/>
          <w:color w:val="auto"/>
          <w:szCs w:val="24"/>
        </w:rPr>
        <w:t xml:space="preserve">admission </w:t>
      </w:r>
      <w:r w:rsidR="00704D61" w:rsidRPr="00D45DD1">
        <w:rPr>
          <w:rFonts w:asciiTheme="minorHAnsi" w:hAnsiTheme="minorHAnsi"/>
          <w:color w:val="auto"/>
          <w:szCs w:val="24"/>
        </w:rPr>
        <w:t xml:space="preserve">for </w:t>
      </w:r>
      <w:r w:rsidR="006556BB" w:rsidRPr="00D45DD1">
        <w:rPr>
          <w:rFonts w:asciiTheme="minorHAnsi" w:hAnsiTheme="minorHAnsi"/>
          <w:color w:val="auto"/>
          <w:szCs w:val="24"/>
        </w:rPr>
        <w:t>suicidal ideation, depression</w:t>
      </w:r>
      <w:r w:rsidR="00D757B6" w:rsidRPr="00D45DD1">
        <w:rPr>
          <w:rFonts w:asciiTheme="minorHAnsi" w:hAnsiTheme="minorHAnsi"/>
          <w:color w:val="auto"/>
          <w:szCs w:val="24"/>
        </w:rPr>
        <w:t>,</w:t>
      </w:r>
      <w:r w:rsidR="006556BB" w:rsidRPr="00D45DD1">
        <w:rPr>
          <w:rFonts w:asciiTheme="minorHAnsi" w:hAnsiTheme="minorHAnsi"/>
          <w:color w:val="auto"/>
          <w:szCs w:val="24"/>
        </w:rPr>
        <w:t xml:space="preserve"> and anxiety. </w:t>
      </w:r>
      <w:r w:rsidR="002F27EF" w:rsidRPr="00D45DD1">
        <w:rPr>
          <w:rFonts w:asciiTheme="minorHAnsi" w:hAnsiTheme="minorHAnsi"/>
          <w:color w:val="auto"/>
          <w:szCs w:val="24"/>
        </w:rPr>
        <w:t xml:space="preserve"> </w:t>
      </w:r>
      <w:r w:rsidR="003774C7" w:rsidRPr="00D45DD1">
        <w:rPr>
          <w:rFonts w:asciiTheme="minorHAnsi" w:hAnsiTheme="minorHAnsi"/>
          <w:color w:val="auto"/>
          <w:szCs w:val="24"/>
        </w:rPr>
        <w:t xml:space="preserve">On admission, the CI exhibited depression, insomnia, anxiety, slowed speech and psychomotor retardation. </w:t>
      </w:r>
      <w:r w:rsidR="002F27EF" w:rsidRPr="00D45DD1">
        <w:rPr>
          <w:rFonts w:asciiTheme="minorHAnsi" w:hAnsiTheme="minorHAnsi"/>
          <w:color w:val="auto"/>
          <w:szCs w:val="24"/>
        </w:rPr>
        <w:t xml:space="preserve"> </w:t>
      </w:r>
      <w:r w:rsidR="00940A7A" w:rsidRPr="00D45DD1">
        <w:rPr>
          <w:rFonts w:asciiTheme="minorHAnsi" w:hAnsiTheme="minorHAnsi"/>
          <w:color w:val="auto"/>
          <w:szCs w:val="24"/>
        </w:rPr>
        <w:t xml:space="preserve">He had decreased energy and felt sad and hopeless. </w:t>
      </w:r>
      <w:r w:rsidR="008A2753">
        <w:rPr>
          <w:rFonts w:asciiTheme="minorHAnsi" w:hAnsiTheme="minorHAnsi"/>
          <w:color w:val="auto"/>
          <w:szCs w:val="24"/>
        </w:rPr>
        <w:t xml:space="preserve"> </w:t>
      </w:r>
      <w:r w:rsidR="00940A7A" w:rsidRPr="00D45DD1">
        <w:rPr>
          <w:rFonts w:asciiTheme="minorHAnsi" w:hAnsiTheme="minorHAnsi"/>
          <w:color w:val="auto"/>
          <w:szCs w:val="24"/>
        </w:rPr>
        <w:t>He reported anxiety when around other people and depression when alone.</w:t>
      </w:r>
      <w:r w:rsidR="002F27EF" w:rsidRPr="00D45DD1">
        <w:rPr>
          <w:rFonts w:asciiTheme="minorHAnsi" w:hAnsiTheme="minorHAnsi"/>
          <w:color w:val="auto"/>
          <w:szCs w:val="24"/>
        </w:rPr>
        <w:t xml:space="preserve"> </w:t>
      </w:r>
      <w:r w:rsidR="00940A7A" w:rsidRPr="00D45DD1">
        <w:rPr>
          <w:rFonts w:asciiTheme="minorHAnsi" w:hAnsiTheme="minorHAnsi"/>
          <w:color w:val="auto"/>
          <w:szCs w:val="24"/>
        </w:rPr>
        <w:t xml:space="preserve"> He had been under psychiatric care and was on medications. </w:t>
      </w:r>
      <w:r w:rsidR="008A2753">
        <w:rPr>
          <w:rFonts w:asciiTheme="minorHAnsi" w:hAnsiTheme="minorHAnsi"/>
          <w:color w:val="auto"/>
          <w:szCs w:val="24"/>
        </w:rPr>
        <w:t xml:space="preserve"> </w:t>
      </w:r>
      <w:r w:rsidR="00940A7A" w:rsidRPr="00D45DD1">
        <w:rPr>
          <w:rFonts w:asciiTheme="minorHAnsi" w:hAnsiTheme="minorHAnsi"/>
          <w:color w:val="auto"/>
          <w:szCs w:val="24"/>
        </w:rPr>
        <w:t xml:space="preserve">He reported feeling stressed because </w:t>
      </w:r>
      <w:r w:rsidR="006556BB" w:rsidRPr="00D45DD1">
        <w:rPr>
          <w:rFonts w:asciiTheme="minorHAnsi" w:hAnsiTheme="minorHAnsi"/>
          <w:color w:val="auto"/>
          <w:szCs w:val="24"/>
        </w:rPr>
        <w:t>of</w:t>
      </w:r>
      <w:r w:rsidR="00940A7A" w:rsidRPr="00D45DD1">
        <w:rPr>
          <w:rFonts w:asciiTheme="minorHAnsi" w:hAnsiTheme="minorHAnsi"/>
          <w:color w:val="auto"/>
          <w:szCs w:val="24"/>
        </w:rPr>
        <w:t xml:space="preserve"> his upcoming </w:t>
      </w:r>
      <w:r w:rsidR="006556BB" w:rsidRPr="00D45DD1">
        <w:rPr>
          <w:rFonts w:asciiTheme="minorHAnsi" w:hAnsiTheme="minorHAnsi"/>
          <w:color w:val="auto"/>
          <w:szCs w:val="24"/>
        </w:rPr>
        <w:t>Army hearing</w:t>
      </w:r>
      <w:r w:rsidR="00940A7A" w:rsidRPr="00D45DD1">
        <w:rPr>
          <w:rFonts w:asciiTheme="minorHAnsi" w:hAnsiTheme="minorHAnsi"/>
          <w:color w:val="auto"/>
          <w:szCs w:val="24"/>
        </w:rPr>
        <w:t xml:space="preserve"> and was worried </w:t>
      </w:r>
      <w:r w:rsidR="002F27EF" w:rsidRPr="00D45DD1">
        <w:rPr>
          <w:rFonts w:asciiTheme="minorHAnsi" w:hAnsiTheme="minorHAnsi"/>
          <w:color w:val="auto"/>
          <w:szCs w:val="24"/>
        </w:rPr>
        <w:t>about</w:t>
      </w:r>
      <w:r w:rsidR="00940A7A" w:rsidRPr="00D45DD1">
        <w:rPr>
          <w:rFonts w:asciiTheme="minorHAnsi" w:hAnsiTheme="minorHAnsi"/>
          <w:color w:val="auto"/>
          <w:szCs w:val="24"/>
        </w:rPr>
        <w:t xml:space="preserve"> what the outcome would do to his civilian job as a policeman. </w:t>
      </w:r>
      <w:r w:rsidR="008A2753">
        <w:rPr>
          <w:rFonts w:asciiTheme="minorHAnsi" w:hAnsiTheme="minorHAnsi"/>
          <w:color w:val="auto"/>
          <w:szCs w:val="24"/>
        </w:rPr>
        <w:t xml:space="preserve"> </w:t>
      </w:r>
      <w:r w:rsidR="00940A7A" w:rsidRPr="00D45DD1">
        <w:rPr>
          <w:rFonts w:asciiTheme="minorHAnsi" w:hAnsiTheme="minorHAnsi"/>
          <w:color w:val="auto"/>
          <w:szCs w:val="24"/>
        </w:rPr>
        <w:t xml:space="preserve">Mental </w:t>
      </w:r>
      <w:r w:rsidR="002F27EF" w:rsidRPr="00D45DD1">
        <w:rPr>
          <w:rFonts w:asciiTheme="minorHAnsi" w:hAnsiTheme="minorHAnsi"/>
          <w:color w:val="auto"/>
          <w:szCs w:val="24"/>
        </w:rPr>
        <w:t>status</w:t>
      </w:r>
      <w:r w:rsidR="00940A7A" w:rsidRPr="00D45DD1">
        <w:rPr>
          <w:rFonts w:asciiTheme="minorHAnsi" w:hAnsiTheme="minorHAnsi"/>
          <w:color w:val="auto"/>
          <w:szCs w:val="24"/>
        </w:rPr>
        <w:t xml:space="preserve"> exam noted a depressed and anxious appearing man with slowed speech and psychomotor retardation. </w:t>
      </w:r>
      <w:r w:rsidR="002F27EF" w:rsidRPr="00D45DD1">
        <w:rPr>
          <w:rFonts w:asciiTheme="minorHAnsi" w:hAnsiTheme="minorHAnsi"/>
          <w:color w:val="auto"/>
          <w:szCs w:val="24"/>
        </w:rPr>
        <w:t xml:space="preserve"> </w:t>
      </w:r>
      <w:r w:rsidR="00940A7A" w:rsidRPr="00D45DD1">
        <w:rPr>
          <w:rFonts w:asciiTheme="minorHAnsi" w:hAnsiTheme="minorHAnsi"/>
          <w:color w:val="auto"/>
          <w:szCs w:val="24"/>
        </w:rPr>
        <w:t xml:space="preserve">No GAF was noted. </w:t>
      </w:r>
      <w:r w:rsidR="002F27EF" w:rsidRPr="00D45DD1">
        <w:rPr>
          <w:rFonts w:asciiTheme="minorHAnsi" w:hAnsiTheme="minorHAnsi"/>
          <w:color w:val="auto"/>
          <w:szCs w:val="24"/>
        </w:rPr>
        <w:t xml:space="preserve"> </w:t>
      </w:r>
      <w:r w:rsidR="00940A7A" w:rsidRPr="00D45DD1">
        <w:rPr>
          <w:rFonts w:asciiTheme="minorHAnsi" w:hAnsiTheme="minorHAnsi"/>
          <w:color w:val="auto"/>
          <w:szCs w:val="24"/>
        </w:rPr>
        <w:t xml:space="preserve">The discharge summary of </w:t>
      </w:r>
      <w:r w:rsidR="008A2753">
        <w:rPr>
          <w:rFonts w:asciiTheme="minorHAnsi" w:hAnsiTheme="minorHAnsi"/>
          <w:color w:val="auto"/>
          <w:szCs w:val="24"/>
        </w:rPr>
        <w:t xml:space="preserve">3 December </w:t>
      </w:r>
      <w:r w:rsidR="006556BB" w:rsidRPr="00D45DD1">
        <w:rPr>
          <w:rFonts w:asciiTheme="minorHAnsi" w:hAnsiTheme="minorHAnsi"/>
          <w:color w:val="auto"/>
          <w:szCs w:val="24"/>
        </w:rPr>
        <w:t xml:space="preserve">2005 also noted a depressed and anxious appearing man with somewhat slowed speech and psychomotor retardation. </w:t>
      </w:r>
      <w:r w:rsidR="002F27EF" w:rsidRPr="00D45DD1">
        <w:rPr>
          <w:rFonts w:asciiTheme="minorHAnsi" w:hAnsiTheme="minorHAnsi"/>
          <w:color w:val="auto"/>
          <w:szCs w:val="24"/>
        </w:rPr>
        <w:t xml:space="preserve"> </w:t>
      </w:r>
      <w:r w:rsidR="006556BB" w:rsidRPr="00D45DD1">
        <w:rPr>
          <w:rFonts w:asciiTheme="minorHAnsi" w:hAnsiTheme="minorHAnsi"/>
          <w:color w:val="auto"/>
          <w:szCs w:val="24"/>
        </w:rPr>
        <w:t>His medications were adjusted and he was not suicidal by the secon</w:t>
      </w:r>
      <w:r w:rsidR="002F27EF" w:rsidRPr="00D45DD1">
        <w:rPr>
          <w:rFonts w:asciiTheme="minorHAnsi" w:hAnsiTheme="minorHAnsi"/>
          <w:color w:val="auto"/>
          <w:szCs w:val="24"/>
        </w:rPr>
        <w:t xml:space="preserve">d day of hospitalization.  No GAF </w:t>
      </w:r>
      <w:r w:rsidR="006556BB" w:rsidRPr="00D45DD1">
        <w:rPr>
          <w:rFonts w:asciiTheme="minorHAnsi" w:hAnsiTheme="minorHAnsi"/>
          <w:color w:val="auto"/>
          <w:szCs w:val="24"/>
        </w:rPr>
        <w:t>was noted upon discharge.</w:t>
      </w:r>
    </w:p>
    <w:p w:rsidR="005948AE" w:rsidRPr="00D45DD1" w:rsidRDefault="005948AE" w:rsidP="002F27EF">
      <w:pPr>
        <w:jc w:val="both"/>
        <w:rPr>
          <w:rFonts w:eastAsia="HiddenHorzOCR"/>
          <w:color w:val="000000" w:themeColor="text1"/>
          <w:szCs w:val="24"/>
        </w:rPr>
      </w:pPr>
    </w:p>
    <w:p w:rsidR="00E52B52" w:rsidRPr="00D45DD1" w:rsidRDefault="005948AE" w:rsidP="002F27EF">
      <w:pPr>
        <w:autoSpaceDE w:val="0"/>
        <w:autoSpaceDN w:val="0"/>
        <w:adjustRightInd w:val="0"/>
        <w:jc w:val="both"/>
        <w:rPr>
          <w:rFonts w:asciiTheme="minorHAnsi" w:hAnsiTheme="minorHAnsi"/>
          <w:color w:val="000000"/>
          <w:sz w:val="18"/>
          <w:szCs w:val="18"/>
        </w:rPr>
      </w:pPr>
      <w:r w:rsidRPr="00D45DD1">
        <w:rPr>
          <w:rFonts w:eastAsia="HiddenHorzOCR"/>
          <w:color w:val="000000" w:themeColor="text1"/>
          <w:szCs w:val="24"/>
        </w:rPr>
        <w:t xml:space="preserve">In December 2007, two </w:t>
      </w:r>
      <w:r w:rsidR="00704D61" w:rsidRPr="00D45DD1">
        <w:rPr>
          <w:rFonts w:eastAsia="HiddenHorzOCR"/>
          <w:color w:val="000000" w:themeColor="text1"/>
          <w:szCs w:val="24"/>
        </w:rPr>
        <w:t>years from</w:t>
      </w:r>
      <w:r w:rsidRPr="00D45DD1">
        <w:rPr>
          <w:rFonts w:eastAsia="HiddenHorzOCR"/>
          <w:color w:val="000000" w:themeColor="text1"/>
          <w:szCs w:val="24"/>
        </w:rPr>
        <w:t xml:space="preserve"> </w:t>
      </w:r>
      <w:r w:rsidR="00704D61" w:rsidRPr="00D45DD1">
        <w:rPr>
          <w:rFonts w:eastAsia="HiddenHorzOCR"/>
          <w:color w:val="000000" w:themeColor="text1"/>
          <w:szCs w:val="24"/>
        </w:rPr>
        <w:t>permanent separation</w:t>
      </w:r>
      <w:r w:rsidRPr="00D45DD1">
        <w:rPr>
          <w:rFonts w:eastAsia="HiddenHorzOCR"/>
          <w:color w:val="000000" w:themeColor="text1"/>
          <w:szCs w:val="24"/>
        </w:rPr>
        <w:t xml:space="preserve">, the CI had a worsening of his depression with suicidal ideation and was hospitalized </w:t>
      </w:r>
      <w:r w:rsidR="00E54D1E" w:rsidRPr="00D45DD1">
        <w:rPr>
          <w:rFonts w:eastAsia="HiddenHorzOCR"/>
          <w:color w:val="000000" w:themeColor="text1"/>
          <w:szCs w:val="24"/>
        </w:rPr>
        <w:t xml:space="preserve">again </w:t>
      </w:r>
      <w:r w:rsidRPr="00D45DD1">
        <w:rPr>
          <w:rFonts w:eastAsia="HiddenHorzOCR"/>
          <w:color w:val="000000" w:themeColor="text1"/>
          <w:szCs w:val="24"/>
        </w:rPr>
        <w:t>for four days.</w:t>
      </w:r>
      <w:r w:rsidR="00E52B52" w:rsidRPr="00D45DD1">
        <w:rPr>
          <w:rFonts w:eastAsia="HiddenHorzOCR"/>
          <w:color w:val="000000" w:themeColor="text1"/>
          <w:szCs w:val="24"/>
        </w:rPr>
        <w:t xml:space="preserve">  </w:t>
      </w:r>
      <w:r w:rsidRPr="00D45DD1">
        <w:rPr>
          <w:rFonts w:eastAsia="HiddenHorzOCR"/>
          <w:color w:val="000000" w:themeColor="text1"/>
          <w:szCs w:val="24"/>
        </w:rPr>
        <w:t xml:space="preserve">Although this was remote from the time of </w:t>
      </w:r>
      <w:r w:rsidR="00704D61" w:rsidRPr="00D45DD1">
        <w:rPr>
          <w:rFonts w:eastAsia="HiddenHorzOCR"/>
          <w:color w:val="000000" w:themeColor="text1"/>
          <w:szCs w:val="24"/>
        </w:rPr>
        <w:t>permanent separation, this</w:t>
      </w:r>
      <w:r w:rsidR="00E52B52" w:rsidRPr="00D45DD1">
        <w:rPr>
          <w:rFonts w:eastAsia="HiddenHorzOCR"/>
          <w:color w:val="000000" w:themeColor="text1"/>
          <w:szCs w:val="24"/>
        </w:rPr>
        <w:t xml:space="preserve"> reinforces the </w:t>
      </w:r>
      <w:r w:rsidR="00704D61" w:rsidRPr="00D45DD1">
        <w:rPr>
          <w:rFonts w:eastAsia="HiddenHorzOCR"/>
          <w:color w:val="000000" w:themeColor="text1"/>
          <w:szCs w:val="24"/>
        </w:rPr>
        <w:t>worsening</w:t>
      </w:r>
      <w:r w:rsidR="00E52B52" w:rsidRPr="00D45DD1">
        <w:rPr>
          <w:rFonts w:eastAsia="HiddenHorzOCR"/>
          <w:color w:val="000000" w:themeColor="text1"/>
          <w:szCs w:val="24"/>
        </w:rPr>
        <w:t xml:space="preserve"> of the </w:t>
      </w:r>
      <w:r w:rsidR="00704D61" w:rsidRPr="00D45DD1">
        <w:rPr>
          <w:rFonts w:eastAsia="HiddenHorzOCR"/>
          <w:color w:val="000000" w:themeColor="text1"/>
          <w:szCs w:val="24"/>
        </w:rPr>
        <w:t>CI’s mental</w:t>
      </w:r>
      <w:r w:rsidR="00E52B52" w:rsidRPr="00D45DD1">
        <w:rPr>
          <w:rFonts w:eastAsia="HiddenHorzOCR"/>
          <w:color w:val="000000" w:themeColor="text1"/>
          <w:szCs w:val="24"/>
        </w:rPr>
        <w:t xml:space="preserve"> </w:t>
      </w:r>
      <w:r w:rsidR="00704D61" w:rsidRPr="00D45DD1">
        <w:rPr>
          <w:rFonts w:eastAsia="HiddenHorzOCR"/>
          <w:color w:val="000000" w:themeColor="text1"/>
          <w:szCs w:val="24"/>
        </w:rPr>
        <w:t>health condition</w:t>
      </w:r>
      <w:r w:rsidR="00E52B52" w:rsidRPr="00D45DD1">
        <w:rPr>
          <w:rFonts w:eastAsia="HiddenHorzOCR"/>
          <w:color w:val="000000" w:themeColor="text1"/>
          <w:szCs w:val="24"/>
        </w:rPr>
        <w:t>.  The GAF at the time of admission was 24</w:t>
      </w:r>
      <w:r w:rsidR="008A2753">
        <w:rPr>
          <w:rFonts w:eastAsia="HiddenHorzOCR"/>
          <w:color w:val="000000" w:themeColor="text1"/>
          <w:szCs w:val="24"/>
        </w:rPr>
        <w:t xml:space="preserve"> (</w:t>
      </w:r>
      <w:r w:rsidR="00E52B52" w:rsidRPr="00D45DD1">
        <w:rPr>
          <w:rFonts w:asciiTheme="minorHAnsi" w:hAnsiTheme="minorHAnsi"/>
          <w:color w:val="000000"/>
          <w:szCs w:val="24"/>
        </w:rPr>
        <w:t>inability to function in almost all areas</w:t>
      </w:r>
      <w:r w:rsidR="008A2753">
        <w:rPr>
          <w:rFonts w:asciiTheme="minorHAnsi" w:hAnsiTheme="minorHAnsi"/>
          <w:color w:val="000000"/>
          <w:szCs w:val="24"/>
        </w:rPr>
        <w:t>)</w:t>
      </w:r>
      <w:r w:rsidR="00E52B52" w:rsidRPr="00D45DD1">
        <w:rPr>
          <w:rFonts w:asciiTheme="minorHAnsi" w:hAnsiTheme="minorHAnsi"/>
          <w:color w:val="000000"/>
          <w:szCs w:val="24"/>
        </w:rPr>
        <w:t>.</w:t>
      </w:r>
      <w:r w:rsidR="006556BB" w:rsidRPr="00D45DD1">
        <w:rPr>
          <w:rFonts w:asciiTheme="minorHAnsi" w:hAnsiTheme="minorHAnsi"/>
          <w:color w:val="000000"/>
          <w:szCs w:val="24"/>
        </w:rPr>
        <w:t xml:space="preserve"> </w:t>
      </w:r>
      <w:r w:rsidR="008A2753">
        <w:rPr>
          <w:rFonts w:asciiTheme="minorHAnsi" w:hAnsiTheme="minorHAnsi"/>
          <w:color w:val="000000"/>
          <w:szCs w:val="24"/>
        </w:rPr>
        <w:t xml:space="preserve"> </w:t>
      </w:r>
      <w:r w:rsidR="006556BB" w:rsidRPr="00D45DD1">
        <w:rPr>
          <w:rFonts w:asciiTheme="minorHAnsi" w:hAnsiTheme="minorHAnsi"/>
          <w:color w:val="000000"/>
          <w:szCs w:val="24"/>
        </w:rPr>
        <w:t xml:space="preserve">The VA later increased his disability rating for PTSD to 100% effective </w:t>
      </w:r>
      <w:r w:rsidR="008A2753">
        <w:rPr>
          <w:rFonts w:asciiTheme="minorHAnsi" w:hAnsiTheme="minorHAnsi"/>
          <w:color w:val="000000"/>
          <w:szCs w:val="24"/>
        </w:rPr>
        <w:t xml:space="preserve">9 February </w:t>
      </w:r>
      <w:r w:rsidR="006556BB" w:rsidRPr="00D45DD1">
        <w:rPr>
          <w:rFonts w:asciiTheme="minorHAnsi" w:hAnsiTheme="minorHAnsi"/>
          <w:color w:val="000000"/>
          <w:szCs w:val="24"/>
        </w:rPr>
        <w:t xml:space="preserve">2008 and continued this rating </w:t>
      </w:r>
      <w:r w:rsidR="008A2753">
        <w:rPr>
          <w:rFonts w:asciiTheme="minorHAnsi" w:hAnsiTheme="minorHAnsi"/>
          <w:color w:val="000000"/>
          <w:szCs w:val="24"/>
        </w:rPr>
        <w:t xml:space="preserve">4 March </w:t>
      </w:r>
      <w:r w:rsidR="006556BB" w:rsidRPr="00D45DD1">
        <w:rPr>
          <w:rFonts w:asciiTheme="minorHAnsi" w:hAnsiTheme="minorHAnsi"/>
          <w:color w:val="000000"/>
          <w:szCs w:val="24"/>
        </w:rPr>
        <w:t xml:space="preserve">2011. </w:t>
      </w:r>
      <w:r w:rsidR="002F27EF" w:rsidRPr="00D45DD1">
        <w:rPr>
          <w:rFonts w:asciiTheme="minorHAnsi" w:hAnsiTheme="minorHAnsi"/>
          <w:color w:val="000000"/>
          <w:szCs w:val="24"/>
        </w:rPr>
        <w:t xml:space="preserve"> </w:t>
      </w:r>
      <w:r w:rsidR="006556BB" w:rsidRPr="00D45DD1">
        <w:rPr>
          <w:rFonts w:asciiTheme="minorHAnsi" w:hAnsiTheme="minorHAnsi"/>
          <w:color w:val="000000"/>
          <w:szCs w:val="24"/>
        </w:rPr>
        <w:t>The increased rating in 2008 was based on review of the CI’s psychiatric treatment records, both inpatient and outpatient, and an updated VA C&amp;P examination</w:t>
      </w:r>
      <w:r w:rsidR="00E54D1E" w:rsidRPr="00D45DD1">
        <w:rPr>
          <w:rFonts w:asciiTheme="minorHAnsi" w:hAnsiTheme="minorHAnsi"/>
          <w:color w:val="000000"/>
          <w:szCs w:val="24"/>
        </w:rPr>
        <w:t xml:space="preserve">. </w:t>
      </w:r>
      <w:r w:rsidR="002F27EF" w:rsidRPr="00D45DD1">
        <w:rPr>
          <w:rFonts w:asciiTheme="minorHAnsi" w:hAnsiTheme="minorHAnsi"/>
          <w:color w:val="000000"/>
          <w:szCs w:val="24"/>
        </w:rPr>
        <w:t xml:space="preserve"> </w:t>
      </w:r>
      <w:r w:rsidR="00E54D1E" w:rsidRPr="00D45DD1">
        <w:rPr>
          <w:rFonts w:asciiTheme="minorHAnsi" w:hAnsiTheme="minorHAnsi"/>
          <w:color w:val="000000"/>
          <w:szCs w:val="24"/>
        </w:rPr>
        <w:t>The C</w:t>
      </w:r>
      <w:r w:rsidR="00CF1070" w:rsidRPr="00D45DD1">
        <w:rPr>
          <w:rFonts w:asciiTheme="minorHAnsi" w:hAnsiTheme="minorHAnsi"/>
          <w:color w:val="000000"/>
          <w:szCs w:val="24"/>
        </w:rPr>
        <w:t>I</w:t>
      </w:r>
      <w:r w:rsidR="00E54D1E" w:rsidRPr="00D45DD1">
        <w:rPr>
          <w:rFonts w:asciiTheme="minorHAnsi" w:hAnsiTheme="minorHAnsi"/>
          <w:color w:val="000000"/>
          <w:szCs w:val="24"/>
        </w:rPr>
        <w:t xml:space="preserve"> was also changed to a desk job in early </w:t>
      </w:r>
      <w:r w:rsidR="002F27EF" w:rsidRPr="00D45DD1">
        <w:rPr>
          <w:rFonts w:asciiTheme="minorHAnsi" w:hAnsiTheme="minorHAnsi"/>
          <w:color w:val="000000"/>
          <w:szCs w:val="24"/>
        </w:rPr>
        <w:t>2006 because</w:t>
      </w:r>
      <w:r w:rsidR="00E54D1E" w:rsidRPr="00D45DD1">
        <w:rPr>
          <w:rFonts w:asciiTheme="minorHAnsi" w:hAnsiTheme="minorHAnsi"/>
          <w:color w:val="000000"/>
          <w:szCs w:val="24"/>
        </w:rPr>
        <w:t xml:space="preserve"> of his mental health condition and later that year he was encouraged to retire</w:t>
      </w:r>
      <w:r w:rsidR="00CF1070" w:rsidRPr="00D45DD1">
        <w:rPr>
          <w:rFonts w:asciiTheme="minorHAnsi" w:hAnsiTheme="minorHAnsi"/>
          <w:color w:val="000000"/>
          <w:szCs w:val="24"/>
        </w:rPr>
        <w:t>.</w:t>
      </w:r>
      <w:r w:rsidR="002F27EF" w:rsidRPr="00D45DD1">
        <w:rPr>
          <w:rFonts w:asciiTheme="minorHAnsi" w:hAnsiTheme="minorHAnsi"/>
          <w:color w:val="000000"/>
          <w:szCs w:val="24"/>
        </w:rPr>
        <w:t xml:space="preserve"> </w:t>
      </w:r>
      <w:r w:rsidR="00CF1070" w:rsidRPr="00D45DD1">
        <w:rPr>
          <w:rFonts w:asciiTheme="minorHAnsi" w:hAnsiTheme="minorHAnsi"/>
          <w:color w:val="000000"/>
          <w:szCs w:val="24"/>
        </w:rPr>
        <w:t xml:space="preserve"> He received a disability retirement from the Policemen’s Pension and Relief Fund of City of Parkersburg, WV on </w:t>
      </w:r>
      <w:r w:rsidR="008A2753">
        <w:rPr>
          <w:rFonts w:asciiTheme="minorHAnsi" w:hAnsiTheme="minorHAnsi"/>
          <w:color w:val="000000"/>
          <w:szCs w:val="24"/>
        </w:rPr>
        <w:t xml:space="preserve">4 February </w:t>
      </w:r>
      <w:r w:rsidR="00CF1070" w:rsidRPr="00D45DD1">
        <w:rPr>
          <w:rFonts w:asciiTheme="minorHAnsi" w:hAnsiTheme="minorHAnsi"/>
          <w:color w:val="000000"/>
          <w:szCs w:val="24"/>
        </w:rPr>
        <w:t>2008.</w:t>
      </w:r>
    </w:p>
    <w:p w:rsidR="00F814FE" w:rsidRPr="00D45DD1" w:rsidRDefault="00F814FE" w:rsidP="002F27EF">
      <w:pPr>
        <w:jc w:val="both"/>
        <w:rPr>
          <w:rFonts w:eastAsia="HiddenHorzOCR"/>
          <w:color w:val="000000" w:themeColor="text1"/>
          <w:szCs w:val="24"/>
          <w:u w:val="single"/>
        </w:rPr>
      </w:pPr>
    </w:p>
    <w:p w:rsidR="00F16937" w:rsidRDefault="009A13D9" w:rsidP="002F27EF">
      <w:pPr>
        <w:jc w:val="both"/>
        <w:rPr>
          <w:rFonts w:asciiTheme="minorHAnsi" w:hAnsiTheme="minorHAnsi"/>
          <w:color w:val="auto"/>
          <w:szCs w:val="24"/>
        </w:rPr>
      </w:pPr>
      <w:r w:rsidRPr="00F16937">
        <w:rPr>
          <w:rFonts w:asciiTheme="minorHAnsi" w:hAnsiTheme="minorHAnsi"/>
          <w:color w:val="auto"/>
          <w:szCs w:val="24"/>
        </w:rPr>
        <w:t xml:space="preserve">The PEB rating at final separation, as described above, was derived from DoDI 1332.39 and preceded the promulgation of the National Defense Authorization Act (NDAA) 2008 mandate for DoD adherence to the Veterans Administration Schedule for Rating Disabilities (VASRD) §4.129. IAW DoDI 6040.44 and </w:t>
      </w:r>
      <w:proofErr w:type="gramStart"/>
      <w:r w:rsidRPr="00F16937">
        <w:rPr>
          <w:rFonts w:asciiTheme="minorHAnsi" w:hAnsiTheme="minorHAnsi"/>
          <w:color w:val="auto"/>
          <w:szCs w:val="24"/>
        </w:rPr>
        <w:t>DoD</w:t>
      </w:r>
      <w:proofErr w:type="gramEnd"/>
      <w:r w:rsidRPr="00F16937">
        <w:rPr>
          <w:rFonts w:asciiTheme="minorHAnsi" w:hAnsiTheme="minorHAnsi"/>
          <w:color w:val="auto"/>
          <w:szCs w:val="24"/>
        </w:rPr>
        <w:t xml:space="preserve"> guidance (which applies current VASRD 4.129 to all Board cases)</w:t>
      </w:r>
      <w:r w:rsidR="002F27EF" w:rsidRPr="00F16937">
        <w:rPr>
          <w:rFonts w:asciiTheme="minorHAnsi" w:hAnsiTheme="minorHAnsi"/>
          <w:color w:val="auto"/>
          <w:szCs w:val="24"/>
        </w:rPr>
        <w:t>;</w:t>
      </w:r>
      <w:r w:rsidRPr="00F16937">
        <w:rPr>
          <w:rFonts w:asciiTheme="minorHAnsi" w:hAnsiTheme="minorHAnsi"/>
          <w:color w:val="auto"/>
          <w:szCs w:val="24"/>
        </w:rPr>
        <w:t xml:space="preserve"> the Board is obligated to recommend a minimum 50% PTSD rating for </w:t>
      </w:r>
      <w:r w:rsidR="006556BB" w:rsidRPr="00F16937">
        <w:rPr>
          <w:rFonts w:asciiTheme="minorHAnsi" w:hAnsiTheme="minorHAnsi"/>
          <w:color w:val="auto"/>
          <w:szCs w:val="24"/>
        </w:rPr>
        <w:t xml:space="preserve">the </w:t>
      </w:r>
      <w:r w:rsidRPr="00F16937">
        <w:rPr>
          <w:rFonts w:asciiTheme="minorHAnsi" w:hAnsiTheme="minorHAnsi"/>
          <w:color w:val="auto"/>
          <w:szCs w:val="24"/>
        </w:rPr>
        <w:t xml:space="preserve">period on the </w:t>
      </w:r>
      <w:r w:rsidR="008A2753" w:rsidRPr="00F16937">
        <w:rPr>
          <w:rFonts w:asciiTheme="minorHAnsi" w:hAnsiTheme="minorHAnsi"/>
          <w:color w:val="auto"/>
          <w:szCs w:val="24"/>
        </w:rPr>
        <w:t>TDRL</w:t>
      </w:r>
      <w:r w:rsidRPr="00F16937">
        <w:rPr>
          <w:rFonts w:asciiTheme="minorHAnsi" w:hAnsiTheme="minorHAnsi"/>
          <w:color w:val="auto"/>
          <w:szCs w:val="24"/>
        </w:rPr>
        <w:t>.  Since the Service was in compliance with the §4.129 TDRL requirement, the Board need not apply a constructive TDRL rating interval in this case; although, the 50% minimum TDRL rating remains applicable</w:t>
      </w:r>
      <w:r w:rsidR="00F16937" w:rsidRPr="00F16937">
        <w:rPr>
          <w:rFonts w:asciiTheme="minorHAnsi" w:hAnsiTheme="minorHAnsi"/>
          <w:color w:val="auto"/>
          <w:szCs w:val="24"/>
        </w:rPr>
        <w:t xml:space="preserve"> as above, as held by the Federal court in the Sabo V. United States </w:t>
      </w:r>
      <w:r w:rsidR="00F16937" w:rsidRPr="00F16937">
        <w:rPr>
          <w:rFonts w:asciiTheme="minorHAnsi" w:hAnsiTheme="minorHAnsi"/>
          <w:color w:val="auto"/>
          <w:szCs w:val="24"/>
        </w:rPr>
        <w:lastRenderedPageBreak/>
        <w:t>class action settlement</w:t>
      </w:r>
      <w:r w:rsidRPr="00F16937">
        <w:rPr>
          <w:rFonts w:asciiTheme="minorHAnsi" w:hAnsiTheme="minorHAnsi"/>
          <w:color w:val="auto"/>
          <w:szCs w:val="24"/>
        </w:rPr>
        <w:t>.  The Board must then determine the most appropriate fit with VASRD 4.130 criteria at the end of the TDRL interval for its permanent rating recommendation.</w:t>
      </w:r>
      <w:r w:rsidRPr="00D45DD1">
        <w:rPr>
          <w:rFonts w:asciiTheme="minorHAnsi" w:hAnsiTheme="minorHAnsi"/>
          <w:color w:val="auto"/>
          <w:szCs w:val="24"/>
        </w:rPr>
        <w:t xml:space="preserve">  </w:t>
      </w:r>
    </w:p>
    <w:p w:rsidR="00F16937" w:rsidRDefault="00F16937" w:rsidP="002F27EF">
      <w:pPr>
        <w:jc w:val="both"/>
        <w:rPr>
          <w:rFonts w:asciiTheme="minorHAnsi" w:hAnsiTheme="minorHAnsi"/>
          <w:color w:val="auto"/>
          <w:szCs w:val="24"/>
        </w:rPr>
      </w:pPr>
    </w:p>
    <w:p w:rsidR="009A13D9" w:rsidRPr="00D45DD1" w:rsidRDefault="009A13D9" w:rsidP="002F27EF">
      <w:pPr>
        <w:jc w:val="both"/>
        <w:rPr>
          <w:rFonts w:asciiTheme="minorHAnsi" w:hAnsiTheme="minorHAnsi"/>
          <w:color w:val="auto"/>
          <w:szCs w:val="24"/>
        </w:rPr>
      </w:pPr>
      <w:r w:rsidRPr="00D45DD1">
        <w:rPr>
          <w:rFonts w:asciiTheme="minorHAnsi" w:hAnsiTheme="minorHAnsi"/>
          <w:color w:val="auto"/>
          <w:szCs w:val="24"/>
        </w:rPr>
        <w:t xml:space="preserve">The most proximate source of comprehensive evidence on which to base the permanent rating recommendation in this case is the TDRL narrative summary, performed </w:t>
      </w:r>
      <w:r w:rsidR="00E75A6D" w:rsidRPr="00D45DD1">
        <w:rPr>
          <w:rFonts w:asciiTheme="minorHAnsi" w:hAnsiTheme="minorHAnsi"/>
          <w:color w:val="auto"/>
          <w:szCs w:val="24"/>
        </w:rPr>
        <w:t xml:space="preserve">21 </w:t>
      </w:r>
      <w:r w:rsidRPr="00D45DD1">
        <w:rPr>
          <w:rFonts w:asciiTheme="minorHAnsi" w:hAnsiTheme="minorHAnsi"/>
          <w:color w:val="auto"/>
          <w:szCs w:val="24"/>
        </w:rPr>
        <w:t xml:space="preserve">months after being placed on TDRL and </w:t>
      </w:r>
      <w:r w:rsidR="00E52B52" w:rsidRPr="00D45DD1">
        <w:rPr>
          <w:rFonts w:asciiTheme="minorHAnsi" w:hAnsiTheme="minorHAnsi"/>
          <w:color w:val="auto"/>
          <w:szCs w:val="24"/>
        </w:rPr>
        <w:t>3</w:t>
      </w:r>
      <w:r w:rsidRPr="00D45DD1">
        <w:rPr>
          <w:rFonts w:asciiTheme="minorHAnsi" w:hAnsiTheme="minorHAnsi"/>
          <w:color w:val="auto"/>
          <w:szCs w:val="24"/>
        </w:rPr>
        <w:t xml:space="preserve"> months prior to </w:t>
      </w:r>
      <w:r w:rsidR="006556BB" w:rsidRPr="00D45DD1">
        <w:rPr>
          <w:rFonts w:asciiTheme="minorHAnsi" w:hAnsiTheme="minorHAnsi"/>
          <w:color w:val="auto"/>
          <w:szCs w:val="24"/>
        </w:rPr>
        <w:t>the FPEB</w:t>
      </w:r>
      <w:r w:rsidRPr="00D45DD1">
        <w:rPr>
          <w:rFonts w:asciiTheme="minorHAnsi" w:hAnsiTheme="minorHAnsi"/>
          <w:color w:val="auto"/>
          <w:szCs w:val="24"/>
        </w:rPr>
        <w:t xml:space="preserve">.  </w:t>
      </w:r>
      <w:r w:rsidR="006556BB" w:rsidRPr="00D45DD1">
        <w:rPr>
          <w:rFonts w:asciiTheme="minorHAnsi" w:hAnsiTheme="minorHAnsi"/>
          <w:color w:val="auto"/>
          <w:szCs w:val="24"/>
        </w:rPr>
        <w:t>However, the Board must also consider the hospital admission for suicidal ideation prior to the convening of the FPEB.</w:t>
      </w:r>
    </w:p>
    <w:p w:rsidR="009A13D9" w:rsidRPr="00D45DD1" w:rsidRDefault="009A13D9" w:rsidP="002F27EF">
      <w:pPr>
        <w:jc w:val="both"/>
        <w:rPr>
          <w:rFonts w:asciiTheme="minorHAnsi" w:eastAsiaTheme="minorHAnsi" w:hAnsiTheme="minorHAnsi"/>
          <w:color w:val="auto"/>
          <w:szCs w:val="24"/>
        </w:rPr>
      </w:pPr>
    </w:p>
    <w:p w:rsidR="00F814FE" w:rsidRPr="00D45DD1" w:rsidRDefault="009A13D9" w:rsidP="002F27EF">
      <w:pPr>
        <w:jc w:val="both"/>
        <w:rPr>
          <w:rFonts w:asciiTheme="minorHAnsi" w:hAnsiTheme="minorHAnsi"/>
          <w:color w:val="auto"/>
          <w:szCs w:val="24"/>
        </w:rPr>
      </w:pPr>
      <w:r w:rsidRPr="00D45DD1">
        <w:rPr>
          <w:rFonts w:asciiTheme="minorHAnsi" w:eastAsiaTheme="minorHAnsi" w:hAnsiTheme="minorHAnsi"/>
          <w:color w:val="auto"/>
          <w:szCs w:val="24"/>
        </w:rPr>
        <w:t>The Board directs it attention to its rating recommendations based on the evidence just described.  As regards the permanent rating recommendation, all members agreed that the §4.130 threshold for a 50% rating was not approached.  The deliberations settled on arguments for a 30% versus a 10% permane</w:t>
      </w:r>
      <w:r w:rsidR="00E75A6D" w:rsidRPr="00D45DD1">
        <w:rPr>
          <w:rFonts w:asciiTheme="minorHAnsi" w:eastAsiaTheme="minorHAnsi" w:hAnsiTheme="minorHAnsi"/>
          <w:color w:val="auto"/>
          <w:szCs w:val="24"/>
        </w:rPr>
        <w:t>nt rating recommendation.  The B</w:t>
      </w:r>
      <w:r w:rsidRPr="00D45DD1">
        <w:rPr>
          <w:rFonts w:asciiTheme="minorHAnsi" w:eastAsiaTheme="minorHAnsi" w:hAnsiTheme="minorHAnsi"/>
          <w:color w:val="auto"/>
          <w:szCs w:val="24"/>
        </w:rPr>
        <w:t xml:space="preserve">oard noted that at the examination most proximate to the end of TDRL that the CI </w:t>
      </w:r>
      <w:r w:rsidR="00CF1070" w:rsidRPr="00D45DD1">
        <w:rPr>
          <w:rFonts w:asciiTheme="minorHAnsi" w:eastAsiaTheme="minorHAnsi" w:hAnsiTheme="minorHAnsi"/>
          <w:color w:val="auto"/>
          <w:szCs w:val="24"/>
        </w:rPr>
        <w:t xml:space="preserve">had noted only some improvement in his </w:t>
      </w:r>
      <w:r w:rsidRPr="00D45DD1">
        <w:rPr>
          <w:rFonts w:asciiTheme="minorHAnsi" w:eastAsiaTheme="minorHAnsi" w:hAnsiTheme="minorHAnsi"/>
          <w:color w:val="auto"/>
          <w:szCs w:val="24"/>
        </w:rPr>
        <w:t>depression</w:t>
      </w:r>
      <w:r w:rsidR="00CF1070" w:rsidRPr="00D45DD1">
        <w:rPr>
          <w:rFonts w:asciiTheme="minorHAnsi" w:eastAsiaTheme="minorHAnsi" w:hAnsiTheme="minorHAnsi"/>
          <w:color w:val="auto"/>
          <w:szCs w:val="24"/>
        </w:rPr>
        <w:t xml:space="preserve"> since he had been placed on</w:t>
      </w:r>
      <w:r w:rsidR="00E535CB" w:rsidRPr="00D45DD1">
        <w:rPr>
          <w:rFonts w:asciiTheme="minorHAnsi" w:eastAsiaTheme="minorHAnsi" w:hAnsiTheme="minorHAnsi"/>
          <w:color w:val="auto"/>
          <w:szCs w:val="24"/>
        </w:rPr>
        <w:t xml:space="preserve"> </w:t>
      </w:r>
      <w:r w:rsidR="00CF1070" w:rsidRPr="00D45DD1">
        <w:rPr>
          <w:rFonts w:asciiTheme="minorHAnsi" w:eastAsiaTheme="minorHAnsi" w:hAnsiTheme="minorHAnsi"/>
          <w:color w:val="auto"/>
          <w:szCs w:val="24"/>
        </w:rPr>
        <w:t>t</w:t>
      </w:r>
      <w:r w:rsidR="00E535CB" w:rsidRPr="00D45DD1">
        <w:rPr>
          <w:rFonts w:asciiTheme="minorHAnsi" w:eastAsiaTheme="minorHAnsi" w:hAnsiTheme="minorHAnsi"/>
          <w:color w:val="auto"/>
          <w:szCs w:val="24"/>
        </w:rPr>
        <w:t>he</w:t>
      </w:r>
      <w:r w:rsidR="00CF1070" w:rsidRPr="00D45DD1">
        <w:rPr>
          <w:rFonts w:asciiTheme="minorHAnsi" w:eastAsiaTheme="minorHAnsi" w:hAnsiTheme="minorHAnsi"/>
          <w:color w:val="auto"/>
          <w:szCs w:val="24"/>
        </w:rPr>
        <w:t xml:space="preserve"> TDRL. </w:t>
      </w:r>
      <w:r w:rsidR="00AE1CD8">
        <w:rPr>
          <w:rFonts w:asciiTheme="minorHAnsi" w:eastAsiaTheme="minorHAnsi" w:hAnsiTheme="minorHAnsi"/>
          <w:color w:val="auto"/>
          <w:szCs w:val="24"/>
        </w:rPr>
        <w:t xml:space="preserve"> </w:t>
      </w:r>
      <w:r w:rsidR="00CF1070" w:rsidRPr="00D45DD1">
        <w:rPr>
          <w:rFonts w:asciiTheme="minorHAnsi" w:eastAsiaTheme="minorHAnsi" w:hAnsiTheme="minorHAnsi"/>
          <w:color w:val="auto"/>
          <w:szCs w:val="24"/>
        </w:rPr>
        <w:t>He still had</w:t>
      </w:r>
      <w:r w:rsidRPr="00D45DD1">
        <w:rPr>
          <w:rFonts w:asciiTheme="minorHAnsi" w:eastAsiaTheme="minorHAnsi" w:hAnsiTheme="minorHAnsi"/>
          <w:color w:val="auto"/>
          <w:szCs w:val="24"/>
        </w:rPr>
        <w:t xml:space="preserve"> </w:t>
      </w:r>
      <w:r w:rsidR="00E75A6D" w:rsidRPr="00D45DD1">
        <w:rPr>
          <w:rFonts w:asciiTheme="minorHAnsi" w:eastAsiaTheme="minorHAnsi" w:hAnsiTheme="minorHAnsi"/>
          <w:color w:val="auto"/>
          <w:szCs w:val="24"/>
        </w:rPr>
        <w:t>feelings of detachment</w:t>
      </w:r>
      <w:r w:rsidR="0031327A" w:rsidRPr="00D45DD1">
        <w:rPr>
          <w:rFonts w:asciiTheme="minorHAnsi" w:eastAsiaTheme="minorHAnsi" w:hAnsiTheme="minorHAnsi"/>
          <w:color w:val="auto"/>
          <w:szCs w:val="24"/>
        </w:rPr>
        <w:t xml:space="preserve"> from fellow police officers</w:t>
      </w:r>
      <w:r w:rsidRPr="00D45DD1">
        <w:rPr>
          <w:rFonts w:asciiTheme="minorHAnsi" w:eastAsiaTheme="minorHAnsi" w:hAnsiTheme="minorHAnsi"/>
          <w:color w:val="auto"/>
          <w:szCs w:val="24"/>
        </w:rPr>
        <w:t xml:space="preserve">, </w:t>
      </w:r>
      <w:r w:rsidR="00CF1070" w:rsidRPr="00D45DD1">
        <w:rPr>
          <w:rFonts w:asciiTheme="minorHAnsi" w:eastAsiaTheme="minorHAnsi" w:hAnsiTheme="minorHAnsi"/>
          <w:color w:val="auto"/>
          <w:szCs w:val="24"/>
        </w:rPr>
        <w:t xml:space="preserve">insomnia and </w:t>
      </w:r>
      <w:r w:rsidR="0031327A" w:rsidRPr="00D45DD1">
        <w:rPr>
          <w:rFonts w:asciiTheme="minorHAnsi" w:eastAsiaTheme="minorHAnsi" w:hAnsiTheme="minorHAnsi"/>
          <w:color w:val="auto"/>
          <w:szCs w:val="24"/>
        </w:rPr>
        <w:t>nightmares</w:t>
      </w:r>
      <w:r w:rsidRPr="00D45DD1">
        <w:rPr>
          <w:rFonts w:asciiTheme="minorHAnsi" w:eastAsiaTheme="minorHAnsi" w:hAnsiTheme="minorHAnsi"/>
          <w:color w:val="auto"/>
          <w:szCs w:val="24"/>
        </w:rPr>
        <w:t>, and</w:t>
      </w:r>
      <w:r w:rsidR="00CF1070" w:rsidRPr="00D45DD1">
        <w:rPr>
          <w:rFonts w:asciiTheme="minorHAnsi" w:eastAsiaTheme="minorHAnsi" w:hAnsiTheme="minorHAnsi"/>
          <w:color w:val="auto"/>
          <w:szCs w:val="24"/>
        </w:rPr>
        <w:t xml:space="preserve"> panic attacks now only once or twice a month.  A</w:t>
      </w:r>
      <w:r w:rsidRPr="00D45DD1">
        <w:rPr>
          <w:rFonts w:asciiTheme="minorHAnsi" w:eastAsiaTheme="minorHAnsi" w:hAnsiTheme="minorHAnsi"/>
          <w:color w:val="auto"/>
          <w:szCs w:val="24"/>
        </w:rPr>
        <w:t>lthough he was working full time-his job</w:t>
      </w:r>
      <w:r w:rsidR="0031327A" w:rsidRPr="00D45DD1">
        <w:rPr>
          <w:rFonts w:asciiTheme="minorHAnsi" w:eastAsiaTheme="minorHAnsi" w:hAnsiTheme="minorHAnsi"/>
          <w:color w:val="auto"/>
          <w:szCs w:val="24"/>
        </w:rPr>
        <w:t xml:space="preserve"> as a Lieutenant on the </w:t>
      </w:r>
      <w:r w:rsidR="00704D61" w:rsidRPr="00D45DD1">
        <w:rPr>
          <w:rFonts w:asciiTheme="minorHAnsi" w:eastAsiaTheme="minorHAnsi" w:hAnsiTheme="minorHAnsi"/>
          <w:color w:val="auto"/>
          <w:szCs w:val="24"/>
        </w:rPr>
        <w:t>night</w:t>
      </w:r>
      <w:r w:rsidR="0031327A" w:rsidRPr="00D45DD1">
        <w:rPr>
          <w:rFonts w:asciiTheme="minorHAnsi" w:eastAsiaTheme="minorHAnsi" w:hAnsiTheme="minorHAnsi"/>
          <w:color w:val="auto"/>
          <w:szCs w:val="24"/>
        </w:rPr>
        <w:t xml:space="preserve"> </w:t>
      </w:r>
      <w:r w:rsidR="00704D61" w:rsidRPr="00D45DD1">
        <w:rPr>
          <w:rFonts w:asciiTheme="minorHAnsi" w:eastAsiaTheme="minorHAnsi" w:hAnsiTheme="minorHAnsi"/>
          <w:color w:val="auto"/>
          <w:szCs w:val="24"/>
        </w:rPr>
        <w:t>shift allowed</w:t>
      </w:r>
      <w:r w:rsidRPr="00D45DD1">
        <w:rPr>
          <w:rFonts w:asciiTheme="minorHAnsi" w:eastAsiaTheme="minorHAnsi" w:hAnsiTheme="minorHAnsi"/>
          <w:color w:val="auto"/>
          <w:szCs w:val="24"/>
        </w:rPr>
        <w:t xml:space="preserve"> </w:t>
      </w:r>
      <w:r w:rsidR="00704D61" w:rsidRPr="00D45DD1">
        <w:rPr>
          <w:rFonts w:asciiTheme="minorHAnsi" w:eastAsiaTheme="minorHAnsi" w:hAnsiTheme="minorHAnsi"/>
          <w:color w:val="auto"/>
          <w:szCs w:val="24"/>
        </w:rPr>
        <w:t>him to</w:t>
      </w:r>
      <w:r w:rsidR="0031327A" w:rsidRPr="00D45DD1">
        <w:rPr>
          <w:rFonts w:asciiTheme="minorHAnsi" w:eastAsiaTheme="minorHAnsi" w:hAnsiTheme="minorHAnsi"/>
          <w:color w:val="auto"/>
          <w:szCs w:val="24"/>
        </w:rPr>
        <w:t xml:space="preserve"> have </w:t>
      </w:r>
      <w:r w:rsidR="00704D61" w:rsidRPr="00D45DD1">
        <w:rPr>
          <w:rFonts w:asciiTheme="minorHAnsi" w:eastAsiaTheme="minorHAnsi" w:hAnsiTheme="minorHAnsi"/>
          <w:color w:val="auto"/>
          <w:szCs w:val="24"/>
        </w:rPr>
        <w:t>fewer distractions</w:t>
      </w:r>
      <w:r w:rsidR="00D757B6" w:rsidRPr="00D45DD1">
        <w:rPr>
          <w:rFonts w:asciiTheme="minorHAnsi" w:eastAsiaTheme="minorHAnsi" w:hAnsiTheme="minorHAnsi"/>
          <w:color w:val="auto"/>
          <w:szCs w:val="24"/>
        </w:rPr>
        <w:t xml:space="preserve"> and he was switched to a desk job within twelve months </w:t>
      </w:r>
      <w:r w:rsidR="00C15168" w:rsidRPr="00D45DD1">
        <w:rPr>
          <w:rFonts w:asciiTheme="minorHAnsi" w:eastAsiaTheme="minorHAnsi" w:hAnsiTheme="minorHAnsi"/>
          <w:color w:val="auto"/>
          <w:szCs w:val="24"/>
        </w:rPr>
        <w:t>of</w:t>
      </w:r>
      <w:r w:rsidR="00D757B6" w:rsidRPr="00D45DD1">
        <w:rPr>
          <w:rFonts w:asciiTheme="minorHAnsi" w:eastAsiaTheme="minorHAnsi" w:hAnsiTheme="minorHAnsi"/>
          <w:color w:val="auto"/>
          <w:szCs w:val="24"/>
        </w:rPr>
        <w:t xml:space="preserve"> separating</w:t>
      </w:r>
      <w:r w:rsidRPr="00D45DD1">
        <w:rPr>
          <w:rFonts w:asciiTheme="minorHAnsi" w:eastAsiaTheme="minorHAnsi" w:hAnsiTheme="minorHAnsi"/>
          <w:color w:val="auto"/>
          <w:szCs w:val="24"/>
        </w:rPr>
        <w:t xml:space="preserve">.  </w:t>
      </w:r>
      <w:r w:rsidR="00CF1070" w:rsidRPr="00D45DD1">
        <w:rPr>
          <w:rFonts w:asciiTheme="minorHAnsi" w:eastAsiaTheme="minorHAnsi" w:hAnsiTheme="minorHAnsi"/>
          <w:color w:val="auto"/>
          <w:szCs w:val="24"/>
        </w:rPr>
        <w:t>He still required medications and as seeing a psychiatrist monthly</w:t>
      </w:r>
      <w:r w:rsidR="00E535CB" w:rsidRPr="00D45DD1">
        <w:rPr>
          <w:rFonts w:asciiTheme="minorHAnsi" w:eastAsiaTheme="minorHAnsi" w:hAnsiTheme="minorHAnsi"/>
          <w:color w:val="auto"/>
          <w:szCs w:val="24"/>
        </w:rPr>
        <w:t xml:space="preserve">. </w:t>
      </w:r>
      <w:r w:rsidR="00AE1CD8">
        <w:rPr>
          <w:rFonts w:asciiTheme="minorHAnsi" w:eastAsiaTheme="minorHAnsi" w:hAnsiTheme="minorHAnsi"/>
          <w:color w:val="auto"/>
          <w:szCs w:val="24"/>
        </w:rPr>
        <w:t xml:space="preserve"> </w:t>
      </w:r>
      <w:r w:rsidR="00E535CB" w:rsidRPr="00D45DD1">
        <w:rPr>
          <w:rFonts w:asciiTheme="minorHAnsi" w:eastAsiaTheme="minorHAnsi" w:hAnsiTheme="minorHAnsi"/>
          <w:color w:val="auto"/>
          <w:szCs w:val="24"/>
        </w:rPr>
        <w:t xml:space="preserve">His GAF of 65 was </w:t>
      </w:r>
      <w:r w:rsidR="002F27EF" w:rsidRPr="00D45DD1">
        <w:rPr>
          <w:rFonts w:asciiTheme="minorHAnsi" w:eastAsiaTheme="minorHAnsi" w:hAnsiTheme="minorHAnsi"/>
          <w:color w:val="auto"/>
          <w:szCs w:val="24"/>
        </w:rPr>
        <w:t>unchanged</w:t>
      </w:r>
      <w:r w:rsidR="00E535CB" w:rsidRPr="00D45DD1">
        <w:rPr>
          <w:rFonts w:asciiTheme="minorHAnsi" w:eastAsiaTheme="minorHAnsi" w:hAnsiTheme="minorHAnsi"/>
          <w:color w:val="auto"/>
          <w:szCs w:val="24"/>
        </w:rPr>
        <w:t xml:space="preserve"> from the time he entered TDRL.</w:t>
      </w:r>
      <w:r w:rsidR="00AE1CD8">
        <w:rPr>
          <w:rFonts w:asciiTheme="minorHAnsi" w:eastAsiaTheme="minorHAnsi" w:hAnsiTheme="minorHAnsi"/>
          <w:color w:val="auto"/>
          <w:szCs w:val="24"/>
        </w:rPr>
        <w:t xml:space="preserve"> </w:t>
      </w:r>
      <w:r w:rsidR="00E535CB" w:rsidRPr="00D45DD1">
        <w:rPr>
          <w:rFonts w:asciiTheme="minorHAnsi" w:eastAsiaTheme="minorHAnsi" w:hAnsiTheme="minorHAnsi"/>
          <w:color w:val="auto"/>
          <w:szCs w:val="24"/>
        </w:rPr>
        <w:t xml:space="preserve"> </w:t>
      </w:r>
      <w:r w:rsidRPr="00D45DD1">
        <w:rPr>
          <w:rFonts w:asciiTheme="minorHAnsi" w:eastAsiaTheme="minorHAnsi" w:hAnsiTheme="minorHAnsi"/>
          <w:color w:val="auto"/>
          <w:szCs w:val="24"/>
        </w:rPr>
        <w:t xml:space="preserve">Thus the 30% description </w:t>
      </w:r>
      <w:r w:rsidRPr="00D45DD1">
        <w:rPr>
          <w:rFonts w:asciiTheme="minorHAnsi" w:hAnsiTheme="minorHAnsi"/>
          <w:color w:val="auto"/>
          <w:szCs w:val="24"/>
        </w:rPr>
        <w:t>(occupational and social impairment with occasional decrease in work efficiency and intermittent periods of inability</w:t>
      </w:r>
      <w:r w:rsidR="00AE1CD8">
        <w:rPr>
          <w:rFonts w:asciiTheme="minorHAnsi" w:hAnsiTheme="minorHAnsi"/>
          <w:color w:val="auto"/>
          <w:szCs w:val="24"/>
        </w:rPr>
        <w:t xml:space="preserve"> to perform occupational tasks [</w:t>
      </w:r>
      <w:r w:rsidRPr="00D45DD1">
        <w:rPr>
          <w:rFonts w:asciiTheme="minorHAnsi" w:hAnsiTheme="minorHAnsi"/>
          <w:color w:val="auto"/>
          <w:szCs w:val="24"/>
        </w:rPr>
        <w:t>although generally functioning satisfactorily, with routine behavior, sel</w:t>
      </w:r>
      <w:r w:rsidR="00AE1CD8">
        <w:rPr>
          <w:rFonts w:asciiTheme="minorHAnsi" w:hAnsiTheme="minorHAnsi"/>
          <w:color w:val="auto"/>
          <w:szCs w:val="24"/>
        </w:rPr>
        <w:t>f-care, and conversation normal]</w:t>
      </w:r>
      <w:r w:rsidRPr="00D45DD1">
        <w:rPr>
          <w:rFonts w:asciiTheme="minorHAnsi" w:hAnsiTheme="minorHAnsi"/>
          <w:color w:val="auto"/>
          <w:szCs w:val="24"/>
        </w:rPr>
        <w:t>) aligns with the evidence in this case.  After due deliberation, considering all of the evidence and mindful of VASRD §4.3 (reasonable doubt), the Board recommends a separation rating of 30</w:t>
      </w:r>
      <w:r w:rsidR="002F27EF" w:rsidRPr="00D45DD1">
        <w:rPr>
          <w:rFonts w:asciiTheme="minorHAnsi" w:hAnsiTheme="minorHAnsi"/>
          <w:color w:val="auto"/>
          <w:szCs w:val="24"/>
        </w:rPr>
        <w:t>% for</w:t>
      </w:r>
      <w:r w:rsidRPr="00D45DD1">
        <w:rPr>
          <w:rFonts w:asciiTheme="minorHAnsi" w:hAnsiTheme="minorHAnsi"/>
          <w:color w:val="auto"/>
          <w:szCs w:val="24"/>
        </w:rPr>
        <w:t xml:space="preserve"> the PTSD cond</w:t>
      </w:r>
      <w:r w:rsidR="00552F2B" w:rsidRPr="00D45DD1">
        <w:rPr>
          <w:rFonts w:asciiTheme="minorHAnsi" w:hAnsiTheme="minorHAnsi"/>
          <w:color w:val="auto"/>
          <w:szCs w:val="24"/>
        </w:rPr>
        <w:t>ition</w:t>
      </w:r>
    </w:p>
    <w:p w:rsidR="00F814FE" w:rsidRPr="00D45DD1" w:rsidRDefault="00F814FE" w:rsidP="002F27EF">
      <w:pPr>
        <w:jc w:val="both"/>
        <w:rPr>
          <w:rFonts w:eastAsia="HiddenHorzOCR"/>
          <w:color w:val="000000" w:themeColor="text1"/>
          <w:szCs w:val="24"/>
          <w:u w:val="single"/>
        </w:rPr>
      </w:pPr>
    </w:p>
    <w:p w:rsidR="00A02AA8" w:rsidRPr="00D45DD1" w:rsidRDefault="003C5B54" w:rsidP="002F27EF">
      <w:pPr>
        <w:jc w:val="both"/>
        <w:rPr>
          <w:color w:val="000000" w:themeColor="text1"/>
          <w:szCs w:val="24"/>
        </w:rPr>
      </w:pPr>
      <w:r w:rsidRPr="00D45DD1">
        <w:rPr>
          <w:color w:val="000000" w:themeColor="text1"/>
          <w:szCs w:val="24"/>
          <w:u w:val="single"/>
        </w:rPr>
        <w:t>Remaining Conditions.</w:t>
      </w:r>
      <w:r w:rsidRPr="00D45DD1">
        <w:rPr>
          <w:color w:val="000000" w:themeColor="text1"/>
          <w:szCs w:val="24"/>
        </w:rPr>
        <w:t xml:space="preserve">  </w:t>
      </w:r>
      <w:r w:rsidR="00A02AA8" w:rsidRPr="00D45DD1">
        <w:rPr>
          <w:color w:val="000000" w:themeColor="text1"/>
          <w:szCs w:val="24"/>
        </w:rPr>
        <w:t>Other conditions identified in the DES file were</w:t>
      </w:r>
      <w:r w:rsidR="00AE1CD8">
        <w:rPr>
          <w:color w:val="000000" w:themeColor="text1"/>
          <w:szCs w:val="24"/>
        </w:rPr>
        <w:t xml:space="preserve"> chronic cough, s</w:t>
      </w:r>
      <w:r w:rsidR="00552F2B" w:rsidRPr="00D45DD1">
        <w:rPr>
          <w:color w:val="000000" w:themeColor="text1"/>
          <w:szCs w:val="24"/>
        </w:rPr>
        <w:t xml:space="preserve">hortness </w:t>
      </w:r>
      <w:r w:rsidR="00AE1CD8">
        <w:rPr>
          <w:color w:val="000000" w:themeColor="text1"/>
          <w:szCs w:val="24"/>
        </w:rPr>
        <w:t>of b</w:t>
      </w:r>
      <w:r w:rsidR="00704D61" w:rsidRPr="00D45DD1">
        <w:rPr>
          <w:color w:val="000000" w:themeColor="text1"/>
          <w:szCs w:val="24"/>
        </w:rPr>
        <w:t>reath with</w:t>
      </w:r>
      <w:r w:rsidR="00552F2B" w:rsidRPr="00D45DD1">
        <w:rPr>
          <w:color w:val="000000" w:themeColor="text1"/>
          <w:szCs w:val="24"/>
        </w:rPr>
        <w:t xml:space="preserve"> </w:t>
      </w:r>
      <w:r w:rsidR="00AE1CD8">
        <w:rPr>
          <w:color w:val="000000" w:themeColor="text1"/>
          <w:szCs w:val="24"/>
        </w:rPr>
        <w:t>panic attacks, h</w:t>
      </w:r>
      <w:r w:rsidR="00552F2B" w:rsidRPr="00D45DD1">
        <w:rPr>
          <w:color w:val="000000" w:themeColor="text1"/>
          <w:szCs w:val="24"/>
        </w:rPr>
        <w:t xml:space="preserve">istory </w:t>
      </w:r>
      <w:r w:rsidR="00704D61" w:rsidRPr="00D45DD1">
        <w:rPr>
          <w:color w:val="000000" w:themeColor="text1"/>
          <w:szCs w:val="24"/>
        </w:rPr>
        <w:t>of</w:t>
      </w:r>
      <w:r w:rsidR="00AE1CD8">
        <w:rPr>
          <w:color w:val="000000" w:themeColor="text1"/>
          <w:szCs w:val="24"/>
        </w:rPr>
        <w:t xml:space="preserve"> bronchitis, b</w:t>
      </w:r>
      <w:r w:rsidR="00552F2B" w:rsidRPr="00D45DD1">
        <w:rPr>
          <w:color w:val="000000" w:themeColor="text1"/>
          <w:szCs w:val="24"/>
        </w:rPr>
        <w:t xml:space="preserve">ilateral </w:t>
      </w:r>
      <w:proofErr w:type="spellStart"/>
      <w:r w:rsidR="00AE1CD8">
        <w:rPr>
          <w:color w:val="000000" w:themeColor="text1"/>
          <w:szCs w:val="24"/>
        </w:rPr>
        <w:t>e</w:t>
      </w:r>
      <w:r w:rsidR="00507F4F" w:rsidRPr="00D45DD1">
        <w:rPr>
          <w:color w:val="000000" w:themeColor="text1"/>
          <w:szCs w:val="24"/>
        </w:rPr>
        <w:t>ustachian</w:t>
      </w:r>
      <w:proofErr w:type="spellEnd"/>
      <w:r w:rsidR="00507F4F" w:rsidRPr="00D45DD1">
        <w:rPr>
          <w:color w:val="000000" w:themeColor="text1"/>
          <w:szCs w:val="24"/>
        </w:rPr>
        <w:t xml:space="preserve"> </w:t>
      </w:r>
      <w:r w:rsidR="00AE1CD8">
        <w:rPr>
          <w:color w:val="000000" w:themeColor="text1"/>
          <w:szCs w:val="24"/>
        </w:rPr>
        <w:t>tube dysfunction, rhinitis, left index finger needle puncture, right knee s</w:t>
      </w:r>
      <w:r w:rsidR="00552F2B" w:rsidRPr="00D45DD1">
        <w:rPr>
          <w:color w:val="000000" w:themeColor="text1"/>
          <w:szCs w:val="24"/>
        </w:rPr>
        <w:t xml:space="preserve">hin </w:t>
      </w:r>
      <w:r w:rsidR="00AE1CD8">
        <w:rPr>
          <w:color w:val="000000" w:themeColor="text1"/>
          <w:szCs w:val="24"/>
        </w:rPr>
        <w:t>splint, d</w:t>
      </w:r>
      <w:r w:rsidR="00704D61" w:rsidRPr="00D45DD1">
        <w:rPr>
          <w:color w:val="000000" w:themeColor="text1"/>
          <w:szCs w:val="24"/>
        </w:rPr>
        <w:t>izziness</w:t>
      </w:r>
      <w:r w:rsidR="00AE1CD8">
        <w:rPr>
          <w:color w:val="000000" w:themeColor="text1"/>
          <w:szCs w:val="24"/>
        </w:rPr>
        <w:t>, headaches, heart palpitations, heartburn, c</w:t>
      </w:r>
      <w:r w:rsidR="00552F2B" w:rsidRPr="00D45DD1">
        <w:rPr>
          <w:color w:val="000000" w:themeColor="text1"/>
          <w:szCs w:val="24"/>
        </w:rPr>
        <w:t xml:space="preserve">hronic </w:t>
      </w:r>
      <w:r w:rsidR="00AE1CD8">
        <w:rPr>
          <w:color w:val="000000" w:themeColor="text1"/>
          <w:szCs w:val="24"/>
        </w:rPr>
        <w:t xml:space="preserve">ankle and back pain, hemorrhoids </w:t>
      </w:r>
      <w:proofErr w:type="spellStart"/>
      <w:r w:rsidR="00AE1CD8">
        <w:rPr>
          <w:color w:val="000000" w:themeColor="text1"/>
          <w:szCs w:val="24"/>
        </w:rPr>
        <w:t>lymphangitis</w:t>
      </w:r>
      <w:proofErr w:type="spellEnd"/>
      <w:r w:rsidR="00AE1CD8">
        <w:rPr>
          <w:color w:val="000000" w:themeColor="text1"/>
          <w:szCs w:val="24"/>
        </w:rPr>
        <w:t xml:space="preserve"> left lower extremity, </w:t>
      </w:r>
      <w:proofErr w:type="spellStart"/>
      <w:r w:rsidR="00AE1CD8">
        <w:rPr>
          <w:color w:val="000000" w:themeColor="text1"/>
          <w:szCs w:val="24"/>
        </w:rPr>
        <w:t>tinea</w:t>
      </w:r>
      <w:proofErr w:type="spellEnd"/>
      <w:r w:rsidR="00AE1CD8">
        <w:rPr>
          <w:color w:val="000000" w:themeColor="text1"/>
          <w:szCs w:val="24"/>
        </w:rPr>
        <w:t xml:space="preserve"> </w:t>
      </w:r>
      <w:proofErr w:type="spellStart"/>
      <w:r w:rsidR="00AE1CD8">
        <w:rPr>
          <w:color w:val="000000" w:themeColor="text1"/>
          <w:szCs w:val="24"/>
        </w:rPr>
        <w:t>c</w:t>
      </w:r>
      <w:r w:rsidR="00552F2B" w:rsidRPr="00D45DD1">
        <w:rPr>
          <w:color w:val="000000" w:themeColor="text1"/>
          <w:szCs w:val="24"/>
        </w:rPr>
        <w:t>rucis</w:t>
      </w:r>
      <w:proofErr w:type="spellEnd"/>
      <w:r w:rsidR="00D45DD1" w:rsidRPr="00D45DD1">
        <w:rPr>
          <w:color w:val="000000" w:themeColor="text1"/>
          <w:szCs w:val="24"/>
        </w:rPr>
        <w:t>,</w:t>
      </w:r>
      <w:r w:rsidR="00AE1CD8">
        <w:rPr>
          <w:color w:val="000000" w:themeColor="text1"/>
          <w:szCs w:val="24"/>
        </w:rPr>
        <w:t xml:space="preserve"> and </w:t>
      </w:r>
      <w:proofErr w:type="spellStart"/>
      <w:r w:rsidR="00AE1CD8">
        <w:rPr>
          <w:color w:val="000000" w:themeColor="text1"/>
          <w:szCs w:val="24"/>
        </w:rPr>
        <w:t>tinea</w:t>
      </w:r>
      <w:proofErr w:type="spellEnd"/>
      <w:r w:rsidR="00AE1CD8">
        <w:rPr>
          <w:color w:val="000000" w:themeColor="text1"/>
          <w:szCs w:val="24"/>
        </w:rPr>
        <w:t xml:space="preserve"> </w:t>
      </w:r>
      <w:proofErr w:type="spellStart"/>
      <w:r w:rsidR="00AE1CD8">
        <w:rPr>
          <w:color w:val="000000" w:themeColor="text1"/>
          <w:szCs w:val="24"/>
        </w:rPr>
        <w:t>p</w:t>
      </w:r>
      <w:r w:rsidR="00552F2B" w:rsidRPr="00D45DD1">
        <w:rPr>
          <w:color w:val="000000" w:themeColor="text1"/>
          <w:szCs w:val="24"/>
        </w:rPr>
        <w:t>edis</w:t>
      </w:r>
      <w:proofErr w:type="spellEnd"/>
      <w:r w:rsidR="00552F2B" w:rsidRPr="00D45DD1">
        <w:rPr>
          <w:color w:val="000000" w:themeColor="text1"/>
          <w:szCs w:val="24"/>
        </w:rPr>
        <w:t xml:space="preserve">. </w:t>
      </w:r>
      <w:r w:rsidR="00A02AA8" w:rsidRPr="00D45DD1">
        <w:rPr>
          <w:color w:val="000000" w:themeColor="text1"/>
          <w:szCs w:val="24"/>
        </w:rPr>
        <w:t xml:space="preserve"> Several additional non-acute conditions or medical complaints were also documented.  None of these conditions were significantly clinically or occupationally active during the MEB period</w:t>
      </w:r>
      <w:r w:rsidR="0080588E" w:rsidRPr="00D45DD1">
        <w:rPr>
          <w:color w:val="000000" w:themeColor="text1"/>
          <w:szCs w:val="24"/>
        </w:rPr>
        <w:t>,</w:t>
      </w:r>
      <w:r w:rsidR="00A02AA8" w:rsidRPr="00D45DD1">
        <w:rPr>
          <w:color w:val="000000" w:themeColor="text1"/>
          <w:szCs w:val="24"/>
        </w:rPr>
        <w:t xml:space="preserve"> none carried attached profiles</w:t>
      </w:r>
      <w:r w:rsidR="0080588E" w:rsidRPr="00D45DD1">
        <w:rPr>
          <w:color w:val="000000" w:themeColor="text1"/>
          <w:szCs w:val="24"/>
        </w:rPr>
        <w:t>,</w:t>
      </w:r>
      <w:r w:rsidR="00A02AA8" w:rsidRPr="00D45DD1">
        <w:rPr>
          <w:color w:val="000000" w:themeColor="text1"/>
          <w:szCs w:val="24"/>
        </w:rPr>
        <w:t xml:space="preserve"> and none were implicated in the </w:t>
      </w:r>
      <w:r w:rsidR="00AE1CD8">
        <w:rPr>
          <w:color w:val="000000" w:themeColor="text1"/>
          <w:szCs w:val="24"/>
        </w:rPr>
        <w:t>c</w:t>
      </w:r>
      <w:r w:rsidR="00A02AA8" w:rsidRPr="00D45DD1">
        <w:rPr>
          <w:color w:val="000000" w:themeColor="text1"/>
          <w:szCs w:val="24"/>
        </w:rPr>
        <w:t xml:space="preserve">ommander’s statement.  These conditions were reviewed by the </w:t>
      </w:r>
      <w:r w:rsidR="00AE1CD8">
        <w:rPr>
          <w:color w:val="000000" w:themeColor="text1"/>
          <w:szCs w:val="24"/>
        </w:rPr>
        <w:t>action o</w:t>
      </w:r>
      <w:r w:rsidR="0080588E" w:rsidRPr="00D45DD1">
        <w:rPr>
          <w:color w:val="000000" w:themeColor="text1"/>
          <w:szCs w:val="24"/>
        </w:rPr>
        <w:t xml:space="preserve">fficer </w:t>
      </w:r>
      <w:r w:rsidR="00A02AA8" w:rsidRPr="00D45DD1">
        <w:rPr>
          <w:color w:val="000000" w:themeColor="text1"/>
          <w:szCs w:val="24"/>
        </w:rPr>
        <w:t>and considered by the Board.  It was determined that none could be argued as unfitting and subject to separation rating</w:t>
      </w:r>
      <w:r w:rsidR="00507F4F" w:rsidRPr="00D45DD1">
        <w:rPr>
          <w:color w:val="000000" w:themeColor="text1"/>
          <w:szCs w:val="24"/>
        </w:rPr>
        <w:t>.</w:t>
      </w:r>
    </w:p>
    <w:p w:rsidR="001031F4" w:rsidRPr="00D45DD1" w:rsidRDefault="001031F4" w:rsidP="002F27EF">
      <w:pPr>
        <w:pBdr>
          <w:bottom w:val="single" w:sz="12" w:space="1" w:color="auto"/>
        </w:pBdr>
        <w:tabs>
          <w:tab w:val="left" w:pos="288"/>
          <w:tab w:val="left" w:pos="4752"/>
        </w:tabs>
        <w:jc w:val="both"/>
        <w:rPr>
          <w:color w:val="000000" w:themeColor="text1"/>
        </w:rPr>
      </w:pPr>
    </w:p>
    <w:p w:rsidR="00F1737C" w:rsidRPr="00D45DD1" w:rsidRDefault="00F1737C" w:rsidP="002F27EF">
      <w:pPr>
        <w:jc w:val="both"/>
        <w:rPr>
          <w:color w:val="000000" w:themeColor="text1"/>
          <w:szCs w:val="24"/>
        </w:rPr>
      </w:pPr>
    </w:p>
    <w:p w:rsidR="00552F2B" w:rsidRPr="00D45DD1" w:rsidRDefault="00C56FC8" w:rsidP="002F27EF">
      <w:pPr>
        <w:jc w:val="both"/>
        <w:rPr>
          <w:rFonts w:asciiTheme="minorHAnsi" w:eastAsiaTheme="minorHAnsi" w:hAnsiTheme="minorHAnsi"/>
          <w:color w:val="auto"/>
          <w:szCs w:val="24"/>
        </w:rPr>
      </w:pPr>
      <w:r w:rsidRPr="00D45DD1">
        <w:rPr>
          <w:color w:val="000000" w:themeColor="text1"/>
          <w:szCs w:val="24"/>
          <w:u w:val="single"/>
        </w:rPr>
        <w:t>BOARD FINDINGS</w:t>
      </w:r>
      <w:r w:rsidRPr="00D45DD1">
        <w:rPr>
          <w:color w:val="000000" w:themeColor="text1"/>
          <w:szCs w:val="24"/>
        </w:rPr>
        <w:t>:</w:t>
      </w:r>
      <w:r w:rsidRPr="00D45DD1">
        <w:rPr>
          <w:rFonts w:eastAsiaTheme="minorHAnsi"/>
          <w:color w:val="000000" w:themeColor="text1"/>
          <w:szCs w:val="24"/>
        </w:rPr>
        <w:t xml:space="preserve">  IAW DoDI 6040.44,</w:t>
      </w:r>
      <w:r w:rsidR="00AE1CD8">
        <w:rPr>
          <w:rFonts w:eastAsiaTheme="minorHAnsi"/>
          <w:color w:val="000000" w:themeColor="text1"/>
          <w:szCs w:val="24"/>
        </w:rPr>
        <w:t xml:space="preserve"> provisions of </w:t>
      </w:r>
      <w:proofErr w:type="spellStart"/>
      <w:proofErr w:type="gramStart"/>
      <w:r w:rsidR="00AE1CD8">
        <w:rPr>
          <w:rFonts w:eastAsiaTheme="minorHAnsi"/>
          <w:color w:val="000000" w:themeColor="text1"/>
          <w:szCs w:val="24"/>
        </w:rPr>
        <w:t>DoD</w:t>
      </w:r>
      <w:proofErr w:type="spellEnd"/>
      <w:proofErr w:type="gramEnd"/>
      <w:r w:rsidR="00AE1CD8">
        <w:rPr>
          <w:rFonts w:eastAsiaTheme="minorHAnsi"/>
          <w:color w:val="000000" w:themeColor="text1"/>
          <w:szCs w:val="24"/>
        </w:rPr>
        <w:t xml:space="preserve"> or military d</w:t>
      </w:r>
      <w:r w:rsidRPr="00D45DD1">
        <w:rPr>
          <w:rFonts w:eastAsiaTheme="minorHAnsi"/>
          <w:color w:val="000000" w:themeColor="text1"/>
          <w:szCs w:val="24"/>
        </w:rPr>
        <w:t>epartment regulations or guidelines relied upon by the PEB will not be considered by the Board to the extent they were inconsistent with the VASRD in effect at the time of the adjudication.</w:t>
      </w:r>
      <w:r w:rsidR="00D8783B" w:rsidRPr="00D45DD1">
        <w:rPr>
          <w:rFonts w:eastAsiaTheme="minorHAnsi"/>
          <w:color w:val="000000" w:themeColor="text1"/>
          <w:szCs w:val="24"/>
        </w:rPr>
        <w:t xml:space="preserve"> </w:t>
      </w:r>
      <w:r w:rsidR="00552F2B" w:rsidRPr="00D45DD1">
        <w:rPr>
          <w:rFonts w:asciiTheme="minorHAnsi" w:hAnsiTheme="minorHAnsi"/>
          <w:color w:val="auto"/>
          <w:szCs w:val="24"/>
        </w:rPr>
        <w:t xml:space="preserve"> In the matter of the </w:t>
      </w:r>
      <w:r w:rsidR="00B0401E">
        <w:rPr>
          <w:rFonts w:asciiTheme="minorHAnsi" w:hAnsiTheme="minorHAnsi"/>
          <w:color w:val="auto"/>
          <w:szCs w:val="24"/>
        </w:rPr>
        <w:t>PTSD</w:t>
      </w:r>
      <w:r w:rsidR="00552F2B" w:rsidRPr="00D45DD1">
        <w:rPr>
          <w:rFonts w:asciiTheme="minorHAnsi" w:hAnsiTheme="minorHAnsi"/>
          <w:color w:val="auto"/>
          <w:szCs w:val="24"/>
        </w:rPr>
        <w:t xml:space="preserve">, the Board </w:t>
      </w:r>
      <w:r w:rsidR="00552F2B" w:rsidRPr="00D45DD1">
        <w:rPr>
          <w:rFonts w:asciiTheme="minorHAnsi" w:eastAsiaTheme="minorHAnsi" w:hAnsiTheme="minorHAnsi"/>
          <w:color w:val="auto"/>
          <w:szCs w:val="24"/>
        </w:rPr>
        <w:t>unanimously</w:t>
      </w:r>
      <w:r w:rsidR="00552F2B" w:rsidRPr="00D45DD1">
        <w:rPr>
          <w:rFonts w:asciiTheme="minorHAnsi" w:hAnsiTheme="minorHAnsi"/>
          <w:color w:val="auto"/>
          <w:szCs w:val="24"/>
        </w:rPr>
        <w:t xml:space="preserve"> recommends a 30%</w:t>
      </w:r>
      <w:r w:rsidR="002F27EF" w:rsidRPr="00D45DD1">
        <w:rPr>
          <w:rFonts w:asciiTheme="minorHAnsi" w:hAnsiTheme="minorHAnsi"/>
          <w:color w:val="auto"/>
          <w:szCs w:val="24"/>
        </w:rPr>
        <w:t xml:space="preserve"> </w:t>
      </w:r>
      <w:r w:rsidR="00AE1CD8">
        <w:rPr>
          <w:rFonts w:asciiTheme="minorHAnsi" w:hAnsiTheme="minorHAnsi"/>
          <w:color w:val="auto"/>
          <w:szCs w:val="24"/>
        </w:rPr>
        <w:t xml:space="preserve">permanent rating </w:t>
      </w:r>
      <w:r w:rsidR="006B18A1">
        <w:rPr>
          <w:rFonts w:asciiTheme="minorHAnsi" w:hAnsiTheme="minorHAnsi"/>
          <w:color w:val="auto"/>
          <w:szCs w:val="24"/>
        </w:rPr>
        <w:t>after removal from TDRL</w:t>
      </w:r>
      <w:r w:rsidR="00552F2B" w:rsidRPr="00D45DD1">
        <w:rPr>
          <w:rFonts w:asciiTheme="minorHAnsi" w:hAnsiTheme="minorHAnsi"/>
          <w:color w:val="auto"/>
          <w:szCs w:val="24"/>
        </w:rPr>
        <w:t xml:space="preserve"> IAW VASRD §4.130. </w:t>
      </w:r>
      <w:r w:rsidR="00332B30">
        <w:rPr>
          <w:rFonts w:asciiTheme="minorHAnsi" w:hAnsiTheme="minorHAnsi"/>
          <w:color w:val="auto"/>
          <w:szCs w:val="24"/>
        </w:rPr>
        <w:t xml:space="preserve"> </w:t>
      </w:r>
      <w:r w:rsidR="00552F2B" w:rsidRPr="00D45DD1">
        <w:rPr>
          <w:rFonts w:asciiTheme="minorHAnsi" w:hAnsiTheme="minorHAnsi"/>
          <w:color w:val="auto"/>
          <w:szCs w:val="24"/>
        </w:rPr>
        <w:t xml:space="preserve">In the matter of the </w:t>
      </w:r>
      <w:r w:rsidR="00AE1CD8">
        <w:rPr>
          <w:color w:val="000000" w:themeColor="text1"/>
          <w:szCs w:val="24"/>
        </w:rPr>
        <w:t>chronic cough, s</w:t>
      </w:r>
      <w:r w:rsidR="00AE1CD8" w:rsidRPr="00D45DD1">
        <w:rPr>
          <w:color w:val="000000" w:themeColor="text1"/>
          <w:szCs w:val="24"/>
        </w:rPr>
        <w:t xml:space="preserve">hortness </w:t>
      </w:r>
      <w:r w:rsidR="00AE1CD8">
        <w:rPr>
          <w:color w:val="000000" w:themeColor="text1"/>
          <w:szCs w:val="24"/>
        </w:rPr>
        <w:t>of b</w:t>
      </w:r>
      <w:r w:rsidR="00AE1CD8" w:rsidRPr="00D45DD1">
        <w:rPr>
          <w:color w:val="000000" w:themeColor="text1"/>
          <w:szCs w:val="24"/>
        </w:rPr>
        <w:t xml:space="preserve">reath with </w:t>
      </w:r>
      <w:r w:rsidR="00AE1CD8">
        <w:rPr>
          <w:color w:val="000000" w:themeColor="text1"/>
          <w:szCs w:val="24"/>
        </w:rPr>
        <w:t>panic attacks, h</w:t>
      </w:r>
      <w:r w:rsidR="00AE1CD8" w:rsidRPr="00D45DD1">
        <w:rPr>
          <w:color w:val="000000" w:themeColor="text1"/>
          <w:szCs w:val="24"/>
        </w:rPr>
        <w:t>istory of</w:t>
      </w:r>
      <w:r w:rsidR="00AE1CD8">
        <w:rPr>
          <w:color w:val="000000" w:themeColor="text1"/>
          <w:szCs w:val="24"/>
        </w:rPr>
        <w:t xml:space="preserve"> bronchitis, b</w:t>
      </w:r>
      <w:r w:rsidR="00AE1CD8" w:rsidRPr="00D45DD1">
        <w:rPr>
          <w:color w:val="000000" w:themeColor="text1"/>
          <w:szCs w:val="24"/>
        </w:rPr>
        <w:t xml:space="preserve">ilateral </w:t>
      </w:r>
      <w:proofErr w:type="spellStart"/>
      <w:r w:rsidR="00AE1CD8">
        <w:rPr>
          <w:color w:val="000000" w:themeColor="text1"/>
          <w:szCs w:val="24"/>
        </w:rPr>
        <w:t>e</w:t>
      </w:r>
      <w:r w:rsidR="00AE1CD8" w:rsidRPr="00D45DD1">
        <w:rPr>
          <w:color w:val="000000" w:themeColor="text1"/>
          <w:szCs w:val="24"/>
        </w:rPr>
        <w:t>ustachian</w:t>
      </w:r>
      <w:proofErr w:type="spellEnd"/>
      <w:r w:rsidR="00AE1CD8" w:rsidRPr="00D45DD1">
        <w:rPr>
          <w:color w:val="000000" w:themeColor="text1"/>
          <w:szCs w:val="24"/>
        </w:rPr>
        <w:t xml:space="preserve"> </w:t>
      </w:r>
      <w:r w:rsidR="00AE1CD8">
        <w:rPr>
          <w:color w:val="000000" w:themeColor="text1"/>
          <w:szCs w:val="24"/>
        </w:rPr>
        <w:t>tube dysfunction, rhinitis, left index finger needle puncture, right knee s</w:t>
      </w:r>
      <w:r w:rsidR="00AE1CD8" w:rsidRPr="00D45DD1">
        <w:rPr>
          <w:color w:val="000000" w:themeColor="text1"/>
          <w:szCs w:val="24"/>
        </w:rPr>
        <w:t xml:space="preserve">hin </w:t>
      </w:r>
      <w:r w:rsidR="00AE1CD8">
        <w:rPr>
          <w:color w:val="000000" w:themeColor="text1"/>
          <w:szCs w:val="24"/>
        </w:rPr>
        <w:t>splint, d</w:t>
      </w:r>
      <w:r w:rsidR="00AE1CD8" w:rsidRPr="00D45DD1">
        <w:rPr>
          <w:color w:val="000000" w:themeColor="text1"/>
          <w:szCs w:val="24"/>
        </w:rPr>
        <w:t>izziness</w:t>
      </w:r>
      <w:r w:rsidR="00AE1CD8">
        <w:rPr>
          <w:color w:val="000000" w:themeColor="text1"/>
          <w:szCs w:val="24"/>
        </w:rPr>
        <w:t>, headaches, heart palpitations, heartburn, c</w:t>
      </w:r>
      <w:r w:rsidR="00AE1CD8" w:rsidRPr="00D45DD1">
        <w:rPr>
          <w:color w:val="000000" w:themeColor="text1"/>
          <w:szCs w:val="24"/>
        </w:rPr>
        <w:t xml:space="preserve">hronic </w:t>
      </w:r>
      <w:r w:rsidR="00AE1CD8">
        <w:rPr>
          <w:color w:val="000000" w:themeColor="text1"/>
          <w:szCs w:val="24"/>
        </w:rPr>
        <w:t xml:space="preserve">ankle and back pain, hemorrhoids </w:t>
      </w:r>
      <w:proofErr w:type="spellStart"/>
      <w:r w:rsidR="00AE1CD8">
        <w:rPr>
          <w:color w:val="000000" w:themeColor="text1"/>
          <w:szCs w:val="24"/>
        </w:rPr>
        <w:t>lymphangitis</w:t>
      </w:r>
      <w:proofErr w:type="spellEnd"/>
      <w:r w:rsidR="00AE1CD8">
        <w:rPr>
          <w:color w:val="000000" w:themeColor="text1"/>
          <w:szCs w:val="24"/>
        </w:rPr>
        <w:t xml:space="preserve"> left lower extremity, </w:t>
      </w:r>
      <w:proofErr w:type="spellStart"/>
      <w:r w:rsidR="00AE1CD8">
        <w:rPr>
          <w:color w:val="000000" w:themeColor="text1"/>
          <w:szCs w:val="24"/>
        </w:rPr>
        <w:t>tinea</w:t>
      </w:r>
      <w:proofErr w:type="spellEnd"/>
      <w:r w:rsidR="00AE1CD8">
        <w:rPr>
          <w:color w:val="000000" w:themeColor="text1"/>
          <w:szCs w:val="24"/>
        </w:rPr>
        <w:t xml:space="preserve"> </w:t>
      </w:r>
      <w:proofErr w:type="spellStart"/>
      <w:r w:rsidR="00AE1CD8">
        <w:rPr>
          <w:color w:val="000000" w:themeColor="text1"/>
          <w:szCs w:val="24"/>
        </w:rPr>
        <w:t>c</w:t>
      </w:r>
      <w:r w:rsidR="00AE1CD8" w:rsidRPr="00D45DD1">
        <w:rPr>
          <w:color w:val="000000" w:themeColor="text1"/>
          <w:szCs w:val="24"/>
        </w:rPr>
        <w:t>rucis</w:t>
      </w:r>
      <w:proofErr w:type="spellEnd"/>
      <w:r w:rsidR="00AE1CD8" w:rsidRPr="00D45DD1">
        <w:rPr>
          <w:color w:val="000000" w:themeColor="text1"/>
          <w:szCs w:val="24"/>
        </w:rPr>
        <w:t>,</w:t>
      </w:r>
      <w:r w:rsidR="00AE1CD8">
        <w:rPr>
          <w:color w:val="000000" w:themeColor="text1"/>
          <w:szCs w:val="24"/>
        </w:rPr>
        <w:t xml:space="preserve"> and </w:t>
      </w:r>
      <w:proofErr w:type="spellStart"/>
      <w:r w:rsidR="00AE1CD8">
        <w:rPr>
          <w:color w:val="000000" w:themeColor="text1"/>
          <w:szCs w:val="24"/>
        </w:rPr>
        <w:t>tinea</w:t>
      </w:r>
      <w:proofErr w:type="spellEnd"/>
      <w:r w:rsidR="00AE1CD8">
        <w:rPr>
          <w:color w:val="000000" w:themeColor="text1"/>
          <w:szCs w:val="24"/>
        </w:rPr>
        <w:t xml:space="preserve"> </w:t>
      </w:r>
      <w:proofErr w:type="spellStart"/>
      <w:r w:rsidR="00AE1CD8">
        <w:rPr>
          <w:color w:val="000000" w:themeColor="text1"/>
          <w:szCs w:val="24"/>
        </w:rPr>
        <w:t>p</w:t>
      </w:r>
      <w:r w:rsidR="00AE1CD8" w:rsidRPr="00D45DD1">
        <w:rPr>
          <w:color w:val="000000" w:themeColor="text1"/>
          <w:szCs w:val="24"/>
        </w:rPr>
        <w:t>edi</w:t>
      </w:r>
      <w:r w:rsidR="00AE1CD8">
        <w:rPr>
          <w:color w:val="000000" w:themeColor="text1"/>
          <w:szCs w:val="24"/>
        </w:rPr>
        <w:t>s</w:t>
      </w:r>
      <w:proofErr w:type="spellEnd"/>
      <w:r w:rsidR="00AE1CD8">
        <w:rPr>
          <w:color w:val="000000" w:themeColor="text1"/>
          <w:szCs w:val="24"/>
        </w:rPr>
        <w:t xml:space="preserve"> </w:t>
      </w:r>
      <w:r w:rsidR="00552F2B" w:rsidRPr="00D45DD1">
        <w:rPr>
          <w:rFonts w:asciiTheme="minorHAnsi" w:eastAsiaTheme="minorHAnsi" w:hAnsiTheme="minorHAnsi"/>
          <w:color w:val="auto"/>
          <w:szCs w:val="24"/>
        </w:rPr>
        <w:t>conditions</w:t>
      </w:r>
      <w:r w:rsidR="00552F2B" w:rsidRPr="00D45DD1">
        <w:rPr>
          <w:rFonts w:asciiTheme="minorHAnsi" w:hAnsiTheme="minorHAnsi"/>
          <w:color w:val="auto"/>
          <w:szCs w:val="24"/>
        </w:rPr>
        <w:t xml:space="preserve"> or any other medical conditions eligible for Board consideration; the Board unanimously agrees that it cannot recommend any findings of unfit for additional rating at separation.</w:t>
      </w:r>
    </w:p>
    <w:p w:rsidR="00F1737C" w:rsidRPr="00D45DD1" w:rsidRDefault="00F1737C" w:rsidP="002F27EF">
      <w:pPr>
        <w:pBdr>
          <w:bottom w:val="single" w:sz="12" w:space="1" w:color="auto"/>
        </w:pBdr>
        <w:tabs>
          <w:tab w:val="left" w:pos="288"/>
          <w:tab w:val="left" w:pos="4752"/>
        </w:tabs>
        <w:jc w:val="both"/>
        <w:rPr>
          <w:color w:val="000000" w:themeColor="text1"/>
        </w:rPr>
      </w:pPr>
    </w:p>
    <w:p w:rsidR="00AE1CD8" w:rsidRDefault="00AE1CD8">
      <w:pPr>
        <w:rPr>
          <w:color w:val="000000" w:themeColor="text1"/>
          <w:szCs w:val="24"/>
        </w:rPr>
      </w:pPr>
      <w:r>
        <w:rPr>
          <w:color w:val="000000" w:themeColor="text1"/>
          <w:szCs w:val="24"/>
        </w:rPr>
        <w:br w:type="page"/>
      </w:r>
    </w:p>
    <w:p w:rsidR="00DF071B" w:rsidRPr="00D45DD1" w:rsidRDefault="00C56FC8" w:rsidP="002F27EF">
      <w:pPr>
        <w:jc w:val="both"/>
        <w:rPr>
          <w:color w:val="000000" w:themeColor="text1"/>
          <w:szCs w:val="24"/>
        </w:rPr>
      </w:pPr>
      <w:r w:rsidRPr="00D45DD1">
        <w:rPr>
          <w:color w:val="000000" w:themeColor="text1"/>
          <w:szCs w:val="24"/>
          <w:u w:val="single"/>
        </w:rPr>
        <w:lastRenderedPageBreak/>
        <w:t>RECOMMENDATION</w:t>
      </w:r>
      <w:r w:rsidRPr="00D45DD1">
        <w:rPr>
          <w:color w:val="000000" w:themeColor="text1"/>
          <w:szCs w:val="24"/>
        </w:rPr>
        <w:t>:</w:t>
      </w:r>
      <w:r w:rsidR="00332B30">
        <w:rPr>
          <w:color w:val="000000" w:themeColor="text1"/>
          <w:szCs w:val="24"/>
        </w:rPr>
        <w:t xml:space="preserve">  </w:t>
      </w:r>
      <w:r w:rsidR="00332B30" w:rsidRPr="001F29F9">
        <w:rPr>
          <w:color w:val="000000" w:themeColor="text1"/>
          <w:szCs w:val="24"/>
        </w:rPr>
        <w:t xml:space="preserve">The Board recommends that the CI’s prior determination be modified as follows and that the discharge with severance pay be </w:t>
      </w:r>
      <w:proofErr w:type="spellStart"/>
      <w:r w:rsidR="00332B30" w:rsidRPr="001F29F9">
        <w:rPr>
          <w:color w:val="000000" w:themeColor="text1"/>
          <w:szCs w:val="24"/>
        </w:rPr>
        <w:t>recharacterized</w:t>
      </w:r>
      <w:proofErr w:type="spellEnd"/>
      <w:r w:rsidR="00332B30" w:rsidRPr="001F29F9">
        <w:rPr>
          <w:color w:val="000000" w:themeColor="text1"/>
          <w:szCs w:val="24"/>
        </w:rPr>
        <w:t xml:space="preserve"> to reflect permanent disability retirement</w:t>
      </w:r>
      <w:r w:rsidR="006B18A1">
        <w:rPr>
          <w:color w:val="000000" w:themeColor="text1"/>
          <w:szCs w:val="24"/>
        </w:rPr>
        <w:t xml:space="preserve"> after removal from TDRL</w:t>
      </w:r>
      <w:r w:rsidR="00332B30" w:rsidRPr="001F29F9">
        <w:rPr>
          <w:color w:val="000000" w:themeColor="text1"/>
          <w:szCs w:val="24"/>
        </w:rPr>
        <w:t>, effective as of the date of his prior medical separation:</w:t>
      </w:r>
    </w:p>
    <w:p w:rsidR="00DB0015" w:rsidRPr="00D45DD1" w:rsidRDefault="00DB0015" w:rsidP="00BF0E94">
      <w:pPr>
        <w:jc w:val="both"/>
        <w:rPr>
          <w:color w:val="000000" w:themeColor="text1"/>
          <w:szCs w:val="24"/>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96"/>
        <w:gridCol w:w="1710"/>
        <w:gridCol w:w="1530"/>
      </w:tblGrid>
      <w:tr w:rsidR="00332B30" w:rsidRPr="00D45DD1" w:rsidTr="00332B30">
        <w:trPr>
          <w:jc w:val="center"/>
        </w:trPr>
        <w:tc>
          <w:tcPr>
            <w:tcW w:w="5796" w:type="dxa"/>
            <w:shd w:val="clear" w:color="auto" w:fill="D9D9D9"/>
            <w:vAlign w:val="center"/>
          </w:tcPr>
          <w:p w:rsidR="00332B30" w:rsidRPr="00D45DD1" w:rsidRDefault="00332B30" w:rsidP="00332B30">
            <w:pPr>
              <w:tabs>
                <w:tab w:val="left" w:pos="288"/>
                <w:tab w:val="left" w:pos="4752"/>
              </w:tabs>
              <w:ind w:left="-198" w:firstLine="198"/>
              <w:rPr>
                <w:b/>
                <w:color w:val="000000" w:themeColor="text1"/>
                <w:szCs w:val="24"/>
              </w:rPr>
            </w:pPr>
            <w:r w:rsidRPr="00D45DD1">
              <w:rPr>
                <w:b/>
                <w:color w:val="000000" w:themeColor="text1"/>
                <w:szCs w:val="24"/>
              </w:rPr>
              <w:t>UNFITTING CONDITION</w:t>
            </w:r>
          </w:p>
        </w:tc>
        <w:tc>
          <w:tcPr>
            <w:tcW w:w="1710" w:type="dxa"/>
            <w:shd w:val="clear" w:color="auto" w:fill="D9D9D9"/>
            <w:vAlign w:val="center"/>
          </w:tcPr>
          <w:p w:rsidR="00332B30" w:rsidRPr="00D45DD1" w:rsidRDefault="00332B30" w:rsidP="00BF0E94">
            <w:pPr>
              <w:tabs>
                <w:tab w:val="left" w:pos="288"/>
                <w:tab w:val="left" w:pos="4752"/>
              </w:tabs>
              <w:rPr>
                <w:b/>
                <w:color w:val="000000" w:themeColor="text1"/>
                <w:szCs w:val="24"/>
              </w:rPr>
            </w:pPr>
            <w:r w:rsidRPr="00D45DD1">
              <w:rPr>
                <w:b/>
                <w:color w:val="000000" w:themeColor="text1"/>
                <w:szCs w:val="24"/>
              </w:rPr>
              <w:t>VASRD CODE</w:t>
            </w:r>
          </w:p>
        </w:tc>
        <w:tc>
          <w:tcPr>
            <w:tcW w:w="1530" w:type="dxa"/>
            <w:shd w:val="pct15" w:color="auto" w:fill="auto"/>
            <w:vAlign w:val="center"/>
          </w:tcPr>
          <w:p w:rsidR="00332B30" w:rsidRPr="00D45DD1" w:rsidRDefault="00332B30" w:rsidP="00BF0E94">
            <w:pPr>
              <w:tabs>
                <w:tab w:val="left" w:pos="288"/>
                <w:tab w:val="left" w:pos="4752"/>
              </w:tabs>
              <w:rPr>
                <w:b/>
                <w:color w:val="000000" w:themeColor="text1"/>
                <w:szCs w:val="24"/>
              </w:rPr>
            </w:pPr>
            <w:r w:rsidRPr="00D45DD1">
              <w:rPr>
                <w:b/>
                <w:color w:val="000000" w:themeColor="text1"/>
                <w:szCs w:val="24"/>
              </w:rPr>
              <w:t>PERMANENT</w:t>
            </w:r>
          </w:p>
          <w:p w:rsidR="00332B30" w:rsidRPr="00D45DD1" w:rsidRDefault="00332B30" w:rsidP="00BF0E94">
            <w:pPr>
              <w:tabs>
                <w:tab w:val="left" w:pos="288"/>
                <w:tab w:val="left" w:pos="4752"/>
              </w:tabs>
              <w:rPr>
                <w:b/>
                <w:color w:val="000000" w:themeColor="text1"/>
                <w:szCs w:val="24"/>
              </w:rPr>
            </w:pPr>
            <w:r w:rsidRPr="00D45DD1">
              <w:rPr>
                <w:b/>
                <w:color w:val="000000" w:themeColor="text1"/>
                <w:szCs w:val="24"/>
              </w:rPr>
              <w:t>RATING</w:t>
            </w:r>
          </w:p>
        </w:tc>
      </w:tr>
      <w:tr w:rsidR="00332B30" w:rsidRPr="00D45DD1" w:rsidTr="00332B30">
        <w:trPr>
          <w:trHeight w:val="188"/>
          <w:jc w:val="center"/>
        </w:trPr>
        <w:tc>
          <w:tcPr>
            <w:tcW w:w="5796" w:type="dxa"/>
            <w:vAlign w:val="center"/>
          </w:tcPr>
          <w:p w:rsidR="00332B30" w:rsidRPr="00D45DD1" w:rsidRDefault="00332B30" w:rsidP="0080588E">
            <w:pPr>
              <w:tabs>
                <w:tab w:val="left" w:pos="288"/>
                <w:tab w:val="left" w:pos="3538"/>
              </w:tabs>
              <w:jc w:val="both"/>
              <w:rPr>
                <w:color w:val="000000" w:themeColor="text1"/>
                <w:szCs w:val="24"/>
              </w:rPr>
            </w:pPr>
            <w:r w:rsidRPr="00D45DD1">
              <w:rPr>
                <w:color w:val="000000" w:themeColor="text1"/>
                <w:szCs w:val="24"/>
              </w:rPr>
              <w:t>Posttraumatic Stress Disorder</w:t>
            </w:r>
          </w:p>
        </w:tc>
        <w:tc>
          <w:tcPr>
            <w:tcW w:w="1710" w:type="dxa"/>
            <w:tcBorders>
              <w:bottom w:val="single" w:sz="4" w:space="0" w:color="000000"/>
            </w:tcBorders>
            <w:vAlign w:val="center"/>
          </w:tcPr>
          <w:p w:rsidR="00332B30" w:rsidRPr="00D45DD1" w:rsidRDefault="00332B30" w:rsidP="00BF0E94">
            <w:pPr>
              <w:tabs>
                <w:tab w:val="left" w:pos="288"/>
                <w:tab w:val="left" w:pos="4752"/>
              </w:tabs>
              <w:rPr>
                <w:color w:val="000000" w:themeColor="text1"/>
                <w:szCs w:val="24"/>
              </w:rPr>
            </w:pPr>
            <w:r w:rsidRPr="00D45DD1">
              <w:rPr>
                <w:color w:val="000000" w:themeColor="text1"/>
                <w:szCs w:val="24"/>
              </w:rPr>
              <w:t>9411</w:t>
            </w:r>
          </w:p>
        </w:tc>
        <w:tc>
          <w:tcPr>
            <w:tcW w:w="1530" w:type="dxa"/>
            <w:tcBorders>
              <w:bottom w:val="single" w:sz="4" w:space="0" w:color="000000"/>
            </w:tcBorders>
            <w:vAlign w:val="center"/>
          </w:tcPr>
          <w:p w:rsidR="00332B30" w:rsidRPr="00D45DD1" w:rsidRDefault="00332B30" w:rsidP="00BF0E94">
            <w:pPr>
              <w:tabs>
                <w:tab w:val="left" w:pos="288"/>
                <w:tab w:val="left" w:pos="4752"/>
              </w:tabs>
              <w:rPr>
                <w:color w:val="000000" w:themeColor="text1"/>
                <w:szCs w:val="24"/>
              </w:rPr>
            </w:pPr>
            <w:r w:rsidRPr="00D45DD1">
              <w:rPr>
                <w:color w:val="000000" w:themeColor="text1"/>
                <w:szCs w:val="24"/>
              </w:rPr>
              <w:t>30%</w:t>
            </w:r>
          </w:p>
        </w:tc>
      </w:tr>
      <w:tr w:rsidR="00332B30" w:rsidRPr="00D45DD1" w:rsidTr="00332B30">
        <w:tblPrEx>
          <w:tblLook w:val="0000"/>
        </w:tblPrEx>
        <w:trPr>
          <w:gridBefore w:val="1"/>
          <w:wBefore w:w="5796" w:type="dxa"/>
          <w:trHeight w:val="188"/>
          <w:jc w:val="center"/>
        </w:trPr>
        <w:tc>
          <w:tcPr>
            <w:tcW w:w="1710" w:type="dxa"/>
            <w:tcBorders>
              <w:left w:val="single" w:sz="4" w:space="0" w:color="auto"/>
            </w:tcBorders>
            <w:shd w:val="pct15" w:color="auto" w:fill="auto"/>
            <w:vAlign w:val="center"/>
          </w:tcPr>
          <w:p w:rsidR="00332B30" w:rsidRPr="00D45DD1" w:rsidRDefault="00332B30" w:rsidP="00BF0E94">
            <w:pPr>
              <w:tabs>
                <w:tab w:val="left" w:pos="288"/>
                <w:tab w:val="left" w:pos="4752"/>
              </w:tabs>
              <w:rPr>
                <w:b/>
                <w:color w:val="000000" w:themeColor="text1"/>
                <w:szCs w:val="24"/>
              </w:rPr>
            </w:pPr>
            <w:r w:rsidRPr="00D45DD1">
              <w:rPr>
                <w:b/>
                <w:color w:val="000000" w:themeColor="text1"/>
                <w:szCs w:val="24"/>
              </w:rPr>
              <w:t>COMBINED</w:t>
            </w:r>
          </w:p>
        </w:tc>
        <w:tc>
          <w:tcPr>
            <w:tcW w:w="1530" w:type="dxa"/>
            <w:shd w:val="pct15" w:color="auto" w:fill="auto"/>
            <w:vAlign w:val="center"/>
          </w:tcPr>
          <w:p w:rsidR="00332B30" w:rsidRPr="00D45DD1" w:rsidRDefault="00332B30" w:rsidP="00BF0E94">
            <w:pPr>
              <w:tabs>
                <w:tab w:val="left" w:pos="288"/>
                <w:tab w:val="left" w:pos="4752"/>
              </w:tabs>
              <w:rPr>
                <w:b/>
                <w:color w:val="000000" w:themeColor="text1"/>
                <w:szCs w:val="24"/>
              </w:rPr>
            </w:pPr>
            <w:r w:rsidRPr="00D45DD1">
              <w:rPr>
                <w:b/>
                <w:color w:val="000000" w:themeColor="text1"/>
                <w:szCs w:val="24"/>
              </w:rPr>
              <w:t>30%</w:t>
            </w:r>
          </w:p>
        </w:tc>
      </w:tr>
    </w:tbl>
    <w:p w:rsidR="005B1D09" w:rsidRPr="00D45DD1" w:rsidRDefault="005B1D09" w:rsidP="00BF0E94">
      <w:pPr>
        <w:pBdr>
          <w:bottom w:val="single" w:sz="12" w:space="1" w:color="auto"/>
        </w:pBdr>
        <w:tabs>
          <w:tab w:val="left" w:pos="288"/>
          <w:tab w:val="left" w:pos="4752"/>
        </w:tabs>
        <w:jc w:val="both"/>
        <w:rPr>
          <w:color w:val="000000" w:themeColor="text1"/>
        </w:rPr>
      </w:pPr>
    </w:p>
    <w:p w:rsidR="005B1D09" w:rsidRPr="00D45DD1" w:rsidRDefault="005B1D09" w:rsidP="00BF0E94">
      <w:pPr>
        <w:rPr>
          <w:color w:val="000000" w:themeColor="text1"/>
          <w:szCs w:val="24"/>
        </w:rPr>
      </w:pPr>
    </w:p>
    <w:p w:rsidR="00D91DA6" w:rsidRPr="00D45DD1" w:rsidRDefault="00FB1725" w:rsidP="00BF0E94">
      <w:pPr>
        <w:tabs>
          <w:tab w:val="left" w:pos="288"/>
          <w:tab w:val="left" w:pos="4752"/>
        </w:tabs>
        <w:jc w:val="both"/>
        <w:rPr>
          <w:color w:val="000000" w:themeColor="text1"/>
        </w:rPr>
      </w:pPr>
      <w:r w:rsidRPr="00D45DD1">
        <w:rPr>
          <w:color w:val="000000" w:themeColor="text1"/>
        </w:rPr>
        <w:t>The following documentary evidence was considered:</w:t>
      </w:r>
    </w:p>
    <w:p w:rsidR="00EB5EFD" w:rsidRPr="00D45DD1" w:rsidRDefault="00EB5EFD" w:rsidP="00BF0E94">
      <w:pPr>
        <w:tabs>
          <w:tab w:val="left" w:pos="288"/>
          <w:tab w:val="left" w:pos="4752"/>
        </w:tabs>
        <w:jc w:val="both"/>
        <w:rPr>
          <w:color w:val="000000" w:themeColor="text1"/>
        </w:rPr>
      </w:pPr>
    </w:p>
    <w:p w:rsidR="00114F20" w:rsidRPr="00D45DD1" w:rsidRDefault="00FB1725" w:rsidP="00B3575C">
      <w:pPr>
        <w:tabs>
          <w:tab w:val="left" w:pos="288"/>
          <w:tab w:val="left" w:pos="4752"/>
        </w:tabs>
        <w:spacing w:line="440" w:lineRule="exact"/>
        <w:jc w:val="both"/>
        <w:rPr>
          <w:color w:val="000000" w:themeColor="text1"/>
        </w:rPr>
      </w:pPr>
      <w:r w:rsidRPr="00D45DD1">
        <w:rPr>
          <w:color w:val="000000" w:themeColor="text1"/>
        </w:rPr>
        <w:t xml:space="preserve">Exhibit A.  DD Form 294, </w:t>
      </w:r>
      <w:r w:rsidRPr="00D45DD1">
        <w:rPr>
          <w:color w:val="000000" w:themeColor="text1"/>
          <w:szCs w:val="24"/>
        </w:rPr>
        <w:t>dated 20</w:t>
      </w:r>
      <w:r w:rsidR="001215DF" w:rsidRPr="00D45DD1">
        <w:rPr>
          <w:color w:val="000000" w:themeColor="text1"/>
          <w:szCs w:val="24"/>
        </w:rPr>
        <w:t>1</w:t>
      </w:r>
      <w:r w:rsidR="00F814FE" w:rsidRPr="00D45DD1">
        <w:rPr>
          <w:color w:val="000000" w:themeColor="text1"/>
          <w:szCs w:val="24"/>
        </w:rPr>
        <w:t>01130</w:t>
      </w:r>
      <w:r w:rsidR="00AE1CD8">
        <w:rPr>
          <w:color w:val="000000" w:themeColor="text1"/>
        </w:rPr>
        <w:t>, w/</w:t>
      </w:r>
      <w:proofErr w:type="spellStart"/>
      <w:r w:rsidR="00AE1CD8">
        <w:rPr>
          <w:color w:val="000000" w:themeColor="text1"/>
        </w:rPr>
        <w:t>atchs</w:t>
      </w:r>
      <w:proofErr w:type="spellEnd"/>
    </w:p>
    <w:p w:rsidR="00114F20" w:rsidRPr="00D45DD1" w:rsidRDefault="00FB1725" w:rsidP="00BF0E94">
      <w:pPr>
        <w:tabs>
          <w:tab w:val="left" w:pos="288"/>
          <w:tab w:val="left" w:pos="4752"/>
        </w:tabs>
        <w:jc w:val="both"/>
        <w:rPr>
          <w:color w:val="000000" w:themeColor="text1"/>
        </w:rPr>
      </w:pPr>
      <w:r w:rsidRPr="00D45DD1">
        <w:rPr>
          <w:color w:val="000000" w:themeColor="text1"/>
        </w:rPr>
        <w:t>Exhib</w:t>
      </w:r>
      <w:r w:rsidR="00AE1CD8">
        <w:rPr>
          <w:color w:val="000000" w:themeColor="text1"/>
        </w:rPr>
        <w:t>it B.  Service Treatment Record</w:t>
      </w:r>
    </w:p>
    <w:p w:rsidR="00114F20" w:rsidRPr="00D45DD1" w:rsidRDefault="00FB1725" w:rsidP="00BF0E94">
      <w:pPr>
        <w:tabs>
          <w:tab w:val="left" w:pos="288"/>
          <w:tab w:val="left" w:pos="4752"/>
        </w:tabs>
        <w:jc w:val="both"/>
        <w:rPr>
          <w:color w:val="000000" w:themeColor="text1"/>
        </w:rPr>
      </w:pPr>
      <w:r w:rsidRPr="00D45DD1">
        <w:rPr>
          <w:color w:val="000000" w:themeColor="text1"/>
        </w:rPr>
        <w:t>Exhibit C.  Department of Ve</w:t>
      </w:r>
      <w:r w:rsidR="00AE1CD8">
        <w:rPr>
          <w:color w:val="000000" w:themeColor="text1"/>
        </w:rPr>
        <w:t>terans Affairs Treatment Record</w:t>
      </w:r>
    </w:p>
    <w:p w:rsidR="00D91DA6" w:rsidRPr="00D45DD1" w:rsidRDefault="00D91DA6" w:rsidP="00BF0E94">
      <w:pPr>
        <w:tabs>
          <w:tab w:val="left" w:pos="288"/>
          <w:tab w:val="left" w:pos="4752"/>
        </w:tabs>
        <w:jc w:val="both"/>
        <w:rPr>
          <w:color w:val="000000" w:themeColor="text1"/>
        </w:rPr>
      </w:pPr>
    </w:p>
    <w:p w:rsidR="00114F20" w:rsidRPr="00D45DD1" w:rsidRDefault="00114F20" w:rsidP="00BF0E94">
      <w:pPr>
        <w:tabs>
          <w:tab w:val="left" w:pos="288"/>
          <w:tab w:val="left" w:pos="4752"/>
        </w:tabs>
        <w:jc w:val="both"/>
        <w:rPr>
          <w:color w:val="000000" w:themeColor="text1"/>
        </w:rPr>
      </w:pPr>
    </w:p>
    <w:p w:rsidR="00114F20" w:rsidRPr="00D45DD1" w:rsidRDefault="00114F20" w:rsidP="00BF0E94">
      <w:pPr>
        <w:tabs>
          <w:tab w:val="left" w:pos="288"/>
          <w:tab w:val="left" w:pos="4752"/>
        </w:tabs>
        <w:jc w:val="both"/>
        <w:rPr>
          <w:color w:val="000000" w:themeColor="text1"/>
        </w:rPr>
      </w:pPr>
    </w:p>
    <w:p w:rsidR="00114F20" w:rsidRPr="00D45DD1" w:rsidRDefault="00114F20" w:rsidP="00BF0E94">
      <w:pPr>
        <w:tabs>
          <w:tab w:val="left" w:pos="288"/>
          <w:tab w:val="left" w:pos="4752"/>
        </w:tabs>
        <w:jc w:val="both"/>
        <w:rPr>
          <w:color w:val="000000" w:themeColor="text1"/>
        </w:rPr>
      </w:pPr>
    </w:p>
    <w:p w:rsidR="002F195B" w:rsidRPr="00D45DD1" w:rsidRDefault="00220FA9" w:rsidP="00BF0E94">
      <w:pPr>
        <w:tabs>
          <w:tab w:val="left" w:pos="0"/>
          <w:tab w:val="left" w:pos="4320"/>
        </w:tabs>
        <w:jc w:val="both"/>
        <w:rPr>
          <w:color w:val="000000" w:themeColor="text1"/>
          <w:szCs w:val="24"/>
        </w:rPr>
      </w:pPr>
      <w:r w:rsidRPr="00D45DD1">
        <w:rPr>
          <w:color w:val="000000" w:themeColor="text1"/>
          <w:szCs w:val="24"/>
        </w:rPr>
        <w:tab/>
      </w:r>
      <w:r w:rsidRPr="00D45DD1">
        <w:rPr>
          <w:color w:val="000000" w:themeColor="text1"/>
          <w:szCs w:val="24"/>
        </w:rPr>
        <w:tab/>
      </w:r>
      <w:r w:rsidR="008E3C90" w:rsidRPr="00D45DD1">
        <w:rPr>
          <w:color w:val="000000" w:themeColor="text1"/>
          <w:szCs w:val="24"/>
        </w:rPr>
        <w:t xml:space="preserve">           </w:t>
      </w:r>
      <w:r w:rsidR="005F73CA" w:rsidRPr="00D45DD1">
        <w:rPr>
          <w:color w:val="000000" w:themeColor="text1"/>
          <w:szCs w:val="24"/>
        </w:rPr>
        <w:t>President</w:t>
      </w:r>
    </w:p>
    <w:p w:rsidR="00F814FE" w:rsidRDefault="002F195B" w:rsidP="00F814FE">
      <w:pPr>
        <w:tabs>
          <w:tab w:val="left" w:pos="0"/>
          <w:tab w:val="left" w:pos="4320"/>
        </w:tabs>
        <w:jc w:val="both"/>
        <w:rPr>
          <w:color w:val="000000" w:themeColor="text1"/>
          <w:szCs w:val="24"/>
        </w:rPr>
      </w:pPr>
      <w:r w:rsidRPr="00D45DD1">
        <w:rPr>
          <w:color w:val="000000" w:themeColor="text1"/>
          <w:szCs w:val="24"/>
        </w:rPr>
        <w:tab/>
        <w:t xml:space="preserve">           </w:t>
      </w:r>
      <w:r w:rsidR="00220FA9" w:rsidRPr="00D45DD1">
        <w:rPr>
          <w:color w:val="000000" w:themeColor="text1"/>
          <w:szCs w:val="24"/>
        </w:rPr>
        <w:t>P</w:t>
      </w:r>
      <w:r w:rsidR="00E3077F" w:rsidRPr="00D45DD1">
        <w:rPr>
          <w:color w:val="000000" w:themeColor="text1"/>
          <w:szCs w:val="24"/>
        </w:rPr>
        <w:t>hysical Disability Board of Review</w:t>
      </w:r>
    </w:p>
    <w:p w:rsidR="00A153E0" w:rsidRDefault="00A153E0">
      <w:pPr>
        <w:rPr>
          <w:color w:val="000000" w:themeColor="text1"/>
          <w:szCs w:val="24"/>
        </w:rPr>
      </w:pPr>
      <w:r>
        <w:rPr>
          <w:color w:val="000000" w:themeColor="text1"/>
          <w:szCs w:val="24"/>
        </w:rPr>
        <w:br w:type="page"/>
      </w:r>
    </w:p>
    <w:p w:rsidR="00A153E0" w:rsidRPr="00D45DD1" w:rsidRDefault="00A153E0" w:rsidP="00F814FE">
      <w:pPr>
        <w:tabs>
          <w:tab w:val="left" w:pos="0"/>
          <w:tab w:val="left" w:pos="4320"/>
        </w:tabs>
        <w:jc w:val="both"/>
        <w:rPr>
          <w:color w:val="000000" w:themeColor="text1"/>
          <w:szCs w:val="24"/>
        </w:rPr>
      </w:pPr>
      <w:r>
        <w:rPr>
          <w:noProof/>
          <w:color w:val="000000" w:themeColor="text1"/>
          <w:szCs w:val="24"/>
        </w:rPr>
        <w:lastRenderedPageBreak/>
        <w:drawing>
          <wp:anchor distT="0" distB="0" distL="114300" distR="114300" simplePos="0" relativeHeight="251658240" behindDoc="0" locked="0" layoutInCell="1" allowOverlap="1">
            <wp:simplePos x="0" y="0"/>
            <wp:positionH relativeFrom="margin">
              <wp:posOffset>19050</wp:posOffset>
            </wp:positionH>
            <wp:positionV relativeFrom="margin">
              <wp:posOffset>-389890</wp:posOffset>
            </wp:positionV>
            <wp:extent cx="5932805" cy="7687310"/>
            <wp:effectExtent l="19050" t="0" r="0" b="0"/>
            <wp:wrapSquare wrapText="bothSides"/>
            <wp:docPr id="3" name="Picture 3" descr="D:\READING room\11-059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ADING room\11-059_Page_1.tiff"/>
                    <pic:cNvPicPr>
                      <a:picLocks noChangeAspect="1" noChangeArrowheads="1"/>
                    </pic:cNvPicPr>
                  </pic:nvPicPr>
                  <pic:blipFill>
                    <a:blip r:embed="rId8" cstate="print"/>
                    <a:srcRect/>
                    <a:stretch>
                      <a:fillRect/>
                    </a:stretch>
                  </pic:blipFill>
                  <pic:spPr bwMode="auto">
                    <a:xfrm>
                      <a:off x="0" y="0"/>
                      <a:ext cx="5932805" cy="7687310"/>
                    </a:xfrm>
                    <a:prstGeom prst="rect">
                      <a:avLst/>
                    </a:prstGeom>
                    <a:noFill/>
                    <a:ln w="9525">
                      <a:noFill/>
                      <a:miter lim="800000"/>
                      <a:headEnd/>
                      <a:tailEnd/>
                    </a:ln>
                  </pic:spPr>
                </pic:pic>
              </a:graphicData>
            </a:graphic>
          </wp:anchor>
        </w:drawing>
      </w:r>
    </w:p>
    <w:p w:rsidR="00D8783B" w:rsidRDefault="00D8783B" w:rsidP="00A153E0">
      <w:pPr>
        <w:jc w:val="both"/>
        <w:rPr>
          <w:noProof/>
          <w:color w:val="000000" w:themeColor="text1"/>
          <w:szCs w:val="24"/>
        </w:rPr>
      </w:pPr>
    </w:p>
    <w:p w:rsidR="00A153E0" w:rsidRDefault="00A153E0" w:rsidP="00A153E0">
      <w:pPr>
        <w:jc w:val="both"/>
        <w:rPr>
          <w:noProof/>
          <w:color w:val="000000" w:themeColor="text1"/>
          <w:szCs w:val="24"/>
        </w:rPr>
      </w:pPr>
    </w:p>
    <w:p w:rsidR="00A153E0" w:rsidRDefault="00A153E0" w:rsidP="00A153E0">
      <w:pPr>
        <w:jc w:val="both"/>
        <w:rPr>
          <w:noProof/>
          <w:color w:val="000000" w:themeColor="text1"/>
          <w:szCs w:val="24"/>
        </w:rPr>
      </w:pPr>
    </w:p>
    <w:p w:rsidR="00A153E0" w:rsidRDefault="00A153E0" w:rsidP="00A153E0">
      <w:pPr>
        <w:jc w:val="both"/>
        <w:rPr>
          <w:noProof/>
          <w:color w:val="000000" w:themeColor="text1"/>
          <w:szCs w:val="24"/>
        </w:rPr>
      </w:pPr>
    </w:p>
    <w:p w:rsidR="00A153E0" w:rsidRDefault="00A153E0" w:rsidP="00A153E0">
      <w:pPr>
        <w:jc w:val="both"/>
        <w:rPr>
          <w:noProof/>
          <w:color w:val="000000" w:themeColor="text1"/>
          <w:szCs w:val="24"/>
        </w:rPr>
      </w:pPr>
    </w:p>
    <w:p w:rsidR="00A153E0" w:rsidRPr="00D45DD1" w:rsidRDefault="00A153E0" w:rsidP="00A153E0">
      <w:pPr>
        <w:jc w:val="both"/>
        <w:rPr>
          <w:noProof/>
          <w:color w:val="000000" w:themeColor="text1"/>
          <w:szCs w:val="24"/>
        </w:rPr>
      </w:pPr>
      <w:r>
        <w:rPr>
          <w:noProof/>
          <w:color w:val="000000" w:themeColor="text1"/>
          <w:szCs w:val="24"/>
        </w:rPr>
        <w:lastRenderedPageBreak/>
        <w:drawing>
          <wp:anchor distT="0" distB="0" distL="114300" distR="114300" simplePos="0" relativeHeight="251659264" behindDoc="0" locked="0" layoutInCell="1" allowOverlap="1">
            <wp:simplePos x="933450" y="-6663267"/>
            <wp:positionH relativeFrom="margin">
              <wp:align>left</wp:align>
            </wp:positionH>
            <wp:positionV relativeFrom="margin">
              <wp:align>center</wp:align>
            </wp:positionV>
            <wp:extent cx="5933228" cy="7696200"/>
            <wp:effectExtent l="19050" t="0" r="0" b="0"/>
            <wp:wrapSquare wrapText="bothSides"/>
            <wp:docPr id="4" name="Picture 4" descr="D:\READING room\11-059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ADING room\11-059_Page_2.tiff"/>
                    <pic:cNvPicPr>
                      <a:picLocks noChangeAspect="1" noChangeArrowheads="1"/>
                    </pic:cNvPicPr>
                  </pic:nvPicPr>
                  <pic:blipFill>
                    <a:blip r:embed="rId9" cstate="print"/>
                    <a:srcRect/>
                    <a:stretch>
                      <a:fillRect/>
                    </a:stretch>
                  </pic:blipFill>
                  <pic:spPr bwMode="auto">
                    <a:xfrm>
                      <a:off x="0" y="0"/>
                      <a:ext cx="5933228" cy="7696200"/>
                    </a:xfrm>
                    <a:prstGeom prst="rect">
                      <a:avLst/>
                    </a:prstGeom>
                    <a:noFill/>
                    <a:ln w="9525">
                      <a:noFill/>
                      <a:miter lim="800000"/>
                      <a:headEnd/>
                      <a:tailEnd/>
                    </a:ln>
                  </pic:spPr>
                </pic:pic>
              </a:graphicData>
            </a:graphic>
          </wp:anchor>
        </w:drawing>
      </w:r>
    </w:p>
    <w:sectPr w:rsidR="00A153E0" w:rsidRPr="00D45DD1" w:rsidSect="00E70164">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A1" w:rsidRDefault="00B558A1">
      <w:r>
        <w:separator/>
      </w:r>
    </w:p>
  </w:endnote>
  <w:endnote w:type="continuationSeparator" w:id="0">
    <w:p w:rsidR="00B558A1" w:rsidRDefault="00B558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757B6" w:rsidRPr="00374247" w:rsidRDefault="00D757B6" w:rsidP="00374247">
        <w:pPr>
          <w:pStyle w:val="Footer"/>
          <w:ind w:firstLine="4320"/>
          <w:rPr>
            <w:color w:val="auto"/>
            <w:szCs w:val="24"/>
          </w:rPr>
        </w:pPr>
        <w:r w:rsidRPr="00374247">
          <w:rPr>
            <w:color w:val="auto"/>
            <w:szCs w:val="24"/>
          </w:rPr>
          <w:t xml:space="preserve">   </w:t>
        </w:r>
        <w:r w:rsidR="00D834CE" w:rsidRPr="004F40CA">
          <w:rPr>
            <w:color w:val="auto"/>
            <w:szCs w:val="24"/>
          </w:rPr>
          <w:fldChar w:fldCharType="begin"/>
        </w:r>
        <w:r w:rsidRPr="004F40CA">
          <w:rPr>
            <w:color w:val="auto"/>
            <w:szCs w:val="24"/>
          </w:rPr>
          <w:instrText xml:space="preserve"> PAGE   \* MERGEFORMAT </w:instrText>
        </w:r>
        <w:r w:rsidR="00D834CE" w:rsidRPr="004F40CA">
          <w:rPr>
            <w:color w:val="auto"/>
            <w:szCs w:val="24"/>
          </w:rPr>
          <w:fldChar w:fldCharType="separate"/>
        </w:r>
        <w:r w:rsidR="00895F4D" w:rsidRPr="00895F4D">
          <w:rPr>
            <w:noProof/>
            <w:color w:val="auto"/>
          </w:rPr>
          <w:t>7</w:t>
        </w:r>
        <w:r w:rsidR="00D834CE" w:rsidRPr="004F40CA">
          <w:rPr>
            <w:color w:val="auto"/>
            <w:szCs w:val="24"/>
          </w:rPr>
          <w:fldChar w:fldCharType="end"/>
        </w:r>
        <w:r w:rsidRPr="004F40CA">
          <w:rPr>
            <w:color w:val="auto"/>
            <w:szCs w:val="24"/>
          </w:rPr>
          <w:t xml:space="preserve">                                                           PD1100059</w:t>
        </w:r>
      </w:p>
    </w:sdtContent>
  </w:sdt>
  <w:p w:rsidR="00D757B6" w:rsidRPr="00684CE6" w:rsidRDefault="00D757B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A1" w:rsidRDefault="00B558A1">
      <w:r>
        <w:separator/>
      </w:r>
    </w:p>
  </w:footnote>
  <w:footnote w:type="continuationSeparator" w:id="0">
    <w:p w:rsidR="00B558A1" w:rsidRDefault="00B55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166"/>
    <w:rsid w:val="000145C2"/>
    <w:rsid w:val="0001473F"/>
    <w:rsid w:val="00014A47"/>
    <w:rsid w:val="00014A9E"/>
    <w:rsid w:val="00017778"/>
    <w:rsid w:val="00020C35"/>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16A"/>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4BAE"/>
    <w:rsid w:val="0015623F"/>
    <w:rsid w:val="00156585"/>
    <w:rsid w:val="00156BA9"/>
    <w:rsid w:val="00161642"/>
    <w:rsid w:val="00161761"/>
    <w:rsid w:val="00164736"/>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6D1F"/>
    <w:rsid w:val="001870F0"/>
    <w:rsid w:val="00190E48"/>
    <w:rsid w:val="0019114B"/>
    <w:rsid w:val="0019273F"/>
    <w:rsid w:val="00193814"/>
    <w:rsid w:val="00193AAB"/>
    <w:rsid w:val="00193AD5"/>
    <w:rsid w:val="00194930"/>
    <w:rsid w:val="00195AAC"/>
    <w:rsid w:val="001960E8"/>
    <w:rsid w:val="001A025E"/>
    <w:rsid w:val="001A08CD"/>
    <w:rsid w:val="001A0A1E"/>
    <w:rsid w:val="001A2182"/>
    <w:rsid w:val="001A323E"/>
    <w:rsid w:val="001A5320"/>
    <w:rsid w:val="001A5E62"/>
    <w:rsid w:val="001A6848"/>
    <w:rsid w:val="001A7538"/>
    <w:rsid w:val="001B06FB"/>
    <w:rsid w:val="001B0B1A"/>
    <w:rsid w:val="001B20E6"/>
    <w:rsid w:val="001B2CBC"/>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2EE7"/>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5095"/>
    <w:rsid w:val="002965B2"/>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6CAE"/>
    <w:rsid w:val="002E7072"/>
    <w:rsid w:val="002E7570"/>
    <w:rsid w:val="002E764B"/>
    <w:rsid w:val="002E7C25"/>
    <w:rsid w:val="002F0D6A"/>
    <w:rsid w:val="002F0E28"/>
    <w:rsid w:val="002F195B"/>
    <w:rsid w:val="002F27EF"/>
    <w:rsid w:val="002F287E"/>
    <w:rsid w:val="002F2981"/>
    <w:rsid w:val="002F2D63"/>
    <w:rsid w:val="002F5A4D"/>
    <w:rsid w:val="002F6AD8"/>
    <w:rsid w:val="002F7F81"/>
    <w:rsid w:val="00300A36"/>
    <w:rsid w:val="00301B45"/>
    <w:rsid w:val="00305856"/>
    <w:rsid w:val="00305867"/>
    <w:rsid w:val="0030678B"/>
    <w:rsid w:val="00306D16"/>
    <w:rsid w:val="00307595"/>
    <w:rsid w:val="00307DA6"/>
    <w:rsid w:val="00310CD7"/>
    <w:rsid w:val="0031327A"/>
    <w:rsid w:val="00313C3A"/>
    <w:rsid w:val="00313D7A"/>
    <w:rsid w:val="003155FB"/>
    <w:rsid w:val="00320C32"/>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B30"/>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4C7"/>
    <w:rsid w:val="00377BD2"/>
    <w:rsid w:val="00380FD4"/>
    <w:rsid w:val="003814A4"/>
    <w:rsid w:val="00381E16"/>
    <w:rsid w:val="003821E1"/>
    <w:rsid w:val="003840F6"/>
    <w:rsid w:val="00384866"/>
    <w:rsid w:val="00384A81"/>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178"/>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403"/>
    <w:rsid w:val="003D3C22"/>
    <w:rsid w:val="003D56A0"/>
    <w:rsid w:val="003D56E1"/>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796"/>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563B"/>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0CA"/>
    <w:rsid w:val="004F4E3C"/>
    <w:rsid w:val="004F5A1A"/>
    <w:rsid w:val="004F77A3"/>
    <w:rsid w:val="004F7B0D"/>
    <w:rsid w:val="005000AB"/>
    <w:rsid w:val="00500EAF"/>
    <w:rsid w:val="00500F3C"/>
    <w:rsid w:val="005025EE"/>
    <w:rsid w:val="00503401"/>
    <w:rsid w:val="00503DDF"/>
    <w:rsid w:val="00505524"/>
    <w:rsid w:val="005058D5"/>
    <w:rsid w:val="00506688"/>
    <w:rsid w:val="00507F4F"/>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2F2B"/>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274A"/>
    <w:rsid w:val="00583379"/>
    <w:rsid w:val="0058417C"/>
    <w:rsid w:val="005854F9"/>
    <w:rsid w:val="00586EC6"/>
    <w:rsid w:val="00587DDE"/>
    <w:rsid w:val="00593043"/>
    <w:rsid w:val="005948AE"/>
    <w:rsid w:val="00595B60"/>
    <w:rsid w:val="00595B63"/>
    <w:rsid w:val="00595BF0"/>
    <w:rsid w:val="00597B0E"/>
    <w:rsid w:val="00597E16"/>
    <w:rsid w:val="005A0B1D"/>
    <w:rsid w:val="005A1846"/>
    <w:rsid w:val="005A258C"/>
    <w:rsid w:val="005A3560"/>
    <w:rsid w:val="005A464E"/>
    <w:rsid w:val="005A532D"/>
    <w:rsid w:val="005A62FC"/>
    <w:rsid w:val="005A6C99"/>
    <w:rsid w:val="005A7580"/>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0647"/>
    <w:rsid w:val="006110FB"/>
    <w:rsid w:val="00612FB0"/>
    <w:rsid w:val="0061356D"/>
    <w:rsid w:val="00613E26"/>
    <w:rsid w:val="00614DFC"/>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452C"/>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6BB"/>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29B3"/>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18A1"/>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D61"/>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54EDD"/>
    <w:rsid w:val="0076100C"/>
    <w:rsid w:val="007612A5"/>
    <w:rsid w:val="00763CAE"/>
    <w:rsid w:val="00763F95"/>
    <w:rsid w:val="007651ED"/>
    <w:rsid w:val="00766C87"/>
    <w:rsid w:val="00770568"/>
    <w:rsid w:val="00771043"/>
    <w:rsid w:val="0077272B"/>
    <w:rsid w:val="00773AF7"/>
    <w:rsid w:val="00774FFD"/>
    <w:rsid w:val="00777CC9"/>
    <w:rsid w:val="00780378"/>
    <w:rsid w:val="0078085E"/>
    <w:rsid w:val="00781BD4"/>
    <w:rsid w:val="00782562"/>
    <w:rsid w:val="007828B4"/>
    <w:rsid w:val="00784832"/>
    <w:rsid w:val="00784EA0"/>
    <w:rsid w:val="00785D77"/>
    <w:rsid w:val="00786111"/>
    <w:rsid w:val="00790963"/>
    <w:rsid w:val="0079150B"/>
    <w:rsid w:val="0079154B"/>
    <w:rsid w:val="00791DC0"/>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5C25"/>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4F7D"/>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E4E"/>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5F4D"/>
    <w:rsid w:val="00896535"/>
    <w:rsid w:val="00896683"/>
    <w:rsid w:val="00896E71"/>
    <w:rsid w:val="0089750B"/>
    <w:rsid w:val="00897589"/>
    <w:rsid w:val="008A0C99"/>
    <w:rsid w:val="008A0D4F"/>
    <w:rsid w:val="008A1CC3"/>
    <w:rsid w:val="008A2753"/>
    <w:rsid w:val="008A39D7"/>
    <w:rsid w:val="008A55DE"/>
    <w:rsid w:val="008A5705"/>
    <w:rsid w:val="008A5C34"/>
    <w:rsid w:val="008A63A9"/>
    <w:rsid w:val="008A7073"/>
    <w:rsid w:val="008A79F0"/>
    <w:rsid w:val="008A7F7E"/>
    <w:rsid w:val="008B04DB"/>
    <w:rsid w:val="008B09B4"/>
    <w:rsid w:val="008B1B11"/>
    <w:rsid w:val="008B1DF4"/>
    <w:rsid w:val="008B27FD"/>
    <w:rsid w:val="008B2A2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4A5C"/>
    <w:rsid w:val="009259BA"/>
    <w:rsid w:val="00926FCB"/>
    <w:rsid w:val="009303BB"/>
    <w:rsid w:val="0093108A"/>
    <w:rsid w:val="00931B6D"/>
    <w:rsid w:val="0093311A"/>
    <w:rsid w:val="009346D0"/>
    <w:rsid w:val="009369A6"/>
    <w:rsid w:val="00937F57"/>
    <w:rsid w:val="0094031E"/>
    <w:rsid w:val="00940A7A"/>
    <w:rsid w:val="009419B4"/>
    <w:rsid w:val="00941A4C"/>
    <w:rsid w:val="00942645"/>
    <w:rsid w:val="009461E6"/>
    <w:rsid w:val="00946C2F"/>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1CF7"/>
    <w:rsid w:val="009625E3"/>
    <w:rsid w:val="00962F2D"/>
    <w:rsid w:val="00963A7A"/>
    <w:rsid w:val="00966DB6"/>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3D9"/>
    <w:rsid w:val="009A1643"/>
    <w:rsid w:val="009A215A"/>
    <w:rsid w:val="009A26B9"/>
    <w:rsid w:val="009A49D3"/>
    <w:rsid w:val="009A4F1B"/>
    <w:rsid w:val="009A66C5"/>
    <w:rsid w:val="009A66E7"/>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4D41"/>
    <w:rsid w:val="009D5DE9"/>
    <w:rsid w:val="009E09D0"/>
    <w:rsid w:val="009E1181"/>
    <w:rsid w:val="009E1283"/>
    <w:rsid w:val="009E3A7F"/>
    <w:rsid w:val="009E452A"/>
    <w:rsid w:val="009E4C9B"/>
    <w:rsid w:val="009E4DFC"/>
    <w:rsid w:val="009E5789"/>
    <w:rsid w:val="009E57B1"/>
    <w:rsid w:val="009E6379"/>
    <w:rsid w:val="009F020F"/>
    <w:rsid w:val="009F3B63"/>
    <w:rsid w:val="009F43E2"/>
    <w:rsid w:val="009F4BE4"/>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3E0"/>
    <w:rsid w:val="00A15B6B"/>
    <w:rsid w:val="00A15EB4"/>
    <w:rsid w:val="00A16172"/>
    <w:rsid w:val="00A16876"/>
    <w:rsid w:val="00A17628"/>
    <w:rsid w:val="00A200AA"/>
    <w:rsid w:val="00A20558"/>
    <w:rsid w:val="00A20E97"/>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769A9"/>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529"/>
    <w:rsid w:val="00AD2801"/>
    <w:rsid w:val="00AD3496"/>
    <w:rsid w:val="00AD426A"/>
    <w:rsid w:val="00AD49A1"/>
    <w:rsid w:val="00AD5771"/>
    <w:rsid w:val="00AD6870"/>
    <w:rsid w:val="00AD68C5"/>
    <w:rsid w:val="00AD7F8F"/>
    <w:rsid w:val="00AE0BF9"/>
    <w:rsid w:val="00AE1273"/>
    <w:rsid w:val="00AE18C5"/>
    <w:rsid w:val="00AE1CD8"/>
    <w:rsid w:val="00AE2540"/>
    <w:rsid w:val="00AE2CF4"/>
    <w:rsid w:val="00AE2D29"/>
    <w:rsid w:val="00AE2F15"/>
    <w:rsid w:val="00AE4624"/>
    <w:rsid w:val="00AE4B3E"/>
    <w:rsid w:val="00AE4B90"/>
    <w:rsid w:val="00AE5E14"/>
    <w:rsid w:val="00AE6115"/>
    <w:rsid w:val="00AE625B"/>
    <w:rsid w:val="00AE66D0"/>
    <w:rsid w:val="00AF01B2"/>
    <w:rsid w:val="00AF1103"/>
    <w:rsid w:val="00AF1668"/>
    <w:rsid w:val="00AF25B2"/>
    <w:rsid w:val="00AF28DE"/>
    <w:rsid w:val="00AF41EE"/>
    <w:rsid w:val="00AF4FA5"/>
    <w:rsid w:val="00AF5BB4"/>
    <w:rsid w:val="00AF6ECC"/>
    <w:rsid w:val="00B02145"/>
    <w:rsid w:val="00B022DC"/>
    <w:rsid w:val="00B0401E"/>
    <w:rsid w:val="00B04562"/>
    <w:rsid w:val="00B0472F"/>
    <w:rsid w:val="00B04F8D"/>
    <w:rsid w:val="00B06930"/>
    <w:rsid w:val="00B0773A"/>
    <w:rsid w:val="00B07955"/>
    <w:rsid w:val="00B1176B"/>
    <w:rsid w:val="00B140B8"/>
    <w:rsid w:val="00B14FAA"/>
    <w:rsid w:val="00B15BED"/>
    <w:rsid w:val="00B15D30"/>
    <w:rsid w:val="00B15F09"/>
    <w:rsid w:val="00B16D18"/>
    <w:rsid w:val="00B177DE"/>
    <w:rsid w:val="00B20624"/>
    <w:rsid w:val="00B206DE"/>
    <w:rsid w:val="00B21F2F"/>
    <w:rsid w:val="00B223A4"/>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8A1"/>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0A"/>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7CA"/>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168"/>
    <w:rsid w:val="00C157AA"/>
    <w:rsid w:val="00C162E1"/>
    <w:rsid w:val="00C16635"/>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FBA"/>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22E"/>
    <w:rsid w:val="00CA3F73"/>
    <w:rsid w:val="00CA4670"/>
    <w:rsid w:val="00CA5F89"/>
    <w:rsid w:val="00CA61F5"/>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070"/>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0B40"/>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5DD1"/>
    <w:rsid w:val="00D462D7"/>
    <w:rsid w:val="00D46A33"/>
    <w:rsid w:val="00D5062C"/>
    <w:rsid w:val="00D50C8C"/>
    <w:rsid w:val="00D52393"/>
    <w:rsid w:val="00D523E4"/>
    <w:rsid w:val="00D5279D"/>
    <w:rsid w:val="00D52A1B"/>
    <w:rsid w:val="00D52AA7"/>
    <w:rsid w:val="00D52FCC"/>
    <w:rsid w:val="00D5379C"/>
    <w:rsid w:val="00D53F14"/>
    <w:rsid w:val="00D54BE4"/>
    <w:rsid w:val="00D54DDB"/>
    <w:rsid w:val="00D554BC"/>
    <w:rsid w:val="00D560DC"/>
    <w:rsid w:val="00D56602"/>
    <w:rsid w:val="00D60483"/>
    <w:rsid w:val="00D61ABB"/>
    <w:rsid w:val="00D62D5C"/>
    <w:rsid w:val="00D63577"/>
    <w:rsid w:val="00D67FD7"/>
    <w:rsid w:val="00D704E4"/>
    <w:rsid w:val="00D717F6"/>
    <w:rsid w:val="00D72410"/>
    <w:rsid w:val="00D73D53"/>
    <w:rsid w:val="00D7402C"/>
    <w:rsid w:val="00D7408A"/>
    <w:rsid w:val="00D74261"/>
    <w:rsid w:val="00D7441B"/>
    <w:rsid w:val="00D75589"/>
    <w:rsid w:val="00D757B6"/>
    <w:rsid w:val="00D76AB2"/>
    <w:rsid w:val="00D80490"/>
    <w:rsid w:val="00D828F9"/>
    <w:rsid w:val="00D829AD"/>
    <w:rsid w:val="00D82EE2"/>
    <w:rsid w:val="00D834CE"/>
    <w:rsid w:val="00D83D1B"/>
    <w:rsid w:val="00D84133"/>
    <w:rsid w:val="00D84B8D"/>
    <w:rsid w:val="00D8545C"/>
    <w:rsid w:val="00D86AB5"/>
    <w:rsid w:val="00D86E57"/>
    <w:rsid w:val="00D876AD"/>
    <w:rsid w:val="00D87788"/>
    <w:rsid w:val="00D877C8"/>
    <w:rsid w:val="00D8783B"/>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1B65"/>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18ED"/>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1BC7"/>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2B52"/>
    <w:rsid w:val="00E53460"/>
    <w:rsid w:val="00E535CB"/>
    <w:rsid w:val="00E548FA"/>
    <w:rsid w:val="00E54D1E"/>
    <w:rsid w:val="00E55633"/>
    <w:rsid w:val="00E55CD9"/>
    <w:rsid w:val="00E57703"/>
    <w:rsid w:val="00E57ED4"/>
    <w:rsid w:val="00E57FED"/>
    <w:rsid w:val="00E6092F"/>
    <w:rsid w:val="00E61EE9"/>
    <w:rsid w:val="00E62049"/>
    <w:rsid w:val="00E629DA"/>
    <w:rsid w:val="00E62EF7"/>
    <w:rsid w:val="00E64374"/>
    <w:rsid w:val="00E6451F"/>
    <w:rsid w:val="00E6469F"/>
    <w:rsid w:val="00E6546A"/>
    <w:rsid w:val="00E65C05"/>
    <w:rsid w:val="00E65D39"/>
    <w:rsid w:val="00E670F8"/>
    <w:rsid w:val="00E6741B"/>
    <w:rsid w:val="00E675DF"/>
    <w:rsid w:val="00E67FAC"/>
    <w:rsid w:val="00E70164"/>
    <w:rsid w:val="00E71485"/>
    <w:rsid w:val="00E7200B"/>
    <w:rsid w:val="00E738CB"/>
    <w:rsid w:val="00E73C88"/>
    <w:rsid w:val="00E74437"/>
    <w:rsid w:val="00E7443D"/>
    <w:rsid w:val="00E75A6D"/>
    <w:rsid w:val="00E75ACE"/>
    <w:rsid w:val="00E771AF"/>
    <w:rsid w:val="00E80386"/>
    <w:rsid w:val="00E809C3"/>
    <w:rsid w:val="00E814D4"/>
    <w:rsid w:val="00E81A1A"/>
    <w:rsid w:val="00E81C3E"/>
    <w:rsid w:val="00E82359"/>
    <w:rsid w:val="00E82B6D"/>
    <w:rsid w:val="00E82E2F"/>
    <w:rsid w:val="00E83187"/>
    <w:rsid w:val="00E831E9"/>
    <w:rsid w:val="00E84DDA"/>
    <w:rsid w:val="00E84EA7"/>
    <w:rsid w:val="00E8608F"/>
    <w:rsid w:val="00E86C1D"/>
    <w:rsid w:val="00E90703"/>
    <w:rsid w:val="00E90A62"/>
    <w:rsid w:val="00E9265E"/>
    <w:rsid w:val="00E92D1C"/>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B76FB"/>
    <w:rsid w:val="00EC0E65"/>
    <w:rsid w:val="00EC1251"/>
    <w:rsid w:val="00EC2938"/>
    <w:rsid w:val="00EC337D"/>
    <w:rsid w:val="00EC38EF"/>
    <w:rsid w:val="00EC4E43"/>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47D"/>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6937"/>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3F72"/>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4BB"/>
    <w:rsid w:val="00F667C5"/>
    <w:rsid w:val="00F67E31"/>
    <w:rsid w:val="00F70B44"/>
    <w:rsid w:val="00F71436"/>
    <w:rsid w:val="00F718A8"/>
    <w:rsid w:val="00F7207E"/>
    <w:rsid w:val="00F72183"/>
    <w:rsid w:val="00F75C12"/>
    <w:rsid w:val="00F76D01"/>
    <w:rsid w:val="00F77F79"/>
    <w:rsid w:val="00F80B43"/>
    <w:rsid w:val="00F80C97"/>
    <w:rsid w:val="00F814FE"/>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396"/>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84BE-8C50-4F6E-8A59-48004A63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2439</Words>
  <Characters>13567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15</cp:revision>
  <cp:lastPrinted>2012-01-11T16:25:00Z</cp:lastPrinted>
  <dcterms:created xsi:type="dcterms:W3CDTF">2012-01-04T19:19:00Z</dcterms:created>
  <dcterms:modified xsi:type="dcterms:W3CDTF">2012-03-06T19:28:00Z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