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8F7275" w:rsidRPr="008F7275" w:rsidRDefault="008F7275" w:rsidP="008F7275">
      <w:pPr>
        <w:pBdr>
          <w:bottom w:val="single" w:sz="12" w:space="1" w:color="auto"/>
        </w:pBdr>
        <w:tabs>
          <w:tab w:val="left" w:pos="288"/>
          <w:tab w:val="left" w:pos="4752"/>
        </w:tabs>
        <w:spacing w:line="240" w:lineRule="exact"/>
        <w:jc w:val="both"/>
        <w:rPr>
          <w:rFonts w:asciiTheme="minorHAnsi" w:hAnsiTheme="minorHAnsi"/>
          <w:caps/>
          <w:color w:val="auto"/>
        </w:rPr>
      </w:pPr>
      <w:r w:rsidRPr="008F7275">
        <w:rPr>
          <w:rFonts w:asciiTheme="minorHAnsi" w:hAnsiTheme="minorHAnsi"/>
          <w:caps/>
          <w:color w:val="auto"/>
        </w:rPr>
        <w:t xml:space="preserve">NAME:  </w:t>
      </w:r>
      <w:r w:rsidR="00F20CCB">
        <w:rPr>
          <w:rFonts w:asciiTheme="minorHAnsi" w:hAnsiTheme="minorHAnsi"/>
          <w:color w:val="auto"/>
        </w:rPr>
        <w:t>XXXXXXXXXX</w:t>
      </w:r>
      <w:r w:rsidR="00BD6A53">
        <w:rPr>
          <w:rFonts w:asciiTheme="minorHAnsi" w:hAnsiTheme="minorHAnsi"/>
          <w:caps/>
          <w:color w:val="auto"/>
        </w:rPr>
        <w:tab/>
      </w:r>
      <w:r w:rsidR="00BD6A53">
        <w:rPr>
          <w:rFonts w:asciiTheme="minorHAnsi" w:hAnsiTheme="minorHAnsi"/>
          <w:caps/>
          <w:color w:val="auto"/>
        </w:rPr>
        <w:tab/>
      </w:r>
      <w:r w:rsidR="00BD6A53">
        <w:rPr>
          <w:rFonts w:asciiTheme="minorHAnsi" w:hAnsiTheme="minorHAnsi"/>
          <w:caps/>
          <w:color w:val="auto"/>
        </w:rPr>
        <w:tab/>
      </w:r>
      <w:r w:rsidR="00AA4E88">
        <w:rPr>
          <w:rFonts w:asciiTheme="minorHAnsi" w:hAnsiTheme="minorHAnsi"/>
          <w:caps/>
          <w:color w:val="auto"/>
        </w:rPr>
        <w:t xml:space="preserve">           </w:t>
      </w:r>
      <w:r w:rsidR="002E0061">
        <w:rPr>
          <w:rFonts w:asciiTheme="minorHAnsi" w:hAnsiTheme="minorHAnsi"/>
          <w:caps/>
          <w:color w:val="auto"/>
        </w:rPr>
        <w:t>BRANCH OF SERVICE:  Army</w:t>
      </w:r>
    </w:p>
    <w:p w:rsidR="008F7275" w:rsidRPr="008F7275" w:rsidRDefault="008F7275" w:rsidP="008F7275">
      <w:pPr>
        <w:pBdr>
          <w:bottom w:val="single" w:sz="12" w:space="1" w:color="auto"/>
        </w:pBdr>
        <w:tabs>
          <w:tab w:val="left" w:pos="288"/>
          <w:tab w:val="left" w:pos="4752"/>
        </w:tabs>
        <w:spacing w:line="240" w:lineRule="exact"/>
        <w:jc w:val="both"/>
        <w:rPr>
          <w:rFonts w:asciiTheme="minorHAnsi" w:hAnsiTheme="minorHAnsi"/>
          <w:caps/>
          <w:color w:val="auto"/>
        </w:rPr>
      </w:pPr>
      <w:r w:rsidRPr="008F7275">
        <w:rPr>
          <w:rFonts w:asciiTheme="minorHAnsi" w:hAnsiTheme="minorHAnsi"/>
          <w:caps/>
          <w:color w:val="auto"/>
        </w:rPr>
        <w:t>CASE NUMBER:  PD1100039</w:t>
      </w:r>
      <w:r>
        <w:rPr>
          <w:rFonts w:asciiTheme="minorHAnsi" w:hAnsiTheme="minorHAnsi"/>
          <w:caps/>
          <w:color w:val="auto"/>
        </w:rPr>
        <w:tab/>
      </w:r>
      <w:r>
        <w:rPr>
          <w:rFonts w:asciiTheme="minorHAnsi" w:hAnsiTheme="minorHAnsi"/>
          <w:caps/>
          <w:color w:val="auto"/>
        </w:rPr>
        <w:tab/>
      </w:r>
      <w:r w:rsidR="00BD6A53">
        <w:rPr>
          <w:rFonts w:asciiTheme="minorHAnsi" w:hAnsiTheme="minorHAnsi"/>
          <w:caps/>
          <w:color w:val="auto"/>
        </w:rPr>
        <w:tab/>
      </w:r>
      <w:r w:rsidR="00AA4E88">
        <w:rPr>
          <w:rFonts w:asciiTheme="minorHAnsi" w:hAnsiTheme="minorHAnsi"/>
          <w:caps/>
          <w:color w:val="auto"/>
        </w:rPr>
        <w:t xml:space="preserve">           </w:t>
      </w:r>
      <w:r w:rsidRPr="008F7275">
        <w:rPr>
          <w:rFonts w:asciiTheme="minorHAnsi" w:hAnsiTheme="minorHAnsi"/>
          <w:caps/>
          <w:color w:val="auto"/>
        </w:rPr>
        <w:t>SEPARATION DATE:  20080918</w:t>
      </w:r>
    </w:p>
    <w:p w:rsidR="008F7275" w:rsidRPr="008F7275" w:rsidRDefault="008F7275" w:rsidP="008F7275">
      <w:pPr>
        <w:pBdr>
          <w:bottom w:val="single" w:sz="12" w:space="1" w:color="auto"/>
        </w:pBdr>
        <w:tabs>
          <w:tab w:val="left" w:pos="288"/>
          <w:tab w:val="left" w:pos="4752"/>
        </w:tabs>
        <w:spacing w:line="240" w:lineRule="exact"/>
        <w:jc w:val="both"/>
        <w:rPr>
          <w:rFonts w:asciiTheme="minorHAnsi" w:hAnsiTheme="minorHAnsi"/>
          <w:caps/>
          <w:color w:val="auto"/>
        </w:rPr>
      </w:pPr>
      <w:r w:rsidRPr="008F7275">
        <w:rPr>
          <w:rFonts w:asciiTheme="minorHAnsi" w:hAnsiTheme="minorHAnsi"/>
          <w:caps/>
          <w:color w:val="auto"/>
        </w:rPr>
        <w:t>BOARD DATE:  2011</w:t>
      </w:r>
      <w:r w:rsidR="00BF30EF">
        <w:rPr>
          <w:rFonts w:asciiTheme="minorHAnsi" w:hAnsiTheme="minorHAnsi"/>
          <w:caps/>
          <w:color w:val="auto"/>
        </w:rPr>
        <w:t>1122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Pr="008F7275"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8F7275" w:rsidRPr="00BF30EF">
        <w:rPr>
          <w:rFonts w:asciiTheme="minorHAnsi" w:hAnsiTheme="minorHAnsi"/>
          <w:color w:val="auto"/>
        </w:rPr>
        <w:t>Data extracted from the available evidence of record reflects that this covered individual (CI) was an Army, Specialist / E</w:t>
      </w:r>
      <w:r w:rsidR="0066239B" w:rsidRPr="00BF30EF">
        <w:rPr>
          <w:rFonts w:asciiTheme="minorHAnsi" w:hAnsiTheme="minorHAnsi"/>
          <w:color w:val="auto"/>
        </w:rPr>
        <w:t>-</w:t>
      </w:r>
      <w:r w:rsidR="008F7275" w:rsidRPr="00BF30EF">
        <w:rPr>
          <w:rFonts w:asciiTheme="minorHAnsi" w:hAnsiTheme="minorHAnsi"/>
          <w:color w:val="auto"/>
        </w:rPr>
        <w:t>4 (19K10, M1 Armor Crewman), medically separated for anxiety disorder on impending re-deployment, following combat op</w:t>
      </w:r>
      <w:r w:rsidR="00FB0742" w:rsidRPr="00BF30EF">
        <w:rPr>
          <w:rFonts w:asciiTheme="minorHAnsi" w:hAnsiTheme="minorHAnsi"/>
          <w:color w:val="auto"/>
        </w:rPr>
        <w:t>era</w:t>
      </w:r>
      <w:r w:rsidR="000F0812" w:rsidRPr="00BF30EF">
        <w:rPr>
          <w:rFonts w:asciiTheme="minorHAnsi" w:hAnsiTheme="minorHAnsi"/>
          <w:color w:val="auto"/>
        </w:rPr>
        <w:t xml:space="preserve">tions in Iraq, from </w:t>
      </w:r>
      <w:r w:rsidR="00054A59" w:rsidRPr="00BF30EF">
        <w:rPr>
          <w:rFonts w:asciiTheme="minorHAnsi" w:hAnsiTheme="minorHAnsi"/>
          <w:color w:val="auto"/>
        </w:rPr>
        <w:t>January 200</w:t>
      </w:r>
      <w:r w:rsidR="00555781" w:rsidRPr="00BF30EF">
        <w:rPr>
          <w:rFonts w:asciiTheme="minorHAnsi" w:hAnsiTheme="minorHAnsi"/>
          <w:color w:val="auto"/>
        </w:rPr>
        <w:t>6</w:t>
      </w:r>
      <w:r w:rsidR="00864C42" w:rsidRPr="00BF30EF">
        <w:rPr>
          <w:rFonts w:asciiTheme="minorHAnsi" w:hAnsiTheme="minorHAnsi"/>
          <w:color w:val="auto"/>
        </w:rPr>
        <w:t>-</w:t>
      </w:r>
      <w:r w:rsidR="00054A59" w:rsidRPr="00BF30EF">
        <w:rPr>
          <w:rFonts w:asciiTheme="minorHAnsi" w:hAnsiTheme="minorHAnsi"/>
          <w:color w:val="auto"/>
        </w:rPr>
        <w:t>February</w:t>
      </w:r>
      <w:r w:rsidR="0066239B" w:rsidRPr="00BF30EF">
        <w:rPr>
          <w:rFonts w:asciiTheme="minorHAnsi" w:hAnsiTheme="minorHAnsi"/>
          <w:color w:val="auto"/>
        </w:rPr>
        <w:t xml:space="preserve"> </w:t>
      </w:r>
      <w:r w:rsidR="00FB0742" w:rsidRPr="00BF30EF">
        <w:rPr>
          <w:rFonts w:asciiTheme="minorHAnsi" w:hAnsiTheme="minorHAnsi"/>
          <w:color w:val="auto"/>
        </w:rPr>
        <w:t>2007</w:t>
      </w:r>
      <w:r w:rsidR="008F7275" w:rsidRPr="00BF30EF">
        <w:rPr>
          <w:rFonts w:asciiTheme="minorHAnsi" w:hAnsiTheme="minorHAnsi"/>
          <w:color w:val="auto"/>
        </w:rPr>
        <w:t xml:space="preserve">.  </w:t>
      </w:r>
      <w:r w:rsidR="002E64DA" w:rsidRPr="00BF30EF">
        <w:rPr>
          <w:rFonts w:asciiTheme="minorHAnsi" w:hAnsiTheme="minorHAnsi"/>
          <w:color w:val="auto"/>
        </w:rPr>
        <w:t xml:space="preserve">The CI had a 28-day hospitalization for suicidal ideation and was diagnosed with </w:t>
      </w:r>
      <w:r w:rsidR="007F739F">
        <w:rPr>
          <w:rFonts w:asciiTheme="minorHAnsi" w:hAnsiTheme="minorHAnsi"/>
          <w:color w:val="auto"/>
          <w:szCs w:val="24"/>
        </w:rPr>
        <w:t>post</w:t>
      </w:r>
      <w:r w:rsidR="00DB498E">
        <w:rPr>
          <w:rFonts w:asciiTheme="minorHAnsi" w:hAnsiTheme="minorHAnsi"/>
          <w:color w:val="auto"/>
          <w:szCs w:val="24"/>
        </w:rPr>
        <w:t>traumatic stress disorder (PTSD) and a</w:t>
      </w:r>
      <w:r w:rsidR="002E64DA" w:rsidRPr="00BF30EF">
        <w:rPr>
          <w:rFonts w:asciiTheme="minorHAnsi" w:hAnsiTheme="minorHAnsi"/>
          <w:color w:val="auto"/>
          <w:szCs w:val="24"/>
        </w:rPr>
        <w:t>nxiety not otherwise specified</w:t>
      </w:r>
      <w:r w:rsidR="0072642B" w:rsidRPr="00BF30EF">
        <w:rPr>
          <w:rFonts w:asciiTheme="minorHAnsi" w:hAnsiTheme="minorHAnsi"/>
          <w:color w:val="auto"/>
          <w:szCs w:val="24"/>
        </w:rPr>
        <w:t xml:space="preserve">.  He was placed on multiple psychoactive medications for symptom control.  The </w:t>
      </w:r>
      <w:r w:rsidR="00DB498E">
        <w:rPr>
          <w:rFonts w:asciiTheme="minorHAnsi" w:hAnsiTheme="minorHAnsi"/>
          <w:color w:val="auto"/>
          <w:szCs w:val="24"/>
        </w:rPr>
        <w:t>service psychiatrist diagnosed a</w:t>
      </w:r>
      <w:r w:rsidR="0072642B" w:rsidRPr="00BF30EF">
        <w:rPr>
          <w:rFonts w:asciiTheme="minorHAnsi" w:hAnsiTheme="minorHAnsi"/>
          <w:color w:val="auto"/>
          <w:szCs w:val="24"/>
        </w:rPr>
        <w:t xml:space="preserve">nxiety disorder and personality disorder without a diagnosis of PTSD.  </w:t>
      </w:r>
      <w:r w:rsidR="008F7275" w:rsidRPr="00BF30EF">
        <w:rPr>
          <w:rFonts w:asciiTheme="minorHAnsi" w:hAnsiTheme="minorHAnsi"/>
          <w:color w:val="auto"/>
        </w:rPr>
        <w:t xml:space="preserve">The CI was issued a permanent S3 profile and underwent a Medical Evaluation Board (MEB).  </w:t>
      </w:r>
      <w:r w:rsidR="0072642B" w:rsidRPr="00BF30EF">
        <w:rPr>
          <w:rFonts w:asciiTheme="minorHAnsi" w:hAnsiTheme="minorHAnsi"/>
          <w:color w:val="auto"/>
        </w:rPr>
        <w:t>A</w:t>
      </w:r>
      <w:r w:rsidR="008F7275" w:rsidRPr="00BF30EF">
        <w:rPr>
          <w:rFonts w:asciiTheme="minorHAnsi" w:hAnsiTheme="minorHAnsi"/>
          <w:color w:val="auto"/>
        </w:rPr>
        <w:t>nxiety disorder was</w:t>
      </w:r>
      <w:r w:rsidR="008F7275" w:rsidRPr="008F7275">
        <w:rPr>
          <w:rFonts w:asciiTheme="minorHAnsi" w:hAnsiTheme="minorHAnsi"/>
          <w:color w:val="auto"/>
        </w:rPr>
        <w:t xml:space="preserve"> forwarded to the Physical Evaluation Board (PEB) as medically unacceptable IAW AR 40-501.  Three other conditions, as identified in the rating chart below, were forwarded on the MEB submission as medically acceptable conditions.  Other conditions included in the </w:t>
      </w:r>
      <w:r w:rsidR="00DB498E">
        <w:rPr>
          <w:rFonts w:asciiTheme="minorHAnsi" w:hAnsiTheme="minorHAnsi"/>
          <w:color w:val="auto"/>
        </w:rPr>
        <w:t>narrative summary (</w:t>
      </w:r>
      <w:r w:rsidR="008F7275" w:rsidRPr="008F7275">
        <w:rPr>
          <w:rFonts w:asciiTheme="minorHAnsi" w:hAnsiTheme="minorHAnsi"/>
          <w:color w:val="auto"/>
        </w:rPr>
        <w:t>NARSUM</w:t>
      </w:r>
      <w:r w:rsidR="00DB498E">
        <w:rPr>
          <w:rFonts w:asciiTheme="minorHAnsi" w:hAnsiTheme="minorHAnsi"/>
          <w:color w:val="auto"/>
        </w:rPr>
        <w:t>)</w:t>
      </w:r>
      <w:r w:rsidR="008F7275" w:rsidRPr="008F7275">
        <w:rPr>
          <w:rFonts w:asciiTheme="minorHAnsi" w:hAnsiTheme="minorHAnsi"/>
          <w:color w:val="auto"/>
        </w:rPr>
        <w:t xml:space="preserve"> and </w:t>
      </w:r>
      <w:r w:rsidR="00DB498E">
        <w:rPr>
          <w:rFonts w:asciiTheme="minorHAnsi" w:hAnsiTheme="minorHAnsi"/>
          <w:color w:val="auto"/>
        </w:rPr>
        <w:t>Disability Evaluation System (</w:t>
      </w:r>
      <w:r w:rsidR="008F7275" w:rsidRPr="008F7275">
        <w:rPr>
          <w:rFonts w:asciiTheme="minorHAnsi" w:hAnsiTheme="minorHAnsi"/>
          <w:color w:val="auto"/>
        </w:rPr>
        <w:t>DES</w:t>
      </w:r>
      <w:r w:rsidR="00DB498E">
        <w:rPr>
          <w:rFonts w:asciiTheme="minorHAnsi" w:hAnsiTheme="minorHAnsi"/>
          <w:color w:val="auto"/>
        </w:rPr>
        <w:t>)</w:t>
      </w:r>
      <w:r w:rsidR="008F7275" w:rsidRPr="008F7275">
        <w:rPr>
          <w:rFonts w:asciiTheme="minorHAnsi" w:hAnsiTheme="minorHAnsi"/>
          <w:color w:val="auto"/>
        </w:rPr>
        <w:t xml:space="preserve"> packet </w:t>
      </w:r>
      <w:r w:rsidR="008F7275" w:rsidRPr="00BF30EF">
        <w:rPr>
          <w:rFonts w:asciiTheme="minorHAnsi" w:hAnsiTheme="minorHAnsi"/>
          <w:color w:val="auto"/>
        </w:rPr>
        <w:t xml:space="preserve">will be discussed below.  The Informal PEB (IPEB) adjudicated the anxiety disorder condition as unfitting, rated 10%, with </w:t>
      </w:r>
      <w:r w:rsidR="004A7339" w:rsidRPr="00BF30EF">
        <w:rPr>
          <w:rFonts w:asciiTheme="minorHAnsi" w:hAnsiTheme="minorHAnsi"/>
          <w:color w:val="auto"/>
        </w:rPr>
        <w:t xml:space="preserve">likely </w:t>
      </w:r>
      <w:r w:rsidR="008F7275" w:rsidRPr="00BF30EF">
        <w:rPr>
          <w:rFonts w:asciiTheme="minorHAnsi" w:hAnsiTheme="minorHAnsi"/>
          <w:color w:val="auto"/>
        </w:rPr>
        <w:t>application of the Department of Defense Instruction (DoDI) 1332.39.  The CI made no appeals, and was thus medically separated with a 10% combined disability</w:t>
      </w:r>
      <w:r w:rsidR="008F7275" w:rsidRPr="008F7275">
        <w:rPr>
          <w:rFonts w:asciiTheme="minorHAnsi" w:hAnsiTheme="minorHAnsi"/>
          <w:color w:val="auto"/>
        </w:rPr>
        <w:t xml:space="preserve">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8F7275">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8F7275" w:rsidRPr="008F7275">
        <w:rPr>
          <w:rFonts w:asciiTheme="minorHAnsi" w:hAnsiTheme="minorHAnsi"/>
          <w:color w:val="auto"/>
        </w:rPr>
        <w:t xml:space="preserve">The CI has forwarded </w:t>
      </w:r>
      <w:r w:rsidR="008F7275" w:rsidRPr="00BF30EF">
        <w:rPr>
          <w:rFonts w:asciiTheme="minorHAnsi" w:hAnsiTheme="minorHAnsi"/>
          <w:color w:val="auto"/>
        </w:rPr>
        <w:t>a detailed su</w:t>
      </w:r>
      <w:r w:rsidR="00DB498E">
        <w:rPr>
          <w:rFonts w:asciiTheme="minorHAnsi" w:hAnsiTheme="minorHAnsi"/>
          <w:color w:val="auto"/>
        </w:rPr>
        <w:t>pplement to DD Form 294, items three and four</w:t>
      </w:r>
      <w:r w:rsidR="008F7275" w:rsidRPr="00BF30EF">
        <w:rPr>
          <w:rFonts w:asciiTheme="minorHAnsi" w:hAnsiTheme="minorHAnsi"/>
          <w:color w:val="auto"/>
        </w:rPr>
        <w:t>, which surmises why his disability rating should be revised upward to at least 50%.  This document was reviewed by the Board in its</w:t>
      </w:r>
      <w:r w:rsidR="008F7275" w:rsidRPr="008F7275">
        <w:rPr>
          <w:rFonts w:asciiTheme="minorHAnsi" w:hAnsiTheme="minorHAnsi"/>
          <w:color w:val="auto"/>
        </w:rPr>
        <w:t xml:space="preserve"> entirety.  As a matter of policy, all service conditions are reviewed by the Board for their potential contribution to its rating recommendations.</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Pr="00AA4E88" w:rsidRDefault="00D2288F" w:rsidP="00510F9C">
      <w:pPr>
        <w:spacing w:line="240" w:lineRule="exact"/>
        <w:rPr>
          <w:rFonts w:asciiTheme="minorHAnsi" w:hAnsiTheme="minorHAnsi"/>
          <w:color w:val="auto"/>
          <w:u w:val="single"/>
        </w:rPr>
      </w:pPr>
    </w:p>
    <w:p w:rsidR="002338CA" w:rsidRPr="00AA4E88" w:rsidRDefault="007F0AB7" w:rsidP="00510F9C">
      <w:pPr>
        <w:spacing w:line="240" w:lineRule="exact"/>
        <w:rPr>
          <w:rFonts w:asciiTheme="minorHAnsi" w:hAnsiTheme="minorHAnsi"/>
          <w:color w:val="auto"/>
        </w:rPr>
      </w:pPr>
      <w:r w:rsidRPr="00AA4E88">
        <w:rPr>
          <w:rFonts w:asciiTheme="minorHAnsi" w:hAnsiTheme="minorHAnsi"/>
          <w:color w:val="auto"/>
          <w:u w:val="single"/>
        </w:rPr>
        <w:t>R</w:t>
      </w:r>
      <w:r w:rsidR="002C6E5B" w:rsidRPr="00AA4E88">
        <w:rPr>
          <w:rFonts w:asciiTheme="minorHAnsi" w:hAnsiTheme="minorHAnsi"/>
          <w:color w:val="auto"/>
          <w:u w:val="single"/>
        </w:rPr>
        <w:t>ATING COMPARISON</w:t>
      </w:r>
      <w:r w:rsidR="002C6E5B" w:rsidRPr="00AA4E88">
        <w:rPr>
          <w:rFonts w:asciiTheme="minorHAnsi" w:hAnsiTheme="minorHAnsi"/>
          <w:color w:val="auto"/>
        </w:rPr>
        <w:t>:</w:t>
      </w:r>
    </w:p>
    <w:p w:rsidR="008F7275" w:rsidRPr="00AA4E88" w:rsidRDefault="008F7275" w:rsidP="00510F9C">
      <w:pPr>
        <w:spacing w:line="240" w:lineRule="exact"/>
        <w:rPr>
          <w:rFonts w:asciiTheme="minorHAnsi" w:hAnsiTheme="minorHAnsi"/>
          <w:color w:val="auto"/>
        </w:rPr>
      </w:pPr>
    </w:p>
    <w:tbl>
      <w:tblPr>
        <w:tblStyle w:val="TableGrid"/>
        <w:tblW w:w="9344" w:type="dxa"/>
        <w:jc w:val="center"/>
        <w:tblInd w:w="180" w:type="dxa"/>
        <w:tblLayout w:type="fixed"/>
        <w:tblLook w:val="04A0"/>
      </w:tblPr>
      <w:tblGrid>
        <w:gridCol w:w="2152"/>
        <w:gridCol w:w="773"/>
        <w:gridCol w:w="780"/>
        <w:gridCol w:w="2340"/>
        <w:gridCol w:w="1170"/>
        <w:gridCol w:w="810"/>
        <w:gridCol w:w="1319"/>
      </w:tblGrid>
      <w:tr w:rsidR="008F7275" w:rsidRPr="00AA4E88" w:rsidTr="0066239B">
        <w:trPr>
          <w:trHeight w:val="233"/>
          <w:jc w:val="center"/>
        </w:trPr>
        <w:tc>
          <w:tcPr>
            <w:tcW w:w="3705" w:type="dxa"/>
            <w:gridSpan w:val="3"/>
            <w:tcBorders>
              <w:right w:val="thinThickThinSmallGap" w:sz="24" w:space="0" w:color="auto"/>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Service IPEB – Dated 20080613</w:t>
            </w:r>
          </w:p>
        </w:tc>
        <w:tc>
          <w:tcPr>
            <w:tcW w:w="5639" w:type="dxa"/>
            <w:gridSpan w:val="4"/>
            <w:tcBorders>
              <w:left w:val="thinThickThinSmallGap" w:sz="24" w:space="0" w:color="auto"/>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VA (4 Days Pre</w:t>
            </w:r>
            <w:r w:rsidR="0066239B" w:rsidRPr="00AA4E88">
              <w:rPr>
                <w:rFonts w:cs="Times New Roman"/>
                <w:b/>
                <w:color w:val="auto"/>
                <w:sz w:val="20"/>
                <w:szCs w:val="20"/>
              </w:rPr>
              <w:t>- &amp; 6 Mo. Post-</w:t>
            </w:r>
            <w:r w:rsidRPr="00AA4E88">
              <w:rPr>
                <w:rFonts w:cs="Times New Roman"/>
                <w:b/>
                <w:color w:val="auto"/>
                <w:sz w:val="20"/>
                <w:szCs w:val="20"/>
              </w:rPr>
              <w:t xml:space="preserve">Sep) – All Effective 20080919 </w:t>
            </w:r>
          </w:p>
        </w:tc>
      </w:tr>
      <w:tr w:rsidR="008F7275" w:rsidRPr="00AA4E88" w:rsidTr="004C15DD">
        <w:trPr>
          <w:trHeight w:val="233"/>
          <w:jc w:val="center"/>
        </w:trPr>
        <w:tc>
          <w:tcPr>
            <w:tcW w:w="2152" w:type="dxa"/>
            <w:tcBorders>
              <w:bottom w:val="single" w:sz="4" w:space="0" w:color="000000" w:themeColor="text1"/>
            </w:tcBorders>
            <w:shd w:val="clear" w:color="auto" w:fill="D9D9D9" w:themeFill="background1" w:themeFillShade="D9"/>
          </w:tcPr>
          <w:p w:rsidR="008F7275" w:rsidRPr="00AA4E88" w:rsidRDefault="008F7275" w:rsidP="001422F2">
            <w:pPr>
              <w:spacing w:line="240" w:lineRule="exact"/>
              <w:contextualSpacing/>
              <w:jc w:val="center"/>
              <w:rPr>
                <w:rFonts w:cs="Times New Roman"/>
                <w:b/>
                <w:color w:val="auto"/>
                <w:sz w:val="20"/>
                <w:szCs w:val="20"/>
              </w:rPr>
            </w:pPr>
            <w:r w:rsidRPr="00AA4E88">
              <w:rPr>
                <w:rFonts w:cs="Times New Roman"/>
                <w:b/>
                <w:color w:val="auto"/>
                <w:sz w:val="20"/>
                <w:szCs w:val="20"/>
              </w:rPr>
              <w:t>Condition</w:t>
            </w:r>
          </w:p>
        </w:tc>
        <w:tc>
          <w:tcPr>
            <w:tcW w:w="773" w:type="dxa"/>
            <w:tcBorders>
              <w:bottom w:val="single" w:sz="4" w:space="0" w:color="000000" w:themeColor="text1"/>
            </w:tcBorders>
            <w:shd w:val="clear" w:color="auto" w:fill="D9D9D9" w:themeFill="background1" w:themeFillShade="D9"/>
          </w:tcPr>
          <w:p w:rsidR="008F7275" w:rsidRPr="00AA4E88" w:rsidRDefault="008F7275" w:rsidP="001422F2">
            <w:pPr>
              <w:spacing w:line="240" w:lineRule="exact"/>
              <w:contextualSpacing/>
              <w:jc w:val="center"/>
              <w:rPr>
                <w:rFonts w:cs="Times New Roman"/>
                <w:b/>
                <w:color w:val="auto"/>
                <w:sz w:val="20"/>
                <w:szCs w:val="20"/>
              </w:rPr>
            </w:pPr>
            <w:r w:rsidRPr="00AA4E88">
              <w:rPr>
                <w:rFonts w:cs="Times New Roman"/>
                <w:b/>
                <w:color w:val="auto"/>
                <w:sz w:val="20"/>
                <w:szCs w:val="20"/>
              </w:rPr>
              <w:t>Code</w:t>
            </w:r>
          </w:p>
        </w:tc>
        <w:tc>
          <w:tcPr>
            <w:tcW w:w="780" w:type="dxa"/>
            <w:tcBorders>
              <w:bottom w:val="single" w:sz="4" w:space="0" w:color="000000" w:themeColor="text1"/>
              <w:right w:val="thinThickThinSmallGap" w:sz="24" w:space="0" w:color="auto"/>
            </w:tcBorders>
            <w:shd w:val="clear" w:color="auto" w:fill="D9D9D9" w:themeFill="background1" w:themeFillShade="D9"/>
          </w:tcPr>
          <w:p w:rsidR="008F7275" w:rsidRPr="00AA4E88" w:rsidRDefault="008F7275" w:rsidP="001422F2">
            <w:pPr>
              <w:spacing w:line="240" w:lineRule="exact"/>
              <w:contextualSpacing/>
              <w:jc w:val="center"/>
              <w:rPr>
                <w:rFonts w:cs="Times New Roman"/>
                <w:b/>
                <w:color w:val="auto"/>
                <w:sz w:val="20"/>
                <w:szCs w:val="20"/>
              </w:rPr>
            </w:pPr>
            <w:r w:rsidRPr="00AA4E88">
              <w:rPr>
                <w:rFonts w:cs="Times New Roman"/>
                <w:b/>
                <w:color w:val="auto"/>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tcPr>
          <w:p w:rsidR="008F7275" w:rsidRPr="00AA4E88" w:rsidRDefault="008F7275" w:rsidP="001422F2">
            <w:pPr>
              <w:spacing w:line="240" w:lineRule="exact"/>
              <w:contextualSpacing/>
              <w:jc w:val="center"/>
              <w:rPr>
                <w:rFonts w:cs="Times New Roman"/>
                <w:b/>
                <w:color w:val="auto"/>
                <w:sz w:val="20"/>
                <w:szCs w:val="20"/>
              </w:rPr>
            </w:pPr>
            <w:r w:rsidRPr="00AA4E88">
              <w:rPr>
                <w:rFonts w:cs="Times New Roman"/>
                <w:b/>
                <w:color w:val="auto"/>
                <w:sz w:val="20"/>
                <w:szCs w:val="20"/>
              </w:rPr>
              <w:t>Condition</w:t>
            </w:r>
          </w:p>
        </w:tc>
        <w:tc>
          <w:tcPr>
            <w:tcW w:w="1170" w:type="dxa"/>
            <w:tcBorders>
              <w:bottom w:val="single" w:sz="4" w:space="0" w:color="000000" w:themeColor="text1"/>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Code</w:t>
            </w:r>
          </w:p>
        </w:tc>
        <w:tc>
          <w:tcPr>
            <w:tcW w:w="810" w:type="dxa"/>
            <w:tcBorders>
              <w:bottom w:val="single" w:sz="4" w:space="0" w:color="000000" w:themeColor="text1"/>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Rating</w:t>
            </w:r>
          </w:p>
        </w:tc>
        <w:tc>
          <w:tcPr>
            <w:tcW w:w="1319" w:type="dxa"/>
            <w:tcBorders>
              <w:bottom w:val="single" w:sz="4" w:space="0" w:color="000000" w:themeColor="text1"/>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Exam</w:t>
            </w:r>
          </w:p>
        </w:tc>
      </w:tr>
      <w:tr w:rsidR="001422F2" w:rsidRPr="00AA4E88" w:rsidTr="001422F2">
        <w:trPr>
          <w:trHeight w:val="278"/>
          <w:jc w:val="center"/>
        </w:trPr>
        <w:tc>
          <w:tcPr>
            <w:tcW w:w="2152" w:type="dxa"/>
            <w:vMerge w:val="restart"/>
            <w:shd w:val="clear" w:color="auto" w:fill="FFFFFF" w:themeFill="background1"/>
            <w:vAlign w:val="center"/>
          </w:tcPr>
          <w:p w:rsidR="001422F2" w:rsidRPr="00AA4E88" w:rsidRDefault="001422F2" w:rsidP="002D4B71">
            <w:pPr>
              <w:spacing w:line="180" w:lineRule="exact"/>
              <w:contextualSpacing/>
              <w:rPr>
                <w:rFonts w:cs="Times New Roman"/>
                <w:color w:val="auto"/>
                <w:sz w:val="18"/>
                <w:szCs w:val="18"/>
              </w:rPr>
            </w:pPr>
            <w:r w:rsidRPr="00AA4E88">
              <w:rPr>
                <w:rFonts w:cs="Times New Roman"/>
                <w:color w:val="auto"/>
                <w:sz w:val="18"/>
                <w:szCs w:val="18"/>
              </w:rPr>
              <w:t>Anxiety Disorder</w:t>
            </w:r>
          </w:p>
        </w:tc>
        <w:tc>
          <w:tcPr>
            <w:tcW w:w="773" w:type="dxa"/>
            <w:vMerge w:val="restart"/>
            <w:shd w:val="clear" w:color="auto" w:fill="FFFFFF" w:themeFill="background1"/>
            <w:vAlign w:val="center"/>
          </w:tcPr>
          <w:p w:rsidR="001422F2" w:rsidRPr="00AA4E88" w:rsidRDefault="001422F2" w:rsidP="001422F2">
            <w:pPr>
              <w:spacing w:line="180" w:lineRule="exact"/>
              <w:contextualSpacing/>
              <w:jc w:val="center"/>
              <w:rPr>
                <w:rFonts w:cs="Times New Roman"/>
                <w:color w:val="auto"/>
                <w:sz w:val="18"/>
                <w:szCs w:val="18"/>
              </w:rPr>
            </w:pPr>
            <w:r w:rsidRPr="00AA4E88">
              <w:rPr>
                <w:rFonts w:cs="Times New Roman"/>
                <w:color w:val="auto"/>
                <w:sz w:val="18"/>
                <w:szCs w:val="18"/>
              </w:rPr>
              <w:t>9413</w:t>
            </w:r>
          </w:p>
        </w:tc>
        <w:tc>
          <w:tcPr>
            <w:tcW w:w="780" w:type="dxa"/>
            <w:vMerge w:val="restart"/>
            <w:tcBorders>
              <w:right w:val="thinThickThinSmallGap" w:sz="24" w:space="0" w:color="auto"/>
            </w:tcBorders>
            <w:shd w:val="clear" w:color="auto" w:fill="FFFFFF" w:themeFill="background1"/>
            <w:vAlign w:val="center"/>
          </w:tcPr>
          <w:p w:rsidR="001422F2" w:rsidRPr="00AA4E88" w:rsidRDefault="001422F2" w:rsidP="001422F2">
            <w:pPr>
              <w:spacing w:line="180" w:lineRule="exact"/>
              <w:contextualSpacing/>
              <w:jc w:val="center"/>
              <w:rPr>
                <w:rFonts w:cs="Times New Roman"/>
                <w:color w:val="auto"/>
                <w:sz w:val="18"/>
                <w:szCs w:val="18"/>
              </w:rPr>
            </w:pPr>
            <w:r w:rsidRPr="00AA4E88">
              <w:rPr>
                <w:rFonts w:cs="Times New Roman"/>
                <w:color w:val="auto"/>
                <w:sz w:val="18"/>
                <w:szCs w:val="18"/>
              </w:rPr>
              <w:t>10%</w:t>
            </w:r>
          </w:p>
        </w:tc>
        <w:tc>
          <w:tcPr>
            <w:tcW w:w="2340" w:type="dxa"/>
            <w:tcBorders>
              <w:left w:val="thinThickThinSmallGap" w:sz="24" w:space="0" w:color="auto"/>
            </w:tcBorders>
            <w:shd w:val="clear" w:color="auto" w:fill="FFFFFF" w:themeFill="background1"/>
            <w:vAlign w:val="center"/>
          </w:tcPr>
          <w:p w:rsidR="001422F2" w:rsidRPr="00AA4E88" w:rsidRDefault="001422F2" w:rsidP="004C15DD">
            <w:pPr>
              <w:spacing w:line="180" w:lineRule="exact"/>
              <w:contextualSpacing/>
              <w:rPr>
                <w:rFonts w:cs="Times New Roman"/>
                <w:color w:val="auto"/>
                <w:sz w:val="18"/>
                <w:szCs w:val="18"/>
              </w:rPr>
            </w:pPr>
            <w:r w:rsidRPr="00AA4E88">
              <w:rPr>
                <w:rFonts w:cs="Times New Roman"/>
                <w:color w:val="auto"/>
                <w:sz w:val="18"/>
                <w:szCs w:val="18"/>
              </w:rPr>
              <w:t>Anxiety Disorder</w:t>
            </w:r>
          </w:p>
        </w:tc>
        <w:tc>
          <w:tcPr>
            <w:tcW w:w="1170" w:type="dxa"/>
            <w:shd w:val="clear" w:color="auto" w:fill="FFFFFF" w:themeFill="background1"/>
            <w:vAlign w:val="center"/>
          </w:tcPr>
          <w:p w:rsidR="001422F2" w:rsidRPr="00AA4E88" w:rsidRDefault="001422F2" w:rsidP="004C15DD">
            <w:pPr>
              <w:spacing w:line="180" w:lineRule="exact"/>
              <w:contextualSpacing/>
              <w:jc w:val="center"/>
              <w:rPr>
                <w:rFonts w:cs="Times New Roman"/>
                <w:color w:val="auto"/>
                <w:sz w:val="18"/>
                <w:szCs w:val="18"/>
              </w:rPr>
            </w:pPr>
            <w:r w:rsidRPr="00AA4E88">
              <w:rPr>
                <w:rFonts w:cs="Times New Roman"/>
                <w:color w:val="auto"/>
                <w:sz w:val="18"/>
                <w:szCs w:val="18"/>
              </w:rPr>
              <w:t>9413</w:t>
            </w:r>
          </w:p>
        </w:tc>
        <w:tc>
          <w:tcPr>
            <w:tcW w:w="810" w:type="dxa"/>
            <w:vMerge w:val="restart"/>
            <w:shd w:val="clear" w:color="auto" w:fill="FFFFFF" w:themeFill="background1"/>
            <w:vAlign w:val="center"/>
          </w:tcPr>
          <w:p w:rsidR="001422F2" w:rsidRPr="00AA4E88" w:rsidRDefault="001422F2" w:rsidP="0066239B">
            <w:pPr>
              <w:spacing w:line="180" w:lineRule="exact"/>
              <w:contextualSpacing/>
              <w:jc w:val="center"/>
              <w:rPr>
                <w:rFonts w:cs="Times New Roman"/>
                <w:color w:val="auto"/>
                <w:sz w:val="18"/>
                <w:szCs w:val="18"/>
              </w:rPr>
            </w:pPr>
            <w:r w:rsidRPr="00AA4E88">
              <w:rPr>
                <w:rFonts w:cs="Times New Roman"/>
                <w:color w:val="auto"/>
                <w:sz w:val="18"/>
                <w:szCs w:val="18"/>
              </w:rPr>
              <w:t>50%</w:t>
            </w:r>
          </w:p>
        </w:tc>
        <w:tc>
          <w:tcPr>
            <w:tcW w:w="1319" w:type="dxa"/>
            <w:shd w:val="clear" w:color="auto" w:fill="FFFFFF" w:themeFill="background1"/>
            <w:vAlign w:val="center"/>
          </w:tcPr>
          <w:p w:rsidR="001422F2" w:rsidRPr="00AA4E88" w:rsidRDefault="001422F2" w:rsidP="001422F2">
            <w:pPr>
              <w:spacing w:line="240" w:lineRule="exact"/>
              <w:contextualSpacing/>
              <w:jc w:val="center"/>
              <w:rPr>
                <w:rFonts w:cs="Times New Roman"/>
                <w:color w:val="auto"/>
                <w:sz w:val="18"/>
                <w:szCs w:val="18"/>
              </w:rPr>
            </w:pPr>
            <w:r w:rsidRPr="00AA4E88">
              <w:rPr>
                <w:rFonts w:cs="Times New Roman"/>
                <w:color w:val="auto"/>
                <w:sz w:val="18"/>
                <w:szCs w:val="18"/>
              </w:rPr>
              <w:t>STR</w:t>
            </w:r>
          </w:p>
        </w:tc>
      </w:tr>
      <w:tr w:rsidR="001422F2" w:rsidRPr="00AA4E88" w:rsidTr="004C15DD">
        <w:trPr>
          <w:trHeight w:val="278"/>
          <w:jc w:val="center"/>
        </w:trPr>
        <w:tc>
          <w:tcPr>
            <w:tcW w:w="2152" w:type="dxa"/>
            <w:vMerge/>
            <w:shd w:val="clear" w:color="auto" w:fill="FFFFFF" w:themeFill="background1"/>
          </w:tcPr>
          <w:p w:rsidR="001422F2" w:rsidRPr="00AA4E88" w:rsidRDefault="001422F2" w:rsidP="0066239B">
            <w:pPr>
              <w:spacing w:line="180" w:lineRule="exact"/>
              <w:contextualSpacing/>
              <w:jc w:val="both"/>
              <w:rPr>
                <w:color w:val="auto"/>
                <w:sz w:val="18"/>
                <w:szCs w:val="18"/>
              </w:rPr>
            </w:pPr>
          </w:p>
        </w:tc>
        <w:tc>
          <w:tcPr>
            <w:tcW w:w="773" w:type="dxa"/>
            <w:vMerge/>
            <w:shd w:val="clear" w:color="auto" w:fill="FFFFFF" w:themeFill="background1"/>
          </w:tcPr>
          <w:p w:rsidR="001422F2" w:rsidRPr="00AA4E88" w:rsidRDefault="001422F2" w:rsidP="0066239B">
            <w:pPr>
              <w:spacing w:line="180" w:lineRule="exact"/>
              <w:contextualSpacing/>
              <w:jc w:val="center"/>
              <w:rPr>
                <w:color w:val="auto"/>
                <w:sz w:val="18"/>
                <w:szCs w:val="18"/>
              </w:rPr>
            </w:pPr>
          </w:p>
        </w:tc>
        <w:tc>
          <w:tcPr>
            <w:tcW w:w="780" w:type="dxa"/>
            <w:vMerge/>
            <w:tcBorders>
              <w:right w:val="thinThickThinSmallGap" w:sz="24" w:space="0" w:color="auto"/>
            </w:tcBorders>
            <w:shd w:val="clear" w:color="auto" w:fill="FFFFFF" w:themeFill="background1"/>
          </w:tcPr>
          <w:p w:rsidR="001422F2" w:rsidRPr="00AA4E88" w:rsidRDefault="001422F2" w:rsidP="0066239B">
            <w:pPr>
              <w:spacing w:line="180" w:lineRule="exact"/>
              <w:contextualSpacing/>
              <w:jc w:val="center"/>
              <w:rPr>
                <w:color w:val="auto"/>
                <w:sz w:val="18"/>
                <w:szCs w:val="18"/>
              </w:rPr>
            </w:pPr>
          </w:p>
        </w:tc>
        <w:tc>
          <w:tcPr>
            <w:tcW w:w="2340" w:type="dxa"/>
            <w:tcBorders>
              <w:left w:val="thinThickThinSmallGap" w:sz="24" w:space="0" w:color="auto"/>
            </w:tcBorders>
            <w:shd w:val="clear" w:color="auto" w:fill="FFFFFF" w:themeFill="background1"/>
            <w:vAlign w:val="center"/>
          </w:tcPr>
          <w:p w:rsidR="001422F2" w:rsidRPr="00AA4E88" w:rsidRDefault="001422F2" w:rsidP="00701BBD">
            <w:pPr>
              <w:spacing w:line="180" w:lineRule="exact"/>
              <w:contextualSpacing/>
              <w:rPr>
                <w:rFonts w:cs="Times New Roman"/>
                <w:color w:val="auto"/>
                <w:sz w:val="18"/>
                <w:szCs w:val="18"/>
              </w:rPr>
            </w:pPr>
            <w:r w:rsidRPr="00AA4E88">
              <w:rPr>
                <w:rFonts w:cs="Times New Roman"/>
                <w:color w:val="auto"/>
                <w:sz w:val="18"/>
                <w:szCs w:val="18"/>
              </w:rPr>
              <w:t>Anxiety Disorder and PTSD</w:t>
            </w:r>
          </w:p>
        </w:tc>
        <w:tc>
          <w:tcPr>
            <w:tcW w:w="1170" w:type="dxa"/>
            <w:shd w:val="clear" w:color="auto" w:fill="FFFFFF" w:themeFill="background1"/>
            <w:vAlign w:val="center"/>
          </w:tcPr>
          <w:p w:rsidR="001422F2" w:rsidRPr="00AA4E88" w:rsidRDefault="001422F2" w:rsidP="00701BBD">
            <w:pPr>
              <w:spacing w:line="180" w:lineRule="exact"/>
              <w:contextualSpacing/>
              <w:jc w:val="center"/>
              <w:rPr>
                <w:rFonts w:cs="Times New Roman"/>
                <w:color w:val="auto"/>
                <w:sz w:val="18"/>
                <w:szCs w:val="18"/>
              </w:rPr>
            </w:pPr>
            <w:r w:rsidRPr="00AA4E88">
              <w:rPr>
                <w:rFonts w:cs="Times New Roman"/>
                <w:color w:val="auto"/>
                <w:sz w:val="18"/>
                <w:szCs w:val="18"/>
              </w:rPr>
              <w:t>9413-9411*</w:t>
            </w:r>
          </w:p>
        </w:tc>
        <w:tc>
          <w:tcPr>
            <w:tcW w:w="810" w:type="dxa"/>
            <w:vMerge/>
            <w:shd w:val="clear" w:color="auto" w:fill="FFFFFF" w:themeFill="background1"/>
            <w:vAlign w:val="center"/>
          </w:tcPr>
          <w:p w:rsidR="001422F2" w:rsidRPr="00AA4E88" w:rsidRDefault="001422F2" w:rsidP="00701BBD">
            <w:pPr>
              <w:spacing w:line="180" w:lineRule="exact"/>
              <w:contextualSpacing/>
              <w:jc w:val="center"/>
              <w:rPr>
                <w:rFonts w:cs="Times New Roman"/>
                <w:color w:val="auto"/>
                <w:sz w:val="18"/>
                <w:szCs w:val="18"/>
              </w:rPr>
            </w:pPr>
          </w:p>
        </w:tc>
        <w:tc>
          <w:tcPr>
            <w:tcW w:w="1319" w:type="dxa"/>
            <w:shd w:val="clear" w:color="auto" w:fill="FFFFFF" w:themeFill="background1"/>
            <w:vAlign w:val="center"/>
          </w:tcPr>
          <w:p w:rsidR="001422F2" w:rsidRPr="00AA4E88" w:rsidRDefault="001422F2" w:rsidP="001422F2">
            <w:pPr>
              <w:spacing w:line="240" w:lineRule="exact"/>
              <w:contextualSpacing/>
              <w:jc w:val="center"/>
              <w:rPr>
                <w:rFonts w:cs="Times New Roman"/>
                <w:color w:val="auto"/>
                <w:sz w:val="18"/>
                <w:szCs w:val="18"/>
              </w:rPr>
            </w:pPr>
            <w:r w:rsidRPr="00AA4E88">
              <w:rPr>
                <w:rFonts w:cs="Times New Roman"/>
                <w:color w:val="auto"/>
                <w:sz w:val="18"/>
                <w:szCs w:val="18"/>
              </w:rPr>
              <w:t>20090302</w:t>
            </w:r>
          </w:p>
        </w:tc>
      </w:tr>
      <w:tr w:rsidR="008F7275" w:rsidRPr="00AA4E88" w:rsidTr="004C15DD">
        <w:trPr>
          <w:trHeight w:val="125"/>
          <w:jc w:val="center"/>
        </w:trPr>
        <w:tc>
          <w:tcPr>
            <w:tcW w:w="2152" w:type="dxa"/>
            <w:shd w:val="clear" w:color="auto" w:fill="FFFFFF" w:themeFill="background1"/>
          </w:tcPr>
          <w:p w:rsidR="008F7275" w:rsidRPr="00AA4E88" w:rsidRDefault="008F7275" w:rsidP="0066239B">
            <w:pPr>
              <w:spacing w:line="180" w:lineRule="exact"/>
              <w:contextualSpacing/>
              <w:jc w:val="both"/>
              <w:rPr>
                <w:rFonts w:cs="Times New Roman"/>
                <w:color w:val="auto"/>
                <w:sz w:val="18"/>
                <w:szCs w:val="18"/>
              </w:rPr>
            </w:pPr>
            <w:r w:rsidRPr="00AA4E88">
              <w:rPr>
                <w:rFonts w:cs="Times New Roman"/>
                <w:color w:val="auto"/>
                <w:sz w:val="18"/>
                <w:szCs w:val="18"/>
              </w:rPr>
              <w:t>Personality Disorder</w:t>
            </w:r>
          </w:p>
        </w:tc>
        <w:tc>
          <w:tcPr>
            <w:tcW w:w="1553" w:type="dxa"/>
            <w:gridSpan w:val="2"/>
            <w:tcBorders>
              <w:right w:val="thinThickThinSmallGap" w:sz="24" w:space="0" w:color="auto"/>
            </w:tcBorders>
            <w:shd w:val="clear" w:color="auto" w:fill="FFFFFF" w:themeFill="background1"/>
            <w:vAlign w:val="center"/>
          </w:tcPr>
          <w:p w:rsidR="008F7275" w:rsidRPr="00AA4E88" w:rsidRDefault="008F7275" w:rsidP="004C15DD">
            <w:pPr>
              <w:spacing w:line="180" w:lineRule="exact"/>
              <w:contextualSpacing/>
              <w:jc w:val="center"/>
              <w:rPr>
                <w:rFonts w:cs="Times New Roman"/>
                <w:color w:val="auto"/>
                <w:sz w:val="18"/>
                <w:szCs w:val="18"/>
              </w:rPr>
            </w:pPr>
            <w:r w:rsidRPr="00AA4E88">
              <w:rPr>
                <w:rFonts w:cs="Times New Roman"/>
                <w:color w:val="auto"/>
                <w:sz w:val="18"/>
                <w:szCs w:val="18"/>
              </w:rPr>
              <w:t xml:space="preserve">Not </w:t>
            </w:r>
            <w:r w:rsidR="004C15DD" w:rsidRPr="00AA4E88">
              <w:rPr>
                <w:rFonts w:cs="Times New Roman"/>
                <w:color w:val="auto"/>
                <w:sz w:val="18"/>
                <w:szCs w:val="18"/>
              </w:rPr>
              <w:t>Compensable</w:t>
            </w:r>
          </w:p>
        </w:tc>
        <w:tc>
          <w:tcPr>
            <w:tcW w:w="2340" w:type="dxa"/>
            <w:tcBorders>
              <w:left w:val="thinThickThinSmallGap" w:sz="24" w:space="0" w:color="auto"/>
            </w:tcBorders>
            <w:shd w:val="clear" w:color="auto" w:fill="FFFFFF" w:themeFill="background1"/>
            <w:vAlign w:val="center"/>
          </w:tcPr>
          <w:p w:rsidR="008F7275" w:rsidRPr="00AA4E88" w:rsidRDefault="008F7275" w:rsidP="0066239B">
            <w:pPr>
              <w:spacing w:line="180" w:lineRule="exact"/>
              <w:contextualSpacing/>
              <w:rPr>
                <w:rFonts w:cs="Times New Roman"/>
                <w:color w:val="auto"/>
                <w:sz w:val="18"/>
                <w:szCs w:val="18"/>
              </w:rPr>
            </w:pPr>
            <w:r w:rsidRPr="00AA4E88">
              <w:rPr>
                <w:rFonts w:cs="Times New Roman"/>
                <w:color w:val="auto"/>
                <w:sz w:val="18"/>
                <w:szCs w:val="18"/>
              </w:rPr>
              <w:t>Personality Disorder</w:t>
            </w:r>
          </w:p>
        </w:tc>
        <w:tc>
          <w:tcPr>
            <w:tcW w:w="117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9499 9440</w:t>
            </w:r>
          </w:p>
        </w:tc>
        <w:tc>
          <w:tcPr>
            <w:tcW w:w="810" w:type="dxa"/>
            <w:tcBorders>
              <w:right w:val="single" w:sz="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NSC</w:t>
            </w:r>
          </w:p>
        </w:tc>
        <w:tc>
          <w:tcPr>
            <w:tcW w:w="1319" w:type="dxa"/>
            <w:tcBorders>
              <w:left w:val="single" w:sz="4" w:space="0" w:color="auto"/>
            </w:tcBorders>
            <w:shd w:val="clear" w:color="auto" w:fill="FFFFFF" w:themeFill="background1"/>
            <w:vAlign w:val="center"/>
          </w:tcPr>
          <w:p w:rsidR="008F7275" w:rsidRPr="00AA4E88" w:rsidRDefault="001422F2" w:rsidP="008F7275">
            <w:pPr>
              <w:spacing w:line="240" w:lineRule="exact"/>
              <w:contextualSpacing/>
              <w:jc w:val="center"/>
              <w:rPr>
                <w:rFonts w:cs="Times New Roman"/>
                <w:color w:val="auto"/>
                <w:sz w:val="18"/>
                <w:szCs w:val="18"/>
              </w:rPr>
            </w:pPr>
            <w:r w:rsidRPr="00AA4E88">
              <w:rPr>
                <w:rFonts w:cs="Times New Roman"/>
                <w:color w:val="auto"/>
                <w:sz w:val="18"/>
                <w:szCs w:val="18"/>
              </w:rPr>
              <w:t>STR</w:t>
            </w:r>
          </w:p>
        </w:tc>
      </w:tr>
      <w:tr w:rsidR="008F7275" w:rsidRPr="00AA4E88" w:rsidTr="004C15DD">
        <w:trPr>
          <w:trHeight w:val="125"/>
          <w:jc w:val="center"/>
        </w:trPr>
        <w:tc>
          <w:tcPr>
            <w:tcW w:w="2152" w:type="dxa"/>
            <w:tcBorders>
              <w:right w:val="single" w:sz="4" w:space="0" w:color="auto"/>
            </w:tcBorders>
            <w:shd w:val="clear" w:color="auto" w:fill="FFFFFF" w:themeFill="background1"/>
          </w:tcPr>
          <w:p w:rsidR="008F7275" w:rsidRPr="00AA4E88" w:rsidRDefault="008F7275" w:rsidP="0066239B">
            <w:pPr>
              <w:spacing w:line="180" w:lineRule="exact"/>
              <w:contextualSpacing/>
              <w:rPr>
                <w:rFonts w:cs="Times New Roman"/>
                <w:color w:val="auto"/>
                <w:sz w:val="18"/>
                <w:szCs w:val="18"/>
              </w:rPr>
            </w:pPr>
            <w:r w:rsidRPr="00AA4E88">
              <w:rPr>
                <w:rFonts w:cs="Times New Roman"/>
                <w:color w:val="auto"/>
                <w:sz w:val="18"/>
                <w:szCs w:val="18"/>
              </w:rPr>
              <w:t>L</w:t>
            </w:r>
            <w:r w:rsidR="0066239B" w:rsidRPr="00AA4E88">
              <w:rPr>
                <w:rFonts w:cs="Times New Roman"/>
                <w:color w:val="auto"/>
                <w:sz w:val="18"/>
                <w:szCs w:val="18"/>
              </w:rPr>
              <w:t>.</w:t>
            </w:r>
            <w:r w:rsidRPr="00AA4E88">
              <w:rPr>
                <w:rFonts w:cs="Times New Roman"/>
                <w:color w:val="auto"/>
                <w:sz w:val="18"/>
                <w:szCs w:val="18"/>
              </w:rPr>
              <w:t xml:space="preserve"> Mild </w:t>
            </w:r>
            <w:r w:rsidR="0066239B" w:rsidRPr="00AA4E88">
              <w:rPr>
                <w:rFonts w:cs="Times New Roman"/>
                <w:color w:val="auto"/>
                <w:sz w:val="18"/>
                <w:szCs w:val="18"/>
              </w:rPr>
              <w:t>HF</w:t>
            </w:r>
            <w:r w:rsidRPr="00AA4E88">
              <w:rPr>
                <w:rFonts w:cs="Times New Roman"/>
                <w:color w:val="auto"/>
                <w:sz w:val="18"/>
                <w:szCs w:val="18"/>
              </w:rPr>
              <w:t xml:space="preserve"> Hearing Loss </w:t>
            </w:r>
          </w:p>
        </w:tc>
        <w:tc>
          <w:tcPr>
            <w:tcW w:w="1553" w:type="dxa"/>
            <w:gridSpan w:val="2"/>
            <w:tcBorders>
              <w:left w:val="single" w:sz="4" w:space="0" w:color="auto"/>
              <w:right w:val="thinThickThinSmallGap" w:sz="2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Not Unfitting</w:t>
            </w:r>
          </w:p>
        </w:tc>
        <w:tc>
          <w:tcPr>
            <w:tcW w:w="2340" w:type="dxa"/>
            <w:tcBorders>
              <w:left w:val="thinThickThinSmallGap" w:sz="24" w:space="0" w:color="auto"/>
            </w:tcBorders>
            <w:shd w:val="clear" w:color="auto" w:fill="FFFFFF" w:themeFill="background1"/>
            <w:vAlign w:val="center"/>
          </w:tcPr>
          <w:p w:rsidR="008F7275" w:rsidRPr="00AA4E88" w:rsidRDefault="008F7275" w:rsidP="0066239B">
            <w:pPr>
              <w:spacing w:line="180" w:lineRule="exact"/>
              <w:contextualSpacing/>
              <w:rPr>
                <w:rFonts w:cs="Times New Roman"/>
                <w:color w:val="auto"/>
                <w:sz w:val="18"/>
                <w:szCs w:val="18"/>
              </w:rPr>
            </w:pPr>
            <w:r w:rsidRPr="00AA4E88">
              <w:rPr>
                <w:rFonts w:cs="Times New Roman"/>
                <w:color w:val="auto"/>
                <w:sz w:val="18"/>
                <w:szCs w:val="18"/>
              </w:rPr>
              <w:t>Left Ear Hearing Loss</w:t>
            </w:r>
          </w:p>
        </w:tc>
        <w:tc>
          <w:tcPr>
            <w:tcW w:w="117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6100</w:t>
            </w:r>
          </w:p>
        </w:tc>
        <w:tc>
          <w:tcPr>
            <w:tcW w:w="81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0%</w:t>
            </w:r>
          </w:p>
        </w:tc>
        <w:tc>
          <w:tcPr>
            <w:tcW w:w="1319" w:type="dxa"/>
            <w:shd w:val="clear" w:color="auto" w:fill="FFFFFF" w:themeFill="background1"/>
            <w:vAlign w:val="center"/>
          </w:tcPr>
          <w:p w:rsidR="008F7275" w:rsidRPr="00AA4E88" w:rsidRDefault="008F7275" w:rsidP="008F7275">
            <w:pPr>
              <w:spacing w:line="240" w:lineRule="exact"/>
              <w:contextualSpacing/>
              <w:jc w:val="center"/>
              <w:rPr>
                <w:rFonts w:cs="Times New Roman"/>
                <w:color w:val="auto"/>
                <w:sz w:val="18"/>
                <w:szCs w:val="18"/>
              </w:rPr>
            </w:pPr>
            <w:r w:rsidRPr="00AA4E88">
              <w:rPr>
                <w:rFonts w:cs="Times New Roman"/>
                <w:color w:val="auto"/>
                <w:sz w:val="18"/>
                <w:szCs w:val="18"/>
              </w:rPr>
              <w:t>20080915</w:t>
            </w:r>
          </w:p>
        </w:tc>
      </w:tr>
      <w:tr w:rsidR="008F7275" w:rsidRPr="00AA4E88" w:rsidTr="004C15DD">
        <w:trPr>
          <w:trHeight w:val="125"/>
          <w:jc w:val="center"/>
        </w:trPr>
        <w:tc>
          <w:tcPr>
            <w:tcW w:w="2152" w:type="dxa"/>
            <w:tcBorders>
              <w:bottom w:val="single" w:sz="4" w:space="0" w:color="auto"/>
              <w:right w:val="single" w:sz="4" w:space="0" w:color="auto"/>
            </w:tcBorders>
            <w:shd w:val="clear" w:color="auto" w:fill="FFFFFF" w:themeFill="background1"/>
          </w:tcPr>
          <w:p w:rsidR="008F7275" w:rsidRPr="00AA4E88" w:rsidRDefault="008F7275" w:rsidP="0066239B">
            <w:pPr>
              <w:spacing w:line="180" w:lineRule="exact"/>
              <w:contextualSpacing/>
              <w:rPr>
                <w:rFonts w:cs="Times New Roman"/>
                <w:color w:val="auto"/>
                <w:sz w:val="18"/>
                <w:szCs w:val="18"/>
              </w:rPr>
            </w:pPr>
            <w:r w:rsidRPr="00AA4E88">
              <w:rPr>
                <w:rFonts w:cs="Times New Roman"/>
                <w:color w:val="auto"/>
                <w:sz w:val="18"/>
                <w:szCs w:val="18"/>
              </w:rPr>
              <w:t>Non-cardiac Chest Pain</w:t>
            </w:r>
          </w:p>
        </w:tc>
        <w:tc>
          <w:tcPr>
            <w:tcW w:w="1553"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Not Unfitting</w:t>
            </w:r>
          </w:p>
        </w:tc>
        <w:tc>
          <w:tcPr>
            <w:tcW w:w="5639" w:type="dxa"/>
            <w:gridSpan w:val="4"/>
            <w:tcBorders>
              <w:left w:val="thinThickThinSmallGap" w:sz="2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Not in VA Rating</w:t>
            </w:r>
          </w:p>
        </w:tc>
      </w:tr>
      <w:tr w:rsidR="008F7275" w:rsidRPr="00AA4E88" w:rsidTr="001422F2">
        <w:trPr>
          <w:trHeight w:val="125"/>
          <w:jc w:val="center"/>
        </w:trPr>
        <w:tc>
          <w:tcPr>
            <w:tcW w:w="3705" w:type="dxa"/>
            <w:gridSpan w:val="3"/>
            <w:vMerge w:val="restart"/>
            <w:tcBorders>
              <w:right w:val="thinThickThinSmallGap" w:sz="2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↓No Additional MEB Entries↓</w:t>
            </w:r>
          </w:p>
        </w:tc>
        <w:tc>
          <w:tcPr>
            <w:tcW w:w="2340" w:type="dxa"/>
            <w:tcBorders>
              <w:left w:val="thinThickThinSmallGap" w:sz="24" w:space="0" w:color="auto"/>
            </w:tcBorders>
            <w:shd w:val="clear" w:color="auto" w:fill="FFFFFF" w:themeFill="background1"/>
            <w:vAlign w:val="center"/>
          </w:tcPr>
          <w:p w:rsidR="008F7275" w:rsidRPr="00AA4E88" w:rsidRDefault="008F7275" w:rsidP="001422F2">
            <w:pPr>
              <w:spacing w:after="200" w:line="180" w:lineRule="exact"/>
              <w:jc w:val="center"/>
              <w:rPr>
                <w:rFonts w:eastAsiaTheme="minorEastAsia"/>
                <w:color w:val="auto"/>
                <w:sz w:val="18"/>
                <w:szCs w:val="18"/>
              </w:rPr>
            </w:pPr>
            <w:r w:rsidRPr="00AA4E88">
              <w:rPr>
                <w:rFonts w:eastAsiaTheme="minorEastAsia"/>
                <w:color w:val="auto"/>
                <w:sz w:val="18"/>
                <w:szCs w:val="18"/>
              </w:rPr>
              <w:t xml:space="preserve">Lt </w:t>
            </w:r>
            <w:proofErr w:type="spellStart"/>
            <w:r w:rsidRPr="00AA4E88">
              <w:rPr>
                <w:rFonts w:eastAsiaTheme="minorEastAsia"/>
                <w:color w:val="auto"/>
                <w:sz w:val="18"/>
                <w:szCs w:val="18"/>
              </w:rPr>
              <w:t>Retropatellar</w:t>
            </w:r>
            <w:proofErr w:type="spellEnd"/>
            <w:r w:rsidRPr="00AA4E88">
              <w:rPr>
                <w:rFonts w:eastAsiaTheme="minorEastAsia"/>
                <w:color w:val="auto"/>
                <w:sz w:val="18"/>
                <w:szCs w:val="18"/>
              </w:rPr>
              <w:t xml:space="preserve"> Pain </w:t>
            </w:r>
            <w:proofErr w:type="spellStart"/>
            <w:r w:rsidRPr="00AA4E88">
              <w:rPr>
                <w:rFonts w:eastAsiaTheme="minorEastAsia"/>
                <w:color w:val="auto"/>
                <w:sz w:val="18"/>
                <w:szCs w:val="18"/>
              </w:rPr>
              <w:t>Syndr</w:t>
            </w:r>
            <w:proofErr w:type="spellEnd"/>
          </w:p>
        </w:tc>
        <w:tc>
          <w:tcPr>
            <w:tcW w:w="117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5099-5014</w:t>
            </w:r>
          </w:p>
        </w:tc>
        <w:tc>
          <w:tcPr>
            <w:tcW w:w="81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10%</w:t>
            </w:r>
          </w:p>
        </w:tc>
        <w:tc>
          <w:tcPr>
            <w:tcW w:w="1319" w:type="dxa"/>
            <w:shd w:val="clear" w:color="auto" w:fill="FFFFFF" w:themeFill="background1"/>
            <w:vAlign w:val="center"/>
          </w:tcPr>
          <w:p w:rsidR="008F7275" w:rsidRPr="00AA4E88" w:rsidRDefault="008F7275" w:rsidP="008F7275">
            <w:pPr>
              <w:spacing w:line="240" w:lineRule="exact"/>
              <w:contextualSpacing/>
              <w:jc w:val="center"/>
              <w:rPr>
                <w:rFonts w:cs="Times New Roman"/>
                <w:color w:val="auto"/>
                <w:sz w:val="18"/>
                <w:szCs w:val="18"/>
              </w:rPr>
            </w:pPr>
            <w:r w:rsidRPr="00AA4E88">
              <w:rPr>
                <w:rFonts w:cs="Times New Roman"/>
                <w:color w:val="auto"/>
                <w:sz w:val="18"/>
                <w:szCs w:val="18"/>
              </w:rPr>
              <w:t>20080915</w:t>
            </w:r>
          </w:p>
        </w:tc>
      </w:tr>
      <w:tr w:rsidR="008F7275" w:rsidRPr="00AA4E88" w:rsidTr="001422F2">
        <w:trPr>
          <w:trHeight w:val="125"/>
          <w:jc w:val="center"/>
        </w:trPr>
        <w:tc>
          <w:tcPr>
            <w:tcW w:w="3705" w:type="dxa"/>
            <w:gridSpan w:val="3"/>
            <w:vMerge/>
            <w:tcBorders>
              <w:right w:val="thinThickThinSmallGap" w:sz="24" w:space="0" w:color="auto"/>
            </w:tcBorders>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p>
        </w:tc>
        <w:tc>
          <w:tcPr>
            <w:tcW w:w="2340" w:type="dxa"/>
            <w:tcBorders>
              <w:left w:val="thinThickThinSmallGap" w:sz="24" w:space="0" w:color="auto"/>
            </w:tcBorders>
            <w:shd w:val="clear" w:color="auto" w:fill="FFFFFF" w:themeFill="background1"/>
            <w:vAlign w:val="center"/>
          </w:tcPr>
          <w:p w:rsidR="008F7275" w:rsidRPr="00AA4E88" w:rsidRDefault="008F7275" w:rsidP="001422F2">
            <w:pPr>
              <w:spacing w:after="200" w:line="180" w:lineRule="exact"/>
              <w:jc w:val="center"/>
              <w:rPr>
                <w:rFonts w:eastAsiaTheme="minorEastAsia"/>
                <w:color w:val="auto"/>
                <w:sz w:val="18"/>
                <w:szCs w:val="18"/>
              </w:rPr>
            </w:pPr>
            <w:r w:rsidRPr="00AA4E88">
              <w:rPr>
                <w:rFonts w:eastAsiaTheme="minorEastAsia"/>
                <w:color w:val="auto"/>
                <w:sz w:val="18"/>
                <w:szCs w:val="18"/>
              </w:rPr>
              <w:t xml:space="preserve">Lt </w:t>
            </w:r>
            <w:proofErr w:type="spellStart"/>
            <w:r w:rsidRPr="00AA4E88">
              <w:rPr>
                <w:rFonts w:eastAsiaTheme="minorEastAsia"/>
                <w:color w:val="auto"/>
                <w:sz w:val="18"/>
                <w:szCs w:val="18"/>
              </w:rPr>
              <w:t>Subacromial</w:t>
            </w:r>
            <w:proofErr w:type="spellEnd"/>
            <w:r w:rsidRPr="00AA4E88">
              <w:rPr>
                <w:rFonts w:eastAsiaTheme="minorEastAsia"/>
                <w:color w:val="auto"/>
                <w:sz w:val="18"/>
                <w:szCs w:val="18"/>
              </w:rPr>
              <w:t xml:space="preserve"> Bursitis</w:t>
            </w:r>
          </w:p>
        </w:tc>
        <w:tc>
          <w:tcPr>
            <w:tcW w:w="117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5099 5014</w:t>
            </w:r>
          </w:p>
        </w:tc>
        <w:tc>
          <w:tcPr>
            <w:tcW w:w="81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10%</w:t>
            </w:r>
          </w:p>
        </w:tc>
        <w:tc>
          <w:tcPr>
            <w:tcW w:w="1319" w:type="dxa"/>
            <w:shd w:val="clear" w:color="auto" w:fill="FFFFFF" w:themeFill="background1"/>
            <w:vAlign w:val="center"/>
          </w:tcPr>
          <w:p w:rsidR="008F7275" w:rsidRPr="00AA4E88" w:rsidRDefault="008F7275" w:rsidP="008F7275">
            <w:pPr>
              <w:spacing w:line="240" w:lineRule="exact"/>
              <w:contextualSpacing/>
              <w:jc w:val="center"/>
              <w:rPr>
                <w:rFonts w:cs="Times New Roman"/>
                <w:color w:val="auto"/>
                <w:sz w:val="18"/>
                <w:szCs w:val="18"/>
              </w:rPr>
            </w:pPr>
            <w:r w:rsidRPr="00AA4E88">
              <w:rPr>
                <w:rFonts w:cs="Times New Roman"/>
                <w:color w:val="auto"/>
                <w:sz w:val="18"/>
                <w:szCs w:val="18"/>
              </w:rPr>
              <w:t>20080915</w:t>
            </w:r>
          </w:p>
        </w:tc>
      </w:tr>
      <w:tr w:rsidR="008F7275" w:rsidRPr="00AA4E88" w:rsidTr="001422F2">
        <w:trPr>
          <w:trHeight w:val="49"/>
          <w:jc w:val="center"/>
        </w:trPr>
        <w:tc>
          <w:tcPr>
            <w:tcW w:w="3705" w:type="dxa"/>
            <w:gridSpan w:val="3"/>
            <w:vMerge/>
            <w:tcBorders>
              <w:right w:val="thinThickThinSmallGap" w:sz="24" w:space="0" w:color="auto"/>
            </w:tcBorders>
            <w:shd w:val="clear" w:color="auto" w:fill="FFFFFF" w:themeFill="background1"/>
          </w:tcPr>
          <w:p w:rsidR="008F7275" w:rsidRPr="00AA4E88" w:rsidRDefault="008F7275" w:rsidP="0066239B">
            <w:pPr>
              <w:spacing w:line="180" w:lineRule="exact"/>
              <w:contextualSpacing/>
              <w:jc w:val="center"/>
              <w:rPr>
                <w:rFonts w:cs="Times New Roman"/>
                <w:color w:val="auto"/>
                <w:sz w:val="18"/>
                <w:szCs w:val="18"/>
              </w:rPr>
            </w:pPr>
          </w:p>
        </w:tc>
        <w:tc>
          <w:tcPr>
            <w:tcW w:w="2340" w:type="dxa"/>
            <w:tcBorders>
              <w:left w:val="thinThickThinSmallGap" w:sz="24" w:space="0" w:color="auto"/>
            </w:tcBorders>
            <w:shd w:val="clear" w:color="auto" w:fill="FFFFFF" w:themeFill="background1"/>
            <w:vAlign w:val="center"/>
          </w:tcPr>
          <w:p w:rsidR="008F7275" w:rsidRPr="00AA4E88" w:rsidRDefault="008F7275" w:rsidP="001422F2">
            <w:pPr>
              <w:spacing w:after="200" w:line="180" w:lineRule="exact"/>
              <w:jc w:val="center"/>
              <w:rPr>
                <w:rFonts w:eastAsiaTheme="minorEastAsia"/>
                <w:color w:val="auto"/>
                <w:sz w:val="18"/>
                <w:szCs w:val="18"/>
              </w:rPr>
            </w:pPr>
            <w:r w:rsidRPr="00AA4E88">
              <w:rPr>
                <w:rFonts w:eastAsiaTheme="minorEastAsia"/>
                <w:color w:val="auto"/>
                <w:sz w:val="18"/>
                <w:szCs w:val="18"/>
              </w:rPr>
              <w:t>Thoracolumbar Strain/ DDD</w:t>
            </w:r>
          </w:p>
        </w:tc>
        <w:tc>
          <w:tcPr>
            <w:tcW w:w="117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5243 5237</w:t>
            </w:r>
          </w:p>
        </w:tc>
        <w:tc>
          <w:tcPr>
            <w:tcW w:w="810" w:type="dxa"/>
            <w:shd w:val="clear" w:color="auto" w:fill="FFFFFF" w:themeFill="background1"/>
            <w:vAlign w:val="center"/>
          </w:tcPr>
          <w:p w:rsidR="008F7275" w:rsidRPr="00AA4E88" w:rsidRDefault="008F7275" w:rsidP="0066239B">
            <w:pPr>
              <w:spacing w:line="180" w:lineRule="exact"/>
              <w:contextualSpacing/>
              <w:jc w:val="center"/>
              <w:rPr>
                <w:rFonts w:cs="Times New Roman"/>
                <w:color w:val="auto"/>
                <w:sz w:val="18"/>
                <w:szCs w:val="18"/>
              </w:rPr>
            </w:pPr>
            <w:r w:rsidRPr="00AA4E88">
              <w:rPr>
                <w:rFonts w:cs="Times New Roman"/>
                <w:color w:val="auto"/>
                <w:sz w:val="18"/>
                <w:szCs w:val="18"/>
              </w:rPr>
              <w:t xml:space="preserve">10% </w:t>
            </w:r>
          </w:p>
        </w:tc>
        <w:tc>
          <w:tcPr>
            <w:tcW w:w="1319" w:type="dxa"/>
            <w:shd w:val="clear" w:color="auto" w:fill="FFFFFF" w:themeFill="background1"/>
            <w:vAlign w:val="center"/>
          </w:tcPr>
          <w:p w:rsidR="008F7275" w:rsidRPr="00AA4E88" w:rsidRDefault="008F7275" w:rsidP="008F7275">
            <w:pPr>
              <w:spacing w:line="240" w:lineRule="exact"/>
              <w:contextualSpacing/>
              <w:jc w:val="center"/>
              <w:rPr>
                <w:rFonts w:cs="Times New Roman"/>
                <w:color w:val="auto"/>
                <w:sz w:val="18"/>
                <w:szCs w:val="18"/>
              </w:rPr>
            </w:pPr>
            <w:r w:rsidRPr="00AA4E88">
              <w:rPr>
                <w:rFonts w:cs="Times New Roman"/>
                <w:color w:val="auto"/>
                <w:sz w:val="18"/>
                <w:szCs w:val="18"/>
              </w:rPr>
              <w:t>20080915</w:t>
            </w:r>
          </w:p>
        </w:tc>
      </w:tr>
      <w:tr w:rsidR="008F7275" w:rsidRPr="00AA4E88" w:rsidTr="0066239B">
        <w:trPr>
          <w:trHeight w:val="125"/>
          <w:jc w:val="center"/>
        </w:trPr>
        <w:tc>
          <w:tcPr>
            <w:tcW w:w="3705" w:type="dxa"/>
            <w:gridSpan w:val="3"/>
            <w:vMerge/>
            <w:tcBorders>
              <w:bottom w:val="single" w:sz="4" w:space="0" w:color="auto"/>
              <w:right w:val="thinThickThinSmallGap" w:sz="24" w:space="0" w:color="auto"/>
            </w:tcBorders>
            <w:shd w:val="clear" w:color="auto" w:fill="FFFFFF" w:themeFill="background1"/>
          </w:tcPr>
          <w:p w:rsidR="008F7275" w:rsidRPr="00AA4E88" w:rsidRDefault="008F7275" w:rsidP="0066239B">
            <w:pPr>
              <w:spacing w:line="180" w:lineRule="exact"/>
              <w:contextualSpacing/>
              <w:jc w:val="center"/>
              <w:rPr>
                <w:rFonts w:cs="Times New Roman"/>
                <w:color w:val="auto"/>
                <w:sz w:val="18"/>
                <w:szCs w:val="18"/>
              </w:rPr>
            </w:pPr>
          </w:p>
        </w:tc>
        <w:tc>
          <w:tcPr>
            <w:tcW w:w="5639" w:type="dxa"/>
            <w:gridSpan w:val="4"/>
            <w:tcBorders>
              <w:left w:val="thinThickThinSmallGap" w:sz="24" w:space="0" w:color="auto"/>
            </w:tcBorders>
            <w:shd w:val="clear" w:color="auto" w:fill="FFFFFF" w:themeFill="background1"/>
          </w:tcPr>
          <w:p w:rsidR="008F7275" w:rsidRPr="00AA4E88" w:rsidRDefault="008F7275" w:rsidP="009B2D79">
            <w:pPr>
              <w:spacing w:line="180" w:lineRule="exact"/>
              <w:contextualSpacing/>
              <w:jc w:val="center"/>
              <w:rPr>
                <w:rFonts w:cs="Times New Roman"/>
                <w:color w:val="auto"/>
                <w:sz w:val="18"/>
                <w:szCs w:val="18"/>
              </w:rPr>
            </w:pPr>
            <w:r w:rsidRPr="00AA4E88">
              <w:rPr>
                <w:rFonts w:cs="Times New Roman"/>
                <w:color w:val="auto"/>
                <w:sz w:val="18"/>
                <w:szCs w:val="18"/>
              </w:rPr>
              <w:t xml:space="preserve">0% x 2 / </w:t>
            </w:r>
            <w:r w:rsidR="001422F2" w:rsidRPr="00AA4E88">
              <w:rPr>
                <w:rFonts w:ascii="Calibri" w:hAnsi="Calibri"/>
                <w:color w:val="auto"/>
                <w:sz w:val="18"/>
                <w:szCs w:val="18"/>
              </w:rPr>
              <w:t>Not Service Connected</w:t>
            </w:r>
            <w:r w:rsidRPr="00AA4E88">
              <w:rPr>
                <w:rFonts w:cs="Times New Roman"/>
                <w:color w:val="auto"/>
                <w:sz w:val="18"/>
                <w:szCs w:val="18"/>
              </w:rPr>
              <w:t xml:space="preserve"> x 3</w:t>
            </w:r>
          </w:p>
        </w:tc>
      </w:tr>
      <w:tr w:rsidR="008F7275" w:rsidRPr="00AA4E88" w:rsidTr="0066239B">
        <w:trPr>
          <w:trHeight w:val="242"/>
          <w:jc w:val="center"/>
        </w:trPr>
        <w:tc>
          <w:tcPr>
            <w:tcW w:w="3705" w:type="dxa"/>
            <w:gridSpan w:val="3"/>
            <w:tcBorders>
              <w:right w:val="thinThickThinSmallGap" w:sz="24" w:space="0" w:color="auto"/>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 xml:space="preserve">Combined: </w:t>
            </w:r>
            <w:r w:rsidR="001422F2" w:rsidRPr="00AA4E88">
              <w:rPr>
                <w:rFonts w:cs="Times New Roman"/>
                <w:b/>
                <w:color w:val="auto"/>
                <w:sz w:val="20"/>
                <w:szCs w:val="20"/>
              </w:rPr>
              <w:t xml:space="preserve"> </w:t>
            </w:r>
            <w:r w:rsidRPr="00AA4E88">
              <w:rPr>
                <w:rFonts w:cs="Times New Roman"/>
                <w:b/>
                <w:color w:val="auto"/>
                <w:sz w:val="20"/>
                <w:szCs w:val="20"/>
              </w:rPr>
              <w:t>10%</w:t>
            </w:r>
          </w:p>
        </w:tc>
        <w:tc>
          <w:tcPr>
            <w:tcW w:w="5639" w:type="dxa"/>
            <w:gridSpan w:val="4"/>
            <w:tcBorders>
              <w:left w:val="thinThickThinSmallGap" w:sz="24" w:space="0" w:color="auto"/>
            </w:tcBorders>
            <w:shd w:val="clear" w:color="auto" w:fill="D9D9D9" w:themeFill="background1" w:themeFillShade="D9"/>
          </w:tcPr>
          <w:p w:rsidR="008F7275" w:rsidRPr="00AA4E88" w:rsidRDefault="008F7275" w:rsidP="008F7275">
            <w:pPr>
              <w:spacing w:line="240" w:lineRule="exact"/>
              <w:contextualSpacing/>
              <w:jc w:val="center"/>
              <w:rPr>
                <w:rFonts w:cs="Times New Roman"/>
                <w:b/>
                <w:color w:val="auto"/>
                <w:sz w:val="20"/>
                <w:szCs w:val="20"/>
              </w:rPr>
            </w:pPr>
            <w:r w:rsidRPr="00AA4E88">
              <w:rPr>
                <w:rFonts w:cs="Times New Roman"/>
                <w:b/>
                <w:color w:val="auto"/>
                <w:sz w:val="20"/>
                <w:szCs w:val="20"/>
              </w:rPr>
              <w:t>Combined:  60%</w:t>
            </w:r>
          </w:p>
        </w:tc>
      </w:tr>
    </w:tbl>
    <w:p w:rsidR="008F7275" w:rsidRPr="00AA4E88" w:rsidRDefault="008F7275" w:rsidP="004C15DD">
      <w:pPr>
        <w:tabs>
          <w:tab w:val="left" w:pos="288"/>
          <w:tab w:val="left" w:pos="4752"/>
        </w:tabs>
        <w:spacing w:line="200" w:lineRule="exact"/>
        <w:rPr>
          <w:rFonts w:asciiTheme="minorHAnsi" w:eastAsiaTheme="minorEastAsia" w:hAnsiTheme="minorHAnsi" w:cstheme="minorBidi"/>
          <w:color w:val="auto"/>
          <w:sz w:val="20"/>
          <w:szCs w:val="18"/>
        </w:rPr>
      </w:pPr>
      <w:r w:rsidRPr="00AA4E88">
        <w:rPr>
          <w:rFonts w:asciiTheme="minorHAnsi" w:eastAsiaTheme="minorEastAsia" w:hAnsiTheme="minorHAnsi" w:cstheme="minorBidi"/>
          <w:color w:val="auto"/>
          <w:sz w:val="20"/>
          <w:szCs w:val="18"/>
        </w:rPr>
        <w:t>*</w:t>
      </w:r>
      <w:r w:rsidR="004C15DD" w:rsidRPr="00AA4E88">
        <w:rPr>
          <w:rFonts w:asciiTheme="minorHAnsi" w:eastAsiaTheme="minorEastAsia" w:hAnsiTheme="minorHAnsi" w:cstheme="minorBidi"/>
          <w:color w:val="auto"/>
          <w:sz w:val="20"/>
          <w:szCs w:val="18"/>
        </w:rPr>
        <w:t>I</w:t>
      </w:r>
      <w:r w:rsidR="000F0812" w:rsidRPr="00AA4E88">
        <w:rPr>
          <w:rFonts w:asciiTheme="minorHAnsi" w:eastAsiaTheme="minorEastAsia" w:hAnsiTheme="minorHAnsi" w:cstheme="minorBidi"/>
          <w:color w:val="auto"/>
          <w:sz w:val="20"/>
          <w:szCs w:val="18"/>
        </w:rPr>
        <w:t xml:space="preserve">nitial </w:t>
      </w:r>
      <w:r w:rsidR="002D4B71">
        <w:rPr>
          <w:rFonts w:asciiTheme="minorHAnsi" w:eastAsiaTheme="minorEastAsia" w:hAnsiTheme="minorHAnsi" w:cstheme="minorBidi"/>
          <w:color w:val="auto"/>
          <w:sz w:val="20"/>
          <w:szCs w:val="18"/>
        </w:rPr>
        <w:t xml:space="preserve">9413 </w:t>
      </w:r>
      <w:r w:rsidR="004C15DD" w:rsidRPr="00AA4E88">
        <w:rPr>
          <w:rFonts w:asciiTheme="minorHAnsi" w:eastAsiaTheme="minorEastAsia" w:hAnsiTheme="minorHAnsi" w:cstheme="minorBidi"/>
          <w:color w:val="auto"/>
          <w:sz w:val="20"/>
          <w:szCs w:val="18"/>
        </w:rPr>
        <w:t xml:space="preserve">VA </w:t>
      </w:r>
      <w:r w:rsidR="000F0812" w:rsidRPr="00AA4E88">
        <w:rPr>
          <w:rFonts w:asciiTheme="minorHAnsi" w:eastAsiaTheme="minorEastAsia" w:hAnsiTheme="minorHAnsi" w:cstheme="minorBidi"/>
          <w:color w:val="auto"/>
          <w:sz w:val="20"/>
          <w:szCs w:val="18"/>
        </w:rPr>
        <w:t xml:space="preserve">rating </w:t>
      </w:r>
      <w:r w:rsidR="002D4B71">
        <w:rPr>
          <w:rFonts w:asciiTheme="minorHAnsi" w:eastAsiaTheme="minorEastAsia" w:hAnsiTheme="minorHAnsi" w:cstheme="minorBidi"/>
          <w:color w:val="auto"/>
          <w:sz w:val="20"/>
          <w:szCs w:val="18"/>
        </w:rPr>
        <w:t xml:space="preserve">of </w:t>
      </w:r>
      <w:r w:rsidR="004C15DD" w:rsidRPr="00AA4E88">
        <w:rPr>
          <w:rFonts w:asciiTheme="minorHAnsi" w:eastAsiaTheme="minorEastAsia" w:hAnsiTheme="minorHAnsi" w:cstheme="minorBidi"/>
          <w:color w:val="auto"/>
          <w:sz w:val="20"/>
          <w:szCs w:val="18"/>
        </w:rPr>
        <w:t xml:space="preserve">50% </w:t>
      </w:r>
      <w:r w:rsidR="000F0812" w:rsidRPr="00AA4E88">
        <w:rPr>
          <w:rFonts w:asciiTheme="minorHAnsi" w:eastAsiaTheme="minorEastAsia" w:hAnsiTheme="minorHAnsi" w:cstheme="minorBidi"/>
          <w:color w:val="auto"/>
          <w:sz w:val="20"/>
          <w:szCs w:val="18"/>
        </w:rPr>
        <w:t xml:space="preserve">based on service </w:t>
      </w:r>
      <w:r w:rsidR="004C15DD" w:rsidRPr="00AA4E88">
        <w:rPr>
          <w:rFonts w:asciiTheme="minorHAnsi" w:eastAsiaTheme="minorEastAsia" w:hAnsiTheme="minorHAnsi" w:cstheme="minorBidi"/>
          <w:color w:val="auto"/>
          <w:sz w:val="20"/>
          <w:szCs w:val="18"/>
        </w:rPr>
        <w:t>records</w:t>
      </w:r>
      <w:r w:rsidR="0066239B" w:rsidRPr="00AA4E88">
        <w:rPr>
          <w:rFonts w:asciiTheme="minorHAnsi" w:eastAsiaTheme="minorEastAsia" w:hAnsiTheme="minorHAnsi" w:cstheme="minorBidi"/>
          <w:color w:val="auto"/>
          <w:sz w:val="20"/>
          <w:szCs w:val="18"/>
        </w:rPr>
        <w:t xml:space="preserve"> alone</w:t>
      </w:r>
      <w:r w:rsidR="002D4B71">
        <w:rPr>
          <w:rFonts w:asciiTheme="minorHAnsi" w:eastAsiaTheme="minorEastAsia" w:hAnsiTheme="minorHAnsi" w:cstheme="minorBidi"/>
          <w:color w:val="auto"/>
          <w:sz w:val="20"/>
          <w:szCs w:val="18"/>
        </w:rPr>
        <w:t>,</w:t>
      </w:r>
      <w:r w:rsidR="0066239B" w:rsidRPr="00AA4E88">
        <w:rPr>
          <w:rFonts w:asciiTheme="minorHAnsi" w:eastAsiaTheme="minorEastAsia" w:hAnsiTheme="minorHAnsi" w:cstheme="minorBidi"/>
          <w:color w:val="auto"/>
          <w:sz w:val="20"/>
          <w:szCs w:val="18"/>
        </w:rPr>
        <w:t xml:space="preserve"> with application of §</w:t>
      </w:r>
      <w:r w:rsidR="000F0812" w:rsidRPr="00AA4E88">
        <w:rPr>
          <w:rFonts w:asciiTheme="minorHAnsi" w:eastAsiaTheme="minorEastAsia" w:hAnsiTheme="minorHAnsi" w:cstheme="minorBidi"/>
          <w:color w:val="auto"/>
          <w:sz w:val="20"/>
          <w:szCs w:val="18"/>
        </w:rPr>
        <w:t>4.129</w:t>
      </w:r>
      <w:r w:rsidR="0066239B" w:rsidRPr="00AA4E88">
        <w:rPr>
          <w:rFonts w:asciiTheme="minorHAnsi" w:eastAsiaTheme="minorEastAsia" w:hAnsiTheme="minorHAnsi" w:cstheme="minorBidi"/>
          <w:color w:val="auto"/>
          <w:sz w:val="20"/>
          <w:szCs w:val="18"/>
        </w:rPr>
        <w:t>;</w:t>
      </w:r>
      <w:r w:rsidR="000F0812" w:rsidRPr="00AA4E88">
        <w:rPr>
          <w:rFonts w:asciiTheme="minorHAnsi" w:eastAsiaTheme="minorEastAsia" w:hAnsiTheme="minorHAnsi" w:cstheme="minorBidi"/>
          <w:color w:val="auto"/>
          <w:sz w:val="20"/>
          <w:szCs w:val="18"/>
        </w:rPr>
        <w:t xml:space="preserve"> </w:t>
      </w:r>
      <w:r w:rsidR="0066239B" w:rsidRPr="00AA4E88">
        <w:rPr>
          <w:rFonts w:asciiTheme="minorHAnsi" w:eastAsiaTheme="minorEastAsia" w:hAnsiTheme="minorHAnsi" w:cstheme="minorBidi"/>
          <w:color w:val="auto"/>
          <w:sz w:val="20"/>
          <w:szCs w:val="18"/>
        </w:rPr>
        <w:t xml:space="preserve">VARD of 20090316, after </w:t>
      </w:r>
      <w:r w:rsidR="004C15DD" w:rsidRPr="00AA4E88">
        <w:rPr>
          <w:color w:val="auto"/>
          <w:sz w:val="20"/>
          <w:szCs w:val="18"/>
        </w:rPr>
        <w:t xml:space="preserve">20090302 </w:t>
      </w:r>
      <w:r w:rsidR="00864C42" w:rsidRPr="00AA4E88">
        <w:rPr>
          <w:rFonts w:asciiTheme="minorHAnsi" w:eastAsiaTheme="minorEastAsia" w:hAnsiTheme="minorHAnsi" w:cstheme="minorBidi"/>
          <w:color w:val="auto"/>
          <w:sz w:val="20"/>
          <w:szCs w:val="18"/>
        </w:rPr>
        <w:t xml:space="preserve">VA </w:t>
      </w:r>
      <w:r w:rsidR="000F0812" w:rsidRPr="00AA4E88">
        <w:rPr>
          <w:rFonts w:asciiTheme="minorHAnsi" w:eastAsiaTheme="minorEastAsia" w:hAnsiTheme="minorHAnsi" w:cstheme="minorBidi"/>
          <w:color w:val="auto"/>
          <w:sz w:val="20"/>
          <w:szCs w:val="18"/>
        </w:rPr>
        <w:t>exam</w:t>
      </w:r>
      <w:r w:rsidR="0066239B" w:rsidRPr="00AA4E88">
        <w:rPr>
          <w:rFonts w:asciiTheme="minorHAnsi" w:eastAsiaTheme="minorEastAsia" w:hAnsiTheme="minorHAnsi" w:cstheme="minorBidi"/>
          <w:color w:val="auto"/>
          <w:sz w:val="20"/>
          <w:szCs w:val="18"/>
        </w:rPr>
        <w:t>,</w:t>
      </w:r>
      <w:r w:rsidR="00864C42" w:rsidRPr="00AA4E88">
        <w:rPr>
          <w:rFonts w:asciiTheme="minorHAnsi" w:eastAsiaTheme="minorEastAsia" w:hAnsiTheme="minorHAnsi" w:cstheme="minorBidi"/>
          <w:color w:val="auto"/>
          <w:sz w:val="20"/>
          <w:szCs w:val="18"/>
        </w:rPr>
        <w:t xml:space="preserve"> </w:t>
      </w:r>
      <w:r w:rsidR="00A0750F" w:rsidRPr="00AA4E88">
        <w:rPr>
          <w:rFonts w:asciiTheme="minorHAnsi" w:eastAsiaTheme="minorEastAsia" w:hAnsiTheme="minorHAnsi" w:cstheme="minorBidi"/>
          <w:color w:val="auto"/>
          <w:sz w:val="20"/>
          <w:szCs w:val="18"/>
        </w:rPr>
        <w:t>add</w:t>
      </w:r>
      <w:r w:rsidR="0066239B" w:rsidRPr="00AA4E88">
        <w:rPr>
          <w:rFonts w:asciiTheme="minorHAnsi" w:eastAsiaTheme="minorEastAsia" w:hAnsiTheme="minorHAnsi" w:cstheme="minorBidi"/>
          <w:color w:val="auto"/>
          <w:sz w:val="20"/>
          <w:szCs w:val="18"/>
        </w:rPr>
        <w:t>ed</w:t>
      </w:r>
      <w:r w:rsidR="000F0812" w:rsidRPr="00AA4E88">
        <w:rPr>
          <w:rFonts w:asciiTheme="minorHAnsi" w:eastAsiaTheme="minorEastAsia" w:hAnsiTheme="minorHAnsi" w:cstheme="minorBidi"/>
          <w:color w:val="auto"/>
          <w:sz w:val="20"/>
          <w:szCs w:val="18"/>
        </w:rPr>
        <w:t xml:space="preserve"> </w:t>
      </w:r>
      <w:r w:rsidRPr="00AA4E88">
        <w:rPr>
          <w:rFonts w:asciiTheme="minorHAnsi" w:eastAsiaTheme="minorEastAsia" w:hAnsiTheme="minorHAnsi" w:cstheme="minorBidi"/>
          <w:color w:val="auto"/>
          <w:sz w:val="20"/>
          <w:szCs w:val="18"/>
        </w:rPr>
        <w:t>PTSD</w:t>
      </w:r>
      <w:r w:rsidR="0066239B" w:rsidRPr="00AA4E88">
        <w:rPr>
          <w:rFonts w:asciiTheme="minorHAnsi" w:eastAsiaTheme="minorEastAsia" w:hAnsiTheme="minorHAnsi" w:cstheme="minorBidi"/>
          <w:color w:val="auto"/>
          <w:sz w:val="20"/>
          <w:szCs w:val="18"/>
        </w:rPr>
        <w:t xml:space="preserve"> </w:t>
      </w:r>
      <w:r w:rsidR="004C15DD" w:rsidRPr="00AA4E88">
        <w:rPr>
          <w:rFonts w:asciiTheme="minorHAnsi" w:eastAsiaTheme="minorEastAsia" w:hAnsiTheme="minorHAnsi" w:cstheme="minorBidi"/>
          <w:color w:val="auto"/>
          <w:sz w:val="20"/>
          <w:szCs w:val="18"/>
        </w:rPr>
        <w:t xml:space="preserve">diagnosis </w:t>
      </w:r>
      <w:r w:rsidR="0066239B" w:rsidRPr="00AA4E88">
        <w:rPr>
          <w:rFonts w:asciiTheme="minorHAnsi" w:eastAsiaTheme="minorEastAsia" w:hAnsiTheme="minorHAnsi" w:cstheme="minorBidi"/>
          <w:color w:val="auto"/>
          <w:sz w:val="20"/>
          <w:szCs w:val="18"/>
        </w:rPr>
        <w:t>(9423-</w:t>
      </w:r>
      <w:r w:rsidRPr="00AA4E88">
        <w:rPr>
          <w:rFonts w:asciiTheme="minorHAnsi" w:eastAsiaTheme="minorEastAsia" w:hAnsiTheme="minorHAnsi" w:cstheme="minorBidi"/>
          <w:color w:val="auto"/>
          <w:sz w:val="20"/>
          <w:szCs w:val="18"/>
        </w:rPr>
        <w:t>9411</w:t>
      </w:r>
      <w:r w:rsidR="0066239B" w:rsidRPr="00AA4E88">
        <w:rPr>
          <w:rFonts w:asciiTheme="minorHAnsi" w:eastAsiaTheme="minorEastAsia" w:hAnsiTheme="minorHAnsi" w:cstheme="minorBidi"/>
          <w:color w:val="auto"/>
          <w:sz w:val="20"/>
          <w:szCs w:val="18"/>
        </w:rPr>
        <w:t>)</w:t>
      </w:r>
      <w:r w:rsidRPr="00AA4E88">
        <w:rPr>
          <w:rFonts w:asciiTheme="minorHAnsi" w:eastAsiaTheme="minorEastAsia" w:hAnsiTheme="minorHAnsi" w:cstheme="minorBidi"/>
          <w:color w:val="auto"/>
          <w:sz w:val="20"/>
          <w:szCs w:val="18"/>
        </w:rPr>
        <w:t xml:space="preserve"> </w:t>
      </w:r>
      <w:r w:rsidR="004C15DD" w:rsidRPr="00AA4E88">
        <w:rPr>
          <w:rFonts w:asciiTheme="minorHAnsi" w:eastAsiaTheme="minorEastAsia" w:hAnsiTheme="minorHAnsi" w:cstheme="minorBidi"/>
          <w:color w:val="auto"/>
          <w:sz w:val="20"/>
          <w:szCs w:val="18"/>
        </w:rPr>
        <w:t>re</w:t>
      </w:r>
      <w:r w:rsidR="002D4B71">
        <w:rPr>
          <w:rFonts w:asciiTheme="minorHAnsi" w:eastAsiaTheme="minorEastAsia" w:hAnsiTheme="minorHAnsi" w:cstheme="minorBidi"/>
          <w:color w:val="auto"/>
          <w:sz w:val="20"/>
          <w:szCs w:val="18"/>
        </w:rPr>
        <w:t>affirming</w:t>
      </w:r>
      <w:r w:rsidRPr="00AA4E88">
        <w:rPr>
          <w:rFonts w:asciiTheme="minorHAnsi" w:eastAsiaTheme="minorEastAsia" w:hAnsiTheme="minorHAnsi" w:cstheme="minorBidi"/>
          <w:color w:val="auto"/>
          <w:sz w:val="20"/>
          <w:szCs w:val="18"/>
        </w:rPr>
        <w:t xml:space="preserve"> </w:t>
      </w:r>
      <w:r w:rsidR="004C15DD" w:rsidRPr="00AA4E88">
        <w:rPr>
          <w:rFonts w:asciiTheme="minorHAnsi" w:eastAsiaTheme="minorEastAsia" w:hAnsiTheme="minorHAnsi" w:cstheme="minorBidi"/>
          <w:color w:val="auto"/>
          <w:sz w:val="20"/>
          <w:szCs w:val="18"/>
        </w:rPr>
        <w:t xml:space="preserve">the </w:t>
      </w:r>
      <w:r w:rsidR="0066239B" w:rsidRPr="00AA4E88">
        <w:rPr>
          <w:rFonts w:asciiTheme="minorHAnsi" w:eastAsiaTheme="minorEastAsia" w:hAnsiTheme="minorHAnsi" w:cstheme="minorBidi"/>
          <w:color w:val="auto"/>
          <w:sz w:val="20"/>
          <w:szCs w:val="18"/>
        </w:rPr>
        <w:t>50% rating</w:t>
      </w:r>
      <w:r w:rsidR="002D4B71">
        <w:rPr>
          <w:rFonts w:asciiTheme="minorHAnsi" w:eastAsiaTheme="minorEastAsia" w:hAnsiTheme="minorHAnsi" w:cstheme="minorBidi"/>
          <w:color w:val="auto"/>
          <w:sz w:val="20"/>
          <w:szCs w:val="18"/>
        </w:rPr>
        <w:t xml:space="preserve"> IAW </w:t>
      </w:r>
      <w:r w:rsidR="002D4B71" w:rsidRPr="00AA4E88">
        <w:rPr>
          <w:rFonts w:asciiTheme="minorHAnsi" w:eastAsiaTheme="minorEastAsia" w:hAnsiTheme="minorHAnsi" w:cstheme="minorBidi"/>
          <w:color w:val="auto"/>
          <w:sz w:val="20"/>
          <w:szCs w:val="18"/>
        </w:rPr>
        <w:t>§4.1</w:t>
      </w:r>
      <w:r w:rsidR="002D4B71">
        <w:rPr>
          <w:rFonts w:asciiTheme="minorHAnsi" w:eastAsiaTheme="minorEastAsia" w:hAnsiTheme="minorHAnsi" w:cstheme="minorBidi"/>
          <w:color w:val="auto"/>
          <w:sz w:val="20"/>
          <w:szCs w:val="18"/>
        </w:rPr>
        <w:t>30</w:t>
      </w:r>
    </w:p>
    <w:p w:rsidR="00437D18" w:rsidRPr="00AA4E8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Pr="00AA4E88" w:rsidRDefault="00664296" w:rsidP="002E64DA">
      <w:pPr>
        <w:jc w:val="both"/>
        <w:rPr>
          <w:rFonts w:asciiTheme="minorHAnsi" w:hAnsiTheme="minorHAnsi"/>
          <w:color w:val="auto"/>
          <w:szCs w:val="24"/>
          <w:u w:val="single"/>
        </w:rPr>
      </w:pPr>
    </w:p>
    <w:p w:rsidR="0072642B" w:rsidRPr="00BF30EF" w:rsidRDefault="002C6E5B" w:rsidP="00BF30EF">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FB0742" w:rsidRPr="00FB0742">
        <w:rPr>
          <w:rFonts w:asciiTheme="minorHAnsi" w:eastAsiaTheme="minorEastAsia" w:hAnsiTheme="minorHAnsi" w:cstheme="minorBidi"/>
          <w:color w:val="auto"/>
          <w:szCs w:val="24"/>
        </w:rPr>
        <w:t xml:space="preserve"> </w:t>
      </w:r>
      <w:r w:rsidR="00FB0742">
        <w:rPr>
          <w:rFonts w:asciiTheme="minorHAnsi" w:eastAsiaTheme="minorEastAsia" w:hAnsiTheme="minorHAnsi" w:cstheme="minorBidi"/>
          <w:color w:val="auto"/>
          <w:szCs w:val="24"/>
        </w:rPr>
        <w:t xml:space="preserve"> </w:t>
      </w:r>
      <w:r w:rsidR="00FB0742" w:rsidRPr="00FB0742">
        <w:rPr>
          <w:rFonts w:asciiTheme="minorHAnsi" w:hAnsiTheme="minorHAnsi"/>
          <w:color w:val="auto"/>
          <w:szCs w:val="24"/>
        </w:rPr>
        <w:t xml:space="preserve">The Board acknowledges the CI’s assertions that he was </w:t>
      </w:r>
      <w:r w:rsidR="00864C42">
        <w:rPr>
          <w:rFonts w:asciiTheme="minorHAnsi" w:hAnsiTheme="minorHAnsi"/>
          <w:color w:val="auto"/>
          <w:szCs w:val="24"/>
        </w:rPr>
        <w:t>not treated fairly by the</w:t>
      </w:r>
      <w:r w:rsidR="00FB0742" w:rsidRPr="00FB0742">
        <w:rPr>
          <w:rFonts w:asciiTheme="minorHAnsi" w:hAnsiTheme="minorHAnsi"/>
          <w:color w:val="auto"/>
          <w:szCs w:val="24"/>
        </w:rPr>
        <w:t xml:space="preserve"> service and allegedly that there was skepticism both on the part of the CI’s c</w:t>
      </w:r>
      <w:r w:rsidR="008C2CD8">
        <w:rPr>
          <w:rFonts w:asciiTheme="minorHAnsi" w:hAnsiTheme="minorHAnsi"/>
          <w:color w:val="auto"/>
          <w:szCs w:val="24"/>
        </w:rPr>
        <w:t xml:space="preserve">ommander and on the part of the </w:t>
      </w:r>
      <w:r w:rsidR="00FB0742" w:rsidRPr="00FB0742">
        <w:rPr>
          <w:rFonts w:asciiTheme="minorHAnsi" w:hAnsiTheme="minorHAnsi"/>
          <w:color w:val="auto"/>
          <w:szCs w:val="24"/>
        </w:rPr>
        <w:t xml:space="preserve">MEB evaluators, about the authenticity of </w:t>
      </w:r>
      <w:r w:rsidR="00A0750F" w:rsidRPr="00FB0742">
        <w:rPr>
          <w:rFonts w:asciiTheme="minorHAnsi" w:hAnsiTheme="minorHAnsi"/>
          <w:color w:val="auto"/>
          <w:szCs w:val="24"/>
        </w:rPr>
        <w:t xml:space="preserve">his </w:t>
      </w:r>
      <w:r w:rsidR="00A0750F">
        <w:rPr>
          <w:rFonts w:asciiTheme="minorHAnsi" w:hAnsiTheme="minorHAnsi"/>
          <w:color w:val="auto"/>
          <w:szCs w:val="24"/>
        </w:rPr>
        <w:t>PTSD</w:t>
      </w:r>
      <w:r w:rsidR="00625EFC">
        <w:rPr>
          <w:rFonts w:asciiTheme="minorHAnsi" w:hAnsiTheme="minorHAnsi"/>
          <w:color w:val="auto"/>
          <w:szCs w:val="24"/>
        </w:rPr>
        <w:t xml:space="preserve"> </w:t>
      </w:r>
      <w:r w:rsidR="00FB0742" w:rsidRPr="00FB0742">
        <w:rPr>
          <w:rFonts w:asciiTheme="minorHAnsi" w:hAnsiTheme="minorHAnsi"/>
          <w:color w:val="auto"/>
          <w:szCs w:val="24"/>
        </w:rPr>
        <w:t>symptoms.</w:t>
      </w:r>
      <w:r w:rsidR="00625EFC" w:rsidRPr="00625EFC">
        <w:rPr>
          <w:rFonts w:asciiTheme="minorHAnsi" w:hAnsiTheme="minorHAnsi"/>
          <w:color w:val="auto"/>
          <w:szCs w:val="24"/>
        </w:rPr>
        <w:t xml:space="preserve"> </w:t>
      </w:r>
      <w:r w:rsidR="002E64DA">
        <w:rPr>
          <w:rFonts w:asciiTheme="minorHAnsi" w:hAnsiTheme="minorHAnsi"/>
          <w:color w:val="auto"/>
          <w:szCs w:val="24"/>
        </w:rPr>
        <w:t xml:space="preserve"> </w:t>
      </w:r>
      <w:r w:rsidR="00FB0742" w:rsidRPr="00FB0742">
        <w:rPr>
          <w:rFonts w:asciiTheme="minorHAnsi" w:hAnsiTheme="minorHAnsi"/>
          <w:color w:val="auto"/>
          <w:szCs w:val="24"/>
        </w:rPr>
        <w:t>It is noted for the record that the Board has neither the jurisdiction nor authority to scrutinize or render opinions in reference to the CI’s statements in the a</w:t>
      </w:r>
      <w:r w:rsidR="00DB498E">
        <w:rPr>
          <w:rFonts w:asciiTheme="minorHAnsi" w:hAnsiTheme="minorHAnsi"/>
          <w:color w:val="auto"/>
          <w:szCs w:val="24"/>
        </w:rPr>
        <w:t>pplication regarding suspected s</w:t>
      </w:r>
      <w:r w:rsidR="00FB0742" w:rsidRPr="00FB0742">
        <w:rPr>
          <w:rFonts w:asciiTheme="minorHAnsi" w:hAnsiTheme="minorHAnsi"/>
          <w:color w:val="auto"/>
          <w:szCs w:val="24"/>
        </w:rPr>
        <w:t xml:space="preserve">ervice improprieties in the processing of his case.  The Board’s role is confined to the review of medical records and all evidence at hand to assess the fairness of PEB rating determinations, compared to </w:t>
      </w:r>
      <w:r w:rsidR="00DB498E" w:rsidRPr="00535601">
        <w:rPr>
          <w:rFonts w:asciiTheme="minorHAnsi" w:hAnsiTheme="minorHAnsi"/>
          <w:color w:val="auto"/>
          <w:szCs w:val="24"/>
        </w:rPr>
        <w:t xml:space="preserve">Veterans Administration Schedule for Rating Disabilities </w:t>
      </w:r>
      <w:r w:rsidR="00DB498E">
        <w:rPr>
          <w:rFonts w:asciiTheme="minorHAnsi" w:hAnsiTheme="minorHAnsi"/>
          <w:color w:val="auto"/>
          <w:szCs w:val="24"/>
        </w:rPr>
        <w:t>(</w:t>
      </w:r>
      <w:r w:rsidR="00FB0742" w:rsidRPr="00FB0742">
        <w:rPr>
          <w:rFonts w:asciiTheme="minorHAnsi" w:hAnsiTheme="minorHAnsi"/>
          <w:color w:val="auto"/>
          <w:szCs w:val="24"/>
        </w:rPr>
        <w:t>VASRD</w:t>
      </w:r>
      <w:r w:rsidR="00DB498E">
        <w:rPr>
          <w:rFonts w:asciiTheme="minorHAnsi" w:hAnsiTheme="minorHAnsi"/>
          <w:color w:val="auto"/>
          <w:szCs w:val="24"/>
        </w:rPr>
        <w:t>)</w:t>
      </w:r>
      <w:r w:rsidR="00FB0742" w:rsidRPr="00FB0742">
        <w:rPr>
          <w:rFonts w:asciiTheme="minorHAnsi" w:hAnsiTheme="minorHAnsi"/>
          <w:color w:val="auto"/>
          <w:szCs w:val="24"/>
        </w:rPr>
        <w:t xml:space="preserve"> standards, based on severity at the time of separation.  It must also judge the fairness of PEB fitness adjudications based on the fitness consequences of conditions as they existed at the time of separation.</w:t>
      </w:r>
    </w:p>
    <w:p w:rsidR="0072642B" w:rsidRDefault="0072642B" w:rsidP="00FB0742">
      <w:pPr>
        <w:spacing w:line="240" w:lineRule="exact"/>
        <w:rPr>
          <w:rFonts w:asciiTheme="minorHAnsi" w:hAnsiTheme="minorHAnsi"/>
          <w:color w:val="auto"/>
          <w:szCs w:val="24"/>
        </w:rPr>
      </w:pPr>
    </w:p>
    <w:p w:rsidR="00CD4098" w:rsidRDefault="00535601" w:rsidP="00701BBD">
      <w:pPr>
        <w:spacing w:line="240" w:lineRule="exact"/>
        <w:jc w:val="both"/>
        <w:rPr>
          <w:rFonts w:asciiTheme="minorHAnsi" w:hAnsiTheme="minorHAnsi"/>
          <w:color w:val="auto"/>
          <w:szCs w:val="24"/>
        </w:rPr>
      </w:pPr>
      <w:r>
        <w:rPr>
          <w:rFonts w:asciiTheme="minorHAnsi" w:hAnsiTheme="minorHAnsi"/>
          <w:color w:val="auto"/>
          <w:szCs w:val="24"/>
          <w:u w:val="single"/>
        </w:rPr>
        <w:t>ANIEXTY DISORDER</w:t>
      </w:r>
      <w:r w:rsidRPr="002E64DA">
        <w:rPr>
          <w:rFonts w:asciiTheme="minorHAnsi" w:hAnsiTheme="minorHAnsi"/>
          <w:color w:val="auto"/>
          <w:szCs w:val="24"/>
        </w:rPr>
        <w:t>:</w:t>
      </w:r>
      <w:r w:rsidR="004A7339" w:rsidRPr="002E64DA">
        <w:rPr>
          <w:rFonts w:asciiTheme="minorHAnsi" w:hAnsiTheme="minorHAnsi"/>
          <w:color w:val="auto"/>
          <w:szCs w:val="24"/>
        </w:rPr>
        <w:t xml:space="preserve">  </w:t>
      </w:r>
      <w:r w:rsidRPr="002E64DA">
        <w:rPr>
          <w:rFonts w:asciiTheme="minorHAnsi" w:hAnsiTheme="minorHAnsi"/>
          <w:color w:val="auto"/>
          <w:szCs w:val="24"/>
        </w:rPr>
        <w:t>The IPEB</w:t>
      </w:r>
      <w:r w:rsidRPr="00535601">
        <w:rPr>
          <w:rFonts w:asciiTheme="minorHAnsi" w:hAnsiTheme="minorHAnsi"/>
          <w:color w:val="auto"/>
          <w:szCs w:val="24"/>
        </w:rPr>
        <w:t xml:space="preserve"> rating</w:t>
      </w:r>
      <w:r w:rsidR="004A7339">
        <w:rPr>
          <w:rFonts w:asciiTheme="minorHAnsi" w:hAnsiTheme="minorHAnsi"/>
          <w:color w:val="auto"/>
          <w:szCs w:val="24"/>
        </w:rPr>
        <w:t xml:space="preserve"> </w:t>
      </w:r>
      <w:r w:rsidRPr="00535601">
        <w:rPr>
          <w:rFonts w:asciiTheme="minorHAnsi" w:hAnsiTheme="minorHAnsi"/>
          <w:color w:val="auto"/>
          <w:szCs w:val="24"/>
        </w:rPr>
        <w:t xml:space="preserve">as described above, was </w:t>
      </w:r>
      <w:r>
        <w:rPr>
          <w:rFonts w:asciiTheme="minorHAnsi" w:hAnsiTheme="minorHAnsi"/>
          <w:color w:val="auto"/>
          <w:szCs w:val="24"/>
        </w:rPr>
        <w:t xml:space="preserve">likely </w:t>
      </w:r>
      <w:r w:rsidRPr="00535601">
        <w:rPr>
          <w:rFonts w:asciiTheme="minorHAnsi" w:hAnsiTheme="minorHAnsi"/>
          <w:color w:val="auto"/>
          <w:szCs w:val="24"/>
        </w:rPr>
        <w:t>derived from DoDI 1332.39</w:t>
      </w:r>
      <w:r w:rsidR="00AA4E88">
        <w:rPr>
          <w:rFonts w:asciiTheme="minorHAnsi" w:hAnsiTheme="minorHAnsi"/>
          <w:color w:val="auto"/>
          <w:szCs w:val="24"/>
        </w:rPr>
        <w:t>,</w:t>
      </w:r>
      <w:r w:rsidRPr="00535601">
        <w:rPr>
          <w:rFonts w:asciiTheme="minorHAnsi" w:hAnsiTheme="minorHAnsi"/>
          <w:color w:val="auto"/>
          <w:szCs w:val="24"/>
        </w:rPr>
        <w:t xml:space="preserve"> and </w:t>
      </w:r>
      <w:r w:rsidR="00AA4E88">
        <w:rPr>
          <w:rFonts w:asciiTheme="minorHAnsi" w:hAnsiTheme="minorHAnsi"/>
          <w:color w:val="auto"/>
          <w:szCs w:val="24"/>
        </w:rPr>
        <w:t xml:space="preserve">although after the effective date, likely </w:t>
      </w:r>
      <w:r w:rsidRPr="00535601">
        <w:rPr>
          <w:rFonts w:asciiTheme="minorHAnsi" w:hAnsiTheme="minorHAnsi"/>
          <w:color w:val="auto"/>
          <w:szCs w:val="24"/>
        </w:rPr>
        <w:t>preceded the promulgation of the National Defense Authorization Act (NDAA) 2008 mandate for Department of Defense (</w:t>
      </w:r>
      <w:proofErr w:type="spellStart"/>
      <w:r w:rsidRPr="00535601">
        <w:rPr>
          <w:rFonts w:asciiTheme="minorHAnsi" w:hAnsiTheme="minorHAnsi"/>
          <w:color w:val="auto"/>
          <w:szCs w:val="24"/>
        </w:rPr>
        <w:t>DoD</w:t>
      </w:r>
      <w:proofErr w:type="spellEnd"/>
      <w:r w:rsidRPr="00535601">
        <w:rPr>
          <w:rFonts w:asciiTheme="minorHAnsi" w:hAnsiTheme="minorHAnsi"/>
          <w:color w:val="auto"/>
          <w:szCs w:val="24"/>
        </w:rPr>
        <w:t xml:space="preserve">) adherence to </w:t>
      </w:r>
      <w:r w:rsidR="00DB498E">
        <w:rPr>
          <w:rFonts w:asciiTheme="minorHAnsi" w:hAnsiTheme="minorHAnsi"/>
          <w:color w:val="auto"/>
          <w:szCs w:val="24"/>
        </w:rPr>
        <w:t>VASRD</w:t>
      </w:r>
      <w:r w:rsidRPr="00535601">
        <w:rPr>
          <w:rFonts w:asciiTheme="minorHAnsi" w:hAnsiTheme="minorHAnsi"/>
          <w:color w:val="auto"/>
          <w:szCs w:val="24"/>
        </w:rPr>
        <w:t xml:space="preserve"> §4.129.</w:t>
      </w:r>
      <w:r w:rsidR="004A7339">
        <w:rPr>
          <w:rFonts w:asciiTheme="minorHAnsi" w:hAnsiTheme="minorHAnsi"/>
          <w:color w:val="auto"/>
          <w:szCs w:val="24"/>
        </w:rPr>
        <w:t xml:space="preserve">  </w:t>
      </w:r>
      <w:r w:rsidR="0072642B" w:rsidRPr="00BF30EF">
        <w:rPr>
          <w:rFonts w:asciiTheme="minorHAnsi" w:hAnsiTheme="minorHAnsi"/>
          <w:color w:val="auto"/>
          <w:szCs w:val="24"/>
        </w:rPr>
        <w:t xml:space="preserve">The CI was hospitalized for </w:t>
      </w:r>
      <w:r w:rsidR="00DB498E">
        <w:rPr>
          <w:rFonts w:asciiTheme="minorHAnsi" w:hAnsiTheme="minorHAnsi"/>
          <w:color w:val="auto"/>
        </w:rPr>
        <w:t>28-day for suicidal ideation eight</w:t>
      </w:r>
      <w:r w:rsidR="0072642B" w:rsidRPr="00BF30EF">
        <w:rPr>
          <w:rFonts w:asciiTheme="minorHAnsi" w:hAnsiTheme="minorHAnsi"/>
          <w:color w:val="auto"/>
        </w:rPr>
        <w:t xml:space="preserve"> months prior to separation</w:t>
      </w:r>
      <w:r w:rsidR="00762060" w:rsidRPr="00BF30EF">
        <w:rPr>
          <w:rFonts w:asciiTheme="minorHAnsi" w:hAnsiTheme="minorHAnsi"/>
          <w:color w:val="auto"/>
        </w:rPr>
        <w:t xml:space="preserve">.  </w:t>
      </w:r>
      <w:r w:rsidR="006A3E07" w:rsidRPr="00BF30EF">
        <w:rPr>
          <w:rFonts w:asciiTheme="minorHAnsi" w:hAnsiTheme="minorHAnsi"/>
          <w:color w:val="auto"/>
        </w:rPr>
        <w:t>The CI had a history of exposure to trauma/critica</w:t>
      </w:r>
      <w:r w:rsidR="00DB498E">
        <w:rPr>
          <w:rFonts w:asciiTheme="minorHAnsi" w:hAnsiTheme="minorHAnsi"/>
          <w:color w:val="auto"/>
        </w:rPr>
        <w:t xml:space="preserve">l incidents from Iraq that were </w:t>
      </w:r>
      <w:r w:rsidR="006A3E07" w:rsidRPr="00BF30EF">
        <w:rPr>
          <w:rFonts w:asciiTheme="minorHAnsi" w:hAnsiTheme="minorHAnsi"/>
          <w:color w:val="auto"/>
        </w:rPr>
        <w:t xml:space="preserve">verified by the military.  </w:t>
      </w:r>
      <w:r w:rsidR="00762060" w:rsidRPr="00BF30EF">
        <w:rPr>
          <w:rFonts w:asciiTheme="minorHAnsi" w:hAnsiTheme="minorHAnsi"/>
          <w:color w:val="auto"/>
        </w:rPr>
        <w:t>D</w:t>
      </w:r>
      <w:r w:rsidR="0072642B" w:rsidRPr="00BF30EF">
        <w:rPr>
          <w:rFonts w:asciiTheme="minorHAnsi" w:hAnsiTheme="minorHAnsi"/>
          <w:color w:val="auto"/>
          <w:szCs w:val="24"/>
        </w:rPr>
        <w:t>is</w:t>
      </w:r>
      <w:r w:rsidR="00DB498E">
        <w:rPr>
          <w:rFonts w:asciiTheme="minorHAnsi" w:hAnsiTheme="minorHAnsi"/>
          <w:color w:val="auto"/>
          <w:szCs w:val="24"/>
        </w:rPr>
        <w:t>charge diagnoses were PTSD and a</w:t>
      </w:r>
      <w:r w:rsidR="0072642B" w:rsidRPr="00BF30EF">
        <w:rPr>
          <w:rFonts w:asciiTheme="minorHAnsi" w:hAnsiTheme="minorHAnsi"/>
          <w:color w:val="auto"/>
          <w:szCs w:val="24"/>
        </w:rPr>
        <w:t xml:space="preserve">nxiety </w:t>
      </w:r>
      <w:r w:rsidR="00DB498E">
        <w:rPr>
          <w:rFonts w:asciiTheme="minorHAnsi" w:hAnsiTheme="minorHAnsi"/>
          <w:color w:val="auto"/>
          <w:szCs w:val="24"/>
        </w:rPr>
        <w:t>d</w:t>
      </w:r>
      <w:r w:rsidR="00762060" w:rsidRPr="00BF30EF">
        <w:rPr>
          <w:rFonts w:asciiTheme="minorHAnsi" w:hAnsiTheme="minorHAnsi"/>
          <w:color w:val="auto"/>
          <w:szCs w:val="24"/>
        </w:rPr>
        <w:t xml:space="preserve">isorder </w:t>
      </w:r>
      <w:r w:rsidR="0072642B" w:rsidRPr="00BF30EF">
        <w:rPr>
          <w:rFonts w:asciiTheme="minorHAnsi" w:hAnsiTheme="minorHAnsi"/>
          <w:color w:val="auto"/>
          <w:szCs w:val="24"/>
        </w:rPr>
        <w:t>with moderate work and relational discord with a global assessment of functioning in the range of serious symptoms (GAF = 55</w:t>
      </w:r>
      <w:r w:rsidR="0072642B" w:rsidRPr="004659EA">
        <w:rPr>
          <w:rFonts w:asciiTheme="minorHAnsi" w:hAnsiTheme="minorHAnsi"/>
          <w:color w:val="auto"/>
          <w:szCs w:val="24"/>
        </w:rPr>
        <w:t>).</w:t>
      </w:r>
      <w:r w:rsidR="00762060">
        <w:rPr>
          <w:rFonts w:asciiTheme="minorHAnsi" w:hAnsiTheme="minorHAnsi"/>
          <w:color w:val="auto"/>
          <w:szCs w:val="24"/>
        </w:rPr>
        <w:t xml:space="preserve">  </w:t>
      </w:r>
      <w:r w:rsidR="00762060" w:rsidRPr="00BF30EF">
        <w:rPr>
          <w:rFonts w:asciiTheme="minorHAnsi" w:hAnsiTheme="minorHAnsi"/>
          <w:color w:val="auto"/>
          <w:szCs w:val="24"/>
        </w:rPr>
        <w:t xml:space="preserve">The MEB psychiatric exam was conducted five months pre-separation and two months after the CI’s hospitalization.  </w:t>
      </w:r>
      <w:r w:rsidR="00CD4098" w:rsidRPr="00BF30EF">
        <w:rPr>
          <w:rFonts w:asciiTheme="minorHAnsi" w:hAnsiTheme="minorHAnsi"/>
          <w:color w:val="auto"/>
          <w:szCs w:val="24"/>
        </w:rPr>
        <w:t xml:space="preserve">The CI had independently stopped medications and compliant with group/individual therapy.  The </w:t>
      </w:r>
      <w:r w:rsidR="00762060" w:rsidRPr="00BF30EF">
        <w:rPr>
          <w:rFonts w:asciiTheme="minorHAnsi" w:hAnsiTheme="minorHAnsi"/>
          <w:color w:val="auto"/>
          <w:szCs w:val="24"/>
        </w:rPr>
        <w:t xml:space="preserve">exam </w:t>
      </w:r>
      <w:r w:rsidR="00CD4098" w:rsidRPr="00BF30EF">
        <w:rPr>
          <w:rFonts w:asciiTheme="minorHAnsi" w:hAnsiTheme="minorHAnsi"/>
          <w:color w:val="auto"/>
          <w:szCs w:val="24"/>
        </w:rPr>
        <w:t xml:space="preserve">indicated </w:t>
      </w:r>
      <w:r w:rsidR="00762060" w:rsidRPr="00BF30EF">
        <w:rPr>
          <w:rFonts w:asciiTheme="minorHAnsi" w:hAnsiTheme="minorHAnsi"/>
          <w:color w:val="auto"/>
          <w:szCs w:val="24"/>
        </w:rPr>
        <w:t>that two mental status evaluations (MSE) were completed due to a report that despite a first exam demonstrating significant anxiety, his escort reported, upon picking up the CI, he had a sunny disposition</w:t>
      </w:r>
      <w:r w:rsidR="00762060">
        <w:rPr>
          <w:rFonts w:asciiTheme="minorHAnsi" w:hAnsiTheme="minorHAnsi"/>
          <w:color w:val="auto"/>
          <w:szCs w:val="24"/>
        </w:rPr>
        <w:t xml:space="preserve"> and was more worried about his wife’s first ultrasound.  At the second MSE exam the CI was noted to have good eye contact and a euthymic mood.  His memory and recall were intact.  He appeared distressed only when discussing deployment to Iraq.  He denied homicidal and suicidal ideation and stated he was only suicidal prior to hospital admission because he did not want to go back to Iraq and felt his care providers and command were minimizing his symptoms.  He reported no auditory or visual hallucinations</w:t>
      </w:r>
      <w:r w:rsidR="00701BBD">
        <w:rPr>
          <w:rFonts w:asciiTheme="minorHAnsi" w:hAnsiTheme="minorHAnsi"/>
          <w:color w:val="auto"/>
          <w:szCs w:val="24"/>
        </w:rPr>
        <w:t xml:space="preserve">.  Speech was normal and </w:t>
      </w:r>
      <w:r w:rsidR="00762060">
        <w:rPr>
          <w:rFonts w:asciiTheme="minorHAnsi" w:hAnsiTheme="minorHAnsi"/>
          <w:color w:val="auto"/>
          <w:szCs w:val="24"/>
        </w:rPr>
        <w:t xml:space="preserve">thought process was goal directed and logical.  There were no formal depression or PTSD scales documented in the NARSUM.  </w:t>
      </w:r>
      <w:r w:rsidR="00701BBD">
        <w:rPr>
          <w:rFonts w:asciiTheme="minorHAnsi" w:hAnsiTheme="minorHAnsi"/>
          <w:color w:val="auto"/>
          <w:szCs w:val="24"/>
        </w:rPr>
        <w:t xml:space="preserve">There was indication of symptom exaggeration, different pictures of symptoms while in clinical </w:t>
      </w:r>
      <w:proofErr w:type="spellStart"/>
      <w:r w:rsidR="00701BBD">
        <w:rPr>
          <w:rFonts w:asciiTheme="minorHAnsi" w:hAnsiTheme="minorHAnsi"/>
          <w:color w:val="auto"/>
          <w:szCs w:val="24"/>
        </w:rPr>
        <w:t>vs</w:t>
      </w:r>
      <w:proofErr w:type="spellEnd"/>
      <w:r w:rsidR="00701BBD">
        <w:rPr>
          <w:rFonts w:asciiTheme="minorHAnsi" w:hAnsiTheme="minorHAnsi"/>
          <w:color w:val="auto"/>
          <w:szCs w:val="24"/>
        </w:rPr>
        <w:t xml:space="preserve"> outside clinical settings and </w:t>
      </w:r>
      <w:r w:rsidR="00CD4098">
        <w:rPr>
          <w:rFonts w:asciiTheme="minorHAnsi" w:hAnsiTheme="minorHAnsi"/>
          <w:color w:val="auto"/>
          <w:szCs w:val="24"/>
        </w:rPr>
        <w:t xml:space="preserve">the examiner stated:  </w:t>
      </w:r>
    </w:p>
    <w:p w:rsidR="00CD4098" w:rsidRDefault="00CD4098" w:rsidP="00701BBD">
      <w:pPr>
        <w:spacing w:line="240" w:lineRule="exact"/>
        <w:jc w:val="both"/>
        <w:rPr>
          <w:rFonts w:asciiTheme="minorHAnsi" w:hAnsiTheme="minorHAnsi"/>
          <w:color w:val="auto"/>
          <w:szCs w:val="24"/>
        </w:rPr>
      </w:pPr>
    </w:p>
    <w:p w:rsidR="00701BBD" w:rsidRPr="00CD4098" w:rsidRDefault="00CD4098" w:rsidP="00CD4098">
      <w:pPr>
        <w:spacing w:line="200" w:lineRule="exact"/>
        <w:ind w:left="288" w:right="288"/>
        <w:jc w:val="both"/>
        <w:rPr>
          <w:rFonts w:asciiTheme="minorHAnsi" w:hAnsiTheme="minorHAnsi"/>
          <w:color w:val="auto"/>
          <w:sz w:val="20"/>
          <w:szCs w:val="24"/>
        </w:rPr>
      </w:pPr>
      <w:r w:rsidRPr="00CD4098">
        <w:rPr>
          <w:rFonts w:asciiTheme="minorHAnsi" w:hAnsiTheme="minorHAnsi"/>
          <w:color w:val="auto"/>
          <w:sz w:val="20"/>
          <w:szCs w:val="24"/>
        </w:rPr>
        <w:t>“(</w:t>
      </w:r>
      <w:proofErr w:type="gramStart"/>
      <w:r w:rsidRPr="00CD4098">
        <w:rPr>
          <w:rFonts w:asciiTheme="minorHAnsi" w:hAnsiTheme="minorHAnsi"/>
          <w:color w:val="auto"/>
          <w:sz w:val="20"/>
          <w:szCs w:val="24"/>
        </w:rPr>
        <w:t>the</w:t>
      </w:r>
      <w:proofErr w:type="gramEnd"/>
      <w:r w:rsidRPr="00CD4098">
        <w:rPr>
          <w:rFonts w:asciiTheme="minorHAnsi" w:hAnsiTheme="minorHAnsi"/>
          <w:color w:val="auto"/>
          <w:sz w:val="20"/>
          <w:szCs w:val="24"/>
        </w:rPr>
        <w:t xml:space="preserve"> CI) has presented as extremely manipulative and self serving in his interactions with treatment providers. He has frequently denigrated one provider to other providers, so often, that he has had treatment limited because of this behavior. He has also told blatant lies about treatment by command in hopes of eliciting sympathy from medical providers.” </w:t>
      </w:r>
    </w:p>
    <w:p w:rsidR="00CD4098" w:rsidRDefault="00CD4098" w:rsidP="00701BBD">
      <w:pPr>
        <w:spacing w:line="240" w:lineRule="exact"/>
        <w:jc w:val="both"/>
        <w:rPr>
          <w:rFonts w:asciiTheme="minorHAnsi" w:hAnsiTheme="minorHAnsi"/>
          <w:color w:val="auto"/>
          <w:szCs w:val="24"/>
        </w:rPr>
      </w:pPr>
    </w:p>
    <w:p w:rsidR="0072642B" w:rsidRDefault="00284996" w:rsidP="00856F1C">
      <w:pPr>
        <w:spacing w:line="240" w:lineRule="exact"/>
        <w:jc w:val="both"/>
        <w:rPr>
          <w:rFonts w:asciiTheme="minorHAnsi" w:hAnsiTheme="minorHAnsi"/>
          <w:color w:val="auto"/>
          <w:szCs w:val="24"/>
        </w:rPr>
      </w:pPr>
      <w:r>
        <w:rPr>
          <w:rFonts w:asciiTheme="minorHAnsi" w:hAnsiTheme="minorHAnsi"/>
          <w:color w:val="auto"/>
          <w:szCs w:val="24"/>
        </w:rPr>
        <w:t xml:space="preserve">The work history noted was two hours per day.  </w:t>
      </w:r>
      <w:r w:rsidR="00F65F5C">
        <w:rPr>
          <w:rFonts w:asciiTheme="minorHAnsi" w:hAnsiTheme="minorHAnsi"/>
          <w:color w:val="auto"/>
          <w:szCs w:val="24"/>
        </w:rPr>
        <w:t>The overall assessment was anxiety d</w:t>
      </w:r>
      <w:r w:rsidR="00762060">
        <w:rPr>
          <w:rFonts w:asciiTheme="minorHAnsi" w:hAnsiTheme="minorHAnsi"/>
          <w:color w:val="auto"/>
          <w:szCs w:val="24"/>
        </w:rPr>
        <w:t xml:space="preserve">isorder, </w:t>
      </w:r>
      <w:r w:rsidR="00701BBD">
        <w:rPr>
          <w:rFonts w:asciiTheme="minorHAnsi" w:hAnsiTheme="minorHAnsi"/>
          <w:color w:val="auto"/>
          <w:szCs w:val="24"/>
        </w:rPr>
        <w:t>with</w:t>
      </w:r>
      <w:r w:rsidR="00762060">
        <w:rPr>
          <w:rFonts w:asciiTheme="minorHAnsi" w:hAnsiTheme="minorHAnsi"/>
          <w:color w:val="auto"/>
          <w:szCs w:val="24"/>
        </w:rPr>
        <w:t xml:space="preserve"> mild impairment for social and industrial adaptability.  </w:t>
      </w:r>
      <w:r w:rsidR="00CD4098">
        <w:rPr>
          <w:rFonts w:asciiTheme="minorHAnsi" w:hAnsiTheme="minorHAnsi"/>
          <w:color w:val="auto"/>
          <w:szCs w:val="24"/>
        </w:rPr>
        <w:t xml:space="preserve">Axis II diagnosis was </w:t>
      </w:r>
      <w:r w:rsidR="00F65F5C">
        <w:rPr>
          <w:rFonts w:asciiTheme="minorHAnsi" w:hAnsiTheme="minorHAnsi"/>
          <w:color w:val="auto"/>
          <w:szCs w:val="24"/>
        </w:rPr>
        <w:t>personality disorder NOS (passive aggressive, histrionic, and paranoid</w:t>
      </w:r>
      <w:r w:rsidR="00CD4098" w:rsidRPr="00CD4098">
        <w:rPr>
          <w:rFonts w:asciiTheme="minorHAnsi" w:hAnsiTheme="minorHAnsi"/>
          <w:color w:val="auto"/>
          <w:szCs w:val="24"/>
        </w:rPr>
        <w:t>)</w:t>
      </w:r>
      <w:r w:rsidR="00CD4098">
        <w:rPr>
          <w:rFonts w:asciiTheme="minorHAnsi" w:hAnsiTheme="minorHAnsi"/>
          <w:color w:val="auto"/>
          <w:szCs w:val="24"/>
        </w:rPr>
        <w:t xml:space="preserve">.  </w:t>
      </w:r>
      <w:r w:rsidR="00701BBD">
        <w:rPr>
          <w:rFonts w:asciiTheme="minorHAnsi" w:hAnsiTheme="minorHAnsi"/>
          <w:color w:val="auto"/>
          <w:szCs w:val="24"/>
        </w:rPr>
        <w:t xml:space="preserve">The GAF was assessed in the moderate symptom range (GAF=55).  </w:t>
      </w:r>
      <w:r w:rsidRPr="00BF30EF">
        <w:rPr>
          <w:rFonts w:asciiTheme="minorHAnsi" w:hAnsiTheme="minorHAnsi"/>
          <w:color w:val="auto"/>
          <w:szCs w:val="24"/>
        </w:rPr>
        <w:t xml:space="preserve">Earlier </w:t>
      </w:r>
      <w:r w:rsidR="00CD4098" w:rsidRPr="00BF30EF">
        <w:rPr>
          <w:rFonts w:asciiTheme="minorHAnsi" w:hAnsiTheme="minorHAnsi"/>
          <w:color w:val="auto"/>
          <w:szCs w:val="24"/>
        </w:rPr>
        <w:t xml:space="preserve">psychiatric </w:t>
      </w:r>
      <w:r w:rsidR="006A3E07" w:rsidRPr="00BF30EF">
        <w:rPr>
          <w:rFonts w:asciiTheme="minorHAnsi" w:hAnsiTheme="minorHAnsi"/>
          <w:color w:val="auto"/>
          <w:szCs w:val="24"/>
        </w:rPr>
        <w:t>treatment notes</w:t>
      </w:r>
      <w:r w:rsidR="00CD4098" w:rsidRPr="00BF30EF">
        <w:rPr>
          <w:rFonts w:asciiTheme="minorHAnsi" w:hAnsiTheme="minorHAnsi"/>
          <w:color w:val="auto"/>
          <w:szCs w:val="24"/>
        </w:rPr>
        <w:t xml:space="preserve"> documented </w:t>
      </w:r>
      <w:r w:rsidR="006A3E07" w:rsidRPr="00BF30EF">
        <w:rPr>
          <w:rFonts w:asciiTheme="minorHAnsi" w:hAnsiTheme="minorHAnsi"/>
          <w:color w:val="auto"/>
        </w:rPr>
        <w:t>exposure to snipers, explosions</w:t>
      </w:r>
      <w:r w:rsidR="00F65F5C">
        <w:rPr>
          <w:rFonts w:asciiTheme="minorHAnsi" w:hAnsiTheme="minorHAnsi"/>
          <w:color w:val="auto"/>
        </w:rPr>
        <w:t>,</w:t>
      </w:r>
      <w:r w:rsidR="006A3E07" w:rsidRPr="00BF30EF">
        <w:rPr>
          <w:rFonts w:asciiTheme="minorHAnsi" w:hAnsiTheme="minorHAnsi"/>
          <w:color w:val="auto"/>
        </w:rPr>
        <w:t xml:space="preserve"> deaths of peers</w:t>
      </w:r>
      <w:r w:rsidR="00F65F5C">
        <w:rPr>
          <w:rFonts w:asciiTheme="minorHAnsi" w:hAnsiTheme="minorHAnsi"/>
          <w:color w:val="auto"/>
        </w:rPr>
        <w:t>,</w:t>
      </w:r>
      <w:r w:rsidR="006A3E07" w:rsidRPr="00BF30EF">
        <w:rPr>
          <w:rFonts w:asciiTheme="minorHAnsi" w:hAnsiTheme="minorHAnsi"/>
          <w:color w:val="auto"/>
        </w:rPr>
        <w:t xml:space="preserve"> </w:t>
      </w:r>
      <w:r w:rsidR="00343B55" w:rsidRPr="00BF30EF">
        <w:rPr>
          <w:rFonts w:asciiTheme="minorHAnsi" w:hAnsiTheme="minorHAnsi"/>
          <w:color w:val="auto"/>
        </w:rPr>
        <w:t xml:space="preserve">and some </w:t>
      </w:r>
      <w:r w:rsidR="006A3E07" w:rsidRPr="00BF30EF">
        <w:rPr>
          <w:rFonts w:asciiTheme="minorHAnsi" w:hAnsiTheme="minorHAnsi"/>
          <w:color w:val="auto"/>
        </w:rPr>
        <w:t>PTSD symptoms</w:t>
      </w:r>
      <w:r w:rsidR="00F65F5C">
        <w:rPr>
          <w:rFonts w:asciiTheme="minorHAnsi" w:hAnsiTheme="minorHAnsi"/>
          <w:color w:val="auto"/>
        </w:rPr>
        <w:t>.  A PTSD checklist-m</w:t>
      </w:r>
      <w:r w:rsidR="00343B55" w:rsidRPr="00BF30EF">
        <w:rPr>
          <w:rFonts w:asciiTheme="minorHAnsi" w:hAnsiTheme="minorHAnsi"/>
          <w:color w:val="auto"/>
        </w:rPr>
        <w:t>ilitary (</w:t>
      </w:r>
      <w:r w:rsidR="00762060" w:rsidRPr="00BF30EF">
        <w:rPr>
          <w:rFonts w:asciiTheme="minorHAnsi" w:hAnsiTheme="minorHAnsi"/>
          <w:color w:val="auto"/>
          <w:szCs w:val="24"/>
        </w:rPr>
        <w:t>PCLM</w:t>
      </w:r>
      <w:r w:rsidR="00343B55" w:rsidRPr="00BF30EF">
        <w:rPr>
          <w:rFonts w:asciiTheme="minorHAnsi" w:hAnsiTheme="minorHAnsi"/>
          <w:color w:val="auto"/>
          <w:szCs w:val="24"/>
        </w:rPr>
        <w:t>)</w:t>
      </w:r>
      <w:r w:rsidR="00762060" w:rsidRPr="00BF30EF">
        <w:rPr>
          <w:rFonts w:asciiTheme="minorHAnsi" w:hAnsiTheme="minorHAnsi"/>
          <w:color w:val="auto"/>
          <w:szCs w:val="24"/>
        </w:rPr>
        <w:t xml:space="preserve"> </w:t>
      </w:r>
      <w:r w:rsidRPr="00BF30EF">
        <w:rPr>
          <w:rFonts w:asciiTheme="minorHAnsi" w:hAnsiTheme="minorHAnsi"/>
          <w:color w:val="auto"/>
          <w:szCs w:val="24"/>
        </w:rPr>
        <w:t>in the very high range (</w:t>
      </w:r>
      <w:r w:rsidR="00762060" w:rsidRPr="00BF30EF">
        <w:rPr>
          <w:rFonts w:asciiTheme="minorHAnsi" w:hAnsiTheme="minorHAnsi"/>
          <w:color w:val="auto"/>
          <w:szCs w:val="24"/>
        </w:rPr>
        <w:t>74</w:t>
      </w:r>
      <w:r w:rsidRPr="00BF30EF">
        <w:rPr>
          <w:rFonts w:asciiTheme="minorHAnsi" w:hAnsiTheme="minorHAnsi"/>
          <w:color w:val="auto"/>
          <w:szCs w:val="24"/>
        </w:rPr>
        <w:t>)</w:t>
      </w:r>
      <w:r w:rsidR="00762060" w:rsidRPr="00BF30EF">
        <w:rPr>
          <w:rFonts w:asciiTheme="minorHAnsi" w:hAnsiTheme="minorHAnsi"/>
          <w:color w:val="auto"/>
          <w:szCs w:val="24"/>
        </w:rPr>
        <w:t xml:space="preserve">, history of traumatic stressful combat exposure, history of sleep difficulties, </w:t>
      </w:r>
      <w:r w:rsidR="002E0061" w:rsidRPr="00BF30EF">
        <w:rPr>
          <w:rFonts w:asciiTheme="minorHAnsi" w:hAnsiTheme="minorHAnsi"/>
          <w:color w:val="auto"/>
          <w:szCs w:val="24"/>
        </w:rPr>
        <w:t>hyper vigilance</w:t>
      </w:r>
      <w:r w:rsidR="00762060" w:rsidRPr="00BF30EF">
        <w:rPr>
          <w:rFonts w:asciiTheme="minorHAnsi" w:hAnsiTheme="minorHAnsi"/>
          <w:color w:val="auto"/>
          <w:szCs w:val="24"/>
        </w:rPr>
        <w:t>, intrusive thoughts, and irritability for which he sought treatment.  The psyc</w:t>
      </w:r>
      <w:r w:rsidR="00F65F5C">
        <w:rPr>
          <w:rFonts w:asciiTheme="minorHAnsi" w:hAnsiTheme="minorHAnsi"/>
          <w:color w:val="auto"/>
          <w:szCs w:val="24"/>
        </w:rPr>
        <w:t>hiatric overall assessment was a</w:t>
      </w:r>
      <w:r w:rsidR="00762060" w:rsidRPr="00BF30EF">
        <w:rPr>
          <w:rFonts w:asciiTheme="minorHAnsi" w:hAnsiTheme="minorHAnsi"/>
          <w:color w:val="auto"/>
          <w:szCs w:val="24"/>
        </w:rPr>
        <w:t xml:space="preserve">nxiety </w:t>
      </w:r>
      <w:r w:rsidR="00F65F5C">
        <w:rPr>
          <w:rFonts w:asciiTheme="minorHAnsi" w:hAnsiTheme="minorHAnsi"/>
          <w:color w:val="auto"/>
          <w:szCs w:val="24"/>
        </w:rPr>
        <w:t>NOS</w:t>
      </w:r>
      <w:r w:rsidR="00762060" w:rsidRPr="00BF30EF">
        <w:rPr>
          <w:rFonts w:asciiTheme="minorHAnsi" w:hAnsiTheme="minorHAnsi"/>
          <w:color w:val="auto"/>
          <w:szCs w:val="24"/>
        </w:rPr>
        <w:t>, rule out PTSD</w:t>
      </w:r>
      <w:r w:rsidRPr="00BF30EF">
        <w:rPr>
          <w:rFonts w:asciiTheme="minorHAnsi" w:hAnsiTheme="minorHAnsi"/>
          <w:color w:val="auto"/>
          <w:szCs w:val="24"/>
        </w:rPr>
        <w:t>;</w:t>
      </w:r>
      <w:r w:rsidR="00762060" w:rsidRPr="00BF30EF">
        <w:rPr>
          <w:rFonts w:asciiTheme="minorHAnsi" w:hAnsiTheme="minorHAnsi"/>
          <w:color w:val="auto"/>
          <w:szCs w:val="24"/>
        </w:rPr>
        <w:t xml:space="preserve"> with</w:t>
      </w:r>
      <w:r w:rsidR="00F65F5C">
        <w:rPr>
          <w:rFonts w:asciiTheme="minorHAnsi" w:hAnsiTheme="minorHAnsi"/>
          <w:color w:val="auto"/>
          <w:szCs w:val="24"/>
        </w:rPr>
        <w:t xml:space="preserve"> adjustment d</w:t>
      </w:r>
      <w:r w:rsidR="00762060">
        <w:rPr>
          <w:rFonts w:asciiTheme="minorHAnsi" w:hAnsiTheme="minorHAnsi"/>
          <w:color w:val="auto"/>
          <w:szCs w:val="24"/>
        </w:rPr>
        <w:t>isorder</w:t>
      </w:r>
      <w:r>
        <w:rPr>
          <w:rFonts w:asciiTheme="minorHAnsi" w:hAnsiTheme="minorHAnsi"/>
          <w:color w:val="auto"/>
          <w:szCs w:val="24"/>
        </w:rPr>
        <w:t>;</w:t>
      </w:r>
      <w:r w:rsidR="00762060">
        <w:rPr>
          <w:rFonts w:asciiTheme="minorHAnsi" w:hAnsiTheme="minorHAnsi"/>
          <w:color w:val="auto"/>
          <w:szCs w:val="24"/>
        </w:rPr>
        <w:t xml:space="preserve"> and maladaptive behavior traits that could be construed as a personality disorder.</w:t>
      </w:r>
      <w:r w:rsidR="00BF30EF">
        <w:rPr>
          <w:rFonts w:asciiTheme="minorHAnsi" w:hAnsiTheme="minorHAnsi"/>
          <w:color w:val="auto"/>
          <w:szCs w:val="24"/>
        </w:rPr>
        <w:t xml:space="preserve">  </w:t>
      </w:r>
      <w:r w:rsidR="00762060">
        <w:rPr>
          <w:rFonts w:asciiTheme="minorHAnsi" w:hAnsiTheme="minorHAnsi"/>
          <w:color w:val="auto"/>
          <w:szCs w:val="24"/>
        </w:rPr>
        <w:t xml:space="preserve">There was evidence submitted with the CI’s application for treatment of fatigue, difficulty breathing and difficulty sleeping while serving in Iraq that was otherwise not mentioned in the NARSUM or the STR’s.  The overall assessment was chest wall bruising related to trauma </w:t>
      </w:r>
      <w:r>
        <w:rPr>
          <w:rFonts w:asciiTheme="minorHAnsi" w:hAnsiTheme="minorHAnsi"/>
          <w:color w:val="auto"/>
          <w:szCs w:val="24"/>
        </w:rPr>
        <w:t xml:space="preserve">(non-penetrating gun shot in chest plate) </w:t>
      </w:r>
      <w:r w:rsidR="00762060">
        <w:rPr>
          <w:rFonts w:asciiTheme="minorHAnsi" w:hAnsiTheme="minorHAnsi"/>
          <w:color w:val="auto"/>
          <w:szCs w:val="24"/>
        </w:rPr>
        <w:t>and a referral to an MD to evaluate the difficulty breathing episodes.  This referral was not in evidence for review.</w:t>
      </w:r>
    </w:p>
    <w:p w:rsidR="00284996" w:rsidRDefault="00284996" w:rsidP="00856F1C">
      <w:pPr>
        <w:spacing w:line="240" w:lineRule="exact"/>
        <w:jc w:val="both"/>
        <w:rPr>
          <w:rFonts w:asciiTheme="minorHAnsi" w:hAnsiTheme="minorHAnsi"/>
          <w:color w:val="auto"/>
          <w:szCs w:val="24"/>
        </w:rPr>
      </w:pPr>
    </w:p>
    <w:p w:rsidR="002E64DA" w:rsidRDefault="00284996" w:rsidP="00856F1C">
      <w:pPr>
        <w:spacing w:line="240" w:lineRule="exact"/>
        <w:jc w:val="both"/>
        <w:rPr>
          <w:rFonts w:asciiTheme="minorHAnsi" w:hAnsiTheme="minorHAnsi"/>
          <w:color w:val="auto"/>
          <w:szCs w:val="24"/>
        </w:rPr>
      </w:pPr>
      <w:r>
        <w:rPr>
          <w:rFonts w:asciiTheme="minorHAnsi" w:hAnsiTheme="minorHAnsi"/>
          <w:color w:val="auto"/>
          <w:szCs w:val="24"/>
        </w:rPr>
        <w:lastRenderedPageBreak/>
        <w:t xml:space="preserve">There were two commander’s comments one month apart.  </w:t>
      </w:r>
      <w:r w:rsidRPr="00BF30EF">
        <w:rPr>
          <w:rFonts w:asciiTheme="minorHAnsi" w:hAnsiTheme="minorHAnsi"/>
          <w:color w:val="auto"/>
          <w:szCs w:val="24"/>
        </w:rPr>
        <w:t>The first statement befor</w:t>
      </w:r>
      <w:r w:rsidR="00BF30EF" w:rsidRPr="00BF30EF">
        <w:rPr>
          <w:rFonts w:asciiTheme="minorHAnsi" w:hAnsiTheme="minorHAnsi"/>
          <w:color w:val="auto"/>
          <w:szCs w:val="24"/>
        </w:rPr>
        <w:t>e</w:t>
      </w:r>
      <w:r w:rsidRPr="00BF30EF">
        <w:rPr>
          <w:rFonts w:asciiTheme="minorHAnsi" w:hAnsiTheme="minorHAnsi"/>
          <w:color w:val="auto"/>
          <w:szCs w:val="24"/>
        </w:rPr>
        <w:t xml:space="preserve"> the permanent profile indicated </w:t>
      </w:r>
      <w:r w:rsidRPr="00BF30EF">
        <w:rPr>
          <w:rFonts w:asciiTheme="minorHAnsi" w:hAnsiTheme="minorHAnsi"/>
          <w:color w:val="auto"/>
        </w:rPr>
        <w:t xml:space="preserve">the CI maintained the ability to perform within his MOS and met physical fitness standards; </w:t>
      </w:r>
      <w:r w:rsidR="00CB3BBD" w:rsidRPr="00BF30EF">
        <w:rPr>
          <w:rFonts w:asciiTheme="minorHAnsi" w:hAnsiTheme="minorHAnsi"/>
          <w:color w:val="auto"/>
        </w:rPr>
        <w:t>(</w:t>
      </w:r>
      <w:r w:rsidRPr="00BF30EF">
        <w:rPr>
          <w:rFonts w:asciiTheme="minorHAnsi" w:hAnsiTheme="minorHAnsi"/>
          <w:color w:val="auto"/>
        </w:rPr>
        <w:t>the CI</w:t>
      </w:r>
      <w:r w:rsidR="00CB3BBD" w:rsidRPr="00BF30EF">
        <w:rPr>
          <w:rFonts w:asciiTheme="minorHAnsi" w:hAnsiTheme="minorHAnsi"/>
          <w:color w:val="auto"/>
        </w:rPr>
        <w:t>’s)</w:t>
      </w:r>
      <w:r w:rsidRPr="00BF30EF">
        <w:rPr>
          <w:rFonts w:asciiTheme="minorHAnsi" w:hAnsiTheme="minorHAnsi"/>
          <w:color w:val="auto"/>
        </w:rPr>
        <w:t xml:space="preserve"> performances continued to be acceptable and he believed that the CI was able to perform his MOS duties and responsibilities as a 19K (Tanker); however, </w:t>
      </w:r>
      <w:r w:rsidR="00CB3BBD" w:rsidRPr="00BF30EF">
        <w:rPr>
          <w:rFonts w:asciiTheme="minorHAnsi" w:hAnsiTheme="minorHAnsi"/>
          <w:color w:val="auto"/>
        </w:rPr>
        <w:t>the c</w:t>
      </w:r>
      <w:r w:rsidRPr="00BF30EF">
        <w:rPr>
          <w:rFonts w:asciiTheme="minorHAnsi" w:hAnsiTheme="minorHAnsi"/>
          <w:color w:val="auto"/>
        </w:rPr>
        <w:t xml:space="preserve">ommander recommended that the CI should be evaluated and separated from the Army, since </w:t>
      </w:r>
      <w:r w:rsidR="00CB3BBD" w:rsidRPr="00BF30EF">
        <w:rPr>
          <w:rFonts w:asciiTheme="minorHAnsi" w:hAnsiTheme="minorHAnsi"/>
          <w:color w:val="auto"/>
        </w:rPr>
        <w:t>“T</w:t>
      </w:r>
      <w:r w:rsidRPr="00BF30EF">
        <w:rPr>
          <w:rFonts w:asciiTheme="minorHAnsi" w:hAnsiTheme="minorHAnsi"/>
          <w:color w:val="auto"/>
        </w:rPr>
        <w:t>he unpredictability and decisions this Soldier ha</w:t>
      </w:r>
      <w:r w:rsidR="00CB3BBD" w:rsidRPr="00BF30EF">
        <w:rPr>
          <w:rFonts w:asciiTheme="minorHAnsi" w:hAnsiTheme="minorHAnsi"/>
          <w:color w:val="auto"/>
        </w:rPr>
        <w:t>s</w:t>
      </w:r>
      <w:r w:rsidRPr="00BF30EF">
        <w:rPr>
          <w:rFonts w:asciiTheme="minorHAnsi" w:hAnsiTheme="minorHAnsi"/>
          <w:color w:val="auto"/>
        </w:rPr>
        <w:t xml:space="preserve"> demonstrated could very likely put the lives of his fellow Soldiers at risk in a combat environment.</w:t>
      </w:r>
      <w:r w:rsidR="00CB3BBD" w:rsidRPr="00BF30EF">
        <w:rPr>
          <w:rFonts w:asciiTheme="minorHAnsi" w:hAnsiTheme="minorHAnsi"/>
          <w:color w:val="auto"/>
        </w:rPr>
        <w:t>”  Following the permanent S3 profile, the commander stated</w:t>
      </w:r>
      <w:r w:rsidRPr="00BF30EF">
        <w:rPr>
          <w:rFonts w:asciiTheme="minorHAnsi" w:hAnsiTheme="minorHAnsi"/>
          <w:color w:val="auto"/>
          <w:szCs w:val="24"/>
        </w:rPr>
        <w:t xml:space="preserve"> “I do not necessarily agree with the permanent profile of anxiety and PTSD because of the Soldiers recent re-enlistment and lack of prior problems.”</w:t>
      </w:r>
      <w:r>
        <w:rPr>
          <w:rFonts w:asciiTheme="minorHAnsi" w:hAnsiTheme="minorHAnsi"/>
          <w:color w:val="auto"/>
          <w:szCs w:val="24"/>
        </w:rPr>
        <w:t xml:space="preserve">  </w:t>
      </w:r>
    </w:p>
    <w:p w:rsidR="00284996" w:rsidRDefault="00284996" w:rsidP="00856F1C">
      <w:pPr>
        <w:spacing w:line="240" w:lineRule="exact"/>
        <w:jc w:val="both"/>
        <w:rPr>
          <w:rFonts w:asciiTheme="minorHAnsi" w:hAnsiTheme="minorHAnsi"/>
          <w:color w:val="auto"/>
          <w:szCs w:val="24"/>
        </w:rPr>
      </w:pPr>
    </w:p>
    <w:p w:rsidR="00CB3BBD" w:rsidRPr="00AB6111" w:rsidRDefault="00CB3BBD" w:rsidP="00856F1C">
      <w:pPr>
        <w:spacing w:line="240" w:lineRule="exact"/>
        <w:jc w:val="both"/>
        <w:rPr>
          <w:rFonts w:asciiTheme="minorHAnsi" w:hAnsiTheme="minorHAnsi"/>
          <w:color w:val="auto"/>
          <w:szCs w:val="24"/>
        </w:rPr>
      </w:pPr>
      <w:r>
        <w:rPr>
          <w:rFonts w:asciiTheme="minorHAnsi" w:hAnsiTheme="minorHAnsi"/>
          <w:color w:val="auto"/>
          <w:szCs w:val="24"/>
        </w:rPr>
        <w:t xml:space="preserve">The CI failed to show for his initial </w:t>
      </w:r>
      <w:r w:rsidR="007B5B9A">
        <w:rPr>
          <w:rFonts w:asciiTheme="minorHAnsi" w:hAnsiTheme="minorHAnsi"/>
          <w:color w:val="auto"/>
          <w:szCs w:val="24"/>
        </w:rPr>
        <w:t>Department of Veterans’ Affairs (</w:t>
      </w:r>
      <w:r>
        <w:rPr>
          <w:rFonts w:asciiTheme="minorHAnsi" w:hAnsiTheme="minorHAnsi"/>
          <w:color w:val="auto"/>
          <w:szCs w:val="24"/>
        </w:rPr>
        <w:t>VA</w:t>
      </w:r>
      <w:r w:rsidR="007B5B9A">
        <w:rPr>
          <w:rFonts w:asciiTheme="minorHAnsi" w:hAnsiTheme="minorHAnsi"/>
          <w:color w:val="auto"/>
          <w:szCs w:val="24"/>
        </w:rPr>
        <w:t>)</w:t>
      </w:r>
      <w:r>
        <w:rPr>
          <w:rFonts w:asciiTheme="minorHAnsi" w:hAnsiTheme="minorHAnsi"/>
          <w:color w:val="auto"/>
          <w:szCs w:val="24"/>
        </w:rPr>
        <w:t xml:space="preserve"> mental health exam and the first VA </w:t>
      </w:r>
      <w:r w:rsidR="007B5B9A">
        <w:rPr>
          <w:rFonts w:asciiTheme="minorHAnsi" w:hAnsiTheme="minorHAnsi"/>
          <w:color w:val="auto"/>
          <w:szCs w:val="24"/>
        </w:rPr>
        <w:t>compensation and pension (</w:t>
      </w:r>
      <w:r>
        <w:rPr>
          <w:rFonts w:asciiTheme="minorHAnsi" w:hAnsiTheme="minorHAnsi"/>
          <w:color w:val="auto"/>
          <w:szCs w:val="24"/>
        </w:rPr>
        <w:t>C&amp;P</w:t>
      </w:r>
      <w:r w:rsidR="007B5B9A">
        <w:rPr>
          <w:rFonts w:asciiTheme="minorHAnsi" w:hAnsiTheme="minorHAnsi"/>
          <w:color w:val="auto"/>
          <w:szCs w:val="24"/>
        </w:rPr>
        <w:t>)</w:t>
      </w:r>
      <w:r>
        <w:rPr>
          <w:rFonts w:asciiTheme="minorHAnsi" w:hAnsiTheme="minorHAnsi"/>
          <w:color w:val="auto"/>
          <w:szCs w:val="24"/>
        </w:rPr>
        <w:t xml:space="preserve"> mental health C&amp;P exam was six months post-separation</w:t>
      </w:r>
      <w:r w:rsidR="00BF30EF">
        <w:rPr>
          <w:rFonts w:asciiTheme="minorHAnsi" w:hAnsiTheme="minorHAnsi"/>
          <w:color w:val="auto"/>
          <w:szCs w:val="24"/>
        </w:rPr>
        <w:t>.</w:t>
      </w:r>
      <w:r>
        <w:rPr>
          <w:color w:val="auto"/>
          <w:sz w:val="18"/>
          <w:szCs w:val="18"/>
        </w:rPr>
        <w:t xml:space="preserve">  </w:t>
      </w:r>
      <w:r>
        <w:rPr>
          <w:rFonts w:asciiTheme="minorHAnsi" w:hAnsiTheme="minorHAnsi"/>
          <w:color w:val="auto"/>
          <w:szCs w:val="24"/>
        </w:rPr>
        <w:t xml:space="preserve">That exam noted that the CI was not taking medications due to side-effects, </w:t>
      </w:r>
      <w:r w:rsidR="009B2D79">
        <w:rPr>
          <w:rFonts w:asciiTheme="minorHAnsi" w:hAnsiTheme="minorHAnsi"/>
          <w:color w:val="auto"/>
          <w:szCs w:val="24"/>
        </w:rPr>
        <w:t xml:space="preserve">and endorsed slight post-separation worsening of symptoms.  The CI </w:t>
      </w:r>
      <w:r>
        <w:rPr>
          <w:rFonts w:asciiTheme="minorHAnsi" w:hAnsiTheme="minorHAnsi"/>
          <w:color w:val="auto"/>
          <w:szCs w:val="24"/>
        </w:rPr>
        <w:t xml:space="preserve">was unemployed and at home taking care of his daughter.  </w:t>
      </w:r>
      <w:r w:rsidR="001D0E95">
        <w:rPr>
          <w:rFonts w:asciiTheme="minorHAnsi" w:hAnsiTheme="minorHAnsi"/>
          <w:color w:val="auto"/>
          <w:szCs w:val="24"/>
        </w:rPr>
        <w:t>The CI endorsed symptoms of poor sleep, nightmares, recurrent battlefield images, avoidance</w:t>
      </w:r>
      <w:r w:rsidR="009B2D79">
        <w:rPr>
          <w:rFonts w:asciiTheme="minorHAnsi" w:hAnsiTheme="minorHAnsi"/>
          <w:color w:val="auto"/>
          <w:szCs w:val="24"/>
        </w:rPr>
        <w:t xml:space="preserve"> of people</w:t>
      </w:r>
      <w:r w:rsidR="001D0E95">
        <w:rPr>
          <w:rFonts w:asciiTheme="minorHAnsi" w:hAnsiTheme="minorHAnsi"/>
          <w:color w:val="auto"/>
          <w:szCs w:val="24"/>
        </w:rPr>
        <w:t xml:space="preserve">, </w:t>
      </w:r>
      <w:r w:rsidR="009B2D79">
        <w:rPr>
          <w:rFonts w:asciiTheme="minorHAnsi" w:hAnsiTheme="minorHAnsi"/>
          <w:color w:val="auto"/>
          <w:szCs w:val="24"/>
        </w:rPr>
        <w:t>and “</w:t>
      </w:r>
      <w:r w:rsidR="009B2D79" w:rsidRPr="00DB368B">
        <w:rPr>
          <w:rFonts w:asciiTheme="minorHAnsi" w:hAnsiTheme="minorHAnsi"/>
          <w:color w:val="auto"/>
          <w:szCs w:val="24"/>
        </w:rPr>
        <w:t>disassociation where he experiences out of body experiences sometimes</w:t>
      </w:r>
      <w:r w:rsidR="009B2D79">
        <w:rPr>
          <w:rFonts w:asciiTheme="minorHAnsi" w:hAnsiTheme="minorHAnsi"/>
          <w:color w:val="auto"/>
          <w:szCs w:val="24"/>
        </w:rPr>
        <w:t xml:space="preserve">”, panic attacks on occasion, </w:t>
      </w:r>
      <w:proofErr w:type="spellStart"/>
      <w:r w:rsidR="009B2D79" w:rsidRPr="00DB368B">
        <w:rPr>
          <w:rFonts w:asciiTheme="minorHAnsi" w:hAnsiTheme="minorHAnsi"/>
          <w:color w:val="auto"/>
          <w:szCs w:val="24"/>
        </w:rPr>
        <w:t>hypervigilance</w:t>
      </w:r>
      <w:proofErr w:type="spellEnd"/>
      <w:r w:rsidR="009B2D79" w:rsidRPr="00DB368B">
        <w:rPr>
          <w:rFonts w:asciiTheme="minorHAnsi" w:hAnsiTheme="minorHAnsi"/>
          <w:color w:val="auto"/>
          <w:szCs w:val="24"/>
        </w:rPr>
        <w:t xml:space="preserve"> and hyper startle response</w:t>
      </w:r>
      <w:r w:rsidR="009B2D79">
        <w:rPr>
          <w:rFonts w:asciiTheme="minorHAnsi" w:hAnsiTheme="minorHAnsi"/>
          <w:color w:val="auto"/>
          <w:szCs w:val="24"/>
        </w:rPr>
        <w:t xml:space="preserve">.  </w:t>
      </w:r>
      <w:r>
        <w:rPr>
          <w:rFonts w:asciiTheme="minorHAnsi" w:hAnsiTheme="minorHAnsi"/>
          <w:color w:val="auto"/>
          <w:szCs w:val="24"/>
        </w:rPr>
        <w:t>The MSE demonstrated an affect ranging from tearfulness to frustration to anger.  Speech ranged from pressured to soft depending on what he was discussing.  Thought process was linear</w:t>
      </w:r>
      <w:r w:rsidR="001D0E95">
        <w:rPr>
          <w:rFonts w:asciiTheme="minorHAnsi" w:hAnsiTheme="minorHAnsi"/>
          <w:color w:val="auto"/>
          <w:szCs w:val="24"/>
        </w:rPr>
        <w:t>,</w:t>
      </w:r>
      <w:r>
        <w:rPr>
          <w:rFonts w:asciiTheme="minorHAnsi" w:hAnsiTheme="minorHAnsi"/>
          <w:color w:val="auto"/>
          <w:szCs w:val="24"/>
        </w:rPr>
        <w:t xml:space="preserve"> but with some difficulty</w:t>
      </w:r>
      <w:r w:rsidR="001D0E95">
        <w:rPr>
          <w:rFonts w:asciiTheme="minorHAnsi" w:hAnsiTheme="minorHAnsi"/>
          <w:color w:val="auto"/>
          <w:szCs w:val="24"/>
        </w:rPr>
        <w:t xml:space="preserve">.  </w:t>
      </w:r>
      <w:r>
        <w:rPr>
          <w:rFonts w:asciiTheme="minorHAnsi" w:hAnsiTheme="minorHAnsi"/>
          <w:color w:val="auto"/>
          <w:szCs w:val="24"/>
        </w:rPr>
        <w:t>There was</w:t>
      </w:r>
      <w:r w:rsidRPr="00DB368B">
        <w:rPr>
          <w:rFonts w:asciiTheme="minorHAnsi" w:hAnsiTheme="minorHAnsi"/>
          <w:color w:val="auto"/>
          <w:szCs w:val="24"/>
        </w:rPr>
        <w:t xml:space="preserve"> no indication of psychosis with </w:t>
      </w:r>
      <w:proofErr w:type="gramStart"/>
      <w:r w:rsidRPr="00DB368B">
        <w:rPr>
          <w:rFonts w:asciiTheme="minorHAnsi" w:hAnsiTheme="minorHAnsi"/>
          <w:color w:val="auto"/>
          <w:szCs w:val="24"/>
        </w:rPr>
        <w:t>no</w:t>
      </w:r>
      <w:proofErr w:type="gramEnd"/>
      <w:r w:rsidRPr="00DB368B">
        <w:rPr>
          <w:rFonts w:asciiTheme="minorHAnsi" w:hAnsiTheme="minorHAnsi"/>
          <w:color w:val="auto"/>
          <w:szCs w:val="24"/>
        </w:rPr>
        <w:t xml:space="preserve"> reported auditory or visual hallucinations</w:t>
      </w:r>
      <w:r>
        <w:rPr>
          <w:rFonts w:asciiTheme="minorHAnsi" w:hAnsiTheme="minorHAnsi"/>
          <w:color w:val="auto"/>
          <w:szCs w:val="24"/>
        </w:rPr>
        <w:t xml:space="preserve">. </w:t>
      </w:r>
      <w:r w:rsidR="009B2D79">
        <w:rPr>
          <w:rFonts w:asciiTheme="minorHAnsi" w:hAnsiTheme="minorHAnsi"/>
          <w:color w:val="auto"/>
          <w:szCs w:val="24"/>
        </w:rPr>
        <w:t xml:space="preserve"> </w:t>
      </w:r>
      <w:r>
        <w:rPr>
          <w:rFonts w:asciiTheme="minorHAnsi" w:hAnsiTheme="minorHAnsi"/>
          <w:color w:val="auto"/>
          <w:szCs w:val="24"/>
        </w:rPr>
        <w:t>He had</w:t>
      </w:r>
      <w:r w:rsidRPr="00DB368B">
        <w:rPr>
          <w:rFonts w:asciiTheme="minorHAnsi" w:hAnsiTheme="minorHAnsi"/>
          <w:color w:val="auto"/>
          <w:szCs w:val="24"/>
        </w:rPr>
        <w:t xml:space="preserve"> some passive thoughts of suicidal</w:t>
      </w:r>
      <w:r>
        <w:rPr>
          <w:rFonts w:asciiTheme="minorHAnsi" w:hAnsiTheme="minorHAnsi"/>
          <w:color w:val="auto"/>
          <w:szCs w:val="24"/>
        </w:rPr>
        <w:t xml:space="preserve"> but no plan.</w:t>
      </w:r>
      <w:r w:rsidRPr="00DB368B">
        <w:rPr>
          <w:rFonts w:asciiTheme="minorHAnsi" w:eastAsiaTheme="minorHAnsi" w:hAnsiTheme="minorHAnsi" w:cstheme="minorHAnsi"/>
          <w:color w:val="auto"/>
          <w:szCs w:val="24"/>
        </w:rPr>
        <w:t xml:space="preserve"> </w:t>
      </w:r>
      <w:r w:rsidR="001D0E95">
        <w:rPr>
          <w:rFonts w:asciiTheme="minorHAnsi" w:eastAsiaTheme="minorHAnsi" w:hAnsiTheme="minorHAnsi" w:cstheme="minorHAnsi"/>
          <w:color w:val="auto"/>
          <w:szCs w:val="24"/>
        </w:rPr>
        <w:t xml:space="preserve"> </w:t>
      </w:r>
      <w:r w:rsidR="009B2D79">
        <w:rPr>
          <w:rFonts w:asciiTheme="minorHAnsi" w:eastAsiaTheme="minorHAnsi" w:hAnsiTheme="minorHAnsi" w:cstheme="minorHAnsi"/>
          <w:color w:val="auto"/>
          <w:szCs w:val="24"/>
        </w:rPr>
        <w:t xml:space="preserve">The examiner stated that the diagnosis was PTSD and that there was no evidence of personality disorder.  </w:t>
      </w:r>
      <w:r>
        <w:rPr>
          <w:rFonts w:asciiTheme="minorHAnsi" w:hAnsiTheme="minorHAnsi"/>
          <w:color w:val="auto"/>
          <w:szCs w:val="24"/>
        </w:rPr>
        <w:t>The VA o</w:t>
      </w:r>
      <w:r w:rsidR="009B2D79">
        <w:rPr>
          <w:rFonts w:asciiTheme="minorHAnsi" w:hAnsiTheme="minorHAnsi"/>
          <w:color w:val="auto"/>
          <w:szCs w:val="24"/>
        </w:rPr>
        <w:t>verall assessment was</w:t>
      </w:r>
      <w:r>
        <w:rPr>
          <w:rFonts w:asciiTheme="minorHAnsi" w:hAnsiTheme="minorHAnsi"/>
          <w:color w:val="auto"/>
          <w:szCs w:val="24"/>
        </w:rPr>
        <w:t xml:space="preserve"> PTSD</w:t>
      </w:r>
      <w:r w:rsidRPr="00DB368B">
        <w:rPr>
          <w:rFonts w:asciiTheme="minorHAnsi" w:hAnsiTheme="minorHAnsi"/>
          <w:color w:val="auto"/>
          <w:szCs w:val="24"/>
        </w:rPr>
        <w:t xml:space="preserve"> Chronic moderate</w:t>
      </w:r>
      <w:r>
        <w:rPr>
          <w:rFonts w:asciiTheme="minorHAnsi" w:hAnsiTheme="minorHAnsi"/>
          <w:color w:val="auto"/>
          <w:szCs w:val="24"/>
        </w:rPr>
        <w:t xml:space="preserve"> with a </w:t>
      </w:r>
      <w:r w:rsidRPr="00DB368B">
        <w:rPr>
          <w:rFonts w:asciiTheme="minorHAnsi" w:hAnsiTheme="minorHAnsi"/>
          <w:color w:val="auto"/>
          <w:szCs w:val="24"/>
        </w:rPr>
        <w:t>GAF</w:t>
      </w:r>
      <w:r>
        <w:rPr>
          <w:rFonts w:asciiTheme="minorHAnsi" w:hAnsiTheme="minorHAnsi"/>
          <w:color w:val="auto"/>
          <w:szCs w:val="24"/>
        </w:rPr>
        <w:t xml:space="preserve"> </w:t>
      </w:r>
      <w:r w:rsidR="009B2D79">
        <w:rPr>
          <w:rFonts w:asciiTheme="minorHAnsi" w:hAnsiTheme="minorHAnsi"/>
          <w:color w:val="auto"/>
          <w:szCs w:val="24"/>
        </w:rPr>
        <w:t>at the bottom of the moderate symptom range (GAF =</w:t>
      </w:r>
      <w:r>
        <w:rPr>
          <w:rFonts w:asciiTheme="minorHAnsi" w:hAnsiTheme="minorHAnsi"/>
          <w:color w:val="auto"/>
          <w:szCs w:val="24"/>
        </w:rPr>
        <w:t xml:space="preserve"> </w:t>
      </w:r>
      <w:r w:rsidRPr="00AB6111">
        <w:rPr>
          <w:rFonts w:asciiTheme="minorHAnsi" w:hAnsiTheme="minorHAnsi"/>
          <w:color w:val="auto"/>
          <w:szCs w:val="24"/>
        </w:rPr>
        <w:t>51</w:t>
      </w:r>
      <w:r w:rsidR="009B2D79" w:rsidRPr="00AB6111">
        <w:rPr>
          <w:rFonts w:asciiTheme="minorHAnsi" w:hAnsiTheme="minorHAnsi"/>
          <w:color w:val="auto"/>
          <w:szCs w:val="24"/>
        </w:rPr>
        <w:t>; MEB GAF = 55)</w:t>
      </w:r>
      <w:r w:rsidRPr="00AB6111">
        <w:rPr>
          <w:rFonts w:asciiTheme="minorHAnsi" w:hAnsiTheme="minorHAnsi"/>
          <w:color w:val="auto"/>
          <w:szCs w:val="24"/>
        </w:rPr>
        <w:t>.</w:t>
      </w:r>
    </w:p>
    <w:p w:rsidR="002E0061" w:rsidRPr="00AB6111" w:rsidRDefault="002E0061" w:rsidP="00FB0742">
      <w:pPr>
        <w:spacing w:line="240" w:lineRule="exact"/>
        <w:rPr>
          <w:rFonts w:asciiTheme="minorHAnsi" w:hAnsiTheme="minorHAnsi"/>
          <w:color w:val="auto"/>
          <w:szCs w:val="24"/>
        </w:rPr>
      </w:pPr>
    </w:p>
    <w:p w:rsidR="00AB6111" w:rsidRDefault="002E0061" w:rsidP="00AA4E88">
      <w:pPr>
        <w:spacing w:line="240" w:lineRule="exact"/>
        <w:jc w:val="both"/>
        <w:rPr>
          <w:rFonts w:asciiTheme="minorHAnsi" w:hAnsiTheme="minorHAnsi"/>
          <w:color w:val="auto"/>
          <w:szCs w:val="24"/>
        </w:rPr>
      </w:pPr>
      <w:r w:rsidRPr="00AB6111">
        <w:rPr>
          <w:color w:val="auto"/>
          <w:szCs w:val="24"/>
        </w:rPr>
        <w:t xml:space="preserve">The Board directs its attention to its rating recommendations based on the evidence just described.  </w:t>
      </w:r>
      <w:r w:rsidR="00AB6111" w:rsidRPr="00AB6111">
        <w:rPr>
          <w:rFonts w:asciiTheme="minorHAnsi" w:hAnsiTheme="minorHAnsi"/>
          <w:color w:val="auto"/>
          <w:szCs w:val="24"/>
        </w:rPr>
        <w:t>There was in-service</w:t>
      </w:r>
      <w:r w:rsidR="00AB6111">
        <w:rPr>
          <w:rFonts w:asciiTheme="minorHAnsi" w:hAnsiTheme="minorHAnsi"/>
          <w:color w:val="auto"/>
          <w:szCs w:val="24"/>
        </w:rPr>
        <w:t xml:space="preserve"> diagnosis of PTSD during extended (civilian) hospitalization and the VA made the diagnosis of PTSD six months post-separation; however, there was not medical certainty of any clear error in PEB diagnosis and all mental health diagnoses are rated IAW the same criteria of VASRD </w:t>
      </w:r>
      <w:r w:rsidR="00AB6111" w:rsidRPr="000F2AE5">
        <w:rPr>
          <w:rFonts w:asciiTheme="minorHAnsi" w:hAnsiTheme="minorHAnsi"/>
          <w:color w:val="auto"/>
          <w:szCs w:val="24"/>
        </w:rPr>
        <w:t>§4.1</w:t>
      </w:r>
      <w:r w:rsidR="00AB6111">
        <w:rPr>
          <w:rFonts w:asciiTheme="minorHAnsi" w:hAnsiTheme="minorHAnsi"/>
          <w:color w:val="auto"/>
          <w:szCs w:val="24"/>
        </w:rPr>
        <w:t>30.  The Board adjudged that t</w:t>
      </w:r>
      <w:r>
        <w:rPr>
          <w:color w:val="auto"/>
          <w:szCs w:val="24"/>
        </w:rPr>
        <w:t xml:space="preserve">he </w:t>
      </w:r>
      <w:r w:rsidR="007B5B9A">
        <w:rPr>
          <w:color w:val="auto"/>
          <w:szCs w:val="24"/>
        </w:rPr>
        <w:t>PEB diagnosis of a</w:t>
      </w:r>
      <w:r w:rsidRPr="00BF30EF">
        <w:rPr>
          <w:color w:val="auto"/>
          <w:szCs w:val="24"/>
        </w:rPr>
        <w:t xml:space="preserve">nxiety disorder </w:t>
      </w:r>
      <w:r w:rsidR="00AB6111" w:rsidRPr="00BF30EF">
        <w:rPr>
          <w:color w:val="auto"/>
          <w:szCs w:val="24"/>
        </w:rPr>
        <w:t>and coding using 9413 was considered administratively final</w:t>
      </w:r>
      <w:r w:rsidR="00AA4E88">
        <w:rPr>
          <w:color w:val="auto"/>
          <w:szCs w:val="24"/>
        </w:rPr>
        <w:t>.</w:t>
      </w:r>
      <w:r w:rsidR="00AB6111">
        <w:rPr>
          <w:color w:val="auto"/>
          <w:szCs w:val="24"/>
        </w:rPr>
        <w:t xml:space="preserve"> </w:t>
      </w:r>
      <w:r w:rsidR="00AA4E88">
        <w:rPr>
          <w:color w:val="auto"/>
          <w:szCs w:val="24"/>
        </w:rPr>
        <w:t xml:space="preserve"> T</w:t>
      </w:r>
      <w:r w:rsidR="00AB6111">
        <w:rPr>
          <w:color w:val="auto"/>
          <w:szCs w:val="24"/>
        </w:rPr>
        <w:t xml:space="preserve">he Board considered only the applicability of VASRD </w:t>
      </w:r>
      <w:r w:rsidR="00AB6111" w:rsidRPr="000F2AE5">
        <w:rPr>
          <w:rFonts w:asciiTheme="minorHAnsi" w:hAnsiTheme="minorHAnsi"/>
          <w:color w:val="auto"/>
          <w:szCs w:val="24"/>
        </w:rPr>
        <w:t>§4.129</w:t>
      </w:r>
      <w:r w:rsidR="00AB6111">
        <w:rPr>
          <w:rFonts w:asciiTheme="minorHAnsi" w:hAnsiTheme="minorHAnsi"/>
          <w:color w:val="auto"/>
          <w:szCs w:val="24"/>
        </w:rPr>
        <w:t xml:space="preserve"> and the appropriate disability rating under VASRD </w:t>
      </w:r>
      <w:r w:rsidR="00AB6111" w:rsidRPr="000F2AE5">
        <w:rPr>
          <w:rFonts w:asciiTheme="minorHAnsi" w:hAnsiTheme="minorHAnsi"/>
          <w:color w:val="auto"/>
          <w:szCs w:val="24"/>
        </w:rPr>
        <w:t>§4.1</w:t>
      </w:r>
      <w:r w:rsidR="00AB6111">
        <w:rPr>
          <w:rFonts w:asciiTheme="minorHAnsi" w:hAnsiTheme="minorHAnsi"/>
          <w:color w:val="auto"/>
          <w:szCs w:val="24"/>
        </w:rPr>
        <w:t xml:space="preserve">30.  </w:t>
      </w:r>
    </w:p>
    <w:p w:rsidR="00AB6111" w:rsidRDefault="00AB6111" w:rsidP="00AA4E88">
      <w:pPr>
        <w:spacing w:line="240" w:lineRule="exact"/>
        <w:jc w:val="both"/>
        <w:rPr>
          <w:color w:val="auto"/>
          <w:szCs w:val="24"/>
        </w:rPr>
      </w:pPr>
    </w:p>
    <w:p w:rsidR="00D47C85" w:rsidRDefault="003B1EAB" w:rsidP="00AA4E88">
      <w:pPr>
        <w:spacing w:line="240" w:lineRule="exact"/>
        <w:jc w:val="both"/>
        <w:rPr>
          <w:rFonts w:cs="Calibri"/>
          <w:color w:val="000000"/>
          <w:sz w:val="23"/>
          <w:szCs w:val="23"/>
        </w:rPr>
      </w:pPr>
      <w:r>
        <w:rPr>
          <w:color w:val="auto"/>
          <w:szCs w:val="24"/>
        </w:rPr>
        <w:t xml:space="preserve">With regards to applicability of VASRD </w:t>
      </w:r>
      <w:r w:rsidRPr="000F2AE5">
        <w:rPr>
          <w:rFonts w:asciiTheme="minorHAnsi" w:hAnsiTheme="minorHAnsi"/>
          <w:color w:val="auto"/>
          <w:szCs w:val="24"/>
        </w:rPr>
        <w:t>§4.129</w:t>
      </w:r>
      <w:r>
        <w:rPr>
          <w:rFonts w:asciiTheme="minorHAnsi" w:hAnsiTheme="minorHAnsi"/>
          <w:color w:val="auto"/>
          <w:szCs w:val="24"/>
        </w:rPr>
        <w:t xml:space="preserve">, the Board noted that </w:t>
      </w:r>
      <w:r w:rsidR="007B5B9A">
        <w:rPr>
          <w:rFonts w:asciiTheme="minorHAnsi" w:hAnsiTheme="minorHAnsi"/>
          <w:color w:val="auto"/>
          <w:szCs w:val="24"/>
        </w:rPr>
        <w:t>the CI’s initial VA rating for a</w:t>
      </w:r>
      <w:r>
        <w:rPr>
          <w:rFonts w:asciiTheme="minorHAnsi" w:hAnsiTheme="minorHAnsi"/>
          <w:color w:val="auto"/>
          <w:szCs w:val="24"/>
        </w:rPr>
        <w:t xml:space="preserve">nxiety disorder applied </w:t>
      </w:r>
      <w:r>
        <w:rPr>
          <w:color w:val="auto"/>
          <w:szCs w:val="24"/>
        </w:rPr>
        <w:t xml:space="preserve">VASRD </w:t>
      </w:r>
      <w:r w:rsidRPr="000F2AE5">
        <w:rPr>
          <w:rFonts w:asciiTheme="minorHAnsi" w:hAnsiTheme="minorHAnsi"/>
          <w:color w:val="auto"/>
          <w:szCs w:val="24"/>
        </w:rPr>
        <w:t>§4.129</w:t>
      </w:r>
      <w:r>
        <w:rPr>
          <w:rFonts w:asciiTheme="minorHAnsi" w:hAnsiTheme="minorHAnsi"/>
          <w:color w:val="auto"/>
          <w:szCs w:val="24"/>
        </w:rPr>
        <w:t xml:space="preserve"> based on the service treatment records alone with a VA finding o</w:t>
      </w:r>
      <w:r w:rsidR="007B5B9A">
        <w:rPr>
          <w:rFonts w:asciiTheme="minorHAnsi" w:hAnsiTheme="minorHAnsi"/>
          <w:color w:val="auto"/>
          <w:szCs w:val="24"/>
        </w:rPr>
        <w:t>f NSC for the claimed PTSD and d</w:t>
      </w:r>
      <w:r>
        <w:rPr>
          <w:rFonts w:asciiTheme="minorHAnsi" w:hAnsiTheme="minorHAnsi"/>
          <w:color w:val="auto"/>
          <w:szCs w:val="24"/>
        </w:rPr>
        <w:t xml:space="preserve">epression.  </w:t>
      </w:r>
      <w:r w:rsidR="0049670B" w:rsidRPr="000F2AE5">
        <w:rPr>
          <w:rFonts w:asciiTheme="minorHAnsi" w:hAnsiTheme="minorHAnsi"/>
          <w:color w:val="auto"/>
          <w:szCs w:val="24"/>
        </w:rPr>
        <w:t>The history, symptoms, and clinical finding</w:t>
      </w:r>
      <w:r w:rsidR="0049670B">
        <w:rPr>
          <w:rFonts w:asciiTheme="minorHAnsi" w:hAnsiTheme="minorHAnsi"/>
          <w:color w:val="auto"/>
          <w:szCs w:val="24"/>
        </w:rPr>
        <w:t xml:space="preserve">s consistently described in the records </w:t>
      </w:r>
      <w:r w:rsidR="00AB6111">
        <w:rPr>
          <w:rFonts w:asciiTheme="minorHAnsi" w:hAnsiTheme="minorHAnsi"/>
          <w:color w:val="auto"/>
          <w:szCs w:val="24"/>
        </w:rPr>
        <w:t>indicated</w:t>
      </w:r>
      <w:r w:rsidR="0049670B">
        <w:rPr>
          <w:rFonts w:asciiTheme="minorHAnsi" w:hAnsiTheme="minorHAnsi"/>
          <w:color w:val="auto"/>
          <w:szCs w:val="24"/>
        </w:rPr>
        <w:t xml:space="preserve"> that the CI</w:t>
      </w:r>
      <w:r w:rsidR="0049670B" w:rsidRPr="000F2AE5">
        <w:rPr>
          <w:rFonts w:asciiTheme="minorHAnsi" w:hAnsiTheme="minorHAnsi"/>
          <w:color w:val="auto"/>
          <w:szCs w:val="24"/>
        </w:rPr>
        <w:t>’s psychiatric condition was closely linked to the stresses</w:t>
      </w:r>
      <w:r w:rsidR="0049670B">
        <w:rPr>
          <w:rFonts w:asciiTheme="minorHAnsi" w:hAnsiTheme="minorHAnsi"/>
          <w:color w:val="auto"/>
          <w:szCs w:val="24"/>
        </w:rPr>
        <w:t xml:space="preserve"> of</w:t>
      </w:r>
      <w:r w:rsidR="00610D38">
        <w:rPr>
          <w:rFonts w:asciiTheme="minorHAnsi" w:hAnsiTheme="minorHAnsi"/>
          <w:color w:val="auto"/>
          <w:szCs w:val="24"/>
        </w:rPr>
        <w:t xml:space="preserve"> combat related military duties</w:t>
      </w:r>
      <w:r>
        <w:rPr>
          <w:rFonts w:asciiTheme="minorHAnsi" w:hAnsiTheme="minorHAnsi"/>
          <w:color w:val="auto"/>
          <w:szCs w:val="24"/>
        </w:rPr>
        <w:t xml:space="preserve"> and that symptoms were exacerbated by impending deployment</w:t>
      </w:r>
      <w:r w:rsidR="00AB6111">
        <w:rPr>
          <w:rFonts w:asciiTheme="minorHAnsi" w:hAnsiTheme="minorHAnsi"/>
          <w:color w:val="auto"/>
          <w:szCs w:val="24"/>
        </w:rPr>
        <w:t xml:space="preserve">.  </w:t>
      </w:r>
      <w:r>
        <w:rPr>
          <w:rFonts w:asciiTheme="minorHAnsi" w:hAnsiTheme="minorHAnsi"/>
          <w:color w:val="auto"/>
          <w:szCs w:val="24"/>
        </w:rPr>
        <w:t xml:space="preserve">The Board deliberated at length regarding the tenor of the inpatient hospital summary, military treatment notes and VA exam in contrast to the MEB NARSUM and commander’s statements regarding reliance on the CI’s report of symptoms and stressors.  </w:t>
      </w:r>
      <w:r w:rsidRPr="00BF30EF">
        <w:rPr>
          <w:rFonts w:asciiTheme="minorHAnsi" w:hAnsiTheme="minorHAnsi"/>
          <w:color w:val="auto"/>
          <w:szCs w:val="24"/>
        </w:rPr>
        <w:t xml:space="preserve">The Board </w:t>
      </w:r>
      <w:r w:rsidR="00AA4E88">
        <w:rPr>
          <w:rFonts w:asciiTheme="minorHAnsi" w:hAnsiTheme="minorHAnsi"/>
          <w:color w:val="auto"/>
          <w:szCs w:val="24"/>
        </w:rPr>
        <w:t xml:space="preserve">majority </w:t>
      </w:r>
      <w:r w:rsidRPr="00BF30EF">
        <w:rPr>
          <w:rFonts w:asciiTheme="minorHAnsi" w:hAnsiTheme="minorHAnsi"/>
          <w:color w:val="auto"/>
          <w:szCs w:val="24"/>
        </w:rPr>
        <w:t>determined that the CI’s mental health condition met the criteria for “a mental disorder that develops in service as a result of a highly stressful event [that] is severe enough to bring about the veteran’s release from active military service” and that VASRD §4.129 was applicable.</w:t>
      </w:r>
      <w:r>
        <w:rPr>
          <w:rFonts w:asciiTheme="minorHAnsi" w:hAnsiTheme="minorHAnsi"/>
          <w:color w:val="auto"/>
          <w:szCs w:val="24"/>
        </w:rPr>
        <w:t xml:space="preserve">  </w:t>
      </w:r>
      <w:r w:rsidR="00916EEA" w:rsidRPr="00916EEA">
        <w:rPr>
          <w:rFonts w:asciiTheme="minorHAnsi" w:hAnsiTheme="minorHAnsi"/>
          <w:color w:val="auto"/>
          <w:szCs w:val="24"/>
        </w:rPr>
        <w:t xml:space="preserve">Since §4.129 is applicable in this case, then, IAW DoDI 6040.44 the Board is obligated to recommend a minimum 50% rating for a retroactive six month period on the Temporary Disability Retired List (TDRL).  The Board must then determine the most appropriate fit with VASRD 4.130 criteria at six months for its permanent rating recommendation.  </w:t>
      </w:r>
      <w:r w:rsidR="00D47C85">
        <w:rPr>
          <w:rFonts w:asciiTheme="minorHAnsi" w:hAnsiTheme="minorHAnsi"/>
          <w:color w:val="auto"/>
          <w:szCs w:val="24"/>
        </w:rPr>
        <w:t>At the time of separation the CI’s mental health condition was described by the NARSUM and addendums as interfering with duty to the point of two hours of work per day, although the commander indicate the CI could perform all duti</w:t>
      </w:r>
      <w:r w:rsidR="007B5B9A">
        <w:rPr>
          <w:rFonts w:asciiTheme="minorHAnsi" w:hAnsiTheme="minorHAnsi"/>
          <w:color w:val="auto"/>
          <w:szCs w:val="24"/>
        </w:rPr>
        <w:t xml:space="preserve">es, the CI “… does not work an eight </w:t>
      </w:r>
      <w:r w:rsidR="00D47C85">
        <w:rPr>
          <w:rFonts w:asciiTheme="minorHAnsi" w:hAnsiTheme="minorHAnsi"/>
          <w:color w:val="auto"/>
          <w:szCs w:val="24"/>
        </w:rPr>
        <w:t xml:space="preserve"> hour day.”  There was no specific apportionment of global functioning </w:t>
      </w:r>
      <w:r w:rsidR="002D69F2">
        <w:rPr>
          <w:rFonts w:asciiTheme="minorHAnsi" w:hAnsiTheme="minorHAnsi"/>
          <w:color w:val="auto"/>
          <w:szCs w:val="24"/>
        </w:rPr>
        <w:t xml:space="preserve">disability or </w:t>
      </w:r>
      <w:r w:rsidR="00D47C85">
        <w:rPr>
          <w:rFonts w:asciiTheme="minorHAnsi" w:hAnsiTheme="minorHAnsi"/>
          <w:color w:val="auto"/>
          <w:szCs w:val="24"/>
        </w:rPr>
        <w:t xml:space="preserve">impairment in any clinical exam between the Axis I diagnosis of Anxiety </w:t>
      </w:r>
      <w:r w:rsidR="002D69F2">
        <w:rPr>
          <w:rFonts w:asciiTheme="minorHAnsi" w:hAnsiTheme="minorHAnsi"/>
          <w:color w:val="auto"/>
          <w:szCs w:val="24"/>
        </w:rPr>
        <w:t>D</w:t>
      </w:r>
      <w:r w:rsidR="00D47C85">
        <w:rPr>
          <w:rFonts w:asciiTheme="minorHAnsi" w:hAnsiTheme="minorHAnsi"/>
          <w:color w:val="auto"/>
          <w:szCs w:val="24"/>
        </w:rPr>
        <w:t xml:space="preserve">isorder </w:t>
      </w:r>
      <w:r w:rsidR="002D69F2">
        <w:rPr>
          <w:rFonts w:asciiTheme="minorHAnsi" w:hAnsiTheme="minorHAnsi"/>
          <w:color w:val="auto"/>
          <w:szCs w:val="24"/>
        </w:rPr>
        <w:t xml:space="preserve">NOS, </w:t>
      </w:r>
      <w:r w:rsidR="002D69F2">
        <w:rPr>
          <w:rFonts w:asciiTheme="minorHAnsi" w:hAnsiTheme="minorHAnsi"/>
          <w:color w:val="auto"/>
          <w:szCs w:val="24"/>
        </w:rPr>
        <w:lastRenderedPageBreak/>
        <w:t xml:space="preserve">moderate </w:t>
      </w:r>
      <w:r w:rsidR="007B5B9A">
        <w:rPr>
          <w:rFonts w:asciiTheme="minorHAnsi" w:hAnsiTheme="minorHAnsi"/>
          <w:color w:val="auto"/>
          <w:szCs w:val="24"/>
        </w:rPr>
        <w:t>and the Axis II diagnosis of personality d</w:t>
      </w:r>
      <w:r w:rsidR="00D47C85">
        <w:rPr>
          <w:rFonts w:asciiTheme="minorHAnsi" w:hAnsiTheme="minorHAnsi"/>
          <w:color w:val="auto"/>
          <w:szCs w:val="24"/>
        </w:rPr>
        <w:t>isorder NOS (</w:t>
      </w:r>
      <w:r w:rsidR="007B5B9A">
        <w:rPr>
          <w:rFonts w:asciiTheme="minorHAnsi" w:hAnsiTheme="minorHAnsi"/>
          <w:color w:val="auto"/>
          <w:szCs w:val="24"/>
        </w:rPr>
        <w:t>passive aggressive, histrionic, p</w:t>
      </w:r>
      <w:r w:rsidR="00D47C85" w:rsidRPr="00D47C85">
        <w:rPr>
          <w:rFonts w:asciiTheme="minorHAnsi" w:hAnsiTheme="minorHAnsi"/>
          <w:color w:val="auto"/>
          <w:szCs w:val="24"/>
        </w:rPr>
        <w:t>aranoid)</w:t>
      </w:r>
      <w:r w:rsidR="002D69F2">
        <w:rPr>
          <w:rFonts w:asciiTheme="minorHAnsi" w:hAnsiTheme="minorHAnsi"/>
          <w:color w:val="auto"/>
          <w:szCs w:val="24"/>
        </w:rPr>
        <w:t xml:space="preserve">.  </w:t>
      </w:r>
      <w:r w:rsidR="00D47C85">
        <w:rPr>
          <w:rFonts w:asciiTheme="minorHAnsi" w:hAnsiTheme="minorHAnsi"/>
          <w:color w:val="auto"/>
          <w:szCs w:val="24"/>
        </w:rPr>
        <w:t xml:space="preserve">The PEB disability description of </w:t>
      </w:r>
      <w:r w:rsidR="007B5B9A">
        <w:rPr>
          <w:rFonts w:asciiTheme="minorHAnsi" w:hAnsiTheme="minorHAnsi"/>
          <w:color w:val="auto"/>
          <w:szCs w:val="24"/>
        </w:rPr>
        <w:t>“contributing elements of personality d</w:t>
      </w:r>
      <w:r w:rsidR="00D47C85" w:rsidRPr="00BF30EF">
        <w:rPr>
          <w:rFonts w:asciiTheme="minorHAnsi" w:hAnsiTheme="minorHAnsi"/>
          <w:color w:val="auto"/>
          <w:szCs w:val="24"/>
        </w:rPr>
        <w:t xml:space="preserve">isorder </w:t>
      </w:r>
      <w:r w:rsidR="00BF30EF" w:rsidRPr="00BF30EF">
        <w:rPr>
          <w:rFonts w:asciiTheme="minorHAnsi" w:hAnsiTheme="minorHAnsi"/>
          <w:color w:val="auto"/>
          <w:szCs w:val="24"/>
        </w:rPr>
        <w:t>cannot</w:t>
      </w:r>
      <w:r w:rsidR="00D47C85" w:rsidRPr="00BF30EF">
        <w:rPr>
          <w:rFonts w:asciiTheme="minorHAnsi" w:hAnsiTheme="minorHAnsi"/>
          <w:color w:val="auto"/>
          <w:szCs w:val="24"/>
        </w:rPr>
        <w:t xml:space="preserve"> be considered for rating purposes.” was </w:t>
      </w:r>
      <w:r w:rsidR="002D69F2" w:rsidRPr="00BF30EF">
        <w:rPr>
          <w:rFonts w:asciiTheme="minorHAnsi" w:hAnsiTheme="minorHAnsi"/>
          <w:color w:val="auto"/>
          <w:szCs w:val="24"/>
        </w:rPr>
        <w:t xml:space="preserve">therefore </w:t>
      </w:r>
      <w:r w:rsidR="00D47C85" w:rsidRPr="00BF30EF">
        <w:rPr>
          <w:rFonts w:asciiTheme="minorHAnsi" w:hAnsiTheme="minorHAnsi"/>
          <w:color w:val="auto"/>
          <w:szCs w:val="24"/>
        </w:rPr>
        <w:t>not IAW VASRD-only rules</w:t>
      </w:r>
      <w:r w:rsidR="002D69F2" w:rsidRPr="00BF30EF">
        <w:rPr>
          <w:rFonts w:asciiTheme="minorHAnsi" w:hAnsiTheme="minorHAnsi"/>
          <w:color w:val="auto"/>
          <w:szCs w:val="24"/>
        </w:rPr>
        <w:t xml:space="preserve"> for</w:t>
      </w:r>
      <w:r w:rsidR="002D69F2">
        <w:rPr>
          <w:rFonts w:asciiTheme="minorHAnsi" w:hAnsiTheme="minorHAnsi"/>
          <w:color w:val="auto"/>
          <w:szCs w:val="24"/>
        </w:rPr>
        <w:t xml:space="preserve"> application of the </w:t>
      </w:r>
      <w:r w:rsidR="007B5B9A">
        <w:rPr>
          <w:rFonts w:asciiTheme="minorHAnsi" w:hAnsiTheme="minorHAnsi"/>
          <w:color w:val="auto"/>
          <w:szCs w:val="24"/>
        </w:rPr>
        <w:t>general r</w:t>
      </w:r>
      <w:r w:rsidR="002D69F2" w:rsidRPr="002D69F2">
        <w:rPr>
          <w:rFonts w:asciiTheme="minorHAnsi" w:hAnsiTheme="minorHAnsi"/>
          <w:color w:val="auto"/>
          <w:szCs w:val="24"/>
        </w:rPr>
        <w:t xml:space="preserve">ating </w:t>
      </w:r>
      <w:r w:rsidR="007B5B9A">
        <w:rPr>
          <w:rFonts w:asciiTheme="minorHAnsi" w:hAnsiTheme="minorHAnsi"/>
          <w:color w:val="auto"/>
          <w:szCs w:val="24"/>
        </w:rPr>
        <w:t>f</w:t>
      </w:r>
      <w:r w:rsidR="002D69F2" w:rsidRPr="002D69F2">
        <w:rPr>
          <w:rFonts w:asciiTheme="minorHAnsi" w:hAnsiTheme="minorHAnsi"/>
          <w:color w:val="auto"/>
          <w:szCs w:val="24"/>
        </w:rPr>
        <w:t xml:space="preserve">ormula for </w:t>
      </w:r>
      <w:r w:rsidR="007B5B9A">
        <w:rPr>
          <w:rFonts w:asciiTheme="minorHAnsi" w:hAnsiTheme="minorHAnsi"/>
          <w:color w:val="auto"/>
          <w:szCs w:val="24"/>
        </w:rPr>
        <w:t>m</w:t>
      </w:r>
      <w:r w:rsidR="002D69F2" w:rsidRPr="002D69F2">
        <w:rPr>
          <w:rFonts w:asciiTheme="minorHAnsi" w:hAnsiTheme="minorHAnsi"/>
          <w:color w:val="auto"/>
          <w:szCs w:val="24"/>
        </w:rPr>
        <w:t xml:space="preserve">ental </w:t>
      </w:r>
      <w:r w:rsidR="007B5B9A">
        <w:rPr>
          <w:rFonts w:asciiTheme="minorHAnsi" w:hAnsiTheme="minorHAnsi"/>
          <w:color w:val="auto"/>
          <w:szCs w:val="24"/>
        </w:rPr>
        <w:t>d</w:t>
      </w:r>
      <w:r w:rsidR="002D69F2" w:rsidRPr="002D69F2">
        <w:rPr>
          <w:rFonts w:asciiTheme="minorHAnsi" w:hAnsiTheme="minorHAnsi"/>
          <w:color w:val="auto"/>
          <w:szCs w:val="24"/>
        </w:rPr>
        <w:t xml:space="preserve">isorders </w:t>
      </w:r>
      <w:r w:rsidR="002D69F2">
        <w:rPr>
          <w:rFonts w:asciiTheme="minorHAnsi" w:hAnsiTheme="minorHAnsi"/>
          <w:color w:val="auto"/>
          <w:szCs w:val="24"/>
        </w:rPr>
        <w:t xml:space="preserve">IAW </w:t>
      </w:r>
      <w:r w:rsidR="002D69F2" w:rsidRPr="003D37EF">
        <w:rPr>
          <w:rFonts w:asciiTheme="minorHAnsi" w:hAnsiTheme="minorHAnsi"/>
          <w:color w:val="auto"/>
          <w:szCs w:val="24"/>
        </w:rPr>
        <w:t>§</w:t>
      </w:r>
      <w:r w:rsidR="002D69F2" w:rsidRPr="002D69F2">
        <w:rPr>
          <w:rFonts w:asciiTheme="minorHAnsi" w:hAnsiTheme="minorHAnsi"/>
          <w:color w:val="auto"/>
          <w:szCs w:val="24"/>
        </w:rPr>
        <w:t>4.130</w:t>
      </w:r>
      <w:r w:rsidR="00D47C85">
        <w:rPr>
          <w:rFonts w:asciiTheme="minorHAnsi" w:hAnsiTheme="minorHAnsi"/>
          <w:color w:val="auto"/>
          <w:szCs w:val="24"/>
        </w:rPr>
        <w:t>.</w:t>
      </w:r>
      <w:r w:rsidR="00916EEA">
        <w:rPr>
          <w:rFonts w:asciiTheme="minorHAnsi" w:hAnsiTheme="minorHAnsi"/>
          <w:color w:val="auto"/>
          <w:szCs w:val="24"/>
        </w:rPr>
        <w:t xml:space="preserve">  </w:t>
      </w:r>
      <w:r w:rsidR="002D69F2">
        <w:rPr>
          <w:rFonts w:asciiTheme="minorHAnsi" w:hAnsiTheme="minorHAnsi"/>
          <w:color w:val="auto"/>
          <w:szCs w:val="24"/>
        </w:rPr>
        <w:t xml:space="preserve">Independently rating the CI’s </w:t>
      </w:r>
      <w:r w:rsidR="002D69F2" w:rsidRPr="00916EEA">
        <w:rPr>
          <w:rFonts w:asciiTheme="minorHAnsi" w:hAnsiTheme="minorHAnsi"/>
          <w:color w:val="auto"/>
          <w:szCs w:val="24"/>
        </w:rPr>
        <w:t>condition at the time of separation</w:t>
      </w:r>
      <w:r w:rsidR="002D69F2">
        <w:rPr>
          <w:rFonts w:asciiTheme="minorHAnsi" w:hAnsiTheme="minorHAnsi"/>
          <w:color w:val="auto"/>
          <w:szCs w:val="24"/>
        </w:rPr>
        <w:t xml:space="preserve"> </w:t>
      </w:r>
      <w:r w:rsidR="00916EEA">
        <w:rPr>
          <w:rFonts w:asciiTheme="minorHAnsi" w:hAnsiTheme="minorHAnsi"/>
          <w:color w:val="auto"/>
          <w:szCs w:val="24"/>
        </w:rPr>
        <w:t xml:space="preserve">the Board considered the record supported between a rating of </w:t>
      </w:r>
      <w:r w:rsidR="00916EEA" w:rsidRPr="00BF30EF">
        <w:rPr>
          <w:rFonts w:asciiTheme="minorHAnsi" w:hAnsiTheme="minorHAnsi"/>
          <w:color w:val="auto"/>
          <w:szCs w:val="24"/>
        </w:rPr>
        <w:t>30% for “occupational and social impairment with occasional decrease in work efficiency and intermittent periods of inability to perform occupational tasks (although generally functioning satisfactorily, with routine behavior, self-care, and conversation normal) and the 50% criter</w:t>
      </w:r>
      <w:r w:rsidR="007B5B9A">
        <w:rPr>
          <w:rFonts w:asciiTheme="minorHAnsi" w:hAnsiTheme="minorHAnsi"/>
          <w:color w:val="auto"/>
          <w:szCs w:val="24"/>
        </w:rPr>
        <w:t>ia for “o</w:t>
      </w:r>
      <w:r w:rsidR="00916EEA" w:rsidRPr="00BF30EF">
        <w:rPr>
          <w:rFonts w:asciiTheme="minorHAnsi" w:hAnsiTheme="minorHAnsi"/>
          <w:color w:val="auto"/>
          <w:szCs w:val="24"/>
        </w:rPr>
        <w:t>ccupational and social impairment with reduced reliability and productivity</w:t>
      </w:r>
      <w:r w:rsidR="00006692">
        <w:rPr>
          <w:rFonts w:asciiTheme="minorHAnsi" w:hAnsiTheme="minorHAnsi"/>
          <w:color w:val="auto"/>
          <w:szCs w:val="24"/>
        </w:rPr>
        <w:t>.”</w:t>
      </w:r>
      <w:r w:rsidR="00916EEA" w:rsidRPr="00916EEA">
        <w:rPr>
          <w:rFonts w:asciiTheme="minorHAnsi" w:hAnsiTheme="minorHAnsi"/>
          <w:color w:val="auto"/>
          <w:szCs w:val="24"/>
        </w:rPr>
        <w:t xml:space="preserve">  </w:t>
      </w:r>
      <w:r w:rsidR="00BF30EF">
        <w:rPr>
          <w:rFonts w:asciiTheme="minorHAnsi" w:hAnsiTheme="minorHAnsi"/>
          <w:color w:val="auto"/>
          <w:szCs w:val="24"/>
        </w:rPr>
        <w:t>T</w:t>
      </w:r>
      <w:r w:rsidR="00AA4E88">
        <w:rPr>
          <w:rFonts w:asciiTheme="minorHAnsi" w:hAnsiTheme="minorHAnsi"/>
          <w:color w:val="auto"/>
          <w:szCs w:val="24"/>
        </w:rPr>
        <w:t>he</w:t>
      </w:r>
      <w:r w:rsidR="00BF30EF">
        <w:rPr>
          <w:rFonts w:asciiTheme="minorHAnsi" w:hAnsiTheme="minorHAnsi"/>
          <w:color w:val="auto"/>
          <w:szCs w:val="24"/>
        </w:rPr>
        <w:t xml:space="preserve"> Board</w:t>
      </w:r>
      <w:r w:rsidR="003D37EF" w:rsidRPr="003D37EF">
        <w:rPr>
          <w:rFonts w:asciiTheme="minorHAnsi" w:hAnsiTheme="minorHAnsi"/>
          <w:color w:val="auto"/>
          <w:szCs w:val="24"/>
        </w:rPr>
        <w:t xml:space="preserve"> </w:t>
      </w:r>
      <w:r w:rsidR="00AA4E88">
        <w:rPr>
          <w:rFonts w:asciiTheme="minorHAnsi" w:hAnsiTheme="minorHAnsi"/>
          <w:color w:val="auto"/>
          <w:szCs w:val="24"/>
        </w:rPr>
        <w:t xml:space="preserve">majority </w:t>
      </w:r>
      <w:r w:rsidR="003D37EF" w:rsidRPr="003D37EF">
        <w:rPr>
          <w:rFonts w:asciiTheme="minorHAnsi" w:hAnsiTheme="minorHAnsi"/>
          <w:color w:val="auto"/>
          <w:szCs w:val="24"/>
        </w:rPr>
        <w:t xml:space="preserve">agreed that the §4.130 criteria for a rating higher than 50% were not met at the time of separation, and therefore the minimum </w:t>
      </w:r>
      <w:r w:rsidR="003D37EF" w:rsidRPr="00BF30EF">
        <w:rPr>
          <w:rFonts w:asciiTheme="minorHAnsi" w:hAnsiTheme="minorHAnsi"/>
          <w:color w:val="auto"/>
          <w:szCs w:val="24"/>
        </w:rPr>
        <w:t>50% TDRL</w:t>
      </w:r>
      <w:r w:rsidR="003D37EF" w:rsidRPr="003D37EF">
        <w:rPr>
          <w:rFonts w:asciiTheme="minorHAnsi" w:hAnsiTheme="minorHAnsi"/>
          <w:color w:val="auto"/>
          <w:szCs w:val="24"/>
        </w:rPr>
        <w:t xml:space="preserve"> rating (as explained above) is applicable</w:t>
      </w:r>
      <w:r w:rsidR="00D47C85">
        <w:rPr>
          <w:rFonts w:asciiTheme="minorHAnsi" w:hAnsiTheme="minorHAnsi"/>
          <w:color w:val="auto"/>
          <w:szCs w:val="24"/>
        </w:rPr>
        <w:t xml:space="preserve">. </w:t>
      </w:r>
      <w:r w:rsidR="00E6515B" w:rsidRPr="00E6515B">
        <w:rPr>
          <w:rFonts w:cs="Calibri"/>
          <w:color w:val="000000"/>
          <w:sz w:val="23"/>
          <w:szCs w:val="23"/>
        </w:rPr>
        <w:t xml:space="preserve"> </w:t>
      </w:r>
    </w:p>
    <w:p w:rsidR="00D47C85" w:rsidRDefault="00D47C85" w:rsidP="00AA4E88">
      <w:pPr>
        <w:tabs>
          <w:tab w:val="left" w:pos="288"/>
          <w:tab w:val="left" w:pos="4752"/>
        </w:tabs>
        <w:spacing w:line="240" w:lineRule="exact"/>
        <w:jc w:val="both"/>
        <w:rPr>
          <w:rFonts w:cs="Calibri"/>
          <w:color w:val="000000"/>
          <w:sz w:val="23"/>
          <w:szCs w:val="23"/>
        </w:rPr>
      </w:pPr>
    </w:p>
    <w:p w:rsidR="00664296" w:rsidRDefault="00D47C85" w:rsidP="00AA4E88">
      <w:pPr>
        <w:tabs>
          <w:tab w:val="left" w:pos="288"/>
          <w:tab w:val="left" w:pos="4752"/>
        </w:tabs>
        <w:spacing w:line="240" w:lineRule="exact"/>
        <w:jc w:val="both"/>
        <w:rPr>
          <w:rFonts w:asciiTheme="minorHAnsi" w:hAnsiTheme="minorHAnsi"/>
          <w:color w:val="auto"/>
          <w:szCs w:val="24"/>
        </w:rPr>
      </w:pPr>
      <w:r w:rsidRPr="00610D38">
        <w:rPr>
          <w:rFonts w:asciiTheme="minorHAnsi" w:hAnsiTheme="minorHAnsi"/>
          <w:color w:val="auto"/>
          <w:szCs w:val="24"/>
        </w:rPr>
        <w:t xml:space="preserve">The most proximate source of comprehensive evidence on which to base the permanent rating recommendation in this case is the VA </w:t>
      </w:r>
      <w:r>
        <w:rPr>
          <w:rFonts w:asciiTheme="minorHAnsi" w:hAnsiTheme="minorHAnsi"/>
          <w:color w:val="auto"/>
          <w:szCs w:val="24"/>
        </w:rPr>
        <w:t>C&amp;P exam at</w:t>
      </w:r>
      <w:r w:rsidRPr="00610D38">
        <w:rPr>
          <w:rFonts w:asciiTheme="minorHAnsi" w:hAnsiTheme="minorHAnsi"/>
          <w:color w:val="auto"/>
          <w:szCs w:val="24"/>
        </w:rPr>
        <w:t xml:space="preserve"> six-month </w:t>
      </w:r>
      <w:r>
        <w:rPr>
          <w:rFonts w:asciiTheme="minorHAnsi" w:hAnsiTheme="minorHAnsi"/>
          <w:color w:val="auto"/>
          <w:szCs w:val="24"/>
        </w:rPr>
        <w:t xml:space="preserve">post-separation.  </w:t>
      </w:r>
      <w:r w:rsidRPr="003D37EF">
        <w:rPr>
          <w:rFonts w:asciiTheme="minorHAnsi" w:hAnsiTheme="minorHAnsi"/>
          <w:color w:val="auto"/>
          <w:szCs w:val="24"/>
        </w:rPr>
        <w:t xml:space="preserve">Especially since the C&amp;P examination also reflects the stress of transition to civilian life, which is a core intent of §4.129, it carries the preponderance of probative value in the Board’s assessment of a fair permanent rating recommendation. </w:t>
      </w:r>
      <w:r>
        <w:rPr>
          <w:rFonts w:asciiTheme="minorHAnsi" w:hAnsiTheme="minorHAnsi"/>
          <w:color w:val="auto"/>
          <w:szCs w:val="24"/>
        </w:rPr>
        <w:t xml:space="preserve"> </w:t>
      </w:r>
      <w:r w:rsidR="00E6515B" w:rsidRPr="00E6515B">
        <w:rPr>
          <w:rFonts w:asciiTheme="minorHAnsi" w:hAnsiTheme="minorHAnsi"/>
          <w:color w:val="auto"/>
          <w:szCs w:val="24"/>
        </w:rPr>
        <w:t xml:space="preserve">As regards the permanent rating recommendation, all </w:t>
      </w:r>
      <w:r w:rsidR="00AA4E88">
        <w:rPr>
          <w:rFonts w:asciiTheme="minorHAnsi" w:hAnsiTheme="minorHAnsi"/>
          <w:color w:val="auto"/>
          <w:szCs w:val="24"/>
        </w:rPr>
        <w:t>Board majority</w:t>
      </w:r>
      <w:r w:rsidR="00E6515B" w:rsidRPr="00E6515B">
        <w:rPr>
          <w:rFonts w:asciiTheme="minorHAnsi" w:hAnsiTheme="minorHAnsi"/>
          <w:color w:val="auto"/>
          <w:szCs w:val="24"/>
        </w:rPr>
        <w:t xml:space="preserve"> agreed t</w:t>
      </w:r>
      <w:r w:rsidR="00E6515B">
        <w:rPr>
          <w:rFonts w:asciiTheme="minorHAnsi" w:hAnsiTheme="minorHAnsi"/>
          <w:color w:val="auto"/>
          <w:szCs w:val="24"/>
        </w:rPr>
        <w:t>hat the §4.130 threshold for a 7</w:t>
      </w:r>
      <w:r w:rsidR="00E6515B" w:rsidRPr="00E6515B">
        <w:rPr>
          <w:rFonts w:asciiTheme="minorHAnsi" w:hAnsiTheme="minorHAnsi"/>
          <w:color w:val="auto"/>
          <w:szCs w:val="24"/>
        </w:rPr>
        <w:t>0% rating was not approach</w:t>
      </w:r>
      <w:r w:rsidR="00E6515B">
        <w:rPr>
          <w:rFonts w:asciiTheme="minorHAnsi" w:hAnsiTheme="minorHAnsi"/>
          <w:color w:val="auto"/>
          <w:szCs w:val="24"/>
        </w:rPr>
        <w:t>ed and that the criteria for a 1</w:t>
      </w:r>
      <w:r w:rsidR="00E6515B" w:rsidRPr="00E6515B">
        <w:rPr>
          <w:rFonts w:asciiTheme="minorHAnsi" w:hAnsiTheme="minorHAnsi"/>
          <w:color w:val="auto"/>
          <w:szCs w:val="24"/>
        </w:rPr>
        <w:t>0% rating were well-exceeded.</w:t>
      </w:r>
      <w:r w:rsidR="00E6515B" w:rsidRPr="00E6515B">
        <w:rPr>
          <w:rFonts w:cs="Calibri"/>
          <w:color w:val="000000"/>
          <w:sz w:val="23"/>
          <w:szCs w:val="23"/>
        </w:rPr>
        <w:t xml:space="preserve"> </w:t>
      </w:r>
      <w:r w:rsidR="00916EEA">
        <w:rPr>
          <w:rFonts w:cs="Calibri"/>
          <w:color w:val="000000"/>
          <w:sz w:val="23"/>
          <w:szCs w:val="23"/>
        </w:rPr>
        <w:t xml:space="preserve"> </w:t>
      </w:r>
      <w:r w:rsidR="00E6515B" w:rsidRPr="00E6515B">
        <w:rPr>
          <w:rFonts w:asciiTheme="minorHAnsi" w:hAnsiTheme="minorHAnsi"/>
          <w:color w:val="auto"/>
          <w:szCs w:val="24"/>
        </w:rPr>
        <w:t>The deliberat</w:t>
      </w:r>
      <w:r w:rsidR="00E6515B">
        <w:rPr>
          <w:rFonts w:asciiTheme="minorHAnsi" w:hAnsiTheme="minorHAnsi"/>
          <w:color w:val="auto"/>
          <w:szCs w:val="24"/>
        </w:rPr>
        <w:t>ion settled on arguments for a 50% versus a 3</w:t>
      </w:r>
      <w:r w:rsidR="00E6515B" w:rsidRPr="00E6515B">
        <w:rPr>
          <w:rFonts w:asciiTheme="minorHAnsi" w:hAnsiTheme="minorHAnsi"/>
          <w:color w:val="auto"/>
          <w:szCs w:val="24"/>
        </w:rPr>
        <w:t>0% permanent rating recommendation</w:t>
      </w:r>
      <w:r w:rsidR="00E6515B">
        <w:rPr>
          <w:rFonts w:asciiTheme="minorHAnsi" w:hAnsiTheme="minorHAnsi"/>
          <w:color w:val="auto"/>
          <w:szCs w:val="24"/>
        </w:rPr>
        <w:t>.</w:t>
      </w:r>
      <w:r w:rsidR="00916EEA">
        <w:rPr>
          <w:rFonts w:asciiTheme="minorHAnsi" w:hAnsiTheme="minorHAnsi"/>
          <w:color w:val="auto"/>
          <w:szCs w:val="24"/>
        </w:rPr>
        <w:t xml:space="preserve"> </w:t>
      </w:r>
      <w:r w:rsidR="00E6515B" w:rsidRPr="00E6515B">
        <w:rPr>
          <w:rFonts w:cs="Calibri"/>
          <w:color w:val="000000"/>
          <w:sz w:val="23"/>
          <w:szCs w:val="23"/>
        </w:rPr>
        <w:t xml:space="preserve"> </w:t>
      </w:r>
      <w:r w:rsidR="00E6515B">
        <w:rPr>
          <w:rFonts w:asciiTheme="minorHAnsi" w:hAnsiTheme="minorHAnsi"/>
          <w:color w:val="auto"/>
          <w:szCs w:val="24"/>
        </w:rPr>
        <w:t>The VA rater’s rationale for a 5</w:t>
      </w:r>
      <w:r w:rsidR="00E6515B" w:rsidRPr="00E6515B">
        <w:rPr>
          <w:rFonts w:asciiTheme="minorHAnsi" w:hAnsiTheme="minorHAnsi"/>
          <w:color w:val="auto"/>
          <w:szCs w:val="24"/>
        </w:rPr>
        <w:t>0% rating was well-elucidated in the rating decision.</w:t>
      </w:r>
      <w:r w:rsidR="00E6515B" w:rsidRPr="00E6515B">
        <w:rPr>
          <w:rFonts w:cs="Calibri"/>
          <w:color w:val="000000"/>
          <w:sz w:val="23"/>
          <w:szCs w:val="23"/>
        </w:rPr>
        <w:t xml:space="preserve"> </w:t>
      </w:r>
      <w:r w:rsidR="00916EEA">
        <w:rPr>
          <w:rFonts w:cs="Calibri"/>
          <w:color w:val="000000"/>
          <w:sz w:val="23"/>
          <w:szCs w:val="23"/>
        </w:rPr>
        <w:t xml:space="preserve"> </w:t>
      </w:r>
      <w:r w:rsidR="00E6515B" w:rsidRPr="00E6515B">
        <w:rPr>
          <w:rFonts w:asciiTheme="minorHAnsi" w:hAnsiTheme="minorHAnsi"/>
          <w:color w:val="auto"/>
          <w:szCs w:val="24"/>
        </w:rPr>
        <w:t>The general description in §4.130 for a 50% rating is “occupational and social impairment with reduce</w:t>
      </w:r>
      <w:r w:rsidR="00006692">
        <w:rPr>
          <w:rFonts w:asciiTheme="minorHAnsi" w:hAnsiTheme="minorHAnsi"/>
          <w:color w:val="auto"/>
          <w:szCs w:val="24"/>
        </w:rPr>
        <w:t>d reliability and productivity.”</w:t>
      </w:r>
      <w:r w:rsidR="0049670B">
        <w:rPr>
          <w:rFonts w:asciiTheme="minorHAnsi" w:hAnsiTheme="minorHAnsi"/>
          <w:color w:val="auto"/>
          <w:szCs w:val="24"/>
        </w:rPr>
        <w:t xml:space="preserve">  The Board reviewed th</w:t>
      </w:r>
      <w:r w:rsidR="00E6515B">
        <w:rPr>
          <w:rFonts w:asciiTheme="minorHAnsi" w:hAnsiTheme="minorHAnsi"/>
          <w:color w:val="auto"/>
          <w:szCs w:val="24"/>
        </w:rPr>
        <w:t>e</w:t>
      </w:r>
      <w:r w:rsidR="0049670B">
        <w:rPr>
          <w:rFonts w:asciiTheme="minorHAnsi" w:hAnsiTheme="minorHAnsi"/>
          <w:color w:val="auto"/>
          <w:szCs w:val="24"/>
        </w:rPr>
        <w:t xml:space="preserve"> VA exam</w:t>
      </w:r>
      <w:r w:rsidR="00431016">
        <w:rPr>
          <w:rFonts w:asciiTheme="minorHAnsi" w:hAnsiTheme="minorHAnsi"/>
          <w:color w:val="auto"/>
          <w:szCs w:val="24"/>
        </w:rPr>
        <w:t xml:space="preserve"> </w:t>
      </w:r>
      <w:r w:rsidR="006F64DD">
        <w:rPr>
          <w:rFonts w:asciiTheme="minorHAnsi" w:hAnsiTheme="minorHAnsi"/>
          <w:color w:val="auto"/>
          <w:szCs w:val="24"/>
        </w:rPr>
        <w:t>and found the CI demonstrating moderate impairment</w:t>
      </w:r>
      <w:r w:rsidR="00916EEA">
        <w:rPr>
          <w:rFonts w:asciiTheme="minorHAnsi" w:hAnsiTheme="minorHAnsi"/>
          <w:color w:val="auto"/>
          <w:szCs w:val="24"/>
        </w:rPr>
        <w:t xml:space="preserve">, </w:t>
      </w:r>
      <w:r w:rsidR="006F64DD">
        <w:rPr>
          <w:rFonts w:asciiTheme="minorHAnsi" w:hAnsiTheme="minorHAnsi"/>
          <w:color w:val="auto"/>
          <w:szCs w:val="24"/>
        </w:rPr>
        <w:t>a GAF of 51</w:t>
      </w:r>
      <w:r w:rsidR="00916EEA">
        <w:rPr>
          <w:rFonts w:asciiTheme="minorHAnsi" w:hAnsiTheme="minorHAnsi"/>
          <w:color w:val="auto"/>
          <w:szCs w:val="24"/>
        </w:rPr>
        <w:t>, and was</w:t>
      </w:r>
      <w:r w:rsidR="00E6515B">
        <w:rPr>
          <w:rFonts w:asciiTheme="minorHAnsi" w:hAnsiTheme="minorHAnsi"/>
          <w:color w:val="auto"/>
          <w:szCs w:val="24"/>
        </w:rPr>
        <w:t xml:space="preserve"> </w:t>
      </w:r>
      <w:r w:rsidR="006F64DD">
        <w:rPr>
          <w:rFonts w:asciiTheme="minorHAnsi" w:hAnsiTheme="minorHAnsi"/>
          <w:color w:val="auto"/>
          <w:szCs w:val="24"/>
        </w:rPr>
        <w:t>unemployed</w:t>
      </w:r>
      <w:r w:rsidR="00E6515B">
        <w:rPr>
          <w:rFonts w:asciiTheme="minorHAnsi" w:hAnsiTheme="minorHAnsi"/>
          <w:color w:val="auto"/>
          <w:szCs w:val="24"/>
        </w:rPr>
        <w:t xml:space="preserve"> due to his psychiatric condition</w:t>
      </w:r>
      <w:r w:rsidR="006F64DD">
        <w:rPr>
          <w:rFonts w:asciiTheme="minorHAnsi" w:hAnsiTheme="minorHAnsi"/>
          <w:color w:val="auto"/>
          <w:szCs w:val="24"/>
        </w:rPr>
        <w:t>.</w:t>
      </w:r>
      <w:r w:rsidR="006F64DD" w:rsidRPr="006F64DD">
        <w:rPr>
          <w:rFonts w:asciiTheme="minorHAnsi" w:hAnsiTheme="minorHAnsi"/>
          <w:color w:val="auto"/>
          <w:szCs w:val="24"/>
        </w:rPr>
        <w:t xml:space="preserve"> </w:t>
      </w:r>
      <w:r w:rsidR="00916EEA">
        <w:rPr>
          <w:rFonts w:asciiTheme="minorHAnsi" w:hAnsiTheme="minorHAnsi"/>
          <w:color w:val="auto"/>
          <w:szCs w:val="24"/>
        </w:rPr>
        <w:t xml:space="preserve"> </w:t>
      </w:r>
      <w:r w:rsidR="00BF30EF">
        <w:rPr>
          <w:rFonts w:asciiTheme="minorHAnsi" w:hAnsiTheme="minorHAnsi"/>
          <w:color w:val="auto"/>
          <w:szCs w:val="24"/>
        </w:rPr>
        <w:t xml:space="preserve">However, </w:t>
      </w:r>
      <w:r w:rsidR="00BF30EF" w:rsidRPr="00BF30EF">
        <w:rPr>
          <w:rFonts w:asciiTheme="minorHAnsi" w:hAnsiTheme="minorHAnsi"/>
          <w:color w:val="auto"/>
          <w:szCs w:val="24"/>
        </w:rPr>
        <w:t>m</w:t>
      </w:r>
      <w:r w:rsidR="00916EEA" w:rsidRPr="00BF30EF">
        <w:rPr>
          <w:rFonts w:asciiTheme="minorHAnsi" w:hAnsiTheme="minorHAnsi"/>
          <w:color w:val="auto"/>
          <w:szCs w:val="24"/>
        </w:rPr>
        <w:t>itigating the employment was the CI’s new child and his childcare responsibilities</w:t>
      </w:r>
      <w:r w:rsidR="00916EEA" w:rsidRPr="00BF30EF">
        <w:rPr>
          <w:rFonts w:asciiTheme="minorHAnsi" w:hAnsiTheme="minorHAnsi"/>
          <w:i/>
          <w:color w:val="auto"/>
          <w:szCs w:val="24"/>
        </w:rPr>
        <w:t>.</w:t>
      </w:r>
      <w:r w:rsidR="00916EEA">
        <w:rPr>
          <w:rFonts w:asciiTheme="minorHAnsi" w:hAnsiTheme="minorHAnsi"/>
          <w:color w:val="auto"/>
          <w:szCs w:val="24"/>
        </w:rPr>
        <w:t xml:space="preserve">  </w:t>
      </w:r>
      <w:r w:rsidR="00BF30EF">
        <w:rPr>
          <w:rFonts w:asciiTheme="minorHAnsi" w:hAnsiTheme="minorHAnsi"/>
          <w:color w:val="auto"/>
          <w:szCs w:val="24"/>
        </w:rPr>
        <w:t xml:space="preserve">The Board weighed if providing childcare was just as significant as being employed and agreed that this </w:t>
      </w:r>
      <w:r w:rsidR="00AA4E88">
        <w:rPr>
          <w:rFonts w:asciiTheme="minorHAnsi" w:hAnsiTheme="minorHAnsi"/>
          <w:color w:val="auto"/>
          <w:szCs w:val="24"/>
        </w:rPr>
        <w:t>equated to less than constant occupational and social impairment</w:t>
      </w:r>
      <w:r w:rsidR="00BF30EF">
        <w:rPr>
          <w:rFonts w:asciiTheme="minorHAnsi" w:hAnsiTheme="minorHAnsi"/>
          <w:color w:val="auto"/>
          <w:szCs w:val="24"/>
        </w:rPr>
        <w:t xml:space="preserve">.  </w:t>
      </w:r>
      <w:r w:rsidR="00E6515B" w:rsidRPr="00E6515B">
        <w:rPr>
          <w:rFonts w:asciiTheme="minorHAnsi" w:hAnsiTheme="minorHAnsi"/>
          <w:color w:val="auto"/>
          <w:szCs w:val="24"/>
        </w:rPr>
        <w:t xml:space="preserve">After due deliberation, considering the totality of the </w:t>
      </w:r>
      <w:r w:rsidR="00335DB8">
        <w:rPr>
          <w:rFonts w:asciiTheme="minorHAnsi" w:hAnsiTheme="minorHAnsi"/>
          <w:color w:val="auto"/>
          <w:szCs w:val="24"/>
        </w:rPr>
        <w:t xml:space="preserve">evidence, </w:t>
      </w:r>
      <w:r w:rsidR="00335DB8" w:rsidRPr="00E6515B">
        <w:rPr>
          <w:rFonts w:asciiTheme="minorHAnsi" w:hAnsiTheme="minorHAnsi"/>
          <w:color w:val="auto"/>
          <w:szCs w:val="24"/>
        </w:rPr>
        <w:t>the</w:t>
      </w:r>
      <w:r w:rsidR="00E6515B" w:rsidRPr="00E6515B">
        <w:rPr>
          <w:rFonts w:asciiTheme="minorHAnsi" w:hAnsiTheme="minorHAnsi"/>
          <w:color w:val="auto"/>
          <w:szCs w:val="24"/>
        </w:rPr>
        <w:t xml:space="preserve"> Board </w:t>
      </w:r>
      <w:r w:rsidR="002D4B71">
        <w:rPr>
          <w:rFonts w:asciiTheme="minorHAnsi" w:hAnsiTheme="minorHAnsi"/>
          <w:color w:val="auto"/>
          <w:szCs w:val="24"/>
        </w:rPr>
        <w:t xml:space="preserve">majority </w:t>
      </w:r>
      <w:r w:rsidR="00E6515B" w:rsidRPr="00E6515B">
        <w:rPr>
          <w:rFonts w:asciiTheme="minorHAnsi" w:hAnsiTheme="minorHAnsi"/>
          <w:color w:val="auto"/>
          <w:szCs w:val="24"/>
        </w:rPr>
        <w:t xml:space="preserve">recommends a permanent PTSD disability rating of </w:t>
      </w:r>
      <w:r w:rsidR="00335DB8">
        <w:rPr>
          <w:rFonts w:asciiTheme="minorHAnsi" w:hAnsiTheme="minorHAnsi"/>
          <w:color w:val="auto"/>
          <w:szCs w:val="24"/>
        </w:rPr>
        <w:t>30%</w:t>
      </w:r>
      <w:r w:rsidR="00E6515B" w:rsidRPr="00E6515B">
        <w:rPr>
          <w:rFonts w:asciiTheme="minorHAnsi" w:hAnsiTheme="minorHAnsi"/>
          <w:color w:val="auto"/>
          <w:szCs w:val="24"/>
        </w:rPr>
        <w:t xml:space="preserve"> in this case.</w:t>
      </w:r>
      <w:r w:rsidR="00AB6111">
        <w:rPr>
          <w:rFonts w:asciiTheme="minorHAnsi" w:hAnsiTheme="minorHAnsi"/>
          <w:color w:val="auto"/>
          <w:szCs w:val="24"/>
        </w:rPr>
        <w:t xml:space="preserve">  </w:t>
      </w:r>
    </w:p>
    <w:p w:rsidR="006539C1" w:rsidRPr="00664296" w:rsidRDefault="006539C1" w:rsidP="00664296">
      <w:pPr>
        <w:tabs>
          <w:tab w:val="left" w:pos="288"/>
          <w:tab w:val="left" w:pos="4752"/>
        </w:tabs>
        <w:spacing w:line="240" w:lineRule="exact"/>
        <w:rPr>
          <w:rFonts w:asciiTheme="minorHAnsi" w:hAnsiTheme="minorHAnsi"/>
          <w:color w:val="auto"/>
          <w:szCs w:val="24"/>
        </w:rPr>
      </w:pPr>
    </w:p>
    <w:p w:rsidR="00664296" w:rsidRPr="00664296" w:rsidRDefault="002D4B71" w:rsidP="008A64C3">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t xml:space="preserve">Other PEB </w:t>
      </w:r>
      <w:r w:rsidR="00664296" w:rsidRPr="00664296">
        <w:rPr>
          <w:rFonts w:asciiTheme="minorHAnsi" w:eastAsia="HiddenHorzOCR" w:hAnsiTheme="minorHAnsi"/>
          <w:color w:val="auto"/>
          <w:szCs w:val="24"/>
          <w:u w:val="single"/>
        </w:rPr>
        <w:t>Conditions</w:t>
      </w:r>
      <w:r w:rsidR="00664296" w:rsidRPr="00664296">
        <w:rPr>
          <w:rFonts w:asciiTheme="minorHAnsi" w:eastAsia="HiddenHorzOCR" w:hAnsiTheme="minorHAnsi"/>
          <w:color w:val="auto"/>
          <w:szCs w:val="24"/>
        </w:rPr>
        <w:t>.</w:t>
      </w:r>
      <w:proofErr w:type="gramEnd"/>
      <w:r w:rsidR="008A64C3">
        <w:rPr>
          <w:rFonts w:asciiTheme="minorHAnsi" w:eastAsia="HiddenHorzOCR" w:hAnsiTheme="minorHAnsi"/>
          <w:color w:val="auto"/>
          <w:szCs w:val="24"/>
        </w:rPr>
        <w:t xml:space="preserve"> </w:t>
      </w:r>
      <w:r w:rsidR="00664296" w:rsidRPr="00664296">
        <w:rPr>
          <w:rFonts w:asciiTheme="minorHAnsi" w:eastAsia="HiddenHorzOCR" w:hAnsiTheme="minorHAnsi"/>
          <w:color w:val="auto"/>
          <w:szCs w:val="24"/>
        </w:rPr>
        <w:t xml:space="preserve"> The other conditions forwarded by the MEB and adjudicated as not unfitting by the PEB were</w:t>
      </w:r>
      <w:r w:rsidR="008A64C3">
        <w:rPr>
          <w:rFonts w:asciiTheme="minorHAnsi" w:eastAsia="HiddenHorzOCR" w:hAnsiTheme="minorHAnsi"/>
          <w:color w:val="auto"/>
          <w:szCs w:val="24"/>
        </w:rPr>
        <w:t xml:space="preserve"> </w:t>
      </w:r>
      <w:r w:rsidR="00006692">
        <w:rPr>
          <w:rFonts w:asciiTheme="minorHAnsi" w:eastAsia="HiddenHorzOCR" w:hAnsiTheme="minorHAnsi"/>
          <w:color w:val="auto"/>
          <w:szCs w:val="24"/>
        </w:rPr>
        <w:t>l</w:t>
      </w:r>
      <w:r w:rsidR="008A64C3">
        <w:rPr>
          <w:rFonts w:asciiTheme="minorHAnsi" w:eastAsia="HiddenHorzOCR" w:hAnsiTheme="minorHAnsi"/>
          <w:color w:val="auto"/>
          <w:szCs w:val="24"/>
        </w:rPr>
        <w:t>eft</w:t>
      </w:r>
      <w:r w:rsidR="00006692">
        <w:rPr>
          <w:rFonts w:asciiTheme="minorHAnsi" w:eastAsia="HiddenHorzOCR" w:hAnsiTheme="minorHAnsi"/>
          <w:color w:val="auto"/>
          <w:szCs w:val="24"/>
        </w:rPr>
        <w:t xml:space="preserve"> mild high frequency hearing l</w:t>
      </w:r>
      <w:r w:rsidR="006F64DD" w:rsidRPr="006F64DD">
        <w:rPr>
          <w:rFonts w:asciiTheme="minorHAnsi" w:eastAsia="HiddenHorzOCR" w:hAnsiTheme="minorHAnsi"/>
          <w:color w:val="auto"/>
          <w:szCs w:val="24"/>
        </w:rPr>
        <w:t xml:space="preserve">oss </w:t>
      </w:r>
      <w:r w:rsidR="008A64C3">
        <w:rPr>
          <w:rFonts w:asciiTheme="minorHAnsi" w:eastAsia="HiddenHorzOCR" w:hAnsiTheme="minorHAnsi"/>
          <w:color w:val="auto"/>
          <w:szCs w:val="24"/>
        </w:rPr>
        <w:t xml:space="preserve">and </w:t>
      </w:r>
      <w:r w:rsidR="00006692">
        <w:rPr>
          <w:rFonts w:asciiTheme="minorHAnsi" w:eastAsia="HiddenHorzOCR" w:hAnsiTheme="minorHAnsi"/>
          <w:color w:val="auto"/>
          <w:szCs w:val="24"/>
        </w:rPr>
        <w:t>non-cardiac chest p</w:t>
      </w:r>
      <w:r w:rsidR="006F64DD" w:rsidRPr="006F64DD">
        <w:rPr>
          <w:rFonts w:asciiTheme="minorHAnsi" w:eastAsia="HiddenHorzOCR" w:hAnsiTheme="minorHAnsi"/>
          <w:color w:val="auto"/>
          <w:szCs w:val="24"/>
        </w:rPr>
        <w:t>ain</w:t>
      </w:r>
      <w:r w:rsidR="00664296" w:rsidRPr="00664296">
        <w:rPr>
          <w:rFonts w:asciiTheme="minorHAnsi" w:eastAsia="HiddenHorzOCR" w:hAnsiTheme="minorHAnsi"/>
          <w:color w:val="auto"/>
          <w:szCs w:val="24"/>
        </w:rPr>
        <w:t xml:space="preserve">.  </w:t>
      </w:r>
      <w:r w:rsidR="00006692">
        <w:rPr>
          <w:rFonts w:asciiTheme="minorHAnsi" w:eastAsia="HiddenHorzOCR" w:hAnsiTheme="minorHAnsi"/>
          <w:color w:val="auto"/>
          <w:szCs w:val="24"/>
        </w:rPr>
        <w:t>P</w:t>
      </w:r>
      <w:r w:rsidR="008A64C3" w:rsidRPr="006F64DD">
        <w:rPr>
          <w:rFonts w:asciiTheme="minorHAnsi" w:eastAsia="HiddenHorzOCR" w:hAnsiTheme="minorHAnsi"/>
          <w:color w:val="auto"/>
          <w:szCs w:val="24"/>
        </w:rPr>
        <w:t>erso</w:t>
      </w:r>
      <w:r w:rsidR="00006692">
        <w:rPr>
          <w:rFonts w:asciiTheme="minorHAnsi" w:eastAsia="HiddenHorzOCR" w:hAnsiTheme="minorHAnsi"/>
          <w:color w:val="auto"/>
          <w:szCs w:val="24"/>
        </w:rPr>
        <w:t>nality d</w:t>
      </w:r>
      <w:r w:rsidR="008A64C3" w:rsidRPr="006F64DD">
        <w:rPr>
          <w:rFonts w:asciiTheme="minorHAnsi" w:eastAsia="HiddenHorzOCR" w:hAnsiTheme="minorHAnsi"/>
          <w:color w:val="auto"/>
          <w:szCs w:val="24"/>
        </w:rPr>
        <w:t>isorder</w:t>
      </w:r>
      <w:r w:rsidR="008A64C3">
        <w:rPr>
          <w:rFonts w:asciiTheme="minorHAnsi" w:eastAsia="HiddenHorzOCR" w:hAnsiTheme="minorHAnsi"/>
          <w:color w:val="auto"/>
          <w:szCs w:val="24"/>
        </w:rPr>
        <w:t xml:space="preserve"> was adjudged as not compensable by the PEB.  </w:t>
      </w:r>
      <w:r w:rsidR="006F64DD">
        <w:rPr>
          <w:rFonts w:asciiTheme="minorHAnsi" w:eastAsia="HiddenHorzOCR" w:hAnsiTheme="minorHAnsi"/>
          <w:color w:val="auto"/>
          <w:szCs w:val="24"/>
        </w:rPr>
        <w:t>Person</w:t>
      </w:r>
      <w:r w:rsidR="00006692">
        <w:rPr>
          <w:rFonts w:asciiTheme="minorHAnsi" w:eastAsia="HiddenHorzOCR" w:hAnsiTheme="minorHAnsi"/>
          <w:color w:val="auto"/>
          <w:szCs w:val="24"/>
        </w:rPr>
        <w:t>ality disorder and non-cardiac chest p</w:t>
      </w:r>
      <w:r w:rsidR="006F64DD">
        <w:rPr>
          <w:rFonts w:asciiTheme="minorHAnsi" w:eastAsia="HiddenHorzOCR" w:hAnsiTheme="minorHAnsi"/>
          <w:color w:val="auto"/>
          <w:szCs w:val="24"/>
        </w:rPr>
        <w:t xml:space="preserve">ain </w:t>
      </w:r>
      <w:r w:rsidR="00006692">
        <w:rPr>
          <w:rFonts w:asciiTheme="minorHAnsi" w:eastAsia="HiddenHorzOCR" w:hAnsiTheme="minorHAnsi"/>
          <w:color w:val="auto"/>
          <w:szCs w:val="24"/>
        </w:rPr>
        <w:t>were discussed in detail under anxiety d</w:t>
      </w:r>
      <w:r w:rsidR="008A64C3">
        <w:rPr>
          <w:rFonts w:asciiTheme="minorHAnsi" w:eastAsia="HiddenHorzOCR" w:hAnsiTheme="minorHAnsi"/>
          <w:color w:val="auto"/>
          <w:szCs w:val="24"/>
        </w:rPr>
        <w:t>isorder above</w:t>
      </w:r>
      <w:r w:rsidR="006F64DD">
        <w:rPr>
          <w:rFonts w:asciiTheme="minorHAnsi" w:eastAsia="HiddenHorzOCR" w:hAnsiTheme="minorHAnsi"/>
          <w:color w:val="auto"/>
          <w:szCs w:val="24"/>
        </w:rPr>
        <w:t xml:space="preserve">.  </w:t>
      </w:r>
      <w:r w:rsidR="008A64C3">
        <w:rPr>
          <w:rFonts w:asciiTheme="minorHAnsi" w:eastAsia="HiddenHorzOCR" w:hAnsiTheme="minorHAnsi"/>
          <w:color w:val="auto"/>
          <w:szCs w:val="24"/>
        </w:rPr>
        <w:t xml:space="preserve">Personality disorder is a condition not considered a disability and is non compensable.  </w:t>
      </w:r>
      <w:r w:rsidR="00006692">
        <w:rPr>
          <w:rFonts w:asciiTheme="minorHAnsi" w:eastAsia="HiddenHorzOCR" w:hAnsiTheme="minorHAnsi"/>
          <w:color w:val="auto"/>
          <w:szCs w:val="24"/>
        </w:rPr>
        <w:t>Hearing l</w:t>
      </w:r>
      <w:r w:rsidR="006F64DD">
        <w:rPr>
          <w:rFonts w:asciiTheme="minorHAnsi" w:eastAsia="HiddenHorzOCR" w:hAnsiTheme="minorHAnsi"/>
          <w:color w:val="auto"/>
          <w:szCs w:val="24"/>
        </w:rPr>
        <w:t>oss</w:t>
      </w:r>
      <w:r w:rsidR="00664296" w:rsidRPr="00664296">
        <w:rPr>
          <w:rFonts w:asciiTheme="minorHAnsi" w:eastAsia="HiddenHorzOCR" w:hAnsiTheme="minorHAnsi"/>
          <w:color w:val="auto"/>
          <w:szCs w:val="24"/>
        </w:rPr>
        <w:t xml:space="preserve"> </w:t>
      </w:r>
      <w:r w:rsidR="008A64C3">
        <w:rPr>
          <w:rFonts w:asciiTheme="minorHAnsi" w:eastAsia="HiddenHorzOCR" w:hAnsiTheme="minorHAnsi"/>
          <w:color w:val="auto"/>
          <w:szCs w:val="24"/>
        </w:rPr>
        <w:t xml:space="preserve">or chest pain </w:t>
      </w:r>
      <w:r w:rsidR="006F64DD">
        <w:rPr>
          <w:rFonts w:asciiTheme="minorHAnsi" w:eastAsia="HiddenHorzOCR" w:hAnsiTheme="minorHAnsi"/>
          <w:color w:val="auto"/>
          <w:szCs w:val="24"/>
        </w:rPr>
        <w:t xml:space="preserve">was not </w:t>
      </w:r>
      <w:r w:rsidR="00664296" w:rsidRPr="00664296">
        <w:rPr>
          <w:rFonts w:asciiTheme="minorHAnsi" w:eastAsia="HiddenHorzOCR" w:hAnsiTheme="minorHAnsi"/>
          <w:color w:val="auto"/>
          <w:szCs w:val="24"/>
        </w:rPr>
        <w:t xml:space="preserve">profiled, implicated in the </w:t>
      </w:r>
      <w:r w:rsidR="00664296" w:rsidRPr="006F64DD">
        <w:rPr>
          <w:rFonts w:asciiTheme="minorHAnsi" w:eastAsia="HiddenHorzOCR" w:hAnsiTheme="minorHAnsi"/>
          <w:color w:val="auto"/>
          <w:szCs w:val="24"/>
        </w:rPr>
        <w:t>commander’s statement</w:t>
      </w:r>
      <w:r w:rsidR="00664296" w:rsidRPr="00664296">
        <w:rPr>
          <w:rFonts w:asciiTheme="minorHAnsi" w:eastAsia="HiddenHorzOCR" w:hAnsiTheme="minorHAnsi"/>
          <w:color w:val="auto"/>
          <w:szCs w:val="24"/>
        </w:rPr>
        <w:t xml:space="preserve"> or noted as failing retention standards.  </w:t>
      </w:r>
      <w:r w:rsidR="008A64C3">
        <w:rPr>
          <w:rFonts w:asciiTheme="minorHAnsi" w:eastAsia="HiddenHorzOCR" w:hAnsiTheme="minorHAnsi"/>
          <w:color w:val="auto"/>
          <w:szCs w:val="24"/>
        </w:rPr>
        <w:t xml:space="preserve">Hearing loss </w:t>
      </w:r>
      <w:r w:rsidR="00664296" w:rsidRPr="00664296">
        <w:rPr>
          <w:rFonts w:asciiTheme="minorHAnsi" w:eastAsia="HiddenHorzOCR" w:hAnsiTheme="minorHAnsi"/>
          <w:color w:val="auto"/>
          <w:szCs w:val="24"/>
        </w:rPr>
        <w:t>w</w:t>
      </w:r>
      <w:r w:rsidR="008A64C3">
        <w:rPr>
          <w:rFonts w:asciiTheme="minorHAnsi" w:eastAsia="HiddenHorzOCR" w:hAnsiTheme="minorHAnsi"/>
          <w:color w:val="auto"/>
          <w:szCs w:val="24"/>
        </w:rPr>
        <w:t>as</w:t>
      </w:r>
      <w:r w:rsidR="00664296" w:rsidRPr="00664296">
        <w:rPr>
          <w:rFonts w:asciiTheme="minorHAnsi" w:eastAsia="HiddenHorzOCR" w:hAnsiTheme="minorHAnsi"/>
          <w:color w:val="auto"/>
          <w:szCs w:val="24"/>
        </w:rPr>
        <w:t xml:space="preserve"> reviewed by the action officer and considered by the Board.  There was no indication from the record that th</w:t>
      </w:r>
      <w:r w:rsidR="008A64C3">
        <w:rPr>
          <w:rFonts w:asciiTheme="minorHAnsi" w:eastAsia="HiddenHorzOCR" w:hAnsiTheme="minorHAnsi"/>
          <w:color w:val="auto"/>
          <w:szCs w:val="24"/>
        </w:rPr>
        <w:t>ese</w:t>
      </w:r>
      <w:r w:rsidR="00664296" w:rsidRPr="00664296">
        <w:rPr>
          <w:rFonts w:asciiTheme="minorHAnsi" w:eastAsia="HiddenHorzOCR" w:hAnsiTheme="minorHAnsi"/>
          <w:color w:val="auto"/>
          <w:szCs w:val="24"/>
        </w:rPr>
        <w:t xml:space="preserve"> conditions significantly interfered with satisfactory performance of </w:t>
      </w:r>
      <w:r w:rsidR="00664296" w:rsidRPr="006F64DD">
        <w:rPr>
          <w:rFonts w:asciiTheme="minorHAnsi" w:eastAsia="HiddenHorzOCR" w:hAnsiTheme="minorHAnsi"/>
          <w:color w:val="auto"/>
          <w:szCs w:val="24"/>
        </w:rPr>
        <w:t xml:space="preserve">MOS </w:t>
      </w:r>
      <w:r w:rsidR="00664296" w:rsidRPr="00664296">
        <w:rPr>
          <w:rFonts w:asciiTheme="minorHAnsi" w:eastAsia="HiddenHorzOCR" w:hAnsiTheme="minorHAnsi"/>
          <w:color w:val="auto"/>
          <w:szCs w:val="24"/>
        </w:rPr>
        <w:t>duty requirements.  All evidence considered</w:t>
      </w:r>
      <w:proofErr w:type="gramStart"/>
      <w:r w:rsidR="00664296" w:rsidRPr="00664296">
        <w:rPr>
          <w:rFonts w:asciiTheme="minorHAnsi" w:eastAsia="HiddenHorzOCR" w:hAnsiTheme="minorHAnsi"/>
          <w:color w:val="auto"/>
          <w:szCs w:val="24"/>
        </w:rPr>
        <w:t>,</w:t>
      </w:r>
      <w:proofErr w:type="gramEnd"/>
      <w:r w:rsidR="00664296" w:rsidRPr="00664296">
        <w:rPr>
          <w:rFonts w:asciiTheme="minorHAnsi" w:eastAsia="HiddenHorzOCR" w:hAnsiTheme="minorHAnsi"/>
          <w:color w:val="auto"/>
          <w:szCs w:val="24"/>
        </w:rPr>
        <w:t xml:space="preserve"> there is not reasonable doubt in the CI’s favor supporting recharacterization of the PEB fitness adjudication for</w:t>
      </w:r>
      <w:r w:rsidR="008A64C3">
        <w:rPr>
          <w:rFonts w:asciiTheme="minorHAnsi" w:eastAsia="HiddenHorzOCR" w:hAnsiTheme="minorHAnsi"/>
          <w:color w:val="auto"/>
          <w:szCs w:val="24"/>
        </w:rPr>
        <w:t xml:space="preserve"> any</w:t>
      </w:r>
      <w:r w:rsidR="00664296" w:rsidRPr="00664296">
        <w:rPr>
          <w:rFonts w:asciiTheme="minorHAnsi" w:eastAsia="HiddenHorzOCR" w:hAnsiTheme="minorHAnsi"/>
          <w:color w:val="auto"/>
          <w:szCs w:val="24"/>
        </w:rPr>
        <w:t xml:space="preserve"> of the stated conditions.</w:t>
      </w:r>
    </w:p>
    <w:p w:rsidR="00664296" w:rsidRPr="00664296" w:rsidRDefault="00664296" w:rsidP="00664296">
      <w:pPr>
        <w:spacing w:line="240" w:lineRule="exact"/>
        <w:rPr>
          <w:rFonts w:asciiTheme="minorHAnsi" w:hAnsiTheme="minorHAnsi"/>
          <w:color w:val="auto"/>
          <w:szCs w:val="24"/>
          <w:u w:val="single"/>
        </w:rPr>
      </w:pPr>
    </w:p>
    <w:p w:rsidR="00664296" w:rsidRPr="00664296" w:rsidRDefault="00664296" w:rsidP="008A64C3">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Other conditions identified in the DES file were </w:t>
      </w:r>
      <w:proofErr w:type="spellStart"/>
      <w:r w:rsidR="005A78DC">
        <w:rPr>
          <w:rFonts w:asciiTheme="minorHAnsi" w:hAnsiTheme="minorHAnsi"/>
          <w:color w:val="auto"/>
          <w:szCs w:val="24"/>
        </w:rPr>
        <w:t>hayfever</w:t>
      </w:r>
      <w:proofErr w:type="spellEnd"/>
      <w:r w:rsidR="005A78DC">
        <w:rPr>
          <w:rFonts w:asciiTheme="minorHAnsi" w:hAnsiTheme="minorHAnsi"/>
          <w:color w:val="auto"/>
          <w:szCs w:val="24"/>
        </w:rPr>
        <w:t>, left shoulder pain, back pain, and left knee pain</w:t>
      </w:r>
      <w:r w:rsidRPr="00664296">
        <w:rPr>
          <w:rFonts w:asciiTheme="minorHAnsi" w:hAnsiTheme="minorHAnsi"/>
          <w:color w:val="auto"/>
          <w:szCs w:val="24"/>
        </w:rPr>
        <w:t>.  Several additional non-acute conditions or medical complaints were also documented</w:t>
      </w:r>
      <w:r w:rsidR="006B54DC">
        <w:rPr>
          <w:rFonts w:asciiTheme="minorHAnsi" w:hAnsiTheme="minorHAnsi"/>
          <w:color w:val="auto"/>
          <w:szCs w:val="24"/>
        </w:rPr>
        <w:t xml:space="preserve">. </w:t>
      </w:r>
      <w:r w:rsidR="006B54DC" w:rsidRPr="006B54DC">
        <w:rPr>
          <w:rFonts w:asciiTheme="minorHAnsi" w:hAnsiTheme="minorHAnsi"/>
          <w:color w:val="auto"/>
          <w:szCs w:val="24"/>
        </w:rPr>
        <w:t xml:space="preserve"> None of these conditions were significantly clinically or occupationally active during the MEB period, none carried attached profiles, and none were implicated in the commander’s statement.   </w:t>
      </w:r>
      <w:r w:rsidRPr="00664296">
        <w:rPr>
          <w:rFonts w:asciiTheme="minorHAnsi" w:hAnsiTheme="minorHAnsi"/>
          <w:color w:val="auto"/>
          <w:szCs w:val="24"/>
        </w:rPr>
        <w:t xml:space="preserve">These conditions were reviewed by the action officer and considered by the Board.  It was determined that none could be argued as unfitting and subject to separation rating.  Additionally </w:t>
      </w:r>
      <w:r w:rsidR="00006692">
        <w:rPr>
          <w:rFonts w:asciiTheme="minorHAnsi" w:hAnsiTheme="minorHAnsi"/>
          <w:color w:val="auto"/>
          <w:szCs w:val="24"/>
        </w:rPr>
        <w:t>l</w:t>
      </w:r>
      <w:r w:rsidR="008A64C3">
        <w:rPr>
          <w:rFonts w:asciiTheme="minorHAnsi" w:hAnsiTheme="minorHAnsi"/>
          <w:color w:val="auto"/>
          <w:szCs w:val="24"/>
        </w:rPr>
        <w:t>eft</w:t>
      </w:r>
      <w:r w:rsidR="00006692">
        <w:rPr>
          <w:rFonts w:asciiTheme="minorHAnsi" w:hAnsiTheme="minorHAnsi"/>
          <w:color w:val="auto"/>
          <w:szCs w:val="24"/>
        </w:rPr>
        <w:t xml:space="preserve"> </w:t>
      </w:r>
      <w:proofErr w:type="spellStart"/>
      <w:r w:rsidR="00006692">
        <w:rPr>
          <w:rFonts w:asciiTheme="minorHAnsi" w:hAnsiTheme="minorHAnsi"/>
          <w:color w:val="auto"/>
          <w:szCs w:val="24"/>
        </w:rPr>
        <w:t>retropatellar</w:t>
      </w:r>
      <w:proofErr w:type="spellEnd"/>
      <w:r w:rsidR="00006692">
        <w:rPr>
          <w:rFonts w:asciiTheme="minorHAnsi" w:hAnsiTheme="minorHAnsi"/>
          <w:color w:val="auto"/>
          <w:szCs w:val="24"/>
        </w:rPr>
        <w:t xml:space="preserve"> pain s</w:t>
      </w:r>
      <w:r w:rsidR="005A78DC" w:rsidRPr="005A78DC">
        <w:rPr>
          <w:rFonts w:asciiTheme="minorHAnsi" w:hAnsiTheme="minorHAnsi"/>
          <w:color w:val="auto"/>
          <w:szCs w:val="24"/>
        </w:rPr>
        <w:t>yndr</w:t>
      </w:r>
      <w:r w:rsidR="005A78DC">
        <w:rPr>
          <w:rFonts w:asciiTheme="minorHAnsi" w:hAnsiTheme="minorHAnsi"/>
          <w:color w:val="auto"/>
          <w:szCs w:val="24"/>
        </w:rPr>
        <w:t xml:space="preserve">ome, </w:t>
      </w:r>
      <w:r w:rsidR="00006692">
        <w:rPr>
          <w:rFonts w:asciiTheme="minorHAnsi" w:hAnsiTheme="minorHAnsi"/>
          <w:color w:val="auto"/>
          <w:szCs w:val="24"/>
        </w:rPr>
        <w:t>l</w:t>
      </w:r>
      <w:r w:rsidR="008A64C3">
        <w:rPr>
          <w:rFonts w:asciiTheme="minorHAnsi" w:hAnsiTheme="minorHAnsi"/>
          <w:color w:val="auto"/>
          <w:szCs w:val="24"/>
        </w:rPr>
        <w:t>eft</w:t>
      </w:r>
      <w:r w:rsidR="00006692">
        <w:rPr>
          <w:rFonts w:asciiTheme="minorHAnsi" w:hAnsiTheme="minorHAnsi"/>
          <w:color w:val="auto"/>
          <w:szCs w:val="24"/>
        </w:rPr>
        <w:t xml:space="preserve"> </w:t>
      </w:r>
      <w:proofErr w:type="spellStart"/>
      <w:r w:rsidR="00006692">
        <w:rPr>
          <w:rFonts w:asciiTheme="minorHAnsi" w:hAnsiTheme="minorHAnsi"/>
          <w:color w:val="auto"/>
          <w:szCs w:val="24"/>
        </w:rPr>
        <w:t>subacromial</w:t>
      </w:r>
      <w:proofErr w:type="spellEnd"/>
      <w:r w:rsidR="00006692">
        <w:rPr>
          <w:rFonts w:asciiTheme="minorHAnsi" w:hAnsiTheme="minorHAnsi"/>
          <w:color w:val="auto"/>
          <w:szCs w:val="24"/>
        </w:rPr>
        <w:t xml:space="preserve"> b</w:t>
      </w:r>
      <w:r w:rsidR="005A78DC" w:rsidRPr="005A78DC">
        <w:rPr>
          <w:rFonts w:asciiTheme="minorHAnsi" w:hAnsiTheme="minorHAnsi"/>
          <w:color w:val="auto"/>
          <w:szCs w:val="24"/>
        </w:rPr>
        <w:t>ursitis</w:t>
      </w:r>
      <w:r w:rsidR="005A78DC">
        <w:rPr>
          <w:rFonts w:asciiTheme="minorHAnsi" w:hAnsiTheme="minorHAnsi"/>
          <w:color w:val="auto"/>
          <w:szCs w:val="24"/>
        </w:rPr>
        <w:t xml:space="preserve"> and </w:t>
      </w:r>
      <w:proofErr w:type="spellStart"/>
      <w:r w:rsidR="00006692">
        <w:rPr>
          <w:rFonts w:asciiTheme="minorHAnsi" w:hAnsiTheme="minorHAnsi"/>
          <w:color w:val="auto"/>
          <w:szCs w:val="24"/>
        </w:rPr>
        <w:t>thoracolumbar</w:t>
      </w:r>
      <w:proofErr w:type="spellEnd"/>
      <w:r w:rsidR="00006692">
        <w:rPr>
          <w:rFonts w:asciiTheme="minorHAnsi" w:hAnsiTheme="minorHAnsi"/>
          <w:color w:val="auto"/>
          <w:szCs w:val="24"/>
        </w:rPr>
        <w:t xml:space="preserve"> strain/</w:t>
      </w:r>
      <w:r w:rsidR="005A78DC" w:rsidRPr="005A78DC">
        <w:rPr>
          <w:rFonts w:asciiTheme="minorHAnsi" w:hAnsiTheme="minorHAnsi"/>
          <w:color w:val="auto"/>
          <w:szCs w:val="24"/>
        </w:rPr>
        <w:t xml:space="preserve">DDD </w:t>
      </w:r>
      <w:r w:rsidRPr="00664296">
        <w:rPr>
          <w:rFonts w:asciiTheme="minorHAnsi" w:hAnsiTheme="minorHAnsi"/>
          <w:color w:val="auto"/>
          <w:szCs w:val="24"/>
        </w:rPr>
        <w:t xml:space="preserve">and several other non-acute conditions were noted in the VA rating decision proximal to separation, but were not documented in the DES file.  The Board does not have the authority under DoDI 6040.44 to render fitness or rating </w:t>
      </w:r>
      <w:r w:rsidRPr="00664296">
        <w:rPr>
          <w:rFonts w:asciiTheme="minorHAnsi" w:hAnsiTheme="minorHAnsi"/>
          <w:color w:val="auto"/>
          <w:szCs w:val="24"/>
        </w:rPr>
        <w:lastRenderedPageBreak/>
        <w:t>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856F1C" w:rsidRPr="00B427BB" w:rsidRDefault="00C56FC8" w:rsidP="00856F1C">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w:t>
      </w:r>
      <w:r w:rsidR="00610D38">
        <w:rPr>
          <w:rFonts w:asciiTheme="minorHAnsi" w:eastAsiaTheme="minorHAnsi" w:hAnsiTheme="minorHAnsi"/>
          <w:color w:val="auto"/>
          <w:szCs w:val="24"/>
        </w:rPr>
        <w:t>I</w:t>
      </w:r>
      <w:r w:rsidRPr="009C78FD">
        <w:rPr>
          <w:rFonts w:asciiTheme="minorHAnsi" w:eastAsiaTheme="minorHAnsi" w:hAnsiTheme="minorHAnsi"/>
          <w:color w:val="auto"/>
          <w:szCs w:val="24"/>
        </w:rPr>
        <w:t>PEB will not be considered by the Board to the extent they were inconsistent with the VASRD in effect at the time of the adjudication.</w:t>
      </w:r>
      <w:r w:rsidR="005A78DC">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As discussed above, PEB </w:t>
      </w:r>
      <w:r w:rsidR="00610D38">
        <w:rPr>
          <w:rFonts w:asciiTheme="minorHAnsi" w:eastAsiaTheme="minorHAnsi" w:hAnsiTheme="minorHAnsi"/>
          <w:color w:val="auto"/>
          <w:szCs w:val="24"/>
        </w:rPr>
        <w:t xml:space="preserve">likely </w:t>
      </w:r>
      <w:r w:rsidR="00664296" w:rsidRPr="00664296">
        <w:rPr>
          <w:rFonts w:asciiTheme="minorHAnsi" w:eastAsiaTheme="minorHAnsi" w:hAnsiTheme="minorHAnsi"/>
          <w:color w:val="auto"/>
          <w:szCs w:val="24"/>
        </w:rPr>
        <w:t xml:space="preserve">reliance on DoDI 1332.39 for rating </w:t>
      </w:r>
      <w:r w:rsidR="00856F1C">
        <w:rPr>
          <w:rFonts w:asciiTheme="minorHAnsi" w:eastAsiaTheme="minorHAnsi" w:hAnsiTheme="minorHAnsi"/>
          <w:color w:val="auto"/>
          <w:szCs w:val="24"/>
        </w:rPr>
        <w:t xml:space="preserve">the </w:t>
      </w:r>
      <w:r w:rsidR="00006692">
        <w:rPr>
          <w:rFonts w:asciiTheme="minorHAnsi" w:eastAsiaTheme="minorHAnsi" w:hAnsiTheme="minorHAnsi"/>
          <w:color w:val="auto"/>
          <w:szCs w:val="24"/>
        </w:rPr>
        <w:t>a</w:t>
      </w:r>
      <w:r w:rsidR="00610D38" w:rsidRPr="00610D38">
        <w:rPr>
          <w:rFonts w:asciiTheme="minorHAnsi" w:eastAsiaTheme="minorHAnsi" w:hAnsiTheme="minorHAnsi"/>
          <w:color w:val="auto"/>
          <w:szCs w:val="24"/>
        </w:rPr>
        <w:t>nxiety</w:t>
      </w:r>
      <w:r w:rsidR="00664296" w:rsidRPr="00664296">
        <w:rPr>
          <w:rFonts w:asciiTheme="minorHAnsi" w:eastAsiaTheme="minorHAnsi" w:hAnsiTheme="minorHAnsi"/>
          <w:color w:val="auto"/>
          <w:szCs w:val="24"/>
        </w:rPr>
        <w:t xml:space="preserve"> </w:t>
      </w:r>
      <w:r w:rsidR="00856F1C">
        <w:rPr>
          <w:rFonts w:asciiTheme="minorHAnsi" w:eastAsiaTheme="minorHAnsi" w:hAnsiTheme="minorHAnsi"/>
          <w:color w:val="auto"/>
          <w:szCs w:val="24"/>
        </w:rPr>
        <w:t xml:space="preserve">disorder condition </w:t>
      </w:r>
      <w:r w:rsidR="00664296" w:rsidRPr="00664296">
        <w:rPr>
          <w:rFonts w:asciiTheme="minorHAnsi" w:eastAsiaTheme="minorHAnsi" w:hAnsiTheme="minorHAnsi"/>
          <w:color w:val="auto"/>
          <w:szCs w:val="24"/>
        </w:rPr>
        <w:t xml:space="preserve">was operant in this case and the condition was adjudicated independently of that instruction by the Board. </w:t>
      </w:r>
      <w:r w:rsidR="00856F1C">
        <w:rPr>
          <w:rFonts w:asciiTheme="minorHAnsi" w:eastAsiaTheme="minorHAnsi" w:hAnsiTheme="minorHAnsi"/>
          <w:color w:val="auto"/>
          <w:szCs w:val="24"/>
        </w:rPr>
        <w:t xml:space="preserve"> </w:t>
      </w:r>
      <w:r w:rsidR="00664296" w:rsidRPr="00335DB8">
        <w:rPr>
          <w:rFonts w:asciiTheme="minorHAnsi" w:hAnsiTheme="minorHAnsi"/>
          <w:color w:val="auto"/>
          <w:szCs w:val="24"/>
        </w:rPr>
        <w:t xml:space="preserve">In the matter of the </w:t>
      </w:r>
      <w:r w:rsidR="00006692">
        <w:rPr>
          <w:color w:val="auto"/>
          <w:szCs w:val="24"/>
        </w:rPr>
        <w:t>a</w:t>
      </w:r>
      <w:r w:rsidR="00856F1C" w:rsidRPr="00335DB8">
        <w:rPr>
          <w:color w:val="auto"/>
          <w:szCs w:val="24"/>
        </w:rPr>
        <w:t>nxiety</w:t>
      </w:r>
      <w:r w:rsidR="00006692">
        <w:rPr>
          <w:color w:val="auto"/>
          <w:szCs w:val="24"/>
        </w:rPr>
        <w:t xml:space="preserve"> d</w:t>
      </w:r>
      <w:r w:rsidR="00664296" w:rsidRPr="00335DB8">
        <w:rPr>
          <w:color w:val="auto"/>
          <w:szCs w:val="24"/>
        </w:rPr>
        <w:t>isorder</w:t>
      </w:r>
      <w:r w:rsidR="00664296" w:rsidRPr="00335DB8">
        <w:rPr>
          <w:rFonts w:asciiTheme="minorHAnsi" w:hAnsiTheme="minorHAnsi"/>
          <w:color w:val="auto"/>
          <w:szCs w:val="24"/>
        </w:rPr>
        <w:t xml:space="preserve"> condition, the Board </w:t>
      </w:r>
      <w:r w:rsidR="00A55BB5" w:rsidRPr="00664296">
        <w:rPr>
          <w:rFonts w:asciiTheme="minorHAnsi" w:eastAsiaTheme="minorHAnsi" w:hAnsiTheme="minorHAnsi"/>
          <w:color w:val="auto"/>
          <w:szCs w:val="24"/>
        </w:rPr>
        <w:t xml:space="preserve">by a vote of 2:1 </w:t>
      </w:r>
      <w:r w:rsidR="00664296" w:rsidRPr="00335DB8">
        <w:rPr>
          <w:rFonts w:asciiTheme="minorHAnsi" w:hAnsiTheme="minorHAnsi"/>
          <w:color w:val="auto"/>
          <w:szCs w:val="24"/>
        </w:rPr>
        <w:t xml:space="preserve">recommends an initial TDRL rating of 50% in retroactive compliance with VASRD §4.129; and a </w:t>
      </w:r>
      <w:r w:rsidR="00A55BB5">
        <w:rPr>
          <w:rFonts w:asciiTheme="minorHAnsi" w:hAnsiTheme="minorHAnsi"/>
          <w:color w:val="auto"/>
          <w:szCs w:val="24"/>
        </w:rPr>
        <w:t>3</w:t>
      </w:r>
      <w:r w:rsidR="005A78DC" w:rsidRPr="00335DB8">
        <w:rPr>
          <w:rFonts w:asciiTheme="minorHAnsi" w:hAnsiTheme="minorHAnsi"/>
          <w:color w:val="auto"/>
          <w:szCs w:val="24"/>
        </w:rPr>
        <w:t>0</w:t>
      </w:r>
      <w:r w:rsidR="00664296" w:rsidRPr="00335DB8">
        <w:rPr>
          <w:rFonts w:asciiTheme="minorHAnsi" w:hAnsiTheme="minorHAnsi"/>
          <w:color w:val="auto"/>
          <w:szCs w:val="24"/>
        </w:rPr>
        <w:t>% permanent rating at 6 months IAW VASRD §4.130.</w:t>
      </w:r>
      <w:r w:rsidR="00856F1C" w:rsidRPr="00335DB8">
        <w:rPr>
          <w:rFonts w:asciiTheme="minorHAnsi" w:hAnsiTheme="minorHAnsi"/>
          <w:color w:val="auto"/>
          <w:szCs w:val="24"/>
        </w:rPr>
        <w:t xml:space="preserve">  </w:t>
      </w:r>
      <w:r w:rsidR="00A55BB5" w:rsidRPr="00664296">
        <w:rPr>
          <w:rFonts w:asciiTheme="minorHAnsi" w:eastAsiaTheme="minorHAnsi" w:hAnsiTheme="minorHAnsi"/>
          <w:color w:val="auto"/>
          <w:szCs w:val="24"/>
        </w:rPr>
        <w:t xml:space="preserve">The single voter for dissent (who recommended </w:t>
      </w:r>
      <w:r w:rsidR="00A55BB5">
        <w:rPr>
          <w:rFonts w:asciiTheme="minorHAnsi" w:eastAsiaTheme="minorHAnsi" w:hAnsiTheme="minorHAnsi"/>
          <w:color w:val="auto"/>
          <w:szCs w:val="24"/>
        </w:rPr>
        <w:t xml:space="preserve">no application of </w:t>
      </w:r>
      <w:r w:rsidR="00A55BB5" w:rsidRPr="00335DB8">
        <w:rPr>
          <w:rFonts w:asciiTheme="minorHAnsi" w:hAnsiTheme="minorHAnsi"/>
          <w:color w:val="auto"/>
          <w:szCs w:val="24"/>
        </w:rPr>
        <w:t>VASRD §4.129</w:t>
      </w:r>
      <w:r w:rsidR="00A55BB5">
        <w:rPr>
          <w:rFonts w:asciiTheme="minorHAnsi" w:hAnsiTheme="minorHAnsi"/>
          <w:color w:val="auto"/>
          <w:szCs w:val="24"/>
        </w:rPr>
        <w:t xml:space="preserve"> </w:t>
      </w:r>
      <w:r w:rsidR="002D4B71">
        <w:rPr>
          <w:rFonts w:asciiTheme="minorHAnsi" w:hAnsiTheme="minorHAnsi"/>
          <w:color w:val="auto"/>
          <w:szCs w:val="24"/>
        </w:rPr>
        <w:t xml:space="preserve">[no TDRL rating] </w:t>
      </w:r>
      <w:r w:rsidR="00A55BB5">
        <w:rPr>
          <w:rFonts w:asciiTheme="minorHAnsi" w:hAnsiTheme="minorHAnsi"/>
          <w:color w:val="auto"/>
          <w:szCs w:val="24"/>
        </w:rPr>
        <w:t>and a 3</w:t>
      </w:r>
      <w:r w:rsidR="00A55BB5" w:rsidRPr="00335DB8">
        <w:rPr>
          <w:rFonts w:asciiTheme="minorHAnsi" w:hAnsiTheme="minorHAnsi"/>
          <w:color w:val="auto"/>
          <w:szCs w:val="24"/>
        </w:rPr>
        <w:t xml:space="preserve">0% permanent </w:t>
      </w:r>
      <w:r w:rsidR="002D4B71">
        <w:rPr>
          <w:rFonts w:asciiTheme="minorHAnsi" w:hAnsiTheme="minorHAnsi"/>
          <w:color w:val="auto"/>
          <w:szCs w:val="24"/>
        </w:rPr>
        <w:t xml:space="preserve">rating </w:t>
      </w:r>
      <w:r w:rsidR="00A55BB5" w:rsidRPr="00335DB8">
        <w:rPr>
          <w:rFonts w:asciiTheme="minorHAnsi" w:hAnsiTheme="minorHAnsi"/>
          <w:color w:val="auto"/>
          <w:szCs w:val="24"/>
        </w:rPr>
        <w:t>IAW VASRD §4.</w:t>
      </w:r>
      <w:r w:rsidR="00A55BB5">
        <w:rPr>
          <w:rFonts w:asciiTheme="minorHAnsi" w:hAnsiTheme="minorHAnsi"/>
          <w:color w:val="auto"/>
          <w:szCs w:val="24"/>
        </w:rPr>
        <w:t>13</w:t>
      </w:r>
      <w:r w:rsidR="002D4B71">
        <w:rPr>
          <w:rFonts w:asciiTheme="minorHAnsi" w:hAnsiTheme="minorHAnsi"/>
          <w:color w:val="auto"/>
          <w:szCs w:val="24"/>
        </w:rPr>
        <w:t>0</w:t>
      </w:r>
      <w:r w:rsidR="00A55BB5" w:rsidRPr="00664296">
        <w:rPr>
          <w:rFonts w:asciiTheme="minorHAnsi" w:eastAsiaTheme="minorHAnsi" w:hAnsiTheme="minorHAnsi"/>
          <w:color w:val="auto"/>
          <w:szCs w:val="24"/>
        </w:rPr>
        <w:t>) did not elect to submit a minority opinion</w:t>
      </w:r>
      <w:r w:rsidR="002D4B71">
        <w:rPr>
          <w:rFonts w:asciiTheme="minorHAnsi" w:eastAsiaTheme="minorHAnsi" w:hAnsiTheme="minorHAnsi"/>
          <w:color w:val="auto"/>
          <w:szCs w:val="24"/>
        </w:rPr>
        <w:t xml:space="preserve">.  </w:t>
      </w:r>
      <w:r w:rsidR="00856F1C" w:rsidRPr="00335DB8">
        <w:rPr>
          <w:rFonts w:asciiTheme="minorHAnsi" w:eastAsiaTheme="minorHAnsi" w:hAnsiTheme="minorHAnsi"/>
          <w:color w:val="auto"/>
          <w:szCs w:val="24"/>
        </w:rPr>
        <w:t xml:space="preserve">In the matter of the </w:t>
      </w:r>
      <w:r w:rsidR="00006692">
        <w:rPr>
          <w:rFonts w:asciiTheme="minorHAnsi" w:hAnsiTheme="minorHAnsi"/>
          <w:color w:val="auto"/>
          <w:szCs w:val="24"/>
        </w:rPr>
        <w:t>personality d</w:t>
      </w:r>
      <w:r w:rsidR="00856F1C" w:rsidRPr="00335DB8">
        <w:rPr>
          <w:rFonts w:asciiTheme="minorHAnsi" w:hAnsiTheme="minorHAnsi"/>
          <w:color w:val="auto"/>
          <w:szCs w:val="24"/>
        </w:rPr>
        <w:t>isorder</w:t>
      </w:r>
      <w:r w:rsidR="00856F1C" w:rsidRPr="00335DB8">
        <w:rPr>
          <w:rFonts w:asciiTheme="minorHAnsi" w:eastAsiaTheme="minorHAnsi" w:hAnsiTheme="minorHAnsi"/>
          <w:color w:val="auto"/>
          <w:szCs w:val="24"/>
        </w:rPr>
        <w:t xml:space="preserve"> condition, the Board unanimously recommends no recharacterization of the PEB adjudication as not compensable.</w:t>
      </w:r>
      <w:r w:rsidR="002D4B71">
        <w:rPr>
          <w:rFonts w:asciiTheme="minorHAnsi" w:eastAsiaTheme="minorHAnsi" w:hAnsiTheme="minorHAnsi"/>
          <w:color w:val="auto"/>
          <w:szCs w:val="24"/>
        </w:rPr>
        <w:t xml:space="preserve">  </w:t>
      </w:r>
      <w:r w:rsidR="00856F1C" w:rsidRPr="00335DB8">
        <w:rPr>
          <w:rFonts w:asciiTheme="minorHAnsi" w:eastAsiaTheme="minorHAnsi" w:hAnsiTheme="minorHAnsi"/>
          <w:color w:val="auto"/>
          <w:szCs w:val="24"/>
        </w:rPr>
        <w:t xml:space="preserve">In the matter of the </w:t>
      </w:r>
      <w:r w:rsidR="00856F1C" w:rsidRPr="00335DB8">
        <w:rPr>
          <w:rFonts w:asciiTheme="minorHAnsi" w:hAnsiTheme="minorHAnsi"/>
          <w:color w:val="auto"/>
          <w:szCs w:val="24"/>
        </w:rPr>
        <w:t>hearing loss</w:t>
      </w:r>
      <w:r w:rsidR="00856F1C" w:rsidRPr="00335DB8">
        <w:rPr>
          <w:rFonts w:asciiTheme="minorHAnsi" w:eastAsiaTheme="minorHAnsi" w:hAnsiTheme="minorHAnsi"/>
          <w:color w:val="auto"/>
          <w:szCs w:val="24"/>
        </w:rPr>
        <w:t>, and chest pain conditions, the Board unanimously recommends no recharacterization of the PEB adjudications as not unfitting.</w:t>
      </w:r>
      <w:r w:rsidR="002D4B71">
        <w:rPr>
          <w:rFonts w:asciiTheme="minorHAnsi" w:eastAsiaTheme="minorHAnsi" w:hAnsiTheme="minorHAnsi"/>
          <w:color w:val="auto"/>
          <w:szCs w:val="24"/>
        </w:rPr>
        <w:t xml:space="preserve">  </w:t>
      </w:r>
      <w:r w:rsidR="00856F1C" w:rsidRPr="00335DB8">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856F1C" w:rsidRPr="004C15DD" w:rsidRDefault="00856F1C"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DF071B" w:rsidRPr="002D4B71" w:rsidRDefault="00C56FC8" w:rsidP="006539C1">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6539C1">
        <w:rPr>
          <w:rFonts w:asciiTheme="minorHAnsi" w:hAnsiTheme="minorHAnsi"/>
          <w:color w:val="auto"/>
        </w:rPr>
        <w:t xml:space="preserve"> </w:t>
      </w:r>
      <w:r w:rsidR="00DF071B" w:rsidRPr="00396779">
        <w:rPr>
          <w:rFonts w:asciiTheme="minorHAnsi" w:hAnsiTheme="minorHAnsi"/>
          <w:color w:val="auto"/>
          <w:szCs w:val="24"/>
        </w:rPr>
        <w:t xml:space="preserve">The Board recommends </w:t>
      </w:r>
      <w:r w:rsidR="00DF071B" w:rsidRPr="002D4B71">
        <w:rPr>
          <w:rFonts w:asciiTheme="minorHAnsi" w:hAnsiTheme="minorHAnsi"/>
          <w:color w:val="auto"/>
          <w:szCs w:val="24"/>
        </w:rPr>
        <w:t>that the CI’s prior determination be modified as follows</w:t>
      </w:r>
      <w:r w:rsidR="00B31965" w:rsidRPr="002D4B71">
        <w:rPr>
          <w:rFonts w:asciiTheme="minorHAnsi" w:hAnsiTheme="minorHAnsi"/>
          <w:color w:val="auto"/>
          <w:szCs w:val="24"/>
        </w:rPr>
        <w:t>:</w:t>
      </w:r>
      <w:r w:rsidR="00DF071B" w:rsidRPr="002D4B71">
        <w:rPr>
          <w:rFonts w:asciiTheme="minorHAnsi" w:hAnsiTheme="minorHAnsi"/>
          <w:color w:val="auto"/>
          <w:szCs w:val="24"/>
        </w:rPr>
        <w:t xml:space="preserve"> </w:t>
      </w:r>
      <w:r w:rsidR="00856F1C" w:rsidRPr="002D4B71">
        <w:rPr>
          <w:rFonts w:asciiTheme="minorHAnsi" w:hAnsiTheme="minorHAnsi"/>
          <w:color w:val="auto"/>
          <w:szCs w:val="24"/>
        </w:rPr>
        <w:t xml:space="preserve"> </w:t>
      </w:r>
      <w:r w:rsidR="00DF071B" w:rsidRPr="002D4B71">
        <w:rPr>
          <w:rFonts w:asciiTheme="minorHAnsi" w:hAnsiTheme="minorHAnsi"/>
          <w:color w:val="auto"/>
          <w:szCs w:val="24"/>
        </w:rPr>
        <w:t xml:space="preserve">TDRL at </w:t>
      </w:r>
      <w:r w:rsidR="005A78DC" w:rsidRPr="002D4B71">
        <w:rPr>
          <w:rFonts w:asciiTheme="minorHAnsi" w:hAnsiTheme="minorHAnsi"/>
          <w:color w:val="auto"/>
          <w:szCs w:val="24"/>
        </w:rPr>
        <w:t>50</w:t>
      </w:r>
      <w:r w:rsidR="00DF071B" w:rsidRPr="002D4B71">
        <w:rPr>
          <w:rFonts w:asciiTheme="minorHAnsi" w:hAnsiTheme="minorHAnsi"/>
          <w:color w:val="auto"/>
          <w:szCs w:val="24"/>
        </w:rPr>
        <w:t xml:space="preserve">% for </w:t>
      </w:r>
      <w:r w:rsidR="00A83C15" w:rsidRPr="002D4B71">
        <w:rPr>
          <w:rFonts w:asciiTheme="minorHAnsi" w:hAnsiTheme="minorHAnsi"/>
          <w:color w:val="auto"/>
          <w:szCs w:val="24"/>
        </w:rPr>
        <w:t>six</w:t>
      </w:r>
      <w:r w:rsidR="00DF071B" w:rsidRPr="002D4B71">
        <w:rPr>
          <w:rFonts w:asciiTheme="minorHAnsi" w:hAnsiTheme="minorHAnsi"/>
          <w:color w:val="auto"/>
          <w:szCs w:val="24"/>
        </w:rPr>
        <w:t xml:space="preserve"> months following CI’s prior medical separation (PTSD at minimum of 50% IAW §4.129) and then a permanent </w:t>
      </w:r>
      <w:r w:rsidR="00A55BB5" w:rsidRPr="002D4B71">
        <w:rPr>
          <w:rFonts w:asciiTheme="minorHAnsi" w:hAnsiTheme="minorHAnsi"/>
          <w:color w:val="auto"/>
          <w:szCs w:val="24"/>
        </w:rPr>
        <w:t>3</w:t>
      </w:r>
      <w:r w:rsidR="00FD1DCB" w:rsidRPr="002D4B71">
        <w:rPr>
          <w:rFonts w:asciiTheme="minorHAnsi" w:hAnsiTheme="minorHAnsi"/>
          <w:color w:val="auto"/>
          <w:szCs w:val="24"/>
        </w:rPr>
        <w:t>0</w:t>
      </w:r>
      <w:r w:rsidR="00DF071B" w:rsidRPr="002D4B71">
        <w:rPr>
          <w:rFonts w:asciiTheme="minorHAnsi" w:hAnsiTheme="minorHAnsi"/>
          <w:color w:val="auto"/>
          <w:szCs w:val="24"/>
        </w:rPr>
        <w:t>% disability</w:t>
      </w:r>
      <w:r w:rsidR="00DF071B" w:rsidRPr="001A025E">
        <w:rPr>
          <w:rFonts w:asciiTheme="minorHAnsi" w:hAnsiTheme="minorHAnsi"/>
          <w:color w:val="auto"/>
          <w:szCs w:val="24"/>
        </w:rPr>
        <w:t xml:space="preserve"> retirement as </w:t>
      </w:r>
      <w:r w:rsidR="00DF071B" w:rsidRPr="004C15DD">
        <w:rPr>
          <w:rFonts w:asciiTheme="minorHAnsi" w:hAnsiTheme="minorHAnsi"/>
          <w:color w:val="auto"/>
          <w:szCs w:val="24"/>
        </w:rPr>
        <w:t>below.</w:t>
      </w:r>
    </w:p>
    <w:p w:rsidR="00DB0015" w:rsidRPr="002D4B71" w:rsidRDefault="00DB0015"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2D4B71" w:rsidTr="00EF6C4A">
        <w:trPr>
          <w:jc w:val="center"/>
        </w:trPr>
        <w:tc>
          <w:tcPr>
            <w:tcW w:w="4950" w:type="dxa"/>
            <w:shd w:val="clear" w:color="auto" w:fill="D9D9D9"/>
            <w:vAlign w:val="center"/>
          </w:tcPr>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UNFITTING CONDITION</w:t>
            </w:r>
          </w:p>
        </w:tc>
        <w:tc>
          <w:tcPr>
            <w:tcW w:w="1710" w:type="dxa"/>
            <w:shd w:val="clear" w:color="auto" w:fill="D9D9D9"/>
            <w:vAlign w:val="center"/>
          </w:tcPr>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VASRD CODE</w:t>
            </w:r>
          </w:p>
        </w:tc>
        <w:tc>
          <w:tcPr>
            <w:tcW w:w="1170" w:type="dxa"/>
            <w:shd w:val="clear" w:color="auto" w:fill="D9D9D9"/>
            <w:vAlign w:val="center"/>
          </w:tcPr>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TDRL RATING</w:t>
            </w:r>
          </w:p>
        </w:tc>
        <w:tc>
          <w:tcPr>
            <w:tcW w:w="1530" w:type="dxa"/>
            <w:shd w:val="pct15" w:color="auto" w:fill="auto"/>
            <w:vAlign w:val="center"/>
          </w:tcPr>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PERMANENT</w:t>
            </w:r>
          </w:p>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RATING</w:t>
            </w:r>
          </w:p>
        </w:tc>
      </w:tr>
      <w:tr w:rsidR="00DB0015" w:rsidRPr="002D4B71" w:rsidTr="00EF6C4A">
        <w:trPr>
          <w:trHeight w:val="188"/>
          <w:jc w:val="center"/>
        </w:trPr>
        <w:tc>
          <w:tcPr>
            <w:tcW w:w="4950" w:type="dxa"/>
            <w:vAlign w:val="center"/>
          </w:tcPr>
          <w:p w:rsidR="00DB0015" w:rsidRPr="002D4B71" w:rsidRDefault="00431016" w:rsidP="00E80386">
            <w:pPr>
              <w:tabs>
                <w:tab w:val="left" w:pos="288"/>
                <w:tab w:val="left" w:pos="3538"/>
              </w:tabs>
              <w:spacing w:line="240" w:lineRule="exact"/>
              <w:rPr>
                <w:rFonts w:asciiTheme="minorHAnsi" w:hAnsiTheme="minorHAnsi"/>
                <w:color w:val="auto"/>
                <w:szCs w:val="24"/>
              </w:rPr>
            </w:pPr>
            <w:r w:rsidRPr="002D4B71">
              <w:rPr>
                <w:rFonts w:asciiTheme="minorHAnsi" w:hAnsiTheme="minorHAnsi"/>
                <w:color w:val="auto"/>
                <w:szCs w:val="24"/>
              </w:rPr>
              <w:t>Anxiety Disorder</w:t>
            </w:r>
          </w:p>
        </w:tc>
        <w:tc>
          <w:tcPr>
            <w:tcW w:w="1710" w:type="dxa"/>
            <w:tcBorders>
              <w:bottom w:val="single" w:sz="4" w:space="0" w:color="000000"/>
            </w:tcBorders>
            <w:vAlign w:val="center"/>
          </w:tcPr>
          <w:p w:rsidR="00DB0015" w:rsidRPr="002D4B71" w:rsidRDefault="00431016" w:rsidP="00EF6C4A">
            <w:pPr>
              <w:tabs>
                <w:tab w:val="left" w:pos="288"/>
                <w:tab w:val="left" w:pos="4752"/>
              </w:tabs>
              <w:spacing w:line="240" w:lineRule="exact"/>
              <w:jc w:val="center"/>
              <w:rPr>
                <w:rFonts w:asciiTheme="minorHAnsi" w:hAnsiTheme="minorHAnsi"/>
                <w:color w:val="auto"/>
                <w:szCs w:val="24"/>
              </w:rPr>
            </w:pPr>
            <w:r w:rsidRPr="002D4B71">
              <w:rPr>
                <w:rFonts w:asciiTheme="minorHAnsi" w:hAnsiTheme="minorHAnsi"/>
                <w:color w:val="auto"/>
                <w:szCs w:val="24"/>
              </w:rPr>
              <w:t>9413</w:t>
            </w:r>
          </w:p>
        </w:tc>
        <w:tc>
          <w:tcPr>
            <w:tcW w:w="1170" w:type="dxa"/>
            <w:tcBorders>
              <w:bottom w:val="single" w:sz="4" w:space="0" w:color="000000"/>
            </w:tcBorders>
            <w:vAlign w:val="center"/>
          </w:tcPr>
          <w:p w:rsidR="00DB0015" w:rsidRPr="002D4B71" w:rsidRDefault="00DB0015" w:rsidP="00EF6C4A">
            <w:pPr>
              <w:tabs>
                <w:tab w:val="left" w:pos="288"/>
                <w:tab w:val="left" w:pos="4752"/>
              </w:tabs>
              <w:spacing w:line="240" w:lineRule="exact"/>
              <w:jc w:val="center"/>
              <w:rPr>
                <w:rFonts w:asciiTheme="minorHAnsi" w:hAnsiTheme="minorHAnsi"/>
                <w:color w:val="auto"/>
                <w:szCs w:val="24"/>
              </w:rPr>
            </w:pPr>
            <w:r w:rsidRPr="002D4B71">
              <w:rPr>
                <w:rFonts w:asciiTheme="minorHAnsi" w:hAnsiTheme="minorHAnsi"/>
                <w:color w:val="auto"/>
                <w:szCs w:val="24"/>
              </w:rPr>
              <w:t>50%</w:t>
            </w:r>
          </w:p>
        </w:tc>
        <w:tc>
          <w:tcPr>
            <w:tcW w:w="1530" w:type="dxa"/>
            <w:tcBorders>
              <w:bottom w:val="single" w:sz="4" w:space="0" w:color="000000"/>
            </w:tcBorders>
            <w:vAlign w:val="center"/>
          </w:tcPr>
          <w:p w:rsidR="00DB0015" w:rsidRPr="002D4B71" w:rsidRDefault="00335DB8" w:rsidP="00EF6C4A">
            <w:pPr>
              <w:tabs>
                <w:tab w:val="left" w:pos="288"/>
                <w:tab w:val="left" w:pos="4752"/>
              </w:tabs>
              <w:spacing w:line="240" w:lineRule="exact"/>
              <w:jc w:val="center"/>
              <w:rPr>
                <w:rFonts w:asciiTheme="minorHAnsi" w:hAnsiTheme="minorHAnsi"/>
                <w:color w:val="auto"/>
                <w:szCs w:val="24"/>
              </w:rPr>
            </w:pPr>
            <w:r w:rsidRPr="002D4B71">
              <w:rPr>
                <w:rFonts w:asciiTheme="minorHAnsi" w:hAnsiTheme="minorHAnsi"/>
                <w:color w:val="auto"/>
                <w:szCs w:val="24"/>
              </w:rPr>
              <w:t>30%</w:t>
            </w:r>
          </w:p>
        </w:tc>
      </w:tr>
      <w:tr w:rsidR="00DB0015" w:rsidRPr="002D4B71"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2D4B71" w:rsidRDefault="00DB001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2D4B71" w:rsidRDefault="00C276CD"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5</w:t>
            </w:r>
            <w:r w:rsidR="007E71B1" w:rsidRPr="002D4B71">
              <w:rPr>
                <w:rFonts w:asciiTheme="minorHAnsi" w:hAnsiTheme="minorHAnsi"/>
                <w:b/>
                <w:color w:val="auto"/>
                <w:szCs w:val="24"/>
              </w:rPr>
              <w:t>0</w:t>
            </w:r>
            <w:r w:rsidR="00DB0015" w:rsidRPr="002D4B71">
              <w:rPr>
                <w:rFonts w:asciiTheme="minorHAnsi" w:hAnsiTheme="minorHAnsi"/>
                <w:b/>
                <w:color w:val="auto"/>
                <w:szCs w:val="24"/>
              </w:rPr>
              <w:t>%</w:t>
            </w:r>
          </w:p>
        </w:tc>
        <w:tc>
          <w:tcPr>
            <w:tcW w:w="1530" w:type="dxa"/>
            <w:shd w:val="pct15" w:color="auto" w:fill="auto"/>
            <w:vAlign w:val="center"/>
          </w:tcPr>
          <w:p w:rsidR="00DB0015" w:rsidRPr="002D4B71" w:rsidRDefault="00A55BB5" w:rsidP="00EF6C4A">
            <w:pPr>
              <w:tabs>
                <w:tab w:val="left" w:pos="288"/>
                <w:tab w:val="left" w:pos="4752"/>
              </w:tabs>
              <w:spacing w:line="240" w:lineRule="exact"/>
              <w:jc w:val="center"/>
              <w:rPr>
                <w:rFonts w:asciiTheme="minorHAnsi" w:hAnsiTheme="minorHAnsi"/>
                <w:b/>
                <w:color w:val="auto"/>
                <w:szCs w:val="24"/>
              </w:rPr>
            </w:pPr>
            <w:r w:rsidRPr="002D4B71">
              <w:rPr>
                <w:rFonts w:asciiTheme="minorHAnsi" w:hAnsiTheme="minorHAnsi"/>
                <w:b/>
                <w:color w:val="auto"/>
                <w:szCs w:val="24"/>
              </w:rPr>
              <w:t>3</w:t>
            </w:r>
            <w:r w:rsidR="007E71B1" w:rsidRPr="002D4B71">
              <w:rPr>
                <w:rFonts w:asciiTheme="minorHAnsi" w:hAnsiTheme="minorHAnsi"/>
                <w:b/>
                <w:color w:val="auto"/>
                <w:szCs w:val="24"/>
              </w:rPr>
              <w:t>0</w:t>
            </w:r>
            <w:r w:rsidR="00DB0015" w:rsidRPr="002D4B71">
              <w:rPr>
                <w:rFonts w:asciiTheme="minorHAnsi" w:hAnsiTheme="minorHAnsi"/>
                <w:b/>
                <w:color w:val="auto"/>
                <w:szCs w:val="24"/>
              </w:rPr>
              <w:t>%</w:t>
            </w:r>
          </w:p>
        </w:tc>
      </w:tr>
    </w:tbl>
    <w:p w:rsidR="00856F1C" w:rsidRPr="002D4B71" w:rsidRDefault="00856F1C" w:rsidP="00510F9C">
      <w:pPr>
        <w:tabs>
          <w:tab w:val="left" w:pos="288"/>
          <w:tab w:val="left" w:pos="1710"/>
        </w:tabs>
        <w:spacing w:line="240" w:lineRule="exact"/>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4659EA" w:rsidRDefault="004659EA" w:rsidP="00510F9C">
      <w:pPr>
        <w:tabs>
          <w:tab w:val="left" w:pos="288"/>
          <w:tab w:val="left" w:pos="4752"/>
        </w:tabs>
        <w:spacing w:line="240" w:lineRule="exact"/>
        <w:rPr>
          <w:b/>
          <w:color w:val="auto"/>
          <w:szCs w:val="24"/>
        </w:rPr>
      </w:pPr>
    </w:p>
    <w:p w:rsidR="00431016" w:rsidRPr="00431016" w:rsidRDefault="00431016" w:rsidP="00431016">
      <w:pPr>
        <w:tabs>
          <w:tab w:val="left" w:pos="288"/>
          <w:tab w:val="left" w:pos="4752"/>
        </w:tabs>
        <w:spacing w:line="240" w:lineRule="exact"/>
        <w:jc w:val="both"/>
        <w:rPr>
          <w:rFonts w:asciiTheme="minorHAnsi" w:hAnsiTheme="minorHAnsi"/>
          <w:color w:val="auto"/>
        </w:rPr>
      </w:pPr>
      <w:r w:rsidRPr="00431016">
        <w:rPr>
          <w:rFonts w:asciiTheme="minorHAnsi" w:hAnsiTheme="minorHAnsi"/>
          <w:color w:val="auto"/>
        </w:rPr>
        <w:t>The following documentary evidence was considered:</w:t>
      </w:r>
    </w:p>
    <w:p w:rsidR="00431016" w:rsidRPr="00431016" w:rsidRDefault="00431016" w:rsidP="00431016">
      <w:pPr>
        <w:tabs>
          <w:tab w:val="left" w:pos="288"/>
          <w:tab w:val="left" w:pos="4752"/>
        </w:tabs>
        <w:spacing w:line="240" w:lineRule="exact"/>
        <w:jc w:val="both"/>
        <w:rPr>
          <w:rFonts w:asciiTheme="minorHAnsi" w:hAnsiTheme="minorHAnsi"/>
          <w:color w:val="auto"/>
        </w:rPr>
      </w:pPr>
    </w:p>
    <w:p w:rsidR="00431016" w:rsidRPr="00431016" w:rsidRDefault="00431016" w:rsidP="00431016">
      <w:pPr>
        <w:tabs>
          <w:tab w:val="left" w:pos="288"/>
          <w:tab w:val="left" w:pos="4752"/>
        </w:tabs>
        <w:spacing w:line="240" w:lineRule="exact"/>
        <w:jc w:val="both"/>
        <w:rPr>
          <w:rFonts w:asciiTheme="minorHAnsi" w:hAnsiTheme="minorHAnsi"/>
          <w:color w:val="auto"/>
        </w:rPr>
      </w:pPr>
      <w:r w:rsidRPr="00431016">
        <w:rPr>
          <w:rFonts w:asciiTheme="minorHAnsi" w:hAnsiTheme="minorHAnsi"/>
          <w:color w:val="auto"/>
        </w:rPr>
        <w:t>Exhibit A.  DD Form 294</w:t>
      </w:r>
      <w:r w:rsidR="00006692">
        <w:rPr>
          <w:rFonts w:asciiTheme="minorHAnsi" w:hAnsiTheme="minorHAnsi"/>
          <w:color w:val="auto"/>
        </w:rPr>
        <w:t xml:space="preserve"> dated 20101207 w/</w:t>
      </w:r>
      <w:proofErr w:type="spellStart"/>
      <w:r w:rsidR="00006692">
        <w:rPr>
          <w:rFonts w:asciiTheme="minorHAnsi" w:hAnsiTheme="minorHAnsi"/>
          <w:color w:val="auto"/>
        </w:rPr>
        <w:t>atchs</w:t>
      </w:r>
      <w:proofErr w:type="spellEnd"/>
    </w:p>
    <w:p w:rsidR="00431016" w:rsidRPr="00431016" w:rsidRDefault="00431016" w:rsidP="00431016">
      <w:pPr>
        <w:tabs>
          <w:tab w:val="left" w:pos="288"/>
          <w:tab w:val="left" w:pos="4752"/>
        </w:tabs>
        <w:spacing w:line="240" w:lineRule="exact"/>
        <w:jc w:val="both"/>
        <w:rPr>
          <w:rFonts w:asciiTheme="minorHAnsi" w:hAnsiTheme="minorHAnsi"/>
          <w:color w:val="auto"/>
        </w:rPr>
      </w:pPr>
      <w:r w:rsidRPr="00431016">
        <w:rPr>
          <w:rFonts w:asciiTheme="minorHAnsi" w:hAnsiTheme="minorHAnsi"/>
          <w:color w:val="auto"/>
        </w:rPr>
        <w:t>Exhi</w:t>
      </w:r>
      <w:r w:rsidR="00006692">
        <w:rPr>
          <w:rFonts w:asciiTheme="minorHAnsi" w:hAnsiTheme="minorHAnsi"/>
          <w:color w:val="auto"/>
        </w:rPr>
        <w:t>bit B.  Service Treatment Record</w:t>
      </w:r>
    </w:p>
    <w:p w:rsidR="00431016" w:rsidRPr="00431016" w:rsidRDefault="00431016" w:rsidP="00431016">
      <w:pPr>
        <w:tabs>
          <w:tab w:val="left" w:pos="288"/>
          <w:tab w:val="left" w:pos="4752"/>
        </w:tabs>
        <w:spacing w:line="240" w:lineRule="exact"/>
        <w:jc w:val="both"/>
        <w:rPr>
          <w:rFonts w:asciiTheme="minorHAnsi" w:hAnsiTheme="minorHAnsi"/>
          <w:color w:val="auto"/>
        </w:rPr>
      </w:pPr>
      <w:r w:rsidRPr="00431016">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F20CCB">
        <w:rPr>
          <w:rFonts w:asciiTheme="minorHAnsi" w:hAnsiTheme="minorHAnsi"/>
          <w:color w:val="auto"/>
        </w:rPr>
        <w:t>XXXXXXXXXX</w:t>
      </w:r>
      <w:bookmarkStart w:id="0" w:name="_GoBack"/>
      <w:bookmarkEnd w:id="0"/>
    </w:p>
    <w:p w:rsidR="00B522CD" w:rsidRPr="00006186"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74579E" w:rsidRDefault="0074579E" w:rsidP="00610D38">
      <w:pPr>
        <w:rPr>
          <w:rFonts w:asciiTheme="minorHAnsi" w:hAnsiTheme="minorHAnsi"/>
          <w:color w:val="auto"/>
          <w:szCs w:val="24"/>
          <w:u w:val="single"/>
        </w:rPr>
      </w:pPr>
    </w:p>
    <w:p w:rsidR="0074579E" w:rsidRDefault="0074579E">
      <w:pPr>
        <w:rPr>
          <w:rFonts w:asciiTheme="minorHAnsi" w:hAnsiTheme="minorHAnsi"/>
          <w:color w:val="auto"/>
          <w:szCs w:val="24"/>
          <w:u w:val="single"/>
        </w:rPr>
      </w:pPr>
      <w:r>
        <w:rPr>
          <w:rFonts w:asciiTheme="minorHAnsi" w:hAnsiTheme="minorHAnsi"/>
          <w:color w:val="auto"/>
          <w:szCs w:val="24"/>
          <w:u w:val="single"/>
        </w:rPr>
        <w:br w:type="page"/>
      </w:r>
    </w:p>
    <w:p w:rsidR="0074579E" w:rsidRDefault="0074579E" w:rsidP="0074579E">
      <w:pPr>
        <w:pStyle w:val="Default"/>
        <w:framePr w:w="13047" w:wrap="auto" w:vAnchor="page" w:hAnchor="page" w:x="1" w:y="1"/>
      </w:pPr>
      <w:r>
        <w:rPr>
          <w:noProof/>
        </w:rPr>
        <w:drawing>
          <wp:inline distT="0" distB="0" distL="0" distR="0">
            <wp:extent cx="7772400" cy="101358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2400" cy="10135870"/>
                    </a:xfrm>
                    <a:prstGeom prst="rect">
                      <a:avLst/>
                    </a:prstGeom>
                    <a:noFill/>
                    <a:ln w="9525">
                      <a:noFill/>
                      <a:miter lim="800000"/>
                      <a:headEnd/>
                      <a:tailEnd/>
                    </a:ln>
                  </pic:spPr>
                </pic:pic>
              </a:graphicData>
            </a:graphic>
          </wp:inline>
        </w:drawing>
      </w:r>
    </w:p>
    <w:p w:rsidR="0074579E" w:rsidRDefault="0074579E" w:rsidP="0074579E">
      <w:pPr>
        <w:pStyle w:val="Default"/>
        <w:framePr w:w="13047" w:wrap="auto" w:vAnchor="page" w:hAnchor="page" w:x="1" w:y="1"/>
      </w:pPr>
    </w:p>
    <w:p w:rsidR="0074579E" w:rsidRDefault="0074579E" w:rsidP="0074579E">
      <w:pPr>
        <w:pStyle w:val="Default"/>
        <w:pageBreakBefore/>
        <w:framePr w:w="13047" w:wrap="auto" w:vAnchor="page" w:hAnchor="page" w:x="1" w:y="1"/>
      </w:pPr>
      <w:r>
        <w:rPr>
          <w:noProof/>
        </w:rPr>
        <w:drawing>
          <wp:inline distT="0" distB="0" distL="0" distR="0">
            <wp:extent cx="7772400" cy="100939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772400" cy="10093960"/>
                    </a:xfrm>
                    <a:prstGeom prst="rect">
                      <a:avLst/>
                    </a:prstGeom>
                    <a:noFill/>
                    <a:ln w="9525">
                      <a:noFill/>
                      <a:miter lim="800000"/>
                      <a:headEnd/>
                      <a:tailEnd/>
                    </a:ln>
                  </pic:spPr>
                </pic:pic>
              </a:graphicData>
            </a:graphic>
          </wp:inline>
        </w:drawing>
      </w:r>
    </w:p>
    <w:p w:rsidR="00664296" w:rsidRDefault="00664296" w:rsidP="00610D38">
      <w:pPr>
        <w:rPr>
          <w:rFonts w:asciiTheme="minorHAnsi" w:hAnsiTheme="minorHAnsi"/>
          <w:color w:val="auto"/>
          <w:szCs w:val="24"/>
          <w:u w:val="single"/>
        </w:rPr>
      </w:pPr>
    </w:p>
    <w:sectPr w:rsidR="00664296" w:rsidSect="002A5C3C">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66" w:rsidRDefault="00C93C66">
      <w:r>
        <w:separator/>
      </w:r>
    </w:p>
  </w:endnote>
  <w:endnote w:type="continuationSeparator" w:id="0">
    <w:p w:rsidR="00C93C66" w:rsidRDefault="00C93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47C85" w:rsidRPr="00684CE6" w:rsidRDefault="004C3084" w:rsidP="00F65ED5">
        <w:pPr>
          <w:pStyle w:val="Footer"/>
          <w:jc w:val="right"/>
          <w:rPr>
            <w:color w:val="auto"/>
          </w:rPr>
        </w:pPr>
        <w:r w:rsidRPr="00684CE6">
          <w:rPr>
            <w:color w:val="auto"/>
          </w:rPr>
          <w:fldChar w:fldCharType="begin"/>
        </w:r>
        <w:r w:rsidR="00D47C85" w:rsidRPr="00684CE6">
          <w:rPr>
            <w:color w:val="auto"/>
          </w:rPr>
          <w:instrText xml:space="preserve"> PAGE   \* MERGEFORMAT </w:instrText>
        </w:r>
        <w:r w:rsidRPr="00684CE6">
          <w:rPr>
            <w:color w:val="auto"/>
          </w:rPr>
          <w:fldChar w:fldCharType="separate"/>
        </w:r>
        <w:r w:rsidR="0074579E">
          <w:rPr>
            <w:noProof/>
            <w:color w:val="auto"/>
          </w:rPr>
          <w:t>2</w:t>
        </w:r>
        <w:r w:rsidRPr="00684CE6">
          <w:rPr>
            <w:color w:val="auto"/>
          </w:rPr>
          <w:fldChar w:fldCharType="end"/>
        </w:r>
        <w:r w:rsidR="00D47C85" w:rsidRPr="00684CE6">
          <w:rPr>
            <w:color w:val="auto"/>
          </w:rPr>
          <w:t xml:space="preserve">          </w:t>
        </w:r>
        <w:r w:rsidR="00D47C85">
          <w:rPr>
            <w:color w:val="auto"/>
          </w:rPr>
          <w:t xml:space="preserve">          </w:t>
        </w:r>
        <w:r w:rsidR="00D47C85" w:rsidRPr="00684CE6">
          <w:rPr>
            <w:color w:val="auto"/>
          </w:rPr>
          <w:t xml:space="preserve">                                                 </w:t>
        </w:r>
        <w:r w:rsidR="00D47C85" w:rsidRPr="008F7275">
          <w:rPr>
            <w:caps/>
            <w:color w:val="auto"/>
            <w:szCs w:val="24"/>
          </w:rPr>
          <w:t>PD1100039</w:t>
        </w:r>
      </w:p>
    </w:sdtContent>
  </w:sdt>
  <w:p w:rsidR="00D47C85" w:rsidRPr="00684CE6" w:rsidRDefault="00D47C8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66" w:rsidRDefault="00C93C66">
      <w:r>
        <w:separator/>
      </w:r>
    </w:p>
  </w:footnote>
  <w:footnote w:type="continuationSeparator" w:id="0">
    <w:p w:rsidR="00C93C66" w:rsidRDefault="00C93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A1891"/>
    <w:multiLevelType w:val="multilevel"/>
    <w:tmpl w:val="380A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76395"/>
    <w:multiLevelType w:val="multilevel"/>
    <w:tmpl w:val="096A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20"/>
  </w:num>
  <w:num w:numId="16">
    <w:abstractNumId w:val="1"/>
  </w:num>
  <w:num w:numId="17">
    <w:abstractNumId w:val="18"/>
  </w:num>
  <w:num w:numId="18">
    <w:abstractNumId w:val="10"/>
  </w:num>
  <w:num w:numId="19">
    <w:abstractNumId w:val="13"/>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rsids>
    <w:rsidRoot w:val="001C28D1"/>
    <w:rsid w:val="000024F5"/>
    <w:rsid w:val="000059FA"/>
    <w:rsid w:val="00006186"/>
    <w:rsid w:val="00006692"/>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A59"/>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3BF2"/>
    <w:rsid w:val="000D43F9"/>
    <w:rsid w:val="000D4717"/>
    <w:rsid w:val="000D6457"/>
    <w:rsid w:val="000D7D55"/>
    <w:rsid w:val="000E0993"/>
    <w:rsid w:val="000E2E50"/>
    <w:rsid w:val="000E37E0"/>
    <w:rsid w:val="000E3F20"/>
    <w:rsid w:val="000E4CBF"/>
    <w:rsid w:val="000E5577"/>
    <w:rsid w:val="000E7034"/>
    <w:rsid w:val="000F02BE"/>
    <w:rsid w:val="000F0812"/>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2F2"/>
    <w:rsid w:val="001425C8"/>
    <w:rsid w:val="00142EBA"/>
    <w:rsid w:val="00143B79"/>
    <w:rsid w:val="00145965"/>
    <w:rsid w:val="00147193"/>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29AD"/>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6DE9"/>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E63"/>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0E95"/>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5D87"/>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BAE"/>
    <w:rsid w:val="00245B6C"/>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99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4B71"/>
    <w:rsid w:val="002D5330"/>
    <w:rsid w:val="002D5F57"/>
    <w:rsid w:val="002D69F2"/>
    <w:rsid w:val="002D73D4"/>
    <w:rsid w:val="002D7787"/>
    <w:rsid w:val="002E0061"/>
    <w:rsid w:val="002E1877"/>
    <w:rsid w:val="002E1C31"/>
    <w:rsid w:val="002E2E0F"/>
    <w:rsid w:val="002E333A"/>
    <w:rsid w:val="002E3474"/>
    <w:rsid w:val="002E400C"/>
    <w:rsid w:val="002E49C3"/>
    <w:rsid w:val="002E5114"/>
    <w:rsid w:val="002E5988"/>
    <w:rsid w:val="002E64DA"/>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5DB8"/>
    <w:rsid w:val="00336805"/>
    <w:rsid w:val="00337351"/>
    <w:rsid w:val="00341A54"/>
    <w:rsid w:val="00343B55"/>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1EAB"/>
    <w:rsid w:val="003B227A"/>
    <w:rsid w:val="003B3A77"/>
    <w:rsid w:val="003B4319"/>
    <w:rsid w:val="003B5854"/>
    <w:rsid w:val="003B6764"/>
    <w:rsid w:val="003B7A8B"/>
    <w:rsid w:val="003C294B"/>
    <w:rsid w:val="003C5046"/>
    <w:rsid w:val="003C6068"/>
    <w:rsid w:val="003C7AEC"/>
    <w:rsid w:val="003D2BA3"/>
    <w:rsid w:val="003D316B"/>
    <w:rsid w:val="003D37EF"/>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786"/>
    <w:rsid w:val="00422B75"/>
    <w:rsid w:val="00424612"/>
    <w:rsid w:val="0042528C"/>
    <w:rsid w:val="00425672"/>
    <w:rsid w:val="00425A6A"/>
    <w:rsid w:val="00427F54"/>
    <w:rsid w:val="00431016"/>
    <w:rsid w:val="004312F2"/>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5AC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9EA"/>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670B"/>
    <w:rsid w:val="00497156"/>
    <w:rsid w:val="004A0C79"/>
    <w:rsid w:val="004A24D2"/>
    <w:rsid w:val="004A3214"/>
    <w:rsid w:val="004A4136"/>
    <w:rsid w:val="004A417B"/>
    <w:rsid w:val="004A4378"/>
    <w:rsid w:val="004A712D"/>
    <w:rsid w:val="004A7339"/>
    <w:rsid w:val="004B03F3"/>
    <w:rsid w:val="004B0CC9"/>
    <w:rsid w:val="004B2536"/>
    <w:rsid w:val="004B46D7"/>
    <w:rsid w:val="004B6AF3"/>
    <w:rsid w:val="004B715E"/>
    <w:rsid w:val="004B7169"/>
    <w:rsid w:val="004B79C9"/>
    <w:rsid w:val="004C00DD"/>
    <w:rsid w:val="004C05CF"/>
    <w:rsid w:val="004C0776"/>
    <w:rsid w:val="004C15DD"/>
    <w:rsid w:val="004C1EF8"/>
    <w:rsid w:val="004C2063"/>
    <w:rsid w:val="004C24C5"/>
    <w:rsid w:val="004C3084"/>
    <w:rsid w:val="004C47D5"/>
    <w:rsid w:val="004C4CAF"/>
    <w:rsid w:val="004C5E33"/>
    <w:rsid w:val="004C60A3"/>
    <w:rsid w:val="004C6CDA"/>
    <w:rsid w:val="004D10D4"/>
    <w:rsid w:val="004D13A5"/>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1AF"/>
    <w:rsid w:val="00534D42"/>
    <w:rsid w:val="005350A5"/>
    <w:rsid w:val="00535601"/>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781"/>
    <w:rsid w:val="00555C66"/>
    <w:rsid w:val="005569EF"/>
    <w:rsid w:val="00556BDE"/>
    <w:rsid w:val="00560D57"/>
    <w:rsid w:val="00562A94"/>
    <w:rsid w:val="00563FAD"/>
    <w:rsid w:val="005649D6"/>
    <w:rsid w:val="00567A34"/>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0D15"/>
    <w:rsid w:val="00583379"/>
    <w:rsid w:val="0058417C"/>
    <w:rsid w:val="005852AB"/>
    <w:rsid w:val="00586EC6"/>
    <w:rsid w:val="00587DDE"/>
    <w:rsid w:val="00593043"/>
    <w:rsid w:val="005945C8"/>
    <w:rsid w:val="00595B60"/>
    <w:rsid w:val="00595BF0"/>
    <w:rsid w:val="00597E16"/>
    <w:rsid w:val="005A0B1D"/>
    <w:rsid w:val="005A1846"/>
    <w:rsid w:val="005A258C"/>
    <w:rsid w:val="005A3560"/>
    <w:rsid w:val="005A464E"/>
    <w:rsid w:val="005A62FC"/>
    <w:rsid w:val="005A6C99"/>
    <w:rsid w:val="005A78DC"/>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0D38"/>
    <w:rsid w:val="00612FB0"/>
    <w:rsid w:val="0061356D"/>
    <w:rsid w:val="00613C01"/>
    <w:rsid w:val="00613E26"/>
    <w:rsid w:val="00615641"/>
    <w:rsid w:val="00616959"/>
    <w:rsid w:val="0062036E"/>
    <w:rsid w:val="006211D0"/>
    <w:rsid w:val="00621595"/>
    <w:rsid w:val="00622605"/>
    <w:rsid w:val="0062359D"/>
    <w:rsid w:val="00623634"/>
    <w:rsid w:val="00624D0C"/>
    <w:rsid w:val="00625EF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9C1"/>
    <w:rsid w:val="00653D2D"/>
    <w:rsid w:val="006555E7"/>
    <w:rsid w:val="006560B6"/>
    <w:rsid w:val="006573F2"/>
    <w:rsid w:val="0066002E"/>
    <w:rsid w:val="0066239B"/>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3E07"/>
    <w:rsid w:val="006A40E6"/>
    <w:rsid w:val="006A516B"/>
    <w:rsid w:val="006A5362"/>
    <w:rsid w:val="006A543A"/>
    <w:rsid w:val="006A5C07"/>
    <w:rsid w:val="006A759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6F64DD"/>
    <w:rsid w:val="007005EA"/>
    <w:rsid w:val="00701BBD"/>
    <w:rsid w:val="00703B6C"/>
    <w:rsid w:val="00703BB0"/>
    <w:rsid w:val="00704519"/>
    <w:rsid w:val="00704C88"/>
    <w:rsid w:val="00704EA1"/>
    <w:rsid w:val="007053DB"/>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642B"/>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79E"/>
    <w:rsid w:val="00745B0A"/>
    <w:rsid w:val="00745DBE"/>
    <w:rsid w:val="00745F01"/>
    <w:rsid w:val="007468AC"/>
    <w:rsid w:val="00746AE2"/>
    <w:rsid w:val="00750C82"/>
    <w:rsid w:val="00750E3A"/>
    <w:rsid w:val="00752035"/>
    <w:rsid w:val="0076100C"/>
    <w:rsid w:val="007612A5"/>
    <w:rsid w:val="00762060"/>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B9A"/>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23D"/>
    <w:rsid w:val="007F1375"/>
    <w:rsid w:val="007F1AFD"/>
    <w:rsid w:val="007F30E4"/>
    <w:rsid w:val="007F739F"/>
    <w:rsid w:val="0080064F"/>
    <w:rsid w:val="00801B85"/>
    <w:rsid w:val="00803850"/>
    <w:rsid w:val="008039E8"/>
    <w:rsid w:val="00803F5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39B"/>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60A"/>
    <w:rsid w:val="0085006A"/>
    <w:rsid w:val="0085089F"/>
    <w:rsid w:val="0085206E"/>
    <w:rsid w:val="00852273"/>
    <w:rsid w:val="0085293D"/>
    <w:rsid w:val="00852AD4"/>
    <w:rsid w:val="00852BA8"/>
    <w:rsid w:val="00852BF0"/>
    <w:rsid w:val="00853718"/>
    <w:rsid w:val="008541EF"/>
    <w:rsid w:val="00856AC7"/>
    <w:rsid w:val="00856F1C"/>
    <w:rsid w:val="00856FA4"/>
    <w:rsid w:val="00860E60"/>
    <w:rsid w:val="0086102A"/>
    <w:rsid w:val="0086162B"/>
    <w:rsid w:val="00861710"/>
    <w:rsid w:val="00861D5C"/>
    <w:rsid w:val="00861E7C"/>
    <w:rsid w:val="00864C42"/>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4C3"/>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2CD8"/>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B6E"/>
    <w:rsid w:val="008F1E08"/>
    <w:rsid w:val="008F2338"/>
    <w:rsid w:val="008F6FC8"/>
    <w:rsid w:val="008F7275"/>
    <w:rsid w:val="0090045D"/>
    <w:rsid w:val="00900D8F"/>
    <w:rsid w:val="009014E3"/>
    <w:rsid w:val="009020ED"/>
    <w:rsid w:val="009026E8"/>
    <w:rsid w:val="00902FDD"/>
    <w:rsid w:val="00905EEF"/>
    <w:rsid w:val="00906EB7"/>
    <w:rsid w:val="009102BF"/>
    <w:rsid w:val="00911490"/>
    <w:rsid w:val="009115F2"/>
    <w:rsid w:val="00911B11"/>
    <w:rsid w:val="00914ADB"/>
    <w:rsid w:val="00916EEA"/>
    <w:rsid w:val="00917182"/>
    <w:rsid w:val="00922058"/>
    <w:rsid w:val="00923B25"/>
    <w:rsid w:val="0092402E"/>
    <w:rsid w:val="009259BA"/>
    <w:rsid w:val="00926FCB"/>
    <w:rsid w:val="009303BB"/>
    <w:rsid w:val="0093108A"/>
    <w:rsid w:val="0093311A"/>
    <w:rsid w:val="009346D0"/>
    <w:rsid w:val="009419B4"/>
    <w:rsid w:val="00941A4C"/>
    <w:rsid w:val="00942645"/>
    <w:rsid w:val="009461E6"/>
    <w:rsid w:val="00950A3A"/>
    <w:rsid w:val="009532B9"/>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2D79"/>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50F"/>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5BB5"/>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2C51"/>
    <w:rsid w:val="00A944D8"/>
    <w:rsid w:val="00A959E7"/>
    <w:rsid w:val="00A95BBA"/>
    <w:rsid w:val="00A961EE"/>
    <w:rsid w:val="00AA04B3"/>
    <w:rsid w:val="00AA085A"/>
    <w:rsid w:val="00AA1253"/>
    <w:rsid w:val="00AA1ED0"/>
    <w:rsid w:val="00AA1F5B"/>
    <w:rsid w:val="00AA28EF"/>
    <w:rsid w:val="00AA3593"/>
    <w:rsid w:val="00AA38CA"/>
    <w:rsid w:val="00AA493E"/>
    <w:rsid w:val="00AA4E88"/>
    <w:rsid w:val="00AA73AF"/>
    <w:rsid w:val="00AB0A8A"/>
    <w:rsid w:val="00AB1754"/>
    <w:rsid w:val="00AB1F8D"/>
    <w:rsid w:val="00AB27DD"/>
    <w:rsid w:val="00AB592E"/>
    <w:rsid w:val="00AB6111"/>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0606"/>
    <w:rsid w:val="00B1176B"/>
    <w:rsid w:val="00B140B8"/>
    <w:rsid w:val="00B14FAA"/>
    <w:rsid w:val="00B15BED"/>
    <w:rsid w:val="00B15D30"/>
    <w:rsid w:val="00B16D18"/>
    <w:rsid w:val="00B177DE"/>
    <w:rsid w:val="00B20624"/>
    <w:rsid w:val="00B21F48"/>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536A"/>
    <w:rsid w:val="00B36569"/>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2F5C"/>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6A53"/>
    <w:rsid w:val="00BD7433"/>
    <w:rsid w:val="00BD7831"/>
    <w:rsid w:val="00BD7C10"/>
    <w:rsid w:val="00BE046F"/>
    <w:rsid w:val="00BE0DEB"/>
    <w:rsid w:val="00BE2AB8"/>
    <w:rsid w:val="00BE2FC1"/>
    <w:rsid w:val="00BE3142"/>
    <w:rsid w:val="00BE4039"/>
    <w:rsid w:val="00BE6365"/>
    <w:rsid w:val="00BF01B7"/>
    <w:rsid w:val="00BF0B7F"/>
    <w:rsid w:val="00BF2988"/>
    <w:rsid w:val="00BF30E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1AB5"/>
    <w:rsid w:val="00C62EB2"/>
    <w:rsid w:val="00C6461E"/>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3C66"/>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3BBD"/>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098"/>
    <w:rsid w:val="00CD5653"/>
    <w:rsid w:val="00CD5E6D"/>
    <w:rsid w:val="00CD63C8"/>
    <w:rsid w:val="00CD76F8"/>
    <w:rsid w:val="00CE02E8"/>
    <w:rsid w:val="00CE069E"/>
    <w:rsid w:val="00CE0DE0"/>
    <w:rsid w:val="00CE358C"/>
    <w:rsid w:val="00CE3722"/>
    <w:rsid w:val="00CE5D8A"/>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3978"/>
    <w:rsid w:val="00D43CBD"/>
    <w:rsid w:val="00D449F0"/>
    <w:rsid w:val="00D462D7"/>
    <w:rsid w:val="00D47C8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368B"/>
    <w:rsid w:val="00DB44E2"/>
    <w:rsid w:val="00DB498E"/>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56A9"/>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15B"/>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997"/>
    <w:rsid w:val="00E9763D"/>
    <w:rsid w:val="00EA1177"/>
    <w:rsid w:val="00EA118B"/>
    <w:rsid w:val="00EA11B6"/>
    <w:rsid w:val="00EA2181"/>
    <w:rsid w:val="00EA2DD8"/>
    <w:rsid w:val="00EA4475"/>
    <w:rsid w:val="00EA4E49"/>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0CCB"/>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6D5"/>
    <w:rsid w:val="00F611B3"/>
    <w:rsid w:val="00F6196E"/>
    <w:rsid w:val="00F624DD"/>
    <w:rsid w:val="00F629C0"/>
    <w:rsid w:val="00F63FC7"/>
    <w:rsid w:val="00F65E1F"/>
    <w:rsid w:val="00F65ED5"/>
    <w:rsid w:val="00F65F5C"/>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742"/>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1DCB"/>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page-title1">
    <w:name w:val="page-title1"/>
    <w:basedOn w:val="Normal"/>
    <w:rsid w:val="006A3E07"/>
    <w:pPr>
      <w:spacing w:after="109"/>
    </w:pPr>
    <w:rPr>
      <w:rFonts w:ascii="Times New Roman" w:hAnsi="Times New Roman"/>
      <w:b/>
      <w:bCs/>
      <w:color w:val="000000"/>
      <w:sz w:val="34"/>
      <w:szCs w:val="34"/>
    </w:rPr>
  </w:style>
  <w:style w:type="paragraph" w:customStyle="1" w:styleId="ncauthor1">
    <w:name w:val="ncauthor1"/>
    <w:basedOn w:val="Normal"/>
    <w:rsid w:val="006A3E07"/>
    <w:pPr>
      <w:spacing w:after="109"/>
    </w:pPr>
    <w:rPr>
      <w:rFonts w:ascii="Times New Roman" w:hAnsi="Times New Roman"/>
      <w:b/>
      <w:bCs/>
      <w:color w:val="393939"/>
      <w:sz w:val="22"/>
      <w:szCs w:val="22"/>
    </w:rPr>
  </w:style>
  <w:style w:type="character" w:customStyle="1" w:styleId="ncbold1">
    <w:name w:val="ncbold1"/>
    <w:basedOn w:val="DefaultParagraphFont"/>
    <w:rsid w:val="006A3E07"/>
    <w:rPr>
      <w:b/>
      <w:bCs/>
      <w:color w:val="000000"/>
    </w:rPr>
  </w:style>
  <w:style w:type="paragraph" w:customStyle="1" w:styleId="Default">
    <w:name w:val="Default"/>
    <w:rsid w:val="0074579E"/>
    <w:pPr>
      <w:widowControl w:val="0"/>
      <w:autoSpaceDE w:val="0"/>
      <w:autoSpaceDN w:val="0"/>
      <w:adjustRightInd w:val="0"/>
    </w:pPr>
    <w:rPr>
      <w:rFonts w:ascii="Times New Roman" w:eastAsiaTheme="minorEastAsia"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8963237">
      <w:bodyDiv w:val="1"/>
      <w:marLeft w:val="0"/>
      <w:marRight w:val="0"/>
      <w:marTop w:val="0"/>
      <w:marBottom w:val="0"/>
      <w:divBdr>
        <w:top w:val="none" w:sz="0" w:space="0" w:color="auto"/>
        <w:left w:val="none" w:sz="0" w:space="0" w:color="auto"/>
        <w:bottom w:val="none" w:sz="0" w:space="0" w:color="auto"/>
        <w:right w:val="none" w:sz="0" w:space="0" w:color="auto"/>
      </w:divBdr>
      <w:divsChild>
        <w:div w:id="215777242">
          <w:marLeft w:val="0"/>
          <w:marRight w:val="0"/>
          <w:marTop w:val="0"/>
          <w:marBottom w:val="0"/>
          <w:divBdr>
            <w:top w:val="none" w:sz="0" w:space="0" w:color="auto"/>
            <w:left w:val="none" w:sz="0" w:space="0" w:color="auto"/>
            <w:bottom w:val="none" w:sz="0" w:space="0" w:color="auto"/>
            <w:right w:val="none" w:sz="0" w:space="0" w:color="auto"/>
          </w:divBdr>
          <w:divsChild>
            <w:div w:id="1782917073">
              <w:marLeft w:val="0"/>
              <w:marRight w:val="0"/>
              <w:marTop w:val="0"/>
              <w:marBottom w:val="0"/>
              <w:divBdr>
                <w:top w:val="none" w:sz="0" w:space="0" w:color="auto"/>
                <w:left w:val="none" w:sz="0" w:space="0" w:color="auto"/>
                <w:bottom w:val="none" w:sz="0" w:space="0" w:color="auto"/>
                <w:right w:val="none" w:sz="0" w:space="0" w:color="auto"/>
              </w:divBdr>
              <w:divsChild>
                <w:div w:id="1917396507">
                  <w:marLeft w:val="0"/>
                  <w:marRight w:val="0"/>
                  <w:marTop w:val="0"/>
                  <w:marBottom w:val="0"/>
                  <w:divBdr>
                    <w:top w:val="none" w:sz="0" w:space="0" w:color="auto"/>
                    <w:left w:val="none" w:sz="0" w:space="0" w:color="auto"/>
                    <w:bottom w:val="none" w:sz="0" w:space="0" w:color="auto"/>
                    <w:right w:val="none" w:sz="0" w:space="0" w:color="auto"/>
                  </w:divBdr>
                  <w:divsChild>
                    <w:div w:id="20668079">
                      <w:marLeft w:val="0"/>
                      <w:marRight w:val="0"/>
                      <w:marTop w:val="46"/>
                      <w:marBottom w:val="91"/>
                      <w:divBdr>
                        <w:top w:val="none" w:sz="0" w:space="0" w:color="auto"/>
                        <w:left w:val="none" w:sz="0" w:space="0" w:color="auto"/>
                        <w:bottom w:val="none" w:sz="0" w:space="0" w:color="auto"/>
                        <w:right w:val="none" w:sz="0" w:space="0" w:color="auto"/>
                      </w:divBdr>
                      <w:divsChild>
                        <w:div w:id="2027367207">
                          <w:marLeft w:val="0"/>
                          <w:marRight w:val="0"/>
                          <w:marTop w:val="0"/>
                          <w:marBottom w:val="0"/>
                          <w:divBdr>
                            <w:top w:val="single" w:sz="2" w:space="0" w:color="CCCCCC"/>
                            <w:left w:val="single" w:sz="2" w:space="0" w:color="CCCCCC"/>
                            <w:bottom w:val="single" w:sz="2" w:space="0" w:color="CCCCCC"/>
                            <w:right w:val="single" w:sz="2" w:space="0" w:color="CCCCCC"/>
                          </w:divBdr>
                          <w:divsChild>
                            <w:div w:id="107429845">
                              <w:marLeft w:val="0"/>
                              <w:marRight w:val="0"/>
                              <w:marTop w:val="0"/>
                              <w:marBottom w:val="0"/>
                              <w:divBdr>
                                <w:top w:val="none" w:sz="0" w:space="0" w:color="auto"/>
                                <w:left w:val="none" w:sz="0" w:space="0" w:color="auto"/>
                                <w:bottom w:val="none" w:sz="0" w:space="0" w:color="auto"/>
                                <w:right w:val="none" w:sz="0" w:space="0" w:color="auto"/>
                              </w:divBdr>
                              <w:divsChild>
                                <w:div w:id="1424569563">
                                  <w:marLeft w:val="91"/>
                                  <w:marRight w:val="0"/>
                                  <w:marTop w:val="72"/>
                                  <w:marBottom w:val="0"/>
                                  <w:divBdr>
                                    <w:top w:val="single" w:sz="6" w:space="0" w:color="CCCDD0"/>
                                    <w:left w:val="single" w:sz="6" w:space="0" w:color="CCCDD0"/>
                                    <w:bottom w:val="single" w:sz="6" w:space="0" w:color="CCCDD0"/>
                                    <w:right w:val="single" w:sz="6" w:space="0" w:color="CCCDD0"/>
                                  </w:divBdr>
                                </w:div>
                              </w:divsChild>
                            </w:div>
                          </w:divsChild>
                        </w:div>
                      </w:divsChild>
                    </w:div>
                  </w:divsChild>
                </w:div>
              </w:divsChild>
            </w:div>
          </w:divsChild>
        </w:div>
      </w:divsChild>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B285-6C4E-49D0-A20D-2E339AB6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2813</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7</cp:revision>
  <cp:lastPrinted>2011-11-10T15:45:00Z</cp:lastPrinted>
  <dcterms:created xsi:type="dcterms:W3CDTF">2011-11-29T13:19:00Z</dcterms:created>
  <dcterms:modified xsi:type="dcterms:W3CDTF">2012-08-13T19:15:00Z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