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1C2B9C" w:rsidRDefault="00F629C0" w:rsidP="001C2B9C">
      <w:pPr>
        <w:tabs>
          <w:tab w:val="left" w:pos="288"/>
          <w:tab w:val="left" w:pos="6120"/>
          <w:tab w:val="left" w:pos="9270"/>
        </w:tabs>
        <w:spacing w:line="240" w:lineRule="exact"/>
        <w:jc w:val="both"/>
        <w:rPr>
          <w:rFonts w:asciiTheme="minorHAnsi" w:hAnsiTheme="minorHAnsi"/>
          <w:caps/>
          <w:color w:val="auto"/>
        </w:rPr>
      </w:pPr>
      <w:r w:rsidRPr="001C2B9C">
        <w:rPr>
          <w:rFonts w:asciiTheme="minorHAnsi" w:hAnsiTheme="minorHAnsi"/>
          <w:caps/>
          <w:color w:val="auto"/>
        </w:rPr>
        <w:t xml:space="preserve">NAME:  </w:t>
      </w:r>
      <w:r w:rsidR="005C4A66">
        <w:rPr>
          <w:rFonts w:asciiTheme="minorHAnsi" w:hAnsiTheme="minorHAnsi"/>
          <w:caps/>
          <w:color w:val="auto"/>
        </w:rPr>
        <w:t>XXXXXX</w:t>
      </w:r>
      <w:r w:rsidR="004216DA" w:rsidRPr="001C2B9C">
        <w:rPr>
          <w:rFonts w:asciiTheme="minorHAnsi" w:hAnsiTheme="minorHAnsi"/>
          <w:caps/>
          <w:color w:val="auto"/>
        </w:rPr>
        <w:t xml:space="preserve">             </w:t>
      </w:r>
      <w:r w:rsidR="00332DE3" w:rsidRPr="001C2B9C">
        <w:rPr>
          <w:rFonts w:asciiTheme="minorHAnsi" w:hAnsiTheme="minorHAnsi"/>
          <w:caps/>
          <w:color w:val="auto"/>
        </w:rPr>
        <w:t xml:space="preserve"> </w:t>
      </w:r>
      <w:r w:rsidR="004216DA" w:rsidRPr="001C2B9C">
        <w:rPr>
          <w:rFonts w:asciiTheme="minorHAnsi" w:hAnsiTheme="minorHAnsi"/>
          <w:caps/>
          <w:color w:val="auto"/>
        </w:rPr>
        <w:t xml:space="preserve">  </w:t>
      </w:r>
      <w:r w:rsidR="00057019" w:rsidRPr="001C2B9C">
        <w:rPr>
          <w:rFonts w:asciiTheme="minorHAnsi" w:hAnsiTheme="minorHAnsi"/>
          <w:caps/>
          <w:color w:val="auto"/>
        </w:rPr>
        <w:tab/>
      </w:r>
      <w:r w:rsidRPr="001C2B9C">
        <w:rPr>
          <w:rFonts w:asciiTheme="minorHAnsi" w:hAnsiTheme="minorHAnsi"/>
          <w:caps/>
          <w:color w:val="auto"/>
        </w:rPr>
        <w:t xml:space="preserve">BRANCH OF SERVICE: </w:t>
      </w:r>
      <w:r w:rsidR="004C24C5" w:rsidRPr="001C2B9C">
        <w:rPr>
          <w:rFonts w:asciiTheme="minorHAnsi" w:hAnsiTheme="minorHAnsi"/>
          <w:caps/>
          <w:color w:val="auto"/>
        </w:rPr>
        <w:t xml:space="preserve"> </w:t>
      </w:r>
      <w:r w:rsidR="001C2B9C" w:rsidRPr="001C2B9C">
        <w:rPr>
          <w:rFonts w:asciiTheme="minorHAnsi" w:hAnsiTheme="minorHAnsi"/>
          <w:caps/>
          <w:color w:val="auto"/>
        </w:rPr>
        <w:t>air force</w:t>
      </w:r>
    </w:p>
    <w:p w:rsidR="00DE3AAD" w:rsidRDefault="00012733" w:rsidP="001C2B9C">
      <w:pPr>
        <w:tabs>
          <w:tab w:val="left" w:pos="288"/>
          <w:tab w:val="left" w:pos="6120"/>
          <w:tab w:val="left" w:pos="9270"/>
        </w:tabs>
        <w:spacing w:line="240" w:lineRule="exact"/>
        <w:jc w:val="both"/>
        <w:rPr>
          <w:rFonts w:asciiTheme="minorHAnsi" w:hAnsiTheme="minorHAnsi"/>
          <w:caps/>
          <w:color w:val="auto"/>
        </w:rPr>
      </w:pPr>
      <w:r w:rsidRPr="001C2B9C">
        <w:rPr>
          <w:rFonts w:asciiTheme="minorHAnsi" w:hAnsiTheme="minorHAnsi"/>
          <w:caps/>
          <w:color w:val="auto"/>
        </w:rPr>
        <w:t>C</w:t>
      </w:r>
      <w:r w:rsidR="00DE3AAD" w:rsidRPr="001C2B9C">
        <w:rPr>
          <w:rFonts w:asciiTheme="minorHAnsi" w:hAnsiTheme="minorHAnsi"/>
          <w:caps/>
          <w:color w:val="auto"/>
        </w:rPr>
        <w:t xml:space="preserve">ASE NUMBER:  </w:t>
      </w:r>
      <w:r w:rsidR="001C2B9C" w:rsidRPr="001C2B9C">
        <w:rPr>
          <w:rFonts w:asciiTheme="minorHAnsi" w:hAnsiTheme="minorHAnsi"/>
          <w:caps/>
          <w:color w:val="auto"/>
        </w:rPr>
        <w:t>PD1100034</w:t>
      </w:r>
      <w:r w:rsidR="00AE54B2" w:rsidRPr="001C2B9C">
        <w:rPr>
          <w:rFonts w:asciiTheme="minorHAnsi" w:hAnsiTheme="minorHAnsi"/>
          <w:color w:val="auto"/>
        </w:rPr>
        <w:tab/>
      </w:r>
      <w:r w:rsidR="00DE3AAD" w:rsidRPr="001C2B9C">
        <w:rPr>
          <w:rFonts w:asciiTheme="minorHAnsi" w:hAnsiTheme="minorHAnsi"/>
          <w:color w:val="auto"/>
        </w:rPr>
        <w:t xml:space="preserve">SEPARATION DATE:  </w:t>
      </w:r>
      <w:r w:rsidR="001C2B9C" w:rsidRPr="001C2B9C">
        <w:rPr>
          <w:rFonts w:asciiTheme="minorHAnsi" w:hAnsiTheme="minorHAnsi"/>
          <w:color w:val="auto"/>
        </w:rPr>
        <w:t>20041024</w:t>
      </w:r>
    </w:p>
    <w:p w:rsidR="00827B29" w:rsidRPr="00784EA0" w:rsidRDefault="004F3639" w:rsidP="001C2B9C">
      <w:pPr>
        <w:tabs>
          <w:tab w:val="left" w:pos="288"/>
          <w:tab w:val="left" w:pos="306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7D0E9C">
        <w:rPr>
          <w:rFonts w:asciiTheme="minorHAnsi" w:hAnsiTheme="minorHAnsi"/>
          <w:caps/>
          <w:color w:val="auto"/>
        </w:rPr>
        <w:t>1223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E82E11" w:rsidRDefault="00FB0E80" w:rsidP="00514657">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E82E11" w:rsidRPr="00E82E11">
        <w:rPr>
          <w:rFonts w:asciiTheme="minorHAnsi" w:hAnsiTheme="minorHAnsi"/>
          <w:color w:val="auto"/>
        </w:rPr>
        <w:t xml:space="preserve">Data extracted from the available evidence of record reflects that this covered individual (CI) was an active duty member, SSgt/E-5 (3S171, Equal Opportunity &amp; Treatment Craftsman), medically separated for chronic neck and low back pain. The CI </w:t>
      </w:r>
      <w:r w:rsidR="00A37233">
        <w:rPr>
          <w:rFonts w:asciiTheme="minorHAnsi" w:hAnsiTheme="minorHAnsi"/>
          <w:color w:val="auto"/>
        </w:rPr>
        <w:t xml:space="preserve">had </w:t>
      </w:r>
      <w:r w:rsidR="0040289A">
        <w:rPr>
          <w:rFonts w:asciiTheme="minorHAnsi" w:hAnsiTheme="minorHAnsi"/>
          <w:color w:val="auto"/>
        </w:rPr>
        <w:t>a</w:t>
      </w:r>
      <w:r w:rsidR="00A37233">
        <w:rPr>
          <w:rFonts w:asciiTheme="minorHAnsi" w:hAnsiTheme="minorHAnsi"/>
          <w:color w:val="auto"/>
        </w:rPr>
        <w:t xml:space="preserve"> sev</w:t>
      </w:r>
      <w:r w:rsidR="0040289A">
        <w:rPr>
          <w:rFonts w:asciiTheme="minorHAnsi" w:hAnsiTheme="minorHAnsi"/>
          <w:color w:val="auto"/>
        </w:rPr>
        <w:t>eral year history</w:t>
      </w:r>
      <w:r w:rsidR="00A37233">
        <w:rPr>
          <w:rFonts w:asciiTheme="minorHAnsi" w:hAnsiTheme="minorHAnsi"/>
          <w:color w:val="auto"/>
        </w:rPr>
        <w:t xml:space="preserve"> of neck and upper back pain following a </w:t>
      </w:r>
      <w:r w:rsidR="00E82E11" w:rsidRPr="00E82E11">
        <w:rPr>
          <w:rFonts w:asciiTheme="minorHAnsi" w:hAnsiTheme="minorHAnsi"/>
          <w:color w:val="auto"/>
        </w:rPr>
        <w:t>motor</w:t>
      </w:r>
      <w:r w:rsidR="00A37233">
        <w:rPr>
          <w:rFonts w:asciiTheme="minorHAnsi" w:hAnsiTheme="minorHAnsi"/>
          <w:color w:val="auto"/>
        </w:rPr>
        <w:t xml:space="preserve"> vehicle accident in</w:t>
      </w:r>
      <w:r w:rsidR="00692CFC">
        <w:rPr>
          <w:rFonts w:asciiTheme="minorHAnsi" w:hAnsiTheme="minorHAnsi"/>
          <w:color w:val="auto"/>
        </w:rPr>
        <w:t xml:space="preserve"> </w:t>
      </w:r>
      <w:r w:rsidR="00A37233">
        <w:rPr>
          <w:rFonts w:asciiTheme="minorHAnsi" w:hAnsiTheme="minorHAnsi"/>
          <w:color w:val="auto"/>
        </w:rPr>
        <w:t>March 2003.  She</w:t>
      </w:r>
      <w:r w:rsidR="00E82E11" w:rsidRPr="00E82E11">
        <w:rPr>
          <w:rFonts w:asciiTheme="minorHAnsi" w:hAnsiTheme="minorHAnsi"/>
          <w:color w:val="auto"/>
        </w:rPr>
        <w:t xml:space="preserve"> was treated by a civilian chiropractor a</w:t>
      </w:r>
      <w:r w:rsidR="00A37233">
        <w:rPr>
          <w:rFonts w:asciiTheme="minorHAnsi" w:hAnsiTheme="minorHAnsi"/>
          <w:color w:val="auto"/>
        </w:rPr>
        <w:t>nd responded well to treatment, but</w:t>
      </w:r>
      <w:r w:rsidR="00E82E11" w:rsidRPr="00E82E11">
        <w:rPr>
          <w:rFonts w:asciiTheme="minorHAnsi" w:hAnsiTheme="minorHAnsi"/>
          <w:color w:val="auto"/>
        </w:rPr>
        <w:t xml:space="preserve"> subsequently re-injured her back when she fell down a flight of stairs in December 2003.  She </w:t>
      </w:r>
      <w:r w:rsidR="008475D5">
        <w:rPr>
          <w:rFonts w:asciiTheme="minorHAnsi" w:hAnsiTheme="minorHAnsi"/>
          <w:color w:val="auto"/>
        </w:rPr>
        <w:t>then developed worsening pain</w:t>
      </w:r>
      <w:r w:rsidR="00E82E11" w:rsidRPr="00E82E11">
        <w:rPr>
          <w:rFonts w:asciiTheme="minorHAnsi" w:hAnsiTheme="minorHAnsi"/>
          <w:color w:val="auto"/>
        </w:rPr>
        <w:t xml:space="preserve"> </w:t>
      </w:r>
      <w:r w:rsidR="008475D5">
        <w:rPr>
          <w:rFonts w:asciiTheme="minorHAnsi" w:hAnsiTheme="minorHAnsi"/>
          <w:color w:val="auto"/>
        </w:rPr>
        <w:t xml:space="preserve">which did not improve adequately with a further trial of conservative management.  She was unable to fully perform </w:t>
      </w:r>
      <w:r w:rsidR="00E82E11" w:rsidRPr="00E82E11">
        <w:rPr>
          <w:rFonts w:asciiTheme="minorHAnsi" w:hAnsiTheme="minorHAnsi"/>
          <w:color w:val="auto"/>
        </w:rPr>
        <w:t xml:space="preserve">within her Air Force </w:t>
      </w:r>
      <w:r w:rsidR="00692CFC">
        <w:rPr>
          <w:rFonts w:asciiTheme="minorHAnsi" w:hAnsiTheme="minorHAnsi"/>
          <w:color w:val="auto"/>
        </w:rPr>
        <w:t>s</w:t>
      </w:r>
      <w:r w:rsidR="00E82E11" w:rsidRPr="00E82E11">
        <w:rPr>
          <w:rFonts w:asciiTheme="minorHAnsi" w:hAnsiTheme="minorHAnsi"/>
          <w:color w:val="auto"/>
        </w:rPr>
        <w:t xml:space="preserve">pecialty (AFS) or meet physical fitness standards.  She was issued a temporary P4 profile and underwent a Medical Evaluation Board (MEB).  </w:t>
      </w:r>
      <w:r w:rsidR="008475D5">
        <w:rPr>
          <w:rFonts w:asciiTheme="minorHAnsi" w:hAnsiTheme="minorHAnsi"/>
          <w:color w:val="auto"/>
        </w:rPr>
        <w:t>The MEB evaluated the CI as well for two medical conditions, r</w:t>
      </w:r>
      <w:r w:rsidR="008475D5" w:rsidRPr="00E82E11">
        <w:rPr>
          <w:rFonts w:asciiTheme="minorHAnsi" w:hAnsiTheme="minorHAnsi"/>
          <w:color w:val="auto"/>
        </w:rPr>
        <w:t xml:space="preserve">enal papillary necrosis </w:t>
      </w:r>
      <w:r w:rsidR="008475D5">
        <w:rPr>
          <w:rFonts w:asciiTheme="minorHAnsi" w:hAnsiTheme="minorHAnsi"/>
          <w:color w:val="auto"/>
        </w:rPr>
        <w:t xml:space="preserve">and hypertension.  The spine (combined neck and back) and renal conditions </w:t>
      </w:r>
      <w:r w:rsidR="00E82E11" w:rsidRPr="00E82E11">
        <w:rPr>
          <w:rFonts w:asciiTheme="minorHAnsi" w:hAnsiTheme="minorHAnsi"/>
          <w:color w:val="auto"/>
        </w:rPr>
        <w:t>were forwarded to the Physical Evaluation Board (PEB) as medically unacceptable IAW AFI 48-123</w:t>
      </w:r>
      <w:r w:rsidR="003141B4">
        <w:rPr>
          <w:rFonts w:asciiTheme="minorHAnsi" w:hAnsiTheme="minorHAnsi"/>
          <w:color w:val="auto"/>
        </w:rPr>
        <w:t>; the hypertension was judged to be medically acceptable</w:t>
      </w:r>
      <w:r w:rsidR="00E82E11" w:rsidRPr="00E82E11">
        <w:rPr>
          <w:rFonts w:asciiTheme="minorHAnsi" w:hAnsiTheme="minorHAnsi"/>
          <w:color w:val="auto"/>
        </w:rPr>
        <w:t xml:space="preserve">.  No other conditions appeared on the MEB’s submission.  Other conditions included in the Disability Evaluation System (DES) file will be discussed below.  </w:t>
      </w:r>
      <w:r w:rsidR="0076578D">
        <w:rPr>
          <w:rFonts w:asciiTheme="minorHAnsi" w:hAnsiTheme="minorHAnsi"/>
          <w:color w:val="auto"/>
        </w:rPr>
        <w:t>An I</w:t>
      </w:r>
      <w:r w:rsidR="00E82E11" w:rsidRPr="00E82E11">
        <w:rPr>
          <w:rFonts w:asciiTheme="minorHAnsi" w:hAnsiTheme="minorHAnsi"/>
          <w:color w:val="auto"/>
        </w:rPr>
        <w:t xml:space="preserve">nformal PEB adjudicated the </w:t>
      </w:r>
      <w:r w:rsidR="00504065">
        <w:rPr>
          <w:rFonts w:asciiTheme="minorHAnsi" w:hAnsiTheme="minorHAnsi"/>
          <w:color w:val="auto"/>
        </w:rPr>
        <w:t>neck and back pain as a single unfitting</w:t>
      </w:r>
      <w:r w:rsidR="00E82E11" w:rsidRPr="00E82E11">
        <w:rPr>
          <w:rFonts w:asciiTheme="minorHAnsi" w:hAnsiTheme="minorHAnsi"/>
          <w:color w:val="auto"/>
        </w:rPr>
        <w:t xml:space="preserve"> condition, rated 10%, with application of the Veterans Administration Schedule for Rating Disabilities (VASRD)</w:t>
      </w:r>
      <w:r w:rsidR="00514657">
        <w:rPr>
          <w:rFonts w:asciiTheme="minorHAnsi" w:hAnsiTheme="minorHAnsi"/>
          <w:color w:val="auto"/>
        </w:rPr>
        <w:t xml:space="preserve">; and the </w:t>
      </w:r>
      <w:r w:rsidR="00C158A8">
        <w:rPr>
          <w:rFonts w:asciiTheme="minorHAnsi" w:hAnsiTheme="minorHAnsi"/>
          <w:color w:val="auto"/>
        </w:rPr>
        <w:t>r</w:t>
      </w:r>
      <w:r w:rsidR="00C158A8" w:rsidRPr="00E82E11">
        <w:rPr>
          <w:rFonts w:asciiTheme="minorHAnsi" w:hAnsiTheme="minorHAnsi"/>
          <w:color w:val="auto"/>
        </w:rPr>
        <w:t xml:space="preserve">enal papillary necrosis </w:t>
      </w:r>
      <w:r w:rsidR="00C158A8">
        <w:rPr>
          <w:rFonts w:asciiTheme="minorHAnsi" w:hAnsiTheme="minorHAnsi"/>
          <w:color w:val="auto"/>
        </w:rPr>
        <w:t>and hypertension</w:t>
      </w:r>
      <w:r w:rsidR="00514657">
        <w:rPr>
          <w:rFonts w:asciiTheme="minorHAnsi" w:hAnsiTheme="minorHAnsi"/>
          <w:color w:val="auto"/>
        </w:rPr>
        <w:t xml:space="preserve"> as Category II (</w:t>
      </w:r>
      <w:r w:rsidR="00514657" w:rsidRPr="00514657">
        <w:rPr>
          <w:rFonts w:asciiTheme="minorHAnsi" w:hAnsiTheme="minorHAnsi"/>
          <w:color w:val="auto"/>
        </w:rPr>
        <w:t>conditions that can be unfitting</w:t>
      </w:r>
      <w:r w:rsidR="00514657">
        <w:rPr>
          <w:rFonts w:asciiTheme="minorHAnsi" w:hAnsiTheme="minorHAnsi"/>
          <w:color w:val="auto"/>
        </w:rPr>
        <w:t xml:space="preserve"> </w:t>
      </w:r>
      <w:r w:rsidR="00514657" w:rsidRPr="00514657">
        <w:rPr>
          <w:rFonts w:asciiTheme="minorHAnsi" w:hAnsiTheme="minorHAnsi"/>
          <w:color w:val="auto"/>
        </w:rPr>
        <w:t xml:space="preserve">but are not </w:t>
      </w:r>
      <w:r w:rsidR="00514657">
        <w:rPr>
          <w:rFonts w:asciiTheme="minorHAnsi" w:hAnsiTheme="minorHAnsi"/>
          <w:color w:val="auto"/>
        </w:rPr>
        <w:t>currently compensable or ratabl</w:t>
      </w:r>
      <w:r w:rsidR="00514657" w:rsidRPr="00514657">
        <w:rPr>
          <w:rFonts w:asciiTheme="minorHAnsi" w:hAnsiTheme="minorHAnsi"/>
          <w:color w:val="auto"/>
        </w:rPr>
        <w:t>e</w:t>
      </w:r>
      <w:r w:rsidR="00514657">
        <w:rPr>
          <w:rFonts w:asciiTheme="minorHAnsi" w:hAnsiTheme="minorHAnsi"/>
          <w:color w:val="auto"/>
        </w:rPr>
        <w:t>)</w:t>
      </w:r>
      <w:r w:rsidR="00C158A8">
        <w:rPr>
          <w:rFonts w:asciiTheme="minorHAnsi" w:hAnsiTheme="minorHAnsi"/>
          <w:color w:val="auto"/>
        </w:rPr>
        <w:t>.</w:t>
      </w:r>
      <w:r w:rsidR="00E82E11" w:rsidRPr="00E82E11">
        <w:rPr>
          <w:rFonts w:asciiTheme="minorHAnsi" w:hAnsiTheme="minorHAnsi"/>
          <w:color w:val="auto"/>
        </w:rPr>
        <w:t xml:space="preserve">  The CI </w:t>
      </w:r>
      <w:r w:rsidR="00E82E11">
        <w:rPr>
          <w:rFonts w:asciiTheme="minorHAnsi" w:hAnsiTheme="minorHAnsi"/>
          <w:color w:val="auto"/>
        </w:rPr>
        <w:t>initially requested, then waived</w:t>
      </w:r>
      <w:r w:rsidR="00C158A8">
        <w:rPr>
          <w:rFonts w:asciiTheme="minorHAnsi" w:hAnsiTheme="minorHAnsi"/>
          <w:color w:val="auto"/>
        </w:rPr>
        <w:t>,</w:t>
      </w:r>
      <w:r w:rsidR="0076578D">
        <w:rPr>
          <w:rFonts w:asciiTheme="minorHAnsi" w:hAnsiTheme="minorHAnsi"/>
          <w:color w:val="auto"/>
        </w:rPr>
        <w:t xml:space="preserve"> a F</w:t>
      </w:r>
      <w:r w:rsidR="00E82E11">
        <w:rPr>
          <w:rFonts w:asciiTheme="minorHAnsi" w:hAnsiTheme="minorHAnsi"/>
          <w:color w:val="auto"/>
        </w:rPr>
        <w:t>ormal appeal</w:t>
      </w:r>
      <w:r w:rsidR="00C158A8">
        <w:rPr>
          <w:rFonts w:asciiTheme="minorHAnsi" w:hAnsiTheme="minorHAnsi"/>
          <w:color w:val="auto"/>
        </w:rPr>
        <w:t>;</w:t>
      </w:r>
      <w:r w:rsidR="00E82E11" w:rsidRPr="00E82E11">
        <w:rPr>
          <w:rFonts w:asciiTheme="minorHAnsi" w:hAnsiTheme="minorHAnsi"/>
          <w:color w:val="auto"/>
        </w:rPr>
        <w:t xml:space="preserve"> and</w:t>
      </w:r>
      <w:r w:rsidR="00C158A8">
        <w:rPr>
          <w:rFonts w:asciiTheme="minorHAnsi" w:hAnsiTheme="minorHAnsi"/>
          <w:color w:val="auto"/>
        </w:rPr>
        <w:t>,</w:t>
      </w:r>
      <w:r w:rsidR="00E82E11" w:rsidRPr="00E82E11">
        <w:rPr>
          <w:rFonts w:asciiTheme="minorHAnsi" w:hAnsiTheme="minorHAnsi"/>
          <w:color w:val="auto"/>
        </w:rPr>
        <w:t xml:space="preserve"> was </w:t>
      </w:r>
      <w:r w:rsidR="00C158A8">
        <w:rPr>
          <w:rFonts w:asciiTheme="minorHAnsi" w:hAnsiTheme="minorHAnsi"/>
          <w:color w:val="auto"/>
        </w:rPr>
        <w:t xml:space="preserve">thus </w:t>
      </w:r>
      <w:r w:rsidR="00E82E11" w:rsidRPr="00E82E11">
        <w:rPr>
          <w:rFonts w:asciiTheme="minorHAnsi" w:hAnsiTheme="minorHAnsi"/>
          <w:color w:val="auto"/>
        </w:rPr>
        <w:t>medically separated with a 10%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82E11" w:rsidRPr="00E82E11" w:rsidRDefault="002C6E5B" w:rsidP="00E82E11">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The CI states</w:t>
      </w:r>
      <w:r w:rsidR="00E82E11">
        <w:rPr>
          <w:rFonts w:asciiTheme="minorHAnsi" w:hAnsiTheme="minorHAnsi"/>
          <w:color w:val="auto"/>
        </w:rPr>
        <w:t>, in part</w:t>
      </w:r>
      <w:r w:rsidR="00057019" w:rsidRPr="00057019">
        <w:rPr>
          <w:rFonts w:asciiTheme="minorHAnsi" w:hAnsiTheme="minorHAnsi"/>
          <w:color w:val="auto"/>
        </w:rPr>
        <w:t>: “</w:t>
      </w:r>
      <w:r w:rsidR="00E82E11">
        <w:rPr>
          <w:rFonts w:asciiTheme="minorHAnsi" w:hAnsiTheme="minorHAnsi"/>
          <w:color w:val="auto"/>
        </w:rPr>
        <w:t xml:space="preserve">… </w:t>
      </w:r>
      <w:r w:rsidR="00E82E11" w:rsidRPr="00E82E11">
        <w:rPr>
          <w:rFonts w:asciiTheme="minorHAnsi" w:hAnsiTheme="minorHAnsi"/>
          <w:color w:val="auto"/>
        </w:rPr>
        <w:t>The rating board at the time of my evaluation did not take into consideration additional diagnosis relating to my injuries with residuals. At the time of my PEB decision I wanted to appear before the board, but was instructed by an Air Force attorney, that I should wait until my condition settle</w:t>
      </w:r>
      <w:r w:rsidR="003141B4">
        <w:rPr>
          <w:rFonts w:asciiTheme="minorHAnsi" w:hAnsiTheme="minorHAnsi"/>
          <w:color w:val="auto"/>
        </w:rPr>
        <w:t xml:space="preserve">d </w:t>
      </w:r>
      <w:r w:rsidR="00E82E11" w:rsidRPr="00E82E11">
        <w:rPr>
          <w:rFonts w:asciiTheme="minorHAnsi" w:hAnsiTheme="minorHAnsi"/>
          <w:color w:val="auto"/>
        </w:rPr>
        <w:t>down so an accurate picture of</w:t>
      </w:r>
      <w:r w:rsidR="00E82E11">
        <w:rPr>
          <w:rFonts w:asciiTheme="minorHAnsi" w:hAnsiTheme="minorHAnsi"/>
          <w:color w:val="auto"/>
        </w:rPr>
        <w:t xml:space="preserve"> my injuries could be evaluated… </w:t>
      </w:r>
      <w:r w:rsidR="00E82E11" w:rsidRPr="00E82E11">
        <w:rPr>
          <w:rFonts w:asciiTheme="minorHAnsi" w:hAnsiTheme="minorHAnsi"/>
          <w:color w:val="auto"/>
        </w:rPr>
        <w:t>Within 4 months of leaving the military I ended up having a metal plate (from C4 to C7) installed in my neck from the injuries sustained during the March 2003 accident. This change</w:t>
      </w:r>
      <w:r w:rsidR="006E6AEC">
        <w:rPr>
          <w:rFonts w:asciiTheme="minorHAnsi" w:hAnsiTheme="minorHAnsi"/>
          <w:color w:val="auto"/>
        </w:rPr>
        <w:t>[d]</w:t>
      </w:r>
      <w:r w:rsidR="00E82E11" w:rsidRPr="00E82E11">
        <w:rPr>
          <w:rFonts w:asciiTheme="minorHAnsi" w:hAnsiTheme="minorHAnsi"/>
          <w:color w:val="auto"/>
        </w:rPr>
        <w:t xml:space="preserve"> my life because I will never have an opportunity to come back into the military to finish my 4 years and 4 months of service. I have limited movement in my neck; I cannot rotate it to look over my shoulder left or right. I still suffer from migraines, </w:t>
      </w:r>
      <w:proofErr w:type="spellStart"/>
      <w:r w:rsidR="00E82E11" w:rsidRPr="00E82E11">
        <w:rPr>
          <w:rFonts w:asciiTheme="minorHAnsi" w:hAnsiTheme="minorHAnsi"/>
          <w:color w:val="auto"/>
        </w:rPr>
        <w:t>radiculopathy</w:t>
      </w:r>
      <w:proofErr w:type="spellEnd"/>
      <w:r w:rsidR="00E82E11" w:rsidRPr="00E82E11">
        <w:rPr>
          <w:rFonts w:asciiTheme="minorHAnsi" w:hAnsiTheme="minorHAnsi"/>
          <w:color w:val="auto"/>
        </w:rPr>
        <w:t xml:space="preserve">, decreased kidney function, severe anemia, and chronic hypertension with swelling in legs, sinusitis, back and neck pain on a continuous basis, and depression which all originated in the service. Because of these conditions I have had to alter </w:t>
      </w:r>
      <w:r w:rsidR="00E82E11">
        <w:rPr>
          <w:rFonts w:asciiTheme="minorHAnsi" w:hAnsiTheme="minorHAnsi"/>
          <w:color w:val="auto"/>
        </w:rPr>
        <w:t xml:space="preserve">my quality of life… </w:t>
      </w:r>
      <w:r w:rsidR="00E82E11" w:rsidRPr="00E82E11">
        <w:rPr>
          <w:rFonts w:asciiTheme="minorHAnsi" w:hAnsiTheme="minorHAnsi"/>
          <w:color w:val="auto"/>
        </w:rPr>
        <w:t xml:space="preserve">I believe I should have been given an evaluation equivalent to my evaluation from the Dept. of Veteran </w:t>
      </w:r>
      <w:r w:rsidR="00E82E11">
        <w:rPr>
          <w:rFonts w:asciiTheme="minorHAnsi" w:hAnsiTheme="minorHAnsi"/>
          <w:color w:val="auto"/>
        </w:rPr>
        <w:t>Affairs and place</w:t>
      </w:r>
      <w:r w:rsidR="00440ED4">
        <w:rPr>
          <w:rFonts w:asciiTheme="minorHAnsi" w:hAnsiTheme="minorHAnsi"/>
          <w:color w:val="auto"/>
        </w:rPr>
        <w:t>[d]</w:t>
      </w:r>
      <w:r w:rsidR="00E82E11">
        <w:rPr>
          <w:rFonts w:asciiTheme="minorHAnsi" w:hAnsiTheme="minorHAnsi"/>
          <w:color w:val="auto"/>
        </w:rPr>
        <w:t xml:space="preserve"> on retirement…</w:t>
      </w:r>
      <w:r w:rsidR="00440ED4">
        <w:rPr>
          <w:rFonts w:asciiTheme="minorHAnsi" w:hAnsiTheme="minorHAnsi"/>
          <w:color w:val="auto"/>
        </w:rPr>
        <w:t>”</w:t>
      </w:r>
      <w:r w:rsidR="002D211B">
        <w:rPr>
          <w:rFonts w:asciiTheme="minorHAnsi" w:hAnsiTheme="minorHAnsi"/>
          <w:color w:val="auto"/>
        </w:rPr>
        <w:t xml:space="preserve"> </w:t>
      </w:r>
      <w:r w:rsidR="00E82E11" w:rsidRPr="00E82E11">
        <w:rPr>
          <w:rFonts w:asciiTheme="minorHAnsi" w:hAnsiTheme="minorHAnsi"/>
          <w:color w:val="auto"/>
        </w:rPr>
        <w:t>She additionally lists all of her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6E6AEC" w:rsidRDefault="006E6AEC">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393" w:type="dxa"/>
        <w:jc w:val="center"/>
        <w:tblInd w:w="645" w:type="dxa"/>
        <w:tblLayout w:type="fixed"/>
        <w:tblLook w:val="04A0"/>
      </w:tblPr>
      <w:tblGrid>
        <w:gridCol w:w="1988"/>
        <w:gridCol w:w="715"/>
        <w:gridCol w:w="810"/>
        <w:gridCol w:w="3000"/>
        <w:gridCol w:w="1137"/>
        <w:gridCol w:w="753"/>
        <w:gridCol w:w="990"/>
      </w:tblGrid>
      <w:tr w:rsidR="002B4E22" w:rsidRPr="002A4119" w:rsidTr="00C158A8">
        <w:trPr>
          <w:trHeight w:val="107"/>
          <w:jc w:val="center"/>
        </w:trPr>
        <w:tc>
          <w:tcPr>
            <w:tcW w:w="3513" w:type="dxa"/>
            <w:gridSpan w:val="3"/>
            <w:tcBorders>
              <w:right w:val="thinThickThinSmallGap" w:sz="24" w:space="0" w:color="auto"/>
            </w:tcBorders>
            <w:shd w:val="clear" w:color="auto" w:fill="D9D9D9" w:themeFill="background1" w:themeFillShade="D9"/>
            <w:vAlign w:val="center"/>
          </w:tcPr>
          <w:p w:rsidR="002B4E22" w:rsidRPr="00B06930" w:rsidRDefault="00B731E4" w:rsidP="00C158A8">
            <w:pPr>
              <w:spacing w:line="240" w:lineRule="exact"/>
              <w:contextualSpacing/>
              <w:jc w:val="center"/>
              <w:rPr>
                <w:b/>
                <w:color w:val="auto"/>
                <w:sz w:val="20"/>
                <w:szCs w:val="20"/>
              </w:rPr>
            </w:pPr>
            <w:r w:rsidRPr="00B06930">
              <w:rPr>
                <w:b/>
                <w:color w:val="auto"/>
                <w:sz w:val="20"/>
                <w:szCs w:val="20"/>
              </w:rPr>
              <w:t xml:space="preserve">Service </w:t>
            </w:r>
            <w:r w:rsidR="00E82E11">
              <w:rPr>
                <w:b/>
                <w:color w:val="auto"/>
                <w:sz w:val="20"/>
                <w:szCs w:val="20"/>
              </w:rPr>
              <w:t>I</w:t>
            </w:r>
            <w:r w:rsidRPr="00B06930">
              <w:rPr>
                <w:b/>
                <w:color w:val="auto"/>
                <w:sz w:val="20"/>
                <w:szCs w:val="20"/>
              </w:rPr>
              <w:t>PEB – Dated 200</w:t>
            </w:r>
            <w:r w:rsidR="00E82E11">
              <w:rPr>
                <w:b/>
                <w:color w:val="auto"/>
                <w:sz w:val="20"/>
                <w:szCs w:val="20"/>
              </w:rPr>
              <w:t>40724</w:t>
            </w:r>
          </w:p>
        </w:tc>
        <w:tc>
          <w:tcPr>
            <w:tcW w:w="5880" w:type="dxa"/>
            <w:gridSpan w:val="4"/>
            <w:tcBorders>
              <w:left w:val="thinThickThinSmallGap" w:sz="24" w:space="0" w:color="auto"/>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VA (</w:t>
            </w:r>
            <w:r w:rsidR="00E82E11">
              <w:rPr>
                <w:b/>
                <w:color w:val="auto"/>
                <w:sz w:val="20"/>
                <w:szCs w:val="20"/>
              </w:rPr>
              <w:t>5</w:t>
            </w:r>
            <w:r w:rsidR="0079154B" w:rsidRPr="00B06930">
              <w:rPr>
                <w:b/>
                <w:color w:val="auto"/>
                <w:sz w:val="20"/>
                <w:szCs w:val="20"/>
              </w:rPr>
              <w:t xml:space="preserve"> </w:t>
            </w:r>
            <w:r w:rsidRPr="00B06930">
              <w:rPr>
                <w:b/>
                <w:color w:val="auto"/>
                <w:sz w:val="20"/>
                <w:szCs w:val="20"/>
              </w:rPr>
              <w:t xml:space="preserve">Mo. </w:t>
            </w:r>
            <w:r w:rsidRPr="00E82E11">
              <w:rPr>
                <w:b/>
                <w:color w:val="auto"/>
                <w:sz w:val="20"/>
                <w:szCs w:val="20"/>
              </w:rPr>
              <w:t>After</w:t>
            </w:r>
            <w:r w:rsidRPr="00B06930">
              <w:rPr>
                <w:b/>
                <w:color w:val="auto"/>
                <w:sz w:val="20"/>
                <w:szCs w:val="20"/>
              </w:rPr>
              <w:t xml:space="preserve"> Separation) – All Effective </w:t>
            </w:r>
            <w:r w:rsidR="002D08F3" w:rsidRPr="002D08F3">
              <w:rPr>
                <w:b/>
                <w:color w:val="auto"/>
                <w:sz w:val="20"/>
                <w:szCs w:val="20"/>
              </w:rPr>
              <w:t>200</w:t>
            </w:r>
            <w:r w:rsidR="00E82E11">
              <w:rPr>
                <w:b/>
                <w:color w:val="auto"/>
                <w:sz w:val="20"/>
                <w:szCs w:val="20"/>
              </w:rPr>
              <w:t>41025</w:t>
            </w:r>
          </w:p>
        </w:tc>
      </w:tr>
      <w:tr w:rsidR="00E82E11" w:rsidRPr="002A4119" w:rsidTr="00C158A8">
        <w:trPr>
          <w:trHeight w:val="170"/>
          <w:jc w:val="center"/>
        </w:trPr>
        <w:tc>
          <w:tcPr>
            <w:tcW w:w="198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Condition</w:t>
            </w:r>
          </w:p>
        </w:tc>
        <w:tc>
          <w:tcPr>
            <w:tcW w:w="715"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Rating</w:t>
            </w:r>
          </w:p>
        </w:tc>
        <w:tc>
          <w:tcPr>
            <w:tcW w:w="30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Condition</w:t>
            </w:r>
          </w:p>
        </w:tc>
        <w:tc>
          <w:tcPr>
            <w:tcW w:w="1137" w:type="dxa"/>
            <w:tcBorders>
              <w:bottom w:val="single" w:sz="4" w:space="0" w:color="000000" w:themeColor="text1"/>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Code</w:t>
            </w:r>
          </w:p>
        </w:tc>
        <w:tc>
          <w:tcPr>
            <w:tcW w:w="753" w:type="dxa"/>
            <w:tcBorders>
              <w:bottom w:val="single" w:sz="4" w:space="0" w:color="000000" w:themeColor="text1"/>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C158A8">
            <w:pPr>
              <w:spacing w:line="240" w:lineRule="exact"/>
              <w:contextualSpacing/>
              <w:jc w:val="center"/>
              <w:rPr>
                <w:b/>
                <w:color w:val="auto"/>
                <w:sz w:val="20"/>
                <w:szCs w:val="20"/>
              </w:rPr>
            </w:pPr>
            <w:r w:rsidRPr="00B06930">
              <w:rPr>
                <w:b/>
                <w:color w:val="auto"/>
                <w:sz w:val="20"/>
                <w:szCs w:val="20"/>
              </w:rPr>
              <w:t>Exam</w:t>
            </w:r>
          </w:p>
        </w:tc>
      </w:tr>
      <w:tr w:rsidR="00E82E11" w:rsidRPr="002A4119" w:rsidTr="00C158A8">
        <w:trPr>
          <w:trHeight w:val="134"/>
          <w:jc w:val="center"/>
        </w:trPr>
        <w:tc>
          <w:tcPr>
            <w:tcW w:w="1988" w:type="dxa"/>
            <w:vMerge w:val="restart"/>
            <w:tcBorders>
              <w:right w:val="single" w:sz="4" w:space="0" w:color="auto"/>
            </w:tcBorders>
            <w:shd w:val="clear" w:color="auto" w:fill="FFFFFF" w:themeFill="background1"/>
            <w:vAlign w:val="center"/>
          </w:tcPr>
          <w:p w:rsidR="00E82E11" w:rsidRPr="00E82E11" w:rsidRDefault="00E82E11" w:rsidP="00C158A8">
            <w:pPr>
              <w:spacing w:line="220" w:lineRule="exact"/>
              <w:contextualSpacing/>
              <w:rPr>
                <w:color w:val="auto"/>
                <w:sz w:val="18"/>
                <w:szCs w:val="18"/>
              </w:rPr>
            </w:pPr>
            <w:r w:rsidRPr="00E82E11">
              <w:rPr>
                <w:color w:val="auto"/>
                <w:sz w:val="18"/>
                <w:szCs w:val="18"/>
              </w:rPr>
              <w:t>Neck And Low Back Pain</w:t>
            </w:r>
          </w:p>
        </w:tc>
        <w:tc>
          <w:tcPr>
            <w:tcW w:w="715" w:type="dxa"/>
            <w:vMerge w:val="restart"/>
            <w:tcBorders>
              <w:left w:val="single" w:sz="4" w:space="0" w:color="auto"/>
            </w:tcBorders>
            <w:shd w:val="clear" w:color="auto" w:fill="FFFFFF" w:themeFill="background1"/>
            <w:vAlign w:val="center"/>
          </w:tcPr>
          <w:p w:rsidR="00E82E11" w:rsidRPr="0086102A" w:rsidRDefault="00E82E11" w:rsidP="00C158A8">
            <w:pPr>
              <w:spacing w:line="220" w:lineRule="exact"/>
              <w:contextualSpacing/>
              <w:jc w:val="center"/>
              <w:rPr>
                <w:color w:val="auto"/>
                <w:sz w:val="18"/>
                <w:szCs w:val="18"/>
              </w:rPr>
            </w:pPr>
            <w:r>
              <w:rPr>
                <w:color w:val="auto"/>
                <w:sz w:val="18"/>
                <w:szCs w:val="18"/>
              </w:rPr>
              <w:t>5237</w:t>
            </w:r>
          </w:p>
        </w:tc>
        <w:tc>
          <w:tcPr>
            <w:tcW w:w="810" w:type="dxa"/>
            <w:vMerge w:val="restart"/>
            <w:tcBorders>
              <w:right w:val="thinThickThinSmallGap" w:sz="24" w:space="0" w:color="auto"/>
            </w:tcBorders>
            <w:shd w:val="clear" w:color="auto" w:fill="FFFFFF" w:themeFill="background1"/>
            <w:vAlign w:val="center"/>
          </w:tcPr>
          <w:p w:rsidR="00E82E11" w:rsidRPr="004C2063" w:rsidRDefault="00E82E11" w:rsidP="00C158A8">
            <w:pPr>
              <w:spacing w:line="22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3000" w:type="dxa"/>
            <w:tcBorders>
              <w:left w:val="thinThickThinSmallGap" w:sz="24" w:space="0" w:color="auto"/>
            </w:tcBorders>
            <w:shd w:val="clear" w:color="auto" w:fill="FFFFFF" w:themeFill="background1"/>
            <w:vAlign w:val="center"/>
          </w:tcPr>
          <w:p w:rsidR="00E82E11" w:rsidRPr="00E82E11" w:rsidRDefault="00E82E11" w:rsidP="00C158A8">
            <w:pPr>
              <w:spacing w:line="220" w:lineRule="exact"/>
              <w:contextualSpacing/>
              <w:rPr>
                <w:color w:val="auto"/>
                <w:sz w:val="18"/>
                <w:szCs w:val="18"/>
              </w:rPr>
            </w:pPr>
            <w:r w:rsidRPr="00E82E11">
              <w:rPr>
                <w:color w:val="auto"/>
                <w:sz w:val="18"/>
                <w:szCs w:val="18"/>
              </w:rPr>
              <w:t xml:space="preserve">Thoracolumbar </w:t>
            </w:r>
            <w:proofErr w:type="spellStart"/>
            <w:r w:rsidRPr="00E82E11">
              <w:rPr>
                <w:color w:val="auto"/>
                <w:sz w:val="18"/>
                <w:szCs w:val="18"/>
              </w:rPr>
              <w:t>Paraspinal</w:t>
            </w:r>
            <w:proofErr w:type="spellEnd"/>
            <w:r w:rsidRPr="00E82E11">
              <w:rPr>
                <w:color w:val="auto"/>
                <w:sz w:val="18"/>
                <w:szCs w:val="18"/>
              </w:rPr>
              <w:t xml:space="preserve"> Tendinitis</w:t>
            </w:r>
          </w:p>
        </w:tc>
        <w:tc>
          <w:tcPr>
            <w:tcW w:w="1137" w:type="dxa"/>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5299-5237</w:t>
            </w:r>
          </w:p>
        </w:tc>
        <w:tc>
          <w:tcPr>
            <w:tcW w:w="753" w:type="dxa"/>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10%</w:t>
            </w:r>
          </w:p>
        </w:tc>
        <w:tc>
          <w:tcPr>
            <w:tcW w:w="990" w:type="dxa"/>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20050316</w:t>
            </w:r>
          </w:p>
        </w:tc>
      </w:tr>
      <w:tr w:rsidR="00E82E11" w:rsidRPr="002A4119" w:rsidTr="00C158A8">
        <w:trPr>
          <w:trHeight w:val="161"/>
          <w:jc w:val="center"/>
        </w:trPr>
        <w:tc>
          <w:tcPr>
            <w:tcW w:w="1988" w:type="dxa"/>
            <w:vMerge/>
            <w:tcBorders>
              <w:right w:val="single" w:sz="4" w:space="0" w:color="auto"/>
            </w:tcBorders>
            <w:shd w:val="clear" w:color="auto" w:fill="FFFFFF" w:themeFill="background1"/>
            <w:vAlign w:val="center"/>
          </w:tcPr>
          <w:p w:rsidR="00E82E11" w:rsidRPr="0086102A" w:rsidRDefault="00E82E11" w:rsidP="00C158A8">
            <w:pPr>
              <w:spacing w:line="220" w:lineRule="exact"/>
              <w:contextualSpacing/>
              <w:rPr>
                <w:color w:val="auto"/>
                <w:sz w:val="18"/>
                <w:szCs w:val="18"/>
              </w:rPr>
            </w:pPr>
          </w:p>
        </w:tc>
        <w:tc>
          <w:tcPr>
            <w:tcW w:w="715" w:type="dxa"/>
            <w:vMerge/>
            <w:tcBorders>
              <w:left w:val="single" w:sz="4" w:space="0" w:color="auto"/>
            </w:tcBorders>
            <w:shd w:val="clear" w:color="auto" w:fill="FFFFFF" w:themeFill="background1"/>
            <w:vAlign w:val="center"/>
          </w:tcPr>
          <w:p w:rsidR="00E82E11" w:rsidRPr="0086102A" w:rsidRDefault="00E82E11" w:rsidP="00C158A8">
            <w:pPr>
              <w:spacing w:line="22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E82E11" w:rsidRPr="004C2063" w:rsidRDefault="00E82E11" w:rsidP="00C158A8">
            <w:pPr>
              <w:spacing w:line="220" w:lineRule="exact"/>
              <w:contextualSpacing/>
              <w:jc w:val="center"/>
              <w:rPr>
                <w:color w:val="auto"/>
                <w:sz w:val="18"/>
                <w:szCs w:val="18"/>
                <w:highlight w:val="yellow"/>
              </w:rPr>
            </w:pPr>
          </w:p>
        </w:tc>
        <w:tc>
          <w:tcPr>
            <w:tcW w:w="3000" w:type="dxa"/>
            <w:tcBorders>
              <w:left w:val="thinThickThinSmallGap" w:sz="24" w:space="0" w:color="auto"/>
              <w:right w:val="single" w:sz="4" w:space="0" w:color="auto"/>
            </w:tcBorders>
            <w:shd w:val="clear" w:color="auto" w:fill="FFFFFF" w:themeFill="background1"/>
            <w:vAlign w:val="center"/>
          </w:tcPr>
          <w:p w:rsidR="00E82E11" w:rsidRPr="00E82E11" w:rsidRDefault="00E82E11" w:rsidP="003F551F">
            <w:pPr>
              <w:spacing w:line="220" w:lineRule="exact"/>
              <w:contextualSpacing/>
              <w:rPr>
                <w:color w:val="auto"/>
                <w:sz w:val="18"/>
                <w:szCs w:val="18"/>
              </w:rPr>
            </w:pPr>
            <w:r w:rsidRPr="00E82E11">
              <w:rPr>
                <w:color w:val="auto"/>
                <w:sz w:val="18"/>
                <w:szCs w:val="18"/>
              </w:rPr>
              <w:t xml:space="preserve">Cervical C6 </w:t>
            </w:r>
            <w:proofErr w:type="spellStart"/>
            <w:r w:rsidRPr="00E82E11">
              <w:rPr>
                <w:color w:val="auto"/>
                <w:sz w:val="18"/>
                <w:szCs w:val="18"/>
              </w:rPr>
              <w:t>Radiculopathy</w:t>
            </w:r>
            <w:proofErr w:type="spellEnd"/>
          </w:p>
        </w:tc>
        <w:tc>
          <w:tcPr>
            <w:tcW w:w="1137" w:type="dxa"/>
            <w:tcBorders>
              <w:left w:val="single" w:sz="4" w:space="0" w:color="auto"/>
            </w:tcBorders>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5299-5237</w:t>
            </w:r>
            <w:r w:rsidR="007549AC">
              <w:rPr>
                <w:color w:val="auto"/>
                <w:sz w:val="18"/>
                <w:szCs w:val="18"/>
              </w:rPr>
              <w:t>*</w:t>
            </w:r>
          </w:p>
        </w:tc>
        <w:tc>
          <w:tcPr>
            <w:tcW w:w="753" w:type="dxa"/>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10%</w:t>
            </w:r>
          </w:p>
        </w:tc>
        <w:tc>
          <w:tcPr>
            <w:tcW w:w="990" w:type="dxa"/>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20050316</w:t>
            </w:r>
          </w:p>
        </w:tc>
      </w:tr>
      <w:tr w:rsidR="00E82E11" w:rsidRPr="002A4119" w:rsidTr="00C158A8">
        <w:trPr>
          <w:trHeight w:val="89"/>
          <w:jc w:val="center"/>
        </w:trPr>
        <w:tc>
          <w:tcPr>
            <w:tcW w:w="1988" w:type="dxa"/>
            <w:tcBorders>
              <w:right w:val="single" w:sz="4" w:space="0" w:color="auto"/>
            </w:tcBorders>
            <w:shd w:val="clear" w:color="auto" w:fill="FFFFFF" w:themeFill="background1"/>
            <w:vAlign w:val="center"/>
          </w:tcPr>
          <w:p w:rsidR="00E82E11" w:rsidRPr="00E82E11" w:rsidRDefault="00E82E11" w:rsidP="00C158A8">
            <w:pPr>
              <w:spacing w:line="220" w:lineRule="exact"/>
              <w:contextualSpacing/>
              <w:rPr>
                <w:color w:val="auto"/>
                <w:sz w:val="18"/>
                <w:szCs w:val="18"/>
              </w:rPr>
            </w:pPr>
            <w:r w:rsidRPr="00E82E11">
              <w:rPr>
                <w:color w:val="auto"/>
                <w:sz w:val="18"/>
                <w:szCs w:val="18"/>
              </w:rPr>
              <w:t>Hypertension</w:t>
            </w:r>
          </w:p>
        </w:tc>
        <w:tc>
          <w:tcPr>
            <w:tcW w:w="1525" w:type="dxa"/>
            <w:gridSpan w:val="2"/>
            <w:tcBorders>
              <w:left w:val="single" w:sz="4" w:space="0" w:color="auto"/>
              <w:right w:val="thinThickThinSmallGap" w:sz="24" w:space="0" w:color="auto"/>
            </w:tcBorders>
            <w:shd w:val="clear" w:color="auto" w:fill="FFFFFF" w:themeFill="background1"/>
            <w:vAlign w:val="center"/>
          </w:tcPr>
          <w:p w:rsidR="00E82E11" w:rsidRPr="00E82E11" w:rsidRDefault="002D211B" w:rsidP="00C158A8">
            <w:pPr>
              <w:spacing w:line="220" w:lineRule="exact"/>
              <w:contextualSpacing/>
              <w:jc w:val="center"/>
              <w:rPr>
                <w:color w:val="auto"/>
                <w:sz w:val="18"/>
                <w:szCs w:val="18"/>
              </w:rPr>
            </w:pPr>
            <w:r w:rsidRPr="002D211B">
              <w:rPr>
                <w:color w:val="auto"/>
                <w:sz w:val="18"/>
                <w:szCs w:val="18"/>
              </w:rPr>
              <w:t>Category II</w:t>
            </w:r>
          </w:p>
        </w:tc>
        <w:tc>
          <w:tcPr>
            <w:tcW w:w="3000" w:type="dxa"/>
            <w:vMerge w:val="restart"/>
            <w:tcBorders>
              <w:left w:val="thinThickThinSmallGap" w:sz="24" w:space="0" w:color="auto"/>
              <w:right w:val="single" w:sz="4" w:space="0" w:color="auto"/>
            </w:tcBorders>
            <w:shd w:val="clear" w:color="auto" w:fill="FFFFFF" w:themeFill="background1"/>
            <w:vAlign w:val="center"/>
          </w:tcPr>
          <w:p w:rsidR="00E82E11" w:rsidRPr="0086102A" w:rsidRDefault="00E82E11" w:rsidP="00C158A8">
            <w:pPr>
              <w:spacing w:line="220" w:lineRule="exact"/>
              <w:contextualSpacing/>
              <w:rPr>
                <w:color w:val="auto"/>
                <w:sz w:val="18"/>
                <w:szCs w:val="18"/>
              </w:rPr>
            </w:pPr>
            <w:r w:rsidRPr="00E82E11">
              <w:rPr>
                <w:color w:val="auto"/>
                <w:sz w:val="18"/>
                <w:szCs w:val="18"/>
              </w:rPr>
              <w:t>Renal Papillary Necrosis Hypertension</w:t>
            </w:r>
          </w:p>
        </w:tc>
        <w:tc>
          <w:tcPr>
            <w:tcW w:w="1137" w:type="dxa"/>
            <w:vMerge w:val="restart"/>
            <w:tcBorders>
              <w:left w:val="single" w:sz="4" w:space="0" w:color="auto"/>
              <w:right w:val="single" w:sz="4" w:space="0" w:color="auto"/>
            </w:tcBorders>
            <w:shd w:val="clear" w:color="auto" w:fill="FFFFFF" w:themeFill="background1"/>
            <w:vAlign w:val="center"/>
          </w:tcPr>
          <w:p w:rsidR="00E82E11" w:rsidRPr="0086102A" w:rsidRDefault="00E82E11" w:rsidP="00C158A8">
            <w:pPr>
              <w:spacing w:line="220" w:lineRule="exact"/>
              <w:contextualSpacing/>
              <w:jc w:val="center"/>
              <w:rPr>
                <w:color w:val="auto"/>
                <w:sz w:val="18"/>
                <w:szCs w:val="18"/>
              </w:rPr>
            </w:pPr>
            <w:r>
              <w:rPr>
                <w:color w:val="auto"/>
                <w:sz w:val="18"/>
                <w:szCs w:val="18"/>
              </w:rPr>
              <w:t>7538</w:t>
            </w:r>
          </w:p>
        </w:tc>
        <w:tc>
          <w:tcPr>
            <w:tcW w:w="753" w:type="dxa"/>
            <w:vMerge w:val="restart"/>
            <w:tcBorders>
              <w:left w:val="single" w:sz="4" w:space="0" w:color="auto"/>
            </w:tcBorders>
            <w:shd w:val="clear" w:color="auto" w:fill="FFFFFF" w:themeFill="background1"/>
            <w:vAlign w:val="center"/>
          </w:tcPr>
          <w:p w:rsidR="00E82E11" w:rsidRPr="0086102A" w:rsidRDefault="00E82E11" w:rsidP="00C158A8">
            <w:pPr>
              <w:spacing w:line="220" w:lineRule="exact"/>
              <w:contextualSpacing/>
              <w:jc w:val="center"/>
              <w:rPr>
                <w:color w:val="auto"/>
                <w:sz w:val="18"/>
                <w:szCs w:val="18"/>
              </w:rPr>
            </w:pPr>
            <w:r>
              <w:rPr>
                <w:color w:val="auto"/>
                <w:sz w:val="18"/>
                <w:szCs w:val="18"/>
              </w:rPr>
              <w:t>30%</w:t>
            </w:r>
          </w:p>
        </w:tc>
        <w:tc>
          <w:tcPr>
            <w:tcW w:w="990" w:type="dxa"/>
            <w:vMerge w:val="restart"/>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r w:rsidRPr="00E82E11">
              <w:rPr>
                <w:color w:val="auto"/>
                <w:sz w:val="18"/>
                <w:szCs w:val="18"/>
              </w:rPr>
              <w:t>20050316</w:t>
            </w:r>
          </w:p>
        </w:tc>
      </w:tr>
      <w:tr w:rsidR="00E82E11" w:rsidRPr="002A4119" w:rsidTr="00C158A8">
        <w:trPr>
          <w:trHeight w:val="89"/>
          <w:jc w:val="center"/>
        </w:trPr>
        <w:tc>
          <w:tcPr>
            <w:tcW w:w="1988" w:type="dxa"/>
            <w:tcBorders>
              <w:right w:val="single" w:sz="4" w:space="0" w:color="auto"/>
            </w:tcBorders>
            <w:shd w:val="clear" w:color="auto" w:fill="FFFFFF" w:themeFill="background1"/>
            <w:vAlign w:val="center"/>
          </w:tcPr>
          <w:p w:rsidR="00E82E11" w:rsidRPr="00E82E11" w:rsidRDefault="00E82E11" w:rsidP="00C158A8">
            <w:pPr>
              <w:spacing w:line="220" w:lineRule="exact"/>
              <w:contextualSpacing/>
              <w:rPr>
                <w:color w:val="auto"/>
                <w:sz w:val="18"/>
                <w:szCs w:val="18"/>
              </w:rPr>
            </w:pPr>
            <w:r w:rsidRPr="00E82E11">
              <w:rPr>
                <w:color w:val="auto"/>
                <w:sz w:val="18"/>
                <w:szCs w:val="18"/>
              </w:rPr>
              <w:t xml:space="preserve">Papillary Necrosis </w:t>
            </w:r>
            <w:r>
              <w:rPr>
                <w:color w:val="auto"/>
                <w:sz w:val="18"/>
                <w:szCs w:val="18"/>
              </w:rPr>
              <w:t>…</w:t>
            </w:r>
          </w:p>
        </w:tc>
        <w:tc>
          <w:tcPr>
            <w:tcW w:w="1525" w:type="dxa"/>
            <w:gridSpan w:val="2"/>
            <w:tcBorders>
              <w:left w:val="single" w:sz="4" w:space="0" w:color="auto"/>
              <w:right w:val="thinThickThinSmallGap" w:sz="24" w:space="0" w:color="auto"/>
            </w:tcBorders>
            <w:shd w:val="clear" w:color="auto" w:fill="FFFFFF" w:themeFill="background1"/>
            <w:vAlign w:val="center"/>
          </w:tcPr>
          <w:p w:rsidR="00E82E11" w:rsidRPr="00E82E11" w:rsidRDefault="002D211B" w:rsidP="00C158A8">
            <w:pPr>
              <w:spacing w:line="220" w:lineRule="exact"/>
              <w:contextualSpacing/>
              <w:jc w:val="center"/>
              <w:rPr>
                <w:color w:val="auto"/>
                <w:sz w:val="18"/>
                <w:szCs w:val="18"/>
              </w:rPr>
            </w:pPr>
            <w:r w:rsidRPr="002D211B">
              <w:rPr>
                <w:color w:val="auto"/>
                <w:sz w:val="18"/>
                <w:szCs w:val="18"/>
              </w:rPr>
              <w:t>Category II</w:t>
            </w:r>
          </w:p>
        </w:tc>
        <w:tc>
          <w:tcPr>
            <w:tcW w:w="3000" w:type="dxa"/>
            <w:vMerge/>
            <w:tcBorders>
              <w:left w:val="thinThickThinSmallGap" w:sz="24" w:space="0" w:color="auto"/>
              <w:right w:val="single" w:sz="4" w:space="0" w:color="auto"/>
            </w:tcBorders>
            <w:shd w:val="clear" w:color="auto" w:fill="FFFFFF" w:themeFill="background1"/>
            <w:vAlign w:val="center"/>
          </w:tcPr>
          <w:p w:rsidR="00E82E11" w:rsidRPr="00E82E11" w:rsidRDefault="00E82E11" w:rsidP="00C158A8">
            <w:pPr>
              <w:spacing w:line="220" w:lineRule="exact"/>
              <w:contextualSpacing/>
              <w:rPr>
                <w:color w:val="auto"/>
                <w:sz w:val="18"/>
                <w:szCs w:val="18"/>
              </w:rPr>
            </w:pPr>
          </w:p>
        </w:tc>
        <w:tc>
          <w:tcPr>
            <w:tcW w:w="1137" w:type="dxa"/>
            <w:vMerge/>
            <w:tcBorders>
              <w:left w:val="single" w:sz="4" w:space="0" w:color="auto"/>
              <w:right w:val="single" w:sz="4" w:space="0" w:color="auto"/>
            </w:tcBorders>
            <w:shd w:val="clear" w:color="auto" w:fill="FFFFFF" w:themeFill="background1"/>
            <w:vAlign w:val="center"/>
          </w:tcPr>
          <w:p w:rsidR="00E82E11" w:rsidRDefault="00E82E11" w:rsidP="00C158A8">
            <w:pPr>
              <w:spacing w:line="220" w:lineRule="exact"/>
              <w:contextualSpacing/>
              <w:jc w:val="center"/>
              <w:rPr>
                <w:color w:val="auto"/>
                <w:sz w:val="18"/>
                <w:szCs w:val="18"/>
              </w:rPr>
            </w:pPr>
          </w:p>
        </w:tc>
        <w:tc>
          <w:tcPr>
            <w:tcW w:w="753" w:type="dxa"/>
            <w:vMerge/>
            <w:tcBorders>
              <w:left w:val="single" w:sz="4" w:space="0" w:color="auto"/>
            </w:tcBorders>
            <w:shd w:val="clear" w:color="auto" w:fill="FFFFFF" w:themeFill="background1"/>
            <w:vAlign w:val="center"/>
          </w:tcPr>
          <w:p w:rsidR="00E82E11" w:rsidRDefault="00E82E11" w:rsidP="00C158A8">
            <w:pPr>
              <w:spacing w:line="220" w:lineRule="exact"/>
              <w:contextualSpacing/>
              <w:jc w:val="center"/>
              <w:rPr>
                <w:color w:val="auto"/>
                <w:sz w:val="18"/>
                <w:szCs w:val="18"/>
              </w:rPr>
            </w:pPr>
          </w:p>
        </w:tc>
        <w:tc>
          <w:tcPr>
            <w:tcW w:w="990" w:type="dxa"/>
            <w:vMerge/>
            <w:shd w:val="clear" w:color="auto" w:fill="FFFFFF" w:themeFill="background1"/>
            <w:vAlign w:val="center"/>
          </w:tcPr>
          <w:p w:rsidR="00E82E11" w:rsidRPr="00E82E11" w:rsidRDefault="00E82E11" w:rsidP="00C158A8">
            <w:pPr>
              <w:spacing w:line="220" w:lineRule="exact"/>
              <w:contextualSpacing/>
              <w:jc w:val="center"/>
              <w:rPr>
                <w:color w:val="auto"/>
                <w:sz w:val="18"/>
                <w:szCs w:val="18"/>
              </w:rPr>
            </w:pPr>
          </w:p>
        </w:tc>
      </w:tr>
      <w:tr w:rsidR="002D211B" w:rsidRPr="002A4119" w:rsidTr="00C158A8">
        <w:trPr>
          <w:trHeight w:val="89"/>
          <w:jc w:val="center"/>
        </w:trPr>
        <w:tc>
          <w:tcPr>
            <w:tcW w:w="3513" w:type="dxa"/>
            <w:gridSpan w:val="3"/>
            <w:vMerge w:val="restart"/>
            <w:tcBorders>
              <w:right w:val="thinThickThinSmallGap" w:sz="24" w:space="0" w:color="auto"/>
            </w:tcBorders>
            <w:shd w:val="clear" w:color="auto" w:fill="FFFFFF" w:themeFill="background1"/>
          </w:tcPr>
          <w:p w:rsidR="002D211B" w:rsidRPr="00E82E11" w:rsidRDefault="002D211B" w:rsidP="00C158A8">
            <w:pPr>
              <w:spacing w:line="22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3000" w:type="dxa"/>
            <w:tcBorders>
              <w:left w:val="thinThickThinSmallGap" w:sz="24" w:space="0" w:color="auto"/>
              <w:right w:val="single" w:sz="4" w:space="0" w:color="auto"/>
            </w:tcBorders>
            <w:shd w:val="clear" w:color="auto" w:fill="FFFFFF" w:themeFill="background1"/>
            <w:vAlign w:val="center"/>
          </w:tcPr>
          <w:p w:rsidR="002D211B" w:rsidRPr="00E82E11" w:rsidRDefault="002D211B" w:rsidP="00C158A8">
            <w:pPr>
              <w:spacing w:line="220" w:lineRule="exact"/>
              <w:contextualSpacing/>
              <w:rPr>
                <w:color w:val="auto"/>
                <w:sz w:val="18"/>
                <w:szCs w:val="18"/>
              </w:rPr>
            </w:pPr>
            <w:r>
              <w:rPr>
                <w:color w:val="auto"/>
                <w:sz w:val="18"/>
                <w:szCs w:val="18"/>
              </w:rPr>
              <w:t>Migraine</w:t>
            </w:r>
          </w:p>
        </w:tc>
        <w:tc>
          <w:tcPr>
            <w:tcW w:w="1137" w:type="dxa"/>
            <w:tcBorders>
              <w:left w:val="single" w:sz="4" w:space="0" w:color="auto"/>
              <w:right w:val="single" w:sz="4" w:space="0" w:color="auto"/>
            </w:tcBorders>
            <w:shd w:val="clear" w:color="auto" w:fill="FFFFFF" w:themeFill="background1"/>
            <w:vAlign w:val="center"/>
          </w:tcPr>
          <w:p w:rsidR="002D211B" w:rsidRPr="002C24D6" w:rsidRDefault="002D211B" w:rsidP="00C158A8">
            <w:pPr>
              <w:spacing w:line="220" w:lineRule="exact"/>
              <w:contextualSpacing/>
              <w:jc w:val="center"/>
              <w:rPr>
                <w:color w:val="auto"/>
                <w:sz w:val="18"/>
                <w:szCs w:val="18"/>
              </w:rPr>
            </w:pPr>
            <w:r>
              <w:rPr>
                <w:color w:val="auto"/>
                <w:sz w:val="18"/>
                <w:szCs w:val="18"/>
              </w:rPr>
              <w:t>8100</w:t>
            </w:r>
          </w:p>
        </w:tc>
        <w:tc>
          <w:tcPr>
            <w:tcW w:w="753" w:type="dxa"/>
            <w:tcBorders>
              <w:left w:val="single" w:sz="4" w:space="0" w:color="auto"/>
            </w:tcBorders>
            <w:shd w:val="clear" w:color="auto" w:fill="FFFFFF" w:themeFill="background1"/>
            <w:vAlign w:val="center"/>
          </w:tcPr>
          <w:p w:rsidR="002D211B" w:rsidRDefault="002D211B" w:rsidP="00C158A8">
            <w:pPr>
              <w:spacing w:line="22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2D211B" w:rsidRPr="00E82E11" w:rsidRDefault="002D211B" w:rsidP="00C158A8">
            <w:pPr>
              <w:spacing w:line="220" w:lineRule="exact"/>
              <w:contextualSpacing/>
              <w:jc w:val="center"/>
              <w:rPr>
                <w:color w:val="auto"/>
                <w:sz w:val="18"/>
                <w:szCs w:val="18"/>
              </w:rPr>
            </w:pPr>
            <w:r w:rsidRPr="00E82E11">
              <w:rPr>
                <w:color w:val="auto"/>
                <w:sz w:val="18"/>
                <w:szCs w:val="18"/>
              </w:rPr>
              <w:t>20050316</w:t>
            </w:r>
          </w:p>
        </w:tc>
      </w:tr>
      <w:tr w:rsidR="002D211B" w:rsidRPr="002A4119" w:rsidTr="00C158A8">
        <w:trPr>
          <w:trHeight w:val="89"/>
          <w:jc w:val="center"/>
        </w:trPr>
        <w:tc>
          <w:tcPr>
            <w:tcW w:w="3513" w:type="dxa"/>
            <w:gridSpan w:val="3"/>
            <w:vMerge/>
            <w:tcBorders>
              <w:right w:val="thinThickThinSmallGap" w:sz="24" w:space="0" w:color="auto"/>
            </w:tcBorders>
            <w:shd w:val="clear" w:color="auto" w:fill="FFFFFF" w:themeFill="background1"/>
            <w:vAlign w:val="center"/>
          </w:tcPr>
          <w:p w:rsidR="002D211B" w:rsidRPr="00E82E11" w:rsidRDefault="002D211B" w:rsidP="00C158A8">
            <w:pPr>
              <w:spacing w:line="220" w:lineRule="exact"/>
              <w:contextualSpacing/>
              <w:jc w:val="center"/>
              <w:rPr>
                <w:color w:val="auto"/>
                <w:sz w:val="18"/>
                <w:szCs w:val="18"/>
              </w:rPr>
            </w:pPr>
          </w:p>
        </w:tc>
        <w:tc>
          <w:tcPr>
            <w:tcW w:w="3000" w:type="dxa"/>
            <w:tcBorders>
              <w:left w:val="thinThickThinSmallGap" w:sz="24" w:space="0" w:color="auto"/>
              <w:right w:val="single" w:sz="4" w:space="0" w:color="auto"/>
            </w:tcBorders>
            <w:shd w:val="clear" w:color="auto" w:fill="FFFFFF" w:themeFill="background1"/>
            <w:vAlign w:val="center"/>
          </w:tcPr>
          <w:p w:rsidR="002D211B" w:rsidRPr="00E82E11" w:rsidRDefault="002D211B" w:rsidP="00C158A8">
            <w:pPr>
              <w:spacing w:line="220" w:lineRule="exact"/>
              <w:contextualSpacing/>
              <w:rPr>
                <w:color w:val="auto"/>
                <w:sz w:val="18"/>
                <w:szCs w:val="18"/>
              </w:rPr>
            </w:pPr>
            <w:r>
              <w:rPr>
                <w:color w:val="auto"/>
                <w:sz w:val="18"/>
                <w:szCs w:val="18"/>
              </w:rPr>
              <w:t xml:space="preserve">Left </w:t>
            </w:r>
            <w:proofErr w:type="spellStart"/>
            <w:r w:rsidRPr="00E82E11">
              <w:rPr>
                <w:color w:val="auto"/>
                <w:sz w:val="18"/>
                <w:szCs w:val="18"/>
              </w:rPr>
              <w:t>Bunionectomy</w:t>
            </w:r>
            <w:proofErr w:type="spellEnd"/>
          </w:p>
        </w:tc>
        <w:tc>
          <w:tcPr>
            <w:tcW w:w="1137" w:type="dxa"/>
            <w:tcBorders>
              <w:left w:val="single" w:sz="4" w:space="0" w:color="auto"/>
              <w:right w:val="single" w:sz="4" w:space="0" w:color="auto"/>
            </w:tcBorders>
            <w:shd w:val="clear" w:color="auto" w:fill="FFFFFF" w:themeFill="background1"/>
            <w:vAlign w:val="center"/>
          </w:tcPr>
          <w:p w:rsidR="002D211B" w:rsidRDefault="002D211B" w:rsidP="00C158A8">
            <w:pPr>
              <w:spacing w:line="220" w:lineRule="exact"/>
              <w:contextualSpacing/>
              <w:jc w:val="center"/>
              <w:rPr>
                <w:color w:val="auto"/>
                <w:sz w:val="18"/>
                <w:szCs w:val="18"/>
              </w:rPr>
            </w:pPr>
            <w:r>
              <w:rPr>
                <w:color w:val="auto"/>
                <w:sz w:val="18"/>
                <w:szCs w:val="18"/>
              </w:rPr>
              <w:t>5276-5280</w:t>
            </w:r>
          </w:p>
        </w:tc>
        <w:tc>
          <w:tcPr>
            <w:tcW w:w="753" w:type="dxa"/>
            <w:tcBorders>
              <w:left w:val="single" w:sz="4" w:space="0" w:color="auto"/>
            </w:tcBorders>
            <w:shd w:val="clear" w:color="auto" w:fill="FFFFFF" w:themeFill="background1"/>
            <w:vAlign w:val="center"/>
          </w:tcPr>
          <w:p w:rsidR="002D211B" w:rsidRDefault="002D211B" w:rsidP="00C158A8">
            <w:pPr>
              <w:spacing w:line="220" w:lineRule="exact"/>
              <w:contextualSpacing/>
              <w:jc w:val="center"/>
              <w:rPr>
                <w:color w:val="auto"/>
                <w:sz w:val="18"/>
                <w:szCs w:val="18"/>
              </w:rPr>
            </w:pPr>
            <w:r w:rsidRPr="00E82E11">
              <w:rPr>
                <w:color w:val="auto"/>
                <w:sz w:val="18"/>
                <w:szCs w:val="18"/>
              </w:rPr>
              <w:t>10%</w:t>
            </w:r>
          </w:p>
        </w:tc>
        <w:tc>
          <w:tcPr>
            <w:tcW w:w="990" w:type="dxa"/>
            <w:shd w:val="clear" w:color="auto" w:fill="FFFFFF" w:themeFill="background1"/>
            <w:vAlign w:val="center"/>
          </w:tcPr>
          <w:p w:rsidR="002D211B" w:rsidRPr="00E82E11" w:rsidRDefault="002D211B" w:rsidP="00C158A8">
            <w:pPr>
              <w:spacing w:line="220" w:lineRule="exact"/>
              <w:contextualSpacing/>
              <w:jc w:val="center"/>
              <w:rPr>
                <w:color w:val="auto"/>
                <w:sz w:val="18"/>
                <w:szCs w:val="18"/>
              </w:rPr>
            </w:pPr>
            <w:r w:rsidRPr="00E82E11">
              <w:rPr>
                <w:color w:val="auto"/>
                <w:sz w:val="18"/>
                <w:szCs w:val="18"/>
              </w:rPr>
              <w:t>20050316</w:t>
            </w:r>
          </w:p>
        </w:tc>
      </w:tr>
      <w:tr w:rsidR="002D211B" w:rsidRPr="002A4119" w:rsidTr="00C158A8">
        <w:trPr>
          <w:trHeight w:val="161"/>
          <w:jc w:val="center"/>
        </w:trPr>
        <w:tc>
          <w:tcPr>
            <w:tcW w:w="3513" w:type="dxa"/>
            <w:gridSpan w:val="3"/>
            <w:vMerge/>
            <w:tcBorders>
              <w:right w:val="thinThickThinSmallGap" w:sz="24" w:space="0" w:color="auto"/>
            </w:tcBorders>
            <w:shd w:val="clear" w:color="auto" w:fill="FFFFFF" w:themeFill="background1"/>
            <w:vAlign w:val="center"/>
          </w:tcPr>
          <w:p w:rsidR="002D211B" w:rsidRPr="0086102A" w:rsidRDefault="002D211B" w:rsidP="00C158A8">
            <w:pPr>
              <w:spacing w:line="220" w:lineRule="exact"/>
              <w:contextualSpacing/>
              <w:jc w:val="center"/>
              <w:rPr>
                <w:color w:val="auto"/>
                <w:sz w:val="18"/>
                <w:szCs w:val="18"/>
              </w:rPr>
            </w:pPr>
          </w:p>
        </w:tc>
        <w:tc>
          <w:tcPr>
            <w:tcW w:w="3000" w:type="dxa"/>
            <w:tcBorders>
              <w:left w:val="thinThickThinSmallGap" w:sz="24" w:space="0" w:color="auto"/>
              <w:right w:val="single" w:sz="4" w:space="0" w:color="auto"/>
            </w:tcBorders>
            <w:shd w:val="clear" w:color="auto" w:fill="FFFFFF" w:themeFill="background1"/>
            <w:vAlign w:val="center"/>
          </w:tcPr>
          <w:p w:rsidR="002D211B" w:rsidRPr="00E82E11" w:rsidRDefault="002D211B" w:rsidP="00C158A8">
            <w:pPr>
              <w:spacing w:line="220" w:lineRule="exact"/>
              <w:contextualSpacing/>
              <w:rPr>
                <w:color w:val="auto"/>
                <w:sz w:val="18"/>
                <w:szCs w:val="18"/>
              </w:rPr>
            </w:pPr>
            <w:r w:rsidRPr="00E82E11">
              <w:rPr>
                <w:color w:val="auto"/>
                <w:sz w:val="18"/>
                <w:szCs w:val="18"/>
              </w:rPr>
              <w:t xml:space="preserve">Right </w:t>
            </w:r>
            <w:proofErr w:type="spellStart"/>
            <w:r w:rsidRPr="00E82E11">
              <w:rPr>
                <w:color w:val="auto"/>
                <w:sz w:val="18"/>
                <w:szCs w:val="18"/>
              </w:rPr>
              <w:t>Bunionectomy</w:t>
            </w:r>
            <w:proofErr w:type="spellEnd"/>
          </w:p>
        </w:tc>
        <w:tc>
          <w:tcPr>
            <w:tcW w:w="1137" w:type="dxa"/>
            <w:tcBorders>
              <w:left w:val="single" w:sz="4" w:space="0" w:color="auto"/>
            </w:tcBorders>
            <w:shd w:val="clear" w:color="auto" w:fill="FFFFFF" w:themeFill="background1"/>
            <w:vAlign w:val="center"/>
          </w:tcPr>
          <w:p w:rsidR="002D211B" w:rsidRPr="00E82E11" w:rsidRDefault="002D211B" w:rsidP="00C158A8">
            <w:pPr>
              <w:spacing w:line="220" w:lineRule="exact"/>
              <w:contextualSpacing/>
              <w:jc w:val="center"/>
              <w:rPr>
                <w:color w:val="auto"/>
                <w:sz w:val="18"/>
                <w:szCs w:val="18"/>
              </w:rPr>
            </w:pPr>
            <w:r>
              <w:rPr>
                <w:color w:val="auto"/>
                <w:sz w:val="18"/>
                <w:szCs w:val="18"/>
              </w:rPr>
              <w:t>5276-5280</w:t>
            </w:r>
          </w:p>
        </w:tc>
        <w:tc>
          <w:tcPr>
            <w:tcW w:w="753" w:type="dxa"/>
            <w:shd w:val="clear" w:color="auto" w:fill="FFFFFF" w:themeFill="background1"/>
            <w:vAlign w:val="center"/>
          </w:tcPr>
          <w:p w:rsidR="002D211B" w:rsidRDefault="002D211B" w:rsidP="00C158A8">
            <w:pPr>
              <w:spacing w:line="220" w:lineRule="exact"/>
              <w:contextualSpacing/>
              <w:jc w:val="center"/>
              <w:rPr>
                <w:color w:val="auto"/>
                <w:sz w:val="18"/>
                <w:szCs w:val="18"/>
              </w:rPr>
            </w:pPr>
            <w:r w:rsidRPr="00E82E11">
              <w:rPr>
                <w:color w:val="auto"/>
                <w:sz w:val="18"/>
                <w:szCs w:val="18"/>
              </w:rPr>
              <w:t>10%</w:t>
            </w:r>
          </w:p>
        </w:tc>
        <w:tc>
          <w:tcPr>
            <w:tcW w:w="990" w:type="dxa"/>
            <w:shd w:val="clear" w:color="auto" w:fill="FFFFFF" w:themeFill="background1"/>
            <w:vAlign w:val="center"/>
          </w:tcPr>
          <w:p w:rsidR="002D211B" w:rsidRPr="00E82E11" w:rsidRDefault="002D211B" w:rsidP="00C158A8">
            <w:pPr>
              <w:spacing w:line="220" w:lineRule="exact"/>
              <w:contextualSpacing/>
              <w:jc w:val="center"/>
              <w:rPr>
                <w:color w:val="auto"/>
                <w:sz w:val="18"/>
                <w:szCs w:val="18"/>
              </w:rPr>
            </w:pPr>
            <w:r w:rsidRPr="00E82E11">
              <w:rPr>
                <w:color w:val="auto"/>
                <w:sz w:val="18"/>
                <w:szCs w:val="18"/>
              </w:rPr>
              <w:t>20050316</w:t>
            </w:r>
          </w:p>
        </w:tc>
      </w:tr>
      <w:tr w:rsidR="002D211B" w:rsidRPr="002A4119" w:rsidTr="00C158A8">
        <w:trPr>
          <w:trHeight w:val="54"/>
          <w:jc w:val="center"/>
        </w:trPr>
        <w:tc>
          <w:tcPr>
            <w:tcW w:w="3513" w:type="dxa"/>
            <w:gridSpan w:val="3"/>
            <w:vMerge/>
            <w:tcBorders>
              <w:right w:val="thinThickThinSmallGap" w:sz="24" w:space="0" w:color="auto"/>
            </w:tcBorders>
            <w:shd w:val="clear" w:color="auto" w:fill="FFFFFF" w:themeFill="background1"/>
            <w:vAlign w:val="center"/>
          </w:tcPr>
          <w:p w:rsidR="002D211B" w:rsidRPr="0086102A" w:rsidRDefault="002D211B" w:rsidP="00C158A8">
            <w:pPr>
              <w:spacing w:line="220" w:lineRule="exact"/>
              <w:contextualSpacing/>
              <w:jc w:val="center"/>
              <w:rPr>
                <w:color w:val="auto"/>
                <w:sz w:val="18"/>
                <w:szCs w:val="18"/>
              </w:rPr>
            </w:pPr>
          </w:p>
        </w:tc>
        <w:tc>
          <w:tcPr>
            <w:tcW w:w="4890" w:type="dxa"/>
            <w:gridSpan w:val="3"/>
            <w:tcBorders>
              <w:left w:val="thinThickThinSmallGap" w:sz="24" w:space="0" w:color="auto"/>
            </w:tcBorders>
            <w:shd w:val="clear" w:color="auto" w:fill="FFFFFF" w:themeFill="background1"/>
            <w:vAlign w:val="center"/>
          </w:tcPr>
          <w:p w:rsidR="002D211B" w:rsidRPr="0086102A" w:rsidRDefault="002D211B" w:rsidP="00C158A8">
            <w:pPr>
              <w:spacing w:line="22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6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4</w:t>
            </w:r>
          </w:p>
        </w:tc>
        <w:tc>
          <w:tcPr>
            <w:tcW w:w="990" w:type="dxa"/>
            <w:shd w:val="clear" w:color="auto" w:fill="FFFFFF" w:themeFill="background1"/>
            <w:vAlign w:val="center"/>
          </w:tcPr>
          <w:p w:rsidR="002D211B" w:rsidRPr="00E82E11" w:rsidRDefault="002D211B" w:rsidP="00C158A8">
            <w:pPr>
              <w:spacing w:line="220" w:lineRule="exact"/>
              <w:contextualSpacing/>
              <w:jc w:val="center"/>
              <w:rPr>
                <w:color w:val="auto"/>
                <w:sz w:val="18"/>
                <w:szCs w:val="18"/>
              </w:rPr>
            </w:pPr>
            <w:r w:rsidRPr="00E82E11">
              <w:rPr>
                <w:color w:val="auto"/>
                <w:sz w:val="18"/>
                <w:szCs w:val="18"/>
              </w:rPr>
              <w:t>20050316</w:t>
            </w:r>
          </w:p>
        </w:tc>
      </w:tr>
      <w:tr w:rsidR="00E82E11" w:rsidRPr="002A4119" w:rsidTr="00C158A8">
        <w:trPr>
          <w:trHeight w:val="134"/>
          <w:jc w:val="center"/>
        </w:trPr>
        <w:tc>
          <w:tcPr>
            <w:tcW w:w="3513" w:type="dxa"/>
            <w:gridSpan w:val="3"/>
            <w:tcBorders>
              <w:right w:val="thinThickThinSmallGap" w:sz="24" w:space="0" w:color="auto"/>
            </w:tcBorders>
            <w:shd w:val="clear" w:color="auto" w:fill="D9D9D9" w:themeFill="background1" w:themeFillShade="D9"/>
          </w:tcPr>
          <w:p w:rsidR="00E82E11" w:rsidRPr="00B06930" w:rsidRDefault="00E82E11" w:rsidP="00C158A8">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880" w:type="dxa"/>
            <w:gridSpan w:val="4"/>
            <w:tcBorders>
              <w:left w:val="thinThickThinSmallGap" w:sz="24" w:space="0" w:color="auto"/>
            </w:tcBorders>
            <w:shd w:val="clear" w:color="auto" w:fill="D9D9D9" w:themeFill="background1" w:themeFillShade="D9"/>
          </w:tcPr>
          <w:p w:rsidR="00E82E11" w:rsidRPr="00B06930" w:rsidRDefault="00E82E11" w:rsidP="00C158A8">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70</w:t>
            </w:r>
            <w:r w:rsidRPr="00B06930">
              <w:rPr>
                <w:b/>
                <w:color w:val="auto"/>
                <w:sz w:val="20"/>
                <w:szCs w:val="20"/>
              </w:rPr>
              <w:t>%</w:t>
            </w:r>
          </w:p>
        </w:tc>
      </w:tr>
    </w:tbl>
    <w:p w:rsidR="00437D18" w:rsidRPr="007549AC" w:rsidRDefault="007549AC" w:rsidP="00510F9C">
      <w:pPr>
        <w:pBdr>
          <w:bottom w:val="single" w:sz="12" w:space="1" w:color="auto"/>
        </w:pBdr>
        <w:tabs>
          <w:tab w:val="left" w:pos="288"/>
          <w:tab w:val="left" w:pos="4752"/>
        </w:tabs>
        <w:spacing w:line="240" w:lineRule="exact"/>
        <w:jc w:val="both"/>
        <w:rPr>
          <w:rFonts w:asciiTheme="minorHAnsi" w:hAnsiTheme="minorHAnsi"/>
          <w:color w:val="auto"/>
          <w:sz w:val="18"/>
        </w:rPr>
      </w:pPr>
      <w:r>
        <w:rPr>
          <w:rFonts w:asciiTheme="minorHAnsi" w:hAnsiTheme="minorHAnsi"/>
          <w:color w:val="auto"/>
          <w:sz w:val="18"/>
        </w:rPr>
        <w:t xml:space="preserve">*Following cervical fusion the neck condition rating was amended to 5241 at 10% plus 8515 at 10%, both effective </w:t>
      </w:r>
      <w:r w:rsidRPr="007549AC">
        <w:rPr>
          <w:rFonts w:asciiTheme="minorHAnsi" w:hAnsiTheme="minorHAnsi"/>
          <w:color w:val="auto"/>
          <w:sz w:val="18"/>
        </w:rPr>
        <w:t>20041025</w:t>
      </w:r>
      <w:r>
        <w:rPr>
          <w:rFonts w:asciiTheme="minorHAnsi" w:hAnsiTheme="minorHAnsi"/>
          <w:color w:val="auto"/>
          <w:sz w:val="18"/>
        </w:rPr>
        <w:t>.</w:t>
      </w:r>
    </w:p>
    <w:p w:rsidR="007549AC" w:rsidRPr="00391858" w:rsidRDefault="007549AC"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440ED4" w:rsidRDefault="002C6E5B" w:rsidP="00440ED4">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440ED4" w:rsidRPr="00440ED4">
        <w:rPr>
          <w:rFonts w:asciiTheme="minorHAnsi" w:hAnsiTheme="minorHAnsi"/>
          <w:color w:val="auto"/>
          <w:szCs w:val="24"/>
        </w:rPr>
        <w:t>The Board acknowledges the sentiment expressed in the CI’s application regarding the significant impairment with which h</w:t>
      </w:r>
      <w:r w:rsidR="00440ED4">
        <w:rPr>
          <w:rFonts w:asciiTheme="minorHAnsi" w:hAnsiTheme="minorHAnsi"/>
          <w:color w:val="auto"/>
          <w:szCs w:val="24"/>
        </w:rPr>
        <w:t>er</w:t>
      </w:r>
      <w:r w:rsidR="00440ED4" w:rsidRPr="00440ED4">
        <w:rPr>
          <w:rFonts w:asciiTheme="minorHAnsi" w:hAnsiTheme="minorHAnsi"/>
          <w:color w:val="auto"/>
          <w:szCs w:val="24"/>
        </w:rPr>
        <w:t xml:space="preserve"> </w:t>
      </w:r>
      <w:r w:rsidR="0076578D">
        <w:rPr>
          <w:rFonts w:asciiTheme="minorHAnsi" w:hAnsiTheme="minorHAnsi"/>
          <w:color w:val="auto"/>
          <w:szCs w:val="24"/>
        </w:rPr>
        <w:t xml:space="preserve">Service </w:t>
      </w:r>
      <w:r w:rsidR="00440ED4" w:rsidRPr="00440ED4">
        <w:rPr>
          <w:rFonts w:asciiTheme="minorHAnsi" w:hAnsiTheme="minorHAnsi"/>
          <w:color w:val="auto"/>
          <w:szCs w:val="24"/>
        </w:rPr>
        <w:t>aggravated condition</w:t>
      </w:r>
      <w:r w:rsidR="00044694">
        <w:rPr>
          <w:rFonts w:asciiTheme="minorHAnsi" w:hAnsiTheme="minorHAnsi"/>
          <w:color w:val="auto"/>
          <w:szCs w:val="24"/>
        </w:rPr>
        <w:t>s continue</w:t>
      </w:r>
      <w:r w:rsidR="00440ED4" w:rsidRPr="00440ED4">
        <w:rPr>
          <w:rFonts w:asciiTheme="minorHAnsi" w:hAnsiTheme="minorHAnsi"/>
          <w:color w:val="auto"/>
          <w:szCs w:val="24"/>
        </w:rPr>
        <w:t xml:space="preserve"> to burden h</w:t>
      </w:r>
      <w:r w:rsidR="00440ED4">
        <w:rPr>
          <w:rFonts w:asciiTheme="minorHAnsi" w:hAnsiTheme="minorHAnsi"/>
          <w:color w:val="auto"/>
          <w:szCs w:val="24"/>
        </w:rPr>
        <w:t xml:space="preserve">er, </w:t>
      </w:r>
      <w:r w:rsidR="00D26B2C">
        <w:rPr>
          <w:rFonts w:asciiTheme="minorHAnsi" w:hAnsiTheme="minorHAnsi"/>
          <w:color w:val="auto"/>
          <w:szCs w:val="24"/>
        </w:rPr>
        <w:t>as well as her</w:t>
      </w:r>
      <w:r w:rsidR="002D211B" w:rsidRPr="002D211B">
        <w:rPr>
          <w:rFonts w:asciiTheme="minorHAnsi" w:hAnsiTheme="minorHAnsi"/>
          <w:color w:val="auto"/>
          <w:szCs w:val="24"/>
        </w:rPr>
        <w:t xml:space="preserve"> contention that suggests Service ratings should have been conferred for other conditions documented at the time of separation. </w:t>
      </w:r>
      <w:r w:rsidR="00044694">
        <w:rPr>
          <w:rFonts w:asciiTheme="minorHAnsi" w:hAnsiTheme="minorHAnsi"/>
          <w:color w:val="auto"/>
          <w:szCs w:val="24"/>
        </w:rPr>
        <w:t xml:space="preserve"> </w:t>
      </w:r>
      <w:r w:rsidR="002D211B" w:rsidRPr="002D211B">
        <w:rPr>
          <w:rFonts w:asciiTheme="minorHAnsi" w:hAnsiTheme="minorHAnsi"/>
          <w:color w:val="auto"/>
          <w:szCs w:val="24"/>
        </w:rPr>
        <w:t xml:space="preserve">The Board wishes to clarify that it is subject to the same laws for Service disability entitlements as those under which the </w:t>
      </w:r>
      <w:r w:rsidR="0076578D">
        <w:rPr>
          <w:rFonts w:asciiTheme="minorHAnsi" w:hAnsiTheme="minorHAnsi"/>
          <w:color w:val="auto"/>
          <w:szCs w:val="24"/>
        </w:rPr>
        <w:t xml:space="preserve">Disability Evaluation System (DES) operates. While the </w:t>
      </w:r>
      <w:r w:rsidR="002D211B" w:rsidRPr="002D211B">
        <w:rPr>
          <w:rFonts w:asciiTheme="minorHAnsi" w:hAnsiTheme="minorHAnsi"/>
          <w:color w:val="auto"/>
          <w:szCs w:val="24"/>
        </w:rPr>
        <w:t xml:space="preserve">DES considers all of the </w:t>
      </w:r>
      <w:r w:rsidR="0076578D">
        <w:rPr>
          <w:rFonts w:asciiTheme="minorHAnsi" w:hAnsiTheme="minorHAnsi"/>
          <w:color w:val="auto"/>
          <w:szCs w:val="24"/>
        </w:rPr>
        <w:t>S</w:t>
      </w:r>
      <w:r w:rsidR="002D211B" w:rsidRPr="002D211B">
        <w:rPr>
          <w:rFonts w:asciiTheme="minorHAnsi" w:hAnsiTheme="minorHAnsi"/>
          <w:color w:val="auto"/>
          <w:szCs w:val="24"/>
        </w:rPr>
        <w:t xml:space="preserve">ervice member's medical conditions, compensation can only be offered for those medical conditions that cut short a service member’s career, and then only to the degree of severity present at the time of final disposition. </w:t>
      </w:r>
      <w:r w:rsidR="00044694">
        <w:rPr>
          <w:rFonts w:asciiTheme="minorHAnsi" w:hAnsiTheme="minorHAnsi"/>
          <w:color w:val="auto"/>
          <w:szCs w:val="24"/>
        </w:rPr>
        <w:t xml:space="preserve"> </w:t>
      </w:r>
      <w:r w:rsidR="002D211B" w:rsidRPr="002D211B">
        <w:rPr>
          <w:rFonts w:asciiTheme="minorHAnsi" w:hAnsiTheme="minorHAnsi"/>
          <w:color w:val="auto"/>
          <w:szCs w:val="24"/>
        </w:rPr>
        <w:t>However the Department of Veteran</w:t>
      </w:r>
      <w:r w:rsidR="0076578D">
        <w:rPr>
          <w:rFonts w:asciiTheme="minorHAnsi" w:hAnsiTheme="minorHAnsi"/>
          <w:color w:val="auto"/>
          <w:szCs w:val="24"/>
        </w:rPr>
        <w:t>s’</w:t>
      </w:r>
      <w:r w:rsidR="002D211B" w:rsidRPr="002D211B">
        <w:rPr>
          <w:rFonts w:asciiTheme="minorHAnsi" w:hAnsiTheme="minorHAnsi"/>
          <w:color w:val="auto"/>
          <w:szCs w:val="24"/>
        </w:rPr>
        <w:t xml:space="preserve"> Affairs (</w:t>
      </w:r>
      <w:r w:rsidR="00692CFC">
        <w:rPr>
          <w:rFonts w:asciiTheme="minorHAnsi" w:hAnsiTheme="minorHAnsi"/>
          <w:color w:val="auto"/>
          <w:szCs w:val="24"/>
        </w:rPr>
        <w:t>D</w:t>
      </w:r>
      <w:r w:rsidR="002D211B" w:rsidRPr="002D211B">
        <w:rPr>
          <w:rFonts w:asciiTheme="minorHAnsi" w:hAnsiTheme="minorHAnsi"/>
          <w:color w:val="auto"/>
          <w:szCs w:val="24"/>
        </w:rPr>
        <w:t xml:space="preserve">VA), </w:t>
      </w:r>
      <w:r w:rsidR="00440ED4" w:rsidRPr="00440ED4">
        <w:rPr>
          <w:rFonts w:asciiTheme="minorHAnsi" w:hAnsiTheme="minorHAnsi"/>
          <w:color w:val="auto"/>
          <w:szCs w:val="24"/>
        </w:rPr>
        <w:t xml:space="preserve">operating under a different set of laws (Title 38, United States Code), is empowered to compensate </w:t>
      </w:r>
      <w:r w:rsidR="00044694">
        <w:rPr>
          <w:rFonts w:asciiTheme="minorHAnsi" w:hAnsiTheme="minorHAnsi"/>
          <w:color w:val="auto"/>
          <w:szCs w:val="24"/>
        </w:rPr>
        <w:t xml:space="preserve">all </w:t>
      </w:r>
      <w:r w:rsidR="00440ED4" w:rsidRPr="00440ED4">
        <w:rPr>
          <w:rFonts w:asciiTheme="minorHAnsi" w:hAnsiTheme="minorHAnsi"/>
          <w:color w:val="auto"/>
          <w:szCs w:val="24"/>
        </w:rPr>
        <w:t xml:space="preserve">service connected conditions and to periodically re-evaluate said conditions for the purpose of adjusting the </w:t>
      </w:r>
      <w:r w:rsidR="0076578D">
        <w:rPr>
          <w:rFonts w:asciiTheme="minorHAnsi" w:hAnsiTheme="minorHAnsi"/>
          <w:color w:val="auto"/>
          <w:szCs w:val="24"/>
        </w:rPr>
        <w:t>V</w:t>
      </w:r>
      <w:r w:rsidR="00440ED4" w:rsidRPr="00440ED4">
        <w:rPr>
          <w:rFonts w:asciiTheme="minorHAnsi" w:hAnsiTheme="minorHAnsi"/>
          <w:color w:val="auto"/>
          <w:szCs w:val="24"/>
        </w:rPr>
        <w:t xml:space="preserve">eteran’s disability rating should </w:t>
      </w:r>
      <w:r w:rsidR="005B4D89">
        <w:rPr>
          <w:rFonts w:asciiTheme="minorHAnsi" w:hAnsiTheme="minorHAnsi"/>
          <w:color w:val="auto"/>
          <w:szCs w:val="24"/>
        </w:rPr>
        <w:t>the</w:t>
      </w:r>
      <w:r w:rsidR="00440ED4" w:rsidRPr="00440ED4">
        <w:rPr>
          <w:rFonts w:asciiTheme="minorHAnsi" w:hAnsiTheme="minorHAnsi"/>
          <w:color w:val="auto"/>
          <w:szCs w:val="24"/>
        </w:rPr>
        <w:t xml:space="preserve"> degree of impairment vary over time.  The Board utilizes </w:t>
      </w:r>
      <w:r w:rsidR="00692CFC">
        <w:rPr>
          <w:rFonts w:asciiTheme="minorHAnsi" w:hAnsiTheme="minorHAnsi"/>
          <w:color w:val="auto"/>
          <w:szCs w:val="24"/>
        </w:rPr>
        <w:t>D</w:t>
      </w:r>
      <w:r w:rsidR="00440ED4" w:rsidRPr="00440ED4">
        <w:rPr>
          <w:rFonts w:asciiTheme="minorHAnsi" w:hAnsiTheme="minorHAnsi"/>
          <w:color w:val="auto"/>
          <w:szCs w:val="24"/>
        </w:rPr>
        <w:t xml:space="preserve">VA evidence proximal to separation in arriving at its recommendations; and, DoDI 6040.44 defines a 12 month interval for special consideration to post-separation evidence. </w:t>
      </w:r>
      <w:r w:rsidR="00692CFC">
        <w:rPr>
          <w:rFonts w:asciiTheme="minorHAnsi" w:hAnsiTheme="minorHAnsi"/>
          <w:color w:val="auto"/>
          <w:szCs w:val="24"/>
        </w:rPr>
        <w:t xml:space="preserve"> </w:t>
      </w:r>
      <w:r w:rsidR="00440ED4" w:rsidRPr="00440ED4">
        <w:rPr>
          <w:rFonts w:asciiTheme="minorHAnsi" w:hAnsiTheme="minorHAnsi"/>
          <w:color w:val="auto"/>
          <w:szCs w:val="24"/>
        </w:rPr>
        <w:t xml:space="preserve">The Board’s authority as defined in DoDI 6044.40, resides in evaluating the fairness of DES fitness determinations and rating decisions for disability at the time of separation. </w:t>
      </w:r>
      <w:r w:rsidR="00044694">
        <w:rPr>
          <w:rFonts w:asciiTheme="minorHAnsi" w:hAnsiTheme="minorHAnsi"/>
          <w:color w:val="auto"/>
          <w:szCs w:val="24"/>
        </w:rPr>
        <w:t xml:space="preserve"> </w:t>
      </w:r>
      <w:r w:rsidR="00440ED4" w:rsidRPr="00440ED4">
        <w:rPr>
          <w:rFonts w:asciiTheme="minorHAnsi" w:hAnsiTheme="minorHAnsi"/>
          <w:color w:val="auto"/>
          <w:szCs w:val="24"/>
        </w:rPr>
        <w:t>Post-separation evidence therefore is probative only to the extent that it reasonably reflects the disability and fitness implications at the time of separation.</w:t>
      </w:r>
      <w:r w:rsidR="00D26B2C">
        <w:rPr>
          <w:rFonts w:asciiTheme="minorHAnsi" w:hAnsiTheme="minorHAnsi"/>
          <w:color w:val="auto"/>
          <w:szCs w:val="24"/>
        </w:rPr>
        <w:t xml:space="preserve"> </w:t>
      </w:r>
      <w:r w:rsidR="00D26B2C" w:rsidRPr="00D26B2C">
        <w:rPr>
          <w:rFonts w:asciiTheme="minorHAnsi" w:hAnsiTheme="minorHAnsi"/>
          <w:color w:val="auto"/>
          <w:szCs w:val="24"/>
        </w:rPr>
        <w:t xml:space="preserve"> </w:t>
      </w:r>
      <w:r w:rsidR="00E66511">
        <w:rPr>
          <w:rFonts w:asciiTheme="minorHAnsi" w:hAnsiTheme="minorHAnsi"/>
          <w:color w:val="auto"/>
          <w:szCs w:val="24"/>
        </w:rPr>
        <w:t xml:space="preserve">With regard to the CI’s assertion that she was misled by the legal advice she received in Service, the Board must note for </w:t>
      </w:r>
      <w:r w:rsidR="00D26B2C" w:rsidRPr="00D26B2C">
        <w:rPr>
          <w:rFonts w:asciiTheme="minorHAnsi" w:hAnsiTheme="minorHAnsi"/>
          <w:color w:val="auto"/>
          <w:szCs w:val="24"/>
        </w:rPr>
        <w:t xml:space="preserve">the record that </w:t>
      </w:r>
      <w:r w:rsidR="00E66511">
        <w:rPr>
          <w:rFonts w:asciiTheme="minorHAnsi" w:hAnsiTheme="minorHAnsi"/>
          <w:color w:val="auto"/>
          <w:szCs w:val="24"/>
        </w:rPr>
        <w:t>it</w:t>
      </w:r>
      <w:r w:rsidR="00D26B2C" w:rsidRPr="00D26B2C">
        <w:rPr>
          <w:rFonts w:asciiTheme="minorHAnsi" w:hAnsiTheme="minorHAnsi"/>
          <w:color w:val="auto"/>
          <w:szCs w:val="24"/>
        </w:rPr>
        <w:t xml:space="preserve"> has neither the jurisdiction nor authority to scrutinize or render opinions </w:t>
      </w:r>
      <w:r w:rsidR="00E66511">
        <w:rPr>
          <w:rFonts w:asciiTheme="minorHAnsi" w:hAnsiTheme="minorHAnsi"/>
          <w:color w:val="auto"/>
          <w:szCs w:val="24"/>
        </w:rPr>
        <w:t>in reference to</w:t>
      </w:r>
      <w:r w:rsidR="00D26B2C" w:rsidRPr="00D26B2C">
        <w:rPr>
          <w:rFonts w:asciiTheme="minorHAnsi" w:hAnsiTheme="minorHAnsi"/>
          <w:color w:val="auto"/>
          <w:szCs w:val="24"/>
        </w:rPr>
        <w:t xml:space="preserve"> </w:t>
      </w:r>
      <w:r w:rsidR="00E66511">
        <w:rPr>
          <w:rFonts w:asciiTheme="minorHAnsi" w:hAnsiTheme="minorHAnsi"/>
          <w:color w:val="auto"/>
          <w:szCs w:val="24"/>
        </w:rPr>
        <w:t>suspected S</w:t>
      </w:r>
      <w:r w:rsidR="00D26B2C" w:rsidRPr="00D26B2C">
        <w:rPr>
          <w:rFonts w:asciiTheme="minorHAnsi" w:hAnsiTheme="minorHAnsi"/>
          <w:color w:val="auto"/>
          <w:szCs w:val="24"/>
        </w:rPr>
        <w:t>ervice improprieties in the disposition of a case.</w:t>
      </w:r>
    </w:p>
    <w:p w:rsidR="004C60A3" w:rsidRDefault="004C60A3" w:rsidP="0040457E">
      <w:pPr>
        <w:spacing w:line="240" w:lineRule="exact"/>
        <w:rPr>
          <w:rFonts w:asciiTheme="minorHAnsi" w:hAnsiTheme="minorHAnsi"/>
          <w:color w:val="auto"/>
          <w:szCs w:val="24"/>
        </w:rPr>
      </w:pPr>
    </w:p>
    <w:p w:rsidR="00177582" w:rsidRDefault="00664296" w:rsidP="001E08DC">
      <w:pPr>
        <w:tabs>
          <w:tab w:val="left" w:pos="288"/>
          <w:tab w:val="left" w:pos="4752"/>
        </w:tabs>
        <w:spacing w:line="240" w:lineRule="exact"/>
        <w:jc w:val="both"/>
        <w:rPr>
          <w:rFonts w:asciiTheme="minorHAnsi" w:hAnsiTheme="minorHAnsi"/>
          <w:color w:val="auto"/>
          <w:szCs w:val="24"/>
        </w:rPr>
      </w:pPr>
      <w:r w:rsidRPr="00664296">
        <w:rPr>
          <w:rFonts w:asciiTheme="minorHAnsi" w:hAnsiTheme="minorHAnsi"/>
          <w:color w:val="auto"/>
          <w:szCs w:val="24"/>
          <w:u w:val="single"/>
        </w:rPr>
        <w:t>Neck/Back Condition</w:t>
      </w:r>
      <w:r w:rsidRPr="00664296">
        <w:rPr>
          <w:rFonts w:asciiTheme="minorHAnsi" w:hAnsiTheme="minorHAnsi"/>
          <w:color w:val="auto"/>
          <w:szCs w:val="24"/>
        </w:rPr>
        <w:t xml:space="preserve">.  </w:t>
      </w:r>
      <w:r w:rsidR="00C03220">
        <w:rPr>
          <w:rFonts w:asciiTheme="minorHAnsi" w:hAnsiTheme="minorHAnsi"/>
          <w:color w:val="auto"/>
          <w:szCs w:val="24"/>
        </w:rPr>
        <w:t xml:space="preserve">At the time of the MEB, the CI reported daily neck and thoracic back pain aggravated by activity, and improved with rest.  She also reported episodes of numbness and tingling in her right arm occurring every few weeks.  The service treatment record (STR) indicates that the thoracic and lumbar segments were mildly symptomatic without significant pathology identified.  Cervical imaging revealed a </w:t>
      </w:r>
      <w:r w:rsidR="00C03220" w:rsidRPr="00033E4E">
        <w:rPr>
          <w:rFonts w:asciiTheme="minorHAnsi" w:hAnsiTheme="minorHAnsi"/>
          <w:color w:val="auto"/>
          <w:szCs w:val="24"/>
        </w:rPr>
        <w:t xml:space="preserve">mild </w:t>
      </w:r>
      <w:r w:rsidR="00C03220">
        <w:rPr>
          <w:rFonts w:asciiTheme="minorHAnsi" w:hAnsiTheme="minorHAnsi"/>
          <w:color w:val="auto"/>
          <w:szCs w:val="24"/>
        </w:rPr>
        <w:t xml:space="preserve">disc </w:t>
      </w:r>
      <w:r w:rsidR="00C03220" w:rsidRPr="00033E4E">
        <w:rPr>
          <w:rFonts w:asciiTheme="minorHAnsi" w:hAnsiTheme="minorHAnsi"/>
          <w:color w:val="auto"/>
          <w:szCs w:val="24"/>
        </w:rPr>
        <w:t>hern</w:t>
      </w:r>
      <w:r w:rsidR="00C03220">
        <w:rPr>
          <w:rFonts w:asciiTheme="minorHAnsi" w:hAnsiTheme="minorHAnsi"/>
          <w:color w:val="auto"/>
          <w:szCs w:val="24"/>
        </w:rPr>
        <w:t>i</w:t>
      </w:r>
      <w:r w:rsidR="00C03220" w:rsidRPr="00033E4E">
        <w:rPr>
          <w:rFonts w:asciiTheme="minorHAnsi" w:hAnsiTheme="minorHAnsi"/>
          <w:color w:val="auto"/>
          <w:szCs w:val="24"/>
        </w:rPr>
        <w:t>ation without evidence of nerve root impingement</w:t>
      </w:r>
      <w:r w:rsidR="00C03220">
        <w:rPr>
          <w:rFonts w:asciiTheme="minorHAnsi" w:hAnsiTheme="minorHAnsi"/>
          <w:color w:val="auto"/>
          <w:szCs w:val="24"/>
        </w:rPr>
        <w:t>.  Five months after separation</w:t>
      </w:r>
      <w:r w:rsidR="003141B4">
        <w:rPr>
          <w:rFonts w:asciiTheme="minorHAnsi" w:hAnsiTheme="minorHAnsi"/>
          <w:color w:val="auto"/>
          <w:szCs w:val="24"/>
        </w:rPr>
        <w:t>,</w:t>
      </w:r>
      <w:r w:rsidR="00C03220">
        <w:rPr>
          <w:rFonts w:asciiTheme="minorHAnsi" w:hAnsiTheme="minorHAnsi"/>
          <w:color w:val="auto"/>
          <w:szCs w:val="24"/>
        </w:rPr>
        <w:t xml:space="preserve"> </w:t>
      </w:r>
      <w:r w:rsidR="003141B4">
        <w:rPr>
          <w:rFonts w:asciiTheme="minorHAnsi" w:hAnsiTheme="minorHAnsi"/>
          <w:color w:val="auto"/>
          <w:szCs w:val="24"/>
        </w:rPr>
        <w:t xml:space="preserve">the CI underwent a two-level anterior cervical decompression and fusion for worsening radicular symptoms, by the same orthopedist </w:t>
      </w:r>
      <w:proofErr w:type="gramStart"/>
      <w:r w:rsidR="003141B4">
        <w:rPr>
          <w:rFonts w:asciiTheme="minorHAnsi" w:hAnsiTheme="minorHAnsi"/>
          <w:color w:val="auto"/>
          <w:szCs w:val="24"/>
        </w:rPr>
        <w:t>who</w:t>
      </w:r>
      <w:proofErr w:type="gramEnd"/>
      <w:r w:rsidR="003141B4">
        <w:rPr>
          <w:rFonts w:asciiTheme="minorHAnsi" w:hAnsiTheme="minorHAnsi"/>
          <w:color w:val="auto"/>
          <w:szCs w:val="24"/>
        </w:rPr>
        <w:t xml:space="preserve"> provided her</w:t>
      </w:r>
      <w:r w:rsidR="00C03220">
        <w:rPr>
          <w:rFonts w:asciiTheme="minorHAnsi" w:hAnsiTheme="minorHAnsi"/>
          <w:color w:val="auto"/>
          <w:szCs w:val="24"/>
        </w:rPr>
        <w:t xml:space="preserve"> active duty </w:t>
      </w:r>
      <w:r w:rsidR="003141B4">
        <w:rPr>
          <w:rFonts w:asciiTheme="minorHAnsi" w:hAnsiTheme="minorHAnsi"/>
          <w:color w:val="auto"/>
          <w:szCs w:val="24"/>
        </w:rPr>
        <w:t xml:space="preserve">care.  </w:t>
      </w:r>
      <w:r w:rsidRPr="00B46C48">
        <w:rPr>
          <w:rFonts w:asciiTheme="minorHAnsi" w:hAnsiTheme="minorHAnsi"/>
          <w:color w:val="auto"/>
          <w:szCs w:val="24"/>
        </w:rPr>
        <w:t xml:space="preserve">There </w:t>
      </w:r>
      <w:r w:rsidR="00B46C48" w:rsidRPr="00B46C48">
        <w:rPr>
          <w:rFonts w:asciiTheme="minorHAnsi" w:hAnsiTheme="minorHAnsi"/>
          <w:color w:val="auto"/>
          <w:szCs w:val="24"/>
        </w:rPr>
        <w:t>was one</w:t>
      </w:r>
      <w:r w:rsidRPr="00B46C48">
        <w:rPr>
          <w:rFonts w:asciiTheme="minorHAnsi" w:hAnsiTheme="minorHAnsi"/>
          <w:color w:val="auto"/>
          <w:szCs w:val="24"/>
        </w:rPr>
        <w:t xml:space="preserve"> goniometric </w:t>
      </w:r>
      <w:r w:rsidR="00B46C48" w:rsidRPr="00B46C48">
        <w:rPr>
          <w:rFonts w:asciiTheme="minorHAnsi" w:hAnsiTheme="minorHAnsi"/>
          <w:color w:val="auto"/>
          <w:szCs w:val="24"/>
        </w:rPr>
        <w:t xml:space="preserve">and one non-goniometric </w:t>
      </w:r>
      <w:r w:rsidRPr="00B46C48">
        <w:rPr>
          <w:rFonts w:asciiTheme="minorHAnsi" w:hAnsiTheme="minorHAnsi"/>
          <w:color w:val="auto"/>
          <w:szCs w:val="24"/>
        </w:rPr>
        <w:t>r</w:t>
      </w:r>
      <w:r w:rsidR="00B46C48" w:rsidRPr="00B46C48">
        <w:rPr>
          <w:rFonts w:asciiTheme="minorHAnsi" w:hAnsiTheme="minorHAnsi"/>
          <w:color w:val="auto"/>
          <w:szCs w:val="24"/>
        </w:rPr>
        <w:t>ange-of-motion (ROM) evaluation</w:t>
      </w:r>
      <w:r w:rsidRPr="00B46C48">
        <w:rPr>
          <w:rFonts w:asciiTheme="minorHAnsi" w:hAnsiTheme="minorHAnsi"/>
          <w:color w:val="auto"/>
          <w:szCs w:val="24"/>
        </w:rPr>
        <w:t xml:space="preserve"> in </w:t>
      </w:r>
      <w:r w:rsidR="00C03220">
        <w:rPr>
          <w:rFonts w:asciiTheme="minorHAnsi" w:hAnsiTheme="minorHAnsi"/>
          <w:color w:val="auto"/>
          <w:szCs w:val="24"/>
        </w:rPr>
        <w:t>evidence</w:t>
      </w:r>
      <w:r w:rsidR="00440ED4" w:rsidRPr="00440ED4">
        <w:rPr>
          <w:rFonts w:asciiTheme="minorHAnsi" w:hAnsiTheme="minorHAnsi"/>
          <w:color w:val="auto"/>
          <w:szCs w:val="24"/>
        </w:rPr>
        <w:t xml:space="preserve"> which </w:t>
      </w:r>
      <w:r w:rsidRPr="00B46C48">
        <w:rPr>
          <w:rFonts w:asciiTheme="minorHAnsi" w:hAnsiTheme="minorHAnsi"/>
          <w:color w:val="auto"/>
          <w:szCs w:val="24"/>
        </w:rPr>
        <w:t xml:space="preserve">the Board weighed in arriving at its rating recommendation. </w:t>
      </w:r>
      <w:r w:rsidR="00B46C48" w:rsidRPr="00B46C48">
        <w:rPr>
          <w:rFonts w:asciiTheme="minorHAnsi" w:hAnsiTheme="minorHAnsi"/>
          <w:color w:val="auto"/>
          <w:szCs w:val="24"/>
        </w:rPr>
        <w:t xml:space="preserve"> </w:t>
      </w:r>
      <w:r w:rsidRPr="00B46C48">
        <w:rPr>
          <w:rFonts w:asciiTheme="minorHAnsi" w:hAnsiTheme="minorHAnsi"/>
          <w:color w:val="auto"/>
          <w:szCs w:val="24"/>
        </w:rPr>
        <w:t>Both of these</w:t>
      </w:r>
      <w:r w:rsidRPr="00664296">
        <w:rPr>
          <w:rFonts w:asciiTheme="minorHAnsi" w:hAnsiTheme="minorHAnsi"/>
          <w:color w:val="auto"/>
          <w:szCs w:val="24"/>
        </w:rPr>
        <w:t xml:space="preserve"> exams are summarized in the chart below.</w:t>
      </w:r>
    </w:p>
    <w:p w:rsidR="00664296" w:rsidRPr="00664296" w:rsidRDefault="00177582" w:rsidP="00177582">
      <w:pPr>
        <w:rPr>
          <w:rFonts w:asciiTheme="minorHAnsi" w:hAnsiTheme="minorHAnsi"/>
          <w:color w:val="auto"/>
          <w:szCs w:val="24"/>
        </w:rPr>
      </w:pPr>
      <w:r>
        <w:rPr>
          <w:rFonts w:asciiTheme="minorHAnsi" w:hAnsiTheme="minorHAnsi"/>
          <w:color w:val="auto"/>
          <w:szCs w:val="24"/>
        </w:rPr>
        <w:br w:type="page"/>
      </w:r>
    </w:p>
    <w:tbl>
      <w:tblPr>
        <w:tblW w:w="7458"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678"/>
        <w:gridCol w:w="1683"/>
        <w:gridCol w:w="1538"/>
        <w:gridCol w:w="1029"/>
      </w:tblGrid>
      <w:tr w:rsidR="00E06CF5" w:rsidRPr="00044694" w:rsidTr="005B4D89">
        <w:trPr>
          <w:trHeight w:val="143"/>
          <w:jc w:val="center"/>
        </w:trPr>
        <w:tc>
          <w:tcPr>
            <w:tcW w:w="1530" w:type="dxa"/>
            <w:vMerge w:val="restart"/>
            <w:shd w:val="clear" w:color="auto" w:fill="D9D9D9" w:themeFill="background1" w:themeFillShade="D9"/>
            <w:vAlign w:val="center"/>
          </w:tcPr>
          <w:p w:rsidR="00E06CF5" w:rsidRPr="00044694" w:rsidRDefault="006476B0"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lastRenderedPageBreak/>
              <w:t>Thoracol</w:t>
            </w:r>
            <w:r w:rsidR="00E06CF5" w:rsidRPr="00044694">
              <w:rPr>
                <w:rFonts w:asciiTheme="minorHAnsi" w:eastAsia="Calibri" w:hAnsiTheme="minorHAnsi"/>
                <w:color w:val="auto"/>
                <w:sz w:val="20"/>
              </w:rPr>
              <w:t>umbar &amp; Cervical</w:t>
            </w:r>
            <w:r w:rsidRPr="00044694">
              <w:rPr>
                <w:rFonts w:asciiTheme="minorHAnsi" w:eastAsia="Calibri" w:hAnsiTheme="minorHAnsi"/>
                <w:color w:val="auto"/>
                <w:sz w:val="20"/>
              </w:rPr>
              <w:t xml:space="preserve"> ROM</w:t>
            </w:r>
          </w:p>
        </w:tc>
        <w:tc>
          <w:tcPr>
            <w:tcW w:w="3361" w:type="dxa"/>
            <w:gridSpan w:val="2"/>
            <w:tcBorders>
              <w:bottom w:val="single" w:sz="4" w:space="0" w:color="auto"/>
            </w:tcBorders>
            <w:shd w:val="clear" w:color="auto" w:fill="D9D9D9" w:themeFill="background1" w:themeFillShade="D9"/>
            <w:vAlign w:val="center"/>
          </w:tcPr>
          <w:p w:rsidR="00E06CF5" w:rsidRPr="00044694" w:rsidRDefault="00E06CF5"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 xml:space="preserve">MEB ~ </w:t>
            </w:r>
            <w:r w:rsidR="00B46C48" w:rsidRPr="00044694">
              <w:rPr>
                <w:rFonts w:asciiTheme="minorHAnsi" w:eastAsia="Calibri" w:hAnsiTheme="minorHAnsi"/>
                <w:color w:val="auto"/>
                <w:sz w:val="20"/>
              </w:rPr>
              <w:t>4</w:t>
            </w:r>
            <w:r w:rsidRPr="00044694">
              <w:rPr>
                <w:rFonts w:asciiTheme="minorHAnsi" w:eastAsia="Calibri" w:hAnsiTheme="minorHAnsi"/>
                <w:color w:val="auto"/>
                <w:sz w:val="20"/>
              </w:rPr>
              <w:t xml:space="preserve"> Mo. Pre-Sep</w:t>
            </w:r>
          </w:p>
        </w:tc>
        <w:tc>
          <w:tcPr>
            <w:tcW w:w="2567" w:type="dxa"/>
            <w:gridSpan w:val="2"/>
            <w:tcBorders>
              <w:bottom w:val="single" w:sz="4" w:space="0" w:color="auto"/>
            </w:tcBorders>
            <w:shd w:val="clear" w:color="auto" w:fill="D9D9D9" w:themeFill="background1" w:themeFillShade="D9"/>
            <w:vAlign w:val="center"/>
          </w:tcPr>
          <w:p w:rsidR="00E06CF5" w:rsidRPr="00044694" w:rsidRDefault="00E06CF5" w:rsidP="005B4D89">
            <w:pPr>
              <w:spacing w:line="220" w:lineRule="exact"/>
              <w:contextualSpacing/>
              <w:jc w:val="center"/>
              <w:rPr>
                <w:rFonts w:asciiTheme="minorHAnsi" w:eastAsiaTheme="minorHAnsi" w:hAnsiTheme="minorHAnsi" w:cstheme="minorBidi"/>
                <w:color w:val="auto"/>
                <w:sz w:val="20"/>
              </w:rPr>
            </w:pPr>
            <w:r w:rsidRPr="00044694">
              <w:rPr>
                <w:rFonts w:asciiTheme="minorHAnsi" w:eastAsia="Calibri" w:hAnsiTheme="minorHAnsi"/>
                <w:color w:val="auto"/>
                <w:sz w:val="20"/>
              </w:rPr>
              <w:t>VA</w:t>
            </w:r>
            <w:r w:rsidRPr="00044694">
              <w:rPr>
                <w:rFonts w:asciiTheme="minorHAnsi" w:eastAsiaTheme="minorHAnsi" w:hAnsiTheme="minorHAnsi" w:cstheme="minorBidi"/>
                <w:color w:val="auto"/>
                <w:sz w:val="20"/>
              </w:rPr>
              <w:t xml:space="preserve"> C&amp;P </w:t>
            </w:r>
            <w:r w:rsidRPr="00044694">
              <w:rPr>
                <w:rFonts w:asciiTheme="minorHAnsi" w:eastAsia="Calibri" w:hAnsiTheme="minorHAnsi"/>
                <w:color w:val="auto"/>
                <w:sz w:val="20"/>
              </w:rPr>
              <w:t xml:space="preserve">~ </w:t>
            </w:r>
            <w:r w:rsidR="005D3D27" w:rsidRPr="00044694">
              <w:rPr>
                <w:rFonts w:asciiTheme="minorHAnsi" w:eastAsia="Calibri" w:hAnsiTheme="minorHAnsi"/>
                <w:color w:val="auto"/>
                <w:sz w:val="20"/>
              </w:rPr>
              <w:t>5</w:t>
            </w:r>
            <w:r w:rsidRPr="00044694">
              <w:rPr>
                <w:rFonts w:asciiTheme="minorHAnsi" w:eastAsia="Calibri" w:hAnsiTheme="minorHAnsi"/>
                <w:color w:val="auto"/>
                <w:sz w:val="20"/>
              </w:rPr>
              <w:t xml:space="preserve"> Mo. </w:t>
            </w:r>
            <w:r w:rsidR="005B4D89">
              <w:rPr>
                <w:rFonts w:asciiTheme="minorHAnsi" w:eastAsia="Calibri" w:hAnsiTheme="minorHAnsi"/>
                <w:color w:val="auto"/>
                <w:sz w:val="20"/>
              </w:rPr>
              <w:t>Post</w:t>
            </w:r>
            <w:r w:rsidRPr="00044694">
              <w:rPr>
                <w:rFonts w:asciiTheme="minorHAnsi" w:eastAsia="Calibri" w:hAnsiTheme="minorHAnsi"/>
                <w:color w:val="auto"/>
                <w:sz w:val="20"/>
              </w:rPr>
              <w:t>-Sep</w:t>
            </w:r>
          </w:p>
        </w:tc>
      </w:tr>
      <w:tr w:rsidR="005B4D89" w:rsidRPr="00044694" w:rsidTr="005B4D89">
        <w:trPr>
          <w:trHeight w:val="210"/>
          <w:jc w:val="center"/>
        </w:trPr>
        <w:tc>
          <w:tcPr>
            <w:tcW w:w="1530" w:type="dxa"/>
            <w:vMerge/>
            <w:shd w:val="clear" w:color="auto" w:fill="D9D9D9" w:themeFill="background1" w:themeFillShade="D9"/>
            <w:vAlign w:val="center"/>
          </w:tcPr>
          <w:p w:rsidR="00E06CF5" w:rsidRPr="00044694" w:rsidRDefault="00E06CF5" w:rsidP="00044694">
            <w:pPr>
              <w:pStyle w:val="ListParagraph"/>
              <w:spacing w:after="0" w:line="220" w:lineRule="exact"/>
              <w:ind w:left="0"/>
              <w:jc w:val="center"/>
              <w:rPr>
                <w:rFonts w:eastAsia="Calibri" w:cs="Times New Roman"/>
                <w:sz w:val="20"/>
                <w:szCs w:val="20"/>
              </w:rPr>
            </w:pPr>
          </w:p>
        </w:tc>
        <w:tc>
          <w:tcPr>
            <w:tcW w:w="1678" w:type="dxa"/>
            <w:tcBorders>
              <w:top w:val="single" w:sz="4" w:space="0" w:color="auto"/>
              <w:right w:val="single" w:sz="4" w:space="0" w:color="auto"/>
            </w:tcBorders>
            <w:shd w:val="clear" w:color="auto" w:fill="D9D9D9" w:themeFill="background1" w:themeFillShade="D9"/>
            <w:vAlign w:val="center"/>
          </w:tcPr>
          <w:p w:rsidR="00E06CF5" w:rsidRPr="00044694" w:rsidRDefault="006476B0"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Thoracol</w:t>
            </w:r>
            <w:r w:rsidR="00E06CF5" w:rsidRPr="00044694">
              <w:rPr>
                <w:rFonts w:eastAsia="Calibri" w:cs="Times New Roman"/>
                <w:sz w:val="20"/>
                <w:szCs w:val="20"/>
              </w:rPr>
              <w:t>umbar</w:t>
            </w:r>
          </w:p>
        </w:tc>
        <w:tc>
          <w:tcPr>
            <w:tcW w:w="1683" w:type="dxa"/>
            <w:tcBorders>
              <w:top w:val="single" w:sz="4" w:space="0" w:color="auto"/>
              <w:left w:val="single" w:sz="4" w:space="0" w:color="auto"/>
            </w:tcBorders>
            <w:shd w:val="clear" w:color="auto" w:fill="D9D9D9" w:themeFill="background1" w:themeFillShade="D9"/>
            <w:vAlign w:val="center"/>
          </w:tcPr>
          <w:p w:rsidR="00E06CF5" w:rsidRPr="00044694" w:rsidRDefault="00E06CF5"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Cervical</w:t>
            </w:r>
          </w:p>
        </w:tc>
        <w:tc>
          <w:tcPr>
            <w:tcW w:w="1538" w:type="dxa"/>
            <w:tcBorders>
              <w:top w:val="single" w:sz="4" w:space="0" w:color="auto"/>
              <w:right w:val="single" w:sz="4" w:space="0" w:color="auto"/>
            </w:tcBorders>
            <w:shd w:val="clear" w:color="auto" w:fill="D9D9D9" w:themeFill="background1" w:themeFillShade="D9"/>
            <w:vAlign w:val="center"/>
          </w:tcPr>
          <w:p w:rsidR="00E06CF5" w:rsidRPr="00044694" w:rsidRDefault="006476B0"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Thoracolumbar</w:t>
            </w:r>
          </w:p>
        </w:tc>
        <w:tc>
          <w:tcPr>
            <w:tcW w:w="1029" w:type="dxa"/>
            <w:tcBorders>
              <w:top w:val="single" w:sz="4" w:space="0" w:color="auto"/>
              <w:left w:val="single" w:sz="4" w:space="0" w:color="auto"/>
            </w:tcBorders>
            <w:shd w:val="clear" w:color="auto" w:fill="D9D9D9" w:themeFill="background1" w:themeFillShade="D9"/>
            <w:vAlign w:val="center"/>
          </w:tcPr>
          <w:p w:rsidR="00E06CF5" w:rsidRPr="00044694" w:rsidRDefault="00E06CF5"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Cervical</w:t>
            </w:r>
          </w:p>
        </w:tc>
      </w:tr>
      <w:tr w:rsidR="00E06CF5" w:rsidRPr="00044694" w:rsidTr="005B4D89">
        <w:trPr>
          <w:trHeight w:val="125"/>
          <w:jc w:val="center"/>
        </w:trPr>
        <w:tc>
          <w:tcPr>
            <w:tcW w:w="1530" w:type="dxa"/>
            <w:vAlign w:val="center"/>
          </w:tcPr>
          <w:p w:rsidR="00E06CF5" w:rsidRPr="00044694" w:rsidRDefault="00E06CF5"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Flexion</w:t>
            </w:r>
          </w:p>
        </w:tc>
        <w:tc>
          <w:tcPr>
            <w:tcW w:w="1678" w:type="dxa"/>
            <w:tcBorders>
              <w:right w:val="single" w:sz="4" w:space="0" w:color="auto"/>
            </w:tcBorders>
            <w:vAlign w:val="center"/>
          </w:tcPr>
          <w:p w:rsidR="00E06CF5" w:rsidRPr="00044694" w:rsidRDefault="006476B0"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w:t>
            </w:r>
          </w:p>
        </w:tc>
        <w:tc>
          <w:tcPr>
            <w:tcW w:w="1683" w:type="dxa"/>
            <w:tcBorders>
              <w:left w:val="single" w:sz="4" w:space="0" w:color="auto"/>
            </w:tcBorders>
            <w:vAlign w:val="center"/>
          </w:tcPr>
          <w:p w:rsidR="00E06CF5" w:rsidRPr="00044694" w:rsidRDefault="00B46C48"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Slight limitation</w:t>
            </w:r>
            <w:r w:rsidR="00044694">
              <w:rPr>
                <w:rFonts w:asciiTheme="minorHAnsi" w:eastAsia="Calibri" w:hAnsiTheme="minorHAnsi"/>
                <w:color w:val="auto"/>
                <w:sz w:val="20"/>
              </w:rPr>
              <w:t>.</w:t>
            </w:r>
          </w:p>
        </w:tc>
        <w:tc>
          <w:tcPr>
            <w:tcW w:w="1538" w:type="dxa"/>
            <w:tcBorders>
              <w:right w:val="single" w:sz="4" w:space="0" w:color="auto"/>
            </w:tcBorders>
            <w:vAlign w:val="center"/>
          </w:tcPr>
          <w:p w:rsidR="00E06CF5" w:rsidRPr="00044694" w:rsidRDefault="005D3D27"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90</w:t>
            </w:r>
            <w:r w:rsidR="00E06CF5" w:rsidRPr="00044694">
              <w:rPr>
                <w:rFonts w:asciiTheme="minorHAnsi" w:eastAsia="Calibri" w:hAnsiTheme="minorHAnsi"/>
                <w:color w:val="auto"/>
                <w:sz w:val="20"/>
              </w:rPr>
              <w:t>⁰</w:t>
            </w:r>
          </w:p>
        </w:tc>
        <w:tc>
          <w:tcPr>
            <w:tcW w:w="1029" w:type="dxa"/>
            <w:tcBorders>
              <w:left w:val="single" w:sz="4" w:space="0" w:color="auto"/>
            </w:tcBorders>
            <w:vAlign w:val="center"/>
          </w:tcPr>
          <w:p w:rsidR="00E06CF5" w:rsidRPr="00044694" w:rsidRDefault="005D3D27"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45</w:t>
            </w:r>
            <w:r w:rsidR="00E06CF5" w:rsidRPr="00044694">
              <w:rPr>
                <w:rFonts w:asciiTheme="minorHAnsi" w:eastAsia="Calibri" w:hAnsiTheme="minorHAnsi"/>
                <w:color w:val="auto"/>
                <w:sz w:val="20"/>
              </w:rPr>
              <w:t>⁰</w:t>
            </w:r>
          </w:p>
        </w:tc>
      </w:tr>
      <w:tr w:rsidR="00E06CF5" w:rsidRPr="00044694" w:rsidTr="005B4D89">
        <w:trPr>
          <w:trHeight w:val="125"/>
          <w:jc w:val="center"/>
        </w:trPr>
        <w:tc>
          <w:tcPr>
            <w:tcW w:w="1530" w:type="dxa"/>
            <w:vAlign w:val="center"/>
          </w:tcPr>
          <w:p w:rsidR="00E06CF5" w:rsidRPr="00044694" w:rsidRDefault="00E06CF5"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Combined</w:t>
            </w:r>
          </w:p>
        </w:tc>
        <w:tc>
          <w:tcPr>
            <w:tcW w:w="1678" w:type="dxa"/>
            <w:tcBorders>
              <w:right w:val="single" w:sz="4" w:space="0" w:color="auto"/>
            </w:tcBorders>
            <w:vAlign w:val="center"/>
          </w:tcPr>
          <w:p w:rsidR="00E06CF5" w:rsidRPr="00044694" w:rsidRDefault="006476B0"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w:t>
            </w:r>
          </w:p>
        </w:tc>
        <w:tc>
          <w:tcPr>
            <w:tcW w:w="1683" w:type="dxa"/>
            <w:tcBorders>
              <w:left w:val="single" w:sz="4" w:space="0" w:color="auto"/>
            </w:tcBorders>
            <w:vAlign w:val="center"/>
          </w:tcPr>
          <w:p w:rsidR="00E06CF5" w:rsidRPr="00044694" w:rsidRDefault="00B46C48"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Slight limitation</w:t>
            </w:r>
            <w:r w:rsidR="00044694">
              <w:rPr>
                <w:rFonts w:asciiTheme="minorHAnsi" w:eastAsia="Calibri" w:hAnsiTheme="minorHAnsi"/>
                <w:color w:val="auto"/>
                <w:sz w:val="20"/>
              </w:rPr>
              <w:t>.</w:t>
            </w:r>
          </w:p>
        </w:tc>
        <w:tc>
          <w:tcPr>
            <w:tcW w:w="1538" w:type="dxa"/>
            <w:tcBorders>
              <w:right w:val="single" w:sz="4" w:space="0" w:color="auto"/>
            </w:tcBorders>
            <w:vAlign w:val="center"/>
          </w:tcPr>
          <w:p w:rsidR="00E06CF5" w:rsidRPr="00044694" w:rsidRDefault="005D3D27"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240</w:t>
            </w:r>
            <w:r w:rsidR="00E06CF5" w:rsidRPr="00044694">
              <w:rPr>
                <w:rFonts w:asciiTheme="minorHAnsi" w:eastAsia="Calibri" w:hAnsiTheme="minorHAnsi"/>
                <w:color w:val="auto"/>
                <w:sz w:val="20"/>
              </w:rPr>
              <w:t>⁰</w:t>
            </w:r>
          </w:p>
        </w:tc>
        <w:tc>
          <w:tcPr>
            <w:tcW w:w="1029" w:type="dxa"/>
            <w:tcBorders>
              <w:left w:val="single" w:sz="4" w:space="0" w:color="auto"/>
            </w:tcBorders>
            <w:vAlign w:val="center"/>
          </w:tcPr>
          <w:p w:rsidR="00E06CF5" w:rsidRPr="00044694" w:rsidRDefault="005D3D27" w:rsidP="00044694">
            <w:pPr>
              <w:spacing w:line="220" w:lineRule="exact"/>
              <w:contextualSpacing/>
              <w:jc w:val="center"/>
              <w:rPr>
                <w:rFonts w:asciiTheme="minorHAnsi" w:eastAsia="Calibri" w:hAnsiTheme="minorHAnsi"/>
                <w:color w:val="auto"/>
                <w:sz w:val="20"/>
              </w:rPr>
            </w:pPr>
            <w:r w:rsidRPr="00044694">
              <w:rPr>
                <w:rFonts w:asciiTheme="minorHAnsi" w:eastAsia="Calibri" w:hAnsiTheme="minorHAnsi"/>
                <w:color w:val="auto"/>
                <w:sz w:val="20"/>
              </w:rPr>
              <w:t>340</w:t>
            </w:r>
            <w:r w:rsidR="00E06CF5" w:rsidRPr="00044694">
              <w:rPr>
                <w:rFonts w:asciiTheme="minorHAnsi" w:eastAsia="Calibri" w:hAnsiTheme="minorHAnsi"/>
                <w:color w:val="auto"/>
                <w:sz w:val="20"/>
              </w:rPr>
              <w:t>⁰</w:t>
            </w:r>
          </w:p>
        </w:tc>
      </w:tr>
      <w:tr w:rsidR="005B4D89" w:rsidRPr="00044694" w:rsidTr="005B4D89">
        <w:trPr>
          <w:trHeight w:val="116"/>
          <w:jc w:val="center"/>
        </w:trPr>
        <w:tc>
          <w:tcPr>
            <w:tcW w:w="1530" w:type="dxa"/>
            <w:vAlign w:val="center"/>
          </w:tcPr>
          <w:p w:rsidR="005B4D89" w:rsidRPr="00044694" w:rsidRDefault="005B4D89"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Comment</w:t>
            </w:r>
          </w:p>
        </w:tc>
        <w:tc>
          <w:tcPr>
            <w:tcW w:w="1678" w:type="dxa"/>
            <w:tcBorders>
              <w:right w:val="single" w:sz="4" w:space="0" w:color="auto"/>
            </w:tcBorders>
            <w:vAlign w:val="center"/>
          </w:tcPr>
          <w:p w:rsidR="005B4D89" w:rsidRPr="00044694" w:rsidRDefault="005B4D89" w:rsidP="00044694">
            <w:pPr>
              <w:tabs>
                <w:tab w:val="left" w:pos="288"/>
                <w:tab w:val="left" w:pos="4752"/>
              </w:tabs>
              <w:spacing w:line="220" w:lineRule="exact"/>
              <w:jc w:val="center"/>
              <w:rPr>
                <w:rFonts w:asciiTheme="minorHAnsi" w:eastAsiaTheme="minorHAnsi" w:hAnsiTheme="minorHAnsi"/>
                <w:color w:val="auto"/>
                <w:sz w:val="20"/>
              </w:rPr>
            </w:pPr>
            <w:r>
              <w:rPr>
                <w:rFonts w:asciiTheme="minorHAnsi" w:eastAsiaTheme="minorHAnsi" w:hAnsiTheme="minorHAnsi"/>
                <w:color w:val="auto"/>
                <w:sz w:val="20"/>
              </w:rPr>
              <w:t>No distinct exam.</w:t>
            </w:r>
          </w:p>
        </w:tc>
        <w:tc>
          <w:tcPr>
            <w:tcW w:w="1683" w:type="dxa"/>
            <w:tcBorders>
              <w:left w:val="single" w:sz="4" w:space="0" w:color="auto"/>
            </w:tcBorders>
            <w:vAlign w:val="center"/>
          </w:tcPr>
          <w:p w:rsidR="005B4D89" w:rsidRPr="00044694" w:rsidRDefault="005B4D89" w:rsidP="00044694">
            <w:pPr>
              <w:tabs>
                <w:tab w:val="left" w:pos="288"/>
                <w:tab w:val="left" w:pos="4752"/>
              </w:tabs>
              <w:spacing w:line="220" w:lineRule="exact"/>
              <w:jc w:val="center"/>
              <w:rPr>
                <w:rFonts w:asciiTheme="minorHAnsi" w:eastAsiaTheme="minorHAnsi" w:hAnsiTheme="minorHAnsi"/>
                <w:color w:val="auto"/>
                <w:sz w:val="20"/>
              </w:rPr>
            </w:pPr>
            <w:r w:rsidRPr="00044694">
              <w:rPr>
                <w:rFonts w:asciiTheme="minorHAnsi" w:eastAsiaTheme="minorHAnsi" w:hAnsiTheme="minorHAnsi"/>
                <w:color w:val="auto"/>
                <w:sz w:val="20"/>
              </w:rPr>
              <w:t>Mild tenderness</w:t>
            </w:r>
            <w:r>
              <w:rPr>
                <w:rFonts w:asciiTheme="minorHAnsi" w:eastAsiaTheme="minorHAnsi" w:hAnsiTheme="minorHAnsi"/>
                <w:color w:val="auto"/>
                <w:sz w:val="20"/>
              </w:rPr>
              <w:t>.</w:t>
            </w:r>
          </w:p>
        </w:tc>
        <w:tc>
          <w:tcPr>
            <w:tcW w:w="2567" w:type="dxa"/>
            <w:gridSpan w:val="2"/>
            <w:vAlign w:val="center"/>
          </w:tcPr>
          <w:p w:rsidR="005B4D89" w:rsidRPr="00044694" w:rsidRDefault="005B4D89" w:rsidP="00044694">
            <w:pPr>
              <w:tabs>
                <w:tab w:val="left" w:pos="288"/>
                <w:tab w:val="left" w:pos="4752"/>
              </w:tabs>
              <w:spacing w:line="220" w:lineRule="exact"/>
              <w:jc w:val="center"/>
              <w:rPr>
                <w:rFonts w:asciiTheme="minorHAnsi" w:eastAsiaTheme="minorHAnsi" w:hAnsiTheme="minorHAnsi"/>
                <w:color w:val="auto"/>
                <w:sz w:val="20"/>
              </w:rPr>
            </w:pPr>
            <w:r>
              <w:rPr>
                <w:rFonts w:asciiTheme="minorHAnsi" w:eastAsiaTheme="minorHAnsi" w:hAnsiTheme="minorHAnsi"/>
                <w:color w:val="auto"/>
                <w:sz w:val="20"/>
              </w:rPr>
              <w:t>No spasm; negative DeLuca.</w:t>
            </w:r>
          </w:p>
        </w:tc>
      </w:tr>
      <w:tr w:rsidR="00E06CF5" w:rsidRPr="00044694" w:rsidTr="005B4D89">
        <w:trPr>
          <w:trHeight w:val="43"/>
          <w:jc w:val="center"/>
        </w:trPr>
        <w:tc>
          <w:tcPr>
            <w:tcW w:w="1530" w:type="dxa"/>
            <w:vAlign w:val="center"/>
          </w:tcPr>
          <w:p w:rsidR="00E06CF5" w:rsidRPr="00044694" w:rsidRDefault="00E06CF5" w:rsidP="00044694">
            <w:pPr>
              <w:pStyle w:val="ListParagraph"/>
              <w:spacing w:after="0" w:line="220" w:lineRule="exact"/>
              <w:ind w:left="0"/>
              <w:jc w:val="center"/>
              <w:rPr>
                <w:rFonts w:eastAsia="Calibri" w:cs="Times New Roman"/>
                <w:sz w:val="20"/>
                <w:szCs w:val="20"/>
              </w:rPr>
            </w:pPr>
            <w:r w:rsidRPr="00044694">
              <w:rPr>
                <w:rFonts w:eastAsia="Calibri" w:cs="Times New Roman"/>
                <w:sz w:val="20"/>
                <w:szCs w:val="20"/>
              </w:rPr>
              <w:t>§4.71a Rating</w:t>
            </w:r>
          </w:p>
        </w:tc>
        <w:tc>
          <w:tcPr>
            <w:tcW w:w="1678" w:type="dxa"/>
            <w:tcBorders>
              <w:right w:val="single" w:sz="4" w:space="0" w:color="auto"/>
            </w:tcBorders>
            <w:vAlign w:val="center"/>
          </w:tcPr>
          <w:p w:rsidR="00E06CF5" w:rsidRPr="00044694" w:rsidRDefault="006476B0" w:rsidP="00044694">
            <w:pPr>
              <w:tabs>
                <w:tab w:val="left" w:pos="288"/>
                <w:tab w:val="left" w:pos="4752"/>
              </w:tabs>
              <w:spacing w:line="220" w:lineRule="exact"/>
              <w:jc w:val="center"/>
              <w:rPr>
                <w:rFonts w:asciiTheme="minorHAnsi" w:eastAsiaTheme="minorHAnsi" w:hAnsiTheme="minorHAnsi"/>
                <w:color w:val="auto"/>
                <w:sz w:val="20"/>
              </w:rPr>
            </w:pPr>
            <w:r w:rsidRPr="00044694">
              <w:rPr>
                <w:rFonts w:asciiTheme="minorHAnsi" w:eastAsiaTheme="minorHAnsi" w:hAnsiTheme="minorHAnsi"/>
                <w:color w:val="auto"/>
                <w:sz w:val="20"/>
              </w:rPr>
              <w:t>---</w:t>
            </w:r>
          </w:p>
        </w:tc>
        <w:tc>
          <w:tcPr>
            <w:tcW w:w="1683" w:type="dxa"/>
            <w:tcBorders>
              <w:left w:val="single" w:sz="4" w:space="0" w:color="auto"/>
            </w:tcBorders>
            <w:vAlign w:val="center"/>
          </w:tcPr>
          <w:p w:rsidR="00E06CF5" w:rsidRPr="00044694" w:rsidRDefault="000F2351" w:rsidP="00044694">
            <w:pPr>
              <w:tabs>
                <w:tab w:val="left" w:pos="288"/>
                <w:tab w:val="left" w:pos="4752"/>
              </w:tabs>
              <w:spacing w:line="220" w:lineRule="exact"/>
              <w:jc w:val="center"/>
              <w:rPr>
                <w:rFonts w:asciiTheme="minorHAnsi" w:eastAsiaTheme="minorHAnsi" w:hAnsiTheme="minorHAnsi"/>
                <w:color w:val="auto"/>
                <w:sz w:val="20"/>
              </w:rPr>
            </w:pPr>
            <w:r w:rsidRPr="00044694">
              <w:rPr>
                <w:rFonts w:asciiTheme="minorHAnsi" w:eastAsiaTheme="minorHAnsi" w:hAnsiTheme="minorHAnsi"/>
                <w:color w:val="auto"/>
                <w:sz w:val="20"/>
              </w:rPr>
              <w:t>10</w:t>
            </w:r>
            <w:r w:rsidR="00E06CF5" w:rsidRPr="00044694">
              <w:rPr>
                <w:rFonts w:asciiTheme="minorHAnsi" w:eastAsiaTheme="minorHAnsi" w:hAnsiTheme="minorHAnsi"/>
                <w:color w:val="auto"/>
                <w:sz w:val="20"/>
              </w:rPr>
              <w:t>%</w:t>
            </w:r>
            <w:r w:rsidRPr="00044694">
              <w:rPr>
                <w:rFonts w:asciiTheme="minorHAnsi" w:eastAsiaTheme="minorHAnsi" w:hAnsiTheme="minorHAnsi"/>
                <w:color w:val="auto"/>
                <w:sz w:val="20"/>
              </w:rPr>
              <w:t>*</w:t>
            </w:r>
          </w:p>
        </w:tc>
        <w:tc>
          <w:tcPr>
            <w:tcW w:w="1538" w:type="dxa"/>
            <w:tcBorders>
              <w:right w:val="single" w:sz="4" w:space="0" w:color="auto"/>
            </w:tcBorders>
            <w:vAlign w:val="center"/>
          </w:tcPr>
          <w:p w:rsidR="00E06CF5" w:rsidRPr="00044694" w:rsidRDefault="005D3D27" w:rsidP="00044694">
            <w:pPr>
              <w:tabs>
                <w:tab w:val="left" w:pos="288"/>
                <w:tab w:val="left" w:pos="4752"/>
              </w:tabs>
              <w:spacing w:line="220" w:lineRule="exact"/>
              <w:jc w:val="center"/>
              <w:rPr>
                <w:rFonts w:asciiTheme="minorHAnsi" w:eastAsiaTheme="minorHAnsi" w:hAnsiTheme="minorHAnsi"/>
                <w:color w:val="auto"/>
                <w:sz w:val="20"/>
              </w:rPr>
            </w:pPr>
            <w:r w:rsidRPr="00044694">
              <w:rPr>
                <w:rFonts w:asciiTheme="minorHAnsi" w:eastAsiaTheme="minorHAnsi" w:hAnsiTheme="minorHAnsi"/>
                <w:color w:val="auto"/>
                <w:sz w:val="20"/>
              </w:rPr>
              <w:t>10</w:t>
            </w:r>
            <w:r w:rsidR="00E06CF5" w:rsidRPr="00044694">
              <w:rPr>
                <w:rFonts w:asciiTheme="minorHAnsi" w:eastAsiaTheme="minorHAnsi" w:hAnsiTheme="minorHAnsi"/>
                <w:color w:val="auto"/>
                <w:sz w:val="20"/>
              </w:rPr>
              <w:t>%</w:t>
            </w:r>
            <w:r w:rsidR="006476B0" w:rsidRPr="00044694">
              <w:rPr>
                <w:rFonts w:asciiTheme="minorHAnsi" w:eastAsiaTheme="minorHAnsi" w:hAnsiTheme="minorHAnsi"/>
                <w:color w:val="auto"/>
                <w:sz w:val="20"/>
              </w:rPr>
              <w:t>*</w:t>
            </w:r>
          </w:p>
        </w:tc>
        <w:tc>
          <w:tcPr>
            <w:tcW w:w="1029" w:type="dxa"/>
            <w:tcBorders>
              <w:left w:val="single" w:sz="4" w:space="0" w:color="auto"/>
            </w:tcBorders>
            <w:vAlign w:val="center"/>
          </w:tcPr>
          <w:p w:rsidR="00E06CF5" w:rsidRPr="00044694" w:rsidRDefault="005D3D27" w:rsidP="00044694">
            <w:pPr>
              <w:tabs>
                <w:tab w:val="left" w:pos="288"/>
                <w:tab w:val="left" w:pos="4752"/>
              </w:tabs>
              <w:spacing w:line="220" w:lineRule="exact"/>
              <w:jc w:val="center"/>
              <w:rPr>
                <w:rFonts w:asciiTheme="minorHAnsi" w:eastAsiaTheme="minorHAnsi" w:hAnsiTheme="minorHAnsi"/>
                <w:color w:val="auto"/>
                <w:sz w:val="20"/>
              </w:rPr>
            </w:pPr>
            <w:r w:rsidRPr="00044694">
              <w:rPr>
                <w:rFonts w:asciiTheme="minorHAnsi" w:eastAsiaTheme="minorHAnsi" w:hAnsiTheme="minorHAnsi"/>
                <w:color w:val="auto"/>
                <w:sz w:val="20"/>
              </w:rPr>
              <w:t>10</w:t>
            </w:r>
            <w:r w:rsidR="00E06CF5" w:rsidRPr="00044694">
              <w:rPr>
                <w:rFonts w:asciiTheme="minorHAnsi" w:eastAsiaTheme="minorHAnsi" w:hAnsiTheme="minorHAnsi"/>
                <w:color w:val="auto"/>
                <w:sz w:val="20"/>
              </w:rPr>
              <w:t>%</w:t>
            </w:r>
            <w:r w:rsidR="006476B0" w:rsidRPr="00044694">
              <w:rPr>
                <w:rFonts w:asciiTheme="minorHAnsi" w:eastAsiaTheme="minorHAnsi" w:hAnsiTheme="minorHAnsi"/>
                <w:color w:val="auto"/>
                <w:sz w:val="20"/>
              </w:rPr>
              <w:t>*</w:t>
            </w:r>
          </w:p>
        </w:tc>
      </w:tr>
    </w:tbl>
    <w:p w:rsidR="00E06CF5" w:rsidRPr="005B4D89" w:rsidRDefault="000F2351" w:rsidP="000F2351">
      <w:pPr>
        <w:tabs>
          <w:tab w:val="left" w:pos="3420"/>
          <w:tab w:val="left" w:pos="4752"/>
        </w:tabs>
        <w:spacing w:line="240" w:lineRule="exact"/>
        <w:rPr>
          <w:rFonts w:asciiTheme="minorHAnsi" w:hAnsiTheme="minorHAnsi"/>
          <w:color w:val="auto"/>
          <w:sz w:val="20"/>
        </w:rPr>
      </w:pPr>
      <w:r>
        <w:rPr>
          <w:color w:val="auto"/>
          <w:sz w:val="18"/>
          <w:szCs w:val="24"/>
        </w:rPr>
        <w:tab/>
      </w:r>
      <w:r w:rsidR="005B4D89">
        <w:rPr>
          <w:color w:val="auto"/>
          <w:sz w:val="18"/>
          <w:szCs w:val="24"/>
        </w:rPr>
        <w:t xml:space="preserve">                                 </w:t>
      </w:r>
      <w:r w:rsidR="00E06CF5" w:rsidRPr="005B4D89">
        <w:rPr>
          <w:color w:val="auto"/>
          <w:sz w:val="20"/>
        </w:rPr>
        <w:t xml:space="preserve">* Conceding </w:t>
      </w:r>
      <w:r w:rsidR="00E06CF5" w:rsidRPr="005B4D89">
        <w:rPr>
          <w:rFonts w:asciiTheme="minorHAnsi" w:hAnsiTheme="minorHAnsi"/>
          <w:color w:val="auto"/>
          <w:sz w:val="20"/>
        </w:rPr>
        <w:t>§4.59 (painful motion) as below.</w:t>
      </w:r>
    </w:p>
    <w:p w:rsidR="00C03220" w:rsidRDefault="00C03220" w:rsidP="00E128CD">
      <w:pPr>
        <w:tabs>
          <w:tab w:val="left" w:pos="288"/>
          <w:tab w:val="left" w:pos="4752"/>
        </w:tabs>
        <w:spacing w:line="240" w:lineRule="exact"/>
        <w:jc w:val="both"/>
        <w:rPr>
          <w:rFonts w:asciiTheme="minorHAnsi" w:hAnsiTheme="minorHAnsi"/>
          <w:color w:val="auto"/>
          <w:szCs w:val="24"/>
        </w:rPr>
      </w:pPr>
    </w:p>
    <w:p w:rsidR="00342328" w:rsidRDefault="00C03220" w:rsidP="00E128C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examiner referenced a recent orthopedic evaluation that recorded slightly diminished cervical </w:t>
      </w:r>
      <w:r w:rsidR="0076578D">
        <w:rPr>
          <w:rFonts w:asciiTheme="minorHAnsi" w:hAnsiTheme="minorHAnsi"/>
          <w:color w:val="auto"/>
          <w:szCs w:val="24"/>
        </w:rPr>
        <w:t>range-of-motion (</w:t>
      </w:r>
      <w:r>
        <w:rPr>
          <w:rFonts w:asciiTheme="minorHAnsi" w:hAnsiTheme="minorHAnsi"/>
          <w:color w:val="auto"/>
          <w:szCs w:val="24"/>
        </w:rPr>
        <w:t>ROM</w:t>
      </w:r>
      <w:r w:rsidR="0076578D">
        <w:rPr>
          <w:rFonts w:asciiTheme="minorHAnsi" w:hAnsiTheme="minorHAnsi"/>
          <w:color w:val="auto"/>
          <w:szCs w:val="24"/>
        </w:rPr>
        <w:t>)</w:t>
      </w:r>
      <w:r>
        <w:rPr>
          <w:rFonts w:asciiTheme="minorHAnsi" w:hAnsiTheme="minorHAnsi"/>
          <w:color w:val="auto"/>
          <w:szCs w:val="24"/>
        </w:rPr>
        <w:t xml:space="preserve"> with mild paravertebral tenderness and spasm.  The neurologic exam was notable for mild weakness of the </w:t>
      </w:r>
      <w:r w:rsidRPr="003F551F">
        <w:rPr>
          <w:rFonts w:asciiTheme="minorHAnsi" w:hAnsiTheme="minorHAnsi"/>
          <w:i/>
          <w:color w:val="auto"/>
          <w:szCs w:val="24"/>
        </w:rPr>
        <w:t>left</w:t>
      </w:r>
      <w:r>
        <w:rPr>
          <w:rFonts w:asciiTheme="minorHAnsi" w:hAnsiTheme="minorHAnsi"/>
          <w:color w:val="auto"/>
          <w:szCs w:val="24"/>
        </w:rPr>
        <w:t xml:space="preserve"> triceps and wrist flexors, and diminished sensation in the </w:t>
      </w:r>
      <w:r w:rsidR="003F551F" w:rsidRPr="003F551F">
        <w:rPr>
          <w:rFonts w:asciiTheme="minorHAnsi" w:hAnsiTheme="minorHAnsi"/>
          <w:i/>
          <w:color w:val="auto"/>
          <w:szCs w:val="24"/>
        </w:rPr>
        <w:t>right</w:t>
      </w:r>
      <w:r w:rsidR="003F551F">
        <w:rPr>
          <w:rFonts w:asciiTheme="minorHAnsi" w:hAnsiTheme="minorHAnsi"/>
          <w:color w:val="auto"/>
          <w:szCs w:val="24"/>
        </w:rPr>
        <w:t xml:space="preserve"> </w:t>
      </w:r>
      <w:r>
        <w:rPr>
          <w:rFonts w:asciiTheme="minorHAnsi" w:hAnsiTheme="minorHAnsi"/>
          <w:color w:val="auto"/>
          <w:szCs w:val="24"/>
        </w:rPr>
        <w:t xml:space="preserve">C6 dermatome.  </w:t>
      </w:r>
      <w:r w:rsidR="00785BF0">
        <w:rPr>
          <w:rFonts w:asciiTheme="minorHAnsi" w:hAnsiTheme="minorHAnsi"/>
          <w:color w:val="auto"/>
          <w:szCs w:val="24"/>
        </w:rPr>
        <w:t xml:space="preserve">The </w:t>
      </w:r>
      <w:r w:rsidR="0076578D">
        <w:rPr>
          <w:rFonts w:asciiTheme="minorHAnsi" w:hAnsiTheme="minorHAnsi"/>
          <w:color w:val="auto"/>
          <w:szCs w:val="24"/>
        </w:rPr>
        <w:t>VA compensation &amp; p</w:t>
      </w:r>
      <w:r w:rsidR="00B479DB" w:rsidRPr="00B479DB">
        <w:rPr>
          <w:rFonts w:asciiTheme="minorHAnsi" w:hAnsiTheme="minorHAnsi"/>
          <w:color w:val="auto"/>
          <w:szCs w:val="24"/>
        </w:rPr>
        <w:t>ension (C&amp;P) exam</w:t>
      </w:r>
      <w:r w:rsidR="00785BF0">
        <w:rPr>
          <w:rFonts w:asciiTheme="minorHAnsi" w:hAnsiTheme="minorHAnsi"/>
          <w:color w:val="auto"/>
          <w:szCs w:val="24"/>
        </w:rPr>
        <w:t>, conducted two weeks prior to the CI’s cervical spine surgery</w:t>
      </w:r>
      <w:r w:rsidR="00680E77">
        <w:rPr>
          <w:rFonts w:asciiTheme="minorHAnsi" w:hAnsiTheme="minorHAnsi"/>
          <w:color w:val="auto"/>
          <w:szCs w:val="24"/>
        </w:rPr>
        <w:t>, record</w:t>
      </w:r>
      <w:r>
        <w:rPr>
          <w:rFonts w:asciiTheme="minorHAnsi" w:hAnsiTheme="minorHAnsi"/>
          <w:color w:val="auto"/>
          <w:szCs w:val="24"/>
        </w:rPr>
        <w:t>ed radiating pain with movement;</w:t>
      </w:r>
      <w:r w:rsidR="00680E77">
        <w:rPr>
          <w:rFonts w:asciiTheme="minorHAnsi" w:hAnsiTheme="minorHAnsi"/>
          <w:color w:val="auto"/>
          <w:szCs w:val="24"/>
        </w:rPr>
        <w:t xml:space="preserve"> but </w:t>
      </w:r>
      <w:r>
        <w:rPr>
          <w:rFonts w:asciiTheme="minorHAnsi" w:hAnsiTheme="minorHAnsi"/>
          <w:color w:val="auto"/>
          <w:szCs w:val="24"/>
        </w:rPr>
        <w:t>found no</w:t>
      </w:r>
      <w:r w:rsidR="00680E77">
        <w:rPr>
          <w:rFonts w:asciiTheme="minorHAnsi" w:hAnsiTheme="minorHAnsi"/>
          <w:color w:val="auto"/>
          <w:szCs w:val="24"/>
        </w:rPr>
        <w:t xml:space="preserve"> tenderness or spasm in the cervical region.  ROM was full with pain </w:t>
      </w:r>
      <w:r w:rsidR="00342328">
        <w:rPr>
          <w:rFonts w:asciiTheme="minorHAnsi" w:hAnsiTheme="minorHAnsi"/>
          <w:color w:val="auto"/>
          <w:szCs w:val="24"/>
        </w:rPr>
        <w:t xml:space="preserve">only </w:t>
      </w:r>
      <w:r w:rsidR="00680E77">
        <w:rPr>
          <w:rFonts w:asciiTheme="minorHAnsi" w:hAnsiTheme="minorHAnsi"/>
          <w:color w:val="auto"/>
          <w:szCs w:val="24"/>
        </w:rPr>
        <w:t xml:space="preserve">at the extremes of motion.  </w:t>
      </w:r>
      <w:r w:rsidR="00680E77" w:rsidRPr="00680E77">
        <w:rPr>
          <w:rFonts w:asciiTheme="minorHAnsi" w:hAnsiTheme="minorHAnsi"/>
          <w:color w:val="auto"/>
          <w:szCs w:val="24"/>
        </w:rPr>
        <w:t xml:space="preserve">There </w:t>
      </w:r>
      <w:r w:rsidR="00680E77">
        <w:rPr>
          <w:rFonts w:asciiTheme="minorHAnsi" w:hAnsiTheme="minorHAnsi"/>
          <w:color w:val="auto"/>
          <w:szCs w:val="24"/>
        </w:rPr>
        <w:t>was no</w:t>
      </w:r>
      <w:r w:rsidR="00680E77" w:rsidRPr="00680E77">
        <w:rPr>
          <w:rFonts w:asciiTheme="minorHAnsi" w:hAnsiTheme="minorHAnsi"/>
          <w:color w:val="auto"/>
          <w:szCs w:val="24"/>
        </w:rPr>
        <w:t xml:space="preserve"> further</w:t>
      </w:r>
      <w:r w:rsidR="00680E77">
        <w:rPr>
          <w:rFonts w:asciiTheme="minorHAnsi" w:hAnsiTheme="minorHAnsi"/>
          <w:color w:val="auto"/>
          <w:szCs w:val="24"/>
        </w:rPr>
        <w:t xml:space="preserve"> </w:t>
      </w:r>
      <w:r w:rsidR="00680E77" w:rsidRPr="00680E77">
        <w:rPr>
          <w:rFonts w:asciiTheme="minorHAnsi" w:hAnsiTheme="minorHAnsi"/>
          <w:color w:val="auto"/>
          <w:szCs w:val="24"/>
        </w:rPr>
        <w:t xml:space="preserve">limitation by pain </w:t>
      </w:r>
      <w:r w:rsidR="00680E77">
        <w:rPr>
          <w:rFonts w:asciiTheme="minorHAnsi" w:hAnsiTheme="minorHAnsi"/>
          <w:color w:val="auto"/>
          <w:szCs w:val="24"/>
        </w:rPr>
        <w:t xml:space="preserve">with </w:t>
      </w:r>
      <w:r w:rsidR="00680E77" w:rsidRPr="00680E77">
        <w:rPr>
          <w:rFonts w:asciiTheme="minorHAnsi" w:hAnsiTheme="minorHAnsi"/>
          <w:color w:val="auto"/>
          <w:szCs w:val="24"/>
        </w:rPr>
        <w:t>repetitive motion.</w:t>
      </w:r>
      <w:r w:rsidR="00680E77">
        <w:rPr>
          <w:rFonts w:asciiTheme="minorHAnsi" w:hAnsiTheme="minorHAnsi"/>
          <w:color w:val="auto"/>
          <w:szCs w:val="24"/>
        </w:rPr>
        <w:t xml:space="preserve">  The thoracolumbar spine also had a full ROM with pain at the extremes of motion, no spasm or tenderness, and no signs of </w:t>
      </w:r>
      <w:proofErr w:type="spellStart"/>
      <w:r w:rsidR="00680E77">
        <w:rPr>
          <w:rFonts w:asciiTheme="minorHAnsi" w:hAnsiTheme="minorHAnsi"/>
          <w:color w:val="auto"/>
          <w:szCs w:val="24"/>
        </w:rPr>
        <w:t>radiculopathy</w:t>
      </w:r>
      <w:proofErr w:type="spellEnd"/>
      <w:r w:rsidR="00680E77">
        <w:rPr>
          <w:rFonts w:asciiTheme="minorHAnsi" w:hAnsiTheme="minorHAnsi"/>
          <w:color w:val="auto"/>
          <w:szCs w:val="24"/>
        </w:rPr>
        <w:t>.</w:t>
      </w:r>
      <w:r w:rsidR="00794628">
        <w:rPr>
          <w:rFonts w:asciiTheme="minorHAnsi" w:hAnsiTheme="minorHAnsi"/>
          <w:color w:val="auto"/>
          <w:szCs w:val="24"/>
        </w:rPr>
        <w:t xml:space="preserve">  </w:t>
      </w:r>
      <w:r w:rsidR="00F046EA">
        <w:rPr>
          <w:rFonts w:asciiTheme="minorHAnsi" w:hAnsiTheme="minorHAnsi"/>
          <w:color w:val="auto"/>
          <w:szCs w:val="24"/>
        </w:rPr>
        <w:t xml:space="preserve">There is no Service or </w:t>
      </w:r>
      <w:r w:rsidR="00692CFC">
        <w:rPr>
          <w:rFonts w:asciiTheme="minorHAnsi" w:hAnsiTheme="minorHAnsi"/>
          <w:color w:val="auto"/>
          <w:szCs w:val="24"/>
        </w:rPr>
        <w:t>D</w:t>
      </w:r>
      <w:r w:rsidR="00F046EA">
        <w:rPr>
          <w:rFonts w:asciiTheme="minorHAnsi" w:hAnsiTheme="minorHAnsi"/>
          <w:color w:val="auto"/>
          <w:szCs w:val="24"/>
        </w:rPr>
        <w:t>VA evidence for abnormal or gait or contour.</w:t>
      </w:r>
    </w:p>
    <w:p w:rsidR="00342328" w:rsidRDefault="00342328" w:rsidP="00E128CD">
      <w:pPr>
        <w:tabs>
          <w:tab w:val="left" w:pos="288"/>
          <w:tab w:val="left" w:pos="4752"/>
        </w:tabs>
        <w:spacing w:line="240" w:lineRule="exact"/>
        <w:jc w:val="both"/>
        <w:rPr>
          <w:rFonts w:asciiTheme="minorHAnsi" w:hAnsiTheme="minorHAnsi"/>
          <w:color w:val="auto"/>
          <w:szCs w:val="24"/>
        </w:rPr>
      </w:pPr>
    </w:p>
    <w:p w:rsidR="00302AA1" w:rsidRDefault="00342328" w:rsidP="00E128C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directs its attention to its rating recommendation based on the evidence just presented.  </w:t>
      </w:r>
      <w:r w:rsidR="00664296" w:rsidRPr="00C37502">
        <w:rPr>
          <w:rFonts w:asciiTheme="minorHAnsi" w:hAnsiTheme="minorHAnsi"/>
          <w:color w:val="auto"/>
          <w:szCs w:val="24"/>
        </w:rPr>
        <w:t xml:space="preserve">The PEB’s </w:t>
      </w:r>
      <w:r>
        <w:rPr>
          <w:rFonts w:asciiTheme="minorHAnsi" w:hAnsiTheme="minorHAnsi"/>
          <w:color w:val="auto"/>
          <w:szCs w:val="24"/>
        </w:rPr>
        <w:t>AF Form 356</w:t>
      </w:r>
      <w:r w:rsidR="00664296" w:rsidRPr="00C37502">
        <w:rPr>
          <w:rFonts w:asciiTheme="minorHAnsi" w:hAnsiTheme="minorHAnsi"/>
          <w:color w:val="auto"/>
          <w:szCs w:val="24"/>
        </w:rPr>
        <w:t xml:space="preserve"> reflected </w:t>
      </w:r>
      <w:r w:rsidR="00C37502" w:rsidRPr="00C37502">
        <w:rPr>
          <w:rFonts w:asciiTheme="minorHAnsi" w:hAnsiTheme="minorHAnsi"/>
          <w:color w:val="auto"/>
          <w:szCs w:val="24"/>
        </w:rPr>
        <w:t xml:space="preserve">consolidation of two spinal segments </w:t>
      </w:r>
      <w:r>
        <w:rPr>
          <w:rFonts w:asciiTheme="minorHAnsi" w:hAnsiTheme="minorHAnsi"/>
          <w:color w:val="auto"/>
          <w:szCs w:val="24"/>
        </w:rPr>
        <w:t>for a single</w:t>
      </w:r>
      <w:r w:rsidR="00C37502" w:rsidRPr="00C37502">
        <w:rPr>
          <w:rFonts w:asciiTheme="minorHAnsi" w:hAnsiTheme="minorHAnsi"/>
          <w:color w:val="auto"/>
          <w:szCs w:val="24"/>
        </w:rPr>
        <w:t xml:space="preserve"> rating</w:t>
      </w:r>
      <w:r>
        <w:rPr>
          <w:rFonts w:asciiTheme="minorHAnsi" w:hAnsiTheme="minorHAnsi"/>
          <w:color w:val="auto"/>
          <w:szCs w:val="24"/>
        </w:rPr>
        <w:t>.</w:t>
      </w:r>
      <w:r w:rsidR="00C37502" w:rsidRPr="00C37502">
        <w:rPr>
          <w:rFonts w:asciiTheme="minorHAnsi" w:hAnsiTheme="minorHAnsi"/>
          <w:color w:val="auto"/>
          <w:szCs w:val="24"/>
        </w:rPr>
        <w:t xml:space="preserve"> </w:t>
      </w:r>
      <w:r>
        <w:rPr>
          <w:rFonts w:asciiTheme="minorHAnsi" w:hAnsiTheme="minorHAnsi"/>
          <w:color w:val="auto"/>
          <w:szCs w:val="24"/>
        </w:rPr>
        <w:t xml:space="preserve"> This</w:t>
      </w:r>
      <w:r w:rsidR="00C37502" w:rsidRPr="00C37502">
        <w:rPr>
          <w:rFonts w:asciiTheme="minorHAnsi" w:hAnsiTheme="minorHAnsi"/>
          <w:color w:val="auto"/>
          <w:szCs w:val="24"/>
        </w:rPr>
        <w:t xml:space="preserve"> is not </w:t>
      </w:r>
      <w:r w:rsidR="00664296" w:rsidRPr="00C37502">
        <w:rPr>
          <w:rFonts w:asciiTheme="minorHAnsi" w:hAnsiTheme="minorHAnsi"/>
          <w:color w:val="auto"/>
          <w:szCs w:val="24"/>
        </w:rPr>
        <w:t xml:space="preserve">consistent with </w:t>
      </w:r>
      <w:r>
        <w:rPr>
          <w:rFonts w:asciiTheme="minorHAnsi" w:hAnsiTheme="minorHAnsi"/>
          <w:color w:val="auto"/>
          <w:szCs w:val="24"/>
        </w:rPr>
        <w:t xml:space="preserve">the VASRD </w:t>
      </w:r>
      <w:r w:rsidR="00664296" w:rsidRPr="00C37502">
        <w:rPr>
          <w:rFonts w:asciiTheme="minorHAnsi" w:hAnsiTheme="minorHAnsi"/>
          <w:color w:val="auto"/>
          <w:szCs w:val="24"/>
        </w:rPr>
        <w:t xml:space="preserve">§4.71a </w:t>
      </w:r>
      <w:r>
        <w:rPr>
          <w:rFonts w:asciiTheme="minorHAnsi" w:hAnsiTheme="minorHAnsi"/>
          <w:color w:val="auto"/>
          <w:szCs w:val="24"/>
        </w:rPr>
        <w:t xml:space="preserve">general rating formula for the spine which </w:t>
      </w:r>
      <w:r w:rsidR="00C37502" w:rsidRPr="00C37502">
        <w:rPr>
          <w:rFonts w:asciiTheme="minorHAnsi" w:hAnsiTheme="minorHAnsi"/>
          <w:color w:val="auto"/>
          <w:szCs w:val="24"/>
        </w:rPr>
        <w:t>direct</w:t>
      </w:r>
      <w:r>
        <w:rPr>
          <w:rFonts w:asciiTheme="minorHAnsi" w:hAnsiTheme="minorHAnsi"/>
          <w:color w:val="auto"/>
          <w:szCs w:val="24"/>
        </w:rPr>
        <w:t>s</w:t>
      </w:r>
      <w:r w:rsidR="00C37502" w:rsidRPr="00C37502">
        <w:rPr>
          <w:rFonts w:asciiTheme="minorHAnsi" w:hAnsiTheme="minorHAnsi"/>
          <w:color w:val="auto"/>
          <w:szCs w:val="24"/>
        </w:rPr>
        <w:t xml:space="preserve"> “separately evaluate </w:t>
      </w:r>
      <w:r w:rsidR="006004B9">
        <w:rPr>
          <w:rFonts w:asciiTheme="minorHAnsi" w:hAnsiTheme="minorHAnsi"/>
          <w:color w:val="auto"/>
          <w:szCs w:val="24"/>
        </w:rPr>
        <w:t>d</w:t>
      </w:r>
      <w:r w:rsidR="00C37502" w:rsidRPr="00C37502">
        <w:rPr>
          <w:rFonts w:asciiTheme="minorHAnsi" w:hAnsiTheme="minorHAnsi"/>
          <w:color w:val="auto"/>
          <w:szCs w:val="24"/>
        </w:rPr>
        <w:t>isability of the thoracolumbar and cervical spine segments, except when there is unfavorable ankylosis of both segments, which will be rated as a single disability</w:t>
      </w:r>
      <w:r w:rsidR="0076578D">
        <w:rPr>
          <w:rFonts w:asciiTheme="minorHAnsi" w:hAnsiTheme="minorHAnsi"/>
          <w:color w:val="auto"/>
          <w:szCs w:val="24"/>
        </w:rPr>
        <w:t>.</w:t>
      </w:r>
      <w:r w:rsidR="00C37502" w:rsidRPr="00C37502">
        <w:rPr>
          <w:rFonts w:asciiTheme="minorHAnsi" w:hAnsiTheme="minorHAnsi"/>
          <w:color w:val="auto"/>
          <w:szCs w:val="24"/>
        </w:rPr>
        <w:t>”</w:t>
      </w:r>
      <w:r w:rsidR="00794628">
        <w:rPr>
          <w:rFonts w:asciiTheme="minorHAnsi" w:hAnsiTheme="minorHAnsi"/>
          <w:color w:val="auto"/>
          <w:szCs w:val="24"/>
        </w:rPr>
        <w:t xml:space="preserve">  </w:t>
      </w:r>
      <w:r w:rsidR="00896C29" w:rsidRPr="001D23D9">
        <w:rPr>
          <w:rFonts w:asciiTheme="minorHAnsi" w:eastAsiaTheme="minorHAnsi" w:hAnsiTheme="minorHAnsi" w:cstheme="minorBidi"/>
          <w:color w:val="auto"/>
          <w:szCs w:val="24"/>
        </w:rPr>
        <w:t>The Board must therefore apply separate codes an</w:t>
      </w:r>
      <w:r>
        <w:rPr>
          <w:rFonts w:asciiTheme="minorHAnsi" w:eastAsiaTheme="minorHAnsi" w:hAnsiTheme="minorHAnsi" w:cstheme="minorBidi"/>
          <w:color w:val="auto"/>
          <w:szCs w:val="24"/>
        </w:rPr>
        <w:t>d ratings in its recommendation</w:t>
      </w:r>
      <w:r w:rsidR="00896C29" w:rsidRPr="001D23D9">
        <w:rPr>
          <w:rFonts w:asciiTheme="minorHAnsi" w:eastAsiaTheme="minorHAnsi" w:hAnsiTheme="minorHAnsi" w:cstheme="minorBidi"/>
          <w:color w:val="auto"/>
          <w:szCs w:val="24"/>
        </w:rPr>
        <w:t xml:space="preserve"> </w:t>
      </w:r>
      <w:r w:rsidR="00896C29">
        <w:rPr>
          <w:rFonts w:asciiTheme="minorHAnsi" w:eastAsiaTheme="minorHAnsi" w:hAnsiTheme="minorHAnsi" w:cstheme="minorBidi"/>
          <w:color w:val="auto"/>
          <w:szCs w:val="24"/>
        </w:rPr>
        <w:t>since</w:t>
      </w:r>
      <w:r w:rsidR="00896C29" w:rsidRPr="001D23D9">
        <w:rPr>
          <w:rFonts w:asciiTheme="minorHAnsi" w:eastAsiaTheme="minorHAnsi" w:hAnsiTheme="minorHAnsi" w:cstheme="minorBidi"/>
          <w:color w:val="auto"/>
          <w:szCs w:val="24"/>
        </w:rPr>
        <w:t xml:space="preserve"> compensable ratings for each </w:t>
      </w:r>
      <w:r w:rsidR="00896C29">
        <w:rPr>
          <w:rFonts w:asciiTheme="minorHAnsi" w:eastAsiaTheme="minorHAnsi" w:hAnsiTheme="minorHAnsi" w:cstheme="minorBidi"/>
          <w:color w:val="auto"/>
          <w:szCs w:val="24"/>
        </w:rPr>
        <w:t>segment</w:t>
      </w:r>
      <w:r w:rsidR="00896C29" w:rsidRPr="001D23D9">
        <w:rPr>
          <w:rFonts w:asciiTheme="minorHAnsi" w:eastAsiaTheme="minorHAnsi" w:hAnsiTheme="minorHAnsi" w:cstheme="minorBidi"/>
          <w:color w:val="auto"/>
          <w:szCs w:val="24"/>
        </w:rPr>
        <w:t xml:space="preserve"> are achieved IAW VASRD §4.71a</w:t>
      </w:r>
      <w:r>
        <w:rPr>
          <w:rFonts w:asciiTheme="minorHAnsi" w:eastAsiaTheme="minorHAnsi" w:hAnsiTheme="minorHAnsi" w:cstheme="minorBidi"/>
          <w:color w:val="auto"/>
          <w:szCs w:val="24"/>
        </w:rPr>
        <w:t>.</w:t>
      </w:r>
      <w:r w:rsidR="007A06D5">
        <w:rPr>
          <w:rFonts w:asciiTheme="minorHAnsi" w:eastAsiaTheme="minorHAnsi" w:hAnsiTheme="minorHAnsi" w:cstheme="minorBidi"/>
          <w:color w:val="auto"/>
          <w:szCs w:val="24"/>
        </w:rPr>
        <w:t xml:space="preserve">  </w:t>
      </w:r>
      <w:r>
        <w:rPr>
          <w:rFonts w:asciiTheme="minorHAnsi" w:eastAsiaTheme="minorHAnsi" w:hAnsiTheme="minorHAnsi" w:cstheme="minorBidi"/>
          <w:color w:val="auto"/>
          <w:szCs w:val="24"/>
        </w:rPr>
        <w:t xml:space="preserve">It is possible that there was not separately unfitting thoracolumbar spine pathology, but distinct fitness recommendations are not possible with the complete overlap of symptoms and limitations throughout the evidence.  </w:t>
      </w:r>
      <w:r w:rsidR="00794628">
        <w:rPr>
          <w:rFonts w:asciiTheme="minorHAnsi" w:hAnsiTheme="minorHAnsi"/>
          <w:color w:val="auto"/>
          <w:szCs w:val="24"/>
        </w:rPr>
        <w:t xml:space="preserve">The </w:t>
      </w:r>
      <w:r w:rsidR="001E08DC">
        <w:rPr>
          <w:rFonts w:asciiTheme="minorHAnsi" w:hAnsiTheme="minorHAnsi"/>
          <w:color w:val="auto"/>
          <w:szCs w:val="24"/>
        </w:rPr>
        <w:t xml:space="preserve">initial </w:t>
      </w:r>
      <w:r w:rsidR="00692CFC">
        <w:rPr>
          <w:rFonts w:asciiTheme="minorHAnsi" w:hAnsiTheme="minorHAnsi"/>
          <w:color w:val="auto"/>
          <w:szCs w:val="24"/>
        </w:rPr>
        <w:t>D</w:t>
      </w:r>
      <w:r w:rsidR="00794628">
        <w:rPr>
          <w:rFonts w:asciiTheme="minorHAnsi" w:hAnsiTheme="minorHAnsi"/>
          <w:color w:val="auto"/>
          <w:szCs w:val="24"/>
        </w:rPr>
        <w:t xml:space="preserve">VA rating decision indicates that the neck and thoracolumbar spinal segments were rated 10% </w:t>
      </w:r>
      <w:r w:rsidR="003F551F">
        <w:rPr>
          <w:rFonts w:asciiTheme="minorHAnsi" w:hAnsiTheme="minorHAnsi"/>
          <w:color w:val="auto"/>
          <w:szCs w:val="24"/>
        </w:rPr>
        <w:t xml:space="preserve">each </w:t>
      </w:r>
      <w:r w:rsidR="00794628">
        <w:rPr>
          <w:rFonts w:asciiTheme="minorHAnsi" w:hAnsiTheme="minorHAnsi"/>
          <w:color w:val="auto"/>
          <w:szCs w:val="24"/>
        </w:rPr>
        <w:t xml:space="preserve">for normal range of motion with objective evidence of pain </w:t>
      </w:r>
      <w:r w:rsidR="00F046EA">
        <w:rPr>
          <w:rFonts w:asciiTheme="minorHAnsi" w:hAnsiTheme="minorHAnsi"/>
          <w:color w:val="auto"/>
          <w:szCs w:val="24"/>
        </w:rPr>
        <w:t xml:space="preserve">but </w:t>
      </w:r>
      <w:r w:rsidR="00794628">
        <w:rPr>
          <w:rFonts w:asciiTheme="minorHAnsi" w:hAnsiTheme="minorHAnsi"/>
          <w:color w:val="auto"/>
          <w:szCs w:val="24"/>
        </w:rPr>
        <w:t>without spasm</w:t>
      </w:r>
      <w:r w:rsidR="003F551F">
        <w:rPr>
          <w:rFonts w:asciiTheme="minorHAnsi" w:hAnsiTheme="minorHAnsi"/>
          <w:color w:val="auto"/>
          <w:szCs w:val="24"/>
        </w:rPr>
        <w:t xml:space="preserve"> (noting the ‘</w:t>
      </w:r>
      <w:proofErr w:type="spellStart"/>
      <w:r w:rsidR="003F551F">
        <w:rPr>
          <w:rFonts w:asciiTheme="minorHAnsi" w:hAnsiTheme="minorHAnsi"/>
          <w:color w:val="auto"/>
          <w:szCs w:val="24"/>
        </w:rPr>
        <w:t>radiculopathy</w:t>
      </w:r>
      <w:proofErr w:type="spellEnd"/>
      <w:r w:rsidR="003F551F">
        <w:rPr>
          <w:rFonts w:asciiTheme="minorHAnsi" w:hAnsiTheme="minorHAnsi"/>
          <w:color w:val="auto"/>
          <w:szCs w:val="24"/>
        </w:rPr>
        <w:t>’ nomenclature, but the general spine code, applied to the cervical condition)</w:t>
      </w:r>
      <w:r w:rsidR="00794628">
        <w:rPr>
          <w:rFonts w:asciiTheme="minorHAnsi" w:hAnsiTheme="minorHAnsi"/>
          <w:color w:val="auto"/>
          <w:szCs w:val="24"/>
        </w:rPr>
        <w:t xml:space="preserve">.  </w:t>
      </w:r>
      <w:r w:rsidR="001E08DC">
        <w:rPr>
          <w:rFonts w:asciiTheme="minorHAnsi" w:hAnsiTheme="minorHAnsi"/>
          <w:color w:val="auto"/>
          <w:szCs w:val="24"/>
        </w:rPr>
        <w:t xml:space="preserve">In considering the probative value of the various exams, the Board noted that </w:t>
      </w:r>
      <w:r w:rsidR="00F046EA">
        <w:rPr>
          <w:rFonts w:asciiTheme="minorHAnsi" w:hAnsiTheme="minorHAnsi"/>
          <w:color w:val="auto"/>
          <w:szCs w:val="24"/>
        </w:rPr>
        <w:t xml:space="preserve">only </w:t>
      </w:r>
      <w:r w:rsidR="001E08DC">
        <w:rPr>
          <w:rFonts w:asciiTheme="minorHAnsi" w:hAnsiTheme="minorHAnsi"/>
          <w:color w:val="auto"/>
          <w:szCs w:val="24"/>
        </w:rPr>
        <w:t xml:space="preserve">the </w:t>
      </w:r>
      <w:r w:rsidR="00692CFC">
        <w:rPr>
          <w:rFonts w:asciiTheme="minorHAnsi" w:hAnsiTheme="minorHAnsi"/>
          <w:color w:val="auto"/>
          <w:szCs w:val="24"/>
        </w:rPr>
        <w:t>D</w:t>
      </w:r>
      <w:r w:rsidR="001E08DC">
        <w:rPr>
          <w:rFonts w:asciiTheme="minorHAnsi" w:hAnsiTheme="minorHAnsi"/>
          <w:color w:val="auto"/>
          <w:szCs w:val="24"/>
        </w:rPr>
        <w:t xml:space="preserve">VA </w:t>
      </w:r>
      <w:r w:rsidR="00F046EA">
        <w:rPr>
          <w:rFonts w:asciiTheme="minorHAnsi" w:hAnsiTheme="minorHAnsi"/>
          <w:color w:val="auto"/>
          <w:szCs w:val="24"/>
        </w:rPr>
        <w:t xml:space="preserve">evaluation is compliant with </w:t>
      </w:r>
      <w:r w:rsidR="00F046EA" w:rsidRPr="00F046EA">
        <w:rPr>
          <w:rFonts w:asciiTheme="minorHAnsi" w:hAnsiTheme="minorHAnsi"/>
          <w:color w:val="auto"/>
          <w:szCs w:val="24"/>
        </w:rPr>
        <w:t>VASRD §4.46 (accurate measurement)</w:t>
      </w:r>
      <w:r w:rsidR="00F046EA">
        <w:rPr>
          <w:rFonts w:asciiTheme="minorHAnsi" w:hAnsiTheme="minorHAnsi"/>
          <w:color w:val="auto"/>
          <w:szCs w:val="24"/>
        </w:rPr>
        <w:t xml:space="preserve">.  There was </w:t>
      </w:r>
      <w:proofErr w:type="spellStart"/>
      <w:r w:rsidR="00F046EA">
        <w:rPr>
          <w:rFonts w:asciiTheme="minorHAnsi" w:hAnsiTheme="minorHAnsi"/>
          <w:color w:val="auto"/>
          <w:szCs w:val="24"/>
        </w:rPr>
        <w:t>paraspinal</w:t>
      </w:r>
      <w:proofErr w:type="spellEnd"/>
      <w:r w:rsidR="00F046EA">
        <w:rPr>
          <w:rFonts w:asciiTheme="minorHAnsi" w:hAnsiTheme="minorHAnsi"/>
          <w:color w:val="auto"/>
          <w:szCs w:val="24"/>
        </w:rPr>
        <w:t xml:space="preserve"> tenderness and spasm documented in the MEB exam (not anatomically distinguished between spinal segments)</w:t>
      </w:r>
      <w:r w:rsidR="001E08DC">
        <w:rPr>
          <w:rFonts w:asciiTheme="minorHAnsi" w:hAnsiTheme="minorHAnsi"/>
          <w:color w:val="auto"/>
          <w:szCs w:val="24"/>
        </w:rPr>
        <w:t xml:space="preserve"> </w:t>
      </w:r>
      <w:r w:rsidR="00F046EA">
        <w:rPr>
          <w:rFonts w:asciiTheme="minorHAnsi" w:hAnsiTheme="minorHAnsi"/>
          <w:color w:val="auto"/>
          <w:szCs w:val="24"/>
        </w:rPr>
        <w:t xml:space="preserve">which introduces 10% ratable criteria, however.  Application of </w:t>
      </w:r>
      <w:r w:rsidR="007F4B5A">
        <w:rPr>
          <w:rFonts w:asciiTheme="minorHAnsi" w:hAnsiTheme="minorHAnsi"/>
          <w:color w:val="auto"/>
          <w:szCs w:val="24"/>
        </w:rPr>
        <w:t>these</w:t>
      </w:r>
      <w:r w:rsidR="00F046EA">
        <w:rPr>
          <w:rFonts w:asciiTheme="minorHAnsi" w:hAnsiTheme="minorHAnsi"/>
          <w:color w:val="auto"/>
          <w:szCs w:val="24"/>
        </w:rPr>
        <w:t xml:space="preserve"> MEB </w:t>
      </w:r>
      <w:r w:rsidR="007F4B5A">
        <w:rPr>
          <w:rFonts w:asciiTheme="minorHAnsi" w:hAnsiTheme="minorHAnsi"/>
          <w:color w:val="auto"/>
          <w:szCs w:val="24"/>
        </w:rPr>
        <w:t>physical findings</w:t>
      </w:r>
      <w:r w:rsidR="00F046EA">
        <w:rPr>
          <w:rFonts w:asciiTheme="minorHAnsi" w:hAnsiTheme="minorHAnsi"/>
          <w:color w:val="auto"/>
          <w:szCs w:val="24"/>
        </w:rPr>
        <w:t xml:space="preserve"> and/or </w:t>
      </w:r>
      <w:r w:rsidR="007F4B5A">
        <w:rPr>
          <w:rFonts w:asciiTheme="minorHAnsi" w:hAnsiTheme="minorHAnsi"/>
          <w:color w:val="auto"/>
          <w:szCs w:val="24"/>
        </w:rPr>
        <w:t xml:space="preserve">the </w:t>
      </w:r>
      <w:r w:rsidR="00F046EA">
        <w:rPr>
          <w:rFonts w:asciiTheme="minorHAnsi" w:hAnsiTheme="minorHAnsi"/>
          <w:color w:val="auto"/>
          <w:szCs w:val="24"/>
        </w:rPr>
        <w:t xml:space="preserve">painful motion validated in the </w:t>
      </w:r>
      <w:r w:rsidR="00692CFC">
        <w:rPr>
          <w:rFonts w:asciiTheme="minorHAnsi" w:hAnsiTheme="minorHAnsi"/>
          <w:color w:val="auto"/>
          <w:szCs w:val="24"/>
        </w:rPr>
        <w:t>D</w:t>
      </w:r>
      <w:r w:rsidR="00F046EA">
        <w:rPr>
          <w:rFonts w:asciiTheme="minorHAnsi" w:hAnsiTheme="minorHAnsi"/>
          <w:color w:val="auto"/>
          <w:szCs w:val="24"/>
        </w:rPr>
        <w:t xml:space="preserve">VA </w:t>
      </w:r>
      <w:r w:rsidR="007F4B5A">
        <w:rPr>
          <w:rFonts w:asciiTheme="minorHAnsi" w:hAnsiTheme="minorHAnsi"/>
          <w:color w:val="auto"/>
          <w:szCs w:val="24"/>
        </w:rPr>
        <w:t>exam provides support for separate 10% cervical and thoracolumbar ratings.  No criteria for higher ratings are in evidence.</w:t>
      </w:r>
    </w:p>
    <w:p w:rsidR="00302AA1" w:rsidRDefault="00302AA1" w:rsidP="00E128CD">
      <w:pPr>
        <w:tabs>
          <w:tab w:val="left" w:pos="288"/>
          <w:tab w:val="left" w:pos="4752"/>
        </w:tabs>
        <w:spacing w:line="240" w:lineRule="exact"/>
        <w:jc w:val="both"/>
        <w:rPr>
          <w:rFonts w:asciiTheme="minorHAnsi" w:hAnsiTheme="minorHAnsi"/>
          <w:color w:val="auto"/>
          <w:szCs w:val="24"/>
        </w:rPr>
      </w:pPr>
    </w:p>
    <w:p w:rsidR="00664296" w:rsidRPr="00664296" w:rsidRDefault="00822418" w:rsidP="00E128C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next considered the appropriateness of recognizing cervical </w:t>
      </w:r>
      <w:proofErr w:type="spellStart"/>
      <w:r>
        <w:rPr>
          <w:rFonts w:asciiTheme="minorHAnsi" w:hAnsiTheme="minorHAnsi"/>
          <w:color w:val="auto"/>
          <w:szCs w:val="24"/>
        </w:rPr>
        <w:t>radiculopathy</w:t>
      </w:r>
      <w:proofErr w:type="spellEnd"/>
      <w:r>
        <w:rPr>
          <w:rFonts w:asciiTheme="minorHAnsi" w:hAnsiTheme="minorHAnsi"/>
          <w:color w:val="auto"/>
          <w:szCs w:val="24"/>
        </w:rPr>
        <w:t xml:space="preserve"> as a separately ratable condition.  </w:t>
      </w:r>
      <w:r w:rsidR="001E08DC" w:rsidRPr="001E08DC">
        <w:rPr>
          <w:rFonts w:asciiTheme="minorHAnsi" w:hAnsiTheme="minorHAnsi"/>
          <w:color w:val="auto"/>
          <w:szCs w:val="24"/>
        </w:rPr>
        <w:t xml:space="preserve">Board precedent is that a functional impairment tied to fitness is required to support a recommendation for addition of a peripheral nerve rating at separation. The pain component of a </w:t>
      </w:r>
      <w:proofErr w:type="spellStart"/>
      <w:r w:rsidR="001E08DC" w:rsidRPr="001E08DC">
        <w:rPr>
          <w:rFonts w:asciiTheme="minorHAnsi" w:hAnsiTheme="minorHAnsi"/>
          <w:color w:val="auto"/>
          <w:szCs w:val="24"/>
        </w:rPr>
        <w:t>radiculopathy</w:t>
      </w:r>
      <w:proofErr w:type="spellEnd"/>
      <w:r w:rsidR="001E08DC" w:rsidRPr="001E08DC">
        <w:rPr>
          <w:rFonts w:asciiTheme="minorHAnsi" w:hAnsiTheme="minorHAnsi"/>
          <w:color w:val="auto"/>
          <w:szCs w:val="24"/>
        </w:rPr>
        <w:t xml:space="preserve"> is subsumed under the general spine rating as specified in §4.71a. The sensory component in this case has no functional implications. </w:t>
      </w:r>
      <w:r w:rsidR="001E08DC">
        <w:rPr>
          <w:rFonts w:asciiTheme="minorHAnsi" w:hAnsiTheme="minorHAnsi"/>
          <w:color w:val="auto"/>
          <w:szCs w:val="24"/>
        </w:rPr>
        <w:t xml:space="preserve"> </w:t>
      </w:r>
      <w:r w:rsidR="001E08DC" w:rsidRPr="001E08DC">
        <w:rPr>
          <w:rFonts w:asciiTheme="minorHAnsi" w:hAnsiTheme="minorHAnsi"/>
          <w:color w:val="auto"/>
          <w:szCs w:val="24"/>
        </w:rPr>
        <w:t xml:space="preserve">The motor impairment was either intermittent or relatively minor and cannot be linked to significant physical impairment. </w:t>
      </w:r>
      <w:r w:rsidR="001E08DC">
        <w:rPr>
          <w:rFonts w:asciiTheme="minorHAnsi" w:hAnsiTheme="minorHAnsi"/>
          <w:color w:val="auto"/>
          <w:szCs w:val="24"/>
        </w:rPr>
        <w:t xml:space="preserve"> </w:t>
      </w:r>
      <w:r w:rsidR="001E08DC" w:rsidRPr="001E08DC">
        <w:rPr>
          <w:rFonts w:asciiTheme="minorHAnsi" w:hAnsiTheme="minorHAnsi"/>
          <w:color w:val="auto"/>
          <w:szCs w:val="24"/>
        </w:rPr>
        <w:t xml:space="preserve">Since no evidence of functional impairment exists in this case, the Board cannot support a recommendation for additional rating based </w:t>
      </w:r>
      <w:r w:rsidR="00302AA1">
        <w:rPr>
          <w:rFonts w:asciiTheme="minorHAnsi" w:hAnsiTheme="minorHAnsi"/>
          <w:color w:val="auto"/>
          <w:szCs w:val="24"/>
        </w:rPr>
        <w:t xml:space="preserve">on peripheral nerve impairment.  </w:t>
      </w:r>
      <w:r w:rsidR="00EA4EB4">
        <w:rPr>
          <w:rFonts w:asciiTheme="minorHAnsi" w:hAnsiTheme="minorHAnsi"/>
          <w:color w:val="auto"/>
          <w:szCs w:val="24"/>
        </w:rPr>
        <w:t>Therefore, a</w:t>
      </w:r>
      <w:r w:rsidR="00664296" w:rsidRPr="00DA0D9D">
        <w:rPr>
          <w:rFonts w:asciiTheme="minorHAnsi" w:hAnsiTheme="minorHAnsi"/>
          <w:color w:val="auto"/>
          <w:szCs w:val="24"/>
        </w:rPr>
        <w:t>fter due deliberation, considering all of the evidence and mindful of VASRD §4.3 (reasonable doubt), the</w:t>
      </w:r>
      <w:r w:rsidR="00664296" w:rsidRPr="00664296">
        <w:rPr>
          <w:rFonts w:asciiTheme="minorHAnsi" w:hAnsiTheme="minorHAnsi"/>
          <w:color w:val="auto"/>
          <w:szCs w:val="24"/>
        </w:rPr>
        <w:t xml:space="preserve"> Board recommends </w:t>
      </w:r>
      <w:r w:rsidR="00DA0D9D">
        <w:rPr>
          <w:rFonts w:asciiTheme="minorHAnsi" w:hAnsiTheme="minorHAnsi"/>
          <w:color w:val="auto"/>
          <w:szCs w:val="24"/>
        </w:rPr>
        <w:t>separate</w:t>
      </w:r>
      <w:r w:rsidR="00664296" w:rsidRPr="00664296">
        <w:rPr>
          <w:rFonts w:asciiTheme="minorHAnsi" w:hAnsiTheme="minorHAnsi"/>
          <w:color w:val="auto"/>
          <w:szCs w:val="24"/>
        </w:rPr>
        <w:t xml:space="preserve"> </w:t>
      </w:r>
      <w:r w:rsidR="007F4B5A">
        <w:rPr>
          <w:rFonts w:asciiTheme="minorHAnsi" w:hAnsiTheme="minorHAnsi"/>
          <w:color w:val="auto"/>
          <w:szCs w:val="24"/>
        </w:rPr>
        <w:t>Service disability</w:t>
      </w:r>
      <w:r w:rsidR="00664296" w:rsidRPr="00664296">
        <w:rPr>
          <w:rFonts w:asciiTheme="minorHAnsi" w:hAnsiTheme="minorHAnsi"/>
          <w:color w:val="auto"/>
          <w:szCs w:val="24"/>
        </w:rPr>
        <w:t xml:space="preserve"> rating</w:t>
      </w:r>
      <w:r w:rsidR="00DA0D9D">
        <w:rPr>
          <w:rFonts w:asciiTheme="minorHAnsi" w:hAnsiTheme="minorHAnsi"/>
          <w:color w:val="auto"/>
          <w:szCs w:val="24"/>
        </w:rPr>
        <w:t>s</w:t>
      </w:r>
      <w:r w:rsidR="00664296" w:rsidRPr="00664296">
        <w:rPr>
          <w:rFonts w:asciiTheme="minorHAnsi" w:hAnsiTheme="minorHAnsi"/>
          <w:color w:val="auto"/>
          <w:szCs w:val="24"/>
        </w:rPr>
        <w:t xml:space="preserve"> for the </w:t>
      </w:r>
      <w:r w:rsidR="007F4B5A">
        <w:rPr>
          <w:rFonts w:asciiTheme="minorHAnsi" w:hAnsiTheme="minorHAnsi"/>
          <w:color w:val="auto"/>
          <w:szCs w:val="24"/>
        </w:rPr>
        <w:t>cervical</w:t>
      </w:r>
      <w:r w:rsidR="00DA0D9D">
        <w:rPr>
          <w:rFonts w:asciiTheme="minorHAnsi" w:hAnsiTheme="minorHAnsi"/>
          <w:color w:val="auto"/>
          <w:szCs w:val="24"/>
        </w:rPr>
        <w:t xml:space="preserve"> and </w:t>
      </w:r>
      <w:r w:rsidR="007F4B5A">
        <w:rPr>
          <w:rFonts w:asciiTheme="minorHAnsi" w:hAnsiTheme="minorHAnsi"/>
          <w:color w:val="auto"/>
          <w:szCs w:val="24"/>
        </w:rPr>
        <w:t>thoracolumbar spine</w:t>
      </w:r>
      <w:r w:rsidR="00664296" w:rsidRPr="00664296">
        <w:rPr>
          <w:rFonts w:asciiTheme="minorHAnsi" w:hAnsiTheme="minorHAnsi"/>
          <w:color w:val="auto"/>
          <w:szCs w:val="24"/>
        </w:rPr>
        <w:t xml:space="preserve"> condition</w:t>
      </w:r>
      <w:r w:rsidR="00DA0D9D">
        <w:rPr>
          <w:rFonts w:asciiTheme="minorHAnsi" w:hAnsiTheme="minorHAnsi"/>
          <w:color w:val="auto"/>
          <w:szCs w:val="24"/>
        </w:rPr>
        <w:t>s, each coded 5237 and rated</w:t>
      </w:r>
      <w:r w:rsidR="00DA0D9D" w:rsidRPr="00664296">
        <w:rPr>
          <w:rFonts w:asciiTheme="minorHAnsi" w:hAnsiTheme="minorHAnsi"/>
          <w:color w:val="auto"/>
          <w:szCs w:val="24"/>
        </w:rPr>
        <w:t xml:space="preserve"> </w:t>
      </w:r>
      <w:r w:rsidR="00DA0D9D">
        <w:rPr>
          <w:rFonts w:asciiTheme="minorHAnsi" w:hAnsiTheme="minorHAnsi"/>
          <w:color w:val="auto"/>
          <w:szCs w:val="24"/>
        </w:rPr>
        <w:t>1</w:t>
      </w:r>
      <w:r w:rsidR="00DA0D9D" w:rsidRPr="00664296">
        <w:rPr>
          <w:rFonts w:asciiTheme="minorHAnsi" w:hAnsiTheme="minorHAnsi"/>
          <w:color w:val="auto"/>
          <w:szCs w:val="24"/>
        </w:rPr>
        <w:t>0%</w:t>
      </w:r>
      <w:r w:rsidR="00664296" w:rsidRPr="00664296">
        <w:rPr>
          <w:rFonts w:asciiTheme="minorHAnsi" w:hAnsiTheme="minorHAnsi"/>
          <w:color w:val="auto"/>
          <w:szCs w:val="24"/>
        </w:rPr>
        <w:t>.</w:t>
      </w:r>
    </w:p>
    <w:p w:rsidR="00664296" w:rsidRPr="00664296" w:rsidRDefault="00664296" w:rsidP="00664296">
      <w:pPr>
        <w:tabs>
          <w:tab w:val="left" w:pos="288"/>
          <w:tab w:val="left" w:pos="4752"/>
        </w:tabs>
        <w:spacing w:line="240" w:lineRule="exact"/>
        <w:rPr>
          <w:rFonts w:asciiTheme="minorHAnsi" w:hAnsiTheme="minorHAnsi"/>
          <w:color w:val="auto"/>
          <w:szCs w:val="24"/>
        </w:rPr>
      </w:pPr>
    </w:p>
    <w:p w:rsidR="00B61400" w:rsidRDefault="00664296" w:rsidP="00EA4EB4">
      <w:pPr>
        <w:spacing w:line="240" w:lineRule="exact"/>
        <w:jc w:val="both"/>
        <w:rPr>
          <w:rFonts w:asciiTheme="minorHAnsi" w:eastAsia="HiddenHorzOCR" w:hAnsiTheme="minorHAnsi"/>
          <w:color w:val="auto"/>
          <w:szCs w:val="24"/>
        </w:rPr>
      </w:pPr>
      <w:r w:rsidRPr="00664296">
        <w:rPr>
          <w:rFonts w:asciiTheme="minorHAnsi" w:eastAsia="HiddenHorzOCR" w:hAnsiTheme="minorHAnsi"/>
          <w:color w:val="auto"/>
          <w:szCs w:val="24"/>
          <w:u w:val="single"/>
        </w:rPr>
        <w:t xml:space="preserve">Other </w:t>
      </w:r>
      <w:proofErr w:type="gramStart"/>
      <w:r w:rsidRPr="00664296">
        <w:rPr>
          <w:rFonts w:asciiTheme="minorHAnsi" w:eastAsia="HiddenHorzOCR" w:hAnsiTheme="minorHAnsi"/>
          <w:color w:val="auto"/>
          <w:szCs w:val="24"/>
          <w:u w:val="single"/>
        </w:rPr>
        <w:t>PEB  Conditions</w:t>
      </w:r>
      <w:proofErr w:type="gramEnd"/>
      <w:r w:rsidRPr="00664296">
        <w:rPr>
          <w:rFonts w:asciiTheme="minorHAnsi" w:eastAsia="HiddenHorzOCR" w:hAnsiTheme="minorHAnsi"/>
          <w:color w:val="auto"/>
          <w:szCs w:val="24"/>
        </w:rPr>
        <w:t xml:space="preserve">. </w:t>
      </w:r>
      <w:r w:rsidR="00E06CF5">
        <w:rPr>
          <w:rFonts w:asciiTheme="minorHAnsi" w:eastAsia="HiddenHorzOCR" w:hAnsiTheme="minorHAnsi"/>
          <w:color w:val="auto"/>
          <w:szCs w:val="24"/>
        </w:rPr>
        <w:t xml:space="preserve"> </w:t>
      </w:r>
      <w:r w:rsidRPr="00664296">
        <w:rPr>
          <w:rFonts w:asciiTheme="minorHAnsi" w:eastAsia="HiddenHorzOCR" w:hAnsiTheme="minorHAnsi"/>
          <w:color w:val="auto"/>
          <w:szCs w:val="24"/>
        </w:rPr>
        <w:t xml:space="preserve">The other conditions adjudicated as </w:t>
      </w:r>
      <w:r w:rsidR="00B61400">
        <w:rPr>
          <w:rFonts w:asciiTheme="minorHAnsi" w:eastAsia="HiddenHorzOCR" w:hAnsiTheme="minorHAnsi"/>
          <w:color w:val="auto"/>
          <w:szCs w:val="24"/>
        </w:rPr>
        <w:t>Category II (</w:t>
      </w:r>
      <w:r w:rsidRPr="00664296">
        <w:rPr>
          <w:rFonts w:asciiTheme="minorHAnsi" w:eastAsia="HiddenHorzOCR" w:hAnsiTheme="minorHAnsi"/>
          <w:color w:val="auto"/>
          <w:szCs w:val="24"/>
        </w:rPr>
        <w:t>not unfitting</w:t>
      </w:r>
      <w:r w:rsidR="00B61400">
        <w:rPr>
          <w:rFonts w:asciiTheme="minorHAnsi" w:eastAsia="HiddenHorzOCR" w:hAnsiTheme="minorHAnsi"/>
          <w:color w:val="auto"/>
          <w:szCs w:val="24"/>
        </w:rPr>
        <w:t>)</w:t>
      </w:r>
      <w:r w:rsidRPr="00664296">
        <w:rPr>
          <w:rFonts w:asciiTheme="minorHAnsi" w:eastAsia="HiddenHorzOCR" w:hAnsiTheme="minorHAnsi"/>
          <w:color w:val="auto"/>
          <w:szCs w:val="24"/>
        </w:rPr>
        <w:t xml:space="preserve"> by the PEB </w:t>
      </w:r>
      <w:r w:rsidRPr="0096786E">
        <w:rPr>
          <w:rFonts w:asciiTheme="minorHAnsi" w:eastAsia="HiddenHorzOCR" w:hAnsiTheme="minorHAnsi"/>
          <w:color w:val="auto"/>
          <w:szCs w:val="24"/>
        </w:rPr>
        <w:t xml:space="preserve">were </w:t>
      </w:r>
      <w:r w:rsidR="00B61400" w:rsidRPr="0096786E">
        <w:rPr>
          <w:rFonts w:asciiTheme="minorHAnsi" w:eastAsia="HiddenHorzOCR" w:hAnsiTheme="minorHAnsi"/>
          <w:color w:val="auto"/>
          <w:szCs w:val="24"/>
        </w:rPr>
        <w:t>hypertension</w:t>
      </w:r>
      <w:r w:rsidRPr="0096786E">
        <w:rPr>
          <w:rFonts w:asciiTheme="minorHAnsi" w:eastAsia="HiddenHorzOCR" w:hAnsiTheme="minorHAnsi"/>
          <w:color w:val="auto"/>
          <w:szCs w:val="24"/>
        </w:rPr>
        <w:t xml:space="preserve"> and </w:t>
      </w:r>
      <w:r w:rsidR="00B61400" w:rsidRPr="0096786E">
        <w:rPr>
          <w:rFonts w:asciiTheme="minorHAnsi" w:eastAsia="HiddenHorzOCR" w:hAnsiTheme="minorHAnsi"/>
          <w:color w:val="auto"/>
          <w:szCs w:val="24"/>
        </w:rPr>
        <w:t>papillary</w:t>
      </w:r>
      <w:r w:rsidR="00B61400">
        <w:rPr>
          <w:rFonts w:asciiTheme="minorHAnsi" w:eastAsia="HiddenHorzOCR" w:hAnsiTheme="minorHAnsi"/>
          <w:color w:val="auto"/>
          <w:szCs w:val="24"/>
        </w:rPr>
        <w:t xml:space="preserve"> necrosis with mildly decreased kidney function</w:t>
      </w:r>
      <w:r w:rsidRPr="00664296">
        <w:rPr>
          <w:rFonts w:asciiTheme="minorHAnsi" w:eastAsia="HiddenHorzOCR" w:hAnsiTheme="minorHAnsi"/>
          <w:color w:val="auto"/>
          <w:szCs w:val="24"/>
        </w:rPr>
        <w:t xml:space="preserve">.  </w:t>
      </w:r>
      <w:r w:rsidR="00B61400" w:rsidRPr="00AD1E6B">
        <w:rPr>
          <w:rFonts w:asciiTheme="minorHAnsi" w:eastAsia="HiddenHorzOCR" w:hAnsiTheme="minorHAnsi"/>
          <w:color w:val="auto"/>
          <w:szCs w:val="24"/>
        </w:rPr>
        <w:t>The Board’s main charge in respect to th</w:t>
      </w:r>
      <w:r w:rsidR="00E34E3B">
        <w:rPr>
          <w:rFonts w:asciiTheme="minorHAnsi" w:eastAsia="HiddenHorzOCR" w:hAnsiTheme="minorHAnsi"/>
          <w:color w:val="auto"/>
          <w:szCs w:val="24"/>
        </w:rPr>
        <w:t>ese</w:t>
      </w:r>
      <w:r w:rsidR="00B61400" w:rsidRPr="00AD1E6B">
        <w:rPr>
          <w:rFonts w:asciiTheme="minorHAnsi" w:eastAsia="HiddenHorzOCR" w:hAnsiTheme="minorHAnsi"/>
          <w:color w:val="auto"/>
          <w:szCs w:val="24"/>
        </w:rPr>
        <w:t xml:space="preserve"> condition</w:t>
      </w:r>
      <w:r w:rsidR="00E34E3B">
        <w:rPr>
          <w:rFonts w:asciiTheme="minorHAnsi" w:eastAsia="HiddenHorzOCR" w:hAnsiTheme="minorHAnsi"/>
          <w:color w:val="auto"/>
          <w:szCs w:val="24"/>
        </w:rPr>
        <w:t>s</w:t>
      </w:r>
      <w:r w:rsidR="00B61400" w:rsidRPr="00AD1E6B">
        <w:rPr>
          <w:rFonts w:asciiTheme="minorHAnsi" w:eastAsia="HiddenHorzOCR" w:hAnsiTheme="minorHAnsi"/>
          <w:color w:val="auto"/>
          <w:szCs w:val="24"/>
        </w:rPr>
        <w:t xml:space="preserve"> is an assessment of the appropriateness of </w:t>
      </w:r>
      <w:r w:rsidR="00B61400" w:rsidRPr="00AD1E6B">
        <w:rPr>
          <w:rFonts w:asciiTheme="minorHAnsi" w:eastAsia="HiddenHorzOCR" w:hAnsiTheme="minorHAnsi"/>
          <w:color w:val="auto"/>
          <w:szCs w:val="24"/>
        </w:rPr>
        <w:lastRenderedPageBreak/>
        <w:t xml:space="preserve">the PEB’s fitness adjudication. </w:t>
      </w:r>
      <w:r w:rsidR="00B61400">
        <w:rPr>
          <w:rFonts w:asciiTheme="minorHAnsi" w:eastAsia="HiddenHorzOCR" w:hAnsiTheme="minorHAnsi"/>
          <w:color w:val="auto"/>
          <w:szCs w:val="24"/>
        </w:rPr>
        <w:t xml:space="preserve"> </w:t>
      </w:r>
      <w:r w:rsidR="0096786E">
        <w:rPr>
          <w:rFonts w:asciiTheme="minorHAnsi" w:eastAsia="HiddenHorzOCR" w:hAnsiTheme="minorHAnsi"/>
          <w:color w:val="auto"/>
          <w:szCs w:val="24"/>
        </w:rPr>
        <w:t xml:space="preserve">The hypertension was mild and well controlled with first line medications.  </w:t>
      </w:r>
      <w:r w:rsidR="00B61400">
        <w:rPr>
          <w:rFonts w:asciiTheme="minorHAnsi" w:eastAsia="HiddenHorzOCR" w:hAnsiTheme="minorHAnsi"/>
          <w:color w:val="auto"/>
          <w:szCs w:val="24"/>
        </w:rPr>
        <w:t xml:space="preserve">In the narrative summary </w:t>
      </w:r>
      <w:r w:rsidR="00C45CB5">
        <w:rPr>
          <w:rFonts w:asciiTheme="minorHAnsi" w:eastAsia="HiddenHorzOCR" w:hAnsiTheme="minorHAnsi"/>
          <w:color w:val="auto"/>
          <w:szCs w:val="24"/>
        </w:rPr>
        <w:t xml:space="preserve">(NARSUM) </w:t>
      </w:r>
      <w:r w:rsidR="00B61400">
        <w:rPr>
          <w:rFonts w:asciiTheme="minorHAnsi" w:eastAsia="HiddenHorzOCR" w:hAnsiTheme="minorHAnsi"/>
          <w:color w:val="auto"/>
          <w:szCs w:val="24"/>
        </w:rPr>
        <w:t xml:space="preserve">the treating </w:t>
      </w:r>
      <w:proofErr w:type="spellStart"/>
      <w:r w:rsidR="00B61400">
        <w:rPr>
          <w:rFonts w:asciiTheme="minorHAnsi" w:eastAsia="HiddenHorzOCR" w:hAnsiTheme="minorHAnsi"/>
          <w:color w:val="auto"/>
          <w:szCs w:val="24"/>
        </w:rPr>
        <w:t>nephrologist</w:t>
      </w:r>
      <w:proofErr w:type="spellEnd"/>
      <w:r w:rsidR="00B61400">
        <w:rPr>
          <w:rFonts w:asciiTheme="minorHAnsi" w:eastAsia="HiddenHorzOCR" w:hAnsiTheme="minorHAnsi"/>
          <w:color w:val="auto"/>
          <w:szCs w:val="24"/>
        </w:rPr>
        <w:t xml:space="preserve"> stated that the CI’s renal function remained stable</w:t>
      </w:r>
      <w:r w:rsidR="007F4B5A">
        <w:rPr>
          <w:rFonts w:asciiTheme="minorHAnsi" w:eastAsia="HiddenHorzOCR" w:hAnsiTheme="minorHAnsi"/>
          <w:color w:val="auto"/>
          <w:szCs w:val="24"/>
        </w:rPr>
        <w:t>;</w:t>
      </w:r>
      <w:r w:rsidR="00B61400">
        <w:rPr>
          <w:rFonts w:asciiTheme="minorHAnsi" w:eastAsia="HiddenHorzOCR" w:hAnsiTheme="minorHAnsi"/>
          <w:color w:val="auto"/>
          <w:szCs w:val="24"/>
        </w:rPr>
        <w:t xml:space="preserve"> and</w:t>
      </w:r>
      <w:r w:rsidR="007F4B5A">
        <w:rPr>
          <w:rFonts w:asciiTheme="minorHAnsi" w:eastAsia="HiddenHorzOCR" w:hAnsiTheme="minorHAnsi"/>
          <w:color w:val="auto"/>
          <w:szCs w:val="24"/>
        </w:rPr>
        <w:t>, that</w:t>
      </w:r>
      <w:r w:rsidR="00B61400">
        <w:rPr>
          <w:rFonts w:asciiTheme="minorHAnsi" w:eastAsia="HiddenHorzOCR" w:hAnsiTheme="minorHAnsi"/>
          <w:color w:val="auto"/>
          <w:szCs w:val="24"/>
        </w:rPr>
        <w:t xml:space="preserve"> there was no evidence of sequelae from the papillary necrosis condition except for mild decrease in kidney function.  </w:t>
      </w:r>
      <w:r w:rsidR="00E34E3B">
        <w:rPr>
          <w:rFonts w:asciiTheme="minorHAnsi" w:eastAsia="HiddenHorzOCR" w:hAnsiTheme="minorHAnsi"/>
          <w:color w:val="auto"/>
          <w:szCs w:val="24"/>
        </w:rPr>
        <w:t>The permanent profile contains no limitations attributable to the hypertension or kidney conditions except for assignment limitations that provide ready acce</w:t>
      </w:r>
      <w:r w:rsidR="0076578D">
        <w:rPr>
          <w:rFonts w:asciiTheme="minorHAnsi" w:eastAsia="HiddenHorzOCR" w:hAnsiTheme="minorHAnsi"/>
          <w:color w:val="auto"/>
          <w:szCs w:val="24"/>
        </w:rPr>
        <w:t>ss to nephrology services. The c</w:t>
      </w:r>
      <w:r w:rsidR="00E34E3B">
        <w:rPr>
          <w:rFonts w:asciiTheme="minorHAnsi" w:eastAsia="HiddenHorzOCR" w:hAnsiTheme="minorHAnsi"/>
          <w:color w:val="auto"/>
          <w:szCs w:val="24"/>
        </w:rPr>
        <w:t xml:space="preserve">ommander’s statement indicated that the CI’s “duty </w:t>
      </w:r>
      <w:r w:rsidR="00E34E3B" w:rsidRPr="00E34E3B">
        <w:rPr>
          <w:rFonts w:asciiTheme="minorHAnsi" w:eastAsia="HiddenHorzOCR" w:hAnsiTheme="minorHAnsi"/>
          <w:color w:val="auto"/>
          <w:szCs w:val="24"/>
        </w:rPr>
        <w:t>requirements are at times</w:t>
      </w:r>
      <w:r w:rsidR="00E34E3B">
        <w:rPr>
          <w:rFonts w:asciiTheme="minorHAnsi" w:eastAsia="HiddenHorzOCR" w:hAnsiTheme="minorHAnsi"/>
          <w:color w:val="auto"/>
          <w:szCs w:val="24"/>
        </w:rPr>
        <w:t xml:space="preserve"> </w:t>
      </w:r>
      <w:r w:rsidR="00E34E3B" w:rsidRPr="00E34E3B">
        <w:rPr>
          <w:rFonts w:asciiTheme="minorHAnsi" w:eastAsia="HiddenHorzOCR" w:hAnsiTheme="minorHAnsi"/>
          <w:color w:val="auto"/>
          <w:szCs w:val="24"/>
        </w:rPr>
        <w:t>affected due to frequent medical appointments and many unscheduled visits to the hospital that</w:t>
      </w:r>
      <w:r w:rsidR="00E34E3B">
        <w:rPr>
          <w:rFonts w:asciiTheme="minorHAnsi" w:eastAsia="HiddenHorzOCR" w:hAnsiTheme="minorHAnsi"/>
          <w:color w:val="auto"/>
          <w:szCs w:val="24"/>
        </w:rPr>
        <w:t xml:space="preserve"> </w:t>
      </w:r>
      <w:r w:rsidR="00E34E3B" w:rsidRPr="00E34E3B">
        <w:rPr>
          <w:rFonts w:asciiTheme="minorHAnsi" w:eastAsia="HiddenHorzOCR" w:hAnsiTheme="minorHAnsi"/>
          <w:color w:val="auto"/>
          <w:szCs w:val="24"/>
        </w:rPr>
        <w:t>normally result in her being placed on quarters for 24-48 hours</w:t>
      </w:r>
      <w:r w:rsidR="0076578D">
        <w:rPr>
          <w:rFonts w:asciiTheme="minorHAnsi" w:eastAsia="HiddenHorzOCR" w:hAnsiTheme="minorHAnsi"/>
          <w:color w:val="auto"/>
          <w:szCs w:val="24"/>
        </w:rPr>
        <w:t>.</w:t>
      </w:r>
      <w:r w:rsidR="00E34E3B">
        <w:rPr>
          <w:rFonts w:asciiTheme="minorHAnsi" w:eastAsia="HiddenHorzOCR" w:hAnsiTheme="minorHAnsi"/>
          <w:color w:val="auto"/>
          <w:szCs w:val="24"/>
        </w:rPr>
        <w:t xml:space="preserve">”  However, since the hypertension and kidney conditions were stable, the referenced medical care very likely referred to the CI’s neck and back conditions that </w:t>
      </w:r>
      <w:proofErr w:type="gramStart"/>
      <w:r w:rsidR="00E34E3B">
        <w:rPr>
          <w:rFonts w:asciiTheme="minorHAnsi" w:eastAsia="HiddenHorzOCR" w:hAnsiTheme="minorHAnsi"/>
          <w:color w:val="auto"/>
          <w:szCs w:val="24"/>
        </w:rPr>
        <w:t>were</w:t>
      </w:r>
      <w:proofErr w:type="gramEnd"/>
      <w:r w:rsidR="00E34E3B">
        <w:rPr>
          <w:rFonts w:asciiTheme="minorHAnsi" w:eastAsia="HiddenHorzOCR" w:hAnsiTheme="minorHAnsi"/>
          <w:color w:val="auto"/>
          <w:szCs w:val="24"/>
        </w:rPr>
        <w:t xml:space="preserve"> the subject of</w:t>
      </w:r>
      <w:r w:rsidR="007F4B5A">
        <w:rPr>
          <w:rFonts w:asciiTheme="minorHAnsi" w:eastAsia="HiddenHorzOCR" w:hAnsiTheme="minorHAnsi"/>
          <w:color w:val="auto"/>
          <w:szCs w:val="24"/>
        </w:rPr>
        <w:t xml:space="preserve"> numerous c</w:t>
      </w:r>
      <w:r w:rsidR="00E34E3B">
        <w:rPr>
          <w:rFonts w:asciiTheme="minorHAnsi" w:eastAsia="HiddenHorzOCR" w:hAnsiTheme="minorHAnsi"/>
          <w:color w:val="auto"/>
          <w:szCs w:val="24"/>
        </w:rPr>
        <w:t xml:space="preserve">hiropractic and primary care clinic visits.  </w:t>
      </w:r>
      <w:r w:rsidR="00B61400" w:rsidRPr="00007E9A">
        <w:rPr>
          <w:rFonts w:asciiTheme="minorHAnsi" w:eastAsia="HiddenHorzOCR" w:hAnsiTheme="minorHAnsi"/>
          <w:color w:val="auto"/>
          <w:szCs w:val="24"/>
        </w:rPr>
        <w:t xml:space="preserve">The </w:t>
      </w:r>
      <w:r w:rsidR="00E34E3B">
        <w:rPr>
          <w:rFonts w:asciiTheme="minorHAnsi" w:eastAsia="HiddenHorzOCR" w:hAnsiTheme="minorHAnsi"/>
          <w:color w:val="auto"/>
          <w:szCs w:val="24"/>
        </w:rPr>
        <w:t xml:space="preserve">kidney </w:t>
      </w:r>
      <w:r w:rsidR="00B61400" w:rsidRPr="00007E9A">
        <w:rPr>
          <w:rFonts w:asciiTheme="minorHAnsi" w:eastAsia="HiddenHorzOCR" w:hAnsiTheme="minorHAnsi"/>
          <w:color w:val="auto"/>
          <w:szCs w:val="24"/>
        </w:rPr>
        <w:t>condition was designated by the MEB as not meeting standards</w:t>
      </w:r>
      <w:r w:rsidR="00B61400">
        <w:rPr>
          <w:rFonts w:asciiTheme="minorHAnsi" w:eastAsia="HiddenHorzOCR" w:hAnsiTheme="minorHAnsi"/>
          <w:color w:val="auto"/>
          <w:szCs w:val="24"/>
        </w:rPr>
        <w:t xml:space="preserve"> for worldwide deployment</w:t>
      </w:r>
      <w:r w:rsidR="00B61400" w:rsidRPr="00007E9A">
        <w:rPr>
          <w:rFonts w:asciiTheme="minorHAnsi" w:eastAsia="HiddenHorzOCR" w:hAnsiTheme="minorHAnsi"/>
          <w:color w:val="auto"/>
          <w:szCs w:val="24"/>
        </w:rPr>
        <w:t xml:space="preserve">, although that fact does not establish whether or not a condition is unfitting. </w:t>
      </w:r>
      <w:r w:rsidR="00B61400">
        <w:rPr>
          <w:rFonts w:asciiTheme="minorHAnsi" w:eastAsia="HiddenHorzOCR" w:hAnsiTheme="minorHAnsi"/>
          <w:color w:val="auto"/>
          <w:szCs w:val="24"/>
        </w:rPr>
        <w:t xml:space="preserve"> </w:t>
      </w:r>
      <w:r w:rsidR="00B61400" w:rsidRPr="00007E9A">
        <w:rPr>
          <w:rFonts w:asciiTheme="minorHAnsi" w:eastAsia="HiddenHorzOCR" w:hAnsiTheme="minorHAnsi"/>
          <w:color w:val="auto"/>
          <w:szCs w:val="24"/>
        </w:rPr>
        <w:t xml:space="preserve">The PEB arrives at </w:t>
      </w:r>
      <w:r w:rsidR="00302AA1">
        <w:rPr>
          <w:rFonts w:asciiTheme="minorHAnsi" w:eastAsia="HiddenHorzOCR" w:hAnsiTheme="minorHAnsi"/>
          <w:color w:val="auto"/>
          <w:szCs w:val="24"/>
        </w:rPr>
        <w:t>fitness</w:t>
      </w:r>
      <w:r w:rsidR="007F4B5A">
        <w:rPr>
          <w:rFonts w:asciiTheme="minorHAnsi" w:eastAsia="HiddenHorzOCR" w:hAnsiTheme="minorHAnsi"/>
          <w:color w:val="auto"/>
          <w:szCs w:val="24"/>
        </w:rPr>
        <w:t xml:space="preserve"> determination</w:t>
      </w:r>
      <w:r w:rsidR="00302AA1">
        <w:rPr>
          <w:rFonts w:asciiTheme="minorHAnsi" w:eastAsia="HiddenHorzOCR" w:hAnsiTheme="minorHAnsi"/>
          <w:color w:val="auto"/>
          <w:szCs w:val="24"/>
        </w:rPr>
        <w:t>s</w:t>
      </w:r>
      <w:r w:rsidR="007F4B5A">
        <w:rPr>
          <w:rFonts w:asciiTheme="minorHAnsi" w:eastAsia="HiddenHorzOCR" w:hAnsiTheme="minorHAnsi"/>
          <w:color w:val="auto"/>
          <w:szCs w:val="24"/>
        </w:rPr>
        <w:t xml:space="preserve"> through an </w:t>
      </w:r>
      <w:r w:rsidR="0076578D">
        <w:rPr>
          <w:rFonts w:asciiTheme="minorHAnsi" w:eastAsia="HiddenHorzOCR" w:hAnsiTheme="minorHAnsi"/>
          <w:color w:val="auto"/>
          <w:szCs w:val="24"/>
        </w:rPr>
        <w:t>AFS</w:t>
      </w:r>
      <w:r w:rsidR="007F4B5A">
        <w:rPr>
          <w:rFonts w:asciiTheme="minorHAnsi" w:eastAsia="HiddenHorzOCR" w:hAnsiTheme="minorHAnsi"/>
          <w:color w:val="auto"/>
          <w:szCs w:val="24"/>
        </w:rPr>
        <w:t>-</w:t>
      </w:r>
      <w:r w:rsidR="00302AA1">
        <w:rPr>
          <w:rFonts w:asciiTheme="minorHAnsi" w:eastAsia="HiddenHorzOCR" w:hAnsiTheme="minorHAnsi"/>
          <w:color w:val="auto"/>
          <w:szCs w:val="24"/>
        </w:rPr>
        <w:t>specific</w:t>
      </w:r>
      <w:r w:rsidR="007F4B5A">
        <w:rPr>
          <w:rFonts w:asciiTheme="minorHAnsi" w:eastAsia="HiddenHorzOCR" w:hAnsiTheme="minorHAnsi"/>
          <w:color w:val="auto"/>
          <w:szCs w:val="24"/>
        </w:rPr>
        <w:t xml:space="preserve"> and </w:t>
      </w:r>
      <w:r w:rsidR="00B61400" w:rsidRPr="00007E9A">
        <w:rPr>
          <w:rFonts w:asciiTheme="minorHAnsi" w:eastAsia="HiddenHorzOCR" w:hAnsiTheme="minorHAnsi"/>
          <w:color w:val="auto"/>
          <w:szCs w:val="24"/>
        </w:rPr>
        <w:t xml:space="preserve">performance-based assessment. </w:t>
      </w:r>
      <w:r w:rsidR="00B61400" w:rsidRPr="00AD1E6B">
        <w:rPr>
          <w:rFonts w:asciiTheme="minorHAnsi" w:eastAsia="HiddenHorzOCR" w:hAnsiTheme="minorHAnsi"/>
          <w:color w:val="auto"/>
          <w:szCs w:val="24"/>
        </w:rPr>
        <w:t xml:space="preserve">The Board’s threshold for countering DES fitness determinations is higher than the VASRD §4.3 (reasonable doubt) standard used for its rating recommendations, but remains adherent to the DoDI 6040.44 “fair and equitable” standard. </w:t>
      </w:r>
      <w:r w:rsidR="00B61400">
        <w:rPr>
          <w:rFonts w:asciiTheme="minorHAnsi" w:eastAsia="HiddenHorzOCR" w:hAnsiTheme="minorHAnsi"/>
          <w:color w:val="auto"/>
          <w:szCs w:val="24"/>
        </w:rPr>
        <w:t xml:space="preserve"> </w:t>
      </w:r>
      <w:r w:rsidR="00B61400" w:rsidRPr="00AD1E6B">
        <w:rPr>
          <w:rFonts w:asciiTheme="minorHAnsi" w:eastAsia="HiddenHorzOCR" w:hAnsiTheme="minorHAnsi"/>
          <w:color w:val="auto"/>
          <w:szCs w:val="24"/>
        </w:rPr>
        <w:t xml:space="preserve">After due deliberation, and in consideration of the totality of the evidence, the Board cannot find adequate justification for recommending </w:t>
      </w:r>
      <w:r w:rsidR="00E34E3B">
        <w:rPr>
          <w:rFonts w:asciiTheme="minorHAnsi" w:eastAsia="HiddenHorzOCR" w:hAnsiTheme="minorHAnsi"/>
          <w:color w:val="auto"/>
          <w:szCs w:val="24"/>
        </w:rPr>
        <w:t xml:space="preserve">either the hypertension or </w:t>
      </w:r>
      <w:r w:rsidR="00302AA1">
        <w:rPr>
          <w:rFonts w:asciiTheme="minorHAnsi" w:eastAsia="HiddenHorzOCR" w:hAnsiTheme="minorHAnsi"/>
          <w:color w:val="auto"/>
          <w:szCs w:val="24"/>
        </w:rPr>
        <w:t>renal</w:t>
      </w:r>
      <w:r w:rsidR="00B61400" w:rsidRPr="00AD1E6B">
        <w:rPr>
          <w:rFonts w:asciiTheme="minorHAnsi" w:eastAsia="HiddenHorzOCR" w:hAnsiTheme="minorHAnsi"/>
          <w:color w:val="auto"/>
          <w:szCs w:val="24"/>
        </w:rPr>
        <w:t xml:space="preserve"> condition</w:t>
      </w:r>
      <w:r w:rsidR="00302AA1">
        <w:rPr>
          <w:rFonts w:asciiTheme="minorHAnsi" w:eastAsia="HiddenHorzOCR" w:hAnsiTheme="minorHAnsi"/>
          <w:color w:val="auto"/>
          <w:szCs w:val="24"/>
        </w:rPr>
        <w:t xml:space="preserve"> as</w:t>
      </w:r>
      <w:r w:rsidR="00B61400" w:rsidRPr="00AD1E6B">
        <w:rPr>
          <w:rFonts w:asciiTheme="minorHAnsi" w:eastAsia="HiddenHorzOCR" w:hAnsiTheme="minorHAnsi"/>
          <w:color w:val="auto"/>
          <w:szCs w:val="24"/>
        </w:rPr>
        <w:t xml:space="preserve"> additionally unfitting for separation rating.</w:t>
      </w:r>
    </w:p>
    <w:p w:rsidR="00AD1E6B" w:rsidRPr="00664296" w:rsidRDefault="00AD1E6B" w:rsidP="00664296">
      <w:pPr>
        <w:spacing w:line="240" w:lineRule="exact"/>
        <w:jc w:val="both"/>
        <w:rPr>
          <w:rFonts w:asciiTheme="minorHAnsi" w:eastAsia="HiddenHorzOCR" w:hAnsiTheme="minorHAnsi"/>
          <w:color w:val="auto"/>
          <w:szCs w:val="24"/>
        </w:rPr>
      </w:pPr>
    </w:p>
    <w:p w:rsidR="00664296" w:rsidRPr="00664296" w:rsidRDefault="00664296" w:rsidP="00EA4EB4">
      <w:pPr>
        <w:spacing w:line="240" w:lineRule="exact"/>
        <w:jc w:val="both"/>
        <w:rPr>
          <w:rFonts w:asciiTheme="minorHAnsi" w:hAnsiTheme="minorHAnsi"/>
          <w:color w:val="auto"/>
          <w:szCs w:val="24"/>
        </w:rPr>
      </w:pPr>
      <w:proofErr w:type="gramStart"/>
      <w:r w:rsidRPr="00EA4EB4">
        <w:rPr>
          <w:rFonts w:asciiTheme="minorHAnsi" w:eastAsia="HiddenHorzOCR" w:hAnsiTheme="minorHAnsi"/>
          <w:color w:val="auto"/>
          <w:szCs w:val="24"/>
          <w:u w:val="single"/>
        </w:rPr>
        <w:t>Other Contended Conditions</w:t>
      </w:r>
      <w:r w:rsidRPr="00EA4EB4">
        <w:rPr>
          <w:rFonts w:asciiTheme="minorHAnsi" w:eastAsia="HiddenHorzOCR" w:hAnsiTheme="minorHAnsi"/>
          <w:color w:val="auto"/>
          <w:szCs w:val="24"/>
        </w:rPr>
        <w:t>.</w:t>
      </w:r>
      <w:proofErr w:type="gramEnd"/>
      <w:r w:rsidRPr="00EA4EB4">
        <w:rPr>
          <w:rFonts w:asciiTheme="minorHAnsi" w:eastAsia="HiddenHorzOCR" w:hAnsiTheme="minorHAnsi"/>
          <w:color w:val="auto"/>
          <w:szCs w:val="24"/>
        </w:rPr>
        <w:t xml:space="preserve">  The CI’s application </w:t>
      </w:r>
      <w:r w:rsidR="00E06CF5" w:rsidRPr="00EA4EB4">
        <w:rPr>
          <w:rFonts w:asciiTheme="minorHAnsi" w:eastAsia="HiddenHorzOCR" w:hAnsiTheme="minorHAnsi"/>
          <w:color w:val="auto"/>
          <w:szCs w:val="24"/>
        </w:rPr>
        <w:t>implies</w:t>
      </w:r>
      <w:r w:rsidRPr="00EA4EB4">
        <w:rPr>
          <w:rFonts w:asciiTheme="minorHAnsi" w:eastAsia="HiddenHorzOCR" w:hAnsiTheme="minorHAnsi"/>
          <w:color w:val="auto"/>
          <w:szCs w:val="24"/>
        </w:rPr>
        <w:t xml:space="preserve"> that</w:t>
      </w:r>
      <w:r w:rsidR="00E06CF5" w:rsidRPr="00EA4EB4">
        <w:rPr>
          <w:rFonts w:asciiTheme="minorHAnsi" w:eastAsia="HiddenHorzOCR" w:hAnsiTheme="minorHAnsi"/>
          <w:color w:val="auto"/>
          <w:szCs w:val="24"/>
        </w:rPr>
        <w:t xml:space="preserve"> a</w:t>
      </w:r>
      <w:r w:rsidRPr="00EA4EB4">
        <w:rPr>
          <w:rFonts w:asciiTheme="minorHAnsi" w:eastAsia="HiddenHorzOCR" w:hAnsiTheme="minorHAnsi"/>
          <w:color w:val="auto"/>
          <w:szCs w:val="24"/>
        </w:rPr>
        <w:t xml:space="preserve"> compensable rating should be considered for </w:t>
      </w:r>
      <w:r w:rsidR="00E06CF5" w:rsidRPr="00EA4EB4">
        <w:rPr>
          <w:rFonts w:asciiTheme="minorHAnsi" w:eastAsia="HiddenHorzOCR" w:hAnsiTheme="minorHAnsi"/>
          <w:color w:val="auto"/>
          <w:szCs w:val="24"/>
        </w:rPr>
        <w:t>migraine headache</w:t>
      </w:r>
      <w:r w:rsidRPr="00EA4EB4">
        <w:rPr>
          <w:rFonts w:asciiTheme="minorHAnsi" w:eastAsia="HiddenHorzOCR" w:hAnsiTheme="minorHAnsi"/>
          <w:color w:val="auto"/>
          <w:szCs w:val="24"/>
        </w:rPr>
        <w:t xml:space="preserve">.  </w:t>
      </w:r>
      <w:r w:rsidR="00C45CB5">
        <w:rPr>
          <w:rFonts w:asciiTheme="minorHAnsi" w:eastAsia="HiddenHorzOCR" w:hAnsiTheme="minorHAnsi"/>
          <w:color w:val="auto"/>
          <w:szCs w:val="24"/>
        </w:rPr>
        <w:t>The STR documents sporadic visits for headaches dating to early service.  The NARSUM recognizes a chronic history of headache characterized as migraine “as well as post traumatic headache</w:t>
      </w:r>
      <w:r w:rsidR="0042600B">
        <w:rPr>
          <w:rFonts w:asciiTheme="minorHAnsi" w:eastAsia="HiddenHorzOCR" w:hAnsiTheme="minorHAnsi"/>
          <w:color w:val="auto"/>
          <w:szCs w:val="24"/>
        </w:rPr>
        <w:t>.</w:t>
      </w:r>
      <w:r w:rsidR="00C45CB5">
        <w:rPr>
          <w:rFonts w:asciiTheme="minorHAnsi" w:eastAsia="HiddenHorzOCR" w:hAnsiTheme="minorHAnsi"/>
          <w:color w:val="auto"/>
          <w:szCs w:val="24"/>
        </w:rPr>
        <w:t>”  It records ongoing follow-up, but no acute symptoms.  To the VA examiner the CI reported recurrence of headache “every 10 days lasting approximately 24 hours</w:t>
      </w:r>
      <w:r w:rsidR="0042600B">
        <w:rPr>
          <w:rFonts w:asciiTheme="minorHAnsi" w:eastAsia="HiddenHorzOCR" w:hAnsiTheme="minorHAnsi"/>
          <w:color w:val="auto"/>
          <w:szCs w:val="24"/>
        </w:rPr>
        <w:t>.</w:t>
      </w:r>
      <w:r w:rsidR="00C45CB5">
        <w:rPr>
          <w:rFonts w:asciiTheme="minorHAnsi" w:eastAsia="HiddenHorzOCR" w:hAnsiTheme="minorHAnsi"/>
          <w:color w:val="auto"/>
          <w:szCs w:val="24"/>
        </w:rPr>
        <w:t>”  This was the rationale cited for the VA’s 30% rating, but corroboration of such episodes is not to be found in the STR</w:t>
      </w:r>
      <w:r w:rsidR="009B7AB0">
        <w:rPr>
          <w:rFonts w:asciiTheme="minorHAnsi" w:eastAsia="HiddenHorzOCR" w:hAnsiTheme="minorHAnsi"/>
          <w:color w:val="auto"/>
          <w:szCs w:val="24"/>
        </w:rPr>
        <w:t>.  The VA examiner further reported that the CI “denies any recent time lost from work” with respect to the headaches.</w:t>
      </w:r>
      <w:r w:rsidR="00C45CB5">
        <w:rPr>
          <w:rFonts w:asciiTheme="minorHAnsi" w:eastAsia="HiddenHorzOCR" w:hAnsiTheme="minorHAnsi"/>
          <w:color w:val="auto"/>
          <w:szCs w:val="24"/>
        </w:rPr>
        <w:t xml:space="preserve">  </w:t>
      </w:r>
      <w:r w:rsidR="00EA4EB4" w:rsidRPr="00EA4EB4">
        <w:rPr>
          <w:rFonts w:asciiTheme="minorHAnsi" w:eastAsia="HiddenHorzOCR" w:hAnsiTheme="minorHAnsi"/>
          <w:color w:val="auto"/>
          <w:szCs w:val="24"/>
        </w:rPr>
        <w:t>This condition was n</w:t>
      </w:r>
      <w:r w:rsidR="007F4B5A">
        <w:rPr>
          <w:rFonts w:asciiTheme="minorHAnsi" w:eastAsia="HiddenHorzOCR" w:hAnsiTheme="minorHAnsi"/>
          <w:color w:val="auto"/>
          <w:szCs w:val="24"/>
        </w:rPr>
        <w:t xml:space="preserve">ot profiled, implicated in the </w:t>
      </w:r>
      <w:r w:rsidR="0042600B">
        <w:rPr>
          <w:rFonts w:asciiTheme="minorHAnsi" w:eastAsia="HiddenHorzOCR" w:hAnsiTheme="minorHAnsi"/>
          <w:color w:val="auto"/>
          <w:szCs w:val="24"/>
        </w:rPr>
        <w:t>c</w:t>
      </w:r>
      <w:r w:rsidR="00EA4EB4" w:rsidRPr="00EA4EB4">
        <w:rPr>
          <w:rFonts w:asciiTheme="minorHAnsi" w:eastAsia="HiddenHorzOCR" w:hAnsiTheme="minorHAnsi"/>
          <w:color w:val="auto"/>
          <w:szCs w:val="24"/>
        </w:rPr>
        <w:t>ommander’s statement</w:t>
      </w:r>
      <w:r w:rsidR="00302AA1">
        <w:rPr>
          <w:rFonts w:asciiTheme="minorHAnsi" w:eastAsia="HiddenHorzOCR" w:hAnsiTheme="minorHAnsi"/>
          <w:color w:val="auto"/>
          <w:szCs w:val="24"/>
        </w:rPr>
        <w:t>,</w:t>
      </w:r>
      <w:r w:rsidR="00EA4EB4" w:rsidRPr="00EA4EB4">
        <w:rPr>
          <w:rFonts w:asciiTheme="minorHAnsi" w:eastAsia="HiddenHorzOCR" w:hAnsiTheme="minorHAnsi"/>
          <w:color w:val="auto"/>
          <w:szCs w:val="24"/>
        </w:rPr>
        <w:t xml:space="preserve"> or noted as failing retention standards.  </w:t>
      </w:r>
      <w:r w:rsidR="009B7AB0">
        <w:rPr>
          <w:rFonts w:asciiTheme="minorHAnsi" w:eastAsia="HiddenHorzOCR" w:hAnsiTheme="minorHAnsi"/>
          <w:color w:val="auto"/>
          <w:szCs w:val="24"/>
        </w:rPr>
        <w:t>It</w:t>
      </w:r>
      <w:r w:rsidRPr="00EA4EB4">
        <w:rPr>
          <w:rFonts w:asciiTheme="minorHAnsi" w:hAnsiTheme="minorHAnsi"/>
          <w:color w:val="auto"/>
          <w:szCs w:val="24"/>
        </w:rPr>
        <w:t xml:space="preserve"> w</w:t>
      </w:r>
      <w:r w:rsidR="00E06CF5" w:rsidRPr="00EA4EB4">
        <w:rPr>
          <w:rFonts w:asciiTheme="minorHAnsi" w:hAnsiTheme="minorHAnsi"/>
          <w:color w:val="auto"/>
          <w:szCs w:val="24"/>
        </w:rPr>
        <w:t>as</w:t>
      </w:r>
      <w:r w:rsidRPr="00EA4EB4">
        <w:rPr>
          <w:rFonts w:asciiTheme="minorHAnsi" w:hAnsiTheme="minorHAnsi"/>
          <w:color w:val="auto"/>
          <w:szCs w:val="24"/>
        </w:rPr>
        <w:t xml:space="preserve"> reviewed by the </w:t>
      </w:r>
      <w:r w:rsidR="0042600B">
        <w:rPr>
          <w:rFonts w:asciiTheme="minorHAnsi" w:hAnsiTheme="minorHAnsi"/>
          <w:color w:val="auto"/>
          <w:szCs w:val="24"/>
        </w:rPr>
        <w:t>a</w:t>
      </w:r>
      <w:r w:rsidR="007F4B5A" w:rsidRPr="00EA4EB4">
        <w:rPr>
          <w:rFonts w:asciiTheme="minorHAnsi" w:hAnsiTheme="minorHAnsi"/>
          <w:color w:val="auto"/>
          <w:szCs w:val="24"/>
        </w:rPr>
        <w:t xml:space="preserve">ction </w:t>
      </w:r>
      <w:r w:rsidR="0042600B">
        <w:rPr>
          <w:rFonts w:asciiTheme="minorHAnsi" w:hAnsiTheme="minorHAnsi"/>
          <w:color w:val="auto"/>
          <w:szCs w:val="24"/>
        </w:rPr>
        <w:t>o</w:t>
      </w:r>
      <w:r w:rsidR="007F4B5A" w:rsidRPr="00EA4EB4">
        <w:rPr>
          <w:rFonts w:asciiTheme="minorHAnsi" w:hAnsiTheme="minorHAnsi"/>
          <w:color w:val="auto"/>
          <w:szCs w:val="24"/>
        </w:rPr>
        <w:t xml:space="preserve">fficer </w:t>
      </w:r>
      <w:r w:rsidRPr="00EA4EB4">
        <w:rPr>
          <w:rFonts w:asciiTheme="minorHAnsi" w:hAnsiTheme="minorHAnsi"/>
          <w:color w:val="auto"/>
          <w:szCs w:val="24"/>
        </w:rPr>
        <w:t xml:space="preserve">and considered by the Board.  </w:t>
      </w:r>
      <w:r w:rsidR="00EA4EB4" w:rsidRPr="00EA4EB4">
        <w:rPr>
          <w:rFonts w:asciiTheme="minorHAnsi" w:hAnsiTheme="minorHAnsi"/>
          <w:color w:val="auto"/>
          <w:szCs w:val="24"/>
        </w:rPr>
        <w:t xml:space="preserve">There was no indication from the record that the headache condition significantly interfered with satisfactory duty performance.  </w:t>
      </w:r>
      <w:r w:rsidRPr="00EA4EB4">
        <w:rPr>
          <w:rFonts w:asciiTheme="minorHAnsi" w:hAnsiTheme="minorHAnsi"/>
          <w:color w:val="auto"/>
          <w:szCs w:val="24"/>
        </w:rPr>
        <w:t xml:space="preserve">The Board determined therefore that </w:t>
      </w:r>
      <w:r w:rsidR="00EA4EB4" w:rsidRPr="00EA4EB4">
        <w:rPr>
          <w:rFonts w:asciiTheme="minorHAnsi" w:hAnsiTheme="minorHAnsi"/>
          <w:color w:val="auto"/>
          <w:szCs w:val="24"/>
        </w:rPr>
        <w:t>this</w:t>
      </w:r>
      <w:r w:rsidRPr="00EA4EB4">
        <w:rPr>
          <w:rFonts w:asciiTheme="minorHAnsi" w:hAnsiTheme="minorHAnsi"/>
          <w:color w:val="auto"/>
          <w:szCs w:val="24"/>
        </w:rPr>
        <w:t xml:space="preserve"> condition </w:t>
      </w:r>
      <w:r w:rsidR="00EA4EB4" w:rsidRPr="00EA4EB4">
        <w:rPr>
          <w:rFonts w:asciiTheme="minorHAnsi" w:hAnsiTheme="minorHAnsi"/>
          <w:color w:val="auto"/>
          <w:szCs w:val="24"/>
        </w:rPr>
        <w:t>was not</w:t>
      </w:r>
      <w:r w:rsidRPr="00EA4EB4">
        <w:rPr>
          <w:rFonts w:asciiTheme="minorHAnsi" w:hAnsiTheme="minorHAnsi"/>
          <w:color w:val="auto"/>
          <w:szCs w:val="24"/>
        </w:rPr>
        <w:t xml:space="preserve"> subject to Service disability rating.</w:t>
      </w:r>
    </w:p>
    <w:p w:rsidR="00664296" w:rsidRPr="00664296" w:rsidRDefault="00664296" w:rsidP="00664296">
      <w:pPr>
        <w:spacing w:line="240" w:lineRule="exact"/>
        <w:rPr>
          <w:rFonts w:asciiTheme="minorHAnsi" w:hAnsiTheme="minorHAnsi"/>
          <w:color w:val="auto"/>
          <w:szCs w:val="24"/>
          <w:u w:val="single"/>
        </w:rPr>
      </w:pPr>
    </w:p>
    <w:p w:rsidR="00E06CF5" w:rsidRPr="009B7AB0" w:rsidRDefault="00E06CF5" w:rsidP="00EA4EB4">
      <w:pPr>
        <w:spacing w:line="240" w:lineRule="exact"/>
        <w:jc w:val="both"/>
        <w:rPr>
          <w:rFonts w:asciiTheme="minorHAnsi" w:eastAsiaTheme="minorHAnsi" w:hAnsiTheme="minorHAnsi" w:cstheme="minorBidi"/>
          <w:color w:val="auto"/>
          <w:szCs w:val="24"/>
        </w:rPr>
      </w:pPr>
      <w:proofErr w:type="gramStart"/>
      <w:r w:rsidRPr="00E06CF5">
        <w:rPr>
          <w:rFonts w:asciiTheme="minorHAnsi" w:hAnsiTheme="minorHAnsi"/>
          <w:color w:val="auto"/>
          <w:szCs w:val="24"/>
          <w:u w:val="single"/>
        </w:rPr>
        <w:t>Remaining Conditions</w:t>
      </w:r>
      <w:r w:rsidRPr="00E06CF5">
        <w:rPr>
          <w:rFonts w:asciiTheme="minorHAnsi" w:hAnsiTheme="minorHAnsi"/>
          <w:color w:val="auto"/>
          <w:szCs w:val="24"/>
        </w:rPr>
        <w:t>.</w:t>
      </w:r>
      <w:proofErr w:type="gramEnd"/>
      <w:r w:rsidRPr="00E06CF5">
        <w:rPr>
          <w:rFonts w:asciiTheme="minorHAnsi" w:hAnsiTheme="minorHAnsi"/>
          <w:color w:val="auto"/>
          <w:szCs w:val="24"/>
        </w:rPr>
        <w:t xml:space="preserve">  Other conditions identified in the DES file were fatigue and foot problems</w:t>
      </w:r>
      <w:r>
        <w:rPr>
          <w:rFonts w:asciiTheme="minorHAnsi" w:hAnsiTheme="minorHAnsi"/>
          <w:color w:val="auto"/>
          <w:szCs w:val="24"/>
        </w:rPr>
        <w:t xml:space="preserve"> (bilateral </w:t>
      </w:r>
      <w:proofErr w:type="spellStart"/>
      <w:r>
        <w:rPr>
          <w:rFonts w:asciiTheme="minorHAnsi" w:hAnsiTheme="minorHAnsi"/>
          <w:color w:val="auto"/>
          <w:szCs w:val="24"/>
        </w:rPr>
        <w:t>bunionectomy</w:t>
      </w:r>
      <w:proofErr w:type="spellEnd"/>
      <w:r w:rsidR="00EA4EB4">
        <w:rPr>
          <w:rFonts w:asciiTheme="minorHAnsi" w:hAnsiTheme="minorHAnsi"/>
          <w:color w:val="auto"/>
          <w:szCs w:val="24"/>
        </w:rPr>
        <w:t>)</w:t>
      </w:r>
      <w:r w:rsidRPr="00E06CF5">
        <w:rPr>
          <w:rFonts w:asciiTheme="minorHAnsi" w:hAnsiTheme="minorHAnsi"/>
          <w:color w:val="auto"/>
          <w:szCs w:val="24"/>
        </w:rPr>
        <w:t xml:space="preserve">.  Several additional non-acute conditions or medical complaints were also documented.  </w:t>
      </w:r>
      <w:r w:rsidR="009B7AB0" w:rsidRPr="009B7AB0">
        <w:rPr>
          <w:rFonts w:asciiTheme="minorHAnsi" w:eastAsiaTheme="minorHAnsi" w:hAnsiTheme="minorHAnsi" w:cstheme="minorBidi"/>
          <w:color w:val="auto"/>
          <w:szCs w:val="24"/>
        </w:rPr>
        <w:t xml:space="preserve">None of these conditions were significantly clinically or occupationally active during the MEB period; none carried attached profiles; and, none were implicated in the </w:t>
      </w:r>
      <w:r w:rsidR="0042600B">
        <w:rPr>
          <w:rFonts w:asciiTheme="minorHAnsi" w:eastAsiaTheme="minorHAnsi" w:hAnsiTheme="minorHAnsi" w:cstheme="minorBidi"/>
          <w:color w:val="auto"/>
          <w:szCs w:val="24"/>
        </w:rPr>
        <w:t>c</w:t>
      </w:r>
      <w:r w:rsidR="009B7AB0" w:rsidRPr="009B7AB0">
        <w:rPr>
          <w:rFonts w:asciiTheme="minorHAnsi" w:eastAsiaTheme="minorHAnsi" w:hAnsiTheme="minorHAnsi" w:cstheme="minorBidi"/>
          <w:color w:val="auto"/>
          <w:szCs w:val="24"/>
        </w:rPr>
        <w:t xml:space="preserve">ommander’s statement.   These conditions were reviewed by the </w:t>
      </w:r>
      <w:r w:rsidR="0042600B">
        <w:rPr>
          <w:rFonts w:asciiTheme="minorHAnsi" w:eastAsiaTheme="minorHAnsi" w:hAnsiTheme="minorHAnsi" w:cstheme="minorBidi"/>
          <w:color w:val="auto"/>
          <w:szCs w:val="24"/>
        </w:rPr>
        <w:t>a</w:t>
      </w:r>
      <w:r w:rsidR="009B7AB0" w:rsidRPr="009B7AB0">
        <w:rPr>
          <w:rFonts w:asciiTheme="minorHAnsi" w:eastAsiaTheme="minorHAnsi" w:hAnsiTheme="minorHAnsi" w:cstheme="minorBidi"/>
          <w:color w:val="auto"/>
          <w:szCs w:val="24"/>
        </w:rPr>
        <w:t xml:space="preserve">ction </w:t>
      </w:r>
      <w:r w:rsidR="0042600B">
        <w:rPr>
          <w:rFonts w:asciiTheme="minorHAnsi" w:eastAsiaTheme="minorHAnsi" w:hAnsiTheme="minorHAnsi" w:cstheme="minorBidi"/>
          <w:color w:val="auto"/>
          <w:szCs w:val="24"/>
        </w:rPr>
        <w:t>o</w:t>
      </w:r>
      <w:r w:rsidR="009B7AB0" w:rsidRPr="009B7AB0">
        <w:rPr>
          <w:rFonts w:asciiTheme="minorHAnsi" w:eastAsiaTheme="minorHAnsi" w:hAnsiTheme="minorHAnsi" w:cstheme="minorBidi"/>
          <w:color w:val="auto"/>
          <w:szCs w:val="24"/>
        </w:rPr>
        <w:t xml:space="preserve">fficer and considered by the Board.  </w:t>
      </w:r>
      <w:r w:rsidRPr="00E06CF5">
        <w:rPr>
          <w:rFonts w:asciiTheme="minorHAnsi" w:hAnsiTheme="minorHAnsi"/>
          <w:color w:val="auto"/>
          <w:szCs w:val="24"/>
        </w:rPr>
        <w:t>It was determined that none could be argued as unfitting and subject to separation rating.  No other conditions were service connected with a compensable rating by the VA within twelve months of separation.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9B7AB0" w:rsidRPr="009B7AB0" w:rsidRDefault="00C56FC8" w:rsidP="009B7AB0">
      <w:pPr>
        <w:spacing w:line="240" w:lineRule="exact"/>
        <w:jc w:val="both"/>
        <w:rPr>
          <w:rFonts w:eastAsiaTheme="minorHAnsi" w:cstheme="minorBidi"/>
          <w:color w:val="auto"/>
          <w:szCs w:val="24"/>
        </w:rPr>
      </w:pPr>
      <w:r w:rsidRPr="007D0E9C">
        <w:rPr>
          <w:rFonts w:asciiTheme="minorHAnsi" w:hAnsiTheme="minorHAnsi"/>
          <w:color w:val="auto"/>
          <w:szCs w:val="24"/>
          <w:u w:val="single"/>
        </w:rPr>
        <w:t>BOARD FINDINGS</w:t>
      </w:r>
      <w:r w:rsidRPr="007D0E9C">
        <w:rPr>
          <w:rFonts w:asciiTheme="minorHAnsi" w:hAnsiTheme="minorHAnsi"/>
          <w:color w:val="auto"/>
          <w:szCs w:val="24"/>
        </w:rPr>
        <w:t>:</w:t>
      </w:r>
      <w:r w:rsidRPr="007D0E9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E04BE" w:rsidRPr="007D0E9C">
        <w:rPr>
          <w:rFonts w:asciiTheme="minorHAnsi" w:eastAsiaTheme="minorHAnsi" w:hAnsiTheme="minorHAnsi"/>
          <w:color w:val="auto"/>
          <w:szCs w:val="24"/>
        </w:rPr>
        <w:t xml:space="preserve"> </w:t>
      </w:r>
      <w:r w:rsidR="00EA4EB4" w:rsidRPr="007D0E9C">
        <w:rPr>
          <w:rFonts w:asciiTheme="minorHAnsi" w:eastAsiaTheme="minorHAnsi" w:hAnsiTheme="minorHAnsi"/>
          <w:color w:val="auto"/>
          <w:szCs w:val="24"/>
        </w:rPr>
        <w:t xml:space="preserve"> The Board did not surmise from the record or PEB ruling in this case that any prerogatives outside the VASRD were exercised. In the matter of the </w:t>
      </w:r>
      <w:r w:rsidR="009B7AB0" w:rsidRPr="007D0E9C">
        <w:rPr>
          <w:rFonts w:asciiTheme="minorHAnsi" w:eastAsiaTheme="minorHAnsi" w:hAnsiTheme="minorHAnsi"/>
          <w:color w:val="auto"/>
          <w:szCs w:val="24"/>
        </w:rPr>
        <w:t>PEB-combined cervical</w:t>
      </w:r>
      <w:r w:rsidR="00E128CD" w:rsidRPr="007D0E9C">
        <w:rPr>
          <w:rFonts w:asciiTheme="minorHAnsi" w:eastAsiaTheme="minorHAnsi" w:hAnsiTheme="minorHAnsi"/>
          <w:color w:val="auto"/>
          <w:szCs w:val="24"/>
        </w:rPr>
        <w:t xml:space="preserve"> and </w:t>
      </w:r>
      <w:r w:rsidR="009B7AB0" w:rsidRPr="007D0E9C">
        <w:rPr>
          <w:rFonts w:asciiTheme="minorHAnsi" w:eastAsiaTheme="minorHAnsi" w:hAnsiTheme="minorHAnsi"/>
          <w:color w:val="auto"/>
          <w:szCs w:val="24"/>
        </w:rPr>
        <w:t>thoracic spine</w:t>
      </w:r>
      <w:r w:rsidR="00EA4EB4" w:rsidRPr="007D0E9C">
        <w:rPr>
          <w:rFonts w:asciiTheme="minorHAnsi" w:eastAsiaTheme="minorHAnsi" w:hAnsiTheme="minorHAnsi"/>
          <w:color w:val="auto"/>
          <w:szCs w:val="24"/>
        </w:rPr>
        <w:t xml:space="preserve"> condition, the Board unanimously recommends that it be rated for two separate unfitting conditions as follows: </w:t>
      </w:r>
      <w:r w:rsidR="00E128CD" w:rsidRPr="007D0E9C">
        <w:rPr>
          <w:rFonts w:asciiTheme="minorHAnsi" w:eastAsiaTheme="minorHAnsi" w:hAnsiTheme="minorHAnsi"/>
          <w:color w:val="auto"/>
          <w:szCs w:val="24"/>
        </w:rPr>
        <w:t>cervical strain</w:t>
      </w:r>
      <w:r w:rsidR="00EA4EB4" w:rsidRPr="007D0E9C">
        <w:rPr>
          <w:rFonts w:asciiTheme="minorHAnsi" w:eastAsiaTheme="minorHAnsi" w:hAnsiTheme="minorHAnsi"/>
          <w:color w:val="auto"/>
          <w:szCs w:val="24"/>
        </w:rPr>
        <w:t xml:space="preserve"> coded </w:t>
      </w:r>
      <w:r w:rsidR="00E128CD" w:rsidRPr="007D0E9C">
        <w:rPr>
          <w:rFonts w:asciiTheme="minorHAnsi" w:eastAsiaTheme="minorHAnsi" w:hAnsiTheme="minorHAnsi"/>
          <w:color w:val="auto"/>
          <w:szCs w:val="24"/>
        </w:rPr>
        <w:t>5237</w:t>
      </w:r>
      <w:r w:rsidR="00EA4EB4" w:rsidRPr="007D0E9C">
        <w:rPr>
          <w:rFonts w:asciiTheme="minorHAnsi" w:eastAsiaTheme="minorHAnsi" w:hAnsiTheme="minorHAnsi"/>
          <w:color w:val="auto"/>
          <w:szCs w:val="24"/>
        </w:rPr>
        <w:t xml:space="preserve"> and rated </w:t>
      </w:r>
      <w:r w:rsidR="00E128CD" w:rsidRPr="007D0E9C">
        <w:rPr>
          <w:rFonts w:asciiTheme="minorHAnsi" w:eastAsiaTheme="minorHAnsi" w:hAnsiTheme="minorHAnsi"/>
          <w:color w:val="auto"/>
          <w:szCs w:val="24"/>
        </w:rPr>
        <w:t>1</w:t>
      </w:r>
      <w:r w:rsidR="00EA4EB4" w:rsidRPr="007D0E9C">
        <w:rPr>
          <w:rFonts w:asciiTheme="minorHAnsi" w:eastAsiaTheme="minorHAnsi" w:hAnsiTheme="minorHAnsi"/>
          <w:color w:val="auto"/>
          <w:szCs w:val="24"/>
        </w:rPr>
        <w:t xml:space="preserve">0%; and, </w:t>
      </w:r>
      <w:r w:rsidR="00E128CD" w:rsidRPr="007D0E9C">
        <w:rPr>
          <w:rFonts w:asciiTheme="minorHAnsi" w:eastAsiaTheme="minorHAnsi" w:hAnsiTheme="minorHAnsi"/>
          <w:color w:val="auto"/>
          <w:szCs w:val="24"/>
        </w:rPr>
        <w:t>thoracolumbar strain</w:t>
      </w:r>
      <w:r w:rsidR="00EA4EB4" w:rsidRPr="007D0E9C">
        <w:rPr>
          <w:rFonts w:asciiTheme="minorHAnsi" w:eastAsiaTheme="minorHAnsi" w:hAnsiTheme="minorHAnsi"/>
          <w:color w:val="auto"/>
          <w:szCs w:val="24"/>
        </w:rPr>
        <w:t xml:space="preserve"> coded </w:t>
      </w:r>
      <w:r w:rsidR="00E128CD" w:rsidRPr="007D0E9C">
        <w:rPr>
          <w:rFonts w:asciiTheme="minorHAnsi" w:eastAsiaTheme="minorHAnsi" w:hAnsiTheme="minorHAnsi"/>
          <w:color w:val="auto"/>
          <w:szCs w:val="24"/>
        </w:rPr>
        <w:t>5237</w:t>
      </w:r>
      <w:r w:rsidR="00EA4EB4" w:rsidRPr="007D0E9C">
        <w:rPr>
          <w:rFonts w:asciiTheme="minorHAnsi" w:eastAsiaTheme="minorHAnsi" w:hAnsiTheme="minorHAnsi"/>
          <w:color w:val="auto"/>
          <w:szCs w:val="24"/>
        </w:rPr>
        <w:t xml:space="preserve"> and </w:t>
      </w:r>
      <w:r w:rsidR="00EA4EB4" w:rsidRPr="007D0E9C">
        <w:rPr>
          <w:rFonts w:asciiTheme="minorHAnsi" w:eastAsiaTheme="minorHAnsi" w:hAnsiTheme="minorHAnsi"/>
          <w:color w:val="auto"/>
          <w:szCs w:val="24"/>
        </w:rPr>
        <w:lastRenderedPageBreak/>
        <w:t xml:space="preserve">rated </w:t>
      </w:r>
      <w:r w:rsidR="00E128CD" w:rsidRPr="007D0E9C">
        <w:rPr>
          <w:rFonts w:asciiTheme="minorHAnsi" w:eastAsiaTheme="minorHAnsi" w:hAnsiTheme="minorHAnsi"/>
          <w:color w:val="auto"/>
          <w:szCs w:val="24"/>
        </w:rPr>
        <w:t>1</w:t>
      </w:r>
      <w:r w:rsidR="00EA4EB4" w:rsidRPr="007D0E9C">
        <w:rPr>
          <w:rFonts w:asciiTheme="minorHAnsi" w:eastAsiaTheme="minorHAnsi" w:hAnsiTheme="minorHAnsi"/>
          <w:color w:val="auto"/>
          <w:szCs w:val="24"/>
        </w:rPr>
        <w:t xml:space="preserve">0%; both </w:t>
      </w:r>
      <w:r w:rsidR="00EA4EB4" w:rsidRPr="007D0E9C">
        <w:rPr>
          <w:rFonts w:asciiTheme="minorHAnsi" w:hAnsiTheme="minorHAnsi"/>
          <w:color w:val="auto"/>
          <w:szCs w:val="24"/>
        </w:rPr>
        <w:t xml:space="preserve">IAW VASRD §4.71a.  In the matter of the </w:t>
      </w:r>
      <w:r w:rsidR="009B7AB0" w:rsidRPr="007D0E9C">
        <w:rPr>
          <w:rFonts w:asciiTheme="minorHAnsi" w:hAnsiTheme="minorHAnsi"/>
          <w:color w:val="auto"/>
          <w:szCs w:val="24"/>
        </w:rPr>
        <w:t xml:space="preserve">contended </w:t>
      </w:r>
      <w:r w:rsidR="00E128CD" w:rsidRPr="007D0E9C">
        <w:rPr>
          <w:rFonts w:asciiTheme="minorHAnsi" w:hAnsiTheme="minorHAnsi"/>
          <w:color w:val="auto"/>
          <w:szCs w:val="24"/>
        </w:rPr>
        <w:t xml:space="preserve">cervical </w:t>
      </w:r>
      <w:proofErr w:type="spellStart"/>
      <w:r w:rsidR="00E128CD" w:rsidRPr="007D0E9C">
        <w:rPr>
          <w:rFonts w:asciiTheme="minorHAnsi" w:hAnsiTheme="minorHAnsi"/>
          <w:color w:val="auto"/>
          <w:szCs w:val="24"/>
        </w:rPr>
        <w:t>radiculopathy</w:t>
      </w:r>
      <w:proofErr w:type="spellEnd"/>
      <w:r w:rsidR="00E128CD" w:rsidRPr="007D0E9C">
        <w:rPr>
          <w:rFonts w:asciiTheme="minorHAnsi" w:hAnsiTheme="minorHAnsi"/>
          <w:color w:val="auto"/>
          <w:szCs w:val="24"/>
        </w:rPr>
        <w:t xml:space="preserve"> and migraine</w:t>
      </w:r>
      <w:r w:rsidR="00EA4EB4" w:rsidRPr="007D0E9C">
        <w:rPr>
          <w:rFonts w:asciiTheme="minorHAnsi" w:hAnsiTheme="minorHAnsi"/>
          <w:color w:val="auto"/>
          <w:szCs w:val="24"/>
        </w:rPr>
        <w:t xml:space="preserve"> </w:t>
      </w:r>
      <w:r w:rsidR="009B7AB0" w:rsidRPr="007D0E9C">
        <w:rPr>
          <w:rFonts w:asciiTheme="minorHAnsi" w:hAnsiTheme="minorHAnsi"/>
          <w:color w:val="auto"/>
          <w:szCs w:val="24"/>
        </w:rPr>
        <w:t xml:space="preserve">headache </w:t>
      </w:r>
      <w:r w:rsidR="00EA4EB4" w:rsidRPr="007D0E9C">
        <w:rPr>
          <w:rFonts w:asciiTheme="minorHAnsi" w:hAnsiTheme="minorHAnsi"/>
          <w:color w:val="auto"/>
          <w:szCs w:val="24"/>
        </w:rPr>
        <w:t>condition</w:t>
      </w:r>
      <w:r w:rsidR="00E128CD" w:rsidRPr="007D0E9C">
        <w:rPr>
          <w:rFonts w:asciiTheme="minorHAnsi" w:hAnsiTheme="minorHAnsi"/>
          <w:color w:val="auto"/>
          <w:szCs w:val="24"/>
        </w:rPr>
        <w:t>s</w:t>
      </w:r>
      <w:r w:rsidR="00EA4EB4" w:rsidRPr="007D0E9C">
        <w:rPr>
          <w:rFonts w:asciiTheme="minorHAnsi" w:hAnsiTheme="minorHAnsi"/>
          <w:color w:val="auto"/>
          <w:szCs w:val="24"/>
        </w:rPr>
        <w:t>, the Board unanimously agrees that it cannot</w:t>
      </w:r>
      <w:r w:rsidR="00EA4EB4" w:rsidRPr="007D0E9C">
        <w:rPr>
          <w:rFonts w:asciiTheme="minorHAnsi" w:hAnsiTheme="minorHAnsi"/>
          <w:color w:val="000080"/>
          <w:szCs w:val="24"/>
        </w:rPr>
        <w:t xml:space="preserve"> </w:t>
      </w:r>
      <w:r w:rsidR="00EA4EB4" w:rsidRPr="007D0E9C">
        <w:rPr>
          <w:rFonts w:asciiTheme="minorHAnsi" w:hAnsiTheme="minorHAnsi"/>
          <w:color w:val="auto"/>
          <w:szCs w:val="24"/>
        </w:rPr>
        <w:t xml:space="preserve">recommend a finding of unfit for additional rating at separation.  In the matter of the </w:t>
      </w:r>
      <w:r w:rsidR="00E128CD" w:rsidRPr="007D0E9C">
        <w:rPr>
          <w:rFonts w:asciiTheme="minorHAnsi" w:hAnsiTheme="minorHAnsi"/>
          <w:color w:val="auto"/>
          <w:szCs w:val="24"/>
        </w:rPr>
        <w:t>hypertension</w:t>
      </w:r>
      <w:r w:rsidR="00EA4EB4" w:rsidRPr="007D0E9C">
        <w:rPr>
          <w:rFonts w:asciiTheme="minorHAnsi" w:hAnsiTheme="minorHAnsi"/>
          <w:color w:val="auto"/>
          <w:szCs w:val="24"/>
        </w:rPr>
        <w:t xml:space="preserve"> and </w:t>
      </w:r>
      <w:r w:rsidR="00E128CD" w:rsidRPr="007D0E9C">
        <w:rPr>
          <w:rFonts w:asciiTheme="minorHAnsi" w:hAnsiTheme="minorHAnsi"/>
          <w:color w:val="auto"/>
          <w:szCs w:val="24"/>
        </w:rPr>
        <w:t>papillary necrosis</w:t>
      </w:r>
      <w:r w:rsidR="00EA4EB4" w:rsidRPr="007D0E9C">
        <w:rPr>
          <w:rFonts w:asciiTheme="minorHAnsi" w:hAnsiTheme="minorHAnsi"/>
          <w:color w:val="auto"/>
          <w:szCs w:val="24"/>
        </w:rPr>
        <w:t xml:space="preserve"> conditions, the Board unanimously recommends no change from the PEB adjudications as not unfitting.</w:t>
      </w:r>
      <w:r w:rsidR="00E128CD" w:rsidRPr="007D0E9C">
        <w:rPr>
          <w:rFonts w:asciiTheme="minorHAnsi" w:hAnsiTheme="minorHAnsi"/>
          <w:color w:val="auto"/>
          <w:szCs w:val="24"/>
        </w:rPr>
        <w:t xml:space="preserve"> </w:t>
      </w:r>
      <w:r w:rsidR="00EA4EB4" w:rsidRPr="007D0E9C">
        <w:rPr>
          <w:rFonts w:asciiTheme="minorHAnsi" w:hAnsiTheme="minorHAnsi"/>
          <w:color w:val="auto"/>
          <w:szCs w:val="24"/>
        </w:rPr>
        <w:t xml:space="preserve"> </w:t>
      </w:r>
      <w:r w:rsidR="009B7AB0" w:rsidRPr="007D0E9C">
        <w:rPr>
          <w:rFonts w:eastAsiaTheme="minorHAnsi" w:cstheme="minorBidi"/>
          <w:color w:val="auto"/>
          <w:szCs w:val="24"/>
        </w:rPr>
        <w:t>The Board unanimously agrees that there were no other conditions eligible for Board consideration which could be</w:t>
      </w:r>
      <w:r w:rsidR="009B7AB0" w:rsidRPr="009B7AB0">
        <w:rPr>
          <w:rFonts w:eastAsiaTheme="minorHAnsi" w:cstheme="minorBidi"/>
          <w:color w:val="auto"/>
          <w:szCs w:val="24"/>
        </w:rPr>
        <w:t xml:space="preserve"> recommended as additionally unfitting for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FB593A" w:rsidRPr="00B427BB" w:rsidRDefault="00C56FC8" w:rsidP="00510F9C">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EA4EB4" w:rsidRPr="00396779">
        <w:rPr>
          <w:rFonts w:asciiTheme="minorHAnsi" w:hAnsiTheme="minorHAnsi"/>
          <w:color w:val="auto"/>
          <w:szCs w:val="24"/>
        </w:rPr>
        <w:t xml:space="preserve">The Board recommends that the CI’s prior determination be modified </w:t>
      </w:r>
      <w:r w:rsidR="00EA4EB4" w:rsidRPr="00B427BB">
        <w:rPr>
          <w:rFonts w:asciiTheme="minorHAnsi" w:hAnsiTheme="minorHAnsi"/>
          <w:color w:val="auto"/>
          <w:szCs w:val="24"/>
        </w:rPr>
        <w:t>as follows, effective as</w:t>
      </w:r>
      <w:r w:rsidR="00EA4EB4">
        <w:rPr>
          <w:rFonts w:asciiTheme="minorHAnsi" w:hAnsiTheme="minorHAnsi"/>
          <w:color w:val="auto"/>
          <w:szCs w:val="24"/>
        </w:rPr>
        <w:t xml:space="preserve"> of the date of </w:t>
      </w:r>
      <w:r w:rsidR="00EA4EB4" w:rsidRPr="00EA4EB4">
        <w:rPr>
          <w:rFonts w:asciiTheme="minorHAnsi" w:hAnsiTheme="minorHAnsi"/>
          <w:color w:val="auto"/>
          <w:szCs w:val="24"/>
        </w:rPr>
        <w:t>her</w:t>
      </w:r>
      <w:r w:rsidR="00EA4EB4">
        <w:rPr>
          <w:rFonts w:asciiTheme="minorHAnsi" w:hAnsiTheme="minorHAnsi"/>
          <w:color w:val="auto"/>
          <w:szCs w:val="24"/>
        </w:rPr>
        <w:t xml:space="preserve"> prior medical separation:</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AF01B2" w:rsidTr="009B7AB0">
        <w:trPr>
          <w:trHeight w:val="233"/>
          <w:jc w:val="center"/>
        </w:trPr>
        <w:tc>
          <w:tcPr>
            <w:tcW w:w="675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53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9B7AB0">
        <w:trPr>
          <w:jc w:val="center"/>
        </w:trPr>
        <w:tc>
          <w:tcPr>
            <w:tcW w:w="6750" w:type="dxa"/>
            <w:vAlign w:val="center"/>
          </w:tcPr>
          <w:p w:rsidR="00A95BBA" w:rsidRPr="00AF01B2" w:rsidRDefault="00E128CD"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Cervical Strain</w:t>
            </w:r>
          </w:p>
        </w:tc>
        <w:tc>
          <w:tcPr>
            <w:tcW w:w="1530" w:type="dxa"/>
            <w:vAlign w:val="center"/>
          </w:tcPr>
          <w:p w:rsidR="00A95BBA" w:rsidRPr="00AF01B2" w:rsidRDefault="00E128CD"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5237</w:t>
            </w:r>
          </w:p>
        </w:tc>
        <w:tc>
          <w:tcPr>
            <w:tcW w:w="1080" w:type="dxa"/>
            <w:vAlign w:val="center"/>
          </w:tcPr>
          <w:p w:rsidR="00A95BBA" w:rsidRPr="00AF01B2" w:rsidRDefault="00E128CD"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EA4EB4" w:rsidRPr="00AF01B2" w:rsidTr="009B7AB0">
        <w:trPr>
          <w:jc w:val="center"/>
        </w:trPr>
        <w:tc>
          <w:tcPr>
            <w:tcW w:w="6750" w:type="dxa"/>
            <w:vAlign w:val="center"/>
          </w:tcPr>
          <w:p w:rsidR="00EA4EB4" w:rsidRPr="00AF01B2" w:rsidRDefault="00E128CD" w:rsidP="00103948">
            <w:pPr>
              <w:tabs>
                <w:tab w:val="left" w:pos="288"/>
                <w:tab w:val="left" w:pos="4752"/>
              </w:tabs>
              <w:spacing w:line="240" w:lineRule="exact"/>
              <w:rPr>
                <w:rFonts w:asciiTheme="minorHAnsi" w:hAnsiTheme="minorHAnsi"/>
                <w:color w:val="auto"/>
                <w:szCs w:val="24"/>
                <w:highlight w:val="yellow"/>
              </w:rPr>
            </w:pPr>
            <w:r>
              <w:rPr>
                <w:rFonts w:asciiTheme="minorHAnsi" w:hAnsiTheme="minorHAnsi"/>
                <w:color w:val="auto"/>
                <w:szCs w:val="24"/>
              </w:rPr>
              <w:t>Thoracolumbar Strain</w:t>
            </w:r>
          </w:p>
        </w:tc>
        <w:tc>
          <w:tcPr>
            <w:tcW w:w="1530" w:type="dxa"/>
            <w:vAlign w:val="center"/>
          </w:tcPr>
          <w:p w:rsidR="00EA4EB4" w:rsidRDefault="00E128CD" w:rsidP="00103948">
            <w:pPr>
              <w:tabs>
                <w:tab w:val="left" w:pos="288"/>
                <w:tab w:val="left" w:pos="4752"/>
              </w:tabs>
              <w:spacing w:line="240" w:lineRule="exact"/>
              <w:jc w:val="center"/>
              <w:rPr>
                <w:rFonts w:asciiTheme="minorHAnsi" w:hAnsiTheme="minorHAnsi"/>
                <w:color w:val="auto"/>
                <w:szCs w:val="24"/>
                <w:highlight w:val="yellow"/>
              </w:rPr>
            </w:pPr>
            <w:r w:rsidRPr="00E128CD">
              <w:rPr>
                <w:rFonts w:asciiTheme="minorHAnsi" w:hAnsiTheme="minorHAnsi"/>
                <w:color w:val="auto"/>
                <w:szCs w:val="24"/>
              </w:rPr>
              <w:t>5237</w:t>
            </w:r>
          </w:p>
        </w:tc>
        <w:tc>
          <w:tcPr>
            <w:tcW w:w="1080" w:type="dxa"/>
            <w:vAlign w:val="center"/>
          </w:tcPr>
          <w:p w:rsidR="00EA4EB4" w:rsidRDefault="00E128CD" w:rsidP="00103948">
            <w:pPr>
              <w:tabs>
                <w:tab w:val="left" w:pos="288"/>
                <w:tab w:val="left" w:pos="4752"/>
              </w:tabs>
              <w:spacing w:line="240" w:lineRule="exact"/>
              <w:jc w:val="center"/>
              <w:rPr>
                <w:rFonts w:asciiTheme="minorHAnsi" w:hAnsiTheme="minorHAnsi"/>
                <w:color w:val="auto"/>
                <w:szCs w:val="24"/>
                <w:highlight w:val="yellow"/>
              </w:rPr>
            </w:pPr>
            <w:r>
              <w:rPr>
                <w:rFonts w:asciiTheme="minorHAnsi" w:hAnsiTheme="minorHAnsi"/>
                <w:color w:val="auto"/>
                <w:szCs w:val="24"/>
              </w:rPr>
              <w:t>10</w:t>
            </w:r>
            <w:r w:rsidRPr="00AF01B2">
              <w:rPr>
                <w:rFonts w:asciiTheme="minorHAnsi" w:hAnsiTheme="minorHAnsi"/>
                <w:color w:val="auto"/>
                <w:szCs w:val="24"/>
              </w:rPr>
              <w:t>%</w:t>
            </w:r>
          </w:p>
        </w:tc>
      </w:tr>
      <w:tr w:rsidR="00A95BBA" w:rsidRPr="00AF01B2" w:rsidTr="009B7AB0">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AF01B2" w:rsidRDefault="007D0E9C"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E128CD">
              <w:rPr>
                <w:rFonts w:asciiTheme="minorHAnsi" w:hAnsiTheme="minorHAnsi"/>
                <w:b/>
                <w:color w:val="auto"/>
                <w:szCs w:val="24"/>
              </w:rPr>
              <w:t>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1C2B9C" w:rsidRPr="001C2B9C">
        <w:rPr>
          <w:rFonts w:asciiTheme="minorHAnsi" w:hAnsiTheme="minorHAnsi"/>
          <w:color w:val="auto"/>
        </w:rPr>
        <w:t>20110115</w:t>
      </w:r>
      <w:r w:rsidR="0042600B">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42600B">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42600B">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5C4A66"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5C4A66" w:rsidRDefault="005C4A66">
      <w:pPr>
        <w:rPr>
          <w:rFonts w:asciiTheme="minorHAnsi" w:hAnsiTheme="minorHAnsi"/>
          <w:color w:val="auto"/>
        </w:rPr>
      </w:pPr>
      <w:r>
        <w:rPr>
          <w:rFonts w:asciiTheme="minorHAnsi" w:hAnsiTheme="minorHAnsi"/>
          <w:color w:val="auto"/>
        </w:rPr>
        <w:br w:type="page"/>
      </w:r>
    </w:p>
    <w:p w:rsidR="00B522CD" w:rsidRPr="00006186" w:rsidRDefault="00B522CD" w:rsidP="00DB06C0">
      <w:pPr>
        <w:tabs>
          <w:tab w:val="left" w:pos="0"/>
          <w:tab w:val="left" w:pos="4320"/>
        </w:tabs>
        <w:spacing w:line="240" w:lineRule="exact"/>
        <w:jc w:val="both"/>
        <w:rPr>
          <w:rFonts w:asciiTheme="minorHAnsi" w:hAnsiTheme="minorHAnsi"/>
          <w:color w:val="auto"/>
        </w:rPr>
      </w:pPr>
    </w:p>
    <w:p w:rsidR="005C4A66" w:rsidRDefault="005C4A66" w:rsidP="005C4A66">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5C4A66" w:rsidRDefault="005C4A66" w:rsidP="005C4A66">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5C4A66" w:rsidRDefault="005C4A66" w:rsidP="005C4A66">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5C4A66" w:rsidRDefault="005C4A66" w:rsidP="005C4A66">
      <w:pPr>
        <w:tabs>
          <w:tab w:val="left" w:pos="576"/>
        </w:tabs>
        <w:spacing w:line="240" w:lineRule="exact"/>
        <w:ind w:right="-1080"/>
        <w:rPr>
          <w:rFonts w:ascii="Times New Roman" w:hAnsi="Times New Roman"/>
          <w:color w:val="auto"/>
        </w:rPr>
      </w:pPr>
    </w:p>
    <w:p w:rsidR="005C4A66" w:rsidRDefault="005C4A66" w:rsidP="005C4A66">
      <w:pPr>
        <w:tabs>
          <w:tab w:val="left" w:pos="720"/>
        </w:tabs>
        <w:spacing w:line="240" w:lineRule="exact"/>
        <w:ind w:right="-1080"/>
        <w:rPr>
          <w:rFonts w:ascii="Times New Roman" w:hAnsi="Times New Roman"/>
          <w:color w:val="auto"/>
        </w:rPr>
      </w:pPr>
      <w:r>
        <w:rPr>
          <w:rFonts w:ascii="Times New Roman" w:hAnsi="Times New Roman"/>
          <w:color w:val="auto"/>
        </w:rPr>
        <w:t>Dear XXXXX:</w:t>
      </w:r>
    </w:p>
    <w:p w:rsidR="005C4A66" w:rsidRPr="005C4A66" w:rsidRDefault="005C4A66" w:rsidP="005C4A66">
      <w:pPr>
        <w:tabs>
          <w:tab w:val="left" w:pos="720"/>
        </w:tabs>
        <w:spacing w:line="240" w:lineRule="exact"/>
        <w:rPr>
          <w:rFonts w:ascii="Times New Roman" w:hAnsi="Times New Roman"/>
          <w:color w:val="auto"/>
        </w:rPr>
      </w:pPr>
    </w:p>
    <w:p w:rsidR="005C4A66" w:rsidRDefault="005C4A66" w:rsidP="005C4A66">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PD-2011-00034.</w:t>
      </w:r>
    </w:p>
    <w:p w:rsidR="005C4A66" w:rsidRDefault="005C4A66" w:rsidP="005C4A66">
      <w:pPr>
        <w:tabs>
          <w:tab w:val="left" w:pos="720"/>
        </w:tabs>
        <w:spacing w:line="240" w:lineRule="exact"/>
        <w:rPr>
          <w:rFonts w:ascii="Times New Roman" w:hAnsi="Times New Roman"/>
          <w:color w:val="auto"/>
        </w:rPr>
      </w:pPr>
    </w:p>
    <w:p w:rsidR="005C4A66" w:rsidRDefault="005C4A66" w:rsidP="005C4A66">
      <w:pPr>
        <w:tabs>
          <w:tab w:val="left" w:pos="720"/>
        </w:tabs>
        <w:spacing w:line="240" w:lineRule="exac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5C4A66" w:rsidRDefault="005C4A66" w:rsidP="005C4A66">
      <w:pPr>
        <w:tabs>
          <w:tab w:val="left" w:pos="720"/>
        </w:tabs>
        <w:spacing w:line="240" w:lineRule="exact"/>
        <w:ind w:right="-1080"/>
        <w:rPr>
          <w:rFonts w:ascii="Times New Roman" w:hAnsi="Times New Roman"/>
          <w:color w:val="auto"/>
        </w:rPr>
      </w:pPr>
    </w:p>
    <w:p w:rsidR="005C4A66" w:rsidRDefault="005C4A66" w:rsidP="005C4A66">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5C4A66" w:rsidRDefault="005C4A66" w:rsidP="005C4A66">
      <w:pPr>
        <w:tabs>
          <w:tab w:val="left" w:pos="720"/>
        </w:tabs>
        <w:spacing w:line="240" w:lineRule="exact"/>
        <w:rPr>
          <w:rFonts w:ascii="Times New Roman" w:hAnsi="Times New Roman"/>
          <w:color w:val="auto"/>
        </w:rPr>
      </w:pPr>
    </w:p>
    <w:p w:rsidR="005C4A66" w:rsidRDefault="005C4A66" w:rsidP="005C4A66">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5C4A66" w:rsidRDefault="005C4A66" w:rsidP="005C4A66">
      <w:pPr>
        <w:pStyle w:val="BodyText2"/>
        <w:rPr>
          <w:rFonts w:ascii="Times New Roman" w:hAnsi="Times New Roman"/>
          <w:color w:val="auto"/>
        </w:rPr>
      </w:pPr>
    </w:p>
    <w:p w:rsidR="005C4A66" w:rsidRDefault="005C4A66" w:rsidP="005C4A66">
      <w:pPr>
        <w:tabs>
          <w:tab w:val="left" w:pos="720"/>
        </w:tabs>
        <w:spacing w:line="240" w:lineRule="exact"/>
        <w:ind w:right="-1080"/>
        <w:rPr>
          <w:rFonts w:ascii="Times New Roman" w:hAnsi="Times New Roman"/>
          <w:color w:val="auto"/>
        </w:rPr>
      </w:pPr>
    </w:p>
    <w:p w:rsidR="005C4A66" w:rsidRDefault="005C4A66" w:rsidP="005C4A66">
      <w:pPr>
        <w:tabs>
          <w:tab w:val="left" w:pos="720"/>
        </w:tabs>
        <w:spacing w:line="240" w:lineRule="exact"/>
        <w:ind w:right="-1080"/>
        <w:rPr>
          <w:rFonts w:ascii="Times New Roman" w:hAnsi="Times New Roman"/>
          <w:color w:val="auto"/>
        </w:rPr>
      </w:pPr>
    </w:p>
    <w:p w:rsidR="005C4A66" w:rsidRDefault="005C4A66" w:rsidP="005C4A66">
      <w:pPr>
        <w:tabs>
          <w:tab w:val="left" w:pos="720"/>
        </w:tabs>
        <w:spacing w:line="240" w:lineRule="exact"/>
        <w:ind w:right="-1080"/>
        <w:rPr>
          <w:rFonts w:ascii="Times New Roman" w:hAnsi="Times New Roman"/>
          <w:color w:val="auto"/>
        </w:rPr>
      </w:pPr>
    </w:p>
    <w:p w:rsidR="005C4A66" w:rsidRDefault="005C4A66" w:rsidP="005C4A66">
      <w:pPr>
        <w:tabs>
          <w:tab w:val="left" w:pos="720"/>
        </w:tabs>
        <w:spacing w:line="240" w:lineRule="exact"/>
        <w:ind w:right="-1080"/>
        <w:rPr>
          <w:rFonts w:ascii="Times New Roman" w:hAnsi="Times New Roman"/>
          <w:color w:val="auto"/>
        </w:rPr>
      </w:pPr>
    </w:p>
    <w:p w:rsidR="005C4A66" w:rsidRDefault="005C4A66" w:rsidP="005C4A66">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5C4A66" w:rsidRDefault="005C4A66" w:rsidP="005C4A66">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5C4A66" w:rsidRDefault="005C4A66">
      <w:pPr>
        <w:rPr>
          <w:rFonts w:ascii="Times New Roman" w:hAnsi="Times New Roman"/>
          <w:color w:val="auto"/>
        </w:rPr>
      </w:pPr>
      <w:r>
        <w:rPr>
          <w:rFonts w:ascii="Times New Roman" w:hAnsi="Times New Roman"/>
          <w:color w:val="auto"/>
        </w:rPr>
        <w:br w:type="page"/>
      </w:r>
    </w:p>
    <w:p w:rsidR="005C4A66" w:rsidRDefault="005C4A66" w:rsidP="005C4A66">
      <w:pPr>
        <w:tabs>
          <w:tab w:val="left" w:pos="720"/>
        </w:tabs>
        <w:spacing w:line="240" w:lineRule="exact"/>
        <w:ind w:left="5040" w:right="-1080"/>
        <w:rPr>
          <w:rFonts w:ascii="Times New Roman" w:hAnsi="Times New Roman"/>
          <w:color w:val="auto"/>
        </w:rPr>
      </w:pPr>
    </w:p>
    <w:p w:rsidR="005C4A66" w:rsidRDefault="005C4A66" w:rsidP="005C4A66">
      <w:pPr>
        <w:tabs>
          <w:tab w:val="left" w:pos="720"/>
        </w:tabs>
        <w:spacing w:line="240" w:lineRule="exact"/>
        <w:ind w:right="-360"/>
        <w:outlineLvl w:val="0"/>
        <w:rPr>
          <w:rFonts w:ascii="Times New Roman" w:hAnsi="Times New Roman"/>
          <w:color w:val="000000"/>
        </w:rPr>
      </w:pPr>
      <w:r>
        <w:rPr>
          <w:rFonts w:ascii="Times New Roman" w:hAnsi="Times New Roman"/>
          <w:color w:val="000000"/>
        </w:rPr>
        <w:t>PDBR PD-2011-00034</w:t>
      </w: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outlineLvl w:val="0"/>
        <w:rPr>
          <w:rFonts w:ascii="Times New Roman" w:hAnsi="Times New Roman"/>
          <w:color w:val="000000"/>
        </w:rPr>
      </w:pPr>
      <w:r>
        <w:rPr>
          <w:rFonts w:ascii="Times New Roman" w:hAnsi="Times New Roman"/>
          <w:color w:val="000000"/>
        </w:rPr>
        <w:t>MEMORANDUM FOR THE CHIEF OF STAFF</w:t>
      </w: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rPr>
          <w:rFonts w:ascii="Times New Roman" w:hAnsi="Times New Roman"/>
          <w:color w:val="000000"/>
        </w:rPr>
      </w:pPr>
      <w:r>
        <w:rPr>
          <w:rFonts w:ascii="Times New Roman" w:hAnsi="Times New Roman"/>
          <w:color w:val="00000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rPr>
          <w:rFonts w:ascii="Times New Roman" w:hAnsi="Times New Roman"/>
          <w:color w:val="000000"/>
        </w:rPr>
      </w:pPr>
      <w:r>
        <w:rPr>
          <w:rFonts w:ascii="Times New Roman" w:hAnsi="Times New Roman"/>
          <w:color w:val="000000"/>
        </w:rPr>
        <w:tab/>
        <w:t>The pertinent military records of the Department of the Air Force relating XXXXX, be corrected to show that the diagnosis in her finding of unfitness was Cervical Strain, VASRD Code 5237, rated at 10%; and Thoracolumbar Strain, VASRD Code 5237, rated at 10%; with a combined disability rating of 20%; rather than Neck and Low Back Pain, VASRD Code 5237, rated at 10%.</w:t>
      </w: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rPr>
          <w:rFonts w:ascii="Times New Roman" w:hAnsi="Times New Roman"/>
          <w:color w:val="000000"/>
        </w:rPr>
      </w:pPr>
    </w:p>
    <w:p w:rsidR="005C4A66" w:rsidRDefault="005C4A66" w:rsidP="005C4A66">
      <w:pPr>
        <w:tabs>
          <w:tab w:val="left" w:pos="720"/>
        </w:tabs>
        <w:spacing w:line="240" w:lineRule="exact"/>
        <w:ind w:right="-360"/>
        <w:outlineLvl w:val="0"/>
        <w:rPr>
          <w:rFonts w:ascii="Times New Roman" w:hAnsi="Times New Roman"/>
          <w:color w:val="000000"/>
        </w:rPr>
      </w:pPr>
    </w:p>
    <w:p w:rsidR="005C4A66" w:rsidRDefault="005C4A66" w:rsidP="005C4A66">
      <w:pPr>
        <w:tabs>
          <w:tab w:val="left" w:pos="720"/>
        </w:tabs>
        <w:spacing w:line="240" w:lineRule="exact"/>
        <w:ind w:right="-360"/>
        <w:outlineLvl w:val="0"/>
        <w:rPr>
          <w:rFonts w:ascii="Times New Roman" w:hAnsi="Times New Roman"/>
          <w:color w:val="000000"/>
        </w:rPr>
      </w:pPr>
    </w:p>
    <w:p w:rsidR="005C4A66" w:rsidRDefault="005C4A66" w:rsidP="005C4A66">
      <w:pPr>
        <w:tabs>
          <w:tab w:val="left" w:pos="720"/>
        </w:tabs>
        <w:spacing w:line="240" w:lineRule="exact"/>
        <w:ind w:right="-360"/>
        <w:outlineLvl w:val="0"/>
        <w:rPr>
          <w:rFonts w:ascii="Times New Roman" w:hAnsi="Times New Roman"/>
          <w:color w:val="000000"/>
        </w:rPr>
      </w:pPr>
    </w:p>
    <w:p w:rsidR="005C4A66" w:rsidRDefault="005C4A66" w:rsidP="005C4A66">
      <w:pPr>
        <w:tabs>
          <w:tab w:val="left" w:pos="720"/>
        </w:tabs>
        <w:spacing w:line="240" w:lineRule="exact"/>
        <w:ind w:right="-360"/>
        <w:outlineLvl w:val="0"/>
        <w:rPr>
          <w:rFonts w:ascii="Times New Roman" w:hAnsi="Times New Roman"/>
          <w:color w:val="000000"/>
        </w:rPr>
      </w:pPr>
      <w:r>
        <w:rPr>
          <w:rFonts w:ascii="Times New Roman" w:hAnsi="Times New Roman"/>
          <w:color w:val="000000"/>
        </w:rPr>
        <w:t xml:space="preserve">                                                                            Director</w:t>
      </w:r>
    </w:p>
    <w:p w:rsidR="005C4A66" w:rsidRDefault="005C4A66" w:rsidP="005C4A66">
      <w:pPr>
        <w:tabs>
          <w:tab w:val="left" w:pos="720"/>
        </w:tabs>
        <w:spacing w:line="240" w:lineRule="exact"/>
        <w:ind w:right="-360"/>
        <w:rPr>
          <w:rFonts w:ascii="Times New Roman" w:hAnsi="Times New Roman"/>
          <w:color w:val="000000"/>
        </w:rPr>
      </w:pPr>
      <w:r>
        <w:rPr>
          <w:rFonts w:ascii="Times New Roman" w:hAnsi="Times New Roman"/>
          <w:color w:val="000000"/>
        </w:rPr>
        <w:t xml:space="preserve">                                                                            Air Force Review Boards Agency</w:t>
      </w: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sectPr w:rsidR="0066429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99" w:rsidRDefault="00974399">
      <w:r>
        <w:separator/>
      </w:r>
    </w:p>
  </w:endnote>
  <w:endnote w:type="continuationSeparator" w:id="0">
    <w:p w:rsidR="00974399" w:rsidRDefault="00974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45CB5" w:rsidRPr="00684CE6" w:rsidRDefault="00164FFF" w:rsidP="00F65ED5">
        <w:pPr>
          <w:pStyle w:val="Footer"/>
          <w:jc w:val="right"/>
          <w:rPr>
            <w:color w:val="auto"/>
          </w:rPr>
        </w:pPr>
        <w:r w:rsidRPr="00684CE6">
          <w:rPr>
            <w:color w:val="auto"/>
          </w:rPr>
          <w:fldChar w:fldCharType="begin"/>
        </w:r>
        <w:r w:rsidR="00C45CB5" w:rsidRPr="00684CE6">
          <w:rPr>
            <w:color w:val="auto"/>
          </w:rPr>
          <w:instrText xml:space="preserve"> PAGE   \* MERGEFORMAT </w:instrText>
        </w:r>
        <w:r w:rsidRPr="00684CE6">
          <w:rPr>
            <w:color w:val="auto"/>
          </w:rPr>
          <w:fldChar w:fldCharType="separate"/>
        </w:r>
        <w:r w:rsidR="005C4A66">
          <w:rPr>
            <w:noProof/>
            <w:color w:val="auto"/>
          </w:rPr>
          <w:t>5</w:t>
        </w:r>
        <w:r w:rsidRPr="00684CE6">
          <w:rPr>
            <w:color w:val="auto"/>
          </w:rPr>
          <w:fldChar w:fldCharType="end"/>
        </w:r>
        <w:r w:rsidR="00C45CB5" w:rsidRPr="00684CE6">
          <w:rPr>
            <w:color w:val="auto"/>
          </w:rPr>
          <w:t xml:space="preserve">          </w:t>
        </w:r>
        <w:r w:rsidR="00C45CB5">
          <w:rPr>
            <w:color w:val="auto"/>
          </w:rPr>
          <w:t xml:space="preserve">          </w:t>
        </w:r>
        <w:r w:rsidR="00C45CB5" w:rsidRPr="00684CE6">
          <w:rPr>
            <w:color w:val="auto"/>
          </w:rPr>
          <w:t xml:space="preserve">                                                 </w:t>
        </w:r>
        <w:r w:rsidR="00C45CB5" w:rsidRPr="001C2B9C">
          <w:rPr>
            <w:color w:val="auto"/>
          </w:rPr>
          <w:t>PD1100034</w:t>
        </w:r>
      </w:p>
    </w:sdtContent>
  </w:sdt>
  <w:p w:rsidR="00C45CB5" w:rsidRPr="00684CE6" w:rsidRDefault="00C45CB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99" w:rsidRDefault="00974399">
      <w:r>
        <w:separator/>
      </w:r>
    </w:p>
  </w:footnote>
  <w:footnote w:type="continuationSeparator" w:id="0">
    <w:p w:rsidR="00974399" w:rsidRDefault="00974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31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E9A"/>
    <w:rsid w:val="00010ABA"/>
    <w:rsid w:val="00010B0F"/>
    <w:rsid w:val="00012428"/>
    <w:rsid w:val="00012733"/>
    <w:rsid w:val="00013417"/>
    <w:rsid w:val="000145C2"/>
    <w:rsid w:val="0001473F"/>
    <w:rsid w:val="00014A9E"/>
    <w:rsid w:val="00014F94"/>
    <w:rsid w:val="00021361"/>
    <w:rsid w:val="00022CF3"/>
    <w:rsid w:val="00023913"/>
    <w:rsid w:val="00023D43"/>
    <w:rsid w:val="000243E2"/>
    <w:rsid w:val="00024DE7"/>
    <w:rsid w:val="00026092"/>
    <w:rsid w:val="00030776"/>
    <w:rsid w:val="00031052"/>
    <w:rsid w:val="00032E07"/>
    <w:rsid w:val="000332CA"/>
    <w:rsid w:val="0003374E"/>
    <w:rsid w:val="00033E4E"/>
    <w:rsid w:val="000344D8"/>
    <w:rsid w:val="000344E6"/>
    <w:rsid w:val="00035C3A"/>
    <w:rsid w:val="00036E4B"/>
    <w:rsid w:val="00037929"/>
    <w:rsid w:val="000379D0"/>
    <w:rsid w:val="00040FC4"/>
    <w:rsid w:val="000416F8"/>
    <w:rsid w:val="00042C26"/>
    <w:rsid w:val="00043382"/>
    <w:rsid w:val="00044623"/>
    <w:rsid w:val="00044694"/>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3D92"/>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50"/>
    <w:rsid w:val="000E37E0"/>
    <w:rsid w:val="000E3F20"/>
    <w:rsid w:val="000E4CBF"/>
    <w:rsid w:val="000E5577"/>
    <w:rsid w:val="000E64E5"/>
    <w:rsid w:val="000E7034"/>
    <w:rsid w:val="000E7B0F"/>
    <w:rsid w:val="000F02BE"/>
    <w:rsid w:val="000F0928"/>
    <w:rsid w:val="000F2351"/>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A86"/>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4FFF"/>
    <w:rsid w:val="00166182"/>
    <w:rsid w:val="0017139A"/>
    <w:rsid w:val="001724C8"/>
    <w:rsid w:val="001732C4"/>
    <w:rsid w:val="001745DD"/>
    <w:rsid w:val="00174FDE"/>
    <w:rsid w:val="00174FE3"/>
    <w:rsid w:val="00177582"/>
    <w:rsid w:val="00177659"/>
    <w:rsid w:val="001779E5"/>
    <w:rsid w:val="0018032B"/>
    <w:rsid w:val="00180826"/>
    <w:rsid w:val="00181240"/>
    <w:rsid w:val="00182A4C"/>
    <w:rsid w:val="00183DAE"/>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2B9C"/>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08DC"/>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109"/>
    <w:rsid w:val="002066B5"/>
    <w:rsid w:val="00211612"/>
    <w:rsid w:val="002119B6"/>
    <w:rsid w:val="00212B40"/>
    <w:rsid w:val="00213B41"/>
    <w:rsid w:val="00213BD0"/>
    <w:rsid w:val="00214DBA"/>
    <w:rsid w:val="002151AB"/>
    <w:rsid w:val="0021548C"/>
    <w:rsid w:val="00215C4C"/>
    <w:rsid w:val="00215ED6"/>
    <w:rsid w:val="00216049"/>
    <w:rsid w:val="00216301"/>
    <w:rsid w:val="002163FA"/>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801"/>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11B"/>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AA1"/>
    <w:rsid w:val="00305856"/>
    <w:rsid w:val="0030678B"/>
    <w:rsid w:val="00306D16"/>
    <w:rsid w:val="00307595"/>
    <w:rsid w:val="00310CD7"/>
    <w:rsid w:val="00313D7A"/>
    <w:rsid w:val="003141B4"/>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2328"/>
    <w:rsid w:val="00344A4F"/>
    <w:rsid w:val="00344D17"/>
    <w:rsid w:val="00345FD6"/>
    <w:rsid w:val="0034669F"/>
    <w:rsid w:val="00350428"/>
    <w:rsid w:val="00350495"/>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48"/>
    <w:rsid w:val="003840F6"/>
    <w:rsid w:val="00384866"/>
    <w:rsid w:val="003857D4"/>
    <w:rsid w:val="00385D6F"/>
    <w:rsid w:val="00386A7C"/>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441A"/>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51F"/>
    <w:rsid w:val="003F58B0"/>
    <w:rsid w:val="003F5CDA"/>
    <w:rsid w:val="003F776F"/>
    <w:rsid w:val="004007E9"/>
    <w:rsid w:val="00400810"/>
    <w:rsid w:val="00401825"/>
    <w:rsid w:val="00401BBC"/>
    <w:rsid w:val="00401EE0"/>
    <w:rsid w:val="0040289A"/>
    <w:rsid w:val="00403BFB"/>
    <w:rsid w:val="0040457E"/>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5A3"/>
    <w:rsid w:val="004216DA"/>
    <w:rsid w:val="00422B75"/>
    <w:rsid w:val="00424612"/>
    <w:rsid w:val="0042528C"/>
    <w:rsid w:val="00425672"/>
    <w:rsid w:val="00425A6A"/>
    <w:rsid w:val="0042600B"/>
    <w:rsid w:val="00427F54"/>
    <w:rsid w:val="004305BF"/>
    <w:rsid w:val="004306B8"/>
    <w:rsid w:val="004316FD"/>
    <w:rsid w:val="00433F36"/>
    <w:rsid w:val="00434860"/>
    <w:rsid w:val="0043503A"/>
    <w:rsid w:val="00437B8A"/>
    <w:rsid w:val="00437D18"/>
    <w:rsid w:val="00437D77"/>
    <w:rsid w:val="00440ED4"/>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9FB"/>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8B5"/>
    <w:rsid w:val="004C6CDA"/>
    <w:rsid w:val="004D10D4"/>
    <w:rsid w:val="004D16BD"/>
    <w:rsid w:val="004D2AAB"/>
    <w:rsid w:val="004D4BDE"/>
    <w:rsid w:val="004D572C"/>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4065"/>
    <w:rsid w:val="00505524"/>
    <w:rsid w:val="00506688"/>
    <w:rsid w:val="00510588"/>
    <w:rsid w:val="00510F9C"/>
    <w:rsid w:val="0051146C"/>
    <w:rsid w:val="0051220B"/>
    <w:rsid w:val="00512253"/>
    <w:rsid w:val="00512484"/>
    <w:rsid w:val="00514449"/>
    <w:rsid w:val="00514657"/>
    <w:rsid w:val="00515419"/>
    <w:rsid w:val="005157BD"/>
    <w:rsid w:val="00520868"/>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4A67"/>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6C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4D89"/>
    <w:rsid w:val="005B5B3D"/>
    <w:rsid w:val="005B64CF"/>
    <w:rsid w:val="005C0E87"/>
    <w:rsid w:val="005C16F3"/>
    <w:rsid w:val="005C3758"/>
    <w:rsid w:val="005C4A66"/>
    <w:rsid w:val="005C4D72"/>
    <w:rsid w:val="005C50C1"/>
    <w:rsid w:val="005C62C2"/>
    <w:rsid w:val="005D2306"/>
    <w:rsid w:val="005D2D08"/>
    <w:rsid w:val="005D3D27"/>
    <w:rsid w:val="005D4A74"/>
    <w:rsid w:val="005D5E91"/>
    <w:rsid w:val="005D67EF"/>
    <w:rsid w:val="005E3064"/>
    <w:rsid w:val="005E3481"/>
    <w:rsid w:val="005E6AEE"/>
    <w:rsid w:val="005E72B2"/>
    <w:rsid w:val="005F1115"/>
    <w:rsid w:val="005F1AB6"/>
    <w:rsid w:val="005F27F2"/>
    <w:rsid w:val="005F2B27"/>
    <w:rsid w:val="005F3567"/>
    <w:rsid w:val="005F3AFE"/>
    <w:rsid w:val="005F424D"/>
    <w:rsid w:val="005F55F5"/>
    <w:rsid w:val="005F5EC1"/>
    <w:rsid w:val="005F67A9"/>
    <w:rsid w:val="005F6B6D"/>
    <w:rsid w:val="006004B9"/>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476B0"/>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0E77"/>
    <w:rsid w:val="00682486"/>
    <w:rsid w:val="00684CE6"/>
    <w:rsid w:val="00684E2B"/>
    <w:rsid w:val="00687C7E"/>
    <w:rsid w:val="00690569"/>
    <w:rsid w:val="00690FDA"/>
    <w:rsid w:val="00691E61"/>
    <w:rsid w:val="00692656"/>
    <w:rsid w:val="00692CFC"/>
    <w:rsid w:val="006937C6"/>
    <w:rsid w:val="00693C5E"/>
    <w:rsid w:val="00693CEE"/>
    <w:rsid w:val="00694EEA"/>
    <w:rsid w:val="006955B4"/>
    <w:rsid w:val="00695DEF"/>
    <w:rsid w:val="00696476"/>
    <w:rsid w:val="00696C74"/>
    <w:rsid w:val="00697B67"/>
    <w:rsid w:val="006A10FA"/>
    <w:rsid w:val="006A40E6"/>
    <w:rsid w:val="006A516B"/>
    <w:rsid w:val="006A5362"/>
    <w:rsid w:val="006A543A"/>
    <w:rsid w:val="006A5C07"/>
    <w:rsid w:val="006A6DD2"/>
    <w:rsid w:val="006A75FA"/>
    <w:rsid w:val="006B07D5"/>
    <w:rsid w:val="006B1309"/>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6E2E"/>
    <w:rsid w:val="006D7854"/>
    <w:rsid w:val="006E06D1"/>
    <w:rsid w:val="006E1313"/>
    <w:rsid w:val="006E2DC8"/>
    <w:rsid w:val="006E6AEC"/>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B73"/>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49AC"/>
    <w:rsid w:val="0076100C"/>
    <w:rsid w:val="007612A5"/>
    <w:rsid w:val="0076158A"/>
    <w:rsid w:val="00763CAE"/>
    <w:rsid w:val="00763F95"/>
    <w:rsid w:val="007651ED"/>
    <w:rsid w:val="0076578D"/>
    <w:rsid w:val="00766C87"/>
    <w:rsid w:val="00771043"/>
    <w:rsid w:val="00773AF7"/>
    <w:rsid w:val="00774FFD"/>
    <w:rsid w:val="00780378"/>
    <w:rsid w:val="0078085E"/>
    <w:rsid w:val="00781BD4"/>
    <w:rsid w:val="00782562"/>
    <w:rsid w:val="007828B4"/>
    <w:rsid w:val="00784832"/>
    <w:rsid w:val="00784EA0"/>
    <w:rsid w:val="00785BF0"/>
    <w:rsid w:val="00785D77"/>
    <w:rsid w:val="00786111"/>
    <w:rsid w:val="00790963"/>
    <w:rsid w:val="0079154B"/>
    <w:rsid w:val="00791F1E"/>
    <w:rsid w:val="007927BE"/>
    <w:rsid w:val="007935B8"/>
    <w:rsid w:val="00794628"/>
    <w:rsid w:val="00794ADE"/>
    <w:rsid w:val="00794F3D"/>
    <w:rsid w:val="00795CE9"/>
    <w:rsid w:val="00796045"/>
    <w:rsid w:val="007968AC"/>
    <w:rsid w:val="007969AB"/>
    <w:rsid w:val="007973D8"/>
    <w:rsid w:val="00797801"/>
    <w:rsid w:val="007A06D5"/>
    <w:rsid w:val="007A08DF"/>
    <w:rsid w:val="007A0B39"/>
    <w:rsid w:val="007A14A4"/>
    <w:rsid w:val="007A168F"/>
    <w:rsid w:val="007A2346"/>
    <w:rsid w:val="007A28E4"/>
    <w:rsid w:val="007A3BB3"/>
    <w:rsid w:val="007A3F91"/>
    <w:rsid w:val="007A5AD1"/>
    <w:rsid w:val="007A5B7B"/>
    <w:rsid w:val="007A65A9"/>
    <w:rsid w:val="007B0128"/>
    <w:rsid w:val="007B0A06"/>
    <w:rsid w:val="007B0B24"/>
    <w:rsid w:val="007B1B18"/>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0E9C"/>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3DF"/>
    <w:rsid w:val="007E7B4E"/>
    <w:rsid w:val="007E7F02"/>
    <w:rsid w:val="007F0292"/>
    <w:rsid w:val="007F0AB7"/>
    <w:rsid w:val="007F0CE2"/>
    <w:rsid w:val="007F0E6F"/>
    <w:rsid w:val="007F0EFF"/>
    <w:rsid w:val="007F1375"/>
    <w:rsid w:val="007F1AFD"/>
    <w:rsid w:val="007F30E4"/>
    <w:rsid w:val="007F4B5A"/>
    <w:rsid w:val="007F577B"/>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2418"/>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5D5"/>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4AD5"/>
    <w:rsid w:val="00886C91"/>
    <w:rsid w:val="008902BE"/>
    <w:rsid w:val="0089038F"/>
    <w:rsid w:val="00890CDA"/>
    <w:rsid w:val="00891005"/>
    <w:rsid w:val="00891BBA"/>
    <w:rsid w:val="00892079"/>
    <w:rsid w:val="00892B90"/>
    <w:rsid w:val="00896535"/>
    <w:rsid w:val="00896683"/>
    <w:rsid w:val="00896C29"/>
    <w:rsid w:val="00896E71"/>
    <w:rsid w:val="0089750B"/>
    <w:rsid w:val="00897589"/>
    <w:rsid w:val="008A0D4F"/>
    <w:rsid w:val="008A2D08"/>
    <w:rsid w:val="008A39D7"/>
    <w:rsid w:val="008A55DE"/>
    <w:rsid w:val="008A5C34"/>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6705"/>
    <w:rsid w:val="008B71DE"/>
    <w:rsid w:val="008C22F3"/>
    <w:rsid w:val="008C3FD0"/>
    <w:rsid w:val="008C4F01"/>
    <w:rsid w:val="008D1484"/>
    <w:rsid w:val="008D29E7"/>
    <w:rsid w:val="008D5104"/>
    <w:rsid w:val="008D75F4"/>
    <w:rsid w:val="008D795D"/>
    <w:rsid w:val="008D7B07"/>
    <w:rsid w:val="008E04BE"/>
    <w:rsid w:val="008E0D8F"/>
    <w:rsid w:val="008E0F4E"/>
    <w:rsid w:val="008E1E94"/>
    <w:rsid w:val="008E2D99"/>
    <w:rsid w:val="008E30D4"/>
    <w:rsid w:val="008E38B0"/>
    <w:rsid w:val="008E4A60"/>
    <w:rsid w:val="008E744D"/>
    <w:rsid w:val="008E7FB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0B2E"/>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6786E"/>
    <w:rsid w:val="00972996"/>
    <w:rsid w:val="009732B8"/>
    <w:rsid w:val="00974399"/>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873F6"/>
    <w:rsid w:val="009935C3"/>
    <w:rsid w:val="0099421F"/>
    <w:rsid w:val="00994FC8"/>
    <w:rsid w:val="009A0DE3"/>
    <w:rsid w:val="009A1643"/>
    <w:rsid w:val="009A215A"/>
    <w:rsid w:val="009A215F"/>
    <w:rsid w:val="009A49D3"/>
    <w:rsid w:val="009A4F1B"/>
    <w:rsid w:val="009A66C5"/>
    <w:rsid w:val="009A66E7"/>
    <w:rsid w:val="009A79BA"/>
    <w:rsid w:val="009B14D1"/>
    <w:rsid w:val="009B1534"/>
    <w:rsid w:val="009B4963"/>
    <w:rsid w:val="009B4A3B"/>
    <w:rsid w:val="009B69D3"/>
    <w:rsid w:val="009B7AB0"/>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6B3"/>
    <w:rsid w:val="009F3B63"/>
    <w:rsid w:val="009F3C8D"/>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23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27F"/>
    <w:rsid w:val="00A82C52"/>
    <w:rsid w:val="00A835B5"/>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1E6B"/>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6C48"/>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1400"/>
    <w:rsid w:val="00B643A6"/>
    <w:rsid w:val="00B64DD6"/>
    <w:rsid w:val="00B66505"/>
    <w:rsid w:val="00B6710C"/>
    <w:rsid w:val="00B67E84"/>
    <w:rsid w:val="00B704D8"/>
    <w:rsid w:val="00B7175F"/>
    <w:rsid w:val="00B72076"/>
    <w:rsid w:val="00B72303"/>
    <w:rsid w:val="00B72C72"/>
    <w:rsid w:val="00B72ED9"/>
    <w:rsid w:val="00B731E4"/>
    <w:rsid w:val="00B751CE"/>
    <w:rsid w:val="00B75626"/>
    <w:rsid w:val="00B75A8B"/>
    <w:rsid w:val="00B75B61"/>
    <w:rsid w:val="00B75E4B"/>
    <w:rsid w:val="00B76796"/>
    <w:rsid w:val="00B771E0"/>
    <w:rsid w:val="00B7793B"/>
    <w:rsid w:val="00B77EE7"/>
    <w:rsid w:val="00B80EDD"/>
    <w:rsid w:val="00B812BD"/>
    <w:rsid w:val="00B81964"/>
    <w:rsid w:val="00B82277"/>
    <w:rsid w:val="00B83F87"/>
    <w:rsid w:val="00B8478F"/>
    <w:rsid w:val="00B91676"/>
    <w:rsid w:val="00B9322B"/>
    <w:rsid w:val="00B9354A"/>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1E88"/>
    <w:rsid w:val="00BF2988"/>
    <w:rsid w:val="00BF36BA"/>
    <w:rsid w:val="00BF4720"/>
    <w:rsid w:val="00BF4F49"/>
    <w:rsid w:val="00BF6759"/>
    <w:rsid w:val="00BF6F0F"/>
    <w:rsid w:val="00BF70A6"/>
    <w:rsid w:val="00BF7B4F"/>
    <w:rsid w:val="00BF7B63"/>
    <w:rsid w:val="00C03220"/>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58A8"/>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37502"/>
    <w:rsid w:val="00C42443"/>
    <w:rsid w:val="00C42CBA"/>
    <w:rsid w:val="00C4338C"/>
    <w:rsid w:val="00C43C2B"/>
    <w:rsid w:val="00C45B27"/>
    <w:rsid w:val="00C45CB5"/>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5D29"/>
    <w:rsid w:val="00C9650E"/>
    <w:rsid w:val="00C97000"/>
    <w:rsid w:val="00C975BD"/>
    <w:rsid w:val="00C977DB"/>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D0E"/>
    <w:rsid w:val="00CC1253"/>
    <w:rsid w:val="00CC19B3"/>
    <w:rsid w:val="00CC2044"/>
    <w:rsid w:val="00CC39D2"/>
    <w:rsid w:val="00CC69EC"/>
    <w:rsid w:val="00CC78A2"/>
    <w:rsid w:val="00CC7DF8"/>
    <w:rsid w:val="00CD05E9"/>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26B2C"/>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D9D"/>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D3"/>
    <w:rsid w:val="00DB44E2"/>
    <w:rsid w:val="00DB4A6D"/>
    <w:rsid w:val="00DB5504"/>
    <w:rsid w:val="00DB5941"/>
    <w:rsid w:val="00DB626D"/>
    <w:rsid w:val="00DB6365"/>
    <w:rsid w:val="00DC07B7"/>
    <w:rsid w:val="00DC0BF1"/>
    <w:rsid w:val="00DC0FA6"/>
    <w:rsid w:val="00DC17F2"/>
    <w:rsid w:val="00DC41C3"/>
    <w:rsid w:val="00DC4A3C"/>
    <w:rsid w:val="00DC4FA4"/>
    <w:rsid w:val="00DC5028"/>
    <w:rsid w:val="00DC5B37"/>
    <w:rsid w:val="00DD286D"/>
    <w:rsid w:val="00DD2CAF"/>
    <w:rsid w:val="00DD3593"/>
    <w:rsid w:val="00DD64E0"/>
    <w:rsid w:val="00DD7BE0"/>
    <w:rsid w:val="00DE0C67"/>
    <w:rsid w:val="00DE3AAD"/>
    <w:rsid w:val="00DE3D28"/>
    <w:rsid w:val="00DE598A"/>
    <w:rsid w:val="00DE6952"/>
    <w:rsid w:val="00DE7E74"/>
    <w:rsid w:val="00DF071B"/>
    <w:rsid w:val="00DF5C84"/>
    <w:rsid w:val="00DF6EF8"/>
    <w:rsid w:val="00E00A69"/>
    <w:rsid w:val="00E017BC"/>
    <w:rsid w:val="00E017F0"/>
    <w:rsid w:val="00E01A0E"/>
    <w:rsid w:val="00E0346A"/>
    <w:rsid w:val="00E041E4"/>
    <w:rsid w:val="00E04AEE"/>
    <w:rsid w:val="00E06CF5"/>
    <w:rsid w:val="00E1012B"/>
    <w:rsid w:val="00E103C8"/>
    <w:rsid w:val="00E1085B"/>
    <w:rsid w:val="00E128CD"/>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4E3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2049"/>
    <w:rsid w:val="00E629DA"/>
    <w:rsid w:val="00E64374"/>
    <w:rsid w:val="00E6469F"/>
    <w:rsid w:val="00E65D39"/>
    <w:rsid w:val="00E66511"/>
    <w:rsid w:val="00E670F8"/>
    <w:rsid w:val="00E6733C"/>
    <w:rsid w:val="00E6741B"/>
    <w:rsid w:val="00E67FAC"/>
    <w:rsid w:val="00E7200B"/>
    <w:rsid w:val="00E738CB"/>
    <w:rsid w:val="00E73C88"/>
    <w:rsid w:val="00E74437"/>
    <w:rsid w:val="00E7443D"/>
    <w:rsid w:val="00E75ACE"/>
    <w:rsid w:val="00E77049"/>
    <w:rsid w:val="00E771AF"/>
    <w:rsid w:val="00E80386"/>
    <w:rsid w:val="00E809C3"/>
    <w:rsid w:val="00E81A1A"/>
    <w:rsid w:val="00E81C3E"/>
    <w:rsid w:val="00E82359"/>
    <w:rsid w:val="00E82B6D"/>
    <w:rsid w:val="00E82E11"/>
    <w:rsid w:val="00E83187"/>
    <w:rsid w:val="00E831E9"/>
    <w:rsid w:val="00E8608F"/>
    <w:rsid w:val="00E86C1D"/>
    <w:rsid w:val="00E943F4"/>
    <w:rsid w:val="00E9763D"/>
    <w:rsid w:val="00E9767E"/>
    <w:rsid w:val="00EA1177"/>
    <w:rsid w:val="00EA118B"/>
    <w:rsid w:val="00EA11B6"/>
    <w:rsid w:val="00EA2181"/>
    <w:rsid w:val="00EA2DD8"/>
    <w:rsid w:val="00EA4475"/>
    <w:rsid w:val="00EA4EB4"/>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51CA"/>
    <w:rsid w:val="00EE5A61"/>
    <w:rsid w:val="00EE6FE0"/>
    <w:rsid w:val="00EE704A"/>
    <w:rsid w:val="00EE7840"/>
    <w:rsid w:val="00EF2E75"/>
    <w:rsid w:val="00EF4C74"/>
    <w:rsid w:val="00EF5268"/>
    <w:rsid w:val="00EF608E"/>
    <w:rsid w:val="00EF6C4A"/>
    <w:rsid w:val="00F0044B"/>
    <w:rsid w:val="00F03525"/>
    <w:rsid w:val="00F0424D"/>
    <w:rsid w:val="00F046EA"/>
    <w:rsid w:val="00F04957"/>
    <w:rsid w:val="00F04997"/>
    <w:rsid w:val="00F05807"/>
    <w:rsid w:val="00F06451"/>
    <w:rsid w:val="00F07052"/>
    <w:rsid w:val="00F0706C"/>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4112"/>
    <w:rsid w:val="00F76D01"/>
    <w:rsid w:val="00F80B43"/>
    <w:rsid w:val="00F81C35"/>
    <w:rsid w:val="00F82981"/>
    <w:rsid w:val="00F8311F"/>
    <w:rsid w:val="00F83248"/>
    <w:rsid w:val="00F83376"/>
    <w:rsid w:val="00F853AE"/>
    <w:rsid w:val="00F908D5"/>
    <w:rsid w:val="00F913B9"/>
    <w:rsid w:val="00F93C74"/>
    <w:rsid w:val="00F93DCC"/>
    <w:rsid w:val="00F9435D"/>
    <w:rsid w:val="00F95CA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2AA"/>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962"/>
    <w:rsid w:val="00FF0FF7"/>
    <w:rsid w:val="00FF1022"/>
    <w:rsid w:val="00FF10A2"/>
    <w:rsid w:val="00FF133D"/>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C52AA"/>
    <w:pPr>
      <w:autoSpaceDE w:val="0"/>
      <w:autoSpaceDN w:val="0"/>
      <w:adjustRightInd w:val="0"/>
    </w:pPr>
    <w:rPr>
      <w:rFonts w:cs="Calibri"/>
      <w:color w:val="000000"/>
      <w:szCs w:val="24"/>
    </w:rPr>
  </w:style>
  <w:style w:type="paragraph" w:styleId="BodyText2">
    <w:name w:val="Body Text 2"/>
    <w:basedOn w:val="Normal"/>
    <w:link w:val="BodyText2Char"/>
    <w:rsid w:val="005C4A66"/>
    <w:pPr>
      <w:spacing w:after="120" w:line="480" w:lineRule="auto"/>
    </w:pPr>
  </w:style>
  <w:style w:type="character" w:customStyle="1" w:styleId="BodyText2Char">
    <w:name w:val="Body Text 2 Char"/>
    <w:basedOn w:val="DefaultParagraphFont"/>
    <w:link w:val="BodyText2"/>
    <w:rsid w:val="005C4A6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01122045">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000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B1E9-B070-422F-A97E-55FDBE38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2012-05-10T14:52:00Z</dcterms:created>
  <dcterms:modified xsi:type="dcterms:W3CDTF">2012-05-10T14:52:00Z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