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69" w:rsidRPr="00396779" w:rsidRDefault="00CE0269" w:rsidP="00CE0269">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CE0269" w:rsidRPr="00396779" w:rsidRDefault="00CE0269" w:rsidP="00CE0269">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CE0269" w:rsidRPr="00396779" w:rsidRDefault="00CE0269" w:rsidP="00CE0269">
      <w:pPr>
        <w:tabs>
          <w:tab w:val="left" w:pos="288"/>
          <w:tab w:val="left" w:pos="4752"/>
        </w:tabs>
        <w:spacing w:line="240" w:lineRule="exact"/>
        <w:jc w:val="both"/>
        <w:rPr>
          <w:rFonts w:asciiTheme="minorHAnsi" w:hAnsiTheme="minorHAnsi"/>
          <w:caps/>
          <w:color w:val="auto"/>
        </w:rPr>
      </w:pPr>
    </w:p>
    <w:p w:rsidR="00CE0269" w:rsidRDefault="00CE0269" w:rsidP="009C385A">
      <w:pPr>
        <w:tabs>
          <w:tab w:val="left" w:pos="288"/>
          <w:tab w:val="left" w:pos="6120"/>
        </w:tabs>
        <w:spacing w:line="240" w:lineRule="exact"/>
        <w:ind w:right="-1260"/>
        <w:jc w:val="both"/>
        <w:rPr>
          <w:rFonts w:asciiTheme="minorHAnsi" w:hAnsiTheme="minorHAnsi"/>
          <w:caps/>
          <w:color w:val="auto"/>
        </w:rPr>
      </w:pPr>
      <w:r>
        <w:rPr>
          <w:rFonts w:asciiTheme="minorHAnsi" w:hAnsiTheme="minorHAnsi"/>
          <w:caps/>
          <w:color w:val="auto"/>
        </w:rPr>
        <w:t xml:space="preserve">NAME: </w:t>
      </w:r>
      <w:r w:rsidR="00CD4039">
        <w:rPr>
          <w:rFonts w:asciiTheme="minorHAnsi" w:hAnsiTheme="minorHAnsi"/>
          <w:caps/>
          <w:color w:val="auto"/>
        </w:rPr>
        <w:t>XXXXXX</w:t>
      </w:r>
      <w:r>
        <w:rPr>
          <w:rFonts w:asciiTheme="minorHAnsi" w:hAnsiTheme="minorHAnsi"/>
          <w:caps/>
          <w:color w:val="auto"/>
        </w:rPr>
        <w:tab/>
        <w:t>BRANCH OF SERVICE: NAVY</w:t>
      </w:r>
    </w:p>
    <w:p w:rsidR="00CE0269" w:rsidRDefault="00CE0269" w:rsidP="009C385A">
      <w:pPr>
        <w:tabs>
          <w:tab w:val="left" w:pos="288"/>
          <w:tab w:val="left" w:pos="6120"/>
        </w:tabs>
        <w:spacing w:line="240" w:lineRule="exact"/>
        <w:ind w:right="-900"/>
        <w:jc w:val="both"/>
        <w:rPr>
          <w:rFonts w:asciiTheme="minorHAnsi" w:hAnsiTheme="minorHAnsi"/>
          <w:caps/>
          <w:color w:val="auto"/>
        </w:rPr>
      </w:pPr>
      <w:r>
        <w:rPr>
          <w:rFonts w:asciiTheme="minorHAnsi" w:hAnsiTheme="minorHAnsi"/>
          <w:caps/>
          <w:color w:val="auto"/>
        </w:rPr>
        <w:t>CASE NUMBER: PD110</w:t>
      </w:r>
      <w:r w:rsidR="001C7C05">
        <w:rPr>
          <w:rFonts w:asciiTheme="minorHAnsi" w:hAnsiTheme="minorHAnsi"/>
          <w:caps/>
          <w:color w:val="auto"/>
        </w:rPr>
        <w:t>0025</w:t>
      </w:r>
      <w:r w:rsidR="001C7C05">
        <w:rPr>
          <w:rFonts w:asciiTheme="minorHAnsi" w:hAnsiTheme="minorHAnsi"/>
          <w:caps/>
          <w:color w:val="auto"/>
        </w:rPr>
        <w:tab/>
        <w:t>SEPARATION DATE: 20060119</w:t>
      </w:r>
    </w:p>
    <w:p w:rsidR="00DE3AAD" w:rsidRDefault="00CE0269" w:rsidP="00CE0269">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BOARD DATE: 201</w:t>
      </w:r>
      <w:r w:rsidR="009F13F0">
        <w:rPr>
          <w:rFonts w:asciiTheme="minorHAnsi" w:hAnsiTheme="minorHAnsi"/>
          <w:caps/>
          <w:color w:val="auto"/>
        </w:rPr>
        <w:t>1</w:t>
      </w:r>
      <w:r w:rsidR="00681CE2">
        <w:rPr>
          <w:rFonts w:asciiTheme="minorHAnsi" w:hAnsiTheme="minorHAnsi"/>
          <w:caps/>
          <w:color w:val="auto"/>
        </w:rPr>
        <w:t>1101</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CD0446" w:rsidRDefault="00CD0446" w:rsidP="00224E13">
      <w:pPr>
        <w:tabs>
          <w:tab w:val="left" w:pos="288"/>
          <w:tab w:val="left" w:pos="4752"/>
        </w:tabs>
        <w:spacing w:line="240" w:lineRule="exact"/>
        <w:jc w:val="both"/>
        <w:rPr>
          <w:rFonts w:asciiTheme="minorHAnsi" w:hAnsiTheme="minorHAnsi"/>
          <w:color w:val="auto"/>
          <w:u w:val="single"/>
        </w:rPr>
      </w:pPr>
    </w:p>
    <w:p w:rsidR="002F2981" w:rsidRDefault="00DF09FC" w:rsidP="00224E13">
      <w:pPr>
        <w:tabs>
          <w:tab w:val="left" w:pos="288"/>
          <w:tab w:val="left" w:pos="4752"/>
        </w:tabs>
        <w:spacing w:line="240" w:lineRule="exact"/>
        <w:jc w:val="both"/>
        <w:rPr>
          <w:rFonts w:asciiTheme="minorHAnsi" w:hAnsiTheme="minorHAnsi"/>
          <w:color w:val="auto"/>
        </w:rPr>
      </w:pPr>
      <w:r w:rsidRPr="00B51FB2">
        <w:rPr>
          <w:rFonts w:asciiTheme="minorHAnsi" w:hAnsiTheme="minorHAnsi"/>
          <w:color w:val="auto"/>
          <w:u w:val="single"/>
        </w:rPr>
        <w:t>SUMMARY OF CASE</w:t>
      </w:r>
      <w:r w:rsidRPr="00B51FB2">
        <w:rPr>
          <w:rFonts w:asciiTheme="minorHAnsi" w:hAnsiTheme="minorHAnsi"/>
          <w:color w:val="auto"/>
        </w:rPr>
        <w:t xml:space="preserve">:  Data extracted from the available evidence of record reflects that this covered individual (CI) </w:t>
      </w:r>
      <w:r>
        <w:rPr>
          <w:rFonts w:asciiTheme="minorHAnsi" w:hAnsiTheme="minorHAnsi"/>
          <w:color w:val="auto"/>
          <w:szCs w:val="24"/>
        </w:rPr>
        <w:t xml:space="preserve">was an </w:t>
      </w:r>
      <w:r w:rsidRPr="00B51FB2">
        <w:rPr>
          <w:rFonts w:asciiTheme="minorHAnsi" w:hAnsiTheme="minorHAnsi"/>
          <w:color w:val="auto"/>
          <w:szCs w:val="24"/>
        </w:rPr>
        <w:t xml:space="preserve">active duty </w:t>
      </w:r>
      <w:r>
        <w:rPr>
          <w:rFonts w:asciiTheme="minorHAnsi" w:hAnsiTheme="minorHAnsi"/>
          <w:color w:val="auto"/>
          <w:szCs w:val="24"/>
        </w:rPr>
        <w:t>Petty Officer 1</w:t>
      </w:r>
      <w:r w:rsidRPr="00672B94">
        <w:rPr>
          <w:rFonts w:asciiTheme="minorHAnsi" w:hAnsiTheme="minorHAnsi"/>
          <w:color w:val="auto"/>
          <w:szCs w:val="24"/>
          <w:vertAlign w:val="superscript"/>
        </w:rPr>
        <w:t>st</w:t>
      </w:r>
      <w:r>
        <w:rPr>
          <w:rFonts w:asciiTheme="minorHAnsi" w:hAnsiTheme="minorHAnsi"/>
          <w:color w:val="auto"/>
          <w:szCs w:val="24"/>
        </w:rPr>
        <w:t xml:space="preserve"> Class </w:t>
      </w:r>
      <w:r w:rsidRPr="00A42B97">
        <w:rPr>
          <w:rFonts w:asciiTheme="minorHAnsi" w:hAnsiTheme="minorHAnsi"/>
          <w:color w:val="auto"/>
          <w:szCs w:val="24"/>
        </w:rPr>
        <w:t>/ E6</w:t>
      </w:r>
      <w:r w:rsidR="001C5B66">
        <w:rPr>
          <w:rFonts w:asciiTheme="minorHAnsi" w:hAnsiTheme="minorHAnsi"/>
          <w:color w:val="auto"/>
          <w:szCs w:val="24"/>
        </w:rPr>
        <w:t xml:space="preserve"> (DC1/5352</w:t>
      </w:r>
      <w:r w:rsidR="00A42B97">
        <w:rPr>
          <w:rFonts w:asciiTheme="minorHAnsi" w:hAnsiTheme="minorHAnsi"/>
          <w:color w:val="auto"/>
          <w:szCs w:val="24"/>
        </w:rPr>
        <w:t xml:space="preserve">, </w:t>
      </w:r>
      <w:r w:rsidR="00D6047B">
        <w:rPr>
          <w:rFonts w:asciiTheme="minorHAnsi" w:hAnsiTheme="minorHAnsi"/>
          <w:color w:val="auto"/>
          <w:szCs w:val="24"/>
        </w:rPr>
        <w:t>Special Warfare Combatant Craft C</w:t>
      </w:r>
      <w:r>
        <w:rPr>
          <w:rFonts w:asciiTheme="minorHAnsi" w:hAnsiTheme="minorHAnsi"/>
          <w:color w:val="auto"/>
          <w:szCs w:val="24"/>
        </w:rPr>
        <w:t>rewman</w:t>
      </w:r>
      <w:r w:rsidRPr="00B51FB2">
        <w:rPr>
          <w:rFonts w:asciiTheme="minorHAnsi" w:hAnsiTheme="minorHAnsi"/>
          <w:color w:val="auto"/>
          <w:szCs w:val="24"/>
        </w:rPr>
        <w:t xml:space="preserve">), medically separated for </w:t>
      </w:r>
      <w:r w:rsidR="009C385A">
        <w:rPr>
          <w:rFonts w:asciiTheme="minorHAnsi" w:hAnsiTheme="minorHAnsi"/>
          <w:color w:val="auto"/>
          <w:szCs w:val="24"/>
        </w:rPr>
        <w:t xml:space="preserve">lumbar </w:t>
      </w:r>
      <w:r>
        <w:rPr>
          <w:rFonts w:asciiTheme="minorHAnsi" w:hAnsiTheme="minorHAnsi"/>
          <w:color w:val="auto"/>
          <w:szCs w:val="24"/>
        </w:rPr>
        <w:t xml:space="preserve">degenerative disc disease.  The initial injuries occurred from a parachuting accident.  </w:t>
      </w:r>
      <w:r w:rsidRPr="00C4065F">
        <w:rPr>
          <w:rFonts w:asciiTheme="minorHAnsi" w:hAnsiTheme="minorHAnsi"/>
          <w:color w:val="auto"/>
          <w:szCs w:val="24"/>
        </w:rPr>
        <w:t>Despite conservative treatments for</w:t>
      </w:r>
      <w:r>
        <w:rPr>
          <w:rFonts w:asciiTheme="minorHAnsi" w:hAnsiTheme="minorHAnsi"/>
          <w:color w:val="auto"/>
          <w:szCs w:val="24"/>
        </w:rPr>
        <w:t xml:space="preserve"> his </w:t>
      </w:r>
      <w:r w:rsidR="009C385A">
        <w:rPr>
          <w:rFonts w:asciiTheme="minorHAnsi" w:hAnsiTheme="minorHAnsi"/>
          <w:color w:val="auto"/>
          <w:szCs w:val="24"/>
        </w:rPr>
        <w:t>back pain</w:t>
      </w:r>
      <w:r>
        <w:rPr>
          <w:rFonts w:asciiTheme="minorHAnsi" w:hAnsiTheme="minorHAnsi"/>
          <w:color w:val="auto"/>
          <w:szCs w:val="24"/>
        </w:rPr>
        <w:t xml:space="preserve"> h</w:t>
      </w:r>
      <w:r w:rsidRPr="00B51FB2">
        <w:rPr>
          <w:rFonts w:asciiTheme="minorHAnsi" w:hAnsiTheme="minorHAnsi"/>
          <w:color w:val="auto"/>
          <w:szCs w:val="24"/>
        </w:rPr>
        <w:t xml:space="preserve">e did not respond adequately to perform within his </w:t>
      </w:r>
      <w:r>
        <w:rPr>
          <w:rFonts w:asciiTheme="minorHAnsi" w:hAnsiTheme="minorHAnsi"/>
          <w:color w:val="auto"/>
          <w:szCs w:val="24"/>
        </w:rPr>
        <w:t>R</w:t>
      </w:r>
      <w:r w:rsidRPr="00337ACC">
        <w:rPr>
          <w:rFonts w:asciiTheme="minorHAnsi" w:hAnsiTheme="minorHAnsi"/>
          <w:color w:val="auto"/>
          <w:szCs w:val="24"/>
        </w:rPr>
        <w:t xml:space="preserve">ating </w:t>
      </w:r>
      <w:r w:rsidRPr="00B51FB2">
        <w:rPr>
          <w:rFonts w:asciiTheme="minorHAnsi" w:hAnsiTheme="minorHAnsi"/>
          <w:color w:val="auto"/>
          <w:szCs w:val="24"/>
        </w:rPr>
        <w:t>or meet physical fitness standards.  He</w:t>
      </w:r>
      <w:r>
        <w:rPr>
          <w:rFonts w:asciiTheme="minorHAnsi" w:hAnsiTheme="minorHAnsi"/>
          <w:color w:val="auto"/>
          <w:szCs w:val="24"/>
        </w:rPr>
        <w:t xml:space="preserve"> was</w:t>
      </w:r>
      <w:r w:rsidRPr="00B51FB2">
        <w:rPr>
          <w:rFonts w:asciiTheme="minorHAnsi" w:hAnsiTheme="minorHAnsi"/>
          <w:color w:val="auto"/>
          <w:szCs w:val="24"/>
        </w:rPr>
        <w:t xml:space="preserve"> </w:t>
      </w:r>
      <w:r w:rsidRPr="00337ACC">
        <w:rPr>
          <w:rFonts w:asciiTheme="minorHAnsi" w:hAnsiTheme="minorHAnsi"/>
          <w:color w:val="auto"/>
          <w:szCs w:val="24"/>
        </w:rPr>
        <w:t xml:space="preserve">placed on limited duty </w:t>
      </w:r>
      <w:r w:rsidR="00A74B89">
        <w:rPr>
          <w:rFonts w:asciiTheme="minorHAnsi" w:hAnsiTheme="minorHAnsi"/>
          <w:color w:val="auto"/>
          <w:szCs w:val="24"/>
        </w:rPr>
        <w:t xml:space="preserve">(LIMDU) </w:t>
      </w:r>
      <w:r w:rsidRPr="00337ACC">
        <w:rPr>
          <w:rFonts w:asciiTheme="minorHAnsi" w:hAnsiTheme="minorHAnsi"/>
          <w:color w:val="auto"/>
          <w:szCs w:val="24"/>
        </w:rPr>
        <w:t>and underwent a Medical Evaluation Board (MEB).</w:t>
      </w:r>
      <w:r>
        <w:rPr>
          <w:rFonts w:asciiTheme="minorHAnsi" w:hAnsiTheme="minorHAnsi"/>
          <w:color w:val="auto"/>
          <w:szCs w:val="24"/>
        </w:rPr>
        <w:t xml:space="preserve">  </w:t>
      </w:r>
      <w:r w:rsidR="00A74B89">
        <w:rPr>
          <w:rFonts w:asciiTheme="minorHAnsi" w:hAnsiTheme="minorHAnsi"/>
          <w:color w:val="auto"/>
          <w:szCs w:val="24"/>
        </w:rPr>
        <w:t>Lumbar</w:t>
      </w:r>
      <w:r>
        <w:rPr>
          <w:rFonts w:asciiTheme="minorHAnsi" w:hAnsiTheme="minorHAnsi"/>
          <w:color w:val="auto"/>
          <w:szCs w:val="24"/>
        </w:rPr>
        <w:t xml:space="preserve"> degenerative disc disease</w:t>
      </w:r>
      <w:r w:rsidRPr="00B51FB2">
        <w:rPr>
          <w:rFonts w:asciiTheme="minorHAnsi" w:hAnsiTheme="minorHAnsi"/>
          <w:color w:val="auto"/>
          <w:szCs w:val="24"/>
        </w:rPr>
        <w:t xml:space="preserve"> </w:t>
      </w:r>
      <w:r w:rsidR="00A42B97">
        <w:rPr>
          <w:rFonts w:asciiTheme="minorHAnsi" w:hAnsiTheme="minorHAnsi"/>
          <w:color w:val="auto"/>
          <w:szCs w:val="24"/>
        </w:rPr>
        <w:t>and cervicalgia were</w:t>
      </w:r>
      <w:r>
        <w:rPr>
          <w:rFonts w:asciiTheme="minorHAnsi" w:hAnsiTheme="minorHAnsi"/>
          <w:color w:val="auto"/>
          <w:szCs w:val="24"/>
        </w:rPr>
        <w:t xml:space="preserve"> </w:t>
      </w:r>
      <w:r w:rsidRPr="00B51FB2">
        <w:rPr>
          <w:rFonts w:asciiTheme="minorHAnsi" w:hAnsiTheme="minorHAnsi"/>
          <w:color w:val="auto"/>
          <w:szCs w:val="24"/>
        </w:rPr>
        <w:t xml:space="preserve">forwarded to the Physical Evaluation Board (PEB) as medically unacceptable IAW </w:t>
      </w:r>
      <w:r w:rsidRPr="00337ACC">
        <w:rPr>
          <w:rFonts w:asciiTheme="minorHAnsi" w:hAnsiTheme="minorHAnsi"/>
          <w:color w:val="auto"/>
          <w:szCs w:val="24"/>
        </w:rPr>
        <w:t>SECNAVINST 1850.4E.</w:t>
      </w:r>
      <w:r>
        <w:rPr>
          <w:rFonts w:asciiTheme="minorHAnsi" w:hAnsiTheme="minorHAnsi"/>
          <w:color w:val="auto"/>
          <w:szCs w:val="24"/>
        </w:rPr>
        <w:t xml:space="preserve"> </w:t>
      </w:r>
      <w:r w:rsidR="00A42B97">
        <w:rPr>
          <w:rFonts w:asciiTheme="minorHAnsi" w:hAnsiTheme="minorHAnsi"/>
          <w:color w:val="auto"/>
          <w:szCs w:val="24"/>
        </w:rPr>
        <w:t xml:space="preserve"> </w:t>
      </w:r>
      <w:r w:rsidRPr="0024305C">
        <w:rPr>
          <w:rFonts w:asciiTheme="minorHAnsi" w:hAnsiTheme="minorHAnsi"/>
          <w:color w:val="auto"/>
          <w:szCs w:val="24"/>
        </w:rPr>
        <w:t xml:space="preserve">The Informal PEB (IPEB) adjudicated </w:t>
      </w:r>
      <w:r w:rsidR="00A74B89" w:rsidRPr="0024305C">
        <w:rPr>
          <w:rFonts w:asciiTheme="minorHAnsi" w:hAnsiTheme="minorHAnsi"/>
          <w:color w:val="auto"/>
          <w:szCs w:val="24"/>
        </w:rPr>
        <w:t xml:space="preserve">both </w:t>
      </w:r>
      <w:r w:rsidRPr="0024305C">
        <w:rPr>
          <w:rFonts w:asciiTheme="minorHAnsi" w:hAnsiTheme="minorHAnsi"/>
          <w:color w:val="auto"/>
          <w:szCs w:val="24"/>
        </w:rPr>
        <w:t xml:space="preserve">the </w:t>
      </w:r>
      <w:r w:rsidR="00A74B89" w:rsidRPr="0024305C">
        <w:rPr>
          <w:rFonts w:asciiTheme="minorHAnsi" w:hAnsiTheme="minorHAnsi"/>
          <w:color w:val="auto"/>
          <w:szCs w:val="24"/>
        </w:rPr>
        <w:t xml:space="preserve">lumbar </w:t>
      </w:r>
      <w:r w:rsidRPr="0024305C">
        <w:rPr>
          <w:rFonts w:asciiTheme="minorHAnsi" w:hAnsiTheme="minorHAnsi"/>
          <w:color w:val="auto"/>
          <w:szCs w:val="24"/>
        </w:rPr>
        <w:t>degenerative disc disease cond</w:t>
      </w:r>
      <w:r w:rsidR="00224E13" w:rsidRPr="0024305C">
        <w:rPr>
          <w:rFonts w:asciiTheme="minorHAnsi" w:hAnsiTheme="minorHAnsi"/>
          <w:color w:val="auto"/>
          <w:szCs w:val="24"/>
        </w:rPr>
        <w:t>ition and cervicalgia condition</w:t>
      </w:r>
      <w:r w:rsidR="0024305C" w:rsidRPr="0024305C">
        <w:rPr>
          <w:rFonts w:asciiTheme="minorHAnsi" w:hAnsiTheme="minorHAnsi"/>
          <w:color w:val="auto"/>
          <w:szCs w:val="24"/>
        </w:rPr>
        <w:t xml:space="preserve"> as</w:t>
      </w:r>
      <w:r w:rsidR="00A74B89" w:rsidRPr="0024305C">
        <w:rPr>
          <w:rFonts w:asciiTheme="minorHAnsi" w:hAnsiTheme="minorHAnsi"/>
          <w:color w:val="auto"/>
          <w:szCs w:val="24"/>
        </w:rPr>
        <w:t xml:space="preserve"> unfitting</w:t>
      </w:r>
      <w:r w:rsidR="00224E13" w:rsidRPr="0024305C">
        <w:rPr>
          <w:rFonts w:asciiTheme="minorHAnsi" w:hAnsiTheme="minorHAnsi"/>
          <w:color w:val="auto"/>
          <w:szCs w:val="24"/>
        </w:rPr>
        <w:t>, rat</w:t>
      </w:r>
      <w:r w:rsidR="00A74B89" w:rsidRPr="0024305C">
        <w:rPr>
          <w:rFonts w:asciiTheme="minorHAnsi" w:hAnsiTheme="minorHAnsi"/>
          <w:color w:val="auto"/>
          <w:szCs w:val="24"/>
        </w:rPr>
        <w:t>ed</w:t>
      </w:r>
      <w:r w:rsidR="00224E13" w:rsidRPr="0024305C">
        <w:rPr>
          <w:rFonts w:asciiTheme="minorHAnsi" w:hAnsiTheme="minorHAnsi"/>
          <w:color w:val="auto"/>
          <w:szCs w:val="24"/>
        </w:rPr>
        <w:t xml:space="preserve"> </w:t>
      </w:r>
      <w:r w:rsidRPr="0024305C">
        <w:rPr>
          <w:rFonts w:asciiTheme="minorHAnsi" w:hAnsiTheme="minorHAnsi"/>
          <w:color w:val="auto"/>
          <w:szCs w:val="24"/>
        </w:rPr>
        <w:t xml:space="preserve">10% </w:t>
      </w:r>
      <w:r w:rsidR="007411C4" w:rsidRPr="0024305C">
        <w:rPr>
          <w:rFonts w:asciiTheme="minorHAnsi" w:hAnsiTheme="minorHAnsi"/>
          <w:color w:val="auto"/>
          <w:szCs w:val="24"/>
        </w:rPr>
        <w:t>each,</w:t>
      </w:r>
      <w:r w:rsidR="007411C4">
        <w:rPr>
          <w:rFonts w:asciiTheme="minorHAnsi" w:hAnsiTheme="minorHAnsi"/>
          <w:color w:val="auto"/>
          <w:szCs w:val="24"/>
        </w:rPr>
        <w:t xml:space="preserve"> </w:t>
      </w:r>
      <w:r w:rsidRPr="00303706">
        <w:rPr>
          <w:rFonts w:asciiTheme="minorHAnsi" w:hAnsiTheme="minorHAnsi"/>
          <w:color w:val="auto"/>
          <w:szCs w:val="24"/>
        </w:rPr>
        <w:t xml:space="preserve">with application </w:t>
      </w:r>
      <w:r w:rsidRPr="00512897">
        <w:rPr>
          <w:rFonts w:asciiTheme="minorHAnsi" w:hAnsiTheme="minorHAnsi"/>
          <w:color w:val="auto"/>
          <w:szCs w:val="24"/>
        </w:rPr>
        <w:t>of SECNAVINST 1850.4E</w:t>
      </w:r>
      <w:r w:rsidR="00512897">
        <w:rPr>
          <w:rFonts w:asciiTheme="minorHAnsi" w:hAnsiTheme="minorHAnsi"/>
          <w:color w:val="auto"/>
          <w:szCs w:val="24"/>
        </w:rPr>
        <w:t xml:space="preserve"> </w:t>
      </w:r>
      <w:r w:rsidR="00E35447" w:rsidRPr="0024305C">
        <w:rPr>
          <w:rFonts w:asciiTheme="minorHAnsi" w:hAnsiTheme="minorHAnsi"/>
          <w:color w:val="auto"/>
          <w:szCs w:val="24"/>
        </w:rPr>
        <w:t>and</w:t>
      </w:r>
      <w:r w:rsidR="00E35447">
        <w:rPr>
          <w:rFonts w:asciiTheme="minorHAnsi" w:hAnsiTheme="minorHAnsi"/>
          <w:color w:val="auto"/>
          <w:szCs w:val="24"/>
        </w:rPr>
        <w:t xml:space="preserve"> </w:t>
      </w:r>
      <w:r w:rsidR="00512897" w:rsidRPr="0024305C">
        <w:rPr>
          <w:rFonts w:asciiTheme="minorHAnsi" w:hAnsiTheme="minorHAnsi"/>
          <w:color w:val="auto"/>
          <w:szCs w:val="24"/>
        </w:rPr>
        <w:t>the Veterans Administration Schedule for Rating Disabilities (VASRD)</w:t>
      </w:r>
      <w:r w:rsidRPr="0024305C">
        <w:rPr>
          <w:rFonts w:asciiTheme="minorHAnsi" w:hAnsiTheme="minorHAnsi"/>
          <w:color w:val="auto"/>
          <w:szCs w:val="24"/>
        </w:rPr>
        <w:t>.</w:t>
      </w:r>
      <w:r w:rsidR="00681CE2">
        <w:rPr>
          <w:rFonts w:asciiTheme="minorHAnsi" w:hAnsiTheme="minorHAnsi"/>
          <w:color w:val="auto"/>
          <w:sz w:val="20"/>
        </w:rPr>
        <w:t xml:space="preserve">  </w:t>
      </w:r>
      <w:r w:rsidRPr="00B51FB2">
        <w:rPr>
          <w:rFonts w:asciiTheme="minorHAnsi" w:hAnsiTheme="minorHAnsi"/>
          <w:color w:val="auto"/>
        </w:rPr>
        <w:t xml:space="preserve">The CI appealed </w:t>
      </w:r>
      <w:r w:rsidRPr="00303706">
        <w:rPr>
          <w:rFonts w:asciiTheme="minorHAnsi" w:hAnsiTheme="minorHAnsi"/>
          <w:color w:val="auto"/>
        </w:rPr>
        <w:t xml:space="preserve">to </w:t>
      </w:r>
      <w:r w:rsidR="007411C4">
        <w:rPr>
          <w:rFonts w:asciiTheme="minorHAnsi" w:hAnsiTheme="minorHAnsi"/>
          <w:color w:val="auto"/>
        </w:rPr>
        <w:t>the F</w:t>
      </w:r>
      <w:r w:rsidR="00A74B89">
        <w:rPr>
          <w:rFonts w:asciiTheme="minorHAnsi" w:hAnsiTheme="minorHAnsi"/>
          <w:color w:val="auto"/>
        </w:rPr>
        <w:t>ormal PEB (</w:t>
      </w:r>
      <w:r>
        <w:rPr>
          <w:rFonts w:asciiTheme="minorHAnsi" w:hAnsiTheme="minorHAnsi"/>
          <w:color w:val="auto"/>
        </w:rPr>
        <w:t>FPEB</w:t>
      </w:r>
      <w:r w:rsidR="00A74B89">
        <w:rPr>
          <w:rFonts w:asciiTheme="minorHAnsi" w:hAnsiTheme="minorHAnsi"/>
          <w:color w:val="auto"/>
        </w:rPr>
        <w:t>) which adjudicated the</w:t>
      </w:r>
      <w:r>
        <w:rPr>
          <w:rFonts w:asciiTheme="minorHAnsi" w:hAnsiTheme="minorHAnsi"/>
          <w:color w:val="auto"/>
        </w:rPr>
        <w:t xml:space="preserve"> </w:t>
      </w:r>
      <w:r w:rsidR="00A74B89">
        <w:rPr>
          <w:rFonts w:asciiTheme="minorHAnsi" w:hAnsiTheme="minorHAnsi"/>
          <w:color w:val="auto"/>
        </w:rPr>
        <w:t xml:space="preserve">lumbar </w:t>
      </w:r>
      <w:r w:rsidR="00A74B89" w:rsidRPr="00C4065F">
        <w:rPr>
          <w:rFonts w:asciiTheme="minorHAnsi" w:hAnsiTheme="minorHAnsi"/>
          <w:color w:val="auto"/>
        </w:rPr>
        <w:t>degenerative disc disease condition</w:t>
      </w:r>
      <w:r w:rsidR="00A74B89" w:rsidRPr="00B51FB2">
        <w:rPr>
          <w:rFonts w:asciiTheme="minorHAnsi" w:hAnsiTheme="minorHAnsi"/>
          <w:color w:val="auto"/>
        </w:rPr>
        <w:t xml:space="preserve"> </w:t>
      </w:r>
      <w:r w:rsidR="00A74B89">
        <w:rPr>
          <w:rFonts w:asciiTheme="minorHAnsi" w:hAnsiTheme="minorHAnsi"/>
          <w:color w:val="auto"/>
        </w:rPr>
        <w:t>unfitting rated 20%, and the cervicalgia condition not unfitting</w:t>
      </w:r>
      <w:r w:rsidR="0024305C">
        <w:rPr>
          <w:rFonts w:asciiTheme="minorHAnsi" w:hAnsiTheme="minorHAnsi"/>
          <w:color w:val="auto"/>
        </w:rPr>
        <w:t xml:space="preserve"> (and</w:t>
      </w:r>
      <w:r w:rsidR="00A74B89">
        <w:rPr>
          <w:rFonts w:asciiTheme="minorHAnsi" w:hAnsiTheme="minorHAnsi"/>
          <w:color w:val="auto"/>
        </w:rPr>
        <w:t xml:space="preserve"> not rated</w:t>
      </w:r>
      <w:r w:rsidR="0024305C">
        <w:rPr>
          <w:rFonts w:asciiTheme="minorHAnsi" w:hAnsiTheme="minorHAnsi"/>
          <w:color w:val="auto"/>
        </w:rPr>
        <w:t>)</w:t>
      </w:r>
      <w:r w:rsidR="00A74B89">
        <w:rPr>
          <w:rFonts w:asciiTheme="minorHAnsi" w:hAnsiTheme="minorHAnsi"/>
          <w:color w:val="auto"/>
        </w:rPr>
        <w:t xml:space="preserve">.  </w:t>
      </w:r>
      <w:r w:rsidR="008C5C11">
        <w:rPr>
          <w:rFonts w:asciiTheme="minorHAnsi" w:hAnsiTheme="minorHAnsi"/>
          <w:color w:val="auto"/>
        </w:rPr>
        <w:t xml:space="preserve">The CI filed a Petition for Relief with the Navy Council of Review Boards which was denied, and he was thus </w:t>
      </w:r>
      <w:r w:rsidRPr="00B51FB2">
        <w:rPr>
          <w:rFonts w:asciiTheme="minorHAnsi" w:hAnsiTheme="minorHAnsi"/>
          <w:color w:val="auto"/>
        </w:rPr>
        <w:t xml:space="preserve">medically separated with a </w:t>
      </w:r>
      <w:r>
        <w:rPr>
          <w:rFonts w:asciiTheme="minorHAnsi" w:hAnsiTheme="minorHAnsi"/>
          <w:color w:val="auto"/>
        </w:rPr>
        <w:t>20</w:t>
      </w:r>
      <w:r w:rsidRPr="00B51FB2">
        <w:rPr>
          <w:rFonts w:asciiTheme="minorHAnsi" w:hAnsiTheme="minorHAnsi"/>
          <w:color w:val="auto"/>
        </w:rPr>
        <w:t>% disability rating</w:t>
      </w:r>
      <w:r w:rsidR="00A74B89">
        <w:rPr>
          <w:rFonts w:asciiTheme="minorHAnsi" w:hAnsiTheme="minorHAnsi"/>
          <w:color w:val="auto"/>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6F687F" w:rsidRPr="00A42B97" w:rsidRDefault="002C6E5B" w:rsidP="006F687F">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6F687F" w:rsidRPr="00A42B97">
        <w:rPr>
          <w:rFonts w:asciiTheme="minorHAnsi" w:hAnsiTheme="minorHAnsi"/>
          <w:color w:val="auto"/>
        </w:rPr>
        <w:t>The CI states: “Currently rate at 90% disabled and awaiting the Department of Veterans Affairs to rate the final two disabilities of PTSD and Spine.  The Medical Review Board, which I disputed, was an insult to this service-member and I feel the board did not take all of the proof that I brought up to the board for the Board review.  Board was 0700; I dropped off 40lbs of proof at 1930 the evening prior</w:t>
      </w:r>
      <w:r w:rsidR="009C385A" w:rsidRPr="00A42B97">
        <w:rPr>
          <w:rFonts w:asciiTheme="minorHAnsi" w:hAnsiTheme="minorHAnsi"/>
          <w:color w:val="auto"/>
        </w:rPr>
        <w:t>.</w:t>
      </w:r>
      <w:r w:rsidR="006F687F" w:rsidRPr="00A42B97">
        <w:rPr>
          <w:rFonts w:asciiTheme="minorHAnsi" w:hAnsiTheme="minorHAnsi"/>
          <w:color w:val="auto"/>
        </w:rPr>
        <w:t xml:space="preserve">”  He additionally lists all of his VA conditions and ratings as per the rating chart below.  A contention for their inclusion in the separation rating is therefore implied.  </w:t>
      </w:r>
    </w:p>
    <w:p w:rsidR="009C385A" w:rsidRDefault="009C385A" w:rsidP="009C385A">
      <w:pPr>
        <w:pBdr>
          <w:bottom w:val="single" w:sz="12" w:space="1" w:color="auto"/>
        </w:pBdr>
        <w:tabs>
          <w:tab w:val="left" w:pos="288"/>
          <w:tab w:val="left" w:pos="4752"/>
        </w:tabs>
        <w:spacing w:line="240" w:lineRule="exact"/>
        <w:jc w:val="both"/>
        <w:rPr>
          <w:rFonts w:asciiTheme="minorHAnsi" w:hAnsiTheme="minorHAnsi"/>
          <w:color w:val="auto"/>
        </w:rPr>
      </w:pPr>
    </w:p>
    <w:p w:rsidR="009C385A" w:rsidRDefault="009C385A" w:rsidP="009C385A">
      <w:pPr>
        <w:tabs>
          <w:tab w:val="left" w:pos="288"/>
          <w:tab w:val="left" w:pos="4752"/>
        </w:tabs>
        <w:spacing w:line="240" w:lineRule="exact"/>
        <w:jc w:val="both"/>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736097" w:rsidRDefault="00736097" w:rsidP="00510F9C">
      <w:pPr>
        <w:spacing w:line="240" w:lineRule="exact"/>
        <w:rPr>
          <w:rFonts w:asciiTheme="minorHAnsi" w:hAnsiTheme="minorHAnsi"/>
          <w:color w:val="auto"/>
        </w:rPr>
      </w:pPr>
    </w:p>
    <w:tbl>
      <w:tblPr>
        <w:tblStyle w:val="TableGrid"/>
        <w:tblW w:w="9298" w:type="dxa"/>
        <w:jc w:val="center"/>
        <w:tblInd w:w="400" w:type="dxa"/>
        <w:tblLayout w:type="fixed"/>
        <w:tblLook w:val="04A0"/>
      </w:tblPr>
      <w:tblGrid>
        <w:gridCol w:w="2399"/>
        <w:gridCol w:w="720"/>
        <w:gridCol w:w="810"/>
        <w:gridCol w:w="2520"/>
        <w:gridCol w:w="1080"/>
        <w:gridCol w:w="810"/>
        <w:gridCol w:w="959"/>
      </w:tblGrid>
      <w:tr w:rsidR="00736097" w:rsidRPr="00396779" w:rsidTr="00ED7067">
        <w:trPr>
          <w:trHeight w:val="170"/>
          <w:jc w:val="center"/>
        </w:trPr>
        <w:tc>
          <w:tcPr>
            <w:tcW w:w="3929" w:type="dxa"/>
            <w:gridSpan w:val="3"/>
            <w:tcBorders>
              <w:right w:val="thinThickThinSmallGap" w:sz="24" w:space="0" w:color="auto"/>
            </w:tcBorders>
            <w:shd w:val="clear" w:color="auto" w:fill="D9D9D9" w:themeFill="background1" w:themeFillShade="D9"/>
          </w:tcPr>
          <w:p w:rsidR="00736097" w:rsidRPr="00396779" w:rsidRDefault="00736097" w:rsidP="00DB79D5">
            <w:pPr>
              <w:pStyle w:val="ListParagraph"/>
              <w:spacing w:after="0" w:line="240" w:lineRule="exact"/>
              <w:ind w:left="0"/>
              <w:jc w:val="center"/>
              <w:rPr>
                <w:rFonts w:cs="Times New Roman"/>
                <w:b/>
                <w:sz w:val="20"/>
                <w:szCs w:val="20"/>
              </w:rPr>
            </w:pPr>
            <w:r w:rsidRPr="00396779">
              <w:rPr>
                <w:rFonts w:cs="Times New Roman"/>
                <w:b/>
                <w:sz w:val="20"/>
                <w:szCs w:val="20"/>
              </w:rPr>
              <w:t xml:space="preserve">Service </w:t>
            </w:r>
            <w:r>
              <w:rPr>
                <w:rFonts w:cs="Times New Roman"/>
                <w:b/>
                <w:sz w:val="20"/>
                <w:szCs w:val="20"/>
              </w:rPr>
              <w:t>F</w:t>
            </w:r>
            <w:r w:rsidRPr="00396779">
              <w:rPr>
                <w:rFonts w:cs="Times New Roman"/>
                <w:b/>
                <w:sz w:val="20"/>
                <w:szCs w:val="20"/>
              </w:rPr>
              <w:t xml:space="preserve">PEB – Dated </w:t>
            </w:r>
            <w:r>
              <w:rPr>
                <w:rFonts w:cs="Times New Roman"/>
                <w:b/>
                <w:sz w:val="20"/>
                <w:szCs w:val="20"/>
              </w:rPr>
              <w:t>20050811</w:t>
            </w:r>
          </w:p>
        </w:tc>
        <w:tc>
          <w:tcPr>
            <w:tcW w:w="5369" w:type="dxa"/>
            <w:gridSpan w:val="4"/>
            <w:tcBorders>
              <w:left w:val="thinThickThinSmallGap" w:sz="24" w:space="0" w:color="auto"/>
            </w:tcBorders>
            <w:shd w:val="clear" w:color="auto" w:fill="D9D9D9" w:themeFill="background1" w:themeFillShade="D9"/>
          </w:tcPr>
          <w:p w:rsidR="00736097" w:rsidRPr="00396779" w:rsidRDefault="00736097" w:rsidP="00DB79D5">
            <w:pPr>
              <w:pStyle w:val="ListParagraph"/>
              <w:spacing w:after="0" w:line="240" w:lineRule="exact"/>
              <w:ind w:left="0"/>
              <w:jc w:val="center"/>
              <w:rPr>
                <w:rFonts w:cs="Times New Roman"/>
                <w:b/>
                <w:sz w:val="20"/>
                <w:szCs w:val="20"/>
              </w:rPr>
            </w:pPr>
            <w:r w:rsidRPr="00396779">
              <w:rPr>
                <w:rFonts w:cs="Times New Roman"/>
                <w:b/>
                <w:sz w:val="20"/>
                <w:szCs w:val="20"/>
              </w:rPr>
              <w:t>VA (</w:t>
            </w:r>
            <w:r>
              <w:rPr>
                <w:rFonts w:cs="Times New Roman"/>
                <w:b/>
                <w:sz w:val="20"/>
                <w:szCs w:val="20"/>
              </w:rPr>
              <w:t xml:space="preserve">2 </w:t>
            </w:r>
            <w:r w:rsidRPr="00396779">
              <w:rPr>
                <w:rFonts w:cs="Times New Roman"/>
                <w:b/>
                <w:sz w:val="20"/>
                <w:szCs w:val="20"/>
              </w:rPr>
              <w:t xml:space="preserve">Mo. </w:t>
            </w:r>
            <w:r>
              <w:rPr>
                <w:rFonts w:cs="Times New Roman"/>
                <w:b/>
                <w:sz w:val="20"/>
                <w:szCs w:val="20"/>
              </w:rPr>
              <w:t>After</w:t>
            </w:r>
            <w:r w:rsidRPr="00396779">
              <w:rPr>
                <w:rFonts w:cs="Times New Roman"/>
                <w:b/>
                <w:sz w:val="20"/>
                <w:szCs w:val="20"/>
              </w:rPr>
              <w:t xml:space="preserve"> Separation) – All Effective </w:t>
            </w:r>
            <w:r>
              <w:rPr>
                <w:rFonts w:cs="Times New Roman"/>
                <w:b/>
                <w:sz w:val="20"/>
                <w:szCs w:val="20"/>
              </w:rPr>
              <w:t>20060120</w:t>
            </w:r>
          </w:p>
        </w:tc>
      </w:tr>
      <w:tr w:rsidR="00736097" w:rsidRPr="00396779" w:rsidTr="00ED7067">
        <w:trPr>
          <w:trHeight w:val="98"/>
          <w:jc w:val="center"/>
        </w:trPr>
        <w:tc>
          <w:tcPr>
            <w:tcW w:w="2399" w:type="dxa"/>
            <w:tcBorders>
              <w:bottom w:val="single" w:sz="4" w:space="0" w:color="000000" w:themeColor="text1"/>
            </w:tcBorders>
            <w:shd w:val="clear" w:color="auto" w:fill="D9D9D9" w:themeFill="background1" w:themeFillShade="D9"/>
          </w:tcPr>
          <w:p w:rsidR="00736097" w:rsidRPr="00396779" w:rsidRDefault="00736097" w:rsidP="00DB79D5">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736097" w:rsidRPr="00396779" w:rsidRDefault="00736097" w:rsidP="00DB79D5">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736097" w:rsidRPr="00396779" w:rsidRDefault="00736097" w:rsidP="00DB79D5">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520" w:type="dxa"/>
            <w:tcBorders>
              <w:left w:val="thinThickThinSmallGap" w:sz="24" w:space="0" w:color="auto"/>
              <w:bottom w:val="single" w:sz="4" w:space="0" w:color="000000" w:themeColor="text1"/>
            </w:tcBorders>
            <w:shd w:val="clear" w:color="auto" w:fill="D9D9D9" w:themeFill="background1" w:themeFillShade="D9"/>
          </w:tcPr>
          <w:p w:rsidR="00736097" w:rsidRPr="00396779" w:rsidRDefault="00736097" w:rsidP="00DB79D5">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736097" w:rsidRPr="00396779" w:rsidRDefault="00736097" w:rsidP="00DB79D5">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736097" w:rsidRPr="00396779" w:rsidRDefault="00736097" w:rsidP="00DB79D5">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959" w:type="dxa"/>
            <w:tcBorders>
              <w:bottom w:val="single" w:sz="4" w:space="0" w:color="000000" w:themeColor="text1"/>
            </w:tcBorders>
            <w:shd w:val="clear" w:color="auto" w:fill="D9D9D9" w:themeFill="background1" w:themeFillShade="D9"/>
          </w:tcPr>
          <w:p w:rsidR="00736097" w:rsidRPr="00396779" w:rsidRDefault="00736097" w:rsidP="00DB79D5">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ED7067" w:rsidRPr="00396779" w:rsidTr="00ED7067">
        <w:trPr>
          <w:trHeight w:val="206"/>
          <w:jc w:val="center"/>
        </w:trPr>
        <w:tc>
          <w:tcPr>
            <w:tcW w:w="2399" w:type="dxa"/>
            <w:shd w:val="clear" w:color="auto" w:fill="FFFFFF" w:themeFill="background1"/>
            <w:vAlign w:val="center"/>
          </w:tcPr>
          <w:p w:rsidR="00ED7067" w:rsidRPr="00396779" w:rsidRDefault="00ED7067" w:rsidP="00ED7067">
            <w:pPr>
              <w:pStyle w:val="ListParagraph"/>
              <w:spacing w:after="0" w:line="180" w:lineRule="exact"/>
              <w:ind w:left="0"/>
              <w:rPr>
                <w:rFonts w:cs="Times New Roman"/>
                <w:sz w:val="18"/>
                <w:szCs w:val="18"/>
              </w:rPr>
            </w:pPr>
            <w:r>
              <w:rPr>
                <w:rFonts w:cs="Times New Roman"/>
                <w:sz w:val="18"/>
                <w:szCs w:val="18"/>
              </w:rPr>
              <w:t>Lumbar Degenerative Disc …</w:t>
            </w:r>
          </w:p>
        </w:tc>
        <w:tc>
          <w:tcPr>
            <w:tcW w:w="720" w:type="dxa"/>
            <w:shd w:val="clear" w:color="auto" w:fill="FFFFFF" w:themeFill="background1"/>
          </w:tcPr>
          <w:p w:rsidR="00ED7067" w:rsidRPr="00396779" w:rsidRDefault="00ED7067" w:rsidP="00DB79D5">
            <w:pPr>
              <w:pStyle w:val="ListParagraph"/>
              <w:spacing w:after="0" w:line="240" w:lineRule="exact"/>
              <w:ind w:left="0"/>
              <w:jc w:val="center"/>
              <w:rPr>
                <w:rFonts w:cs="Times New Roman"/>
                <w:sz w:val="18"/>
                <w:szCs w:val="18"/>
              </w:rPr>
            </w:pPr>
            <w:r>
              <w:rPr>
                <w:rFonts w:cs="Times New Roman"/>
                <w:sz w:val="18"/>
                <w:szCs w:val="18"/>
              </w:rPr>
              <w:t>5237</w:t>
            </w:r>
          </w:p>
        </w:tc>
        <w:tc>
          <w:tcPr>
            <w:tcW w:w="810" w:type="dxa"/>
            <w:tcBorders>
              <w:right w:val="thinThickThinSmallGap" w:sz="24" w:space="0" w:color="auto"/>
            </w:tcBorders>
            <w:shd w:val="clear" w:color="auto" w:fill="FFFFFF" w:themeFill="background1"/>
          </w:tcPr>
          <w:p w:rsidR="00ED7067" w:rsidRPr="00396779" w:rsidRDefault="00ED7067" w:rsidP="00DB79D5">
            <w:pPr>
              <w:pStyle w:val="ListParagraph"/>
              <w:spacing w:after="0" w:line="240" w:lineRule="exact"/>
              <w:ind w:left="0"/>
              <w:jc w:val="center"/>
              <w:rPr>
                <w:rFonts w:cs="Times New Roman"/>
                <w:sz w:val="18"/>
                <w:szCs w:val="18"/>
              </w:rPr>
            </w:pPr>
            <w:r>
              <w:rPr>
                <w:rFonts w:cs="Times New Roman"/>
                <w:sz w:val="18"/>
                <w:szCs w:val="18"/>
              </w:rPr>
              <w:t>20%</w:t>
            </w:r>
          </w:p>
        </w:tc>
        <w:tc>
          <w:tcPr>
            <w:tcW w:w="2520" w:type="dxa"/>
            <w:tcBorders>
              <w:left w:val="thinThickThinSmallGap" w:sz="24" w:space="0" w:color="auto"/>
            </w:tcBorders>
            <w:shd w:val="clear" w:color="auto" w:fill="FFFFFF" w:themeFill="background1"/>
            <w:vAlign w:val="center"/>
          </w:tcPr>
          <w:p w:rsidR="00ED7067" w:rsidRPr="009B7DE5" w:rsidRDefault="00ED7067" w:rsidP="00ED7067">
            <w:pPr>
              <w:pStyle w:val="ListParagraph"/>
              <w:spacing w:after="0" w:line="240" w:lineRule="exact"/>
              <w:ind w:left="0"/>
              <w:rPr>
                <w:rFonts w:cs="Times New Roman"/>
                <w:sz w:val="18"/>
                <w:szCs w:val="18"/>
              </w:rPr>
            </w:pPr>
            <w:r>
              <w:rPr>
                <w:rFonts w:cs="Times New Roman"/>
                <w:sz w:val="18"/>
                <w:szCs w:val="18"/>
              </w:rPr>
              <w:t>Lumbar Strain …</w:t>
            </w:r>
          </w:p>
        </w:tc>
        <w:tc>
          <w:tcPr>
            <w:tcW w:w="1080" w:type="dxa"/>
            <w:shd w:val="clear" w:color="auto" w:fill="FFFFFF" w:themeFill="background1"/>
            <w:vAlign w:val="center"/>
          </w:tcPr>
          <w:p w:rsidR="00ED7067" w:rsidRPr="009B7DE5" w:rsidRDefault="00ED7067" w:rsidP="00ED7067">
            <w:pPr>
              <w:pStyle w:val="ListParagraph"/>
              <w:spacing w:after="0" w:line="240" w:lineRule="exact"/>
              <w:ind w:left="0"/>
              <w:jc w:val="center"/>
              <w:rPr>
                <w:rFonts w:cs="Times New Roman"/>
                <w:sz w:val="18"/>
                <w:szCs w:val="18"/>
              </w:rPr>
            </w:pPr>
            <w:r>
              <w:rPr>
                <w:rFonts w:cs="Times New Roman"/>
                <w:sz w:val="18"/>
                <w:szCs w:val="18"/>
              </w:rPr>
              <w:t>5010-5243</w:t>
            </w:r>
          </w:p>
        </w:tc>
        <w:tc>
          <w:tcPr>
            <w:tcW w:w="810" w:type="dxa"/>
            <w:shd w:val="clear" w:color="auto" w:fill="FFFFFF" w:themeFill="background1"/>
            <w:vAlign w:val="center"/>
          </w:tcPr>
          <w:p w:rsidR="00ED7067" w:rsidRPr="009B7DE5" w:rsidRDefault="00D6047B" w:rsidP="00D6047B">
            <w:pPr>
              <w:pStyle w:val="ListParagraph"/>
              <w:spacing w:after="0" w:line="240" w:lineRule="exact"/>
              <w:ind w:left="0"/>
              <w:rPr>
                <w:rFonts w:cs="Times New Roman"/>
                <w:sz w:val="18"/>
                <w:szCs w:val="18"/>
              </w:rPr>
            </w:pPr>
            <w:r>
              <w:rPr>
                <w:rFonts w:cs="Times New Roman"/>
                <w:sz w:val="18"/>
                <w:szCs w:val="18"/>
              </w:rPr>
              <w:t xml:space="preserve"> </w:t>
            </w:r>
            <w:r w:rsidR="00ED7067">
              <w:rPr>
                <w:rFonts w:cs="Times New Roman"/>
                <w:sz w:val="18"/>
                <w:szCs w:val="18"/>
              </w:rPr>
              <w:t>20%</w:t>
            </w:r>
            <w:r w:rsidR="00962DC2">
              <w:rPr>
                <w:rFonts w:cs="Times New Roman"/>
                <w:sz w:val="18"/>
                <w:szCs w:val="18"/>
              </w:rPr>
              <w:t>*</w:t>
            </w:r>
          </w:p>
        </w:tc>
        <w:tc>
          <w:tcPr>
            <w:tcW w:w="959" w:type="dxa"/>
            <w:shd w:val="clear" w:color="auto" w:fill="FFFFFF" w:themeFill="background1"/>
            <w:vAlign w:val="center"/>
          </w:tcPr>
          <w:p w:rsidR="00ED7067" w:rsidRPr="009B7DE5" w:rsidRDefault="00ED7067" w:rsidP="00DB79D5">
            <w:pPr>
              <w:pStyle w:val="ListParagraph"/>
              <w:spacing w:after="0" w:line="240" w:lineRule="exact"/>
              <w:ind w:left="0"/>
              <w:jc w:val="center"/>
              <w:rPr>
                <w:rFonts w:cs="Times New Roman"/>
                <w:sz w:val="18"/>
                <w:szCs w:val="18"/>
              </w:rPr>
            </w:pPr>
            <w:r>
              <w:rPr>
                <w:rFonts w:cs="Times New Roman"/>
                <w:sz w:val="18"/>
                <w:szCs w:val="18"/>
              </w:rPr>
              <w:t>20060329</w:t>
            </w:r>
          </w:p>
        </w:tc>
      </w:tr>
      <w:tr w:rsidR="00736097" w:rsidRPr="00396779" w:rsidTr="00ED7067">
        <w:trPr>
          <w:trHeight w:val="125"/>
          <w:jc w:val="center"/>
        </w:trPr>
        <w:tc>
          <w:tcPr>
            <w:tcW w:w="2399" w:type="dxa"/>
            <w:shd w:val="clear" w:color="auto" w:fill="FFFFFF" w:themeFill="background1"/>
          </w:tcPr>
          <w:p w:rsidR="00736097" w:rsidRPr="00396779" w:rsidRDefault="00736097" w:rsidP="00700E8A">
            <w:pPr>
              <w:pStyle w:val="ListParagraph"/>
              <w:spacing w:after="0" w:line="220" w:lineRule="exact"/>
              <w:ind w:left="0"/>
              <w:rPr>
                <w:rFonts w:cs="Times New Roman"/>
                <w:sz w:val="18"/>
                <w:szCs w:val="18"/>
              </w:rPr>
            </w:pPr>
            <w:r>
              <w:rPr>
                <w:rFonts w:cs="Times New Roman"/>
                <w:sz w:val="18"/>
                <w:szCs w:val="18"/>
              </w:rPr>
              <w:t>Cervicalgia</w:t>
            </w:r>
          </w:p>
        </w:tc>
        <w:tc>
          <w:tcPr>
            <w:tcW w:w="1530" w:type="dxa"/>
            <w:gridSpan w:val="2"/>
            <w:tcBorders>
              <w:right w:val="thinThickThinSmallGap" w:sz="24" w:space="0" w:color="auto"/>
            </w:tcBorders>
            <w:shd w:val="clear" w:color="auto" w:fill="FFFFFF" w:themeFill="background1"/>
          </w:tcPr>
          <w:p w:rsidR="00736097" w:rsidRPr="00396779" w:rsidRDefault="00736097" w:rsidP="00700E8A">
            <w:pPr>
              <w:pStyle w:val="ListParagraph"/>
              <w:spacing w:after="0" w:line="220" w:lineRule="exact"/>
              <w:ind w:left="0"/>
              <w:jc w:val="center"/>
              <w:rPr>
                <w:rFonts w:cs="Times New Roman"/>
                <w:sz w:val="18"/>
                <w:szCs w:val="18"/>
              </w:rPr>
            </w:pPr>
            <w:r>
              <w:rPr>
                <w:rFonts w:cs="Times New Roman"/>
                <w:sz w:val="18"/>
                <w:szCs w:val="18"/>
              </w:rPr>
              <w:t xml:space="preserve">Not Unfitting </w:t>
            </w:r>
          </w:p>
        </w:tc>
        <w:tc>
          <w:tcPr>
            <w:tcW w:w="2520" w:type="dxa"/>
            <w:tcBorders>
              <w:left w:val="thinThickThinSmallGap" w:sz="24" w:space="0" w:color="auto"/>
            </w:tcBorders>
            <w:shd w:val="clear" w:color="auto" w:fill="FFFFFF" w:themeFill="background1"/>
            <w:vAlign w:val="center"/>
          </w:tcPr>
          <w:p w:rsidR="00736097" w:rsidRPr="009B7DE5" w:rsidRDefault="00736097" w:rsidP="00ED7067">
            <w:pPr>
              <w:pStyle w:val="ListParagraph"/>
              <w:spacing w:after="0" w:line="220" w:lineRule="exact"/>
              <w:ind w:left="0"/>
              <w:rPr>
                <w:rFonts w:cs="Times New Roman"/>
                <w:sz w:val="18"/>
                <w:szCs w:val="18"/>
              </w:rPr>
            </w:pPr>
            <w:r>
              <w:rPr>
                <w:rFonts w:cs="Times New Roman"/>
                <w:sz w:val="18"/>
                <w:szCs w:val="18"/>
              </w:rPr>
              <w:t xml:space="preserve">Cervical Intervertebral Disc </w:t>
            </w:r>
            <w:r w:rsidR="00ED7067">
              <w:rPr>
                <w:rFonts w:cs="Times New Roman"/>
                <w:sz w:val="18"/>
                <w:szCs w:val="18"/>
              </w:rPr>
              <w:t>…</w:t>
            </w:r>
          </w:p>
        </w:tc>
        <w:tc>
          <w:tcPr>
            <w:tcW w:w="1080" w:type="dxa"/>
            <w:shd w:val="clear" w:color="auto" w:fill="FFFFFF" w:themeFill="background1"/>
            <w:vAlign w:val="center"/>
          </w:tcPr>
          <w:p w:rsidR="00736097" w:rsidRPr="009B7DE5" w:rsidRDefault="00736097" w:rsidP="00700E8A">
            <w:pPr>
              <w:pStyle w:val="ListParagraph"/>
              <w:spacing w:after="0" w:line="220" w:lineRule="exact"/>
              <w:ind w:left="0"/>
              <w:jc w:val="center"/>
              <w:rPr>
                <w:rFonts w:cs="Times New Roman"/>
                <w:sz w:val="18"/>
                <w:szCs w:val="18"/>
              </w:rPr>
            </w:pPr>
            <w:r>
              <w:rPr>
                <w:rFonts w:cs="Times New Roman"/>
                <w:sz w:val="18"/>
                <w:szCs w:val="18"/>
              </w:rPr>
              <w:t>5243</w:t>
            </w:r>
          </w:p>
        </w:tc>
        <w:tc>
          <w:tcPr>
            <w:tcW w:w="810" w:type="dxa"/>
            <w:shd w:val="clear" w:color="auto" w:fill="FFFFFF" w:themeFill="background1"/>
            <w:vAlign w:val="center"/>
          </w:tcPr>
          <w:p w:rsidR="00736097" w:rsidRPr="009B7DE5" w:rsidRDefault="00D6047B" w:rsidP="00D6047B">
            <w:pPr>
              <w:pStyle w:val="ListParagraph"/>
              <w:spacing w:after="0" w:line="220" w:lineRule="exact"/>
              <w:ind w:left="0"/>
              <w:rPr>
                <w:rFonts w:cs="Times New Roman"/>
                <w:sz w:val="18"/>
                <w:szCs w:val="18"/>
              </w:rPr>
            </w:pPr>
            <w:r>
              <w:rPr>
                <w:rFonts w:cs="Times New Roman"/>
                <w:sz w:val="18"/>
                <w:szCs w:val="18"/>
              </w:rPr>
              <w:t xml:space="preserve"> </w:t>
            </w:r>
            <w:r w:rsidR="00736097">
              <w:rPr>
                <w:rFonts w:cs="Times New Roman"/>
                <w:sz w:val="18"/>
                <w:szCs w:val="18"/>
              </w:rPr>
              <w:t>20%</w:t>
            </w:r>
            <w:r w:rsidR="00962DC2">
              <w:rPr>
                <w:rFonts w:cs="Times New Roman"/>
                <w:sz w:val="18"/>
                <w:szCs w:val="18"/>
              </w:rPr>
              <w:t>*</w:t>
            </w:r>
          </w:p>
        </w:tc>
        <w:tc>
          <w:tcPr>
            <w:tcW w:w="959" w:type="dxa"/>
            <w:shd w:val="clear" w:color="auto" w:fill="FFFFFF" w:themeFill="background1"/>
            <w:vAlign w:val="center"/>
          </w:tcPr>
          <w:p w:rsidR="00736097" w:rsidRPr="009B7DE5" w:rsidRDefault="00736097" w:rsidP="00700E8A">
            <w:pPr>
              <w:pStyle w:val="ListParagraph"/>
              <w:spacing w:after="0" w:line="220" w:lineRule="exact"/>
              <w:ind w:left="0"/>
              <w:jc w:val="center"/>
              <w:rPr>
                <w:rFonts w:cs="Times New Roman"/>
                <w:sz w:val="18"/>
                <w:szCs w:val="18"/>
              </w:rPr>
            </w:pPr>
            <w:r>
              <w:rPr>
                <w:rFonts w:cs="Times New Roman"/>
                <w:sz w:val="18"/>
                <w:szCs w:val="18"/>
              </w:rPr>
              <w:t>20060329</w:t>
            </w:r>
          </w:p>
        </w:tc>
      </w:tr>
      <w:tr w:rsidR="00736097" w:rsidRPr="00396779" w:rsidTr="00ED7067">
        <w:trPr>
          <w:trHeight w:val="80"/>
          <w:jc w:val="center"/>
        </w:trPr>
        <w:tc>
          <w:tcPr>
            <w:tcW w:w="3929" w:type="dxa"/>
            <w:gridSpan w:val="3"/>
            <w:vMerge w:val="restart"/>
            <w:tcBorders>
              <w:right w:val="thinThickThinSmallGap" w:sz="24" w:space="0" w:color="auto"/>
            </w:tcBorders>
            <w:shd w:val="clear" w:color="auto" w:fill="FFFFFF" w:themeFill="background1"/>
          </w:tcPr>
          <w:p w:rsidR="00736097" w:rsidRPr="00396779" w:rsidRDefault="00736097" w:rsidP="00700E8A">
            <w:pPr>
              <w:pStyle w:val="ListParagraph"/>
              <w:spacing w:line="220" w:lineRule="exact"/>
              <w:ind w:left="0"/>
              <w:jc w:val="center"/>
              <w:rPr>
                <w:rFonts w:cs="Times New Roman"/>
                <w:sz w:val="18"/>
                <w:szCs w:val="18"/>
              </w:rPr>
            </w:pPr>
            <w:r w:rsidRPr="00396779">
              <w:rPr>
                <w:rFonts w:cs="Times New Roman"/>
                <w:sz w:val="18"/>
                <w:szCs w:val="18"/>
              </w:rPr>
              <w:t>↓No Additional MEB Entries↓</w:t>
            </w:r>
          </w:p>
        </w:tc>
        <w:tc>
          <w:tcPr>
            <w:tcW w:w="2520" w:type="dxa"/>
            <w:tcBorders>
              <w:left w:val="thinThickThinSmallGap" w:sz="24" w:space="0" w:color="auto"/>
            </w:tcBorders>
            <w:shd w:val="clear" w:color="auto" w:fill="FFFFFF" w:themeFill="background1"/>
            <w:vAlign w:val="center"/>
          </w:tcPr>
          <w:p w:rsidR="00736097" w:rsidRPr="009B7DE5" w:rsidRDefault="00736097" w:rsidP="00700E8A">
            <w:pPr>
              <w:pStyle w:val="ListParagraph"/>
              <w:spacing w:after="0" w:line="220" w:lineRule="exact"/>
              <w:ind w:left="0"/>
              <w:rPr>
                <w:rFonts w:cs="Times New Roman"/>
                <w:sz w:val="18"/>
                <w:szCs w:val="18"/>
              </w:rPr>
            </w:pPr>
            <w:r>
              <w:rPr>
                <w:rFonts w:cs="Times New Roman"/>
                <w:sz w:val="18"/>
                <w:szCs w:val="18"/>
              </w:rPr>
              <w:t xml:space="preserve">Fibromyalgia </w:t>
            </w:r>
          </w:p>
        </w:tc>
        <w:tc>
          <w:tcPr>
            <w:tcW w:w="1080" w:type="dxa"/>
            <w:shd w:val="clear" w:color="auto" w:fill="FFFFFF" w:themeFill="background1"/>
            <w:vAlign w:val="center"/>
          </w:tcPr>
          <w:p w:rsidR="00736097" w:rsidRPr="009B7DE5" w:rsidRDefault="00736097" w:rsidP="00700E8A">
            <w:pPr>
              <w:pStyle w:val="ListParagraph"/>
              <w:spacing w:after="0" w:line="220" w:lineRule="exact"/>
              <w:ind w:left="0"/>
              <w:jc w:val="center"/>
              <w:rPr>
                <w:rFonts w:cs="Times New Roman"/>
                <w:sz w:val="18"/>
                <w:szCs w:val="18"/>
              </w:rPr>
            </w:pPr>
            <w:r>
              <w:rPr>
                <w:rFonts w:cs="Times New Roman"/>
                <w:sz w:val="18"/>
                <w:szCs w:val="18"/>
              </w:rPr>
              <w:t>5025</w:t>
            </w:r>
          </w:p>
        </w:tc>
        <w:tc>
          <w:tcPr>
            <w:tcW w:w="810" w:type="dxa"/>
            <w:shd w:val="clear" w:color="auto" w:fill="FFFFFF" w:themeFill="background1"/>
            <w:vAlign w:val="center"/>
          </w:tcPr>
          <w:p w:rsidR="00736097" w:rsidRPr="009B7DE5" w:rsidRDefault="00736097" w:rsidP="00700E8A">
            <w:pPr>
              <w:pStyle w:val="ListParagraph"/>
              <w:spacing w:after="0" w:line="220" w:lineRule="exact"/>
              <w:ind w:left="0"/>
              <w:jc w:val="center"/>
              <w:rPr>
                <w:rFonts w:cs="Times New Roman"/>
                <w:sz w:val="18"/>
                <w:szCs w:val="18"/>
              </w:rPr>
            </w:pPr>
            <w:r>
              <w:rPr>
                <w:rFonts w:cs="Times New Roman"/>
                <w:sz w:val="18"/>
                <w:szCs w:val="18"/>
              </w:rPr>
              <w:t>40%</w:t>
            </w:r>
            <w:r w:rsidR="00A744B7">
              <w:rPr>
                <w:rFonts w:cs="Times New Roman"/>
                <w:sz w:val="18"/>
                <w:szCs w:val="18"/>
              </w:rPr>
              <w:t>*</w:t>
            </w:r>
            <w:r w:rsidR="00962DC2">
              <w:rPr>
                <w:rFonts w:cs="Times New Roman"/>
                <w:sz w:val="18"/>
                <w:szCs w:val="18"/>
              </w:rPr>
              <w:t>*</w:t>
            </w:r>
          </w:p>
        </w:tc>
        <w:tc>
          <w:tcPr>
            <w:tcW w:w="959" w:type="dxa"/>
            <w:shd w:val="clear" w:color="auto" w:fill="FFFFFF" w:themeFill="background1"/>
            <w:vAlign w:val="center"/>
          </w:tcPr>
          <w:p w:rsidR="00736097" w:rsidRPr="009B7DE5" w:rsidRDefault="00736097" w:rsidP="002D16C2">
            <w:pPr>
              <w:pStyle w:val="ListParagraph"/>
              <w:spacing w:after="0" w:line="220" w:lineRule="exact"/>
              <w:ind w:left="0"/>
              <w:jc w:val="center"/>
              <w:rPr>
                <w:rFonts w:cs="Times New Roman"/>
                <w:sz w:val="18"/>
                <w:szCs w:val="18"/>
              </w:rPr>
            </w:pPr>
            <w:r>
              <w:rPr>
                <w:rFonts w:cs="Times New Roman"/>
                <w:sz w:val="18"/>
                <w:szCs w:val="18"/>
              </w:rPr>
              <w:t>200</w:t>
            </w:r>
            <w:r w:rsidR="002D16C2">
              <w:rPr>
                <w:rFonts w:cs="Times New Roman"/>
                <w:sz w:val="18"/>
                <w:szCs w:val="18"/>
              </w:rPr>
              <w:t>7</w:t>
            </w:r>
            <w:r>
              <w:rPr>
                <w:rFonts w:cs="Times New Roman"/>
                <w:sz w:val="18"/>
                <w:szCs w:val="18"/>
              </w:rPr>
              <w:t>0</w:t>
            </w:r>
            <w:r w:rsidR="002D16C2">
              <w:rPr>
                <w:rFonts w:cs="Times New Roman"/>
                <w:sz w:val="18"/>
                <w:szCs w:val="18"/>
              </w:rPr>
              <w:t>928</w:t>
            </w:r>
          </w:p>
        </w:tc>
      </w:tr>
      <w:tr w:rsidR="00736097" w:rsidRPr="00396779" w:rsidTr="00ED7067">
        <w:trPr>
          <w:trHeight w:val="125"/>
          <w:jc w:val="center"/>
        </w:trPr>
        <w:tc>
          <w:tcPr>
            <w:tcW w:w="3929" w:type="dxa"/>
            <w:gridSpan w:val="3"/>
            <w:vMerge/>
            <w:tcBorders>
              <w:right w:val="thinThickThinSmallGap" w:sz="24" w:space="0" w:color="auto"/>
            </w:tcBorders>
            <w:shd w:val="clear" w:color="auto" w:fill="FFFFFF" w:themeFill="background1"/>
          </w:tcPr>
          <w:p w:rsidR="00736097" w:rsidRPr="00396779" w:rsidRDefault="00736097" w:rsidP="00700E8A">
            <w:pPr>
              <w:pStyle w:val="ListParagraph"/>
              <w:spacing w:line="220" w:lineRule="exact"/>
              <w:ind w:left="0"/>
              <w:jc w:val="center"/>
              <w:rPr>
                <w:rFonts w:cs="Times New Roman"/>
                <w:sz w:val="18"/>
                <w:szCs w:val="18"/>
              </w:rPr>
            </w:pPr>
          </w:p>
        </w:tc>
        <w:tc>
          <w:tcPr>
            <w:tcW w:w="2520" w:type="dxa"/>
            <w:tcBorders>
              <w:left w:val="thinThickThinSmallGap" w:sz="24" w:space="0" w:color="auto"/>
            </w:tcBorders>
            <w:shd w:val="clear" w:color="auto" w:fill="FFFFFF" w:themeFill="background1"/>
            <w:vAlign w:val="center"/>
          </w:tcPr>
          <w:p w:rsidR="00A744B7" w:rsidRPr="009B7DE5" w:rsidRDefault="003D399E" w:rsidP="003D399E">
            <w:pPr>
              <w:pStyle w:val="ListParagraph"/>
              <w:spacing w:after="0" w:line="220" w:lineRule="exact"/>
              <w:ind w:left="0"/>
              <w:rPr>
                <w:rFonts w:cs="Times New Roman"/>
                <w:sz w:val="18"/>
                <w:szCs w:val="18"/>
              </w:rPr>
            </w:pPr>
            <w:r>
              <w:rPr>
                <w:rFonts w:cs="Times New Roman"/>
                <w:sz w:val="18"/>
                <w:szCs w:val="18"/>
              </w:rPr>
              <w:t>Adjustment Disorder</w:t>
            </w:r>
            <w:r w:rsidR="00A744B7">
              <w:rPr>
                <w:rFonts w:cs="Times New Roman"/>
                <w:sz w:val="18"/>
                <w:szCs w:val="18"/>
              </w:rPr>
              <w:t xml:space="preserve"> </w:t>
            </w:r>
          </w:p>
        </w:tc>
        <w:tc>
          <w:tcPr>
            <w:tcW w:w="1080" w:type="dxa"/>
            <w:shd w:val="clear" w:color="auto" w:fill="FFFFFF" w:themeFill="background1"/>
            <w:vAlign w:val="center"/>
          </w:tcPr>
          <w:p w:rsidR="00736097" w:rsidRPr="009B7DE5" w:rsidRDefault="00736097" w:rsidP="00700E8A">
            <w:pPr>
              <w:pStyle w:val="ListParagraph"/>
              <w:spacing w:after="0" w:line="220" w:lineRule="exact"/>
              <w:ind w:left="0"/>
              <w:jc w:val="center"/>
              <w:rPr>
                <w:rFonts w:cs="Times New Roman"/>
                <w:sz w:val="18"/>
                <w:szCs w:val="18"/>
              </w:rPr>
            </w:pPr>
            <w:r>
              <w:rPr>
                <w:rFonts w:cs="Times New Roman"/>
                <w:sz w:val="18"/>
                <w:szCs w:val="18"/>
              </w:rPr>
              <w:t>9411</w:t>
            </w:r>
          </w:p>
        </w:tc>
        <w:tc>
          <w:tcPr>
            <w:tcW w:w="810" w:type="dxa"/>
            <w:shd w:val="clear" w:color="auto" w:fill="FFFFFF" w:themeFill="background1"/>
            <w:vAlign w:val="center"/>
          </w:tcPr>
          <w:p w:rsidR="00736097" w:rsidRPr="009B7DE5" w:rsidRDefault="00736097" w:rsidP="00700E8A">
            <w:pPr>
              <w:pStyle w:val="ListParagraph"/>
              <w:spacing w:after="0" w:line="220" w:lineRule="exact"/>
              <w:ind w:left="0"/>
              <w:jc w:val="center"/>
              <w:rPr>
                <w:rFonts w:cs="Times New Roman"/>
                <w:sz w:val="18"/>
                <w:szCs w:val="18"/>
              </w:rPr>
            </w:pPr>
            <w:r>
              <w:rPr>
                <w:rFonts w:cs="Times New Roman"/>
                <w:sz w:val="18"/>
                <w:szCs w:val="18"/>
              </w:rPr>
              <w:t>30%</w:t>
            </w:r>
            <w:r w:rsidR="00A744B7">
              <w:rPr>
                <w:rFonts w:cs="Times New Roman"/>
                <w:sz w:val="18"/>
                <w:szCs w:val="18"/>
              </w:rPr>
              <w:t>*</w:t>
            </w:r>
            <w:r w:rsidR="00962DC2">
              <w:rPr>
                <w:rFonts w:cs="Times New Roman"/>
                <w:sz w:val="18"/>
                <w:szCs w:val="18"/>
              </w:rPr>
              <w:t>*</w:t>
            </w:r>
          </w:p>
        </w:tc>
        <w:tc>
          <w:tcPr>
            <w:tcW w:w="959" w:type="dxa"/>
            <w:shd w:val="clear" w:color="auto" w:fill="FFFFFF" w:themeFill="background1"/>
            <w:vAlign w:val="center"/>
          </w:tcPr>
          <w:p w:rsidR="002D16C2" w:rsidRPr="009B7DE5" w:rsidRDefault="002D16C2" w:rsidP="002C0B7A">
            <w:pPr>
              <w:pStyle w:val="ListParagraph"/>
              <w:spacing w:after="0" w:line="220" w:lineRule="exact"/>
              <w:ind w:left="0"/>
              <w:jc w:val="center"/>
              <w:rPr>
                <w:rFonts w:cs="Times New Roman"/>
                <w:sz w:val="18"/>
                <w:szCs w:val="18"/>
              </w:rPr>
            </w:pPr>
            <w:r>
              <w:rPr>
                <w:rFonts w:cs="Times New Roman"/>
                <w:sz w:val="18"/>
                <w:szCs w:val="18"/>
              </w:rPr>
              <w:t>20</w:t>
            </w:r>
            <w:r w:rsidR="002C0B7A">
              <w:rPr>
                <w:rFonts w:cs="Times New Roman"/>
                <w:sz w:val="18"/>
                <w:szCs w:val="18"/>
              </w:rPr>
              <w:t>071009</w:t>
            </w:r>
          </w:p>
        </w:tc>
      </w:tr>
      <w:tr w:rsidR="00736097" w:rsidRPr="00396779" w:rsidTr="00ED7067">
        <w:trPr>
          <w:trHeight w:val="125"/>
          <w:jc w:val="center"/>
        </w:trPr>
        <w:tc>
          <w:tcPr>
            <w:tcW w:w="3929" w:type="dxa"/>
            <w:gridSpan w:val="3"/>
            <w:vMerge/>
            <w:tcBorders>
              <w:right w:val="thinThickThinSmallGap" w:sz="24" w:space="0" w:color="auto"/>
            </w:tcBorders>
            <w:shd w:val="clear" w:color="auto" w:fill="FFFFFF" w:themeFill="background1"/>
          </w:tcPr>
          <w:p w:rsidR="00736097" w:rsidRPr="00396779" w:rsidRDefault="00736097" w:rsidP="00700E8A">
            <w:pPr>
              <w:pStyle w:val="ListParagraph"/>
              <w:spacing w:line="220" w:lineRule="exact"/>
              <w:ind w:left="0"/>
              <w:jc w:val="center"/>
              <w:rPr>
                <w:rFonts w:cs="Times New Roman"/>
                <w:sz w:val="18"/>
                <w:szCs w:val="18"/>
              </w:rPr>
            </w:pPr>
          </w:p>
        </w:tc>
        <w:tc>
          <w:tcPr>
            <w:tcW w:w="2520" w:type="dxa"/>
            <w:tcBorders>
              <w:left w:val="thinThickThinSmallGap" w:sz="24" w:space="0" w:color="auto"/>
            </w:tcBorders>
            <w:shd w:val="clear" w:color="auto" w:fill="FFFFFF" w:themeFill="background1"/>
            <w:vAlign w:val="center"/>
          </w:tcPr>
          <w:p w:rsidR="00736097" w:rsidRPr="009B7DE5" w:rsidRDefault="00736097" w:rsidP="00700E8A">
            <w:pPr>
              <w:pStyle w:val="ListParagraph"/>
              <w:spacing w:after="0" w:line="220" w:lineRule="exact"/>
              <w:ind w:left="0"/>
              <w:rPr>
                <w:rFonts w:cs="Times New Roman"/>
                <w:sz w:val="18"/>
                <w:szCs w:val="18"/>
              </w:rPr>
            </w:pPr>
            <w:r>
              <w:rPr>
                <w:rFonts w:cs="Times New Roman"/>
                <w:sz w:val="18"/>
                <w:szCs w:val="18"/>
              </w:rPr>
              <w:t>Left Infrapatellar Tendonitis</w:t>
            </w:r>
          </w:p>
        </w:tc>
        <w:tc>
          <w:tcPr>
            <w:tcW w:w="1080" w:type="dxa"/>
            <w:shd w:val="clear" w:color="auto" w:fill="FFFFFF" w:themeFill="background1"/>
            <w:vAlign w:val="center"/>
          </w:tcPr>
          <w:p w:rsidR="00736097" w:rsidRPr="009B7DE5" w:rsidRDefault="00736097" w:rsidP="00ED7067">
            <w:pPr>
              <w:pStyle w:val="ListParagraph"/>
              <w:spacing w:after="0" w:line="220" w:lineRule="exact"/>
              <w:ind w:left="0"/>
              <w:jc w:val="center"/>
              <w:rPr>
                <w:rFonts w:cs="Times New Roman"/>
                <w:sz w:val="18"/>
                <w:szCs w:val="18"/>
              </w:rPr>
            </w:pPr>
            <w:r>
              <w:rPr>
                <w:rFonts w:cs="Times New Roman"/>
                <w:sz w:val="18"/>
                <w:szCs w:val="18"/>
              </w:rPr>
              <w:t>5260</w:t>
            </w:r>
            <w:r w:rsidR="00ED7067">
              <w:rPr>
                <w:rFonts w:cs="Times New Roman"/>
                <w:sz w:val="18"/>
                <w:szCs w:val="18"/>
              </w:rPr>
              <w:t>-</w:t>
            </w:r>
            <w:r>
              <w:rPr>
                <w:rFonts w:cs="Times New Roman"/>
                <w:sz w:val="18"/>
                <w:szCs w:val="18"/>
              </w:rPr>
              <w:t>5024</w:t>
            </w:r>
          </w:p>
        </w:tc>
        <w:tc>
          <w:tcPr>
            <w:tcW w:w="810" w:type="dxa"/>
            <w:shd w:val="clear" w:color="auto" w:fill="FFFFFF" w:themeFill="background1"/>
            <w:vAlign w:val="center"/>
          </w:tcPr>
          <w:p w:rsidR="00736097" w:rsidRPr="009B7DE5" w:rsidRDefault="00736097" w:rsidP="00700E8A">
            <w:pPr>
              <w:pStyle w:val="ListParagraph"/>
              <w:spacing w:after="0" w:line="220" w:lineRule="exact"/>
              <w:ind w:left="0"/>
              <w:jc w:val="center"/>
              <w:rPr>
                <w:rFonts w:cs="Times New Roman"/>
                <w:sz w:val="18"/>
                <w:szCs w:val="18"/>
              </w:rPr>
            </w:pPr>
            <w:r>
              <w:rPr>
                <w:rFonts w:cs="Times New Roman"/>
                <w:sz w:val="18"/>
                <w:szCs w:val="18"/>
              </w:rPr>
              <w:t>10%</w:t>
            </w:r>
            <w:r w:rsidR="00A744B7">
              <w:rPr>
                <w:rFonts w:cs="Times New Roman"/>
                <w:sz w:val="18"/>
                <w:szCs w:val="18"/>
              </w:rPr>
              <w:t>*</w:t>
            </w:r>
            <w:r w:rsidR="00962DC2">
              <w:rPr>
                <w:rFonts w:cs="Times New Roman"/>
                <w:sz w:val="18"/>
                <w:szCs w:val="18"/>
              </w:rPr>
              <w:t>*</w:t>
            </w:r>
          </w:p>
        </w:tc>
        <w:tc>
          <w:tcPr>
            <w:tcW w:w="959" w:type="dxa"/>
            <w:shd w:val="clear" w:color="auto" w:fill="FFFFFF" w:themeFill="background1"/>
            <w:vAlign w:val="center"/>
          </w:tcPr>
          <w:p w:rsidR="00736097" w:rsidRPr="009B7DE5" w:rsidRDefault="00736097" w:rsidP="002D16C2">
            <w:pPr>
              <w:pStyle w:val="ListParagraph"/>
              <w:spacing w:after="0" w:line="220" w:lineRule="exact"/>
              <w:ind w:left="0"/>
              <w:jc w:val="center"/>
              <w:rPr>
                <w:rFonts w:cs="Times New Roman"/>
                <w:sz w:val="18"/>
                <w:szCs w:val="18"/>
              </w:rPr>
            </w:pPr>
            <w:r>
              <w:rPr>
                <w:rFonts w:cs="Times New Roman"/>
                <w:sz w:val="18"/>
                <w:szCs w:val="18"/>
              </w:rPr>
              <w:t>200</w:t>
            </w:r>
            <w:r w:rsidR="002D16C2">
              <w:rPr>
                <w:rFonts w:cs="Times New Roman"/>
                <w:sz w:val="18"/>
                <w:szCs w:val="18"/>
              </w:rPr>
              <w:t>7</w:t>
            </w:r>
            <w:r>
              <w:rPr>
                <w:rFonts w:cs="Times New Roman"/>
                <w:sz w:val="18"/>
                <w:szCs w:val="18"/>
              </w:rPr>
              <w:t>0</w:t>
            </w:r>
            <w:r w:rsidR="002D16C2">
              <w:rPr>
                <w:rFonts w:cs="Times New Roman"/>
                <w:sz w:val="18"/>
                <w:szCs w:val="18"/>
              </w:rPr>
              <w:t>928</w:t>
            </w:r>
          </w:p>
        </w:tc>
      </w:tr>
      <w:tr w:rsidR="00736097" w:rsidRPr="00396779" w:rsidTr="00ED7067">
        <w:trPr>
          <w:trHeight w:val="125"/>
          <w:jc w:val="center"/>
        </w:trPr>
        <w:tc>
          <w:tcPr>
            <w:tcW w:w="3929" w:type="dxa"/>
            <w:gridSpan w:val="3"/>
            <w:vMerge/>
            <w:tcBorders>
              <w:right w:val="thinThickThinSmallGap" w:sz="24" w:space="0" w:color="auto"/>
            </w:tcBorders>
            <w:shd w:val="clear" w:color="auto" w:fill="FFFFFF" w:themeFill="background1"/>
          </w:tcPr>
          <w:p w:rsidR="00736097" w:rsidRPr="00396779" w:rsidRDefault="00736097" w:rsidP="00700E8A">
            <w:pPr>
              <w:pStyle w:val="ListParagraph"/>
              <w:spacing w:line="220" w:lineRule="exact"/>
              <w:ind w:left="0"/>
              <w:jc w:val="center"/>
              <w:rPr>
                <w:rFonts w:cs="Times New Roman"/>
                <w:sz w:val="18"/>
                <w:szCs w:val="18"/>
              </w:rPr>
            </w:pPr>
          </w:p>
        </w:tc>
        <w:tc>
          <w:tcPr>
            <w:tcW w:w="2520" w:type="dxa"/>
            <w:tcBorders>
              <w:left w:val="thinThickThinSmallGap" w:sz="24" w:space="0" w:color="auto"/>
            </w:tcBorders>
            <w:shd w:val="clear" w:color="auto" w:fill="FFFFFF" w:themeFill="background1"/>
            <w:vAlign w:val="center"/>
          </w:tcPr>
          <w:p w:rsidR="00736097" w:rsidRPr="009B7DE5" w:rsidRDefault="00736097" w:rsidP="00700E8A">
            <w:pPr>
              <w:pStyle w:val="ListParagraph"/>
              <w:spacing w:after="0" w:line="220" w:lineRule="exact"/>
              <w:ind w:left="0"/>
              <w:rPr>
                <w:rFonts w:cs="Times New Roman"/>
                <w:sz w:val="18"/>
                <w:szCs w:val="18"/>
              </w:rPr>
            </w:pPr>
            <w:r>
              <w:rPr>
                <w:rFonts w:cs="Times New Roman"/>
                <w:sz w:val="18"/>
                <w:szCs w:val="18"/>
              </w:rPr>
              <w:t>Left Ankle Achilles Tendonitis</w:t>
            </w:r>
          </w:p>
        </w:tc>
        <w:tc>
          <w:tcPr>
            <w:tcW w:w="1080" w:type="dxa"/>
            <w:shd w:val="clear" w:color="auto" w:fill="FFFFFF" w:themeFill="background1"/>
            <w:vAlign w:val="center"/>
          </w:tcPr>
          <w:p w:rsidR="00736097" w:rsidRPr="009B7DE5" w:rsidRDefault="00736097" w:rsidP="00700E8A">
            <w:pPr>
              <w:pStyle w:val="ListParagraph"/>
              <w:spacing w:after="0" w:line="220" w:lineRule="exact"/>
              <w:ind w:left="0"/>
              <w:jc w:val="center"/>
              <w:rPr>
                <w:rFonts w:cs="Times New Roman"/>
                <w:sz w:val="18"/>
                <w:szCs w:val="18"/>
              </w:rPr>
            </w:pPr>
            <w:r>
              <w:rPr>
                <w:rFonts w:cs="Times New Roman"/>
                <w:sz w:val="18"/>
                <w:szCs w:val="18"/>
              </w:rPr>
              <w:t>5271</w:t>
            </w:r>
          </w:p>
        </w:tc>
        <w:tc>
          <w:tcPr>
            <w:tcW w:w="810" w:type="dxa"/>
            <w:shd w:val="clear" w:color="auto" w:fill="FFFFFF" w:themeFill="background1"/>
            <w:vAlign w:val="center"/>
          </w:tcPr>
          <w:p w:rsidR="00736097" w:rsidRPr="009B7DE5" w:rsidRDefault="00736097" w:rsidP="00700E8A">
            <w:pPr>
              <w:pStyle w:val="ListParagraph"/>
              <w:spacing w:after="0" w:line="220" w:lineRule="exact"/>
              <w:ind w:left="0"/>
              <w:jc w:val="center"/>
              <w:rPr>
                <w:rFonts w:cs="Times New Roman"/>
                <w:sz w:val="18"/>
                <w:szCs w:val="18"/>
              </w:rPr>
            </w:pPr>
            <w:r>
              <w:rPr>
                <w:rFonts w:cs="Times New Roman"/>
                <w:sz w:val="18"/>
                <w:szCs w:val="18"/>
              </w:rPr>
              <w:t>10%</w:t>
            </w:r>
            <w:r w:rsidR="00A744B7">
              <w:rPr>
                <w:rFonts w:cs="Times New Roman"/>
                <w:sz w:val="18"/>
                <w:szCs w:val="18"/>
              </w:rPr>
              <w:t>*</w:t>
            </w:r>
            <w:r w:rsidR="00962DC2">
              <w:rPr>
                <w:rFonts w:cs="Times New Roman"/>
                <w:sz w:val="18"/>
                <w:szCs w:val="18"/>
              </w:rPr>
              <w:t>*</w:t>
            </w:r>
          </w:p>
        </w:tc>
        <w:tc>
          <w:tcPr>
            <w:tcW w:w="959" w:type="dxa"/>
            <w:shd w:val="clear" w:color="auto" w:fill="FFFFFF" w:themeFill="background1"/>
            <w:vAlign w:val="center"/>
          </w:tcPr>
          <w:p w:rsidR="00736097" w:rsidRPr="009B7DE5" w:rsidRDefault="00736097" w:rsidP="00700E8A">
            <w:pPr>
              <w:pStyle w:val="ListParagraph"/>
              <w:spacing w:after="0" w:line="220" w:lineRule="exact"/>
              <w:ind w:left="0"/>
              <w:jc w:val="center"/>
              <w:rPr>
                <w:rFonts w:cs="Times New Roman"/>
                <w:sz w:val="18"/>
                <w:szCs w:val="18"/>
              </w:rPr>
            </w:pPr>
            <w:r>
              <w:rPr>
                <w:rFonts w:cs="Times New Roman"/>
                <w:sz w:val="18"/>
                <w:szCs w:val="18"/>
              </w:rPr>
              <w:t>20060329</w:t>
            </w:r>
          </w:p>
        </w:tc>
      </w:tr>
      <w:tr w:rsidR="00736097" w:rsidRPr="00396779" w:rsidTr="00ED7067">
        <w:trPr>
          <w:trHeight w:val="125"/>
          <w:jc w:val="center"/>
        </w:trPr>
        <w:tc>
          <w:tcPr>
            <w:tcW w:w="3929" w:type="dxa"/>
            <w:gridSpan w:val="3"/>
            <w:vMerge/>
            <w:tcBorders>
              <w:right w:val="thinThickThinSmallGap" w:sz="24" w:space="0" w:color="auto"/>
            </w:tcBorders>
            <w:shd w:val="clear" w:color="auto" w:fill="FFFFFF" w:themeFill="background1"/>
          </w:tcPr>
          <w:p w:rsidR="00736097" w:rsidRPr="00396779" w:rsidRDefault="00736097" w:rsidP="00700E8A">
            <w:pPr>
              <w:pStyle w:val="ListParagraph"/>
              <w:spacing w:line="220" w:lineRule="exact"/>
              <w:ind w:left="0"/>
              <w:jc w:val="center"/>
              <w:rPr>
                <w:rFonts w:cs="Times New Roman"/>
                <w:sz w:val="18"/>
                <w:szCs w:val="18"/>
              </w:rPr>
            </w:pPr>
          </w:p>
        </w:tc>
        <w:tc>
          <w:tcPr>
            <w:tcW w:w="2520" w:type="dxa"/>
            <w:tcBorders>
              <w:left w:val="thinThickThinSmallGap" w:sz="24" w:space="0" w:color="auto"/>
            </w:tcBorders>
            <w:shd w:val="clear" w:color="auto" w:fill="FFFFFF" w:themeFill="background1"/>
            <w:vAlign w:val="center"/>
          </w:tcPr>
          <w:p w:rsidR="00736097" w:rsidRPr="009B7DE5" w:rsidRDefault="00736097" w:rsidP="00700E8A">
            <w:pPr>
              <w:spacing w:line="220" w:lineRule="exact"/>
              <w:rPr>
                <w:rFonts w:cs="Times New Roman"/>
                <w:color w:val="auto"/>
                <w:sz w:val="18"/>
                <w:szCs w:val="18"/>
              </w:rPr>
            </w:pPr>
            <w:r>
              <w:rPr>
                <w:rFonts w:cs="Times New Roman"/>
                <w:color w:val="auto"/>
                <w:sz w:val="18"/>
                <w:szCs w:val="18"/>
              </w:rPr>
              <w:t>Tinnitus</w:t>
            </w:r>
          </w:p>
        </w:tc>
        <w:tc>
          <w:tcPr>
            <w:tcW w:w="1080" w:type="dxa"/>
            <w:shd w:val="clear" w:color="auto" w:fill="FFFFFF" w:themeFill="background1"/>
            <w:vAlign w:val="center"/>
          </w:tcPr>
          <w:p w:rsidR="00736097" w:rsidRPr="009B7DE5" w:rsidRDefault="00736097" w:rsidP="00700E8A">
            <w:pPr>
              <w:pStyle w:val="ListParagraph"/>
              <w:spacing w:after="0" w:line="220" w:lineRule="exact"/>
              <w:ind w:left="0"/>
              <w:jc w:val="center"/>
              <w:rPr>
                <w:rFonts w:cs="Times New Roman"/>
                <w:sz w:val="18"/>
                <w:szCs w:val="18"/>
              </w:rPr>
            </w:pPr>
            <w:r>
              <w:rPr>
                <w:rFonts w:cs="Times New Roman"/>
                <w:sz w:val="18"/>
                <w:szCs w:val="18"/>
              </w:rPr>
              <w:t>6260</w:t>
            </w:r>
          </w:p>
        </w:tc>
        <w:tc>
          <w:tcPr>
            <w:tcW w:w="810" w:type="dxa"/>
            <w:shd w:val="clear" w:color="auto" w:fill="FFFFFF" w:themeFill="background1"/>
            <w:vAlign w:val="center"/>
          </w:tcPr>
          <w:p w:rsidR="00736097" w:rsidRPr="009B7DE5" w:rsidRDefault="00736097" w:rsidP="00700E8A">
            <w:pPr>
              <w:pStyle w:val="ListParagraph"/>
              <w:spacing w:after="0" w:line="220" w:lineRule="exact"/>
              <w:ind w:left="0"/>
              <w:jc w:val="center"/>
              <w:rPr>
                <w:rFonts w:cs="Times New Roman"/>
                <w:sz w:val="18"/>
                <w:szCs w:val="18"/>
              </w:rPr>
            </w:pPr>
            <w:r>
              <w:rPr>
                <w:rFonts w:cs="Times New Roman"/>
                <w:sz w:val="18"/>
                <w:szCs w:val="18"/>
              </w:rPr>
              <w:t>10%</w:t>
            </w:r>
            <w:r w:rsidR="00A744B7">
              <w:rPr>
                <w:rFonts w:cs="Times New Roman"/>
                <w:sz w:val="18"/>
                <w:szCs w:val="18"/>
              </w:rPr>
              <w:t>*</w:t>
            </w:r>
            <w:r w:rsidR="00962DC2">
              <w:rPr>
                <w:rFonts w:cs="Times New Roman"/>
                <w:sz w:val="18"/>
                <w:szCs w:val="18"/>
              </w:rPr>
              <w:t>*</w:t>
            </w:r>
          </w:p>
        </w:tc>
        <w:tc>
          <w:tcPr>
            <w:tcW w:w="959" w:type="dxa"/>
            <w:shd w:val="clear" w:color="auto" w:fill="FFFFFF" w:themeFill="background1"/>
            <w:vAlign w:val="center"/>
          </w:tcPr>
          <w:p w:rsidR="00736097" w:rsidRPr="009B7DE5" w:rsidRDefault="00736097" w:rsidP="00700E8A">
            <w:pPr>
              <w:pStyle w:val="ListParagraph"/>
              <w:spacing w:after="0" w:line="220" w:lineRule="exact"/>
              <w:ind w:left="0"/>
              <w:jc w:val="center"/>
              <w:rPr>
                <w:rFonts w:cs="Times New Roman"/>
                <w:sz w:val="18"/>
                <w:szCs w:val="18"/>
              </w:rPr>
            </w:pPr>
            <w:r>
              <w:rPr>
                <w:rFonts w:cs="Times New Roman"/>
                <w:sz w:val="18"/>
                <w:szCs w:val="18"/>
              </w:rPr>
              <w:t>20061205</w:t>
            </w:r>
          </w:p>
        </w:tc>
      </w:tr>
      <w:tr w:rsidR="00736097" w:rsidRPr="00396779" w:rsidTr="00ED7067">
        <w:trPr>
          <w:trHeight w:val="125"/>
          <w:jc w:val="center"/>
        </w:trPr>
        <w:tc>
          <w:tcPr>
            <w:tcW w:w="3929" w:type="dxa"/>
            <w:gridSpan w:val="3"/>
            <w:vMerge/>
            <w:tcBorders>
              <w:bottom w:val="single" w:sz="4" w:space="0" w:color="auto"/>
              <w:right w:val="thinThickThinSmallGap" w:sz="24" w:space="0" w:color="auto"/>
            </w:tcBorders>
            <w:shd w:val="clear" w:color="auto" w:fill="FFFFFF" w:themeFill="background1"/>
          </w:tcPr>
          <w:p w:rsidR="00736097" w:rsidRPr="00396779" w:rsidRDefault="00736097" w:rsidP="00700E8A">
            <w:pPr>
              <w:pStyle w:val="ListParagraph"/>
              <w:spacing w:after="0" w:line="220" w:lineRule="exact"/>
              <w:ind w:left="0"/>
              <w:jc w:val="center"/>
              <w:rPr>
                <w:rFonts w:cs="Times New Roman"/>
                <w:sz w:val="18"/>
                <w:szCs w:val="18"/>
              </w:rPr>
            </w:pPr>
          </w:p>
        </w:tc>
        <w:tc>
          <w:tcPr>
            <w:tcW w:w="4410" w:type="dxa"/>
            <w:gridSpan w:val="3"/>
            <w:tcBorders>
              <w:left w:val="thinThickThinSmallGap" w:sz="24" w:space="0" w:color="auto"/>
            </w:tcBorders>
            <w:shd w:val="clear" w:color="auto" w:fill="FFFFFF" w:themeFill="background1"/>
          </w:tcPr>
          <w:p w:rsidR="00736097" w:rsidRPr="00396779" w:rsidRDefault="00736097" w:rsidP="00700E8A">
            <w:pPr>
              <w:pStyle w:val="ListParagraph"/>
              <w:spacing w:after="0" w:line="220" w:lineRule="exact"/>
              <w:ind w:left="0"/>
              <w:jc w:val="center"/>
              <w:rPr>
                <w:rFonts w:cs="Times New Roman"/>
                <w:sz w:val="18"/>
                <w:szCs w:val="18"/>
              </w:rPr>
            </w:pPr>
            <w:r>
              <w:rPr>
                <w:rFonts w:cs="Times New Roman"/>
                <w:sz w:val="18"/>
                <w:szCs w:val="18"/>
              </w:rPr>
              <w:t xml:space="preserve">0% x 5 / </w:t>
            </w:r>
            <w:r w:rsidR="00ED7067" w:rsidRPr="00ED7067">
              <w:rPr>
                <w:rFonts w:cs="Times New Roman"/>
                <w:sz w:val="18"/>
                <w:szCs w:val="18"/>
              </w:rPr>
              <w:t xml:space="preserve">Not Service Connected </w:t>
            </w:r>
            <w:r>
              <w:rPr>
                <w:rFonts w:cs="Times New Roman"/>
                <w:sz w:val="18"/>
                <w:szCs w:val="18"/>
              </w:rPr>
              <w:t>x 5</w:t>
            </w:r>
          </w:p>
        </w:tc>
        <w:tc>
          <w:tcPr>
            <w:tcW w:w="959" w:type="dxa"/>
            <w:shd w:val="clear" w:color="auto" w:fill="FFFFFF" w:themeFill="background1"/>
            <w:vAlign w:val="center"/>
          </w:tcPr>
          <w:p w:rsidR="00736097" w:rsidRPr="00396779" w:rsidRDefault="00736097" w:rsidP="00700E8A">
            <w:pPr>
              <w:pStyle w:val="ListParagraph"/>
              <w:spacing w:after="0" w:line="220" w:lineRule="exact"/>
              <w:ind w:left="0"/>
              <w:jc w:val="center"/>
              <w:rPr>
                <w:rFonts w:cs="Times New Roman"/>
                <w:sz w:val="18"/>
                <w:szCs w:val="18"/>
              </w:rPr>
            </w:pPr>
            <w:r>
              <w:rPr>
                <w:rFonts w:cs="Times New Roman"/>
                <w:sz w:val="18"/>
                <w:szCs w:val="18"/>
              </w:rPr>
              <w:t>20060329</w:t>
            </w:r>
          </w:p>
        </w:tc>
      </w:tr>
      <w:tr w:rsidR="00736097" w:rsidRPr="00396779" w:rsidTr="00ED7067">
        <w:trPr>
          <w:trHeight w:val="242"/>
          <w:jc w:val="center"/>
        </w:trPr>
        <w:tc>
          <w:tcPr>
            <w:tcW w:w="3929" w:type="dxa"/>
            <w:gridSpan w:val="3"/>
            <w:tcBorders>
              <w:right w:val="thinThickThinSmallGap" w:sz="24" w:space="0" w:color="auto"/>
            </w:tcBorders>
            <w:shd w:val="clear" w:color="auto" w:fill="D9D9D9" w:themeFill="background1" w:themeFillShade="D9"/>
          </w:tcPr>
          <w:p w:rsidR="00736097" w:rsidRPr="00396779" w:rsidRDefault="00736097" w:rsidP="00DB79D5">
            <w:pPr>
              <w:pStyle w:val="ListParagraph"/>
              <w:spacing w:after="0" w:line="240" w:lineRule="exact"/>
              <w:ind w:left="0"/>
              <w:jc w:val="center"/>
              <w:rPr>
                <w:rFonts w:cs="Times New Roman"/>
                <w:b/>
                <w:sz w:val="20"/>
                <w:szCs w:val="20"/>
              </w:rPr>
            </w:pPr>
            <w:r w:rsidRPr="00396779">
              <w:rPr>
                <w:rFonts w:cs="Times New Roman"/>
                <w:b/>
                <w:sz w:val="20"/>
                <w:szCs w:val="20"/>
              </w:rPr>
              <w:t xml:space="preserve">Combined: </w:t>
            </w:r>
            <w:r>
              <w:rPr>
                <w:rFonts w:cs="Times New Roman"/>
                <w:b/>
                <w:sz w:val="20"/>
                <w:szCs w:val="20"/>
              </w:rPr>
              <w:t>2</w:t>
            </w:r>
            <w:r w:rsidRPr="00396779">
              <w:rPr>
                <w:rFonts w:cs="Times New Roman"/>
                <w:b/>
                <w:sz w:val="20"/>
                <w:szCs w:val="20"/>
              </w:rPr>
              <w:t>0%</w:t>
            </w:r>
          </w:p>
        </w:tc>
        <w:tc>
          <w:tcPr>
            <w:tcW w:w="5369" w:type="dxa"/>
            <w:gridSpan w:val="4"/>
            <w:tcBorders>
              <w:left w:val="thinThickThinSmallGap" w:sz="24" w:space="0" w:color="auto"/>
            </w:tcBorders>
            <w:shd w:val="clear" w:color="auto" w:fill="D9D9D9" w:themeFill="background1" w:themeFillShade="D9"/>
          </w:tcPr>
          <w:p w:rsidR="00736097" w:rsidRPr="00396779" w:rsidRDefault="00736097" w:rsidP="00DB79D5">
            <w:pPr>
              <w:pStyle w:val="ListParagraph"/>
              <w:spacing w:after="0" w:line="240" w:lineRule="exact"/>
              <w:ind w:left="0"/>
              <w:jc w:val="center"/>
              <w:rPr>
                <w:rFonts w:cs="Times New Roman"/>
                <w:b/>
                <w:sz w:val="20"/>
                <w:szCs w:val="20"/>
              </w:rPr>
            </w:pPr>
            <w:r w:rsidRPr="00396779">
              <w:rPr>
                <w:rFonts w:cs="Times New Roman"/>
                <w:b/>
                <w:sz w:val="20"/>
                <w:szCs w:val="20"/>
              </w:rPr>
              <w:t>Combined</w:t>
            </w:r>
            <w:r>
              <w:rPr>
                <w:rFonts w:cs="Times New Roman"/>
                <w:b/>
                <w:sz w:val="20"/>
                <w:szCs w:val="20"/>
              </w:rPr>
              <w:t>:  8</w:t>
            </w:r>
            <w:r w:rsidRPr="00396779">
              <w:rPr>
                <w:rFonts w:cs="Times New Roman"/>
                <w:b/>
                <w:sz w:val="20"/>
                <w:szCs w:val="20"/>
              </w:rPr>
              <w:t>0%</w:t>
            </w:r>
          </w:p>
        </w:tc>
      </w:tr>
    </w:tbl>
    <w:p w:rsidR="00962DC2" w:rsidRDefault="00962DC2" w:rsidP="00962DC2">
      <w:pPr>
        <w:pBdr>
          <w:bottom w:val="single" w:sz="12" w:space="1" w:color="auto"/>
        </w:pBdr>
        <w:tabs>
          <w:tab w:val="left" w:pos="288"/>
          <w:tab w:val="left" w:pos="4752"/>
        </w:tabs>
        <w:jc w:val="both"/>
        <w:rPr>
          <w:rFonts w:asciiTheme="minorHAnsi" w:hAnsiTheme="minorHAnsi"/>
          <w:color w:val="auto"/>
          <w:sz w:val="18"/>
          <w:szCs w:val="18"/>
        </w:rPr>
      </w:pPr>
      <w:r>
        <w:rPr>
          <w:rFonts w:asciiTheme="minorHAnsi" w:hAnsiTheme="minorHAnsi"/>
          <w:color w:val="auto"/>
          <w:sz w:val="18"/>
          <w:szCs w:val="18"/>
        </w:rPr>
        <w:t>*</w:t>
      </w:r>
      <w:r w:rsidR="00A744B7" w:rsidRPr="00A744B7">
        <w:rPr>
          <w:rFonts w:asciiTheme="minorHAnsi" w:hAnsiTheme="minorHAnsi"/>
          <w:color w:val="auto"/>
          <w:sz w:val="18"/>
          <w:szCs w:val="18"/>
        </w:rPr>
        <w:t xml:space="preserve">Initial VARD </w:t>
      </w:r>
      <w:r>
        <w:rPr>
          <w:rFonts w:asciiTheme="minorHAnsi" w:hAnsiTheme="minorHAnsi"/>
          <w:color w:val="auto"/>
          <w:sz w:val="18"/>
          <w:szCs w:val="18"/>
        </w:rPr>
        <w:t xml:space="preserve">20061114 granted SC ratings of 20% for back condition, 20% for neck condition, and 10% for adjustment disorder based on March 2006 C&amp;P examinations.  </w:t>
      </w:r>
    </w:p>
    <w:p w:rsidR="002C0B7A" w:rsidRDefault="00962DC2" w:rsidP="00962DC2">
      <w:pPr>
        <w:pBdr>
          <w:bottom w:val="single" w:sz="12" w:space="1" w:color="auto"/>
        </w:pBdr>
        <w:tabs>
          <w:tab w:val="left" w:pos="288"/>
          <w:tab w:val="left" w:pos="4752"/>
        </w:tabs>
        <w:jc w:val="both"/>
        <w:rPr>
          <w:rFonts w:asciiTheme="minorHAnsi" w:hAnsiTheme="minorHAnsi"/>
          <w:color w:val="auto"/>
          <w:sz w:val="18"/>
          <w:szCs w:val="18"/>
        </w:rPr>
      </w:pPr>
      <w:r>
        <w:rPr>
          <w:rFonts w:asciiTheme="minorHAnsi" w:hAnsiTheme="minorHAnsi"/>
          <w:color w:val="auto"/>
          <w:sz w:val="18"/>
          <w:szCs w:val="18"/>
        </w:rPr>
        <w:t>**VARD 20080306 added SC ratings for the other conditions listed based on examinations Sep and Oct 07, and increased adjustment disorder to 30% based on new examination October 2007 (</w:t>
      </w:r>
      <w:r w:rsidR="00770E97">
        <w:rPr>
          <w:rFonts w:asciiTheme="minorHAnsi" w:hAnsiTheme="minorHAnsi"/>
          <w:color w:val="auto"/>
          <w:sz w:val="18"/>
          <w:szCs w:val="18"/>
        </w:rPr>
        <w:t>s</w:t>
      </w:r>
      <w:r w:rsidR="002C0B7A">
        <w:rPr>
          <w:rFonts w:asciiTheme="minorHAnsi" w:hAnsiTheme="minorHAnsi"/>
          <w:color w:val="auto"/>
          <w:sz w:val="18"/>
          <w:szCs w:val="18"/>
        </w:rPr>
        <w:t xml:space="preserve">ervice connection for PTSD granted effective 20100805 based on examination </w:t>
      </w:r>
      <w:r w:rsidR="005B51FE">
        <w:rPr>
          <w:rFonts w:asciiTheme="minorHAnsi" w:hAnsiTheme="minorHAnsi"/>
          <w:color w:val="auto"/>
          <w:sz w:val="18"/>
          <w:szCs w:val="18"/>
        </w:rPr>
        <w:t>5 October 2010</w:t>
      </w:r>
      <w:r w:rsidR="002C0B7A">
        <w:rPr>
          <w:rFonts w:asciiTheme="minorHAnsi" w:hAnsiTheme="minorHAnsi"/>
          <w:color w:val="auto"/>
          <w:sz w:val="18"/>
          <w:szCs w:val="18"/>
        </w:rPr>
        <w:t>, rated 30%</w:t>
      </w:r>
      <w:r>
        <w:rPr>
          <w:rFonts w:asciiTheme="minorHAnsi" w:hAnsiTheme="minorHAnsi"/>
          <w:color w:val="auto"/>
          <w:sz w:val="18"/>
          <w:szCs w:val="18"/>
        </w:rPr>
        <w:t>, replacing adjustment disorder).</w:t>
      </w:r>
    </w:p>
    <w:p w:rsidR="00242FB2" w:rsidRPr="00A744B7" w:rsidRDefault="00242FB2" w:rsidP="00962DC2">
      <w:pPr>
        <w:pBdr>
          <w:bottom w:val="single" w:sz="12" w:space="1" w:color="auto"/>
        </w:pBdr>
        <w:tabs>
          <w:tab w:val="left" w:pos="288"/>
          <w:tab w:val="left" w:pos="4752"/>
        </w:tabs>
        <w:jc w:val="both"/>
        <w:rPr>
          <w:rFonts w:asciiTheme="minorHAnsi" w:hAnsiTheme="minorHAnsi"/>
          <w:color w:val="auto"/>
          <w:sz w:val="18"/>
          <w:szCs w:val="18"/>
        </w:rPr>
      </w:pPr>
    </w:p>
    <w:p w:rsidR="0058242A" w:rsidRPr="002D16C2" w:rsidRDefault="0058242A" w:rsidP="00147193">
      <w:pPr>
        <w:spacing w:line="240" w:lineRule="exact"/>
        <w:rPr>
          <w:rFonts w:asciiTheme="minorHAnsi" w:hAnsiTheme="minorHAnsi"/>
          <w:color w:val="auto"/>
          <w:szCs w:val="24"/>
        </w:rPr>
      </w:pPr>
    </w:p>
    <w:p w:rsidR="006F687F" w:rsidRDefault="002C6E5B" w:rsidP="0022230A">
      <w:pPr>
        <w:spacing w:line="240" w:lineRule="exact"/>
        <w:jc w:val="both"/>
        <w:rPr>
          <w:rFonts w:asciiTheme="minorHAnsi" w:hAnsiTheme="minorHAnsi"/>
          <w:color w:val="auto"/>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DB79D5">
        <w:rPr>
          <w:rFonts w:asciiTheme="minorHAnsi" w:hAnsiTheme="minorHAnsi"/>
          <w:color w:val="auto"/>
          <w:szCs w:val="24"/>
        </w:rPr>
        <w:t xml:space="preserve">  </w:t>
      </w:r>
      <w:r w:rsidR="0063449E">
        <w:rPr>
          <w:rFonts w:asciiTheme="minorHAnsi" w:hAnsiTheme="minorHAnsi"/>
          <w:color w:val="auto"/>
          <w:szCs w:val="24"/>
        </w:rPr>
        <w:t>T</w:t>
      </w:r>
      <w:r w:rsidR="0063449E" w:rsidRPr="007B5D59">
        <w:rPr>
          <w:rFonts w:asciiTheme="minorHAnsi" w:hAnsiTheme="minorHAnsi"/>
          <w:color w:val="auto"/>
          <w:szCs w:val="24"/>
        </w:rPr>
        <w:t xml:space="preserve">he Military Services, by law, can only rate and compensate for those conditions that were found unfitting for continued military service based on the severity of the condition at the time of separation and not based on possible future changes.  The </w:t>
      </w:r>
      <w:r w:rsidR="005B51FE">
        <w:rPr>
          <w:rFonts w:asciiTheme="minorHAnsi" w:hAnsiTheme="minorHAnsi"/>
          <w:color w:val="auto"/>
          <w:szCs w:val="24"/>
        </w:rPr>
        <w:t>Department of Veterans Affairs (</w:t>
      </w:r>
      <w:r w:rsidR="0063449E" w:rsidRPr="007B5D59">
        <w:rPr>
          <w:rFonts w:asciiTheme="minorHAnsi" w:hAnsiTheme="minorHAnsi"/>
          <w:color w:val="auto"/>
          <w:szCs w:val="24"/>
        </w:rPr>
        <w:t>VA</w:t>
      </w:r>
      <w:r w:rsidR="005B51FE">
        <w:rPr>
          <w:rFonts w:asciiTheme="minorHAnsi" w:hAnsiTheme="minorHAnsi"/>
          <w:color w:val="auto"/>
          <w:szCs w:val="24"/>
        </w:rPr>
        <w:t>)</w:t>
      </w:r>
      <w:r w:rsidR="0063449E" w:rsidRPr="007B5D59">
        <w:rPr>
          <w:rFonts w:asciiTheme="minorHAnsi" w:hAnsiTheme="minorHAnsi"/>
          <w:color w:val="auto"/>
          <w:szCs w:val="24"/>
        </w:rPr>
        <w:t xml:space="preserve"> however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63449E">
        <w:rPr>
          <w:rFonts w:asciiTheme="minorHAnsi" w:hAnsiTheme="minorHAnsi"/>
          <w:color w:val="auto"/>
          <w:szCs w:val="24"/>
        </w:rPr>
        <w:t xml:space="preserve">  </w:t>
      </w:r>
      <w:r w:rsidR="0063449E" w:rsidRPr="007B5D59">
        <w:rPr>
          <w:rFonts w:asciiTheme="minorHAnsi" w:hAnsiTheme="minorHAnsi"/>
          <w:color w:val="auto"/>
          <w:szCs w:val="24"/>
        </w:rPr>
        <w:t xml:space="preserve"> The Board’s threshold for countering DES fitness determinations is higher than the VASRD §4.3 reasonable doubt standard used for its rating recommendations; but, remains adherent to the DoDI 6040.44 “fair and equitable” standard.</w:t>
      </w:r>
      <w:r w:rsidR="0063449E">
        <w:rPr>
          <w:rFonts w:asciiTheme="minorHAnsi" w:hAnsiTheme="minorHAnsi"/>
          <w:color w:val="auto"/>
          <w:szCs w:val="24"/>
        </w:rPr>
        <w:t xml:space="preserve">  </w:t>
      </w:r>
      <w:r w:rsidR="0063449E" w:rsidRPr="001F5378">
        <w:rPr>
          <w:rFonts w:asciiTheme="minorHAnsi" w:hAnsiTheme="minorHAnsi"/>
          <w:color w:val="auto"/>
          <w:szCs w:val="24"/>
        </w:rPr>
        <w:t>Furthermore, a ‘crystal ball’ requirement is not imposed on the service PEB’s by the Board; and, the 12 month window specified in DoDI 6040.44 is appropriate for rating comparisons but not for new developments after separation.</w:t>
      </w:r>
      <w:r w:rsidR="0063449E">
        <w:rPr>
          <w:rFonts w:asciiTheme="minorHAnsi" w:hAnsiTheme="minorHAnsi"/>
          <w:color w:val="auto"/>
          <w:szCs w:val="24"/>
        </w:rPr>
        <w:t xml:space="preserve">  </w:t>
      </w:r>
      <w:r w:rsidR="006F687F" w:rsidRPr="00827659">
        <w:rPr>
          <w:rFonts w:asciiTheme="minorHAnsi" w:hAnsiTheme="minorHAnsi"/>
          <w:color w:val="auto"/>
        </w:rPr>
        <w:t>It</w:t>
      </w:r>
      <w:r w:rsidR="00AA602D">
        <w:rPr>
          <w:rFonts w:asciiTheme="minorHAnsi" w:hAnsiTheme="minorHAnsi"/>
          <w:color w:val="auto"/>
        </w:rPr>
        <w:t xml:space="preserve"> must be</w:t>
      </w:r>
      <w:r w:rsidR="006F687F" w:rsidRPr="00827659">
        <w:rPr>
          <w:rFonts w:asciiTheme="minorHAnsi" w:hAnsiTheme="minorHAnsi"/>
          <w:color w:val="auto"/>
        </w:rPr>
        <w:t xml:space="preserve"> noted for the record that the Board has neither the jurisdiction nor authority to scrutinize or render opinions in reference to the CI’s statements in the a</w:t>
      </w:r>
      <w:r w:rsidR="005B51FE">
        <w:rPr>
          <w:rFonts w:asciiTheme="minorHAnsi" w:hAnsiTheme="minorHAnsi"/>
          <w:color w:val="auto"/>
        </w:rPr>
        <w:t>pplication regarding suspected s</w:t>
      </w:r>
      <w:r w:rsidR="006F687F" w:rsidRPr="00827659">
        <w:rPr>
          <w:rFonts w:asciiTheme="minorHAnsi" w:hAnsiTheme="minorHAnsi"/>
          <w:color w:val="auto"/>
        </w:rPr>
        <w:t>ervice improprieties in the processing of his case.</w:t>
      </w:r>
      <w:r w:rsidR="007411C4">
        <w:rPr>
          <w:rFonts w:asciiTheme="minorHAnsi" w:hAnsiTheme="minorHAnsi"/>
          <w:color w:val="auto"/>
        </w:rPr>
        <w:t xml:space="preserve"> </w:t>
      </w:r>
      <w:r w:rsidR="006F687F" w:rsidRPr="00827659">
        <w:rPr>
          <w:rFonts w:asciiTheme="minorHAnsi" w:hAnsiTheme="minorHAnsi"/>
          <w:color w:val="auto"/>
        </w:rPr>
        <w:t xml:space="preserve"> </w:t>
      </w:r>
      <w:r w:rsidR="006F687F">
        <w:rPr>
          <w:rFonts w:asciiTheme="minorHAnsi" w:hAnsiTheme="minorHAnsi"/>
          <w:color w:val="auto"/>
        </w:rPr>
        <w:t xml:space="preserve"> </w:t>
      </w:r>
    </w:p>
    <w:p w:rsidR="00BF3F01" w:rsidRDefault="00BF3F01" w:rsidP="0022230A">
      <w:pPr>
        <w:spacing w:line="240" w:lineRule="exact"/>
        <w:jc w:val="both"/>
        <w:rPr>
          <w:rFonts w:eastAsiaTheme="minorHAnsi" w:cstheme="minorBidi"/>
          <w:color w:val="auto"/>
          <w:szCs w:val="24"/>
        </w:rPr>
      </w:pPr>
    </w:p>
    <w:p w:rsidR="00BF3F01" w:rsidRDefault="00D4640E" w:rsidP="0022230A">
      <w:pPr>
        <w:tabs>
          <w:tab w:val="left" w:pos="288"/>
          <w:tab w:val="left" w:pos="4752"/>
        </w:tabs>
        <w:spacing w:line="240" w:lineRule="exact"/>
        <w:jc w:val="both"/>
        <w:rPr>
          <w:rFonts w:asciiTheme="minorHAnsi" w:hAnsiTheme="minorHAnsi"/>
          <w:color w:val="auto"/>
          <w:szCs w:val="24"/>
        </w:rPr>
      </w:pPr>
      <w:r w:rsidRPr="00D4640E">
        <w:rPr>
          <w:rFonts w:asciiTheme="minorHAnsi" w:hAnsiTheme="minorHAnsi"/>
          <w:color w:val="auto"/>
          <w:szCs w:val="24"/>
          <w:u w:val="single"/>
        </w:rPr>
        <w:t>Summary of Injury</w:t>
      </w:r>
      <w:r w:rsidR="003B44AC">
        <w:rPr>
          <w:rFonts w:asciiTheme="minorHAnsi" w:hAnsiTheme="minorHAnsi"/>
          <w:color w:val="auto"/>
          <w:szCs w:val="24"/>
          <w:u w:val="single"/>
        </w:rPr>
        <w:t xml:space="preserve"> and Treatment</w:t>
      </w:r>
      <w:r w:rsidR="005B51FE">
        <w:rPr>
          <w:rFonts w:asciiTheme="minorHAnsi" w:hAnsiTheme="minorHAnsi"/>
          <w:color w:val="auto"/>
          <w:szCs w:val="24"/>
          <w:u w:val="single"/>
        </w:rPr>
        <w:t>:</w:t>
      </w:r>
      <w:r>
        <w:rPr>
          <w:rFonts w:asciiTheme="minorHAnsi" w:hAnsiTheme="minorHAnsi"/>
          <w:color w:val="auto"/>
          <w:szCs w:val="24"/>
        </w:rPr>
        <w:t xml:space="preserve">  </w:t>
      </w:r>
      <w:r w:rsidR="00AA602D" w:rsidRPr="00AA602D">
        <w:rPr>
          <w:rFonts w:asciiTheme="minorHAnsi" w:hAnsiTheme="minorHAnsi"/>
          <w:color w:val="auto"/>
          <w:szCs w:val="24"/>
        </w:rPr>
        <w:t xml:space="preserve">The CI suffered two independent parachuting </w:t>
      </w:r>
      <w:r w:rsidR="00AA602D" w:rsidRPr="0022230A">
        <w:rPr>
          <w:rFonts w:asciiTheme="minorHAnsi" w:hAnsiTheme="minorHAnsi"/>
          <w:color w:val="auto"/>
          <w:szCs w:val="24"/>
        </w:rPr>
        <w:t>accidents</w:t>
      </w:r>
      <w:r w:rsidR="00AA602D" w:rsidRPr="00AA602D">
        <w:rPr>
          <w:rFonts w:asciiTheme="minorHAnsi" w:hAnsiTheme="minorHAnsi"/>
          <w:color w:val="auto"/>
          <w:szCs w:val="24"/>
        </w:rPr>
        <w:t xml:space="preserve">, one in 1998 and the other in 1999 while on active duty in his Rating requirement.  Both resulted in chronic low back pain and chronic neck pain with sensory loss in the right arm at the cervical 6-7 dermatome. The accidents did not require hospitalizations or surgical attention. </w:t>
      </w:r>
      <w:r w:rsidR="003B44AC">
        <w:rPr>
          <w:rFonts w:asciiTheme="minorHAnsi" w:hAnsiTheme="minorHAnsi"/>
          <w:color w:val="auto"/>
          <w:szCs w:val="24"/>
        </w:rPr>
        <w:t xml:space="preserve"> </w:t>
      </w:r>
      <w:r w:rsidR="00AA602D" w:rsidRPr="00AA602D">
        <w:rPr>
          <w:rFonts w:asciiTheme="minorHAnsi" w:hAnsiTheme="minorHAnsi"/>
          <w:color w:val="auto"/>
          <w:szCs w:val="24"/>
        </w:rPr>
        <w:t xml:space="preserve">The CI did not lose work time but </w:t>
      </w:r>
      <w:r w:rsidR="00C356D6">
        <w:rPr>
          <w:rFonts w:asciiTheme="minorHAnsi" w:hAnsiTheme="minorHAnsi"/>
          <w:color w:val="auto"/>
          <w:szCs w:val="24"/>
        </w:rPr>
        <w:t xml:space="preserve">did not participate in </w:t>
      </w:r>
      <w:r w:rsidR="00AA602D" w:rsidRPr="00AA602D">
        <w:rPr>
          <w:rFonts w:asciiTheme="minorHAnsi" w:hAnsiTheme="minorHAnsi"/>
          <w:color w:val="auto"/>
          <w:szCs w:val="24"/>
        </w:rPr>
        <w:t xml:space="preserve">sports since the injuries. </w:t>
      </w:r>
      <w:r w:rsidR="003B44AC">
        <w:rPr>
          <w:rFonts w:asciiTheme="minorHAnsi" w:hAnsiTheme="minorHAnsi"/>
          <w:color w:val="auto"/>
          <w:szCs w:val="24"/>
        </w:rPr>
        <w:t xml:space="preserve"> </w:t>
      </w:r>
      <w:r w:rsidR="00AA602D" w:rsidRPr="00AA602D">
        <w:rPr>
          <w:rFonts w:asciiTheme="minorHAnsi" w:hAnsiTheme="minorHAnsi"/>
          <w:color w:val="auto"/>
          <w:szCs w:val="24"/>
        </w:rPr>
        <w:t xml:space="preserve">He had been in chronic nonsurgical </w:t>
      </w:r>
      <w:r w:rsidR="00681CE2">
        <w:rPr>
          <w:rFonts w:asciiTheme="minorHAnsi" w:hAnsiTheme="minorHAnsi"/>
          <w:color w:val="auto"/>
          <w:szCs w:val="24"/>
        </w:rPr>
        <w:t>therapy for his pain since 1999</w:t>
      </w:r>
      <w:r w:rsidR="00AA602D" w:rsidRPr="00AA602D">
        <w:rPr>
          <w:rFonts w:asciiTheme="minorHAnsi" w:hAnsiTheme="minorHAnsi"/>
          <w:color w:val="auto"/>
          <w:szCs w:val="24"/>
        </w:rPr>
        <w:t xml:space="preserve">.  He could not perform his normal duties as a special warfare combatant craft crewman, therefore performed duties in the ordinance department, which was still in his Rating requirement.  The record did not date when his duties were altered, nor was there a LIMDU until </w:t>
      </w:r>
      <w:r w:rsidR="00C356D6">
        <w:rPr>
          <w:rFonts w:asciiTheme="minorHAnsi" w:hAnsiTheme="minorHAnsi"/>
          <w:color w:val="auto"/>
          <w:szCs w:val="24"/>
        </w:rPr>
        <w:t xml:space="preserve">23 September </w:t>
      </w:r>
      <w:r w:rsidR="00AA602D" w:rsidRPr="00AA602D">
        <w:rPr>
          <w:rFonts w:asciiTheme="minorHAnsi" w:hAnsiTheme="minorHAnsi"/>
          <w:color w:val="auto"/>
          <w:szCs w:val="24"/>
        </w:rPr>
        <w:t xml:space="preserve">2004.  He had not performed a physical readiness test since his parachuting accidents.  </w:t>
      </w:r>
      <w:r w:rsidR="00BF3F01">
        <w:rPr>
          <w:rFonts w:asciiTheme="minorHAnsi" w:hAnsiTheme="minorHAnsi"/>
          <w:color w:val="auto"/>
          <w:szCs w:val="24"/>
        </w:rPr>
        <w:t xml:space="preserve"> </w:t>
      </w:r>
    </w:p>
    <w:p w:rsidR="007C0626" w:rsidRDefault="007C0626" w:rsidP="0022230A">
      <w:pPr>
        <w:spacing w:line="240" w:lineRule="exact"/>
        <w:jc w:val="both"/>
        <w:rPr>
          <w:rFonts w:eastAsiaTheme="minorHAnsi" w:cstheme="minorBidi"/>
          <w:color w:val="auto"/>
          <w:szCs w:val="24"/>
        </w:rPr>
      </w:pPr>
    </w:p>
    <w:p w:rsidR="00736097" w:rsidRDefault="00736097" w:rsidP="0022230A">
      <w:pPr>
        <w:tabs>
          <w:tab w:val="left" w:pos="288"/>
          <w:tab w:val="left" w:pos="4752"/>
        </w:tabs>
        <w:spacing w:line="240" w:lineRule="exact"/>
        <w:jc w:val="both"/>
        <w:rPr>
          <w:rFonts w:asciiTheme="minorHAnsi" w:hAnsiTheme="minorHAnsi"/>
          <w:color w:val="auto"/>
          <w:szCs w:val="24"/>
        </w:rPr>
      </w:pPr>
      <w:r w:rsidRPr="00763CA3">
        <w:rPr>
          <w:rFonts w:asciiTheme="minorHAnsi" w:hAnsiTheme="minorHAnsi"/>
          <w:color w:val="auto"/>
          <w:szCs w:val="24"/>
          <w:u w:val="single"/>
        </w:rPr>
        <w:t>Back Condition</w:t>
      </w:r>
      <w:r w:rsidR="005B51FE">
        <w:rPr>
          <w:rFonts w:asciiTheme="minorHAnsi" w:hAnsiTheme="minorHAnsi"/>
          <w:color w:val="auto"/>
          <w:szCs w:val="24"/>
          <w:u w:val="single"/>
        </w:rPr>
        <w:t>:</w:t>
      </w:r>
      <w:r w:rsidRPr="00763CA3">
        <w:rPr>
          <w:rFonts w:asciiTheme="minorHAnsi" w:hAnsiTheme="minorHAnsi"/>
          <w:color w:val="auto"/>
          <w:szCs w:val="24"/>
        </w:rPr>
        <w:t xml:space="preserve">  There were </w:t>
      </w:r>
      <w:r>
        <w:rPr>
          <w:rFonts w:asciiTheme="minorHAnsi" w:hAnsiTheme="minorHAnsi"/>
          <w:color w:val="auto"/>
          <w:szCs w:val="24"/>
        </w:rPr>
        <w:t>2</w:t>
      </w:r>
      <w:r w:rsidRPr="00763CA3">
        <w:rPr>
          <w:rFonts w:asciiTheme="minorHAnsi" w:hAnsiTheme="minorHAnsi"/>
          <w:color w:val="auto"/>
          <w:szCs w:val="24"/>
        </w:rPr>
        <w:t xml:space="preserve"> goniometric range-of-motion (ROM)</w:t>
      </w:r>
      <w:r w:rsidR="00C10BDE">
        <w:rPr>
          <w:rFonts w:asciiTheme="minorHAnsi" w:hAnsiTheme="minorHAnsi"/>
          <w:color w:val="auto"/>
          <w:szCs w:val="24"/>
        </w:rPr>
        <w:t xml:space="preserve"> </w:t>
      </w:r>
      <w:r w:rsidRPr="00763CA3">
        <w:rPr>
          <w:rFonts w:asciiTheme="minorHAnsi" w:hAnsiTheme="minorHAnsi"/>
          <w:color w:val="auto"/>
          <w:szCs w:val="24"/>
        </w:rPr>
        <w:t>evaluations</w:t>
      </w:r>
      <w:r w:rsidR="00C10BDE">
        <w:rPr>
          <w:rFonts w:asciiTheme="minorHAnsi" w:hAnsiTheme="minorHAnsi"/>
          <w:color w:val="auto"/>
          <w:szCs w:val="24"/>
        </w:rPr>
        <w:t xml:space="preserve"> for the </w:t>
      </w:r>
      <w:r w:rsidR="009C385A">
        <w:rPr>
          <w:rFonts w:asciiTheme="minorHAnsi" w:hAnsiTheme="minorHAnsi"/>
          <w:color w:val="auto"/>
          <w:szCs w:val="24"/>
        </w:rPr>
        <w:t xml:space="preserve">back </w:t>
      </w:r>
      <w:r w:rsidR="008D4FF6">
        <w:rPr>
          <w:rFonts w:asciiTheme="minorHAnsi" w:hAnsiTheme="minorHAnsi"/>
          <w:color w:val="auto"/>
          <w:szCs w:val="24"/>
        </w:rPr>
        <w:t>.</w:t>
      </w:r>
      <w:r w:rsidRPr="00763CA3">
        <w:rPr>
          <w:rFonts w:asciiTheme="minorHAnsi" w:hAnsiTheme="minorHAnsi"/>
          <w:color w:val="auto"/>
          <w:szCs w:val="24"/>
        </w:rPr>
        <w:t xml:space="preserve">in evidence which the Board weighed in arriving at its rating recommendation. </w:t>
      </w:r>
      <w:r w:rsidR="009C385A">
        <w:rPr>
          <w:rFonts w:asciiTheme="minorHAnsi" w:hAnsiTheme="minorHAnsi"/>
          <w:color w:val="auto"/>
          <w:szCs w:val="24"/>
        </w:rPr>
        <w:t xml:space="preserve"> </w:t>
      </w:r>
      <w:r w:rsidRPr="00763CA3">
        <w:rPr>
          <w:rFonts w:asciiTheme="minorHAnsi" w:hAnsiTheme="minorHAnsi"/>
          <w:color w:val="auto"/>
          <w:szCs w:val="24"/>
        </w:rPr>
        <w:t>Both of these exams are summarized in the chart below.</w:t>
      </w:r>
    </w:p>
    <w:p w:rsidR="00681CE2" w:rsidRDefault="00681CE2" w:rsidP="0022230A">
      <w:pPr>
        <w:tabs>
          <w:tab w:val="left" w:pos="288"/>
          <w:tab w:val="left" w:pos="4752"/>
        </w:tabs>
        <w:spacing w:line="240" w:lineRule="exact"/>
        <w:jc w:val="both"/>
        <w:rPr>
          <w:rFonts w:asciiTheme="minorHAnsi" w:hAnsiTheme="minorHAnsi"/>
          <w:color w:val="auto"/>
          <w:szCs w:val="24"/>
        </w:rPr>
      </w:pPr>
    </w:p>
    <w:tbl>
      <w:tblPr>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2340"/>
        <w:gridCol w:w="2430"/>
      </w:tblGrid>
      <w:tr w:rsidR="00681CE2" w:rsidRPr="00664296" w:rsidTr="008D4FF6">
        <w:trPr>
          <w:jc w:val="center"/>
        </w:trPr>
        <w:tc>
          <w:tcPr>
            <w:tcW w:w="2430" w:type="dxa"/>
            <w:shd w:val="clear" w:color="auto" w:fill="D9D9D9" w:themeFill="background1" w:themeFillShade="D9"/>
          </w:tcPr>
          <w:p w:rsidR="00681CE2" w:rsidRPr="00681CE2" w:rsidRDefault="00681CE2" w:rsidP="008D4FF6">
            <w:pPr>
              <w:spacing w:line="200" w:lineRule="exact"/>
              <w:contextualSpacing/>
              <w:jc w:val="center"/>
              <w:rPr>
                <w:rFonts w:asciiTheme="minorHAnsi" w:eastAsia="Calibri" w:hAnsiTheme="minorHAnsi" w:cstheme="minorHAnsi"/>
                <w:color w:val="auto"/>
                <w:sz w:val="20"/>
              </w:rPr>
            </w:pPr>
            <w:r w:rsidRPr="00681CE2">
              <w:rPr>
                <w:rFonts w:asciiTheme="minorHAnsi" w:eastAsia="Calibri" w:hAnsiTheme="minorHAnsi" w:cstheme="minorHAnsi"/>
                <w:color w:val="auto"/>
                <w:sz w:val="20"/>
              </w:rPr>
              <w:t>Thoracolumbar ROM</w:t>
            </w:r>
          </w:p>
        </w:tc>
        <w:tc>
          <w:tcPr>
            <w:tcW w:w="2340" w:type="dxa"/>
            <w:shd w:val="clear" w:color="auto" w:fill="D9D9D9" w:themeFill="background1" w:themeFillShade="D9"/>
          </w:tcPr>
          <w:p w:rsidR="00681CE2" w:rsidRPr="00681CE2" w:rsidRDefault="00681CE2" w:rsidP="008D4FF6">
            <w:pPr>
              <w:spacing w:line="200" w:lineRule="exact"/>
              <w:contextualSpacing/>
              <w:jc w:val="center"/>
              <w:rPr>
                <w:rFonts w:asciiTheme="minorHAnsi" w:eastAsia="Calibri" w:hAnsiTheme="minorHAnsi" w:cstheme="minorHAnsi"/>
                <w:color w:val="auto"/>
                <w:sz w:val="20"/>
              </w:rPr>
            </w:pPr>
            <w:r w:rsidRPr="00681CE2">
              <w:rPr>
                <w:rFonts w:asciiTheme="minorHAnsi" w:eastAsia="Calibri" w:hAnsiTheme="minorHAnsi" w:cstheme="minorHAnsi"/>
                <w:color w:val="auto"/>
                <w:sz w:val="20"/>
              </w:rPr>
              <w:t>MEB – 10 Mos Pre Sep</w:t>
            </w:r>
          </w:p>
        </w:tc>
        <w:tc>
          <w:tcPr>
            <w:tcW w:w="2430" w:type="dxa"/>
            <w:shd w:val="clear" w:color="auto" w:fill="D9D9D9" w:themeFill="background1" w:themeFillShade="D9"/>
          </w:tcPr>
          <w:p w:rsidR="00681CE2" w:rsidRPr="00681CE2" w:rsidRDefault="00681CE2" w:rsidP="008D4FF6">
            <w:pPr>
              <w:spacing w:line="200" w:lineRule="exact"/>
              <w:contextualSpacing/>
              <w:jc w:val="center"/>
              <w:rPr>
                <w:rFonts w:asciiTheme="minorHAnsi" w:eastAsiaTheme="minorHAnsi" w:hAnsiTheme="minorHAnsi" w:cstheme="minorHAnsi"/>
                <w:color w:val="auto"/>
                <w:sz w:val="20"/>
              </w:rPr>
            </w:pPr>
            <w:r w:rsidRPr="00681CE2">
              <w:rPr>
                <w:rFonts w:asciiTheme="minorHAnsi" w:eastAsia="Calibri" w:hAnsiTheme="minorHAnsi" w:cstheme="minorHAnsi"/>
                <w:color w:val="auto"/>
                <w:sz w:val="20"/>
              </w:rPr>
              <w:t>VA</w:t>
            </w:r>
            <w:r w:rsidRPr="00681CE2">
              <w:rPr>
                <w:rFonts w:asciiTheme="minorHAnsi" w:eastAsiaTheme="minorHAnsi" w:hAnsiTheme="minorHAnsi" w:cstheme="minorHAnsi"/>
                <w:color w:val="auto"/>
                <w:sz w:val="20"/>
              </w:rPr>
              <w:t xml:space="preserve"> C&amp;P –2 </w:t>
            </w:r>
            <w:r w:rsidR="00D6047B">
              <w:rPr>
                <w:rFonts w:asciiTheme="minorHAnsi" w:eastAsiaTheme="minorHAnsi" w:hAnsiTheme="minorHAnsi" w:cstheme="minorHAnsi"/>
                <w:color w:val="auto"/>
                <w:sz w:val="20"/>
              </w:rPr>
              <w:t>M</w:t>
            </w:r>
            <w:r w:rsidR="00D6047B" w:rsidRPr="00681CE2">
              <w:rPr>
                <w:rFonts w:asciiTheme="minorHAnsi" w:eastAsiaTheme="minorHAnsi" w:hAnsiTheme="minorHAnsi" w:cstheme="minorHAnsi"/>
                <w:color w:val="auto"/>
                <w:sz w:val="20"/>
              </w:rPr>
              <w:t>os</w:t>
            </w:r>
            <w:r w:rsidRPr="00681CE2">
              <w:rPr>
                <w:rFonts w:asciiTheme="minorHAnsi" w:eastAsiaTheme="minorHAnsi" w:hAnsiTheme="minorHAnsi" w:cstheme="minorHAnsi"/>
                <w:color w:val="auto"/>
                <w:sz w:val="20"/>
              </w:rPr>
              <w:t xml:space="preserve"> Post Sep</w:t>
            </w:r>
          </w:p>
        </w:tc>
      </w:tr>
      <w:tr w:rsidR="00681CE2" w:rsidRPr="00664296" w:rsidTr="008D4FF6">
        <w:trPr>
          <w:jc w:val="center"/>
        </w:trPr>
        <w:tc>
          <w:tcPr>
            <w:tcW w:w="2430" w:type="dxa"/>
          </w:tcPr>
          <w:p w:rsidR="00681CE2" w:rsidRPr="008D4FF6" w:rsidRDefault="00681CE2" w:rsidP="008D4FF6">
            <w:pPr>
              <w:spacing w:line="180" w:lineRule="exact"/>
              <w:contextualSpacing/>
              <w:jc w:val="center"/>
              <w:rPr>
                <w:rFonts w:asciiTheme="minorHAnsi" w:eastAsia="Calibri" w:hAnsiTheme="minorHAnsi" w:cstheme="minorHAnsi"/>
                <w:color w:val="auto"/>
                <w:sz w:val="18"/>
                <w:szCs w:val="18"/>
              </w:rPr>
            </w:pPr>
            <w:r w:rsidRPr="008D4FF6">
              <w:rPr>
                <w:rFonts w:asciiTheme="minorHAnsi" w:eastAsia="Calibri" w:hAnsiTheme="minorHAnsi" w:cstheme="minorHAnsi"/>
                <w:color w:val="auto"/>
                <w:sz w:val="18"/>
                <w:szCs w:val="18"/>
              </w:rPr>
              <w:t>Flexion 0-90⁰ normal</w:t>
            </w:r>
          </w:p>
        </w:tc>
        <w:tc>
          <w:tcPr>
            <w:tcW w:w="2340" w:type="dxa"/>
          </w:tcPr>
          <w:p w:rsidR="00681CE2" w:rsidRPr="008D4FF6" w:rsidRDefault="00681CE2" w:rsidP="008D4FF6">
            <w:pPr>
              <w:spacing w:line="180" w:lineRule="exact"/>
              <w:contextualSpacing/>
              <w:jc w:val="center"/>
              <w:rPr>
                <w:rFonts w:asciiTheme="minorHAnsi" w:eastAsia="Calibri" w:hAnsiTheme="minorHAnsi" w:cstheme="minorHAnsi"/>
                <w:color w:val="auto"/>
                <w:sz w:val="18"/>
                <w:szCs w:val="18"/>
              </w:rPr>
            </w:pPr>
            <w:r w:rsidRPr="008D4FF6">
              <w:rPr>
                <w:rFonts w:asciiTheme="minorHAnsi" w:eastAsia="Calibri" w:hAnsiTheme="minorHAnsi" w:cstheme="minorHAnsi"/>
                <w:color w:val="auto"/>
                <w:sz w:val="18"/>
                <w:szCs w:val="18"/>
              </w:rPr>
              <w:t>10⁰</w:t>
            </w:r>
          </w:p>
        </w:tc>
        <w:tc>
          <w:tcPr>
            <w:tcW w:w="2430" w:type="dxa"/>
          </w:tcPr>
          <w:p w:rsidR="00681CE2" w:rsidRPr="008D4FF6" w:rsidRDefault="00681CE2" w:rsidP="008D4FF6">
            <w:pPr>
              <w:spacing w:line="180" w:lineRule="exact"/>
              <w:contextualSpacing/>
              <w:jc w:val="center"/>
              <w:rPr>
                <w:rFonts w:asciiTheme="minorHAnsi" w:eastAsia="Calibri" w:hAnsiTheme="minorHAnsi" w:cstheme="minorHAnsi"/>
                <w:color w:val="auto"/>
                <w:sz w:val="18"/>
                <w:szCs w:val="18"/>
              </w:rPr>
            </w:pPr>
            <w:r w:rsidRPr="008D4FF6">
              <w:rPr>
                <w:rFonts w:asciiTheme="minorHAnsi" w:eastAsia="Calibri" w:hAnsiTheme="minorHAnsi" w:cstheme="minorHAnsi"/>
                <w:color w:val="auto"/>
                <w:sz w:val="18"/>
                <w:szCs w:val="18"/>
              </w:rPr>
              <w:t>45⁰</w:t>
            </w:r>
          </w:p>
        </w:tc>
      </w:tr>
      <w:tr w:rsidR="00681CE2" w:rsidRPr="00664296" w:rsidTr="008D4FF6">
        <w:trPr>
          <w:jc w:val="center"/>
        </w:trPr>
        <w:tc>
          <w:tcPr>
            <w:tcW w:w="2430" w:type="dxa"/>
          </w:tcPr>
          <w:p w:rsidR="00681CE2" w:rsidRPr="008D4FF6" w:rsidRDefault="00681CE2" w:rsidP="008D4FF6">
            <w:pPr>
              <w:spacing w:line="180" w:lineRule="exact"/>
              <w:contextualSpacing/>
              <w:jc w:val="center"/>
              <w:rPr>
                <w:rFonts w:asciiTheme="minorHAnsi" w:eastAsia="Calibri" w:hAnsiTheme="minorHAnsi" w:cstheme="minorHAnsi"/>
                <w:color w:val="auto"/>
                <w:sz w:val="18"/>
                <w:szCs w:val="18"/>
              </w:rPr>
            </w:pPr>
            <w:r w:rsidRPr="008D4FF6">
              <w:rPr>
                <w:rFonts w:asciiTheme="minorHAnsi" w:eastAsia="Calibri" w:hAnsiTheme="minorHAnsi" w:cstheme="minorHAnsi"/>
                <w:color w:val="auto"/>
                <w:sz w:val="18"/>
                <w:szCs w:val="18"/>
              </w:rPr>
              <w:t>Combined 240⁰ normal</w:t>
            </w:r>
          </w:p>
        </w:tc>
        <w:tc>
          <w:tcPr>
            <w:tcW w:w="2340" w:type="dxa"/>
          </w:tcPr>
          <w:p w:rsidR="00681CE2" w:rsidRPr="008D4FF6" w:rsidRDefault="00681CE2" w:rsidP="008D4FF6">
            <w:pPr>
              <w:spacing w:line="180" w:lineRule="exact"/>
              <w:contextualSpacing/>
              <w:jc w:val="center"/>
              <w:rPr>
                <w:rFonts w:asciiTheme="minorHAnsi" w:eastAsia="Calibri" w:hAnsiTheme="minorHAnsi" w:cstheme="minorHAnsi"/>
                <w:color w:val="auto"/>
                <w:sz w:val="18"/>
                <w:szCs w:val="18"/>
              </w:rPr>
            </w:pPr>
          </w:p>
        </w:tc>
        <w:tc>
          <w:tcPr>
            <w:tcW w:w="2430" w:type="dxa"/>
          </w:tcPr>
          <w:p w:rsidR="00681CE2" w:rsidRPr="008D4FF6" w:rsidRDefault="00681CE2" w:rsidP="008D4FF6">
            <w:pPr>
              <w:spacing w:line="180" w:lineRule="exact"/>
              <w:contextualSpacing/>
              <w:jc w:val="center"/>
              <w:rPr>
                <w:rFonts w:asciiTheme="minorHAnsi" w:eastAsia="Calibri" w:hAnsiTheme="minorHAnsi" w:cstheme="minorHAnsi"/>
                <w:color w:val="auto"/>
                <w:sz w:val="18"/>
                <w:szCs w:val="18"/>
              </w:rPr>
            </w:pPr>
            <w:r w:rsidRPr="008D4FF6">
              <w:rPr>
                <w:rFonts w:asciiTheme="minorHAnsi" w:eastAsia="Calibri" w:hAnsiTheme="minorHAnsi" w:cstheme="minorHAnsi"/>
                <w:color w:val="auto"/>
                <w:sz w:val="18"/>
                <w:szCs w:val="18"/>
              </w:rPr>
              <w:t>145⁰</w:t>
            </w:r>
          </w:p>
        </w:tc>
      </w:tr>
      <w:tr w:rsidR="00681CE2" w:rsidRPr="00664296" w:rsidTr="008D4FF6">
        <w:trPr>
          <w:jc w:val="center"/>
        </w:trPr>
        <w:tc>
          <w:tcPr>
            <w:tcW w:w="2430" w:type="dxa"/>
          </w:tcPr>
          <w:p w:rsidR="00681CE2" w:rsidRPr="008D4FF6" w:rsidRDefault="00681CE2" w:rsidP="008D4FF6">
            <w:pPr>
              <w:tabs>
                <w:tab w:val="left" w:pos="288"/>
                <w:tab w:val="left" w:pos="4752"/>
              </w:tabs>
              <w:spacing w:line="180" w:lineRule="exact"/>
              <w:jc w:val="center"/>
              <w:rPr>
                <w:rFonts w:asciiTheme="minorHAnsi" w:eastAsiaTheme="minorHAnsi" w:hAnsiTheme="minorHAnsi" w:cstheme="minorHAnsi"/>
                <w:color w:val="auto"/>
                <w:sz w:val="18"/>
                <w:szCs w:val="18"/>
              </w:rPr>
            </w:pPr>
            <w:r w:rsidRPr="008D4FF6">
              <w:rPr>
                <w:rFonts w:asciiTheme="minorHAnsi" w:eastAsiaTheme="minorHAnsi" w:hAnsiTheme="minorHAnsi" w:cstheme="minorHAnsi"/>
                <w:color w:val="auto"/>
                <w:sz w:val="18"/>
                <w:szCs w:val="18"/>
              </w:rPr>
              <w:t>Comments</w:t>
            </w:r>
          </w:p>
        </w:tc>
        <w:tc>
          <w:tcPr>
            <w:tcW w:w="2340" w:type="dxa"/>
          </w:tcPr>
          <w:p w:rsidR="00681CE2" w:rsidRPr="008D4FF6" w:rsidRDefault="00681CE2" w:rsidP="008D4FF6">
            <w:pPr>
              <w:tabs>
                <w:tab w:val="left" w:pos="288"/>
                <w:tab w:val="left" w:pos="4752"/>
              </w:tabs>
              <w:spacing w:line="180" w:lineRule="exact"/>
              <w:jc w:val="center"/>
              <w:rPr>
                <w:rFonts w:asciiTheme="minorHAnsi" w:eastAsiaTheme="minorHAnsi" w:hAnsiTheme="minorHAnsi" w:cstheme="minorHAnsi"/>
                <w:color w:val="auto"/>
                <w:sz w:val="18"/>
                <w:szCs w:val="18"/>
              </w:rPr>
            </w:pPr>
            <w:r w:rsidRPr="008D4FF6">
              <w:rPr>
                <w:rFonts w:asciiTheme="minorHAnsi" w:eastAsiaTheme="minorHAnsi" w:hAnsiTheme="minorHAnsi" w:cstheme="minorHAnsi"/>
                <w:color w:val="auto"/>
                <w:sz w:val="18"/>
                <w:szCs w:val="18"/>
              </w:rPr>
              <w:t>With pain</w:t>
            </w:r>
          </w:p>
        </w:tc>
        <w:tc>
          <w:tcPr>
            <w:tcW w:w="2430" w:type="dxa"/>
          </w:tcPr>
          <w:p w:rsidR="00C356D6" w:rsidRDefault="008D4FF6" w:rsidP="008D4FF6">
            <w:pPr>
              <w:tabs>
                <w:tab w:val="left" w:pos="288"/>
                <w:tab w:val="left" w:pos="4752"/>
              </w:tabs>
              <w:spacing w:line="180" w:lineRule="exact"/>
              <w:jc w:val="center"/>
              <w:rPr>
                <w:rFonts w:asciiTheme="minorHAnsi" w:eastAsiaTheme="minorHAnsi" w:hAnsiTheme="minorHAnsi" w:cstheme="minorHAnsi"/>
                <w:color w:val="auto"/>
                <w:sz w:val="18"/>
                <w:szCs w:val="18"/>
              </w:rPr>
            </w:pPr>
            <w:r w:rsidRPr="008D4FF6">
              <w:rPr>
                <w:rFonts w:asciiTheme="minorHAnsi" w:eastAsiaTheme="minorHAnsi" w:hAnsiTheme="minorHAnsi" w:cstheme="minorHAnsi"/>
                <w:color w:val="auto"/>
                <w:sz w:val="18"/>
                <w:szCs w:val="18"/>
              </w:rPr>
              <w:t>Normal gait,</w:t>
            </w:r>
            <w:r w:rsidR="00C356D6">
              <w:rPr>
                <w:rFonts w:asciiTheme="minorHAnsi" w:eastAsiaTheme="minorHAnsi" w:hAnsiTheme="minorHAnsi" w:cstheme="minorHAnsi"/>
                <w:color w:val="auto"/>
                <w:sz w:val="18"/>
                <w:szCs w:val="18"/>
              </w:rPr>
              <w:t xml:space="preserve"> </w:t>
            </w:r>
            <w:r w:rsidRPr="008D4FF6">
              <w:rPr>
                <w:rFonts w:asciiTheme="minorHAnsi" w:eastAsiaTheme="minorHAnsi" w:hAnsiTheme="minorHAnsi" w:cstheme="minorHAnsi"/>
                <w:color w:val="auto"/>
                <w:sz w:val="18"/>
                <w:szCs w:val="18"/>
              </w:rPr>
              <w:t>posture,</w:t>
            </w:r>
          </w:p>
          <w:p w:rsidR="00681CE2" w:rsidRPr="008D4FF6" w:rsidRDefault="008D4FF6" w:rsidP="008D4FF6">
            <w:pPr>
              <w:tabs>
                <w:tab w:val="left" w:pos="288"/>
                <w:tab w:val="left" w:pos="4752"/>
              </w:tabs>
              <w:spacing w:line="180" w:lineRule="exact"/>
              <w:jc w:val="center"/>
              <w:rPr>
                <w:rFonts w:asciiTheme="minorHAnsi" w:eastAsiaTheme="minorHAnsi" w:hAnsiTheme="minorHAnsi" w:cstheme="minorHAnsi"/>
                <w:color w:val="auto"/>
                <w:sz w:val="18"/>
                <w:szCs w:val="18"/>
              </w:rPr>
            </w:pPr>
            <w:r w:rsidRPr="008D4FF6">
              <w:rPr>
                <w:rFonts w:asciiTheme="minorHAnsi" w:eastAsiaTheme="minorHAnsi" w:hAnsiTheme="minorHAnsi" w:cstheme="minorHAnsi"/>
                <w:color w:val="auto"/>
                <w:sz w:val="18"/>
                <w:szCs w:val="18"/>
              </w:rPr>
              <w:t xml:space="preserve">no </w:t>
            </w:r>
            <w:r w:rsidR="00C356D6">
              <w:rPr>
                <w:rFonts w:asciiTheme="minorHAnsi" w:eastAsiaTheme="minorHAnsi" w:hAnsiTheme="minorHAnsi" w:cstheme="minorHAnsi"/>
                <w:color w:val="auto"/>
                <w:sz w:val="18"/>
                <w:szCs w:val="18"/>
              </w:rPr>
              <w:t xml:space="preserve">muscle </w:t>
            </w:r>
            <w:r w:rsidRPr="008D4FF6">
              <w:rPr>
                <w:rFonts w:asciiTheme="minorHAnsi" w:eastAsiaTheme="minorHAnsi" w:hAnsiTheme="minorHAnsi" w:cstheme="minorHAnsi"/>
                <w:color w:val="auto"/>
                <w:sz w:val="18"/>
                <w:szCs w:val="18"/>
              </w:rPr>
              <w:t>spasm</w:t>
            </w:r>
          </w:p>
        </w:tc>
      </w:tr>
      <w:tr w:rsidR="00681CE2" w:rsidRPr="00664296" w:rsidTr="008D4FF6">
        <w:trPr>
          <w:trHeight w:val="70"/>
          <w:jc w:val="center"/>
        </w:trPr>
        <w:tc>
          <w:tcPr>
            <w:tcW w:w="2430" w:type="dxa"/>
          </w:tcPr>
          <w:p w:rsidR="00681CE2" w:rsidRPr="008D4FF6" w:rsidRDefault="00681CE2" w:rsidP="008D4FF6">
            <w:pPr>
              <w:tabs>
                <w:tab w:val="left" w:pos="288"/>
                <w:tab w:val="left" w:pos="4752"/>
              </w:tabs>
              <w:spacing w:line="180" w:lineRule="exact"/>
              <w:jc w:val="center"/>
              <w:rPr>
                <w:rFonts w:asciiTheme="minorHAnsi" w:eastAsiaTheme="minorHAnsi" w:hAnsiTheme="minorHAnsi" w:cstheme="minorHAnsi"/>
                <w:color w:val="auto"/>
                <w:sz w:val="18"/>
                <w:szCs w:val="18"/>
              </w:rPr>
            </w:pPr>
            <w:r w:rsidRPr="008D4FF6">
              <w:rPr>
                <w:rFonts w:asciiTheme="minorHAnsi" w:eastAsiaTheme="minorHAnsi" w:hAnsiTheme="minorHAnsi" w:cstheme="minorHAnsi"/>
                <w:color w:val="auto"/>
                <w:sz w:val="18"/>
                <w:szCs w:val="18"/>
              </w:rPr>
              <w:t>§4.71a Rating</w:t>
            </w:r>
          </w:p>
        </w:tc>
        <w:tc>
          <w:tcPr>
            <w:tcW w:w="2340" w:type="dxa"/>
          </w:tcPr>
          <w:p w:rsidR="00681CE2" w:rsidRPr="008D4FF6" w:rsidRDefault="00681CE2" w:rsidP="008D4FF6">
            <w:pPr>
              <w:tabs>
                <w:tab w:val="left" w:pos="288"/>
                <w:tab w:val="left" w:pos="4752"/>
              </w:tabs>
              <w:spacing w:line="180" w:lineRule="exact"/>
              <w:jc w:val="center"/>
              <w:rPr>
                <w:rFonts w:asciiTheme="minorHAnsi" w:eastAsiaTheme="minorHAnsi" w:hAnsiTheme="minorHAnsi" w:cstheme="minorHAnsi"/>
                <w:color w:val="auto"/>
                <w:sz w:val="18"/>
                <w:szCs w:val="18"/>
              </w:rPr>
            </w:pPr>
            <w:r w:rsidRPr="008D4FF6">
              <w:rPr>
                <w:rFonts w:asciiTheme="minorHAnsi" w:eastAsiaTheme="minorHAnsi" w:hAnsiTheme="minorHAnsi" w:cstheme="minorHAnsi"/>
                <w:color w:val="auto"/>
                <w:sz w:val="18"/>
                <w:szCs w:val="18"/>
              </w:rPr>
              <w:t>40%</w:t>
            </w:r>
          </w:p>
        </w:tc>
        <w:tc>
          <w:tcPr>
            <w:tcW w:w="2430" w:type="dxa"/>
          </w:tcPr>
          <w:p w:rsidR="00681CE2" w:rsidRPr="008D4FF6" w:rsidRDefault="008D4FF6" w:rsidP="008D4FF6">
            <w:pPr>
              <w:tabs>
                <w:tab w:val="left" w:pos="288"/>
                <w:tab w:val="left" w:pos="4752"/>
              </w:tabs>
              <w:spacing w:line="180" w:lineRule="exact"/>
              <w:jc w:val="center"/>
              <w:rPr>
                <w:rFonts w:asciiTheme="minorHAnsi" w:eastAsiaTheme="minorHAnsi" w:hAnsiTheme="minorHAnsi" w:cstheme="minorHAnsi"/>
                <w:color w:val="auto"/>
                <w:sz w:val="18"/>
                <w:szCs w:val="18"/>
              </w:rPr>
            </w:pPr>
            <w:r w:rsidRPr="008D4FF6">
              <w:rPr>
                <w:rFonts w:asciiTheme="minorHAnsi" w:eastAsiaTheme="minorHAnsi" w:hAnsiTheme="minorHAnsi" w:cstheme="minorHAnsi"/>
                <w:color w:val="auto"/>
                <w:sz w:val="18"/>
                <w:szCs w:val="18"/>
              </w:rPr>
              <w:t>20</w:t>
            </w:r>
            <w:r w:rsidR="00681CE2" w:rsidRPr="008D4FF6">
              <w:rPr>
                <w:rFonts w:asciiTheme="minorHAnsi" w:eastAsiaTheme="minorHAnsi" w:hAnsiTheme="minorHAnsi" w:cstheme="minorHAnsi"/>
                <w:color w:val="auto"/>
                <w:sz w:val="18"/>
                <w:szCs w:val="18"/>
              </w:rPr>
              <w:t>%</w:t>
            </w:r>
          </w:p>
        </w:tc>
      </w:tr>
    </w:tbl>
    <w:p w:rsidR="009A4389" w:rsidRDefault="009A4389" w:rsidP="0022230A">
      <w:pPr>
        <w:tabs>
          <w:tab w:val="left" w:pos="288"/>
          <w:tab w:val="left" w:pos="4752"/>
        </w:tabs>
        <w:spacing w:line="240" w:lineRule="exact"/>
        <w:jc w:val="both"/>
        <w:rPr>
          <w:rFonts w:asciiTheme="minorHAnsi" w:hAnsiTheme="minorHAnsi"/>
          <w:color w:val="auto"/>
          <w:szCs w:val="24"/>
        </w:rPr>
      </w:pPr>
    </w:p>
    <w:p w:rsidR="00664296" w:rsidRPr="00664296" w:rsidRDefault="00274557" w:rsidP="0022230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005F7B76">
        <w:rPr>
          <w:rFonts w:asciiTheme="minorHAnsi" w:hAnsiTheme="minorHAnsi"/>
          <w:color w:val="auto"/>
          <w:szCs w:val="24"/>
        </w:rPr>
        <w:t>MEB examiner found moderate tenderness of the lower lumbar spine, normal motor exam, and normal sensory examination.  Imaging studies showed minimal degenerative changes.  Additionally, the service treatment record notes an antalgic gait, but no muscle spasm or abnormal contour</w:t>
      </w:r>
      <w:r w:rsidR="003B215A">
        <w:rPr>
          <w:rFonts w:asciiTheme="minorHAnsi" w:hAnsiTheme="minorHAnsi"/>
          <w:color w:val="auto"/>
          <w:szCs w:val="24"/>
        </w:rPr>
        <w:t>, and a less restricted range of motion</w:t>
      </w:r>
      <w:r w:rsidR="005F7B76">
        <w:rPr>
          <w:rFonts w:asciiTheme="minorHAnsi" w:hAnsiTheme="minorHAnsi"/>
          <w:color w:val="auto"/>
          <w:szCs w:val="24"/>
        </w:rPr>
        <w:t xml:space="preserve">.  </w:t>
      </w:r>
      <w:r w:rsidR="00766BD0">
        <w:rPr>
          <w:rFonts w:asciiTheme="minorHAnsi" w:hAnsiTheme="minorHAnsi"/>
          <w:color w:val="auto"/>
          <w:szCs w:val="24"/>
        </w:rPr>
        <w:t xml:space="preserve">The FPEB record of proceedings noted that </w:t>
      </w:r>
      <w:r w:rsidR="00895CBD">
        <w:rPr>
          <w:rFonts w:asciiTheme="minorHAnsi" w:hAnsiTheme="minorHAnsi"/>
          <w:color w:val="auto"/>
          <w:szCs w:val="24"/>
        </w:rPr>
        <w:t xml:space="preserve">during the FPEB, </w:t>
      </w:r>
      <w:r w:rsidR="00766BD0">
        <w:rPr>
          <w:rFonts w:asciiTheme="minorHAnsi" w:hAnsiTheme="minorHAnsi"/>
          <w:color w:val="auto"/>
          <w:szCs w:val="24"/>
        </w:rPr>
        <w:t xml:space="preserve">the CI was observed to </w:t>
      </w:r>
      <w:r w:rsidR="00895CBD" w:rsidRPr="0022230A">
        <w:rPr>
          <w:rFonts w:asciiTheme="minorHAnsi" w:hAnsiTheme="minorHAnsi"/>
          <w:color w:val="auto"/>
          <w:szCs w:val="24"/>
        </w:rPr>
        <w:t>spontaneously</w:t>
      </w:r>
      <w:r w:rsidR="00895CBD">
        <w:rPr>
          <w:rFonts w:asciiTheme="minorHAnsi" w:hAnsiTheme="minorHAnsi"/>
          <w:color w:val="auto"/>
          <w:szCs w:val="24"/>
        </w:rPr>
        <w:t xml:space="preserve"> </w:t>
      </w:r>
      <w:r w:rsidR="00A64288">
        <w:rPr>
          <w:rFonts w:asciiTheme="minorHAnsi" w:hAnsiTheme="minorHAnsi"/>
          <w:color w:val="auto"/>
          <w:szCs w:val="24"/>
        </w:rPr>
        <w:t>“</w:t>
      </w:r>
      <w:r w:rsidR="00A64288" w:rsidRPr="00A64288">
        <w:rPr>
          <w:rFonts w:asciiTheme="minorHAnsi" w:hAnsiTheme="minorHAnsi"/>
          <w:color w:val="auto"/>
          <w:szCs w:val="24"/>
        </w:rPr>
        <w:t>forward flex well beyond 30 degrees and likely closer to 40 degrees but when asked to</w:t>
      </w:r>
      <w:r w:rsidR="00A64288">
        <w:rPr>
          <w:rFonts w:asciiTheme="minorHAnsi" w:hAnsiTheme="minorHAnsi"/>
          <w:color w:val="auto"/>
          <w:szCs w:val="24"/>
        </w:rPr>
        <w:t xml:space="preserve"> </w:t>
      </w:r>
      <w:r w:rsidR="00A64288" w:rsidRPr="00A64288">
        <w:rPr>
          <w:rFonts w:asciiTheme="minorHAnsi" w:hAnsiTheme="minorHAnsi"/>
          <w:color w:val="auto"/>
          <w:szCs w:val="24"/>
        </w:rPr>
        <w:t>stand and demonstrate his forward flexion, moved only slightly beyond the vertical plane.</w:t>
      </w:r>
      <w:r w:rsidR="00A64288">
        <w:rPr>
          <w:rFonts w:asciiTheme="minorHAnsi" w:hAnsiTheme="minorHAnsi"/>
          <w:color w:val="auto"/>
          <w:szCs w:val="24"/>
        </w:rPr>
        <w:t xml:space="preserve">” </w:t>
      </w:r>
      <w:r w:rsidR="00766BD0">
        <w:rPr>
          <w:rFonts w:asciiTheme="minorHAnsi" w:hAnsiTheme="minorHAnsi"/>
          <w:color w:val="auto"/>
          <w:szCs w:val="24"/>
        </w:rPr>
        <w:t xml:space="preserve"> </w:t>
      </w:r>
      <w:r w:rsidR="00895CBD" w:rsidRPr="0022230A">
        <w:rPr>
          <w:rFonts w:asciiTheme="minorHAnsi" w:hAnsiTheme="minorHAnsi"/>
          <w:color w:val="auto"/>
          <w:szCs w:val="24"/>
        </w:rPr>
        <w:t>Thus, the FPEB considered the ROM measurements recorded in the MEB to have significantly overestimated the functional impairment.</w:t>
      </w:r>
      <w:r w:rsidR="00895CBD">
        <w:rPr>
          <w:rFonts w:asciiTheme="minorHAnsi" w:hAnsiTheme="minorHAnsi"/>
          <w:color w:val="auto"/>
          <w:szCs w:val="24"/>
        </w:rPr>
        <w:t xml:space="preserve">  </w:t>
      </w:r>
      <w:r w:rsidRPr="00C356D6">
        <w:rPr>
          <w:rFonts w:asciiTheme="minorHAnsi" w:hAnsiTheme="minorHAnsi"/>
          <w:color w:val="auto"/>
          <w:szCs w:val="24"/>
        </w:rPr>
        <w:t xml:space="preserve">The range of motion exams for the back were found to be quite variable, </w:t>
      </w:r>
      <w:r w:rsidR="00C356D6">
        <w:rPr>
          <w:rFonts w:asciiTheme="minorHAnsi" w:hAnsiTheme="minorHAnsi"/>
          <w:color w:val="auto"/>
          <w:szCs w:val="24"/>
        </w:rPr>
        <w:t xml:space="preserve">ranging from “normal lumbar ROM” recorded by </w:t>
      </w:r>
      <w:r w:rsidRPr="00C356D6">
        <w:rPr>
          <w:rFonts w:asciiTheme="minorHAnsi" w:hAnsiTheme="minorHAnsi"/>
          <w:color w:val="auto"/>
          <w:szCs w:val="24"/>
        </w:rPr>
        <w:t xml:space="preserve">a corpsman in </w:t>
      </w:r>
      <w:r w:rsidR="00C356D6">
        <w:rPr>
          <w:rFonts w:asciiTheme="minorHAnsi" w:hAnsiTheme="minorHAnsi"/>
          <w:color w:val="auto"/>
          <w:szCs w:val="24"/>
        </w:rPr>
        <w:t xml:space="preserve">November </w:t>
      </w:r>
      <w:r w:rsidRPr="00C356D6">
        <w:rPr>
          <w:rFonts w:asciiTheme="minorHAnsi" w:hAnsiTheme="minorHAnsi"/>
          <w:color w:val="auto"/>
          <w:szCs w:val="24"/>
        </w:rPr>
        <w:t>2005,</w:t>
      </w:r>
      <w:r w:rsidR="00C356D6">
        <w:rPr>
          <w:rFonts w:asciiTheme="minorHAnsi" w:hAnsiTheme="minorHAnsi"/>
          <w:color w:val="auto"/>
          <w:szCs w:val="24"/>
        </w:rPr>
        <w:t xml:space="preserve"> 70 degrees measured by </w:t>
      </w:r>
      <w:r w:rsidRPr="00C356D6">
        <w:rPr>
          <w:rFonts w:asciiTheme="minorHAnsi" w:hAnsiTheme="minorHAnsi"/>
          <w:color w:val="auto"/>
          <w:szCs w:val="24"/>
        </w:rPr>
        <w:t xml:space="preserve">an orthopedic </w:t>
      </w:r>
      <w:r w:rsidR="00C356D6">
        <w:rPr>
          <w:rFonts w:asciiTheme="minorHAnsi" w:hAnsiTheme="minorHAnsi"/>
          <w:color w:val="auto"/>
          <w:szCs w:val="24"/>
        </w:rPr>
        <w:t xml:space="preserve">surgeon </w:t>
      </w:r>
      <w:r w:rsidR="00DB7280" w:rsidRPr="00C356D6">
        <w:rPr>
          <w:rFonts w:asciiTheme="minorHAnsi" w:hAnsiTheme="minorHAnsi"/>
          <w:color w:val="auto"/>
          <w:szCs w:val="24"/>
        </w:rPr>
        <w:t xml:space="preserve">in </w:t>
      </w:r>
      <w:r w:rsidR="00C356D6">
        <w:rPr>
          <w:rFonts w:asciiTheme="minorHAnsi" w:hAnsiTheme="minorHAnsi"/>
          <w:color w:val="auto"/>
          <w:szCs w:val="24"/>
        </w:rPr>
        <w:t xml:space="preserve">January </w:t>
      </w:r>
      <w:r w:rsidR="00DB7280" w:rsidRPr="00C356D6">
        <w:rPr>
          <w:rFonts w:asciiTheme="minorHAnsi" w:hAnsiTheme="minorHAnsi"/>
          <w:color w:val="auto"/>
          <w:szCs w:val="24"/>
        </w:rPr>
        <w:t>2003</w:t>
      </w:r>
      <w:r w:rsidRPr="00C356D6">
        <w:rPr>
          <w:rFonts w:asciiTheme="minorHAnsi" w:hAnsiTheme="minorHAnsi"/>
          <w:color w:val="auto"/>
          <w:szCs w:val="24"/>
        </w:rPr>
        <w:t>, to the most restrictive exam of 10 degrees documented by the MEB exam</w:t>
      </w:r>
      <w:r w:rsidR="008F5C23" w:rsidRPr="00C356D6">
        <w:rPr>
          <w:rFonts w:asciiTheme="minorHAnsi" w:hAnsiTheme="minorHAnsi"/>
          <w:color w:val="auto"/>
          <w:szCs w:val="24"/>
        </w:rPr>
        <w:t xml:space="preserve"> in March of 2005</w:t>
      </w:r>
      <w:r w:rsidRPr="00C356D6">
        <w:rPr>
          <w:rFonts w:asciiTheme="minorHAnsi" w:hAnsiTheme="minorHAnsi"/>
          <w:color w:val="auto"/>
          <w:szCs w:val="24"/>
        </w:rPr>
        <w:t xml:space="preserve">.  Of these numerous exams found in the </w:t>
      </w:r>
      <w:r w:rsidRPr="00C356D6">
        <w:rPr>
          <w:rFonts w:asciiTheme="minorHAnsi" w:hAnsiTheme="minorHAnsi"/>
          <w:color w:val="auto"/>
          <w:szCs w:val="24"/>
        </w:rPr>
        <w:lastRenderedPageBreak/>
        <w:t xml:space="preserve">service treatment record and twelve months post separation, they appeared to be most consistent with the FPEB’s findings and the VA </w:t>
      </w:r>
      <w:r w:rsidR="00835993">
        <w:rPr>
          <w:rFonts w:asciiTheme="minorHAnsi" w:hAnsiTheme="minorHAnsi"/>
          <w:color w:val="auto"/>
          <w:szCs w:val="24"/>
        </w:rPr>
        <w:t xml:space="preserve">compensation and pension </w:t>
      </w:r>
      <w:r w:rsidRPr="00C356D6">
        <w:rPr>
          <w:rFonts w:asciiTheme="minorHAnsi" w:hAnsiTheme="minorHAnsi"/>
          <w:color w:val="auto"/>
          <w:szCs w:val="24"/>
        </w:rPr>
        <w:t>exam</w:t>
      </w:r>
      <w:r w:rsidR="00835993">
        <w:rPr>
          <w:rFonts w:asciiTheme="minorHAnsi" w:hAnsiTheme="minorHAnsi"/>
          <w:color w:val="auto"/>
          <w:szCs w:val="24"/>
        </w:rPr>
        <w:t xml:space="preserve"> (C&amp;P)</w:t>
      </w:r>
      <w:r w:rsidRPr="00C356D6">
        <w:rPr>
          <w:rFonts w:asciiTheme="minorHAnsi" w:hAnsiTheme="minorHAnsi"/>
          <w:color w:val="auto"/>
          <w:szCs w:val="24"/>
        </w:rPr>
        <w:t>.</w:t>
      </w:r>
      <w:r w:rsidR="00C356D6">
        <w:rPr>
          <w:rFonts w:asciiTheme="minorHAnsi" w:hAnsiTheme="minorHAnsi"/>
          <w:color w:val="auto"/>
          <w:szCs w:val="24"/>
        </w:rPr>
        <w:t xml:space="preserve">  </w:t>
      </w:r>
      <w:r w:rsidR="00835993">
        <w:rPr>
          <w:rFonts w:asciiTheme="minorHAnsi" w:hAnsiTheme="minorHAnsi"/>
          <w:color w:val="auto"/>
          <w:szCs w:val="24"/>
        </w:rPr>
        <w:t xml:space="preserve">The </w:t>
      </w:r>
      <w:r w:rsidR="005F7B76">
        <w:rPr>
          <w:rFonts w:asciiTheme="minorHAnsi" w:hAnsiTheme="minorHAnsi"/>
          <w:color w:val="auto"/>
          <w:szCs w:val="24"/>
        </w:rPr>
        <w:t>(C&amp;P)</w:t>
      </w:r>
      <w:r w:rsidR="00441B87" w:rsidRPr="0022230A">
        <w:rPr>
          <w:rFonts w:asciiTheme="minorHAnsi" w:hAnsiTheme="minorHAnsi"/>
          <w:color w:val="auto"/>
          <w:szCs w:val="24"/>
        </w:rPr>
        <w:t>, two months after separation,</w:t>
      </w:r>
      <w:r w:rsidR="00441B87">
        <w:rPr>
          <w:rFonts w:asciiTheme="minorHAnsi" w:hAnsiTheme="minorHAnsi"/>
          <w:color w:val="auto"/>
          <w:szCs w:val="24"/>
        </w:rPr>
        <w:t xml:space="preserve"> </w:t>
      </w:r>
      <w:r w:rsidR="00766BD0">
        <w:rPr>
          <w:rFonts w:asciiTheme="minorHAnsi" w:hAnsiTheme="minorHAnsi"/>
          <w:color w:val="auto"/>
          <w:szCs w:val="24"/>
        </w:rPr>
        <w:t>also recorded a normal gait, absent muscle spasm, and normal spinal contour.  ROM was measured to the onset of pain.  DeLuca criteria were negative.  He found “</w:t>
      </w:r>
      <w:r w:rsidR="00766BD0" w:rsidRPr="00766BD0">
        <w:rPr>
          <w:rFonts w:asciiTheme="minorHAnsi" w:hAnsiTheme="minorHAnsi"/>
          <w:color w:val="auto"/>
          <w:szCs w:val="24"/>
        </w:rPr>
        <w:t>no signs of</w:t>
      </w:r>
      <w:r w:rsidR="00766BD0">
        <w:rPr>
          <w:rFonts w:asciiTheme="minorHAnsi" w:hAnsiTheme="minorHAnsi"/>
          <w:color w:val="auto"/>
          <w:szCs w:val="24"/>
        </w:rPr>
        <w:t xml:space="preserve"> </w:t>
      </w:r>
      <w:r w:rsidR="00766BD0" w:rsidRPr="00766BD0">
        <w:rPr>
          <w:rFonts w:asciiTheme="minorHAnsi" w:hAnsiTheme="minorHAnsi"/>
          <w:color w:val="auto"/>
          <w:szCs w:val="24"/>
        </w:rPr>
        <w:t>intervertebral disc syndrome with chronic and permanent nerve root involvement.</w:t>
      </w:r>
      <w:r w:rsidR="00766BD0">
        <w:rPr>
          <w:rFonts w:asciiTheme="minorHAnsi" w:hAnsiTheme="minorHAnsi"/>
          <w:color w:val="auto"/>
          <w:szCs w:val="24"/>
        </w:rPr>
        <w:t>”</w:t>
      </w:r>
      <w:r w:rsidR="0022230A">
        <w:rPr>
          <w:rFonts w:asciiTheme="minorHAnsi" w:hAnsiTheme="minorHAnsi"/>
          <w:color w:val="auto"/>
          <w:szCs w:val="24"/>
        </w:rPr>
        <w:t xml:space="preserve">  There was no incapacitation and the CI was reported as being able to </w:t>
      </w:r>
      <w:r w:rsidR="006658A1">
        <w:rPr>
          <w:rFonts w:asciiTheme="minorHAnsi" w:hAnsiTheme="minorHAnsi"/>
          <w:color w:val="auto"/>
          <w:szCs w:val="24"/>
        </w:rPr>
        <w:t xml:space="preserve">vacuum, drive a car, climb stairs, walk, take out the trash, shop, perform gardening activities, </w:t>
      </w:r>
      <w:r w:rsidR="0022230A">
        <w:rPr>
          <w:rFonts w:asciiTheme="minorHAnsi" w:hAnsiTheme="minorHAnsi"/>
          <w:color w:val="auto"/>
          <w:szCs w:val="24"/>
        </w:rPr>
        <w:t xml:space="preserve">and </w:t>
      </w:r>
      <w:r w:rsidR="006658A1">
        <w:rPr>
          <w:rFonts w:asciiTheme="minorHAnsi" w:hAnsiTheme="minorHAnsi"/>
          <w:color w:val="auto"/>
          <w:szCs w:val="24"/>
        </w:rPr>
        <w:t>push a lawn mower.</w:t>
      </w:r>
      <w:r w:rsidR="0022230A">
        <w:rPr>
          <w:rFonts w:asciiTheme="minorHAnsi" w:hAnsiTheme="minorHAnsi"/>
          <w:color w:val="auto"/>
          <w:szCs w:val="24"/>
        </w:rPr>
        <w:t xml:space="preserve">  </w:t>
      </w:r>
      <w:r w:rsidR="00766BD0">
        <w:rPr>
          <w:rFonts w:asciiTheme="minorHAnsi" w:hAnsiTheme="minorHAnsi"/>
          <w:color w:val="auto"/>
          <w:szCs w:val="24"/>
        </w:rPr>
        <w:t xml:space="preserve">In debating the probative value of the evidence presented, the </w:t>
      </w:r>
      <w:r w:rsidR="002535FB">
        <w:rPr>
          <w:rFonts w:asciiTheme="minorHAnsi" w:hAnsiTheme="minorHAnsi"/>
          <w:color w:val="auto"/>
          <w:szCs w:val="24"/>
        </w:rPr>
        <w:t>B</w:t>
      </w:r>
      <w:r w:rsidR="00B92F59">
        <w:rPr>
          <w:rFonts w:asciiTheme="minorHAnsi" w:hAnsiTheme="minorHAnsi"/>
          <w:color w:val="auto"/>
          <w:szCs w:val="24"/>
        </w:rPr>
        <w:t xml:space="preserve">oard </w:t>
      </w:r>
      <w:r w:rsidR="00766BD0">
        <w:rPr>
          <w:rFonts w:asciiTheme="minorHAnsi" w:hAnsiTheme="minorHAnsi"/>
          <w:color w:val="auto"/>
          <w:szCs w:val="24"/>
        </w:rPr>
        <w:t>agreed that</w:t>
      </w:r>
      <w:r w:rsidR="00B92F59">
        <w:rPr>
          <w:rFonts w:asciiTheme="minorHAnsi" w:hAnsiTheme="minorHAnsi"/>
          <w:color w:val="auto"/>
          <w:szCs w:val="24"/>
        </w:rPr>
        <w:t xml:space="preserve"> the VA C&amp;P exam</w:t>
      </w:r>
      <w:r w:rsidR="002535FB">
        <w:rPr>
          <w:rFonts w:asciiTheme="minorHAnsi" w:hAnsiTheme="minorHAnsi"/>
          <w:color w:val="auto"/>
          <w:szCs w:val="24"/>
        </w:rPr>
        <w:t xml:space="preserve"> </w:t>
      </w:r>
      <w:r w:rsidR="00766BD0">
        <w:rPr>
          <w:rFonts w:asciiTheme="minorHAnsi" w:hAnsiTheme="minorHAnsi"/>
          <w:color w:val="auto"/>
          <w:szCs w:val="24"/>
        </w:rPr>
        <w:t>was more complete, better documented, more proximate to the date of separation, and</w:t>
      </w:r>
      <w:r w:rsidR="00A64288">
        <w:rPr>
          <w:rFonts w:asciiTheme="minorHAnsi" w:hAnsiTheme="minorHAnsi"/>
          <w:color w:val="auto"/>
          <w:szCs w:val="24"/>
        </w:rPr>
        <w:t xml:space="preserve"> more</w:t>
      </w:r>
      <w:r w:rsidR="00766BD0">
        <w:rPr>
          <w:rFonts w:asciiTheme="minorHAnsi" w:hAnsiTheme="minorHAnsi"/>
          <w:color w:val="auto"/>
          <w:szCs w:val="24"/>
        </w:rPr>
        <w:t xml:space="preserve"> reflective of the</w:t>
      </w:r>
      <w:r w:rsidR="0022230A">
        <w:rPr>
          <w:rFonts w:asciiTheme="minorHAnsi" w:hAnsiTheme="minorHAnsi"/>
          <w:color w:val="auto"/>
          <w:szCs w:val="24"/>
        </w:rPr>
        <w:t xml:space="preserve"> objectively documented spinal pathology</w:t>
      </w:r>
      <w:r w:rsidR="00441B87">
        <w:rPr>
          <w:rFonts w:asciiTheme="minorHAnsi" w:hAnsiTheme="minorHAnsi"/>
          <w:color w:val="auto"/>
          <w:szCs w:val="24"/>
        </w:rPr>
        <w:t xml:space="preserve"> and </w:t>
      </w:r>
      <w:r w:rsidR="00766BD0">
        <w:rPr>
          <w:rFonts w:asciiTheme="minorHAnsi" w:hAnsiTheme="minorHAnsi"/>
          <w:color w:val="auto"/>
          <w:szCs w:val="24"/>
        </w:rPr>
        <w:t xml:space="preserve">totality of evidence before the Board. </w:t>
      </w:r>
      <w:r w:rsidR="00766BD0" w:rsidRPr="00766BD0">
        <w:rPr>
          <w:rFonts w:asciiTheme="minorHAnsi" w:hAnsiTheme="minorHAnsi"/>
          <w:color w:val="auto"/>
          <w:szCs w:val="24"/>
        </w:rPr>
        <w:t xml:space="preserve"> </w:t>
      </w:r>
      <w:r w:rsidRPr="00274557">
        <w:rPr>
          <w:rFonts w:asciiTheme="minorHAnsi" w:hAnsiTheme="minorHAnsi"/>
          <w:color w:val="auto"/>
          <w:szCs w:val="24"/>
        </w:rPr>
        <w:t>The IPEB 10% rating was not consistent with VASRD standards, however the FPEB 20% rating was consistent with VASRD §4.71a standards based on the observed ROM of over 30 degrees during the FPEB</w:t>
      </w:r>
      <w:r w:rsidR="00DB7280">
        <w:rPr>
          <w:rFonts w:asciiTheme="minorHAnsi" w:hAnsiTheme="minorHAnsi"/>
          <w:color w:val="auto"/>
          <w:szCs w:val="24"/>
        </w:rPr>
        <w:t xml:space="preserve"> proceedings</w:t>
      </w:r>
      <w:r w:rsidRPr="00274557">
        <w:rPr>
          <w:rFonts w:asciiTheme="minorHAnsi" w:hAnsiTheme="minorHAnsi"/>
          <w:color w:val="auto"/>
          <w:szCs w:val="24"/>
        </w:rPr>
        <w:t>.</w:t>
      </w:r>
      <w:r>
        <w:rPr>
          <w:rFonts w:asciiTheme="minorHAnsi" w:hAnsiTheme="minorHAnsi"/>
          <w:color w:val="auto"/>
          <w:szCs w:val="24"/>
        </w:rPr>
        <w:t xml:space="preserve">  </w:t>
      </w:r>
      <w:r w:rsidR="00441B87" w:rsidRPr="0022230A">
        <w:rPr>
          <w:rFonts w:asciiTheme="minorHAnsi" w:hAnsiTheme="minorHAnsi"/>
          <w:color w:val="auto"/>
          <w:szCs w:val="24"/>
        </w:rPr>
        <w:t>Although t</w:t>
      </w:r>
      <w:r w:rsidR="00766BD0" w:rsidRPr="0022230A">
        <w:rPr>
          <w:rFonts w:asciiTheme="minorHAnsi" w:hAnsiTheme="minorHAnsi"/>
          <w:color w:val="auto"/>
          <w:szCs w:val="24"/>
        </w:rPr>
        <w:t>he PEB and VA chose different coding options for the condition, this did not bear on rating.</w:t>
      </w:r>
      <w:r w:rsidR="00766BD0" w:rsidRPr="00766BD0">
        <w:rPr>
          <w:rFonts w:asciiTheme="minorHAnsi" w:hAnsiTheme="minorHAnsi"/>
          <w:color w:val="auto"/>
          <w:szCs w:val="24"/>
        </w:rPr>
        <w:t xml:space="preserve">  </w:t>
      </w:r>
      <w:r w:rsidR="003B215A" w:rsidRPr="003B215A">
        <w:rPr>
          <w:rFonts w:asciiTheme="minorHAnsi" w:hAnsiTheme="minorHAnsi"/>
          <w:color w:val="auto"/>
          <w:szCs w:val="24"/>
        </w:rPr>
        <w:t xml:space="preserve">There was no evidence of ratable peripheral nerve impairment in this case.  </w:t>
      </w:r>
      <w:r w:rsidR="004F6886">
        <w:rPr>
          <w:rFonts w:asciiTheme="minorHAnsi" w:hAnsiTheme="minorHAnsi"/>
          <w:color w:val="auto"/>
          <w:szCs w:val="24"/>
        </w:rPr>
        <w:t>All evidence considered</w:t>
      </w:r>
      <w:r w:rsidR="002A61C4" w:rsidRPr="00664296">
        <w:rPr>
          <w:rFonts w:asciiTheme="minorHAnsi" w:hAnsiTheme="minorHAnsi"/>
          <w:color w:val="auto"/>
          <w:szCs w:val="24"/>
        </w:rPr>
        <w:t xml:space="preserve"> there is not reasonable doubt in the CI’s favor supporting a change from the </w:t>
      </w:r>
      <w:r w:rsidR="002A61C4">
        <w:rPr>
          <w:rFonts w:asciiTheme="minorHAnsi" w:hAnsiTheme="minorHAnsi"/>
          <w:color w:val="auto"/>
          <w:szCs w:val="24"/>
        </w:rPr>
        <w:t>F</w:t>
      </w:r>
      <w:r w:rsidR="002A61C4" w:rsidRPr="00664296">
        <w:rPr>
          <w:rFonts w:asciiTheme="minorHAnsi" w:hAnsiTheme="minorHAnsi"/>
          <w:color w:val="auto"/>
          <w:szCs w:val="24"/>
        </w:rPr>
        <w:t xml:space="preserve">PEB’s rating decision for the </w:t>
      </w:r>
      <w:r w:rsidR="002A61C4">
        <w:rPr>
          <w:rFonts w:asciiTheme="minorHAnsi" w:hAnsiTheme="minorHAnsi"/>
          <w:color w:val="auto"/>
          <w:szCs w:val="24"/>
        </w:rPr>
        <w:t>back</w:t>
      </w:r>
      <w:r w:rsidR="002A61C4" w:rsidRPr="00664296">
        <w:rPr>
          <w:rFonts w:asciiTheme="minorHAnsi" w:hAnsiTheme="minorHAnsi"/>
          <w:color w:val="auto"/>
          <w:szCs w:val="24"/>
        </w:rPr>
        <w:t xml:space="preserve"> condition.</w:t>
      </w:r>
    </w:p>
    <w:p w:rsidR="00BF3F01" w:rsidRDefault="00BF3F01" w:rsidP="0022230A">
      <w:pPr>
        <w:tabs>
          <w:tab w:val="left" w:pos="288"/>
          <w:tab w:val="left" w:pos="4752"/>
        </w:tabs>
        <w:spacing w:line="240" w:lineRule="exact"/>
        <w:jc w:val="both"/>
        <w:rPr>
          <w:rFonts w:asciiTheme="minorHAnsi" w:hAnsiTheme="minorHAnsi"/>
          <w:color w:val="auto"/>
          <w:szCs w:val="24"/>
        </w:rPr>
      </w:pPr>
    </w:p>
    <w:p w:rsidR="008D4FF6" w:rsidRDefault="00BF3F01" w:rsidP="008D4FF6">
      <w:pPr>
        <w:tabs>
          <w:tab w:val="left" w:pos="288"/>
          <w:tab w:val="left" w:pos="4752"/>
        </w:tabs>
        <w:spacing w:line="240" w:lineRule="exact"/>
        <w:jc w:val="both"/>
        <w:rPr>
          <w:rFonts w:asciiTheme="minorHAnsi" w:hAnsiTheme="minorHAnsi"/>
          <w:color w:val="auto"/>
          <w:szCs w:val="24"/>
        </w:rPr>
      </w:pPr>
      <w:r w:rsidRPr="002A61C4">
        <w:rPr>
          <w:rFonts w:asciiTheme="minorHAnsi" w:hAnsiTheme="minorHAnsi"/>
          <w:color w:val="auto"/>
          <w:szCs w:val="24"/>
          <w:u w:val="single"/>
        </w:rPr>
        <w:t xml:space="preserve">Neck </w:t>
      </w:r>
      <w:r w:rsidR="002A61C4" w:rsidRPr="002A61C4">
        <w:rPr>
          <w:rFonts w:asciiTheme="minorHAnsi" w:hAnsiTheme="minorHAnsi"/>
          <w:color w:val="auto"/>
          <w:szCs w:val="24"/>
          <w:u w:val="single"/>
        </w:rPr>
        <w:t>Condition</w:t>
      </w:r>
      <w:r w:rsidR="005B51FE">
        <w:rPr>
          <w:rFonts w:asciiTheme="minorHAnsi" w:hAnsiTheme="minorHAnsi"/>
          <w:color w:val="auto"/>
          <w:szCs w:val="24"/>
        </w:rPr>
        <w:t>:</w:t>
      </w:r>
      <w:r w:rsidR="003B215A">
        <w:rPr>
          <w:rFonts w:asciiTheme="minorHAnsi" w:hAnsiTheme="minorHAnsi"/>
          <w:color w:val="auto"/>
          <w:szCs w:val="24"/>
        </w:rPr>
        <w:t xml:space="preserve"> </w:t>
      </w:r>
      <w:r w:rsidR="00CC4CED" w:rsidRPr="00B31469">
        <w:rPr>
          <w:rFonts w:asciiTheme="minorHAnsi" w:hAnsiTheme="minorHAnsi"/>
          <w:color w:val="auto"/>
          <w:szCs w:val="24"/>
        </w:rPr>
        <w:t xml:space="preserve">The Board’s main charge in respect to this condition is an assessment of the appropriateness of the </w:t>
      </w:r>
      <w:r w:rsidR="00441B87">
        <w:rPr>
          <w:rFonts w:asciiTheme="minorHAnsi" w:hAnsiTheme="minorHAnsi"/>
          <w:color w:val="auto"/>
          <w:szCs w:val="24"/>
        </w:rPr>
        <w:t>F</w:t>
      </w:r>
      <w:r w:rsidR="00CC4CED" w:rsidRPr="00B31469">
        <w:rPr>
          <w:rFonts w:asciiTheme="minorHAnsi" w:hAnsiTheme="minorHAnsi"/>
          <w:color w:val="auto"/>
          <w:szCs w:val="24"/>
        </w:rPr>
        <w:t>PEB’s fitness adjudication</w:t>
      </w:r>
      <w:r w:rsidR="00CC4CED">
        <w:rPr>
          <w:rFonts w:asciiTheme="minorHAnsi" w:hAnsiTheme="minorHAnsi"/>
          <w:color w:val="auto"/>
          <w:szCs w:val="24"/>
        </w:rPr>
        <w:t xml:space="preserve">. </w:t>
      </w:r>
      <w:r w:rsidR="006F687F">
        <w:rPr>
          <w:rFonts w:asciiTheme="minorHAnsi" w:hAnsiTheme="minorHAnsi"/>
          <w:color w:val="auto"/>
          <w:szCs w:val="24"/>
        </w:rPr>
        <w:t xml:space="preserve"> </w:t>
      </w:r>
      <w:r w:rsidR="008D4FF6" w:rsidRPr="00763CA3">
        <w:rPr>
          <w:rFonts w:asciiTheme="minorHAnsi" w:hAnsiTheme="minorHAnsi"/>
          <w:color w:val="auto"/>
          <w:szCs w:val="24"/>
        </w:rPr>
        <w:t xml:space="preserve">There were </w:t>
      </w:r>
      <w:r w:rsidR="008D4FF6">
        <w:rPr>
          <w:rFonts w:asciiTheme="minorHAnsi" w:hAnsiTheme="minorHAnsi"/>
          <w:color w:val="auto"/>
          <w:szCs w:val="24"/>
        </w:rPr>
        <w:t>2</w:t>
      </w:r>
      <w:r w:rsidR="008D4FF6" w:rsidRPr="00763CA3">
        <w:rPr>
          <w:rFonts w:asciiTheme="minorHAnsi" w:hAnsiTheme="minorHAnsi"/>
          <w:color w:val="auto"/>
          <w:szCs w:val="24"/>
        </w:rPr>
        <w:t xml:space="preserve"> goniometric range-of-motion (ROM)</w:t>
      </w:r>
      <w:r w:rsidR="008D4FF6">
        <w:rPr>
          <w:rFonts w:asciiTheme="minorHAnsi" w:hAnsiTheme="minorHAnsi"/>
          <w:color w:val="auto"/>
          <w:szCs w:val="24"/>
        </w:rPr>
        <w:t xml:space="preserve"> </w:t>
      </w:r>
      <w:r w:rsidR="008D4FF6" w:rsidRPr="00763CA3">
        <w:rPr>
          <w:rFonts w:asciiTheme="minorHAnsi" w:hAnsiTheme="minorHAnsi"/>
          <w:color w:val="auto"/>
          <w:szCs w:val="24"/>
        </w:rPr>
        <w:t>evaluations</w:t>
      </w:r>
      <w:r w:rsidR="008D4FF6">
        <w:rPr>
          <w:rFonts w:asciiTheme="minorHAnsi" w:hAnsiTheme="minorHAnsi"/>
          <w:color w:val="auto"/>
          <w:szCs w:val="24"/>
        </w:rPr>
        <w:t xml:space="preserve"> for neck</w:t>
      </w:r>
      <w:r w:rsidR="008D4FF6" w:rsidRPr="00763CA3">
        <w:rPr>
          <w:rFonts w:asciiTheme="minorHAnsi" w:hAnsiTheme="minorHAnsi"/>
          <w:color w:val="auto"/>
          <w:szCs w:val="24"/>
        </w:rPr>
        <w:t xml:space="preserve"> in evidence which the Board weighed in arriving at its rating recommendation. </w:t>
      </w:r>
      <w:r w:rsidR="008D4FF6">
        <w:rPr>
          <w:rFonts w:asciiTheme="minorHAnsi" w:hAnsiTheme="minorHAnsi"/>
          <w:color w:val="auto"/>
          <w:szCs w:val="24"/>
        </w:rPr>
        <w:t xml:space="preserve"> </w:t>
      </w:r>
      <w:r w:rsidR="008D4FF6" w:rsidRPr="00763CA3">
        <w:rPr>
          <w:rFonts w:asciiTheme="minorHAnsi" w:hAnsiTheme="minorHAnsi"/>
          <w:color w:val="auto"/>
          <w:szCs w:val="24"/>
        </w:rPr>
        <w:t>Both of these exams are summarized in the chart below.</w:t>
      </w:r>
    </w:p>
    <w:p w:rsidR="008D4FF6" w:rsidRDefault="008D4FF6" w:rsidP="0022230A">
      <w:pPr>
        <w:tabs>
          <w:tab w:val="left" w:pos="288"/>
          <w:tab w:val="left" w:pos="4752"/>
        </w:tabs>
        <w:spacing w:line="240" w:lineRule="exact"/>
        <w:jc w:val="both"/>
        <w:rPr>
          <w:rFonts w:asciiTheme="minorHAnsi" w:hAnsiTheme="minorHAnsi"/>
          <w:color w:val="auto"/>
          <w:szCs w:val="24"/>
        </w:rPr>
      </w:pPr>
    </w:p>
    <w:tbl>
      <w:tblPr>
        <w:tblW w:w="0" w:type="auto"/>
        <w:jc w:val="center"/>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4"/>
        <w:gridCol w:w="2122"/>
        <w:gridCol w:w="2481"/>
      </w:tblGrid>
      <w:tr w:rsidR="00DB7280" w:rsidRPr="00C34CEB" w:rsidTr="008F5C23">
        <w:trPr>
          <w:jc w:val="center"/>
        </w:trPr>
        <w:tc>
          <w:tcPr>
            <w:tcW w:w="262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B7280" w:rsidRPr="00313D7A" w:rsidRDefault="00DB7280" w:rsidP="008F5C23">
            <w:pPr>
              <w:spacing w:line="200" w:lineRule="exact"/>
              <w:ind w:left="-245"/>
              <w:contextualSpacing/>
              <w:jc w:val="center"/>
              <w:rPr>
                <w:rFonts w:asciiTheme="minorHAnsi" w:eastAsia="Calibri" w:hAnsiTheme="minorHAnsi"/>
                <w:b/>
                <w:color w:val="auto"/>
                <w:sz w:val="20"/>
              </w:rPr>
            </w:pPr>
            <w:r w:rsidRPr="00313D7A">
              <w:rPr>
                <w:rFonts w:asciiTheme="minorHAnsi" w:eastAsia="Calibri" w:hAnsiTheme="minorHAnsi" w:cstheme="minorBidi"/>
                <w:color w:val="auto"/>
                <w:sz w:val="20"/>
              </w:rPr>
              <w:t>Goniometric ROM – Cervical</w:t>
            </w:r>
          </w:p>
        </w:tc>
        <w:tc>
          <w:tcPr>
            <w:tcW w:w="212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B7280" w:rsidRPr="00FB42B7" w:rsidRDefault="00DB7280" w:rsidP="008F5C23">
            <w:pPr>
              <w:spacing w:line="200" w:lineRule="exact"/>
              <w:ind w:left="-245"/>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 </w:t>
            </w:r>
            <w:r>
              <w:rPr>
                <w:rFonts w:asciiTheme="minorHAnsi" w:eastAsia="Calibri" w:hAnsiTheme="minorHAnsi"/>
                <w:color w:val="auto"/>
                <w:sz w:val="20"/>
              </w:rPr>
              <w:t>10</w:t>
            </w:r>
            <w:r w:rsidRPr="00FB42B7">
              <w:rPr>
                <w:rFonts w:asciiTheme="minorHAnsi" w:eastAsia="Calibri" w:hAnsiTheme="minorHAnsi"/>
                <w:color w:val="auto"/>
                <w:sz w:val="20"/>
              </w:rPr>
              <w:t xml:space="preserve"> Mo. Pre-Sep</w:t>
            </w:r>
          </w:p>
        </w:tc>
        <w:tc>
          <w:tcPr>
            <w:tcW w:w="248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B7280" w:rsidRPr="00FB42B7" w:rsidRDefault="00DB7280" w:rsidP="008F5C23">
            <w:pPr>
              <w:spacing w:line="200" w:lineRule="exact"/>
              <w:ind w:left="-245"/>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2</w:t>
            </w:r>
            <w:r w:rsidRPr="00FB42B7">
              <w:rPr>
                <w:rFonts w:asciiTheme="minorHAnsi" w:eastAsia="Calibri" w:hAnsiTheme="minorHAnsi"/>
                <w:color w:val="auto"/>
                <w:sz w:val="20"/>
              </w:rPr>
              <w:t xml:space="preserve"> Mo. After-Sep</w:t>
            </w:r>
          </w:p>
        </w:tc>
      </w:tr>
      <w:tr w:rsidR="00DB7280" w:rsidRPr="00C34CEB" w:rsidTr="008F5C23">
        <w:trPr>
          <w:jc w:val="center"/>
        </w:trPr>
        <w:tc>
          <w:tcPr>
            <w:tcW w:w="2624" w:type="dxa"/>
            <w:tcBorders>
              <w:top w:val="single" w:sz="4" w:space="0" w:color="000000"/>
              <w:left w:val="single" w:sz="4" w:space="0" w:color="000000"/>
              <w:bottom w:val="single" w:sz="4" w:space="0" w:color="000000"/>
              <w:right w:val="single" w:sz="4" w:space="0" w:color="000000"/>
            </w:tcBorders>
            <w:vAlign w:val="center"/>
            <w:hideMark/>
          </w:tcPr>
          <w:p w:rsidR="00DB7280" w:rsidRPr="00C34CEB" w:rsidRDefault="00DB7280" w:rsidP="007940F0">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Flex (0-45)</w:t>
            </w:r>
          </w:p>
        </w:tc>
        <w:tc>
          <w:tcPr>
            <w:tcW w:w="2122" w:type="dxa"/>
            <w:tcBorders>
              <w:top w:val="single" w:sz="4" w:space="0" w:color="000000"/>
              <w:left w:val="single" w:sz="4" w:space="0" w:color="000000"/>
              <w:bottom w:val="single" w:sz="4" w:space="0" w:color="000000"/>
              <w:right w:val="single" w:sz="4" w:space="0" w:color="000000"/>
            </w:tcBorders>
            <w:vAlign w:val="center"/>
          </w:tcPr>
          <w:p w:rsidR="00DB7280" w:rsidRPr="00C34CEB" w:rsidRDefault="00DB7280" w:rsidP="007940F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10</w:t>
            </w:r>
            <w:r w:rsidRPr="00C34CEB">
              <w:rPr>
                <w:rFonts w:asciiTheme="minorHAnsi" w:eastAsia="Calibri" w:hAnsiTheme="minorHAnsi"/>
                <w:color w:val="auto"/>
                <w:sz w:val="18"/>
                <w:szCs w:val="18"/>
              </w:rPr>
              <w:t>⁰</w:t>
            </w:r>
          </w:p>
        </w:tc>
        <w:tc>
          <w:tcPr>
            <w:tcW w:w="2481" w:type="dxa"/>
            <w:tcBorders>
              <w:top w:val="single" w:sz="4" w:space="0" w:color="000000"/>
              <w:left w:val="single" w:sz="4" w:space="0" w:color="000000"/>
              <w:bottom w:val="single" w:sz="4" w:space="0" w:color="000000"/>
              <w:right w:val="single" w:sz="4" w:space="0" w:color="000000"/>
            </w:tcBorders>
            <w:vAlign w:val="center"/>
          </w:tcPr>
          <w:p w:rsidR="00DB7280" w:rsidRPr="00C34CEB" w:rsidRDefault="00DB7280" w:rsidP="007940F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r>
      <w:tr w:rsidR="00DB7280" w:rsidRPr="00C34CEB" w:rsidTr="008F5C23">
        <w:trPr>
          <w:jc w:val="center"/>
        </w:trPr>
        <w:tc>
          <w:tcPr>
            <w:tcW w:w="2624" w:type="dxa"/>
            <w:tcBorders>
              <w:top w:val="single" w:sz="4" w:space="0" w:color="000000"/>
              <w:left w:val="single" w:sz="4" w:space="0" w:color="000000"/>
              <w:bottom w:val="single" w:sz="4" w:space="0" w:color="000000"/>
              <w:right w:val="single" w:sz="4" w:space="0" w:color="000000"/>
            </w:tcBorders>
            <w:vAlign w:val="center"/>
            <w:hideMark/>
          </w:tcPr>
          <w:p w:rsidR="00DB7280" w:rsidRPr="00C34CEB" w:rsidRDefault="00DB7280" w:rsidP="007940F0">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Ext (0-45)</w:t>
            </w:r>
          </w:p>
        </w:tc>
        <w:tc>
          <w:tcPr>
            <w:tcW w:w="2122" w:type="dxa"/>
            <w:tcBorders>
              <w:top w:val="single" w:sz="4" w:space="0" w:color="000000"/>
              <w:left w:val="single" w:sz="4" w:space="0" w:color="000000"/>
              <w:bottom w:val="single" w:sz="4" w:space="0" w:color="000000"/>
              <w:right w:val="single" w:sz="4" w:space="0" w:color="000000"/>
            </w:tcBorders>
            <w:vAlign w:val="center"/>
          </w:tcPr>
          <w:p w:rsidR="00DB7280" w:rsidRPr="00C34CEB" w:rsidRDefault="008F5C23" w:rsidP="007940F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5</w:t>
            </w:r>
            <w:r w:rsidR="00DB7280" w:rsidRPr="00C34CEB">
              <w:rPr>
                <w:rFonts w:asciiTheme="minorHAnsi" w:eastAsia="Calibri" w:hAnsiTheme="minorHAnsi"/>
                <w:color w:val="auto"/>
                <w:sz w:val="18"/>
                <w:szCs w:val="18"/>
              </w:rPr>
              <w:t>⁰</w:t>
            </w:r>
          </w:p>
        </w:tc>
        <w:tc>
          <w:tcPr>
            <w:tcW w:w="2481" w:type="dxa"/>
            <w:tcBorders>
              <w:top w:val="single" w:sz="4" w:space="0" w:color="000000"/>
              <w:left w:val="single" w:sz="4" w:space="0" w:color="000000"/>
              <w:bottom w:val="single" w:sz="4" w:space="0" w:color="000000"/>
              <w:right w:val="single" w:sz="4" w:space="0" w:color="000000"/>
            </w:tcBorders>
            <w:vAlign w:val="center"/>
          </w:tcPr>
          <w:p w:rsidR="00DB7280" w:rsidRPr="00C34CEB" w:rsidRDefault="008F5C23" w:rsidP="007940F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00DB7280" w:rsidRPr="00C34CEB">
              <w:rPr>
                <w:rFonts w:asciiTheme="minorHAnsi" w:eastAsia="Calibri" w:hAnsiTheme="minorHAnsi"/>
                <w:color w:val="auto"/>
                <w:sz w:val="18"/>
                <w:szCs w:val="18"/>
              </w:rPr>
              <w:t>⁰</w:t>
            </w:r>
          </w:p>
        </w:tc>
      </w:tr>
      <w:tr w:rsidR="00DB7280" w:rsidRPr="00C34CEB" w:rsidTr="008F5C23">
        <w:trPr>
          <w:jc w:val="center"/>
        </w:trPr>
        <w:tc>
          <w:tcPr>
            <w:tcW w:w="2624" w:type="dxa"/>
            <w:tcBorders>
              <w:top w:val="single" w:sz="4" w:space="0" w:color="000000"/>
              <w:left w:val="single" w:sz="4" w:space="0" w:color="000000"/>
              <w:bottom w:val="single" w:sz="4" w:space="0" w:color="auto"/>
              <w:right w:val="single" w:sz="4" w:space="0" w:color="000000"/>
            </w:tcBorders>
            <w:vAlign w:val="center"/>
            <w:hideMark/>
          </w:tcPr>
          <w:p w:rsidR="00DB7280" w:rsidRPr="00C34CEB" w:rsidRDefault="00DB7280" w:rsidP="007940F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Combined</w:t>
            </w:r>
            <w:r w:rsidR="008F5C23" w:rsidRPr="00C34CEB">
              <w:rPr>
                <w:rFonts w:asciiTheme="minorHAnsi" w:eastAsia="Calibri" w:hAnsiTheme="minorHAnsi"/>
                <w:color w:val="auto"/>
                <w:sz w:val="18"/>
                <w:szCs w:val="18"/>
              </w:rPr>
              <w:t xml:space="preserve"> (340</w:t>
            </w:r>
            <w:r w:rsidR="008F5C23">
              <w:rPr>
                <w:rFonts w:asciiTheme="minorHAnsi" w:eastAsia="Calibri" w:hAnsiTheme="minorHAnsi"/>
                <w:color w:val="auto"/>
                <w:sz w:val="18"/>
                <w:szCs w:val="18"/>
              </w:rPr>
              <w:t>)</w:t>
            </w:r>
          </w:p>
        </w:tc>
        <w:tc>
          <w:tcPr>
            <w:tcW w:w="2122" w:type="dxa"/>
            <w:tcBorders>
              <w:top w:val="single" w:sz="4" w:space="0" w:color="000000"/>
              <w:left w:val="single" w:sz="4" w:space="0" w:color="000000"/>
              <w:bottom w:val="single" w:sz="4" w:space="0" w:color="auto"/>
              <w:right w:val="single" w:sz="4" w:space="0" w:color="000000"/>
            </w:tcBorders>
            <w:vAlign w:val="center"/>
          </w:tcPr>
          <w:p w:rsidR="00DB7280" w:rsidRPr="00C34CEB" w:rsidRDefault="00DB7280" w:rsidP="00DB7280">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55</w:t>
            </w:r>
            <w:r w:rsidRPr="00C34CEB">
              <w:rPr>
                <w:rFonts w:asciiTheme="minorHAnsi" w:eastAsia="Calibri" w:hAnsiTheme="minorHAnsi"/>
                <w:color w:val="auto"/>
                <w:sz w:val="18"/>
                <w:szCs w:val="18"/>
              </w:rPr>
              <w:t>⁰</w:t>
            </w:r>
          </w:p>
        </w:tc>
        <w:tc>
          <w:tcPr>
            <w:tcW w:w="2481" w:type="dxa"/>
            <w:tcBorders>
              <w:top w:val="single" w:sz="4" w:space="0" w:color="000000"/>
              <w:left w:val="single" w:sz="4" w:space="0" w:color="000000"/>
              <w:bottom w:val="single" w:sz="4" w:space="0" w:color="auto"/>
              <w:right w:val="single" w:sz="4" w:space="0" w:color="000000"/>
            </w:tcBorders>
            <w:vAlign w:val="center"/>
          </w:tcPr>
          <w:p w:rsidR="00DB7280" w:rsidRPr="00C34CEB" w:rsidRDefault="00DB7280" w:rsidP="00DB7280">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160</w:t>
            </w:r>
            <w:r w:rsidRPr="00C34CEB">
              <w:rPr>
                <w:rFonts w:asciiTheme="minorHAnsi" w:eastAsia="Calibri" w:hAnsiTheme="minorHAnsi"/>
                <w:color w:val="auto"/>
                <w:sz w:val="18"/>
                <w:szCs w:val="18"/>
              </w:rPr>
              <w:t>⁰</w:t>
            </w:r>
          </w:p>
        </w:tc>
      </w:tr>
      <w:tr w:rsidR="00DB7280" w:rsidRPr="00C34CEB" w:rsidTr="008F5C23">
        <w:trPr>
          <w:jc w:val="center"/>
        </w:trPr>
        <w:tc>
          <w:tcPr>
            <w:tcW w:w="2624" w:type="dxa"/>
            <w:tcBorders>
              <w:top w:val="single" w:sz="4" w:space="0" w:color="000000"/>
              <w:left w:val="single" w:sz="4" w:space="0" w:color="000000"/>
              <w:bottom w:val="single" w:sz="4" w:space="0" w:color="auto"/>
              <w:right w:val="single" w:sz="4" w:space="0" w:color="000000"/>
            </w:tcBorders>
            <w:vAlign w:val="center"/>
            <w:hideMark/>
          </w:tcPr>
          <w:p w:rsidR="00DB7280" w:rsidRPr="00C34CEB" w:rsidRDefault="00DB7280" w:rsidP="007940F0">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Comment</w:t>
            </w:r>
          </w:p>
        </w:tc>
        <w:tc>
          <w:tcPr>
            <w:tcW w:w="2122" w:type="dxa"/>
            <w:tcBorders>
              <w:top w:val="single" w:sz="4" w:space="0" w:color="000000"/>
              <w:left w:val="single" w:sz="4" w:space="0" w:color="000000"/>
              <w:bottom w:val="single" w:sz="4" w:space="0" w:color="auto"/>
              <w:right w:val="single" w:sz="4" w:space="0" w:color="000000"/>
            </w:tcBorders>
            <w:vAlign w:val="center"/>
          </w:tcPr>
          <w:p w:rsidR="00DB7280" w:rsidRPr="00C34CEB" w:rsidRDefault="00DB7280" w:rsidP="00DB7280">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With pain</w:t>
            </w:r>
          </w:p>
        </w:tc>
        <w:tc>
          <w:tcPr>
            <w:tcW w:w="2481" w:type="dxa"/>
            <w:tcBorders>
              <w:top w:val="single" w:sz="4" w:space="0" w:color="000000"/>
              <w:left w:val="single" w:sz="4" w:space="0" w:color="000000"/>
              <w:bottom w:val="single" w:sz="4" w:space="0" w:color="auto"/>
              <w:right w:val="single" w:sz="4" w:space="0" w:color="000000"/>
            </w:tcBorders>
            <w:vAlign w:val="center"/>
          </w:tcPr>
          <w:p w:rsidR="00DB7280" w:rsidRPr="00C34CEB" w:rsidRDefault="00DB7280" w:rsidP="00DB7280">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With pain</w:t>
            </w:r>
          </w:p>
        </w:tc>
      </w:tr>
      <w:tr w:rsidR="00DB7280" w:rsidRPr="00C34CEB" w:rsidTr="008F5C23">
        <w:trPr>
          <w:jc w:val="center"/>
        </w:trPr>
        <w:tc>
          <w:tcPr>
            <w:tcW w:w="2624" w:type="dxa"/>
            <w:tcBorders>
              <w:top w:val="single" w:sz="4" w:space="0" w:color="000000"/>
              <w:left w:val="single" w:sz="4" w:space="0" w:color="000000"/>
              <w:bottom w:val="single" w:sz="4" w:space="0" w:color="auto"/>
              <w:right w:val="single" w:sz="4" w:space="0" w:color="000000"/>
            </w:tcBorders>
            <w:vAlign w:val="center"/>
            <w:hideMark/>
          </w:tcPr>
          <w:p w:rsidR="00DB7280" w:rsidRPr="00C34CEB" w:rsidRDefault="00DB7280" w:rsidP="007940F0">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§4.71a Rating</w:t>
            </w:r>
          </w:p>
        </w:tc>
        <w:tc>
          <w:tcPr>
            <w:tcW w:w="2122" w:type="dxa"/>
            <w:tcBorders>
              <w:top w:val="single" w:sz="4" w:space="0" w:color="000000"/>
              <w:left w:val="single" w:sz="4" w:space="0" w:color="000000"/>
              <w:bottom w:val="single" w:sz="4" w:space="0" w:color="auto"/>
              <w:right w:val="single" w:sz="4" w:space="0" w:color="000000"/>
            </w:tcBorders>
            <w:vAlign w:val="center"/>
          </w:tcPr>
          <w:p w:rsidR="00DB7280" w:rsidRPr="00C34CEB" w:rsidRDefault="00DB7280" w:rsidP="007940F0">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30</w:t>
            </w:r>
            <w:r w:rsidRPr="00C34CEB">
              <w:rPr>
                <w:rFonts w:asciiTheme="minorHAnsi" w:eastAsiaTheme="minorHAnsi" w:hAnsiTheme="minorHAnsi"/>
                <w:color w:val="auto"/>
                <w:sz w:val="18"/>
                <w:szCs w:val="18"/>
              </w:rPr>
              <w:t>%</w:t>
            </w:r>
          </w:p>
        </w:tc>
        <w:tc>
          <w:tcPr>
            <w:tcW w:w="2481" w:type="dxa"/>
            <w:tcBorders>
              <w:top w:val="single" w:sz="4" w:space="0" w:color="000000"/>
              <w:left w:val="single" w:sz="4" w:space="0" w:color="000000"/>
              <w:bottom w:val="single" w:sz="4" w:space="0" w:color="auto"/>
              <w:right w:val="single" w:sz="4" w:space="0" w:color="000000"/>
            </w:tcBorders>
            <w:vAlign w:val="center"/>
          </w:tcPr>
          <w:p w:rsidR="00DB7280" w:rsidRPr="00C34CEB" w:rsidRDefault="00DB7280" w:rsidP="007940F0">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Pr="00C34CEB">
              <w:rPr>
                <w:rFonts w:asciiTheme="minorHAnsi" w:eastAsiaTheme="minorHAnsi" w:hAnsiTheme="minorHAnsi"/>
                <w:color w:val="auto"/>
                <w:sz w:val="18"/>
                <w:szCs w:val="18"/>
              </w:rPr>
              <w:t>%</w:t>
            </w:r>
          </w:p>
        </w:tc>
      </w:tr>
    </w:tbl>
    <w:p w:rsidR="008D4FF6" w:rsidRDefault="008D4FF6" w:rsidP="0022230A">
      <w:pPr>
        <w:tabs>
          <w:tab w:val="left" w:pos="288"/>
          <w:tab w:val="left" w:pos="4752"/>
        </w:tabs>
        <w:spacing w:line="240" w:lineRule="exact"/>
        <w:jc w:val="both"/>
        <w:rPr>
          <w:rFonts w:asciiTheme="minorHAnsi" w:hAnsiTheme="minorHAnsi"/>
          <w:color w:val="auto"/>
          <w:szCs w:val="24"/>
        </w:rPr>
      </w:pPr>
    </w:p>
    <w:p w:rsidR="00D727A7" w:rsidRDefault="003B215A" w:rsidP="00DB728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records</w:t>
      </w:r>
      <w:r w:rsidR="0022230A">
        <w:rPr>
          <w:rFonts w:asciiTheme="minorHAnsi" w:hAnsiTheme="minorHAnsi"/>
          <w:color w:val="auto"/>
          <w:szCs w:val="24"/>
        </w:rPr>
        <w:t xml:space="preserve"> </w:t>
      </w:r>
      <w:r>
        <w:rPr>
          <w:rFonts w:asciiTheme="minorHAnsi" w:hAnsiTheme="minorHAnsi"/>
          <w:color w:val="auto"/>
          <w:szCs w:val="24"/>
        </w:rPr>
        <w:t>document treatment for neck pain.  There was a</w:t>
      </w:r>
      <w:r w:rsidR="00D42FB2">
        <w:rPr>
          <w:rFonts w:asciiTheme="minorHAnsi" w:hAnsiTheme="minorHAnsi"/>
          <w:color w:val="auto"/>
          <w:szCs w:val="24"/>
        </w:rPr>
        <w:t>n extensive and thorough</w:t>
      </w:r>
      <w:r>
        <w:rPr>
          <w:rFonts w:asciiTheme="minorHAnsi" w:hAnsiTheme="minorHAnsi"/>
          <w:color w:val="auto"/>
          <w:szCs w:val="24"/>
        </w:rPr>
        <w:t xml:space="preserve"> evaluation of his neck pain to include plain radiographs, MRI and myelogram of the cervical </w:t>
      </w:r>
      <w:r w:rsidR="00D6047B">
        <w:rPr>
          <w:rFonts w:asciiTheme="minorHAnsi" w:hAnsiTheme="minorHAnsi"/>
          <w:color w:val="auto"/>
          <w:szCs w:val="24"/>
        </w:rPr>
        <w:t>spine</w:t>
      </w:r>
      <w:r>
        <w:rPr>
          <w:rFonts w:asciiTheme="minorHAnsi" w:hAnsiTheme="minorHAnsi"/>
          <w:color w:val="auto"/>
          <w:szCs w:val="24"/>
        </w:rPr>
        <w:t xml:space="preserve"> and electrodiagnostic studies of the right upper extremity over a period of more than five years.  These evaluations revealed multilevel degenerative joint disease, neural foraminal narrowing </w:t>
      </w:r>
      <w:r w:rsidR="00854B7F">
        <w:rPr>
          <w:rFonts w:asciiTheme="minorHAnsi" w:hAnsiTheme="minorHAnsi"/>
          <w:color w:val="auto"/>
          <w:szCs w:val="24"/>
        </w:rPr>
        <w:t xml:space="preserve">(right C5-6) </w:t>
      </w:r>
      <w:r>
        <w:rPr>
          <w:rFonts w:asciiTheme="minorHAnsi" w:hAnsiTheme="minorHAnsi"/>
          <w:color w:val="auto"/>
          <w:szCs w:val="24"/>
        </w:rPr>
        <w:t xml:space="preserve">and </w:t>
      </w:r>
      <w:r w:rsidR="0022230A">
        <w:rPr>
          <w:rFonts w:asciiTheme="minorHAnsi" w:hAnsiTheme="minorHAnsi"/>
          <w:color w:val="auto"/>
          <w:szCs w:val="24"/>
        </w:rPr>
        <w:t xml:space="preserve">degenerative </w:t>
      </w:r>
      <w:r>
        <w:rPr>
          <w:rFonts w:asciiTheme="minorHAnsi" w:hAnsiTheme="minorHAnsi"/>
          <w:color w:val="auto"/>
          <w:szCs w:val="24"/>
        </w:rPr>
        <w:t>disc disease</w:t>
      </w:r>
      <w:r w:rsidR="0022230A">
        <w:rPr>
          <w:rFonts w:asciiTheme="minorHAnsi" w:hAnsiTheme="minorHAnsi"/>
          <w:color w:val="auto"/>
          <w:szCs w:val="24"/>
        </w:rPr>
        <w:t xml:space="preserve"> with </w:t>
      </w:r>
      <w:r w:rsidR="00854B7F">
        <w:rPr>
          <w:rFonts w:asciiTheme="minorHAnsi" w:hAnsiTheme="minorHAnsi"/>
          <w:color w:val="auto"/>
          <w:szCs w:val="24"/>
        </w:rPr>
        <w:t>protrusion of the C5-6 disc</w:t>
      </w:r>
      <w:r>
        <w:rPr>
          <w:rFonts w:asciiTheme="minorHAnsi" w:hAnsiTheme="minorHAnsi"/>
          <w:color w:val="auto"/>
          <w:szCs w:val="24"/>
        </w:rPr>
        <w:t xml:space="preserve">.  </w:t>
      </w:r>
      <w:r w:rsidR="00854B7F">
        <w:rPr>
          <w:rFonts w:asciiTheme="minorHAnsi" w:hAnsiTheme="minorHAnsi"/>
          <w:color w:val="auto"/>
          <w:szCs w:val="24"/>
        </w:rPr>
        <w:t xml:space="preserve">Neurosurgery evaluation concluded there were radicular symptoms of the right C6 </w:t>
      </w:r>
      <w:r w:rsidR="00D6047B">
        <w:rPr>
          <w:rFonts w:asciiTheme="minorHAnsi" w:hAnsiTheme="minorHAnsi"/>
          <w:color w:val="auto"/>
          <w:szCs w:val="24"/>
        </w:rPr>
        <w:t>level;</w:t>
      </w:r>
      <w:r w:rsidR="00854B7F">
        <w:rPr>
          <w:rFonts w:asciiTheme="minorHAnsi" w:hAnsiTheme="minorHAnsi"/>
          <w:color w:val="auto"/>
          <w:szCs w:val="24"/>
        </w:rPr>
        <w:t xml:space="preserve"> however electrodiagnostic study of the CI’s upper extremity</w:t>
      </w:r>
      <w:r w:rsidR="00854B7F" w:rsidRPr="00D42FB2">
        <w:rPr>
          <w:rFonts w:asciiTheme="minorHAnsi" w:hAnsiTheme="minorHAnsi"/>
          <w:color w:val="auto"/>
          <w:szCs w:val="24"/>
        </w:rPr>
        <w:t xml:space="preserve"> </w:t>
      </w:r>
      <w:r w:rsidR="00854B7F">
        <w:rPr>
          <w:rFonts w:asciiTheme="minorHAnsi" w:hAnsiTheme="minorHAnsi"/>
          <w:color w:val="auto"/>
          <w:szCs w:val="24"/>
        </w:rPr>
        <w:t>was normal</w:t>
      </w:r>
      <w:r w:rsidR="00770E97">
        <w:rPr>
          <w:rFonts w:asciiTheme="minorHAnsi" w:hAnsiTheme="minorHAnsi"/>
          <w:color w:val="auto"/>
          <w:szCs w:val="24"/>
        </w:rPr>
        <w:t xml:space="preserve">.  The negative EMG did not exclude </w:t>
      </w:r>
      <w:r w:rsidR="00854B7F">
        <w:rPr>
          <w:rFonts w:asciiTheme="minorHAnsi" w:hAnsiTheme="minorHAnsi"/>
          <w:color w:val="auto"/>
          <w:szCs w:val="24"/>
        </w:rPr>
        <w:t xml:space="preserve">sensory nerve involvement.  A 22 July 2004 orthopedics </w:t>
      </w:r>
      <w:r w:rsidR="00770E97">
        <w:rPr>
          <w:rFonts w:asciiTheme="minorHAnsi" w:hAnsiTheme="minorHAnsi"/>
          <w:color w:val="auto"/>
          <w:szCs w:val="24"/>
        </w:rPr>
        <w:t xml:space="preserve">cervical spine </w:t>
      </w:r>
      <w:r w:rsidR="00854B7F">
        <w:rPr>
          <w:rFonts w:asciiTheme="minorHAnsi" w:hAnsiTheme="minorHAnsi"/>
          <w:color w:val="auto"/>
          <w:szCs w:val="24"/>
        </w:rPr>
        <w:t xml:space="preserve">examination noted no limitation in flexion, moderate limitation in extension, slight limitation of lateral bend, and no limitation in rotation.  </w:t>
      </w:r>
      <w:r w:rsidR="00D42FB2">
        <w:rPr>
          <w:rFonts w:asciiTheme="minorHAnsi" w:hAnsiTheme="minorHAnsi"/>
          <w:color w:val="auto"/>
          <w:szCs w:val="24"/>
        </w:rPr>
        <w:t>Both the MEB and VA examiners documented paraspinous tenderness, but an otherwise unremarkable cervical exam</w:t>
      </w:r>
      <w:r w:rsidR="00D727A7">
        <w:rPr>
          <w:rFonts w:asciiTheme="minorHAnsi" w:hAnsiTheme="minorHAnsi"/>
          <w:color w:val="auto"/>
          <w:szCs w:val="24"/>
        </w:rPr>
        <w:t xml:space="preserve"> except for ROM as noted in above chart.</w:t>
      </w:r>
      <w:r w:rsidR="00D42FB2">
        <w:rPr>
          <w:rFonts w:asciiTheme="minorHAnsi" w:hAnsiTheme="minorHAnsi"/>
          <w:color w:val="auto"/>
          <w:szCs w:val="24"/>
        </w:rPr>
        <w:t xml:space="preserve">  </w:t>
      </w:r>
      <w:r w:rsidR="00CC4CED" w:rsidRPr="00CC4CED">
        <w:rPr>
          <w:rFonts w:asciiTheme="minorHAnsi" w:hAnsiTheme="minorHAnsi"/>
          <w:color w:val="auto"/>
          <w:szCs w:val="24"/>
        </w:rPr>
        <w:t xml:space="preserve">This condition </w:t>
      </w:r>
      <w:r w:rsidR="00854B7F">
        <w:rPr>
          <w:rFonts w:asciiTheme="minorHAnsi" w:hAnsiTheme="minorHAnsi"/>
          <w:color w:val="auto"/>
          <w:szCs w:val="24"/>
        </w:rPr>
        <w:t xml:space="preserve">was not specifically addressed by the </w:t>
      </w:r>
      <w:r w:rsidR="00D727A7">
        <w:rPr>
          <w:rFonts w:asciiTheme="minorHAnsi" w:hAnsiTheme="minorHAnsi"/>
          <w:color w:val="auto"/>
          <w:szCs w:val="24"/>
        </w:rPr>
        <w:t xml:space="preserve">commander’s </w:t>
      </w:r>
      <w:r w:rsidR="00854B7F" w:rsidRPr="00D42FB2">
        <w:rPr>
          <w:rFonts w:asciiTheme="minorHAnsi" w:hAnsiTheme="minorHAnsi"/>
          <w:color w:val="auto"/>
          <w:szCs w:val="24"/>
        </w:rPr>
        <w:t>non-medical assessment (NMA</w:t>
      </w:r>
      <w:r w:rsidR="00854B7F">
        <w:rPr>
          <w:rFonts w:asciiTheme="minorHAnsi" w:hAnsiTheme="minorHAnsi"/>
          <w:color w:val="auto"/>
          <w:szCs w:val="24"/>
        </w:rPr>
        <w:t xml:space="preserve">) but was </w:t>
      </w:r>
      <w:r w:rsidR="00D42FB2">
        <w:rPr>
          <w:rFonts w:asciiTheme="minorHAnsi" w:hAnsiTheme="minorHAnsi"/>
          <w:color w:val="auto"/>
          <w:szCs w:val="24"/>
        </w:rPr>
        <w:t>included on the LIMDU</w:t>
      </w:r>
      <w:r w:rsidR="00CC4CED">
        <w:rPr>
          <w:rFonts w:asciiTheme="minorHAnsi" w:hAnsiTheme="minorHAnsi"/>
          <w:color w:val="auto"/>
          <w:szCs w:val="24"/>
        </w:rPr>
        <w:t xml:space="preserve">, </w:t>
      </w:r>
      <w:r w:rsidR="00CC4CED" w:rsidRPr="00CC4CED">
        <w:rPr>
          <w:rFonts w:asciiTheme="minorHAnsi" w:hAnsiTheme="minorHAnsi"/>
          <w:color w:val="auto"/>
          <w:szCs w:val="24"/>
        </w:rPr>
        <w:t>noted as failing retention standards by the MEB</w:t>
      </w:r>
      <w:r>
        <w:rPr>
          <w:rFonts w:asciiTheme="minorHAnsi" w:hAnsiTheme="minorHAnsi"/>
          <w:color w:val="auto"/>
          <w:szCs w:val="24"/>
        </w:rPr>
        <w:t>, and judged unfitting by the IPEB</w:t>
      </w:r>
      <w:r w:rsidR="00CC4CED" w:rsidRPr="00CC4CED">
        <w:rPr>
          <w:rFonts w:asciiTheme="minorHAnsi" w:hAnsiTheme="minorHAnsi"/>
          <w:color w:val="auto"/>
          <w:szCs w:val="24"/>
        </w:rPr>
        <w:t xml:space="preserve">. </w:t>
      </w:r>
      <w:r>
        <w:rPr>
          <w:rFonts w:asciiTheme="minorHAnsi" w:hAnsiTheme="minorHAnsi"/>
          <w:color w:val="auto"/>
          <w:szCs w:val="24"/>
        </w:rPr>
        <w:t xml:space="preserve"> </w:t>
      </w:r>
      <w:r w:rsidR="00441B87">
        <w:rPr>
          <w:rFonts w:asciiTheme="minorHAnsi" w:hAnsiTheme="minorHAnsi"/>
          <w:color w:val="auto"/>
          <w:szCs w:val="24"/>
        </w:rPr>
        <w:t>The FPEB based it’s not unfitting adjudication on a conclusion that that it did not preclude continued performance of duties.</w:t>
      </w:r>
      <w:r w:rsidR="00854B7F">
        <w:rPr>
          <w:rFonts w:asciiTheme="minorHAnsi" w:hAnsiTheme="minorHAnsi"/>
          <w:color w:val="auto"/>
          <w:szCs w:val="24"/>
        </w:rPr>
        <w:t xml:space="preserve">  </w:t>
      </w:r>
      <w:r w:rsidR="006658A1">
        <w:rPr>
          <w:rFonts w:asciiTheme="minorHAnsi" w:hAnsiTheme="minorHAnsi"/>
          <w:color w:val="auto"/>
          <w:szCs w:val="24"/>
        </w:rPr>
        <w:t xml:space="preserve">The C&amp;P examination stated the cervical spine condition did not cause incapacitation or functional impairment, </w:t>
      </w:r>
      <w:r w:rsidR="00854B7F">
        <w:rPr>
          <w:rFonts w:asciiTheme="minorHAnsi" w:hAnsiTheme="minorHAnsi"/>
          <w:color w:val="auto"/>
          <w:szCs w:val="24"/>
        </w:rPr>
        <w:t>and found n</w:t>
      </w:r>
      <w:r w:rsidR="00661C37">
        <w:rPr>
          <w:rFonts w:asciiTheme="minorHAnsi" w:hAnsiTheme="minorHAnsi"/>
          <w:color w:val="auto"/>
          <w:szCs w:val="24"/>
        </w:rPr>
        <w:t>o evidence of radiating pain on movement</w:t>
      </w:r>
      <w:r w:rsidR="00854B7F">
        <w:rPr>
          <w:rFonts w:asciiTheme="minorHAnsi" w:hAnsiTheme="minorHAnsi"/>
          <w:color w:val="auto"/>
          <w:szCs w:val="24"/>
        </w:rPr>
        <w:t>.  There was diffuse tenderness of paraspinal muscles but</w:t>
      </w:r>
      <w:r w:rsidR="00661C37">
        <w:rPr>
          <w:rFonts w:asciiTheme="minorHAnsi" w:hAnsiTheme="minorHAnsi"/>
          <w:color w:val="auto"/>
          <w:szCs w:val="24"/>
        </w:rPr>
        <w:t xml:space="preserve"> no evidence of muscle spasm. </w:t>
      </w:r>
      <w:r w:rsidR="004C2EDA">
        <w:rPr>
          <w:rFonts w:asciiTheme="minorHAnsi" w:hAnsiTheme="minorHAnsi"/>
          <w:color w:val="auto"/>
          <w:szCs w:val="24"/>
        </w:rPr>
        <w:t xml:space="preserve"> </w:t>
      </w:r>
      <w:r w:rsidR="00661C37">
        <w:rPr>
          <w:rFonts w:asciiTheme="minorHAnsi" w:hAnsiTheme="minorHAnsi"/>
          <w:color w:val="auto"/>
          <w:szCs w:val="24"/>
        </w:rPr>
        <w:t xml:space="preserve">ROM as noted in chart </w:t>
      </w:r>
      <w:r w:rsidR="00854B7F">
        <w:rPr>
          <w:rFonts w:asciiTheme="minorHAnsi" w:hAnsiTheme="minorHAnsi"/>
          <w:color w:val="auto"/>
          <w:szCs w:val="24"/>
        </w:rPr>
        <w:t xml:space="preserve">with </w:t>
      </w:r>
      <w:r w:rsidR="00661C37">
        <w:rPr>
          <w:rFonts w:asciiTheme="minorHAnsi" w:hAnsiTheme="minorHAnsi"/>
          <w:color w:val="auto"/>
          <w:szCs w:val="24"/>
        </w:rPr>
        <w:t xml:space="preserve">pain </w:t>
      </w:r>
      <w:r w:rsidR="00854B7F">
        <w:rPr>
          <w:rFonts w:asciiTheme="minorHAnsi" w:hAnsiTheme="minorHAnsi"/>
          <w:color w:val="auto"/>
          <w:szCs w:val="24"/>
        </w:rPr>
        <w:t xml:space="preserve">but </w:t>
      </w:r>
      <w:r w:rsidR="00661C37">
        <w:rPr>
          <w:rFonts w:asciiTheme="minorHAnsi" w:hAnsiTheme="minorHAnsi"/>
          <w:color w:val="auto"/>
          <w:szCs w:val="24"/>
        </w:rPr>
        <w:t>without additional loss of ROM</w:t>
      </w:r>
      <w:r w:rsidR="00854B7F">
        <w:rPr>
          <w:rFonts w:asciiTheme="minorHAnsi" w:hAnsiTheme="minorHAnsi"/>
          <w:color w:val="auto"/>
          <w:szCs w:val="24"/>
        </w:rPr>
        <w:t>.  Ce</w:t>
      </w:r>
      <w:r w:rsidR="00661C37">
        <w:rPr>
          <w:rFonts w:asciiTheme="minorHAnsi" w:hAnsiTheme="minorHAnsi"/>
          <w:color w:val="auto"/>
          <w:szCs w:val="24"/>
        </w:rPr>
        <w:t>r</w:t>
      </w:r>
      <w:r w:rsidR="00854B7F">
        <w:rPr>
          <w:rFonts w:asciiTheme="minorHAnsi" w:hAnsiTheme="minorHAnsi"/>
          <w:color w:val="auto"/>
          <w:szCs w:val="24"/>
        </w:rPr>
        <w:t xml:space="preserve">vical </w:t>
      </w:r>
      <w:r w:rsidR="00661C37">
        <w:rPr>
          <w:rFonts w:asciiTheme="minorHAnsi" w:hAnsiTheme="minorHAnsi"/>
          <w:color w:val="auto"/>
          <w:szCs w:val="24"/>
        </w:rPr>
        <w:t>spine x</w:t>
      </w:r>
      <w:r w:rsidR="00854B7F">
        <w:rPr>
          <w:rFonts w:asciiTheme="minorHAnsi" w:hAnsiTheme="minorHAnsi"/>
          <w:color w:val="auto"/>
          <w:szCs w:val="24"/>
        </w:rPr>
        <w:t>-</w:t>
      </w:r>
      <w:r w:rsidR="00661C37">
        <w:rPr>
          <w:rFonts w:asciiTheme="minorHAnsi" w:hAnsiTheme="minorHAnsi"/>
          <w:color w:val="auto"/>
          <w:szCs w:val="24"/>
        </w:rPr>
        <w:t>ray showed normal alignment</w:t>
      </w:r>
      <w:r w:rsidR="00854B7F">
        <w:rPr>
          <w:rFonts w:asciiTheme="minorHAnsi" w:hAnsiTheme="minorHAnsi"/>
          <w:color w:val="auto"/>
          <w:szCs w:val="24"/>
        </w:rPr>
        <w:t>.</w:t>
      </w:r>
      <w:r w:rsidR="004C2EDA">
        <w:rPr>
          <w:rFonts w:asciiTheme="minorHAnsi" w:hAnsiTheme="minorHAnsi"/>
          <w:color w:val="auto"/>
          <w:szCs w:val="24"/>
        </w:rPr>
        <w:t xml:space="preserve">  </w:t>
      </w:r>
      <w:r w:rsidR="00CC4CED" w:rsidRPr="00B31469">
        <w:rPr>
          <w:rFonts w:asciiTheme="minorHAnsi" w:hAnsiTheme="minorHAnsi"/>
          <w:color w:val="auto"/>
          <w:szCs w:val="24"/>
        </w:rPr>
        <w:t>The Board’s threshold for countering DES fitness determinations is higher than the VASRD §4.3 (reasonable doubt) standard used for its rating recommendations, but remains adherent to the DoDI 6040.44 “fair and equitable” standard.</w:t>
      </w:r>
      <w:r w:rsidR="004C2EDA">
        <w:rPr>
          <w:rFonts w:asciiTheme="minorHAnsi" w:hAnsiTheme="minorHAnsi"/>
          <w:color w:val="auto"/>
          <w:szCs w:val="24"/>
        </w:rPr>
        <w:t xml:space="preserve">  Board members noted that treatment records usually addressed the neck and back condition together without specifically detailing impairments with regard to performance of duty attributabl</w:t>
      </w:r>
      <w:r w:rsidR="00D727A7">
        <w:rPr>
          <w:rFonts w:asciiTheme="minorHAnsi" w:hAnsiTheme="minorHAnsi"/>
          <w:color w:val="auto"/>
          <w:szCs w:val="24"/>
        </w:rPr>
        <w:t>e to the back versus the neck.</w:t>
      </w:r>
      <w:r w:rsidR="00DB7280">
        <w:rPr>
          <w:rFonts w:asciiTheme="minorHAnsi" w:hAnsiTheme="minorHAnsi"/>
          <w:color w:val="auto"/>
          <w:szCs w:val="24"/>
        </w:rPr>
        <w:t xml:space="preserve">  </w:t>
      </w:r>
      <w:r w:rsidR="00CC4CED" w:rsidRPr="004F6886">
        <w:rPr>
          <w:rFonts w:asciiTheme="minorHAnsi" w:hAnsiTheme="minorHAnsi"/>
          <w:color w:val="auto"/>
          <w:szCs w:val="24"/>
        </w:rPr>
        <w:t>After due deliberation, the Board agreed that the preponderance of the evidence with regard to the functional impairment of</w:t>
      </w:r>
      <w:r>
        <w:rPr>
          <w:rFonts w:asciiTheme="minorHAnsi" w:hAnsiTheme="minorHAnsi"/>
          <w:color w:val="auto"/>
          <w:szCs w:val="24"/>
        </w:rPr>
        <w:t xml:space="preserve"> the</w:t>
      </w:r>
      <w:r w:rsidR="003B63FA">
        <w:rPr>
          <w:rFonts w:asciiTheme="minorHAnsi" w:hAnsiTheme="minorHAnsi"/>
          <w:color w:val="auto"/>
          <w:szCs w:val="24"/>
        </w:rPr>
        <w:t xml:space="preserve"> </w:t>
      </w:r>
      <w:r w:rsidR="00CC4CED" w:rsidRPr="004F6886">
        <w:rPr>
          <w:rFonts w:asciiTheme="minorHAnsi" w:hAnsiTheme="minorHAnsi"/>
          <w:color w:val="auto"/>
          <w:szCs w:val="24"/>
        </w:rPr>
        <w:lastRenderedPageBreak/>
        <w:t xml:space="preserve">neck condition favors its recommendation as an additionally unfitting condition for separation rating. </w:t>
      </w:r>
      <w:r>
        <w:rPr>
          <w:rFonts w:asciiTheme="minorHAnsi" w:hAnsiTheme="minorHAnsi"/>
          <w:color w:val="auto"/>
          <w:szCs w:val="24"/>
        </w:rPr>
        <w:t xml:space="preserve"> </w:t>
      </w:r>
      <w:r w:rsidR="00CC4CED" w:rsidRPr="004F6886">
        <w:rPr>
          <w:rFonts w:asciiTheme="minorHAnsi" w:hAnsiTheme="minorHAnsi"/>
          <w:color w:val="auto"/>
          <w:szCs w:val="24"/>
        </w:rPr>
        <w:t xml:space="preserve">It is appropriately coded </w:t>
      </w:r>
      <w:r w:rsidR="004F6886" w:rsidRPr="004F6886">
        <w:rPr>
          <w:rFonts w:asciiTheme="minorHAnsi" w:hAnsiTheme="minorHAnsi"/>
          <w:color w:val="auto"/>
          <w:szCs w:val="24"/>
        </w:rPr>
        <w:t>524</w:t>
      </w:r>
      <w:r w:rsidR="00512897">
        <w:rPr>
          <w:rFonts w:asciiTheme="minorHAnsi" w:hAnsiTheme="minorHAnsi"/>
          <w:color w:val="auto"/>
          <w:szCs w:val="24"/>
        </w:rPr>
        <w:t>2</w:t>
      </w:r>
      <w:r w:rsidR="00CC4CED" w:rsidRPr="004F6886">
        <w:rPr>
          <w:rFonts w:asciiTheme="minorHAnsi" w:hAnsiTheme="minorHAnsi"/>
          <w:color w:val="auto"/>
          <w:szCs w:val="24"/>
        </w:rPr>
        <w:t xml:space="preserve"> and meets the VASRD §4.</w:t>
      </w:r>
      <w:r w:rsidR="004F6886" w:rsidRPr="004F6886">
        <w:rPr>
          <w:rFonts w:asciiTheme="minorHAnsi" w:hAnsiTheme="minorHAnsi"/>
          <w:color w:val="auto"/>
          <w:szCs w:val="24"/>
        </w:rPr>
        <w:t>71a</w:t>
      </w:r>
      <w:r w:rsidR="00CC4CED" w:rsidRPr="004F6886">
        <w:rPr>
          <w:rFonts w:asciiTheme="minorHAnsi" w:hAnsiTheme="minorHAnsi"/>
          <w:color w:val="auto"/>
          <w:szCs w:val="24"/>
        </w:rPr>
        <w:t xml:space="preserve"> criteria for a </w:t>
      </w:r>
      <w:r w:rsidR="004F6886" w:rsidRPr="004F6886">
        <w:rPr>
          <w:rFonts w:asciiTheme="minorHAnsi" w:hAnsiTheme="minorHAnsi"/>
          <w:color w:val="auto"/>
          <w:szCs w:val="24"/>
        </w:rPr>
        <w:t>20</w:t>
      </w:r>
      <w:r w:rsidR="00CC4CED" w:rsidRPr="004F6886">
        <w:rPr>
          <w:rFonts w:asciiTheme="minorHAnsi" w:hAnsiTheme="minorHAnsi"/>
          <w:color w:val="auto"/>
          <w:szCs w:val="24"/>
        </w:rPr>
        <w:t>% rating.</w:t>
      </w:r>
      <w:r>
        <w:rPr>
          <w:rFonts w:asciiTheme="minorHAnsi" w:hAnsiTheme="minorHAnsi"/>
          <w:color w:val="auto"/>
          <w:szCs w:val="24"/>
        </w:rPr>
        <w:t xml:space="preserve">  </w:t>
      </w:r>
      <w:r w:rsidRPr="003B215A">
        <w:rPr>
          <w:rFonts w:asciiTheme="minorHAnsi" w:hAnsiTheme="minorHAnsi"/>
          <w:color w:val="auto"/>
          <w:szCs w:val="24"/>
        </w:rPr>
        <w:t>There was no evidence of ratable peripheral nerve impairment in this case.</w:t>
      </w:r>
    </w:p>
    <w:p w:rsidR="004C2EDA" w:rsidRDefault="004C2EDA" w:rsidP="0022230A">
      <w:pPr>
        <w:tabs>
          <w:tab w:val="left" w:pos="288"/>
          <w:tab w:val="left" w:pos="4752"/>
        </w:tabs>
        <w:spacing w:line="240" w:lineRule="exact"/>
        <w:jc w:val="both"/>
        <w:rPr>
          <w:rFonts w:asciiTheme="minorHAnsi" w:hAnsiTheme="minorHAnsi"/>
          <w:color w:val="auto"/>
          <w:szCs w:val="24"/>
        </w:rPr>
      </w:pPr>
    </w:p>
    <w:p w:rsidR="00664296" w:rsidRPr="00664296" w:rsidRDefault="00664296" w:rsidP="0022230A">
      <w:pPr>
        <w:spacing w:line="240" w:lineRule="exact"/>
        <w:jc w:val="both"/>
        <w:rPr>
          <w:rFonts w:asciiTheme="minorHAnsi" w:hAnsiTheme="minorHAnsi"/>
          <w:color w:val="auto"/>
          <w:szCs w:val="24"/>
        </w:rPr>
      </w:pPr>
      <w:r w:rsidRPr="00664296">
        <w:rPr>
          <w:rFonts w:asciiTheme="minorHAnsi" w:eastAsia="HiddenHorzOCR" w:hAnsiTheme="minorHAnsi"/>
          <w:color w:val="auto"/>
          <w:szCs w:val="24"/>
          <w:u w:val="single"/>
        </w:rPr>
        <w:t>Other Contended Conditions</w:t>
      </w:r>
      <w:r w:rsidR="005B51FE">
        <w:rPr>
          <w:rFonts w:asciiTheme="minorHAnsi" w:eastAsia="HiddenHorzOCR" w:hAnsiTheme="minorHAnsi"/>
          <w:color w:val="auto"/>
          <w:szCs w:val="24"/>
        </w:rPr>
        <w:t>:</w:t>
      </w:r>
      <w:r w:rsidRPr="00664296">
        <w:rPr>
          <w:rFonts w:asciiTheme="minorHAnsi" w:eastAsia="HiddenHorzOCR" w:hAnsiTheme="minorHAnsi"/>
          <w:color w:val="auto"/>
          <w:szCs w:val="24"/>
        </w:rPr>
        <w:t xml:space="preserve">  The CI’s application </w:t>
      </w:r>
      <w:r w:rsidR="00B31469" w:rsidRPr="004F6886">
        <w:rPr>
          <w:rFonts w:asciiTheme="minorHAnsi" w:eastAsia="HiddenHorzOCR" w:hAnsiTheme="minorHAnsi"/>
          <w:color w:val="auto"/>
          <w:szCs w:val="24"/>
        </w:rPr>
        <w:t>implies</w:t>
      </w:r>
      <w:r w:rsidRPr="00664296">
        <w:rPr>
          <w:rFonts w:asciiTheme="minorHAnsi" w:eastAsia="HiddenHorzOCR" w:hAnsiTheme="minorHAnsi"/>
          <w:color w:val="auto"/>
          <w:szCs w:val="24"/>
        </w:rPr>
        <w:t xml:space="preserve"> that compensable ratings should be considered for </w:t>
      </w:r>
      <w:r w:rsidR="00A661A5">
        <w:rPr>
          <w:rFonts w:asciiTheme="minorHAnsi" w:eastAsia="HiddenHorzOCR" w:hAnsiTheme="minorHAnsi"/>
          <w:color w:val="auto"/>
          <w:szCs w:val="24"/>
        </w:rPr>
        <w:t>f</w:t>
      </w:r>
      <w:r w:rsidR="00E33E2F">
        <w:rPr>
          <w:rFonts w:asciiTheme="minorHAnsi" w:eastAsia="HiddenHorzOCR" w:hAnsiTheme="minorHAnsi"/>
          <w:color w:val="auto"/>
          <w:szCs w:val="24"/>
        </w:rPr>
        <w:t xml:space="preserve">ibromyalgia, PTSD, </w:t>
      </w:r>
      <w:r w:rsidR="00A661A5">
        <w:rPr>
          <w:rFonts w:asciiTheme="minorHAnsi" w:eastAsia="HiddenHorzOCR" w:hAnsiTheme="minorHAnsi"/>
          <w:color w:val="auto"/>
          <w:szCs w:val="24"/>
        </w:rPr>
        <w:t xml:space="preserve">left infrapatellar tendonitis, left ankle </w:t>
      </w:r>
      <w:r w:rsidR="00D42FB2">
        <w:rPr>
          <w:rFonts w:asciiTheme="minorHAnsi" w:eastAsia="HiddenHorzOCR" w:hAnsiTheme="minorHAnsi"/>
          <w:color w:val="auto"/>
          <w:szCs w:val="24"/>
        </w:rPr>
        <w:t>Achilles</w:t>
      </w:r>
      <w:r w:rsidR="00A661A5">
        <w:rPr>
          <w:rFonts w:asciiTheme="minorHAnsi" w:eastAsia="HiddenHorzOCR" w:hAnsiTheme="minorHAnsi"/>
          <w:color w:val="auto"/>
          <w:szCs w:val="24"/>
        </w:rPr>
        <w:t xml:space="preserve"> tendonitis and tinnitus</w:t>
      </w:r>
      <w:r w:rsidR="0058242A">
        <w:rPr>
          <w:rFonts w:asciiTheme="minorHAnsi" w:eastAsia="HiddenHorzOCR" w:hAnsiTheme="minorHAnsi"/>
          <w:color w:val="auto"/>
          <w:szCs w:val="24"/>
        </w:rPr>
        <w:t>.</w:t>
      </w:r>
      <w:r w:rsidRPr="00664296">
        <w:rPr>
          <w:rFonts w:asciiTheme="minorHAnsi" w:eastAsia="HiddenHorzOCR" w:hAnsiTheme="minorHAnsi"/>
          <w:color w:val="auto"/>
          <w:szCs w:val="24"/>
        </w:rPr>
        <w:t xml:space="preserve">  </w:t>
      </w:r>
      <w:r w:rsidR="0063449E">
        <w:rPr>
          <w:rFonts w:asciiTheme="minorHAnsi" w:eastAsia="HiddenHorzOCR" w:hAnsiTheme="minorHAnsi"/>
          <w:color w:val="auto"/>
          <w:szCs w:val="24"/>
        </w:rPr>
        <w:t>Fibromyalgia was a diagnosis considered while in service as a cause of his unfitting neck and back pain.  The CI’s neck and back pain were considered by the Board above.  Other symptoms that may be associated with fibromyalgia, of sleep impairment and memory disturbance were not considered unfitting for duty.  The commander’s NMA reflected excellent duty performance in administrative duties and mental status examinations including the VA C&amp;P examination 2 months after separation indicated intact memory.  The CI was diagnosed with adjustment disorder while in service</w:t>
      </w:r>
      <w:r w:rsidR="00387F74">
        <w:rPr>
          <w:rFonts w:asciiTheme="minorHAnsi" w:eastAsia="HiddenHorzOCR" w:hAnsiTheme="minorHAnsi"/>
          <w:color w:val="auto"/>
          <w:szCs w:val="24"/>
        </w:rPr>
        <w:t xml:space="preserve"> and was returned to duties without limitation.  The VA mental health C&amp;P examination diagnosed adjustment disorder</w:t>
      </w:r>
      <w:r w:rsidR="003B63FA">
        <w:rPr>
          <w:rFonts w:asciiTheme="minorHAnsi" w:eastAsia="HiddenHorzOCR" w:hAnsiTheme="minorHAnsi"/>
          <w:color w:val="auto"/>
          <w:szCs w:val="24"/>
        </w:rPr>
        <w:t xml:space="preserve"> </w:t>
      </w:r>
      <w:r w:rsidR="00387F74">
        <w:rPr>
          <w:rFonts w:asciiTheme="minorHAnsi" w:eastAsia="HiddenHorzOCR" w:hAnsiTheme="minorHAnsi"/>
          <w:color w:val="auto"/>
          <w:szCs w:val="24"/>
        </w:rPr>
        <w:t xml:space="preserve">with mild symptoms.  PTSD symptoms were not manifested in service or endorsed at the time of the C&amp;P examination two months after separation.  Service connection for PTSD was granted effective four years after separation based on examination four years after separation.  </w:t>
      </w:r>
      <w:r w:rsidRPr="00385DB9">
        <w:rPr>
          <w:rFonts w:asciiTheme="minorHAnsi" w:hAnsiTheme="minorHAnsi"/>
          <w:color w:val="auto"/>
          <w:szCs w:val="24"/>
        </w:rPr>
        <w:t xml:space="preserve">All </w:t>
      </w:r>
      <w:r w:rsidRPr="00664296">
        <w:rPr>
          <w:rFonts w:asciiTheme="minorHAnsi" w:hAnsiTheme="minorHAnsi"/>
          <w:color w:val="auto"/>
          <w:szCs w:val="24"/>
        </w:rPr>
        <w:t>of these conditions were reviewed by the action officer and considered by the Board.  There was no evidence for concluding that any of the conditions interfered with duty performance to a degree that could be argued as unfitting.  The Board determined therefore that none of the stated conditions were subject to Service disability rating.</w:t>
      </w:r>
    </w:p>
    <w:p w:rsidR="00664296" w:rsidRPr="00664296" w:rsidRDefault="00664296" w:rsidP="0022230A">
      <w:pPr>
        <w:spacing w:line="240" w:lineRule="exact"/>
        <w:jc w:val="both"/>
        <w:rPr>
          <w:rFonts w:asciiTheme="minorHAnsi" w:hAnsiTheme="minorHAnsi"/>
          <w:color w:val="auto"/>
          <w:szCs w:val="24"/>
          <w:u w:val="single"/>
        </w:rPr>
      </w:pPr>
    </w:p>
    <w:p w:rsidR="00385DB9" w:rsidRDefault="00664296" w:rsidP="0022230A">
      <w:pPr>
        <w:spacing w:line="240" w:lineRule="exact"/>
        <w:jc w:val="both"/>
        <w:rPr>
          <w:rFonts w:asciiTheme="minorHAnsi" w:hAnsiTheme="minorHAnsi"/>
          <w:color w:val="auto"/>
          <w:szCs w:val="24"/>
        </w:rPr>
      </w:pPr>
      <w:r w:rsidRPr="00664296">
        <w:rPr>
          <w:rFonts w:asciiTheme="minorHAnsi" w:hAnsiTheme="minorHAnsi"/>
          <w:color w:val="auto"/>
          <w:szCs w:val="24"/>
          <w:u w:val="single"/>
        </w:rPr>
        <w:t>Remaining Conditions</w:t>
      </w:r>
      <w:r w:rsidR="005B51FE">
        <w:rPr>
          <w:rFonts w:asciiTheme="minorHAnsi" w:hAnsiTheme="minorHAnsi"/>
          <w:color w:val="auto"/>
          <w:szCs w:val="24"/>
        </w:rPr>
        <w:t>:</w:t>
      </w:r>
      <w:r w:rsidRPr="00664296">
        <w:rPr>
          <w:rFonts w:asciiTheme="minorHAnsi" w:hAnsiTheme="minorHAnsi"/>
          <w:color w:val="auto"/>
          <w:szCs w:val="24"/>
        </w:rPr>
        <w:t xml:space="preserve">  </w:t>
      </w:r>
      <w:r w:rsidR="00A54626">
        <w:rPr>
          <w:rFonts w:asciiTheme="minorHAnsi" w:hAnsiTheme="minorHAnsi"/>
          <w:color w:val="auto"/>
          <w:szCs w:val="24"/>
        </w:rPr>
        <w:t>Two o</w:t>
      </w:r>
      <w:r w:rsidRPr="00664296">
        <w:rPr>
          <w:rFonts w:asciiTheme="minorHAnsi" w:hAnsiTheme="minorHAnsi"/>
          <w:color w:val="auto"/>
          <w:szCs w:val="24"/>
        </w:rPr>
        <w:t>ther conditions</w:t>
      </w:r>
      <w:r w:rsidR="00A54626">
        <w:rPr>
          <w:rFonts w:asciiTheme="minorHAnsi" w:hAnsiTheme="minorHAnsi"/>
          <w:color w:val="auto"/>
          <w:szCs w:val="24"/>
        </w:rPr>
        <w:t>, throat problems and irritable bowel syndrome,</w:t>
      </w:r>
      <w:r w:rsidR="00A54626" w:rsidRPr="00664296">
        <w:rPr>
          <w:rFonts w:asciiTheme="minorHAnsi" w:hAnsiTheme="minorHAnsi"/>
          <w:color w:val="auto"/>
          <w:szCs w:val="24"/>
        </w:rPr>
        <w:t xml:space="preserve"> were </w:t>
      </w:r>
      <w:r w:rsidRPr="00664296">
        <w:rPr>
          <w:rFonts w:asciiTheme="minorHAnsi" w:hAnsiTheme="minorHAnsi"/>
          <w:color w:val="auto"/>
          <w:szCs w:val="24"/>
        </w:rPr>
        <w:t>identified in the DES file</w:t>
      </w:r>
      <w:r w:rsidR="00A54626">
        <w:rPr>
          <w:rFonts w:asciiTheme="minorHAnsi" w:hAnsiTheme="minorHAnsi"/>
          <w:color w:val="auto"/>
          <w:szCs w:val="24"/>
        </w:rPr>
        <w:t xml:space="preserve">. </w:t>
      </w:r>
      <w:r w:rsidR="00A54626" w:rsidRPr="00A54626">
        <w:rPr>
          <w:rFonts w:asciiTheme="minorHAnsi" w:eastAsia="HiddenHorzOCR" w:hAnsiTheme="minorHAnsi"/>
          <w:color w:val="auto"/>
          <w:szCs w:val="24"/>
        </w:rPr>
        <w:t xml:space="preserve"> </w:t>
      </w:r>
      <w:r w:rsidR="00A54626" w:rsidRPr="00A54626">
        <w:rPr>
          <w:rFonts w:asciiTheme="minorHAnsi" w:hAnsiTheme="minorHAnsi"/>
          <w:color w:val="auto"/>
          <w:szCs w:val="24"/>
        </w:rPr>
        <w:t xml:space="preserve">Neither of these conditions </w:t>
      </w:r>
      <w:r w:rsidR="00A54626">
        <w:rPr>
          <w:rFonts w:asciiTheme="minorHAnsi" w:hAnsiTheme="minorHAnsi"/>
          <w:color w:val="auto"/>
          <w:szCs w:val="24"/>
        </w:rPr>
        <w:t>was</w:t>
      </w:r>
      <w:r w:rsidR="00A54626" w:rsidRPr="00A54626">
        <w:rPr>
          <w:rFonts w:asciiTheme="minorHAnsi" w:hAnsiTheme="minorHAnsi"/>
          <w:color w:val="auto"/>
          <w:szCs w:val="24"/>
        </w:rPr>
        <w:t xml:space="preserve"> profiled, implicated in the non-medical assessment (NMA) or noted as failing retention standards.  Both were reviewed by the action officer and considered by the Board.  There was no indication from the record that either of these conditions significantly interfered with satisfactory performance of </w:t>
      </w:r>
      <w:r w:rsidR="00D6047B" w:rsidRPr="00387F74">
        <w:rPr>
          <w:rFonts w:asciiTheme="minorHAnsi" w:hAnsiTheme="minorHAnsi"/>
          <w:color w:val="auto"/>
          <w:szCs w:val="24"/>
        </w:rPr>
        <w:t>rating</w:t>
      </w:r>
      <w:r w:rsidR="00A54626" w:rsidRPr="00A54626">
        <w:rPr>
          <w:rFonts w:asciiTheme="minorHAnsi" w:hAnsiTheme="minorHAnsi"/>
          <w:color w:val="auto"/>
          <w:szCs w:val="24"/>
        </w:rPr>
        <w:t xml:space="preserve"> duty requirements.  </w:t>
      </w:r>
      <w:r w:rsidRPr="00664296">
        <w:rPr>
          <w:rFonts w:asciiTheme="minorHAnsi" w:hAnsiTheme="minorHAnsi"/>
          <w:color w:val="auto"/>
          <w:szCs w:val="24"/>
        </w:rPr>
        <w:t xml:space="preserve">It was determined </w:t>
      </w:r>
      <w:r w:rsidRPr="00A54626">
        <w:rPr>
          <w:rFonts w:asciiTheme="minorHAnsi" w:hAnsiTheme="minorHAnsi"/>
          <w:color w:val="auto"/>
          <w:szCs w:val="24"/>
        </w:rPr>
        <w:t>that n</w:t>
      </w:r>
      <w:r w:rsidR="00A54626" w:rsidRPr="00A54626">
        <w:rPr>
          <w:rFonts w:asciiTheme="minorHAnsi" w:hAnsiTheme="minorHAnsi"/>
          <w:color w:val="auto"/>
          <w:szCs w:val="24"/>
        </w:rPr>
        <w:t>either</w:t>
      </w:r>
      <w:r w:rsidRPr="00664296">
        <w:rPr>
          <w:rFonts w:asciiTheme="minorHAnsi" w:hAnsiTheme="minorHAnsi"/>
          <w:color w:val="auto"/>
          <w:szCs w:val="24"/>
        </w:rPr>
        <w:t xml:space="preserve"> could be argued as unfitting and</w:t>
      </w:r>
      <w:r w:rsidR="00D932E1">
        <w:rPr>
          <w:rFonts w:asciiTheme="minorHAnsi" w:hAnsiTheme="minorHAnsi"/>
          <w:color w:val="auto"/>
          <w:szCs w:val="24"/>
        </w:rPr>
        <w:t xml:space="preserve"> subject to separation rating.</w:t>
      </w:r>
      <w:r w:rsidR="00441B87">
        <w:rPr>
          <w:rFonts w:asciiTheme="minorHAnsi" w:hAnsiTheme="minorHAnsi"/>
          <w:color w:val="auto"/>
          <w:szCs w:val="24"/>
        </w:rPr>
        <w:t xml:space="preserve">  </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356D6" w:rsidRDefault="00C356D6" w:rsidP="00C356D6">
      <w:pPr>
        <w:spacing w:line="240" w:lineRule="exact"/>
        <w:jc w:val="both"/>
        <w:rPr>
          <w:rFonts w:asciiTheme="minorHAnsi" w:hAnsiTheme="minorHAnsi"/>
          <w:color w:val="auto"/>
          <w:szCs w:val="24"/>
          <w:u w:val="single"/>
        </w:rPr>
      </w:pPr>
    </w:p>
    <w:p w:rsidR="00664296" w:rsidRPr="00664296" w:rsidRDefault="00C56FC8" w:rsidP="00C356D6">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8F5C23">
        <w:rPr>
          <w:rFonts w:asciiTheme="minorHAnsi" w:eastAsiaTheme="minorHAnsi" w:hAnsiTheme="minorHAnsi"/>
          <w:color w:val="auto"/>
          <w:szCs w:val="24"/>
        </w:rPr>
        <w:t xml:space="preserve">  </w:t>
      </w:r>
      <w:r w:rsidR="00512897" w:rsidRPr="008F5C23">
        <w:rPr>
          <w:rFonts w:asciiTheme="minorHAnsi" w:eastAsiaTheme="minorHAnsi" w:hAnsiTheme="minorHAnsi"/>
          <w:color w:val="auto"/>
          <w:szCs w:val="24"/>
        </w:rPr>
        <w:t>The Board did not surmise from the record or PEB ruling in this case that any prerogatives outside the VASRD were exercised.</w:t>
      </w:r>
      <w:r w:rsidR="00512897">
        <w:rPr>
          <w:rFonts w:asciiTheme="minorHAnsi" w:eastAsiaTheme="minorHAnsi" w:hAnsiTheme="minorHAnsi"/>
          <w:color w:val="auto"/>
          <w:szCs w:val="24"/>
        </w:rPr>
        <w:t xml:space="preserve">  </w:t>
      </w:r>
      <w:r w:rsidR="00D932E1">
        <w:rPr>
          <w:rFonts w:asciiTheme="minorHAnsi" w:eastAsiaTheme="minorHAnsi" w:hAnsiTheme="minorHAnsi"/>
          <w:color w:val="auto"/>
          <w:szCs w:val="24"/>
        </w:rPr>
        <w:t xml:space="preserve">In the matter of </w:t>
      </w:r>
      <w:r w:rsidR="00C356D6">
        <w:rPr>
          <w:rFonts w:asciiTheme="minorHAnsi" w:eastAsiaTheme="minorHAnsi" w:hAnsiTheme="minorHAnsi"/>
          <w:color w:val="auto"/>
          <w:szCs w:val="24"/>
        </w:rPr>
        <w:t>l</w:t>
      </w:r>
      <w:r w:rsidR="00A661A5">
        <w:rPr>
          <w:rFonts w:asciiTheme="minorHAnsi" w:eastAsiaTheme="minorHAnsi" w:hAnsiTheme="minorHAnsi"/>
          <w:color w:val="auto"/>
          <w:szCs w:val="24"/>
        </w:rPr>
        <w:t xml:space="preserve">umbar </w:t>
      </w:r>
      <w:r w:rsidR="00C356D6">
        <w:rPr>
          <w:rFonts w:asciiTheme="minorHAnsi" w:eastAsiaTheme="minorHAnsi" w:hAnsiTheme="minorHAnsi"/>
          <w:color w:val="auto"/>
          <w:szCs w:val="24"/>
        </w:rPr>
        <w:t>d</w:t>
      </w:r>
      <w:r w:rsidR="00D932E1" w:rsidRPr="00D932E1">
        <w:rPr>
          <w:rFonts w:asciiTheme="minorHAnsi" w:eastAsiaTheme="minorHAnsi" w:hAnsiTheme="minorHAnsi"/>
          <w:color w:val="auto"/>
          <w:szCs w:val="24"/>
        </w:rPr>
        <w:t xml:space="preserve">egenerative </w:t>
      </w:r>
      <w:r w:rsidR="00C356D6">
        <w:rPr>
          <w:rFonts w:asciiTheme="minorHAnsi" w:eastAsiaTheme="minorHAnsi" w:hAnsiTheme="minorHAnsi"/>
          <w:color w:val="auto"/>
          <w:szCs w:val="24"/>
        </w:rPr>
        <w:t>d</w:t>
      </w:r>
      <w:r w:rsidR="00D932E1" w:rsidRPr="00D932E1">
        <w:rPr>
          <w:rFonts w:asciiTheme="minorHAnsi" w:eastAsiaTheme="minorHAnsi" w:hAnsiTheme="minorHAnsi"/>
          <w:color w:val="auto"/>
          <w:szCs w:val="24"/>
        </w:rPr>
        <w:t xml:space="preserve">isc </w:t>
      </w:r>
      <w:r w:rsidR="00C356D6">
        <w:rPr>
          <w:rFonts w:asciiTheme="minorHAnsi" w:eastAsiaTheme="minorHAnsi" w:hAnsiTheme="minorHAnsi"/>
          <w:color w:val="auto"/>
          <w:szCs w:val="24"/>
        </w:rPr>
        <w:t>d</w:t>
      </w:r>
      <w:r w:rsidR="00D932E1" w:rsidRPr="00D932E1">
        <w:rPr>
          <w:rFonts w:asciiTheme="minorHAnsi" w:eastAsiaTheme="minorHAnsi" w:hAnsiTheme="minorHAnsi"/>
          <w:color w:val="auto"/>
          <w:szCs w:val="24"/>
        </w:rPr>
        <w:t xml:space="preserve">isease </w:t>
      </w:r>
      <w:r w:rsidR="00664296" w:rsidRPr="00664296">
        <w:rPr>
          <w:rFonts w:asciiTheme="minorHAnsi" w:eastAsiaTheme="minorHAnsi" w:hAnsiTheme="minorHAnsi"/>
          <w:color w:val="auto"/>
          <w:szCs w:val="24"/>
        </w:rPr>
        <w:t xml:space="preserve">and </w:t>
      </w:r>
      <w:r w:rsidR="00664296" w:rsidRPr="00664296">
        <w:rPr>
          <w:rFonts w:asciiTheme="minorHAnsi" w:hAnsiTheme="minorHAnsi"/>
          <w:color w:val="auto"/>
          <w:szCs w:val="24"/>
        </w:rPr>
        <w:t>IAW VASRD §</w:t>
      </w:r>
      <w:r w:rsidR="00664296" w:rsidRPr="008F5C23">
        <w:rPr>
          <w:rFonts w:asciiTheme="minorHAnsi" w:hAnsiTheme="minorHAnsi"/>
          <w:color w:val="auto"/>
          <w:szCs w:val="24"/>
        </w:rPr>
        <w:t>4.71a</w:t>
      </w:r>
      <w:r w:rsidR="00664296" w:rsidRPr="00664296">
        <w:rPr>
          <w:rFonts w:asciiTheme="minorHAnsi" w:eastAsiaTheme="minorHAnsi" w:hAnsiTheme="minorHAnsi"/>
          <w:color w:val="auto"/>
          <w:szCs w:val="24"/>
        </w:rPr>
        <w:t>, the Board</w:t>
      </w:r>
      <w:r w:rsidR="00C356D6">
        <w:rPr>
          <w:rFonts w:asciiTheme="minorHAnsi" w:eastAsiaTheme="minorHAnsi" w:hAnsiTheme="minorHAnsi"/>
          <w:color w:val="auto"/>
          <w:szCs w:val="24"/>
        </w:rPr>
        <w:t xml:space="preserve"> </w:t>
      </w:r>
      <w:r w:rsidR="00664296" w:rsidRPr="008F5C23">
        <w:rPr>
          <w:rFonts w:asciiTheme="minorHAnsi" w:eastAsiaTheme="minorHAnsi" w:hAnsiTheme="minorHAnsi"/>
          <w:color w:val="auto"/>
          <w:szCs w:val="24"/>
        </w:rPr>
        <w:t>unanimously</w:t>
      </w:r>
      <w:r w:rsidR="00664296" w:rsidRPr="00664296">
        <w:rPr>
          <w:rFonts w:asciiTheme="minorHAnsi" w:eastAsiaTheme="minorHAnsi" w:hAnsiTheme="minorHAnsi"/>
          <w:color w:val="auto"/>
          <w:szCs w:val="24"/>
        </w:rPr>
        <w:t xml:space="preserve"> recommends no change in the PEB rating</w:t>
      </w:r>
      <w:r w:rsidR="00664296" w:rsidRPr="00664296">
        <w:rPr>
          <w:rFonts w:asciiTheme="minorHAnsi" w:hAnsiTheme="minorHAnsi"/>
          <w:color w:val="auto"/>
          <w:szCs w:val="24"/>
        </w:rPr>
        <w:t xml:space="preserve"> of </w:t>
      </w:r>
      <w:r w:rsidR="00D932E1">
        <w:rPr>
          <w:rFonts w:asciiTheme="minorHAnsi" w:hAnsiTheme="minorHAnsi"/>
          <w:color w:val="auto"/>
          <w:szCs w:val="24"/>
        </w:rPr>
        <w:t>2</w:t>
      </w:r>
      <w:r w:rsidR="00664296" w:rsidRPr="00664296">
        <w:rPr>
          <w:rFonts w:asciiTheme="minorHAnsi" w:hAnsiTheme="minorHAnsi"/>
          <w:color w:val="auto"/>
          <w:szCs w:val="24"/>
        </w:rPr>
        <w:t>0%.</w:t>
      </w:r>
      <w:r w:rsidR="00664296" w:rsidRPr="00664296">
        <w:rPr>
          <w:rFonts w:asciiTheme="minorHAnsi" w:hAnsiTheme="minorHAnsi"/>
          <w:color w:val="FF0000"/>
          <w:szCs w:val="24"/>
        </w:rPr>
        <w:t xml:space="preserve"> </w:t>
      </w:r>
      <w:r w:rsidR="00664296" w:rsidRPr="00664296">
        <w:rPr>
          <w:rFonts w:asciiTheme="minorHAnsi" w:hAnsiTheme="minorHAnsi"/>
          <w:color w:val="auto"/>
          <w:szCs w:val="24"/>
        </w:rPr>
        <w:t xml:space="preserve"> In the matter of the </w:t>
      </w:r>
      <w:r w:rsidR="00387F74" w:rsidRPr="008F5C23">
        <w:rPr>
          <w:rFonts w:asciiTheme="minorHAnsi" w:hAnsiTheme="minorHAnsi"/>
          <w:color w:val="auto"/>
          <w:szCs w:val="24"/>
        </w:rPr>
        <w:t>c</w:t>
      </w:r>
      <w:r w:rsidR="009F30A8" w:rsidRPr="008F5C23">
        <w:rPr>
          <w:rFonts w:asciiTheme="minorHAnsi" w:hAnsiTheme="minorHAnsi"/>
          <w:color w:val="auto"/>
          <w:szCs w:val="24"/>
        </w:rPr>
        <w:t>ervicalgia</w:t>
      </w:r>
      <w:r w:rsidR="00664296" w:rsidRPr="00664296">
        <w:rPr>
          <w:rFonts w:asciiTheme="minorHAnsi" w:hAnsiTheme="minorHAnsi"/>
          <w:color w:val="auto"/>
          <w:szCs w:val="24"/>
        </w:rPr>
        <w:t xml:space="preserve"> condition, the Board </w:t>
      </w:r>
      <w:r w:rsidR="00664296" w:rsidRPr="008F5C23">
        <w:rPr>
          <w:rFonts w:asciiTheme="minorHAnsi" w:hAnsiTheme="minorHAnsi"/>
          <w:color w:val="auto"/>
          <w:szCs w:val="24"/>
        </w:rPr>
        <w:t>unanimously</w:t>
      </w:r>
      <w:r w:rsidR="00664296" w:rsidRPr="00664296">
        <w:rPr>
          <w:rFonts w:asciiTheme="minorHAnsi" w:hAnsiTheme="minorHAnsi"/>
          <w:color w:val="auto"/>
          <w:szCs w:val="24"/>
        </w:rPr>
        <w:t xml:space="preserve"> recommends that it be added as an additionally unfitting condition for separation rating</w:t>
      </w:r>
      <w:r w:rsidR="003B63FA">
        <w:rPr>
          <w:rFonts w:asciiTheme="minorHAnsi" w:hAnsiTheme="minorHAnsi"/>
          <w:color w:val="auto"/>
          <w:szCs w:val="24"/>
        </w:rPr>
        <w:t>,</w:t>
      </w:r>
      <w:r w:rsidR="00664296" w:rsidRPr="00664296">
        <w:rPr>
          <w:rFonts w:asciiTheme="minorHAnsi" w:hAnsiTheme="minorHAnsi"/>
          <w:color w:val="auto"/>
          <w:szCs w:val="24"/>
        </w:rPr>
        <w:t xml:space="preserve"> coded </w:t>
      </w:r>
      <w:r w:rsidR="001C5B66">
        <w:rPr>
          <w:rFonts w:asciiTheme="minorHAnsi" w:hAnsiTheme="minorHAnsi"/>
          <w:color w:val="auto"/>
          <w:szCs w:val="24"/>
        </w:rPr>
        <w:t>5242</w:t>
      </w:r>
      <w:r w:rsidR="003B63FA">
        <w:rPr>
          <w:rFonts w:asciiTheme="minorHAnsi" w:hAnsiTheme="minorHAnsi"/>
          <w:color w:val="auto"/>
          <w:szCs w:val="24"/>
        </w:rPr>
        <w:t>,</w:t>
      </w:r>
      <w:r w:rsidR="00664296" w:rsidRPr="00664296">
        <w:rPr>
          <w:rFonts w:asciiTheme="minorHAnsi" w:hAnsiTheme="minorHAnsi"/>
          <w:color w:val="auto"/>
          <w:szCs w:val="24"/>
        </w:rPr>
        <w:t xml:space="preserve"> and rated </w:t>
      </w:r>
      <w:r w:rsidR="009F30A8">
        <w:rPr>
          <w:rFonts w:asciiTheme="minorHAnsi" w:hAnsiTheme="minorHAnsi"/>
          <w:color w:val="auto"/>
          <w:szCs w:val="24"/>
        </w:rPr>
        <w:t>2</w:t>
      </w:r>
      <w:r w:rsidR="00664296" w:rsidRPr="00664296">
        <w:rPr>
          <w:rFonts w:asciiTheme="minorHAnsi" w:hAnsiTheme="minorHAnsi"/>
          <w:color w:val="auto"/>
          <w:szCs w:val="24"/>
        </w:rPr>
        <w:t>0% IAW VASRD §</w:t>
      </w:r>
      <w:r w:rsidR="00664296" w:rsidRPr="008F5C23">
        <w:rPr>
          <w:rFonts w:asciiTheme="minorHAnsi" w:hAnsiTheme="minorHAnsi"/>
          <w:color w:val="auto"/>
          <w:szCs w:val="24"/>
        </w:rPr>
        <w:t>4.71a</w:t>
      </w:r>
      <w:r w:rsidR="008F5C23">
        <w:rPr>
          <w:rFonts w:asciiTheme="minorHAnsi" w:hAnsiTheme="minorHAnsi"/>
          <w:color w:val="auto"/>
          <w:szCs w:val="24"/>
        </w:rPr>
        <w:t>.</w:t>
      </w:r>
      <w:r w:rsidR="00C356D6">
        <w:rPr>
          <w:rFonts w:asciiTheme="minorHAnsi" w:hAnsiTheme="minorHAnsi"/>
          <w:color w:val="auto"/>
          <w:szCs w:val="24"/>
        </w:rPr>
        <w:t xml:space="preserve">  </w:t>
      </w:r>
      <w:r w:rsidR="00A54626" w:rsidRPr="00A54626">
        <w:rPr>
          <w:rFonts w:asciiTheme="minorHAnsi" w:hAnsiTheme="minorHAnsi"/>
          <w:color w:val="auto"/>
          <w:szCs w:val="24"/>
        </w:rPr>
        <w:t xml:space="preserve">In the matter of the </w:t>
      </w:r>
      <w:r w:rsidR="00A54626">
        <w:rPr>
          <w:rFonts w:asciiTheme="minorHAnsi" w:eastAsia="HiddenHorzOCR" w:hAnsiTheme="minorHAnsi"/>
          <w:color w:val="auto"/>
          <w:szCs w:val="24"/>
        </w:rPr>
        <w:t>fibromyalgia, PTSD</w:t>
      </w:r>
      <w:r w:rsidR="00387F74">
        <w:rPr>
          <w:rFonts w:asciiTheme="minorHAnsi" w:eastAsia="HiddenHorzOCR" w:hAnsiTheme="minorHAnsi"/>
          <w:color w:val="auto"/>
          <w:szCs w:val="24"/>
        </w:rPr>
        <w:t>/adjustment disorder</w:t>
      </w:r>
      <w:r w:rsidR="00A54626">
        <w:rPr>
          <w:rFonts w:asciiTheme="minorHAnsi" w:eastAsia="HiddenHorzOCR" w:hAnsiTheme="minorHAnsi"/>
          <w:color w:val="auto"/>
          <w:szCs w:val="24"/>
        </w:rPr>
        <w:t>, left infrapatellar tendonitis, left ankle Achilles tendonitis, tinnitus,</w:t>
      </w:r>
      <w:r w:rsidR="00A54626" w:rsidRPr="00A54626">
        <w:rPr>
          <w:rFonts w:asciiTheme="minorHAnsi" w:hAnsiTheme="minorHAnsi"/>
          <w:color w:val="auto"/>
          <w:szCs w:val="24"/>
        </w:rPr>
        <w:t xml:space="preserve"> </w:t>
      </w:r>
      <w:r w:rsidR="00A54626">
        <w:rPr>
          <w:rFonts w:asciiTheme="minorHAnsi" w:hAnsiTheme="minorHAnsi"/>
          <w:color w:val="auto"/>
          <w:szCs w:val="24"/>
        </w:rPr>
        <w:t>throat problems and irritable bowel syndrome,</w:t>
      </w:r>
      <w:r w:rsidR="00A54626" w:rsidRPr="00664296">
        <w:rPr>
          <w:rFonts w:asciiTheme="minorHAnsi" w:hAnsiTheme="minorHAnsi"/>
          <w:color w:val="auto"/>
          <w:szCs w:val="24"/>
        </w:rPr>
        <w:t xml:space="preserve"> </w:t>
      </w:r>
      <w:r w:rsidR="00A54626" w:rsidRPr="00A54626">
        <w:rPr>
          <w:rFonts w:asciiTheme="minorHAnsi" w:hAnsiTheme="minorHAnsi"/>
          <w:color w:val="auto"/>
          <w:szCs w:val="24"/>
        </w:rPr>
        <w:t>or any other medical conditions eligible for Board consideration</w:t>
      </w:r>
      <w:r w:rsidR="00676F35">
        <w:rPr>
          <w:rFonts w:asciiTheme="minorHAnsi" w:hAnsiTheme="minorHAnsi"/>
          <w:color w:val="auto"/>
          <w:szCs w:val="24"/>
        </w:rPr>
        <w:t>,</w:t>
      </w:r>
      <w:r w:rsidR="00A54626" w:rsidRPr="00A54626">
        <w:rPr>
          <w:rFonts w:asciiTheme="minorHAnsi" w:hAnsiTheme="minorHAnsi"/>
          <w:color w:val="auto"/>
          <w:szCs w:val="24"/>
        </w:rPr>
        <w:t xml:space="preserve"> the Board unanimously agrees that it cannot recommend any findings of unfit for additional rating at separation.</w:t>
      </w:r>
    </w:p>
    <w:p w:rsidR="00664296" w:rsidRPr="00391858" w:rsidRDefault="00664296"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F5C23" w:rsidRDefault="008F5C23" w:rsidP="00510F9C">
      <w:pPr>
        <w:spacing w:line="240" w:lineRule="exact"/>
        <w:rPr>
          <w:rFonts w:asciiTheme="minorHAnsi" w:hAnsiTheme="minorHAnsi"/>
          <w:color w:val="auto"/>
          <w:szCs w:val="24"/>
          <w:u w:val="single"/>
        </w:rPr>
      </w:pPr>
    </w:p>
    <w:p w:rsidR="00FB593A" w:rsidRDefault="00C56FC8" w:rsidP="00510F9C">
      <w:pPr>
        <w:spacing w:line="240" w:lineRule="exact"/>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387F74">
        <w:rPr>
          <w:rFonts w:asciiTheme="minorHAnsi" w:hAnsiTheme="minorHAnsi"/>
          <w:color w:val="000080"/>
          <w:szCs w:val="24"/>
        </w:rPr>
        <w:t xml:space="preserve"> </w:t>
      </w:r>
      <w:r w:rsidR="00A54626" w:rsidRPr="00396779">
        <w:rPr>
          <w:rFonts w:asciiTheme="minorHAnsi" w:hAnsiTheme="minorHAnsi"/>
          <w:color w:val="auto"/>
          <w:szCs w:val="24"/>
        </w:rPr>
        <w:t xml:space="preserve">The Board recommends that the CI’s prior determination be modified as follows and that the discharge with severance pay be recharacterized to reflect </w:t>
      </w:r>
      <w:r w:rsidR="00A54626" w:rsidRPr="00B427BB">
        <w:rPr>
          <w:rFonts w:asciiTheme="minorHAnsi" w:hAnsiTheme="minorHAnsi"/>
          <w:color w:val="auto"/>
          <w:szCs w:val="24"/>
        </w:rPr>
        <w:t>permanent disability retirement, effective as of the date of his</w:t>
      </w:r>
      <w:r w:rsidR="00A54626">
        <w:rPr>
          <w:rFonts w:asciiTheme="minorHAnsi" w:hAnsiTheme="minorHAnsi"/>
          <w:color w:val="auto"/>
          <w:szCs w:val="24"/>
        </w:rPr>
        <w:t xml:space="preserve"> prior medical separation:</w:t>
      </w:r>
    </w:p>
    <w:p w:rsidR="003B63FA" w:rsidRDefault="003B63FA" w:rsidP="00510F9C">
      <w:pPr>
        <w:spacing w:line="240" w:lineRule="exact"/>
        <w:rPr>
          <w:rFonts w:asciiTheme="minorHAnsi" w:hAnsiTheme="minorHAnsi"/>
          <w:color w:val="auto"/>
        </w:rPr>
      </w:pPr>
    </w:p>
    <w:p w:rsidR="005B51FE" w:rsidRDefault="005B51FE" w:rsidP="00510F9C">
      <w:pPr>
        <w:spacing w:line="240" w:lineRule="exact"/>
        <w:rPr>
          <w:rFonts w:asciiTheme="minorHAnsi" w:hAnsiTheme="minorHAnsi"/>
          <w:color w:val="auto"/>
        </w:rPr>
      </w:pPr>
    </w:p>
    <w:p w:rsidR="005B51FE" w:rsidRDefault="005B51FE" w:rsidP="00510F9C">
      <w:pPr>
        <w:spacing w:line="240" w:lineRule="exact"/>
        <w:rPr>
          <w:rFonts w:asciiTheme="minorHAnsi" w:hAnsiTheme="minorHAnsi"/>
          <w:color w:val="auto"/>
        </w:rPr>
      </w:pPr>
    </w:p>
    <w:p w:rsidR="005B51FE" w:rsidRPr="00B427BB" w:rsidRDefault="005B51FE" w:rsidP="00510F9C">
      <w:pPr>
        <w:spacing w:line="240" w:lineRule="exact"/>
        <w:rPr>
          <w:rFonts w:asciiTheme="minorHAnsi" w:hAnsiTheme="minorHAnsi"/>
          <w:color w:val="auto"/>
        </w:rPr>
      </w:pPr>
    </w:p>
    <w:p w:rsidR="006B4AA2" w:rsidRPr="00A54626" w:rsidRDefault="006B4AA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lastRenderedPageBreak/>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512897" w:rsidP="00512897">
            <w:pPr>
              <w:tabs>
                <w:tab w:val="left" w:pos="288"/>
                <w:tab w:val="left" w:pos="4752"/>
              </w:tabs>
              <w:spacing w:line="240" w:lineRule="exact"/>
              <w:rPr>
                <w:rFonts w:asciiTheme="minorHAnsi" w:hAnsiTheme="minorHAnsi"/>
                <w:color w:val="auto"/>
                <w:szCs w:val="24"/>
              </w:rPr>
            </w:pPr>
            <w:r>
              <w:rPr>
                <w:rFonts w:asciiTheme="minorHAnsi" w:eastAsiaTheme="minorHAnsi" w:hAnsiTheme="minorHAnsi"/>
                <w:color w:val="auto"/>
                <w:szCs w:val="24"/>
              </w:rPr>
              <w:t>Lumbar</w:t>
            </w:r>
            <w:r w:rsidR="009F30A8" w:rsidRPr="00D932E1">
              <w:rPr>
                <w:rFonts w:asciiTheme="minorHAnsi" w:eastAsiaTheme="minorHAnsi" w:hAnsiTheme="minorHAnsi"/>
                <w:color w:val="auto"/>
                <w:szCs w:val="24"/>
              </w:rPr>
              <w:t xml:space="preserve"> Degenerative Disc Disease</w:t>
            </w:r>
          </w:p>
        </w:tc>
        <w:tc>
          <w:tcPr>
            <w:tcW w:w="1710" w:type="dxa"/>
            <w:vAlign w:val="center"/>
          </w:tcPr>
          <w:p w:rsidR="00A95BBA" w:rsidRPr="00AF01B2" w:rsidRDefault="004F6886" w:rsidP="004F688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5237</w:t>
            </w:r>
          </w:p>
        </w:tc>
        <w:tc>
          <w:tcPr>
            <w:tcW w:w="1170" w:type="dxa"/>
            <w:vAlign w:val="center"/>
          </w:tcPr>
          <w:p w:rsidR="00A95BBA" w:rsidRPr="00AF01B2" w:rsidRDefault="009F30A8"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00A95BBA" w:rsidRPr="00AF01B2">
              <w:rPr>
                <w:rFonts w:asciiTheme="minorHAnsi" w:hAnsiTheme="minorHAnsi"/>
                <w:color w:val="auto"/>
                <w:szCs w:val="24"/>
              </w:rPr>
              <w:t>%</w:t>
            </w:r>
          </w:p>
        </w:tc>
      </w:tr>
      <w:tr w:rsidR="0058242A" w:rsidRPr="00AF01B2" w:rsidTr="00103948">
        <w:trPr>
          <w:jc w:val="center"/>
        </w:trPr>
        <w:tc>
          <w:tcPr>
            <w:tcW w:w="6480" w:type="dxa"/>
            <w:vAlign w:val="center"/>
          </w:tcPr>
          <w:p w:rsidR="0058242A" w:rsidRPr="00AF01B2" w:rsidRDefault="0058242A" w:rsidP="002535FB">
            <w:pPr>
              <w:tabs>
                <w:tab w:val="left" w:pos="288"/>
                <w:tab w:val="left" w:pos="4752"/>
              </w:tabs>
              <w:spacing w:line="240" w:lineRule="exact"/>
              <w:rPr>
                <w:rFonts w:asciiTheme="minorHAnsi" w:hAnsiTheme="minorHAnsi"/>
                <w:color w:val="auto"/>
                <w:szCs w:val="24"/>
              </w:rPr>
            </w:pPr>
            <w:r w:rsidRPr="009F30A8">
              <w:rPr>
                <w:rFonts w:asciiTheme="minorHAnsi" w:hAnsiTheme="minorHAnsi"/>
                <w:color w:val="auto"/>
                <w:szCs w:val="24"/>
              </w:rPr>
              <w:t>Cervicalgia</w:t>
            </w:r>
          </w:p>
        </w:tc>
        <w:tc>
          <w:tcPr>
            <w:tcW w:w="1710" w:type="dxa"/>
            <w:vAlign w:val="center"/>
          </w:tcPr>
          <w:p w:rsidR="0058242A" w:rsidRPr="00AF01B2" w:rsidRDefault="0058242A" w:rsidP="0051289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w:t>
            </w:r>
            <w:r w:rsidR="00512897">
              <w:rPr>
                <w:rFonts w:asciiTheme="minorHAnsi" w:hAnsiTheme="minorHAnsi"/>
                <w:color w:val="auto"/>
                <w:szCs w:val="24"/>
              </w:rPr>
              <w:t>2</w:t>
            </w:r>
          </w:p>
        </w:tc>
        <w:tc>
          <w:tcPr>
            <w:tcW w:w="1170" w:type="dxa"/>
            <w:vAlign w:val="center"/>
          </w:tcPr>
          <w:p w:rsidR="0058242A" w:rsidRPr="00AF01B2" w:rsidRDefault="0058242A" w:rsidP="002535F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Pr="00AF01B2">
              <w:rPr>
                <w:rFonts w:asciiTheme="minorHAnsi" w:hAnsiTheme="minorHAnsi"/>
                <w:color w:val="auto"/>
                <w:szCs w:val="24"/>
              </w:rPr>
              <w:t>%</w:t>
            </w:r>
          </w:p>
        </w:tc>
      </w:tr>
      <w:tr w:rsidR="0058242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58242A" w:rsidRPr="00AF01B2" w:rsidRDefault="0058242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58242A" w:rsidRPr="00AF01B2" w:rsidRDefault="0058242A"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40</w:t>
            </w:r>
            <w:r w:rsidRPr="00AF01B2">
              <w:rPr>
                <w:rFonts w:asciiTheme="minorHAnsi" w:hAnsiTheme="minorHAnsi"/>
                <w:b/>
                <w:color w:val="auto"/>
                <w:szCs w:val="24"/>
              </w:rPr>
              <w:t>%</w:t>
            </w:r>
          </w:p>
        </w:tc>
      </w:tr>
    </w:tbl>
    <w:p w:rsidR="00387F74" w:rsidRDefault="00387F74" w:rsidP="000D1CF4">
      <w:pPr>
        <w:tabs>
          <w:tab w:val="left" w:pos="288"/>
          <w:tab w:val="left" w:pos="1710"/>
        </w:tabs>
        <w:spacing w:line="240" w:lineRule="exact"/>
        <w:jc w:val="both"/>
        <w:rPr>
          <w:rFonts w:asciiTheme="minorHAnsi" w:hAnsiTheme="minorHAnsi"/>
          <w:color w:val="auto"/>
          <w:szCs w:val="24"/>
          <w:highlight w:val="yellow"/>
        </w:rPr>
      </w:pPr>
    </w:p>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AA602D" w:rsidRDefault="00AA602D"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9F30A8" w:rsidRPr="00DD469B" w:rsidRDefault="009F30A8" w:rsidP="009F30A8">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w:t>
      </w:r>
      <w:r>
        <w:rPr>
          <w:rFonts w:asciiTheme="minorHAnsi" w:hAnsiTheme="minorHAnsi"/>
          <w:color w:val="auto"/>
        </w:rPr>
        <w:t>hibit A.  DD Form 294 dated 20110109</w:t>
      </w:r>
      <w:r w:rsidR="005B51FE">
        <w:rPr>
          <w:rFonts w:asciiTheme="minorHAnsi" w:hAnsiTheme="minorHAnsi"/>
          <w:color w:val="auto"/>
        </w:rPr>
        <w:t>, w/</w:t>
      </w:r>
      <w:proofErr w:type="spellStart"/>
      <w:r w:rsidR="005B51FE">
        <w:rPr>
          <w:rFonts w:asciiTheme="minorHAnsi" w:hAnsiTheme="minorHAnsi"/>
          <w:color w:val="auto"/>
        </w:rPr>
        <w:t>atchs</w:t>
      </w:r>
      <w:proofErr w:type="spellEnd"/>
    </w:p>
    <w:p w:rsidR="009F30A8" w:rsidRPr="00DD469B" w:rsidRDefault="009F30A8" w:rsidP="009F30A8">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 xml:space="preserve">Exhibit B.  Service </w:t>
      </w:r>
      <w:r>
        <w:rPr>
          <w:rFonts w:asciiTheme="minorHAnsi" w:hAnsiTheme="minorHAnsi"/>
          <w:color w:val="auto"/>
        </w:rPr>
        <w:t>Treatment Record</w:t>
      </w:r>
    </w:p>
    <w:p w:rsidR="009F30A8" w:rsidRPr="00DD469B" w:rsidRDefault="009F30A8" w:rsidP="009F30A8">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Exhibit C.  Department of Vet</w:t>
      </w:r>
      <w:r>
        <w:rPr>
          <w:rFonts w:asciiTheme="minorHAnsi" w:hAnsiTheme="minorHAnsi"/>
          <w:color w:val="auto"/>
        </w:rPr>
        <w:t>erans' Affairs Treatment Record</w:t>
      </w: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B06C0" w:rsidRPr="00DB06C0" w:rsidRDefault="00FB1725" w:rsidP="00DB06C0">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CD4039" w:rsidRDefault="00DB06C0" w:rsidP="00DB06C0">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p>
    <w:p w:rsidR="00B522CD" w:rsidRDefault="00DB06C0" w:rsidP="00DB06C0">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ab/>
      </w:r>
      <w:r w:rsidRPr="00DB06C0">
        <w:rPr>
          <w:rFonts w:asciiTheme="minorHAnsi" w:hAnsiTheme="minorHAnsi"/>
          <w:color w:val="auto"/>
        </w:rPr>
        <w:tab/>
        <w:t>Physical Disability Board of Review</w:t>
      </w:r>
    </w:p>
    <w:p w:rsidR="004D5588" w:rsidRDefault="004D5588">
      <w:pPr>
        <w:rPr>
          <w:rFonts w:asciiTheme="minorHAnsi" w:hAnsiTheme="minorHAnsi"/>
          <w:color w:val="auto"/>
        </w:rPr>
      </w:pPr>
      <w:r>
        <w:rPr>
          <w:rFonts w:asciiTheme="minorHAnsi" w:hAnsiTheme="minorHAnsi"/>
          <w:color w:val="auto"/>
        </w:rPr>
        <w:br w:type="page"/>
      </w:r>
    </w:p>
    <w:p w:rsidR="00CD4039" w:rsidRPr="00CD4039" w:rsidRDefault="00CD4039" w:rsidP="00DB06C0">
      <w:pPr>
        <w:tabs>
          <w:tab w:val="left" w:pos="0"/>
          <w:tab w:val="left" w:pos="4320"/>
        </w:tabs>
        <w:spacing w:line="240" w:lineRule="exact"/>
        <w:jc w:val="both"/>
        <w:rPr>
          <w:rFonts w:asciiTheme="minorHAnsi" w:hAnsiTheme="minorHAnsi"/>
          <w:color w:val="auto"/>
        </w:rPr>
      </w:pPr>
    </w:p>
    <w:p w:rsidR="00CD4039" w:rsidRPr="00CD4039" w:rsidRDefault="00CD4039" w:rsidP="00CD4039">
      <w:pPr>
        <w:jc w:val="both"/>
        <w:rPr>
          <w:color w:val="auto"/>
        </w:rPr>
      </w:pPr>
      <w:r w:rsidRPr="00CD4039">
        <w:rPr>
          <w:color w:val="auto"/>
        </w:rPr>
        <w:t xml:space="preserve">MEMORANDUM FOR DIRECTOR, SECRETARY OF THE NAVY COUNCIL OF REVIEW  </w:t>
      </w:r>
    </w:p>
    <w:p w:rsidR="00CD4039" w:rsidRPr="00CD4039" w:rsidRDefault="00CD4039" w:rsidP="00CD4039">
      <w:pPr>
        <w:ind w:left="-360"/>
        <w:jc w:val="both"/>
        <w:rPr>
          <w:color w:val="auto"/>
        </w:rPr>
      </w:pPr>
      <w:r w:rsidRPr="00CD4039">
        <w:rPr>
          <w:color w:val="auto"/>
        </w:rPr>
        <w:t xml:space="preserve">                                              BOARDS </w:t>
      </w:r>
    </w:p>
    <w:p w:rsidR="00CD4039" w:rsidRPr="00CD4039" w:rsidRDefault="00CD4039" w:rsidP="00CD4039">
      <w:pPr>
        <w:jc w:val="both"/>
        <w:rPr>
          <w:color w:val="auto"/>
        </w:rPr>
      </w:pPr>
    </w:p>
    <w:p w:rsidR="00CD4039" w:rsidRPr="00CD4039" w:rsidRDefault="00CD4039" w:rsidP="00CD4039">
      <w:pPr>
        <w:jc w:val="both"/>
        <w:rPr>
          <w:color w:val="auto"/>
        </w:rPr>
      </w:pPr>
      <w:proofErr w:type="spellStart"/>
      <w:r w:rsidRPr="00CD4039">
        <w:rPr>
          <w:color w:val="auto"/>
        </w:rPr>
        <w:t>Subj</w:t>
      </w:r>
      <w:proofErr w:type="spellEnd"/>
      <w:r w:rsidRPr="00CD4039">
        <w:rPr>
          <w:color w:val="auto"/>
        </w:rPr>
        <w:t>:  PHYSICAL DISABILITY BOARD OF REVIEW (PDBR) RECOMMENDATION</w:t>
      </w:r>
    </w:p>
    <w:p w:rsidR="00CD4039" w:rsidRPr="00CD4039" w:rsidRDefault="00CD4039" w:rsidP="00CD4039">
      <w:pPr>
        <w:jc w:val="both"/>
        <w:rPr>
          <w:color w:val="auto"/>
        </w:rPr>
      </w:pPr>
      <w:r w:rsidRPr="00CD4039">
        <w:rPr>
          <w:color w:val="auto"/>
        </w:rPr>
        <w:t xml:space="preserve">          ICO </w:t>
      </w:r>
      <w:r>
        <w:rPr>
          <w:color w:val="auto"/>
        </w:rPr>
        <w:t>XXXXX</w:t>
      </w:r>
      <w:r w:rsidRPr="00CD4039">
        <w:rPr>
          <w:color w:val="auto"/>
        </w:rPr>
        <w:t>, FORMER USN, XXX-XX-</w:t>
      </w:r>
      <w:r>
        <w:rPr>
          <w:color w:val="auto"/>
        </w:rPr>
        <w:t>XXXXX</w:t>
      </w:r>
    </w:p>
    <w:p w:rsidR="00CD4039" w:rsidRPr="00CD4039" w:rsidRDefault="00CD4039" w:rsidP="00CD4039">
      <w:pPr>
        <w:jc w:val="both"/>
        <w:rPr>
          <w:color w:val="auto"/>
        </w:rPr>
      </w:pPr>
    </w:p>
    <w:p w:rsidR="00CD4039" w:rsidRPr="00CD4039" w:rsidRDefault="00CD4039" w:rsidP="00CD4039">
      <w:pPr>
        <w:jc w:val="both"/>
        <w:rPr>
          <w:color w:val="auto"/>
        </w:rPr>
      </w:pPr>
      <w:r w:rsidRPr="00CD4039">
        <w:rPr>
          <w:color w:val="auto"/>
        </w:rPr>
        <w:t>Ref:   (a) DoDI 6040.44</w:t>
      </w:r>
    </w:p>
    <w:p w:rsidR="00CD4039" w:rsidRPr="00CD4039" w:rsidRDefault="00CD4039" w:rsidP="00CD4039">
      <w:pPr>
        <w:jc w:val="both"/>
        <w:rPr>
          <w:color w:val="auto"/>
        </w:rPr>
      </w:pPr>
      <w:r w:rsidRPr="00CD4039">
        <w:rPr>
          <w:color w:val="auto"/>
        </w:rPr>
        <w:t xml:space="preserve">          (b) PDBR </w:t>
      </w:r>
      <w:proofErr w:type="spellStart"/>
      <w:r w:rsidRPr="00CD4039">
        <w:rPr>
          <w:color w:val="auto"/>
        </w:rPr>
        <w:t>ltr</w:t>
      </w:r>
      <w:proofErr w:type="spellEnd"/>
      <w:r w:rsidRPr="00CD4039">
        <w:rPr>
          <w:color w:val="auto"/>
        </w:rPr>
        <w:t xml:space="preserve"> </w:t>
      </w:r>
      <w:proofErr w:type="spellStart"/>
      <w:r w:rsidRPr="00CD4039">
        <w:rPr>
          <w:color w:val="auto"/>
        </w:rPr>
        <w:t>dtd</w:t>
      </w:r>
      <w:proofErr w:type="spellEnd"/>
      <w:r w:rsidRPr="00CD4039">
        <w:rPr>
          <w:color w:val="auto"/>
        </w:rPr>
        <w:t xml:space="preserve"> 7 Nov 11</w:t>
      </w:r>
    </w:p>
    <w:p w:rsidR="00CD4039" w:rsidRPr="00CD4039" w:rsidRDefault="00CD4039" w:rsidP="00CD4039">
      <w:pPr>
        <w:ind w:left="-540"/>
        <w:jc w:val="both"/>
        <w:rPr>
          <w:color w:val="auto"/>
        </w:rPr>
      </w:pPr>
    </w:p>
    <w:p w:rsidR="00CD4039" w:rsidRPr="00CD4039" w:rsidRDefault="00CD4039" w:rsidP="00CD4039">
      <w:pPr>
        <w:rPr>
          <w:color w:val="auto"/>
        </w:rPr>
      </w:pPr>
      <w:r w:rsidRPr="00CD4039">
        <w:rPr>
          <w:color w:val="auto"/>
        </w:rPr>
        <w:t xml:space="preserve">    I have reviewed the subject case pursuant to reference (a) and non-concur with the recommendation of the Physical Disability Board of Review as set forth in reference (b).  Therefore, Mr. </w:t>
      </w:r>
      <w:r>
        <w:rPr>
          <w:color w:val="auto"/>
        </w:rPr>
        <w:t>XXXX’</w:t>
      </w:r>
      <w:r w:rsidRPr="00CD4039">
        <w:rPr>
          <w:color w:val="auto"/>
        </w:rPr>
        <w:t>s records will not be corrected to reflect a change in either his characterization of separation or in the disability rating previously assigned by the Department of the Navy’s Physical Evaluation Board.</w:t>
      </w:r>
    </w:p>
    <w:p w:rsidR="00CD4039" w:rsidRPr="00CD4039" w:rsidRDefault="00CD4039" w:rsidP="00CD4039">
      <w:pPr>
        <w:rPr>
          <w:color w:val="auto"/>
        </w:rPr>
      </w:pPr>
    </w:p>
    <w:p w:rsidR="00CD4039" w:rsidRPr="00CD4039" w:rsidRDefault="00CD4039" w:rsidP="00CD4039">
      <w:pPr>
        <w:jc w:val="both"/>
        <w:rPr>
          <w:color w:val="auto"/>
        </w:rPr>
      </w:pPr>
    </w:p>
    <w:p w:rsidR="00CD4039" w:rsidRPr="00CD4039" w:rsidRDefault="00CD4039" w:rsidP="00CD4039">
      <w:pPr>
        <w:jc w:val="both"/>
        <w:rPr>
          <w:color w:val="auto"/>
        </w:rPr>
      </w:pPr>
    </w:p>
    <w:p w:rsidR="00CD4039" w:rsidRPr="00CD4039" w:rsidRDefault="00CD4039" w:rsidP="00CD4039">
      <w:pPr>
        <w:tabs>
          <w:tab w:val="left" w:pos="4680"/>
        </w:tabs>
        <w:jc w:val="both"/>
        <w:rPr>
          <w:color w:val="auto"/>
        </w:rPr>
      </w:pPr>
      <w:r w:rsidRPr="00CD4039">
        <w:rPr>
          <w:color w:val="auto"/>
        </w:rPr>
        <w:tab/>
      </w:r>
    </w:p>
    <w:p w:rsidR="00CD4039" w:rsidRPr="00CD4039" w:rsidRDefault="00CD4039" w:rsidP="00CD4039">
      <w:pPr>
        <w:tabs>
          <w:tab w:val="left" w:pos="4680"/>
        </w:tabs>
        <w:jc w:val="both"/>
        <w:rPr>
          <w:color w:val="auto"/>
        </w:rPr>
      </w:pPr>
      <w:r w:rsidRPr="00CD4039">
        <w:rPr>
          <w:color w:val="auto"/>
        </w:rPr>
        <w:tab/>
        <w:t>Principal Deputy</w:t>
      </w:r>
    </w:p>
    <w:p w:rsidR="00CD4039" w:rsidRPr="00CD4039" w:rsidRDefault="00CD4039" w:rsidP="00CD4039">
      <w:pPr>
        <w:tabs>
          <w:tab w:val="left" w:pos="4680"/>
        </w:tabs>
        <w:jc w:val="both"/>
        <w:rPr>
          <w:color w:val="auto"/>
        </w:rPr>
      </w:pPr>
      <w:r w:rsidRPr="00CD4039">
        <w:rPr>
          <w:color w:val="auto"/>
        </w:rPr>
        <w:tab/>
        <w:t xml:space="preserve">Assistant Secretary of the Navy </w:t>
      </w:r>
    </w:p>
    <w:p w:rsidR="00CD4039" w:rsidRDefault="00CD4039" w:rsidP="00CD4039">
      <w:pPr>
        <w:tabs>
          <w:tab w:val="left" w:pos="4680"/>
        </w:tabs>
        <w:jc w:val="both"/>
      </w:pPr>
      <w:r w:rsidRPr="00CD4039">
        <w:rPr>
          <w:color w:val="auto"/>
        </w:rPr>
        <w:tab/>
        <w:t xml:space="preserve">  (Manpower &amp; Reserve Affairs</w:t>
      </w:r>
      <w:r>
        <w:t>)</w:t>
      </w:r>
    </w:p>
    <w:p w:rsidR="00CD4039" w:rsidRDefault="00CD4039" w:rsidP="00CD4039">
      <w:pPr>
        <w:jc w:val="both"/>
      </w:pPr>
      <w:r>
        <w:tab/>
      </w:r>
      <w:r>
        <w:tab/>
      </w:r>
      <w:r>
        <w:tab/>
      </w:r>
      <w:r>
        <w:tab/>
      </w:r>
      <w:r>
        <w:tab/>
      </w:r>
      <w:r>
        <w:tab/>
        <w:t xml:space="preserve">  </w:t>
      </w:r>
    </w:p>
    <w:p w:rsidR="00CD4039" w:rsidRDefault="00CD4039" w:rsidP="00CD4039">
      <w:pPr>
        <w:jc w:val="both"/>
      </w:pPr>
    </w:p>
    <w:p w:rsidR="00CD4039" w:rsidRPr="00006186" w:rsidRDefault="00CD4039" w:rsidP="00DB06C0">
      <w:pPr>
        <w:tabs>
          <w:tab w:val="left" w:pos="0"/>
          <w:tab w:val="left" w:pos="4320"/>
        </w:tabs>
        <w:spacing w:line="240" w:lineRule="exact"/>
        <w:jc w:val="both"/>
        <w:rPr>
          <w:rFonts w:asciiTheme="minorHAnsi" w:hAnsiTheme="minorHAnsi"/>
          <w:color w:val="auto"/>
        </w:rPr>
      </w:pPr>
    </w:p>
    <w:sectPr w:rsidR="00CD4039" w:rsidRPr="0000618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610" w:rsidRDefault="007F4610">
      <w:r>
        <w:separator/>
      </w:r>
    </w:p>
  </w:endnote>
  <w:endnote w:type="continuationSeparator" w:id="0">
    <w:p w:rsidR="007F4610" w:rsidRDefault="007F46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8D4FF6" w:rsidRPr="00684CE6" w:rsidRDefault="00785DE7" w:rsidP="00F65ED5">
        <w:pPr>
          <w:pStyle w:val="Footer"/>
          <w:jc w:val="right"/>
          <w:rPr>
            <w:color w:val="auto"/>
          </w:rPr>
        </w:pPr>
        <w:r w:rsidRPr="00684CE6">
          <w:rPr>
            <w:color w:val="auto"/>
          </w:rPr>
          <w:fldChar w:fldCharType="begin"/>
        </w:r>
        <w:r w:rsidR="008D4FF6" w:rsidRPr="00684CE6">
          <w:rPr>
            <w:color w:val="auto"/>
          </w:rPr>
          <w:instrText xml:space="preserve"> PAGE   \* MERGEFORMAT </w:instrText>
        </w:r>
        <w:r w:rsidRPr="00684CE6">
          <w:rPr>
            <w:color w:val="auto"/>
          </w:rPr>
          <w:fldChar w:fldCharType="separate"/>
        </w:r>
        <w:r w:rsidR="004D5588">
          <w:rPr>
            <w:noProof/>
            <w:color w:val="auto"/>
          </w:rPr>
          <w:t>6</w:t>
        </w:r>
        <w:r w:rsidRPr="00684CE6">
          <w:rPr>
            <w:color w:val="auto"/>
          </w:rPr>
          <w:fldChar w:fldCharType="end"/>
        </w:r>
        <w:r w:rsidR="008D4FF6" w:rsidRPr="00684CE6">
          <w:rPr>
            <w:color w:val="auto"/>
          </w:rPr>
          <w:t xml:space="preserve">          </w:t>
        </w:r>
        <w:r w:rsidR="008D4FF6">
          <w:rPr>
            <w:color w:val="auto"/>
          </w:rPr>
          <w:t xml:space="preserve">          </w:t>
        </w:r>
        <w:r w:rsidR="008D4FF6" w:rsidRPr="00684CE6">
          <w:rPr>
            <w:color w:val="auto"/>
          </w:rPr>
          <w:t xml:space="preserve">                                                 </w:t>
        </w:r>
        <w:r w:rsidR="008D4FF6" w:rsidRPr="00396779">
          <w:rPr>
            <w:rFonts w:asciiTheme="minorHAnsi" w:hAnsiTheme="minorHAnsi"/>
            <w:caps/>
            <w:color w:val="auto"/>
          </w:rPr>
          <w:t>PD</w:t>
        </w:r>
        <w:r w:rsidR="008D4FF6">
          <w:rPr>
            <w:rFonts w:asciiTheme="minorHAnsi" w:hAnsiTheme="minorHAnsi"/>
            <w:caps/>
            <w:color w:val="auto"/>
          </w:rPr>
          <w:t>1100025</w:t>
        </w:r>
      </w:p>
    </w:sdtContent>
  </w:sdt>
  <w:p w:rsidR="008D4FF6" w:rsidRPr="00684CE6" w:rsidRDefault="008D4FF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610" w:rsidRDefault="007F4610">
      <w:r>
        <w:separator/>
      </w:r>
    </w:p>
  </w:footnote>
  <w:footnote w:type="continuationSeparator" w:id="0">
    <w:p w:rsidR="007F4610" w:rsidRDefault="007F4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017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26C4D"/>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431E"/>
    <w:rsid w:val="000652EA"/>
    <w:rsid w:val="00065E21"/>
    <w:rsid w:val="00066C3B"/>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B713E"/>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4F42"/>
    <w:rsid w:val="001272AE"/>
    <w:rsid w:val="00130756"/>
    <w:rsid w:val="001315DD"/>
    <w:rsid w:val="0013525F"/>
    <w:rsid w:val="00135385"/>
    <w:rsid w:val="001364D1"/>
    <w:rsid w:val="001374C7"/>
    <w:rsid w:val="001420F1"/>
    <w:rsid w:val="001421FD"/>
    <w:rsid w:val="001425C8"/>
    <w:rsid w:val="00142EBA"/>
    <w:rsid w:val="00143B79"/>
    <w:rsid w:val="00145965"/>
    <w:rsid w:val="00147193"/>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2C9D"/>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66"/>
    <w:rsid w:val="001C5BDA"/>
    <w:rsid w:val="001C5CFC"/>
    <w:rsid w:val="001C7231"/>
    <w:rsid w:val="001C7418"/>
    <w:rsid w:val="001C7C05"/>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230A"/>
    <w:rsid w:val="00224E13"/>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2FB2"/>
    <w:rsid w:val="0024305C"/>
    <w:rsid w:val="002432F4"/>
    <w:rsid w:val="00246860"/>
    <w:rsid w:val="002468D9"/>
    <w:rsid w:val="00246DFF"/>
    <w:rsid w:val="00246E89"/>
    <w:rsid w:val="0025183C"/>
    <w:rsid w:val="00252351"/>
    <w:rsid w:val="002528EC"/>
    <w:rsid w:val="002535FB"/>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557"/>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1C4"/>
    <w:rsid w:val="002A685E"/>
    <w:rsid w:val="002A72C7"/>
    <w:rsid w:val="002B0204"/>
    <w:rsid w:val="002B03B2"/>
    <w:rsid w:val="002B0749"/>
    <w:rsid w:val="002B2645"/>
    <w:rsid w:val="002B303A"/>
    <w:rsid w:val="002B32E9"/>
    <w:rsid w:val="002B4581"/>
    <w:rsid w:val="002B4E22"/>
    <w:rsid w:val="002B6FA0"/>
    <w:rsid w:val="002B7645"/>
    <w:rsid w:val="002C0B7A"/>
    <w:rsid w:val="002C0DEA"/>
    <w:rsid w:val="002C34F6"/>
    <w:rsid w:val="002C3B6D"/>
    <w:rsid w:val="002C492D"/>
    <w:rsid w:val="002C5D9D"/>
    <w:rsid w:val="002C5F10"/>
    <w:rsid w:val="002C6E5B"/>
    <w:rsid w:val="002D08F3"/>
    <w:rsid w:val="002D16C2"/>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3B3"/>
    <w:rsid w:val="002E65E6"/>
    <w:rsid w:val="002E7072"/>
    <w:rsid w:val="002E7570"/>
    <w:rsid w:val="002E764B"/>
    <w:rsid w:val="002F0D6A"/>
    <w:rsid w:val="002F0E28"/>
    <w:rsid w:val="002F287E"/>
    <w:rsid w:val="002F2981"/>
    <w:rsid w:val="002F2D63"/>
    <w:rsid w:val="002F6AD8"/>
    <w:rsid w:val="002F7F81"/>
    <w:rsid w:val="00300A36"/>
    <w:rsid w:val="00301B45"/>
    <w:rsid w:val="0030210C"/>
    <w:rsid w:val="00305856"/>
    <w:rsid w:val="0030678B"/>
    <w:rsid w:val="00306D16"/>
    <w:rsid w:val="00307595"/>
    <w:rsid w:val="00310CD7"/>
    <w:rsid w:val="00313D7A"/>
    <w:rsid w:val="0031549C"/>
    <w:rsid w:val="00315B1D"/>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16B"/>
    <w:rsid w:val="00336805"/>
    <w:rsid w:val="00337351"/>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4CA1"/>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5DB9"/>
    <w:rsid w:val="00386D43"/>
    <w:rsid w:val="00387095"/>
    <w:rsid w:val="00387E95"/>
    <w:rsid w:val="00387F74"/>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15A"/>
    <w:rsid w:val="003B227A"/>
    <w:rsid w:val="003B3A77"/>
    <w:rsid w:val="003B4319"/>
    <w:rsid w:val="003B44AC"/>
    <w:rsid w:val="003B5854"/>
    <w:rsid w:val="003B63FA"/>
    <w:rsid w:val="003B6764"/>
    <w:rsid w:val="003B7A8B"/>
    <w:rsid w:val="003C294B"/>
    <w:rsid w:val="003C5046"/>
    <w:rsid w:val="003C6068"/>
    <w:rsid w:val="003C714A"/>
    <w:rsid w:val="003C7AEC"/>
    <w:rsid w:val="003D1E51"/>
    <w:rsid w:val="003D2BA3"/>
    <w:rsid w:val="003D316B"/>
    <w:rsid w:val="003D399E"/>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E6F26"/>
    <w:rsid w:val="003F070E"/>
    <w:rsid w:val="003F09AC"/>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C51"/>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1B87"/>
    <w:rsid w:val="0044209E"/>
    <w:rsid w:val="004426A4"/>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7156"/>
    <w:rsid w:val="00497C43"/>
    <w:rsid w:val="004A0C79"/>
    <w:rsid w:val="004A24D2"/>
    <w:rsid w:val="004A3214"/>
    <w:rsid w:val="004A4136"/>
    <w:rsid w:val="004A417B"/>
    <w:rsid w:val="004A4378"/>
    <w:rsid w:val="004A712D"/>
    <w:rsid w:val="004B03F3"/>
    <w:rsid w:val="004B0CC9"/>
    <w:rsid w:val="004B2536"/>
    <w:rsid w:val="004B2837"/>
    <w:rsid w:val="004B46D7"/>
    <w:rsid w:val="004B6AF3"/>
    <w:rsid w:val="004B715E"/>
    <w:rsid w:val="004B7169"/>
    <w:rsid w:val="004B79C9"/>
    <w:rsid w:val="004C00DD"/>
    <w:rsid w:val="004C05CF"/>
    <w:rsid w:val="004C0776"/>
    <w:rsid w:val="004C1EF8"/>
    <w:rsid w:val="004C2063"/>
    <w:rsid w:val="004C24C5"/>
    <w:rsid w:val="004C2EDA"/>
    <w:rsid w:val="004C47D5"/>
    <w:rsid w:val="004C4CAF"/>
    <w:rsid w:val="004C5E33"/>
    <w:rsid w:val="004C60A3"/>
    <w:rsid w:val="004C6CDA"/>
    <w:rsid w:val="004D10D4"/>
    <w:rsid w:val="004D16BD"/>
    <w:rsid w:val="004D2AAB"/>
    <w:rsid w:val="004D5588"/>
    <w:rsid w:val="004D6E90"/>
    <w:rsid w:val="004D6F2B"/>
    <w:rsid w:val="004E0248"/>
    <w:rsid w:val="004E21A3"/>
    <w:rsid w:val="004E32EA"/>
    <w:rsid w:val="004E6866"/>
    <w:rsid w:val="004F0C58"/>
    <w:rsid w:val="004F3222"/>
    <w:rsid w:val="004F3639"/>
    <w:rsid w:val="004F3BFA"/>
    <w:rsid w:val="004F4E3C"/>
    <w:rsid w:val="004F5A1A"/>
    <w:rsid w:val="004F6886"/>
    <w:rsid w:val="004F77A3"/>
    <w:rsid w:val="005000AB"/>
    <w:rsid w:val="00500F3C"/>
    <w:rsid w:val="005025EE"/>
    <w:rsid w:val="00503DDF"/>
    <w:rsid w:val="00505524"/>
    <w:rsid w:val="00506688"/>
    <w:rsid w:val="00510588"/>
    <w:rsid w:val="00510F9C"/>
    <w:rsid w:val="0051146C"/>
    <w:rsid w:val="0051220B"/>
    <w:rsid w:val="00512253"/>
    <w:rsid w:val="00512484"/>
    <w:rsid w:val="00512897"/>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972"/>
    <w:rsid w:val="00571B11"/>
    <w:rsid w:val="00571D1B"/>
    <w:rsid w:val="00571DA3"/>
    <w:rsid w:val="005738F5"/>
    <w:rsid w:val="00573D34"/>
    <w:rsid w:val="00575963"/>
    <w:rsid w:val="00575EBE"/>
    <w:rsid w:val="0058039C"/>
    <w:rsid w:val="00580A63"/>
    <w:rsid w:val="00581F71"/>
    <w:rsid w:val="0058242A"/>
    <w:rsid w:val="00583379"/>
    <w:rsid w:val="0058417C"/>
    <w:rsid w:val="005852AB"/>
    <w:rsid w:val="00586EC6"/>
    <w:rsid w:val="00587DDE"/>
    <w:rsid w:val="005918F7"/>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1FE"/>
    <w:rsid w:val="005B5B3D"/>
    <w:rsid w:val="005B64CF"/>
    <w:rsid w:val="005C0E87"/>
    <w:rsid w:val="005C16F3"/>
    <w:rsid w:val="005C3758"/>
    <w:rsid w:val="005C4D72"/>
    <w:rsid w:val="005C50C1"/>
    <w:rsid w:val="005C62C2"/>
    <w:rsid w:val="005C7E71"/>
    <w:rsid w:val="005D2306"/>
    <w:rsid w:val="005D456E"/>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5F7B76"/>
    <w:rsid w:val="006008F8"/>
    <w:rsid w:val="00605AAB"/>
    <w:rsid w:val="00605EE2"/>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3D1D"/>
    <w:rsid w:val="0063449E"/>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002E"/>
    <w:rsid w:val="00661C37"/>
    <w:rsid w:val="00662AD0"/>
    <w:rsid w:val="00662F08"/>
    <w:rsid w:val="00663589"/>
    <w:rsid w:val="00664296"/>
    <w:rsid w:val="006649CD"/>
    <w:rsid w:val="006658A1"/>
    <w:rsid w:val="00665D75"/>
    <w:rsid w:val="006708E3"/>
    <w:rsid w:val="00670DDC"/>
    <w:rsid w:val="00671389"/>
    <w:rsid w:val="00671EB4"/>
    <w:rsid w:val="00673CDC"/>
    <w:rsid w:val="0067443B"/>
    <w:rsid w:val="00676F35"/>
    <w:rsid w:val="006770AA"/>
    <w:rsid w:val="00681CE2"/>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1A77"/>
    <w:rsid w:val="006A40E6"/>
    <w:rsid w:val="006A516B"/>
    <w:rsid w:val="006A5362"/>
    <w:rsid w:val="006A543A"/>
    <w:rsid w:val="006A5C0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155"/>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6F687F"/>
    <w:rsid w:val="007005EA"/>
    <w:rsid w:val="00700E8A"/>
    <w:rsid w:val="00703B6C"/>
    <w:rsid w:val="00703BB0"/>
    <w:rsid w:val="00704519"/>
    <w:rsid w:val="00704C88"/>
    <w:rsid w:val="00704EA1"/>
    <w:rsid w:val="00705C40"/>
    <w:rsid w:val="00706482"/>
    <w:rsid w:val="00706754"/>
    <w:rsid w:val="00706BEF"/>
    <w:rsid w:val="007077D5"/>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5DE4"/>
    <w:rsid w:val="007272F1"/>
    <w:rsid w:val="0073062D"/>
    <w:rsid w:val="0073093B"/>
    <w:rsid w:val="0073254D"/>
    <w:rsid w:val="00732D5E"/>
    <w:rsid w:val="007340F3"/>
    <w:rsid w:val="00735704"/>
    <w:rsid w:val="00736097"/>
    <w:rsid w:val="00736A49"/>
    <w:rsid w:val="007411C4"/>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6100C"/>
    <w:rsid w:val="007612A5"/>
    <w:rsid w:val="00761330"/>
    <w:rsid w:val="00763CAE"/>
    <w:rsid w:val="00763F95"/>
    <w:rsid w:val="007651ED"/>
    <w:rsid w:val="00766BD0"/>
    <w:rsid w:val="00766C87"/>
    <w:rsid w:val="00770E97"/>
    <w:rsid w:val="00771043"/>
    <w:rsid w:val="00773AF7"/>
    <w:rsid w:val="00774FFD"/>
    <w:rsid w:val="00780378"/>
    <w:rsid w:val="0078085E"/>
    <w:rsid w:val="00781BD4"/>
    <w:rsid w:val="00782562"/>
    <w:rsid w:val="007828B4"/>
    <w:rsid w:val="00784832"/>
    <w:rsid w:val="00784EA0"/>
    <w:rsid w:val="00785D77"/>
    <w:rsid w:val="00785DE7"/>
    <w:rsid w:val="00786111"/>
    <w:rsid w:val="00790963"/>
    <w:rsid w:val="0079154B"/>
    <w:rsid w:val="00791C39"/>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AEE"/>
    <w:rsid w:val="007A5B7B"/>
    <w:rsid w:val="007A65A9"/>
    <w:rsid w:val="007B0128"/>
    <w:rsid w:val="007B0A06"/>
    <w:rsid w:val="007B0B24"/>
    <w:rsid w:val="007B1C83"/>
    <w:rsid w:val="007B2153"/>
    <w:rsid w:val="007B4181"/>
    <w:rsid w:val="007B5C5C"/>
    <w:rsid w:val="007B6CE0"/>
    <w:rsid w:val="007B7B37"/>
    <w:rsid w:val="007B7C41"/>
    <w:rsid w:val="007C05C5"/>
    <w:rsid w:val="007C0626"/>
    <w:rsid w:val="007C11E9"/>
    <w:rsid w:val="007C433E"/>
    <w:rsid w:val="007C4452"/>
    <w:rsid w:val="007C4B3C"/>
    <w:rsid w:val="007C4DB1"/>
    <w:rsid w:val="007C6046"/>
    <w:rsid w:val="007C6F0C"/>
    <w:rsid w:val="007D0292"/>
    <w:rsid w:val="007D02EE"/>
    <w:rsid w:val="007D136C"/>
    <w:rsid w:val="007D21AC"/>
    <w:rsid w:val="007D24B0"/>
    <w:rsid w:val="007D3882"/>
    <w:rsid w:val="007D39E4"/>
    <w:rsid w:val="007D3FE7"/>
    <w:rsid w:val="007D4EC9"/>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4610"/>
    <w:rsid w:val="0080064F"/>
    <w:rsid w:val="00801B85"/>
    <w:rsid w:val="00803850"/>
    <w:rsid w:val="008039E8"/>
    <w:rsid w:val="00804385"/>
    <w:rsid w:val="00804E0E"/>
    <w:rsid w:val="00805AFD"/>
    <w:rsid w:val="008078D8"/>
    <w:rsid w:val="0080798E"/>
    <w:rsid w:val="00811D5B"/>
    <w:rsid w:val="0081368E"/>
    <w:rsid w:val="00813C51"/>
    <w:rsid w:val="00816CCB"/>
    <w:rsid w:val="00817572"/>
    <w:rsid w:val="00817713"/>
    <w:rsid w:val="008208C3"/>
    <w:rsid w:val="008220F1"/>
    <w:rsid w:val="0082340B"/>
    <w:rsid w:val="00823D6A"/>
    <w:rsid w:val="00827659"/>
    <w:rsid w:val="00827B29"/>
    <w:rsid w:val="00827DB6"/>
    <w:rsid w:val="008304B2"/>
    <w:rsid w:val="00830999"/>
    <w:rsid w:val="00830D5E"/>
    <w:rsid w:val="00830F69"/>
    <w:rsid w:val="008324D9"/>
    <w:rsid w:val="00833418"/>
    <w:rsid w:val="0083387F"/>
    <w:rsid w:val="00834458"/>
    <w:rsid w:val="00834AEA"/>
    <w:rsid w:val="00835841"/>
    <w:rsid w:val="00835993"/>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354"/>
    <w:rsid w:val="0085089F"/>
    <w:rsid w:val="0085206E"/>
    <w:rsid w:val="00852273"/>
    <w:rsid w:val="0085293D"/>
    <w:rsid w:val="00852AD4"/>
    <w:rsid w:val="00852BA8"/>
    <w:rsid w:val="00852BF0"/>
    <w:rsid w:val="00853718"/>
    <w:rsid w:val="008541EF"/>
    <w:rsid w:val="00854B7F"/>
    <w:rsid w:val="00856AC7"/>
    <w:rsid w:val="00856FA4"/>
    <w:rsid w:val="00860E60"/>
    <w:rsid w:val="0086102A"/>
    <w:rsid w:val="0086162B"/>
    <w:rsid w:val="00861710"/>
    <w:rsid w:val="00861D5C"/>
    <w:rsid w:val="00861E7C"/>
    <w:rsid w:val="008639CC"/>
    <w:rsid w:val="00865207"/>
    <w:rsid w:val="008656A7"/>
    <w:rsid w:val="00865FA3"/>
    <w:rsid w:val="00866231"/>
    <w:rsid w:val="00871262"/>
    <w:rsid w:val="0087170E"/>
    <w:rsid w:val="00871D4E"/>
    <w:rsid w:val="00871E7B"/>
    <w:rsid w:val="008721BB"/>
    <w:rsid w:val="008743C9"/>
    <w:rsid w:val="0087566D"/>
    <w:rsid w:val="00875B50"/>
    <w:rsid w:val="00875B51"/>
    <w:rsid w:val="00875F2D"/>
    <w:rsid w:val="008764DC"/>
    <w:rsid w:val="00882CC2"/>
    <w:rsid w:val="0088325A"/>
    <w:rsid w:val="00883930"/>
    <w:rsid w:val="00884535"/>
    <w:rsid w:val="00884690"/>
    <w:rsid w:val="008902BE"/>
    <w:rsid w:val="0089038F"/>
    <w:rsid w:val="00890CDA"/>
    <w:rsid w:val="00891BBA"/>
    <w:rsid w:val="00892079"/>
    <w:rsid w:val="00892B90"/>
    <w:rsid w:val="00895CBD"/>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D4D"/>
    <w:rsid w:val="008B2FDB"/>
    <w:rsid w:val="008B335B"/>
    <w:rsid w:val="008B3AF2"/>
    <w:rsid w:val="008B446D"/>
    <w:rsid w:val="008B515D"/>
    <w:rsid w:val="008B5D31"/>
    <w:rsid w:val="008B6705"/>
    <w:rsid w:val="008C22F3"/>
    <w:rsid w:val="008C3FD0"/>
    <w:rsid w:val="008C4F01"/>
    <w:rsid w:val="008C5C11"/>
    <w:rsid w:val="008D1484"/>
    <w:rsid w:val="008D29E7"/>
    <w:rsid w:val="008D2B77"/>
    <w:rsid w:val="008D4FF6"/>
    <w:rsid w:val="008D5104"/>
    <w:rsid w:val="008D75F4"/>
    <w:rsid w:val="008D795D"/>
    <w:rsid w:val="008D7B07"/>
    <w:rsid w:val="008E0D8F"/>
    <w:rsid w:val="008E0F4E"/>
    <w:rsid w:val="008E1E94"/>
    <w:rsid w:val="008E2D99"/>
    <w:rsid w:val="008E30D4"/>
    <w:rsid w:val="008E38B0"/>
    <w:rsid w:val="008E4A60"/>
    <w:rsid w:val="008E744D"/>
    <w:rsid w:val="008F1E08"/>
    <w:rsid w:val="008F5C23"/>
    <w:rsid w:val="008F6FC8"/>
    <w:rsid w:val="0090045D"/>
    <w:rsid w:val="00900D8F"/>
    <w:rsid w:val="009014E3"/>
    <w:rsid w:val="009020ED"/>
    <w:rsid w:val="009026E8"/>
    <w:rsid w:val="00902FDD"/>
    <w:rsid w:val="00905EEF"/>
    <w:rsid w:val="00906EB7"/>
    <w:rsid w:val="009102BF"/>
    <w:rsid w:val="00911490"/>
    <w:rsid w:val="009115F2"/>
    <w:rsid w:val="00911B11"/>
    <w:rsid w:val="009143EC"/>
    <w:rsid w:val="0091479E"/>
    <w:rsid w:val="00914ADB"/>
    <w:rsid w:val="00917182"/>
    <w:rsid w:val="00922058"/>
    <w:rsid w:val="009221B9"/>
    <w:rsid w:val="00923B25"/>
    <w:rsid w:val="0092402E"/>
    <w:rsid w:val="009259BA"/>
    <w:rsid w:val="00926FCB"/>
    <w:rsid w:val="009303BB"/>
    <w:rsid w:val="0093108A"/>
    <w:rsid w:val="0093311A"/>
    <w:rsid w:val="009346D0"/>
    <w:rsid w:val="009419B4"/>
    <w:rsid w:val="00941A4C"/>
    <w:rsid w:val="00942645"/>
    <w:rsid w:val="009428C9"/>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DC2"/>
    <w:rsid w:val="00962F2D"/>
    <w:rsid w:val="00963A7A"/>
    <w:rsid w:val="009672CD"/>
    <w:rsid w:val="00972996"/>
    <w:rsid w:val="0097323E"/>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871D2"/>
    <w:rsid w:val="009935C3"/>
    <w:rsid w:val="0099421F"/>
    <w:rsid w:val="00994747"/>
    <w:rsid w:val="00994FC8"/>
    <w:rsid w:val="009A0DE3"/>
    <w:rsid w:val="009A1643"/>
    <w:rsid w:val="009A215A"/>
    <w:rsid w:val="009A4389"/>
    <w:rsid w:val="009A49D3"/>
    <w:rsid w:val="009A4F1B"/>
    <w:rsid w:val="009A66C5"/>
    <w:rsid w:val="009A66E7"/>
    <w:rsid w:val="009A79BA"/>
    <w:rsid w:val="009B14D1"/>
    <w:rsid w:val="009B1534"/>
    <w:rsid w:val="009B426A"/>
    <w:rsid w:val="009B4963"/>
    <w:rsid w:val="009B4A3B"/>
    <w:rsid w:val="009B69D3"/>
    <w:rsid w:val="009B7BA7"/>
    <w:rsid w:val="009B7C01"/>
    <w:rsid w:val="009C06D8"/>
    <w:rsid w:val="009C0938"/>
    <w:rsid w:val="009C0C22"/>
    <w:rsid w:val="009C15D9"/>
    <w:rsid w:val="009C22C8"/>
    <w:rsid w:val="009C385A"/>
    <w:rsid w:val="009C3F82"/>
    <w:rsid w:val="009C40F2"/>
    <w:rsid w:val="009C43F1"/>
    <w:rsid w:val="009C582A"/>
    <w:rsid w:val="009C5C56"/>
    <w:rsid w:val="009C72DD"/>
    <w:rsid w:val="009C78FD"/>
    <w:rsid w:val="009C7DF5"/>
    <w:rsid w:val="009D056C"/>
    <w:rsid w:val="009D060F"/>
    <w:rsid w:val="009D1ADE"/>
    <w:rsid w:val="009D3652"/>
    <w:rsid w:val="009D37CA"/>
    <w:rsid w:val="009D4229"/>
    <w:rsid w:val="009D4268"/>
    <w:rsid w:val="009D7326"/>
    <w:rsid w:val="009E09D0"/>
    <w:rsid w:val="009E1283"/>
    <w:rsid w:val="009E3A7F"/>
    <w:rsid w:val="009E4C9B"/>
    <w:rsid w:val="009E4DFC"/>
    <w:rsid w:val="009E5789"/>
    <w:rsid w:val="009E57B1"/>
    <w:rsid w:val="009E6379"/>
    <w:rsid w:val="009F020F"/>
    <w:rsid w:val="009F11EC"/>
    <w:rsid w:val="009F13F0"/>
    <w:rsid w:val="009F30A8"/>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5CC"/>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2B97"/>
    <w:rsid w:val="00A44141"/>
    <w:rsid w:val="00A44CCA"/>
    <w:rsid w:val="00A44D75"/>
    <w:rsid w:val="00A47CF1"/>
    <w:rsid w:val="00A50418"/>
    <w:rsid w:val="00A54626"/>
    <w:rsid w:val="00A54A47"/>
    <w:rsid w:val="00A56D26"/>
    <w:rsid w:val="00A571A7"/>
    <w:rsid w:val="00A5749A"/>
    <w:rsid w:val="00A57BA8"/>
    <w:rsid w:val="00A608FB"/>
    <w:rsid w:val="00A60D83"/>
    <w:rsid w:val="00A60F68"/>
    <w:rsid w:val="00A63DF3"/>
    <w:rsid w:val="00A64288"/>
    <w:rsid w:val="00A65C78"/>
    <w:rsid w:val="00A660A8"/>
    <w:rsid w:val="00A661A5"/>
    <w:rsid w:val="00A66A45"/>
    <w:rsid w:val="00A67591"/>
    <w:rsid w:val="00A67CA6"/>
    <w:rsid w:val="00A70E7B"/>
    <w:rsid w:val="00A717EA"/>
    <w:rsid w:val="00A7189D"/>
    <w:rsid w:val="00A73B84"/>
    <w:rsid w:val="00A7411D"/>
    <w:rsid w:val="00A744B7"/>
    <w:rsid w:val="00A74B89"/>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964CC"/>
    <w:rsid w:val="00AA04B3"/>
    <w:rsid w:val="00AA1253"/>
    <w:rsid w:val="00AA1ED0"/>
    <w:rsid w:val="00AA1F5B"/>
    <w:rsid w:val="00AA28EF"/>
    <w:rsid w:val="00AA2BDF"/>
    <w:rsid w:val="00AA3593"/>
    <w:rsid w:val="00AA38CA"/>
    <w:rsid w:val="00AA493E"/>
    <w:rsid w:val="00AA602D"/>
    <w:rsid w:val="00AA73AF"/>
    <w:rsid w:val="00AA74BF"/>
    <w:rsid w:val="00AB0A8A"/>
    <w:rsid w:val="00AB0D20"/>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B23"/>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1E4"/>
    <w:rsid w:val="00B04562"/>
    <w:rsid w:val="00B0472F"/>
    <w:rsid w:val="00B0541D"/>
    <w:rsid w:val="00B06930"/>
    <w:rsid w:val="00B0773A"/>
    <w:rsid w:val="00B07955"/>
    <w:rsid w:val="00B10606"/>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469"/>
    <w:rsid w:val="00B31965"/>
    <w:rsid w:val="00B32179"/>
    <w:rsid w:val="00B32341"/>
    <w:rsid w:val="00B32C2B"/>
    <w:rsid w:val="00B33007"/>
    <w:rsid w:val="00B331A9"/>
    <w:rsid w:val="00B33498"/>
    <w:rsid w:val="00B33598"/>
    <w:rsid w:val="00B36569"/>
    <w:rsid w:val="00B37345"/>
    <w:rsid w:val="00B37F53"/>
    <w:rsid w:val="00B40A05"/>
    <w:rsid w:val="00B40A3E"/>
    <w:rsid w:val="00B41A81"/>
    <w:rsid w:val="00B427BB"/>
    <w:rsid w:val="00B43BA2"/>
    <w:rsid w:val="00B449EE"/>
    <w:rsid w:val="00B454AE"/>
    <w:rsid w:val="00B479DB"/>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04D8"/>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7318"/>
    <w:rsid w:val="00B91676"/>
    <w:rsid w:val="00B92F59"/>
    <w:rsid w:val="00B9322B"/>
    <w:rsid w:val="00B955D5"/>
    <w:rsid w:val="00B95833"/>
    <w:rsid w:val="00BA1824"/>
    <w:rsid w:val="00BA2D98"/>
    <w:rsid w:val="00BA2F0C"/>
    <w:rsid w:val="00BA30D1"/>
    <w:rsid w:val="00BA30E1"/>
    <w:rsid w:val="00BA4609"/>
    <w:rsid w:val="00BA5BE2"/>
    <w:rsid w:val="00BA796B"/>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5EA"/>
    <w:rsid w:val="00BF2988"/>
    <w:rsid w:val="00BF3F01"/>
    <w:rsid w:val="00BF45EA"/>
    <w:rsid w:val="00BF4720"/>
    <w:rsid w:val="00BF4F49"/>
    <w:rsid w:val="00BF6759"/>
    <w:rsid w:val="00BF70A6"/>
    <w:rsid w:val="00BF7B4F"/>
    <w:rsid w:val="00BF7B63"/>
    <w:rsid w:val="00C0359D"/>
    <w:rsid w:val="00C038EC"/>
    <w:rsid w:val="00C05C6D"/>
    <w:rsid w:val="00C072D7"/>
    <w:rsid w:val="00C104DB"/>
    <w:rsid w:val="00C10BDE"/>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56D6"/>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5E8C"/>
    <w:rsid w:val="00C560A7"/>
    <w:rsid w:val="00C56FC8"/>
    <w:rsid w:val="00C60F23"/>
    <w:rsid w:val="00C6170B"/>
    <w:rsid w:val="00C62EB2"/>
    <w:rsid w:val="00C64C87"/>
    <w:rsid w:val="00C665FE"/>
    <w:rsid w:val="00C71BEC"/>
    <w:rsid w:val="00C74D3A"/>
    <w:rsid w:val="00C75F3D"/>
    <w:rsid w:val="00C80511"/>
    <w:rsid w:val="00C826F5"/>
    <w:rsid w:val="00C83740"/>
    <w:rsid w:val="00C83BBC"/>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040"/>
    <w:rsid w:val="00CA5F89"/>
    <w:rsid w:val="00CA6B1A"/>
    <w:rsid w:val="00CA7CB5"/>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4CED"/>
    <w:rsid w:val="00CC69EC"/>
    <w:rsid w:val="00CC78A2"/>
    <w:rsid w:val="00CC7DF8"/>
    <w:rsid w:val="00CD0446"/>
    <w:rsid w:val="00CD15BE"/>
    <w:rsid w:val="00CD1EF2"/>
    <w:rsid w:val="00CD32BD"/>
    <w:rsid w:val="00CD34C7"/>
    <w:rsid w:val="00CD4039"/>
    <w:rsid w:val="00CD5653"/>
    <w:rsid w:val="00CD5E6D"/>
    <w:rsid w:val="00CD63C8"/>
    <w:rsid w:val="00CD76F8"/>
    <w:rsid w:val="00CE0269"/>
    <w:rsid w:val="00CE02E8"/>
    <w:rsid w:val="00CE069E"/>
    <w:rsid w:val="00CE0DE0"/>
    <w:rsid w:val="00CE358C"/>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4A07"/>
    <w:rsid w:val="00D05669"/>
    <w:rsid w:val="00D061EB"/>
    <w:rsid w:val="00D06952"/>
    <w:rsid w:val="00D07A72"/>
    <w:rsid w:val="00D10577"/>
    <w:rsid w:val="00D12405"/>
    <w:rsid w:val="00D12A4E"/>
    <w:rsid w:val="00D12C3F"/>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3D3D"/>
    <w:rsid w:val="00D3654A"/>
    <w:rsid w:val="00D3662E"/>
    <w:rsid w:val="00D40B1F"/>
    <w:rsid w:val="00D40D75"/>
    <w:rsid w:val="00D42FB2"/>
    <w:rsid w:val="00D43978"/>
    <w:rsid w:val="00D43CBD"/>
    <w:rsid w:val="00D449F0"/>
    <w:rsid w:val="00D462D7"/>
    <w:rsid w:val="00D4640E"/>
    <w:rsid w:val="00D46D56"/>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7B"/>
    <w:rsid w:val="00D60483"/>
    <w:rsid w:val="00D61ABB"/>
    <w:rsid w:val="00D62D5C"/>
    <w:rsid w:val="00D63577"/>
    <w:rsid w:val="00D67FD7"/>
    <w:rsid w:val="00D72410"/>
    <w:rsid w:val="00D727A7"/>
    <w:rsid w:val="00D73D53"/>
    <w:rsid w:val="00D7408A"/>
    <w:rsid w:val="00D74261"/>
    <w:rsid w:val="00D7441B"/>
    <w:rsid w:val="00D75589"/>
    <w:rsid w:val="00D7624A"/>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2367"/>
    <w:rsid w:val="00D932E1"/>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187"/>
    <w:rsid w:val="00DB0359"/>
    <w:rsid w:val="00DB06C0"/>
    <w:rsid w:val="00DB0ABB"/>
    <w:rsid w:val="00DB2AAD"/>
    <w:rsid w:val="00DB44E2"/>
    <w:rsid w:val="00DB4A6D"/>
    <w:rsid w:val="00DB5941"/>
    <w:rsid w:val="00DB626D"/>
    <w:rsid w:val="00DB6365"/>
    <w:rsid w:val="00DB7280"/>
    <w:rsid w:val="00DB79D5"/>
    <w:rsid w:val="00DC07B7"/>
    <w:rsid w:val="00DC0BF1"/>
    <w:rsid w:val="00DC17F2"/>
    <w:rsid w:val="00DC41C3"/>
    <w:rsid w:val="00DC4A3C"/>
    <w:rsid w:val="00DC4FA4"/>
    <w:rsid w:val="00DC5028"/>
    <w:rsid w:val="00DC5B37"/>
    <w:rsid w:val="00DD286D"/>
    <w:rsid w:val="00DD2CAF"/>
    <w:rsid w:val="00DD3593"/>
    <w:rsid w:val="00DD64E0"/>
    <w:rsid w:val="00DD7BE0"/>
    <w:rsid w:val="00DD7F94"/>
    <w:rsid w:val="00DE0C67"/>
    <w:rsid w:val="00DE2F64"/>
    <w:rsid w:val="00DE3AAD"/>
    <w:rsid w:val="00DE598A"/>
    <w:rsid w:val="00DE6952"/>
    <w:rsid w:val="00DE7E74"/>
    <w:rsid w:val="00DF071B"/>
    <w:rsid w:val="00DF09FC"/>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27447"/>
    <w:rsid w:val="00E322F7"/>
    <w:rsid w:val="00E3369B"/>
    <w:rsid w:val="00E33E2F"/>
    <w:rsid w:val="00E35447"/>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1C5"/>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1EB7"/>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68F"/>
    <w:rsid w:val="00EB679F"/>
    <w:rsid w:val="00EB76E4"/>
    <w:rsid w:val="00EC0E65"/>
    <w:rsid w:val="00EC1251"/>
    <w:rsid w:val="00EC2938"/>
    <w:rsid w:val="00EC337D"/>
    <w:rsid w:val="00EC38EF"/>
    <w:rsid w:val="00EC3ABF"/>
    <w:rsid w:val="00EC50C9"/>
    <w:rsid w:val="00EC58B4"/>
    <w:rsid w:val="00EC5BB2"/>
    <w:rsid w:val="00ED12F0"/>
    <w:rsid w:val="00ED290C"/>
    <w:rsid w:val="00ED2A6C"/>
    <w:rsid w:val="00ED4773"/>
    <w:rsid w:val="00ED5284"/>
    <w:rsid w:val="00ED664B"/>
    <w:rsid w:val="00ED6A61"/>
    <w:rsid w:val="00ED7067"/>
    <w:rsid w:val="00ED7DA4"/>
    <w:rsid w:val="00EE03BB"/>
    <w:rsid w:val="00EE0552"/>
    <w:rsid w:val="00EE0B44"/>
    <w:rsid w:val="00EE0CCC"/>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07C1A"/>
    <w:rsid w:val="00F11EBE"/>
    <w:rsid w:val="00F12293"/>
    <w:rsid w:val="00F12BA8"/>
    <w:rsid w:val="00F130D0"/>
    <w:rsid w:val="00F14933"/>
    <w:rsid w:val="00F1516A"/>
    <w:rsid w:val="00F15EE5"/>
    <w:rsid w:val="00F171F9"/>
    <w:rsid w:val="00F1737C"/>
    <w:rsid w:val="00F20036"/>
    <w:rsid w:val="00F22A26"/>
    <w:rsid w:val="00F24072"/>
    <w:rsid w:val="00F26432"/>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4C6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7D3"/>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C88"/>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4325621">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24F7-942C-4F35-89CA-60C5B6A4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2512</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2011-11-03T15:50:00Z</cp:lastPrinted>
  <dcterms:created xsi:type="dcterms:W3CDTF">2012-03-09T02:32:00Z</dcterms:created>
  <dcterms:modified xsi:type="dcterms:W3CDTF">2012-03-12T17:47:00Z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