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70" w:rsidRPr="00396779" w:rsidRDefault="00540BEF" w:rsidP="00510F9C">
      <w:pPr>
        <w:tabs>
          <w:tab w:val="left" w:pos="288"/>
          <w:tab w:val="left" w:pos="4752"/>
        </w:tabs>
        <w:spacing w:line="240" w:lineRule="exact"/>
        <w:jc w:val="center"/>
        <w:rPr>
          <w:rFonts w:asciiTheme="minorHAnsi" w:hAnsiTheme="minorHAnsi"/>
          <w:color w:val="auto"/>
        </w:rPr>
      </w:pPr>
      <w:r w:rsidRPr="00396779">
        <w:rPr>
          <w:rFonts w:asciiTheme="minorHAnsi" w:hAnsiTheme="minorHAnsi"/>
          <w:color w:val="auto"/>
        </w:rPr>
        <w:t>RECORD OF PROCEEDINGS</w:t>
      </w:r>
    </w:p>
    <w:p w:rsidR="00540BEF" w:rsidRPr="00396779" w:rsidRDefault="00540BEF" w:rsidP="00510F9C">
      <w:pPr>
        <w:tabs>
          <w:tab w:val="left" w:pos="288"/>
          <w:tab w:val="left" w:pos="4752"/>
        </w:tabs>
        <w:spacing w:line="240" w:lineRule="exact"/>
        <w:jc w:val="center"/>
        <w:rPr>
          <w:rFonts w:asciiTheme="minorHAnsi" w:hAnsiTheme="minorHAnsi"/>
          <w:color w:val="auto"/>
        </w:rPr>
      </w:pPr>
      <w:r w:rsidRPr="00396779">
        <w:rPr>
          <w:rFonts w:asciiTheme="minorHAnsi" w:hAnsiTheme="minorHAnsi"/>
          <w:color w:val="auto"/>
        </w:rPr>
        <w:t>PHYSICAL DISABILITY BOARD OF REVIEW</w:t>
      </w:r>
    </w:p>
    <w:p w:rsidR="00540BEF" w:rsidRPr="00396779" w:rsidRDefault="00540BEF" w:rsidP="00510F9C">
      <w:pPr>
        <w:tabs>
          <w:tab w:val="left" w:pos="288"/>
          <w:tab w:val="left" w:pos="4752"/>
        </w:tabs>
        <w:spacing w:line="240" w:lineRule="exact"/>
        <w:jc w:val="both"/>
        <w:rPr>
          <w:rFonts w:asciiTheme="minorHAnsi" w:hAnsiTheme="minorHAnsi"/>
          <w:caps/>
          <w:color w:val="auto"/>
        </w:rPr>
      </w:pPr>
    </w:p>
    <w:p w:rsidR="00E0346A" w:rsidRPr="00DC0C2B" w:rsidRDefault="00F629C0" w:rsidP="00BB2E3F">
      <w:pPr>
        <w:tabs>
          <w:tab w:val="right" w:pos="9270"/>
        </w:tabs>
        <w:spacing w:line="240" w:lineRule="exact"/>
        <w:jc w:val="both"/>
        <w:rPr>
          <w:rFonts w:asciiTheme="minorHAnsi" w:hAnsiTheme="minorHAnsi"/>
          <w:caps/>
          <w:color w:val="auto"/>
        </w:rPr>
      </w:pPr>
      <w:r w:rsidRPr="00DC0C2B">
        <w:rPr>
          <w:rFonts w:asciiTheme="minorHAnsi" w:hAnsiTheme="minorHAnsi"/>
          <w:caps/>
          <w:color w:val="auto"/>
        </w:rPr>
        <w:t xml:space="preserve">NAME:  </w:t>
      </w:r>
      <w:r w:rsidR="006A018A">
        <w:rPr>
          <w:rFonts w:asciiTheme="minorHAnsi" w:hAnsiTheme="minorHAnsi"/>
          <w:caps/>
          <w:color w:val="auto"/>
        </w:rPr>
        <w:t xml:space="preserve"> </w:t>
      </w:r>
      <w:r w:rsidR="004216DA" w:rsidRPr="00DC0C2B">
        <w:rPr>
          <w:rFonts w:asciiTheme="minorHAnsi" w:hAnsiTheme="minorHAnsi"/>
          <w:caps/>
          <w:color w:val="auto"/>
        </w:rPr>
        <w:t xml:space="preserve">        </w:t>
      </w:r>
      <w:r w:rsidR="00332DE3" w:rsidRPr="00DC0C2B">
        <w:rPr>
          <w:rFonts w:asciiTheme="minorHAnsi" w:hAnsiTheme="minorHAnsi"/>
          <w:caps/>
          <w:color w:val="auto"/>
        </w:rPr>
        <w:t xml:space="preserve"> </w:t>
      </w:r>
      <w:r w:rsidR="000627DD" w:rsidRPr="00DC0C2B">
        <w:rPr>
          <w:rFonts w:asciiTheme="minorHAnsi" w:hAnsiTheme="minorHAnsi"/>
          <w:caps/>
          <w:color w:val="auto"/>
        </w:rPr>
        <w:tab/>
        <w:t xml:space="preserve">              </w:t>
      </w:r>
      <w:r w:rsidR="004216DA" w:rsidRPr="00DC0C2B">
        <w:rPr>
          <w:rFonts w:asciiTheme="minorHAnsi" w:hAnsiTheme="minorHAnsi"/>
          <w:caps/>
          <w:color w:val="auto"/>
        </w:rPr>
        <w:t xml:space="preserve">  </w:t>
      </w:r>
      <w:r w:rsidRPr="00DC0C2B">
        <w:rPr>
          <w:rFonts w:asciiTheme="minorHAnsi" w:hAnsiTheme="minorHAnsi"/>
          <w:caps/>
          <w:color w:val="auto"/>
        </w:rPr>
        <w:t xml:space="preserve">BRANCH OF SERVICE: </w:t>
      </w:r>
      <w:r w:rsidR="004C24C5" w:rsidRPr="00DC0C2B">
        <w:rPr>
          <w:rFonts w:asciiTheme="minorHAnsi" w:hAnsiTheme="minorHAnsi"/>
          <w:caps/>
          <w:color w:val="auto"/>
        </w:rPr>
        <w:t xml:space="preserve"> </w:t>
      </w:r>
      <w:r w:rsidR="00332DE3" w:rsidRPr="00DC0C2B">
        <w:rPr>
          <w:rFonts w:asciiTheme="minorHAnsi" w:hAnsiTheme="minorHAnsi"/>
          <w:caps/>
          <w:color w:val="auto"/>
        </w:rPr>
        <w:t xml:space="preserve">marine corps </w:t>
      </w:r>
    </w:p>
    <w:p w:rsidR="00DE3AAD" w:rsidRPr="00DC0C2B" w:rsidRDefault="00012733" w:rsidP="00BB2E3F">
      <w:pPr>
        <w:tabs>
          <w:tab w:val="right" w:pos="9270"/>
        </w:tabs>
        <w:spacing w:line="240" w:lineRule="exact"/>
        <w:jc w:val="both"/>
        <w:rPr>
          <w:rFonts w:asciiTheme="minorHAnsi" w:hAnsiTheme="minorHAnsi"/>
          <w:caps/>
          <w:color w:val="auto"/>
        </w:rPr>
      </w:pPr>
      <w:r w:rsidRPr="00DC0C2B">
        <w:rPr>
          <w:rFonts w:asciiTheme="minorHAnsi" w:hAnsiTheme="minorHAnsi"/>
          <w:caps/>
          <w:color w:val="auto"/>
        </w:rPr>
        <w:t>C</w:t>
      </w:r>
      <w:r w:rsidR="00DE3AAD" w:rsidRPr="00DC0C2B">
        <w:rPr>
          <w:rFonts w:asciiTheme="minorHAnsi" w:hAnsiTheme="minorHAnsi"/>
          <w:caps/>
          <w:color w:val="auto"/>
        </w:rPr>
        <w:t>ASE NUMBER:  PD</w:t>
      </w:r>
      <w:r w:rsidR="000627DD" w:rsidRPr="00DC0C2B">
        <w:rPr>
          <w:rFonts w:asciiTheme="minorHAnsi" w:hAnsiTheme="minorHAnsi"/>
          <w:caps/>
          <w:color w:val="auto"/>
        </w:rPr>
        <w:t>11</w:t>
      </w:r>
      <w:r w:rsidR="00DE3AAD" w:rsidRPr="00DC0C2B">
        <w:rPr>
          <w:rFonts w:asciiTheme="minorHAnsi" w:hAnsiTheme="minorHAnsi"/>
          <w:caps/>
          <w:color w:val="auto"/>
        </w:rPr>
        <w:t>00</w:t>
      </w:r>
      <w:r w:rsidR="000627DD" w:rsidRPr="00DC0C2B">
        <w:rPr>
          <w:rFonts w:asciiTheme="minorHAnsi" w:hAnsiTheme="minorHAnsi"/>
          <w:caps/>
          <w:color w:val="auto"/>
        </w:rPr>
        <w:t>002</w:t>
      </w:r>
      <w:r w:rsidR="00DE3AAD" w:rsidRPr="00DC0C2B">
        <w:rPr>
          <w:rFonts w:asciiTheme="minorHAnsi" w:hAnsiTheme="minorHAnsi"/>
          <w:color w:val="auto"/>
        </w:rPr>
        <w:t xml:space="preserve"> </w:t>
      </w:r>
      <w:r w:rsidR="00DE3AAD" w:rsidRPr="00DC0C2B">
        <w:rPr>
          <w:rFonts w:asciiTheme="minorHAnsi" w:hAnsiTheme="minorHAnsi"/>
          <w:color w:val="auto"/>
        </w:rPr>
        <w:tab/>
        <w:t xml:space="preserve">         </w:t>
      </w:r>
      <w:r w:rsidR="000627DD" w:rsidRPr="00DC0C2B">
        <w:rPr>
          <w:rFonts w:asciiTheme="minorHAnsi" w:hAnsiTheme="minorHAnsi"/>
          <w:color w:val="auto"/>
        </w:rPr>
        <w:t xml:space="preserve">      </w:t>
      </w:r>
      <w:r w:rsidR="00DE3AAD" w:rsidRPr="00DC0C2B">
        <w:rPr>
          <w:rFonts w:asciiTheme="minorHAnsi" w:hAnsiTheme="minorHAnsi"/>
          <w:color w:val="auto"/>
        </w:rPr>
        <w:t>SEPARATION DATE:  200</w:t>
      </w:r>
      <w:r w:rsidR="000627DD" w:rsidRPr="00DC0C2B">
        <w:rPr>
          <w:rFonts w:asciiTheme="minorHAnsi" w:hAnsiTheme="minorHAnsi"/>
          <w:color w:val="auto"/>
        </w:rPr>
        <w:t>50801</w:t>
      </w:r>
    </w:p>
    <w:p w:rsidR="004F3639" w:rsidRPr="00DC0C2B" w:rsidRDefault="004F3639" w:rsidP="00510F9C">
      <w:pPr>
        <w:tabs>
          <w:tab w:val="left" w:pos="288"/>
          <w:tab w:val="left" w:pos="5130"/>
        </w:tabs>
        <w:spacing w:line="240" w:lineRule="exact"/>
        <w:jc w:val="both"/>
        <w:rPr>
          <w:rFonts w:asciiTheme="minorHAnsi" w:hAnsiTheme="minorHAnsi"/>
          <w:color w:val="auto"/>
        </w:rPr>
      </w:pPr>
      <w:r w:rsidRPr="00DC0C2B">
        <w:rPr>
          <w:rFonts w:asciiTheme="minorHAnsi" w:hAnsiTheme="minorHAnsi"/>
          <w:caps/>
          <w:color w:val="auto"/>
        </w:rPr>
        <w:t>BOARD DATE:  2011</w:t>
      </w:r>
      <w:r w:rsidR="00A17249">
        <w:rPr>
          <w:rFonts w:asciiTheme="minorHAnsi" w:hAnsiTheme="minorHAnsi"/>
          <w:caps/>
          <w:color w:val="auto"/>
        </w:rPr>
        <w:t>1206</w:t>
      </w:r>
    </w:p>
    <w:p w:rsidR="008E0D8F" w:rsidRDefault="008E0D8F" w:rsidP="00510F9C">
      <w:pPr>
        <w:pBdr>
          <w:bottom w:val="single" w:sz="12" w:space="1" w:color="auto"/>
        </w:pBdr>
        <w:tabs>
          <w:tab w:val="left" w:pos="288"/>
          <w:tab w:val="left" w:pos="4752"/>
        </w:tabs>
        <w:spacing w:line="240" w:lineRule="exact"/>
        <w:jc w:val="both"/>
        <w:rPr>
          <w:rFonts w:asciiTheme="minorHAnsi" w:hAnsiTheme="minorHAnsi"/>
          <w:color w:val="auto"/>
          <w:u w:val="single"/>
        </w:rPr>
      </w:pPr>
    </w:p>
    <w:p w:rsidR="00500C67" w:rsidRDefault="00500C67" w:rsidP="00510F9C">
      <w:pPr>
        <w:tabs>
          <w:tab w:val="left" w:pos="288"/>
          <w:tab w:val="left" w:pos="4752"/>
        </w:tabs>
        <w:spacing w:line="240" w:lineRule="exact"/>
        <w:jc w:val="both"/>
        <w:rPr>
          <w:rFonts w:asciiTheme="minorHAnsi" w:hAnsiTheme="minorHAnsi"/>
          <w:color w:val="auto"/>
          <w:u w:val="single"/>
        </w:rPr>
      </w:pPr>
    </w:p>
    <w:p w:rsidR="00F63FC7" w:rsidRPr="00EC3C53" w:rsidRDefault="00FB0E80" w:rsidP="00510F9C">
      <w:pPr>
        <w:tabs>
          <w:tab w:val="left" w:pos="288"/>
          <w:tab w:val="left" w:pos="4752"/>
        </w:tabs>
        <w:spacing w:line="240" w:lineRule="exact"/>
        <w:jc w:val="both"/>
        <w:rPr>
          <w:rFonts w:asciiTheme="minorHAnsi" w:hAnsiTheme="minorHAnsi"/>
          <w:i/>
          <w:color w:val="auto"/>
          <w:szCs w:val="24"/>
        </w:rPr>
      </w:pPr>
      <w:r w:rsidRPr="000627DD">
        <w:rPr>
          <w:rFonts w:asciiTheme="minorHAnsi" w:hAnsiTheme="minorHAnsi"/>
          <w:color w:val="auto"/>
          <w:u w:val="single"/>
        </w:rPr>
        <w:t>SUMMARY OF CASE</w:t>
      </w:r>
      <w:r w:rsidRPr="000627DD">
        <w:rPr>
          <w:rFonts w:asciiTheme="minorHAnsi" w:hAnsiTheme="minorHAnsi"/>
          <w:color w:val="auto"/>
        </w:rPr>
        <w:t xml:space="preserve">:  </w:t>
      </w:r>
      <w:r w:rsidR="009759C2" w:rsidRPr="000627DD">
        <w:rPr>
          <w:rFonts w:asciiTheme="minorHAnsi" w:hAnsiTheme="minorHAnsi"/>
          <w:color w:val="auto"/>
        </w:rPr>
        <w:t>Data extracted from the available evidence of record reflects that this covered individual (CI)</w:t>
      </w:r>
      <w:r w:rsidR="00570754" w:rsidRPr="000627DD">
        <w:rPr>
          <w:rFonts w:asciiTheme="minorHAnsi" w:hAnsiTheme="minorHAnsi"/>
          <w:color w:val="auto"/>
        </w:rPr>
        <w:t xml:space="preserve"> </w:t>
      </w:r>
      <w:r w:rsidR="002C6E5B" w:rsidRPr="000627DD">
        <w:rPr>
          <w:rFonts w:asciiTheme="minorHAnsi" w:hAnsiTheme="minorHAnsi"/>
          <w:color w:val="auto"/>
          <w:szCs w:val="24"/>
        </w:rPr>
        <w:t xml:space="preserve">was </w:t>
      </w:r>
      <w:r w:rsidR="00E322F7" w:rsidRPr="000627DD">
        <w:rPr>
          <w:rFonts w:asciiTheme="minorHAnsi" w:hAnsiTheme="minorHAnsi"/>
          <w:color w:val="auto"/>
          <w:szCs w:val="24"/>
        </w:rPr>
        <w:t>an active duty</w:t>
      </w:r>
      <w:r w:rsidR="002E65E6" w:rsidRPr="000627DD">
        <w:rPr>
          <w:rFonts w:asciiTheme="minorHAnsi" w:hAnsiTheme="minorHAnsi"/>
          <w:color w:val="auto"/>
          <w:szCs w:val="24"/>
        </w:rPr>
        <w:t xml:space="preserve"> </w:t>
      </w:r>
      <w:proofErr w:type="spellStart"/>
      <w:r w:rsidR="000B432B">
        <w:rPr>
          <w:rFonts w:asciiTheme="minorHAnsi" w:hAnsiTheme="minorHAnsi"/>
          <w:color w:val="auto"/>
          <w:szCs w:val="24"/>
        </w:rPr>
        <w:t>L</w:t>
      </w:r>
      <w:r w:rsidR="00A0101A">
        <w:rPr>
          <w:rFonts w:asciiTheme="minorHAnsi" w:hAnsiTheme="minorHAnsi"/>
          <w:color w:val="auto"/>
          <w:szCs w:val="24"/>
        </w:rPr>
        <w:t>C</w:t>
      </w:r>
      <w:r w:rsidR="00CA1407">
        <w:rPr>
          <w:rFonts w:asciiTheme="minorHAnsi" w:hAnsiTheme="minorHAnsi"/>
          <w:color w:val="auto"/>
          <w:szCs w:val="24"/>
        </w:rPr>
        <w:t>pl</w:t>
      </w:r>
      <w:proofErr w:type="spellEnd"/>
      <w:r w:rsidR="000627DD" w:rsidRPr="000627DD">
        <w:rPr>
          <w:rFonts w:asciiTheme="minorHAnsi" w:hAnsiTheme="minorHAnsi"/>
          <w:color w:val="auto"/>
          <w:szCs w:val="24"/>
        </w:rPr>
        <w:t xml:space="preserve">/E3 </w:t>
      </w:r>
      <w:r w:rsidR="00705C40" w:rsidRPr="000627DD">
        <w:rPr>
          <w:rFonts w:asciiTheme="minorHAnsi" w:hAnsiTheme="minorHAnsi"/>
          <w:color w:val="auto"/>
          <w:szCs w:val="24"/>
        </w:rPr>
        <w:t>(</w:t>
      </w:r>
      <w:r w:rsidR="000627DD" w:rsidRPr="000627DD">
        <w:rPr>
          <w:rFonts w:asciiTheme="minorHAnsi" w:hAnsiTheme="minorHAnsi"/>
          <w:color w:val="auto"/>
          <w:szCs w:val="24"/>
        </w:rPr>
        <w:t>6114</w:t>
      </w:r>
      <w:r w:rsidR="00BB2E3F">
        <w:rPr>
          <w:rFonts w:asciiTheme="minorHAnsi" w:hAnsiTheme="minorHAnsi"/>
          <w:color w:val="auto"/>
          <w:szCs w:val="24"/>
        </w:rPr>
        <w:t xml:space="preserve">, </w:t>
      </w:r>
      <w:r w:rsidR="000627DD" w:rsidRPr="000627DD">
        <w:rPr>
          <w:rFonts w:asciiTheme="minorHAnsi" w:hAnsiTheme="minorHAnsi"/>
          <w:color w:val="auto"/>
          <w:szCs w:val="24"/>
        </w:rPr>
        <w:t>Marine Helicopter Mechanic</w:t>
      </w:r>
      <w:r w:rsidR="00E322F7" w:rsidRPr="000627DD">
        <w:rPr>
          <w:rFonts w:asciiTheme="minorHAnsi" w:hAnsiTheme="minorHAnsi"/>
          <w:color w:val="auto"/>
          <w:szCs w:val="24"/>
        </w:rPr>
        <w:t>)</w:t>
      </w:r>
      <w:r w:rsidR="00C75F3D" w:rsidRPr="000627DD">
        <w:rPr>
          <w:rFonts w:asciiTheme="minorHAnsi" w:hAnsiTheme="minorHAnsi"/>
          <w:color w:val="auto"/>
          <w:szCs w:val="24"/>
        </w:rPr>
        <w:t xml:space="preserve">, </w:t>
      </w:r>
      <w:r w:rsidR="002C6E5B" w:rsidRPr="000627DD">
        <w:rPr>
          <w:rFonts w:asciiTheme="minorHAnsi" w:hAnsiTheme="minorHAnsi"/>
          <w:color w:val="auto"/>
          <w:szCs w:val="24"/>
        </w:rPr>
        <w:t>medically separated for</w:t>
      </w:r>
      <w:r w:rsidR="000627DD" w:rsidRPr="000627DD">
        <w:rPr>
          <w:rFonts w:asciiTheme="minorHAnsi" w:hAnsiTheme="minorHAnsi"/>
          <w:color w:val="auto"/>
          <w:szCs w:val="24"/>
        </w:rPr>
        <w:t xml:space="preserve"> bilateral L4 pars interarticularis defect</w:t>
      </w:r>
      <w:r w:rsidR="00C039C5">
        <w:rPr>
          <w:rFonts w:asciiTheme="minorHAnsi" w:hAnsiTheme="minorHAnsi"/>
          <w:color w:val="auto"/>
          <w:szCs w:val="24"/>
        </w:rPr>
        <w:t xml:space="preserve"> with back pain</w:t>
      </w:r>
      <w:r w:rsidR="000627DD" w:rsidRPr="000627DD">
        <w:rPr>
          <w:rFonts w:asciiTheme="minorHAnsi" w:hAnsiTheme="minorHAnsi"/>
          <w:color w:val="auto"/>
          <w:szCs w:val="24"/>
        </w:rPr>
        <w:t>.</w:t>
      </w:r>
      <w:r w:rsidR="00D9153B">
        <w:rPr>
          <w:rFonts w:asciiTheme="minorHAnsi" w:hAnsiTheme="minorHAnsi"/>
          <w:color w:val="auto"/>
          <w:szCs w:val="24"/>
        </w:rPr>
        <w:t xml:space="preserve">  The CI initially injured his back while working on a helicopter in July 2004.</w:t>
      </w:r>
      <w:r w:rsidR="00EC3C53">
        <w:rPr>
          <w:rFonts w:asciiTheme="minorHAnsi" w:hAnsiTheme="minorHAnsi"/>
          <w:color w:val="auto"/>
          <w:szCs w:val="24"/>
        </w:rPr>
        <w:t xml:space="preserve"> </w:t>
      </w:r>
      <w:r w:rsidR="00F35D9B">
        <w:rPr>
          <w:rFonts w:asciiTheme="minorHAnsi" w:hAnsiTheme="minorHAnsi"/>
          <w:color w:val="auto"/>
          <w:szCs w:val="24"/>
        </w:rPr>
        <w:t xml:space="preserve"> </w:t>
      </w:r>
      <w:r w:rsidR="00A17249">
        <w:rPr>
          <w:rFonts w:asciiTheme="minorHAnsi" w:hAnsiTheme="minorHAnsi"/>
          <w:color w:val="auto"/>
          <w:szCs w:val="24"/>
        </w:rPr>
        <w:t>As h</w:t>
      </w:r>
      <w:r w:rsidR="00E322F7" w:rsidRPr="00D9153B">
        <w:rPr>
          <w:rFonts w:asciiTheme="minorHAnsi" w:hAnsiTheme="minorHAnsi"/>
          <w:color w:val="auto"/>
          <w:szCs w:val="24"/>
        </w:rPr>
        <w:t xml:space="preserve">e did not respond adequately </w:t>
      </w:r>
      <w:r w:rsidR="00C75F3D" w:rsidRPr="00D9153B">
        <w:rPr>
          <w:rFonts w:asciiTheme="minorHAnsi" w:hAnsiTheme="minorHAnsi"/>
          <w:color w:val="auto"/>
          <w:szCs w:val="24"/>
        </w:rPr>
        <w:t xml:space="preserve">to treatment and was unable to </w:t>
      </w:r>
      <w:r w:rsidR="00E322F7" w:rsidRPr="00D9153B">
        <w:rPr>
          <w:rFonts w:asciiTheme="minorHAnsi" w:hAnsiTheme="minorHAnsi"/>
          <w:color w:val="auto"/>
          <w:szCs w:val="24"/>
        </w:rPr>
        <w:t xml:space="preserve">perform within his </w:t>
      </w:r>
      <w:r w:rsidR="009020ED" w:rsidRPr="00D9153B">
        <w:rPr>
          <w:rFonts w:asciiTheme="minorHAnsi" w:hAnsiTheme="minorHAnsi"/>
          <w:color w:val="auto"/>
          <w:szCs w:val="24"/>
        </w:rPr>
        <w:t>Military O</w:t>
      </w:r>
      <w:r w:rsidR="00705C40" w:rsidRPr="00D9153B">
        <w:rPr>
          <w:rFonts w:asciiTheme="minorHAnsi" w:hAnsiTheme="minorHAnsi"/>
          <w:color w:val="auto"/>
          <w:szCs w:val="24"/>
        </w:rPr>
        <w:t xml:space="preserve">ccupational </w:t>
      </w:r>
      <w:r w:rsidR="009020ED" w:rsidRPr="00D9153B">
        <w:rPr>
          <w:rFonts w:asciiTheme="minorHAnsi" w:hAnsiTheme="minorHAnsi"/>
          <w:color w:val="auto"/>
          <w:szCs w:val="24"/>
        </w:rPr>
        <w:t>S</w:t>
      </w:r>
      <w:r w:rsidR="003A40B4" w:rsidRPr="00D9153B">
        <w:rPr>
          <w:rFonts w:asciiTheme="minorHAnsi" w:hAnsiTheme="minorHAnsi"/>
          <w:color w:val="auto"/>
          <w:szCs w:val="24"/>
        </w:rPr>
        <w:t>pecialty</w:t>
      </w:r>
      <w:r w:rsidR="000627DD" w:rsidRPr="00D9153B">
        <w:rPr>
          <w:rFonts w:asciiTheme="minorHAnsi" w:hAnsiTheme="minorHAnsi"/>
          <w:color w:val="auto"/>
          <w:szCs w:val="24"/>
        </w:rPr>
        <w:t xml:space="preserve"> (MOS) </w:t>
      </w:r>
      <w:r w:rsidR="002752AE" w:rsidRPr="00D9153B">
        <w:rPr>
          <w:rFonts w:asciiTheme="minorHAnsi" w:hAnsiTheme="minorHAnsi"/>
          <w:color w:val="auto"/>
          <w:szCs w:val="24"/>
        </w:rPr>
        <w:t xml:space="preserve">or meet </w:t>
      </w:r>
      <w:r w:rsidR="0044411E" w:rsidRPr="00D9153B">
        <w:rPr>
          <w:rFonts w:asciiTheme="minorHAnsi" w:hAnsiTheme="minorHAnsi"/>
          <w:color w:val="auto"/>
          <w:szCs w:val="24"/>
        </w:rPr>
        <w:t xml:space="preserve">physical fitness </w:t>
      </w:r>
      <w:r w:rsidR="002752AE" w:rsidRPr="00D9153B">
        <w:rPr>
          <w:rFonts w:asciiTheme="minorHAnsi" w:hAnsiTheme="minorHAnsi"/>
          <w:color w:val="auto"/>
          <w:szCs w:val="24"/>
        </w:rPr>
        <w:t>standards</w:t>
      </w:r>
      <w:r w:rsidR="00C039C5">
        <w:rPr>
          <w:rFonts w:asciiTheme="minorHAnsi" w:hAnsiTheme="minorHAnsi"/>
          <w:color w:val="auto"/>
          <w:szCs w:val="24"/>
        </w:rPr>
        <w:t>, he</w:t>
      </w:r>
      <w:r w:rsidR="000B432B" w:rsidRPr="00D9153B">
        <w:rPr>
          <w:rFonts w:asciiTheme="minorHAnsi" w:hAnsiTheme="minorHAnsi"/>
          <w:color w:val="auto"/>
          <w:szCs w:val="24"/>
        </w:rPr>
        <w:t xml:space="preserve"> was </w:t>
      </w:r>
      <w:r w:rsidR="002E65E6" w:rsidRPr="00D9153B">
        <w:rPr>
          <w:rFonts w:asciiTheme="minorHAnsi" w:hAnsiTheme="minorHAnsi"/>
          <w:color w:val="auto"/>
          <w:szCs w:val="24"/>
        </w:rPr>
        <w:t xml:space="preserve">placed on </w:t>
      </w:r>
      <w:r w:rsidR="00D9153B" w:rsidRPr="00D9153B">
        <w:rPr>
          <w:rFonts w:asciiTheme="minorHAnsi" w:hAnsiTheme="minorHAnsi"/>
          <w:color w:val="auto"/>
          <w:szCs w:val="24"/>
        </w:rPr>
        <w:t xml:space="preserve">eight months of </w:t>
      </w:r>
      <w:r w:rsidR="002E65E6" w:rsidRPr="00F35D9B">
        <w:rPr>
          <w:rFonts w:asciiTheme="minorHAnsi" w:hAnsiTheme="minorHAnsi"/>
          <w:color w:val="auto"/>
          <w:szCs w:val="24"/>
        </w:rPr>
        <w:t>l</w:t>
      </w:r>
      <w:r w:rsidR="0044411E" w:rsidRPr="00F35D9B">
        <w:rPr>
          <w:rFonts w:asciiTheme="minorHAnsi" w:hAnsiTheme="minorHAnsi"/>
          <w:color w:val="auto"/>
          <w:szCs w:val="24"/>
        </w:rPr>
        <w:t xml:space="preserve">imited </w:t>
      </w:r>
      <w:r w:rsidR="002E65E6" w:rsidRPr="00F35D9B">
        <w:rPr>
          <w:rFonts w:asciiTheme="minorHAnsi" w:hAnsiTheme="minorHAnsi"/>
          <w:color w:val="auto"/>
          <w:szCs w:val="24"/>
        </w:rPr>
        <w:t>d</w:t>
      </w:r>
      <w:r w:rsidR="0044411E" w:rsidRPr="00F35D9B">
        <w:rPr>
          <w:rFonts w:asciiTheme="minorHAnsi" w:hAnsiTheme="minorHAnsi"/>
          <w:color w:val="auto"/>
          <w:szCs w:val="24"/>
        </w:rPr>
        <w:t>uty</w:t>
      </w:r>
      <w:r w:rsidR="00D9153B" w:rsidRPr="00D9153B">
        <w:rPr>
          <w:rFonts w:asciiTheme="minorHAnsi" w:hAnsiTheme="minorHAnsi"/>
          <w:color w:val="auto"/>
          <w:szCs w:val="24"/>
        </w:rPr>
        <w:t xml:space="preserve"> </w:t>
      </w:r>
      <w:r w:rsidR="00C039C5">
        <w:rPr>
          <w:rFonts w:asciiTheme="minorHAnsi" w:hAnsiTheme="minorHAnsi"/>
          <w:color w:val="auto"/>
          <w:szCs w:val="24"/>
        </w:rPr>
        <w:t xml:space="preserve">(LIMDU) </w:t>
      </w:r>
      <w:r w:rsidR="00E322F7" w:rsidRPr="00D9153B">
        <w:rPr>
          <w:rFonts w:asciiTheme="minorHAnsi" w:hAnsiTheme="minorHAnsi"/>
          <w:color w:val="auto"/>
          <w:szCs w:val="24"/>
        </w:rPr>
        <w:t xml:space="preserve">and underwent a </w:t>
      </w:r>
      <w:r w:rsidR="00705C40" w:rsidRPr="00D9153B">
        <w:rPr>
          <w:rFonts w:asciiTheme="minorHAnsi" w:hAnsiTheme="minorHAnsi"/>
          <w:color w:val="auto"/>
          <w:szCs w:val="24"/>
        </w:rPr>
        <w:t>Medical Evaluation Board (</w:t>
      </w:r>
      <w:r w:rsidR="00E322F7" w:rsidRPr="00D9153B">
        <w:rPr>
          <w:rFonts w:asciiTheme="minorHAnsi" w:hAnsiTheme="minorHAnsi"/>
          <w:color w:val="auto"/>
          <w:szCs w:val="24"/>
        </w:rPr>
        <w:t>MEB</w:t>
      </w:r>
      <w:r w:rsidR="00705C40" w:rsidRPr="00D9153B">
        <w:rPr>
          <w:rFonts w:asciiTheme="minorHAnsi" w:hAnsiTheme="minorHAnsi"/>
          <w:color w:val="auto"/>
          <w:szCs w:val="24"/>
        </w:rPr>
        <w:t>)</w:t>
      </w:r>
      <w:r w:rsidR="00E322F7" w:rsidRPr="00D9153B">
        <w:rPr>
          <w:rFonts w:asciiTheme="minorHAnsi" w:hAnsiTheme="minorHAnsi"/>
          <w:color w:val="auto"/>
          <w:szCs w:val="24"/>
        </w:rPr>
        <w:t>.</w:t>
      </w:r>
      <w:r w:rsidR="00EC3C53">
        <w:rPr>
          <w:rFonts w:asciiTheme="minorHAnsi" w:hAnsiTheme="minorHAnsi"/>
          <w:i/>
          <w:color w:val="auto"/>
          <w:szCs w:val="24"/>
        </w:rPr>
        <w:t xml:space="preserve">  </w:t>
      </w:r>
      <w:r w:rsidR="000B432B">
        <w:rPr>
          <w:rFonts w:asciiTheme="minorHAnsi" w:hAnsiTheme="minorHAnsi"/>
          <w:color w:val="auto"/>
          <w:szCs w:val="24"/>
        </w:rPr>
        <w:t xml:space="preserve">Unspecified congenital anomaly and lumbago </w:t>
      </w:r>
      <w:r w:rsidR="000A33C8" w:rsidRPr="004802B9">
        <w:rPr>
          <w:rFonts w:asciiTheme="minorHAnsi" w:hAnsiTheme="minorHAnsi"/>
          <w:color w:val="auto"/>
          <w:szCs w:val="24"/>
        </w:rPr>
        <w:t xml:space="preserve">were forwarded to the Physical Evaluation Board (PEB) as medically unacceptable IAW </w:t>
      </w:r>
      <w:r w:rsidR="00AB1F8D" w:rsidRPr="004802B9">
        <w:rPr>
          <w:rFonts w:asciiTheme="minorHAnsi" w:hAnsiTheme="minorHAnsi"/>
          <w:color w:val="auto"/>
          <w:szCs w:val="24"/>
        </w:rPr>
        <w:t>SECNAVINST 1850.4E</w:t>
      </w:r>
      <w:r w:rsidR="004802B9" w:rsidRPr="004802B9">
        <w:rPr>
          <w:rFonts w:asciiTheme="minorHAnsi" w:hAnsiTheme="minorHAnsi"/>
          <w:color w:val="auto"/>
          <w:szCs w:val="24"/>
        </w:rPr>
        <w:t>.</w:t>
      </w:r>
      <w:r w:rsidR="000B432B">
        <w:rPr>
          <w:rFonts w:asciiTheme="minorHAnsi" w:hAnsiTheme="minorHAnsi"/>
          <w:color w:val="auto"/>
          <w:szCs w:val="24"/>
        </w:rPr>
        <w:t xml:space="preserve"> </w:t>
      </w:r>
      <w:r w:rsidR="00F35D9B">
        <w:rPr>
          <w:rFonts w:asciiTheme="minorHAnsi" w:hAnsiTheme="minorHAnsi"/>
          <w:color w:val="auto"/>
          <w:szCs w:val="24"/>
        </w:rPr>
        <w:t xml:space="preserve"> </w:t>
      </w:r>
      <w:r w:rsidR="001A5E62" w:rsidRPr="004802B9">
        <w:rPr>
          <w:rFonts w:asciiTheme="minorHAnsi" w:hAnsiTheme="minorHAnsi"/>
          <w:color w:val="auto"/>
          <w:szCs w:val="24"/>
        </w:rPr>
        <w:t>No other conditions appeared on the MEB’s submission.  Other conditions included in the</w:t>
      </w:r>
      <w:r w:rsidR="00DC17F2" w:rsidRPr="004802B9">
        <w:rPr>
          <w:rFonts w:asciiTheme="minorHAnsi" w:hAnsiTheme="minorHAnsi"/>
          <w:color w:val="auto"/>
          <w:szCs w:val="24"/>
        </w:rPr>
        <w:t xml:space="preserve"> </w:t>
      </w:r>
      <w:r w:rsidR="00555C66" w:rsidRPr="004802B9">
        <w:rPr>
          <w:rFonts w:asciiTheme="minorHAnsi" w:hAnsiTheme="minorHAnsi"/>
          <w:color w:val="auto"/>
          <w:szCs w:val="24"/>
        </w:rPr>
        <w:t xml:space="preserve">Disability Evaluation System (DES) </w:t>
      </w:r>
      <w:r w:rsidR="001A5E62" w:rsidRPr="004802B9">
        <w:rPr>
          <w:rFonts w:asciiTheme="minorHAnsi" w:hAnsiTheme="minorHAnsi"/>
          <w:color w:val="auto"/>
          <w:szCs w:val="24"/>
        </w:rPr>
        <w:t>packet will be discussed below.</w:t>
      </w:r>
      <w:r w:rsidR="00F35D9B">
        <w:rPr>
          <w:rFonts w:asciiTheme="minorHAnsi" w:hAnsiTheme="minorHAnsi"/>
          <w:color w:val="auto"/>
          <w:szCs w:val="24"/>
        </w:rPr>
        <w:t xml:space="preserve"> </w:t>
      </w:r>
      <w:r w:rsidR="000B432B">
        <w:rPr>
          <w:rFonts w:asciiTheme="minorHAnsi" w:hAnsiTheme="minorHAnsi"/>
          <w:color w:val="auto"/>
          <w:szCs w:val="24"/>
        </w:rPr>
        <w:t xml:space="preserve"> </w:t>
      </w:r>
      <w:r w:rsidR="00B20624" w:rsidRPr="004802B9">
        <w:rPr>
          <w:rFonts w:asciiTheme="minorHAnsi" w:hAnsiTheme="minorHAnsi"/>
          <w:color w:val="auto"/>
          <w:szCs w:val="24"/>
        </w:rPr>
        <w:t xml:space="preserve">The </w:t>
      </w:r>
      <w:r w:rsidR="00C665FE" w:rsidRPr="004802B9">
        <w:rPr>
          <w:rFonts w:asciiTheme="minorHAnsi" w:hAnsiTheme="minorHAnsi"/>
          <w:color w:val="auto"/>
          <w:szCs w:val="24"/>
        </w:rPr>
        <w:t>I</w:t>
      </w:r>
      <w:r w:rsidR="00FB792E" w:rsidRPr="004802B9">
        <w:rPr>
          <w:rFonts w:asciiTheme="minorHAnsi" w:hAnsiTheme="minorHAnsi"/>
          <w:color w:val="auto"/>
          <w:szCs w:val="24"/>
        </w:rPr>
        <w:t xml:space="preserve">nformal </w:t>
      </w:r>
      <w:r w:rsidR="00B20624" w:rsidRPr="004802B9">
        <w:rPr>
          <w:rFonts w:asciiTheme="minorHAnsi" w:hAnsiTheme="minorHAnsi"/>
          <w:color w:val="auto"/>
          <w:szCs w:val="24"/>
        </w:rPr>
        <w:t>PEB</w:t>
      </w:r>
      <w:r w:rsidR="007828B4" w:rsidRPr="004802B9">
        <w:rPr>
          <w:rFonts w:asciiTheme="minorHAnsi" w:hAnsiTheme="minorHAnsi"/>
          <w:color w:val="auto"/>
          <w:szCs w:val="24"/>
        </w:rPr>
        <w:t xml:space="preserve"> (IPEB)</w:t>
      </w:r>
      <w:r w:rsidR="00B20624" w:rsidRPr="004802B9">
        <w:rPr>
          <w:rFonts w:asciiTheme="minorHAnsi" w:hAnsiTheme="minorHAnsi"/>
          <w:color w:val="auto"/>
          <w:szCs w:val="24"/>
        </w:rPr>
        <w:t xml:space="preserve"> adjudicated the </w:t>
      </w:r>
      <w:r w:rsidR="000B432B">
        <w:rPr>
          <w:rFonts w:asciiTheme="minorHAnsi" w:hAnsiTheme="minorHAnsi"/>
          <w:color w:val="auto"/>
          <w:szCs w:val="24"/>
        </w:rPr>
        <w:t>bilateral L</w:t>
      </w:r>
      <w:r w:rsidR="000B432B" w:rsidRPr="004802B9">
        <w:rPr>
          <w:rFonts w:asciiTheme="minorHAnsi" w:hAnsiTheme="minorHAnsi"/>
          <w:color w:val="auto"/>
          <w:szCs w:val="24"/>
        </w:rPr>
        <w:t xml:space="preserve">4 pars </w:t>
      </w:r>
      <w:r w:rsidR="00F35D9B">
        <w:rPr>
          <w:rFonts w:asciiTheme="minorHAnsi" w:hAnsiTheme="minorHAnsi"/>
          <w:color w:val="auto"/>
          <w:szCs w:val="24"/>
        </w:rPr>
        <w:t xml:space="preserve">interarticularis defect </w:t>
      </w:r>
      <w:r w:rsidR="004802B9" w:rsidRPr="004802B9">
        <w:rPr>
          <w:rFonts w:asciiTheme="minorHAnsi" w:hAnsiTheme="minorHAnsi"/>
          <w:color w:val="auto"/>
          <w:szCs w:val="24"/>
        </w:rPr>
        <w:t xml:space="preserve">condition </w:t>
      </w:r>
      <w:r w:rsidR="00B20624" w:rsidRPr="004802B9">
        <w:rPr>
          <w:rFonts w:asciiTheme="minorHAnsi" w:hAnsiTheme="minorHAnsi"/>
          <w:color w:val="auto"/>
          <w:szCs w:val="24"/>
        </w:rPr>
        <w:t>as unfitting</w:t>
      </w:r>
      <w:r w:rsidR="00C039C5" w:rsidRPr="00C039C5">
        <w:rPr>
          <w:rFonts w:asciiTheme="minorHAnsi" w:hAnsiTheme="minorHAnsi"/>
          <w:color w:val="auto"/>
          <w:szCs w:val="24"/>
        </w:rPr>
        <w:t xml:space="preserve"> </w:t>
      </w:r>
      <w:r w:rsidR="00C039C5" w:rsidRPr="004802B9">
        <w:rPr>
          <w:rFonts w:asciiTheme="minorHAnsi" w:hAnsiTheme="minorHAnsi"/>
          <w:color w:val="auto"/>
          <w:szCs w:val="24"/>
        </w:rPr>
        <w:t xml:space="preserve">and </w:t>
      </w:r>
      <w:r w:rsidR="00C039C5">
        <w:rPr>
          <w:rFonts w:asciiTheme="minorHAnsi" w:hAnsiTheme="minorHAnsi"/>
          <w:color w:val="auto"/>
          <w:szCs w:val="24"/>
        </w:rPr>
        <w:t xml:space="preserve">the </w:t>
      </w:r>
      <w:r w:rsidR="00C039C5" w:rsidRPr="004802B9">
        <w:rPr>
          <w:rFonts w:asciiTheme="minorHAnsi" w:hAnsiTheme="minorHAnsi"/>
          <w:color w:val="auto"/>
          <w:szCs w:val="24"/>
        </w:rPr>
        <w:t xml:space="preserve">back pain </w:t>
      </w:r>
      <w:r w:rsidR="00C039C5">
        <w:rPr>
          <w:rFonts w:asciiTheme="minorHAnsi" w:hAnsiTheme="minorHAnsi"/>
          <w:color w:val="auto"/>
          <w:szCs w:val="24"/>
        </w:rPr>
        <w:t>symptoms as Category II (related to the unfitting diagnosis, but not separately unfitting)</w:t>
      </w:r>
      <w:r w:rsidR="00B20624" w:rsidRPr="004802B9">
        <w:rPr>
          <w:rFonts w:asciiTheme="minorHAnsi" w:hAnsiTheme="minorHAnsi"/>
          <w:color w:val="auto"/>
          <w:szCs w:val="24"/>
        </w:rPr>
        <w:t xml:space="preserve">, rated </w:t>
      </w:r>
      <w:r w:rsidR="004802B9" w:rsidRPr="004802B9">
        <w:rPr>
          <w:rFonts w:asciiTheme="minorHAnsi" w:hAnsiTheme="minorHAnsi"/>
          <w:color w:val="auto"/>
          <w:szCs w:val="24"/>
        </w:rPr>
        <w:t>10</w:t>
      </w:r>
      <w:r w:rsidR="00B20624" w:rsidRPr="004802B9">
        <w:rPr>
          <w:rFonts w:asciiTheme="minorHAnsi" w:hAnsiTheme="minorHAnsi"/>
          <w:color w:val="auto"/>
          <w:szCs w:val="24"/>
        </w:rPr>
        <w:t>%</w:t>
      </w:r>
      <w:r w:rsidR="00B37345" w:rsidRPr="004802B9">
        <w:rPr>
          <w:rFonts w:asciiTheme="minorHAnsi" w:hAnsiTheme="minorHAnsi"/>
          <w:color w:val="auto"/>
          <w:szCs w:val="24"/>
        </w:rPr>
        <w:t xml:space="preserve"> </w:t>
      </w:r>
      <w:r w:rsidR="004802B9" w:rsidRPr="004802B9">
        <w:rPr>
          <w:rFonts w:asciiTheme="minorHAnsi" w:hAnsiTheme="minorHAnsi"/>
          <w:color w:val="auto"/>
          <w:szCs w:val="24"/>
        </w:rPr>
        <w:t xml:space="preserve">IAW </w:t>
      </w:r>
      <w:r w:rsidR="00065E21" w:rsidRPr="004802B9">
        <w:rPr>
          <w:rFonts w:asciiTheme="minorHAnsi" w:hAnsiTheme="minorHAnsi"/>
          <w:color w:val="auto"/>
          <w:szCs w:val="24"/>
        </w:rPr>
        <w:t xml:space="preserve">SECNAVINST </w:t>
      </w:r>
      <w:r w:rsidR="000B432B" w:rsidRPr="004802B9">
        <w:rPr>
          <w:rFonts w:asciiTheme="minorHAnsi" w:hAnsiTheme="minorHAnsi"/>
          <w:color w:val="auto"/>
          <w:szCs w:val="24"/>
        </w:rPr>
        <w:t>1850.4E.</w:t>
      </w:r>
      <w:r w:rsidR="000B432B">
        <w:rPr>
          <w:rFonts w:asciiTheme="minorHAnsi" w:hAnsiTheme="minorHAnsi"/>
          <w:color w:val="auto"/>
          <w:szCs w:val="24"/>
        </w:rPr>
        <w:t xml:space="preserve">  </w:t>
      </w:r>
      <w:r w:rsidR="00B20624" w:rsidRPr="004802B9">
        <w:rPr>
          <w:rFonts w:asciiTheme="minorHAnsi" w:hAnsiTheme="minorHAnsi"/>
          <w:color w:val="auto"/>
        </w:rPr>
        <w:t xml:space="preserve">The CI </w:t>
      </w:r>
      <w:r w:rsidR="00190E48" w:rsidRPr="004802B9">
        <w:rPr>
          <w:rFonts w:asciiTheme="minorHAnsi" w:hAnsiTheme="minorHAnsi"/>
          <w:color w:val="auto"/>
        </w:rPr>
        <w:t xml:space="preserve">made no appeals, </w:t>
      </w:r>
      <w:r w:rsidR="00B20624" w:rsidRPr="004802B9">
        <w:rPr>
          <w:rFonts w:asciiTheme="minorHAnsi" w:hAnsiTheme="minorHAnsi"/>
          <w:color w:val="auto"/>
        </w:rPr>
        <w:t xml:space="preserve">and was medically separated with a </w:t>
      </w:r>
      <w:r w:rsidR="004802B9" w:rsidRPr="004802B9">
        <w:rPr>
          <w:rFonts w:asciiTheme="minorHAnsi" w:hAnsiTheme="minorHAnsi"/>
          <w:color w:val="auto"/>
        </w:rPr>
        <w:t>10</w:t>
      </w:r>
      <w:r w:rsidR="00B20624" w:rsidRPr="004802B9">
        <w:rPr>
          <w:rFonts w:asciiTheme="minorHAnsi" w:hAnsiTheme="minorHAnsi"/>
          <w:color w:val="auto"/>
        </w:rPr>
        <w:t>% combined disability rating.</w:t>
      </w:r>
    </w:p>
    <w:p w:rsidR="008E0D8F" w:rsidRDefault="008E0D8F" w:rsidP="00510F9C">
      <w:pPr>
        <w:pBdr>
          <w:bottom w:val="single" w:sz="12" w:space="1" w:color="auto"/>
        </w:pBdr>
        <w:tabs>
          <w:tab w:val="left" w:pos="288"/>
          <w:tab w:val="left" w:pos="4752"/>
        </w:tabs>
        <w:spacing w:line="240" w:lineRule="exact"/>
        <w:jc w:val="both"/>
        <w:rPr>
          <w:rFonts w:asciiTheme="minorHAnsi" w:hAnsiTheme="minorHAnsi"/>
          <w:color w:val="auto"/>
        </w:rPr>
      </w:pPr>
    </w:p>
    <w:p w:rsidR="00DE598A" w:rsidRDefault="00DE598A" w:rsidP="00510F9C">
      <w:pPr>
        <w:tabs>
          <w:tab w:val="left" w:pos="288"/>
          <w:tab w:val="left" w:pos="4752"/>
        </w:tabs>
        <w:spacing w:line="240" w:lineRule="exact"/>
        <w:jc w:val="both"/>
        <w:rPr>
          <w:rFonts w:asciiTheme="minorHAnsi" w:hAnsiTheme="minorHAnsi"/>
          <w:color w:val="auto"/>
          <w:u w:val="single"/>
        </w:rPr>
      </w:pPr>
    </w:p>
    <w:p w:rsidR="005C4D72" w:rsidRPr="000B432B" w:rsidRDefault="002C6E5B" w:rsidP="004802B9">
      <w:pPr>
        <w:tabs>
          <w:tab w:val="left" w:pos="288"/>
          <w:tab w:val="left" w:pos="4752"/>
        </w:tabs>
        <w:spacing w:line="240" w:lineRule="exact"/>
        <w:jc w:val="both"/>
        <w:rPr>
          <w:rFonts w:asciiTheme="minorHAnsi" w:hAnsiTheme="minorHAnsi"/>
          <w:color w:val="auto"/>
        </w:rPr>
      </w:pPr>
      <w:r w:rsidRPr="00326C08">
        <w:rPr>
          <w:rFonts w:asciiTheme="minorHAnsi" w:hAnsiTheme="minorHAnsi"/>
          <w:color w:val="auto"/>
          <w:u w:val="single"/>
        </w:rPr>
        <w:t>CI CONTENTION</w:t>
      </w:r>
      <w:r w:rsidRPr="00326C08">
        <w:rPr>
          <w:rFonts w:asciiTheme="minorHAnsi" w:hAnsiTheme="minorHAnsi"/>
          <w:color w:val="auto"/>
        </w:rPr>
        <w:t>:</w:t>
      </w:r>
      <w:r w:rsidR="004802B9">
        <w:rPr>
          <w:rFonts w:asciiTheme="minorHAnsi" w:hAnsiTheme="minorHAnsi"/>
          <w:color w:val="auto"/>
        </w:rPr>
        <w:t xml:space="preserve">  “</w:t>
      </w:r>
      <w:r w:rsidR="004802B9" w:rsidRPr="004802B9">
        <w:rPr>
          <w:rFonts w:asciiTheme="minorHAnsi" w:hAnsiTheme="minorHAnsi"/>
          <w:color w:val="auto"/>
        </w:rPr>
        <w:t>The injury limits my abilities i</w:t>
      </w:r>
      <w:r w:rsidR="004802B9">
        <w:rPr>
          <w:rFonts w:asciiTheme="minorHAnsi" w:hAnsiTheme="minorHAnsi"/>
          <w:color w:val="auto"/>
        </w:rPr>
        <w:t xml:space="preserve">n everyday life. </w:t>
      </w:r>
      <w:r w:rsidR="00D56C6F">
        <w:rPr>
          <w:rFonts w:asciiTheme="minorHAnsi" w:hAnsiTheme="minorHAnsi"/>
          <w:color w:val="auto"/>
        </w:rPr>
        <w:t xml:space="preserve"> </w:t>
      </w:r>
      <w:r w:rsidR="004802B9">
        <w:rPr>
          <w:rFonts w:asciiTheme="minorHAnsi" w:hAnsiTheme="minorHAnsi"/>
          <w:color w:val="auto"/>
        </w:rPr>
        <w:t>I am in discomf</w:t>
      </w:r>
      <w:r w:rsidR="004802B9" w:rsidRPr="004802B9">
        <w:rPr>
          <w:rFonts w:asciiTheme="minorHAnsi" w:hAnsiTheme="minorHAnsi"/>
          <w:color w:val="auto"/>
        </w:rPr>
        <w:t>ort and pain</w:t>
      </w:r>
      <w:r w:rsidR="004802B9">
        <w:rPr>
          <w:rFonts w:asciiTheme="minorHAnsi" w:hAnsiTheme="minorHAnsi"/>
          <w:color w:val="auto"/>
        </w:rPr>
        <w:t xml:space="preserve"> all day. </w:t>
      </w:r>
      <w:r w:rsidR="00D56C6F">
        <w:rPr>
          <w:rFonts w:asciiTheme="minorHAnsi" w:hAnsiTheme="minorHAnsi"/>
          <w:color w:val="auto"/>
        </w:rPr>
        <w:t xml:space="preserve"> </w:t>
      </w:r>
      <w:r w:rsidR="004802B9">
        <w:rPr>
          <w:rFonts w:asciiTheme="minorHAnsi" w:hAnsiTheme="minorHAnsi"/>
          <w:color w:val="auto"/>
        </w:rPr>
        <w:t>I have had hardship finding employment due to limi</w:t>
      </w:r>
      <w:r w:rsidR="004802B9" w:rsidRPr="004802B9">
        <w:rPr>
          <w:rFonts w:asciiTheme="minorHAnsi" w:hAnsiTheme="minorHAnsi"/>
          <w:color w:val="auto"/>
        </w:rPr>
        <w:t>t</w:t>
      </w:r>
      <w:r w:rsidR="004802B9">
        <w:rPr>
          <w:rFonts w:asciiTheme="minorHAnsi" w:hAnsiTheme="minorHAnsi"/>
          <w:color w:val="auto"/>
        </w:rPr>
        <w:t>at</w:t>
      </w:r>
      <w:r w:rsidR="004802B9" w:rsidRPr="004802B9">
        <w:rPr>
          <w:rFonts w:asciiTheme="minorHAnsi" w:hAnsiTheme="minorHAnsi"/>
          <w:color w:val="auto"/>
        </w:rPr>
        <w:t>ions of</w:t>
      </w:r>
      <w:r w:rsidR="004802B9">
        <w:rPr>
          <w:rFonts w:asciiTheme="minorHAnsi" w:hAnsiTheme="minorHAnsi"/>
          <w:color w:val="auto"/>
        </w:rPr>
        <w:t xml:space="preserve"> </w:t>
      </w:r>
      <w:r w:rsidR="004802B9" w:rsidRPr="004802B9">
        <w:rPr>
          <w:rFonts w:asciiTheme="minorHAnsi" w:hAnsiTheme="minorHAnsi"/>
          <w:color w:val="auto"/>
        </w:rPr>
        <w:t xml:space="preserve">my back. </w:t>
      </w:r>
      <w:r w:rsidR="00D56C6F">
        <w:rPr>
          <w:rFonts w:asciiTheme="minorHAnsi" w:hAnsiTheme="minorHAnsi"/>
          <w:color w:val="auto"/>
        </w:rPr>
        <w:t xml:space="preserve"> </w:t>
      </w:r>
      <w:r w:rsidR="004802B9" w:rsidRPr="004802B9">
        <w:rPr>
          <w:rFonts w:asciiTheme="minorHAnsi" w:hAnsiTheme="minorHAnsi"/>
          <w:color w:val="auto"/>
        </w:rPr>
        <w:t>When it is really aggravated</w:t>
      </w:r>
      <w:r w:rsidR="00B9006A">
        <w:rPr>
          <w:rFonts w:asciiTheme="minorHAnsi" w:hAnsiTheme="minorHAnsi"/>
          <w:color w:val="auto"/>
        </w:rPr>
        <w:t>.</w:t>
      </w:r>
      <w:r w:rsidR="00D56C6F">
        <w:rPr>
          <w:rFonts w:asciiTheme="minorHAnsi" w:hAnsiTheme="minorHAnsi"/>
          <w:color w:val="auto"/>
        </w:rPr>
        <w:t xml:space="preserve"> </w:t>
      </w:r>
      <w:r w:rsidR="002042DE">
        <w:rPr>
          <w:rFonts w:asciiTheme="minorHAnsi" w:hAnsiTheme="minorHAnsi"/>
          <w:color w:val="auto"/>
        </w:rPr>
        <w:t xml:space="preserve"> </w:t>
      </w:r>
      <w:r w:rsidR="004802B9" w:rsidRPr="004802B9">
        <w:rPr>
          <w:rFonts w:asciiTheme="minorHAnsi" w:hAnsiTheme="minorHAnsi"/>
          <w:color w:val="auto"/>
        </w:rPr>
        <w:t>I am lai</w:t>
      </w:r>
      <w:r w:rsidR="004802B9">
        <w:rPr>
          <w:rFonts w:asciiTheme="minorHAnsi" w:hAnsiTheme="minorHAnsi"/>
          <w:color w:val="auto"/>
        </w:rPr>
        <w:t>d up for days which causes me to</w:t>
      </w:r>
      <w:r w:rsidR="004802B9" w:rsidRPr="004802B9">
        <w:rPr>
          <w:rFonts w:asciiTheme="minorHAnsi" w:hAnsiTheme="minorHAnsi"/>
          <w:color w:val="auto"/>
        </w:rPr>
        <w:t xml:space="preserve"> miss work.</w:t>
      </w:r>
      <w:r w:rsidR="009C3944">
        <w:rPr>
          <w:rFonts w:asciiTheme="minorHAnsi" w:hAnsiTheme="minorHAnsi"/>
          <w:color w:val="auto"/>
        </w:rPr>
        <w:t xml:space="preserve"> </w:t>
      </w:r>
      <w:r w:rsidR="00D56C6F">
        <w:rPr>
          <w:rFonts w:asciiTheme="minorHAnsi" w:hAnsiTheme="minorHAnsi"/>
          <w:color w:val="auto"/>
        </w:rPr>
        <w:t xml:space="preserve"> </w:t>
      </w:r>
      <w:r w:rsidR="005D0BD9">
        <w:rPr>
          <w:rFonts w:asciiTheme="minorHAnsi" w:hAnsiTheme="minorHAnsi"/>
          <w:color w:val="auto"/>
        </w:rPr>
        <w:t>O</w:t>
      </w:r>
      <w:r w:rsidR="00C039C5">
        <w:rPr>
          <w:rFonts w:asciiTheme="minorHAnsi" w:hAnsiTheme="minorHAnsi"/>
          <w:color w:val="auto"/>
        </w:rPr>
        <w:t>n</w:t>
      </w:r>
      <w:r w:rsidR="005D0BD9">
        <w:rPr>
          <w:rFonts w:asciiTheme="minorHAnsi" w:hAnsiTheme="minorHAnsi"/>
          <w:color w:val="auto"/>
        </w:rPr>
        <w:t xml:space="preserve"> Thursday December 03, 2010 at work my back locked up on the lower right side. </w:t>
      </w:r>
      <w:r w:rsidR="00D56C6F">
        <w:rPr>
          <w:rFonts w:asciiTheme="minorHAnsi" w:hAnsiTheme="minorHAnsi"/>
          <w:color w:val="auto"/>
        </w:rPr>
        <w:t xml:space="preserve"> </w:t>
      </w:r>
      <w:r w:rsidR="005D0BD9">
        <w:rPr>
          <w:rFonts w:asciiTheme="minorHAnsi" w:hAnsiTheme="minorHAnsi"/>
          <w:color w:val="auto"/>
        </w:rPr>
        <w:t>Saw Dr. Hardin on December 04, 2010 which he is still running test but his prognosis as of right now is the bulged disc has</w:t>
      </w:r>
      <w:r w:rsidR="00C039C5">
        <w:rPr>
          <w:rFonts w:asciiTheme="minorHAnsi" w:hAnsiTheme="minorHAnsi"/>
          <w:color w:val="auto"/>
        </w:rPr>
        <w:t xml:space="preserve"> bulged more and is pushing</w:t>
      </w:r>
      <w:r w:rsidR="005D0BD9">
        <w:rPr>
          <w:rFonts w:asciiTheme="minorHAnsi" w:hAnsiTheme="minorHAnsi"/>
          <w:color w:val="auto"/>
        </w:rPr>
        <w:t xml:space="preserve"> on the nerve roots. </w:t>
      </w:r>
      <w:r w:rsidR="00D56C6F">
        <w:rPr>
          <w:rFonts w:asciiTheme="minorHAnsi" w:hAnsiTheme="minorHAnsi"/>
          <w:color w:val="auto"/>
        </w:rPr>
        <w:t xml:space="preserve"> </w:t>
      </w:r>
      <w:r w:rsidR="005D0BD9">
        <w:rPr>
          <w:rFonts w:asciiTheme="minorHAnsi" w:hAnsiTheme="minorHAnsi"/>
          <w:color w:val="auto"/>
        </w:rPr>
        <w:t xml:space="preserve">From this incident I have been stuck in a bed or recliner since mid-day December 03, 2010. </w:t>
      </w:r>
      <w:r w:rsidR="00D56C6F">
        <w:rPr>
          <w:rFonts w:asciiTheme="minorHAnsi" w:hAnsiTheme="minorHAnsi"/>
          <w:color w:val="auto"/>
        </w:rPr>
        <w:t xml:space="preserve"> </w:t>
      </w:r>
      <w:r w:rsidR="005D0BD9">
        <w:rPr>
          <w:rFonts w:asciiTheme="minorHAnsi" w:hAnsiTheme="minorHAnsi"/>
          <w:color w:val="auto"/>
        </w:rPr>
        <w:t>That is turn I have lost money from missing work and the most discomfort I have been in since the original injury in 2004.</w:t>
      </w:r>
      <w:r w:rsidR="004802B9">
        <w:rPr>
          <w:rFonts w:asciiTheme="minorHAnsi" w:hAnsiTheme="minorHAnsi"/>
          <w:color w:val="auto"/>
        </w:rPr>
        <w:t>”</w:t>
      </w:r>
      <w:r w:rsidR="00C039C5">
        <w:rPr>
          <w:rFonts w:asciiTheme="minorHAnsi" w:hAnsiTheme="minorHAnsi"/>
          <w:color w:val="auto"/>
        </w:rPr>
        <w:t xml:space="preserve">  Under item 14, he also lists </w:t>
      </w:r>
      <w:r w:rsidR="001F1978">
        <w:rPr>
          <w:rFonts w:asciiTheme="minorHAnsi" w:hAnsiTheme="minorHAnsi"/>
          <w:color w:val="auto"/>
        </w:rPr>
        <w:t xml:space="preserve">bilateral </w:t>
      </w:r>
      <w:r w:rsidR="00C039C5">
        <w:rPr>
          <w:rFonts w:asciiTheme="minorHAnsi" w:hAnsiTheme="minorHAnsi"/>
          <w:color w:val="auto"/>
        </w:rPr>
        <w:t>patellofemoral syndrome (PFS), spondylolysis</w:t>
      </w:r>
      <w:r w:rsidR="001F1978">
        <w:rPr>
          <w:rFonts w:asciiTheme="minorHAnsi" w:hAnsiTheme="minorHAnsi"/>
          <w:color w:val="auto"/>
        </w:rPr>
        <w:t xml:space="preserve"> of L4</w:t>
      </w:r>
      <w:r w:rsidR="00C039C5">
        <w:rPr>
          <w:rFonts w:asciiTheme="minorHAnsi" w:hAnsiTheme="minorHAnsi"/>
          <w:color w:val="auto"/>
        </w:rPr>
        <w:t>, and paresthesias of the right foot L5 distribution.</w:t>
      </w:r>
      <w:r w:rsidR="000B432B">
        <w:rPr>
          <w:rFonts w:asciiTheme="minorHAnsi" w:hAnsiTheme="minorHAnsi"/>
          <w:color w:val="auto"/>
        </w:rPr>
        <w:t xml:space="preserve"> </w:t>
      </w:r>
      <w:r w:rsidR="001F1978">
        <w:rPr>
          <w:rFonts w:asciiTheme="minorHAnsi" w:hAnsiTheme="minorHAnsi"/>
          <w:color w:val="auto"/>
        </w:rPr>
        <w:t xml:space="preserve"> </w:t>
      </w:r>
    </w:p>
    <w:p w:rsidR="003E1682" w:rsidRDefault="003E1682" w:rsidP="00510F9C">
      <w:pPr>
        <w:pBdr>
          <w:bottom w:val="single" w:sz="12" w:space="1" w:color="auto"/>
        </w:pBdr>
        <w:spacing w:line="240" w:lineRule="exact"/>
        <w:rPr>
          <w:rFonts w:asciiTheme="minorHAnsi" w:hAnsiTheme="minorHAnsi"/>
          <w:color w:val="auto"/>
          <w:u w:val="single"/>
        </w:rPr>
      </w:pPr>
    </w:p>
    <w:p w:rsidR="005B0040" w:rsidRDefault="005B0040">
      <w:pPr>
        <w:rPr>
          <w:rFonts w:asciiTheme="minorHAnsi" w:hAnsiTheme="minorHAnsi"/>
          <w:color w:val="auto"/>
          <w:u w:val="single"/>
        </w:rPr>
      </w:pPr>
    </w:p>
    <w:p w:rsidR="002338CA" w:rsidRDefault="007F0AB7" w:rsidP="00510F9C">
      <w:pPr>
        <w:spacing w:line="240" w:lineRule="exact"/>
        <w:rPr>
          <w:rFonts w:asciiTheme="minorHAnsi" w:hAnsiTheme="minorHAnsi"/>
          <w:color w:val="auto"/>
        </w:rPr>
      </w:pPr>
      <w:r>
        <w:rPr>
          <w:rFonts w:asciiTheme="minorHAnsi" w:hAnsiTheme="minorHAnsi"/>
          <w:color w:val="auto"/>
          <w:u w:val="single"/>
        </w:rPr>
        <w:t>R</w:t>
      </w:r>
      <w:r w:rsidR="002C6E5B" w:rsidRPr="00326C08">
        <w:rPr>
          <w:rFonts w:asciiTheme="minorHAnsi" w:hAnsiTheme="minorHAnsi"/>
          <w:color w:val="auto"/>
          <w:u w:val="single"/>
        </w:rPr>
        <w:t>ATING COMPARISON</w:t>
      </w:r>
      <w:r w:rsidR="002C6E5B" w:rsidRPr="00326C08">
        <w:rPr>
          <w:rFonts w:asciiTheme="minorHAnsi" w:hAnsiTheme="minorHAnsi"/>
          <w:color w:val="auto"/>
        </w:rPr>
        <w:t>:</w:t>
      </w:r>
    </w:p>
    <w:p w:rsidR="000F0928" w:rsidRPr="002A4119" w:rsidRDefault="000F0928" w:rsidP="00510F9C">
      <w:pPr>
        <w:spacing w:line="240" w:lineRule="exact"/>
        <w:rPr>
          <w:rFonts w:asciiTheme="minorHAnsi" w:hAnsiTheme="minorHAnsi"/>
          <w:color w:val="auto"/>
        </w:rPr>
      </w:pPr>
    </w:p>
    <w:tbl>
      <w:tblPr>
        <w:tblStyle w:val="TableGrid"/>
        <w:tblpPr w:leftFromText="180" w:rightFromText="180" w:vertAnchor="text" w:horzAnchor="margin" w:tblpXSpec="center" w:tblpY="-51"/>
        <w:tblW w:w="9576" w:type="dxa"/>
        <w:tblLayout w:type="fixed"/>
        <w:tblLook w:val="04A0"/>
      </w:tblPr>
      <w:tblGrid>
        <w:gridCol w:w="2194"/>
        <w:gridCol w:w="1062"/>
        <w:gridCol w:w="900"/>
        <w:gridCol w:w="2538"/>
        <w:gridCol w:w="1064"/>
        <w:gridCol w:w="828"/>
        <w:gridCol w:w="990"/>
      </w:tblGrid>
      <w:tr w:rsidR="002B4E22" w:rsidRPr="002A4119" w:rsidTr="001E5492">
        <w:trPr>
          <w:trHeight w:val="233"/>
        </w:trPr>
        <w:tc>
          <w:tcPr>
            <w:tcW w:w="4156" w:type="dxa"/>
            <w:gridSpan w:val="3"/>
            <w:tcBorders>
              <w:right w:val="thinThickThinSmallGap" w:sz="24" w:space="0" w:color="auto"/>
            </w:tcBorders>
            <w:shd w:val="clear" w:color="auto" w:fill="D9D9D9" w:themeFill="background1" w:themeFillShade="D9"/>
            <w:vAlign w:val="center"/>
          </w:tcPr>
          <w:p w:rsidR="002B4E22" w:rsidRPr="00EC2641" w:rsidRDefault="00B731E4" w:rsidP="00770AB1">
            <w:pPr>
              <w:spacing w:line="200" w:lineRule="exact"/>
              <w:contextualSpacing/>
              <w:jc w:val="center"/>
              <w:rPr>
                <w:b/>
                <w:color w:val="auto"/>
                <w:sz w:val="18"/>
                <w:szCs w:val="18"/>
              </w:rPr>
            </w:pPr>
            <w:r w:rsidRPr="00EC2641">
              <w:rPr>
                <w:b/>
                <w:color w:val="auto"/>
                <w:sz w:val="18"/>
                <w:szCs w:val="18"/>
              </w:rPr>
              <w:t xml:space="preserve">Service </w:t>
            </w:r>
            <w:r w:rsidR="00531CBF" w:rsidRPr="00EC2641">
              <w:rPr>
                <w:b/>
                <w:color w:val="auto"/>
                <w:sz w:val="18"/>
                <w:szCs w:val="18"/>
              </w:rPr>
              <w:t>I</w:t>
            </w:r>
            <w:r w:rsidRPr="00EC2641">
              <w:rPr>
                <w:b/>
                <w:color w:val="auto"/>
                <w:sz w:val="18"/>
                <w:szCs w:val="18"/>
              </w:rPr>
              <w:t>PEB – Dated 200</w:t>
            </w:r>
            <w:r w:rsidR="004802B9" w:rsidRPr="00EC2641">
              <w:rPr>
                <w:b/>
                <w:color w:val="auto"/>
                <w:sz w:val="18"/>
                <w:szCs w:val="18"/>
              </w:rPr>
              <w:t>50527</w:t>
            </w:r>
          </w:p>
        </w:tc>
        <w:tc>
          <w:tcPr>
            <w:tcW w:w="5420" w:type="dxa"/>
            <w:gridSpan w:val="4"/>
            <w:tcBorders>
              <w:left w:val="thinThickThinSmallGap" w:sz="24" w:space="0" w:color="auto"/>
            </w:tcBorders>
            <w:shd w:val="clear" w:color="auto" w:fill="D9D9D9" w:themeFill="background1" w:themeFillShade="D9"/>
            <w:vAlign w:val="center"/>
          </w:tcPr>
          <w:p w:rsidR="002B4E22" w:rsidRPr="00EC2641" w:rsidRDefault="002B4E22" w:rsidP="00D56C6F">
            <w:pPr>
              <w:spacing w:line="200" w:lineRule="exact"/>
              <w:contextualSpacing/>
              <w:jc w:val="center"/>
              <w:rPr>
                <w:b/>
                <w:color w:val="auto"/>
                <w:sz w:val="18"/>
                <w:szCs w:val="18"/>
              </w:rPr>
            </w:pPr>
            <w:r w:rsidRPr="00EC2641">
              <w:rPr>
                <w:b/>
                <w:color w:val="auto"/>
                <w:sz w:val="18"/>
                <w:szCs w:val="18"/>
              </w:rPr>
              <w:t>VA (</w:t>
            </w:r>
            <w:r w:rsidR="00770AB1" w:rsidRPr="00EC2641">
              <w:rPr>
                <w:b/>
                <w:color w:val="auto"/>
                <w:sz w:val="18"/>
                <w:szCs w:val="18"/>
              </w:rPr>
              <w:t>1</w:t>
            </w:r>
            <w:r w:rsidR="00D56C6F">
              <w:rPr>
                <w:b/>
                <w:color w:val="auto"/>
                <w:sz w:val="18"/>
                <w:szCs w:val="18"/>
              </w:rPr>
              <w:t>0</w:t>
            </w:r>
            <w:r w:rsidR="0079154B" w:rsidRPr="00EC2641">
              <w:rPr>
                <w:b/>
                <w:color w:val="auto"/>
                <w:sz w:val="18"/>
                <w:szCs w:val="18"/>
              </w:rPr>
              <w:t xml:space="preserve"> </w:t>
            </w:r>
            <w:r w:rsidRPr="00EC2641">
              <w:rPr>
                <w:b/>
                <w:color w:val="auto"/>
                <w:sz w:val="18"/>
                <w:szCs w:val="18"/>
              </w:rPr>
              <w:t xml:space="preserve">Mo. After Separation) – All Effective Date </w:t>
            </w:r>
            <w:r w:rsidR="002D08F3" w:rsidRPr="00EC2641">
              <w:rPr>
                <w:b/>
                <w:color w:val="auto"/>
                <w:sz w:val="18"/>
                <w:szCs w:val="18"/>
              </w:rPr>
              <w:t>200</w:t>
            </w:r>
            <w:r w:rsidR="00770AB1" w:rsidRPr="00EC2641">
              <w:rPr>
                <w:b/>
                <w:color w:val="auto"/>
                <w:sz w:val="18"/>
                <w:szCs w:val="18"/>
              </w:rPr>
              <w:t>50802</w:t>
            </w:r>
          </w:p>
        </w:tc>
      </w:tr>
      <w:tr w:rsidR="002B4E22" w:rsidRPr="002A4119" w:rsidTr="001E5492">
        <w:trPr>
          <w:trHeight w:val="278"/>
        </w:trPr>
        <w:tc>
          <w:tcPr>
            <w:tcW w:w="2194" w:type="dxa"/>
            <w:tcBorders>
              <w:bottom w:val="single" w:sz="4" w:space="0" w:color="000000" w:themeColor="text1"/>
              <w:right w:val="single" w:sz="4" w:space="0" w:color="auto"/>
            </w:tcBorders>
            <w:shd w:val="clear" w:color="auto" w:fill="D9D9D9" w:themeFill="background1" w:themeFillShade="D9"/>
            <w:vAlign w:val="center"/>
          </w:tcPr>
          <w:p w:rsidR="002B4E22" w:rsidRPr="00EC2641" w:rsidRDefault="002B4E22" w:rsidP="00770AB1">
            <w:pPr>
              <w:spacing w:line="200" w:lineRule="exact"/>
              <w:contextualSpacing/>
              <w:jc w:val="center"/>
              <w:rPr>
                <w:b/>
                <w:color w:val="auto"/>
                <w:sz w:val="18"/>
                <w:szCs w:val="18"/>
              </w:rPr>
            </w:pPr>
            <w:r w:rsidRPr="00EC2641">
              <w:rPr>
                <w:b/>
                <w:color w:val="auto"/>
                <w:sz w:val="18"/>
                <w:szCs w:val="18"/>
              </w:rPr>
              <w:t>Condition</w:t>
            </w:r>
          </w:p>
        </w:tc>
        <w:tc>
          <w:tcPr>
            <w:tcW w:w="1062" w:type="dxa"/>
            <w:tcBorders>
              <w:left w:val="single" w:sz="4" w:space="0" w:color="auto"/>
              <w:bottom w:val="single" w:sz="4" w:space="0" w:color="000000" w:themeColor="text1"/>
            </w:tcBorders>
            <w:shd w:val="clear" w:color="auto" w:fill="D9D9D9" w:themeFill="background1" w:themeFillShade="D9"/>
            <w:vAlign w:val="center"/>
          </w:tcPr>
          <w:p w:rsidR="002B4E22" w:rsidRPr="00EC2641" w:rsidRDefault="002B4E22" w:rsidP="00770AB1">
            <w:pPr>
              <w:spacing w:line="200" w:lineRule="exact"/>
              <w:contextualSpacing/>
              <w:jc w:val="center"/>
              <w:rPr>
                <w:b/>
                <w:color w:val="auto"/>
                <w:sz w:val="18"/>
                <w:szCs w:val="18"/>
              </w:rPr>
            </w:pPr>
            <w:r w:rsidRPr="00EC2641">
              <w:rPr>
                <w:b/>
                <w:color w:val="auto"/>
                <w:sz w:val="18"/>
                <w:szCs w:val="18"/>
              </w:rPr>
              <w:t>Code</w:t>
            </w:r>
          </w:p>
        </w:tc>
        <w:tc>
          <w:tcPr>
            <w:tcW w:w="900" w:type="dxa"/>
            <w:tcBorders>
              <w:bottom w:val="single" w:sz="4" w:space="0" w:color="000000" w:themeColor="text1"/>
              <w:right w:val="thinThickThinSmallGap" w:sz="24" w:space="0" w:color="auto"/>
            </w:tcBorders>
            <w:shd w:val="clear" w:color="auto" w:fill="D9D9D9" w:themeFill="background1" w:themeFillShade="D9"/>
            <w:vAlign w:val="center"/>
          </w:tcPr>
          <w:p w:rsidR="002B4E22" w:rsidRPr="00EC2641" w:rsidRDefault="002B4E22" w:rsidP="00770AB1">
            <w:pPr>
              <w:spacing w:line="200" w:lineRule="exact"/>
              <w:contextualSpacing/>
              <w:jc w:val="center"/>
              <w:rPr>
                <w:b/>
                <w:color w:val="auto"/>
                <w:sz w:val="18"/>
                <w:szCs w:val="18"/>
              </w:rPr>
            </w:pPr>
            <w:r w:rsidRPr="00EC2641">
              <w:rPr>
                <w:b/>
                <w:color w:val="auto"/>
                <w:sz w:val="18"/>
                <w:szCs w:val="18"/>
              </w:rPr>
              <w:t>Rating</w:t>
            </w:r>
          </w:p>
        </w:tc>
        <w:tc>
          <w:tcPr>
            <w:tcW w:w="2538" w:type="dxa"/>
            <w:tcBorders>
              <w:left w:val="thinThickThinSmallGap" w:sz="24" w:space="0" w:color="auto"/>
              <w:bottom w:val="single" w:sz="4" w:space="0" w:color="000000" w:themeColor="text1"/>
            </w:tcBorders>
            <w:shd w:val="clear" w:color="auto" w:fill="D9D9D9" w:themeFill="background1" w:themeFillShade="D9"/>
            <w:vAlign w:val="center"/>
          </w:tcPr>
          <w:p w:rsidR="002B4E22" w:rsidRPr="00EC2641" w:rsidRDefault="002B4E22" w:rsidP="00770AB1">
            <w:pPr>
              <w:spacing w:line="200" w:lineRule="exact"/>
              <w:contextualSpacing/>
              <w:jc w:val="center"/>
              <w:rPr>
                <w:b/>
                <w:color w:val="auto"/>
                <w:sz w:val="18"/>
                <w:szCs w:val="18"/>
              </w:rPr>
            </w:pPr>
            <w:r w:rsidRPr="00EC2641">
              <w:rPr>
                <w:b/>
                <w:color w:val="auto"/>
                <w:sz w:val="18"/>
                <w:szCs w:val="18"/>
              </w:rPr>
              <w:t>Condition</w:t>
            </w:r>
          </w:p>
        </w:tc>
        <w:tc>
          <w:tcPr>
            <w:tcW w:w="1064" w:type="dxa"/>
            <w:tcBorders>
              <w:bottom w:val="single" w:sz="4" w:space="0" w:color="000000" w:themeColor="text1"/>
            </w:tcBorders>
            <w:shd w:val="clear" w:color="auto" w:fill="D9D9D9" w:themeFill="background1" w:themeFillShade="D9"/>
            <w:vAlign w:val="center"/>
          </w:tcPr>
          <w:p w:rsidR="002B4E22" w:rsidRPr="00770AB1" w:rsidRDefault="002B4E22" w:rsidP="00770AB1">
            <w:pPr>
              <w:spacing w:line="200" w:lineRule="exact"/>
              <w:contextualSpacing/>
              <w:jc w:val="center"/>
              <w:rPr>
                <w:b/>
                <w:color w:val="auto"/>
                <w:sz w:val="20"/>
                <w:szCs w:val="20"/>
              </w:rPr>
            </w:pPr>
            <w:r w:rsidRPr="00770AB1">
              <w:rPr>
                <w:b/>
                <w:color w:val="auto"/>
                <w:sz w:val="20"/>
                <w:szCs w:val="20"/>
              </w:rPr>
              <w:t>Code</w:t>
            </w:r>
          </w:p>
        </w:tc>
        <w:tc>
          <w:tcPr>
            <w:tcW w:w="828" w:type="dxa"/>
            <w:tcBorders>
              <w:bottom w:val="single" w:sz="4" w:space="0" w:color="000000" w:themeColor="text1"/>
            </w:tcBorders>
            <w:shd w:val="clear" w:color="auto" w:fill="D9D9D9" w:themeFill="background1" w:themeFillShade="D9"/>
            <w:vAlign w:val="center"/>
          </w:tcPr>
          <w:p w:rsidR="002B4E22" w:rsidRPr="00770AB1" w:rsidRDefault="002B4E22" w:rsidP="00770AB1">
            <w:pPr>
              <w:spacing w:line="200" w:lineRule="exact"/>
              <w:contextualSpacing/>
              <w:jc w:val="center"/>
              <w:rPr>
                <w:b/>
                <w:color w:val="auto"/>
                <w:sz w:val="20"/>
                <w:szCs w:val="20"/>
              </w:rPr>
            </w:pPr>
            <w:r w:rsidRPr="00770AB1">
              <w:rPr>
                <w:b/>
                <w:color w:val="auto"/>
                <w:sz w:val="20"/>
                <w:szCs w:val="20"/>
              </w:rPr>
              <w:t>Rating</w:t>
            </w:r>
          </w:p>
        </w:tc>
        <w:tc>
          <w:tcPr>
            <w:tcW w:w="990" w:type="dxa"/>
            <w:tcBorders>
              <w:bottom w:val="single" w:sz="4" w:space="0" w:color="000000" w:themeColor="text1"/>
            </w:tcBorders>
            <w:shd w:val="clear" w:color="auto" w:fill="D9D9D9" w:themeFill="background1" w:themeFillShade="D9"/>
            <w:vAlign w:val="center"/>
          </w:tcPr>
          <w:p w:rsidR="002B4E22" w:rsidRPr="00770AB1" w:rsidRDefault="002B4E22" w:rsidP="00770AB1">
            <w:pPr>
              <w:spacing w:line="200" w:lineRule="exact"/>
              <w:contextualSpacing/>
              <w:jc w:val="center"/>
              <w:rPr>
                <w:b/>
                <w:color w:val="auto"/>
                <w:sz w:val="20"/>
                <w:szCs w:val="20"/>
              </w:rPr>
            </w:pPr>
            <w:r w:rsidRPr="00770AB1">
              <w:rPr>
                <w:b/>
                <w:color w:val="auto"/>
                <w:sz w:val="20"/>
                <w:szCs w:val="20"/>
              </w:rPr>
              <w:t>Exam</w:t>
            </w:r>
          </w:p>
        </w:tc>
      </w:tr>
      <w:tr w:rsidR="001E5492" w:rsidRPr="002A4119" w:rsidTr="001E5492">
        <w:trPr>
          <w:trHeight w:val="287"/>
        </w:trPr>
        <w:tc>
          <w:tcPr>
            <w:tcW w:w="2194" w:type="dxa"/>
            <w:vMerge w:val="restart"/>
            <w:tcBorders>
              <w:right w:val="single" w:sz="4" w:space="0" w:color="auto"/>
            </w:tcBorders>
            <w:shd w:val="clear" w:color="auto" w:fill="FFFFFF" w:themeFill="background1"/>
            <w:vAlign w:val="center"/>
          </w:tcPr>
          <w:p w:rsidR="001E5492" w:rsidRPr="00EC2641" w:rsidRDefault="001E5492" w:rsidP="00770AB1">
            <w:pPr>
              <w:spacing w:line="180" w:lineRule="exact"/>
              <w:contextualSpacing/>
              <w:rPr>
                <w:color w:val="auto"/>
                <w:sz w:val="18"/>
                <w:szCs w:val="18"/>
              </w:rPr>
            </w:pPr>
            <w:r w:rsidRPr="00EC2641">
              <w:rPr>
                <w:color w:val="auto"/>
                <w:sz w:val="18"/>
                <w:szCs w:val="18"/>
              </w:rPr>
              <w:t>Bilateral L4 Pars Interarticularis Defect</w:t>
            </w:r>
          </w:p>
        </w:tc>
        <w:tc>
          <w:tcPr>
            <w:tcW w:w="1062" w:type="dxa"/>
            <w:vMerge w:val="restart"/>
            <w:tcBorders>
              <w:left w:val="single" w:sz="4" w:space="0" w:color="auto"/>
            </w:tcBorders>
            <w:shd w:val="clear" w:color="auto" w:fill="FFFFFF" w:themeFill="background1"/>
            <w:vAlign w:val="center"/>
          </w:tcPr>
          <w:p w:rsidR="001E5492" w:rsidRPr="00EC2641" w:rsidRDefault="001E5492" w:rsidP="00770AB1">
            <w:pPr>
              <w:spacing w:line="180" w:lineRule="exact"/>
              <w:contextualSpacing/>
              <w:jc w:val="center"/>
              <w:rPr>
                <w:color w:val="auto"/>
                <w:sz w:val="18"/>
                <w:szCs w:val="18"/>
              </w:rPr>
            </w:pPr>
            <w:r w:rsidRPr="00EC2641">
              <w:rPr>
                <w:color w:val="auto"/>
                <w:sz w:val="18"/>
                <w:szCs w:val="18"/>
              </w:rPr>
              <w:t>5239</w:t>
            </w:r>
          </w:p>
        </w:tc>
        <w:tc>
          <w:tcPr>
            <w:tcW w:w="900" w:type="dxa"/>
            <w:vMerge w:val="restart"/>
            <w:tcBorders>
              <w:right w:val="thinThickThinSmallGap" w:sz="24" w:space="0" w:color="auto"/>
            </w:tcBorders>
            <w:shd w:val="clear" w:color="auto" w:fill="FFFFFF" w:themeFill="background1"/>
            <w:vAlign w:val="center"/>
          </w:tcPr>
          <w:p w:rsidR="001E5492" w:rsidRPr="00EC2641" w:rsidRDefault="001E5492" w:rsidP="00770AB1">
            <w:pPr>
              <w:spacing w:line="180" w:lineRule="exact"/>
              <w:contextualSpacing/>
              <w:jc w:val="center"/>
              <w:rPr>
                <w:color w:val="auto"/>
                <w:sz w:val="18"/>
                <w:szCs w:val="18"/>
                <w:highlight w:val="yellow"/>
              </w:rPr>
            </w:pPr>
            <w:r w:rsidRPr="00EC2641">
              <w:rPr>
                <w:color w:val="auto"/>
                <w:sz w:val="18"/>
                <w:szCs w:val="18"/>
              </w:rPr>
              <w:t>10%</w:t>
            </w:r>
          </w:p>
        </w:tc>
        <w:tc>
          <w:tcPr>
            <w:tcW w:w="2538" w:type="dxa"/>
            <w:tcBorders>
              <w:left w:val="thinThickThinSmallGap" w:sz="24" w:space="0" w:color="auto"/>
            </w:tcBorders>
            <w:shd w:val="clear" w:color="auto" w:fill="FFFFFF" w:themeFill="background1"/>
            <w:vAlign w:val="center"/>
          </w:tcPr>
          <w:p w:rsidR="001E5492" w:rsidRPr="00EC2641" w:rsidRDefault="001E5492" w:rsidP="00770AB1">
            <w:pPr>
              <w:spacing w:line="180" w:lineRule="exact"/>
              <w:contextualSpacing/>
              <w:rPr>
                <w:color w:val="auto"/>
                <w:sz w:val="18"/>
                <w:szCs w:val="18"/>
              </w:rPr>
            </w:pPr>
            <w:r w:rsidRPr="00EC2641">
              <w:rPr>
                <w:color w:val="auto"/>
                <w:sz w:val="18"/>
                <w:szCs w:val="18"/>
              </w:rPr>
              <w:t>Spondylosis of L4</w:t>
            </w:r>
          </w:p>
        </w:tc>
        <w:tc>
          <w:tcPr>
            <w:tcW w:w="1064" w:type="dxa"/>
            <w:shd w:val="clear" w:color="auto" w:fill="FFFFFF" w:themeFill="background1"/>
            <w:vAlign w:val="center"/>
          </w:tcPr>
          <w:p w:rsidR="001E5492" w:rsidRPr="00770AB1" w:rsidRDefault="001E5492" w:rsidP="00770AB1">
            <w:pPr>
              <w:spacing w:line="180" w:lineRule="exact"/>
              <w:contextualSpacing/>
              <w:jc w:val="center"/>
              <w:rPr>
                <w:color w:val="auto"/>
                <w:sz w:val="18"/>
                <w:szCs w:val="18"/>
              </w:rPr>
            </w:pPr>
            <w:r w:rsidRPr="00770AB1">
              <w:rPr>
                <w:color w:val="auto"/>
                <w:sz w:val="18"/>
                <w:szCs w:val="18"/>
              </w:rPr>
              <w:t>5239</w:t>
            </w:r>
          </w:p>
        </w:tc>
        <w:tc>
          <w:tcPr>
            <w:tcW w:w="828" w:type="dxa"/>
            <w:shd w:val="clear" w:color="auto" w:fill="FFFFFF" w:themeFill="background1"/>
            <w:vAlign w:val="center"/>
          </w:tcPr>
          <w:p w:rsidR="001E5492" w:rsidRPr="00770AB1" w:rsidRDefault="001E5492" w:rsidP="00770AB1">
            <w:pPr>
              <w:spacing w:line="180" w:lineRule="exact"/>
              <w:contextualSpacing/>
              <w:jc w:val="center"/>
              <w:rPr>
                <w:color w:val="auto"/>
                <w:sz w:val="18"/>
                <w:szCs w:val="18"/>
              </w:rPr>
            </w:pPr>
            <w:r w:rsidRPr="00770AB1">
              <w:rPr>
                <w:color w:val="auto"/>
                <w:sz w:val="18"/>
                <w:szCs w:val="18"/>
              </w:rPr>
              <w:t>10%</w:t>
            </w:r>
          </w:p>
        </w:tc>
        <w:tc>
          <w:tcPr>
            <w:tcW w:w="990" w:type="dxa"/>
            <w:shd w:val="clear" w:color="auto" w:fill="FFFFFF" w:themeFill="background1"/>
            <w:vAlign w:val="center"/>
          </w:tcPr>
          <w:p w:rsidR="001E5492" w:rsidRPr="00770AB1" w:rsidRDefault="001E5492" w:rsidP="00770AB1">
            <w:pPr>
              <w:spacing w:line="180" w:lineRule="exact"/>
              <w:contextualSpacing/>
              <w:jc w:val="center"/>
              <w:rPr>
                <w:color w:val="auto"/>
                <w:sz w:val="18"/>
                <w:szCs w:val="18"/>
              </w:rPr>
            </w:pPr>
            <w:r w:rsidRPr="00770AB1">
              <w:rPr>
                <w:color w:val="auto"/>
                <w:sz w:val="18"/>
                <w:szCs w:val="18"/>
              </w:rPr>
              <w:t>20060606</w:t>
            </w:r>
          </w:p>
        </w:tc>
      </w:tr>
      <w:tr w:rsidR="001E5492" w:rsidRPr="002A4119" w:rsidTr="001E5492">
        <w:trPr>
          <w:trHeight w:val="287"/>
        </w:trPr>
        <w:tc>
          <w:tcPr>
            <w:tcW w:w="2194" w:type="dxa"/>
            <w:vMerge/>
            <w:tcBorders>
              <w:right w:val="single" w:sz="4" w:space="0" w:color="auto"/>
            </w:tcBorders>
            <w:shd w:val="clear" w:color="auto" w:fill="FFFFFF" w:themeFill="background1"/>
            <w:vAlign w:val="center"/>
          </w:tcPr>
          <w:p w:rsidR="001E5492" w:rsidRPr="00EC2641" w:rsidRDefault="001E5492" w:rsidP="00770AB1">
            <w:pPr>
              <w:spacing w:line="180" w:lineRule="exact"/>
              <w:contextualSpacing/>
              <w:rPr>
                <w:color w:val="auto"/>
                <w:sz w:val="18"/>
                <w:szCs w:val="18"/>
              </w:rPr>
            </w:pPr>
          </w:p>
        </w:tc>
        <w:tc>
          <w:tcPr>
            <w:tcW w:w="1062" w:type="dxa"/>
            <w:vMerge/>
            <w:tcBorders>
              <w:left w:val="single" w:sz="4" w:space="0" w:color="auto"/>
            </w:tcBorders>
            <w:shd w:val="clear" w:color="auto" w:fill="FFFFFF" w:themeFill="background1"/>
            <w:vAlign w:val="center"/>
          </w:tcPr>
          <w:p w:rsidR="001E5492" w:rsidRPr="00EC2641" w:rsidRDefault="001E5492" w:rsidP="00770AB1">
            <w:pPr>
              <w:spacing w:line="180" w:lineRule="exact"/>
              <w:contextualSpacing/>
              <w:jc w:val="center"/>
              <w:rPr>
                <w:color w:val="auto"/>
                <w:sz w:val="18"/>
                <w:szCs w:val="18"/>
              </w:rPr>
            </w:pPr>
          </w:p>
        </w:tc>
        <w:tc>
          <w:tcPr>
            <w:tcW w:w="900" w:type="dxa"/>
            <w:vMerge/>
            <w:tcBorders>
              <w:right w:val="thinThickThinSmallGap" w:sz="24" w:space="0" w:color="auto"/>
            </w:tcBorders>
            <w:shd w:val="clear" w:color="auto" w:fill="FFFFFF" w:themeFill="background1"/>
            <w:vAlign w:val="center"/>
          </w:tcPr>
          <w:p w:rsidR="001E5492" w:rsidRPr="00EC2641" w:rsidRDefault="001E5492" w:rsidP="00770AB1">
            <w:pPr>
              <w:spacing w:line="180" w:lineRule="exact"/>
              <w:contextualSpacing/>
              <w:jc w:val="center"/>
              <w:rPr>
                <w:color w:val="auto"/>
                <w:sz w:val="18"/>
                <w:szCs w:val="18"/>
              </w:rPr>
            </w:pPr>
          </w:p>
        </w:tc>
        <w:tc>
          <w:tcPr>
            <w:tcW w:w="2538" w:type="dxa"/>
            <w:tcBorders>
              <w:left w:val="thinThickThinSmallGap" w:sz="24" w:space="0" w:color="auto"/>
            </w:tcBorders>
            <w:shd w:val="clear" w:color="auto" w:fill="FFFFFF" w:themeFill="background1"/>
            <w:vAlign w:val="center"/>
          </w:tcPr>
          <w:p w:rsidR="001E5492" w:rsidRPr="00EC2641" w:rsidRDefault="001E5492" w:rsidP="00770AB1">
            <w:pPr>
              <w:spacing w:line="180" w:lineRule="exact"/>
              <w:contextualSpacing/>
              <w:rPr>
                <w:color w:val="auto"/>
                <w:sz w:val="18"/>
                <w:szCs w:val="18"/>
              </w:rPr>
            </w:pPr>
            <w:r w:rsidRPr="00EC2641">
              <w:rPr>
                <w:color w:val="auto"/>
                <w:sz w:val="18"/>
                <w:szCs w:val="18"/>
              </w:rPr>
              <w:t>Parethesis of Right Foot, Assoc w/Spondylosis</w:t>
            </w:r>
          </w:p>
        </w:tc>
        <w:tc>
          <w:tcPr>
            <w:tcW w:w="1064" w:type="dxa"/>
            <w:shd w:val="clear" w:color="auto" w:fill="FFFFFF" w:themeFill="background1"/>
            <w:vAlign w:val="center"/>
          </w:tcPr>
          <w:p w:rsidR="001E5492" w:rsidRPr="00770AB1" w:rsidRDefault="001E5492" w:rsidP="00770AB1">
            <w:pPr>
              <w:spacing w:line="180" w:lineRule="exact"/>
              <w:contextualSpacing/>
              <w:jc w:val="center"/>
              <w:rPr>
                <w:color w:val="auto"/>
                <w:sz w:val="18"/>
                <w:szCs w:val="18"/>
              </w:rPr>
            </w:pPr>
            <w:r w:rsidRPr="00770AB1">
              <w:rPr>
                <w:color w:val="auto"/>
                <w:sz w:val="18"/>
                <w:szCs w:val="18"/>
              </w:rPr>
              <w:t>8520</w:t>
            </w:r>
          </w:p>
        </w:tc>
        <w:tc>
          <w:tcPr>
            <w:tcW w:w="828" w:type="dxa"/>
            <w:shd w:val="clear" w:color="auto" w:fill="FFFFFF" w:themeFill="background1"/>
            <w:vAlign w:val="center"/>
          </w:tcPr>
          <w:p w:rsidR="001E5492" w:rsidRPr="00770AB1" w:rsidRDefault="001E5492" w:rsidP="00770AB1">
            <w:pPr>
              <w:spacing w:line="180" w:lineRule="exact"/>
              <w:contextualSpacing/>
              <w:jc w:val="center"/>
              <w:rPr>
                <w:color w:val="auto"/>
                <w:sz w:val="18"/>
                <w:szCs w:val="18"/>
              </w:rPr>
            </w:pPr>
            <w:r w:rsidRPr="00770AB1">
              <w:rPr>
                <w:color w:val="auto"/>
                <w:sz w:val="18"/>
                <w:szCs w:val="18"/>
              </w:rPr>
              <w:t>10%</w:t>
            </w:r>
          </w:p>
        </w:tc>
        <w:tc>
          <w:tcPr>
            <w:tcW w:w="990" w:type="dxa"/>
            <w:shd w:val="clear" w:color="auto" w:fill="FFFFFF" w:themeFill="background1"/>
            <w:vAlign w:val="center"/>
          </w:tcPr>
          <w:p w:rsidR="001E5492" w:rsidRPr="00770AB1" w:rsidRDefault="001E5492" w:rsidP="00770AB1">
            <w:pPr>
              <w:spacing w:line="180" w:lineRule="exact"/>
              <w:contextualSpacing/>
              <w:jc w:val="center"/>
              <w:rPr>
                <w:color w:val="auto"/>
                <w:sz w:val="18"/>
                <w:szCs w:val="18"/>
              </w:rPr>
            </w:pPr>
            <w:r w:rsidRPr="00770AB1">
              <w:rPr>
                <w:color w:val="auto"/>
                <w:sz w:val="18"/>
                <w:szCs w:val="18"/>
              </w:rPr>
              <w:t>20060606</w:t>
            </w:r>
          </w:p>
        </w:tc>
      </w:tr>
      <w:tr w:rsidR="00680F1F" w:rsidRPr="002A4119" w:rsidTr="0056375A">
        <w:trPr>
          <w:trHeight w:val="287"/>
        </w:trPr>
        <w:tc>
          <w:tcPr>
            <w:tcW w:w="2194" w:type="dxa"/>
            <w:tcBorders>
              <w:right w:val="single" w:sz="4" w:space="0" w:color="auto"/>
            </w:tcBorders>
            <w:shd w:val="clear" w:color="auto" w:fill="FFFFFF" w:themeFill="background1"/>
            <w:vAlign w:val="center"/>
          </w:tcPr>
          <w:p w:rsidR="00680F1F" w:rsidRPr="00EC2641" w:rsidRDefault="00680F1F" w:rsidP="00770AB1">
            <w:pPr>
              <w:spacing w:line="180" w:lineRule="exact"/>
              <w:contextualSpacing/>
              <w:rPr>
                <w:color w:val="auto"/>
                <w:sz w:val="18"/>
                <w:szCs w:val="18"/>
              </w:rPr>
            </w:pPr>
            <w:r w:rsidRPr="00EC2641">
              <w:rPr>
                <w:color w:val="auto"/>
                <w:sz w:val="18"/>
                <w:szCs w:val="18"/>
              </w:rPr>
              <w:t>Back Pain Symptoms</w:t>
            </w:r>
          </w:p>
        </w:tc>
        <w:tc>
          <w:tcPr>
            <w:tcW w:w="1962" w:type="dxa"/>
            <w:gridSpan w:val="2"/>
            <w:tcBorders>
              <w:left w:val="single" w:sz="4" w:space="0" w:color="auto"/>
              <w:right w:val="thinThickThinSmallGap" w:sz="24" w:space="0" w:color="auto"/>
            </w:tcBorders>
            <w:shd w:val="clear" w:color="auto" w:fill="FFFFFF" w:themeFill="background1"/>
            <w:vAlign w:val="center"/>
          </w:tcPr>
          <w:p w:rsidR="00680F1F" w:rsidRPr="00EC2641" w:rsidRDefault="00680F1F" w:rsidP="001E5492">
            <w:pPr>
              <w:spacing w:line="180" w:lineRule="exact"/>
              <w:contextualSpacing/>
              <w:jc w:val="center"/>
              <w:rPr>
                <w:color w:val="auto"/>
                <w:sz w:val="18"/>
                <w:szCs w:val="18"/>
                <w:highlight w:val="yellow"/>
              </w:rPr>
            </w:pPr>
            <w:r w:rsidRPr="00EC2641">
              <w:rPr>
                <w:color w:val="auto"/>
                <w:sz w:val="18"/>
                <w:szCs w:val="18"/>
              </w:rPr>
              <w:t>Category II</w:t>
            </w:r>
          </w:p>
        </w:tc>
        <w:tc>
          <w:tcPr>
            <w:tcW w:w="5420" w:type="dxa"/>
            <w:gridSpan w:val="4"/>
            <w:tcBorders>
              <w:left w:val="thinThickThinSmallGap" w:sz="24" w:space="0" w:color="auto"/>
            </w:tcBorders>
            <w:shd w:val="clear" w:color="auto" w:fill="FFFFFF" w:themeFill="background1"/>
            <w:vAlign w:val="center"/>
          </w:tcPr>
          <w:p w:rsidR="00680F1F" w:rsidRPr="00770AB1" w:rsidRDefault="00680F1F" w:rsidP="00770AB1">
            <w:pPr>
              <w:spacing w:line="180" w:lineRule="exact"/>
              <w:contextualSpacing/>
              <w:jc w:val="center"/>
              <w:rPr>
                <w:color w:val="auto"/>
                <w:sz w:val="18"/>
                <w:szCs w:val="18"/>
              </w:rPr>
            </w:pPr>
            <w:r w:rsidRPr="00EC2641">
              <w:rPr>
                <w:color w:val="auto"/>
                <w:sz w:val="18"/>
                <w:szCs w:val="18"/>
              </w:rPr>
              <w:t xml:space="preserve">No </w:t>
            </w:r>
            <w:r>
              <w:rPr>
                <w:color w:val="auto"/>
                <w:sz w:val="18"/>
                <w:szCs w:val="18"/>
              </w:rPr>
              <w:t>Separate</w:t>
            </w:r>
            <w:r w:rsidRPr="00EC2641">
              <w:rPr>
                <w:color w:val="auto"/>
                <w:sz w:val="18"/>
                <w:szCs w:val="18"/>
              </w:rPr>
              <w:t xml:space="preserve"> VA Entry</w:t>
            </w:r>
          </w:p>
        </w:tc>
      </w:tr>
      <w:tr w:rsidR="00680F1F" w:rsidRPr="002A4119" w:rsidTr="0056375A">
        <w:trPr>
          <w:trHeight w:val="287"/>
        </w:trPr>
        <w:tc>
          <w:tcPr>
            <w:tcW w:w="2194" w:type="dxa"/>
            <w:tcBorders>
              <w:right w:val="single" w:sz="4" w:space="0" w:color="auto"/>
            </w:tcBorders>
            <w:shd w:val="clear" w:color="auto" w:fill="FFFFFF" w:themeFill="background1"/>
            <w:vAlign w:val="center"/>
          </w:tcPr>
          <w:p w:rsidR="00680F1F" w:rsidRPr="00EC2641" w:rsidRDefault="00680F1F" w:rsidP="00770AB1">
            <w:pPr>
              <w:spacing w:line="180" w:lineRule="exact"/>
              <w:contextualSpacing/>
              <w:rPr>
                <w:color w:val="auto"/>
                <w:sz w:val="18"/>
                <w:szCs w:val="18"/>
              </w:rPr>
            </w:pPr>
            <w:r>
              <w:rPr>
                <w:color w:val="auto"/>
                <w:sz w:val="18"/>
                <w:szCs w:val="18"/>
              </w:rPr>
              <w:t>Tobacco Abuse</w:t>
            </w:r>
          </w:p>
        </w:tc>
        <w:tc>
          <w:tcPr>
            <w:tcW w:w="1962" w:type="dxa"/>
            <w:gridSpan w:val="2"/>
            <w:tcBorders>
              <w:left w:val="single" w:sz="4" w:space="0" w:color="auto"/>
              <w:right w:val="thinThickThinSmallGap" w:sz="24" w:space="0" w:color="auto"/>
            </w:tcBorders>
            <w:shd w:val="clear" w:color="auto" w:fill="FFFFFF" w:themeFill="background1"/>
            <w:vAlign w:val="center"/>
          </w:tcPr>
          <w:p w:rsidR="00680F1F" w:rsidRPr="00EC2641" w:rsidRDefault="00680F1F" w:rsidP="00770AB1">
            <w:pPr>
              <w:spacing w:line="180" w:lineRule="exact"/>
              <w:contextualSpacing/>
              <w:jc w:val="center"/>
              <w:rPr>
                <w:color w:val="auto"/>
                <w:sz w:val="18"/>
                <w:szCs w:val="18"/>
              </w:rPr>
            </w:pPr>
            <w:r w:rsidRPr="00EC2641">
              <w:rPr>
                <w:color w:val="auto"/>
                <w:sz w:val="18"/>
                <w:szCs w:val="18"/>
              </w:rPr>
              <w:t>Category I</w:t>
            </w:r>
            <w:r>
              <w:rPr>
                <w:color w:val="auto"/>
                <w:sz w:val="18"/>
                <w:szCs w:val="18"/>
              </w:rPr>
              <w:t>V</w:t>
            </w:r>
          </w:p>
        </w:tc>
        <w:tc>
          <w:tcPr>
            <w:tcW w:w="5420" w:type="dxa"/>
            <w:gridSpan w:val="4"/>
            <w:tcBorders>
              <w:left w:val="thinThickThinSmallGap" w:sz="24" w:space="0" w:color="auto"/>
            </w:tcBorders>
            <w:shd w:val="clear" w:color="auto" w:fill="FFFFFF" w:themeFill="background1"/>
            <w:vAlign w:val="center"/>
          </w:tcPr>
          <w:p w:rsidR="00680F1F" w:rsidRPr="00770AB1" w:rsidRDefault="00680F1F" w:rsidP="00680F1F">
            <w:pPr>
              <w:spacing w:line="180" w:lineRule="exact"/>
              <w:contextualSpacing/>
              <w:jc w:val="center"/>
              <w:rPr>
                <w:color w:val="auto"/>
                <w:sz w:val="18"/>
                <w:szCs w:val="18"/>
              </w:rPr>
            </w:pPr>
            <w:r w:rsidRPr="00EC2641">
              <w:rPr>
                <w:color w:val="auto"/>
                <w:sz w:val="18"/>
                <w:szCs w:val="18"/>
              </w:rPr>
              <w:t>No VA Entry</w:t>
            </w:r>
          </w:p>
        </w:tc>
      </w:tr>
      <w:tr w:rsidR="00680F1F" w:rsidRPr="002A4119" w:rsidTr="0056375A">
        <w:trPr>
          <w:trHeight w:val="287"/>
        </w:trPr>
        <w:tc>
          <w:tcPr>
            <w:tcW w:w="4156" w:type="dxa"/>
            <w:gridSpan w:val="3"/>
            <w:vMerge w:val="restart"/>
            <w:tcBorders>
              <w:right w:val="thinThickThinSmallGap" w:sz="24" w:space="0" w:color="auto"/>
            </w:tcBorders>
            <w:shd w:val="clear" w:color="auto" w:fill="FFFFFF" w:themeFill="background1"/>
            <w:vAlign w:val="center"/>
          </w:tcPr>
          <w:p w:rsidR="00680F1F" w:rsidRPr="00EC2641" w:rsidRDefault="00680F1F" w:rsidP="00770AB1">
            <w:pPr>
              <w:spacing w:line="180" w:lineRule="exact"/>
              <w:contextualSpacing/>
              <w:jc w:val="center"/>
              <w:rPr>
                <w:color w:val="auto"/>
                <w:sz w:val="18"/>
                <w:szCs w:val="18"/>
              </w:rPr>
            </w:pPr>
            <w:r w:rsidRPr="0042528C">
              <w:rPr>
                <w:color w:val="auto"/>
                <w:sz w:val="18"/>
                <w:szCs w:val="18"/>
              </w:rPr>
              <w:t>↓No Additional MEB</w:t>
            </w:r>
            <w:r>
              <w:rPr>
                <w:color w:val="auto"/>
                <w:sz w:val="18"/>
                <w:szCs w:val="18"/>
              </w:rPr>
              <w:t>/PEB</w:t>
            </w:r>
            <w:r w:rsidRPr="0042528C">
              <w:rPr>
                <w:color w:val="auto"/>
                <w:sz w:val="18"/>
                <w:szCs w:val="18"/>
              </w:rPr>
              <w:t xml:space="preserve"> Entries↓</w:t>
            </w:r>
          </w:p>
        </w:tc>
        <w:tc>
          <w:tcPr>
            <w:tcW w:w="2538" w:type="dxa"/>
            <w:tcBorders>
              <w:left w:val="thinThickThinSmallGap" w:sz="24" w:space="0" w:color="auto"/>
              <w:right w:val="single" w:sz="4" w:space="0" w:color="auto"/>
            </w:tcBorders>
            <w:shd w:val="clear" w:color="auto" w:fill="FFFFFF" w:themeFill="background1"/>
            <w:vAlign w:val="center"/>
          </w:tcPr>
          <w:p w:rsidR="00680F1F" w:rsidRPr="00EC2641" w:rsidRDefault="00680F1F" w:rsidP="00770AB1">
            <w:pPr>
              <w:spacing w:line="180" w:lineRule="exact"/>
              <w:contextualSpacing/>
              <w:rPr>
                <w:color w:val="auto"/>
                <w:sz w:val="18"/>
                <w:szCs w:val="18"/>
              </w:rPr>
            </w:pPr>
            <w:r w:rsidRPr="00EC2641">
              <w:rPr>
                <w:color w:val="auto"/>
                <w:sz w:val="18"/>
                <w:szCs w:val="18"/>
              </w:rPr>
              <w:t>Patellofemoral Syndrome, Right Knee</w:t>
            </w:r>
          </w:p>
        </w:tc>
        <w:tc>
          <w:tcPr>
            <w:tcW w:w="1064" w:type="dxa"/>
            <w:tcBorders>
              <w:left w:val="single" w:sz="4" w:space="0" w:color="auto"/>
              <w:right w:val="single" w:sz="4" w:space="0" w:color="auto"/>
            </w:tcBorders>
            <w:shd w:val="clear" w:color="auto" w:fill="FFFFFF" w:themeFill="background1"/>
            <w:vAlign w:val="center"/>
          </w:tcPr>
          <w:p w:rsidR="00680F1F" w:rsidRPr="00770AB1" w:rsidRDefault="00680F1F" w:rsidP="00770AB1">
            <w:pPr>
              <w:spacing w:line="180" w:lineRule="exact"/>
              <w:contextualSpacing/>
              <w:jc w:val="center"/>
              <w:rPr>
                <w:color w:val="auto"/>
                <w:sz w:val="18"/>
                <w:szCs w:val="18"/>
              </w:rPr>
            </w:pPr>
            <w:r w:rsidRPr="00770AB1">
              <w:rPr>
                <w:color w:val="auto"/>
                <w:sz w:val="18"/>
                <w:szCs w:val="18"/>
              </w:rPr>
              <w:t>5014-5260</w:t>
            </w:r>
          </w:p>
        </w:tc>
        <w:tc>
          <w:tcPr>
            <w:tcW w:w="828" w:type="dxa"/>
            <w:tcBorders>
              <w:left w:val="single" w:sz="4" w:space="0" w:color="auto"/>
            </w:tcBorders>
            <w:shd w:val="clear" w:color="auto" w:fill="FFFFFF" w:themeFill="background1"/>
            <w:vAlign w:val="center"/>
          </w:tcPr>
          <w:p w:rsidR="00680F1F" w:rsidRPr="00770AB1" w:rsidRDefault="00680F1F" w:rsidP="00770AB1">
            <w:pPr>
              <w:spacing w:line="180" w:lineRule="exact"/>
              <w:contextualSpacing/>
              <w:jc w:val="center"/>
              <w:rPr>
                <w:color w:val="auto"/>
                <w:sz w:val="18"/>
                <w:szCs w:val="18"/>
              </w:rPr>
            </w:pPr>
            <w:r w:rsidRPr="00770AB1">
              <w:rPr>
                <w:color w:val="auto"/>
                <w:sz w:val="18"/>
                <w:szCs w:val="18"/>
              </w:rPr>
              <w:t>10%</w:t>
            </w:r>
          </w:p>
        </w:tc>
        <w:tc>
          <w:tcPr>
            <w:tcW w:w="990" w:type="dxa"/>
            <w:shd w:val="clear" w:color="auto" w:fill="FFFFFF" w:themeFill="background1"/>
            <w:vAlign w:val="center"/>
          </w:tcPr>
          <w:p w:rsidR="00680F1F" w:rsidRPr="00770AB1" w:rsidRDefault="00680F1F" w:rsidP="00770AB1">
            <w:pPr>
              <w:spacing w:line="180" w:lineRule="exact"/>
              <w:contextualSpacing/>
              <w:jc w:val="center"/>
              <w:rPr>
                <w:color w:val="auto"/>
                <w:sz w:val="18"/>
                <w:szCs w:val="18"/>
              </w:rPr>
            </w:pPr>
            <w:r w:rsidRPr="00770AB1">
              <w:rPr>
                <w:color w:val="auto"/>
                <w:sz w:val="18"/>
                <w:szCs w:val="18"/>
              </w:rPr>
              <w:t>20060606</w:t>
            </w:r>
          </w:p>
        </w:tc>
      </w:tr>
      <w:tr w:rsidR="00680F1F" w:rsidRPr="002A4119" w:rsidTr="001E5492">
        <w:trPr>
          <w:trHeight w:val="260"/>
        </w:trPr>
        <w:tc>
          <w:tcPr>
            <w:tcW w:w="4156" w:type="dxa"/>
            <w:gridSpan w:val="3"/>
            <w:vMerge/>
            <w:tcBorders>
              <w:right w:val="thinThickThinSmallGap" w:sz="24" w:space="0" w:color="auto"/>
            </w:tcBorders>
            <w:shd w:val="clear" w:color="auto" w:fill="FFFFFF" w:themeFill="background1"/>
          </w:tcPr>
          <w:p w:rsidR="00680F1F" w:rsidRPr="00EC2641" w:rsidRDefault="00680F1F" w:rsidP="00770AB1">
            <w:pPr>
              <w:spacing w:line="180" w:lineRule="exact"/>
              <w:contextualSpacing/>
              <w:jc w:val="center"/>
              <w:rPr>
                <w:color w:val="auto"/>
                <w:sz w:val="18"/>
                <w:szCs w:val="18"/>
              </w:rPr>
            </w:pPr>
          </w:p>
        </w:tc>
        <w:tc>
          <w:tcPr>
            <w:tcW w:w="4430" w:type="dxa"/>
            <w:gridSpan w:val="3"/>
            <w:tcBorders>
              <w:left w:val="thinThickThinSmallGap" w:sz="24" w:space="0" w:color="auto"/>
            </w:tcBorders>
            <w:shd w:val="clear" w:color="auto" w:fill="FFFFFF" w:themeFill="background1"/>
            <w:vAlign w:val="center"/>
          </w:tcPr>
          <w:p w:rsidR="00680F1F" w:rsidRPr="00EC2641" w:rsidRDefault="00680F1F" w:rsidP="001E5492">
            <w:pPr>
              <w:spacing w:line="180" w:lineRule="exact"/>
              <w:contextualSpacing/>
              <w:jc w:val="center"/>
              <w:rPr>
                <w:color w:val="auto"/>
                <w:sz w:val="18"/>
                <w:szCs w:val="18"/>
              </w:rPr>
            </w:pPr>
            <w:r w:rsidRPr="00EC2641">
              <w:rPr>
                <w:rFonts w:cs="Times New Roman"/>
                <w:color w:val="auto"/>
                <w:sz w:val="18"/>
                <w:szCs w:val="18"/>
              </w:rPr>
              <w:t>0% x 2/Not Service Connected x 6</w:t>
            </w:r>
          </w:p>
        </w:tc>
        <w:tc>
          <w:tcPr>
            <w:tcW w:w="990" w:type="dxa"/>
            <w:shd w:val="clear" w:color="auto" w:fill="FFFFFF" w:themeFill="background1"/>
            <w:vAlign w:val="center"/>
          </w:tcPr>
          <w:p w:rsidR="00680F1F" w:rsidRPr="00770AB1" w:rsidRDefault="00680F1F" w:rsidP="00770AB1">
            <w:pPr>
              <w:spacing w:line="180" w:lineRule="exact"/>
              <w:contextualSpacing/>
              <w:jc w:val="center"/>
              <w:rPr>
                <w:color w:val="auto"/>
                <w:sz w:val="18"/>
                <w:szCs w:val="18"/>
              </w:rPr>
            </w:pPr>
            <w:r w:rsidRPr="00770AB1">
              <w:rPr>
                <w:color w:val="auto"/>
                <w:sz w:val="18"/>
                <w:szCs w:val="18"/>
              </w:rPr>
              <w:t>20060606</w:t>
            </w:r>
          </w:p>
        </w:tc>
      </w:tr>
      <w:tr w:rsidR="007A65A9" w:rsidRPr="002A4119" w:rsidTr="001E5492">
        <w:trPr>
          <w:trHeight w:val="242"/>
        </w:trPr>
        <w:tc>
          <w:tcPr>
            <w:tcW w:w="4156" w:type="dxa"/>
            <w:gridSpan w:val="3"/>
            <w:tcBorders>
              <w:right w:val="thinThickThinSmallGap" w:sz="24" w:space="0" w:color="auto"/>
            </w:tcBorders>
            <w:shd w:val="clear" w:color="auto" w:fill="D9D9D9" w:themeFill="background1" w:themeFillShade="D9"/>
            <w:vAlign w:val="center"/>
          </w:tcPr>
          <w:p w:rsidR="007A65A9" w:rsidRPr="00EC2641" w:rsidRDefault="007A65A9" w:rsidP="00770AB1">
            <w:pPr>
              <w:spacing w:line="200" w:lineRule="exact"/>
              <w:contextualSpacing/>
              <w:jc w:val="center"/>
              <w:rPr>
                <w:b/>
                <w:color w:val="auto"/>
                <w:sz w:val="18"/>
                <w:szCs w:val="18"/>
              </w:rPr>
            </w:pPr>
            <w:r w:rsidRPr="00EC2641">
              <w:rPr>
                <w:b/>
                <w:color w:val="auto"/>
                <w:sz w:val="18"/>
                <w:szCs w:val="18"/>
              </w:rPr>
              <w:t xml:space="preserve">Combined: </w:t>
            </w:r>
            <w:r w:rsidR="006458FD" w:rsidRPr="00EC2641">
              <w:rPr>
                <w:b/>
                <w:color w:val="auto"/>
                <w:sz w:val="18"/>
                <w:szCs w:val="18"/>
              </w:rPr>
              <w:t xml:space="preserve"> </w:t>
            </w:r>
            <w:r w:rsidR="00770AB1" w:rsidRPr="00EC2641">
              <w:rPr>
                <w:b/>
                <w:color w:val="auto"/>
                <w:sz w:val="18"/>
                <w:szCs w:val="18"/>
              </w:rPr>
              <w:t>10</w:t>
            </w:r>
            <w:r w:rsidRPr="00EC2641">
              <w:rPr>
                <w:b/>
                <w:color w:val="auto"/>
                <w:sz w:val="18"/>
                <w:szCs w:val="18"/>
              </w:rPr>
              <w:t>%</w:t>
            </w:r>
          </w:p>
        </w:tc>
        <w:tc>
          <w:tcPr>
            <w:tcW w:w="5420" w:type="dxa"/>
            <w:gridSpan w:val="4"/>
            <w:tcBorders>
              <w:left w:val="thinThickThinSmallGap" w:sz="24" w:space="0" w:color="auto"/>
            </w:tcBorders>
            <w:shd w:val="clear" w:color="auto" w:fill="D9D9D9" w:themeFill="background1" w:themeFillShade="D9"/>
            <w:vAlign w:val="center"/>
          </w:tcPr>
          <w:p w:rsidR="007A65A9" w:rsidRPr="00EC2641" w:rsidRDefault="007A65A9" w:rsidP="00770AB1">
            <w:pPr>
              <w:spacing w:line="200" w:lineRule="exact"/>
              <w:contextualSpacing/>
              <w:jc w:val="center"/>
              <w:rPr>
                <w:b/>
                <w:color w:val="auto"/>
                <w:sz w:val="18"/>
                <w:szCs w:val="18"/>
              </w:rPr>
            </w:pPr>
            <w:r w:rsidRPr="00EC2641">
              <w:rPr>
                <w:b/>
                <w:color w:val="auto"/>
                <w:sz w:val="18"/>
                <w:szCs w:val="18"/>
              </w:rPr>
              <w:t xml:space="preserve">Combined:  </w:t>
            </w:r>
            <w:r w:rsidR="00770AB1" w:rsidRPr="00EC2641">
              <w:rPr>
                <w:b/>
                <w:color w:val="auto"/>
                <w:sz w:val="18"/>
                <w:szCs w:val="18"/>
              </w:rPr>
              <w:t>30</w:t>
            </w:r>
            <w:r w:rsidRPr="00EC2641">
              <w:rPr>
                <w:b/>
                <w:color w:val="auto"/>
                <w:sz w:val="18"/>
                <w:szCs w:val="18"/>
              </w:rPr>
              <w:t>%</w:t>
            </w:r>
          </w:p>
        </w:tc>
      </w:tr>
    </w:tbl>
    <w:p w:rsidR="00437D18" w:rsidRPr="00391858" w:rsidRDefault="00437D18" w:rsidP="00510F9C">
      <w:pPr>
        <w:pBdr>
          <w:bottom w:val="single" w:sz="12" w:space="1" w:color="auto"/>
        </w:pBdr>
        <w:tabs>
          <w:tab w:val="left" w:pos="288"/>
          <w:tab w:val="left" w:pos="4752"/>
        </w:tabs>
        <w:spacing w:line="240" w:lineRule="exact"/>
        <w:jc w:val="both"/>
        <w:rPr>
          <w:rFonts w:asciiTheme="minorHAnsi" w:hAnsiTheme="minorHAnsi"/>
          <w:b/>
          <w:color w:val="auto"/>
          <w:u w:val="single"/>
        </w:rPr>
      </w:pPr>
    </w:p>
    <w:p w:rsidR="001F1978" w:rsidRDefault="001F1978" w:rsidP="00C6170B">
      <w:pPr>
        <w:rPr>
          <w:rFonts w:asciiTheme="minorHAnsi" w:hAnsiTheme="minorHAnsi"/>
          <w:color w:val="auto"/>
          <w:szCs w:val="24"/>
          <w:u w:val="single"/>
        </w:rPr>
      </w:pPr>
    </w:p>
    <w:p w:rsidR="00A6471D" w:rsidRDefault="002C6E5B" w:rsidP="00CA1407">
      <w:pPr>
        <w:spacing w:line="240" w:lineRule="exact"/>
        <w:jc w:val="both"/>
        <w:rPr>
          <w:rFonts w:asciiTheme="minorHAnsi" w:hAnsiTheme="minorHAnsi"/>
          <w:color w:val="auto"/>
          <w:szCs w:val="24"/>
          <w:u w:val="single"/>
        </w:rPr>
      </w:pPr>
      <w:r w:rsidRPr="00396779">
        <w:rPr>
          <w:rFonts w:asciiTheme="minorHAnsi" w:hAnsiTheme="minorHAnsi"/>
          <w:color w:val="auto"/>
          <w:szCs w:val="24"/>
          <w:u w:val="single"/>
        </w:rPr>
        <w:lastRenderedPageBreak/>
        <w:t>ANALYSIS SUMMARY</w:t>
      </w:r>
      <w:r w:rsidRPr="00396779">
        <w:rPr>
          <w:rFonts w:asciiTheme="minorHAnsi" w:hAnsiTheme="minorHAnsi"/>
          <w:color w:val="auto"/>
          <w:szCs w:val="24"/>
        </w:rPr>
        <w:t>:</w:t>
      </w:r>
      <w:r w:rsidR="00A6471D">
        <w:rPr>
          <w:rFonts w:asciiTheme="minorHAnsi" w:hAnsiTheme="minorHAnsi"/>
          <w:color w:val="auto"/>
          <w:szCs w:val="24"/>
        </w:rPr>
        <w:t xml:space="preserve">  </w:t>
      </w:r>
      <w:r w:rsidR="00A6471D" w:rsidRPr="00AF1A34">
        <w:rPr>
          <w:color w:val="auto"/>
          <w:szCs w:val="24"/>
        </w:rPr>
        <w:t>The Board acknowledges the sentiment expressed in the CI’s application regarding the significant impairment with which his service-incurred condition continues to burden him.  The Board wishes to clarify that it is subject to the same laws for Service disability entitle</w:t>
      </w:r>
      <w:r w:rsidR="00BB2E3F">
        <w:rPr>
          <w:color w:val="auto"/>
          <w:szCs w:val="24"/>
        </w:rPr>
        <w:t xml:space="preserve">ments as those under which the DES operates.  The </w:t>
      </w:r>
      <w:r w:rsidR="00A6471D" w:rsidRPr="00AF1A34">
        <w:rPr>
          <w:color w:val="auto"/>
          <w:szCs w:val="24"/>
        </w:rPr>
        <w:t xml:space="preserve">DES has neither the role nor the authority to compensate service members for anticipated future severity or potential complications of conditions resulting in medical separation.  That role and authority is granted by Congress to the </w:t>
      </w:r>
      <w:r w:rsidR="00BB2E3F">
        <w:rPr>
          <w:color w:val="auto"/>
          <w:szCs w:val="24"/>
        </w:rPr>
        <w:t>Department of Veteran</w:t>
      </w:r>
      <w:r w:rsidR="006637F1">
        <w:rPr>
          <w:color w:val="auto"/>
          <w:szCs w:val="24"/>
        </w:rPr>
        <w:t>s’</w:t>
      </w:r>
      <w:r w:rsidR="00BB2E3F">
        <w:rPr>
          <w:color w:val="auto"/>
          <w:szCs w:val="24"/>
        </w:rPr>
        <w:t xml:space="preserve"> Affairs (</w:t>
      </w:r>
      <w:r w:rsidR="006637F1">
        <w:rPr>
          <w:color w:val="auto"/>
          <w:szCs w:val="24"/>
        </w:rPr>
        <w:t>D</w:t>
      </w:r>
      <w:r w:rsidR="00A6471D" w:rsidRPr="00AF1A34">
        <w:rPr>
          <w:color w:val="auto"/>
          <w:szCs w:val="24"/>
        </w:rPr>
        <w:t>VA), operating under a different set of laws (Title 38, United States Code).  The Board evaluates VA evidence proximal to separation in arriving at its recommendations, but its authority resides</w:t>
      </w:r>
      <w:r w:rsidR="00BB2E3F">
        <w:rPr>
          <w:color w:val="auto"/>
          <w:szCs w:val="24"/>
        </w:rPr>
        <w:t xml:space="preserve"> in evaluating the fairness of </w:t>
      </w:r>
      <w:r w:rsidR="00A6471D" w:rsidRPr="00AF1A34">
        <w:rPr>
          <w:color w:val="auto"/>
          <w:szCs w:val="24"/>
        </w:rPr>
        <w:t xml:space="preserve">DES fitness decisions and rating determinations for disability at the time of separation.  The Board also acknowledges the CI’s contention suggesting that Service ratings should have been conferred for other conditions documented at the </w:t>
      </w:r>
      <w:r w:rsidR="00BB2E3F">
        <w:rPr>
          <w:color w:val="auto"/>
          <w:szCs w:val="24"/>
        </w:rPr>
        <w:t xml:space="preserve">time of separation.  While the </w:t>
      </w:r>
      <w:r w:rsidR="00A6471D" w:rsidRPr="00AF1A34">
        <w:rPr>
          <w:color w:val="auto"/>
          <w:szCs w:val="24"/>
        </w:rPr>
        <w:t>DES considers all of the service member's medical conditions, compensation can only be offered for those medical conditions that cut  short a service member’s career, and then only to the degree of severity present at the t</w:t>
      </w:r>
      <w:r w:rsidR="00BB2E3F">
        <w:rPr>
          <w:color w:val="auto"/>
          <w:szCs w:val="24"/>
        </w:rPr>
        <w:t xml:space="preserve">ime of final disposition.  The </w:t>
      </w:r>
      <w:r w:rsidR="00A6471D" w:rsidRPr="00AF1A34">
        <w:rPr>
          <w:color w:val="auto"/>
          <w:szCs w:val="24"/>
        </w:rPr>
        <w:t xml:space="preserve">VA, however, is empowered to compensate </w:t>
      </w:r>
      <w:r w:rsidR="00CA1407">
        <w:rPr>
          <w:color w:val="auto"/>
          <w:szCs w:val="24"/>
        </w:rPr>
        <w:t xml:space="preserve">all </w:t>
      </w:r>
      <w:r w:rsidR="00A6471D" w:rsidRPr="00AF1A34">
        <w:rPr>
          <w:color w:val="auto"/>
          <w:szCs w:val="24"/>
        </w:rPr>
        <w:t>service connected conditions and to periodically re-evaluate said conditions for the purpose of adjusting the veteran’s disability rating should his degree of impairment vary over time.</w:t>
      </w:r>
      <w:r w:rsidR="00A6471D">
        <w:rPr>
          <w:color w:val="auto"/>
          <w:szCs w:val="24"/>
        </w:rPr>
        <w:t xml:space="preserve">  </w:t>
      </w:r>
    </w:p>
    <w:p w:rsidR="004C60A3" w:rsidRDefault="004C60A3" w:rsidP="00CA1407">
      <w:pPr>
        <w:spacing w:line="240" w:lineRule="exact"/>
        <w:jc w:val="both"/>
        <w:rPr>
          <w:rFonts w:asciiTheme="minorHAnsi" w:hAnsiTheme="minorHAnsi"/>
          <w:color w:val="auto"/>
          <w:szCs w:val="24"/>
        </w:rPr>
      </w:pPr>
    </w:p>
    <w:p w:rsidR="001E7CD5" w:rsidRDefault="004C60A3" w:rsidP="00897476">
      <w:pPr>
        <w:spacing w:line="240" w:lineRule="exact"/>
        <w:jc w:val="both"/>
        <w:rPr>
          <w:rFonts w:asciiTheme="minorHAnsi" w:hAnsiTheme="minorHAnsi"/>
          <w:color w:val="auto"/>
          <w:szCs w:val="24"/>
          <w:u w:val="single"/>
        </w:rPr>
      </w:pPr>
      <w:r w:rsidRPr="004C60A3">
        <w:rPr>
          <w:rFonts w:asciiTheme="minorHAnsi" w:hAnsiTheme="minorHAnsi"/>
          <w:color w:val="auto"/>
          <w:szCs w:val="24"/>
          <w:u w:val="single"/>
        </w:rPr>
        <w:t>Unfitting Conditions</w:t>
      </w:r>
      <w:r w:rsidR="00A6471D">
        <w:rPr>
          <w:rFonts w:asciiTheme="minorHAnsi" w:hAnsiTheme="minorHAnsi"/>
          <w:color w:val="auto"/>
          <w:szCs w:val="24"/>
          <w:u w:val="single"/>
        </w:rPr>
        <w:t xml:space="preserve">:  Bilateral L4 </w:t>
      </w:r>
      <w:r w:rsidR="007279C3">
        <w:rPr>
          <w:rFonts w:asciiTheme="minorHAnsi" w:hAnsiTheme="minorHAnsi"/>
          <w:color w:val="auto"/>
          <w:szCs w:val="24"/>
          <w:u w:val="single"/>
        </w:rPr>
        <w:t>P</w:t>
      </w:r>
      <w:r w:rsidR="00A6471D">
        <w:rPr>
          <w:rFonts w:asciiTheme="minorHAnsi" w:hAnsiTheme="minorHAnsi"/>
          <w:color w:val="auto"/>
          <w:szCs w:val="24"/>
          <w:u w:val="single"/>
        </w:rPr>
        <w:t xml:space="preserve">ars </w:t>
      </w:r>
      <w:r w:rsidR="007279C3">
        <w:rPr>
          <w:rFonts w:asciiTheme="minorHAnsi" w:hAnsiTheme="minorHAnsi"/>
          <w:color w:val="auto"/>
          <w:szCs w:val="24"/>
          <w:u w:val="single"/>
        </w:rPr>
        <w:t>I</w:t>
      </w:r>
      <w:r w:rsidR="00A6471D">
        <w:rPr>
          <w:rFonts w:asciiTheme="minorHAnsi" w:hAnsiTheme="minorHAnsi"/>
          <w:color w:val="auto"/>
          <w:szCs w:val="24"/>
          <w:u w:val="single"/>
        </w:rPr>
        <w:t xml:space="preserve">nterarticularis </w:t>
      </w:r>
      <w:r w:rsidR="007279C3">
        <w:rPr>
          <w:rFonts w:asciiTheme="minorHAnsi" w:hAnsiTheme="minorHAnsi"/>
          <w:color w:val="auto"/>
          <w:szCs w:val="24"/>
          <w:u w:val="single"/>
        </w:rPr>
        <w:t>D</w:t>
      </w:r>
      <w:r w:rsidR="00A6471D">
        <w:rPr>
          <w:rFonts w:asciiTheme="minorHAnsi" w:hAnsiTheme="minorHAnsi"/>
          <w:color w:val="auto"/>
          <w:szCs w:val="24"/>
          <w:u w:val="single"/>
        </w:rPr>
        <w:t xml:space="preserve">efect </w:t>
      </w:r>
      <w:r w:rsidR="00CE4599">
        <w:rPr>
          <w:rFonts w:asciiTheme="minorHAnsi" w:hAnsiTheme="minorHAnsi"/>
          <w:color w:val="auto"/>
          <w:szCs w:val="24"/>
          <w:u w:val="single"/>
        </w:rPr>
        <w:t>with</w:t>
      </w:r>
      <w:r w:rsidR="00A6471D">
        <w:rPr>
          <w:rFonts w:asciiTheme="minorHAnsi" w:hAnsiTheme="minorHAnsi"/>
          <w:color w:val="auto"/>
          <w:szCs w:val="24"/>
          <w:u w:val="single"/>
        </w:rPr>
        <w:t xml:space="preserve"> </w:t>
      </w:r>
      <w:r w:rsidR="007279C3">
        <w:rPr>
          <w:rFonts w:asciiTheme="minorHAnsi" w:hAnsiTheme="minorHAnsi"/>
          <w:color w:val="auto"/>
          <w:szCs w:val="24"/>
          <w:u w:val="single"/>
        </w:rPr>
        <w:t>R</w:t>
      </w:r>
      <w:r w:rsidR="00A6471D">
        <w:rPr>
          <w:rFonts w:asciiTheme="minorHAnsi" w:hAnsiTheme="minorHAnsi"/>
          <w:color w:val="auto"/>
          <w:szCs w:val="24"/>
          <w:u w:val="single"/>
        </w:rPr>
        <w:t xml:space="preserve">elated </w:t>
      </w:r>
      <w:r w:rsidR="007279C3">
        <w:rPr>
          <w:rFonts w:asciiTheme="minorHAnsi" w:hAnsiTheme="minorHAnsi"/>
          <w:color w:val="auto"/>
          <w:szCs w:val="24"/>
          <w:u w:val="single"/>
        </w:rPr>
        <w:t>B</w:t>
      </w:r>
      <w:r w:rsidR="00A6471D">
        <w:rPr>
          <w:rFonts w:asciiTheme="minorHAnsi" w:hAnsiTheme="minorHAnsi"/>
          <w:color w:val="auto"/>
          <w:szCs w:val="24"/>
          <w:u w:val="single"/>
        </w:rPr>
        <w:t xml:space="preserve">ack </w:t>
      </w:r>
      <w:r w:rsidR="007279C3">
        <w:rPr>
          <w:rFonts w:asciiTheme="minorHAnsi" w:hAnsiTheme="minorHAnsi"/>
          <w:color w:val="auto"/>
          <w:szCs w:val="24"/>
          <w:u w:val="single"/>
        </w:rPr>
        <w:t>P</w:t>
      </w:r>
      <w:r w:rsidR="00A6471D">
        <w:rPr>
          <w:rFonts w:asciiTheme="minorHAnsi" w:hAnsiTheme="minorHAnsi"/>
          <w:color w:val="auto"/>
          <w:szCs w:val="24"/>
          <w:u w:val="single"/>
        </w:rPr>
        <w:t>ain</w:t>
      </w:r>
      <w:r w:rsidR="00A6471D">
        <w:rPr>
          <w:rFonts w:asciiTheme="minorHAnsi" w:hAnsiTheme="minorHAnsi"/>
          <w:color w:val="auto"/>
          <w:szCs w:val="24"/>
        </w:rPr>
        <w:t xml:space="preserve">.  </w:t>
      </w:r>
      <w:r w:rsidR="007F5140">
        <w:rPr>
          <w:rFonts w:asciiTheme="minorHAnsi" w:hAnsiTheme="minorHAnsi"/>
          <w:color w:val="auto"/>
          <w:szCs w:val="24"/>
        </w:rPr>
        <w:t>T</w:t>
      </w:r>
      <w:r w:rsidR="003B386D">
        <w:rPr>
          <w:rFonts w:asciiTheme="minorHAnsi" w:hAnsiTheme="minorHAnsi"/>
          <w:color w:val="auto"/>
          <w:szCs w:val="24"/>
        </w:rPr>
        <w:t>h</w:t>
      </w:r>
      <w:r w:rsidR="00A0101A">
        <w:rPr>
          <w:rFonts w:asciiTheme="minorHAnsi" w:hAnsiTheme="minorHAnsi"/>
          <w:color w:val="auto"/>
          <w:szCs w:val="24"/>
        </w:rPr>
        <w:t>r</w:t>
      </w:r>
      <w:r w:rsidR="003B386D">
        <w:rPr>
          <w:rFonts w:asciiTheme="minorHAnsi" w:hAnsiTheme="minorHAnsi"/>
          <w:color w:val="auto"/>
          <w:szCs w:val="24"/>
        </w:rPr>
        <w:t xml:space="preserve">ee </w:t>
      </w:r>
      <w:r w:rsidR="002C5644">
        <w:rPr>
          <w:rFonts w:asciiTheme="minorHAnsi" w:hAnsiTheme="minorHAnsi"/>
          <w:color w:val="auto"/>
          <w:szCs w:val="24"/>
        </w:rPr>
        <w:t xml:space="preserve">sets of </w:t>
      </w:r>
      <w:r w:rsidR="00D56C6F">
        <w:rPr>
          <w:rFonts w:asciiTheme="minorHAnsi" w:hAnsiTheme="minorHAnsi"/>
          <w:color w:val="auto"/>
          <w:szCs w:val="24"/>
        </w:rPr>
        <w:t>goniometric range</w:t>
      </w:r>
      <w:r w:rsidR="00BB2E3F">
        <w:rPr>
          <w:rFonts w:asciiTheme="minorHAnsi" w:hAnsiTheme="minorHAnsi"/>
          <w:color w:val="auto"/>
          <w:szCs w:val="24"/>
        </w:rPr>
        <w:t>-</w:t>
      </w:r>
      <w:r w:rsidR="002C5644">
        <w:rPr>
          <w:rFonts w:asciiTheme="minorHAnsi" w:hAnsiTheme="minorHAnsi"/>
          <w:color w:val="auto"/>
          <w:szCs w:val="24"/>
        </w:rPr>
        <w:t>of</w:t>
      </w:r>
      <w:r w:rsidR="00BB2E3F">
        <w:rPr>
          <w:rFonts w:asciiTheme="minorHAnsi" w:hAnsiTheme="minorHAnsi"/>
          <w:color w:val="auto"/>
          <w:szCs w:val="24"/>
        </w:rPr>
        <w:t>-</w:t>
      </w:r>
      <w:r w:rsidR="002C5644">
        <w:rPr>
          <w:rFonts w:asciiTheme="minorHAnsi" w:hAnsiTheme="minorHAnsi"/>
          <w:color w:val="auto"/>
          <w:szCs w:val="24"/>
        </w:rPr>
        <w:t>motion (ROM) measurements proximate to separation are available for review and charted below.</w:t>
      </w:r>
      <w:r w:rsidR="007F5140">
        <w:rPr>
          <w:rFonts w:asciiTheme="minorHAnsi" w:hAnsiTheme="minorHAnsi"/>
          <w:color w:val="auto"/>
          <w:szCs w:val="24"/>
        </w:rPr>
        <w:t xml:space="preserve">  </w:t>
      </w:r>
    </w:p>
    <w:p w:rsidR="00A6471D" w:rsidRDefault="00A6471D" w:rsidP="00510F9C">
      <w:pPr>
        <w:spacing w:line="240" w:lineRule="exact"/>
        <w:rPr>
          <w:rFonts w:asciiTheme="minorHAnsi" w:hAnsiTheme="minorHAnsi"/>
          <w:color w:val="auto"/>
          <w:szCs w:val="24"/>
          <w:u w:val="single"/>
        </w:rPr>
      </w:pPr>
    </w:p>
    <w:tbl>
      <w:tblPr>
        <w:tblW w:w="93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9"/>
        <w:gridCol w:w="1886"/>
        <w:gridCol w:w="2160"/>
        <w:gridCol w:w="1558"/>
        <w:gridCol w:w="1904"/>
      </w:tblGrid>
      <w:tr w:rsidR="005F606C" w:rsidRPr="00FB42B7" w:rsidTr="005F606C">
        <w:trPr>
          <w:trHeight w:val="820"/>
          <w:jc w:val="center"/>
        </w:trPr>
        <w:tc>
          <w:tcPr>
            <w:tcW w:w="1839" w:type="dxa"/>
            <w:shd w:val="clear" w:color="auto" w:fill="D9D9D9" w:themeFill="background1" w:themeFillShade="D9"/>
            <w:vAlign w:val="center"/>
          </w:tcPr>
          <w:p w:rsidR="005F606C" w:rsidRPr="00FB42B7" w:rsidRDefault="005F606C" w:rsidP="0034735B">
            <w:pPr>
              <w:spacing w:line="200" w:lineRule="exact"/>
              <w:contextualSpacing/>
              <w:jc w:val="center"/>
              <w:rPr>
                <w:rFonts w:asciiTheme="minorHAnsi" w:eastAsia="Calibri" w:hAnsiTheme="minorHAnsi"/>
                <w:color w:val="auto"/>
                <w:sz w:val="20"/>
              </w:rPr>
            </w:pPr>
            <w:r w:rsidRPr="00FB42B7">
              <w:rPr>
                <w:rFonts w:asciiTheme="minorHAnsi" w:eastAsia="Calibri" w:hAnsiTheme="minorHAnsi"/>
                <w:color w:val="auto"/>
                <w:sz w:val="20"/>
              </w:rPr>
              <w:t>Go</w:t>
            </w:r>
            <w:r>
              <w:rPr>
                <w:rFonts w:asciiTheme="minorHAnsi" w:eastAsia="Calibri" w:hAnsiTheme="minorHAnsi"/>
                <w:color w:val="auto"/>
                <w:sz w:val="20"/>
              </w:rPr>
              <w:t xml:space="preserve">niometric ROM –Thoracolumbar </w:t>
            </w:r>
          </w:p>
        </w:tc>
        <w:tc>
          <w:tcPr>
            <w:tcW w:w="1886" w:type="dxa"/>
            <w:shd w:val="clear" w:color="auto" w:fill="D9D9D9" w:themeFill="background1" w:themeFillShade="D9"/>
            <w:vAlign w:val="center"/>
          </w:tcPr>
          <w:p w:rsidR="005F606C" w:rsidRPr="00FB42B7" w:rsidRDefault="005F606C" w:rsidP="00F80B30">
            <w:pPr>
              <w:spacing w:line="200" w:lineRule="exact"/>
              <w:contextualSpacing/>
              <w:jc w:val="center"/>
              <w:rPr>
                <w:rFonts w:asciiTheme="minorHAnsi" w:eastAsia="Calibri" w:hAnsiTheme="minorHAnsi"/>
                <w:color w:val="auto"/>
                <w:sz w:val="20"/>
              </w:rPr>
            </w:pPr>
            <w:r>
              <w:rPr>
                <w:rFonts w:asciiTheme="minorHAnsi" w:eastAsia="Calibri" w:hAnsiTheme="minorHAnsi"/>
                <w:color w:val="auto"/>
                <w:sz w:val="20"/>
              </w:rPr>
              <w:t>Neurosurgery Consult</w:t>
            </w:r>
            <w:r w:rsidRPr="00FB42B7">
              <w:rPr>
                <w:rFonts w:asciiTheme="minorHAnsi" w:eastAsia="Calibri" w:hAnsiTheme="minorHAnsi"/>
                <w:color w:val="auto"/>
                <w:sz w:val="20"/>
              </w:rPr>
              <w:t xml:space="preserve"> </w:t>
            </w:r>
            <w:r>
              <w:rPr>
                <w:rFonts w:asciiTheme="minorHAnsi" w:eastAsia="Calibri" w:hAnsiTheme="minorHAnsi"/>
                <w:color w:val="auto"/>
                <w:sz w:val="20"/>
              </w:rPr>
              <w:t xml:space="preserve"> 6 </w:t>
            </w:r>
            <w:r w:rsidRPr="00FB42B7">
              <w:rPr>
                <w:rFonts w:asciiTheme="minorHAnsi" w:eastAsia="Calibri" w:hAnsiTheme="minorHAnsi"/>
                <w:color w:val="auto"/>
                <w:sz w:val="20"/>
              </w:rPr>
              <w:t>Mo. Pre-Sep</w:t>
            </w:r>
            <w:r>
              <w:rPr>
                <w:rFonts w:asciiTheme="minorHAnsi" w:eastAsia="Calibri" w:hAnsiTheme="minorHAnsi"/>
                <w:color w:val="auto"/>
                <w:sz w:val="20"/>
              </w:rPr>
              <w:t xml:space="preserve"> 20050203</w:t>
            </w:r>
          </w:p>
        </w:tc>
        <w:tc>
          <w:tcPr>
            <w:tcW w:w="2160" w:type="dxa"/>
            <w:shd w:val="clear" w:color="auto" w:fill="D9D9D9" w:themeFill="background1" w:themeFillShade="D9"/>
          </w:tcPr>
          <w:p w:rsidR="005F606C" w:rsidRDefault="005F606C" w:rsidP="00351B70">
            <w:pPr>
              <w:spacing w:line="200" w:lineRule="exact"/>
              <w:contextualSpacing/>
              <w:jc w:val="center"/>
              <w:rPr>
                <w:rFonts w:asciiTheme="minorHAnsi" w:eastAsia="Calibri" w:hAnsiTheme="minorHAnsi"/>
                <w:color w:val="auto"/>
                <w:sz w:val="20"/>
              </w:rPr>
            </w:pPr>
          </w:p>
          <w:p w:rsidR="005F606C" w:rsidRDefault="005F606C" w:rsidP="00351B70">
            <w:pPr>
              <w:spacing w:line="200" w:lineRule="exact"/>
              <w:contextualSpacing/>
              <w:jc w:val="center"/>
              <w:rPr>
                <w:rFonts w:asciiTheme="minorHAnsi" w:eastAsia="Calibri" w:hAnsiTheme="minorHAnsi"/>
                <w:color w:val="auto"/>
                <w:sz w:val="20"/>
              </w:rPr>
            </w:pPr>
            <w:r>
              <w:rPr>
                <w:rFonts w:asciiTheme="minorHAnsi" w:eastAsia="Calibri" w:hAnsiTheme="minorHAnsi"/>
                <w:color w:val="auto"/>
                <w:sz w:val="20"/>
              </w:rPr>
              <w:t xml:space="preserve">MEB ~5 </w:t>
            </w:r>
            <w:r w:rsidRPr="00FB42B7">
              <w:rPr>
                <w:rFonts w:asciiTheme="minorHAnsi" w:eastAsia="Calibri" w:hAnsiTheme="minorHAnsi"/>
                <w:color w:val="auto"/>
                <w:sz w:val="20"/>
              </w:rPr>
              <w:t>Mo. Pre-Sep</w:t>
            </w:r>
          </w:p>
          <w:p w:rsidR="005F606C" w:rsidRPr="00FB42B7" w:rsidRDefault="005F606C" w:rsidP="005F606C">
            <w:pPr>
              <w:spacing w:line="200" w:lineRule="exact"/>
              <w:contextualSpacing/>
              <w:jc w:val="center"/>
              <w:rPr>
                <w:rFonts w:asciiTheme="minorHAnsi" w:eastAsia="Calibri" w:hAnsiTheme="minorHAnsi"/>
                <w:color w:val="auto"/>
                <w:sz w:val="20"/>
              </w:rPr>
            </w:pPr>
            <w:r>
              <w:rPr>
                <w:rFonts w:asciiTheme="minorHAnsi" w:eastAsia="Calibri" w:hAnsiTheme="minorHAnsi"/>
                <w:color w:val="auto"/>
                <w:sz w:val="20"/>
              </w:rPr>
              <w:t>20050301</w:t>
            </w:r>
          </w:p>
        </w:tc>
        <w:tc>
          <w:tcPr>
            <w:tcW w:w="1558" w:type="dxa"/>
            <w:shd w:val="clear" w:color="auto" w:fill="D9D9D9" w:themeFill="background1" w:themeFillShade="D9"/>
            <w:vAlign w:val="center"/>
          </w:tcPr>
          <w:p w:rsidR="005F606C" w:rsidRDefault="005F606C" w:rsidP="005F606C">
            <w:pPr>
              <w:spacing w:line="200" w:lineRule="exact"/>
              <w:contextualSpacing/>
              <w:jc w:val="center"/>
              <w:rPr>
                <w:rFonts w:asciiTheme="minorHAnsi" w:eastAsia="Calibri" w:hAnsiTheme="minorHAnsi"/>
                <w:color w:val="auto"/>
                <w:sz w:val="20"/>
              </w:rPr>
            </w:pPr>
            <w:r>
              <w:rPr>
                <w:rFonts w:asciiTheme="minorHAnsi" w:eastAsia="Calibri" w:hAnsiTheme="minorHAnsi"/>
                <w:color w:val="auto"/>
                <w:sz w:val="20"/>
              </w:rPr>
              <w:t>MEB ~4 Mo. Pre-Sep</w:t>
            </w:r>
          </w:p>
          <w:p w:rsidR="005F606C" w:rsidRPr="00FB42B7" w:rsidRDefault="005F606C" w:rsidP="005F606C">
            <w:pPr>
              <w:spacing w:line="200" w:lineRule="exact"/>
              <w:contextualSpacing/>
              <w:jc w:val="center"/>
              <w:rPr>
                <w:rFonts w:asciiTheme="minorHAnsi" w:eastAsia="Calibri" w:hAnsiTheme="minorHAnsi"/>
                <w:color w:val="auto"/>
                <w:sz w:val="20"/>
              </w:rPr>
            </w:pPr>
            <w:r>
              <w:rPr>
                <w:rFonts w:asciiTheme="minorHAnsi" w:eastAsia="Calibri" w:hAnsiTheme="minorHAnsi"/>
                <w:color w:val="auto"/>
                <w:sz w:val="20"/>
              </w:rPr>
              <w:t>20050330</w:t>
            </w:r>
          </w:p>
        </w:tc>
        <w:tc>
          <w:tcPr>
            <w:tcW w:w="1904" w:type="dxa"/>
            <w:shd w:val="clear" w:color="auto" w:fill="D9D9D9" w:themeFill="background1" w:themeFillShade="D9"/>
            <w:vAlign w:val="center"/>
          </w:tcPr>
          <w:p w:rsidR="005F606C" w:rsidRDefault="005F606C" w:rsidP="00351B70">
            <w:pPr>
              <w:spacing w:line="200" w:lineRule="exact"/>
              <w:contextualSpacing/>
              <w:jc w:val="center"/>
              <w:rPr>
                <w:rFonts w:asciiTheme="minorHAnsi" w:eastAsia="Calibri" w:hAnsiTheme="minorHAnsi"/>
                <w:color w:val="auto"/>
                <w:sz w:val="20"/>
              </w:rPr>
            </w:pPr>
            <w:r w:rsidRPr="00FB42B7">
              <w:rPr>
                <w:rFonts w:asciiTheme="minorHAnsi" w:eastAsia="Calibri" w:hAnsiTheme="minorHAnsi"/>
                <w:color w:val="auto"/>
                <w:sz w:val="20"/>
              </w:rPr>
              <w:t>VA</w:t>
            </w:r>
            <w:r w:rsidRPr="005F606C">
              <w:rPr>
                <w:rFonts w:asciiTheme="minorHAnsi" w:eastAsia="Calibri" w:hAnsiTheme="minorHAnsi"/>
                <w:color w:val="auto"/>
                <w:sz w:val="20"/>
              </w:rPr>
              <w:t xml:space="preserve"> C&amp;P </w:t>
            </w:r>
            <w:r>
              <w:rPr>
                <w:rFonts w:asciiTheme="minorHAnsi" w:eastAsia="Calibri" w:hAnsiTheme="minorHAnsi"/>
                <w:color w:val="auto"/>
                <w:sz w:val="20"/>
              </w:rPr>
              <w:t>~10</w:t>
            </w:r>
            <w:r w:rsidRPr="00FB42B7">
              <w:rPr>
                <w:rFonts w:asciiTheme="minorHAnsi" w:eastAsia="Calibri" w:hAnsiTheme="minorHAnsi"/>
                <w:color w:val="auto"/>
                <w:sz w:val="20"/>
              </w:rPr>
              <w:t xml:space="preserve"> Mo. After-Sep</w:t>
            </w:r>
          </w:p>
          <w:p w:rsidR="005F606C" w:rsidRPr="005F606C" w:rsidRDefault="005F606C" w:rsidP="00351B70">
            <w:pPr>
              <w:spacing w:line="200" w:lineRule="exact"/>
              <w:contextualSpacing/>
              <w:jc w:val="center"/>
              <w:rPr>
                <w:rFonts w:asciiTheme="minorHAnsi" w:eastAsia="Calibri" w:hAnsiTheme="minorHAnsi"/>
                <w:color w:val="auto"/>
                <w:sz w:val="20"/>
              </w:rPr>
            </w:pPr>
            <w:r>
              <w:rPr>
                <w:rFonts w:asciiTheme="minorHAnsi" w:eastAsia="Calibri" w:hAnsiTheme="minorHAnsi"/>
                <w:color w:val="auto"/>
                <w:sz w:val="20"/>
              </w:rPr>
              <w:t>20060606</w:t>
            </w:r>
          </w:p>
        </w:tc>
      </w:tr>
      <w:tr w:rsidR="005F606C" w:rsidTr="007279C3">
        <w:trPr>
          <w:trHeight w:val="206"/>
          <w:jc w:val="center"/>
        </w:trPr>
        <w:tc>
          <w:tcPr>
            <w:tcW w:w="1839" w:type="dxa"/>
            <w:vAlign w:val="center"/>
          </w:tcPr>
          <w:p w:rsidR="005F606C" w:rsidRPr="00C34CEB" w:rsidRDefault="005F606C" w:rsidP="00351B70">
            <w:pPr>
              <w:pStyle w:val="ListParagraph"/>
              <w:spacing w:after="0" w:line="180" w:lineRule="exact"/>
              <w:ind w:left="0"/>
              <w:jc w:val="center"/>
              <w:rPr>
                <w:rFonts w:eastAsia="Calibri" w:cs="Times New Roman"/>
                <w:sz w:val="18"/>
                <w:szCs w:val="18"/>
              </w:rPr>
            </w:pPr>
            <w:r w:rsidRPr="00C34CEB">
              <w:rPr>
                <w:rFonts w:eastAsia="Calibri" w:cs="Times New Roman"/>
                <w:sz w:val="18"/>
                <w:szCs w:val="18"/>
              </w:rPr>
              <w:t>Flexion</w:t>
            </w:r>
            <w:r>
              <w:rPr>
                <w:rFonts w:eastAsia="Calibri" w:cs="Times New Roman"/>
                <w:sz w:val="18"/>
                <w:szCs w:val="18"/>
              </w:rPr>
              <w:t xml:space="preserve"> </w:t>
            </w:r>
            <w:r w:rsidRPr="00C34CEB">
              <w:rPr>
                <w:rFonts w:eastAsia="Calibri" w:cs="Times New Roman"/>
                <w:sz w:val="18"/>
                <w:szCs w:val="18"/>
              </w:rPr>
              <w:t>(0-90)</w:t>
            </w:r>
          </w:p>
        </w:tc>
        <w:tc>
          <w:tcPr>
            <w:tcW w:w="1886" w:type="dxa"/>
            <w:vAlign w:val="center"/>
          </w:tcPr>
          <w:p w:rsidR="005F606C" w:rsidRPr="00C34CEB" w:rsidRDefault="00C87C05"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w:t>
            </w:r>
            <w:r w:rsidR="005F606C">
              <w:rPr>
                <w:rFonts w:asciiTheme="minorHAnsi" w:eastAsia="Calibri" w:hAnsiTheme="minorHAnsi"/>
                <w:color w:val="auto"/>
                <w:sz w:val="18"/>
                <w:szCs w:val="18"/>
              </w:rPr>
              <w:t>40</w:t>
            </w:r>
            <w:r w:rsidR="005F606C" w:rsidRPr="00C34CEB">
              <w:rPr>
                <w:rFonts w:asciiTheme="minorHAnsi" w:eastAsia="Calibri" w:hAnsiTheme="minorHAnsi"/>
                <w:color w:val="auto"/>
                <w:sz w:val="18"/>
                <w:szCs w:val="18"/>
              </w:rPr>
              <w:t>⁰</w:t>
            </w:r>
          </w:p>
        </w:tc>
        <w:tc>
          <w:tcPr>
            <w:tcW w:w="2160" w:type="dxa"/>
            <w:vMerge w:val="restart"/>
          </w:tcPr>
          <w:p w:rsidR="005F606C" w:rsidRDefault="005F606C" w:rsidP="0056375A">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ROM decreased 20% voluntarily in flexion, extension, side bending and twisting.  This is the equivalent of flexion 72</w:t>
            </w:r>
            <w:r w:rsidRPr="00C34CEB">
              <w:rPr>
                <w:rFonts w:asciiTheme="minorHAnsi" w:eastAsia="Calibri" w:hAnsiTheme="minorHAnsi"/>
                <w:color w:val="auto"/>
                <w:sz w:val="18"/>
                <w:szCs w:val="18"/>
              </w:rPr>
              <w:t>⁰</w:t>
            </w:r>
            <w:r>
              <w:rPr>
                <w:rFonts w:asciiTheme="minorHAnsi" w:eastAsia="Calibri" w:hAnsiTheme="minorHAnsi"/>
                <w:color w:val="auto"/>
                <w:sz w:val="18"/>
                <w:szCs w:val="18"/>
              </w:rPr>
              <w:t>, extension 24</w:t>
            </w:r>
            <w:r w:rsidRPr="00C34CEB">
              <w:rPr>
                <w:rFonts w:asciiTheme="minorHAnsi" w:eastAsia="Calibri" w:hAnsiTheme="minorHAnsi"/>
                <w:color w:val="auto"/>
                <w:sz w:val="18"/>
                <w:szCs w:val="18"/>
              </w:rPr>
              <w:t>⁰</w:t>
            </w:r>
            <w:r>
              <w:rPr>
                <w:rFonts w:asciiTheme="minorHAnsi" w:eastAsia="Calibri" w:hAnsiTheme="minorHAnsi"/>
                <w:color w:val="auto"/>
                <w:sz w:val="18"/>
                <w:szCs w:val="18"/>
              </w:rPr>
              <w:t>, lateral flexion 24</w:t>
            </w:r>
            <w:r w:rsidRPr="00C34CEB">
              <w:rPr>
                <w:rFonts w:asciiTheme="minorHAnsi" w:eastAsia="Calibri" w:hAnsiTheme="minorHAnsi"/>
                <w:color w:val="auto"/>
                <w:sz w:val="18"/>
                <w:szCs w:val="18"/>
              </w:rPr>
              <w:t>⁰</w:t>
            </w:r>
            <w:r>
              <w:rPr>
                <w:rFonts w:asciiTheme="minorHAnsi" w:eastAsia="Calibri" w:hAnsiTheme="minorHAnsi"/>
                <w:color w:val="auto"/>
                <w:sz w:val="18"/>
                <w:szCs w:val="18"/>
              </w:rPr>
              <w:t xml:space="preserve"> (right and left), rotation 24</w:t>
            </w:r>
            <w:r w:rsidRPr="00C34CEB">
              <w:rPr>
                <w:rFonts w:asciiTheme="minorHAnsi" w:eastAsia="Calibri" w:hAnsiTheme="minorHAnsi"/>
                <w:color w:val="auto"/>
                <w:sz w:val="18"/>
                <w:szCs w:val="18"/>
              </w:rPr>
              <w:t>⁰</w:t>
            </w:r>
            <w:r>
              <w:rPr>
                <w:rFonts w:asciiTheme="minorHAnsi" w:eastAsia="Calibri" w:hAnsiTheme="minorHAnsi"/>
                <w:color w:val="auto"/>
                <w:sz w:val="18"/>
                <w:szCs w:val="18"/>
              </w:rPr>
              <w:t xml:space="preserve"> (right and left), and combined of 192</w:t>
            </w:r>
            <w:r w:rsidRPr="00C34CEB">
              <w:rPr>
                <w:rFonts w:asciiTheme="minorHAnsi" w:eastAsia="Calibri" w:hAnsiTheme="minorHAnsi"/>
                <w:color w:val="auto"/>
                <w:sz w:val="18"/>
                <w:szCs w:val="18"/>
              </w:rPr>
              <w:t>⁰</w:t>
            </w:r>
            <w:r>
              <w:rPr>
                <w:rFonts w:asciiTheme="minorHAnsi" w:eastAsia="Calibri" w:hAnsiTheme="minorHAnsi"/>
                <w:color w:val="auto"/>
                <w:sz w:val="18"/>
                <w:szCs w:val="18"/>
              </w:rPr>
              <w:t xml:space="preserve"> </w:t>
            </w:r>
          </w:p>
        </w:tc>
        <w:tc>
          <w:tcPr>
            <w:tcW w:w="1558" w:type="dxa"/>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40</w:t>
            </w:r>
            <w:r w:rsidRPr="00C34CEB">
              <w:rPr>
                <w:rFonts w:asciiTheme="minorHAnsi" w:eastAsia="Calibri" w:hAnsiTheme="minorHAnsi"/>
                <w:color w:val="auto"/>
                <w:sz w:val="18"/>
                <w:szCs w:val="18"/>
              </w:rPr>
              <w:t>⁰</w:t>
            </w:r>
          </w:p>
        </w:tc>
        <w:tc>
          <w:tcPr>
            <w:tcW w:w="1904" w:type="dxa"/>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75(74)</w:t>
            </w:r>
            <w:r w:rsidRPr="00C34CEB">
              <w:rPr>
                <w:rFonts w:asciiTheme="minorHAnsi" w:eastAsia="Calibri" w:hAnsiTheme="minorHAnsi"/>
                <w:color w:val="auto"/>
                <w:sz w:val="18"/>
                <w:szCs w:val="18"/>
              </w:rPr>
              <w:t>⁰</w:t>
            </w:r>
            <w:r>
              <w:rPr>
                <w:rFonts w:asciiTheme="minorHAnsi" w:eastAsia="Calibri" w:hAnsiTheme="minorHAnsi"/>
                <w:color w:val="auto"/>
                <w:sz w:val="18"/>
                <w:szCs w:val="18"/>
              </w:rPr>
              <w:t xml:space="preserve"> w/ pain</w:t>
            </w:r>
          </w:p>
        </w:tc>
      </w:tr>
      <w:tr w:rsidR="005F606C" w:rsidTr="005F606C">
        <w:trPr>
          <w:trHeight w:val="242"/>
          <w:jc w:val="center"/>
        </w:trPr>
        <w:tc>
          <w:tcPr>
            <w:tcW w:w="1839" w:type="dxa"/>
            <w:vAlign w:val="center"/>
          </w:tcPr>
          <w:p w:rsidR="005F606C" w:rsidRPr="00C34CEB" w:rsidRDefault="005F606C" w:rsidP="00351B70">
            <w:pPr>
              <w:pStyle w:val="ListParagraph"/>
              <w:spacing w:after="0" w:line="180" w:lineRule="exact"/>
              <w:ind w:left="0"/>
              <w:jc w:val="center"/>
              <w:rPr>
                <w:rFonts w:eastAsia="Calibri" w:cs="Times New Roman"/>
                <w:sz w:val="18"/>
                <w:szCs w:val="18"/>
              </w:rPr>
            </w:pPr>
            <w:r>
              <w:rPr>
                <w:rFonts w:eastAsia="Calibri" w:cs="Times New Roman"/>
                <w:sz w:val="18"/>
                <w:szCs w:val="18"/>
              </w:rPr>
              <w:t xml:space="preserve">extension </w:t>
            </w:r>
            <w:r w:rsidRPr="00C34CEB">
              <w:rPr>
                <w:rFonts w:eastAsia="Calibri" w:cs="Times New Roman"/>
                <w:sz w:val="18"/>
                <w:szCs w:val="18"/>
              </w:rPr>
              <w:t>(0-30)</w:t>
            </w:r>
          </w:p>
        </w:tc>
        <w:tc>
          <w:tcPr>
            <w:tcW w:w="1886" w:type="dxa"/>
            <w:vAlign w:val="center"/>
          </w:tcPr>
          <w:p w:rsidR="005F606C" w:rsidRPr="00C34CEB"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5</w:t>
            </w:r>
            <w:r w:rsidRPr="00C34CEB">
              <w:rPr>
                <w:rFonts w:asciiTheme="minorHAnsi" w:eastAsia="Calibri" w:hAnsiTheme="minorHAnsi"/>
                <w:color w:val="auto"/>
                <w:sz w:val="18"/>
                <w:szCs w:val="18"/>
              </w:rPr>
              <w:t>⁰</w:t>
            </w:r>
          </w:p>
        </w:tc>
        <w:tc>
          <w:tcPr>
            <w:tcW w:w="2160" w:type="dxa"/>
            <w:vMerge/>
          </w:tcPr>
          <w:p w:rsidR="005F606C" w:rsidRDefault="005F606C" w:rsidP="00351B70">
            <w:pPr>
              <w:spacing w:line="180" w:lineRule="exact"/>
              <w:contextualSpacing/>
              <w:jc w:val="center"/>
              <w:rPr>
                <w:rFonts w:asciiTheme="minorHAnsi" w:eastAsia="Calibri" w:hAnsiTheme="minorHAnsi"/>
                <w:color w:val="auto"/>
                <w:sz w:val="18"/>
                <w:szCs w:val="18"/>
              </w:rPr>
            </w:pPr>
          </w:p>
        </w:tc>
        <w:tc>
          <w:tcPr>
            <w:tcW w:w="1558" w:type="dxa"/>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5</w:t>
            </w:r>
            <w:r w:rsidRPr="00C34CEB">
              <w:rPr>
                <w:rFonts w:asciiTheme="minorHAnsi" w:eastAsia="Calibri" w:hAnsiTheme="minorHAnsi"/>
                <w:color w:val="auto"/>
                <w:sz w:val="18"/>
                <w:szCs w:val="18"/>
              </w:rPr>
              <w:t>⁰</w:t>
            </w:r>
          </w:p>
        </w:tc>
        <w:tc>
          <w:tcPr>
            <w:tcW w:w="1904" w:type="dxa"/>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30(32)</w:t>
            </w:r>
            <w:r w:rsidRPr="00C34CEB">
              <w:rPr>
                <w:rFonts w:asciiTheme="minorHAnsi" w:eastAsia="Calibri" w:hAnsiTheme="minorHAnsi"/>
                <w:color w:val="auto"/>
                <w:sz w:val="18"/>
                <w:szCs w:val="18"/>
              </w:rPr>
              <w:t>⁰</w:t>
            </w:r>
            <w:r>
              <w:rPr>
                <w:rFonts w:asciiTheme="minorHAnsi" w:eastAsia="Calibri" w:hAnsiTheme="minorHAnsi"/>
                <w:color w:val="auto"/>
                <w:sz w:val="18"/>
                <w:szCs w:val="18"/>
              </w:rPr>
              <w:t xml:space="preserve"> w/ pain</w:t>
            </w:r>
          </w:p>
        </w:tc>
      </w:tr>
      <w:tr w:rsidR="005F606C" w:rsidTr="005F606C">
        <w:trPr>
          <w:trHeight w:val="242"/>
          <w:jc w:val="center"/>
        </w:trPr>
        <w:tc>
          <w:tcPr>
            <w:tcW w:w="1839" w:type="dxa"/>
            <w:vAlign w:val="center"/>
          </w:tcPr>
          <w:p w:rsidR="005F606C" w:rsidRPr="00C34CEB" w:rsidRDefault="005F606C" w:rsidP="00351B70">
            <w:pPr>
              <w:pStyle w:val="ListParagraph"/>
              <w:spacing w:after="0" w:line="180" w:lineRule="exact"/>
              <w:ind w:left="0"/>
              <w:jc w:val="center"/>
              <w:rPr>
                <w:rFonts w:eastAsia="Calibri" w:cs="Times New Roman"/>
                <w:sz w:val="18"/>
                <w:szCs w:val="18"/>
              </w:rPr>
            </w:pPr>
            <w:r w:rsidRPr="00C34CEB">
              <w:rPr>
                <w:rFonts w:eastAsia="Calibri" w:cs="Times New Roman"/>
                <w:sz w:val="18"/>
                <w:szCs w:val="18"/>
              </w:rPr>
              <w:t>R Lat Flex (0-30)</w:t>
            </w:r>
          </w:p>
        </w:tc>
        <w:tc>
          <w:tcPr>
            <w:tcW w:w="1886" w:type="dxa"/>
            <w:vAlign w:val="center"/>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10</w:t>
            </w:r>
            <w:r w:rsidRPr="00C34CEB">
              <w:rPr>
                <w:rFonts w:asciiTheme="minorHAnsi" w:eastAsia="Calibri" w:hAnsiTheme="minorHAnsi"/>
                <w:color w:val="auto"/>
                <w:sz w:val="18"/>
                <w:szCs w:val="18"/>
              </w:rPr>
              <w:t>⁰</w:t>
            </w:r>
          </w:p>
        </w:tc>
        <w:tc>
          <w:tcPr>
            <w:tcW w:w="2160" w:type="dxa"/>
            <w:vMerge/>
          </w:tcPr>
          <w:p w:rsidR="005F606C" w:rsidRDefault="005F606C" w:rsidP="00351B70">
            <w:pPr>
              <w:spacing w:line="180" w:lineRule="exact"/>
              <w:contextualSpacing/>
              <w:jc w:val="center"/>
              <w:rPr>
                <w:rFonts w:asciiTheme="minorHAnsi" w:eastAsia="Calibri" w:hAnsiTheme="minorHAnsi"/>
                <w:color w:val="auto"/>
                <w:sz w:val="18"/>
                <w:szCs w:val="18"/>
              </w:rPr>
            </w:pPr>
          </w:p>
        </w:tc>
        <w:tc>
          <w:tcPr>
            <w:tcW w:w="1558" w:type="dxa"/>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10</w:t>
            </w:r>
            <w:r w:rsidRPr="00C34CEB">
              <w:rPr>
                <w:rFonts w:asciiTheme="minorHAnsi" w:eastAsia="Calibri" w:hAnsiTheme="minorHAnsi"/>
                <w:color w:val="auto"/>
                <w:sz w:val="18"/>
                <w:szCs w:val="18"/>
              </w:rPr>
              <w:t>⁰</w:t>
            </w:r>
          </w:p>
        </w:tc>
        <w:tc>
          <w:tcPr>
            <w:tcW w:w="1904" w:type="dxa"/>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30(29)</w:t>
            </w:r>
            <w:r w:rsidRPr="00C34CEB">
              <w:rPr>
                <w:rFonts w:asciiTheme="minorHAnsi" w:eastAsia="Calibri" w:hAnsiTheme="minorHAnsi"/>
                <w:color w:val="auto"/>
                <w:sz w:val="18"/>
                <w:szCs w:val="18"/>
              </w:rPr>
              <w:t>⁰</w:t>
            </w:r>
            <w:r>
              <w:rPr>
                <w:rFonts w:asciiTheme="minorHAnsi" w:eastAsia="Calibri" w:hAnsiTheme="minorHAnsi"/>
                <w:color w:val="auto"/>
                <w:sz w:val="18"/>
                <w:szCs w:val="18"/>
              </w:rPr>
              <w:t xml:space="preserve"> w/o pain</w:t>
            </w:r>
          </w:p>
        </w:tc>
      </w:tr>
      <w:tr w:rsidR="005F606C" w:rsidTr="005F606C">
        <w:trPr>
          <w:trHeight w:val="242"/>
          <w:jc w:val="center"/>
        </w:trPr>
        <w:tc>
          <w:tcPr>
            <w:tcW w:w="1839" w:type="dxa"/>
            <w:vAlign w:val="center"/>
          </w:tcPr>
          <w:p w:rsidR="005F606C" w:rsidRPr="00C34CEB" w:rsidRDefault="005F606C" w:rsidP="00351B70">
            <w:pPr>
              <w:pStyle w:val="ListParagraph"/>
              <w:spacing w:after="0" w:line="180" w:lineRule="exact"/>
              <w:ind w:left="0"/>
              <w:jc w:val="center"/>
              <w:rPr>
                <w:rFonts w:eastAsia="Calibri" w:cs="Times New Roman"/>
                <w:sz w:val="18"/>
                <w:szCs w:val="18"/>
              </w:rPr>
            </w:pPr>
            <w:r w:rsidRPr="00C34CEB">
              <w:rPr>
                <w:rFonts w:eastAsia="Calibri" w:cs="Times New Roman"/>
                <w:sz w:val="18"/>
                <w:szCs w:val="18"/>
              </w:rPr>
              <w:t xml:space="preserve">L Lat Flex </w:t>
            </w:r>
            <w:r>
              <w:rPr>
                <w:rFonts w:eastAsia="Calibri" w:cs="Times New Roman"/>
                <w:sz w:val="18"/>
                <w:szCs w:val="18"/>
              </w:rPr>
              <w:t>(</w:t>
            </w:r>
            <w:r w:rsidRPr="00C34CEB">
              <w:rPr>
                <w:rFonts w:eastAsia="Calibri" w:cs="Times New Roman"/>
                <w:sz w:val="18"/>
                <w:szCs w:val="18"/>
              </w:rPr>
              <w:t>0-30)</w:t>
            </w:r>
          </w:p>
        </w:tc>
        <w:tc>
          <w:tcPr>
            <w:tcW w:w="1886" w:type="dxa"/>
            <w:vAlign w:val="center"/>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10</w:t>
            </w:r>
            <w:r w:rsidRPr="00C34CEB">
              <w:rPr>
                <w:rFonts w:asciiTheme="minorHAnsi" w:eastAsia="Calibri" w:hAnsiTheme="minorHAnsi"/>
                <w:color w:val="auto"/>
                <w:sz w:val="18"/>
                <w:szCs w:val="18"/>
              </w:rPr>
              <w:t>⁰</w:t>
            </w:r>
          </w:p>
        </w:tc>
        <w:tc>
          <w:tcPr>
            <w:tcW w:w="2160" w:type="dxa"/>
            <w:vMerge/>
          </w:tcPr>
          <w:p w:rsidR="005F606C" w:rsidRDefault="005F606C" w:rsidP="00351B70">
            <w:pPr>
              <w:spacing w:line="180" w:lineRule="exact"/>
              <w:contextualSpacing/>
              <w:jc w:val="center"/>
              <w:rPr>
                <w:rFonts w:asciiTheme="minorHAnsi" w:eastAsia="Calibri" w:hAnsiTheme="minorHAnsi"/>
                <w:color w:val="auto"/>
                <w:sz w:val="18"/>
                <w:szCs w:val="18"/>
              </w:rPr>
            </w:pPr>
          </w:p>
        </w:tc>
        <w:tc>
          <w:tcPr>
            <w:tcW w:w="1558" w:type="dxa"/>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10</w:t>
            </w:r>
            <w:r w:rsidRPr="00C34CEB">
              <w:rPr>
                <w:rFonts w:asciiTheme="minorHAnsi" w:eastAsia="Calibri" w:hAnsiTheme="minorHAnsi"/>
                <w:color w:val="auto"/>
                <w:sz w:val="18"/>
                <w:szCs w:val="18"/>
              </w:rPr>
              <w:t>⁰</w:t>
            </w:r>
          </w:p>
        </w:tc>
        <w:tc>
          <w:tcPr>
            <w:tcW w:w="1904" w:type="dxa"/>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30(32)</w:t>
            </w:r>
            <w:r w:rsidRPr="00C34CEB">
              <w:rPr>
                <w:rFonts w:asciiTheme="minorHAnsi" w:eastAsia="Calibri" w:hAnsiTheme="minorHAnsi"/>
                <w:color w:val="auto"/>
                <w:sz w:val="18"/>
                <w:szCs w:val="18"/>
              </w:rPr>
              <w:t>⁰</w:t>
            </w:r>
            <w:r>
              <w:rPr>
                <w:rFonts w:asciiTheme="minorHAnsi" w:eastAsia="Calibri" w:hAnsiTheme="minorHAnsi"/>
                <w:color w:val="auto"/>
                <w:sz w:val="18"/>
                <w:szCs w:val="18"/>
              </w:rPr>
              <w:t xml:space="preserve"> w/o pain</w:t>
            </w:r>
          </w:p>
        </w:tc>
      </w:tr>
      <w:tr w:rsidR="005F606C" w:rsidTr="005F606C">
        <w:trPr>
          <w:trHeight w:val="242"/>
          <w:jc w:val="center"/>
        </w:trPr>
        <w:tc>
          <w:tcPr>
            <w:tcW w:w="1839" w:type="dxa"/>
            <w:vAlign w:val="center"/>
          </w:tcPr>
          <w:p w:rsidR="005F606C" w:rsidRPr="00C34CEB" w:rsidRDefault="005F606C" w:rsidP="00351B70">
            <w:pPr>
              <w:pStyle w:val="ListParagraph"/>
              <w:spacing w:after="0" w:line="180" w:lineRule="exact"/>
              <w:ind w:left="0"/>
              <w:jc w:val="center"/>
              <w:rPr>
                <w:rFonts w:eastAsia="Calibri" w:cs="Times New Roman"/>
                <w:sz w:val="18"/>
                <w:szCs w:val="18"/>
              </w:rPr>
            </w:pPr>
            <w:r w:rsidRPr="00C34CEB">
              <w:rPr>
                <w:rFonts w:eastAsia="Calibri" w:cs="Times New Roman"/>
                <w:sz w:val="18"/>
                <w:szCs w:val="18"/>
              </w:rPr>
              <w:t>R Rotation (0-30)</w:t>
            </w:r>
          </w:p>
        </w:tc>
        <w:tc>
          <w:tcPr>
            <w:tcW w:w="1886" w:type="dxa"/>
            <w:vAlign w:val="center"/>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Not documented</w:t>
            </w:r>
          </w:p>
        </w:tc>
        <w:tc>
          <w:tcPr>
            <w:tcW w:w="2160" w:type="dxa"/>
            <w:vMerge/>
          </w:tcPr>
          <w:p w:rsidR="005F606C" w:rsidRDefault="005F606C" w:rsidP="00351B70">
            <w:pPr>
              <w:spacing w:line="180" w:lineRule="exact"/>
              <w:contextualSpacing/>
              <w:jc w:val="center"/>
              <w:rPr>
                <w:rFonts w:asciiTheme="minorHAnsi" w:eastAsia="Calibri" w:hAnsiTheme="minorHAnsi"/>
                <w:color w:val="auto"/>
                <w:sz w:val="18"/>
                <w:szCs w:val="18"/>
              </w:rPr>
            </w:pPr>
          </w:p>
        </w:tc>
        <w:tc>
          <w:tcPr>
            <w:tcW w:w="1558" w:type="dxa"/>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20</w:t>
            </w:r>
            <w:r w:rsidRPr="00C34CEB">
              <w:rPr>
                <w:rFonts w:asciiTheme="minorHAnsi" w:eastAsia="Calibri" w:hAnsiTheme="minorHAnsi"/>
                <w:color w:val="auto"/>
                <w:sz w:val="18"/>
                <w:szCs w:val="18"/>
              </w:rPr>
              <w:t>⁰</w:t>
            </w:r>
          </w:p>
        </w:tc>
        <w:tc>
          <w:tcPr>
            <w:tcW w:w="1904" w:type="dxa"/>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30(32)</w:t>
            </w:r>
            <w:r w:rsidRPr="00C34CEB">
              <w:rPr>
                <w:rFonts w:asciiTheme="minorHAnsi" w:eastAsia="Calibri" w:hAnsiTheme="minorHAnsi"/>
                <w:color w:val="auto"/>
                <w:sz w:val="18"/>
                <w:szCs w:val="18"/>
              </w:rPr>
              <w:t>⁰</w:t>
            </w:r>
            <w:r>
              <w:rPr>
                <w:rFonts w:asciiTheme="minorHAnsi" w:eastAsia="Calibri" w:hAnsiTheme="minorHAnsi"/>
                <w:color w:val="auto"/>
                <w:sz w:val="18"/>
                <w:szCs w:val="18"/>
              </w:rPr>
              <w:t xml:space="preserve"> w/ pain</w:t>
            </w:r>
          </w:p>
        </w:tc>
      </w:tr>
      <w:tr w:rsidR="005F606C" w:rsidTr="005F606C">
        <w:trPr>
          <w:trHeight w:val="242"/>
          <w:jc w:val="center"/>
        </w:trPr>
        <w:tc>
          <w:tcPr>
            <w:tcW w:w="1839" w:type="dxa"/>
            <w:vAlign w:val="center"/>
          </w:tcPr>
          <w:p w:rsidR="005F606C" w:rsidRPr="00C34CEB" w:rsidRDefault="005F606C" w:rsidP="00351B70">
            <w:pPr>
              <w:pStyle w:val="ListParagraph"/>
              <w:spacing w:after="0" w:line="180" w:lineRule="exact"/>
              <w:ind w:left="0"/>
              <w:jc w:val="center"/>
              <w:rPr>
                <w:rFonts w:eastAsia="Calibri" w:cs="Times New Roman"/>
                <w:sz w:val="18"/>
                <w:szCs w:val="18"/>
              </w:rPr>
            </w:pPr>
            <w:r w:rsidRPr="00C34CEB">
              <w:rPr>
                <w:rFonts w:eastAsia="Calibri" w:cs="Times New Roman"/>
                <w:sz w:val="18"/>
                <w:szCs w:val="18"/>
              </w:rPr>
              <w:t>L Rotation (0-30)</w:t>
            </w:r>
          </w:p>
        </w:tc>
        <w:tc>
          <w:tcPr>
            <w:tcW w:w="1886" w:type="dxa"/>
            <w:vAlign w:val="center"/>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Not documented</w:t>
            </w:r>
          </w:p>
        </w:tc>
        <w:tc>
          <w:tcPr>
            <w:tcW w:w="2160" w:type="dxa"/>
            <w:vMerge/>
          </w:tcPr>
          <w:p w:rsidR="005F606C" w:rsidRDefault="005F606C" w:rsidP="00351B70">
            <w:pPr>
              <w:spacing w:line="180" w:lineRule="exact"/>
              <w:contextualSpacing/>
              <w:jc w:val="center"/>
              <w:rPr>
                <w:rFonts w:asciiTheme="minorHAnsi" w:eastAsia="Calibri" w:hAnsiTheme="minorHAnsi"/>
                <w:color w:val="auto"/>
                <w:sz w:val="18"/>
                <w:szCs w:val="18"/>
              </w:rPr>
            </w:pPr>
          </w:p>
        </w:tc>
        <w:tc>
          <w:tcPr>
            <w:tcW w:w="1558" w:type="dxa"/>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20</w:t>
            </w:r>
            <w:r w:rsidRPr="00C34CEB">
              <w:rPr>
                <w:rFonts w:asciiTheme="minorHAnsi" w:eastAsia="Calibri" w:hAnsiTheme="minorHAnsi"/>
                <w:color w:val="auto"/>
                <w:sz w:val="18"/>
                <w:szCs w:val="18"/>
              </w:rPr>
              <w:t>⁰</w:t>
            </w:r>
          </w:p>
        </w:tc>
        <w:tc>
          <w:tcPr>
            <w:tcW w:w="1904" w:type="dxa"/>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35</w:t>
            </w:r>
            <w:r w:rsidRPr="00C34CEB">
              <w:rPr>
                <w:rFonts w:asciiTheme="minorHAnsi" w:eastAsia="Calibri" w:hAnsiTheme="minorHAnsi"/>
                <w:color w:val="auto"/>
                <w:sz w:val="18"/>
                <w:szCs w:val="18"/>
              </w:rPr>
              <w:t>⁰</w:t>
            </w:r>
            <w:r>
              <w:rPr>
                <w:rFonts w:asciiTheme="minorHAnsi" w:eastAsia="Calibri" w:hAnsiTheme="minorHAnsi"/>
                <w:color w:val="auto"/>
                <w:sz w:val="18"/>
                <w:szCs w:val="18"/>
              </w:rPr>
              <w:t xml:space="preserve"> w/o pain</w:t>
            </w:r>
          </w:p>
        </w:tc>
      </w:tr>
      <w:tr w:rsidR="005F606C" w:rsidTr="005F606C">
        <w:trPr>
          <w:trHeight w:val="242"/>
          <w:jc w:val="center"/>
        </w:trPr>
        <w:tc>
          <w:tcPr>
            <w:tcW w:w="1839" w:type="dxa"/>
            <w:vAlign w:val="center"/>
          </w:tcPr>
          <w:p w:rsidR="005F606C" w:rsidRPr="00C34CEB" w:rsidRDefault="005F606C" w:rsidP="005F606C">
            <w:pPr>
              <w:pStyle w:val="ListParagraph"/>
              <w:spacing w:after="0" w:line="180" w:lineRule="exact"/>
              <w:ind w:left="0"/>
              <w:jc w:val="center"/>
              <w:rPr>
                <w:rFonts w:eastAsia="Calibri" w:cs="Times New Roman"/>
                <w:sz w:val="18"/>
                <w:szCs w:val="18"/>
              </w:rPr>
            </w:pPr>
            <w:r w:rsidRPr="00C34CEB">
              <w:rPr>
                <w:rFonts w:eastAsia="Calibri" w:cs="Times New Roman"/>
                <w:sz w:val="18"/>
                <w:szCs w:val="18"/>
              </w:rPr>
              <w:t>C</w:t>
            </w:r>
            <w:r>
              <w:rPr>
                <w:rFonts w:eastAsia="Calibri" w:cs="Times New Roman"/>
                <w:sz w:val="18"/>
                <w:szCs w:val="18"/>
              </w:rPr>
              <w:t>ombined</w:t>
            </w:r>
            <w:r w:rsidRPr="00C34CEB">
              <w:rPr>
                <w:rFonts w:eastAsia="Calibri" w:cs="Times New Roman"/>
                <w:sz w:val="18"/>
                <w:szCs w:val="18"/>
              </w:rPr>
              <w:t xml:space="preserve"> (240)</w:t>
            </w:r>
          </w:p>
        </w:tc>
        <w:tc>
          <w:tcPr>
            <w:tcW w:w="1886" w:type="dxa"/>
            <w:vAlign w:val="center"/>
          </w:tcPr>
          <w:p w:rsidR="005F606C" w:rsidRDefault="005F606C" w:rsidP="00351B70">
            <w:pPr>
              <w:spacing w:line="180" w:lineRule="exact"/>
              <w:contextualSpacing/>
              <w:jc w:val="center"/>
              <w:rPr>
                <w:rFonts w:asciiTheme="minorHAnsi" w:eastAsia="Calibri" w:hAnsiTheme="minorHAnsi"/>
                <w:color w:val="auto"/>
                <w:sz w:val="18"/>
                <w:szCs w:val="18"/>
              </w:rPr>
            </w:pPr>
          </w:p>
        </w:tc>
        <w:tc>
          <w:tcPr>
            <w:tcW w:w="2160" w:type="dxa"/>
            <w:vMerge/>
          </w:tcPr>
          <w:p w:rsidR="005F606C" w:rsidRDefault="005F606C" w:rsidP="00351B70">
            <w:pPr>
              <w:spacing w:line="180" w:lineRule="exact"/>
              <w:contextualSpacing/>
              <w:jc w:val="center"/>
              <w:rPr>
                <w:rFonts w:asciiTheme="minorHAnsi" w:eastAsia="Calibri" w:hAnsiTheme="minorHAnsi"/>
                <w:color w:val="auto"/>
                <w:sz w:val="18"/>
                <w:szCs w:val="18"/>
              </w:rPr>
            </w:pPr>
          </w:p>
        </w:tc>
        <w:tc>
          <w:tcPr>
            <w:tcW w:w="1558" w:type="dxa"/>
          </w:tcPr>
          <w:p w:rsidR="005F606C" w:rsidRDefault="005F606C" w:rsidP="00351B70">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105</w:t>
            </w:r>
            <w:r w:rsidRPr="00C34CEB">
              <w:rPr>
                <w:rFonts w:asciiTheme="minorHAnsi" w:eastAsia="Calibri" w:hAnsiTheme="minorHAnsi"/>
                <w:color w:val="auto"/>
                <w:sz w:val="18"/>
                <w:szCs w:val="18"/>
              </w:rPr>
              <w:t>⁰</w:t>
            </w:r>
          </w:p>
        </w:tc>
        <w:tc>
          <w:tcPr>
            <w:tcW w:w="1904" w:type="dxa"/>
          </w:tcPr>
          <w:p w:rsidR="005F606C" w:rsidRDefault="005F606C" w:rsidP="001E7CD5">
            <w:pPr>
              <w:spacing w:line="180" w:lineRule="exact"/>
              <w:contextualSpacing/>
              <w:jc w:val="center"/>
              <w:rPr>
                <w:rFonts w:asciiTheme="minorHAnsi" w:eastAsia="Calibri" w:hAnsiTheme="minorHAnsi"/>
                <w:color w:val="auto"/>
                <w:sz w:val="18"/>
                <w:szCs w:val="18"/>
              </w:rPr>
            </w:pPr>
            <w:r>
              <w:rPr>
                <w:rFonts w:asciiTheme="minorHAnsi" w:eastAsia="Calibri" w:hAnsiTheme="minorHAnsi"/>
                <w:color w:val="auto"/>
                <w:sz w:val="18"/>
                <w:szCs w:val="18"/>
              </w:rPr>
              <w:t>2</w:t>
            </w:r>
            <w:r w:rsidR="001E7CD5">
              <w:rPr>
                <w:rFonts w:asciiTheme="minorHAnsi" w:eastAsia="Calibri" w:hAnsiTheme="minorHAnsi"/>
                <w:color w:val="auto"/>
                <w:sz w:val="18"/>
                <w:szCs w:val="18"/>
              </w:rPr>
              <w:t>25</w:t>
            </w:r>
            <w:r w:rsidRPr="00C34CEB">
              <w:rPr>
                <w:rFonts w:asciiTheme="minorHAnsi" w:eastAsia="Calibri" w:hAnsiTheme="minorHAnsi"/>
                <w:color w:val="auto"/>
                <w:sz w:val="18"/>
                <w:szCs w:val="18"/>
              </w:rPr>
              <w:t>⁰</w:t>
            </w:r>
          </w:p>
        </w:tc>
      </w:tr>
      <w:tr w:rsidR="005F606C" w:rsidRPr="00C34CEB" w:rsidTr="005F606C">
        <w:trPr>
          <w:trHeight w:val="233"/>
          <w:jc w:val="center"/>
        </w:trPr>
        <w:tc>
          <w:tcPr>
            <w:tcW w:w="1839" w:type="dxa"/>
            <w:vAlign w:val="center"/>
          </w:tcPr>
          <w:p w:rsidR="005F606C" w:rsidRPr="00C34CEB" w:rsidRDefault="005F606C" w:rsidP="00351B70">
            <w:pPr>
              <w:pStyle w:val="ListParagraph"/>
              <w:spacing w:after="0" w:line="180" w:lineRule="exact"/>
              <w:ind w:left="0"/>
              <w:jc w:val="center"/>
              <w:rPr>
                <w:rFonts w:eastAsia="Calibri" w:cs="Times New Roman"/>
                <w:sz w:val="18"/>
                <w:szCs w:val="18"/>
              </w:rPr>
            </w:pPr>
            <w:r w:rsidRPr="00C34CEB">
              <w:rPr>
                <w:rFonts w:eastAsia="Calibri" w:cs="Times New Roman"/>
                <w:sz w:val="18"/>
                <w:szCs w:val="18"/>
              </w:rPr>
              <w:t>Comment</w:t>
            </w:r>
          </w:p>
        </w:tc>
        <w:tc>
          <w:tcPr>
            <w:tcW w:w="1886" w:type="dxa"/>
            <w:vAlign w:val="center"/>
          </w:tcPr>
          <w:p w:rsidR="005F606C" w:rsidRPr="00C34CEB" w:rsidRDefault="005F606C" w:rsidP="001E7CD5">
            <w:pPr>
              <w:tabs>
                <w:tab w:val="left" w:pos="288"/>
                <w:tab w:val="left" w:pos="4752"/>
              </w:tabs>
              <w:spacing w:line="180" w:lineRule="exact"/>
              <w:rPr>
                <w:rFonts w:asciiTheme="minorHAnsi" w:eastAsiaTheme="minorHAnsi" w:hAnsiTheme="minorHAnsi"/>
                <w:color w:val="auto"/>
                <w:sz w:val="18"/>
                <w:szCs w:val="18"/>
              </w:rPr>
            </w:pPr>
            <w:r>
              <w:rPr>
                <w:rFonts w:asciiTheme="minorHAnsi" w:eastAsiaTheme="minorHAnsi" w:hAnsiTheme="minorHAnsi"/>
                <w:color w:val="auto"/>
                <w:sz w:val="18"/>
                <w:szCs w:val="18"/>
              </w:rPr>
              <w:t xml:space="preserve"> </w:t>
            </w:r>
            <w:r w:rsidR="001E7CD5">
              <w:rPr>
                <w:rFonts w:asciiTheme="minorHAnsi" w:eastAsiaTheme="minorHAnsi" w:hAnsiTheme="minorHAnsi"/>
                <w:color w:val="auto"/>
                <w:sz w:val="18"/>
                <w:szCs w:val="18"/>
              </w:rPr>
              <w:t>Tender, no muscle spasm</w:t>
            </w:r>
          </w:p>
        </w:tc>
        <w:tc>
          <w:tcPr>
            <w:tcW w:w="2160" w:type="dxa"/>
          </w:tcPr>
          <w:p w:rsidR="005F606C" w:rsidRPr="00C34CEB" w:rsidRDefault="005F606C" w:rsidP="00351B70">
            <w:pPr>
              <w:tabs>
                <w:tab w:val="left" w:pos="288"/>
                <w:tab w:val="left" w:pos="4752"/>
              </w:tabs>
              <w:spacing w:line="180" w:lineRule="exact"/>
              <w:rPr>
                <w:rFonts w:asciiTheme="minorHAnsi" w:eastAsiaTheme="minorHAnsi" w:hAnsiTheme="minorHAnsi"/>
                <w:color w:val="auto"/>
                <w:sz w:val="18"/>
                <w:szCs w:val="18"/>
              </w:rPr>
            </w:pPr>
          </w:p>
        </w:tc>
        <w:tc>
          <w:tcPr>
            <w:tcW w:w="1558" w:type="dxa"/>
          </w:tcPr>
          <w:p w:rsidR="005F606C" w:rsidRDefault="0076635A" w:rsidP="00351B70">
            <w:pPr>
              <w:tabs>
                <w:tab w:val="left" w:pos="288"/>
                <w:tab w:val="left" w:pos="4752"/>
              </w:tabs>
              <w:spacing w:line="180" w:lineRule="exact"/>
              <w:rPr>
                <w:rFonts w:asciiTheme="minorHAnsi" w:eastAsiaTheme="minorHAnsi" w:hAnsiTheme="minorHAnsi"/>
                <w:color w:val="auto"/>
                <w:sz w:val="18"/>
                <w:szCs w:val="18"/>
              </w:rPr>
            </w:pPr>
            <w:r>
              <w:rPr>
                <w:rFonts w:asciiTheme="minorHAnsi" w:eastAsiaTheme="minorHAnsi" w:hAnsiTheme="minorHAnsi"/>
                <w:color w:val="auto"/>
                <w:sz w:val="18"/>
                <w:szCs w:val="18"/>
              </w:rPr>
              <w:t>Antalgic gait</w:t>
            </w:r>
          </w:p>
        </w:tc>
        <w:tc>
          <w:tcPr>
            <w:tcW w:w="1904" w:type="dxa"/>
          </w:tcPr>
          <w:p w:rsidR="005F606C" w:rsidRPr="00C34CEB" w:rsidRDefault="005F606C" w:rsidP="00351B70">
            <w:pPr>
              <w:tabs>
                <w:tab w:val="left" w:pos="288"/>
                <w:tab w:val="left" w:pos="4752"/>
              </w:tabs>
              <w:spacing w:line="180" w:lineRule="exact"/>
              <w:rPr>
                <w:rFonts w:asciiTheme="minorHAnsi" w:eastAsiaTheme="minorHAnsi" w:hAnsiTheme="minorHAnsi"/>
                <w:color w:val="auto"/>
                <w:sz w:val="18"/>
                <w:szCs w:val="18"/>
              </w:rPr>
            </w:pPr>
            <w:r>
              <w:rPr>
                <w:rFonts w:asciiTheme="minorHAnsi" w:eastAsiaTheme="minorHAnsi" w:hAnsiTheme="minorHAnsi"/>
                <w:color w:val="auto"/>
                <w:sz w:val="18"/>
                <w:szCs w:val="18"/>
              </w:rPr>
              <w:t>DeLuca negative</w:t>
            </w:r>
          </w:p>
        </w:tc>
      </w:tr>
      <w:tr w:rsidR="005F606C" w:rsidTr="005F606C">
        <w:trPr>
          <w:trHeight w:val="233"/>
          <w:jc w:val="center"/>
        </w:trPr>
        <w:tc>
          <w:tcPr>
            <w:tcW w:w="1839" w:type="dxa"/>
            <w:vAlign w:val="center"/>
          </w:tcPr>
          <w:p w:rsidR="005F606C" w:rsidRPr="00C34CEB" w:rsidRDefault="005F606C" w:rsidP="00351B70">
            <w:pPr>
              <w:pStyle w:val="ListParagraph"/>
              <w:spacing w:after="0" w:line="180" w:lineRule="exact"/>
              <w:ind w:left="0"/>
              <w:jc w:val="center"/>
              <w:rPr>
                <w:rFonts w:eastAsia="Calibri" w:cs="Times New Roman"/>
                <w:sz w:val="18"/>
                <w:szCs w:val="18"/>
              </w:rPr>
            </w:pPr>
            <w:r w:rsidRPr="00C34CEB">
              <w:rPr>
                <w:rFonts w:eastAsia="Calibri" w:cs="Times New Roman"/>
                <w:sz w:val="18"/>
                <w:szCs w:val="18"/>
              </w:rPr>
              <w:t>§4.71a Rating</w:t>
            </w:r>
          </w:p>
        </w:tc>
        <w:tc>
          <w:tcPr>
            <w:tcW w:w="1886" w:type="dxa"/>
            <w:vAlign w:val="center"/>
          </w:tcPr>
          <w:p w:rsidR="005F606C" w:rsidRPr="00C34CEB" w:rsidRDefault="001E7CD5" w:rsidP="0076635A">
            <w:pPr>
              <w:tabs>
                <w:tab w:val="left" w:pos="288"/>
                <w:tab w:val="left" w:pos="4752"/>
              </w:tabs>
              <w:spacing w:line="180" w:lineRule="exact"/>
              <w:jc w:val="center"/>
              <w:rPr>
                <w:rFonts w:asciiTheme="minorHAnsi" w:eastAsiaTheme="minorHAnsi" w:hAnsiTheme="minorHAnsi"/>
                <w:color w:val="auto"/>
                <w:sz w:val="18"/>
                <w:szCs w:val="18"/>
              </w:rPr>
            </w:pPr>
            <w:r>
              <w:rPr>
                <w:rFonts w:asciiTheme="minorHAnsi" w:eastAsiaTheme="minorHAnsi" w:hAnsiTheme="minorHAnsi"/>
                <w:color w:val="auto"/>
                <w:sz w:val="18"/>
                <w:szCs w:val="18"/>
              </w:rPr>
              <w:t>*</w:t>
            </w:r>
          </w:p>
        </w:tc>
        <w:tc>
          <w:tcPr>
            <w:tcW w:w="2160" w:type="dxa"/>
          </w:tcPr>
          <w:p w:rsidR="005F606C" w:rsidRDefault="005F606C" w:rsidP="00351B70">
            <w:pPr>
              <w:tabs>
                <w:tab w:val="left" w:pos="288"/>
                <w:tab w:val="left" w:pos="4752"/>
              </w:tabs>
              <w:spacing w:line="180" w:lineRule="exact"/>
              <w:jc w:val="center"/>
              <w:rPr>
                <w:rFonts w:asciiTheme="minorHAnsi" w:eastAsiaTheme="minorHAnsi" w:hAnsiTheme="minorHAnsi"/>
                <w:color w:val="auto"/>
                <w:sz w:val="18"/>
                <w:szCs w:val="18"/>
              </w:rPr>
            </w:pPr>
            <w:r>
              <w:rPr>
                <w:rFonts w:asciiTheme="minorHAnsi" w:eastAsiaTheme="minorHAnsi" w:hAnsiTheme="minorHAnsi"/>
                <w:color w:val="auto"/>
                <w:sz w:val="18"/>
                <w:szCs w:val="18"/>
              </w:rPr>
              <w:t>10%</w:t>
            </w:r>
          </w:p>
        </w:tc>
        <w:tc>
          <w:tcPr>
            <w:tcW w:w="1558" w:type="dxa"/>
          </w:tcPr>
          <w:p w:rsidR="005F606C" w:rsidRDefault="005F606C" w:rsidP="00351B70">
            <w:pPr>
              <w:tabs>
                <w:tab w:val="left" w:pos="288"/>
                <w:tab w:val="left" w:pos="4752"/>
              </w:tabs>
              <w:spacing w:line="180" w:lineRule="exact"/>
              <w:jc w:val="center"/>
              <w:rPr>
                <w:rFonts w:asciiTheme="minorHAnsi" w:eastAsiaTheme="minorHAnsi" w:hAnsiTheme="minorHAnsi"/>
                <w:color w:val="auto"/>
                <w:sz w:val="18"/>
                <w:szCs w:val="18"/>
              </w:rPr>
            </w:pPr>
            <w:r>
              <w:rPr>
                <w:rFonts w:asciiTheme="minorHAnsi" w:eastAsiaTheme="minorHAnsi" w:hAnsiTheme="minorHAnsi"/>
                <w:color w:val="auto"/>
                <w:sz w:val="18"/>
                <w:szCs w:val="18"/>
              </w:rPr>
              <w:t>20%</w:t>
            </w:r>
          </w:p>
        </w:tc>
        <w:tc>
          <w:tcPr>
            <w:tcW w:w="1904" w:type="dxa"/>
          </w:tcPr>
          <w:p w:rsidR="005F606C" w:rsidRDefault="005F606C" w:rsidP="00351B70">
            <w:pPr>
              <w:tabs>
                <w:tab w:val="left" w:pos="288"/>
                <w:tab w:val="left" w:pos="4752"/>
              </w:tabs>
              <w:spacing w:line="180" w:lineRule="exact"/>
              <w:jc w:val="center"/>
              <w:rPr>
                <w:rFonts w:asciiTheme="minorHAnsi" w:eastAsiaTheme="minorHAnsi" w:hAnsiTheme="minorHAnsi"/>
                <w:color w:val="auto"/>
                <w:sz w:val="18"/>
                <w:szCs w:val="18"/>
              </w:rPr>
            </w:pPr>
            <w:r>
              <w:rPr>
                <w:rFonts w:asciiTheme="minorHAnsi" w:eastAsiaTheme="minorHAnsi" w:hAnsiTheme="minorHAnsi"/>
                <w:color w:val="auto"/>
                <w:sz w:val="18"/>
                <w:szCs w:val="18"/>
              </w:rPr>
              <w:t>10%</w:t>
            </w:r>
          </w:p>
        </w:tc>
      </w:tr>
    </w:tbl>
    <w:p w:rsidR="001E7CD5" w:rsidRDefault="001E7CD5" w:rsidP="001E7CD5">
      <w:pPr>
        <w:tabs>
          <w:tab w:val="left" w:pos="288"/>
          <w:tab w:val="left" w:pos="4752"/>
        </w:tabs>
        <w:spacing w:line="180" w:lineRule="exact"/>
        <w:rPr>
          <w:rFonts w:asciiTheme="minorHAnsi" w:eastAsiaTheme="minorHAnsi" w:hAnsiTheme="minorHAnsi"/>
          <w:color w:val="auto"/>
          <w:sz w:val="18"/>
          <w:szCs w:val="18"/>
        </w:rPr>
      </w:pPr>
      <w:r w:rsidRPr="00974663">
        <w:rPr>
          <w:rFonts w:asciiTheme="minorHAnsi" w:eastAsiaTheme="minorHAnsi" w:hAnsiTheme="minorHAnsi"/>
          <w:color w:val="auto"/>
          <w:sz w:val="18"/>
          <w:szCs w:val="18"/>
        </w:rPr>
        <w:t xml:space="preserve">*Civilian neurosurgeon’s ROM </w:t>
      </w:r>
      <w:r w:rsidR="00C87C05" w:rsidRPr="00974663">
        <w:rPr>
          <w:rFonts w:asciiTheme="minorHAnsi" w:eastAsiaTheme="minorHAnsi" w:hAnsiTheme="minorHAnsi"/>
          <w:color w:val="auto"/>
          <w:sz w:val="18"/>
          <w:szCs w:val="18"/>
        </w:rPr>
        <w:t xml:space="preserve">stated to be </w:t>
      </w:r>
      <w:r w:rsidRPr="00974663">
        <w:rPr>
          <w:rFonts w:asciiTheme="minorHAnsi" w:eastAsiaTheme="minorHAnsi" w:hAnsiTheme="minorHAnsi"/>
          <w:color w:val="auto"/>
          <w:sz w:val="18"/>
          <w:szCs w:val="18"/>
        </w:rPr>
        <w:t>of lumbar</w:t>
      </w:r>
      <w:r w:rsidR="00C87C05" w:rsidRPr="00974663">
        <w:rPr>
          <w:rFonts w:asciiTheme="minorHAnsi" w:eastAsiaTheme="minorHAnsi" w:hAnsiTheme="minorHAnsi"/>
          <w:color w:val="auto"/>
          <w:sz w:val="18"/>
          <w:szCs w:val="18"/>
        </w:rPr>
        <w:t xml:space="preserve"> spine, not thoracolumbar spine.</w:t>
      </w:r>
    </w:p>
    <w:p w:rsidR="00F80B30" w:rsidRDefault="00F80B30" w:rsidP="00F80B30">
      <w:pPr>
        <w:spacing w:line="240" w:lineRule="exact"/>
        <w:jc w:val="both"/>
        <w:rPr>
          <w:rFonts w:asciiTheme="minorHAnsi" w:hAnsiTheme="minorHAnsi"/>
          <w:color w:val="auto"/>
          <w:szCs w:val="24"/>
        </w:rPr>
      </w:pPr>
    </w:p>
    <w:p w:rsidR="00B970D8" w:rsidRPr="00EC2641" w:rsidRDefault="00897476" w:rsidP="0023408C">
      <w:pPr>
        <w:spacing w:line="240" w:lineRule="exact"/>
        <w:jc w:val="both"/>
        <w:rPr>
          <w:rFonts w:cs="Calibri"/>
          <w:color w:val="auto"/>
          <w:szCs w:val="24"/>
        </w:rPr>
      </w:pPr>
      <w:r>
        <w:rPr>
          <w:rFonts w:asciiTheme="minorHAnsi" w:hAnsiTheme="minorHAnsi"/>
          <w:color w:val="auto"/>
          <w:szCs w:val="24"/>
        </w:rPr>
        <w:t xml:space="preserve">On 7 July 2004, the CI injured his </w:t>
      </w:r>
      <w:r w:rsidRPr="0023408C">
        <w:rPr>
          <w:rFonts w:asciiTheme="minorHAnsi" w:hAnsiTheme="minorHAnsi"/>
          <w:color w:val="auto"/>
          <w:szCs w:val="24"/>
        </w:rPr>
        <w:t xml:space="preserve">back at </w:t>
      </w:r>
      <w:r w:rsidR="0023408C" w:rsidRPr="0023408C">
        <w:rPr>
          <w:rFonts w:asciiTheme="minorHAnsi" w:hAnsiTheme="minorHAnsi"/>
          <w:color w:val="auto"/>
          <w:szCs w:val="24"/>
        </w:rPr>
        <w:t xml:space="preserve">work </w:t>
      </w:r>
      <w:r w:rsidRPr="0023408C">
        <w:rPr>
          <w:rFonts w:asciiTheme="minorHAnsi" w:hAnsiTheme="minorHAnsi"/>
          <w:color w:val="auto"/>
          <w:szCs w:val="24"/>
        </w:rPr>
        <w:t>and</w:t>
      </w:r>
      <w:r>
        <w:rPr>
          <w:rFonts w:asciiTheme="minorHAnsi" w:hAnsiTheme="minorHAnsi"/>
          <w:color w:val="auto"/>
          <w:szCs w:val="24"/>
        </w:rPr>
        <w:t xml:space="preserve"> developed back pain </w:t>
      </w:r>
      <w:r w:rsidR="0023408C">
        <w:rPr>
          <w:rFonts w:asciiTheme="minorHAnsi" w:hAnsiTheme="minorHAnsi"/>
          <w:color w:val="auto"/>
          <w:szCs w:val="24"/>
        </w:rPr>
        <w:t xml:space="preserve">which </w:t>
      </w:r>
      <w:r>
        <w:rPr>
          <w:rFonts w:asciiTheme="minorHAnsi" w:hAnsiTheme="minorHAnsi"/>
          <w:color w:val="auto"/>
          <w:szCs w:val="24"/>
        </w:rPr>
        <w:t>radiat</w:t>
      </w:r>
      <w:r w:rsidR="0023408C">
        <w:rPr>
          <w:rFonts w:asciiTheme="minorHAnsi" w:hAnsiTheme="minorHAnsi"/>
          <w:color w:val="auto"/>
          <w:szCs w:val="24"/>
        </w:rPr>
        <w:t>ed down the right leg with</w:t>
      </w:r>
      <w:r>
        <w:rPr>
          <w:rFonts w:asciiTheme="minorHAnsi" w:hAnsiTheme="minorHAnsi"/>
          <w:color w:val="auto"/>
          <w:szCs w:val="24"/>
        </w:rPr>
        <w:t xml:space="preserve"> numbness in the feet.  The radicular symptoms largely resolved</w:t>
      </w:r>
      <w:r w:rsidR="00261CDC">
        <w:rPr>
          <w:rFonts w:asciiTheme="minorHAnsi" w:hAnsiTheme="minorHAnsi"/>
          <w:color w:val="auto"/>
          <w:szCs w:val="24"/>
        </w:rPr>
        <w:t>,</w:t>
      </w:r>
      <w:r>
        <w:rPr>
          <w:rFonts w:asciiTheme="minorHAnsi" w:hAnsiTheme="minorHAnsi"/>
          <w:color w:val="auto"/>
          <w:szCs w:val="24"/>
        </w:rPr>
        <w:t xml:space="preserve"> but back pain persisted with occasional radiation to the right leg with numbness.  Conservative management including medications, physical therapy, chiropractic therapy and epidural steroid injections were inadequate.  Imaging showed a L4 pars defect with minimal spondylolisthesis.  A </w:t>
      </w:r>
      <w:r w:rsidR="00BB2E3F">
        <w:rPr>
          <w:rFonts w:asciiTheme="minorHAnsi" w:hAnsiTheme="minorHAnsi"/>
          <w:color w:val="auto"/>
          <w:szCs w:val="24"/>
        </w:rPr>
        <w:t xml:space="preserve">magnetic resonance imaging </w:t>
      </w:r>
      <w:r>
        <w:rPr>
          <w:rFonts w:asciiTheme="minorHAnsi" w:hAnsiTheme="minorHAnsi"/>
          <w:color w:val="auto"/>
          <w:szCs w:val="24"/>
        </w:rPr>
        <w:t>revealed minimal L5-S1 central protrusion and increased T2 intensity of the right L-5 facet joint.  A</w:t>
      </w:r>
      <w:r w:rsidR="00BB2E3F">
        <w:rPr>
          <w:rFonts w:asciiTheme="minorHAnsi" w:hAnsiTheme="minorHAnsi"/>
          <w:color w:val="auto"/>
          <w:szCs w:val="24"/>
        </w:rPr>
        <w:t xml:space="preserve"> c</w:t>
      </w:r>
      <w:r w:rsidR="00BB2E3F" w:rsidRPr="00BB2E3F">
        <w:rPr>
          <w:rFonts w:asciiTheme="minorHAnsi" w:hAnsiTheme="minorHAnsi"/>
          <w:bCs/>
          <w:color w:val="auto"/>
          <w:szCs w:val="24"/>
        </w:rPr>
        <w:t>computed tomography</w:t>
      </w:r>
      <w:r w:rsidR="00BB2E3F">
        <w:rPr>
          <w:rFonts w:asciiTheme="minorHAnsi" w:hAnsiTheme="minorHAnsi"/>
          <w:bCs/>
          <w:color w:val="auto"/>
          <w:szCs w:val="24"/>
        </w:rPr>
        <w:t xml:space="preserve"> </w:t>
      </w:r>
      <w:r>
        <w:rPr>
          <w:rFonts w:asciiTheme="minorHAnsi" w:hAnsiTheme="minorHAnsi"/>
          <w:color w:val="auto"/>
          <w:szCs w:val="24"/>
        </w:rPr>
        <w:t>myelogram showed bilateral L4 pars defect and mild disc bulges at L3-4 and L4-5 as well as L5-S1 mild degenerative changes.  Compression of a nerve root was not shown.  A spinal fusion procedure was recommended, but declined by the CI.</w:t>
      </w:r>
      <w:r w:rsidR="00B970D8">
        <w:rPr>
          <w:rFonts w:asciiTheme="minorHAnsi" w:hAnsiTheme="minorHAnsi"/>
          <w:color w:val="auto"/>
          <w:szCs w:val="24"/>
        </w:rPr>
        <w:t xml:space="preserve">  </w:t>
      </w:r>
      <w:r w:rsidR="00B6542F">
        <w:rPr>
          <w:rFonts w:asciiTheme="minorHAnsi" w:hAnsiTheme="minorHAnsi"/>
          <w:color w:val="auto"/>
          <w:szCs w:val="24"/>
        </w:rPr>
        <w:t xml:space="preserve">At </w:t>
      </w:r>
      <w:r w:rsidR="007279C3">
        <w:rPr>
          <w:rFonts w:asciiTheme="minorHAnsi" w:hAnsiTheme="minorHAnsi"/>
          <w:color w:val="auto"/>
          <w:szCs w:val="24"/>
        </w:rPr>
        <w:t>the time of the 3 February neurosurgery examination</w:t>
      </w:r>
      <w:r w:rsidR="00B6542F">
        <w:rPr>
          <w:rFonts w:asciiTheme="minorHAnsi" w:hAnsiTheme="minorHAnsi"/>
          <w:color w:val="auto"/>
          <w:szCs w:val="24"/>
        </w:rPr>
        <w:t>,</w:t>
      </w:r>
      <w:r w:rsidR="00B970D8">
        <w:rPr>
          <w:rFonts w:asciiTheme="minorHAnsi" w:hAnsiTheme="minorHAnsi"/>
          <w:color w:val="auto"/>
          <w:szCs w:val="24"/>
        </w:rPr>
        <w:t xml:space="preserve"> six months before separation, </w:t>
      </w:r>
      <w:r w:rsidR="00B6542F">
        <w:rPr>
          <w:rFonts w:asciiTheme="minorHAnsi" w:hAnsiTheme="minorHAnsi"/>
          <w:color w:val="auto"/>
          <w:szCs w:val="24"/>
        </w:rPr>
        <w:t>strength and reflexes were intact</w:t>
      </w:r>
      <w:r w:rsidR="004A3CA5">
        <w:rPr>
          <w:rFonts w:asciiTheme="minorHAnsi" w:hAnsiTheme="minorHAnsi"/>
          <w:color w:val="auto"/>
          <w:szCs w:val="24"/>
        </w:rPr>
        <w:t>,</w:t>
      </w:r>
      <w:r w:rsidR="00B6542F">
        <w:rPr>
          <w:rFonts w:asciiTheme="minorHAnsi" w:hAnsiTheme="minorHAnsi"/>
          <w:color w:val="auto"/>
          <w:szCs w:val="24"/>
        </w:rPr>
        <w:t xml:space="preserve"> although tingling of the right medial foot was noted.</w:t>
      </w:r>
      <w:r w:rsidR="00B970D8">
        <w:rPr>
          <w:rFonts w:asciiTheme="minorHAnsi" w:hAnsiTheme="minorHAnsi"/>
          <w:color w:val="auto"/>
          <w:szCs w:val="24"/>
        </w:rPr>
        <w:t xml:space="preserve">  </w:t>
      </w:r>
      <w:r w:rsidR="00B970D8" w:rsidRPr="00B970D8">
        <w:rPr>
          <w:rFonts w:asciiTheme="minorHAnsi" w:hAnsiTheme="minorHAnsi"/>
          <w:color w:val="auto"/>
          <w:szCs w:val="24"/>
        </w:rPr>
        <w:t>There was no muscle spasm noted.</w:t>
      </w:r>
      <w:r w:rsidR="00B970D8">
        <w:rPr>
          <w:rFonts w:asciiTheme="minorHAnsi" w:hAnsiTheme="minorHAnsi"/>
          <w:color w:val="auto"/>
          <w:szCs w:val="24"/>
        </w:rPr>
        <w:t xml:space="preserve">  The neurosurgeon recorded “lumbar” spine range of motion, and it is not clear if this was in accordance with </w:t>
      </w:r>
      <w:r w:rsidR="00BB2E3F">
        <w:rPr>
          <w:rFonts w:asciiTheme="minorHAnsi" w:hAnsiTheme="minorHAnsi"/>
          <w:color w:val="auto"/>
          <w:szCs w:val="24"/>
        </w:rPr>
        <w:t>American Medical Association</w:t>
      </w:r>
      <w:r w:rsidR="00B970D8">
        <w:rPr>
          <w:rFonts w:asciiTheme="minorHAnsi" w:hAnsiTheme="minorHAnsi"/>
          <w:color w:val="auto"/>
          <w:szCs w:val="24"/>
        </w:rPr>
        <w:t xml:space="preserve"> guidelines which specify reporting of lumbar range of motion separate from thoracic spine </w:t>
      </w:r>
      <w:r w:rsidR="00BB2E3F">
        <w:rPr>
          <w:rFonts w:asciiTheme="minorHAnsi" w:hAnsiTheme="minorHAnsi"/>
          <w:color w:val="auto"/>
          <w:szCs w:val="24"/>
        </w:rPr>
        <w:t>ROM</w:t>
      </w:r>
      <w:r w:rsidR="00B970D8">
        <w:rPr>
          <w:rFonts w:asciiTheme="minorHAnsi" w:hAnsiTheme="minorHAnsi"/>
          <w:color w:val="auto"/>
          <w:szCs w:val="24"/>
        </w:rPr>
        <w:t xml:space="preserve">.  A </w:t>
      </w:r>
      <w:r w:rsidR="00974663">
        <w:rPr>
          <w:rFonts w:asciiTheme="minorHAnsi" w:hAnsiTheme="minorHAnsi"/>
          <w:color w:val="auto"/>
          <w:szCs w:val="24"/>
        </w:rPr>
        <w:t>7</w:t>
      </w:r>
      <w:r w:rsidR="00BB2E3F">
        <w:rPr>
          <w:rFonts w:asciiTheme="minorHAnsi" w:hAnsiTheme="minorHAnsi"/>
          <w:color w:val="auto"/>
          <w:szCs w:val="24"/>
        </w:rPr>
        <w:t> </w:t>
      </w:r>
      <w:r w:rsidR="00974663">
        <w:rPr>
          <w:rFonts w:asciiTheme="minorHAnsi" w:hAnsiTheme="minorHAnsi"/>
          <w:color w:val="auto"/>
          <w:szCs w:val="24"/>
        </w:rPr>
        <w:t>February</w:t>
      </w:r>
      <w:r w:rsidR="00BB2E3F">
        <w:rPr>
          <w:rFonts w:asciiTheme="minorHAnsi" w:hAnsiTheme="minorHAnsi"/>
          <w:color w:val="auto"/>
          <w:szCs w:val="24"/>
        </w:rPr>
        <w:t> </w:t>
      </w:r>
      <w:r w:rsidR="00974663">
        <w:rPr>
          <w:rFonts w:asciiTheme="minorHAnsi" w:hAnsiTheme="minorHAnsi"/>
          <w:color w:val="auto"/>
          <w:szCs w:val="24"/>
        </w:rPr>
        <w:t xml:space="preserve">2005 clinic encounter documented paraspinal muscle spasm and abnormal gait.  </w:t>
      </w:r>
      <w:r w:rsidR="002C5644" w:rsidRPr="002C5644">
        <w:rPr>
          <w:rFonts w:asciiTheme="minorHAnsi" w:hAnsiTheme="minorHAnsi"/>
          <w:color w:val="auto"/>
          <w:szCs w:val="24"/>
        </w:rPr>
        <w:t xml:space="preserve">The </w:t>
      </w:r>
      <w:r w:rsidR="002C5644" w:rsidRPr="002C5644">
        <w:rPr>
          <w:rFonts w:asciiTheme="minorHAnsi" w:hAnsiTheme="minorHAnsi"/>
          <w:color w:val="auto"/>
          <w:szCs w:val="24"/>
        </w:rPr>
        <w:lastRenderedPageBreak/>
        <w:t xml:space="preserve">MEB </w:t>
      </w:r>
      <w:r w:rsidR="00BB2E3F">
        <w:rPr>
          <w:rFonts w:asciiTheme="minorHAnsi" w:hAnsiTheme="minorHAnsi"/>
          <w:color w:val="auto"/>
          <w:szCs w:val="24"/>
        </w:rPr>
        <w:t>narrative summar</w:t>
      </w:r>
      <w:r w:rsidR="00BB2E3F" w:rsidRPr="00BB2E3F">
        <w:rPr>
          <w:rFonts w:asciiTheme="minorHAnsi" w:hAnsiTheme="minorHAnsi"/>
          <w:color w:val="auto"/>
          <w:szCs w:val="24"/>
        </w:rPr>
        <w:t>y (</w:t>
      </w:r>
      <w:r w:rsidR="00E93164" w:rsidRPr="00BB2E3F">
        <w:rPr>
          <w:rFonts w:asciiTheme="minorHAnsi" w:hAnsiTheme="minorHAnsi"/>
          <w:color w:val="auto"/>
          <w:szCs w:val="24"/>
        </w:rPr>
        <w:t>NARSUM</w:t>
      </w:r>
      <w:r w:rsidR="00BB2E3F" w:rsidRPr="00BB2E3F">
        <w:rPr>
          <w:rFonts w:asciiTheme="minorHAnsi" w:hAnsiTheme="minorHAnsi"/>
          <w:color w:val="auto"/>
          <w:szCs w:val="24"/>
        </w:rPr>
        <w:t>)</w:t>
      </w:r>
      <w:r w:rsidR="00E93164">
        <w:rPr>
          <w:rFonts w:asciiTheme="minorHAnsi" w:hAnsiTheme="minorHAnsi"/>
          <w:color w:val="auto"/>
          <w:szCs w:val="24"/>
        </w:rPr>
        <w:t xml:space="preserve"> </w:t>
      </w:r>
      <w:r w:rsidR="002C5644" w:rsidRPr="002C5644">
        <w:rPr>
          <w:rFonts w:asciiTheme="minorHAnsi" w:hAnsiTheme="minorHAnsi"/>
          <w:color w:val="auto"/>
          <w:szCs w:val="24"/>
        </w:rPr>
        <w:t xml:space="preserve">exam was on </w:t>
      </w:r>
      <w:r w:rsidR="00974663">
        <w:rPr>
          <w:rFonts w:asciiTheme="minorHAnsi" w:hAnsiTheme="minorHAnsi"/>
          <w:color w:val="auto"/>
          <w:szCs w:val="24"/>
        </w:rPr>
        <w:t>1</w:t>
      </w:r>
      <w:r w:rsidR="002C5644" w:rsidRPr="002C5644">
        <w:rPr>
          <w:rFonts w:asciiTheme="minorHAnsi" w:hAnsiTheme="minorHAnsi"/>
          <w:color w:val="auto"/>
          <w:szCs w:val="24"/>
        </w:rPr>
        <w:t xml:space="preserve"> March 2005</w:t>
      </w:r>
      <w:r w:rsidR="002C5644">
        <w:rPr>
          <w:rFonts w:asciiTheme="minorHAnsi" w:hAnsiTheme="minorHAnsi"/>
          <w:color w:val="auto"/>
          <w:szCs w:val="24"/>
        </w:rPr>
        <w:t xml:space="preserve">, five months prior to separation.  It noted that the </w:t>
      </w:r>
      <w:r w:rsidR="002C5644" w:rsidRPr="002C5644">
        <w:rPr>
          <w:rFonts w:cs="Calibri"/>
          <w:color w:val="auto"/>
          <w:szCs w:val="24"/>
        </w:rPr>
        <w:t xml:space="preserve">spinal motion </w:t>
      </w:r>
      <w:r w:rsidR="00CA1407">
        <w:rPr>
          <w:rFonts w:cs="Calibri"/>
          <w:color w:val="auto"/>
          <w:szCs w:val="24"/>
        </w:rPr>
        <w:t>was</w:t>
      </w:r>
      <w:r w:rsidR="002C5644" w:rsidRPr="002C5644">
        <w:rPr>
          <w:rFonts w:cs="Calibri"/>
          <w:color w:val="auto"/>
          <w:szCs w:val="24"/>
        </w:rPr>
        <w:t xml:space="preserve"> limited voluntarily on examination</w:t>
      </w:r>
      <w:r w:rsidR="00874693">
        <w:rPr>
          <w:rFonts w:cs="Calibri"/>
          <w:color w:val="auto"/>
          <w:szCs w:val="24"/>
        </w:rPr>
        <w:t>,</w:t>
      </w:r>
      <w:r w:rsidR="002C5644" w:rsidRPr="002C5644">
        <w:rPr>
          <w:rFonts w:cs="Calibri"/>
          <w:color w:val="auto"/>
          <w:szCs w:val="24"/>
        </w:rPr>
        <w:t xml:space="preserve"> with flexion/extension, side bending and twisting </w:t>
      </w:r>
      <w:r w:rsidR="00CA1407">
        <w:rPr>
          <w:rFonts w:cs="Calibri"/>
          <w:color w:val="auto"/>
          <w:szCs w:val="24"/>
        </w:rPr>
        <w:t xml:space="preserve">“limited </w:t>
      </w:r>
      <w:r w:rsidR="002C5644" w:rsidRPr="002C5644">
        <w:rPr>
          <w:rFonts w:cs="Calibri"/>
          <w:color w:val="auto"/>
          <w:szCs w:val="24"/>
        </w:rPr>
        <w:t>by 20%</w:t>
      </w:r>
      <w:r w:rsidR="006637F1">
        <w:rPr>
          <w:rFonts w:cs="Calibri"/>
          <w:color w:val="auto"/>
          <w:szCs w:val="24"/>
        </w:rPr>
        <w:t>,</w:t>
      </w:r>
      <w:r w:rsidR="00CA1407">
        <w:rPr>
          <w:rFonts w:cs="Calibri"/>
          <w:color w:val="auto"/>
          <w:szCs w:val="24"/>
        </w:rPr>
        <w:t>” indicating a 20% reduction from normal range of motion (equivalent degrees representing a 20% reduction is detailed in the range of motion chart)</w:t>
      </w:r>
      <w:r w:rsidR="002C5644" w:rsidRPr="002C5644">
        <w:rPr>
          <w:rFonts w:cs="Calibri"/>
          <w:color w:val="auto"/>
          <w:szCs w:val="24"/>
        </w:rPr>
        <w:t>.</w:t>
      </w:r>
      <w:r w:rsidR="00E54C24">
        <w:rPr>
          <w:rFonts w:cs="Calibri"/>
          <w:color w:val="auto"/>
          <w:szCs w:val="24"/>
        </w:rPr>
        <w:t xml:space="preserve">  The neurologic exam was </w:t>
      </w:r>
      <w:r w:rsidR="002C5644" w:rsidRPr="002C5644">
        <w:rPr>
          <w:rFonts w:cs="Calibri"/>
          <w:color w:val="auto"/>
          <w:szCs w:val="24"/>
        </w:rPr>
        <w:t>intact.</w:t>
      </w:r>
      <w:r w:rsidR="00E54C24">
        <w:rPr>
          <w:rFonts w:cs="Calibri"/>
          <w:color w:val="auto"/>
          <w:szCs w:val="24"/>
        </w:rPr>
        <w:t xml:space="preserve">  </w:t>
      </w:r>
      <w:r w:rsidR="002C5644" w:rsidRPr="002C5644">
        <w:rPr>
          <w:rFonts w:cs="Calibri"/>
          <w:color w:val="auto"/>
          <w:szCs w:val="24"/>
        </w:rPr>
        <w:t>Bilateral reflexes are intact</w:t>
      </w:r>
      <w:r w:rsidR="00A0101A">
        <w:rPr>
          <w:rFonts w:cs="Calibri"/>
          <w:color w:val="auto"/>
          <w:szCs w:val="24"/>
        </w:rPr>
        <w:t>, n</w:t>
      </w:r>
      <w:r w:rsidR="002C5644" w:rsidRPr="002C5644">
        <w:rPr>
          <w:rFonts w:cs="Calibri"/>
          <w:color w:val="auto"/>
          <w:szCs w:val="24"/>
        </w:rPr>
        <w:t>o extensor halluc</w:t>
      </w:r>
      <w:r w:rsidR="003B386D">
        <w:rPr>
          <w:rFonts w:cs="Calibri"/>
          <w:color w:val="auto"/>
          <w:szCs w:val="24"/>
        </w:rPr>
        <w:t>is</w:t>
      </w:r>
      <w:r w:rsidR="002C5644" w:rsidRPr="002C5644">
        <w:rPr>
          <w:rFonts w:cs="Calibri"/>
          <w:color w:val="auto"/>
          <w:szCs w:val="24"/>
        </w:rPr>
        <w:t xml:space="preserve"> longus </w:t>
      </w:r>
      <w:r w:rsidR="003B386D">
        <w:rPr>
          <w:rFonts w:cs="Calibri"/>
          <w:color w:val="auto"/>
          <w:szCs w:val="24"/>
        </w:rPr>
        <w:t xml:space="preserve">muscle </w:t>
      </w:r>
      <w:r w:rsidR="00E54C24">
        <w:rPr>
          <w:rFonts w:cs="Calibri"/>
          <w:color w:val="auto"/>
          <w:szCs w:val="24"/>
        </w:rPr>
        <w:t>weakness wa</w:t>
      </w:r>
      <w:r w:rsidR="002C5644" w:rsidRPr="002C5644">
        <w:rPr>
          <w:rFonts w:cs="Calibri"/>
          <w:color w:val="auto"/>
          <w:szCs w:val="24"/>
        </w:rPr>
        <w:t>s present</w:t>
      </w:r>
      <w:r w:rsidR="00A0101A">
        <w:rPr>
          <w:rFonts w:cs="Calibri"/>
          <w:color w:val="auto"/>
          <w:szCs w:val="24"/>
        </w:rPr>
        <w:t xml:space="preserve"> and s</w:t>
      </w:r>
      <w:r w:rsidR="00E54C24" w:rsidRPr="002C5644">
        <w:rPr>
          <w:rFonts w:cs="Calibri"/>
          <w:color w:val="auto"/>
          <w:szCs w:val="24"/>
        </w:rPr>
        <w:t>traight leg raise</w:t>
      </w:r>
      <w:r w:rsidR="00E54C24">
        <w:rPr>
          <w:rFonts w:cs="Calibri"/>
          <w:color w:val="auto"/>
          <w:szCs w:val="24"/>
        </w:rPr>
        <w:t xml:space="preserve"> (SLR)</w:t>
      </w:r>
      <w:r w:rsidR="00E54C24" w:rsidRPr="002C5644">
        <w:rPr>
          <w:rFonts w:cs="Calibri"/>
          <w:color w:val="auto"/>
          <w:szCs w:val="24"/>
        </w:rPr>
        <w:t xml:space="preserve"> reproduce</w:t>
      </w:r>
      <w:r w:rsidR="003B386D">
        <w:rPr>
          <w:rFonts w:cs="Calibri"/>
          <w:color w:val="auto"/>
          <w:szCs w:val="24"/>
        </w:rPr>
        <w:t>d</w:t>
      </w:r>
      <w:r w:rsidR="00E54C24" w:rsidRPr="002C5644">
        <w:rPr>
          <w:rFonts w:cs="Calibri"/>
          <w:color w:val="auto"/>
          <w:szCs w:val="24"/>
        </w:rPr>
        <w:t xml:space="preserve"> back pain</w:t>
      </w:r>
      <w:r w:rsidR="004A3CA5">
        <w:rPr>
          <w:rFonts w:cs="Calibri"/>
          <w:color w:val="auto"/>
          <w:szCs w:val="24"/>
        </w:rPr>
        <w:t>,</w:t>
      </w:r>
      <w:r w:rsidR="00391B27">
        <w:rPr>
          <w:rFonts w:cs="Calibri"/>
          <w:color w:val="auto"/>
          <w:szCs w:val="24"/>
        </w:rPr>
        <w:t xml:space="preserve"> but did not illicit evidence of nerve root irritation or radicular symptoms</w:t>
      </w:r>
      <w:r w:rsidR="00E54C24" w:rsidRPr="002C5644">
        <w:rPr>
          <w:rFonts w:cs="Calibri"/>
          <w:color w:val="auto"/>
          <w:szCs w:val="24"/>
        </w:rPr>
        <w:t>.</w:t>
      </w:r>
      <w:r w:rsidR="00974663">
        <w:rPr>
          <w:rFonts w:cs="Calibri"/>
          <w:color w:val="auto"/>
          <w:szCs w:val="24"/>
        </w:rPr>
        <w:t xml:space="preserve">  The NARSUM examiner did not comment regarding muscle spasm or gait.</w:t>
      </w:r>
      <w:r w:rsidR="00B9006A">
        <w:rPr>
          <w:rFonts w:cs="Calibri"/>
          <w:color w:val="auto"/>
          <w:szCs w:val="24"/>
        </w:rPr>
        <w:t xml:space="preserve"> </w:t>
      </w:r>
      <w:r w:rsidR="00E54C24">
        <w:rPr>
          <w:rFonts w:cs="Calibri"/>
          <w:color w:val="auto"/>
          <w:szCs w:val="24"/>
        </w:rPr>
        <w:t xml:space="preserve"> </w:t>
      </w:r>
      <w:r w:rsidR="00E93164">
        <w:rPr>
          <w:rFonts w:cs="Calibri"/>
          <w:color w:val="auto"/>
          <w:szCs w:val="24"/>
        </w:rPr>
        <w:t xml:space="preserve">The MEB history and physical examination performed 30 March 2005 recorded “decreased” spine ROM with </w:t>
      </w:r>
      <w:r w:rsidR="00787FD2">
        <w:rPr>
          <w:rFonts w:cs="Calibri"/>
          <w:color w:val="auto"/>
          <w:szCs w:val="24"/>
        </w:rPr>
        <w:t>tenderness</w:t>
      </w:r>
      <w:r w:rsidR="00E93164">
        <w:rPr>
          <w:rFonts w:cs="Calibri"/>
          <w:color w:val="auto"/>
          <w:szCs w:val="24"/>
        </w:rPr>
        <w:t xml:space="preserve"> and an antalgic gait</w:t>
      </w:r>
      <w:r w:rsidR="002202EB">
        <w:rPr>
          <w:rFonts w:cs="Calibri"/>
          <w:color w:val="auto"/>
          <w:szCs w:val="24"/>
        </w:rPr>
        <w:t xml:space="preserve"> without mention </w:t>
      </w:r>
      <w:r w:rsidR="00874693">
        <w:rPr>
          <w:rFonts w:cs="Calibri"/>
          <w:color w:val="auto"/>
          <w:szCs w:val="24"/>
        </w:rPr>
        <w:t>of</w:t>
      </w:r>
      <w:r w:rsidR="002202EB">
        <w:rPr>
          <w:rFonts w:cs="Calibri"/>
          <w:color w:val="auto"/>
          <w:szCs w:val="24"/>
        </w:rPr>
        <w:t xml:space="preserve"> muscle spasm</w:t>
      </w:r>
      <w:r w:rsidR="00974663">
        <w:rPr>
          <w:rFonts w:cs="Calibri"/>
          <w:color w:val="auto"/>
          <w:szCs w:val="24"/>
        </w:rPr>
        <w:t xml:space="preserve">.  </w:t>
      </w:r>
      <w:r w:rsidR="00E93164">
        <w:rPr>
          <w:rFonts w:cs="Calibri"/>
          <w:color w:val="auto"/>
          <w:szCs w:val="24"/>
        </w:rPr>
        <w:t xml:space="preserve">The examining Navy physician completed a </w:t>
      </w:r>
      <w:r w:rsidR="00974663">
        <w:rPr>
          <w:rFonts w:cs="Calibri"/>
          <w:color w:val="auto"/>
          <w:szCs w:val="24"/>
        </w:rPr>
        <w:t xml:space="preserve">range of motion </w:t>
      </w:r>
      <w:r w:rsidR="00116B9A">
        <w:rPr>
          <w:rFonts w:cs="Calibri"/>
          <w:color w:val="auto"/>
          <w:szCs w:val="24"/>
        </w:rPr>
        <w:t xml:space="preserve">form </w:t>
      </w:r>
      <w:r w:rsidR="00E93164">
        <w:rPr>
          <w:rFonts w:cs="Calibri"/>
          <w:color w:val="auto"/>
          <w:szCs w:val="24"/>
        </w:rPr>
        <w:t>dated the same date as the examination</w:t>
      </w:r>
      <w:r w:rsidR="00974663">
        <w:rPr>
          <w:rFonts w:cs="Calibri"/>
          <w:color w:val="auto"/>
          <w:szCs w:val="24"/>
        </w:rPr>
        <w:t>.  The examiner’s thoracolumbar range of motion values are copied in the ROM chart above</w:t>
      </w:r>
      <w:r w:rsidR="00E93164">
        <w:rPr>
          <w:rFonts w:cs="Calibri"/>
          <w:color w:val="auto"/>
          <w:szCs w:val="24"/>
        </w:rPr>
        <w:t>.</w:t>
      </w:r>
      <w:r w:rsidR="001D15E8">
        <w:rPr>
          <w:rFonts w:cs="Calibri"/>
          <w:color w:val="auto"/>
          <w:szCs w:val="24"/>
        </w:rPr>
        <w:t xml:space="preserve">  </w:t>
      </w:r>
      <w:r w:rsidR="001D15E8" w:rsidRPr="001D15E8">
        <w:rPr>
          <w:rFonts w:cs="Calibri"/>
          <w:color w:val="auto"/>
          <w:szCs w:val="24"/>
        </w:rPr>
        <w:t xml:space="preserve">The VA compensation and pension (C&amp;P) </w:t>
      </w:r>
      <w:r w:rsidR="001D15E8">
        <w:rPr>
          <w:rFonts w:cs="Calibri"/>
          <w:color w:val="auto"/>
          <w:szCs w:val="24"/>
        </w:rPr>
        <w:t xml:space="preserve">examination, </w:t>
      </w:r>
      <w:r w:rsidR="001D15E8" w:rsidRPr="001D15E8">
        <w:rPr>
          <w:rFonts w:cs="Calibri"/>
          <w:color w:val="auto"/>
          <w:szCs w:val="24"/>
        </w:rPr>
        <w:t>6 June 2006, ten months after separation</w:t>
      </w:r>
      <w:r w:rsidR="001D15E8">
        <w:rPr>
          <w:rFonts w:cs="Calibri"/>
          <w:color w:val="auto"/>
          <w:szCs w:val="24"/>
        </w:rPr>
        <w:t xml:space="preserve">, recorded similar complaints of back pain than radiated to the right buttock and thigh with flares.  </w:t>
      </w:r>
      <w:r w:rsidR="001D15E8" w:rsidRPr="001D15E8">
        <w:rPr>
          <w:rFonts w:cs="Calibri"/>
          <w:color w:val="auto"/>
          <w:szCs w:val="24"/>
        </w:rPr>
        <w:t>He reported one incapacitating episode in the prior year requiring bed rest for two days</w:t>
      </w:r>
      <w:r w:rsidR="001D15E8">
        <w:rPr>
          <w:rFonts w:cs="Calibri"/>
          <w:color w:val="auto"/>
          <w:szCs w:val="24"/>
        </w:rPr>
        <w:t xml:space="preserve">.  The physical examination documented improved </w:t>
      </w:r>
      <w:r w:rsidR="00F32061">
        <w:rPr>
          <w:rFonts w:cs="Calibri"/>
          <w:color w:val="auto"/>
          <w:szCs w:val="24"/>
        </w:rPr>
        <w:t>ROM</w:t>
      </w:r>
      <w:r w:rsidR="001D15E8">
        <w:rPr>
          <w:rFonts w:cs="Calibri"/>
          <w:color w:val="auto"/>
          <w:szCs w:val="24"/>
        </w:rPr>
        <w:t xml:space="preserve"> compared to examinations prior to separation, with normal gait, and no muscle spasm.  </w:t>
      </w:r>
      <w:r w:rsidR="001D15E8" w:rsidRPr="001D15E8">
        <w:rPr>
          <w:rFonts w:cs="Calibri"/>
          <w:color w:val="auto"/>
          <w:szCs w:val="24"/>
        </w:rPr>
        <w:t>There was diminished sensation noted over the plantar surface of the first metatarso-phalangeal joint and the surfaces of toes 2-5 of the right foot.  However, deep tendon reflexes and the motor exam were normal and there was no nerve root irritation with provocative maneuver.</w:t>
      </w:r>
      <w:r w:rsidR="0076635A">
        <w:rPr>
          <w:rFonts w:cs="Calibri"/>
          <w:color w:val="auto"/>
          <w:szCs w:val="24"/>
        </w:rPr>
        <w:t xml:space="preserve">  </w:t>
      </w:r>
      <w:r w:rsidR="000605AD" w:rsidRPr="000605AD">
        <w:rPr>
          <w:rFonts w:cs="Calibri"/>
          <w:color w:val="auto"/>
          <w:szCs w:val="24"/>
        </w:rPr>
        <w:t xml:space="preserve">The IPEB </w:t>
      </w:r>
      <w:r w:rsidR="000605AD">
        <w:rPr>
          <w:rFonts w:cs="Calibri"/>
          <w:color w:val="auto"/>
          <w:szCs w:val="24"/>
        </w:rPr>
        <w:t>and VA both coded the back condition as 5239, spondyl</w:t>
      </w:r>
      <w:r w:rsidR="00E93164">
        <w:rPr>
          <w:rFonts w:cs="Calibri"/>
          <w:color w:val="auto"/>
          <w:szCs w:val="24"/>
        </w:rPr>
        <w:t>olisthesis, and rated it at 10%.  The VA’s 10% rating was consistent with the ROM documented in the C&amp;P examination, while the ROMs available to the PEB</w:t>
      </w:r>
      <w:r w:rsidR="002202EB">
        <w:rPr>
          <w:rFonts w:cs="Calibri"/>
          <w:color w:val="auto"/>
          <w:szCs w:val="24"/>
        </w:rPr>
        <w:t xml:space="preserve"> supported either a 10% or 20% rating.</w:t>
      </w:r>
      <w:r w:rsidR="00A97B13">
        <w:rPr>
          <w:rFonts w:cs="Calibri"/>
          <w:color w:val="auto"/>
          <w:szCs w:val="24"/>
        </w:rPr>
        <w:t xml:space="preserve">  </w:t>
      </w:r>
      <w:r w:rsidR="009D2B2F" w:rsidRPr="0031562B">
        <w:rPr>
          <w:rFonts w:asciiTheme="minorHAnsi" w:hAnsiTheme="minorHAnsi"/>
          <w:color w:val="auto"/>
          <w:szCs w:val="24"/>
        </w:rPr>
        <w:t xml:space="preserve">Due to the significant differences between the </w:t>
      </w:r>
      <w:r w:rsidR="00AC083B">
        <w:rPr>
          <w:rFonts w:asciiTheme="minorHAnsi" w:hAnsiTheme="minorHAnsi"/>
          <w:color w:val="auto"/>
          <w:szCs w:val="24"/>
        </w:rPr>
        <w:t xml:space="preserve">documented </w:t>
      </w:r>
      <w:r w:rsidR="009D2B2F">
        <w:rPr>
          <w:rFonts w:asciiTheme="minorHAnsi" w:hAnsiTheme="minorHAnsi"/>
          <w:color w:val="auto"/>
          <w:szCs w:val="24"/>
        </w:rPr>
        <w:t>ROM’s</w:t>
      </w:r>
      <w:r w:rsidR="009D2B2F" w:rsidRPr="0031562B">
        <w:rPr>
          <w:rFonts w:asciiTheme="minorHAnsi" w:hAnsiTheme="minorHAnsi"/>
          <w:color w:val="auto"/>
          <w:szCs w:val="24"/>
        </w:rPr>
        <w:t>, the Board carefully considered the whole record in order to develop a consistent picture of the CI’s</w:t>
      </w:r>
      <w:r w:rsidR="009D2B2F">
        <w:rPr>
          <w:rFonts w:asciiTheme="minorHAnsi" w:hAnsiTheme="minorHAnsi"/>
          <w:color w:val="auto"/>
          <w:szCs w:val="24"/>
        </w:rPr>
        <w:t xml:space="preserve"> back </w:t>
      </w:r>
      <w:r w:rsidR="009D2B2F" w:rsidRPr="0031562B">
        <w:rPr>
          <w:rFonts w:asciiTheme="minorHAnsi" w:hAnsiTheme="minorHAnsi"/>
          <w:color w:val="auto"/>
          <w:szCs w:val="24"/>
        </w:rPr>
        <w:t xml:space="preserve">condition.  </w:t>
      </w:r>
      <w:r w:rsidR="00A97B13">
        <w:rPr>
          <w:rFonts w:asciiTheme="minorHAnsi" w:hAnsiTheme="minorHAnsi"/>
          <w:color w:val="auto"/>
          <w:szCs w:val="24"/>
        </w:rPr>
        <w:t xml:space="preserve">The Board noted the improvement in the thoracolumbar range of motion 10 months after separation but also considered the detailed MEB </w:t>
      </w:r>
      <w:r w:rsidR="00F32061">
        <w:rPr>
          <w:rFonts w:asciiTheme="minorHAnsi" w:hAnsiTheme="minorHAnsi"/>
          <w:color w:val="auto"/>
          <w:szCs w:val="24"/>
        </w:rPr>
        <w:t>ROM</w:t>
      </w:r>
      <w:r w:rsidR="00A97B13">
        <w:rPr>
          <w:rFonts w:asciiTheme="minorHAnsi" w:hAnsiTheme="minorHAnsi"/>
          <w:color w:val="auto"/>
          <w:szCs w:val="24"/>
        </w:rPr>
        <w:t xml:space="preserve"> and pre-separation examinations that included presence of muscle spasm and antalgic gait.  </w:t>
      </w:r>
      <w:r w:rsidR="0076635A" w:rsidRPr="0076635A">
        <w:rPr>
          <w:rFonts w:asciiTheme="minorHAnsi" w:hAnsiTheme="minorHAnsi"/>
          <w:color w:val="auto"/>
          <w:szCs w:val="24"/>
        </w:rPr>
        <w:t xml:space="preserve">After due deliberation, considering all of the evidence and mindful of VASRD §4.3 (reasonable doubt), the Board recommends a separation rating of </w:t>
      </w:r>
      <w:r w:rsidR="0076635A">
        <w:rPr>
          <w:rFonts w:asciiTheme="minorHAnsi" w:hAnsiTheme="minorHAnsi"/>
          <w:color w:val="auto"/>
          <w:szCs w:val="24"/>
        </w:rPr>
        <w:t>2</w:t>
      </w:r>
      <w:r w:rsidR="0076635A" w:rsidRPr="0076635A">
        <w:rPr>
          <w:rFonts w:asciiTheme="minorHAnsi" w:hAnsiTheme="minorHAnsi"/>
          <w:color w:val="auto"/>
          <w:szCs w:val="24"/>
        </w:rPr>
        <w:t xml:space="preserve">0% for the </w:t>
      </w:r>
      <w:r w:rsidR="0076635A">
        <w:rPr>
          <w:rFonts w:asciiTheme="minorHAnsi" w:hAnsiTheme="minorHAnsi"/>
          <w:color w:val="auto"/>
          <w:szCs w:val="24"/>
        </w:rPr>
        <w:t xml:space="preserve">back </w:t>
      </w:r>
      <w:r w:rsidR="0076635A" w:rsidRPr="0076635A">
        <w:rPr>
          <w:rFonts w:asciiTheme="minorHAnsi" w:hAnsiTheme="minorHAnsi"/>
          <w:color w:val="auto"/>
          <w:szCs w:val="24"/>
        </w:rPr>
        <w:t>condition.</w:t>
      </w:r>
      <w:r w:rsidR="0076635A">
        <w:rPr>
          <w:rFonts w:asciiTheme="minorHAnsi" w:hAnsiTheme="minorHAnsi"/>
          <w:color w:val="auto"/>
          <w:szCs w:val="24"/>
        </w:rPr>
        <w:t xml:space="preserve">  </w:t>
      </w:r>
      <w:r w:rsidR="0023408C" w:rsidRPr="00752ED1">
        <w:rPr>
          <w:rFonts w:asciiTheme="minorHAnsi" w:hAnsiTheme="minorHAnsi"/>
          <w:color w:val="auto"/>
          <w:szCs w:val="24"/>
        </w:rPr>
        <w:t>The Board considered a rating using the VASRD formula based on incapacitating episodes due to intervertebral disc syndrome</w:t>
      </w:r>
      <w:r w:rsidR="0023408C">
        <w:rPr>
          <w:rFonts w:asciiTheme="minorHAnsi" w:hAnsiTheme="minorHAnsi"/>
          <w:color w:val="auto"/>
          <w:szCs w:val="24"/>
        </w:rPr>
        <w:t xml:space="preserve"> (as the CI was shown to have disc disease)</w:t>
      </w:r>
      <w:r w:rsidR="0023408C" w:rsidRPr="00752ED1">
        <w:rPr>
          <w:rFonts w:asciiTheme="minorHAnsi" w:hAnsiTheme="minorHAnsi"/>
          <w:color w:val="auto"/>
          <w:szCs w:val="24"/>
        </w:rPr>
        <w:t>.  The criteria are based on the number of incapacitating episodes in the prior 12 months requiring bed rest prescribed by a physician.  No service treatment records were identified that documented physician directed bed rest</w:t>
      </w:r>
      <w:r w:rsidR="0023408C">
        <w:rPr>
          <w:rFonts w:asciiTheme="minorHAnsi" w:hAnsiTheme="minorHAnsi"/>
          <w:color w:val="auto"/>
          <w:szCs w:val="24"/>
        </w:rPr>
        <w:t xml:space="preserve">.  </w:t>
      </w:r>
      <w:r w:rsidR="0023408C" w:rsidRPr="00752ED1">
        <w:rPr>
          <w:rFonts w:asciiTheme="minorHAnsi" w:hAnsiTheme="minorHAnsi"/>
          <w:color w:val="auto"/>
          <w:szCs w:val="24"/>
        </w:rPr>
        <w:t>The Board concluded the preponderance of evidence did not support a higher rating using this alternate formula providing no</w:t>
      </w:r>
      <w:r w:rsidR="0023408C">
        <w:rPr>
          <w:rFonts w:asciiTheme="minorHAnsi" w:hAnsiTheme="minorHAnsi"/>
          <w:color w:val="auto"/>
          <w:szCs w:val="24"/>
        </w:rPr>
        <w:t xml:space="preserve"> additional benefit to the CI.  </w:t>
      </w:r>
      <w:r w:rsidR="0023408C" w:rsidRPr="00DE4A17">
        <w:rPr>
          <w:rFonts w:asciiTheme="minorHAnsi" w:hAnsiTheme="minorHAnsi"/>
          <w:color w:val="auto"/>
          <w:szCs w:val="24"/>
        </w:rPr>
        <w:t xml:space="preserve">The Board </w:t>
      </w:r>
      <w:r w:rsidR="0023408C">
        <w:rPr>
          <w:rFonts w:asciiTheme="minorHAnsi" w:hAnsiTheme="minorHAnsi"/>
          <w:color w:val="auto"/>
          <w:szCs w:val="24"/>
        </w:rPr>
        <w:t>also considered</w:t>
      </w:r>
      <w:r w:rsidR="0023408C" w:rsidRPr="00DE4A17">
        <w:rPr>
          <w:rFonts w:asciiTheme="minorHAnsi" w:hAnsiTheme="minorHAnsi"/>
          <w:color w:val="auto"/>
          <w:szCs w:val="24"/>
        </w:rPr>
        <w:t xml:space="preserve"> if additional disability rating was justified for peripheral nerve impairment</w:t>
      </w:r>
      <w:r w:rsidR="0023408C">
        <w:rPr>
          <w:rFonts w:asciiTheme="minorHAnsi" w:hAnsiTheme="minorHAnsi"/>
          <w:color w:val="auto"/>
          <w:szCs w:val="24"/>
        </w:rPr>
        <w:t xml:space="preserve"> due to radiculopathy</w:t>
      </w:r>
      <w:r w:rsidR="0023408C" w:rsidRPr="00DE4A17">
        <w:rPr>
          <w:rFonts w:asciiTheme="minorHAnsi" w:hAnsiTheme="minorHAnsi"/>
          <w:color w:val="auto"/>
          <w:szCs w:val="24"/>
        </w:rPr>
        <w:t>.</w:t>
      </w:r>
      <w:r w:rsidR="0023408C">
        <w:rPr>
          <w:rFonts w:asciiTheme="minorHAnsi" w:hAnsiTheme="minorHAnsi"/>
          <w:color w:val="auto"/>
          <w:szCs w:val="24"/>
        </w:rPr>
        <w:t xml:space="preserve">  </w:t>
      </w:r>
      <w:r w:rsidR="0023408C" w:rsidRPr="00EC2641">
        <w:rPr>
          <w:color w:val="auto"/>
          <w:szCs w:val="24"/>
        </w:rPr>
        <w:t xml:space="preserve">Board precedent is that a functional impairment tied to fitness is required to support a recommendation for addition of a peripheral nerve rating at separation. </w:t>
      </w:r>
      <w:r w:rsidR="0023408C">
        <w:rPr>
          <w:color w:val="auto"/>
          <w:szCs w:val="24"/>
        </w:rPr>
        <w:t xml:space="preserve"> </w:t>
      </w:r>
      <w:r w:rsidR="0023408C" w:rsidRPr="00EC2641">
        <w:rPr>
          <w:color w:val="auto"/>
          <w:szCs w:val="24"/>
        </w:rPr>
        <w:t xml:space="preserve">The pain component of a radiculopathy is subsumed under the general spine rating as specified in §4.71a. </w:t>
      </w:r>
      <w:r w:rsidR="0023408C">
        <w:rPr>
          <w:color w:val="auto"/>
          <w:szCs w:val="24"/>
        </w:rPr>
        <w:t xml:space="preserve"> </w:t>
      </w:r>
      <w:r w:rsidR="0023408C" w:rsidRPr="00EC2641">
        <w:rPr>
          <w:color w:val="auto"/>
          <w:szCs w:val="24"/>
        </w:rPr>
        <w:t>The sensory component in this case has no functional implications</w:t>
      </w:r>
      <w:r w:rsidR="0023408C">
        <w:rPr>
          <w:color w:val="auto"/>
          <w:szCs w:val="24"/>
        </w:rPr>
        <w:t xml:space="preserve"> and no </w:t>
      </w:r>
      <w:r w:rsidR="0023408C" w:rsidRPr="00EC2641">
        <w:rPr>
          <w:color w:val="auto"/>
          <w:szCs w:val="24"/>
        </w:rPr>
        <w:t xml:space="preserve">motor impairment </w:t>
      </w:r>
      <w:r w:rsidR="0023408C">
        <w:rPr>
          <w:color w:val="auto"/>
          <w:szCs w:val="24"/>
        </w:rPr>
        <w:t>noted</w:t>
      </w:r>
      <w:r w:rsidR="0023408C" w:rsidRPr="00EC2641">
        <w:rPr>
          <w:color w:val="auto"/>
          <w:szCs w:val="24"/>
        </w:rPr>
        <w:t>.</w:t>
      </w:r>
      <w:r w:rsidR="0023408C">
        <w:rPr>
          <w:color w:val="auto"/>
          <w:szCs w:val="24"/>
        </w:rPr>
        <w:t xml:space="preserve"> </w:t>
      </w:r>
      <w:r w:rsidR="0023408C" w:rsidRPr="00EC2641">
        <w:rPr>
          <w:color w:val="auto"/>
          <w:szCs w:val="24"/>
        </w:rPr>
        <w:t xml:space="preserve"> Since no evidence of functional impairment exists in this case, the Board cannot support a recommendation for additional rating based on peripheral nerve impairment.</w:t>
      </w:r>
      <w:r w:rsidR="0076635A">
        <w:rPr>
          <w:color w:val="auto"/>
          <w:szCs w:val="24"/>
        </w:rPr>
        <w:t xml:space="preserve">  </w:t>
      </w:r>
      <w:r w:rsidRPr="0023408C">
        <w:rPr>
          <w:rFonts w:cs="Calibri"/>
          <w:color w:val="auto"/>
          <w:szCs w:val="24"/>
        </w:rPr>
        <w:t>After</w:t>
      </w:r>
      <w:r w:rsidRPr="0023408C">
        <w:rPr>
          <w:rFonts w:asciiTheme="minorHAnsi" w:hAnsiTheme="minorHAnsi"/>
          <w:color w:val="auto"/>
          <w:szCs w:val="24"/>
        </w:rPr>
        <w:t xml:space="preserve"> due deliberation</w:t>
      </w:r>
      <w:r w:rsidR="0023408C">
        <w:rPr>
          <w:rFonts w:asciiTheme="minorHAnsi" w:hAnsiTheme="minorHAnsi"/>
          <w:color w:val="auto"/>
          <w:szCs w:val="24"/>
        </w:rPr>
        <w:t xml:space="preserve">, </w:t>
      </w:r>
      <w:r w:rsidRPr="0023408C">
        <w:rPr>
          <w:rFonts w:asciiTheme="minorHAnsi" w:hAnsiTheme="minorHAnsi"/>
          <w:color w:val="auto"/>
          <w:szCs w:val="24"/>
        </w:rPr>
        <w:t xml:space="preserve">in consideration of the totality of evidence, </w:t>
      </w:r>
      <w:r w:rsidR="0023408C" w:rsidRPr="0023408C">
        <w:rPr>
          <w:rFonts w:cs="Calibri"/>
          <w:color w:val="auto"/>
          <w:szCs w:val="24"/>
        </w:rPr>
        <w:t>and</w:t>
      </w:r>
      <w:r w:rsidR="0023408C" w:rsidRPr="0023408C">
        <w:rPr>
          <w:rFonts w:asciiTheme="minorHAnsi" w:hAnsiTheme="minorHAnsi" w:cs="Arial"/>
          <w:color w:val="auto"/>
          <w:szCs w:val="24"/>
        </w:rPr>
        <w:t xml:space="preserve"> </w:t>
      </w:r>
      <w:r w:rsidR="0023408C" w:rsidRPr="0023408C">
        <w:rPr>
          <w:rFonts w:asciiTheme="minorHAnsi" w:hAnsiTheme="minorHAnsi"/>
          <w:color w:val="auto"/>
          <w:szCs w:val="24"/>
        </w:rPr>
        <w:t>IAW §4.3 (reasonable doubt)</w:t>
      </w:r>
      <w:r w:rsidR="0023408C">
        <w:rPr>
          <w:rFonts w:asciiTheme="minorHAnsi" w:hAnsiTheme="minorHAnsi"/>
          <w:color w:val="auto"/>
          <w:szCs w:val="24"/>
        </w:rPr>
        <w:t xml:space="preserve"> </w:t>
      </w:r>
      <w:r w:rsidRPr="0023408C">
        <w:rPr>
          <w:rFonts w:asciiTheme="minorHAnsi" w:hAnsiTheme="minorHAnsi"/>
          <w:color w:val="auto"/>
          <w:szCs w:val="24"/>
        </w:rPr>
        <w:t>the Board concluded the 20% rating most nearly approximated the consi</w:t>
      </w:r>
      <w:r w:rsidR="00B970D8">
        <w:rPr>
          <w:rFonts w:asciiTheme="minorHAnsi" w:hAnsiTheme="minorHAnsi"/>
          <w:color w:val="auto"/>
          <w:szCs w:val="24"/>
        </w:rPr>
        <w:t>stent picture of the disability at the time of separation.</w:t>
      </w:r>
    </w:p>
    <w:p w:rsidR="001E7CD5" w:rsidRDefault="001E7CD5" w:rsidP="00CA1407">
      <w:pPr>
        <w:spacing w:line="240" w:lineRule="exact"/>
        <w:jc w:val="both"/>
        <w:rPr>
          <w:rFonts w:asciiTheme="minorHAnsi" w:eastAsia="HiddenHorzOCR" w:hAnsiTheme="minorHAnsi"/>
          <w:color w:val="auto"/>
          <w:szCs w:val="24"/>
          <w:u w:val="single"/>
        </w:rPr>
      </w:pPr>
    </w:p>
    <w:p w:rsidR="00EC337D" w:rsidRPr="00EC337D" w:rsidRDefault="000605AD" w:rsidP="00CA1407">
      <w:pPr>
        <w:spacing w:line="240" w:lineRule="exact"/>
        <w:jc w:val="both"/>
        <w:rPr>
          <w:rFonts w:asciiTheme="minorHAnsi" w:eastAsia="HiddenHorzOCR" w:hAnsiTheme="minorHAnsi"/>
          <w:color w:val="auto"/>
          <w:szCs w:val="24"/>
        </w:rPr>
      </w:pPr>
      <w:r>
        <w:rPr>
          <w:rFonts w:asciiTheme="minorHAnsi" w:eastAsia="HiddenHorzOCR" w:hAnsiTheme="minorHAnsi"/>
          <w:color w:val="auto"/>
          <w:szCs w:val="24"/>
          <w:u w:val="single"/>
        </w:rPr>
        <w:t>O</w:t>
      </w:r>
      <w:r w:rsidR="004C60A3" w:rsidRPr="003F1206">
        <w:rPr>
          <w:rFonts w:asciiTheme="minorHAnsi" w:eastAsia="HiddenHorzOCR" w:hAnsiTheme="minorHAnsi"/>
          <w:color w:val="auto"/>
          <w:szCs w:val="24"/>
          <w:u w:val="single"/>
        </w:rPr>
        <w:t>t</w:t>
      </w:r>
      <w:r w:rsidR="003604A5" w:rsidRPr="003F1206">
        <w:rPr>
          <w:rFonts w:asciiTheme="minorHAnsi" w:eastAsia="HiddenHorzOCR" w:hAnsiTheme="minorHAnsi"/>
          <w:color w:val="auto"/>
          <w:szCs w:val="24"/>
          <w:u w:val="single"/>
        </w:rPr>
        <w:t xml:space="preserve">her </w:t>
      </w:r>
      <w:r w:rsidR="000B2FB8" w:rsidRPr="003F1206">
        <w:rPr>
          <w:rFonts w:asciiTheme="minorHAnsi" w:eastAsia="HiddenHorzOCR" w:hAnsiTheme="minorHAnsi"/>
          <w:color w:val="auto"/>
          <w:szCs w:val="24"/>
          <w:u w:val="single"/>
        </w:rPr>
        <w:t xml:space="preserve">PEB </w:t>
      </w:r>
      <w:r w:rsidR="003604A5" w:rsidRPr="003F1206">
        <w:rPr>
          <w:rFonts w:asciiTheme="minorHAnsi" w:eastAsia="HiddenHorzOCR" w:hAnsiTheme="minorHAnsi"/>
          <w:color w:val="auto"/>
          <w:szCs w:val="24"/>
          <w:u w:val="single"/>
        </w:rPr>
        <w:t xml:space="preserve"> Conditions</w:t>
      </w:r>
      <w:r w:rsidR="003604A5" w:rsidRPr="00EC337D">
        <w:rPr>
          <w:rFonts w:asciiTheme="minorHAnsi" w:eastAsia="HiddenHorzOCR" w:hAnsiTheme="minorHAnsi"/>
          <w:color w:val="auto"/>
          <w:szCs w:val="24"/>
        </w:rPr>
        <w:t>.</w:t>
      </w:r>
      <w:r w:rsidR="001F1978">
        <w:rPr>
          <w:rFonts w:asciiTheme="minorHAnsi" w:eastAsia="HiddenHorzOCR" w:hAnsiTheme="minorHAnsi"/>
          <w:color w:val="auto"/>
          <w:szCs w:val="24"/>
        </w:rPr>
        <w:t xml:space="preserve">  The other condition</w:t>
      </w:r>
      <w:r w:rsidR="00EC337D" w:rsidRPr="000B5DD6">
        <w:rPr>
          <w:rFonts w:asciiTheme="minorHAnsi" w:eastAsia="HiddenHorzOCR" w:hAnsiTheme="minorHAnsi"/>
          <w:color w:val="auto"/>
          <w:szCs w:val="24"/>
        </w:rPr>
        <w:t xml:space="preserve"> forwarded by the MEB and adjudicated as not unfitting by the PEB w</w:t>
      </w:r>
      <w:r w:rsidR="001F1978">
        <w:rPr>
          <w:rFonts w:asciiTheme="minorHAnsi" w:eastAsia="HiddenHorzOCR" w:hAnsiTheme="minorHAnsi"/>
          <w:color w:val="auto"/>
          <w:szCs w:val="24"/>
        </w:rPr>
        <w:t>as</w:t>
      </w:r>
      <w:r w:rsidR="00EC337D" w:rsidRPr="000B5DD6">
        <w:rPr>
          <w:rFonts w:asciiTheme="minorHAnsi" w:eastAsia="HiddenHorzOCR" w:hAnsiTheme="minorHAnsi"/>
          <w:color w:val="auto"/>
          <w:szCs w:val="24"/>
        </w:rPr>
        <w:t xml:space="preserve"> </w:t>
      </w:r>
      <w:r w:rsidR="000B5DD6" w:rsidRPr="000B5DD6">
        <w:rPr>
          <w:rFonts w:asciiTheme="minorHAnsi" w:eastAsia="HiddenHorzOCR" w:hAnsiTheme="minorHAnsi"/>
          <w:color w:val="auto"/>
          <w:szCs w:val="24"/>
        </w:rPr>
        <w:t>tobacco abuse</w:t>
      </w:r>
      <w:r w:rsidR="00EC337D" w:rsidRPr="000B5DD6">
        <w:rPr>
          <w:rFonts w:asciiTheme="minorHAnsi" w:eastAsia="HiddenHorzOCR" w:hAnsiTheme="minorHAnsi"/>
          <w:color w:val="auto"/>
          <w:szCs w:val="24"/>
        </w:rPr>
        <w:t xml:space="preserve">.  </w:t>
      </w:r>
      <w:r w:rsidR="00F32061">
        <w:rPr>
          <w:rFonts w:asciiTheme="minorHAnsi" w:eastAsia="HiddenHorzOCR" w:hAnsiTheme="minorHAnsi"/>
          <w:color w:val="auto"/>
          <w:szCs w:val="24"/>
        </w:rPr>
        <w:t>This is a C</w:t>
      </w:r>
      <w:r w:rsidR="001F1978">
        <w:rPr>
          <w:rFonts w:asciiTheme="minorHAnsi" w:eastAsia="HiddenHorzOCR" w:hAnsiTheme="minorHAnsi"/>
          <w:color w:val="auto"/>
          <w:szCs w:val="24"/>
        </w:rPr>
        <w:t xml:space="preserve">ategory IV condition and not eligible for consideration for a disability rating.  </w:t>
      </w:r>
      <w:r w:rsidR="00EC337D" w:rsidRPr="000B5DD6">
        <w:rPr>
          <w:rFonts w:asciiTheme="minorHAnsi" w:eastAsia="HiddenHorzOCR" w:hAnsiTheme="minorHAnsi"/>
          <w:color w:val="auto"/>
          <w:szCs w:val="24"/>
        </w:rPr>
        <w:t>All evidence considered, there is not reasonable doubt in the CI’s favor supporting re</w:t>
      </w:r>
      <w:r w:rsidR="001F1978">
        <w:rPr>
          <w:rFonts w:asciiTheme="minorHAnsi" w:eastAsia="HiddenHorzOCR" w:hAnsiTheme="minorHAnsi"/>
          <w:color w:val="auto"/>
          <w:szCs w:val="24"/>
        </w:rPr>
        <w:t>-</w:t>
      </w:r>
      <w:r w:rsidR="00EC337D" w:rsidRPr="000B5DD6">
        <w:rPr>
          <w:rFonts w:asciiTheme="minorHAnsi" w:eastAsia="HiddenHorzOCR" w:hAnsiTheme="minorHAnsi"/>
          <w:color w:val="auto"/>
          <w:szCs w:val="24"/>
        </w:rPr>
        <w:t xml:space="preserve">characterization of the PEB fitness adjudication for </w:t>
      </w:r>
      <w:r w:rsidR="001F1978">
        <w:rPr>
          <w:rFonts w:asciiTheme="minorHAnsi" w:eastAsia="HiddenHorzOCR" w:hAnsiTheme="minorHAnsi"/>
          <w:color w:val="auto"/>
          <w:szCs w:val="24"/>
        </w:rPr>
        <w:t>this</w:t>
      </w:r>
      <w:r w:rsidR="00EC337D" w:rsidRPr="000B5DD6">
        <w:rPr>
          <w:rFonts w:asciiTheme="minorHAnsi" w:eastAsia="HiddenHorzOCR" w:hAnsiTheme="minorHAnsi"/>
          <w:color w:val="auto"/>
          <w:szCs w:val="24"/>
        </w:rPr>
        <w:t xml:space="preserve"> condition.</w:t>
      </w:r>
    </w:p>
    <w:p w:rsidR="00EC337D" w:rsidRPr="00EC337D" w:rsidRDefault="00EC337D" w:rsidP="00CA1407">
      <w:pPr>
        <w:spacing w:line="240" w:lineRule="exact"/>
        <w:jc w:val="both"/>
        <w:rPr>
          <w:rFonts w:asciiTheme="minorHAnsi" w:eastAsia="HiddenHorzOCR" w:hAnsiTheme="minorHAnsi"/>
          <w:color w:val="auto"/>
          <w:szCs w:val="24"/>
        </w:rPr>
      </w:pPr>
    </w:p>
    <w:p w:rsidR="00226B1A" w:rsidRDefault="00EC337D" w:rsidP="00CA1407">
      <w:pPr>
        <w:spacing w:line="240" w:lineRule="exact"/>
        <w:jc w:val="both"/>
        <w:rPr>
          <w:rFonts w:asciiTheme="minorHAnsi" w:hAnsiTheme="minorHAnsi"/>
          <w:color w:val="auto"/>
        </w:rPr>
      </w:pPr>
      <w:r w:rsidRPr="007973D8">
        <w:rPr>
          <w:rFonts w:asciiTheme="minorHAnsi" w:eastAsia="HiddenHorzOCR" w:hAnsiTheme="minorHAnsi"/>
          <w:color w:val="auto"/>
          <w:szCs w:val="24"/>
          <w:u w:val="single"/>
        </w:rPr>
        <w:t>Other Contended Conditions</w:t>
      </w:r>
      <w:r w:rsidRPr="007973D8">
        <w:rPr>
          <w:rFonts w:asciiTheme="minorHAnsi" w:eastAsia="HiddenHorzOCR" w:hAnsiTheme="minorHAnsi"/>
          <w:color w:val="auto"/>
          <w:szCs w:val="24"/>
        </w:rPr>
        <w:t xml:space="preserve">. </w:t>
      </w:r>
      <w:r w:rsidR="001F1978">
        <w:rPr>
          <w:rFonts w:asciiTheme="minorHAnsi" w:eastAsia="HiddenHorzOCR" w:hAnsiTheme="minorHAnsi"/>
          <w:color w:val="auto"/>
          <w:szCs w:val="24"/>
        </w:rPr>
        <w:t xml:space="preserve"> The CI also listed</w:t>
      </w:r>
      <w:r w:rsidRPr="007973D8">
        <w:rPr>
          <w:rFonts w:asciiTheme="minorHAnsi" w:eastAsia="HiddenHorzOCR" w:hAnsiTheme="minorHAnsi"/>
          <w:color w:val="auto"/>
          <w:szCs w:val="24"/>
        </w:rPr>
        <w:t xml:space="preserve"> </w:t>
      </w:r>
      <w:r w:rsidR="001F1978">
        <w:rPr>
          <w:rFonts w:asciiTheme="minorHAnsi" w:hAnsiTheme="minorHAnsi"/>
          <w:color w:val="auto"/>
        </w:rPr>
        <w:t>bilater</w:t>
      </w:r>
      <w:r w:rsidR="00F32061">
        <w:rPr>
          <w:rFonts w:asciiTheme="minorHAnsi" w:hAnsiTheme="minorHAnsi"/>
          <w:color w:val="auto"/>
        </w:rPr>
        <w:t xml:space="preserve">al </w:t>
      </w:r>
      <w:proofErr w:type="spellStart"/>
      <w:r w:rsidR="00F32061">
        <w:rPr>
          <w:rFonts w:asciiTheme="minorHAnsi" w:hAnsiTheme="minorHAnsi"/>
          <w:color w:val="auto"/>
        </w:rPr>
        <w:t>patellofemoral</w:t>
      </w:r>
      <w:proofErr w:type="spellEnd"/>
      <w:r w:rsidR="00F32061">
        <w:rPr>
          <w:rFonts w:asciiTheme="minorHAnsi" w:hAnsiTheme="minorHAnsi"/>
          <w:color w:val="auto"/>
        </w:rPr>
        <w:t xml:space="preserve"> syndrome</w:t>
      </w:r>
      <w:r w:rsidR="001F1978">
        <w:rPr>
          <w:rFonts w:asciiTheme="minorHAnsi" w:hAnsiTheme="minorHAnsi"/>
          <w:color w:val="auto"/>
        </w:rPr>
        <w:t xml:space="preserve">, </w:t>
      </w:r>
      <w:proofErr w:type="spellStart"/>
      <w:r w:rsidR="001F1978">
        <w:rPr>
          <w:rFonts w:asciiTheme="minorHAnsi" w:hAnsiTheme="minorHAnsi"/>
          <w:color w:val="auto"/>
        </w:rPr>
        <w:t>spondylolysis</w:t>
      </w:r>
      <w:proofErr w:type="spellEnd"/>
      <w:r w:rsidR="001F1978">
        <w:rPr>
          <w:rFonts w:asciiTheme="minorHAnsi" w:hAnsiTheme="minorHAnsi"/>
          <w:color w:val="auto"/>
        </w:rPr>
        <w:t xml:space="preserve"> of L4, and paresthesias of the right foot L5 distribution.  The latter two conditions were considered with the back condition, above.  </w:t>
      </w:r>
      <w:r w:rsidR="00F9676F">
        <w:rPr>
          <w:rFonts w:asciiTheme="minorHAnsi" w:hAnsiTheme="minorHAnsi"/>
          <w:color w:val="auto"/>
        </w:rPr>
        <w:t xml:space="preserve">The knee </w:t>
      </w:r>
      <w:r w:rsidR="00F9676F" w:rsidRPr="00711350">
        <w:rPr>
          <w:rFonts w:asciiTheme="minorHAnsi" w:hAnsiTheme="minorHAnsi"/>
          <w:color w:val="auto"/>
          <w:szCs w:val="24"/>
        </w:rPr>
        <w:t xml:space="preserve">conditions were reviewed by the </w:t>
      </w:r>
      <w:r w:rsidR="00F9676F">
        <w:rPr>
          <w:rFonts w:asciiTheme="minorHAnsi" w:hAnsiTheme="minorHAnsi"/>
          <w:color w:val="auto"/>
          <w:szCs w:val="24"/>
        </w:rPr>
        <w:lastRenderedPageBreak/>
        <w:t>a</w:t>
      </w:r>
      <w:r w:rsidR="00F9676F" w:rsidRPr="00711350">
        <w:rPr>
          <w:rFonts w:asciiTheme="minorHAnsi" w:hAnsiTheme="minorHAnsi"/>
          <w:color w:val="auto"/>
          <w:szCs w:val="24"/>
        </w:rPr>
        <w:t xml:space="preserve">ction </w:t>
      </w:r>
      <w:r w:rsidR="00F9676F">
        <w:rPr>
          <w:rFonts w:asciiTheme="minorHAnsi" w:hAnsiTheme="minorHAnsi"/>
          <w:color w:val="auto"/>
          <w:szCs w:val="24"/>
        </w:rPr>
        <w:t>o</w:t>
      </w:r>
      <w:r w:rsidR="00F9676F" w:rsidRPr="00711350">
        <w:rPr>
          <w:rFonts w:asciiTheme="minorHAnsi" w:hAnsiTheme="minorHAnsi"/>
          <w:color w:val="auto"/>
          <w:szCs w:val="24"/>
        </w:rPr>
        <w:t xml:space="preserve">fficer and considered by the Board.  There was no evidence for concluding that </w:t>
      </w:r>
      <w:r w:rsidR="00F9676F">
        <w:rPr>
          <w:rFonts w:asciiTheme="minorHAnsi" w:hAnsiTheme="minorHAnsi"/>
          <w:color w:val="auto"/>
          <w:szCs w:val="24"/>
        </w:rPr>
        <w:t>these</w:t>
      </w:r>
      <w:r w:rsidR="00F9676F" w:rsidRPr="00711350">
        <w:rPr>
          <w:rFonts w:asciiTheme="minorHAnsi" w:hAnsiTheme="minorHAnsi"/>
          <w:color w:val="auto"/>
          <w:szCs w:val="24"/>
        </w:rPr>
        <w:t xml:space="preserve"> the conditions interfered with duty performance to a degree that could be argued as unfitting.  The Board determined therefore that </w:t>
      </w:r>
      <w:r w:rsidR="00F9676F">
        <w:rPr>
          <w:rFonts w:asciiTheme="minorHAnsi" w:hAnsiTheme="minorHAnsi"/>
          <w:color w:val="auto"/>
          <w:szCs w:val="24"/>
        </w:rPr>
        <w:t>neither was</w:t>
      </w:r>
      <w:r w:rsidR="00F9676F" w:rsidRPr="00711350">
        <w:rPr>
          <w:rFonts w:asciiTheme="minorHAnsi" w:hAnsiTheme="minorHAnsi"/>
          <w:color w:val="auto"/>
          <w:szCs w:val="24"/>
        </w:rPr>
        <w:t xml:space="preserve"> subject to </w:t>
      </w:r>
      <w:r w:rsidR="0076635A">
        <w:rPr>
          <w:rFonts w:asciiTheme="minorHAnsi" w:hAnsiTheme="minorHAnsi"/>
          <w:color w:val="auto"/>
          <w:szCs w:val="24"/>
        </w:rPr>
        <w:t>s</w:t>
      </w:r>
      <w:r w:rsidR="00F9676F" w:rsidRPr="00711350">
        <w:rPr>
          <w:rFonts w:asciiTheme="minorHAnsi" w:hAnsiTheme="minorHAnsi"/>
          <w:color w:val="auto"/>
          <w:szCs w:val="24"/>
        </w:rPr>
        <w:t>ervice disability rating.</w:t>
      </w:r>
    </w:p>
    <w:p w:rsidR="00032710" w:rsidRDefault="00032710" w:rsidP="00CA1407">
      <w:pPr>
        <w:spacing w:line="240" w:lineRule="exact"/>
        <w:jc w:val="both"/>
        <w:rPr>
          <w:rFonts w:asciiTheme="minorHAnsi" w:hAnsiTheme="minorHAnsi"/>
          <w:color w:val="auto"/>
          <w:szCs w:val="24"/>
          <w:u w:val="single"/>
        </w:rPr>
      </w:pPr>
    </w:p>
    <w:p w:rsidR="00EC337D" w:rsidRDefault="00EC337D" w:rsidP="00CA1407">
      <w:pPr>
        <w:spacing w:line="240" w:lineRule="exact"/>
        <w:jc w:val="both"/>
        <w:rPr>
          <w:rFonts w:asciiTheme="minorHAnsi" w:hAnsiTheme="minorHAnsi"/>
          <w:color w:val="auto"/>
          <w:szCs w:val="24"/>
        </w:rPr>
      </w:pPr>
      <w:r w:rsidRPr="00EC337D">
        <w:rPr>
          <w:rFonts w:asciiTheme="minorHAnsi" w:hAnsiTheme="minorHAnsi"/>
          <w:color w:val="auto"/>
          <w:szCs w:val="24"/>
          <w:u w:val="single"/>
        </w:rPr>
        <w:t>Remaining Conditions</w:t>
      </w:r>
      <w:r w:rsidRPr="00EC337D">
        <w:rPr>
          <w:rFonts w:asciiTheme="minorHAnsi" w:hAnsiTheme="minorHAnsi"/>
          <w:color w:val="auto"/>
          <w:szCs w:val="24"/>
        </w:rPr>
        <w:t xml:space="preserve">.  </w:t>
      </w:r>
      <w:r w:rsidRPr="000B5DD6">
        <w:rPr>
          <w:rFonts w:asciiTheme="minorHAnsi" w:hAnsiTheme="minorHAnsi"/>
          <w:color w:val="auto"/>
          <w:szCs w:val="24"/>
        </w:rPr>
        <w:t xml:space="preserve">Other conditions identified in the DES file were </w:t>
      </w:r>
      <w:r w:rsidR="000B5DD6" w:rsidRPr="000B5DD6">
        <w:rPr>
          <w:rFonts w:asciiTheme="minorHAnsi" w:hAnsiTheme="minorHAnsi"/>
          <w:color w:val="auto"/>
          <w:szCs w:val="24"/>
        </w:rPr>
        <w:t>hemoptysis associated with gastric ulcer (medicine induced), resolved, bronchitis, right shoulder pain, osteoarthritis in toes, and frequent heartburn</w:t>
      </w:r>
      <w:r w:rsidRPr="000B5DD6">
        <w:rPr>
          <w:rFonts w:asciiTheme="minorHAnsi" w:hAnsiTheme="minorHAnsi"/>
          <w:color w:val="auto"/>
          <w:szCs w:val="24"/>
        </w:rPr>
        <w:t xml:space="preserve">.  Several additional non-acute conditions or medical complaints were also documented.  None of these conditions were clinically </w:t>
      </w:r>
      <w:r w:rsidR="00481F18">
        <w:rPr>
          <w:rFonts w:asciiTheme="minorHAnsi" w:hAnsiTheme="minorHAnsi"/>
          <w:color w:val="auto"/>
          <w:szCs w:val="24"/>
        </w:rPr>
        <w:t xml:space="preserve">or occupationally significant </w:t>
      </w:r>
      <w:r w:rsidRPr="000B5DD6">
        <w:rPr>
          <w:rFonts w:asciiTheme="minorHAnsi" w:hAnsiTheme="minorHAnsi"/>
          <w:color w:val="auto"/>
          <w:szCs w:val="24"/>
        </w:rPr>
        <w:t>during the MEB period</w:t>
      </w:r>
      <w:r w:rsidR="006008F8" w:rsidRPr="000B5DD6">
        <w:rPr>
          <w:rFonts w:asciiTheme="minorHAnsi" w:hAnsiTheme="minorHAnsi"/>
          <w:color w:val="auto"/>
          <w:szCs w:val="24"/>
        </w:rPr>
        <w:t>,</w:t>
      </w:r>
      <w:r w:rsidRPr="000B5DD6">
        <w:rPr>
          <w:rFonts w:asciiTheme="minorHAnsi" w:hAnsiTheme="minorHAnsi"/>
          <w:color w:val="auto"/>
          <w:szCs w:val="24"/>
        </w:rPr>
        <w:t xml:space="preserve"> none </w:t>
      </w:r>
      <w:r w:rsidR="00B56F3D" w:rsidRPr="000B5DD6">
        <w:rPr>
          <w:rFonts w:asciiTheme="minorHAnsi" w:hAnsiTheme="minorHAnsi"/>
          <w:color w:val="auto"/>
          <w:szCs w:val="24"/>
        </w:rPr>
        <w:t xml:space="preserve">were the </w:t>
      </w:r>
      <w:r w:rsidR="001035B2" w:rsidRPr="000B5DD6">
        <w:rPr>
          <w:rFonts w:asciiTheme="minorHAnsi" w:hAnsiTheme="minorHAnsi"/>
          <w:color w:val="auto"/>
          <w:szCs w:val="24"/>
        </w:rPr>
        <w:t>basis</w:t>
      </w:r>
      <w:r w:rsidR="00B56F3D" w:rsidRPr="000B5DD6">
        <w:rPr>
          <w:rFonts w:asciiTheme="minorHAnsi" w:hAnsiTheme="minorHAnsi"/>
          <w:color w:val="auto"/>
          <w:szCs w:val="24"/>
        </w:rPr>
        <w:t xml:space="preserve"> </w:t>
      </w:r>
      <w:r w:rsidR="005C62C2" w:rsidRPr="000B5DD6">
        <w:rPr>
          <w:rFonts w:asciiTheme="minorHAnsi" w:hAnsiTheme="minorHAnsi"/>
          <w:color w:val="auto"/>
          <w:szCs w:val="24"/>
        </w:rPr>
        <w:t xml:space="preserve">for limited duty </w:t>
      </w:r>
      <w:r w:rsidRPr="000B5DD6">
        <w:rPr>
          <w:rFonts w:asciiTheme="minorHAnsi" w:hAnsiTheme="minorHAnsi"/>
          <w:color w:val="auto"/>
          <w:szCs w:val="24"/>
        </w:rPr>
        <w:t>and none were implicated in the</w:t>
      </w:r>
      <w:r w:rsidR="00F9676F">
        <w:rPr>
          <w:rFonts w:asciiTheme="minorHAnsi" w:hAnsiTheme="minorHAnsi"/>
          <w:color w:val="auto"/>
          <w:szCs w:val="24"/>
        </w:rPr>
        <w:t xml:space="preserve"> non-medical assessment</w:t>
      </w:r>
      <w:r w:rsidRPr="000B5DD6">
        <w:rPr>
          <w:rFonts w:asciiTheme="minorHAnsi" w:hAnsiTheme="minorHAnsi"/>
          <w:color w:val="auto"/>
          <w:szCs w:val="24"/>
        </w:rPr>
        <w:t xml:space="preserve">.  These conditions were reviewed by the </w:t>
      </w:r>
      <w:r w:rsidR="003B4319" w:rsidRPr="000B5DD6">
        <w:rPr>
          <w:rFonts w:asciiTheme="minorHAnsi" w:hAnsiTheme="minorHAnsi"/>
          <w:color w:val="auto"/>
          <w:szCs w:val="24"/>
        </w:rPr>
        <w:t>a</w:t>
      </w:r>
      <w:r w:rsidRPr="000B5DD6">
        <w:rPr>
          <w:rFonts w:asciiTheme="minorHAnsi" w:hAnsiTheme="minorHAnsi"/>
          <w:color w:val="auto"/>
          <w:szCs w:val="24"/>
        </w:rPr>
        <w:t xml:space="preserve">ction </w:t>
      </w:r>
      <w:r w:rsidR="003B4319" w:rsidRPr="000B5DD6">
        <w:rPr>
          <w:rFonts w:asciiTheme="minorHAnsi" w:hAnsiTheme="minorHAnsi"/>
          <w:color w:val="auto"/>
          <w:szCs w:val="24"/>
        </w:rPr>
        <w:t>o</w:t>
      </w:r>
      <w:r w:rsidRPr="000B5DD6">
        <w:rPr>
          <w:rFonts w:asciiTheme="minorHAnsi" w:hAnsiTheme="minorHAnsi"/>
          <w:color w:val="auto"/>
          <w:szCs w:val="24"/>
        </w:rPr>
        <w:t>fficer and considered by the Board.  It was determined that none could be argued as unfitting and subject to separation rating.</w:t>
      </w:r>
      <w:r w:rsidR="00F86AD0">
        <w:rPr>
          <w:rFonts w:asciiTheme="minorHAnsi" w:hAnsiTheme="minorHAnsi"/>
          <w:color w:val="auto"/>
          <w:szCs w:val="24"/>
        </w:rPr>
        <w:t xml:space="preserve">  </w:t>
      </w:r>
      <w:r w:rsidRPr="00F86AD0">
        <w:rPr>
          <w:rFonts w:asciiTheme="minorHAnsi" w:hAnsiTheme="minorHAnsi"/>
          <w:color w:val="auto"/>
          <w:szCs w:val="24"/>
        </w:rPr>
        <w:t>Additionally</w:t>
      </w:r>
      <w:r w:rsidR="00241875">
        <w:rPr>
          <w:rFonts w:asciiTheme="minorHAnsi" w:hAnsiTheme="minorHAnsi"/>
          <w:color w:val="auto"/>
          <w:szCs w:val="24"/>
        </w:rPr>
        <w:t>,</w:t>
      </w:r>
      <w:r w:rsidRPr="00F86AD0">
        <w:rPr>
          <w:rFonts w:asciiTheme="minorHAnsi" w:hAnsiTheme="minorHAnsi"/>
          <w:color w:val="auto"/>
          <w:szCs w:val="24"/>
        </w:rPr>
        <w:t xml:space="preserve"> </w:t>
      </w:r>
      <w:r w:rsidR="00F86AD0" w:rsidRPr="00F86AD0">
        <w:rPr>
          <w:rFonts w:cs="Calibri"/>
          <w:color w:val="auto"/>
          <w:szCs w:val="24"/>
        </w:rPr>
        <w:t>bilateral hearing loss, neck pain</w:t>
      </w:r>
      <w:r w:rsidR="0076635A">
        <w:rPr>
          <w:rFonts w:cs="Calibri"/>
          <w:color w:val="auto"/>
          <w:szCs w:val="24"/>
        </w:rPr>
        <w:t>,</w:t>
      </w:r>
      <w:r w:rsidR="00F86AD0" w:rsidRPr="00F86AD0">
        <w:rPr>
          <w:rFonts w:cs="Calibri"/>
          <w:color w:val="auto"/>
          <w:szCs w:val="24"/>
        </w:rPr>
        <w:t xml:space="preserve"> and a Mallory-Weiss tear</w:t>
      </w:r>
      <w:r w:rsidR="001035B2" w:rsidRPr="00F86AD0">
        <w:rPr>
          <w:rFonts w:cs="Calibri"/>
          <w:color w:val="auto"/>
          <w:szCs w:val="24"/>
        </w:rPr>
        <w:t xml:space="preserve"> as well as </w:t>
      </w:r>
      <w:r w:rsidRPr="00F86AD0">
        <w:rPr>
          <w:rFonts w:asciiTheme="minorHAnsi" w:hAnsiTheme="minorHAnsi"/>
          <w:color w:val="auto"/>
          <w:szCs w:val="24"/>
        </w:rPr>
        <w:t>several other non-acute conditions were noted in</w:t>
      </w:r>
      <w:r w:rsidRPr="000B5DD6">
        <w:rPr>
          <w:rFonts w:asciiTheme="minorHAnsi" w:hAnsiTheme="minorHAnsi"/>
          <w:color w:val="auto"/>
          <w:szCs w:val="24"/>
        </w:rPr>
        <w:t xml:space="preserve"> the VA rating decision proximal to separation, but were not documented in the DES file.  The Board does not have the authority under DoDI 6040.44 to render fitness or rating recommendations for any conditions not considered by the DES.</w:t>
      </w:r>
      <w:r w:rsidR="00817572" w:rsidRPr="000B5DD6">
        <w:rPr>
          <w:rFonts w:asciiTheme="minorHAnsi" w:hAnsiTheme="minorHAnsi"/>
          <w:color w:val="auto"/>
          <w:szCs w:val="24"/>
        </w:rPr>
        <w:t xml:space="preserve">  The Board, therefore, has no reasonable basis for recommending any additional unfitting conditions for separation rating.</w:t>
      </w:r>
    </w:p>
    <w:p w:rsidR="00F1737C" w:rsidRPr="00391858" w:rsidRDefault="00F1737C" w:rsidP="00F1737C">
      <w:pPr>
        <w:pBdr>
          <w:bottom w:val="single" w:sz="12" w:space="1" w:color="auto"/>
        </w:pBdr>
        <w:tabs>
          <w:tab w:val="left" w:pos="288"/>
          <w:tab w:val="left" w:pos="4752"/>
        </w:tabs>
        <w:spacing w:line="240" w:lineRule="exact"/>
        <w:jc w:val="both"/>
        <w:rPr>
          <w:rFonts w:asciiTheme="minorHAnsi" w:hAnsiTheme="minorHAnsi"/>
          <w:b/>
          <w:color w:val="auto"/>
          <w:u w:val="single"/>
        </w:rPr>
      </w:pPr>
    </w:p>
    <w:p w:rsidR="00F1737C" w:rsidRDefault="00F1737C" w:rsidP="00F1737C">
      <w:pPr>
        <w:spacing w:line="240" w:lineRule="exact"/>
        <w:rPr>
          <w:rFonts w:asciiTheme="minorHAnsi" w:hAnsiTheme="minorHAnsi"/>
          <w:b/>
          <w:color w:val="auto"/>
          <w:szCs w:val="24"/>
          <w:u w:val="single"/>
        </w:rPr>
      </w:pPr>
    </w:p>
    <w:p w:rsidR="00F86AD0" w:rsidRPr="00F86AD0" w:rsidRDefault="00C56FC8" w:rsidP="0023408C">
      <w:pPr>
        <w:spacing w:line="240" w:lineRule="exact"/>
        <w:jc w:val="both"/>
        <w:rPr>
          <w:rFonts w:cs="Arial"/>
          <w:color w:val="000000"/>
        </w:rPr>
      </w:pPr>
      <w:r w:rsidRPr="009C78FD">
        <w:rPr>
          <w:rFonts w:asciiTheme="minorHAnsi" w:hAnsiTheme="minorHAnsi"/>
          <w:color w:val="auto"/>
          <w:szCs w:val="24"/>
          <w:u w:val="single"/>
        </w:rPr>
        <w:t>BOARD FINDINGS</w:t>
      </w:r>
      <w:r w:rsidRPr="009C78FD">
        <w:rPr>
          <w:rFonts w:asciiTheme="minorHAnsi" w:hAnsiTheme="minorHAnsi"/>
          <w:color w:val="auto"/>
          <w:szCs w:val="24"/>
        </w:rPr>
        <w:t>:</w:t>
      </w:r>
      <w:r w:rsidRPr="009C78FD">
        <w:rPr>
          <w:rFonts w:asciiTheme="minorHAnsi" w:eastAsiaTheme="minorHAnsi" w:hAnsiTheme="minorHAnsi"/>
          <w:color w:val="auto"/>
          <w:szCs w:val="24"/>
        </w:rPr>
        <w:t xml:space="preserve">  IAW DoDI 6040.44, provisions of DoD or Military Department regulations or guidelines relied upon by the PEB will not be considered by the Board to the extent they were inconsistent with the VASRD in effect at the time of the adjudication.</w:t>
      </w:r>
      <w:r w:rsidR="0023408C">
        <w:rPr>
          <w:rFonts w:asciiTheme="minorHAnsi" w:eastAsiaTheme="minorHAnsi" w:hAnsiTheme="minorHAnsi"/>
          <w:color w:val="auto"/>
          <w:szCs w:val="24"/>
        </w:rPr>
        <w:t xml:space="preserve">  </w:t>
      </w:r>
      <w:r w:rsidR="00680F1F" w:rsidRPr="0023408C">
        <w:rPr>
          <w:color w:val="auto"/>
          <w:szCs w:val="24"/>
        </w:rPr>
        <w:t>In the matter of the back condition, the Board unanimously recommends a disability rating of 20%, coded 5239 IAW VASRD §4.71a.</w:t>
      </w:r>
      <w:r w:rsidR="0023408C">
        <w:rPr>
          <w:color w:val="auto"/>
          <w:szCs w:val="24"/>
        </w:rPr>
        <w:t xml:space="preserve">  </w:t>
      </w:r>
      <w:r w:rsidR="00F86AD0">
        <w:rPr>
          <w:rFonts w:cs="Arial"/>
          <w:color w:val="000000"/>
        </w:rPr>
        <w:t xml:space="preserve">In the matter of the </w:t>
      </w:r>
      <w:r w:rsidR="00F86AD0">
        <w:rPr>
          <w:rFonts w:eastAsia="HiddenHorzOCR"/>
          <w:color w:val="auto"/>
          <w:szCs w:val="24"/>
        </w:rPr>
        <w:t>tobacco abuse</w:t>
      </w:r>
      <w:r w:rsidR="00F86AD0">
        <w:rPr>
          <w:rFonts w:cs="Arial"/>
          <w:color w:val="000000"/>
        </w:rPr>
        <w:t xml:space="preserve">, the Board unanimously recommends no change from the PEB adjudications as Category IV, not </w:t>
      </w:r>
      <w:r w:rsidR="00680F1F">
        <w:rPr>
          <w:rFonts w:cs="Arial"/>
          <w:color w:val="000000"/>
        </w:rPr>
        <w:t>a physical disability</w:t>
      </w:r>
      <w:r w:rsidR="00F86AD0">
        <w:rPr>
          <w:rFonts w:cs="Arial"/>
          <w:color w:val="000000"/>
        </w:rPr>
        <w:t xml:space="preserve">.  In the matter of the </w:t>
      </w:r>
      <w:r w:rsidR="00680F1F">
        <w:rPr>
          <w:rFonts w:cs="Arial"/>
          <w:color w:val="000000"/>
        </w:rPr>
        <w:t xml:space="preserve">bilateral </w:t>
      </w:r>
      <w:r w:rsidR="0076635A">
        <w:rPr>
          <w:rFonts w:cs="Arial"/>
          <w:color w:val="000000"/>
        </w:rPr>
        <w:t>patellofemoral syndrome</w:t>
      </w:r>
      <w:r w:rsidR="00680F1F">
        <w:rPr>
          <w:rFonts w:cs="Arial"/>
          <w:color w:val="000000"/>
        </w:rPr>
        <w:t xml:space="preserve">, </w:t>
      </w:r>
      <w:r w:rsidR="00680F1F" w:rsidRPr="000B5DD6">
        <w:rPr>
          <w:rFonts w:asciiTheme="minorHAnsi" w:hAnsiTheme="minorHAnsi"/>
          <w:color w:val="auto"/>
          <w:szCs w:val="24"/>
        </w:rPr>
        <w:t>hemoptysis associated with gastric ulcer (medicine induced), resolved, bronchitis, right shoulder pain, osteoarthritis in toes, and frequent heartburn</w:t>
      </w:r>
      <w:r w:rsidR="00680F1F">
        <w:rPr>
          <w:rFonts w:cs="Arial"/>
          <w:color w:val="000000"/>
        </w:rPr>
        <w:t xml:space="preserve"> </w:t>
      </w:r>
      <w:r w:rsidR="00F86AD0">
        <w:rPr>
          <w:rFonts w:cs="Arial"/>
          <w:color w:val="000000"/>
        </w:rPr>
        <w:t>or any other condition eligible for Board consideration</w:t>
      </w:r>
      <w:r w:rsidR="00F86AD0" w:rsidRPr="00E3004D">
        <w:rPr>
          <w:rFonts w:cs="Arial"/>
          <w:color w:val="auto"/>
        </w:rPr>
        <w:t xml:space="preserve">, </w:t>
      </w:r>
      <w:r w:rsidR="00F86AD0" w:rsidRPr="00E3004D">
        <w:rPr>
          <w:rFonts w:cs="Calibri"/>
          <w:color w:val="auto"/>
          <w:szCs w:val="24"/>
        </w:rPr>
        <w:t>the Board unanimously agrees that it cannot recommend any findings of unfit for additional rating at separation</w:t>
      </w:r>
    </w:p>
    <w:p w:rsidR="00F86AD0" w:rsidRPr="00391858" w:rsidRDefault="00F86AD0" w:rsidP="00F1737C">
      <w:pPr>
        <w:pBdr>
          <w:bottom w:val="single" w:sz="12" w:space="1" w:color="auto"/>
        </w:pBdr>
        <w:tabs>
          <w:tab w:val="left" w:pos="288"/>
          <w:tab w:val="left" w:pos="4752"/>
        </w:tabs>
        <w:spacing w:line="240" w:lineRule="exact"/>
        <w:jc w:val="both"/>
        <w:rPr>
          <w:rFonts w:asciiTheme="minorHAnsi" w:hAnsiTheme="minorHAnsi"/>
          <w:b/>
          <w:color w:val="auto"/>
          <w:u w:val="single"/>
        </w:rPr>
      </w:pPr>
    </w:p>
    <w:p w:rsidR="00F1737C" w:rsidRDefault="00F1737C" w:rsidP="00F1737C">
      <w:pPr>
        <w:spacing w:line="240" w:lineRule="exact"/>
        <w:rPr>
          <w:rFonts w:asciiTheme="minorHAnsi" w:hAnsiTheme="minorHAnsi"/>
          <w:b/>
          <w:color w:val="auto"/>
          <w:szCs w:val="24"/>
          <w:u w:val="single"/>
        </w:rPr>
      </w:pPr>
    </w:p>
    <w:p w:rsidR="00FB593A" w:rsidRPr="000B5DD6" w:rsidRDefault="00C56FC8" w:rsidP="00510F9C">
      <w:pPr>
        <w:spacing w:line="240" w:lineRule="exact"/>
        <w:rPr>
          <w:rFonts w:asciiTheme="minorHAnsi" w:hAnsiTheme="minorHAnsi"/>
          <w:color w:val="auto"/>
          <w:szCs w:val="24"/>
          <w:u w:val="single"/>
        </w:rPr>
      </w:pPr>
      <w:r w:rsidRPr="00396779">
        <w:rPr>
          <w:rFonts w:asciiTheme="minorHAnsi" w:hAnsiTheme="minorHAnsi"/>
          <w:color w:val="auto"/>
          <w:szCs w:val="24"/>
          <w:u w:val="single"/>
        </w:rPr>
        <w:t>RECOMMENDATION</w:t>
      </w:r>
      <w:r w:rsidRPr="00396779">
        <w:rPr>
          <w:rFonts w:asciiTheme="minorHAnsi" w:hAnsiTheme="minorHAnsi"/>
          <w:color w:val="auto"/>
          <w:szCs w:val="24"/>
        </w:rPr>
        <w:t>:</w:t>
      </w:r>
      <w:r w:rsidRPr="00396779">
        <w:rPr>
          <w:rFonts w:asciiTheme="minorHAnsi" w:hAnsiTheme="minorHAnsi"/>
          <w:color w:val="000080"/>
          <w:szCs w:val="24"/>
        </w:rPr>
        <w:t xml:space="preserve"> </w:t>
      </w:r>
      <w:r w:rsidR="0023408C">
        <w:rPr>
          <w:rFonts w:asciiTheme="minorHAnsi" w:hAnsiTheme="minorHAnsi"/>
          <w:color w:val="000080"/>
          <w:szCs w:val="24"/>
        </w:rPr>
        <w:t xml:space="preserve"> </w:t>
      </w:r>
      <w:r w:rsidR="0023408C" w:rsidRPr="00396779">
        <w:rPr>
          <w:rFonts w:asciiTheme="minorHAnsi" w:hAnsiTheme="minorHAnsi"/>
          <w:color w:val="auto"/>
          <w:szCs w:val="24"/>
        </w:rPr>
        <w:t xml:space="preserve">The Board recommends that the CI’s prior determination be modified </w:t>
      </w:r>
      <w:r w:rsidR="0023408C" w:rsidRPr="00B427BB">
        <w:rPr>
          <w:rFonts w:asciiTheme="minorHAnsi" w:hAnsiTheme="minorHAnsi"/>
          <w:color w:val="auto"/>
          <w:szCs w:val="24"/>
        </w:rPr>
        <w:t>as follows, effective as of the date of his</w:t>
      </w:r>
      <w:r w:rsidR="0023408C">
        <w:rPr>
          <w:rFonts w:asciiTheme="minorHAnsi" w:hAnsiTheme="minorHAnsi"/>
          <w:color w:val="auto"/>
          <w:szCs w:val="24"/>
        </w:rPr>
        <w:t xml:space="preserve"> prior medical separation:</w:t>
      </w:r>
    </w:p>
    <w:p w:rsidR="004101B2" w:rsidRPr="00AF01B2" w:rsidRDefault="004101B2" w:rsidP="00510F9C">
      <w:pPr>
        <w:tabs>
          <w:tab w:val="left" w:pos="288"/>
          <w:tab w:val="left" w:pos="4752"/>
        </w:tabs>
        <w:spacing w:line="240" w:lineRule="exact"/>
        <w:jc w:val="both"/>
        <w:rPr>
          <w:rFonts w:asciiTheme="minorHAnsi" w:hAnsiTheme="minorHAnsi"/>
          <w:color w:val="aut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0"/>
        <w:gridCol w:w="1710"/>
        <w:gridCol w:w="1170"/>
      </w:tblGrid>
      <w:tr w:rsidR="00A95BBA" w:rsidRPr="00AF01B2" w:rsidTr="00103948">
        <w:trPr>
          <w:trHeight w:val="233"/>
          <w:jc w:val="center"/>
        </w:trPr>
        <w:tc>
          <w:tcPr>
            <w:tcW w:w="6480" w:type="dxa"/>
            <w:shd w:val="clear" w:color="auto" w:fill="D9D9D9"/>
            <w:vAlign w:val="center"/>
          </w:tcPr>
          <w:p w:rsidR="00A95BBA" w:rsidRPr="00AF01B2" w:rsidRDefault="00A95BBA" w:rsidP="00103948">
            <w:pPr>
              <w:tabs>
                <w:tab w:val="left" w:pos="288"/>
                <w:tab w:val="left" w:pos="4752"/>
              </w:tabs>
              <w:spacing w:line="240" w:lineRule="exact"/>
              <w:jc w:val="center"/>
              <w:rPr>
                <w:rFonts w:asciiTheme="minorHAnsi" w:hAnsiTheme="minorHAnsi"/>
                <w:b/>
                <w:color w:val="auto"/>
                <w:szCs w:val="24"/>
              </w:rPr>
            </w:pPr>
            <w:r w:rsidRPr="00AF01B2">
              <w:rPr>
                <w:rFonts w:asciiTheme="minorHAnsi" w:hAnsiTheme="minorHAnsi"/>
                <w:b/>
                <w:color w:val="auto"/>
                <w:szCs w:val="24"/>
              </w:rPr>
              <w:t>UNFITTING CONDITION</w:t>
            </w:r>
          </w:p>
        </w:tc>
        <w:tc>
          <w:tcPr>
            <w:tcW w:w="1710" w:type="dxa"/>
            <w:shd w:val="clear" w:color="auto" w:fill="D9D9D9"/>
            <w:vAlign w:val="center"/>
          </w:tcPr>
          <w:p w:rsidR="00A95BBA" w:rsidRPr="00AF01B2" w:rsidRDefault="00A95BBA" w:rsidP="00103948">
            <w:pPr>
              <w:tabs>
                <w:tab w:val="left" w:pos="288"/>
                <w:tab w:val="left" w:pos="4752"/>
              </w:tabs>
              <w:spacing w:line="240" w:lineRule="exact"/>
              <w:jc w:val="center"/>
              <w:rPr>
                <w:rFonts w:asciiTheme="minorHAnsi" w:hAnsiTheme="minorHAnsi"/>
                <w:b/>
                <w:color w:val="auto"/>
                <w:szCs w:val="24"/>
              </w:rPr>
            </w:pPr>
            <w:r w:rsidRPr="00AF01B2">
              <w:rPr>
                <w:rFonts w:asciiTheme="minorHAnsi" w:hAnsiTheme="minorHAnsi"/>
                <w:b/>
                <w:color w:val="auto"/>
                <w:szCs w:val="24"/>
              </w:rPr>
              <w:t>VASRD CODE</w:t>
            </w:r>
          </w:p>
        </w:tc>
        <w:tc>
          <w:tcPr>
            <w:tcW w:w="1170" w:type="dxa"/>
            <w:shd w:val="clear" w:color="auto" w:fill="D9D9D9"/>
            <w:vAlign w:val="center"/>
          </w:tcPr>
          <w:p w:rsidR="00A95BBA" w:rsidRPr="00AF01B2" w:rsidRDefault="00A95BBA" w:rsidP="00103948">
            <w:pPr>
              <w:tabs>
                <w:tab w:val="left" w:pos="288"/>
                <w:tab w:val="left" w:pos="4752"/>
              </w:tabs>
              <w:spacing w:line="240" w:lineRule="exact"/>
              <w:jc w:val="center"/>
              <w:rPr>
                <w:rFonts w:asciiTheme="minorHAnsi" w:hAnsiTheme="minorHAnsi"/>
                <w:b/>
                <w:color w:val="auto"/>
                <w:szCs w:val="24"/>
              </w:rPr>
            </w:pPr>
            <w:r w:rsidRPr="00AF01B2">
              <w:rPr>
                <w:rFonts w:asciiTheme="minorHAnsi" w:hAnsiTheme="minorHAnsi"/>
                <w:b/>
                <w:color w:val="auto"/>
                <w:szCs w:val="24"/>
              </w:rPr>
              <w:t>RATING</w:t>
            </w:r>
          </w:p>
        </w:tc>
      </w:tr>
      <w:tr w:rsidR="00A95BBA" w:rsidRPr="00AF01B2" w:rsidTr="00103948">
        <w:trPr>
          <w:jc w:val="center"/>
        </w:trPr>
        <w:tc>
          <w:tcPr>
            <w:tcW w:w="6480" w:type="dxa"/>
            <w:vAlign w:val="center"/>
          </w:tcPr>
          <w:p w:rsidR="00A95BBA" w:rsidRPr="00AF01B2" w:rsidRDefault="00680F1F" w:rsidP="00103948">
            <w:pPr>
              <w:tabs>
                <w:tab w:val="left" w:pos="288"/>
                <w:tab w:val="left" w:pos="4752"/>
              </w:tabs>
              <w:spacing w:line="240" w:lineRule="exact"/>
              <w:rPr>
                <w:rFonts w:asciiTheme="minorHAnsi" w:hAnsiTheme="minorHAnsi"/>
                <w:color w:val="auto"/>
                <w:szCs w:val="24"/>
              </w:rPr>
            </w:pPr>
            <w:r>
              <w:rPr>
                <w:rFonts w:asciiTheme="minorHAnsi" w:hAnsiTheme="minorHAnsi"/>
                <w:color w:val="auto"/>
                <w:szCs w:val="24"/>
              </w:rPr>
              <w:t>Bilateral L4 pars interarticularis defect with back pain symptoms</w:t>
            </w:r>
          </w:p>
        </w:tc>
        <w:tc>
          <w:tcPr>
            <w:tcW w:w="1710" w:type="dxa"/>
            <w:vAlign w:val="center"/>
          </w:tcPr>
          <w:p w:rsidR="00A95BBA" w:rsidRPr="00AF01B2" w:rsidRDefault="00680F1F" w:rsidP="00103948">
            <w:pPr>
              <w:tabs>
                <w:tab w:val="left" w:pos="288"/>
                <w:tab w:val="left" w:pos="4752"/>
              </w:tabs>
              <w:spacing w:line="240" w:lineRule="exact"/>
              <w:jc w:val="center"/>
              <w:rPr>
                <w:rFonts w:asciiTheme="minorHAnsi" w:hAnsiTheme="minorHAnsi"/>
                <w:color w:val="auto"/>
                <w:szCs w:val="24"/>
              </w:rPr>
            </w:pPr>
            <w:r>
              <w:rPr>
                <w:rFonts w:asciiTheme="minorHAnsi" w:hAnsiTheme="minorHAnsi"/>
                <w:color w:val="auto"/>
                <w:szCs w:val="24"/>
              </w:rPr>
              <w:t>5239</w:t>
            </w:r>
          </w:p>
        </w:tc>
        <w:tc>
          <w:tcPr>
            <w:tcW w:w="1170" w:type="dxa"/>
            <w:vAlign w:val="center"/>
          </w:tcPr>
          <w:p w:rsidR="00A95BBA" w:rsidRPr="00B9006A" w:rsidRDefault="00680F1F" w:rsidP="00103948">
            <w:pPr>
              <w:tabs>
                <w:tab w:val="left" w:pos="288"/>
                <w:tab w:val="left" w:pos="4752"/>
              </w:tabs>
              <w:spacing w:line="240" w:lineRule="exact"/>
              <w:jc w:val="center"/>
              <w:rPr>
                <w:rFonts w:asciiTheme="minorHAnsi" w:hAnsiTheme="minorHAnsi"/>
                <w:color w:val="auto"/>
                <w:szCs w:val="24"/>
              </w:rPr>
            </w:pPr>
            <w:r w:rsidRPr="00B9006A">
              <w:rPr>
                <w:rFonts w:asciiTheme="minorHAnsi" w:hAnsiTheme="minorHAnsi"/>
                <w:color w:val="auto"/>
                <w:szCs w:val="24"/>
              </w:rPr>
              <w:t>2</w:t>
            </w:r>
            <w:r w:rsidR="00A95BBA" w:rsidRPr="00B9006A">
              <w:rPr>
                <w:rFonts w:asciiTheme="minorHAnsi" w:hAnsiTheme="minorHAnsi"/>
                <w:color w:val="auto"/>
                <w:szCs w:val="24"/>
              </w:rPr>
              <w:t>0%</w:t>
            </w:r>
          </w:p>
        </w:tc>
      </w:tr>
      <w:tr w:rsidR="00A95BBA" w:rsidRPr="00AF01B2" w:rsidTr="00103948">
        <w:tblPrEx>
          <w:tblLook w:val="0000"/>
        </w:tblPrEx>
        <w:trPr>
          <w:gridBefore w:val="1"/>
          <w:wBefore w:w="6480" w:type="dxa"/>
          <w:trHeight w:val="152"/>
          <w:jc w:val="center"/>
        </w:trPr>
        <w:tc>
          <w:tcPr>
            <w:tcW w:w="1710" w:type="dxa"/>
            <w:tcBorders>
              <w:left w:val="single" w:sz="4" w:space="0" w:color="auto"/>
              <w:bottom w:val="single" w:sz="4" w:space="0" w:color="000000"/>
            </w:tcBorders>
            <w:shd w:val="clear" w:color="auto" w:fill="D9D9D9" w:themeFill="background1" w:themeFillShade="D9"/>
            <w:vAlign w:val="center"/>
          </w:tcPr>
          <w:p w:rsidR="00A95BBA" w:rsidRPr="00AF01B2" w:rsidRDefault="00A95BBA" w:rsidP="00103948">
            <w:pPr>
              <w:tabs>
                <w:tab w:val="left" w:pos="288"/>
                <w:tab w:val="left" w:pos="4752"/>
              </w:tabs>
              <w:spacing w:line="240" w:lineRule="exact"/>
              <w:jc w:val="center"/>
              <w:rPr>
                <w:rFonts w:asciiTheme="minorHAnsi" w:hAnsiTheme="minorHAnsi"/>
                <w:b/>
                <w:color w:val="auto"/>
                <w:szCs w:val="24"/>
              </w:rPr>
            </w:pPr>
            <w:r w:rsidRPr="00AF01B2">
              <w:rPr>
                <w:rFonts w:asciiTheme="minorHAnsi" w:hAnsiTheme="minorHAnsi"/>
                <w:b/>
                <w:color w:val="auto"/>
                <w:szCs w:val="24"/>
              </w:rPr>
              <w:t>COMBINED</w:t>
            </w:r>
          </w:p>
        </w:tc>
        <w:tc>
          <w:tcPr>
            <w:tcW w:w="1170" w:type="dxa"/>
            <w:tcBorders>
              <w:bottom w:val="single" w:sz="4" w:space="0" w:color="000000"/>
            </w:tcBorders>
            <w:shd w:val="clear" w:color="auto" w:fill="D9D9D9" w:themeFill="background1" w:themeFillShade="D9"/>
            <w:vAlign w:val="center"/>
          </w:tcPr>
          <w:p w:rsidR="00A95BBA" w:rsidRPr="00B9006A" w:rsidRDefault="00680F1F" w:rsidP="00103948">
            <w:pPr>
              <w:tabs>
                <w:tab w:val="left" w:pos="288"/>
                <w:tab w:val="left" w:pos="4752"/>
              </w:tabs>
              <w:spacing w:line="240" w:lineRule="exact"/>
              <w:jc w:val="center"/>
              <w:rPr>
                <w:rFonts w:asciiTheme="minorHAnsi" w:hAnsiTheme="minorHAnsi"/>
                <w:b/>
                <w:color w:val="auto"/>
                <w:szCs w:val="24"/>
              </w:rPr>
            </w:pPr>
            <w:r w:rsidRPr="00B9006A">
              <w:rPr>
                <w:rFonts w:asciiTheme="minorHAnsi" w:hAnsiTheme="minorHAnsi"/>
                <w:b/>
                <w:color w:val="auto"/>
                <w:szCs w:val="24"/>
              </w:rPr>
              <w:t>2</w:t>
            </w:r>
            <w:r w:rsidR="00A95BBA" w:rsidRPr="00B9006A">
              <w:rPr>
                <w:rFonts w:asciiTheme="minorHAnsi" w:hAnsiTheme="minorHAnsi"/>
                <w:b/>
                <w:color w:val="auto"/>
                <w:szCs w:val="24"/>
              </w:rPr>
              <w:t>0%</w:t>
            </w:r>
          </w:p>
        </w:tc>
      </w:tr>
    </w:tbl>
    <w:p w:rsidR="00A83C15" w:rsidRPr="00391858" w:rsidRDefault="00A83C15" w:rsidP="00510F9C">
      <w:pPr>
        <w:tabs>
          <w:tab w:val="left" w:pos="288"/>
          <w:tab w:val="left" w:pos="1710"/>
        </w:tabs>
        <w:spacing w:line="240" w:lineRule="exact"/>
        <w:rPr>
          <w:rFonts w:asciiTheme="minorHAnsi" w:hAnsiTheme="minorHAnsi"/>
          <w:b/>
          <w:caps/>
          <w:color w:val="auto"/>
          <w:u w:val="single"/>
        </w:rPr>
      </w:pPr>
      <w:r w:rsidRPr="00391858">
        <w:rPr>
          <w:rFonts w:asciiTheme="minorHAnsi" w:hAnsiTheme="minorHAnsi"/>
          <w:b/>
          <w:color w:val="auto"/>
          <w:u w:val="single"/>
        </w:rPr>
        <w:t>______________________________________________________________________________</w:t>
      </w:r>
    </w:p>
    <w:p w:rsidR="00106AD8" w:rsidRPr="00391858" w:rsidRDefault="00106AD8" w:rsidP="00510F9C">
      <w:pPr>
        <w:tabs>
          <w:tab w:val="left" w:pos="288"/>
          <w:tab w:val="left" w:pos="4752"/>
        </w:tabs>
        <w:spacing w:line="240" w:lineRule="exact"/>
        <w:rPr>
          <w:b/>
          <w:color w:val="auto"/>
          <w:szCs w:val="24"/>
        </w:rPr>
      </w:pPr>
    </w:p>
    <w:p w:rsidR="00D91DA6" w:rsidRPr="00006186" w:rsidRDefault="00FB1725" w:rsidP="00510F9C">
      <w:pPr>
        <w:tabs>
          <w:tab w:val="left" w:pos="288"/>
          <w:tab w:val="left" w:pos="4752"/>
        </w:tabs>
        <w:spacing w:line="240" w:lineRule="exact"/>
        <w:jc w:val="both"/>
        <w:rPr>
          <w:rFonts w:asciiTheme="minorHAnsi" w:hAnsiTheme="minorHAnsi"/>
          <w:color w:val="auto"/>
        </w:rPr>
      </w:pPr>
      <w:r>
        <w:rPr>
          <w:rFonts w:asciiTheme="minorHAnsi" w:hAnsiTheme="minorHAnsi"/>
          <w:color w:val="auto"/>
        </w:rPr>
        <w:t>The following documentary evidence was considered:</w:t>
      </w:r>
    </w:p>
    <w:p w:rsidR="00EB5EFD" w:rsidRPr="00006186" w:rsidRDefault="00EB5EFD" w:rsidP="00510F9C">
      <w:pPr>
        <w:tabs>
          <w:tab w:val="left" w:pos="288"/>
          <w:tab w:val="left" w:pos="4752"/>
        </w:tabs>
        <w:spacing w:line="240" w:lineRule="exact"/>
        <w:jc w:val="both"/>
        <w:rPr>
          <w:rFonts w:asciiTheme="minorHAnsi" w:hAnsiTheme="minorHAnsi"/>
          <w:color w:val="auto"/>
        </w:rPr>
      </w:pPr>
    </w:p>
    <w:p w:rsidR="00114F20" w:rsidRPr="00006186" w:rsidRDefault="00FB1725" w:rsidP="00510F9C">
      <w:pPr>
        <w:tabs>
          <w:tab w:val="left" w:pos="288"/>
          <w:tab w:val="left" w:pos="4752"/>
        </w:tabs>
        <w:spacing w:line="240" w:lineRule="exact"/>
        <w:jc w:val="both"/>
        <w:rPr>
          <w:rFonts w:asciiTheme="minorHAnsi" w:hAnsiTheme="minorHAnsi"/>
          <w:color w:val="auto"/>
        </w:rPr>
      </w:pPr>
      <w:r>
        <w:rPr>
          <w:rFonts w:asciiTheme="minorHAnsi" w:hAnsiTheme="minorHAnsi"/>
          <w:color w:val="auto"/>
        </w:rPr>
        <w:t>Exhibit A.  DD Form 294, dated 20</w:t>
      </w:r>
      <w:r w:rsidR="008C1407">
        <w:rPr>
          <w:rFonts w:asciiTheme="minorHAnsi" w:hAnsiTheme="minorHAnsi"/>
          <w:color w:val="auto"/>
        </w:rPr>
        <w:t>101205</w:t>
      </w:r>
      <w:r w:rsidR="00F32061">
        <w:rPr>
          <w:rFonts w:asciiTheme="minorHAnsi" w:hAnsiTheme="minorHAnsi"/>
          <w:color w:val="auto"/>
        </w:rPr>
        <w:t>, w/</w:t>
      </w:r>
      <w:proofErr w:type="spellStart"/>
      <w:r w:rsidR="00F32061">
        <w:rPr>
          <w:rFonts w:asciiTheme="minorHAnsi" w:hAnsiTheme="minorHAnsi"/>
          <w:color w:val="auto"/>
        </w:rPr>
        <w:t>atchs</w:t>
      </w:r>
      <w:proofErr w:type="spellEnd"/>
    </w:p>
    <w:p w:rsidR="00114F20" w:rsidRPr="00006186" w:rsidRDefault="00FB1725" w:rsidP="00510F9C">
      <w:pPr>
        <w:tabs>
          <w:tab w:val="left" w:pos="288"/>
          <w:tab w:val="left" w:pos="4752"/>
        </w:tabs>
        <w:spacing w:line="240" w:lineRule="exact"/>
        <w:jc w:val="both"/>
        <w:rPr>
          <w:rFonts w:asciiTheme="minorHAnsi" w:hAnsiTheme="minorHAnsi"/>
          <w:color w:val="auto"/>
        </w:rPr>
      </w:pPr>
      <w:r>
        <w:rPr>
          <w:rFonts w:asciiTheme="minorHAnsi" w:hAnsiTheme="minorHAnsi"/>
          <w:color w:val="auto"/>
        </w:rPr>
        <w:t>Exhib</w:t>
      </w:r>
      <w:r w:rsidR="00F32061">
        <w:rPr>
          <w:rFonts w:asciiTheme="minorHAnsi" w:hAnsiTheme="minorHAnsi"/>
          <w:color w:val="auto"/>
        </w:rPr>
        <w:t>it B.  Service Treatment Record</w:t>
      </w:r>
    </w:p>
    <w:p w:rsidR="00114F20" w:rsidRPr="00006186" w:rsidRDefault="00FB1725" w:rsidP="00510F9C">
      <w:pPr>
        <w:tabs>
          <w:tab w:val="left" w:pos="288"/>
          <w:tab w:val="left" w:pos="4752"/>
        </w:tabs>
        <w:spacing w:line="240" w:lineRule="exact"/>
        <w:jc w:val="both"/>
        <w:rPr>
          <w:rFonts w:asciiTheme="minorHAnsi" w:hAnsiTheme="minorHAnsi"/>
          <w:color w:val="auto"/>
        </w:rPr>
      </w:pPr>
      <w:r>
        <w:rPr>
          <w:rFonts w:asciiTheme="minorHAnsi" w:hAnsiTheme="minorHAnsi"/>
          <w:color w:val="auto"/>
        </w:rPr>
        <w:t>Exhibit C.  Department of Vet</w:t>
      </w:r>
      <w:r w:rsidR="00F32061">
        <w:rPr>
          <w:rFonts w:asciiTheme="minorHAnsi" w:hAnsiTheme="minorHAnsi"/>
          <w:color w:val="auto"/>
        </w:rPr>
        <w:t>erans' Affairs Treatment Record</w:t>
      </w:r>
    </w:p>
    <w:p w:rsidR="00D91DA6" w:rsidRPr="00006186" w:rsidRDefault="00D91DA6" w:rsidP="00510F9C">
      <w:pPr>
        <w:tabs>
          <w:tab w:val="left" w:pos="288"/>
          <w:tab w:val="left" w:pos="4752"/>
        </w:tabs>
        <w:spacing w:line="240" w:lineRule="exact"/>
        <w:jc w:val="both"/>
        <w:rPr>
          <w:rFonts w:asciiTheme="minorHAnsi" w:hAnsiTheme="minorHAnsi"/>
          <w:color w:val="auto"/>
        </w:rPr>
      </w:pPr>
    </w:p>
    <w:p w:rsidR="00114F20" w:rsidRPr="00006186" w:rsidRDefault="00114F20" w:rsidP="00510F9C">
      <w:pPr>
        <w:tabs>
          <w:tab w:val="left" w:pos="288"/>
          <w:tab w:val="left" w:pos="4752"/>
        </w:tabs>
        <w:spacing w:line="240" w:lineRule="exact"/>
        <w:jc w:val="both"/>
        <w:rPr>
          <w:rFonts w:asciiTheme="minorHAnsi" w:hAnsiTheme="minorHAnsi"/>
          <w:color w:val="auto"/>
        </w:rPr>
      </w:pPr>
    </w:p>
    <w:p w:rsidR="00D91DA6" w:rsidRPr="00006186" w:rsidRDefault="00FB1725" w:rsidP="00510F9C">
      <w:pPr>
        <w:tabs>
          <w:tab w:val="left" w:pos="0"/>
          <w:tab w:val="left" w:pos="4320"/>
        </w:tabs>
        <w:spacing w:line="240" w:lineRule="exact"/>
        <w:jc w:val="both"/>
        <w:rPr>
          <w:rFonts w:asciiTheme="minorHAnsi" w:hAnsiTheme="minorHAnsi"/>
          <w:color w:val="auto"/>
        </w:rPr>
      </w:pPr>
      <w:r>
        <w:rPr>
          <w:rFonts w:asciiTheme="minorHAnsi" w:hAnsiTheme="minorHAnsi"/>
          <w:color w:val="auto"/>
        </w:rPr>
        <w:t xml:space="preserve">              </w:t>
      </w:r>
      <w:r w:rsidR="00550819">
        <w:rPr>
          <w:rFonts w:asciiTheme="minorHAnsi" w:hAnsiTheme="minorHAnsi"/>
          <w:color w:val="auto"/>
        </w:rPr>
        <w:t xml:space="preserve">               </w:t>
      </w:r>
      <w:r w:rsidR="00550819">
        <w:rPr>
          <w:rFonts w:asciiTheme="minorHAnsi" w:hAnsiTheme="minorHAnsi"/>
          <w:color w:val="auto"/>
        </w:rPr>
        <w:tab/>
      </w:r>
      <w:r w:rsidR="00550819">
        <w:rPr>
          <w:rFonts w:asciiTheme="minorHAnsi" w:hAnsiTheme="minorHAnsi"/>
          <w:color w:val="auto"/>
        </w:rPr>
        <w:tab/>
        <w:t>President</w:t>
      </w:r>
    </w:p>
    <w:p w:rsidR="006A018A" w:rsidRDefault="00FB1725" w:rsidP="00510F9C">
      <w:pPr>
        <w:tabs>
          <w:tab w:val="left" w:pos="288"/>
          <w:tab w:val="left" w:pos="4320"/>
          <w:tab w:val="left" w:pos="4410"/>
          <w:tab w:val="left" w:pos="4770"/>
          <w:tab w:val="left" w:pos="4860"/>
          <w:tab w:val="left" w:pos="5040"/>
        </w:tabs>
        <w:spacing w:line="240" w:lineRule="exact"/>
        <w:jc w:val="both"/>
        <w:rPr>
          <w:rFonts w:asciiTheme="minorHAnsi" w:hAnsiTheme="minorHAnsi"/>
          <w:color w:val="auto"/>
        </w:rPr>
      </w:pPr>
      <w:r>
        <w:rPr>
          <w:rFonts w:asciiTheme="minorHAnsi" w:hAnsiTheme="minorHAnsi"/>
          <w:color w:val="auto"/>
        </w:rPr>
        <w:tab/>
        <w:t xml:space="preserve">                           </w:t>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r>
      <w:r>
        <w:rPr>
          <w:rFonts w:asciiTheme="minorHAnsi" w:hAnsiTheme="minorHAnsi"/>
          <w:color w:val="auto"/>
        </w:rPr>
        <w:tab/>
        <w:t>Physical Disability Board of Review</w:t>
      </w:r>
    </w:p>
    <w:p w:rsidR="006A018A" w:rsidRDefault="006A018A">
      <w:pPr>
        <w:rPr>
          <w:rFonts w:asciiTheme="minorHAnsi" w:hAnsiTheme="minorHAnsi"/>
          <w:color w:val="auto"/>
        </w:rPr>
      </w:pPr>
      <w:r>
        <w:rPr>
          <w:rFonts w:asciiTheme="minorHAnsi" w:hAnsiTheme="minorHAnsi"/>
          <w:color w:val="auto"/>
        </w:rPr>
        <w:br w:type="page"/>
      </w:r>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lastRenderedPageBreak/>
        <w:t>MEMORANDUM FOR DEPUTY COMMANDANT, MANPOWER &amp; RESERVE AFFAIRS</w:t>
      </w:r>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ab/>
        <w:t xml:space="preserve">                          COMMANDER, NAVY PERSONNEL COMMAND</w:t>
      </w:r>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ab/>
        <w:t xml:space="preserve">                          </w:t>
      </w:r>
    </w:p>
    <w:p w:rsidR="006A018A" w:rsidRPr="00A502B0" w:rsidRDefault="006A018A" w:rsidP="006A018A">
      <w:pPr>
        <w:rPr>
          <w:rFonts w:ascii="Times New Roman" w:hAnsi="Times New Roman"/>
          <w:color w:val="auto"/>
          <w:sz w:val="20"/>
        </w:rPr>
      </w:pPr>
      <w:proofErr w:type="spellStart"/>
      <w:r w:rsidRPr="00A502B0">
        <w:rPr>
          <w:rFonts w:ascii="Times New Roman" w:hAnsi="Times New Roman"/>
          <w:color w:val="auto"/>
          <w:sz w:val="20"/>
        </w:rPr>
        <w:t>Subj</w:t>
      </w:r>
      <w:proofErr w:type="spellEnd"/>
      <w:r w:rsidRPr="00A502B0">
        <w:rPr>
          <w:rFonts w:ascii="Times New Roman" w:hAnsi="Times New Roman"/>
          <w:color w:val="auto"/>
          <w:sz w:val="20"/>
        </w:rPr>
        <w:t xml:space="preserve">:  PHYSICAL DISABILITY BOARD OF REVIEW (PDBR) RECOMMENDATIONS          </w:t>
      </w:r>
    </w:p>
    <w:p w:rsidR="006A018A" w:rsidRPr="00A502B0" w:rsidRDefault="006A018A" w:rsidP="006A018A">
      <w:pPr>
        <w:rPr>
          <w:rFonts w:ascii="Times New Roman" w:hAnsi="Times New Roman"/>
          <w:color w:val="auto"/>
          <w:sz w:val="20"/>
        </w:rPr>
      </w:pPr>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 xml:space="preserve">Ref:    (a) </w:t>
      </w:r>
      <w:proofErr w:type="spellStart"/>
      <w:r w:rsidRPr="00A502B0">
        <w:rPr>
          <w:rFonts w:ascii="Times New Roman" w:hAnsi="Times New Roman"/>
          <w:color w:val="auto"/>
          <w:sz w:val="20"/>
        </w:rPr>
        <w:t>DoDI</w:t>
      </w:r>
      <w:proofErr w:type="spellEnd"/>
      <w:r w:rsidRPr="00A502B0">
        <w:rPr>
          <w:rFonts w:ascii="Times New Roman" w:hAnsi="Times New Roman"/>
          <w:color w:val="auto"/>
          <w:sz w:val="20"/>
        </w:rPr>
        <w:t xml:space="preserve"> 6040.44</w:t>
      </w:r>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 xml:space="preserve">           (b) PDBR </w:t>
      </w:r>
      <w:proofErr w:type="spellStart"/>
      <w:r w:rsidRPr="00A502B0">
        <w:rPr>
          <w:rFonts w:ascii="Times New Roman" w:hAnsi="Times New Roman"/>
          <w:color w:val="auto"/>
          <w:sz w:val="20"/>
        </w:rPr>
        <w:t>ltr</w:t>
      </w:r>
      <w:proofErr w:type="spellEnd"/>
      <w:r w:rsidRPr="00A502B0">
        <w:rPr>
          <w:rFonts w:ascii="Times New Roman" w:hAnsi="Times New Roman"/>
          <w:color w:val="auto"/>
          <w:sz w:val="20"/>
        </w:rPr>
        <w:t xml:space="preserve"> </w:t>
      </w:r>
      <w:proofErr w:type="spellStart"/>
      <w:r w:rsidRPr="00A502B0">
        <w:rPr>
          <w:rFonts w:ascii="Times New Roman" w:hAnsi="Times New Roman"/>
          <w:color w:val="auto"/>
          <w:sz w:val="20"/>
        </w:rPr>
        <w:t>dtd</w:t>
      </w:r>
      <w:proofErr w:type="spellEnd"/>
      <w:r w:rsidRPr="00A502B0">
        <w:rPr>
          <w:rFonts w:ascii="Times New Roman" w:hAnsi="Times New Roman"/>
          <w:color w:val="auto"/>
          <w:sz w:val="20"/>
        </w:rPr>
        <w:t xml:space="preserve"> 12 Jan 12 ICO </w:t>
      </w:r>
      <w:proofErr w:type="spellStart"/>
      <w:r>
        <w:rPr>
          <w:rFonts w:ascii="Times New Roman" w:hAnsi="Times New Roman"/>
          <w:color w:val="auto"/>
          <w:sz w:val="20"/>
        </w:rPr>
        <w:t>xxxxxxxxxxxxxxx</w:t>
      </w:r>
      <w:proofErr w:type="spellEnd"/>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 xml:space="preserve">           (c) PDBR </w:t>
      </w:r>
      <w:proofErr w:type="spellStart"/>
      <w:r w:rsidRPr="00A502B0">
        <w:rPr>
          <w:rFonts w:ascii="Times New Roman" w:hAnsi="Times New Roman"/>
          <w:color w:val="auto"/>
          <w:sz w:val="20"/>
        </w:rPr>
        <w:t>ltr</w:t>
      </w:r>
      <w:proofErr w:type="spellEnd"/>
      <w:r w:rsidRPr="00A502B0">
        <w:rPr>
          <w:rFonts w:ascii="Times New Roman" w:hAnsi="Times New Roman"/>
          <w:color w:val="auto"/>
          <w:sz w:val="20"/>
        </w:rPr>
        <w:t xml:space="preserve"> </w:t>
      </w:r>
      <w:proofErr w:type="spellStart"/>
      <w:r w:rsidRPr="00A502B0">
        <w:rPr>
          <w:rFonts w:ascii="Times New Roman" w:hAnsi="Times New Roman"/>
          <w:color w:val="auto"/>
          <w:sz w:val="20"/>
        </w:rPr>
        <w:t>dtd</w:t>
      </w:r>
      <w:proofErr w:type="spellEnd"/>
      <w:r w:rsidRPr="00A502B0">
        <w:rPr>
          <w:rFonts w:ascii="Times New Roman" w:hAnsi="Times New Roman"/>
          <w:color w:val="auto"/>
          <w:sz w:val="20"/>
        </w:rPr>
        <w:t xml:space="preserve"> 4 Jan 12 ICO </w:t>
      </w:r>
      <w:proofErr w:type="spellStart"/>
      <w:r>
        <w:rPr>
          <w:rFonts w:ascii="Times New Roman" w:hAnsi="Times New Roman"/>
          <w:color w:val="auto"/>
          <w:sz w:val="20"/>
        </w:rPr>
        <w:t>xxxxxxxxxxxxxxx</w:t>
      </w:r>
      <w:proofErr w:type="spellEnd"/>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 xml:space="preserve">           (d) PDBR </w:t>
      </w:r>
      <w:proofErr w:type="spellStart"/>
      <w:r w:rsidRPr="00A502B0">
        <w:rPr>
          <w:rFonts w:ascii="Times New Roman" w:hAnsi="Times New Roman"/>
          <w:color w:val="auto"/>
          <w:sz w:val="20"/>
        </w:rPr>
        <w:t>ltr</w:t>
      </w:r>
      <w:proofErr w:type="spellEnd"/>
      <w:r w:rsidRPr="00A502B0">
        <w:rPr>
          <w:rFonts w:ascii="Times New Roman" w:hAnsi="Times New Roman"/>
          <w:color w:val="auto"/>
          <w:sz w:val="20"/>
        </w:rPr>
        <w:t xml:space="preserve"> </w:t>
      </w:r>
      <w:proofErr w:type="spellStart"/>
      <w:r w:rsidRPr="00A502B0">
        <w:rPr>
          <w:rFonts w:ascii="Times New Roman" w:hAnsi="Times New Roman"/>
          <w:color w:val="auto"/>
          <w:sz w:val="20"/>
        </w:rPr>
        <w:t>dtd</w:t>
      </w:r>
      <w:proofErr w:type="spellEnd"/>
      <w:r w:rsidRPr="00A502B0">
        <w:rPr>
          <w:rFonts w:ascii="Times New Roman" w:hAnsi="Times New Roman"/>
          <w:color w:val="auto"/>
          <w:sz w:val="20"/>
        </w:rPr>
        <w:t xml:space="preserve"> 22 Dec 11 ICO </w:t>
      </w:r>
      <w:proofErr w:type="spellStart"/>
      <w:r>
        <w:rPr>
          <w:rFonts w:ascii="Times New Roman" w:hAnsi="Times New Roman"/>
          <w:color w:val="auto"/>
          <w:sz w:val="20"/>
        </w:rPr>
        <w:t>xxxxxxxxxxxxxxx</w:t>
      </w:r>
      <w:proofErr w:type="spellEnd"/>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 xml:space="preserve">           (e) PDBR </w:t>
      </w:r>
      <w:proofErr w:type="spellStart"/>
      <w:r w:rsidRPr="00A502B0">
        <w:rPr>
          <w:rFonts w:ascii="Times New Roman" w:hAnsi="Times New Roman"/>
          <w:color w:val="auto"/>
          <w:sz w:val="20"/>
        </w:rPr>
        <w:t>ltr</w:t>
      </w:r>
      <w:proofErr w:type="spellEnd"/>
      <w:r w:rsidRPr="00A502B0">
        <w:rPr>
          <w:rFonts w:ascii="Times New Roman" w:hAnsi="Times New Roman"/>
          <w:color w:val="auto"/>
          <w:sz w:val="20"/>
        </w:rPr>
        <w:t xml:space="preserve"> </w:t>
      </w:r>
      <w:proofErr w:type="spellStart"/>
      <w:r w:rsidRPr="00A502B0">
        <w:rPr>
          <w:rFonts w:ascii="Times New Roman" w:hAnsi="Times New Roman"/>
          <w:color w:val="auto"/>
          <w:sz w:val="20"/>
        </w:rPr>
        <w:t>dtd</w:t>
      </w:r>
      <w:proofErr w:type="spellEnd"/>
      <w:r w:rsidRPr="00A502B0">
        <w:rPr>
          <w:rFonts w:ascii="Times New Roman" w:hAnsi="Times New Roman"/>
          <w:color w:val="auto"/>
          <w:sz w:val="20"/>
        </w:rPr>
        <w:t xml:space="preserve"> 19 Jan 12 ICO </w:t>
      </w:r>
      <w:proofErr w:type="spellStart"/>
      <w:r>
        <w:rPr>
          <w:rFonts w:ascii="Times New Roman" w:hAnsi="Times New Roman"/>
          <w:color w:val="auto"/>
          <w:sz w:val="20"/>
        </w:rPr>
        <w:t>xxxxxxxxxxxxxxx</w:t>
      </w:r>
      <w:proofErr w:type="spellEnd"/>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 xml:space="preserve">           (f) PDBR </w:t>
      </w:r>
      <w:proofErr w:type="spellStart"/>
      <w:r w:rsidRPr="00A502B0">
        <w:rPr>
          <w:rFonts w:ascii="Times New Roman" w:hAnsi="Times New Roman"/>
          <w:color w:val="auto"/>
          <w:sz w:val="20"/>
        </w:rPr>
        <w:t>ltr</w:t>
      </w:r>
      <w:proofErr w:type="spellEnd"/>
      <w:r w:rsidRPr="00A502B0">
        <w:rPr>
          <w:rFonts w:ascii="Times New Roman" w:hAnsi="Times New Roman"/>
          <w:color w:val="auto"/>
          <w:sz w:val="20"/>
        </w:rPr>
        <w:t xml:space="preserve"> </w:t>
      </w:r>
      <w:proofErr w:type="spellStart"/>
      <w:r w:rsidRPr="00A502B0">
        <w:rPr>
          <w:rFonts w:ascii="Times New Roman" w:hAnsi="Times New Roman"/>
          <w:color w:val="auto"/>
          <w:sz w:val="20"/>
        </w:rPr>
        <w:t>dtd</w:t>
      </w:r>
      <w:proofErr w:type="spellEnd"/>
      <w:r w:rsidRPr="00A502B0">
        <w:rPr>
          <w:rFonts w:ascii="Times New Roman" w:hAnsi="Times New Roman"/>
          <w:color w:val="auto"/>
          <w:sz w:val="20"/>
        </w:rPr>
        <w:t xml:space="preserve"> 12 Jan 12 ICO </w:t>
      </w:r>
      <w:proofErr w:type="spellStart"/>
      <w:r>
        <w:rPr>
          <w:rFonts w:ascii="Times New Roman" w:hAnsi="Times New Roman"/>
          <w:color w:val="auto"/>
          <w:sz w:val="20"/>
        </w:rPr>
        <w:t>xxxxxxxxxxxxxxx</w:t>
      </w:r>
      <w:proofErr w:type="spellEnd"/>
    </w:p>
    <w:p w:rsidR="006A018A" w:rsidRPr="00A502B0" w:rsidRDefault="006A018A" w:rsidP="006A018A">
      <w:pPr>
        <w:rPr>
          <w:rFonts w:ascii="Times New Roman" w:hAnsi="Times New Roman"/>
          <w:color w:val="auto"/>
          <w:sz w:val="20"/>
        </w:rPr>
      </w:pPr>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1.  Pursuant to reference (a) I approve the recommendations of the Physical Disability Board of Review set forth in references (b) through (f).</w:t>
      </w:r>
    </w:p>
    <w:p w:rsidR="006A018A" w:rsidRPr="00A502B0" w:rsidRDefault="006A018A" w:rsidP="006A018A">
      <w:pPr>
        <w:rPr>
          <w:rFonts w:ascii="Times New Roman" w:hAnsi="Times New Roman"/>
          <w:color w:val="auto"/>
          <w:sz w:val="20"/>
        </w:rPr>
      </w:pPr>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2.  The official records of the following individuals are to be corrected to reflect the stated disposition:</w:t>
      </w:r>
    </w:p>
    <w:p w:rsidR="006A018A" w:rsidRPr="00A502B0" w:rsidRDefault="006A018A" w:rsidP="006A018A">
      <w:pPr>
        <w:rPr>
          <w:rFonts w:ascii="Times New Roman" w:hAnsi="Times New Roman"/>
          <w:color w:val="auto"/>
          <w:sz w:val="20"/>
        </w:rPr>
      </w:pPr>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 xml:space="preserve">     a.  </w:t>
      </w:r>
      <w:r>
        <w:rPr>
          <w:rFonts w:ascii="Times New Roman" w:hAnsi="Times New Roman"/>
          <w:color w:val="auto"/>
          <w:sz w:val="20"/>
          <w:u w:val="single"/>
        </w:rPr>
        <w:t xml:space="preserve"> </w:t>
      </w:r>
      <w:r w:rsidRPr="00A502B0">
        <w:rPr>
          <w:rFonts w:ascii="Times New Roman" w:hAnsi="Times New Roman"/>
          <w:color w:val="auto"/>
          <w:sz w:val="20"/>
          <w:u w:val="single"/>
        </w:rPr>
        <w:t xml:space="preserve"> XXX XX 3238</w:t>
      </w:r>
      <w:r w:rsidRPr="00A502B0">
        <w:rPr>
          <w:rFonts w:ascii="Times New Roman" w:hAnsi="Times New Roman"/>
          <w:color w:val="auto"/>
          <w:sz w:val="20"/>
        </w:rPr>
        <w:t>:  Assignment to the Temporary Disability Retired List with a 60 percent disability rating for the period 31 October 2007 through 30 April 2008 and placement on the Permanent Disability Retired List with a 30 percent rating effective 1 May 2008.</w:t>
      </w:r>
    </w:p>
    <w:p w:rsidR="006A018A" w:rsidRPr="00A502B0" w:rsidRDefault="006A018A" w:rsidP="006A018A">
      <w:pPr>
        <w:rPr>
          <w:rFonts w:ascii="Times New Roman" w:hAnsi="Times New Roman"/>
          <w:color w:val="auto"/>
          <w:sz w:val="20"/>
        </w:rPr>
      </w:pPr>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 xml:space="preserve">      b.  </w:t>
      </w:r>
      <w:r>
        <w:rPr>
          <w:rFonts w:ascii="Times New Roman" w:hAnsi="Times New Roman"/>
          <w:color w:val="auto"/>
          <w:sz w:val="20"/>
          <w:u w:val="single"/>
        </w:rPr>
        <w:t xml:space="preserve"> </w:t>
      </w:r>
      <w:r w:rsidRPr="00A502B0">
        <w:rPr>
          <w:rFonts w:ascii="Times New Roman" w:hAnsi="Times New Roman"/>
          <w:color w:val="auto"/>
          <w:sz w:val="20"/>
          <w:u w:val="single"/>
        </w:rPr>
        <w:t>XXX-XX-0919</w:t>
      </w:r>
      <w:r w:rsidRPr="00A502B0">
        <w:rPr>
          <w:rFonts w:ascii="Times New Roman" w:hAnsi="Times New Roman"/>
          <w:color w:val="auto"/>
          <w:sz w:val="20"/>
        </w:rPr>
        <w:t>:  Placement on the Permanent Disability Retired List with a 30 percent disability rating 5 January 2006.</w:t>
      </w:r>
    </w:p>
    <w:p w:rsidR="006A018A" w:rsidRPr="00A502B0" w:rsidRDefault="006A018A" w:rsidP="006A018A">
      <w:pPr>
        <w:rPr>
          <w:rFonts w:ascii="Times New Roman" w:hAnsi="Times New Roman"/>
          <w:color w:val="auto"/>
          <w:sz w:val="20"/>
        </w:rPr>
      </w:pPr>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 xml:space="preserve">      </w:t>
      </w:r>
      <w:proofErr w:type="gramStart"/>
      <w:r w:rsidRPr="00A502B0">
        <w:rPr>
          <w:rFonts w:ascii="Times New Roman" w:hAnsi="Times New Roman"/>
          <w:color w:val="auto"/>
          <w:sz w:val="20"/>
        </w:rPr>
        <w:t>c</w:t>
      </w:r>
      <w:proofErr w:type="gramEnd"/>
      <w:r w:rsidRPr="00A502B0">
        <w:rPr>
          <w:rFonts w:ascii="Times New Roman" w:hAnsi="Times New Roman"/>
          <w:color w:val="auto"/>
          <w:sz w:val="20"/>
        </w:rPr>
        <w:t xml:space="preserve">.  </w:t>
      </w:r>
      <w:r>
        <w:rPr>
          <w:rFonts w:ascii="Times New Roman" w:hAnsi="Times New Roman"/>
          <w:color w:val="auto"/>
          <w:sz w:val="20"/>
          <w:u w:val="single"/>
        </w:rPr>
        <w:t xml:space="preserve"> </w:t>
      </w:r>
      <w:r w:rsidRPr="00A502B0">
        <w:rPr>
          <w:rFonts w:ascii="Times New Roman" w:hAnsi="Times New Roman"/>
          <w:color w:val="auto"/>
          <w:sz w:val="20"/>
          <w:u w:val="single"/>
        </w:rPr>
        <w:t>XXX XX 3246</w:t>
      </w:r>
      <w:r w:rsidRPr="00A502B0">
        <w:rPr>
          <w:rFonts w:ascii="Times New Roman" w:hAnsi="Times New Roman"/>
          <w:color w:val="auto"/>
          <w:sz w:val="20"/>
        </w:rPr>
        <w:t>:  Placement on the Permanent Disability Retired List at 30 percent effective 15 October 2006.</w:t>
      </w:r>
    </w:p>
    <w:p w:rsidR="006A018A" w:rsidRPr="00A502B0" w:rsidRDefault="006A018A" w:rsidP="006A018A">
      <w:pPr>
        <w:rPr>
          <w:rFonts w:ascii="Times New Roman" w:hAnsi="Times New Roman"/>
          <w:color w:val="auto"/>
          <w:sz w:val="20"/>
        </w:rPr>
      </w:pPr>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 xml:space="preserve">      </w:t>
      </w:r>
      <w:proofErr w:type="gramStart"/>
      <w:r w:rsidRPr="00A502B0">
        <w:rPr>
          <w:rFonts w:ascii="Times New Roman" w:hAnsi="Times New Roman"/>
          <w:color w:val="auto"/>
          <w:sz w:val="20"/>
        </w:rPr>
        <w:t>d</w:t>
      </w:r>
      <w:proofErr w:type="gramEnd"/>
      <w:r w:rsidRPr="00A502B0">
        <w:rPr>
          <w:rFonts w:ascii="Times New Roman" w:hAnsi="Times New Roman"/>
          <w:color w:val="auto"/>
          <w:sz w:val="20"/>
        </w:rPr>
        <w:t xml:space="preserve">.  </w:t>
      </w:r>
      <w:r>
        <w:rPr>
          <w:rFonts w:ascii="Times New Roman" w:hAnsi="Times New Roman"/>
          <w:color w:val="auto"/>
          <w:sz w:val="20"/>
          <w:u w:val="single"/>
        </w:rPr>
        <w:t xml:space="preserve"> </w:t>
      </w:r>
      <w:r w:rsidRPr="00A502B0">
        <w:rPr>
          <w:rFonts w:ascii="Times New Roman" w:hAnsi="Times New Roman"/>
          <w:color w:val="auto"/>
          <w:sz w:val="20"/>
          <w:u w:val="single"/>
        </w:rPr>
        <w:t>XXX XX 1973</w:t>
      </w:r>
      <w:r w:rsidRPr="00A502B0">
        <w:rPr>
          <w:rFonts w:ascii="Times New Roman" w:hAnsi="Times New Roman"/>
          <w:color w:val="auto"/>
          <w:sz w:val="20"/>
        </w:rPr>
        <w:t>:  Placement on the Permanent Disability Retired List with a 50 percent disability rating effective 31 Aug 2011.</w:t>
      </w:r>
    </w:p>
    <w:p w:rsidR="006A018A" w:rsidRPr="00A502B0" w:rsidRDefault="006A018A" w:rsidP="006A018A">
      <w:pPr>
        <w:rPr>
          <w:rFonts w:ascii="Times New Roman" w:hAnsi="Times New Roman"/>
          <w:color w:val="auto"/>
          <w:sz w:val="20"/>
        </w:rPr>
      </w:pPr>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 xml:space="preserve">      </w:t>
      </w:r>
      <w:proofErr w:type="gramStart"/>
      <w:r w:rsidRPr="00A502B0">
        <w:rPr>
          <w:rFonts w:ascii="Times New Roman" w:hAnsi="Times New Roman"/>
          <w:color w:val="auto"/>
          <w:sz w:val="20"/>
        </w:rPr>
        <w:t>e</w:t>
      </w:r>
      <w:proofErr w:type="gramEnd"/>
      <w:r w:rsidRPr="00A502B0">
        <w:rPr>
          <w:rFonts w:ascii="Times New Roman" w:hAnsi="Times New Roman"/>
          <w:color w:val="auto"/>
          <w:sz w:val="20"/>
        </w:rPr>
        <w:t xml:space="preserve">.  </w:t>
      </w:r>
      <w:r>
        <w:rPr>
          <w:rFonts w:ascii="Times New Roman" w:hAnsi="Times New Roman"/>
          <w:color w:val="auto"/>
          <w:sz w:val="20"/>
          <w:u w:val="single"/>
        </w:rPr>
        <w:t xml:space="preserve"> </w:t>
      </w:r>
      <w:r w:rsidRPr="00A502B0">
        <w:rPr>
          <w:rFonts w:ascii="Times New Roman" w:hAnsi="Times New Roman"/>
          <w:color w:val="auto"/>
          <w:sz w:val="20"/>
          <w:u w:val="single"/>
        </w:rPr>
        <w:t xml:space="preserve"> XXX XX 2573</w:t>
      </w:r>
      <w:r w:rsidRPr="00A502B0">
        <w:rPr>
          <w:rFonts w:ascii="Times New Roman" w:hAnsi="Times New Roman"/>
          <w:color w:val="auto"/>
          <w:sz w:val="20"/>
        </w:rPr>
        <w:t>:  Separation from the Naval service due to physical disability rated at 20 percent (increased from 10 percent) effective 1 August 2005.</w:t>
      </w:r>
    </w:p>
    <w:p w:rsidR="006A018A" w:rsidRPr="00A502B0" w:rsidRDefault="006A018A" w:rsidP="006A018A">
      <w:pPr>
        <w:rPr>
          <w:rFonts w:ascii="Times New Roman" w:hAnsi="Times New Roman"/>
          <w:color w:val="auto"/>
          <w:sz w:val="20"/>
        </w:rPr>
      </w:pPr>
    </w:p>
    <w:p w:rsidR="006A018A" w:rsidRPr="00A502B0" w:rsidRDefault="006A018A" w:rsidP="006A018A">
      <w:pPr>
        <w:rPr>
          <w:rFonts w:ascii="Times New Roman" w:hAnsi="Times New Roman"/>
          <w:color w:val="auto"/>
          <w:sz w:val="20"/>
        </w:rPr>
      </w:pPr>
      <w:r w:rsidRPr="00A502B0">
        <w:rPr>
          <w:rFonts w:ascii="Times New Roman" w:hAnsi="Times New Roman"/>
          <w:color w:val="auto"/>
          <w:sz w:val="20"/>
        </w:rPr>
        <w:t>3.  Please ensure all necessary actions are taken to implement these decisions, including the recoupment of disability severance pay, if warranted, and notification to the subject members once those actions are completed.</w:t>
      </w:r>
    </w:p>
    <w:p w:rsidR="006A018A" w:rsidRPr="00A502B0" w:rsidRDefault="006A018A" w:rsidP="006A018A">
      <w:pPr>
        <w:rPr>
          <w:rFonts w:ascii="Times New Roman" w:hAnsi="Times New Roman"/>
          <w:color w:val="auto"/>
          <w:sz w:val="20"/>
        </w:rPr>
      </w:pPr>
    </w:p>
    <w:p w:rsidR="006A018A" w:rsidRPr="00A502B0" w:rsidRDefault="006A018A" w:rsidP="006A018A">
      <w:pPr>
        <w:rPr>
          <w:rFonts w:ascii="Times New Roman" w:hAnsi="Times New Roman"/>
          <w:color w:val="auto"/>
          <w:sz w:val="20"/>
        </w:rPr>
      </w:pPr>
    </w:p>
    <w:p w:rsidR="006A018A" w:rsidRPr="00A502B0" w:rsidRDefault="006A018A" w:rsidP="006A018A">
      <w:pPr>
        <w:rPr>
          <w:rFonts w:ascii="Times New Roman" w:hAnsi="Times New Roman"/>
          <w:color w:val="auto"/>
          <w:sz w:val="20"/>
        </w:rPr>
      </w:pPr>
    </w:p>
    <w:p w:rsidR="006A018A" w:rsidRPr="00A502B0" w:rsidRDefault="006A018A" w:rsidP="006A018A">
      <w:pPr>
        <w:tabs>
          <w:tab w:val="left" w:pos="4680"/>
        </w:tabs>
        <w:rPr>
          <w:rFonts w:ascii="Times New Roman" w:hAnsi="Times New Roman"/>
          <w:color w:val="auto"/>
          <w:sz w:val="20"/>
        </w:rPr>
      </w:pPr>
      <w:r w:rsidRPr="00A502B0">
        <w:rPr>
          <w:rFonts w:ascii="Times New Roman" w:hAnsi="Times New Roman"/>
          <w:color w:val="auto"/>
          <w:sz w:val="20"/>
        </w:rPr>
        <w:tab/>
      </w:r>
      <w:r>
        <w:rPr>
          <w:rFonts w:ascii="Times New Roman" w:hAnsi="Times New Roman"/>
          <w:color w:val="auto"/>
          <w:sz w:val="20"/>
        </w:rPr>
        <w:t xml:space="preserve"> </w:t>
      </w:r>
    </w:p>
    <w:p w:rsidR="006A018A" w:rsidRPr="00A502B0" w:rsidRDefault="006A018A" w:rsidP="006A018A">
      <w:pPr>
        <w:tabs>
          <w:tab w:val="left" w:pos="4680"/>
        </w:tabs>
        <w:rPr>
          <w:rFonts w:ascii="Times New Roman" w:hAnsi="Times New Roman"/>
          <w:color w:val="auto"/>
          <w:sz w:val="20"/>
        </w:rPr>
      </w:pPr>
      <w:r w:rsidRPr="00A502B0">
        <w:rPr>
          <w:rFonts w:ascii="Times New Roman" w:hAnsi="Times New Roman"/>
          <w:color w:val="auto"/>
          <w:sz w:val="20"/>
        </w:rPr>
        <w:tab/>
        <w:t>Assistant General Counsel</w:t>
      </w:r>
    </w:p>
    <w:p w:rsidR="006A018A" w:rsidRPr="00A502B0" w:rsidRDefault="006A018A" w:rsidP="006A018A">
      <w:pPr>
        <w:tabs>
          <w:tab w:val="left" w:pos="4680"/>
        </w:tabs>
        <w:rPr>
          <w:rFonts w:ascii="Times New Roman" w:hAnsi="Times New Roman"/>
          <w:color w:val="auto"/>
          <w:sz w:val="20"/>
        </w:rPr>
      </w:pPr>
      <w:r w:rsidRPr="00A502B0">
        <w:rPr>
          <w:rFonts w:ascii="Times New Roman" w:hAnsi="Times New Roman"/>
          <w:color w:val="auto"/>
          <w:sz w:val="20"/>
        </w:rPr>
        <w:tab/>
        <w:t xml:space="preserve">  (Manpower &amp; Reserve Affairs)</w:t>
      </w:r>
    </w:p>
    <w:p w:rsidR="00B522CD" w:rsidRPr="00006186" w:rsidRDefault="00B522CD" w:rsidP="00510F9C">
      <w:pPr>
        <w:tabs>
          <w:tab w:val="left" w:pos="288"/>
          <w:tab w:val="left" w:pos="4320"/>
          <w:tab w:val="left" w:pos="4410"/>
          <w:tab w:val="left" w:pos="4770"/>
          <w:tab w:val="left" w:pos="4860"/>
          <w:tab w:val="left" w:pos="5040"/>
        </w:tabs>
        <w:spacing w:line="240" w:lineRule="exact"/>
        <w:jc w:val="both"/>
        <w:rPr>
          <w:rFonts w:asciiTheme="minorHAnsi" w:hAnsiTheme="minorHAnsi"/>
          <w:color w:val="auto"/>
        </w:rPr>
      </w:pPr>
    </w:p>
    <w:sectPr w:rsidR="00B522CD" w:rsidRPr="00006186" w:rsidSect="002A5C3C">
      <w:footerReference w:type="default" r:id="rId8"/>
      <w:footerReference w:type="first" r:id="rId9"/>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C87" w:rsidRDefault="008C0C87">
      <w:r>
        <w:separator/>
      </w:r>
    </w:p>
  </w:endnote>
  <w:endnote w:type="continuationSeparator" w:id="0">
    <w:p w:rsidR="008C0C87" w:rsidRDefault="008C0C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6984766"/>
      <w:docPartObj>
        <w:docPartGallery w:val="Page Numbers (Bottom of Page)"/>
        <w:docPartUnique/>
      </w:docPartObj>
    </w:sdtPr>
    <w:sdtContent>
      <w:p w:rsidR="00974663" w:rsidRPr="00684CE6" w:rsidRDefault="00A26F15" w:rsidP="00F65ED5">
        <w:pPr>
          <w:pStyle w:val="Footer"/>
          <w:jc w:val="right"/>
          <w:rPr>
            <w:color w:val="auto"/>
          </w:rPr>
        </w:pPr>
        <w:r w:rsidRPr="00684CE6">
          <w:rPr>
            <w:color w:val="auto"/>
          </w:rPr>
          <w:fldChar w:fldCharType="begin"/>
        </w:r>
        <w:r w:rsidR="00974663" w:rsidRPr="00684CE6">
          <w:rPr>
            <w:color w:val="auto"/>
          </w:rPr>
          <w:instrText xml:space="preserve"> PAGE   \* MERGEFORMAT </w:instrText>
        </w:r>
        <w:r w:rsidRPr="00684CE6">
          <w:rPr>
            <w:color w:val="auto"/>
          </w:rPr>
          <w:fldChar w:fldCharType="separate"/>
        </w:r>
        <w:r w:rsidR="006A018A">
          <w:rPr>
            <w:noProof/>
            <w:color w:val="auto"/>
          </w:rPr>
          <w:t>5</w:t>
        </w:r>
        <w:r w:rsidRPr="00684CE6">
          <w:rPr>
            <w:color w:val="auto"/>
          </w:rPr>
          <w:fldChar w:fldCharType="end"/>
        </w:r>
        <w:r w:rsidR="00974663" w:rsidRPr="00684CE6">
          <w:rPr>
            <w:color w:val="auto"/>
          </w:rPr>
          <w:t xml:space="preserve">                                                           PD</w:t>
        </w:r>
        <w:r w:rsidR="00974663" w:rsidRPr="004802B9">
          <w:rPr>
            <w:color w:val="auto"/>
          </w:rPr>
          <w:t>110000</w:t>
        </w:r>
        <w:r w:rsidR="00974663">
          <w:rPr>
            <w:color w:val="auto"/>
          </w:rPr>
          <w:t>02</w:t>
        </w:r>
      </w:p>
    </w:sdtContent>
  </w:sdt>
  <w:p w:rsidR="00974663" w:rsidRPr="00684CE6" w:rsidRDefault="00974663">
    <w:pPr>
      <w:pStyle w:val="Footer"/>
      <w:rPr>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63" w:rsidRPr="00DB4A6D" w:rsidRDefault="00974663" w:rsidP="00DB4A6D">
    <w:pPr>
      <w:pStyle w:val="Footer"/>
      <w:rPr>
        <w:color w:val="auto"/>
      </w:rPr>
    </w:pPr>
    <w:r w:rsidRPr="00DB4A6D">
      <w:rPr>
        <w:color w:val="auto"/>
      </w:rP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C87" w:rsidRDefault="008C0C87">
      <w:r>
        <w:separator/>
      </w:r>
    </w:p>
  </w:footnote>
  <w:footnote w:type="continuationSeparator" w:id="0">
    <w:p w:rsidR="008C0C87" w:rsidRDefault="008C0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42CC"/>
    <w:multiLevelType w:val="hybridMultilevel"/>
    <w:tmpl w:val="BFA47516"/>
    <w:lvl w:ilvl="0" w:tplc="7018B964">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E7CCC"/>
    <w:multiLevelType w:val="hybridMultilevel"/>
    <w:tmpl w:val="F26CA91A"/>
    <w:lvl w:ilvl="0" w:tplc="8F7AB93E">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2268AC"/>
    <w:multiLevelType w:val="hybridMultilevel"/>
    <w:tmpl w:val="D526C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F14EEB"/>
    <w:multiLevelType w:val="hybridMultilevel"/>
    <w:tmpl w:val="A5C28332"/>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71C56"/>
    <w:multiLevelType w:val="hybridMultilevel"/>
    <w:tmpl w:val="E8F47BEC"/>
    <w:lvl w:ilvl="0" w:tplc="8426079A">
      <w:numFmt w:val="bullet"/>
      <w:lvlText w:val=""/>
      <w:lvlJc w:val="left"/>
      <w:pPr>
        <w:ind w:left="615" w:hanging="360"/>
      </w:pPr>
      <w:rPr>
        <w:rFonts w:ascii="Wingdings" w:eastAsia="Times New Roman" w:hAnsi="Wingdings"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5">
    <w:nsid w:val="17BA7C44"/>
    <w:multiLevelType w:val="hybridMultilevel"/>
    <w:tmpl w:val="7C126282"/>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422F0"/>
    <w:multiLevelType w:val="hybridMultilevel"/>
    <w:tmpl w:val="DF66D326"/>
    <w:lvl w:ilvl="0" w:tplc="7018B96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45D80"/>
    <w:multiLevelType w:val="hybridMultilevel"/>
    <w:tmpl w:val="A89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538FD"/>
    <w:multiLevelType w:val="hybridMultilevel"/>
    <w:tmpl w:val="6AA8201E"/>
    <w:lvl w:ilvl="0" w:tplc="7018B964">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6A3FF5"/>
    <w:multiLevelType w:val="hybridMultilevel"/>
    <w:tmpl w:val="CDACECDE"/>
    <w:lvl w:ilvl="0" w:tplc="DF86C54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F193D"/>
    <w:multiLevelType w:val="hybridMultilevel"/>
    <w:tmpl w:val="9C4EF4C6"/>
    <w:lvl w:ilvl="0" w:tplc="3B98A07E">
      <w:numFmt w:val="bullet"/>
      <w:lvlText w:val=""/>
      <w:lvlJc w:val="left"/>
      <w:pPr>
        <w:ind w:left="615" w:hanging="360"/>
      </w:pPr>
      <w:rPr>
        <w:rFonts w:ascii="Wingdings" w:eastAsia="Times New Roman" w:hAnsi="Wingdings"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1">
    <w:nsid w:val="431821A9"/>
    <w:multiLevelType w:val="hybridMultilevel"/>
    <w:tmpl w:val="100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F06437"/>
    <w:multiLevelType w:val="hybridMultilevel"/>
    <w:tmpl w:val="F88001A6"/>
    <w:lvl w:ilvl="0" w:tplc="5E7A03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56844"/>
    <w:multiLevelType w:val="hybridMultilevel"/>
    <w:tmpl w:val="979A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E172F4"/>
    <w:multiLevelType w:val="hybridMultilevel"/>
    <w:tmpl w:val="3B98A040"/>
    <w:lvl w:ilvl="0" w:tplc="C5A261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637FB"/>
    <w:multiLevelType w:val="hybridMultilevel"/>
    <w:tmpl w:val="E81C20AE"/>
    <w:lvl w:ilvl="0" w:tplc="41C2107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20263"/>
    <w:multiLevelType w:val="hybridMultilevel"/>
    <w:tmpl w:val="5ABA2AD0"/>
    <w:lvl w:ilvl="0" w:tplc="C3D8CF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94670E"/>
    <w:multiLevelType w:val="hybridMultilevel"/>
    <w:tmpl w:val="7C92692E"/>
    <w:lvl w:ilvl="0" w:tplc="20A6E15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DA16B7"/>
    <w:multiLevelType w:val="hybridMultilevel"/>
    <w:tmpl w:val="3BD2466C"/>
    <w:lvl w:ilvl="0" w:tplc="AABA22A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7"/>
  </w:num>
  <w:num w:numId="4">
    <w:abstractNumId w:val="6"/>
  </w:num>
  <w:num w:numId="5">
    <w:abstractNumId w:val="3"/>
  </w:num>
  <w:num w:numId="6">
    <w:abstractNumId w:val="8"/>
  </w:num>
  <w:num w:numId="7">
    <w:abstractNumId w:val="0"/>
  </w:num>
  <w:num w:numId="8">
    <w:abstractNumId w:val="5"/>
  </w:num>
  <w:num w:numId="9">
    <w:abstractNumId w:val="15"/>
  </w:num>
  <w:num w:numId="10">
    <w:abstractNumId w:val="10"/>
  </w:num>
  <w:num w:numId="11">
    <w:abstractNumId w:val="4"/>
  </w:num>
  <w:num w:numId="12">
    <w:abstractNumId w:val="13"/>
  </w:num>
  <w:num w:numId="13">
    <w:abstractNumId w:val="7"/>
  </w:num>
  <w:num w:numId="14">
    <w:abstractNumId w:val="14"/>
  </w:num>
  <w:num w:numId="15">
    <w:abstractNumId w:val="18"/>
  </w:num>
  <w:num w:numId="16">
    <w:abstractNumId w:val="1"/>
  </w:num>
  <w:num w:numId="17">
    <w:abstractNumId w:val="16"/>
  </w:num>
  <w:num w:numId="18">
    <w:abstractNumId w:val="9"/>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doNotDisplayPageBoundaries/>
  <w:printFractionalCharacterWidth/>
  <w:embedSystemFonts/>
  <w:activeWritingStyle w:appName="MSWord" w:lang="en-US" w:vendorID="8" w:dllVersion="513" w:checkStyle="1"/>
  <w:proofState w:spelling="clean" w:grammar="clean"/>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195586"/>
  </w:hdrShapeDefaults>
  <w:footnotePr>
    <w:numRestart w:val="eachSect"/>
    <w:footnote w:id="-1"/>
    <w:footnote w:id="0"/>
  </w:footnotePr>
  <w:endnotePr>
    <w:endnote w:id="-1"/>
    <w:endnote w:id="0"/>
  </w:endnotePr>
  <w:compat/>
  <w:rsids>
    <w:rsidRoot w:val="001C28D1"/>
    <w:rsid w:val="000024F5"/>
    <w:rsid w:val="000059FA"/>
    <w:rsid w:val="00006186"/>
    <w:rsid w:val="00006F87"/>
    <w:rsid w:val="00007107"/>
    <w:rsid w:val="00010ABA"/>
    <w:rsid w:val="00010B0F"/>
    <w:rsid w:val="00012428"/>
    <w:rsid w:val="00012733"/>
    <w:rsid w:val="00013417"/>
    <w:rsid w:val="000145C2"/>
    <w:rsid w:val="0001473F"/>
    <w:rsid w:val="00014A9E"/>
    <w:rsid w:val="0002086A"/>
    <w:rsid w:val="00021361"/>
    <w:rsid w:val="00022CF3"/>
    <w:rsid w:val="00023913"/>
    <w:rsid w:val="00023D43"/>
    <w:rsid w:val="00024DE7"/>
    <w:rsid w:val="00026092"/>
    <w:rsid w:val="00030776"/>
    <w:rsid w:val="00032710"/>
    <w:rsid w:val="00032E07"/>
    <w:rsid w:val="000332CA"/>
    <w:rsid w:val="0003374E"/>
    <w:rsid w:val="000344D8"/>
    <w:rsid w:val="000344E6"/>
    <w:rsid w:val="00035C3A"/>
    <w:rsid w:val="00036E4B"/>
    <w:rsid w:val="00037929"/>
    <w:rsid w:val="000379D0"/>
    <w:rsid w:val="00040FC4"/>
    <w:rsid w:val="000416F8"/>
    <w:rsid w:val="00042C26"/>
    <w:rsid w:val="00043382"/>
    <w:rsid w:val="00044623"/>
    <w:rsid w:val="000452D7"/>
    <w:rsid w:val="00051622"/>
    <w:rsid w:val="00051A11"/>
    <w:rsid w:val="00052234"/>
    <w:rsid w:val="00053D7C"/>
    <w:rsid w:val="000575C5"/>
    <w:rsid w:val="000577C9"/>
    <w:rsid w:val="000605AD"/>
    <w:rsid w:val="00060FFD"/>
    <w:rsid w:val="000627DD"/>
    <w:rsid w:val="0006431E"/>
    <w:rsid w:val="000652EA"/>
    <w:rsid w:val="00065E21"/>
    <w:rsid w:val="00066425"/>
    <w:rsid w:val="000673ED"/>
    <w:rsid w:val="00072433"/>
    <w:rsid w:val="0007488B"/>
    <w:rsid w:val="00075702"/>
    <w:rsid w:val="00075A0C"/>
    <w:rsid w:val="000775C2"/>
    <w:rsid w:val="000806AD"/>
    <w:rsid w:val="00080BDF"/>
    <w:rsid w:val="00082482"/>
    <w:rsid w:val="00084CF2"/>
    <w:rsid w:val="00085D7B"/>
    <w:rsid w:val="0008708B"/>
    <w:rsid w:val="00091F1E"/>
    <w:rsid w:val="00092619"/>
    <w:rsid w:val="00092C66"/>
    <w:rsid w:val="000949DD"/>
    <w:rsid w:val="00094E4F"/>
    <w:rsid w:val="000A2BCE"/>
    <w:rsid w:val="000A33C8"/>
    <w:rsid w:val="000A41E3"/>
    <w:rsid w:val="000A4BBA"/>
    <w:rsid w:val="000A5071"/>
    <w:rsid w:val="000B0AD2"/>
    <w:rsid w:val="000B1022"/>
    <w:rsid w:val="000B2FB8"/>
    <w:rsid w:val="000B432B"/>
    <w:rsid w:val="000B4C99"/>
    <w:rsid w:val="000B5DD6"/>
    <w:rsid w:val="000B65C3"/>
    <w:rsid w:val="000C06F6"/>
    <w:rsid w:val="000C1D34"/>
    <w:rsid w:val="000C2362"/>
    <w:rsid w:val="000C2FA8"/>
    <w:rsid w:val="000C3C13"/>
    <w:rsid w:val="000C4D5F"/>
    <w:rsid w:val="000C53F9"/>
    <w:rsid w:val="000C5813"/>
    <w:rsid w:val="000C75CF"/>
    <w:rsid w:val="000C7B83"/>
    <w:rsid w:val="000C7DE4"/>
    <w:rsid w:val="000D0AE6"/>
    <w:rsid w:val="000D15E7"/>
    <w:rsid w:val="000D1A24"/>
    <w:rsid w:val="000D1CF4"/>
    <w:rsid w:val="000D1DBC"/>
    <w:rsid w:val="000D21C7"/>
    <w:rsid w:val="000D248A"/>
    <w:rsid w:val="000D2CFD"/>
    <w:rsid w:val="000D35D8"/>
    <w:rsid w:val="000D43F9"/>
    <w:rsid w:val="000D4717"/>
    <w:rsid w:val="000D6457"/>
    <w:rsid w:val="000D7D55"/>
    <w:rsid w:val="000E0993"/>
    <w:rsid w:val="000E2E50"/>
    <w:rsid w:val="000E37E0"/>
    <w:rsid w:val="000E3F20"/>
    <w:rsid w:val="000E5577"/>
    <w:rsid w:val="000E7034"/>
    <w:rsid w:val="000F02BE"/>
    <w:rsid w:val="000F0928"/>
    <w:rsid w:val="000F427B"/>
    <w:rsid w:val="000F43D0"/>
    <w:rsid w:val="000F4F18"/>
    <w:rsid w:val="000F688E"/>
    <w:rsid w:val="000F7181"/>
    <w:rsid w:val="001007CE"/>
    <w:rsid w:val="001008C1"/>
    <w:rsid w:val="001023DB"/>
    <w:rsid w:val="00102B8D"/>
    <w:rsid w:val="001035B2"/>
    <w:rsid w:val="00103948"/>
    <w:rsid w:val="00103CCF"/>
    <w:rsid w:val="0010417F"/>
    <w:rsid w:val="001042D2"/>
    <w:rsid w:val="0010530E"/>
    <w:rsid w:val="00105C07"/>
    <w:rsid w:val="00106AD8"/>
    <w:rsid w:val="00107EC5"/>
    <w:rsid w:val="001103CD"/>
    <w:rsid w:val="00113D2A"/>
    <w:rsid w:val="00114F20"/>
    <w:rsid w:val="0011590B"/>
    <w:rsid w:val="00116B9A"/>
    <w:rsid w:val="001211AF"/>
    <w:rsid w:val="001219DF"/>
    <w:rsid w:val="0012220B"/>
    <w:rsid w:val="00122ABE"/>
    <w:rsid w:val="001231DC"/>
    <w:rsid w:val="0012489B"/>
    <w:rsid w:val="001272AE"/>
    <w:rsid w:val="00130756"/>
    <w:rsid w:val="001315DD"/>
    <w:rsid w:val="0013525F"/>
    <w:rsid w:val="00135385"/>
    <w:rsid w:val="001364D1"/>
    <w:rsid w:val="001374C7"/>
    <w:rsid w:val="001421FD"/>
    <w:rsid w:val="001425C8"/>
    <w:rsid w:val="00142EBA"/>
    <w:rsid w:val="00143B79"/>
    <w:rsid w:val="00145965"/>
    <w:rsid w:val="00150B8A"/>
    <w:rsid w:val="00150DCB"/>
    <w:rsid w:val="00151912"/>
    <w:rsid w:val="00153740"/>
    <w:rsid w:val="00153D88"/>
    <w:rsid w:val="001541C5"/>
    <w:rsid w:val="0015623F"/>
    <w:rsid w:val="00156585"/>
    <w:rsid w:val="00156BA9"/>
    <w:rsid w:val="00161642"/>
    <w:rsid w:val="00161761"/>
    <w:rsid w:val="00166182"/>
    <w:rsid w:val="0017139A"/>
    <w:rsid w:val="001724C8"/>
    <w:rsid w:val="001732C4"/>
    <w:rsid w:val="001745DD"/>
    <w:rsid w:val="00174FDE"/>
    <w:rsid w:val="00174FE3"/>
    <w:rsid w:val="00177659"/>
    <w:rsid w:val="001779E5"/>
    <w:rsid w:val="00180826"/>
    <w:rsid w:val="00181240"/>
    <w:rsid w:val="00182A4C"/>
    <w:rsid w:val="00183F77"/>
    <w:rsid w:val="00183FB3"/>
    <w:rsid w:val="001844D8"/>
    <w:rsid w:val="00185DA8"/>
    <w:rsid w:val="00185ECB"/>
    <w:rsid w:val="001865E0"/>
    <w:rsid w:val="001870F0"/>
    <w:rsid w:val="00190E48"/>
    <w:rsid w:val="0019273F"/>
    <w:rsid w:val="00193814"/>
    <w:rsid w:val="00193AAB"/>
    <w:rsid w:val="00193AD5"/>
    <w:rsid w:val="00194930"/>
    <w:rsid w:val="00195AAC"/>
    <w:rsid w:val="001A025E"/>
    <w:rsid w:val="001A08CD"/>
    <w:rsid w:val="001A0A1E"/>
    <w:rsid w:val="001A2182"/>
    <w:rsid w:val="001A323E"/>
    <w:rsid w:val="001A4DC3"/>
    <w:rsid w:val="001A5320"/>
    <w:rsid w:val="001A5E62"/>
    <w:rsid w:val="001A6848"/>
    <w:rsid w:val="001A7538"/>
    <w:rsid w:val="001B06FB"/>
    <w:rsid w:val="001B0B1A"/>
    <w:rsid w:val="001B4C0B"/>
    <w:rsid w:val="001B4EC2"/>
    <w:rsid w:val="001B5B59"/>
    <w:rsid w:val="001B60E0"/>
    <w:rsid w:val="001B755A"/>
    <w:rsid w:val="001B7C8C"/>
    <w:rsid w:val="001C0688"/>
    <w:rsid w:val="001C181A"/>
    <w:rsid w:val="001C1877"/>
    <w:rsid w:val="001C2053"/>
    <w:rsid w:val="001C252F"/>
    <w:rsid w:val="001C28D1"/>
    <w:rsid w:val="001C3473"/>
    <w:rsid w:val="001C5BDA"/>
    <w:rsid w:val="001C5CFC"/>
    <w:rsid w:val="001C7231"/>
    <w:rsid w:val="001C7418"/>
    <w:rsid w:val="001C7EBE"/>
    <w:rsid w:val="001D0051"/>
    <w:rsid w:val="001D15E8"/>
    <w:rsid w:val="001D169A"/>
    <w:rsid w:val="001D2224"/>
    <w:rsid w:val="001D31AA"/>
    <w:rsid w:val="001D3DC0"/>
    <w:rsid w:val="001D4F88"/>
    <w:rsid w:val="001D5399"/>
    <w:rsid w:val="001D68CF"/>
    <w:rsid w:val="001D6A8C"/>
    <w:rsid w:val="001D7A56"/>
    <w:rsid w:val="001E15C0"/>
    <w:rsid w:val="001E18E0"/>
    <w:rsid w:val="001E18E2"/>
    <w:rsid w:val="001E19D0"/>
    <w:rsid w:val="001E2A30"/>
    <w:rsid w:val="001E2FF1"/>
    <w:rsid w:val="001E41FE"/>
    <w:rsid w:val="001E5492"/>
    <w:rsid w:val="001E635C"/>
    <w:rsid w:val="001E7CD5"/>
    <w:rsid w:val="001F0297"/>
    <w:rsid w:val="001F1978"/>
    <w:rsid w:val="00200AA0"/>
    <w:rsid w:val="00202325"/>
    <w:rsid w:val="00202736"/>
    <w:rsid w:val="00203652"/>
    <w:rsid w:val="002042DE"/>
    <w:rsid w:val="00204562"/>
    <w:rsid w:val="00205B4F"/>
    <w:rsid w:val="002060B6"/>
    <w:rsid w:val="002066B5"/>
    <w:rsid w:val="00211612"/>
    <w:rsid w:val="002119B6"/>
    <w:rsid w:val="00212B40"/>
    <w:rsid w:val="00213BD0"/>
    <w:rsid w:val="00214DBA"/>
    <w:rsid w:val="002151AB"/>
    <w:rsid w:val="0021548C"/>
    <w:rsid w:val="00215C4C"/>
    <w:rsid w:val="00215ED6"/>
    <w:rsid w:val="00216049"/>
    <w:rsid w:val="002163FA"/>
    <w:rsid w:val="00217606"/>
    <w:rsid w:val="00217C09"/>
    <w:rsid w:val="002202EB"/>
    <w:rsid w:val="00220F5C"/>
    <w:rsid w:val="002216BF"/>
    <w:rsid w:val="00221B9B"/>
    <w:rsid w:val="00222268"/>
    <w:rsid w:val="00225080"/>
    <w:rsid w:val="00225196"/>
    <w:rsid w:val="00225CB4"/>
    <w:rsid w:val="00226B1A"/>
    <w:rsid w:val="00227F0B"/>
    <w:rsid w:val="0023049F"/>
    <w:rsid w:val="002310C3"/>
    <w:rsid w:val="0023162D"/>
    <w:rsid w:val="002316F6"/>
    <w:rsid w:val="0023266A"/>
    <w:rsid w:val="00232C9B"/>
    <w:rsid w:val="00232E73"/>
    <w:rsid w:val="00232F09"/>
    <w:rsid w:val="002335D5"/>
    <w:rsid w:val="002338CA"/>
    <w:rsid w:val="00233FE5"/>
    <w:rsid w:val="0023408C"/>
    <w:rsid w:val="00234B3B"/>
    <w:rsid w:val="00234D98"/>
    <w:rsid w:val="00236018"/>
    <w:rsid w:val="002374C9"/>
    <w:rsid w:val="00240CE7"/>
    <w:rsid w:val="0024174E"/>
    <w:rsid w:val="00241875"/>
    <w:rsid w:val="00242238"/>
    <w:rsid w:val="0024227D"/>
    <w:rsid w:val="00242D14"/>
    <w:rsid w:val="00246860"/>
    <w:rsid w:val="002468D9"/>
    <w:rsid w:val="00246DFF"/>
    <w:rsid w:val="00246E89"/>
    <w:rsid w:val="00250682"/>
    <w:rsid w:val="0025183C"/>
    <w:rsid w:val="00252351"/>
    <w:rsid w:val="002528EC"/>
    <w:rsid w:val="00252CAD"/>
    <w:rsid w:val="00253EAA"/>
    <w:rsid w:val="00255049"/>
    <w:rsid w:val="00257AFF"/>
    <w:rsid w:val="00257DE5"/>
    <w:rsid w:val="00260531"/>
    <w:rsid w:val="00260B9A"/>
    <w:rsid w:val="00261CDC"/>
    <w:rsid w:val="00262EA5"/>
    <w:rsid w:val="0026318D"/>
    <w:rsid w:val="00264148"/>
    <w:rsid w:val="002660AF"/>
    <w:rsid w:val="00270864"/>
    <w:rsid w:val="002712F7"/>
    <w:rsid w:val="0027159C"/>
    <w:rsid w:val="002722F2"/>
    <w:rsid w:val="00274549"/>
    <w:rsid w:val="00274E46"/>
    <w:rsid w:val="002752AE"/>
    <w:rsid w:val="002769AF"/>
    <w:rsid w:val="00276C86"/>
    <w:rsid w:val="00276FD0"/>
    <w:rsid w:val="00277217"/>
    <w:rsid w:val="002810A4"/>
    <w:rsid w:val="00282DB6"/>
    <w:rsid w:val="00284A26"/>
    <w:rsid w:val="00285095"/>
    <w:rsid w:val="00287006"/>
    <w:rsid w:val="00292397"/>
    <w:rsid w:val="00292AB2"/>
    <w:rsid w:val="00293DB6"/>
    <w:rsid w:val="00293FE8"/>
    <w:rsid w:val="00294437"/>
    <w:rsid w:val="00297A45"/>
    <w:rsid w:val="00297E20"/>
    <w:rsid w:val="002A233F"/>
    <w:rsid w:val="002A3237"/>
    <w:rsid w:val="002A4119"/>
    <w:rsid w:val="002A58B7"/>
    <w:rsid w:val="002A5943"/>
    <w:rsid w:val="002A5C3C"/>
    <w:rsid w:val="002A685E"/>
    <w:rsid w:val="002A72C7"/>
    <w:rsid w:val="002B03B2"/>
    <w:rsid w:val="002B0749"/>
    <w:rsid w:val="002B2645"/>
    <w:rsid w:val="002B303A"/>
    <w:rsid w:val="002B32E9"/>
    <w:rsid w:val="002B4E22"/>
    <w:rsid w:val="002B6FA0"/>
    <w:rsid w:val="002C0DEA"/>
    <w:rsid w:val="002C34F6"/>
    <w:rsid w:val="002C3B6D"/>
    <w:rsid w:val="002C5644"/>
    <w:rsid w:val="002C5D9D"/>
    <w:rsid w:val="002C5F10"/>
    <w:rsid w:val="002C6E5B"/>
    <w:rsid w:val="002D08F3"/>
    <w:rsid w:val="002D18B4"/>
    <w:rsid w:val="002D231A"/>
    <w:rsid w:val="002D5330"/>
    <w:rsid w:val="002D5F57"/>
    <w:rsid w:val="002D73D4"/>
    <w:rsid w:val="002D7787"/>
    <w:rsid w:val="002E1877"/>
    <w:rsid w:val="002E1C31"/>
    <w:rsid w:val="002E2E0F"/>
    <w:rsid w:val="002E333A"/>
    <w:rsid w:val="002E3474"/>
    <w:rsid w:val="002E400C"/>
    <w:rsid w:val="002E49C3"/>
    <w:rsid w:val="002E5114"/>
    <w:rsid w:val="002E5988"/>
    <w:rsid w:val="002E65E6"/>
    <w:rsid w:val="002E7072"/>
    <w:rsid w:val="002E7570"/>
    <w:rsid w:val="002E764B"/>
    <w:rsid w:val="002F0D6A"/>
    <w:rsid w:val="002F0E28"/>
    <w:rsid w:val="002F287E"/>
    <w:rsid w:val="002F2981"/>
    <w:rsid w:val="002F2D63"/>
    <w:rsid w:val="002F519A"/>
    <w:rsid w:val="002F6AD8"/>
    <w:rsid w:val="002F7F81"/>
    <w:rsid w:val="00300A36"/>
    <w:rsid w:val="00301B45"/>
    <w:rsid w:val="00302BE1"/>
    <w:rsid w:val="00305856"/>
    <w:rsid w:val="0030678B"/>
    <w:rsid w:val="00306D16"/>
    <w:rsid w:val="00310CD7"/>
    <w:rsid w:val="00313D7A"/>
    <w:rsid w:val="0032136A"/>
    <w:rsid w:val="00323A90"/>
    <w:rsid w:val="00323E70"/>
    <w:rsid w:val="003258A7"/>
    <w:rsid w:val="00325BA2"/>
    <w:rsid w:val="003262BD"/>
    <w:rsid w:val="00326B1C"/>
    <w:rsid w:val="00326C08"/>
    <w:rsid w:val="00326F7F"/>
    <w:rsid w:val="00330311"/>
    <w:rsid w:val="00330D55"/>
    <w:rsid w:val="003320E8"/>
    <w:rsid w:val="003328FD"/>
    <w:rsid w:val="00332DE3"/>
    <w:rsid w:val="0033334F"/>
    <w:rsid w:val="00334514"/>
    <w:rsid w:val="0033555E"/>
    <w:rsid w:val="00336805"/>
    <w:rsid w:val="00337351"/>
    <w:rsid w:val="00341A54"/>
    <w:rsid w:val="00344A4F"/>
    <w:rsid w:val="00344D17"/>
    <w:rsid w:val="0034669F"/>
    <w:rsid w:val="0034735B"/>
    <w:rsid w:val="00351498"/>
    <w:rsid w:val="00351B70"/>
    <w:rsid w:val="00352B22"/>
    <w:rsid w:val="00352CBF"/>
    <w:rsid w:val="00354547"/>
    <w:rsid w:val="003549F5"/>
    <w:rsid w:val="003567DE"/>
    <w:rsid w:val="003574F3"/>
    <w:rsid w:val="00357831"/>
    <w:rsid w:val="003604A5"/>
    <w:rsid w:val="0036319E"/>
    <w:rsid w:val="003632A4"/>
    <w:rsid w:val="00363362"/>
    <w:rsid w:val="00365767"/>
    <w:rsid w:val="003659C0"/>
    <w:rsid w:val="003660DF"/>
    <w:rsid w:val="00367D4F"/>
    <w:rsid w:val="00370743"/>
    <w:rsid w:val="00370EF5"/>
    <w:rsid w:val="0037135B"/>
    <w:rsid w:val="00372251"/>
    <w:rsid w:val="00373F64"/>
    <w:rsid w:val="00374EA1"/>
    <w:rsid w:val="0037520D"/>
    <w:rsid w:val="00375724"/>
    <w:rsid w:val="00375809"/>
    <w:rsid w:val="00375CF1"/>
    <w:rsid w:val="0037628C"/>
    <w:rsid w:val="00376B81"/>
    <w:rsid w:val="00376E08"/>
    <w:rsid w:val="00377BD2"/>
    <w:rsid w:val="00380FD4"/>
    <w:rsid w:val="00381E16"/>
    <w:rsid w:val="003821E1"/>
    <w:rsid w:val="003840F6"/>
    <w:rsid w:val="00384866"/>
    <w:rsid w:val="003857D4"/>
    <w:rsid w:val="00385D6F"/>
    <w:rsid w:val="00386D43"/>
    <w:rsid w:val="00387095"/>
    <w:rsid w:val="003876ED"/>
    <w:rsid w:val="00387E95"/>
    <w:rsid w:val="00390092"/>
    <w:rsid w:val="00391858"/>
    <w:rsid w:val="00391B27"/>
    <w:rsid w:val="00393651"/>
    <w:rsid w:val="00394926"/>
    <w:rsid w:val="00394FF9"/>
    <w:rsid w:val="00395651"/>
    <w:rsid w:val="00395E12"/>
    <w:rsid w:val="003962A8"/>
    <w:rsid w:val="00396779"/>
    <w:rsid w:val="00397DB7"/>
    <w:rsid w:val="003A27B2"/>
    <w:rsid w:val="003A40B4"/>
    <w:rsid w:val="003A41BA"/>
    <w:rsid w:val="003A5491"/>
    <w:rsid w:val="003A6A99"/>
    <w:rsid w:val="003A6E60"/>
    <w:rsid w:val="003A7FF8"/>
    <w:rsid w:val="003B17AC"/>
    <w:rsid w:val="003B227A"/>
    <w:rsid w:val="003B386D"/>
    <w:rsid w:val="003B3A77"/>
    <w:rsid w:val="003B4319"/>
    <w:rsid w:val="003B5854"/>
    <w:rsid w:val="003B6764"/>
    <w:rsid w:val="003B7A8B"/>
    <w:rsid w:val="003C294B"/>
    <w:rsid w:val="003C5046"/>
    <w:rsid w:val="003C6068"/>
    <w:rsid w:val="003C7AEC"/>
    <w:rsid w:val="003D2BA3"/>
    <w:rsid w:val="003D316B"/>
    <w:rsid w:val="003D3C22"/>
    <w:rsid w:val="003D56A0"/>
    <w:rsid w:val="003D69F5"/>
    <w:rsid w:val="003D7089"/>
    <w:rsid w:val="003D7DDB"/>
    <w:rsid w:val="003E024F"/>
    <w:rsid w:val="003E02C7"/>
    <w:rsid w:val="003E0543"/>
    <w:rsid w:val="003E061D"/>
    <w:rsid w:val="003E0B5A"/>
    <w:rsid w:val="003E1682"/>
    <w:rsid w:val="003E31E3"/>
    <w:rsid w:val="003E3E93"/>
    <w:rsid w:val="003E46D1"/>
    <w:rsid w:val="003E6214"/>
    <w:rsid w:val="003F070E"/>
    <w:rsid w:val="003F1206"/>
    <w:rsid w:val="003F28DB"/>
    <w:rsid w:val="003F58B0"/>
    <w:rsid w:val="003F776F"/>
    <w:rsid w:val="004007E9"/>
    <w:rsid w:val="00400810"/>
    <w:rsid w:val="00401825"/>
    <w:rsid w:val="00401BBC"/>
    <w:rsid w:val="00403BFB"/>
    <w:rsid w:val="00404B45"/>
    <w:rsid w:val="00405BCF"/>
    <w:rsid w:val="00406CC5"/>
    <w:rsid w:val="004074A4"/>
    <w:rsid w:val="004101B2"/>
    <w:rsid w:val="004123D7"/>
    <w:rsid w:val="00412658"/>
    <w:rsid w:val="004129DA"/>
    <w:rsid w:val="00415EA4"/>
    <w:rsid w:val="0041604B"/>
    <w:rsid w:val="004172DB"/>
    <w:rsid w:val="00420A1D"/>
    <w:rsid w:val="00421485"/>
    <w:rsid w:val="004216DA"/>
    <w:rsid w:val="00422B75"/>
    <w:rsid w:val="00424612"/>
    <w:rsid w:val="0042528C"/>
    <w:rsid w:val="00425A6A"/>
    <w:rsid w:val="00427F54"/>
    <w:rsid w:val="004316FD"/>
    <w:rsid w:val="00433F36"/>
    <w:rsid w:val="00434860"/>
    <w:rsid w:val="0043503A"/>
    <w:rsid w:val="00437B8A"/>
    <w:rsid w:val="00437D18"/>
    <w:rsid w:val="00437D77"/>
    <w:rsid w:val="004435BE"/>
    <w:rsid w:val="0044384F"/>
    <w:rsid w:val="0044411E"/>
    <w:rsid w:val="00444472"/>
    <w:rsid w:val="00444F80"/>
    <w:rsid w:val="00445599"/>
    <w:rsid w:val="00446018"/>
    <w:rsid w:val="0045027B"/>
    <w:rsid w:val="004504E7"/>
    <w:rsid w:val="00451F9D"/>
    <w:rsid w:val="00452616"/>
    <w:rsid w:val="00453167"/>
    <w:rsid w:val="004543BC"/>
    <w:rsid w:val="0045645D"/>
    <w:rsid w:val="004574C6"/>
    <w:rsid w:val="00457BCF"/>
    <w:rsid w:val="00457DCE"/>
    <w:rsid w:val="00460E3F"/>
    <w:rsid w:val="0046111A"/>
    <w:rsid w:val="00462F68"/>
    <w:rsid w:val="0046369B"/>
    <w:rsid w:val="004640E9"/>
    <w:rsid w:val="00466CED"/>
    <w:rsid w:val="00466EB5"/>
    <w:rsid w:val="00467592"/>
    <w:rsid w:val="00467690"/>
    <w:rsid w:val="004718E7"/>
    <w:rsid w:val="00472289"/>
    <w:rsid w:val="00472535"/>
    <w:rsid w:val="004761CC"/>
    <w:rsid w:val="004766C9"/>
    <w:rsid w:val="004802B9"/>
    <w:rsid w:val="00480D4A"/>
    <w:rsid w:val="00481DA1"/>
    <w:rsid w:val="00481F18"/>
    <w:rsid w:val="00483A2B"/>
    <w:rsid w:val="00484212"/>
    <w:rsid w:val="00484BA9"/>
    <w:rsid w:val="0048599A"/>
    <w:rsid w:val="00486818"/>
    <w:rsid w:val="0049255F"/>
    <w:rsid w:val="0049445D"/>
    <w:rsid w:val="00495350"/>
    <w:rsid w:val="00495E3C"/>
    <w:rsid w:val="00497156"/>
    <w:rsid w:val="004A0C79"/>
    <w:rsid w:val="004A24D2"/>
    <w:rsid w:val="004A3214"/>
    <w:rsid w:val="004A3CA5"/>
    <w:rsid w:val="004A4136"/>
    <w:rsid w:val="004A417B"/>
    <w:rsid w:val="004A4378"/>
    <w:rsid w:val="004A712D"/>
    <w:rsid w:val="004B03F3"/>
    <w:rsid w:val="004B0CC9"/>
    <w:rsid w:val="004B2536"/>
    <w:rsid w:val="004B46D7"/>
    <w:rsid w:val="004B5BF5"/>
    <w:rsid w:val="004B6AF3"/>
    <w:rsid w:val="004B715E"/>
    <w:rsid w:val="004B7169"/>
    <w:rsid w:val="004B79C9"/>
    <w:rsid w:val="004C00DD"/>
    <w:rsid w:val="004C05CF"/>
    <w:rsid w:val="004C0776"/>
    <w:rsid w:val="004C1EF8"/>
    <w:rsid w:val="004C2063"/>
    <w:rsid w:val="004C24C5"/>
    <w:rsid w:val="004C47D5"/>
    <w:rsid w:val="004C4CAF"/>
    <w:rsid w:val="004C5E33"/>
    <w:rsid w:val="004C60A3"/>
    <w:rsid w:val="004C6CDA"/>
    <w:rsid w:val="004D10D4"/>
    <w:rsid w:val="004D16BD"/>
    <w:rsid w:val="004D2AAB"/>
    <w:rsid w:val="004D6E90"/>
    <w:rsid w:val="004D6F2B"/>
    <w:rsid w:val="004E0248"/>
    <w:rsid w:val="004E21A3"/>
    <w:rsid w:val="004E32EA"/>
    <w:rsid w:val="004E351F"/>
    <w:rsid w:val="004E6866"/>
    <w:rsid w:val="004F0C58"/>
    <w:rsid w:val="004F3222"/>
    <w:rsid w:val="004F3639"/>
    <w:rsid w:val="004F3BFA"/>
    <w:rsid w:val="004F4E3C"/>
    <w:rsid w:val="004F5A1A"/>
    <w:rsid w:val="004F77A3"/>
    <w:rsid w:val="005000AB"/>
    <w:rsid w:val="00500B65"/>
    <w:rsid w:val="00500C67"/>
    <w:rsid w:val="00500F3C"/>
    <w:rsid w:val="005025EE"/>
    <w:rsid w:val="00503DDF"/>
    <w:rsid w:val="00505524"/>
    <w:rsid w:val="00506688"/>
    <w:rsid w:val="00510588"/>
    <w:rsid w:val="00510F9C"/>
    <w:rsid w:val="0051146C"/>
    <w:rsid w:val="0051220B"/>
    <w:rsid w:val="00512253"/>
    <w:rsid w:val="00512484"/>
    <w:rsid w:val="00514449"/>
    <w:rsid w:val="00515419"/>
    <w:rsid w:val="005157BD"/>
    <w:rsid w:val="005214A3"/>
    <w:rsid w:val="005222E7"/>
    <w:rsid w:val="00523A8B"/>
    <w:rsid w:val="00523E04"/>
    <w:rsid w:val="00525003"/>
    <w:rsid w:val="0052590B"/>
    <w:rsid w:val="00526591"/>
    <w:rsid w:val="0052704D"/>
    <w:rsid w:val="00527178"/>
    <w:rsid w:val="005278CB"/>
    <w:rsid w:val="00531CBF"/>
    <w:rsid w:val="00534D42"/>
    <w:rsid w:val="005350A5"/>
    <w:rsid w:val="00536379"/>
    <w:rsid w:val="00537238"/>
    <w:rsid w:val="005400C5"/>
    <w:rsid w:val="005404CD"/>
    <w:rsid w:val="00540BE0"/>
    <w:rsid w:val="00540BEF"/>
    <w:rsid w:val="00542C9A"/>
    <w:rsid w:val="005436C2"/>
    <w:rsid w:val="005442D4"/>
    <w:rsid w:val="0054586A"/>
    <w:rsid w:val="0054631F"/>
    <w:rsid w:val="00546C24"/>
    <w:rsid w:val="005471BA"/>
    <w:rsid w:val="00547BE6"/>
    <w:rsid w:val="0055034F"/>
    <w:rsid w:val="00550819"/>
    <w:rsid w:val="0055288D"/>
    <w:rsid w:val="00555259"/>
    <w:rsid w:val="00555C66"/>
    <w:rsid w:val="005569EF"/>
    <w:rsid w:val="00556BDE"/>
    <w:rsid w:val="00560D57"/>
    <w:rsid w:val="00562A94"/>
    <w:rsid w:val="0056375A"/>
    <w:rsid w:val="00563FAD"/>
    <w:rsid w:val="005701C1"/>
    <w:rsid w:val="005703BF"/>
    <w:rsid w:val="00570754"/>
    <w:rsid w:val="005709F7"/>
    <w:rsid w:val="005710A9"/>
    <w:rsid w:val="00571B11"/>
    <w:rsid w:val="00571D1B"/>
    <w:rsid w:val="00571DA3"/>
    <w:rsid w:val="005738F5"/>
    <w:rsid w:val="00573D34"/>
    <w:rsid w:val="00575963"/>
    <w:rsid w:val="00575EBE"/>
    <w:rsid w:val="0058039C"/>
    <w:rsid w:val="00580A63"/>
    <w:rsid w:val="00583379"/>
    <w:rsid w:val="0058417C"/>
    <w:rsid w:val="00586EC6"/>
    <w:rsid w:val="00587DDE"/>
    <w:rsid w:val="00593043"/>
    <w:rsid w:val="00595B60"/>
    <w:rsid w:val="00595BF0"/>
    <w:rsid w:val="00597E16"/>
    <w:rsid w:val="005A0B1D"/>
    <w:rsid w:val="005A1846"/>
    <w:rsid w:val="005A258C"/>
    <w:rsid w:val="005A3560"/>
    <w:rsid w:val="005A464E"/>
    <w:rsid w:val="005A62FC"/>
    <w:rsid w:val="005A6C99"/>
    <w:rsid w:val="005A7D5D"/>
    <w:rsid w:val="005B0040"/>
    <w:rsid w:val="005B011A"/>
    <w:rsid w:val="005B0283"/>
    <w:rsid w:val="005B1ADA"/>
    <w:rsid w:val="005B1D8F"/>
    <w:rsid w:val="005B1E94"/>
    <w:rsid w:val="005B5B3D"/>
    <w:rsid w:val="005B64CF"/>
    <w:rsid w:val="005C0E87"/>
    <w:rsid w:val="005C16F3"/>
    <w:rsid w:val="005C3758"/>
    <w:rsid w:val="005C4D72"/>
    <w:rsid w:val="005C50C1"/>
    <w:rsid w:val="005C62C2"/>
    <w:rsid w:val="005D0BD9"/>
    <w:rsid w:val="005D2306"/>
    <w:rsid w:val="005D4A74"/>
    <w:rsid w:val="005D5E91"/>
    <w:rsid w:val="005D67EF"/>
    <w:rsid w:val="005E3064"/>
    <w:rsid w:val="005E6AEE"/>
    <w:rsid w:val="005E72B2"/>
    <w:rsid w:val="005F1115"/>
    <w:rsid w:val="005F1AB6"/>
    <w:rsid w:val="005F27F2"/>
    <w:rsid w:val="005F2B27"/>
    <w:rsid w:val="005F3567"/>
    <w:rsid w:val="005F3AFE"/>
    <w:rsid w:val="005F424D"/>
    <w:rsid w:val="005F55F5"/>
    <w:rsid w:val="005F5EC1"/>
    <w:rsid w:val="005F606C"/>
    <w:rsid w:val="005F67A9"/>
    <w:rsid w:val="005F6B6D"/>
    <w:rsid w:val="006008F8"/>
    <w:rsid w:val="00605AAB"/>
    <w:rsid w:val="00606BEB"/>
    <w:rsid w:val="0061014A"/>
    <w:rsid w:val="0061054B"/>
    <w:rsid w:val="00612FB0"/>
    <w:rsid w:val="0061356D"/>
    <w:rsid w:val="00613E26"/>
    <w:rsid w:val="00615641"/>
    <w:rsid w:val="00616959"/>
    <w:rsid w:val="0062036E"/>
    <w:rsid w:val="006211D0"/>
    <w:rsid w:val="00621595"/>
    <w:rsid w:val="0062359D"/>
    <w:rsid w:val="00623634"/>
    <w:rsid w:val="00624D0C"/>
    <w:rsid w:val="006274B4"/>
    <w:rsid w:val="006307BA"/>
    <w:rsid w:val="006315BA"/>
    <w:rsid w:val="006337DE"/>
    <w:rsid w:val="00634C4A"/>
    <w:rsid w:val="0063532E"/>
    <w:rsid w:val="00637063"/>
    <w:rsid w:val="0063737C"/>
    <w:rsid w:val="00637BDC"/>
    <w:rsid w:val="00640622"/>
    <w:rsid w:val="006418C9"/>
    <w:rsid w:val="00642BD6"/>
    <w:rsid w:val="00645046"/>
    <w:rsid w:val="0064527A"/>
    <w:rsid w:val="006458FD"/>
    <w:rsid w:val="00645EA2"/>
    <w:rsid w:val="00651E6D"/>
    <w:rsid w:val="00653D2D"/>
    <w:rsid w:val="006555E7"/>
    <w:rsid w:val="006573F2"/>
    <w:rsid w:val="00662AD0"/>
    <w:rsid w:val="00662F08"/>
    <w:rsid w:val="00663589"/>
    <w:rsid w:val="006637F1"/>
    <w:rsid w:val="006649CD"/>
    <w:rsid w:val="00665D75"/>
    <w:rsid w:val="006708E3"/>
    <w:rsid w:val="00670DDC"/>
    <w:rsid w:val="00671389"/>
    <w:rsid w:val="00671EB4"/>
    <w:rsid w:val="00673CDC"/>
    <w:rsid w:val="0067443B"/>
    <w:rsid w:val="006770AA"/>
    <w:rsid w:val="00680F1F"/>
    <w:rsid w:val="00682486"/>
    <w:rsid w:val="00684CE6"/>
    <w:rsid w:val="00684E2B"/>
    <w:rsid w:val="00687C7E"/>
    <w:rsid w:val="00690569"/>
    <w:rsid w:val="00690FDA"/>
    <w:rsid w:val="00691E61"/>
    <w:rsid w:val="006937C6"/>
    <w:rsid w:val="00693C5E"/>
    <w:rsid w:val="00693CEE"/>
    <w:rsid w:val="00694EEA"/>
    <w:rsid w:val="006955B4"/>
    <w:rsid w:val="00695DEF"/>
    <w:rsid w:val="00696476"/>
    <w:rsid w:val="00696C74"/>
    <w:rsid w:val="006A018A"/>
    <w:rsid w:val="006A10FA"/>
    <w:rsid w:val="006A40E6"/>
    <w:rsid w:val="006A516B"/>
    <w:rsid w:val="006A5362"/>
    <w:rsid w:val="006A543A"/>
    <w:rsid w:val="006A5C07"/>
    <w:rsid w:val="006A75FA"/>
    <w:rsid w:val="006B07D5"/>
    <w:rsid w:val="006B1309"/>
    <w:rsid w:val="006B31E6"/>
    <w:rsid w:val="006B3923"/>
    <w:rsid w:val="006B3F3E"/>
    <w:rsid w:val="006B4AA2"/>
    <w:rsid w:val="006B53C4"/>
    <w:rsid w:val="006B5923"/>
    <w:rsid w:val="006B67D9"/>
    <w:rsid w:val="006B6A6A"/>
    <w:rsid w:val="006B6C14"/>
    <w:rsid w:val="006B715E"/>
    <w:rsid w:val="006C1D6E"/>
    <w:rsid w:val="006C2EF6"/>
    <w:rsid w:val="006C3A68"/>
    <w:rsid w:val="006C3B08"/>
    <w:rsid w:val="006C6AB1"/>
    <w:rsid w:val="006C6E6B"/>
    <w:rsid w:val="006D2000"/>
    <w:rsid w:val="006D2D39"/>
    <w:rsid w:val="006D2F31"/>
    <w:rsid w:val="006D4250"/>
    <w:rsid w:val="006D4E0E"/>
    <w:rsid w:val="006D5CE2"/>
    <w:rsid w:val="006D7854"/>
    <w:rsid w:val="006E06D1"/>
    <w:rsid w:val="006E1313"/>
    <w:rsid w:val="006E2DC8"/>
    <w:rsid w:val="006E3962"/>
    <w:rsid w:val="006E7356"/>
    <w:rsid w:val="006E77C8"/>
    <w:rsid w:val="006F0F9C"/>
    <w:rsid w:val="006F149D"/>
    <w:rsid w:val="006F1A46"/>
    <w:rsid w:val="006F4F06"/>
    <w:rsid w:val="006F5A4E"/>
    <w:rsid w:val="006F5D37"/>
    <w:rsid w:val="006F6005"/>
    <w:rsid w:val="007005EA"/>
    <w:rsid w:val="00703B6C"/>
    <w:rsid w:val="00703BB0"/>
    <w:rsid w:val="00704519"/>
    <w:rsid w:val="00704C88"/>
    <w:rsid w:val="00704EA1"/>
    <w:rsid w:val="00705C40"/>
    <w:rsid w:val="00706482"/>
    <w:rsid w:val="00706754"/>
    <w:rsid w:val="00706BEF"/>
    <w:rsid w:val="00707ECE"/>
    <w:rsid w:val="00710CE8"/>
    <w:rsid w:val="00711350"/>
    <w:rsid w:val="007116BC"/>
    <w:rsid w:val="00711961"/>
    <w:rsid w:val="00711CA6"/>
    <w:rsid w:val="007165CE"/>
    <w:rsid w:val="00717CEB"/>
    <w:rsid w:val="00720968"/>
    <w:rsid w:val="00721705"/>
    <w:rsid w:val="00721B7A"/>
    <w:rsid w:val="00721D12"/>
    <w:rsid w:val="00721F8B"/>
    <w:rsid w:val="007237CE"/>
    <w:rsid w:val="00724688"/>
    <w:rsid w:val="007272F1"/>
    <w:rsid w:val="007279C3"/>
    <w:rsid w:val="0073062D"/>
    <w:rsid w:val="0073093B"/>
    <w:rsid w:val="0073254D"/>
    <w:rsid w:val="007340F3"/>
    <w:rsid w:val="00735704"/>
    <w:rsid w:val="00736A49"/>
    <w:rsid w:val="007419A1"/>
    <w:rsid w:val="00743B71"/>
    <w:rsid w:val="00743C2D"/>
    <w:rsid w:val="00743E36"/>
    <w:rsid w:val="00743F05"/>
    <w:rsid w:val="007441C1"/>
    <w:rsid w:val="007446F7"/>
    <w:rsid w:val="00744EBB"/>
    <w:rsid w:val="00745B0A"/>
    <w:rsid w:val="00745DBE"/>
    <w:rsid w:val="007468AC"/>
    <w:rsid w:val="00746AE2"/>
    <w:rsid w:val="00750C82"/>
    <w:rsid w:val="00750E3A"/>
    <w:rsid w:val="00752035"/>
    <w:rsid w:val="0076100C"/>
    <w:rsid w:val="007612A5"/>
    <w:rsid w:val="00763CAE"/>
    <w:rsid w:val="00763F95"/>
    <w:rsid w:val="007651ED"/>
    <w:rsid w:val="0076635A"/>
    <w:rsid w:val="00766C87"/>
    <w:rsid w:val="00770AB1"/>
    <w:rsid w:val="00771043"/>
    <w:rsid w:val="00773AF7"/>
    <w:rsid w:val="00774FFD"/>
    <w:rsid w:val="00780378"/>
    <w:rsid w:val="0078085E"/>
    <w:rsid w:val="00781BD4"/>
    <w:rsid w:val="00782562"/>
    <w:rsid w:val="007828B4"/>
    <w:rsid w:val="00783C2C"/>
    <w:rsid w:val="00784832"/>
    <w:rsid w:val="00784EA0"/>
    <w:rsid w:val="00785D77"/>
    <w:rsid w:val="00786111"/>
    <w:rsid w:val="00787FD2"/>
    <w:rsid w:val="00790963"/>
    <w:rsid w:val="0079154B"/>
    <w:rsid w:val="00791F1E"/>
    <w:rsid w:val="007927BE"/>
    <w:rsid w:val="007935B8"/>
    <w:rsid w:val="00794ADE"/>
    <w:rsid w:val="00794F3D"/>
    <w:rsid w:val="00795CE9"/>
    <w:rsid w:val="00796045"/>
    <w:rsid w:val="007968AC"/>
    <w:rsid w:val="007969AB"/>
    <w:rsid w:val="007973D8"/>
    <w:rsid w:val="00797801"/>
    <w:rsid w:val="007A0B39"/>
    <w:rsid w:val="007A14A4"/>
    <w:rsid w:val="007A168F"/>
    <w:rsid w:val="007A2346"/>
    <w:rsid w:val="007A28E4"/>
    <w:rsid w:val="007A3BB3"/>
    <w:rsid w:val="007A3F91"/>
    <w:rsid w:val="007A5AD1"/>
    <w:rsid w:val="007A5B7B"/>
    <w:rsid w:val="007A65A9"/>
    <w:rsid w:val="007B0128"/>
    <w:rsid w:val="007B0A06"/>
    <w:rsid w:val="007B0B24"/>
    <w:rsid w:val="007B1C83"/>
    <w:rsid w:val="007B4181"/>
    <w:rsid w:val="007B5C5C"/>
    <w:rsid w:val="007B666F"/>
    <w:rsid w:val="007B6CE0"/>
    <w:rsid w:val="007B7B37"/>
    <w:rsid w:val="007B7C41"/>
    <w:rsid w:val="007C05C5"/>
    <w:rsid w:val="007C11E9"/>
    <w:rsid w:val="007C433E"/>
    <w:rsid w:val="007C4452"/>
    <w:rsid w:val="007C4B3C"/>
    <w:rsid w:val="007C4DB1"/>
    <w:rsid w:val="007C6046"/>
    <w:rsid w:val="007C6F0C"/>
    <w:rsid w:val="007D0292"/>
    <w:rsid w:val="007D136C"/>
    <w:rsid w:val="007D1449"/>
    <w:rsid w:val="007D21AC"/>
    <w:rsid w:val="007D24B0"/>
    <w:rsid w:val="007D3882"/>
    <w:rsid w:val="007D39E4"/>
    <w:rsid w:val="007D3FE7"/>
    <w:rsid w:val="007D568A"/>
    <w:rsid w:val="007D574E"/>
    <w:rsid w:val="007D57C0"/>
    <w:rsid w:val="007D6BFE"/>
    <w:rsid w:val="007E2046"/>
    <w:rsid w:val="007E3883"/>
    <w:rsid w:val="007E3B19"/>
    <w:rsid w:val="007E4876"/>
    <w:rsid w:val="007E4ACB"/>
    <w:rsid w:val="007E4FBB"/>
    <w:rsid w:val="007E55BF"/>
    <w:rsid w:val="007E59E3"/>
    <w:rsid w:val="007E5E39"/>
    <w:rsid w:val="007E71B1"/>
    <w:rsid w:val="007E7B4E"/>
    <w:rsid w:val="007E7F02"/>
    <w:rsid w:val="007F0292"/>
    <w:rsid w:val="007F0AB7"/>
    <w:rsid w:val="007F0CE2"/>
    <w:rsid w:val="007F0EFF"/>
    <w:rsid w:val="007F1375"/>
    <w:rsid w:val="007F1AFD"/>
    <w:rsid w:val="007F30E4"/>
    <w:rsid w:val="007F5140"/>
    <w:rsid w:val="0080064F"/>
    <w:rsid w:val="00801B85"/>
    <w:rsid w:val="00803850"/>
    <w:rsid w:val="008039E8"/>
    <w:rsid w:val="00804385"/>
    <w:rsid w:val="00804E0E"/>
    <w:rsid w:val="00805AFD"/>
    <w:rsid w:val="008078D8"/>
    <w:rsid w:val="0080798E"/>
    <w:rsid w:val="00810E0A"/>
    <w:rsid w:val="00811D5B"/>
    <w:rsid w:val="00813C51"/>
    <w:rsid w:val="00816CCB"/>
    <w:rsid w:val="00817572"/>
    <w:rsid w:val="00817713"/>
    <w:rsid w:val="008208C3"/>
    <w:rsid w:val="008220F1"/>
    <w:rsid w:val="00822F57"/>
    <w:rsid w:val="0082340B"/>
    <w:rsid w:val="00823D6A"/>
    <w:rsid w:val="00827B29"/>
    <w:rsid w:val="00827DB6"/>
    <w:rsid w:val="008304B2"/>
    <w:rsid w:val="00830999"/>
    <w:rsid w:val="00830D5E"/>
    <w:rsid w:val="00830F69"/>
    <w:rsid w:val="008324D9"/>
    <w:rsid w:val="00833418"/>
    <w:rsid w:val="0083387F"/>
    <w:rsid w:val="00834458"/>
    <w:rsid w:val="00834AEA"/>
    <w:rsid w:val="00835841"/>
    <w:rsid w:val="00835BF8"/>
    <w:rsid w:val="00835FB7"/>
    <w:rsid w:val="00837465"/>
    <w:rsid w:val="0084002E"/>
    <w:rsid w:val="00840159"/>
    <w:rsid w:val="00840621"/>
    <w:rsid w:val="00841243"/>
    <w:rsid w:val="00841457"/>
    <w:rsid w:val="00843252"/>
    <w:rsid w:val="0084374E"/>
    <w:rsid w:val="00844842"/>
    <w:rsid w:val="00844A53"/>
    <w:rsid w:val="00844B99"/>
    <w:rsid w:val="00844DD0"/>
    <w:rsid w:val="008455C8"/>
    <w:rsid w:val="00846407"/>
    <w:rsid w:val="0085006A"/>
    <w:rsid w:val="0085089F"/>
    <w:rsid w:val="0085206E"/>
    <w:rsid w:val="00852273"/>
    <w:rsid w:val="0085293D"/>
    <w:rsid w:val="00852AD4"/>
    <w:rsid w:val="00852BA8"/>
    <w:rsid w:val="00852BF0"/>
    <w:rsid w:val="00853718"/>
    <w:rsid w:val="008541EF"/>
    <w:rsid w:val="00856AC7"/>
    <w:rsid w:val="00856FA4"/>
    <w:rsid w:val="00860E60"/>
    <w:rsid w:val="0086102A"/>
    <w:rsid w:val="0086162B"/>
    <w:rsid w:val="00861710"/>
    <w:rsid w:val="00861D5C"/>
    <w:rsid w:val="00861E7C"/>
    <w:rsid w:val="00865207"/>
    <w:rsid w:val="008656A7"/>
    <w:rsid w:val="00865FA3"/>
    <w:rsid w:val="00866231"/>
    <w:rsid w:val="00871262"/>
    <w:rsid w:val="0087170E"/>
    <w:rsid w:val="00871D4E"/>
    <w:rsid w:val="00871E7B"/>
    <w:rsid w:val="008721BB"/>
    <w:rsid w:val="00874693"/>
    <w:rsid w:val="0087566D"/>
    <w:rsid w:val="00875B50"/>
    <w:rsid w:val="00875B51"/>
    <w:rsid w:val="00875F2D"/>
    <w:rsid w:val="008764DC"/>
    <w:rsid w:val="00882CC2"/>
    <w:rsid w:val="0088325A"/>
    <w:rsid w:val="00883930"/>
    <w:rsid w:val="00884535"/>
    <w:rsid w:val="008902BE"/>
    <w:rsid w:val="0089038F"/>
    <w:rsid w:val="00890CDA"/>
    <w:rsid w:val="00891BBA"/>
    <w:rsid w:val="00892079"/>
    <w:rsid w:val="00892B90"/>
    <w:rsid w:val="00896535"/>
    <w:rsid w:val="00896683"/>
    <w:rsid w:val="00896E71"/>
    <w:rsid w:val="00897476"/>
    <w:rsid w:val="0089750B"/>
    <w:rsid w:val="00897589"/>
    <w:rsid w:val="008A023E"/>
    <w:rsid w:val="008A0D4F"/>
    <w:rsid w:val="008A39D7"/>
    <w:rsid w:val="008A55DE"/>
    <w:rsid w:val="008A5C34"/>
    <w:rsid w:val="008A63A9"/>
    <w:rsid w:val="008A7073"/>
    <w:rsid w:val="008A79F0"/>
    <w:rsid w:val="008A7F7E"/>
    <w:rsid w:val="008B04DB"/>
    <w:rsid w:val="008B09B4"/>
    <w:rsid w:val="008B27FD"/>
    <w:rsid w:val="008B2FDB"/>
    <w:rsid w:val="008B3AF2"/>
    <w:rsid w:val="008B446D"/>
    <w:rsid w:val="008B515D"/>
    <w:rsid w:val="008B5D31"/>
    <w:rsid w:val="008B6705"/>
    <w:rsid w:val="008C0C87"/>
    <w:rsid w:val="008C1407"/>
    <w:rsid w:val="008C22F3"/>
    <w:rsid w:val="008C3FD0"/>
    <w:rsid w:val="008C4F01"/>
    <w:rsid w:val="008D1484"/>
    <w:rsid w:val="008D29E7"/>
    <w:rsid w:val="008D4167"/>
    <w:rsid w:val="008D5104"/>
    <w:rsid w:val="008D75F4"/>
    <w:rsid w:val="008D795D"/>
    <w:rsid w:val="008D7B07"/>
    <w:rsid w:val="008E0D8F"/>
    <w:rsid w:val="008E0F4E"/>
    <w:rsid w:val="008E1E94"/>
    <w:rsid w:val="008E2D99"/>
    <w:rsid w:val="008E30D4"/>
    <w:rsid w:val="008E313F"/>
    <w:rsid w:val="008E38B0"/>
    <w:rsid w:val="008E4A60"/>
    <w:rsid w:val="008E744D"/>
    <w:rsid w:val="008F1E08"/>
    <w:rsid w:val="008F6FC8"/>
    <w:rsid w:val="0090045D"/>
    <w:rsid w:val="00900D8F"/>
    <w:rsid w:val="009014E3"/>
    <w:rsid w:val="009020ED"/>
    <w:rsid w:val="009026E8"/>
    <w:rsid w:val="00902FDD"/>
    <w:rsid w:val="00903824"/>
    <w:rsid w:val="00905EEF"/>
    <w:rsid w:val="00906EB7"/>
    <w:rsid w:val="009102BF"/>
    <w:rsid w:val="00911490"/>
    <w:rsid w:val="009115F2"/>
    <w:rsid w:val="00911B11"/>
    <w:rsid w:val="00914ADB"/>
    <w:rsid w:val="00917182"/>
    <w:rsid w:val="00920779"/>
    <w:rsid w:val="00923B25"/>
    <w:rsid w:val="0092402E"/>
    <w:rsid w:val="009259BA"/>
    <w:rsid w:val="00926FCB"/>
    <w:rsid w:val="009303BB"/>
    <w:rsid w:val="0093108A"/>
    <w:rsid w:val="00932F1C"/>
    <w:rsid w:val="0093311A"/>
    <w:rsid w:val="00934663"/>
    <w:rsid w:val="009346D0"/>
    <w:rsid w:val="00941A4C"/>
    <w:rsid w:val="00942645"/>
    <w:rsid w:val="009461E6"/>
    <w:rsid w:val="00950A3A"/>
    <w:rsid w:val="0095340A"/>
    <w:rsid w:val="00953AF6"/>
    <w:rsid w:val="0095423E"/>
    <w:rsid w:val="00954581"/>
    <w:rsid w:val="0095466C"/>
    <w:rsid w:val="00954E5B"/>
    <w:rsid w:val="00955316"/>
    <w:rsid w:val="00955E45"/>
    <w:rsid w:val="009576BC"/>
    <w:rsid w:val="00957899"/>
    <w:rsid w:val="00960357"/>
    <w:rsid w:val="0096168C"/>
    <w:rsid w:val="00961840"/>
    <w:rsid w:val="009625E3"/>
    <w:rsid w:val="00962F2D"/>
    <w:rsid w:val="00963A7A"/>
    <w:rsid w:val="009672CD"/>
    <w:rsid w:val="00972996"/>
    <w:rsid w:val="009732B8"/>
    <w:rsid w:val="00974647"/>
    <w:rsid w:val="00974663"/>
    <w:rsid w:val="0097514A"/>
    <w:rsid w:val="009759C2"/>
    <w:rsid w:val="00975C72"/>
    <w:rsid w:val="00976869"/>
    <w:rsid w:val="00977740"/>
    <w:rsid w:val="00977CB4"/>
    <w:rsid w:val="009809B8"/>
    <w:rsid w:val="00981086"/>
    <w:rsid w:val="009818AF"/>
    <w:rsid w:val="00981B1C"/>
    <w:rsid w:val="0098222D"/>
    <w:rsid w:val="00985099"/>
    <w:rsid w:val="00985D32"/>
    <w:rsid w:val="00986514"/>
    <w:rsid w:val="00986FCC"/>
    <w:rsid w:val="009935C3"/>
    <w:rsid w:val="0099421F"/>
    <w:rsid w:val="00994FC8"/>
    <w:rsid w:val="009A0DE3"/>
    <w:rsid w:val="009A1643"/>
    <w:rsid w:val="009A215A"/>
    <w:rsid w:val="009A49D3"/>
    <w:rsid w:val="009A4F1B"/>
    <w:rsid w:val="009A66C5"/>
    <w:rsid w:val="009A66E7"/>
    <w:rsid w:val="009A79BA"/>
    <w:rsid w:val="009B14D1"/>
    <w:rsid w:val="009B1534"/>
    <w:rsid w:val="009B4963"/>
    <w:rsid w:val="009B4A3B"/>
    <w:rsid w:val="009B69D3"/>
    <w:rsid w:val="009B7BA7"/>
    <w:rsid w:val="009C0938"/>
    <w:rsid w:val="009C15D9"/>
    <w:rsid w:val="009C22C8"/>
    <w:rsid w:val="009C3944"/>
    <w:rsid w:val="009C3F82"/>
    <w:rsid w:val="009C582A"/>
    <w:rsid w:val="009C5C56"/>
    <w:rsid w:val="009C72DD"/>
    <w:rsid w:val="009C78FD"/>
    <w:rsid w:val="009C7C0A"/>
    <w:rsid w:val="009C7DF5"/>
    <w:rsid w:val="009D056C"/>
    <w:rsid w:val="009D060F"/>
    <w:rsid w:val="009D1ADE"/>
    <w:rsid w:val="009D2B2F"/>
    <w:rsid w:val="009D3652"/>
    <w:rsid w:val="009D37CA"/>
    <w:rsid w:val="009D4229"/>
    <w:rsid w:val="009D4268"/>
    <w:rsid w:val="009E09D0"/>
    <w:rsid w:val="009E1283"/>
    <w:rsid w:val="009E3758"/>
    <w:rsid w:val="009E3A7F"/>
    <w:rsid w:val="009E4C9B"/>
    <w:rsid w:val="009E4DFC"/>
    <w:rsid w:val="009E5789"/>
    <w:rsid w:val="009E57B1"/>
    <w:rsid w:val="009E6379"/>
    <w:rsid w:val="009F3B63"/>
    <w:rsid w:val="009F43E2"/>
    <w:rsid w:val="009F6292"/>
    <w:rsid w:val="009F7809"/>
    <w:rsid w:val="009F7AF5"/>
    <w:rsid w:val="00A006F1"/>
    <w:rsid w:val="00A007A7"/>
    <w:rsid w:val="00A00D14"/>
    <w:rsid w:val="00A0101A"/>
    <w:rsid w:val="00A01408"/>
    <w:rsid w:val="00A02457"/>
    <w:rsid w:val="00A03190"/>
    <w:rsid w:val="00A0404B"/>
    <w:rsid w:val="00A06F66"/>
    <w:rsid w:val="00A0798C"/>
    <w:rsid w:val="00A07BDD"/>
    <w:rsid w:val="00A07F12"/>
    <w:rsid w:val="00A1105B"/>
    <w:rsid w:val="00A1213C"/>
    <w:rsid w:val="00A130E8"/>
    <w:rsid w:val="00A15B6B"/>
    <w:rsid w:val="00A15EB4"/>
    <w:rsid w:val="00A16876"/>
    <w:rsid w:val="00A17249"/>
    <w:rsid w:val="00A200AA"/>
    <w:rsid w:val="00A20558"/>
    <w:rsid w:val="00A211DD"/>
    <w:rsid w:val="00A2186F"/>
    <w:rsid w:val="00A2270B"/>
    <w:rsid w:val="00A23B89"/>
    <w:rsid w:val="00A23FE3"/>
    <w:rsid w:val="00A248C3"/>
    <w:rsid w:val="00A2496E"/>
    <w:rsid w:val="00A2515A"/>
    <w:rsid w:val="00A253E8"/>
    <w:rsid w:val="00A258B7"/>
    <w:rsid w:val="00A25A0C"/>
    <w:rsid w:val="00A262B6"/>
    <w:rsid w:val="00A26F15"/>
    <w:rsid w:val="00A31FE2"/>
    <w:rsid w:val="00A32743"/>
    <w:rsid w:val="00A40FFB"/>
    <w:rsid w:val="00A41468"/>
    <w:rsid w:val="00A414A9"/>
    <w:rsid w:val="00A44141"/>
    <w:rsid w:val="00A44CCA"/>
    <w:rsid w:val="00A44D75"/>
    <w:rsid w:val="00A47CF1"/>
    <w:rsid w:val="00A50418"/>
    <w:rsid w:val="00A54A47"/>
    <w:rsid w:val="00A56D26"/>
    <w:rsid w:val="00A571A7"/>
    <w:rsid w:val="00A5749A"/>
    <w:rsid w:val="00A57BA8"/>
    <w:rsid w:val="00A608FB"/>
    <w:rsid w:val="00A60D83"/>
    <w:rsid w:val="00A60F68"/>
    <w:rsid w:val="00A63DF3"/>
    <w:rsid w:val="00A6471D"/>
    <w:rsid w:val="00A65C78"/>
    <w:rsid w:val="00A660A8"/>
    <w:rsid w:val="00A66A45"/>
    <w:rsid w:val="00A67591"/>
    <w:rsid w:val="00A67CA6"/>
    <w:rsid w:val="00A70E7B"/>
    <w:rsid w:val="00A73B84"/>
    <w:rsid w:val="00A7411D"/>
    <w:rsid w:val="00A756C4"/>
    <w:rsid w:val="00A7592B"/>
    <w:rsid w:val="00A76094"/>
    <w:rsid w:val="00A768E2"/>
    <w:rsid w:val="00A82C52"/>
    <w:rsid w:val="00A838E8"/>
    <w:rsid w:val="00A83C15"/>
    <w:rsid w:val="00A84EC4"/>
    <w:rsid w:val="00A86CB6"/>
    <w:rsid w:val="00A90D55"/>
    <w:rsid w:val="00A91BBA"/>
    <w:rsid w:val="00A944D8"/>
    <w:rsid w:val="00A959E7"/>
    <w:rsid w:val="00A95BBA"/>
    <w:rsid w:val="00A961EE"/>
    <w:rsid w:val="00A97B13"/>
    <w:rsid w:val="00AA04B3"/>
    <w:rsid w:val="00AA1253"/>
    <w:rsid w:val="00AA1ED0"/>
    <w:rsid w:val="00AA1F5B"/>
    <w:rsid w:val="00AA28EF"/>
    <w:rsid w:val="00AA3593"/>
    <w:rsid w:val="00AA38CA"/>
    <w:rsid w:val="00AA493E"/>
    <w:rsid w:val="00AA73AF"/>
    <w:rsid w:val="00AB0A8A"/>
    <w:rsid w:val="00AB1754"/>
    <w:rsid w:val="00AB1F8D"/>
    <w:rsid w:val="00AB27DD"/>
    <w:rsid w:val="00AB592E"/>
    <w:rsid w:val="00AC083B"/>
    <w:rsid w:val="00AC37BE"/>
    <w:rsid w:val="00AC439D"/>
    <w:rsid w:val="00AC62CC"/>
    <w:rsid w:val="00AC713F"/>
    <w:rsid w:val="00AC7329"/>
    <w:rsid w:val="00AC7D96"/>
    <w:rsid w:val="00AD00E4"/>
    <w:rsid w:val="00AD067E"/>
    <w:rsid w:val="00AD168B"/>
    <w:rsid w:val="00AD1B4E"/>
    <w:rsid w:val="00AD2801"/>
    <w:rsid w:val="00AD3496"/>
    <w:rsid w:val="00AD49A1"/>
    <w:rsid w:val="00AD5771"/>
    <w:rsid w:val="00AD6870"/>
    <w:rsid w:val="00AD68C5"/>
    <w:rsid w:val="00AD7F8F"/>
    <w:rsid w:val="00AE0BF9"/>
    <w:rsid w:val="00AE1273"/>
    <w:rsid w:val="00AE18C5"/>
    <w:rsid w:val="00AE2CF4"/>
    <w:rsid w:val="00AE2D29"/>
    <w:rsid w:val="00AE4624"/>
    <w:rsid w:val="00AE4B3E"/>
    <w:rsid w:val="00AE5E14"/>
    <w:rsid w:val="00AE6115"/>
    <w:rsid w:val="00AE625B"/>
    <w:rsid w:val="00AF01B2"/>
    <w:rsid w:val="00AF1103"/>
    <w:rsid w:val="00AF117F"/>
    <w:rsid w:val="00AF1668"/>
    <w:rsid w:val="00AF182E"/>
    <w:rsid w:val="00AF28DE"/>
    <w:rsid w:val="00AF4FA5"/>
    <w:rsid w:val="00AF6ECC"/>
    <w:rsid w:val="00B0218F"/>
    <w:rsid w:val="00B022DC"/>
    <w:rsid w:val="00B04562"/>
    <w:rsid w:val="00B06930"/>
    <w:rsid w:val="00B0773A"/>
    <w:rsid w:val="00B07955"/>
    <w:rsid w:val="00B1176B"/>
    <w:rsid w:val="00B140B8"/>
    <w:rsid w:val="00B14FAA"/>
    <w:rsid w:val="00B15BED"/>
    <w:rsid w:val="00B15D30"/>
    <w:rsid w:val="00B177DE"/>
    <w:rsid w:val="00B20624"/>
    <w:rsid w:val="00B23436"/>
    <w:rsid w:val="00B237F1"/>
    <w:rsid w:val="00B23F10"/>
    <w:rsid w:val="00B24328"/>
    <w:rsid w:val="00B24ED4"/>
    <w:rsid w:val="00B24F33"/>
    <w:rsid w:val="00B26354"/>
    <w:rsid w:val="00B26CA0"/>
    <w:rsid w:val="00B31965"/>
    <w:rsid w:val="00B32179"/>
    <w:rsid w:val="00B32341"/>
    <w:rsid w:val="00B32C2B"/>
    <w:rsid w:val="00B33007"/>
    <w:rsid w:val="00B331A9"/>
    <w:rsid w:val="00B33498"/>
    <w:rsid w:val="00B33598"/>
    <w:rsid w:val="00B36569"/>
    <w:rsid w:val="00B37345"/>
    <w:rsid w:val="00B37F53"/>
    <w:rsid w:val="00B40A05"/>
    <w:rsid w:val="00B40A3E"/>
    <w:rsid w:val="00B41DCC"/>
    <w:rsid w:val="00B427BB"/>
    <w:rsid w:val="00B43BA2"/>
    <w:rsid w:val="00B449EE"/>
    <w:rsid w:val="00B454AE"/>
    <w:rsid w:val="00B50227"/>
    <w:rsid w:val="00B50510"/>
    <w:rsid w:val="00B522CD"/>
    <w:rsid w:val="00B55143"/>
    <w:rsid w:val="00B555C8"/>
    <w:rsid w:val="00B55917"/>
    <w:rsid w:val="00B5646A"/>
    <w:rsid w:val="00B56F3D"/>
    <w:rsid w:val="00B57921"/>
    <w:rsid w:val="00B57E78"/>
    <w:rsid w:val="00B57EB8"/>
    <w:rsid w:val="00B609F6"/>
    <w:rsid w:val="00B60E75"/>
    <w:rsid w:val="00B643A6"/>
    <w:rsid w:val="00B64DD6"/>
    <w:rsid w:val="00B6542F"/>
    <w:rsid w:val="00B66505"/>
    <w:rsid w:val="00B6710C"/>
    <w:rsid w:val="00B67E84"/>
    <w:rsid w:val="00B72076"/>
    <w:rsid w:val="00B72303"/>
    <w:rsid w:val="00B72C72"/>
    <w:rsid w:val="00B72ED9"/>
    <w:rsid w:val="00B731E4"/>
    <w:rsid w:val="00B751CE"/>
    <w:rsid w:val="00B75A8B"/>
    <w:rsid w:val="00B75B61"/>
    <w:rsid w:val="00B76796"/>
    <w:rsid w:val="00B771E0"/>
    <w:rsid w:val="00B7793B"/>
    <w:rsid w:val="00B77EE7"/>
    <w:rsid w:val="00B80EDD"/>
    <w:rsid w:val="00B812BD"/>
    <w:rsid w:val="00B81964"/>
    <w:rsid w:val="00B82277"/>
    <w:rsid w:val="00B83F87"/>
    <w:rsid w:val="00B8478F"/>
    <w:rsid w:val="00B9006A"/>
    <w:rsid w:val="00B9101E"/>
    <w:rsid w:val="00B91676"/>
    <w:rsid w:val="00B9322B"/>
    <w:rsid w:val="00B955D5"/>
    <w:rsid w:val="00B95833"/>
    <w:rsid w:val="00B970D8"/>
    <w:rsid w:val="00BA1824"/>
    <w:rsid w:val="00BA2D98"/>
    <w:rsid w:val="00BA2F0C"/>
    <w:rsid w:val="00BA30D1"/>
    <w:rsid w:val="00BA30E1"/>
    <w:rsid w:val="00BA4609"/>
    <w:rsid w:val="00BA5BE2"/>
    <w:rsid w:val="00BA7F46"/>
    <w:rsid w:val="00BB0A0A"/>
    <w:rsid w:val="00BB133C"/>
    <w:rsid w:val="00BB1F04"/>
    <w:rsid w:val="00BB2E3F"/>
    <w:rsid w:val="00BB45B5"/>
    <w:rsid w:val="00BB4DDE"/>
    <w:rsid w:val="00BB6064"/>
    <w:rsid w:val="00BB65CE"/>
    <w:rsid w:val="00BB7012"/>
    <w:rsid w:val="00BC09D1"/>
    <w:rsid w:val="00BC1CF3"/>
    <w:rsid w:val="00BC2855"/>
    <w:rsid w:val="00BC2BE0"/>
    <w:rsid w:val="00BC3573"/>
    <w:rsid w:val="00BC7F82"/>
    <w:rsid w:val="00BD2A49"/>
    <w:rsid w:val="00BD3683"/>
    <w:rsid w:val="00BD40AB"/>
    <w:rsid w:val="00BD6297"/>
    <w:rsid w:val="00BD6806"/>
    <w:rsid w:val="00BD7433"/>
    <w:rsid w:val="00BD7831"/>
    <w:rsid w:val="00BD7C10"/>
    <w:rsid w:val="00BE046F"/>
    <w:rsid w:val="00BE0DEB"/>
    <w:rsid w:val="00BE184D"/>
    <w:rsid w:val="00BE2AB8"/>
    <w:rsid w:val="00BE2FC1"/>
    <w:rsid w:val="00BE3142"/>
    <w:rsid w:val="00BE4039"/>
    <w:rsid w:val="00BE6365"/>
    <w:rsid w:val="00BF01B7"/>
    <w:rsid w:val="00BF0B7F"/>
    <w:rsid w:val="00BF2988"/>
    <w:rsid w:val="00BF4720"/>
    <w:rsid w:val="00BF4F49"/>
    <w:rsid w:val="00BF6759"/>
    <w:rsid w:val="00BF70A6"/>
    <w:rsid w:val="00BF7B4F"/>
    <w:rsid w:val="00BF7B63"/>
    <w:rsid w:val="00C0359D"/>
    <w:rsid w:val="00C038EC"/>
    <w:rsid w:val="00C039C5"/>
    <w:rsid w:val="00C05C6D"/>
    <w:rsid w:val="00C072D7"/>
    <w:rsid w:val="00C104DB"/>
    <w:rsid w:val="00C10F5B"/>
    <w:rsid w:val="00C1122B"/>
    <w:rsid w:val="00C127F2"/>
    <w:rsid w:val="00C13B34"/>
    <w:rsid w:val="00C13F26"/>
    <w:rsid w:val="00C1474E"/>
    <w:rsid w:val="00C14C37"/>
    <w:rsid w:val="00C157AA"/>
    <w:rsid w:val="00C162E1"/>
    <w:rsid w:val="00C16BE4"/>
    <w:rsid w:val="00C16E9F"/>
    <w:rsid w:val="00C1713D"/>
    <w:rsid w:val="00C17523"/>
    <w:rsid w:val="00C177F1"/>
    <w:rsid w:val="00C17EE6"/>
    <w:rsid w:val="00C217F7"/>
    <w:rsid w:val="00C2272E"/>
    <w:rsid w:val="00C22F3A"/>
    <w:rsid w:val="00C23311"/>
    <w:rsid w:val="00C24490"/>
    <w:rsid w:val="00C24AD9"/>
    <w:rsid w:val="00C25978"/>
    <w:rsid w:val="00C261C6"/>
    <w:rsid w:val="00C26621"/>
    <w:rsid w:val="00C26E7C"/>
    <w:rsid w:val="00C276CD"/>
    <w:rsid w:val="00C27827"/>
    <w:rsid w:val="00C30A97"/>
    <w:rsid w:val="00C31DDC"/>
    <w:rsid w:val="00C3223A"/>
    <w:rsid w:val="00C34326"/>
    <w:rsid w:val="00C34CEB"/>
    <w:rsid w:val="00C36201"/>
    <w:rsid w:val="00C368E8"/>
    <w:rsid w:val="00C36C3D"/>
    <w:rsid w:val="00C372C7"/>
    <w:rsid w:val="00C42443"/>
    <w:rsid w:val="00C42CBA"/>
    <w:rsid w:val="00C4338C"/>
    <w:rsid w:val="00C43C2B"/>
    <w:rsid w:val="00C45B27"/>
    <w:rsid w:val="00C472C7"/>
    <w:rsid w:val="00C5019E"/>
    <w:rsid w:val="00C51962"/>
    <w:rsid w:val="00C5377C"/>
    <w:rsid w:val="00C53E8A"/>
    <w:rsid w:val="00C54DF3"/>
    <w:rsid w:val="00C560A7"/>
    <w:rsid w:val="00C56FC8"/>
    <w:rsid w:val="00C60F23"/>
    <w:rsid w:val="00C6170B"/>
    <w:rsid w:val="00C62EB2"/>
    <w:rsid w:val="00C64C87"/>
    <w:rsid w:val="00C64E31"/>
    <w:rsid w:val="00C665FE"/>
    <w:rsid w:val="00C71BEC"/>
    <w:rsid w:val="00C74D3A"/>
    <w:rsid w:val="00C75F3D"/>
    <w:rsid w:val="00C80511"/>
    <w:rsid w:val="00C826F5"/>
    <w:rsid w:val="00C83740"/>
    <w:rsid w:val="00C84419"/>
    <w:rsid w:val="00C84AD1"/>
    <w:rsid w:val="00C85579"/>
    <w:rsid w:val="00C862F1"/>
    <w:rsid w:val="00C863E5"/>
    <w:rsid w:val="00C87BE6"/>
    <w:rsid w:val="00C87C05"/>
    <w:rsid w:val="00C87F76"/>
    <w:rsid w:val="00C931FC"/>
    <w:rsid w:val="00C932C5"/>
    <w:rsid w:val="00C94CB6"/>
    <w:rsid w:val="00C95299"/>
    <w:rsid w:val="00C95A72"/>
    <w:rsid w:val="00C9650E"/>
    <w:rsid w:val="00C97000"/>
    <w:rsid w:val="00C975BD"/>
    <w:rsid w:val="00CA068D"/>
    <w:rsid w:val="00CA0843"/>
    <w:rsid w:val="00CA1228"/>
    <w:rsid w:val="00CA1407"/>
    <w:rsid w:val="00CA1C73"/>
    <w:rsid w:val="00CA282D"/>
    <w:rsid w:val="00CA2C5D"/>
    <w:rsid w:val="00CA3F73"/>
    <w:rsid w:val="00CA4670"/>
    <w:rsid w:val="00CA6B1A"/>
    <w:rsid w:val="00CB1B18"/>
    <w:rsid w:val="00CB20DC"/>
    <w:rsid w:val="00CB23DC"/>
    <w:rsid w:val="00CB2487"/>
    <w:rsid w:val="00CB28E2"/>
    <w:rsid w:val="00CB2F20"/>
    <w:rsid w:val="00CB758D"/>
    <w:rsid w:val="00CB7A3E"/>
    <w:rsid w:val="00CB7FF7"/>
    <w:rsid w:val="00CC049D"/>
    <w:rsid w:val="00CC0D0E"/>
    <w:rsid w:val="00CC1253"/>
    <w:rsid w:val="00CC19B3"/>
    <w:rsid w:val="00CC2044"/>
    <w:rsid w:val="00CC39D2"/>
    <w:rsid w:val="00CC69EC"/>
    <w:rsid w:val="00CC78A2"/>
    <w:rsid w:val="00CC7DF8"/>
    <w:rsid w:val="00CD15BE"/>
    <w:rsid w:val="00CD1EF2"/>
    <w:rsid w:val="00CD32BD"/>
    <w:rsid w:val="00CD34C7"/>
    <w:rsid w:val="00CD5653"/>
    <w:rsid w:val="00CD5E6D"/>
    <w:rsid w:val="00CD63C8"/>
    <w:rsid w:val="00CD76F8"/>
    <w:rsid w:val="00CE02E8"/>
    <w:rsid w:val="00CE069E"/>
    <w:rsid w:val="00CE0DE0"/>
    <w:rsid w:val="00CE1120"/>
    <w:rsid w:val="00CE3722"/>
    <w:rsid w:val="00CE4599"/>
    <w:rsid w:val="00CF158D"/>
    <w:rsid w:val="00CF2166"/>
    <w:rsid w:val="00CF2284"/>
    <w:rsid w:val="00CF4340"/>
    <w:rsid w:val="00CF4394"/>
    <w:rsid w:val="00CF48B4"/>
    <w:rsid w:val="00D000A9"/>
    <w:rsid w:val="00D00384"/>
    <w:rsid w:val="00D005DB"/>
    <w:rsid w:val="00D0064E"/>
    <w:rsid w:val="00D00981"/>
    <w:rsid w:val="00D02596"/>
    <w:rsid w:val="00D0280D"/>
    <w:rsid w:val="00D02AEF"/>
    <w:rsid w:val="00D05669"/>
    <w:rsid w:val="00D061EB"/>
    <w:rsid w:val="00D06952"/>
    <w:rsid w:val="00D07A72"/>
    <w:rsid w:val="00D10577"/>
    <w:rsid w:val="00D12405"/>
    <w:rsid w:val="00D12A4E"/>
    <w:rsid w:val="00D1323B"/>
    <w:rsid w:val="00D14BAE"/>
    <w:rsid w:val="00D1648B"/>
    <w:rsid w:val="00D16819"/>
    <w:rsid w:val="00D17DD9"/>
    <w:rsid w:val="00D20AC0"/>
    <w:rsid w:val="00D2321B"/>
    <w:rsid w:val="00D23350"/>
    <w:rsid w:val="00D237E7"/>
    <w:rsid w:val="00D23DE4"/>
    <w:rsid w:val="00D25A5C"/>
    <w:rsid w:val="00D26873"/>
    <w:rsid w:val="00D31683"/>
    <w:rsid w:val="00D336C8"/>
    <w:rsid w:val="00D339E8"/>
    <w:rsid w:val="00D3654A"/>
    <w:rsid w:val="00D3662E"/>
    <w:rsid w:val="00D40B1F"/>
    <w:rsid w:val="00D40D75"/>
    <w:rsid w:val="00D43978"/>
    <w:rsid w:val="00D43CBD"/>
    <w:rsid w:val="00D449F0"/>
    <w:rsid w:val="00D462D7"/>
    <w:rsid w:val="00D5062C"/>
    <w:rsid w:val="00D50C8C"/>
    <w:rsid w:val="00D52393"/>
    <w:rsid w:val="00D523E4"/>
    <w:rsid w:val="00D5279D"/>
    <w:rsid w:val="00D52A1B"/>
    <w:rsid w:val="00D52AA7"/>
    <w:rsid w:val="00D52FCC"/>
    <w:rsid w:val="00D53F14"/>
    <w:rsid w:val="00D54BE4"/>
    <w:rsid w:val="00D54DDB"/>
    <w:rsid w:val="00D554BC"/>
    <w:rsid w:val="00D560DC"/>
    <w:rsid w:val="00D56602"/>
    <w:rsid w:val="00D56BAE"/>
    <w:rsid w:val="00D56C6F"/>
    <w:rsid w:val="00D60483"/>
    <w:rsid w:val="00D61ABB"/>
    <w:rsid w:val="00D62D5C"/>
    <w:rsid w:val="00D63577"/>
    <w:rsid w:val="00D67FD7"/>
    <w:rsid w:val="00D72410"/>
    <w:rsid w:val="00D73D53"/>
    <w:rsid w:val="00D7408A"/>
    <w:rsid w:val="00D74261"/>
    <w:rsid w:val="00D7441B"/>
    <w:rsid w:val="00D75589"/>
    <w:rsid w:val="00D76AB2"/>
    <w:rsid w:val="00D80490"/>
    <w:rsid w:val="00D829AD"/>
    <w:rsid w:val="00D82EE2"/>
    <w:rsid w:val="00D83B76"/>
    <w:rsid w:val="00D83D1B"/>
    <w:rsid w:val="00D84133"/>
    <w:rsid w:val="00D8545C"/>
    <w:rsid w:val="00D86E57"/>
    <w:rsid w:val="00D87788"/>
    <w:rsid w:val="00D877C8"/>
    <w:rsid w:val="00D87A02"/>
    <w:rsid w:val="00D91040"/>
    <w:rsid w:val="00D910C2"/>
    <w:rsid w:val="00D9153B"/>
    <w:rsid w:val="00D9168C"/>
    <w:rsid w:val="00D9189B"/>
    <w:rsid w:val="00D91DA6"/>
    <w:rsid w:val="00D921A0"/>
    <w:rsid w:val="00D93A41"/>
    <w:rsid w:val="00D93B9A"/>
    <w:rsid w:val="00D95984"/>
    <w:rsid w:val="00D95C64"/>
    <w:rsid w:val="00D9706F"/>
    <w:rsid w:val="00D972D4"/>
    <w:rsid w:val="00D97837"/>
    <w:rsid w:val="00DA195B"/>
    <w:rsid w:val="00DA27F3"/>
    <w:rsid w:val="00DA2D1E"/>
    <w:rsid w:val="00DA3EC8"/>
    <w:rsid w:val="00DA40C1"/>
    <w:rsid w:val="00DA5564"/>
    <w:rsid w:val="00DA62D8"/>
    <w:rsid w:val="00DA6B55"/>
    <w:rsid w:val="00DA6B97"/>
    <w:rsid w:val="00DA6CEE"/>
    <w:rsid w:val="00DB0015"/>
    <w:rsid w:val="00DB0359"/>
    <w:rsid w:val="00DB0ABB"/>
    <w:rsid w:val="00DB2AAD"/>
    <w:rsid w:val="00DB44E2"/>
    <w:rsid w:val="00DB4A6D"/>
    <w:rsid w:val="00DB5941"/>
    <w:rsid w:val="00DB626D"/>
    <w:rsid w:val="00DB6365"/>
    <w:rsid w:val="00DC07B7"/>
    <w:rsid w:val="00DC0BF1"/>
    <w:rsid w:val="00DC0C2B"/>
    <w:rsid w:val="00DC17F2"/>
    <w:rsid w:val="00DC41C3"/>
    <w:rsid w:val="00DC4A3C"/>
    <w:rsid w:val="00DC4FA4"/>
    <w:rsid w:val="00DC5B37"/>
    <w:rsid w:val="00DD286D"/>
    <w:rsid w:val="00DD2CAF"/>
    <w:rsid w:val="00DD3593"/>
    <w:rsid w:val="00DD64E0"/>
    <w:rsid w:val="00DD7BE0"/>
    <w:rsid w:val="00DE0C67"/>
    <w:rsid w:val="00DE377E"/>
    <w:rsid w:val="00DE3AAD"/>
    <w:rsid w:val="00DE4E4A"/>
    <w:rsid w:val="00DE5692"/>
    <w:rsid w:val="00DE598A"/>
    <w:rsid w:val="00DE6952"/>
    <w:rsid w:val="00DE7E74"/>
    <w:rsid w:val="00DF071B"/>
    <w:rsid w:val="00DF5C84"/>
    <w:rsid w:val="00DF6EF8"/>
    <w:rsid w:val="00E00A69"/>
    <w:rsid w:val="00E017BC"/>
    <w:rsid w:val="00E017F0"/>
    <w:rsid w:val="00E01A0E"/>
    <w:rsid w:val="00E0346A"/>
    <w:rsid w:val="00E041E4"/>
    <w:rsid w:val="00E04AEE"/>
    <w:rsid w:val="00E1012B"/>
    <w:rsid w:val="00E103C8"/>
    <w:rsid w:val="00E1085B"/>
    <w:rsid w:val="00E12858"/>
    <w:rsid w:val="00E1308B"/>
    <w:rsid w:val="00E14581"/>
    <w:rsid w:val="00E14623"/>
    <w:rsid w:val="00E15539"/>
    <w:rsid w:val="00E15BE3"/>
    <w:rsid w:val="00E16541"/>
    <w:rsid w:val="00E17EC9"/>
    <w:rsid w:val="00E202F4"/>
    <w:rsid w:val="00E207C3"/>
    <w:rsid w:val="00E21386"/>
    <w:rsid w:val="00E242AF"/>
    <w:rsid w:val="00E24849"/>
    <w:rsid w:val="00E2536E"/>
    <w:rsid w:val="00E25B8A"/>
    <w:rsid w:val="00E25EF8"/>
    <w:rsid w:val="00E2632B"/>
    <w:rsid w:val="00E26F75"/>
    <w:rsid w:val="00E27423"/>
    <w:rsid w:val="00E322F7"/>
    <w:rsid w:val="00E3369B"/>
    <w:rsid w:val="00E362D2"/>
    <w:rsid w:val="00E36D76"/>
    <w:rsid w:val="00E40478"/>
    <w:rsid w:val="00E405EA"/>
    <w:rsid w:val="00E408B7"/>
    <w:rsid w:val="00E41637"/>
    <w:rsid w:val="00E42789"/>
    <w:rsid w:val="00E43F59"/>
    <w:rsid w:val="00E464F0"/>
    <w:rsid w:val="00E46EF3"/>
    <w:rsid w:val="00E47370"/>
    <w:rsid w:val="00E473E9"/>
    <w:rsid w:val="00E47B47"/>
    <w:rsid w:val="00E50BEB"/>
    <w:rsid w:val="00E548FA"/>
    <w:rsid w:val="00E54C24"/>
    <w:rsid w:val="00E57703"/>
    <w:rsid w:val="00E57ED4"/>
    <w:rsid w:val="00E57FED"/>
    <w:rsid w:val="00E6092F"/>
    <w:rsid w:val="00E62049"/>
    <w:rsid w:val="00E629DA"/>
    <w:rsid w:val="00E64374"/>
    <w:rsid w:val="00E6469F"/>
    <w:rsid w:val="00E65D39"/>
    <w:rsid w:val="00E670F8"/>
    <w:rsid w:val="00E6741B"/>
    <w:rsid w:val="00E67FAC"/>
    <w:rsid w:val="00E7200B"/>
    <w:rsid w:val="00E738CB"/>
    <w:rsid w:val="00E73C88"/>
    <w:rsid w:val="00E74437"/>
    <w:rsid w:val="00E7443D"/>
    <w:rsid w:val="00E75ACE"/>
    <w:rsid w:val="00E771AF"/>
    <w:rsid w:val="00E80386"/>
    <w:rsid w:val="00E809C3"/>
    <w:rsid w:val="00E81A1A"/>
    <w:rsid w:val="00E81C3E"/>
    <w:rsid w:val="00E82359"/>
    <w:rsid w:val="00E82B6D"/>
    <w:rsid w:val="00E83187"/>
    <w:rsid w:val="00E831E9"/>
    <w:rsid w:val="00E8608F"/>
    <w:rsid w:val="00E86C1D"/>
    <w:rsid w:val="00E93164"/>
    <w:rsid w:val="00E9763D"/>
    <w:rsid w:val="00EA0936"/>
    <w:rsid w:val="00EA1177"/>
    <w:rsid w:val="00EA118B"/>
    <w:rsid w:val="00EA11B6"/>
    <w:rsid w:val="00EA2181"/>
    <w:rsid w:val="00EA2DD8"/>
    <w:rsid w:val="00EA4475"/>
    <w:rsid w:val="00EA52FE"/>
    <w:rsid w:val="00EA681F"/>
    <w:rsid w:val="00EB04C6"/>
    <w:rsid w:val="00EB06A6"/>
    <w:rsid w:val="00EB3307"/>
    <w:rsid w:val="00EB3823"/>
    <w:rsid w:val="00EB47D8"/>
    <w:rsid w:val="00EB57D3"/>
    <w:rsid w:val="00EB5EFD"/>
    <w:rsid w:val="00EB679F"/>
    <w:rsid w:val="00EB76E4"/>
    <w:rsid w:val="00EC0E65"/>
    <w:rsid w:val="00EC1251"/>
    <w:rsid w:val="00EC2641"/>
    <w:rsid w:val="00EC2938"/>
    <w:rsid w:val="00EC337D"/>
    <w:rsid w:val="00EC38EF"/>
    <w:rsid w:val="00EC3C53"/>
    <w:rsid w:val="00EC50C9"/>
    <w:rsid w:val="00EC58B4"/>
    <w:rsid w:val="00EC5BB2"/>
    <w:rsid w:val="00ED12F0"/>
    <w:rsid w:val="00ED290C"/>
    <w:rsid w:val="00ED2A6C"/>
    <w:rsid w:val="00ED4773"/>
    <w:rsid w:val="00ED5284"/>
    <w:rsid w:val="00ED664B"/>
    <w:rsid w:val="00ED6A61"/>
    <w:rsid w:val="00ED7DA4"/>
    <w:rsid w:val="00EE03BB"/>
    <w:rsid w:val="00EE0552"/>
    <w:rsid w:val="00EE0B44"/>
    <w:rsid w:val="00EE125D"/>
    <w:rsid w:val="00EE48BB"/>
    <w:rsid w:val="00EE6FE0"/>
    <w:rsid w:val="00EE704A"/>
    <w:rsid w:val="00EE7840"/>
    <w:rsid w:val="00EF2E75"/>
    <w:rsid w:val="00EF4C74"/>
    <w:rsid w:val="00EF5268"/>
    <w:rsid w:val="00EF608E"/>
    <w:rsid w:val="00EF6C4A"/>
    <w:rsid w:val="00F0044B"/>
    <w:rsid w:val="00F03525"/>
    <w:rsid w:val="00F0424D"/>
    <w:rsid w:val="00F04957"/>
    <w:rsid w:val="00F05807"/>
    <w:rsid w:val="00F06451"/>
    <w:rsid w:val="00F07052"/>
    <w:rsid w:val="00F0706C"/>
    <w:rsid w:val="00F11EBE"/>
    <w:rsid w:val="00F12293"/>
    <w:rsid w:val="00F12BA8"/>
    <w:rsid w:val="00F130D0"/>
    <w:rsid w:val="00F14933"/>
    <w:rsid w:val="00F1516A"/>
    <w:rsid w:val="00F171F9"/>
    <w:rsid w:val="00F1737C"/>
    <w:rsid w:val="00F22A26"/>
    <w:rsid w:val="00F24072"/>
    <w:rsid w:val="00F26432"/>
    <w:rsid w:val="00F3121C"/>
    <w:rsid w:val="00F3197A"/>
    <w:rsid w:val="00F32061"/>
    <w:rsid w:val="00F32139"/>
    <w:rsid w:val="00F33D56"/>
    <w:rsid w:val="00F34E08"/>
    <w:rsid w:val="00F35D9B"/>
    <w:rsid w:val="00F41D91"/>
    <w:rsid w:val="00F41F52"/>
    <w:rsid w:val="00F42363"/>
    <w:rsid w:val="00F427C4"/>
    <w:rsid w:val="00F43D6C"/>
    <w:rsid w:val="00F46964"/>
    <w:rsid w:val="00F46F9A"/>
    <w:rsid w:val="00F470FD"/>
    <w:rsid w:val="00F50F30"/>
    <w:rsid w:val="00F5126A"/>
    <w:rsid w:val="00F5126E"/>
    <w:rsid w:val="00F516EF"/>
    <w:rsid w:val="00F51755"/>
    <w:rsid w:val="00F5580D"/>
    <w:rsid w:val="00F56EA1"/>
    <w:rsid w:val="00F611B3"/>
    <w:rsid w:val="00F6196E"/>
    <w:rsid w:val="00F624DD"/>
    <w:rsid w:val="00F629C0"/>
    <w:rsid w:val="00F63FC7"/>
    <w:rsid w:val="00F65E1F"/>
    <w:rsid w:val="00F65ED5"/>
    <w:rsid w:val="00F6608B"/>
    <w:rsid w:val="00F6636A"/>
    <w:rsid w:val="00F667C5"/>
    <w:rsid w:val="00F67E31"/>
    <w:rsid w:val="00F718A8"/>
    <w:rsid w:val="00F72183"/>
    <w:rsid w:val="00F76D01"/>
    <w:rsid w:val="00F80B30"/>
    <w:rsid w:val="00F80B43"/>
    <w:rsid w:val="00F81C35"/>
    <w:rsid w:val="00F82981"/>
    <w:rsid w:val="00F8311F"/>
    <w:rsid w:val="00F83248"/>
    <w:rsid w:val="00F83376"/>
    <w:rsid w:val="00F853AE"/>
    <w:rsid w:val="00F86AD0"/>
    <w:rsid w:val="00F908D5"/>
    <w:rsid w:val="00F913B9"/>
    <w:rsid w:val="00F93C74"/>
    <w:rsid w:val="00F93DCC"/>
    <w:rsid w:val="00F9435D"/>
    <w:rsid w:val="00F966F9"/>
    <w:rsid w:val="00F9676F"/>
    <w:rsid w:val="00F96F61"/>
    <w:rsid w:val="00F97740"/>
    <w:rsid w:val="00FA0C8F"/>
    <w:rsid w:val="00FA2DEF"/>
    <w:rsid w:val="00FA2F7B"/>
    <w:rsid w:val="00FA3C97"/>
    <w:rsid w:val="00FA3D30"/>
    <w:rsid w:val="00FA4B49"/>
    <w:rsid w:val="00FA54F8"/>
    <w:rsid w:val="00FA78C8"/>
    <w:rsid w:val="00FA7A2F"/>
    <w:rsid w:val="00FB09FE"/>
    <w:rsid w:val="00FB0E80"/>
    <w:rsid w:val="00FB101D"/>
    <w:rsid w:val="00FB1725"/>
    <w:rsid w:val="00FB2493"/>
    <w:rsid w:val="00FB42B7"/>
    <w:rsid w:val="00FB4484"/>
    <w:rsid w:val="00FB593A"/>
    <w:rsid w:val="00FB6410"/>
    <w:rsid w:val="00FB6E82"/>
    <w:rsid w:val="00FB792E"/>
    <w:rsid w:val="00FB7CF0"/>
    <w:rsid w:val="00FC0042"/>
    <w:rsid w:val="00FC1E67"/>
    <w:rsid w:val="00FC2A13"/>
    <w:rsid w:val="00FC4284"/>
    <w:rsid w:val="00FC4576"/>
    <w:rsid w:val="00FC5FF5"/>
    <w:rsid w:val="00FC6285"/>
    <w:rsid w:val="00FC764D"/>
    <w:rsid w:val="00FC78FB"/>
    <w:rsid w:val="00FC7DBC"/>
    <w:rsid w:val="00FD076A"/>
    <w:rsid w:val="00FD0AA0"/>
    <w:rsid w:val="00FD1D5A"/>
    <w:rsid w:val="00FD5059"/>
    <w:rsid w:val="00FD554D"/>
    <w:rsid w:val="00FD5BCC"/>
    <w:rsid w:val="00FD7B23"/>
    <w:rsid w:val="00FE2A48"/>
    <w:rsid w:val="00FE5D0A"/>
    <w:rsid w:val="00FE6469"/>
    <w:rsid w:val="00FE67EA"/>
    <w:rsid w:val="00FF05D0"/>
    <w:rsid w:val="00FF06CE"/>
    <w:rsid w:val="00FF0FF7"/>
    <w:rsid w:val="00FF1022"/>
    <w:rsid w:val="00FF10A2"/>
    <w:rsid w:val="00FF1438"/>
    <w:rsid w:val="00FF3A38"/>
    <w:rsid w:val="00FF3C25"/>
    <w:rsid w:val="00FF4129"/>
    <w:rsid w:val="00FF44F7"/>
    <w:rsid w:val="00FF4C90"/>
    <w:rsid w:val="00FF5806"/>
    <w:rsid w:val="00FF6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4C90"/>
    <w:rPr>
      <w:color w:val="0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36C2"/>
    <w:pPr>
      <w:tabs>
        <w:tab w:val="center" w:pos="4320"/>
        <w:tab w:val="right" w:pos="8640"/>
      </w:tabs>
    </w:pPr>
  </w:style>
  <w:style w:type="character" w:styleId="PageNumber">
    <w:name w:val="page number"/>
    <w:basedOn w:val="DefaultParagraphFont"/>
    <w:rsid w:val="005436C2"/>
  </w:style>
  <w:style w:type="paragraph" w:styleId="Header">
    <w:name w:val="header"/>
    <w:basedOn w:val="Normal"/>
    <w:rsid w:val="005436C2"/>
    <w:pPr>
      <w:tabs>
        <w:tab w:val="center" w:pos="4320"/>
        <w:tab w:val="right" w:pos="8640"/>
      </w:tabs>
    </w:pPr>
  </w:style>
  <w:style w:type="paragraph" w:styleId="BodyText">
    <w:name w:val="Body Text"/>
    <w:basedOn w:val="Normal"/>
    <w:rsid w:val="005436C2"/>
    <w:pPr>
      <w:tabs>
        <w:tab w:val="left" w:pos="720"/>
      </w:tabs>
      <w:spacing w:line="240" w:lineRule="exact"/>
      <w:ind w:right="-360"/>
    </w:pPr>
    <w:rPr>
      <w:rFonts w:ascii="Times New Roman" w:hAnsi="Times New Roman"/>
      <w:color w:val="000080"/>
    </w:rPr>
  </w:style>
  <w:style w:type="paragraph" w:styleId="BodyText3">
    <w:name w:val="Body Text 3"/>
    <w:basedOn w:val="Normal"/>
    <w:rsid w:val="005436C2"/>
    <w:pPr>
      <w:tabs>
        <w:tab w:val="left" w:pos="288"/>
        <w:tab w:val="left" w:pos="4752"/>
      </w:tabs>
      <w:spacing w:line="240" w:lineRule="exact"/>
      <w:ind w:right="-360"/>
      <w:jc w:val="both"/>
    </w:pPr>
    <w:rPr>
      <w:color w:val="000080"/>
    </w:rPr>
  </w:style>
  <w:style w:type="paragraph" w:styleId="PlainText">
    <w:name w:val="Plain Text"/>
    <w:basedOn w:val="Normal"/>
    <w:link w:val="PlainTextChar"/>
    <w:uiPriority w:val="99"/>
    <w:unhideWhenUsed/>
    <w:rsid w:val="00D91DA6"/>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D91DA6"/>
    <w:rPr>
      <w:rFonts w:ascii="Consolas" w:eastAsia="Calibri" w:hAnsi="Consolas" w:cs="Times New Roman"/>
      <w:sz w:val="21"/>
      <w:szCs w:val="21"/>
    </w:rPr>
  </w:style>
  <w:style w:type="character" w:customStyle="1" w:styleId="FooterChar">
    <w:name w:val="Footer Char"/>
    <w:basedOn w:val="DefaultParagraphFont"/>
    <w:link w:val="Footer"/>
    <w:uiPriority w:val="99"/>
    <w:rsid w:val="000379D0"/>
    <w:rPr>
      <w:color w:val="008080"/>
      <w:sz w:val="24"/>
    </w:rPr>
  </w:style>
  <w:style w:type="paragraph" w:styleId="BalloonText">
    <w:name w:val="Balloon Text"/>
    <w:basedOn w:val="Normal"/>
    <w:link w:val="BalloonTextChar"/>
    <w:rsid w:val="000379D0"/>
    <w:rPr>
      <w:rFonts w:ascii="Tahoma" w:hAnsi="Tahoma" w:cs="Tahoma"/>
      <w:sz w:val="16"/>
      <w:szCs w:val="16"/>
    </w:rPr>
  </w:style>
  <w:style w:type="character" w:customStyle="1" w:styleId="BalloonTextChar">
    <w:name w:val="Balloon Text Char"/>
    <w:basedOn w:val="DefaultParagraphFont"/>
    <w:link w:val="BalloonText"/>
    <w:rsid w:val="000379D0"/>
    <w:rPr>
      <w:rFonts w:ascii="Tahoma" w:hAnsi="Tahoma" w:cs="Tahoma"/>
      <w:color w:val="008080"/>
      <w:sz w:val="16"/>
      <w:szCs w:val="16"/>
    </w:rPr>
  </w:style>
  <w:style w:type="table" w:styleId="TableGrid">
    <w:name w:val="Table Grid"/>
    <w:basedOn w:val="TableNormal"/>
    <w:uiPriority w:val="59"/>
    <w:rsid w:val="006F1A4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6591"/>
    <w:pPr>
      <w:spacing w:after="200" w:line="276" w:lineRule="auto"/>
      <w:ind w:left="720"/>
      <w:contextualSpacing/>
    </w:pPr>
    <w:rPr>
      <w:rFonts w:asciiTheme="minorHAnsi" w:eastAsiaTheme="minorHAnsi" w:hAnsiTheme="minorHAnsi" w:cstheme="minorBidi"/>
      <w:color w:val="auto"/>
      <w:sz w:val="22"/>
      <w:szCs w:val="22"/>
    </w:rPr>
  </w:style>
  <w:style w:type="character" w:styleId="LineNumber">
    <w:name w:val="line number"/>
    <w:basedOn w:val="DefaultParagraphFont"/>
    <w:rsid w:val="004766C9"/>
  </w:style>
  <w:style w:type="character" w:styleId="CommentReference">
    <w:name w:val="annotation reference"/>
    <w:basedOn w:val="DefaultParagraphFont"/>
    <w:rsid w:val="0046111A"/>
    <w:rPr>
      <w:sz w:val="16"/>
      <w:szCs w:val="16"/>
    </w:rPr>
  </w:style>
  <w:style w:type="paragraph" w:styleId="CommentText">
    <w:name w:val="annotation text"/>
    <w:basedOn w:val="Normal"/>
    <w:link w:val="CommentTextChar"/>
    <w:rsid w:val="0046111A"/>
    <w:rPr>
      <w:sz w:val="20"/>
    </w:rPr>
  </w:style>
  <w:style w:type="character" w:customStyle="1" w:styleId="CommentTextChar">
    <w:name w:val="Comment Text Char"/>
    <w:basedOn w:val="DefaultParagraphFont"/>
    <w:link w:val="CommentText"/>
    <w:rsid w:val="0046111A"/>
    <w:rPr>
      <w:color w:val="008080"/>
      <w:sz w:val="20"/>
    </w:rPr>
  </w:style>
  <w:style w:type="paragraph" w:styleId="CommentSubject">
    <w:name w:val="annotation subject"/>
    <w:basedOn w:val="CommentText"/>
    <w:next w:val="CommentText"/>
    <w:link w:val="CommentSubjectChar"/>
    <w:rsid w:val="0046111A"/>
    <w:rPr>
      <w:b/>
      <w:bCs/>
    </w:rPr>
  </w:style>
  <w:style w:type="character" w:customStyle="1" w:styleId="CommentSubjectChar">
    <w:name w:val="Comment Subject Char"/>
    <w:basedOn w:val="CommentTextChar"/>
    <w:link w:val="CommentSubject"/>
    <w:rsid w:val="0046111A"/>
    <w:rPr>
      <w:b/>
      <w:bCs/>
    </w:rPr>
  </w:style>
  <w:style w:type="character" w:styleId="Hyperlink">
    <w:name w:val="Hyperlink"/>
    <w:basedOn w:val="DefaultParagraphFont"/>
    <w:rsid w:val="00750E3A"/>
    <w:rPr>
      <w:color w:val="0000FF" w:themeColor="hyperlink"/>
      <w:u w:val="single"/>
    </w:rPr>
  </w:style>
  <w:style w:type="character" w:styleId="FollowedHyperlink">
    <w:name w:val="FollowedHyperlink"/>
    <w:basedOn w:val="DefaultParagraphFont"/>
    <w:rsid w:val="00750E3A"/>
    <w:rPr>
      <w:color w:val="800080" w:themeColor="followedHyperlink"/>
      <w:u w:val="single"/>
    </w:rPr>
  </w:style>
  <w:style w:type="paragraph" w:customStyle="1" w:styleId="Default">
    <w:name w:val="Default"/>
    <w:rsid w:val="0023162D"/>
    <w:pPr>
      <w:autoSpaceDE w:val="0"/>
      <w:autoSpaceDN w:val="0"/>
      <w:adjustRightInd w:val="0"/>
    </w:pPr>
    <w:rPr>
      <w:rFonts w:ascii="Times New Roman" w:hAnsi="Times New Roman"/>
      <w:color w:val="000000"/>
      <w:szCs w:val="24"/>
    </w:rPr>
  </w:style>
</w:styles>
</file>

<file path=word/webSettings.xml><?xml version="1.0" encoding="utf-8"?>
<w:webSettings xmlns:r="http://schemas.openxmlformats.org/officeDocument/2006/relationships" xmlns:w="http://schemas.openxmlformats.org/wordprocessingml/2006/main">
  <w:divs>
    <w:div w:id="1590779">
      <w:bodyDiv w:val="1"/>
      <w:marLeft w:val="0"/>
      <w:marRight w:val="0"/>
      <w:marTop w:val="0"/>
      <w:marBottom w:val="0"/>
      <w:divBdr>
        <w:top w:val="none" w:sz="0" w:space="0" w:color="auto"/>
        <w:left w:val="none" w:sz="0" w:space="0" w:color="auto"/>
        <w:bottom w:val="none" w:sz="0" w:space="0" w:color="auto"/>
        <w:right w:val="none" w:sz="0" w:space="0" w:color="auto"/>
      </w:divBdr>
    </w:div>
    <w:div w:id="185489995">
      <w:bodyDiv w:val="1"/>
      <w:marLeft w:val="0"/>
      <w:marRight w:val="0"/>
      <w:marTop w:val="0"/>
      <w:marBottom w:val="0"/>
      <w:divBdr>
        <w:top w:val="none" w:sz="0" w:space="0" w:color="auto"/>
        <w:left w:val="none" w:sz="0" w:space="0" w:color="auto"/>
        <w:bottom w:val="none" w:sz="0" w:space="0" w:color="auto"/>
        <w:right w:val="none" w:sz="0" w:space="0" w:color="auto"/>
      </w:divBdr>
    </w:div>
    <w:div w:id="257175439">
      <w:bodyDiv w:val="1"/>
      <w:marLeft w:val="0"/>
      <w:marRight w:val="0"/>
      <w:marTop w:val="0"/>
      <w:marBottom w:val="0"/>
      <w:divBdr>
        <w:top w:val="none" w:sz="0" w:space="0" w:color="auto"/>
        <w:left w:val="none" w:sz="0" w:space="0" w:color="auto"/>
        <w:bottom w:val="none" w:sz="0" w:space="0" w:color="auto"/>
        <w:right w:val="none" w:sz="0" w:space="0" w:color="auto"/>
      </w:divBdr>
    </w:div>
    <w:div w:id="278297590">
      <w:bodyDiv w:val="1"/>
      <w:marLeft w:val="0"/>
      <w:marRight w:val="0"/>
      <w:marTop w:val="0"/>
      <w:marBottom w:val="0"/>
      <w:divBdr>
        <w:top w:val="none" w:sz="0" w:space="0" w:color="auto"/>
        <w:left w:val="none" w:sz="0" w:space="0" w:color="auto"/>
        <w:bottom w:val="none" w:sz="0" w:space="0" w:color="auto"/>
        <w:right w:val="none" w:sz="0" w:space="0" w:color="auto"/>
      </w:divBdr>
    </w:div>
    <w:div w:id="539513790">
      <w:bodyDiv w:val="1"/>
      <w:marLeft w:val="0"/>
      <w:marRight w:val="0"/>
      <w:marTop w:val="0"/>
      <w:marBottom w:val="0"/>
      <w:divBdr>
        <w:top w:val="none" w:sz="0" w:space="0" w:color="auto"/>
        <w:left w:val="none" w:sz="0" w:space="0" w:color="auto"/>
        <w:bottom w:val="none" w:sz="0" w:space="0" w:color="auto"/>
        <w:right w:val="none" w:sz="0" w:space="0" w:color="auto"/>
      </w:divBdr>
    </w:div>
    <w:div w:id="543686778">
      <w:bodyDiv w:val="1"/>
      <w:marLeft w:val="0"/>
      <w:marRight w:val="0"/>
      <w:marTop w:val="0"/>
      <w:marBottom w:val="0"/>
      <w:divBdr>
        <w:top w:val="none" w:sz="0" w:space="0" w:color="auto"/>
        <w:left w:val="none" w:sz="0" w:space="0" w:color="auto"/>
        <w:bottom w:val="none" w:sz="0" w:space="0" w:color="auto"/>
        <w:right w:val="none" w:sz="0" w:space="0" w:color="auto"/>
      </w:divBdr>
    </w:div>
    <w:div w:id="910502918">
      <w:bodyDiv w:val="1"/>
      <w:marLeft w:val="0"/>
      <w:marRight w:val="0"/>
      <w:marTop w:val="0"/>
      <w:marBottom w:val="0"/>
      <w:divBdr>
        <w:top w:val="none" w:sz="0" w:space="0" w:color="auto"/>
        <w:left w:val="none" w:sz="0" w:space="0" w:color="auto"/>
        <w:bottom w:val="none" w:sz="0" w:space="0" w:color="auto"/>
        <w:right w:val="none" w:sz="0" w:space="0" w:color="auto"/>
      </w:divBdr>
    </w:div>
    <w:div w:id="1157644594">
      <w:bodyDiv w:val="1"/>
      <w:marLeft w:val="0"/>
      <w:marRight w:val="0"/>
      <w:marTop w:val="0"/>
      <w:marBottom w:val="0"/>
      <w:divBdr>
        <w:top w:val="none" w:sz="0" w:space="0" w:color="auto"/>
        <w:left w:val="none" w:sz="0" w:space="0" w:color="auto"/>
        <w:bottom w:val="none" w:sz="0" w:space="0" w:color="auto"/>
        <w:right w:val="none" w:sz="0" w:space="0" w:color="auto"/>
      </w:divBdr>
    </w:div>
    <w:div w:id="1175340299">
      <w:bodyDiv w:val="1"/>
      <w:marLeft w:val="0"/>
      <w:marRight w:val="0"/>
      <w:marTop w:val="0"/>
      <w:marBottom w:val="0"/>
      <w:divBdr>
        <w:top w:val="none" w:sz="0" w:space="0" w:color="auto"/>
        <w:left w:val="none" w:sz="0" w:space="0" w:color="auto"/>
        <w:bottom w:val="none" w:sz="0" w:space="0" w:color="auto"/>
        <w:right w:val="none" w:sz="0" w:space="0" w:color="auto"/>
      </w:divBdr>
    </w:div>
    <w:div w:id="1198202320">
      <w:bodyDiv w:val="1"/>
      <w:marLeft w:val="0"/>
      <w:marRight w:val="0"/>
      <w:marTop w:val="0"/>
      <w:marBottom w:val="0"/>
      <w:divBdr>
        <w:top w:val="none" w:sz="0" w:space="0" w:color="auto"/>
        <w:left w:val="none" w:sz="0" w:space="0" w:color="auto"/>
        <w:bottom w:val="none" w:sz="0" w:space="0" w:color="auto"/>
        <w:right w:val="none" w:sz="0" w:space="0" w:color="auto"/>
      </w:divBdr>
    </w:div>
    <w:div w:id="1291279704">
      <w:bodyDiv w:val="1"/>
      <w:marLeft w:val="0"/>
      <w:marRight w:val="0"/>
      <w:marTop w:val="0"/>
      <w:marBottom w:val="0"/>
      <w:divBdr>
        <w:top w:val="none" w:sz="0" w:space="0" w:color="auto"/>
        <w:left w:val="none" w:sz="0" w:space="0" w:color="auto"/>
        <w:bottom w:val="none" w:sz="0" w:space="0" w:color="auto"/>
        <w:right w:val="none" w:sz="0" w:space="0" w:color="auto"/>
      </w:divBdr>
    </w:div>
    <w:div w:id="1343750320">
      <w:bodyDiv w:val="1"/>
      <w:marLeft w:val="0"/>
      <w:marRight w:val="0"/>
      <w:marTop w:val="0"/>
      <w:marBottom w:val="0"/>
      <w:divBdr>
        <w:top w:val="none" w:sz="0" w:space="0" w:color="auto"/>
        <w:left w:val="none" w:sz="0" w:space="0" w:color="auto"/>
        <w:bottom w:val="none" w:sz="0" w:space="0" w:color="auto"/>
        <w:right w:val="none" w:sz="0" w:space="0" w:color="auto"/>
      </w:divBdr>
    </w:div>
    <w:div w:id="1451363989">
      <w:bodyDiv w:val="1"/>
      <w:marLeft w:val="0"/>
      <w:marRight w:val="0"/>
      <w:marTop w:val="0"/>
      <w:marBottom w:val="0"/>
      <w:divBdr>
        <w:top w:val="none" w:sz="0" w:space="0" w:color="auto"/>
        <w:left w:val="none" w:sz="0" w:space="0" w:color="auto"/>
        <w:bottom w:val="none" w:sz="0" w:space="0" w:color="auto"/>
        <w:right w:val="none" w:sz="0" w:space="0" w:color="auto"/>
      </w:divBdr>
    </w:div>
    <w:div w:id="1462067866">
      <w:bodyDiv w:val="1"/>
      <w:marLeft w:val="0"/>
      <w:marRight w:val="0"/>
      <w:marTop w:val="0"/>
      <w:marBottom w:val="0"/>
      <w:divBdr>
        <w:top w:val="none" w:sz="0" w:space="0" w:color="auto"/>
        <w:left w:val="none" w:sz="0" w:space="0" w:color="auto"/>
        <w:bottom w:val="none" w:sz="0" w:space="0" w:color="auto"/>
        <w:right w:val="none" w:sz="0" w:space="0" w:color="auto"/>
      </w:divBdr>
    </w:div>
    <w:div w:id="1468742721">
      <w:bodyDiv w:val="1"/>
      <w:marLeft w:val="0"/>
      <w:marRight w:val="0"/>
      <w:marTop w:val="0"/>
      <w:marBottom w:val="0"/>
      <w:divBdr>
        <w:top w:val="none" w:sz="0" w:space="0" w:color="auto"/>
        <w:left w:val="none" w:sz="0" w:space="0" w:color="auto"/>
        <w:bottom w:val="none" w:sz="0" w:space="0" w:color="auto"/>
        <w:right w:val="none" w:sz="0" w:space="0" w:color="auto"/>
      </w:divBdr>
    </w:div>
    <w:div w:id="1542017003">
      <w:bodyDiv w:val="1"/>
      <w:marLeft w:val="0"/>
      <w:marRight w:val="0"/>
      <w:marTop w:val="0"/>
      <w:marBottom w:val="0"/>
      <w:divBdr>
        <w:top w:val="none" w:sz="0" w:space="0" w:color="auto"/>
        <w:left w:val="none" w:sz="0" w:space="0" w:color="auto"/>
        <w:bottom w:val="none" w:sz="0" w:space="0" w:color="auto"/>
        <w:right w:val="none" w:sz="0" w:space="0" w:color="auto"/>
      </w:divBdr>
    </w:div>
    <w:div w:id="1551305034">
      <w:bodyDiv w:val="1"/>
      <w:marLeft w:val="0"/>
      <w:marRight w:val="0"/>
      <w:marTop w:val="0"/>
      <w:marBottom w:val="0"/>
      <w:divBdr>
        <w:top w:val="none" w:sz="0" w:space="0" w:color="auto"/>
        <w:left w:val="none" w:sz="0" w:space="0" w:color="auto"/>
        <w:bottom w:val="none" w:sz="0" w:space="0" w:color="auto"/>
        <w:right w:val="none" w:sz="0" w:space="0" w:color="auto"/>
      </w:divBdr>
    </w:div>
    <w:div w:id="1568031727">
      <w:bodyDiv w:val="1"/>
      <w:marLeft w:val="0"/>
      <w:marRight w:val="0"/>
      <w:marTop w:val="0"/>
      <w:marBottom w:val="0"/>
      <w:divBdr>
        <w:top w:val="none" w:sz="0" w:space="0" w:color="auto"/>
        <w:left w:val="none" w:sz="0" w:space="0" w:color="auto"/>
        <w:bottom w:val="none" w:sz="0" w:space="0" w:color="auto"/>
        <w:right w:val="none" w:sz="0" w:space="0" w:color="auto"/>
      </w:divBdr>
    </w:div>
    <w:div w:id="1575894432">
      <w:bodyDiv w:val="1"/>
      <w:marLeft w:val="0"/>
      <w:marRight w:val="0"/>
      <w:marTop w:val="0"/>
      <w:marBottom w:val="0"/>
      <w:divBdr>
        <w:top w:val="none" w:sz="0" w:space="0" w:color="auto"/>
        <w:left w:val="none" w:sz="0" w:space="0" w:color="auto"/>
        <w:bottom w:val="none" w:sz="0" w:space="0" w:color="auto"/>
        <w:right w:val="none" w:sz="0" w:space="0" w:color="auto"/>
      </w:divBdr>
    </w:div>
    <w:div w:id="1657488341">
      <w:bodyDiv w:val="1"/>
      <w:marLeft w:val="0"/>
      <w:marRight w:val="0"/>
      <w:marTop w:val="0"/>
      <w:marBottom w:val="0"/>
      <w:divBdr>
        <w:top w:val="none" w:sz="0" w:space="0" w:color="auto"/>
        <w:left w:val="none" w:sz="0" w:space="0" w:color="auto"/>
        <w:bottom w:val="none" w:sz="0" w:space="0" w:color="auto"/>
        <w:right w:val="none" w:sz="0" w:space="0" w:color="auto"/>
      </w:divBdr>
    </w:div>
    <w:div w:id="1756508288">
      <w:bodyDiv w:val="1"/>
      <w:marLeft w:val="0"/>
      <w:marRight w:val="0"/>
      <w:marTop w:val="0"/>
      <w:marBottom w:val="0"/>
      <w:divBdr>
        <w:top w:val="none" w:sz="0" w:space="0" w:color="auto"/>
        <w:left w:val="none" w:sz="0" w:space="0" w:color="auto"/>
        <w:bottom w:val="none" w:sz="0" w:space="0" w:color="auto"/>
        <w:right w:val="none" w:sz="0" w:space="0" w:color="auto"/>
      </w:divBdr>
    </w:div>
    <w:div w:id="1779445607">
      <w:bodyDiv w:val="1"/>
      <w:marLeft w:val="0"/>
      <w:marRight w:val="0"/>
      <w:marTop w:val="0"/>
      <w:marBottom w:val="0"/>
      <w:divBdr>
        <w:top w:val="none" w:sz="0" w:space="0" w:color="auto"/>
        <w:left w:val="none" w:sz="0" w:space="0" w:color="auto"/>
        <w:bottom w:val="none" w:sz="0" w:space="0" w:color="auto"/>
        <w:right w:val="none" w:sz="0" w:space="0" w:color="auto"/>
      </w:divBdr>
    </w:div>
    <w:div w:id="18904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DA95-79BF-4D04-BD6E-5050B3C7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2479</Words>
  <Characters>14132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RECORD OF PROCEEDINGS</vt:lpstr>
    </vt:vector>
  </TitlesOfParts>
  <Company>Pre-installed Company</Company>
  <LinksUpToDate>false</LinksUpToDate>
  <CharactersWithSpaces>16578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PROCEEDINGS</dc:title>
  <dc:creator>JOHN J. D'ORAZIO</dc:creator>
  <cp:lastModifiedBy>julie.raveau</cp:lastModifiedBy>
  <cp:revision>9</cp:revision>
  <cp:lastPrinted>2011-03-28T15:27:00Z</cp:lastPrinted>
  <dcterms:created xsi:type="dcterms:W3CDTF">2011-12-06T14:58:00Z</dcterms:created>
  <dcterms:modified xsi:type="dcterms:W3CDTF">2012-05-23T17:19:00Z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-1105890195</vt:i4>
  </property>
</Properties>
</file>