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F1766A">
      <w:pPr>
        <w:tabs>
          <w:tab w:val="left" w:pos="288"/>
          <w:tab w:val="left" w:pos="6300"/>
          <w:tab w:val="left" w:pos="9270"/>
        </w:tabs>
        <w:jc w:val="both"/>
        <w:rPr>
          <w:caps/>
          <w:color w:val="000000" w:themeColor="text1"/>
        </w:rPr>
      </w:pPr>
      <w:r w:rsidRPr="001F29F9">
        <w:rPr>
          <w:caps/>
          <w:color w:val="000000" w:themeColor="text1"/>
        </w:rPr>
        <w:t xml:space="preserve">NAME:  </w:t>
      </w:r>
      <w:r w:rsidR="00A3229B">
        <w:rPr>
          <w:caps/>
          <w:color w:val="000000" w:themeColor="text1"/>
        </w:rPr>
        <w:t xml:space="preserve"> </w:t>
      </w:r>
      <w:r w:rsidR="00F1766A">
        <w:rPr>
          <w:caps/>
          <w:color w:val="000000" w:themeColor="text1"/>
        </w:rPr>
        <w:tab/>
      </w:r>
      <w:r w:rsidRPr="001F29F9">
        <w:rPr>
          <w:caps/>
          <w:color w:val="000000" w:themeColor="text1"/>
        </w:rPr>
        <w:t xml:space="preserve">BRANCH OF </w:t>
      </w:r>
      <w:r w:rsidRPr="00F153D1">
        <w:rPr>
          <w:caps/>
          <w:color w:val="000000" w:themeColor="text1"/>
        </w:rPr>
        <w:t xml:space="preserve">SERVICE: </w:t>
      </w:r>
      <w:r w:rsidR="004C24C5" w:rsidRPr="00F153D1">
        <w:rPr>
          <w:caps/>
          <w:color w:val="000000" w:themeColor="text1"/>
        </w:rPr>
        <w:t xml:space="preserve"> </w:t>
      </w:r>
      <w:r w:rsidR="00332DE3" w:rsidRPr="00F153D1">
        <w:rPr>
          <w:caps/>
          <w:color w:val="000000" w:themeColor="text1"/>
        </w:rPr>
        <w:t xml:space="preserve">Army </w:t>
      </w:r>
    </w:p>
    <w:p w:rsidR="00DE3AAD" w:rsidRPr="001F29F9" w:rsidRDefault="00012733" w:rsidP="00F1766A">
      <w:pPr>
        <w:tabs>
          <w:tab w:val="left" w:pos="288"/>
          <w:tab w:val="left" w:pos="630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974BE2" w:rsidRPr="00974BE2">
        <w:rPr>
          <w:caps/>
          <w:color w:val="000000" w:themeColor="text1"/>
        </w:rPr>
        <w:t>PD1001294</w:t>
      </w:r>
      <w:r w:rsidR="00DE3AAD" w:rsidRPr="001F29F9">
        <w:rPr>
          <w:color w:val="000000" w:themeColor="text1"/>
        </w:rPr>
        <w:t xml:space="preserve"> </w:t>
      </w:r>
      <w:r w:rsidR="00F1766A">
        <w:rPr>
          <w:color w:val="000000" w:themeColor="text1"/>
        </w:rPr>
        <w:tab/>
      </w:r>
      <w:r w:rsidR="00DE3AAD" w:rsidRPr="001F29F9">
        <w:rPr>
          <w:color w:val="000000" w:themeColor="text1"/>
        </w:rPr>
        <w:t xml:space="preserve">SEPARATION DATE:  </w:t>
      </w:r>
      <w:r w:rsidR="00F153D1" w:rsidRPr="00F153D1">
        <w:rPr>
          <w:color w:val="000000" w:themeColor="text1"/>
        </w:rPr>
        <w:t>20060508</w:t>
      </w:r>
    </w:p>
    <w:p w:rsidR="003B2143" w:rsidRPr="001F29F9" w:rsidRDefault="004F3639" w:rsidP="00F153D1">
      <w:pPr>
        <w:tabs>
          <w:tab w:val="left" w:pos="288"/>
          <w:tab w:val="left" w:pos="3240"/>
        </w:tabs>
        <w:jc w:val="both"/>
        <w:rPr>
          <w:color w:val="000000" w:themeColor="text1"/>
        </w:rPr>
      </w:pPr>
      <w:r w:rsidRPr="001F29F9">
        <w:rPr>
          <w:caps/>
          <w:color w:val="000000" w:themeColor="text1"/>
        </w:rPr>
        <w:t>BOARD DATE:  201</w:t>
      </w:r>
      <w:r w:rsidR="006344DE">
        <w:rPr>
          <w:caps/>
          <w:color w:val="000000" w:themeColor="text1"/>
        </w:rPr>
        <w:t>2</w:t>
      </w:r>
      <w:r w:rsidR="00004813">
        <w:rPr>
          <w:caps/>
          <w:color w:val="000000" w:themeColor="text1"/>
        </w:rPr>
        <w:t>0305</w:t>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B72C8" w:rsidRPr="009B72C8">
        <w:rPr>
          <w:color w:val="000000" w:themeColor="text1"/>
        </w:rPr>
        <w:t>Data extracted from the available evidence of record reflects that this covered individual (CI) was a Reserve member, SSG</w:t>
      </w:r>
      <w:r w:rsidR="009B72C8">
        <w:rPr>
          <w:color w:val="000000" w:themeColor="text1"/>
        </w:rPr>
        <w:t>/</w:t>
      </w:r>
      <w:r w:rsidR="009B72C8" w:rsidRPr="009B72C8">
        <w:rPr>
          <w:color w:val="000000" w:themeColor="text1"/>
        </w:rPr>
        <w:t>E-6 (</w:t>
      </w:r>
      <w:r w:rsidR="009B72C8">
        <w:rPr>
          <w:color w:val="000000" w:themeColor="text1"/>
        </w:rPr>
        <w:t>91G,</w:t>
      </w:r>
      <w:r w:rsidR="009B72C8" w:rsidRPr="009B72C8">
        <w:rPr>
          <w:color w:val="000000" w:themeColor="text1"/>
        </w:rPr>
        <w:t xml:space="preserve"> P</w:t>
      </w:r>
      <w:r w:rsidR="009B72C8">
        <w:rPr>
          <w:color w:val="000000" w:themeColor="text1"/>
        </w:rPr>
        <w:t>atient Administration</w:t>
      </w:r>
      <w:r w:rsidR="009B72C8" w:rsidRPr="009B72C8">
        <w:rPr>
          <w:color w:val="000000" w:themeColor="text1"/>
        </w:rPr>
        <w:t xml:space="preserve">), medically separated for </w:t>
      </w:r>
      <w:r w:rsidR="009C5FCC">
        <w:rPr>
          <w:color w:val="000000" w:themeColor="text1"/>
        </w:rPr>
        <w:t>a lumbar spine condition</w:t>
      </w:r>
      <w:r w:rsidR="009B72C8" w:rsidRPr="009B72C8">
        <w:rPr>
          <w:color w:val="000000" w:themeColor="text1"/>
        </w:rPr>
        <w:t xml:space="preserve">.  </w:t>
      </w:r>
      <w:r w:rsidR="00364577">
        <w:rPr>
          <w:color w:val="000000" w:themeColor="text1"/>
        </w:rPr>
        <w:t xml:space="preserve">She injured her back </w:t>
      </w:r>
      <w:r w:rsidR="0005727C">
        <w:rPr>
          <w:color w:val="000000" w:themeColor="text1"/>
        </w:rPr>
        <w:t xml:space="preserve">in 2001 </w:t>
      </w:r>
      <w:r w:rsidR="00364577">
        <w:rPr>
          <w:color w:val="000000" w:themeColor="text1"/>
        </w:rPr>
        <w:t>with lifting</w:t>
      </w:r>
      <w:r w:rsidR="0005727C">
        <w:rPr>
          <w:color w:val="000000" w:themeColor="text1"/>
        </w:rPr>
        <w:t xml:space="preserve"> in a civilian occupational setting;</w:t>
      </w:r>
      <w:r w:rsidR="00364577">
        <w:rPr>
          <w:color w:val="000000" w:themeColor="text1"/>
        </w:rPr>
        <w:t xml:space="preserve"> </w:t>
      </w:r>
      <w:r w:rsidR="0005727C">
        <w:rPr>
          <w:color w:val="000000" w:themeColor="text1"/>
        </w:rPr>
        <w:t>but,</w:t>
      </w:r>
      <w:r w:rsidR="00364577">
        <w:rPr>
          <w:color w:val="000000" w:themeColor="text1"/>
        </w:rPr>
        <w:t xml:space="preserve"> </w:t>
      </w:r>
      <w:r w:rsidR="0005727C">
        <w:rPr>
          <w:color w:val="000000" w:themeColor="text1"/>
        </w:rPr>
        <w:t>experienced a recurrence of</w:t>
      </w:r>
      <w:r w:rsidR="00364577">
        <w:rPr>
          <w:color w:val="000000" w:themeColor="text1"/>
        </w:rPr>
        <w:t xml:space="preserve"> </w:t>
      </w:r>
      <w:r w:rsidR="0005727C">
        <w:rPr>
          <w:color w:val="000000" w:themeColor="text1"/>
        </w:rPr>
        <w:t xml:space="preserve">back </w:t>
      </w:r>
      <w:r w:rsidR="00364577">
        <w:rPr>
          <w:color w:val="000000" w:themeColor="text1"/>
        </w:rPr>
        <w:t xml:space="preserve">pain </w:t>
      </w:r>
      <w:r w:rsidR="0005727C">
        <w:rPr>
          <w:color w:val="000000" w:themeColor="text1"/>
        </w:rPr>
        <w:t>radiating to the</w:t>
      </w:r>
      <w:r w:rsidR="00364577">
        <w:rPr>
          <w:color w:val="000000" w:themeColor="text1"/>
        </w:rPr>
        <w:t xml:space="preserve"> left </w:t>
      </w:r>
      <w:r w:rsidR="0005727C">
        <w:rPr>
          <w:color w:val="000000" w:themeColor="text1"/>
        </w:rPr>
        <w:t>leg</w:t>
      </w:r>
      <w:r w:rsidR="00364577">
        <w:rPr>
          <w:color w:val="000000" w:themeColor="text1"/>
        </w:rPr>
        <w:t xml:space="preserve"> during a subsequent mobilization to Germany.  She was diagnosed with </w:t>
      </w:r>
      <w:r w:rsidR="003E376B">
        <w:rPr>
          <w:color w:val="000000" w:themeColor="text1"/>
        </w:rPr>
        <w:t>discopathy,</w:t>
      </w:r>
      <w:r w:rsidR="00364577">
        <w:rPr>
          <w:color w:val="000000" w:themeColor="text1"/>
        </w:rPr>
        <w:t xml:space="preserve"> and underwent two diskectomy </w:t>
      </w:r>
      <w:r w:rsidR="003E376B">
        <w:rPr>
          <w:color w:val="000000" w:themeColor="text1"/>
        </w:rPr>
        <w:t>surgeries</w:t>
      </w:r>
      <w:r w:rsidR="00364577">
        <w:rPr>
          <w:color w:val="000000" w:themeColor="text1"/>
        </w:rPr>
        <w:t xml:space="preserve"> in 2003.  </w:t>
      </w:r>
      <w:r w:rsidR="004846DE">
        <w:rPr>
          <w:color w:val="000000" w:themeColor="text1"/>
        </w:rPr>
        <w:t xml:space="preserve">Despite </w:t>
      </w:r>
      <w:r w:rsidR="00364577">
        <w:rPr>
          <w:color w:val="000000" w:themeColor="text1"/>
        </w:rPr>
        <w:t xml:space="preserve">an </w:t>
      </w:r>
      <w:r w:rsidR="004846DE">
        <w:rPr>
          <w:color w:val="000000" w:themeColor="text1"/>
        </w:rPr>
        <w:t xml:space="preserve">aggressive </w:t>
      </w:r>
      <w:r w:rsidR="00364577">
        <w:rPr>
          <w:color w:val="000000" w:themeColor="text1"/>
        </w:rPr>
        <w:t xml:space="preserve">post-operative trial of </w:t>
      </w:r>
      <w:r w:rsidR="00004813">
        <w:rPr>
          <w:color w:val="000000" w:themeColor="text1"/>
        </w:rPr>
        <w:t>rehabilitation</w:t>
      </w:r>
      <w:r w:rsidR="00364577">
        <w:rPr>
          <w:color w:val="000000" w:themeColor="text1"/>
        </w:rPr>
        <w:t>,</w:t>
      </w:r>
      <w:r w:rsidR="004846DE">
        <w:rPr>
          <w:color w:val="000000" w:themeColor="text1"/>
        </w:rPr>
        <w:t xml:space="preserve"> s</w:t>
      </w:r>
      <w:r w:rsidR="009B72C8" w:rsidRPr="009B72C8">
        <w:rPr>
          <w:color w:val="000000" w:themeColor="text1"/>
        </w:rPr>
        <w:t xml:space="preserve">he did not </w:t>
      </w:r>
      <w:r w:rsidR="00364577">
        <w:rPr>
          <w:color w:val="000000" w:themeColor="text1"/>
        </w:rPr>
        <w:t>improve</w:t>
      </w:r>
      <w:r w:rsidR="009B72C8" w:rsidRPr="009B72C8">
        <w:rPr>
          <w:color w:val="000000" w:themeColor="text1"/>
        </w:rPr>
        <w:t xml:space="preserve"> adequately to </w:t>
      </w:r>
      <w:r w:rsidR="009B72C8">
        <w:rPr>
          <w:color w:val="000000" w:themeColor="text1"/>
        </w:rPr>
        <w:t xml:space="preserve">fully </w:t>
      </w:r>
      <w:r w:rsidR="009B72C8" w:rsidRPr="009B72C8">
        <w:rPr>
          <w:color w:val="000000" w:themeColor="text1"/>
        </w:rPr>
        <w:t xml:space="preserve">perform within her Military Occupational Specialty (MOS) or meet physical fitness standards.  She was issued a permanent L3 profile and underwent a Medical Evaluation Board (MEB).  Degenerative disc disease (DDD) was forwarded to the Physical Evaluation Board (PEB) as medically unacceptable IAW AR 40-501.  </w:t>
      </w:r>
      <w:r w:rsidR="009B72C8">
        <w:rPr>
          <w:color w:val="000000" w:themeColor="text1"/>
        </w:rPr>
        <w:t>Depressive disorder</w:t>
      </w:r>
      <w:r w:rsidR="009B72C8" w:rsidRPr="009B72C8">
        <w:rPr>
          <w:color w:val="000000" w:themeColor="text1"/>
        </w:rPr>
        <w:t xml:space="preserve"> was forwarded </w:t>
      </w:r>
      <w:r w:rsidR="00004813">
        <w:rPr>
          <w:color w:val="000000" w:themeColor="text1"/>
        </w:rPr>
        <w:t>by</w:t>
      </w:r>
      <w:r w:rsidR="009B72C8" w:rsidRPr="009B72C8">
        <w:rPr>
          <w:color w:val="000000" w:themeColor="text1"/>
        </w:rPr>
        <w:t xml:space="preserve"> the MEB as a medica</w:t>
      </w:r>
      <w:r w:rsidR="003E376B">
        <w:rPr>
          <w:color w:val="000000" w:themeColor="text1"/>
        </w:rPr>
        <w:t xml:space="preserve">lly acceptable condition.  The </w:t>
      </w:r>
      <w:r w:rsidR="009B72C8" w:rsidRPr="009B72C8">
        <w:rPr>
          <w:color w:val="000000" w:themeColor="text1"/>
        </w:rPr>
        <w:t xml:space="preserve">PEB adjudicated the </w:t>
      </w:r>
      <w:r w:rsidR="003E376B">
        <w:rPr>
          <w:color w:val="000000" w:themeColor="text1"/>
        </w:rPr>
        <w:t>lumbar spine</w:t>
      </w:r>
      <w:r w:rsidR="009B72C8" w:rsidRPr="009B72C8">
        <w:rPr>
          <w:color w:val="000000" w:themeColor="text1"/>
        </w:rPr>
        <w:t xml:space="preserve"> condition as unfitting, rated 10%, </w:t>
      </w:r>
      <w:r w:rsidR="003E376B">
        <w:rPr>
          <w:color w:val="000000" w:themeColor="text1"/>
        </w:rPr>
        <w:t>citing criteria of</w:t>
      </w:r>
      <w:r w:rsidR="009B72C8" w:rsidRPr="009B72C8">
        <w:rPr>
          <w:color w:val="000000" w:themeColor="text1"/>
        </w:rPr>
        <w:t xml:space="preserve"> </w:t>
      </w:r>
      <w:r w:rsidR="009B72C8" w:rsidRPr="009B72C8">
        <w:rPr>
          <w:color w:val="000000" w:themeColor="text1"/>
          <w:szCs w:val="24"/>
        </w:rPr>
        <w:t>the US Army Physical Disability Agency (USAPDA) pain policy</w:t>
      </w:r>
      <w:r w:rsidR="003E376B">
        <w:rPr>
          <w:color w:val="000000" w:themeColor="text1"/>
          <w:szCs w:val="24"/>
        </w:rPr>
        <w:t>; and,</w:t>
      </w:r>
      <w:r w:rsidR="00B218B1">
        <w:rPr>
          <w:color w:val="000000" w:themeColor="text1"/>
          <w:szCs w:val="24"/>
        </w:rPr>
        <w:t xml:space="preserve"> </w:t>
      </w:r>
      <w:r w:rsidR="003E376B">
        <w:rPr>
          <w:color w:val="000000" w:themeColor="text1"/>
          <w:szCs w:val="24"/>
        </w:rPr>
        <w:t>adjudicated t</w:t>
      </w:r>
      <w:r w:rsidR="00B218B1">
        <w:rPr>
          <w:color w:val="000000" w:themeColor="text1"/>
          <w:szCs w:val="24"/>
        </w:rPr>
        <w:t xml:space="preserve">he depressive disorder </w:t>
      </w:r>
      <w:r w:rsidR="003E376B">
        <w:rPr>
          <w:color w:val="000000" w:themeColor="text1"/>
          <w:szCs w:val="24"/>
        </w:rPr>
        <w:t>as</w:t>
      </w:r>
      <w:r w:rsidR="00B218B1">
        <w:rPr>
          <w:color w:val="000000" w:themeColor="text1"/>
          <w:szCs w:val="24"/>
        </w:rPr>
        <w:t xml:space="preserve"> not unfitting</w:t>
      </w:r>
      <w:r w:rsidR="009B72C8" w:rsidRPr="009B72C8">
        <w:rPr>
          <w:color w:val="000000" w:themeColor="text1"/>
        </w:rPr>
        <w:t>.  The CI made no appeals, and was 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9B72C8">
        <w:rPr>
          <w:color w:val="000000" w:themeColor="text1"/>
        </w:rPr>
        <w:t xml:space="preserve">  </w:t>
      </w:r>
      <w:r w:rsidR="009B72C8" w:rsidRPr="009B72C8">
        <w:rPr>
          <w:color w:val="000000" w:themeColor="text1"/>
        </w:rPr>
        <w:t xml:space="preserve">“I continue to have medical problems; 80% disable </w:t>
      </w:r>
      <w:r w:rsidR="009B72C8">
        <w:rPr>
          <w:color w:val="000000" w:themeColor="text1"/>
        </w:rPr>
        <w:t xml:space="preserve">[sic] </w:t>
      </w:r>
      <w:r w:rsidR="009B72C8" w:rsidRPr="009B72C8">
        <w:rPr>
          <w:color w:val="000000" w:themeColor="text1"/>
        </w:rPr>
        <w:t xml:space="preserve">through VA.  </w:t>
      </w:r>
      <w:proofErr w:type="gramStart"/>
      <w:r w:rsidR="009B72C8" w:rsidRPr="009B72C8">
        <w:rPr>
          <w:color w:val="000000" w:themeColor="text1"/>
        </w:rPr>
        <w:t>Conditions – PTSD, Chronic Low Back Pain, Sciatic L leg, depression/PTSD, High Blood Pressure</w:t>
      </w:r>
      <w:r w:rsidR="003E376B">
        <w:rPr>
          <w:color w:val="000000" w:themeColor="text1"/>
        </w:rPr>
        <w:t>.</w:t>
      </w:r>
      <w:r w:rsidR="009B72C8" w:rsidRPr="009B72C8">
        <w:rPr>
          <w:color w:val="000000" w:themeColor="text1"/>
        </w:rPr>
        <w:t>”</w:t>
      </w:r>
      <w:proofErr w:type="gramEnd"/>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60" w:type="dxa"/>
        <w:jc w:val="center"/>
        <w:tblLayout w:type="fixed"/>
        <w:tblLook w:val="04A0"/>
      </w:tblPr>
      <w:tblGrid>
        <w:gridCol w:w="2160"/>
        <w:gridCol w:w="1080"/>
        <w:gridCol w:w="900"/>
        <w:gridCol w:w="2520"/>
        <w:gridCol w:w="882"/>
        <w:gridCol w:w="828"/>
        <w:gridCol w:w="990"/>
      </w:tblGrid>
      <w:tr w:rsidR="002B4E22" w:rsidRPr="001F29F9" w:rsidTr="00A34163">
        <w:trPr>
          <w:trHeight w:val="170"/>
          <w:jc w:val="center"/>
        </w:trPr>
        <w:tc>
          <w:tcPr>
            <w:tcW w:w="4140" w:type="dxa"/>
            <w:gridSpan w:val="3"/>
            <w:tcBorders>
              <w:right w:val="thinThickThinSmallGap" w:sz="24" w:space="0" w:color="auto"/>
            </w:tcBorders>
            <w:shd w:val="clear" w:color="auto" w:fill="D9D9D9" w:themeFill="background1" w:themeFillShade="D9"/>
            <w:vAlign w:val="center"/>
          </w:tcPr>
          <w:p w:rsidR="002B4E22" w:rsidRPr="001F29F9" w:rsidRDefault="003E376B" w:rsidP="00A34163">
            <w:pPr>
              <w:contextualSpacing/>
              <w:rPr>
                <w:rFonts w:ascii="Calibri" w:hAnsi="Calibri" w:cs="Calibri"/>
                <w:b/>
                <w:color w:val="000000" w:themeColor="text1"/>
                <w:sz w:val="18"/>
                <w:szCs w:val="18"/>
              </w:rPr>
            </w:pPr>
            <w:r>
              <w:rPr>
                <w:rFonts w:ascii="Calibri" w:hAnsi="Calibri" w:cs="Calibri"/>
                <w:b/>
                <w:color w:val="000000" w:themeColor="text1"/>
                <w:sz w:val="18"/>
                <w:szCs w:val="18"/>
              </w:rPr>
              <w:t xml:space="preserve">Service </w:t>
            </w:r>
            <w:r w:rsidR="009B72C8" w:rsidRPr="009B72C8">
              <w:rPr>
                <w:rFonts w:ascii="Calibri" w:hAnsi="Calibri" w:cs="Calibri"/>
                <w:b/>
                <w:color w:val="000000" w:themeColor="text1"/>
                <w:sz w:val="18"/>
                <w:szCs w:val="18"/>
              </w:rPr>
              <w:t>PEB – Dated 20060110</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A3416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75788F">
              <w:rPr>
                <w:rFonts w:ascii="Calibri" w:hAnsi="Calibri" w:cs="Calibri"/>
                <w:b/>
                <w:color w:val="000000" w:themeColor="text1"/>
                <w:sz w:val="18"/>
                <w:szCs w:val="18"/>
              </w:rPr>
              <w:t>9</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00113E8A">
              <w:rPr>
                <w:rFonts w:ascii="Calibri" w:hAnsi="Calibri" w:cs="Calibri"/>
                <w:b/>
                <w:color w:val="000000" w:themeColor="text1"/>
                <w:sz w:val="18"/>
                <w:szCs w:val="18"/>
              </w:rPr>
              <w:t>Pre</w:t>
            </w:r>
            <w:r w:rsidRPr="001F29F9">
              <w:rPr>
                <w:rFonts w:ascii="Calibri" w:hAnsi="Calibri" w:cs="Calibri"/>
                <w:b/>
                <w:color w:val="000000" w:themeColor="text1"/>
                <w:sz w:val="18"/>
                <w:szCs w:val="18"/>
              </w:rPr>
              <w:t xml:space="preserve"> Separation) – All Effective </w:t>
            </w:r>
            <w:r w:rsidR="009B72C8" w:rsidRPr="009B72C8">
              <w:rPr>
                <w:rFonts w:ascii="Calibri" w:hAnsi="Calibri" w:cs="Calibri"/>
                <w:b/>
                <w:color w:val="000000" w:themeColor="text1"/>
                <w:sz w:val="18"/>
                <w:szCs w:val="18"/>
              </w:rPr>
              <w:t>20060508</w:t>
            </w:r>
          </w:p>
        </w:tc>
      </w:tr>
      <w:tr w:rsidR="002B4E22" w:rsidRPr="001F29F9" w:rsidTr="00A34163">
        <w:trPr>
          <w:trHeight w:val="97"/>
          <w:jc w:val="center"/>
        </w:trPr>
        <w:tc>
          <w:tcPr>
            <w:tcW w:w="2160"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A3416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A3416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A3416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A3416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882" w:type="dxa"/>
            <w:tcBorders>
              <w:bottom w:val="single" w:sz="4" w:space="0" w:color="000000" w:themeColor="text1"/>
            </w:tcBorders>
            <w:shd w:val="clear" w:color="auto" w:fill="D9D9D9" w:themeFill="background1" w:themeFillShade="D9"/>
            <w:vAlign w:val="center"/>
          </w:tcPr>
          <w:p w:rsidR="002B4E22" w:rsidRPr="001F29F9" w:rsidRDefault="002B4E22" w:rsidP="00A3416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A3416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A3416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B0072B" w:rsidRPr="001F29F9" w:rsidTr="00A34163">
        <w:trPr>
          <w:trHeight w:val="115"/>
          <w:jc w:val="center"/>
        </w:trPr>
        <w:tc>
          <w:tcPr>
            <w:tcW w:w="2160" w:type="dxa"/>
            <w:vMerge w:val="restart"/>
            <w:tcBorders>
              <w:right w:val="single" w:sz="4" w:space="0" w:color="auto"/>
            </w:tcBorders>
            <w:shd w:val="clear" w:color="auto" w:fill="FFFFFF" w:themeFill="background1"/>
            <w:vAlign w:val="center"/>
          </w:tcPr>
          <w:p w:rsidR="00B0072B" w:rsidRPr="00AE7F82" w:rsidRDefault="00B0072B" w:rsidP="00A34163">
            <w:pPr>
              <w:spacing w:line="220" w:lineRule="exact"/>
              <w:contextualSpacing/>
              <w:jc w:val="both"/>
              <w:rPr>
                <w:color w:val="auto"/>
                <w:sz w:val="18"/>
                <w:szCs w:val="18"/>
              </w:rPr>
            </w:pPr>
            <w:r w:rsidRPr="00AE7F82">
              <w:rPr>
                <w:color w:val="auto"/>
                <w:sz w:val="18"/>
                <w:szCs w:val="18"/>
              </w:rPr>
              <w:t>Chronic Low Back Pain</w:t>
            </w:r>
            <w:r>
              <w:rPr>
                <w:color w:val="auto"/>
                <w:sz w:val="18"/>
                <w:szCs w:val="18"/>
              </w:rPr>
              <w:t>…</w:t>
            </w:r>
          </w:p>
        </w:tc>
        <w:tc>
          <w:tcPr>
            <w:tcW w:w="1080" w:type="dxa"/>
            <w:vMerge w:val="restart"/>
            <w:tcBorders>
              <w:left w:val="single" w:sz="4" w:space="0" w:color="auto"/>
            </w:tcBorders>
            <w:shd w:val="clear" w:color="auto" w:fill="FFFFFF" w:themeFill="background1"/>
            <w:vAlign w:val="center"/>
          </w:tcPr>
          <w:p w:rsidR="00B0072B" w:rsidRPr="00AE7F82" w:rsidRDefault="00B0072B" w:rsidP="00A34163">
            <w:pPr>
              <w:spacing w:line="220" w:lineRule="exact"/>
              <w:contextualSpacing/>
              <w:rPr>
                <w:color w:val="auto"/>
                <w:sz w:val="18"/>
                <w:szCs w:val="18"/>
              </w:rPr>
            </w:pPr>
            <w:r w:rsidRPr="00AE7F82">
              <w:rPr>
                <w:color w:val="auto"/>
                <w:sz w:val="18"/>
                <w:szCs w:val="18"/>
              </w:rPr>
              <w:t>5299-5242</w:t>
            </w:r>
          </w:p>
        </w:tc>
        <w:tc>
          <w:tcPr>
            <w:tcW w:w="900" w:type="dxa"/>
            <w:vMerge w:val="restart"/>
            <w:tcBorders>
              <w:right w:val="thinThickThinSmallGap" w:sz="24" w:space="0" w:color="auto"/>
            </w:tcBorders>
            <w:shd w:val="clear" w:color="auto" w:fill="FFFFFF" w:themeFill="background1"/>
            <w:vAlign w:val="center"/>
          </w:tcPr>
          <w:p w:rsidR="00B0072B" w:rsidRPr="00AE7F82" w:rsidRDefault="00B0072B" w:rsidP="00A34163">
            <w:pPr>
              <w:spacing w:line="220" w:lineRule="exact"/>
              <w:contextualSpacing/>
              <w:rPr>
                <w:color w:val="auto"/>
                <w:sz w:val="18"/>
                <w:szCs w:val="18"/>
              </w:rPr>
            </w:pPr>
            <w:r w:rsidRPr="00AE7F82">
              <w:rPr>
                <w:color w:val="auto"/>
                <w:sz w:val="18"/>
                <w:szCs w:val="18"/>
              </w:rPr>
              <w:t>10%</w:t>
            </w:r>
          </w:p>
        </w:tc>
        <w:tc>
          <w:tcPr>
            <w:tcW w:w="2520" w:type="dxa"/>
            <w:tcBorders>
              <w:left w:val="thinThickThinSmallGap" w:sz="24" w:space="0" w:color="auto"/>
            </w:tcBorders>
            <w:shd w:val="clear" w:color="auto" w:fill="FFFFFF" w:themeFill="background1"/>
            <w:vAlign w:val="center"/>
          </w:tcPr>
          <w:p w:rsidR="00B0072B" w:rsidRPr="001F29F9" w:rsidRDefault="00B0072B" w:rsidP="00A34163">
            <w:pPr>
              <w:spacing w:line="220" w:lineRule="exact"/>
              <w:contextualSpacing/>
              <w:jc w:val="left"/>
              <w:rPr>
                <w:rFonts w:ascii="Calibri" w:eastAsia="Times New Roman" w:hAnsi="Calibri" w:cs="Calibri"/>
                <w:color w:val="000000" w:themeColor="text1"/>
                <w:sz w:val="18"/>
                <w:szCs w:val="18"/>
              </w:rPr>
            </w:pPr>
            <w:r w:rsidRPr="009B72C8">
              <w:rPr>
                <w:rFonts w:ascii="Calibri" w:eastAsia="Times New Roman" w:hAnsi="Calibri" w:cs="Calibri"/>
                <w:color w:val="000000" w:themeColor="text1"/>
                <w:sz w:val="18"/>
                <w:szCs w:val="18"/>
              </w:rPr>
              <w:t>Herniated Disc, Lumbar Spine…</w:t>
            </w:r>
          </w:p>
        </w:tc>
        <w:tc>
          <w:tcPr>
            <w:tcW w:w="882" w:type="dxa"/>
            <w:shd w:val="clear" w:color="auto" w:fill="FFFFFF" w:themeFill="background1"/>
            <w:vAlign w:val="center"/>
          </w:tcPr>
          <w:p w:rsidR="00B0072B" w:rsidRPr="00AE7F82" w:rsidRDefault="00B0072B" w:rsidP="00A34163">
            <w:pPr>
              <w:spacing w:line="220" w:lineRule="exact"/>
              <w:contextualSpacing/>
              <w:rPr>
                <w:color w:val="auto"/>
                <w:sz w:val="18"/>
                <w:szCs w:val="18"/>
              </w:rPr>
            </w:pPr>
            <w:r w:rsidRPr="00AE7F82">
              <w:rPr>
                <w:color w:val="auto"/>
                <w:sz w:val="18"/>
                <w:szCs w:val="18"/>
              </w:rPr>
              <w:t>5243</w:t>
            </w:r>
          </w:p>
        </w:tc>
        <w:tc>
          <w:tcPr>
            <w:tcW w:w="828" w:type="dxa"/>
            <w:shd w:val="clear" w:color="auto" w:fill="FFFFFF" w:themeFill="background1"/>
            <w:vAlign w:val="center"/>
          </w:tcPr>
          <w:p w:rsidR="00B0072B" w:rsidRPr="00AE7F82" w:rsidRDefault="00B0072B" w:rsidP="00A34163">
            <w:pPr>
              <w:spacing w:line="220" w:lineRule="exact"/>
              <w:contextualSpacing/>
              <w:rPr>
                <w:color w:val="auto"/>
                <w:sz w:val="18"/>
                <w:szCs w:val="18"/>
              </w:rPr>
            </w:pPr>
            <w:r w:rsidRPr="00AE7F82">
              <w:rPr>
                <w:color w:val="auto"/>
                <w:sz w:val="18"/>
                <w:szCs w:val="18"/>
              </w:rPr>
              <w:t>40%</w:t>
            </w:r>
          </w:p>
        </w:tc>
        <w:tc>
          <w:tcPr>
            <w:tcW w:w="990" w:type="dxa"/>
            <w:shd w:val="clear" w:color="auto" w:fill="FFFFFF" w:themeFill="background1"/>
            <w:vAlign w:val="center"/>
          </w:tcPr>
          <w:p w:rsidR="00B0072B" w:rsidRPr="00B0072B" w:rsidRDefault="00B0072B" w:rsidP="00A34163">
            <w:pPr>
              <w:spacing w:line="220" w:lineRule="exact"/>
              <w:contextualSpacing/>
              <w:rPr>
                <w:rFonts w:ascii="Calibri" w:eastAsia="Times New Roman" w:hAnsi="Calibri" w:cs="Calibri"/>
                <w:color w:val="000000" w:themeColor="text1"/>
                <w:sz w:val="18"/>
                <w:szCs w:val="18"/>
              </w:rPr>
            </w:pPr>
            <w:r w:rsidRPr="00B0072B">
              <w:rPr>
                <w:rFonts w:ascii="Calibri" w:eastAsia="Times New Roman" w:hAnsi="Calibri" w:cs="Calibri"/>
                <w:color w:val="000000" w:themeColor="text1"/>
                <w:sz w:val="18"/>
                <w:szCs w:val="18"/>
              </w:rPr>
              <w:t>20050820</w:t>
            </w:r>
          </w:p>
        </w:tc>
      </w:tr>
      <w:tr w:rsidR="00B0072B" w:rsidRPr="001F29F9" w:rsidTr="00A34163">
        <w:trPr>
          <w:trHeight w:val="106"/>
          <w:jc w:val="center"/>
        </w:trPr>
        <w:tc>
          <w:tcPr>
            <w:tcW w:w="2160" w:type="dxa"/>
            <w:vMerge/>
            <w:tcBorders>
              <w:right w:val="single" w:sz="4" w:space="0" w:color="auto"/>
            </w:tcBorders>
            <w:shd w:val="clear" w:color="auto" w:fill="FFFFFF" w:themeFill="background1"/>
            <w:vAlign w:val="center"/>
          </w:tcPr>
          <w:p w:rsidR="00B0072B" w:rsidRPr="001F29F9" w:rsidRDefault="00B0072B" w:rsidP="00A34163">
            <w:pPr>
              <w:spacing w:line="22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B0072B" w:rsidRPr="001F29F9" w:rsidRDefault="00B0072B" w:rsidP="00A34163">
            <w:pPr>
              <w:spacing w:line="220" w:lineRule="exact"/>
              <w:contextualSpacing/>
              <w:rPr>
                <w:rFonts w:ascii="Calibri" w:eastAsia="Times New Roman" w:hAnsi="Calibri"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B0072B" w:rsidRPr="001F29F9" w:rsidRDefault="00B0072B" w:rsidP="00A34163">
            <w:pPr>
              <w:spacing w:line="220" w:lineRule="exact"/>
              <w:rPr>
                <w:rFonts w:ascii="Calibri" w:eastAsia="Times New Roman" w:hAnsi="Calibri" w:cs="Calibri"/>
                <w:color w:val="000000" w:themeColor="text1"/>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B0072B" w:rsidRPr="001F29F9" w:rsidRDefault="00B0072B" w:rsidP="00A34163">
            <w:pPr>
              <w:spacing w:line="220" w:lineRule="exact"/>
              <w:contextualSpacing/>
              <w:jc w:val="left"/>
              <w:rPr>
                <w:rFonts w:ascii="Calibri" w:eastAsia="Times New Roman" w:hAnsi="Calibri" w:cs="Calibri"/>
                <w:color w:val="000000" w:themeColor="text1"/>
                <w:sz w:val="18"/>
                <w:szCs w:val="18"/>
              </w:rPr>
            </w:pPr>
            <w:r w:rsidRPr="009B72C8">
              <w:rPr>
                <w:rFonts w:ascii="Calibri" w:eastAsia="Times New Roman" w:hAnsi="Calibri" w:cs="Calibri"/>
                <w:color w:val="000000" w:themeColor="text1"/>
                <w:sz w:val="18"/>
                <w:szCs w:val="18"/>
              </w:rPr>
              <w:t>Radiculopathy Left Leg…</w:t>
            </w:r>
          </w:p>
        </w:tc>
        <w:tc>
          <w:tcPr>
            <w:tcW w:w="882" w:type="dxa"/>
            <w:tcBorders>
              <w:left w:val="single" w:sz="4" w:space="0" w:color="auto"/>
            </w:tcBorders>
            <w:shd w:val="clear" w:color="auto" w:fill="FFFFFF" w:themeFill="background1"/>
            <w:vAlign w:val="center"/>
          </w:tcPr>
          <w:p w:rsidR="00B0072B" w:rsidRPr="00AE7F82" w:rsidRDefault="00B0072B" w:rsidP="00A34163">
            <w:pPr>
              <w:spacing w:line="220" w:lineRule="exact"/>
              <w:contextualSpacing/>
              <w:rPr>
                <w:color w:val="auto"/>
                <w:sz w:val="18"/>
                <w:szCs w:val="18"/>
              </w:rPr>
            </w:pPr>
            <w:r w:rsidRPr="00AE7F82">
              <w:rPr>
                <w:color w:val="auto"/>
                <w:sz w:val="18"/>
                <w:szCs w:val="18"/>
              </w:rPr>
              <w:t>8720</w:t>
            </w:r>
          </w:p>
        </w:tc>
        <w:tc>
          <w:tcPr>
            <w:tcW w:w="828" w:type="dxa"/>
            <w:shd w:val="clear" w:color="auto" w:fill="FFFFFF" w:themeFill="background1"/>
            <w:vAlign w:val="center"/>
          </w:tcPr>
          <w:p w:rsidR="00B0072B" w:rsidRPr="00AE7F82" w:rsidRDefault="00B0072B" w:rsidP="00A34163">
            <w:pPr>
              <w:spacing w:line="220" w:lineRule="exact"/>
              <w:contextualSpacing/>
              <w:rPr>
                <w:color w:val="auto"/>
                <w:sz w:val="18"/>
                <w:szCs w:val="18"/>
              </w:rPr>
            </w:pPr>
            <w:r w:rsidRPr="00AE7F82">
              <w:rPr>
                <w:color w:val="auto"/>
                <w:sz w:val="18"/>
                <w:szCs w:val="18"/>
              </w:rPr>
              <w:t>10%</w:t>
            </w:r>
          </w:p>
        </w:tc>
        <w:tc>
          <w:tcPr>
            <w:tcW w:w="990" w:type="dxa"/>
            <w:shd w:val="clear" w:color="auto" w:fill="FFFFFF" w:themeFill="background1"/>
            <w:vAlign w:val="center"/>
          </w:tcPr>
          <w:p w:rsidR="00B0072B" w:rsidRPr="00B0072B" w:rsidRDefault="00B0072B" w:rsidP="00A34163">
            <w:pPr>
              <w:spacing w:line="220" w:lineRule="exact"/>
              <w:contextualSpacing/>
              <w:rPr>
                <w:rFonts w:ascii="Calibri" w:eastAsia="Times New Roman" w:hAnsi="Calibri" w:cs="Calibri"/>
                <w:color w:val="000000" w:themeColor="text1"/>
                <w:sz w:val="18"/>
                <w:szCs w:val="18"/>
              </w:rPr>
            </w:pPr>
            <w:r w:rsidRPr="00B0072B">
              <w:rPr>
                <w:rFonts w:ascii="Calibri" w:eastAsia="Times New Roman" w:hAnsi="Calibri" w:cs="Calibri"/>
                <w:color w:val="000000" w:themeColor="text1"/>
                <w:sz w:val="18"/>
                <w:szCs w:val="18"/>
              </w:rPr>
              <w:t>20040917</w:t>
            </w:r>
          </w:p>
        </w:tc>
      </w:tr>
      <w:tr w:rsidR="00B0072B" w:rsidRPr="001F29F9" w:rsidTr="00A34163">
        <w:trPr>
          <w:trHeight w:val="97"/>
          <w:jc w:val="center"/>
        </w:trPr>
        <w:tc>
          <w:tcPr>
            <w:tcW w:w="2160" w:type="dxa"/>
            <w:tcBorders>
              <w:right w:val="single" w:sz="4" w:space="0" w:color="auto"/>
            </w:tcBorders>
            <w:shd w:val="clear" w:color="auto" w:fill="FFFFFF" w:themeFill="background1"/>
            <w:vAlign w:val="center"/>
          </w:tcPr>
          <w:p w:rsidR="00B0072B" w:rsidRPr="001F29F9" w:rsidRDefault="00B0072B" w:rsidP="00A34163">
            <w:pPr>
              <w:spacing w:line="220" w:lineRule="exact"/>
              <w:contextualSpacing/>
              <w:jc w:val="left"/>
              <w:rPr>
                <w:rFonts w:ascii="Calibri" w:eastAsia="Times New Roman" w:hAnsi="Calibri" w:cs="Calibri"/>
                <w:color w:val="000000" w:themeColor="text1"/>
                <w:sz w:val="18"/>
                <w:szCs w:val="18"/>
              </w:rPr>
            </w:pPr>
            <w:r w:rsidRPr="00B0072B">
              <w:rPr>
                <w:rFonts w:ascii="Calibri" w:eastAsia="Times New Roman" w:hAnsi="Calibri" w:cs="Calibri"/>
                <w:color w:val="000000" w:themeColor="text1"/>
                <w:sz w:val="18"/>
                <w:szCs w:val="18"/>
              </w:rPr>
              <w:t>Depressive Disorder…</w:t>
            </w:r>
          </w:p>
        </w:tc>
        <w:tc>
          <w:tcPr>
            <w:tcW w:w="1980" w:type="dxa"/>
            <w:gridSpan w:val="2"/>
            <w:tcBorders>
              <w:left w:val="single" w:sz="4" w:space="0" w:color="auto"/>
              <w:right w:val="thinThickThinSmallGap" w:sz="24" w:space="0" w:color="auto"/>
            </w:tcBorders>
            <w:shd w:val="clear" w:color="auto" w:fill="FFFFFF" w:themeFill="background1"/>
            <w:vAlign w:val="center"/>
          </w:tcPr>
          <w:p w:rsidR="00B0072B" w:rsidRPr="001F29F9" w:rsidRDefault="00B0072B" w:rsidP="00A34163">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520" w:type="dxa"/>
            <w:tcBorders>
              <w:left w:val="thinThickThinSmallGap" w:sz="24" w:space="0" w:color="auto"/>
              <w:right w:val="single" w:sz="4" w:space="0" w:color="auto"/>
            </w:tcBorders>
            <w:shd w:val="clear" w:color="auto" w:fill="FFFFFF" w:themeFill="background1"/>
            <w:vAlign w:val="center"/>
          </w:tcPr>
          <w:p w:rsidR="00B0072B" w:rsidRPr="001F29F9" w:rsidRDefault="00B0072B" w:rsidP="00A34163">
            <w:pPr>
              <w:spacing w:line="220" w:lineRule="exact"/>
              <w:contextualSpacing/>
              <w:jc w:val="left"/>
              <w:rPr>
                <w:rFonts w:ascii="Calibri" w:eastAsia="Times New Roman" w:hAnsi="Calibri" w:cs="Calibri"/>
                <w:color w:val="000000" w:themeColor="text1"/>
                <w:sz w:val="18"/>
                <w:szCs w:val="18"/>
              </w:rPr>
            </w:pPr>
            <w:r w:rsidRPr="009B72C8">
              <w:rPr>
                <w:rFonts w:ascii="Calibri" w:eastAsia="Times New Roman" w:hAnsi="Calibri" w:cs="Calibri"/>
                <w:color w:val="000000" w:themeColor="text1"/>
                <w:sz w:val="18"/>
                <w:szCs w:val="18"/>
              </w:rPr>
              <w:t>PTSD</w:t>
            </w:r>
          </w:p>
        </w:tc>
        <w:tc>
          <w:tcPr>
            <w:tcW w:w="882" w:type="dxa"/>
            <w:tcBorders>
              <w:left w:val="single" w:sz="4" w:space="0" w:color="auto"/>
            </w:tcBorders>
            <w:shd w:val="clear" w:color="auto" w:fill="FFFFFF" w:themeFill="background1"/>
            <w:vAlign w:val="center"/>
          </w:tcPr>
          <w:p w:rsidR="00B0072B" w:rsidRPr="00AE7F82" w:rsidRDefault="00B0072B" w:rsidP="00A34163">
            <w:pPr>
              <w:spacing w:line="220" w:lineRule="exact"/>
              <w:contextualSpacing/>
              <w:rPr>
                <w:color w:val="auto"/>
                <w:sz w:val="18"/>
                <w:szCs w:val="18"/>
              </w:rPr>
            </w:pPr>
            <w:r w:rsidRPr="00AE7F82">
              <w:rPr>
                <w:color w:val="auto"/>
                <w:sz w:val="18"/>
                <w:szCs w:val="18"/>
              </w:rPr>
              <w:t>9411</w:t>
            </w:r>
          </w:p>
        </w:tc>
        <w:tc>
          <w:tcPr>
            <w:tcW w:w="828" w:type="dxa"/>
            <w:shd w:val="clear" w:color="auto" w:fill="FFFFFF" w:themeFill="background1"/>
            <w:vAlign w:val="center"/>
          </w:tcPr>
          <w:p w:rsidR="00B0072B" w:rsidRPr="00AE7F82" w:rsidRDefault="00B0072B" w:rsidP="00A34163">
            <w:pPr>
              <w:spacing w:line="220" w:lineRule="exact"/>
              <w:contextualSpacing/>
              <w:rPr>
                <w:color w:val="auto"/>
                <w:sz w:val="18"/>
                <w:szCs w:val="18"/>
              </w:rPr>
            </w:pPr>
            <w:r>
              <w:rPr>
                <w:color w:val="auto"/>
                <w:sz w:val="18"/>
                <w:szCs w:val="18"/>
              </w:rPr>
              <w:t>5</w:t>
            </w:r>
            <w:r w:rsidRPr="00AE7F82">
              <w:rPr>
                <w:color w:val="auto"/>
                <w:sz w:val="18"/>
                <w:szCs w:val="18"/>
              </w:rPr>
              <w:t>0%</w:t>
            </w:r>
          </w:p>
        </w:tc>
        <w:tc>
          <w:tcPr>
            <w:tcW w:w="990" w:type="dxa"/>
            <w:shd w:val="clear" w:color="auto" w:fill="FFFFFF" w:themeFill="background1"/>
            <w:vAlign w:val="center"/>
          </w:tcPr>
          <w:p w:rsidR="00B0072B" w:rsidRPr="00B0072B" w:rsidRDefault="00B0072B" w:rsidP="00A34163">
            <w:pPr>
              <w:spacing w:line="220" w:lineRule="exact"/>
              <w:contextualSpacing/>
              <w:rPr>
                <w:rFonts w:ascii="Calibri" w:eastAsia="Times New Roman" w:hAnsi="Calibri" w:cs="Calibri"/>
                <w:color w:val="000000" w:themeColor="text1"/>
                <w:sz w:val="18"/>
                <w:szCs w:val="18"/>
              </w:rPr>
            </w:pPr>
            <w:r w:rsidRPr="00B0072B">
              <w:rPr>
                <w:rFonts w:ascii="Calibri" w:eastAsia="Times New Roman" w:hAnsi="Calibri" w:cs="Calibri"/>
                <w:color w:val="000000" w:themeColor="text1"/>
                <w:sz w:val="18"/>
                <w:szCs w:val="18"/>
              </w:rPr>
              <w:t>20070129</w:t>
            </w:r>
          </w:p>
        </w:tc>
      </w:tr>
      <w:tr w:rsidR="00B0072B" w:rsidRPr="001F29F9" w:rsidTr="003732A2">
        <w:trPr>
          <w:trHeight w:val="178"/>
          <w:jc w:val="center"/>
        </w:trPr>
        <w:tc>
          <w:tcPr>
            <w:tcW w:w="4140" w:type="dxa"/>
            <w:gridSpan w:val="3"/>
            <w:vMerge w:val="restart"/>
            <w:tcBorders>
              <w:right w:val="thinThickThinSmallGap" w:sz="24" w:space="0" w:color="auto"/>
            </w:tcBorders>
            <w:shd w:val="clear" w:color="auto" w:fill="FFFFFF" w:themeFill="background1"/>
          </w:tcPr>
          <w:p w:rsidR="00B0072B" w:rsidRPr="001F29F9" w:rsidRDefault="00B0072B" w:rsidP="003732A2">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520" w:type="dxa"/>
            <w:tcBorders>
              <w:left w:val="thinThickThinSmallGap" w:sz="24" w:space="0" w:color="auto"/>
              <w:right w:val="single" w:sz="4" w:space="0" w:color="auto"/>
            </w:tcBorders>
            <w:shd w:val="clear" w:color="auto" w:fill="FFFFFF" w:themeFill="background1"/>
            <w:vAlign w:val="center"/>
          </w:tcPr>
          <w:p w:rsidR="00B0072B" w:rsidRPr="001F29F9" w:rsidRDefault="00B0072B" w:rsidP="00A34163">
            <w:pPr>
              <w:spacing w:line="220" w:lineRule="exact"/>
              <w:contextualSpacing/>
              <w:jc w:val="left"/>
              <w:rPr>
                <w:rFonts w:ascii="Calibri" w:eastAsia="Times New Roman" w:hAnsi="Calibri" w:cs="Calibri"/>
                <w:color w:val="000000" w:themeColor="text1"/>
                <w:sz w:val="18"/>
                <w:szCs w:val="18"/>
              </w:rPr>
            </w:pPr>
            <w:r w:rsidRPr="009B72C8">
              <w:rPr>
                <w:rFonts w:ascii="Calibri" w:eastAsia="Times New Roman" w:hAnsi="Calibri" w:cs="Calibri"/>
                <w:color w:val="000000" w:themeColor="text1"/>
                <w:sz w:val="18"/>
                <w:szCs w:val="18"/>
              </w:rPr>
              <w:t>Anorexia Nervosa…</w:t>
            </w:r>
          </w:p>
        </w:tc>
        <w:tc>
          <w:tcPr>
            <w:tcW w:w="882" w:type="dxa"/>
            <w:tcBorders>
              <w:left w:val="single" w:sz="4" w:space="0" w:color="auto"/>
            </w:tcBorders>
            <w:shd w:val="clear" w:color="auto" w:fill="FFFFFF" w:themeFill="background1"/>
            <w:vAlign w:val="center"/>
          </w:tcPr>
          <w:p w:rsidR="00B0072B" w:rsidRPr="00AE7F82" w:rsidRDefault="00B0072B" w:rsidP="00A34163">
            <w:pPr>
              <w:spacing w:line="220" w:lineRule="exact"/>
              <w:contextualSpacing/>
              <w:rPr>
                <w:color w:val="auto"/>
                <w:sz w:val="18"/>
                <w:szCs w:val="18"/>
              </w:rPr>
            </w:pPr>
            <w:r w:rsidRPr="00AE7F82">
              <w:rPr>
                <w:color w:val="auto"/>
                <w:sz w:val="18"/>
                <w:szCs w:val="18"/>
              </w:rPr>
              <w:t>9520</w:t>
            </w:r>
          </w:p>
        </w:tc>
        <w:tc>
          <w:tcPr>
            <w:tcW w:w="828" w:type="dxa"/>
            <w:shd w:val="clear" w:color="auto" w:fill="FFFFFF" w:themeFill="background1"/>
            <w:vAlign w:val="center"/>
          </w:tcPr>
          <w:p w:rsidR="00B0072B" w:rsidRPr="00AE7F82" w:rsidRDefault="00B0072B" w:rsidP="00A34163">
            <w:pPr>
              <w:spacing w:line="220" w:lineRule="exact"/>
              <w:contextualSpacing/>
              <w:rPr>
                <w:color w:val="auto"/>
                <w:sz w:val="18"/>
                <w:szCs w:val="18"/>
              </w:rPr>
            </w:pPr>
            <w:r w:rsidRPr="00AE7F82">
              <w:rPr>
                <w:color w:val="auto"/>
                <w:sz w:val="18"/>
                <w:szCs w:val="18"/>
              </w:rPr>
              <w:t>10%</w:t>
            </w:r>
          </w:p>
        </w:tc>
        <w:tc>
          <w:tcPr>
            <w:tcW w:w="990" w:type="dxa"/>
            <w:shd w:val="clear" w:color="auto" w:fill="FFFFFF" w:themeFill="background1"/>
            <w:vAlign w:val="center"/>
          </w:tcPr>
          <w:p w:rsidR="00B0072B" w:rsidRPr="00B0072B" w:rsidRDefault="00B0072B" w:rsidP="00A34163">
            <w:pPr>
              <w:spacing w:line="220" w:lineRule="exact"/>
              <w:contextualSpacing/>
              <w:rPr>
                <w:rFonts w:ascii="Calibri" w:eastAsia="Times New Roman" w:hAnsi="Calibri" w:cs="Calibri"/>
                <w:color w:val="000000" w:themeColor="text1"/>
                <w:sz w:val="18"/>
                <w:szCs w:val="18"/>
              </w:rPr>
            </w:pPr>
            <w:r w:rsidRPr="00B0072B">
              <w:rPr>
                <w:rFonts w:ascii="Calibri" w:eastAsia="Times New Roman" w:hAnsi="Calibri" w:cs="Calibri"/>
                <w:color w:val="000000" w:themeColor="text1"/>
                <w:sz w:val="18"/>
                <w:szCs w:val="18"/>
              </w:rPr>
              <w:t>20041016</w:t>
            </w:r>
          </w:p>
        </w:tc>
      </w:tr>
      <w:tr w:rsidR="00B0072B" w:rsidRPr="001F29F9" w:rsidTr="00A34163">
        <w:trPr>
          <w:trHeight w:val="133"/>
          <w:jc w:val="center"/>
        </w:trPr>
        <w:tc>
          <w:tcPr>
            <w:tcW w:w="4140" w:type="dxa"/>
            <w:gridSpan w:val="3"/>
            <w:vMerge/>
            <w:tcBorders>
              <w:right w:val="thinThickThinSmallGap" w:sz="24" w:space="0" w:color="auto"/>
            </w:tcBorders>
            <w:shd w:val="clear" w:color="auto" w:fill="FFFFFF" w:themeFill="background1"/>
          </w:tcPr>
          <w:p w:rsidR="00B0072B" w:rsidRPr="001F29F9" w:rsidRDefault="00B0072B" w:rsidP="00A34163">
            <w:pPr>
              <w:spacing w:line="22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B0072B" w:rsidRPr="001F29F9" w:rsidRDefault="00B0072B" w:rsidP="00A34163">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 xml:space="preserve">1 </w:t>
            </w:r>
            <w:r w:rsidRPr="001F29F9">
              <w:rPr>
                <w:rFonts w:ascii="Calibri" w:hAnsi="Calibri" w:cs="Calibri"/>
                <w:color w:val="000000" w:themeColor="text1"/>
                <w:sz w:val="18"/>
                <w:szCs w:val="18"/>
              </w:rPr>
              <w:t>/</w:t>
            </w:r>
            <w:r>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2</w:t>
            </w:r>
          </w:p>
        </w:tc>
        <w:tc>
          <w:tcPr>
            <w:tcW w:w="990" w:type="dxa"/>
            <w:shd w:val="clear" w:color="auto" w:fill="FFFFFF" w:themeFill="background1"/>
            <w:vAlign w:val="center"/>
          </w:tcPr>
          <w:p w:rsidR="00B0072B" w:rsidRPr="00B0072B" w:rsidRDefault="00B0072B" w:rsidP="00A34163">
            <w:pPr>
              <w:spacing w:line="220" w:lineRule="exact"/>
              <w:contextualSpacing/>
              <w:rPr>
                <w:rFonts w:ascii="Calibri" w:eastAsia="Times New Roman" w:hAnsi="Calibri" w:cs="Calibri"/>
                <w:color w:val="000000" w:themeColor="text1"/>
                <w:sz w:val="18"/>
                <w:szCs w:val="18"/>
              </w:rPr>
            </w:pPr>
            <w:r w:rsidRPr="00B0072B">
              <w:rPr>
                <w:rFonts w:ascii="Calibri" w:eastAsia="Times New Roman" w:hAnsi="Calibri" w:cs="Calibri"/>
                <w:color w:val="000000" w:themeColor="text1"/>
                <w:sz w:val="18"/>
                <w:szCs w:val="18"/>
              </w:rPr>
              <w:t>20050820</w:t>
            </w:r>
          </w:p>
        </w:tc>
      </w:tr>
      <w:tr w:rsidR="00B0072B" w:rsidRPr="001F29F9" w:rsidTr="003732A2">
        <w:trPr>
          <w:trHeight w:val="124"/>
          <w:jc w:val="center"/>
        </w:trPr>
        <w:tc>
          <w:tcPr>
            <w:tcW w:w="4140" w:type="dxa"/>
            <w:gridSpan w:val="3"/>
            <w:tcBorders>
              <w:right w:val="thinThickThinSmallGap" w:sz="24" w:space="0" w:color="auto"/>
            </w:tcBorders>
            <w:shd w:val="clear" w:color="auto" w:fill="D9D9D9" w:themeFill="background1" w:themeFillShade="D9"/>
          </w:tcPr>
          <w:p w:rsidR="00B0072B" w:rsidRPr="001F29F9" w:rsidRDefault="00B0072B" w:rsidP="003732A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B0072B" w:rsidRPr="001F29F9" w:rsidRDefault="00B0072B" w:rsidP="003732A2">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8</w:t>
            </w:r>
            <w:r w:rsidRPr="001F29F9">
              <w:rPr>
                <w:rFonts w:ascii="Calibri" w:hAnsi="Calibri" w:cs="Calibri"/>
                <w:b/>
                <w:color w:val="000000" w:themeColor="text1"/>
                <w:sz w:val="18"/>
                <w:szCs w:val="18"/>
              </w:rPr>
              <w:t>0%</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214412">
      <w:pPr>
        <w:jc w:val="both"/>
        <w:rPr>
          <w:color w:val="000000" w:themeColor="text1"/>
          <w:szCs w:val="24"/>
          <w:u w:val="single"/>
        </w:rPr>
      </w:pPr>
    </w:p>
    <w:p w:rsidR="00F328BE" w:rsidRDefault="002C6E5B" w:rsidP="00DF58EC">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DF58EC" w:rsidRPr="00DF58EC">
        <w:rPr>
          <w:color w:val="000000" w:themeColor="text1"/>
          <w:szCs w:val="24"/>
        </w:rPr>
        <w:t>The Board acknowledges the sentiment expressed in the CI’s application regarding the significant impairment with which h</w:t>
      </w:r>
      <w:r w:rsidR="00DF58EC">
        <w:rPr>
          <w:color w:val="000000" w:themeColor="text1"/>
          <w:szCs w:val="24"/>
        </w:rPr>
        <w:t>er</w:t>
      </w:r>
      <w:r w:rsidR="00DF58EC" w:rsidRPr="00DF58EC">
        <w:rPr>
          <w:color w:val="000000" w:themeColor="text1"/>
          <w:szCs w:val="24"/>
        </w:rPr>
        <w:t xml:space="preserve"> service-incurred condition continues to burden h</w:t>
      </w:r>
      <w:r w:rsidR="00DF58EC">
        <w:rPr>
          <w:color w:val="000000" w:themeColor="text1"/>
          <w:szCs w:val="24"/>
        </w:rPr>
        <w:t>er</w:t>
      </w:r>
      <w:r w:rsidR="001054F0">
        <w:rPr>
          <w:color w:val="000000" w:themeColor="text1"/>
          <w:szCs w:val="24"/>
        </w:rPr>
        <w:t xml:space="preserve"> and her current VA rating</w:t>
      </w:r>
      <w:r w:rsidR="00DF58EC" w:rsidRPr="00DF58EC">
        <w:rPr>
          <w:color w:val="000000" w:themeColor="text1"/>
          <w:szCs w:val="24"/>
        </w:rPr>
        <w:t>. The Board wishes to clarify that it is subject to the same laws for service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425917">
        <w:rPr>
          <w:color w:val="000000" w:themeColor="text1"/>
          <w:szCs w:val="24"/>
        </w:rPr>
        <w:t>s’</w:t>
      </w:r>
      <w:r w:rsidR="00DF58EC" w:rsidRPr="00DF58EC">
        <w:rPr>
          <w:color w:val="000000" w:themeColor="text1"/>
          <w:szCs w:val="24"/>
        </w:rPr>
        <w:t xml:space="preserve"> Affairs (DVA), operating under a different set of laws (Title 38, United States Code). The Board evaluates </w:t>
      </w:r>
      <w:r w:rsidR="00425917">
        <w:rPr>
          <w:color w:val="000000" w:themeColor="text1"/>
          <w:szCs w:val="24"/>
        </w:rPr>
        <w:t>D</w:t>
      </w:r>
      <w:r w:rsidR="00DF58EC" w:rsidRPr="00DF58EC">
        <w:rPr>
          <w:color w:val="000000" w:themeColor="text1"/>
          <w:szCs w:val="24"/>
        </w:rPr>
        <w:t xml:space="preserve">VA evidence proximal to separation in arriving at its recommendations, but its authority resides in evaluating the fairness of DES fitness decisions and rating determinations for disability at the time of separation. </w:t>
      </w:r>
      <w:r w:rsidR="00DF58EC">
        <w:rPr>
          <w:color w:val="000000" w:themeColor="text1"/>
          <w:szCs w:val="24"/>
        </w:rPr>
        <w:t xml:space="preserve"> </w:t>
      </w:r>
      <w:r w:rsidR="00DF58EC" w:rsidRPr="00DF58EC">
        <w:rPr>
          <w:color w:val="000000" w:themeColor="text1"/>
          <w:szCs w:val="24"/>
        </w:rPr>
        <w:t xml:space="preserve">The Board also acknowledges the CI's contention suggesting that service ratings should have been conferred for other conditions documented at the time of separation and for conditions not diagnosed while in the service (but later </w:t>
      </w:r>
      <w:r w:rsidR="00425917">
        <w:rPr>
          <w:color w:val="000000" w:themeColor="text1"/>
          <w:szCs w:val="24"/>
        </w:rPr>
        <w:lastRenderedPageBreak/>
        <w:t>determined to be service-</w:t>
      </w:r>
      <w:r w:rsidR="00DF58EC" w:rsidRPr="00DF58EC">
        <w:rPr>
          <w:color w:val="000000" w:themeColor="text1"/>
          <w:szCs w:val="24"/>
        </w:rPr>
        <w:t xml:space="preserve">connected by the </w:t>
      </w:r>
      <w:r w:rsidR="00425917">
        <w:rPr>
          <w:color w:val="000000" w:themeColor="text1"/>
          <w:szCs w:val="24"/>
        </w:rPr>
        <w:t>D</w:t>
      </w:r>
      <w:r w:rsidR="00DF58EC" w:rsidRPr="00DF58EC">
        <w:rPr>
          <w:color w:val="000000" w:themeColor="text1"/>
          <w:szCs w:val="24"/>
        </w:rPr>
        <w:t xml:space="preserve">VA). While the DES considers all of the service member's medical conditions, compensation can only be offered for those medical conditions that cut short a service member’s career, and then only to the degree of severity present at the time of final disposition. The DVA, however, is </w:t>
      </w:r>
      <w:r w:rsidR="00425917">
        <w:rPr>
          <w:color w:val="000000" w:themeColor="text1"/>
          <w:szCs w:val="24"/>
        </w:rPr>
        <w:t>empowered to compensate service-</w:t>
      </w:r>
      <w:r w:rsidR="00DF58EC" w:rsidRPr="00DF58EC">
        <w:rPr>
          <w:color w:val="000000" w:themeColor="text1"/>
          <w:szCs w:val="24"/>
        </w:rPr>
        <w:t xml:space="preserve">connected conditions and to periodically re-evaluate said conditions for the purpose of adjusting the </w:t>
      </w:r>
      <w:r w:rsidR="00425917">
        <w:rPr>
          <w:color w:val="000000" w:themeColor="text1"/>
          <w:szCs w:val="24"/>
        </w:rPr>
        <w:t>V</w:t>
      </w:r>
      <w:r w:rsidR="00DF58EC" w:rsidRPr="00DF58EC">
        <w:rPr>
          <w:color w:val="000000" w:themeColor="text1"/>
          <w:szCs w:val="24"/>
        </w:rPr>
        <w:t xml:space="preserve">eteran’s disability rating should </w:t>
      </w:r>
      <w:r w:rsidR="00425917">
        <w:rPr>
          <w:color w:val="000000" w:themeColor="text1"/>
          <w:szCs w:val="24"/>
        </w:rPr>
        <w:t>the</w:t>
      </w:r>
      <w:r w:rsidR="00DF58EC" w:rsidRPr="00DF58EC">
        <w:rPr>
          <w:color w:val="000000" w:themeColor="text1"/>
          <w:szCs w:val="24"/>
        </w:rPr>
        <w:t xml:space="preserve"> degree of impairment vary over time.</w:t>
      </w:r>
    </w:p>
    <w:p w:rsidR="00214412" w:rsidRPr="00F328BE" w:rsidRDefault="00214412" w:rsidP="00F328BE">
      <w:pPr>
        <w:jc w:val="left"/>
        <w:rPr>
          <w:color w:val="000000" w:themeColor="text1"/>
          <w:szCs w:val="24"/>
        </w:rPr>
      </w:pPr>
    </w:p>
    <w:p w:rsidR="003C53E8" w:rsidRPr="003C53E8" w:rsidRDefault="009C5FCC" w:rsidP="009431B3">
      <w:pPr>
        <w:jc w:val="both"/>
        <w:rPr>
          <w:rFonts w:asciiTheme="minorHAnsi" w:hAnsiTheme="minorHAnsi" w:cs="Times New Roman"/>
          <w:color w:val="auto"/>
          <w:szCs w:val="24"/>
        </w:rPr>
      </w:pPr>
      <w:proofErr w:type="gramStart"/>
      <w:r w:rsidRPr="00524DA5">
        <w:rPr>
          <w:color w:val="000000" w:themeColor="text1"/>
          <w:szCs w:val="24"/>
          <w:u w:val="single"/>
        </w:rPr>
        <w:t>Lumbar Spine</w:t>
      </w:r>
      <w:r w:rsidR="00214412" w:rsidRPr="00524DA5">
        <w:rPr>
          <w:color w:val="000000" w:themeColor="text1"/>
          <w:szCs w:val="24"/>
          <w:u w:val="single"/>
        </w:rPr>
        <w:t xml:space="preserve"> </w:t>
      </w:r>
      <w:r w:rsidR="003F2EEE" w:rsidRPr="00524DA5">
        <w:rPr>
          <w:color w:val="000000" w:themeColor="text1"/>
          <w:szCs w:val="24"/>
          <w:u w:val="single"/>
        </w:rPr>
        <w:t>Condition</w:t>
      </w:r>
      <w:r w:rsidR="003F2EEE" w:rsidRPr="00524DA5">
        <w:rPr>
          <w:color w:val="000000" w:themeColor="text1"/>
          <w:szCs w:val="24"/>
        </w:rPr>
        <w:t>.</w:t>
      </w:r>
      <w:proofErr w:type="gramEnd"/>
      <w:r w:rsidR="003F2EEE" w:rsidRPr="00524DA5">
        <w:rPr>
          <w:color w:val="000000" w:themeColor="text1"/>
          <w:szCs w:val="24"/>
        </w:rPr>
        <w:t xml:space="preserve">  </w:t>
      </w:r>
      <w:r w:rsidR="00335A9A" w:rsidRPr="00524DA5">
        <w:rPr>
          <w:color w:val="000000" w:themeColor="text1"/>
          <w:szCs w:val="24"/>
        </w:rPr>
        <w:t>Following</w:t>
      </w:r>
      <w:r w:rsidR="00335A9A" w:rsidRPr="00335A9A">
        <w:rPr>
          <w:color w:val="000000" w:themeColor="text1"/>
          <w:szCs w:val="24"/>
        </w:rPr>
        <w:t xml:space="preserve"> </w:t>
      </w:r>
      <w:r w:rsidR="00004813">
        <w:rPr>
          <w:color w:val="000000" w:themeColor="text1"/>
          <w:szCs w:val="24"/>
        </w:rPr>
        <w:t>findings on imaging</w:t>
      </w:r>
      <w:r w:rsidR="00335A9A" w:rsidRPr="00335A9A">
        <w:rPr>
          <w:color w:val="000000" w:themeColor="text1"/>
          <w:szCs w:val="24"/>
        </w:rPr>
        <w:t xml:space="preserve"> of disc herniation with left S1 nerve root compression</w:t>
      </w:r>
      <w:r w:rsidR="00004813">
        <w:rPr>
          <w:color w:val="000000" w:themeColor="text1"/>
          <w:szCs w:val="24"/>
        </w:rPr>
        <w:t>,</w:t>
      </w:r>
      <w:r w:rsidR="00335A9A" w:rsidRPr="00335A9A">
        <w:rPr>
          <w:color w:val="000000" w:themeColor="text1"/>
          <w:szCs w:val="24"/>
        </w:rPr>
        <w:t xml:space="preserve"> the CI underwent a series</w:t>
      </w:r>
      <w:r w:rsidR="00335A9A">
        <w:rPr>
          <w:color w:val="000000" w:themeColor="text1"/>
          <w:szCs w:val="24"/>
        </w:rPr>
        <w:t xml:space="preserve"> of epidural steroid injections.  She initially responded well, but then again developed intractable back and left leg pain.  She underwent L5-S1 discectomy in July </w:t>
      </w:r>
      <w:proofErr w:type="gramStart"/>
      <w:r w:rsidR="00335A9A">
        <w:rPr>
          <w:color w:val="000000" w:themeColor="text1"/>
          <w:szCs w:val="24"/>
        </w:rPr>
        <w:t>2003,</w:t>
      </w:r>
      <w:proofErr w:type="gramEnd"/>
      <w:r w:rsidR="00335A9A">
        <w:rPr>
          <w:color w:val="000000" w:themeColor="text1"/>
          <w:szCs w:val="24"/>
        </w:rPr>
        <w:t xml:space="preserve"> and revision surgery in December 2003.  Findings at the second surgery were “</w:t>
      </w:r>
      <w:r w:rsidR="00335A9A" w:rsidRPr="009431B3">
        <w:rPr>
          <w:color w:val="000000" w:themeColor="text1"/>
          <w:szCs w:val="24"/>
        </w:rPr>
        <w:t xml:space="preserve">exuberant scar tissue literally encasing the dura and neural foramina, which was very difficult to mobilize and much was left intact due to the adhesions to the dura and risk of a large </w:t>
      </w:r>
      <w:proofErr w:type="spellStart"/>
      <w:r w:rsidR="00335A9A" w:rsidRPr="009431B3">
        <w:rPr>
          <w:color w:val="000000" w:themeColor="text1"/>
          <w:szCs w:val="24"/>
        </w:rPr>
        <w:t>dural</w:t>
      </w:r>
      <w:proofErr w:type="spellEnd"/>
      <w:r w:rsidR="00335A9A" w:rsidRPr="009431B3">
        <w:rPr>
          <w:color w:val="000000" w:themeColor="text1"/>
          <w:szCs w:val="24"/>
        </w:rPr>
        <w:t xml:space="preserve"> tear</w:t>
      </w:r>
      <w:r w:rsidR="00425917">
        <w:rPr>
          <w:color w:val="000000" w:themeColor="text1"/>
          <w:szCs w:val="24"/>
        </w:rPr>
        <w:t>.</w:t>
      </w:r>
      <w:r w:rsidR="00335A9A" w:rsidRPr="009431B3">
        <w:rPr>
          <w:color w:val="000000" w:themeColor="text1"/>
          <w:szCs w:val="24"/>
        </w:rPr>
        <w:t xml:space="preserve">”  </w:t>
      </w:r>
      <w:r w:rsidR="00004813">
        <w:rPr>
          <w:color w:val="000000" w:themeColor="text1"/>
          <w:szCs w:val="24"/>
        </w:rPr>
        <w:t>Post-operatively</w:t>
      </w:r>
      <w:r w:rsidR="00335A9A" w:rsidRPr="009431B3">
        <w:rPr>
          <w:color w:val="000000" w:themeColor="text1"/>
          <w:szCs w:val="24"/>
        </w:rPr>
        <w:t xml:space="preserve"> she continued to experience back pain </w:t>
      </w:r>
      <w:r w:rsidR="00004813">
        <w:rPr>
          <w:color w:val="000000" w:themeColor="text1"/>
          <w:szCs w:val="24"/>
        </w:rPr>
        <w:t>and</w:t>
      </w:r>
      <w:r w:rsidR="00335A9A" w:rsidRPr="009431B3">
        <w:rPr>
          <w:color w:val="000000" w:themeColor="text1"/>
          <w:szCs w:val="24"/>
        </w:rPr>
        <w:t xml:space="preserve"> left leg</w:t>
      </w:r>
      <w:r w:rsidR="00004813">
        <w:rPr>
          <w:color w:val="000000" w:themeColor="text1"/>
          <w:szCs w:val="24"/>
        </w:rPr>
        <w:t xml:space="preserve"> pain recalcitrant to adequate rehabilitation</w:t>
      </w:r>
      <w:r w:rsidR="00335A9A" w:rsidRPr="009431B3">
        <w:rPr>
          <w:color w:val="000000" w:themeColor="text1"/>
          <w:szCs w:val="24"/>
        </w:rPr>
        <w:t xml:space="preserve">.  </w:t>
      </w:r>
      <w:r w:rsidR="00A57C35" w:rsidRPr="009431B3">
        <w:rPr>
          <w:color w:val="000000" w:themeColor="text1"/>
          <w:szCs w:val="24"/>
        </w:rPr>
        <w:t xml:space="preserve">There were </w:t>
      </w:r>
      <w:r w:rsidR="00425917">
        <w:rPr>
          <w:color w:val="000000" w:themeColor="text1"/>
          <w:szCs w:val="24"/>
        </w:rPr>
        <w:t>three</w:t>
      </w:r>
      <w:r w:rsidR="00A57C35" w:rsidRPr="009431B3">
        <w:rPr>
          <w:color w:val="000000" w:themeColor="text1"/>
          <w:szCs w:val="24"/>
        </w:rPr>
        <w:t xml:space="preserve"> goniometric range</w:t>
      </w:r>
      <w:r w:rsidR="00425917">
        <w:rPr>
          <w:color w:val="000000" w:themeColor="text1"/>
          <w:szCs w:val="24"/>
        </w:rPr>
        <w:t>-</w:t>
      </w:r>
      <w:r w:rsidR="00A57C35" w:rsidRPr="009431B3">
        <w:rPr>
          <w:color w:val="000000" w:themeColor="text1"/>
          <w:szCs w:val="24"/>
        </w:rPr>
        <w:t>of</w:t>
      </w:r>
      <w:r w:rsidR="00425917">
        <w:rPr>
          <w:color w:val="000000" w:themeColor="text1"/>
          <w:szCs w:val="24"/>
        </w:rPr>
        <w:t>-</w:t>
      </w:r>
      <w:r w:rsidR="00A57C35" w:rsidRPr="009431B3">
        <w:rPr>
          <w:color w:val="000000" w:themeColor="text1"/>
          <w:szCs w:val="24"/>
        </w:rPr>
        <w:t>motion (ROM) evaluations in evidence, with documentation of additional ratable criteria, which the Board weighed in arriving at its rating recommendation</w:t>
      </w:r>
      <w:r w:rsidR="003C53E8" w:rsidRPr="009431B3">
        <w:rPr>
          <w:rFonts w:asciiTheme="minorHAnsi" w:hAnsiTheme="minorHAnsi" w:cs="Times New Roman"/>
          <w:color w:val="auto"/>
          <w:szCs w:val="24"/>
        </w:rPr>
        <w:t>.</w:t>
      </w:r>
      <w:r w:rsidR="00C026F0" w:rsidRPr="009431B3">
        <w:rPr>
          <w:rFonts w:asciiTheme="minorHAnsi" w:hAnsiTheme="minorHAnsi" w:cs="Times New Roman"/>
          <w:color w:val="auto"/>
          <w:szCs w:val="24"/>
        </w:rPr>
        <w:t xml:space="preserve">  </w:t>
      </w:r>
    </w:p>
    <w:p w:rsidR="003C53E8" w:rsidRPr="003C53E8" w:rsidRDefault="003C53E8" w:rsidP="003C53E8">
      <w:pPr>
        <w:tabs>
          <w:tab w:val="left" w:pos="288"/>
          <w:tab w:val="left" w:pos="4752"/>
        </w:tabs>
        <w:jc w:val="left"/>
        <w:rPr>
          <w:rFonts w:asciiTheme="minorHAnsi" w:hAnsiTheme="minorHAnsi" w:cs="Times New Roman"/>
          <w:color w:val="auto"/>
          <w:szCs w:val="24"/>
        </w:rPr>
      </w:pPr>
    </w:p>
    <w:tbl>
      <w:tblPr>
        <w:tblW w:w="9280" w:type="dxa"/>
        <w:jc w:val="center"/>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5"/>
        <w:gridCol w:w="2333"/>
        <w:gridCol w:w="2411"/>
        <w:gridCol w:w="2421"/>
      </w:tblGrid>
      <w:tr w:rsidR="003C53E8" w:rsidRPr="003C53E8" w:rsidTr="00B50C51">
        <w:trPr>
          <w:jc w:val="center"/>
        </w:trPr>
        <w:tc>
          <w:tcPr>
            <w:tcW w:w="2115" w:type="dxa"/>
            <w:shd w:val="clear" w:color="auto" w:fill="D9D9D9" w:themeFill="background1" w:themeFillShade="D9"/>
            <w:vAlign w:val="center"/>
          </w:tcPr>
          <w:p w:rsidR="003C53E8" w:rsidRPr="003C53E8" w:rsidRDefault="0030700A" w:rsidP="003732A2">
            <w:pPr>
              <w:contextualSpacing/>
              <w:rPr>
                <w:rFonts w:eastAsia="Calibri" w:cs="Times New Roman"/>
                <w:color w:val="auto"/>
                <w:sz w:val="22"/>
                <w:szCs w:val="22"/>
              </w:rPr>
            </w:pPr>
            <w:r w:rsidRPr="003C53E8">
              <w:rPr>
                <w:rFonts w:eastAsia="Calibri" w:cs="Times New Roman"/>
                <w:color w:val="auto"/>
                <w:sz w:val="22"/>
                <w:szCs w:val="22"/>
              </w:rPr>
              <w:t>Thoracolumbar</w:t>
            </w:r>
            <w:r w:rsidR="003C53E8" w:rsidRPr="003C53E8">
              <w:rPr>
                <w:rFonts w:eastAsia="Calibri" w:cs="Times New Roman"/>
                <w:color w:val="auto"/>
                <w:sz w:val="22"/>
                <w:szCs w:val="22"/>
              </w:rPr>
              <w:t xml:space="preserve"> ROM</w:t>
            </w:r>
          </w:p>
        </w:tc>
        <w:tc>
          <w:tcPr>
            <w:tcW w:w="2333" w:type="dxa"/>
            <w:shd w:val="clear" w:color="auto" w:fill="D9D9D9" w:themeFill="background1" w:themeFillShade="D9"/>
            <w:vAlign w:val="center"/>
          </w:tcPr>
          <w:p w:rsidR="003C53E8" w:rsidRPr="003C53E8" w:rsidRDefault="00214412" w:rsidP="003732A2">
            <w:pPr>
              <w:contextualSpacing/>
              <w:rPr>
                <w:rFonts w:eastAsia="Calibri" w:cs="Times New Roman"/>
                <w:color w:val="auto"/>
                <w:sz w:val="22"/>
                <w:szCs w:val="22"/>
              </w:rPr>
            </w:pPr>
            <w:r w:rsidRPr="003C53E8">
              <w:rPr>
                <w:rFonts w:eastAsia="Calibri" w:cs="Times New Roman"/>
                <w:color w:val="auto"/>
                <w:sz w:val="22"/>
                <w:szCs w:val="22"/>
              </w:rPr>
              <w:t>VA</w:t>
            </w:r>
            <w:r w:rsidRPr="003C53E8">
              <w:rPr>
                <w:rFonts w:eastAsiaTheme="minorHAnsi" w:cstheme="minorBidi"/>
                <w:color w:val="auto"/>
                <w:sz w:val="22"/>
                <w:szCs w:val="22"/>
              </w:rPr>
              <w:t xml:space="preserve"> C&amp;P</w:t>
            </w:r>
            <w:r w:rsidR="003732A2">
              <w:rPr>
                <w:rFonts w:eastAsia="Calibri" w:cs="Times New Roman"/>
                <w:color w:val="auto"/>
                <w:sz w:val="22"/>
                <w:szCs w:val="22"/>
              </w:rPr>
              <w:t xml:space="preserve"> ~</w:t>
            </w:r>
            <w:r>
              <w:rPr>
                <w:rFonts w:eastAsia="Calibri" w:cs="Times New Roman"/>
                <w:color w:val="auto"/>
                <w:sz w:val="22"/>
                <w:szCs w:val="22"/>
              </w:rPr>
              <w:t>9 Mo.</w:t>
            </w:r>
            <w:r w:rsidR="003732A2">
              <w:rPr>
                <w:rFonts w:eastAsia="Calibri" w:cs="Times New Roman"/>
                <w:color w:val="auto"/>
                <w:sz w:val="22"/>
                <w:szCs w:val="22"/>
              </w:rPr>
              <w:t xml:space="preserve"> Pre-</w:t>
            </w:r>
            <w:r w:rsidR="003C53E8" w:rsidRPr="003C53E8">
              <w:rPr>
                <w:rFonts w:eastAsia="Calibri" w:cs="Times New Roman"/>
                <w:color w:val="auto"/>
                <w:sz w:val="22"/>
                <w:szCs w:val="22"/>
              </w:rPr>
              <w:t>Sep</w:t>
            </w:r>
          </w:p>
        </w:tc>
        <w:tc>
          <w:tcPr>
            <w:tcW w:w="2411" w:type="dxa"/>
            <w:shd w:val="clear" w:color="auto" w:fill="D9D9D9" w:themeFill="background1" w:themeFillShade="D9"/>
            <w:vAlign w:val="center"/>
          </w:tcPr>
          <w:p w:rsidR="003C53E8" w:rsidRPr="003C53E8" w:rsidRDefault="00693AEC" w:rsidP="003732A2">
            <w:pPr>
              <w:contextualSpacing/>
              <w:rPr>
                <w:rFonts w:eastAsia="Calibri" w:cs="Times New Roman"/>
                <w:color w:val="auto"/>
                <w:sz w:val="22"/>
                <w:szCs w:val="22"/>
              </w:rPr>
            </w:pPr>
            <w:r>
              <w:rPr>
                <w:rFonts w:eastAsia="Calibri" w:cs="Times New Roman"/>
                <w:color w:val="auto"/>
                <w:sz w:val="22"/>
                <w:szCs w:val="22"/>
              </w:rPr>
              <w:t>MEB</w:t>
            </w:r>
            <w:r w:rsidR="00214412" w:rsidRPr="003C53E8">
              <w:rPr>
                <w:rFonts w:eastAsia="Calibri" w:cs="Times New Roman"/>
                <w:color w:val="auto"/>
                <w:sz w:val="22"/>
                <w:szCs w:val="22"/>
              </w:rPr>
              <w:t xml:space="preserve"> </w:t>
            </w:r>
            <w:r w:rsidR="00B50C51">
              <w:rPr>
                <w:rFonts w:eastAsia="Calibri" w:cs="Times New Roman"/>
                <w:color w:val="auto"/>
                <w:sz w:val="22"/>
                <w:szCs w:val="22"/>
              </w:rPr>
              <w:t xml:space="preserve">PT </w:t>
            </w:r>
            <w:r w:rsidR="003732A2">
              <w:rPr>
                <w:rFonts w:eastAsia="Calibri" w:cs="Times New Roman"/>
                <w:color w:val="auto"/>
                <w:sz w:val="22"/>
                <w:szCs w:val="22"/>
              </w:rPr>
              <w:t>~</w:t>
            </w:r>
            <w:r w:rsidR="00214412">
              <w:rPr>
                <w:rFonts w:eastAsia="Calibri" w:cs="Times New Roman"/>
                <w:color w:val="auto"/>
                <w:sz w:val="22"/>
                <w:szCs w:val="22"/>
              </w:rPr>
              <w:t>7</w:t>
            </w:r>
            <w:r w:rsidR="003C53E8" w:rsidRPr="003C53E8">
              <w:rPr>
                <w:rFonts w:eastAsia="Calibri" w:cs="Times New Roman"/>
                <w:color w:val="auto"/>
                <w:sz w:val="22"/>
                <w:szCs w:val="22"/>
              </w:rPr>
              <w:t xml:space="preserve"> Mo</w:t>
            </w:r>
            <w:r w:rsidR="00214412">
              <w:rPr>
                <w:rFonts w:eastAsia="Calibri" w:cs="Times New Roman"/>
                <w:color w:val="auto"/>
                <w:sz w:val="22"/>
                <w:szCs w:val="22"/>
              </w:rPr>
              <w:t>.</w:t>
            </w:r>
            <w:r w:rsidR="003732A2">
              <w:rPr>
                <w:rFonts w:eastAsia="Calibri" w:cs="Times New Roman"/>
                <w:color w:val="auto"/>
                <w:sz w:val="22"/>
                <w:szCs w:val="22"/>
              </w:rPr>
              <w:t xml:space="preserve"> Pre-</w:t>
            </w:r>
            <w:r w:rsidR="003C53E8" w:rsidRPr="003C53E8">
              <w:rPr>
                <w:rFonts w:eastAsia="Calibri" w:cs="Times New Roman"/>
                <w:color w:val="auto"/>
                <w:sz w:val="22"/>
                <w:szCs w:val="22"/>
              </w:rPr>
              <w:t>Sep</w:t>
            </w:r>
          </w:p>
        </w:tc>
        <w:tc>
          <w:tcPr>
            <w:tcW w:w="2421" w:type="dxa"/>
            <w:shd w:val="clear" w:color="auto" w:fill="D9D9D9" w:themeFill="background1" w:themeFillShade="D9"/>
            <w:vAlign w:val="center"/>
          </w:tcPr>
          <w:p w:rsidR="003C53E8" w:rsidRPr="003C53E8" w:rsidRDefault="003C53E8" w:rsidP="003732A2">
            <w:pPr>
              <w:contextualSpacing/>
              <w:rPr>
                <w:rFonts w:eastAsiaTheme="minorHAnsi" w:cstheme="minorBidi"/>
                <w:color w:val="auto"/>
                <w:sz w:val="22"/>
                <w:szCs w:val="22"/>
              </w:rPr>
            </w:pPr>
            <w:r w:rsidRPr="003C53E8">
              <w:rPr>
                <w:rFonts w:eastAsia="Calibri" w:cs="Times New Roman"/>
                <w:color w:val="auto"/>
                <w:sz w:val="22"/>
                <w:szCs w:val="22"/>
              </w:rPr>
              <w:t>VA</w:t>
            </w:r>
            <w:r w:rsidR="003732A2">
              <w:rPr>
                <w:rFonts w:eastAsiaTheme="minorHAnsi" w:cstheme="minorBidi"/>
                <w:color w:val="auto"/>
                <w:sz w:val="22"/>
                <w:szCs w:val="22"/>
              </w:rPr>
              <w:t xml:space="preserve"> C&amp;P ~</w:t>
            </w:r>
            <w:r w:rsidR="00C026F0">
              <w:rPr>
                <w:rFonts w:eastAsiaTheme="minorHAnsi" w:cstheme="minorBidi"/>
                <w:color w:val="auto"/>
                <w:sz w:val="22"/>
                <w:szCs w:val="22"/>
              </w:rPr>
              <w:t>8</w:t>
            </w:r>
            <w:r w:rsidRPr="003C53E8">
              <w:rPr>
                <w:rFonts w:eastAsiaTheme="minorHAnsi" w:cstheme="minorBidi"/>
                <w:color w:val="auto"/>
                <w:sz w:val="22"/>
                <w:szCs w:val="22"/>
              </w:rPr>
              <w:t xml:space="preserve"> </w:t>
            </w:r>
            <w:r w:rsidR="00214412" w:rsidRPr="003C53E8">
              <w:rPr>
                <w:rFonts w:eastAsia="Calibri" w:cs="Times New Roman"/>
                <w:color w:val="auto"/>
                <w:sz w:val="22"/>
                <w:szCs w:val="22"/>
              </w:rPr>
              <w:t>Mo</w:t>
            </w:r>
            <w:r w:rsidR="00214412">
              <w:rPr>
                <w:rFonts w:eastAsia="Calibri" w:cs="Times New Roman"/>
                <w:color w:val="auto"/>
                <w:sz w:val="22"/>
                <w:szCs w:val="22"/>
              </w:rPr>
              <w:t xml:space="preserve">. </w:t>
            </w:r>
            <w:r w:rsidR="003732A2">
              <w:rPr>
                <w:rFonts w:eastAsiaTheme="minorHAnsi" w:cstheme="minorBidi"/>
                <w:color w:val="auto"/>
                <w:sz w:val="22"/>
                <w:szCs w:val="22"/>
              </w:rPr>
              <w:t>Post-</w:t>
            </w:r>
            <w:r w:rsidRPr="003C53E8">
              <w:rPr>
                <w:rFonts w:eastAsiaTheme="minorHAnsi" w:cstheme="minorBidi"/>
                <w:color w:val="auto"/>
                <w:sz w:val="22"/>
                <w:szCs w:val="22"/>
              </w:rPr>
              <w:t>Sep</w:t>
            </w:r>
          </w:p>
        </w:tc>
      </w:tr>
      <w:tr w:rsidR="003C53E8" w:rsidRPr="003C53E8" w:rsidTr="00B50C51">
        <w:trPr>
          <w:jc w:val="center"/>
        </w:trPr>
        <w:tc>
          <w:tcPr>
            <w:tcW w:w="2115" w:type="dxa"/>
            <w:vAlign w:val="center"/>
          </w:tcPr>
          <w:p w:rsidR="003C53E8" w:rsidRPr="003C53E8" w:rsidRDefault="002253BF" w:rsidP="003732A2">
            <w:pPr>
              <w:contextualSpacing/>
              <w:rPr>
                <w:rFonts w:eastAsia="Calibri" w:cs="Times New Roman"/>
                <w:color w:val="auto"/>
                <w:sz w:val="22"/>
                <w:szCs w:val="22"/>
              </w:rPr>
            </w:pPr>
            <w:r>
              <w:rPr>
                <w:rFonts w:eastAsia="Calibri" w:cs="Times New Roman"/>
                <w:color w:val="auto"/>
                <w:sz w:val="22"/>
                <w:szCs w:val="22"/>
              </w:rPr>
              <w:t xml:space="preserve">Flexion </w:t>
            </w:r>
            <w:r w:rsidR="003732A2">
              <w:rPr>
                <w:rFonts w:eastAsia="Calibri" w:cs="Times New Roman"/>
                <w:color w:val="auto"/>
                <w:sz w:val="22"/>
                <w:szCs w:val="22"/>
              </w:rPr>
              <w:t>(90⁰ N</w:t>
            </w:r>
            <w:r w:rsidR="003C53E8" w:rsidRPr="003C53E8">
              <w:rPr>
                <w:rFonts w:eastAsia="Calibri" w:cs="Times New Roman"/>
                <w:color w:val="auto"/>
                <w:sz w:val="22"/>
                <w:szCs w:val="22"/>
              </w:rPr>
              <w:t>ormal</w:t>
            </w:r>
            <w:r w:rsidR="003732A2">
              <w:rPr>
                <w:rFonts w:eastAsia="Calibri" w:cs="Times New Roman"/>
                <w:color w:val="auto"/>
                <w:sz w:val="22"/>
                <w:szCs w:val="22"/>
              </w:rPr>
              <w:t>)</w:t>
            </w:r>
          </w:p>
        </w:tc>
        <w:tc>
          <w:tcPr>
            <w:tcW w:w="2333" w:type="dxa"/>
            <w:vAlign w:val="center"/>
          </w:tcPr>
          <w:p w:rsidR="003C53E8" w:rsidRPr="003C53E8" w:rsidRDefault="002253BF" w:rsidP="003732A2">
            <w:pPr>
              <w:contextualSpacing/>
              <w:rPr>
                <w:rFonts w:eastAsia="Calibri" w:cs="Times New Roman"/>
                <w:color w:val="auto"/>
                <w:sz w:val="22"/>
                <w:szCs w:val="22"/>
              </w:rPr>
            </w:pPr>
            <w:r>
              <w:rPr>
                <w:rFonts w:eastAsia="Calibri" w:cs="Times New Roman"/>
                <w:color w:val="auto"/>
                <w:sz w:val="22"/>
                <w:szCs w:val="22"/>
              </w:rPr>
              <w:t>40</w:t>
            </w:r>
            <w:r w:rsidR="003C53E8" w:rsidRPr="003C53E8">
              <w:rPr>
                <w:rFonts w:eastAsia="Calibri" w:cs="Times New Roman"/>
                <w:color w:val="auto"/>
                <w:sz w:val="22"/>
                <w:szCs w:val="22"/>
              </w:rPr>
              <w:t>⁰</w:t>
            </w:r>
            <w:r w:rsidR="003732A2">
              <w:rPr>
                <w:rFonts w:eastAsia="Calibri" w:cs="Times New Roman"/>
                <w:color w:val="auto"/>
                <w:sz w:val="22"/>
                <w:szCs w:val="22"/>
              </w:rPr>
              <w:t>/20</w:t>
            </w:r>
            <w:r w:rsidR="003732A2" w:rsidRPr="003C53E8">
              <w:rPr>
                <w:rFonts w:eastAsia="Calibri" w:cs="Times New Roman"/>
                <w:color w:val="auto"/>
                <w:sz w:val="22"/>
                <w:szCs w:val="22"/>
              </w:rPr>
              <w:t>⁰</w:t>
            </w:r>
            <w:r w:rsidR="003732A2">
              <w:rPr>
                <w:rFonts w:eastAsia="Calibri" w:cs="Times New Roman"/>
                <w:color w:val="auto"/>
                <w:sz w:val="22"/>
                <w:szCs w:val="22"/>
              </w:rPr>
              <w:t>*</w:t>
            </w:r>
          </w:p>
        </w:tc>
        <w:tc>
          <w:tcPr>
            <w:tcW w:w="2411" w:type="dxa"/>
            <w:vAlign w:val="center"/>
          </w:tcPr>
          <w:p w:rsidR="003C53E8" w:rsidRPr="003C53E8" w:rsidRDefault="002253BF" w:rsidP="003732A2">
            <w:pPr>
              <w:contextualSpacing/>
              <w:rPr>
                <w:rFonts w:eastAsia="Calibri" w:cs="Times New Roman"/>
                <w:color w:val="auto"/>
                <w:sz w:val="22"/>
                <w:szCs w:val="22"/>
              </w:rPr>
            </w:pPr>
            <w:r>
              <w:rPr>
                <w:rFonts w:eastAsia="Calibri" w:cs="Times New Roman"/>
                <w:color w:val="auto"/>
                <w:sz w:val="22"/>
                <w:szCs w:val="22"/>
              </w:rPr>
              <w:t>60</w:t>
            </w:r>
            <w:r w:rsidR="003C53E8" w:rsidRPr="003C53E8">
              <w:rPr>
                <w:rFonts w:eastAsia="Calibri" w:cs="Times New Roman"/>
                <w:color w:val="auto"/>
                <w:sz w:val="22"/>
                <w:szCs w:val="22"/>
              </w:rPr>
              <w:t>⁰</w:t>
            </w:r>
          </w:p>
        </w:tc>
        <w:tc>
          <w:tcPr>
            <w:tcW w:w="2421" w:type="dxa"/>
            <w:vAlign w:val="center"/>
          </w:tcPr>
          <w:p w:rsidR="003C53E8" w:rsidRPr="003C53E8" w:rsidRDefault="002253BF" w:rsidP="003732A2">
            <w:pPr>
              <w:contextualSpacing/>
              <w:rPr>
                <w:rFonts w:eastAsia="Calibri" w:cs="Times New Roman"/>
                <w:color w:val="auto"/>
                <w:sz w:val="22"/>
                <w:szCs w:val="22"/>
              </w:rPr>
            </w:pPr>
            <w:r>
              <w:rPr>
                <w:rFonts w:eastAsia="Calibri" w:cs="Times New Roman"/>
                <w:color w:val="auto"/>
                <w:sz w:val="22"/>
                <w:szCs w:val="22"/>
              </w:rPr>
              <w:t>70</w:t>
            </w:r>
            <w:r w:rsidR="003C53E8" w:rsidRPr="003C53E8">
              <w:rPr>
                <w:rFonts w:eastAsia="Calibri" w:cs="Times New Roman"/>
                <w:color w:val="auto"/>
                <w:sz w:val="22"/>
                <w:szCs w:val="22"/>
              </w:rPr>
              <w:t>⁰</w:t>
            </w:r>
          </w:p>
        </w:tc>
      </w:tr>
      <w:tr w:rsidR="003C53E8" w:rsidRPr="003C53E8" w:rsidTr="00B50C51">
        <w:trPr>
          <w:jc w:val="center"/>
        </w:trPr>
        <w:tc>
          <w:tcPr>
            <w:tcW w:w="2115" w:type="dxa"/>
            <w:vAlign w:val="center"/>
          </w:tcPr>
          <w:p w:rsidR="003C53E8" w:rsidRPr="003C53E8" w:rsidRDefault="003C53E8" w:rsidP="003732A2">
            <w:pPr>
              <w:contextualSpacing/>
              <w:rPr>
                <w:rFonts w:eastAsia="Calibri" w:cs="Times New Roman"/>
                <w:color w:val="auto"/>
                <w:sz w:val="22"/>
                <w:szCs w:val="22"/>
              </w:rPr>
            </w:pPr>
            <w:r w:rsidRPr="003C53E8">
              <w:rPr>
                <w:rFonts w:eastAsia="Calibri" w:cs="Times New Roman"/>
                <w:color w:val="auto"/>
                <w:sz w:val="22"/>
                <w:szCs w:val="22"/>
              </w:rPr>
              <w:t xml:space="preserve">Combined </w:t>
            </w:r>
            <w:r w:rsidR="003732A2">
              <w:rPr>
                <w:rFonts w:eastAsia="Calibri" w:cs="Times New Roman"/>
                <w:color w:val="auto"/>
                <w:sz w:val="22"/>
                <w:szCs w:val="22"/>
              </w:rPr>
              <w:t>(</w:t>
            </w:r>
            <w:r w:rsidRPr="003C53E8">
              <w:rPr>
                <w:rFonts w:eastAsia="Calibri" w:cs="Times New Roman"/>
                <w:color w:val="auto"/>
                <w:sz w:val="22"/>
                <w:szCs w:val="22"/>
              </w:rPr>
              <w:t>240⁰</w:t>
            </w:r>
            <w:r w:rsidR="003732A2">
              <w:rPr>
                <w:rFonts w:eastAsia="Calibri" w:cs="Times New Roman"/>
                <w:color w:val="auto"/>
                <w:sz w:val="22"/>
                <w:szCs w:val="22"/>
              </w:rPr>
              <w:t>)</w:t>
            </w:r>
          </w:p>
        </w:tc>
        <w:tc>
          <w:tcPr>
            <w:tcW w:w="2333" w:type="dxa"/>
            <w:vAlign w:val="center"/>
          </w:tcPr>
          <w:p w:rsidR="003C53E8" w:rsidRPr="003C53E8" w:rsidRDefault="002253BF" w:rsidP="003732A2">
            <w:pPr>
              <w:contextualSpacing/>
              <w:rPr>
                <w:rFonts w:eastAsia="Calibri" w:cs="Times New Roman"/>
                <w:color w:val="auto"/>
                <w:sz w:val="22"/>
                <w:szCs w:val="22"/>
              </w:rPr>
            </w:pPr>
            <w:r>
              <w:rPr>
                <w:rFonts w:eastAsia="Calibri" w:cs="Times New Roman"/>
                <w:color w:val="auto"/>
                <w:sz w:val="22"/>
                <w:szCs w:val="22"/>
              </w:rPr>
              <w:t>85</w:t>
            </w:r>
            <w:r w:rsidR="003C53E8" w:rsidRPr="003C53E8">
              <w:rPr>
                <w:rFonts w:eastAsia="Calibri" w:cs="Times New Roman"/>
                <w:color w:val="auto"/>
                <w:sz w:val="22"/>
                <w:szCs w:val="22"/>
              </w:rPr>
              <w:t>⁰</w:t>
            </w:r>
          </w:p>
        </w:tc>
        <w:tc>
          <w:tcPr>
            <w:tcW w:w="2411" w:type="dxa"/>
            <w:vAlign w:val="center"/>
          </w:tcPr>
          <w:p w:rsidR="003C53E8" w:rsidRPr="003C53E8" w:rsidRDefault="002253BF" w:rsidP="003732A2">
            <w:pPr>
              <w:contextualSpacing/>
              <w:rPr>
                <w:rFonts w:eastAsia="Calibri" w:cs="Times New Roman"/>
                <w:color w:val="auto"/>
                <w:sz w:val="22"/>
                <w:szCs w:val="22"/>
              </w:rPr>
            </w:pPr>
            <w:r>
              <w:rPr>
                <w:rFonts w:eastAsia="Calibri" w:cs="Times New Roman"/>
                <w:color w:val="auto"/>
                <w:sz w:val="22"/>
                <w:szCs w:val="22"/>
              </w:rPr>
              <w:t>175</w:t>
            </w:r>
            <w:r w:rsidR="003C53E8" w:rsidRPr="003C53E8">
              <w:rPr>
                <w:rFonts w:eastAsia="Calibri" w:cs="Times New Roman"/>
                <w:color w:val="auto"/>
                <w:sz w:val="22"/>
                <w:szCs w:val="22"/>
              </w:rPr>
              <w:t>⁰</w:t>
            </w:r>
          </w:p>
        </w:tc>
        <w:tc>
          <w:tcPr>
            <w:tcW w:w="2421" w:type="dxa"/>
            <w:vAlign w:val="center"/>
          </w:tcPr>
          <w:p w:rsidR="003C53E8" w:rsidRPr="003C53E8" w:rsidRDefault="002253BF" w:rsidP="003732A2">
            <w:pPr>
              <w:contextualSpacing/>
              <w:rPr>
                <w:rFonts w:eastAsia="Calibri" w:cs="Times New Roman"/>
                <w:color w:val="auto"/>
                <w:sz w:val="22"/>
                <w:szCs w:val="22"/>
              </w:rPr>
            </w:pPr>
            <w:r>
              <w:rPr>
                <w:rFonts w:eastAsia="Calibri" w:cs="Times New Roman"/>
                <w:color w:val="auto"/>
                <w:sz w:val="22"/>
                <w:szCs w:val="22"/>
              </w:rPr>
              <w:t>190</w:t>
            </w:r>
            <w:r w:rsidR="003C53E8" w:rsidRPr="003C53E8">
              <w:rPr>
                <w:rFonts w:eastAsia="Calibri" w:cs="Times New Roman"/>
                <w:color w:val="auto"/>
                <w:sz w:val="22"/>
                <w:szCs w:val="22"/>
              </w:rPr>
              <w:t>⁰</w:t>
            </w:r>
          </w:p>
        </w:tc>
      </w:tr>
      <w:tr w:rsidR="003C53E8" w:rsidRPr="003C53E8" w:rsidTr="00B50C51">
        <w:trPr>
          <w:jc w:val="center"/>
        </w:trPr>
        <w:tc>
          <w:tcPr>
            <w:tcW w:w="2115" w:type="dxa"/>
            <w:vAlign w:val="center"/>
          </w:tcPr>
          <w:p w:rsidR="003C53E8" w:rsidRPr="003C53E8" w:rsidRDefault="003C53E8" w:rsidP="003732A2">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Comments</w:t>
            </w:r>
          </w:p>
        </w:tc>
        <w:tc>
          <w:tcPr>
            <w:tcW w:w="2333" w:type="dxa"/>
            <w:vAlign w:val="center"/>
          </w:tcPr>
          <w:p w:rsidR="0075788F" w:rsidRPr="003732A2" w:rsidRDefault="0004242B" w:rsidP="003732A2">
            <w:pPr>
              <w:tabs>
                <w:tab w:val="left" w:pos="288"/>
                <w:tab w:val="left" w:pos="4752"/>
              </w:tabs>
              <w:spacing w:line="220" w:lineRule="exact"/>
              <w:rPr>
                <w:rFonts w:asciiTheme="minorHAnsi" w:eastAsiaTheme="minorHAnsi" w:hAnsiTheme="minorHAnsi" w:cs="Times New Roman"/>
                <w:color w:val="auto"/>
                <w:sz w:val="20"/>
              </w:rPr>
            </w:pPr>
            <w:r w:rsidRPr="003732A2">
              <w:rPr>
                <w:rFonts w:asciiTheme="minorHAnsi" w:eastAsiaTheme="minorHAnsi" w:hAnsiTheme="minorHAnsi" w:cs="Times New Roman"/>
                <w:color w:val="auto"/>
                <w:sz w:val="20"/>
              </w:rPr>
              <w:t xml:space="preserve">No </w:t>
            </w:r>
            <w:r w:rsidR="003732A2" w:rsidRPr="003732A2">
              <w:rPr>
                <w:rFonts w:asciiTheme="minorHAnsi" w:eastAsiaTheme="minorHAnsi" w:hAnsiTheme="minorHAnsi" w:cs="Times New Roman"/>
                <w:color w:val="auto"/>
                <w:sz w:val="20"/>
              </w:rPr>
              <w:t>spasm</w:t>
            </w:r>
            <w:r w:rsidR="003732A2">
              <w:rPr>
                <w:rFonts w:asciiTheme="minorHAnsi" w:eastAsiaTheme="minorHAnsi" w:hAnsiTheme="minorHAnsi" w:cs="Times New Roman"/>
                <w:color w:val="auto"/>
                <w:sz w:val="20"/>
              </w:rPr>
              <w:t>; normal</w:t>
            </w:r>
            <w:r w:rsidRPr="003732A2">
              <w:rPr>
                <w:rFonts w:asciiTheme="minorHAnsi" w:eastAsiaTheme="minorHAnsi" w:hAnsiTheme="minorHAnsi" w:cs="Times New Roman"/>
                <w:color w:val="auto"/>
                <w:sz w:val="20"/>
              </w:rPr>
              <w:t xml:space="preserve"> </w:t>
            </w:r>
            <w:r w:rsidR="003732A2" w:rsidRPr="003732A2">
              <w:rPr>
                <w:rFonts w:asciiTheme="minorHAnsi" w:eastAsiaTheme="minorHAnsi" w:hAnsiTheme="minorHAnsi" w:cs="Times New Roman"/>
                <w:color w:val="auto"/>
                <w:sz w:val="20"/>
              </w:rPr>
              <w:t>gait</w:t>
            </w:r>
            <w:r w:rsidR="003732A2">
              <w:rPr>
                <w:rFonts w:asciiTheme="minorHAnsi" w:eastAsiaTheme="minorHAnsi" w:hAnsiTheme="minorHAnsi" w:cs="Times New Roman"/>
                <w:color w:val="auto"/>
                <w:sz w:val="20"/>
              </w:rPr>
              <w:t>/contour</w:t>
            </w:r>
            <w:r w:rsidR="003732A2" w:rsidRPr="003732A2">
              <w:rPr>
                <w:rFonts w:asciiTheme="minorHAnsi" w:eastAsiaTheme="minorHAnsi" w:hAnsiTheme="minorHAnsi" w:cs="Times New Roman"/>
                <w:color w:val="auto"/>
                <w:sz w:val="20"/>
              </w:rPr>
              <w:t>.</w:t>
            </w:r>
          </w:p>
        </w:tc>
        <w:tc>
          <w:tcPr>
            <w:tcW w:w="2411" w:type="dxa"/>
            <w:vAlign w:val="center"/>
          </w:tcPr>
          <w:p w:rsidR="003C53E8" w:rsidRPr="003732A2" w:rsidRDefault="009431B3" w:rsidP="003732A2">
            <w:pPr>
              <w:tabs>
                <w:tab w:val="left" w:pos="288"/>
                <w:tab w:val="left" w:pos="4752"/>
              </w:tabs>
              <w:spacing w:line="220" w:lineRule="exact"/>
              <w:rPr>
                <w:rFonts w:asciiTheme="minorHAnsi" w:eastAsiaTheme="minorHAnsi" w:hAnsiTheme="minorHAnsi" w:cs="Times New Roman"/>
                <w:color w:val="auto"/>
                <w:sz w:val="20"/>
              </w:rPr>
            </w:pPr>
            <w:r w:rsidRPr="003732A2">
              <w:rPr>
                <w:rFonts w:asciiTheme="minorHAnsi" w:eastAsiaTheme="minorHAnsi" w:hAnsiTheme="minorHAnsi" w:cs="Times New Roman"/>
                <w:color w:val="auto"/>
                <w:sz w:val="20"/>
              </w:rPr>
              <w:t>Left leg weakness</w:t>
            </w:r>
            <w:r w:rsidR="008264D6" w:rsidRPr="003732A2">
              <w:rPr>
                <w:rFonts w:asciiTheme="minorHAnsi" w:eastAsiaTheme="minorHAnsi" w:hAnsiTheme="minorHAnsi" w:cs="Times New Roman"/>
                <w:color w:val="auto"/>
                <w:sz w:val="20"/>
              </w:rPr>
              <w:t>; stiff movements</w:t>
            </w:r>
            <w:r w:rsidR="003732A2" w:rsidRPr="003732A2">
              <w:rPr>
                <w:rFonts w:asciiTheme="minorHAnsi" w:eastAsiaTheme="minorHAnsi" w:hAnsiTheme="minorHAnsi" w:cs="Times New Roman"/>
                <w:color w:val="auto"/>
                <w:sz w:val="20"/>
              </w:rPr>
              <w:t>.</w:t>
            </w:r>
          </w:p>
        </w:tc>
        <w:tc>
          <w:tcPr>
            <w:tcW w:w="2421" w:type="dxa"/>
            <w:vAlign w:val="center"/>
          </w:tcPr>
          <w:p w:rsidR="003C53E8" w:rsidRPr="003732A2" w:rsidRDefault="009431B3" w:rsidP="003732A2">
            <w:pPr>
              <w:tabs>
                <w:tab w:val="left" w:pos="288"/>
                <w:tab w:val="left" w:pos="4752"/>
              </w:tabs>
              <w:spacing w:line="220" w:lineRule="exact"/>
              <w:rPr>
                <w:rFonts w:asciiTheme="minorHAnsi" w:eastAsiaTheme="minorHAnsi" w:hAnsiTheme="minorHAnsi" w:cs="Times New Roman"/>
                <w:color w:val="auto"/>
                <w:sz w:val="20"/>
              </w:rPr>
            </w:pPr>
            <w:r w:rsidRPr="003732A2">
              <w:rPr>
                <w:rFonts w:asciiTheme="minorHAnsi" w:eastAsiaTheme="minorHAnsi" w:hAnsiTheme="minorHAnsi" w:cs="Times New Roman"/>
                <w:color w:val="auto"/>
                <w:sz w:val="20"/>
              </w:rPr>
              <w:t>Normal gait, posture; no spasm; DeLuca negative</w:t>
            </w:r>
            <w:r w:rsidR="003732A2" w:rsidRPr="003732A2">
              <w:rPr>
                <w:rFonts w:asciiTheme="minorHAnsi" w:eastAsiaTheme="minorHAnsi" w:hAnsiTheme="minorHAnsi" w:cs="Times New Roman"/>
                <w:color w:val="auto"/>
                <w:sz w:val="20"/>
              </w:rPr>
              <w:t>.</w:t>
            </w:r>
          </w:p>
        </w:tc>
      </w:tr>
      <w:tr w:rsidR="003C53E8" w:rsidRPr="003C53E8" w:rsidTr="00B50C51">
        <w:trPr>
          <w:trHeight w:val="70"/>
          <w:jc w:val="center"/>
        </w:trPr>
        <w:tc>
          <w:tcPr>
            <w:tcW w:w="2115" w:type="dxa"/>
            <w:vAlign w:val="center"/>
          </w:tcPr>
          <w:p w:rsidR="003C53E8" w:rsidRPr="003C53E8" w:rsidRDefault="003C53E8" w:rsidP="003732A2">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§4.71a Rating</w:t>
            </w:r>
          </w:p>
        </w:tc>
        <w:tc>
          <w:tcPr>
            <w:tcW w:w="2333" w:type="dxa"/>
            <w:vAlign w:val="center"/>
          </w:tcPr>
          <w:p w:rsidR="003C53E8" w:rsidRPr="003C53E8" w:rsidRDefault="00113E8A" w:rsidP="003732A2">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20%/</w:t>
            </w:r>
            <w:r w:rsidR="0004242B">
              <w:rPr>
                <w:rFonts w:asciiTheme="minorHAnsi" w:eastAsiaTheme="minorHAnsi" w:hAnsiTheme="minorHAnsi" w:cs="Times New Roman"/>
                <w:color w:val="auto"/>
                <w:sz w:val="22"/>
                <w:szCs w:val="22"/>
              </w:rPr>
              <w:t>40</w:t>
            </w:r>
            <w:r w:rsidR="003C53E8" w:rsidRPr="003C53E8">
              <w:rPr>
                <w:rFonts w:asciiTheme="minorHAnsi" w:eastAsiaTheme="minorHAnsi" w:hAnsiTheme="minorHAnsi" w:cs="Times New Roman"/>
                <w:color w:val="auto"/>
                <w:sz w:val="22"/>
                <w:szCs w:val="22"/>
              </w:rPr>
              <w:t>%</w:t>
            </w:r>
            <w:r>
              <w:rPr>
                <w:rFonts w:asciiTheme="minorHAnsi" w:eastAsiaTheme="minorHAnsi" w:hAnsiTheme="minorHAnsi" w:cs="Times New Roman"/>
                <w:color w:val="auto"/>
                <w:sz w:val="22"/>
                <w:szCs w:val="22"/>
              </w:rPr>
              <w:t>*</w:t>
            </w:r>
          </w:p>
        </w:tc>
        <w:tc>
          <w:tcPr>
            <w:tcW w:w="2411" w:type="dxa"/>
            <w:vAlign w:val="center"/>
          </w:tcPr>
          <w:p w:rsidR="003C53E8" w:rsidRPr="003C53E8" w:rsidRDefault="002253BF" w:rsidP="003732A2">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20</w:t>
            </w:r>
            <w:r w:rsidR="003C53E8" w:rsidRPr="003C53E8">
              <w:rPr>
                <w:rFonts w:asciiTheme="minorHAnsi" w:eastAsiaTheme="minorHAnsi" w:hAnsiTheme="minorHAnsi" w:cs="Times New Roman"/>
                <w:color w:val="auto"/>
                <w:sz w:val="22"/>
                <w:szCs w:val="22"/>
              </w:rPr>
              <w:t>%</w:t>
            </w:r>
          </w:p>
        </w:tc>
        <w:tc>
          <w:tcPr>
            <w:tcW w:w="2421" w:type="dxa"/>
            <w:vAlign w:val="center"/>
          </w:tcPr>
          <w:p w:rsidR="003C53E8" w:rsidRPr="003C53E8" w:rsidRDefault="00693AEC" w:rsidP="003732A2">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10</w:t>
            </w:r>
            <w:r w:rsidR="003C53E8" w:rsidRPr="003C53E8">
              <w:rPr>
                <w:rFonts w:asciiTheme="minorHAnsi" w:eastAsiaTheme="minorHAnsi" w:hAnsiTheme="minorHAnsi" w:cs="Times New Roman"/>
                <w:color w:val="auto"/>
                <w:sz w:val="22"/>
                <w:szCs w:val="22"/>
              </w:rPr>
              <w:t>%</w:t>
            </w:r>
            <w:r>
              <w:rPr>
                <w:rFonts w:asciiTheme="minorHAnsi" w:eastAsiaTheme="minorHAnsi" w:hAnsiTheme="minorHAnsi" w:cs="Times New Roman"/>
                <w:color w:val="auto"/>
                <w:sz w:val="22"/>
                <w:szCs w:val="22"/>
              </w:rPr>
              <w:t>*</w:t>
            </w:r>
            <w:r w:rsidR="00113E8A">
              <w:rPr>
                <w:rFonts w:asciiTheme="minorHAnsi" w:eastAsiaTheme="minorHAnsi" w:hAnsiTheme="minorHAnsi" w:cs="Times New Roman"/>
                <w:color w:val="auto"/>
                <w:sz w:val="22"/>
                <w:szCs w:val="22"/>
              </w:rPr>
              <w:t>*</w:t>
            </w:r>
          </w:p>
        </w:tc>
      </w:tr>
    </w:tbl>
    <w:p w:rsidR="003C53E8" w:rsidRPr="001054F0" w:rsidRDefault="00113E8A" w:rsidP="0075788F">
      <w:pPr>
        <w:tabs>
          <w:tab w:val="left" w:pos="2880"/>
          <w:tab w:val="left" w:pos="6300"/>
        </w:tabs>
        <w:jc w:val="left"/>
        <w:rPr>
          <w:rFonts w:asciiTheme="minorHAnsi" w:hAnsiTheme="minorHAnsi" w:cs="Times New Roman"/>
          <w:color w:val="auto"/>
          <w:sz w:val="22"/>
          <w:szCs w:val="22"/>
        </w:rPr>
      </w:pPr>
      <w:r w:rsidRPr="001054F0">
        <w:rPr>
          <w:rFonts w:asciiTheme="minorHAnsi" w:hAnsiTheme="minorHAnsi" w:cs="Times New Roman"/>
          <w:color w:val="auto"/>
          <w:sz w:val="22"/>
          <w:szCs w:val="22"/>
        </w:rPr>
        <w:t xml:space="preserve">*Conceding </w:t>
      </w:r>
      <w:r w:rsidR="0075788F" w:rsidRPr="001054F0">
        <w:rPr>
          <w:rFonts w:asciiTheme="minorHAnsi" w:hAnsiTheme="minorHAnsi" w:cs="Times New Roman"/>
          <w:color w:val="auto"/>
          <w:sz w:val="22"/>
          <w:szCs w:val="22"/>
        </w:rPr>
        <w:t>DeLuca limited motion</w:t>
      </w:r>
      <w:r w:rsidR="00524DA5">
        <w:rPr>
          <w:rFonts w:asciiTheme="minorHAnsi" w:hAnsiTheme="minorHAnsi" w:cs="Times New Roman"/>
          <w:color w:val="auto"/>
          <w:sz w:val="22"/>
          <w:szCs w:val="22"/>
        </w:rPr>
        <w:t xml:space="preserve"> (VA applied)</w:t>
      </w:r>
      <w:r w:rsidR="001054F0">
        <w:rPr>
          <w:rFonts w:asciiTheme="minorHAnsi" w:hAnsiTheme="minorHAnsi" w:cs="Times New Roman"/>
          <w:color w:val="auto"/>
          <w:sz w:val="22"/>
          <w:szCs w:val="22"/>
        </w:rPr>
        <w:t xml:space="preserve">.   </w:t>
      </w:r>
      <w:r w:rsidR="00524DA5">
        <w:rPr>
          <w:rFonts w:asciiTheme="minorHAnsi" w:hAnsiTheme="minorHAnsi" w:cs="Times New Roman"/>
          <w:color w:val="auto"/>
          <w:sz w:val="22"/>
          <w:szCs w:val="22"/>
        </w:rPr>
        <w:t xml:space="preserve">   </w:t>
      </w:r>
      <w:r w:rsidR="00051282">
        <w:rPr>
          <w:rFonts w:asciiTheme="minorHAnsi" w:hAnsiTheme="minorHAnsi" w:cs="Times New Roman"/>
          <w:color w:val="auto"/>
          <w:sz w:val="22"/>
          <w:szCs w:val="22"/>
        </w:rPr>
        <w:t xml:space="preserve">  </w:t>
      </w:r>
      <w:r w:rsidR="00524DA5">
        <w:rPr>
          <w:rFonts w:asciiTheme="minorHAnsi" w:hAnsiTheme="minorHAnsi" w:cs="Times New Roman"/>
          <w:color w:val="auto"/>
          <w:sz w:val="22"/>
          <w:szCs w:val="22"/>
        </w:rPr>
        <w:t xml:space="preserve">  </w:t>
      </w:r>
      <w:r w:rsidR="00B50C51">
        <w:rPr>
          <w:rFonts w:asciiTheme="minorHAnsi" w:hAnsiTheme="minorHAnsi" w:cs="Times New Roman"/>
          <w:color w:val="auto"/>
          <w:sz w:val="22"/>
          <w:szCs w:val="22"/>
        </w:rPr>
        <w:t xml:space="preserve">     </w:t>
      </w:r>
      <w:r w:rsidRPr="001054F0">
        <w:rPr>
          <w:rFonts w:asciiTheme="minorHAnsi" w:hAnsiTheme="minorHAnsi" w:cs="Times New Roman"/>
          <w:color w:val="auto"/>
          <w:sz w:val="22"/>
          <w:szCs w:val="22"/>
        </w:rPr>
        <w:t>*</w:t>
      </w:r>
      <w:r w:rsidR="00693AEC" w:rsidRPr="001054F0">
        <w:rPr>
          <w:rFonts w:asciiTheme="minorHAnsi" w:hAnsiTheme="minorHAnsi" w:cs="Times New Roman"/>
          <w:color w:val="auto"/>
          <w:sz w:val="22"/>
          <w:szCs w:val="22"/>
        </w:rPr>
        <w:t>*</w:t>
      </w:r>
      <w:r w:rsidR="00051282">
        <w:rPr>
          <w:rFonts w:asciiTheme="minorHAnsi" w:hAnsiTheme="minorHAnsi" w:cs="Times New Roman"/>
          <w:color w:val="auto"/>
          <w:sz w:val="22"/>
          <w:szCs w:val="22"/>
        </w:rPr>
        <w:t>VA continued prior 40%, citing not yet stable</w:t>
      </w:r>
      <w:r w:rsidR="001054F0">
        <w:rPr>
          <w:rFonts w:asciiTheme="minorHAnsi" w:hAnsiTheme="minorHAnsi" w:cs="Times New Roman"/>
          <w:color w:val="auto"/>
          <w:sz w:val="22"/>
          <w:szCs w:val="22"/>
        </w:rPr>
        <w:t>.</w:t>
      </w:r>
    </w:p>
    <w:p w:rsidR="00693AEC" w:rsidRPr="003C53E8" w:rsidRDefault="00693AEC" w:rsidP="003C53E8">
      <w:pPr>
        <w:tabs>
          <w:tab w:val="left" w:pos="288"/>
          <w:tab w:val="left" w:pos="4752"/>
        </w:tabs>
        <w:jc w:val="left"/>
        <w:rPr>
          <w:rFonts w:asciiTheme="minorHAnsi" w:hAnsiTheme="minorHAnsi" w:cs="Times New Roman"/>
          <w:color w:val="auto"/>
          <w:szCs w:val="24"/>
        </w:rPr>
      </w:pPr>
    </w:p>
    <w:p w:rsidR="00165A13" w:rsidRDefault="00B50C51" w:rsidP="008264D6">
      <w:pPr>
        <w:jc w:val="both"/>
        <w:rPr>
          <w:rFonts w:asciiTheme="minorHAnsi" w:hAnsiTheme="minorHAnsi" w:cs="Times New Roman"/>
          <w:color w:val="auto"/>
          <w:szCs w:val="24"/>
        </w:rPr>
      </w:pPr>
      <w:r>
        <w:rPr>
          <w:rFonts w:asciiTheme="minorHAnsi" w:hAnsiTheme="minorHAnsi" w:cs="Times New Roman"/>
          <w:color w:val="auto"/>
          <w:szCs w:val="24"/>
        </w:rPr>
        <w:t>T</w:t>
      </w:r>
      <w:r w:rsidR="0004242B">
        <w:rPr>
          <w:rFonts w:asciiTheme="minorHAnsi" w:hAnsiTheme="minorHAnsi" w:cs="Times New Roman"/>
          <w:color w:val="auto"/>
          <w:szCs w:val="24"/>
        </w:rPr>
        <w:t xml:space="preserve">he MEB examiner </w:t>
      </w:r>
      <w:r>
        <w:rPr>
          <w:rFonts w:asciiTheme="minorHAnsi" w:hAnsiTheme="minorHAnsi" w:cs="Times New Roman"/>
          <w:color w:val="auto"/>
          <w:szCs w:val="24"/>
        </w:rPr>
        <w:t>(</w:t>
      </w:r>
      <w:r w:rsidR="00425917">
        <w:rPr>
          <w:rFonts w:asciiTheme="minorHAnsi" w:hAnsiTheme="minorHAnsi" w:cs="Times New Roman"/>
          <w:color w:val="auto"/>
          <w:szCs w:val="24"/>
        </w:rPr>
        <w:t>five</w:t>
      </w:r>
      <w:r>
        <w:rPr>
          <w:rFonts w:asciiTheme="minorHAnsi" w:hAnsiTheme="minorHAnsi" w:cs="Times New Roman"/>
          <w:color w:val="auto"/>
          <w:szCs w:val="24"/>
        </w:rPr>
        <w:t xml:space="preserve"> months pr</w:t>
      </w:r>
      <w:r w:rsidR="00425917">
        <w:rPr>
          <w:rFonts w:asciiTheme="minorHAnsi" w:hAnsiTheme="minorHAnsi" w:cs="Times New Roman"/>
          <w:color w:val="auto"/>
          <w:szCs w:val="24"/>
        </w:rPr>
        <w:t xml:space="preserve">ior to </w:t>
      </w:r>
      <w:r>
        <w:rPr>
          <w:rFonts w:asciiTheme="minorHAnsi" w:hAnsiTheme="minorHAnsi" w:cs="Times New Roman"/>
          <w:color w:val="auto"/>
          <w:szCs w:val="24"/>
        </w:rPr>
        <w:t xml:space="preserve">separation) noted </w:t>
      </w:r>
      <w:r w:rsidR="0004242B">
        <w:rPr>
          <w:rFonts w:asciiTheme="minorHAnsi" w:hAnsiTheme="minorHAnsi" w:cs="Times New Roman"/>
          <w:color w:val="auto"/>
          <w:szCs w:val="24"/>
        </w:rPr>
        <w:t xml:space="preserve">that the CI rose easily </w:t>
      </w:r>
      <w:r w:rsidR="00004813">
        <w:rPr>
          <w:rFonts w:asciiTheme="minorHAnsi" w:hAnsiTheme="minorHAnsi" w:cs="Times New Roman"/>
          <w:color w:val="auto"/>
          <w:szCs w:val="24"/>
        </w:rPr>
        <w:t>from a seated posture</w:t>
      </w:r>
      <w:r w:rsidR="0004242B">
        <w:rPr>
          <w:rFonts w:asciiTheme="minorHAnsi" w:hAnsiTheme="minorHAnsi" w:cs="Times New Roman"/>
          <w:color w:val="auto"/>
          <w:szCs w:val="24"/>
        </w:rPr>
        <w:t xml:space="preserve">, but moved stiffly.  Deep tendon reflexes were symmetrical, but the motor (4/5 strength) and sensory exams of the left leg were abnormal.  </w:t>
      </w:r>
      <w:r w:rsidR="00110C48">
        <w:rPr>
          <w:color w:val="000000" w:themeColor="text1"/>
          <w:szCs w:val="24"/>
        </w:rPr>
        <w:t>The examiner also stated, “</w:t>
      </w:r>
      <w:proofErr w:type="gramStart"/>
      <w:r w:rsidR="00425917">
        <w:rPr>
          <w:color w:val="000000" w:themeColor="text1"/>
          <w:szCs w:val="24"/>
        </w:rPr>
        <w:t>s</w:t>
      </w:r>
      <w:r w:rsidR="00110C48">
        <w:rPr>
          <w:color w:val="000000" w:themeColor="text1"/>
          <w:szCs w:val="24"/>
        </w:rPr>
        <w:t>he</w:t>
      </w:r>
      <w:proofErr w:type="gramEnd"/>
      <w:r w:rsidR="00110C48">
        <w:rPr>
          <w:color w:val="000000" w:themeColor="text1"/>
          <w:szCs w:val="24"/>
        </w:rPr>
        <w:t xml:space="preserve"> feels like she has weakness in her foot, which has caused her trip while she is walking and she states that at times, she has difficulty with sensation, not being able to feel her foot.”  </w:t>
      </w:r>
      <w:r w:rsidR="0004242B">
        <w:rPr>
          <w:rFonts w:asciiTheme="minorHAnsi" w:hAnsiTheme="minorHAnsi" w:cs="Times New Roman"/>
          <w:color w:val="auto"/>
          <w:szCs w:val="24"/>
        </w:rPr>
        <w:t xml:space="preserve">ROM performed by physical therapy in support of the MEB showed significant impairment of motion with pain in all planes of motion.  </w:t>
      </w:r>
      <w:r w:rsidR="00C32F16">
        <w:rPr>
          <w:rFonts w:asciiTheme="minorHAnsi" w:hAnsiTheme="minorHAnsi" w:cs="Times New Roman"/>
          <w:color w:val="auto"/>
          <w:szCs w:val="24"/>
        </w:rPr>
        <w:t xml:space="preserve">Electrodiagnostic studies </w:t>
      </w:r>
      <w:r w:rsidR="008B3855">
        <w:rPr>
          <w:rFonts w:asciiTheme="minorHAnsi" w:hAnsiTheme="minorHAnsi" w:cs="Times New Roman"/>
          <w:color w:val="auto"/>
          <w:szCs w:val="24"/>
        </w:rPr>
        <w:t xml:space="preserve">(EMG) </w:t>
      </w:r>
      <w:r w:rsidR="001D3FCC">
        <w:rPr>
          <w:rFonts w:asciiTheme="minorHAnsi" w:hAnsiTheme="minorHAnsi" w:cs="Times New Roman"/>
          <w:color w:val="auto"/>
          <w:szCs w:val="24"/>
        </w:rPr>
        <w:t xml:space="preserve">confirmed a </w:t>
      </w:r>
      <w:r w:rsidR="00C37B6F">
        <w:rPr>
          <w:rFonts w:asciiTheme="minorHAnsi" w:hAnsiTheme="minorHAnsi" w:cs="Times New Roman"/>
          <w:color w:val="auto"/>
          <w:szCs w:val="24"/>
        </w:rPr>
        <w:t xml:space="preserve">“mild” </w:t>
      </w:r>
      <w:r w:rsidR="001D3FCC">
        <w:rPr>
          <w:rFonts w:asciiTheme="minorHAnsi" w:hAnsiTheme="minorHAnsi" w:cs="Times New Roman"/>
          <w:color w:val="auto"/>
          <w:szCs w:val="24"/>
        </w:rPr>
        <w:t>S1 radiculopathy.  Post-operative i</w:t>
      </w:r>
      <w:r w:rsidR="00C32F16">
        <w:rPr>
          <w:rFonts w:asciiTheme="minorHAnsi" w:hAnsiTheme="minorHAnsi" w:cs="Times New Roman"/>
          <w:color w:val="auto"/>
          <w:szCs w:val="24"/>
        </w:rPr>
        <w:t xml:space="preserve">maging studies were consistent with </w:t>
      </w:r>
      <w:r w:rsidR="001D3FCC">
        <w:rPr>
          <w:rFonts w:asciiTheme="minorHAnsi" w:hAnsiTheme="minorHAnsi" w:cs="Times New Roman"/>
          <w:color w:val="auto"/>
          <w:szCs w:val="24"/>
        </w:rPr>
        <w:t>expected</w:t>
      </w:r>
      <w:r w:rsidR="00C32F16">
        <w:rPr>
          <w:rFonts w:asciiTheme="minorHAnsi" w:hAnsiTheme="minorHAnsi" w:cs="Times New Roman"/>
          <w:color w:val="auto"/>
          <w:szCs w:val="24"/>
        </w:rPr>
        <w:t xml:space="preserve"> surgical </w:t>
      </w:r>
      <w:r w:rsidR="001D3FCC">
        <w:rPr>
          <w:rFonts w:asciiTheme="minorHAnsi" w:hAnsiTheme="minorHAnsi" w:cs="Times New Roman"/>
          <w:color w:val="auto"/>
          <w:szCs w:val="24"/>
        </w:rPr>
        <w:t>changes</w:t>
      </w:r>
      <w:r w:rsidR="00C32F16">
        <w:rPr>
          <w:rFonts w:asciiTheme="minorHAnsi" w:hAnsiTheme="minorHAnsi" w:cs="Times New Roman"/>
          <w:color w:val="auto"/>
          <w:szCs w:val="24"/>
        </w:rPr>
        <w:t xml:space="preserve"> and intra-operative observations.  </w:t>
      </w:r>
      <w:r w:rsidR="0004242B">
        <w:rPr>
          <w:rFonts w:asciiTheme="minorHAnsi" w:hAnsiTheme="minorHAnsi" w:cs="Times New Roman"/>
          <w:color w:val="auto"/>
          <w:szCs w:val="24"/>
        </w:rPr>
        <w:t xml:space="preserve">Results of a </w:t>
      </w:r>
      <w:r w:rsidR="003C53E8" w:rsidRPr="003C53E8">
        <w:rPr>
          <w:rFonts w:asciiTheme="minorHAnsi" w:hAnsiTheme="minorHAnsi" w:cs="Times New Roman"/>
          <w:color w:val="auto"/>
          <w:szCs w:val="24"/>
        </w:rPr>
        <w:t>VA Compensation &amp; Pension (C&amp;P) exam</w:t>
      </w:r>
      <w:r w:rsidR="0004242B">
        <w:rPr>
          <w:rFonts w:asciiTheme="minorHAnsi" w:hAnsiTheme="minorHAnsi" w:cs="Times New Roman"/>
          <w:color w:val="auto"/>
          <w:szCs w:val="24"/>
        </w:rPr>
        <w:t xml:space="preserve"> performed two months p</w:t>
      </w:r>
      <w:r w:rsidR="0075788F">
        <w:rPr>
          <w:rFonts w:asciiTheme="minorHAnsi" w:hAnsiTheme="minorHAnsi" w:cs="Times New Roman"/>
          <w:color w:val="auto"/>
          <w:szCs w:val="24"/>
        </w:rPr>
        <w:t xml:space="preserve">rior </w:t>
      </w:r>
      <w:r w:rsidR="001D3FCC">
        <w:rPr>
          <w:rFonts w:asciiTheme="minorHAnsi" w:hAnsiTheme="minorHAnsi" w:cs="Times New Roman"/>
          <w:color w:val="auto"/>
          <w:szCs w:val="24"/>
        </w:rPr>
        <w:t xml:space="preserve">to </w:t>
      </w:r>
      <w:r w:rsidR="0075788F">
        <w:rPr>
          <w:rFonts w:asciiTheme="minorHAnsi" w:hAnsiTheme="minorHAnsi" w:cs="Times New Roman"/>
          <w:color w:val="auto"/>
          <w:szCs w:val="24"/>
        </w:rPr>
        <w:t xml:space="preserve">the physical therapy ROMs </w:t>
      </w:r>
      <w:r w:rsidR="0004242B">
        <w:rPr>
          <w:rFonts w:asciiTheme="minorHAnsi" w:hAnsiTheme="minorHAnsi" w:cs="Times New Roman"/>
          <w:color w:val="auto"/>
          <w:szCs w:val="24"/>
        </w:rPr>
        <w:t>showed significantly</w:t>
      </w:r>
      <w:r w:rsidR="00BA2E64">
        <w:rPr>
          <w:rFonts w:asciiTheme="minorHAnsi" w:hAnsiTheme="minorHAnsi" w:cs="Times New Roman"/>
          <w:color w:val="auto"/>
          <w:szCs w:val="24"/>
        </w:rPr>
        <w:t xml:space="preserve"> worse findings</w:t>
      </w:r>
      <w:r w:rsidR="0075788F">
        <w:rPr>
          <w:rFonts w:asciiTheme="minorHAnsi" w:hAnsiTheme="minorHAnsi" w:cs="Times New Roman"/>
          <w:color w:val="auto"/>
          <w:szCs w:val="24"/>
        </w:rPr>
        <w:t xml:space="preserve"> with flexion additionally limited by repetitions</w:t>
      </w:r>
      <w:r w:rsidR="00BA2E64">
        <w:rPr>
          <w:rFonts w:asciiTheme="minorHAnsi" w:hAnsiTheme="minorHAnsi" w:cs="Times New Roman"/>
          <w:color w:val="auto"/>
          <w:szCs w:val="24"/>
        </w:rPr>
        <w:t xml:space="preserve">.  </w:t>
      </w:r>
      <w:r w:rsidR="00147E98">
        <w:rPr>
          <w:rFonts w:asciiTheme="minorHAnsi" w:hAnsiTheme="minorHAnsi" w:cs="Times New Roman"/>
          <w:color w:val="auto"/>
          <w:szCs w:val="24"/>
        </w:rPr>
        <w:t>T</w:t>
      </w:r>
      <w:r w:rsidR="0075788F">
        <w:rPr>
          <w:rFonts w:asciiTheme="minorHAnsi" w:hAnsiTheme="minorHAnsi" w:cs="Times New Roman"/>
          <w:color w:val="auto"/>
          <w:szCs w:val="24"/>
        </w:rPr>
        <w:t xml:space="preserve">he </w:t>
      </w:r>
      <w:r w:rsidR="00147E98">
        <w:rPr>
          <w:rFonts w:asciiTheme="minorHAnsi" w:hAnsiTheme="minorHAnsi" w:cs="Times New Roman"/>
          <w:color w:val="auto"/>
          <w:szCs w:val="24"/>
        </w:rPr>
        <w:t xml:space="preserve">VA </w:t>
      </w:r>
      <w:r w:rsidR="0075788F">
        <w:rPr>
          <w:rFonts w:asciiTheme="minorHAnsi" w:hAnsiTheme="minorHAnsi" w:cs="Times New Roman"/>
          <w:color w:val="auto"/>
          <w:szCs w:val="24"/>
        </w:rPr>
        <w:t xml:space="preserve">examiner noted normal gait and spinal contour, no spasm, and a normal motor exam of the lower </w:t>
      </w:r>
      <w:r w:rsidR="0075788F" w:rsidRPr="009D260E">
        <w:rPr>
          <w:rFonts w:asciiTheme="minorHAnsi" w:hAnsiTheme="minorHAnsi" w:cs="Times New Roman"/>
          <w:color w:val="auto"/>
          <w:szCs w:val="24"/>
        </w:rPr>
        <w:t xml:space="preserve">extremities.  </w:t>
      </w:r>
      <w:r w:rsidR="00147E98">
        <w:rPr>
          <w:rFonts w:asciiTheme="minorHAnsi" w:hAnsiTheme="minorHAnsi" w:cs="Times New Roman"/>
          <w:color w:val="auto"/>
          <w:szCs w:val="24"/>
        </w:rPr>
        <w:t>The examiner did, however, make the entry “when she has significant leg pain she has occasional tripping with her left leg</w:t>
      </w:r>
      <w:r w:rsidR="00E525C8">
        <w:rPr>
          <w:rFonts w:asciiTheme="minorHAnsi" w:hAnsiTheme="minorHAnsi" w:cs="Times New Roman"/>
          <w:color w:val="auto"/>
          <w:szCs w:val="24"/>
        </w:rPr>
        <w:t>.</w:t>
      </w:r>
      <w:r w:rsidR="00147E98">
        <w:rPr>
          <w:rFonts w:asciiTheme="minorHAnsi" w:hAnsiTheme="minorHAnsi" w:cs="Times New Roman"/>
          <w:color w:val="auto"/>
          <w:szCs w:val="24"/>
        </w:rPr>
        <w:t xml:space="preserve">”  </w:t>
      </w:r>
      <w:r w:rsidR="00425917">
        <w:rPr>
          <w:rFonts w:asciiTheme="minorHAnsi" w:hAnsiTheme="minorHAnsi" w:cs="Times New Roman"/>
          <w:color w:val="auto"/>
          <w:szCs w:val="24"/>
        </w:rPr>
        <w:t xml:space="preserve">At the </w:t>
      </w:r>
      <w:r w:rsidR="00165A13">
        <w:rPr>
          <w:rFonts w:asciiTheme="minorHAnsi" w:hAnsiTheme="minorHAnsi" w:cs="Times New Roman"/>
          <w:color w:val="auto"/>
          <w:szCs w:val="24"/>
        </w:rPr>
        <w:t>VA C&amp;P examination</w:t>
      </w:r>
      <w:r w:rsidR="00425917">
        <w:rPr>
          <w:rFonts w:asciiTheme="minorHAnsi" w:hAnsiTheme="minorHAnsi" w:cs="Times New Roman"/>
          <w:color w:val="auto"/>
          <w:szCs w:val="24"/>
        </w:rPr>
        <w:t xml:space="preserve"> after separation</w:t>
      </w:r>
      <w:r w:rsidR="00165A13">
        <w:rPr>
          <w:rFonts w:asciiTheme="minorHAnsi" w:hAnsiTheme="minorHAnsi" w:cs="Times New Roman"/>
          <w:color w:val="auto"/>
          <w:szCs w:val="24"/>
        </w:rPr>
        <w:t xml:space="preserve">, the CI reported continued severe pain; adding that she had </w:t>
      </w:r>
      <w:r w:rsidR="00365B96">
        <w:rPr>
          <w:rFonts w:asciiTheme="minorHAnsi" w:hAnsiTheme="minorHAnsi" w:cs="Times New Roman"/>
          <w:color w:val="auto"/>
          <w:szCs w:val="24"/>
        </w:rPr>
        <w:t xml:space="preserve">suicidal ideations </w:t>
      </w:r>
      <w:r w:rsidR="00165A13">
        <w:rPr>
          <w:rFonts w:asciiTheme="minorHAnsi" w:hAnsiTheme="minorHAnsi" w:cs="Times New Roman"/>
          <w:color w:val="auto"/>
          <w:szCs w:val="24"/>
        </w:rPr>
        <w:t xml:space="preserve">with exacerbations.  </w:t>
      </w:r>
      <w:r w:rsidR="00BA2E64">
        <w:rPr>
          <w:rFonts w:asciiTheme="minorHAnsi" w:hAnsiTheme="minorHAnsi" w:cs="Times New Roman"/>
          <w:color w:val="auto"/>
          <w:szCs w:val="24"/>
        </w:rPr>
        <w:t>The examiner noted normal gait and posture, no muscle spasm, and no motor or sensory deficits of the lower extremities</w:t>
      </w:r>
      <w:r w:rsidR="001D3FCC">
        <w:rPr>
          <w:rFonts w:asciiTheme="minorHAnsi" w:hAnsiTheme="minorHAnsi" w:cs="Times New Roman"/>
          <w:color w:val="auto"/>
          <w:szCs w:val="24"/>
        </w:rPr>
        <w:t xml:space="preserve">.  There were improved ROMs, with </w:t>
      </w:r>
      <w:r w:rsidR="00365B96">
        <w:rPr>
          <w:rFonts w:asciiTheme="minorHAnsi" w:hAnsiTheme="minorHAnsi" w:cs="Times New Roman"/>
          <w:color w:val="auto"/>
          <w:szCs w:val="24"/>
        </w:rPr>
        <w:t>no additi</w:t>
      </w:r>
      <w:r w:rsidR="001D3FCC">
        <w:rPr>
          <w:rFonts w:asciiTheme="minorHAnsi" w:hAnsiTheme="minorHAnsi" w:cs="Times New Roman"/>
          <w:color w:val="auto"/>
          <w:szCs w:val="24"/>
        </w:rPr>
        <w:t>onal limitation on repetition at this time</w:t>
      </w:r>
      <w:r w:rsidR="00365B96">
        <w:rPr>
          <w:rFonts w:asciiTheme="minorHAnsi" w:hAnsiTheme="minorHAnsi" w:cs="Times New Roman"/>
          <w:color w:val="auto"/>
          <w:szCs w:val="24"/>
        </w:rPr>
        <w:t xml:space="preserve">.  In debating the probative value of the data presented, the Board noted that the sequence of </w:t>
      </w:r>
      <w:r w:rsidR="00C32F16">
        <w:rPr>
          <w:rFonts w:asciiTheme="minorHAnsi" w:hAnsiTheme="minorHAnsi" w:cs="Times New Roman"/>
          <w:color w:val="auto"/>
          <w:szCs w:val="24"/>
        </w:rPr>
        <w:t xml:space="preserve">exam findings suggests a trend toward improvement from the time of the CI’s second surgery.  The </w:t>
      </w:r>
      <w:r w:rsidR="00425917">
        <w:rPr>
          <w:rFonts w:asciiTheme="minorHAnsi" w:hAnsiTheme="minorHAnsi" w:cs="Times New Roman"/>
          <w:color w:val="auto"/>
          <w:szCs w:val="24"/>
        </w:rPr>
        <w:t xml:space="preserve">VA </w:t>
      </w:r>
      <w:r w:rsidR="00365B96">
        <w:rPr>
          <w:rFonts w:asciiTheme="minorHAnsi" w:hAnsiTheme="minorHAnsi" w:cs="Times New Roman"/>
          <w:color w:val="auto"/>
          <w:szCs w:val="24"/>
        </w:rPr>
        <w:t xml:space="preserve">C&amp;P exam </w:t>
      </w:r>
      <w:r w:rsidR="00425917">
        <w:rPr>
          <w:rFonts w:asciiTheme="minorHAnsi" w:hAnsiTheme="minorHAnsi" w:cs="Times New Roman"/>
          <w:color w:val="auto"/>
          <w:szCs w:val="24"/>
        </w:rPr>
        <w:t xml:space="preserve">prior to separation </w:t>
      </w:r>
      <w:r w:rsidR="00365B96">
        <w:rPr>
          <w:rFonts w:asciiTheme="minorHAnsi" w:hAnsiTheme="minorHAnsi" w:cs="Times New Roman"/>
          <w:color w:val="auto"/>
          <w:szCs w:val="24"/>
        </w:rPr>
        <w:t xml:space="preserve">was </w:t>
      </w:r>
      <w:r w:rsidR="00C32F16">
        <w:rPr>
          <w:rFonts w:asciiTheme="minorHAnsi" w:hAnsiTheme="minorHAnsi" w:cs="Times New Roman"/>
          <w:color w:val="auto"/>
          <w:szCs w:val="24"/>
        </w:rPr>
        <w:t xml:space="preserve">temporally closest to that surgery, most remote from separation, and therefore of least probative value.  </w:t>
      </w:r>
      <w:r w:rsidR="008264D6">
        <w:rPr>
          <w:rFonts w:asciiTheme="minorHAnsi" w:hAnsiTheme="minorHAnsi" w:cs="Times New Roman"/>
          <w:color w:val="auto"/>
          <w:szCs w:val="24"/>
        </w:rPr>
        <w:t xml:space="preserve">The </w:t>
      </w:r>
      <w:r w:rsidR="00425917">
        <w:rPr>
          <w:rFonts w:asciiTheme="minorHAnsi" w:hAnsiTheme="minorHAnsi" w:cs="Times New Roman"/>
          <w:color w:val="auto"/>
          <w:szCs w:val="24"/>
        </w:rPr>
        <w:t>VA C&amp;P exam after separation</w:t>
      </w:r>
      <w:r w:rsidR="008264D6">
        <w:rPr>
          <w:rFonts w:asciiTheme="minorHAnsi" w:hAnsiTheme="minorHAnsi" w:cs="Times New Roman"/>
          <w:color w:val="auto"/>
          <w:szCs w:val="24"/>
        </w:rPr>
        <w:t xml:space="preserve"> showed significant improvement in both ROM and motor function from earlier exams.  However, it was the MEB exam that the Board determined to be closest to separation and to best represent the pathology and disability </w:t>
      </w:r>
      <w:r w:rsidR="008264D6" w:rsidRPr="008264D6">
        <w:rPr>
          <w:rFonts w:asciiTheme="minorHAnsi" w:hAnsiTheme="minorHAnsi" w:cs="Times New Roman"/>
          <w:color w:val="auto"/>
          <w:szCs w:val="24"/>
        </w:rPr>
        <w:t xml:space="preserve">that resulted in the termination of the CI’s military career.  </w:t>
      </w:r>
    </w:p>
    <w:p w:rsidR="00165A13" w:rsidRDefault="00165A13" w:rsidP="008264D6">
      <w:pPr>
        <w:jc w:val="both"/>
        <w:rPr>
          <w:rFonts w:asciiTheme="minorHAnsi" w:hAnsiTheme="minorHAnsi" w:cs="Times New Roman"/>
          <w:color w:val="auto"/>
          <w:szCs w:val="24"/>
        </w:rPr>
      </w:pPr>
    </w:p>
    <w:p w:rsidR="00165A13" w:rsidRPr="006E2EAA" w:rsidRDefault="00165A13" w:rsidP="008264D6">
      <w:pPr>
        <w:jc w:val="both"/>
        <w:rPr>
          <w:rFonts w:asciiTheme="minorHAnsi" w:hAnsiTheme="minorHAnsi" w:cs="Times New Roman"/>
          <w:color w:val="auto"/>
          <w:szCs w:val="24"/>
        </w:rPr>
      </w:pPr>
      <w:r>
        <w:rPr>
          <w:rFonts w:asciiTheme="minorHAnsi" w:hAnsiTheme="minorHAnsi" w:cs="Times New Roman"/>
          <w:color w:val="auto"/>
          <w:szCs w:val="24"/>
        </w:rPr>
        <w:t xml:space="preserve">Of </w:t>
      </w:r>
      <w:r w:rsidR="006E2EAA">
        <w:rPr>
          <w:rFonts w:asciiTheme="minorHAnsi" w:hAnsiTheme="minorHAnsi" w:cs="Times New Roman"/>
          <w:color w:val="auto"/>
          <w:szCs w:val="24"/>
        </w:rPr>
        <w:t>additional</w:t>
      </w:r>
      <w:r>
        <w:rPr>
          <w:rFonts w:asciiTheme="minorHAnsi" w:hAnsiTheme="minorHAnsi" w:cs="Times New Roman"/>
          <w:color w:val="auto"/>
          <w:szCs w:val="24"/>
        </w:rPr>
        <w:t xml:space="preserve"> </w:t>
      </w:r>
      <w:r w:rsidR="006E2EAA">
        <w:rPr>
          <w:rFonts w:asciiTheme="minorHAnsi" w:hAnsiTheme="minorHAnsi" w:cs="Times New Roman"/>
          <w:color w:val="auto"/>
          <w:szCs w:val="24"/>
        </w:rPr>
        <w:t>relevance</w:t>
      </w:r>
      <w:r>
        <w:rPr>
          <w:rFonts w:asciiTheme="minorHAnsi" w:hAnsiTheme="minorHAnsi" w:cs="Times New Roman"/>
          <w:color w:val="auto"/>
          <w:szCs w:val="24"/>
        </w:rPr>
        <w:t xml:space="preserve"> to the Board’s </w:t>
      </w:r>
      <w:r w:rsidR="006E2EAA">
        <w:rPr>
          <w:rFonts w:asciiTheme="minorHAnsi" w:hAnsiTheme="minorHAnsi" w:cs="Times New Roman"/>
          <w:color w:val="auto"/>
          <w:szCs w:val="24"/>
        </w:rPr>
        <w:t>recommendation</w:t>
      </w:r>
      <w:r>
        <w:rPr>
          <w:rFonts w:asciiTheme="minorHAnsi" w:hAnsiTheme="minorHAnsi" w:cs="Times New Roman"/>
          <w:color w:val="auto"/>
          <w:szCs w:val="24"/>
        </w:rPr>
        <w:t xml:space="preserve"> is the following evidence </w:t>
      </w:r>
      <w:r w:rsidR="006E2EAA">
        <w:rPr>
          <w:rFonts w:asciiTheme="minorHAnsi" w:hAnsiTheme="minorHAnsi" w:cs="Times New Roman"/>
          <w:color w:val="auto"/>
          <w:szCs w:val="24"/>
        </w:rPr>
        <w:t>pertinent</w:t>
      </w:r>
      <w:r>
        <w:rPr>
          <w:rFonts w:asciiTheme="minorHAnsi" w:hAnsiTheme="minorHAnsi" w:cs="Times New Roman"/>
          <w:color w:val="auto"/>
          <w:szCs w:val="24"/>
        </w:rPr>
        <w:t xml:space="preserve"> to consideration for rating under the </w:t>
      </w:r>
      <w:r w:rsidR="00425917">
        <w:rPr>
          <w:rFonts w:asciiTheme="minorHAnsi" w:hAnsiTheme="minorHAnsi" w:cs="Times New Roman"/>
          <w:color w:val="auto"/>
          <w:szCs w:val="24"/>
        </w:rPr>
        <w:t>f</w:t>
      </w:r>
      <w:r w:rsidR="00E253F2">
        <w:rPr>
          <w:rFonts w:asciiTheme="minorHAnsi" w:hAnsiTheme="minorHAnsi" w:cs="Times New Roman"/>
          <w:color w:val="auto"/>
          <w:szCs w:val="24"/>
        </w:rPr>
        <w:t xml:space="preserve">ormula for </w:t>
      </w:r>
      <w:r w:rsidR="00425917">
        <w:rPr>
          <w:rFonts w:asciiTheme="minorHAnsi" w:hAnsiTheme="minorHAnsi" w:cs="Times New Roman"/>
          <w:color w:val="auto"/>
          <w:szCs w:val="24"/>
        </w:rPr>
        <w:t>r</w:t>
      </w:r>
      <w:r w:rsidR="00E253F2">
        <w:rPr>
          <w:rFonts w:asciiTheme="minorHAnsi" w:hAnsiTheme="minorHAnsi" w:cs="Times New Roman"/>
          <w:color w:val="auto"/>
          <w:szCs w:val="24"/>
        </w:rPr>
        <w:t xml:space="preserve">ating </w:t>
      </w:r>
      <w:r w:rsidR="00425917">
        <w:rPr>
          <w:rFonts w:asciiTheme="minorHAnsi" w:hAnsiTheme="minorHAnsi" w:cs="Times New Roman"/>
          <w:color w:val="auto"/>
          <w:szCs w:val="24"/>
        </w:rPr>
        <w:t>i</w:t>
      </w:r>
      <w:r w:rsidR="00E253F2">
        <w:rPr>
          <w:rFonts w:asciiTheme="minorHAnsi" w:hAnsiTheme="minorHAnsi" w:cs="Times New Roman"/>
          <w:color w:val="auto"/>
          <w:szCs w:val="24"/>
        </w:rPr>
        <w:t xml:space="preserve">ntervertebral </w:t>
      </w:r>
      <w:r w:rsidR="00425917">
        <w:rPr>
          <w:rFonts w:asciiTheme="minorHAnsi" w:hAnsiTheme="minorHAnsi" w:cs="Times New Roman"/>
          <w:color w:val="auto"/>
          <w:szCs w:val="24"/>
        </w:rPr>
        <w:t>d</w:t>
      </w:r>
      <w:r w:rsidR="00E253F2">
        <w:rPr>
          <w:rFonts w:asciiTheme="minorHAnsi" w:hAnsiTheme="minorHAnsi" w:cs="Times New Roman"/>
          <w:color w:val="auto"/>
          <w:szCs w:val="24"/>
        </w:rPr>
        <w:t xml:space="preserve">isc </w:t>
      </w:r>
      <w:r w:rsidR="00425917">
        <w:rPr>
          <w:rFonts w:asciiTheme="minorHAnsi" w:hAnsiTheme="minorHAnsi" w:cs="Times New Roman"/>
          <w:color w:val="auto"/>
          <w:szCs w:val="24"/>
        </w:rPr>
        <w:t>s</w:t>
      </w:r>
      <w:r w:rsidR="00E253F2">
        <w:rPr>
          <w:rFonts w:asciiTheme="minorHAnsi" w:hAnsiTheme="minorHAnsi" w:cs="Times New Roman"/>
          <w:color w:val="auto"/>
          <w:szCs w:val="24"/>
        </w:rPr>
        <w:t xml:space="preserve">yndrome </w:t>
      </w:r>
      <w:r w:rsidR="00425917">
        <w:rPr>
          <w:rFonts w:asciiTheme="minorHAnsi" w:hAnsiTheme="minorHAnsi" w:cs="Times New Roman"/>
          <w:color w:val="auto"/>
          <w:szCs w:val="24"/>
        </w:rPr>
        <w:t>b</w:t>
      </w:r>
      <w:r w:rsidR="00E253F2">
        <w:rPr>
          <w:rFonts w:asciiTheme="minorHAnsi" w:hAnsiTheme="minorHAnsi" w:cs="Times New Roman"/>
          <w:color w:val="auto"/>
          <w:szCs w:val="24"/>
        </w:rPr>
        <w:t xml:space="preserve">ased on </w:t>
      </w:r>
      <w:r w:rsidR="00425917">
        <w:rPr>
          <w:rFonts w:asciiTheme="minorHAnsi" w:hAnsiTheme="minorHAnsi" w:cs="Times New Roman"/>
          <w:color w:val="auto"/>
          <w:szCs w:val="24"/>
        </w:rPr>
        <w:lastRenderedPageBreak/>
        <w:t>i</w:t>
      </w:r>
      <w:r w:rsidR="00E253F2">
        <w:rPr>
          <w:rFonts w:asciiTheme="minorHAnsi" w:hAnsiTheme="minorHAnsi" w:cs="Times New Roman"/>
          <w:color w:val="auto"/>
          <w:szCs w:val="24"/>
        </w:rPr>
        <w:t xml:space="preserve">ncapacitating </w:t>
      </w:r>
      <w:r w:rsidR="00425917">
        <w:rPr>
          <w:rFonts w:asciiTheme="minorHAnsi" w:hAnsiTheme="minorHAnsi" w:cs="Times New Roman"/>
          <w:color w:val="auto"/>
          <w:szCs w:val="24"/>
        </w:rPr>
        <w:t>e</w:t>
      </w:r>
      <w:r w:rsidR="00E253F2">
        <w:rPr>
          <w:rFonts w:asciiTheme="minorHAnsi" w:hAnsiTheme="minorHAnsi" w:cs="Times New Roman"/>
          <w:color w:val="auto"/>
          <w:szCs w:val="24"/>
        </w:rPr>
        <w:t xml:space="preserve">pisodes.  </w:t>
      </w:r>
      <w:r w:rsidR="006E2EAA">
        <w:rPr>
          <w:rFonts w:asciiTheme="minorHAnsi" w:hAnsiTheme="minorHAnsi" w:cs="Times New Roman"/>
          <w:color w:val="auto"/>
          <w:szCs w:val="24"/>
        </w:rPr>
        <w:t>The narrative summary (NARSUM) stated, “</w:t>
      </w:r>
      <w:proofErr w:type="gramStart"/>
      <w:r w:rsidR="00425917">
        <w:rPr>
          <w:rFonts w:asciiTheme="minorHAnsi" w:hAnsiTheme="minorHAnsi" w:cs="Times New Roman"/>
          <w:color w:val="auto"/>
          <w:szCs w:val="24"/>
        </w:rPr>
        <w:t>she</w:t>
      </w:r>
      <w:proofErr w:type="gramEnd"/>
      <w:r w:rsidR="00425917">
        <w:rPr>
          <w:rFonts w:asciiTheme="minorHAnsi" w:hAnsiTheme="minorHAnsi" w:cs="Times New Roman"/>
          <w:color w:val="auto"/>
          <w:szCs w:val="24"/>
        </w:rPr>
        <w:t xml:space="preserve"> is able to work;</w:t>
      </w:r>
      <w:r w:rsidR="006E2EAA" w:rsidRPr="006E2EAA">
        <w:rPr>
          <w:rFonts w:asciiTheme="minorHAnsi" w:hAnsiTheme="minorHAnsi" w:cs="Times New Roman"/>
          <w:color w:val="auto"/>
          <w:szCs w:val="24"/>
        </w:rPr>
        <w:t xml:space="preserve"> however, she misses approximately </w:t>
      </w:r>
      <w:r w:rsidR="00425917">
        <w:rPr>
          <w:rFonts w:asciiTheme="minorHAnsi" w:hAnsiTheme="minorHAnsi" w:cs="Times New Roman"/>
          <w:color w:val="auto"/>
          <w:szCs w:val="24"/>
        </w:rPr>
        <w:t>five to six</w:t>
      </w:r>
      <w:r w:rsidR="006E2EAA" w:rsidRPr="006E2EAA">
        <w:rPr>
          <w:rFonts w:asciiTheme="minorHAnsi" w:hAnsiTheme="minorHAnsi" w:cs="Times New Roman"/>
          <w:color w:val="auto"/>
          <w:szCs w:val="24"/>
        </w:rPr>
        <w:t xml:space="preserve"> days a month due to her pain.  She is usually put on </w:t>
      </w:r>
      <w:proofErr w:type="spellStart"/>
      <w:r w:rsidR="006E2EAA" w:rsidRPr="006E2EAA">
        <w:rPr>
          <w:rFonts w:asciiTheme="minorHAnsi" w:hAnsiTheme="minorHAnsi" w:cs="Times New Roman"/>
          <w:color w:val="auto"/>
          <w:szCs w:val="24"/>
        </w:rPr>
        <w:t>bedrest</w:t>
      </w:r>
      <w:proofErr w:type="spellEnd"/>
      <w:r w:rsidR="006E2EAA" w:rsidRPr="006E2EAA">
        <w:rPr>
          <w:rFonts w:asciiTheme="minorHAnsi" w:hAnsiTheme="minorHAnsi" w:cs="Times New Roman"/>
          <w:color w:val="auto"/>
          <w:szCs w:val="24"/>
        </w:rPr>
        <w:t xml:space="preserve"> </w:t>
      </w:r>
      <w:r w:rsidR="00425917">
        <w:rPr>
          <w:rFonts w:asciiTheme="minorHAnsi" w:hAnsiTheme="minorHAnsi" w:cs="Times New Roman"/>
          <w:color w:val="auto"/>
          <w:szCs w:val="24"/>
        </w:rPr>
        <w:t>two to three</w:t>
      </w:r>
      <w:r w:rsidR="006E2EAA" w:rsidRPr="006E2EAA">
        <w:rPr>
          <w:rFonts w:asciiTheme="minorHAnsi" w:hAnsiTheme="minorHAnsi" w:cs="Times New Roman"/>
          <w:color w:val="auto"/>
          <w:szCs w:val="24"/>
        </w:rPr>
        <w:t xml:space="preserve"> days every month.</w:t>
      </w:r>
      <w:r w:rsidR="006E2EAA">
        <w:rPr>
          <w:rFonts w:asciiTheme="minorHAnsi" w:hAnsiTheme="minorHAnsi" w:cs="Times New Roman"/>
          <w:color w:val="auto"/>
          <w:szCs w:val="24"/>
        </w:rPr>
        <w:t xml:space="preserve">”  The VA C&amp;P exam </w:t>
      </w:r>
      <w:r w:rsidR="00425917">
        <w:rPr>
          <w:rFonts w:asciiTheme="minorHAnsi" w:hAnsiTheme="minorHAnsi" w:cs="Times New Roman"/>
          <w:color w:val="auto"/>
          <w:szCs w:val="24"/>
        </w:rPr>
        <w:t xml:space="preserve">prior to separation </w:t>
      </w:r>
      <w:r w:rsidR="006E2EAA">
        <w:rPr>
          <w:rFonts w:asciiTheme="minorHAnsi" w:hAnsiTheme="minorHAnsi" w:cs="Times New Roman"/>
          <w:color w:val="auto"/>
          <w:szCs w:val="24"/>
        </w:rPr>
        <w:t>stated, “</w:t>
      </w:r>
      <w:r w:rsidR="00425917">
        <w:rPr>
          <w:rFonts w:asciiTheme="minorHAnsi" w:hAnsiTheme="minorHAnsi" w:cs="Times New Roman"/>
          <w:color w:val="auto"/>
          <w:szCs w:val="24"/>
        </w:rPr>
        <w:t>s</w:t>
      </w:r>
      <w:r w:rsidR="006E2EAA" w:rsidRPr="006E2EAA">
        <w:rPr>
          <w:rFonts w:asciiTheme="minorHAnsi" w:hAnsiTheme="minorHAnsi" w:cs="Times New Roman"/>
          <w:color w:val="auto"/>
          <w:szCs w:val="24"/>
        </w:rPr>
        <w:t xml:space="preserve">he misses about </w:t>
      </w:r>
      <w:r w:rsidR="00425917">
        <w:rPr>
          <w:rFonts w:asciiTheme="minorHAnsi" w:hAnsiTheme="minorHAnsi" w:cs="Times New Roman"/>
          <w:color w:val="auto"/>
          <w:szCs w:val="24"/>
        </w:rPr>
        <w:t>two</w:t>
      </w:r>
      <w:r w:rsidR="006E2EAA" w:rsidRPr="006E2EAA">
        <w:rPr>
          <w:rFonts w:asciiTheme="minorHAnsi" w:hAnsiTheme="minorHAnsi" w:cs="Times New Roman"/>
          <w:color w:val="auto"/>
          <w:szCs w:val="24"/>
        </w:rPr>
        <w:t xml:space="preserve"> days each month because of her back pain and states that she is usually on bed rest those two days.</w:t>
      </w:r>
      <w:r w:rsidR="006E2EAA">
        <w:rPr>
          <w:rFonts w:asciiTheme="minorHAnsi" w:hAnsiTheme="minorHAnsi" w:cs="Times New Roman"/>
          <w:color w:val="auto"/>
          <w:szCs w:val="24"/>
        </w:rPr>
        <w:t xml:space="preserve">”  The VA C&amp;P exam </w:t>
      </w:r>
      <w:r w:rsidR="00425917">
        <w:rPr>
          <w:rFonts w:asciiTheme="minorHAnsi" w:hAnsiTheme="minorHAnsi" w:cs="Times New Roman"/>
          <w:color w:val="auto"/>
          <w:szCs w:val="24"/>
        </w:rPr>
        <w:t xml:space="preserve">after separation </w:t>
      </w:r>
      <w:r w:rsidR="006E2EAA">
        <w:rPr>
          <w:rFonts w:asciiTheme="minorHAnsi" w:hAnsiTheme="minorHAnsi" w:cs="Times New Roman"/>
          <w:color w:val="auto"/>
          <w:szCs w:val="24"/>
        </w:rPr>
        <w:t>stated, “</w:t>
      </w:r>
      <w:r w:rsidR="00425917">
        <w:rPr>
          <w:rFonts w:asciiTheme="minorHAnsi" w:hAnsiTheme="minorHAnsi" w:cs="Times New Roman"/>
          <w:color w:val="auto"/>
          <w:szCs w:val="24"/>
        </w:rPr>
        <w:t>s</w:t>
      </w:r>
      <w:r w:rsidR="006E2EAA" w:rsidRPr="006E2EAA">
        <w:rPr>
          <w:rFonts w:asciiTheme="minorHAnsi" w:hAnsiTheme="minorHAnsi" w:cs="Times New Roman"/>
          <w:color w:val="auto"/>
          <w:szCs w:val="24"/>
        </w:rPr>
        <w:t xml:space="preserve">he has had two incapacitating </w:t>
      </w:r>
      <w:r w:rsidR="006E2EAA">
        <w:rPr>
          <w:rFonts w:asciiTheme="minorHAnsi" w:hAnsiTheme="minorHAnsi" w:cs="Times New Roman"/>
          <w:color w:val="auto"/>
          <w:szCs w:val="24"/>
        </w:rPr>
        <w:t xml:space="preserve">[unelaborated] </w:t>
      </w:r>
      <w:r w:rsidR="006E2EAA" w:rsidRPr="006E2EAA">
        <w:rPr>
          <w:rFonts w:asciiTheme="minorHAnsi" w:hAnsiTheme="minorHAnsi" w:cs="Times New Roman"/>
          <w:color w:val="auto"/>
          <w:szCs w:val="24"/>
        </w:rPr>
        <w:t>episodes over the past year which lasted two days.  She has missed approximately 16 days of work in the past year because of low back pain.</w:t>
      </w:r>
      <w:r w:rsidR="006E2EAA">
        <w:rPr>
          <w:rFonts w:asciiTheme="minorHAnsi" w:hAnsiTheme="minorHAnsi" w:cs="Times New Roman"/>
          <w:color w:val="auto"/>
          <w:szCs w:val="24"/>
        </w:rPr>
        <w:t xml:space="preserve">”  </w:t>
      </w:r>
      <w:r w:rsidR="006E2EAA" w:rsidRPr="00410E1A">
        <w:rPr>
          <w:rFonts w:cs="Times New Roman"/>
          <w:color w:val="auto"/>
          <w:szCs w:val="24"/>
        </w:rPr>
        <w:t xml:space="preserve">The </w:t>
      </w:r>
      <w:r w:rsidR="00425917">
        <w:rPr>
          <w:rFonts w:cs="Times New Roman"/>
          <w:color w:val="auto"/>
          <w:szCs w:val="24"/>
        </w:rPr>
        <w:t>s</w:t>
      </w:r>
      <w:r w:rsidR="006E2EAA" w:rsidRPr="00410E1A">
        <w:rPr>
          <w:rFonts w:cs="Times New Roman"/>
          <w:color w:val="auto"/>
          <w:szCs w:val="24"/>
        </w:rPr>
        <w:t xml:space="preserve">ervice file does not contain corroborating physician orders/prescriptions or documentation for assignment to quarters.  </w:t>
      </w:r>
      <w:r w:rsidR="006E2EAA">
        <w:rPr>
          <w:rFonts w:cs="Times New Roman"/>
          <w:color w:val="auto"/>
          <w:szCs w:val="24"/>
        </w:rPr>
        <w:t xml:space="preserve">VASRD </w:t>
      </w:r>
      <w:r w:rsidR="006E2EAA">
        <w:rPr>
          <w:rFonts w:cs="Calibri"/>
          <w:color w:val="auto"/>
          <w:szCs w:val="24"/>
        </w:rPr>
        <w:t>§</w:t>
      </w:r>
      <w:r w:rsidR="006E2EAA">
        <w:rPr>
          <w:rFonts w:cs="Times New Roman"/>
          <w:color w:val="auto"/>
          <w:szCs w:val="24"/>
        </w:rPr>
        <w:t>4.71a states, “</w:t>
      </w:r>
      <w:r w:rsidR="00425917">
        <w:rPr>
          <w:rFonts w:cs="Times New Roman"/>
          <w:color w:val="auto"/>
          <w:szCs w:val="24"/>
        </w:rPr>
        <w:t>f</w:t>
      </w:r>
      <w:r w:rsidR="006E2EAA" w:rsidRPr="006E2EAA">
        <w:rPr>
          <w:rFonts w:cs="Times New Roman"/>
          <w:color w:val="auto"/>
          <w:szCs w:val="24"/>
        </w:rPr>
        <w:t>or purposes of evaluations under diagnostic code 5243, an incapacitating episode is a period of acute signs and symptoms due to intervertebral disc syndrome that requires bed rest prescribed by a physician and treatment by a physician.</w:t>
      </w:r>
      <w:r w:rsidR="006E2EAA">
        <w:rPr>
          <w:rFonts w:cs="Times New Roman"/>
          <w:color w:val="auto"/>
          <w:szCs w:val="24"/>
        </w:rPr>
        <w:t>”</w:t>
      </w:r>
    </w:p>
    <w:p w:rsidR="00165A13" w:rsidRDefault="00165A13" w:rsidP="008264D6">
      <w:pPr>
        <w:jc w:val="both"/>
        <w:rPr>
          <w:rFonts w:asciiTheme="minorHAnsi" w:hAnsiTheme="minorHAnsi" w:cs="Times New Roman"/>
          <w:color w:val="auto"/>
          <w:szCs w:val="24"/>
        </w:rPr>
      </w:pPr>
    </w:p>
    <w:p w:rsidR="008264D6" w:rsidRPr="003C53E8" w:rsidRDefault="003C53E8" w:rsidP="008264D6">
      <w:pPr>
        <w:jc w:val="both"/>
        <w:rPr>
          <w:rFonts w:asciiTheme="minorHAnsi" w:hAnsiTheme="minorHAnsi" w:cs="Times New Roman"/>
          <w:color w:val="auto"/>
          <w:szCs w:val="24"/>
        </w:rPr>
      </w:pPr>
      <w:r w:rsidRPr="008264D6">
        <w:rPr>
          <w:rFonts w:asciiTheme="minorHAnsi" w:hAnsiTheme="minorHAnsi" w:cs="Times New Roman"/>
          <w:color w:val="auto"/>
          <w:szCs w:val="24"/>
        </w:rPr>
        <w:t xml:space="preserve">The PEB </w:t>
      </w:r>
      <w:r w:rsidR="009F4D67">
        <w:rPr>
          <w:rFonts w:asciiTheme="minorHAnsi" w:hAnsiTheme="minorHAnsi" w:cs="Times New Roman"/>
          <w:color w:val="auto"/>
          <w:szCs w:val="24"/>
        </w:rPr>
        <w:t xml:space="preserve">assigned the VASRD code 5242 (degenerative arthritis of the spine) </w:t>
      </w:r>
      <w:r w:rsidRPr="008264D6">
        <w:rPr>
          <w:rFonts w:asciiTheme="minorHAnsi" w:hAnsiTheme="minorHAnsi" w:cs="Times New Roman"/>
          <w:color w:val="auto"/>
          <w:szCs w:val="24"/>
        </w:rPr>
        <w:t xml:space="preserve">and </w:t>
      </w:r>
      <w:r w:rsidR="009F4D67">
        <w:rPr>
          <w:rFonts w:asciiTheme="minorHAnsi" w:hAnsiTheme="minorHAnsi" w:cs="Times New Roman"/>
          <w:color w:val="auto"/>
          <w:szCs w:val="24"/>
        </w:rPr>
        <w:t xml:space="preserve">the </w:t>
      </w:r>
      <w:r w:rsidRPr="008264D6">
        <w:rPr>
          <w:rFonts w:asciiTheme="minorHAnsi" w:hAnsiTheme="minorHAnsi" w:cs="Times New Roman"/>
          <w:color w:val="auto"/>
          <w:szCs w:val="24"/>
        </w:rPr>
        <w:t xml:space="preserve">VA </w:t>
      </w:r>
      <w:r w:rsidR="009F4D67">
        <w:rPr>
          <w:rFonts w:asciiTheme="minorHAnsi" w:hAnsiTheme="minorHAnsi" w:cs="Times New Roman"/>
          <w:color w:val="auto"/>
          <w:szCs w:val="24"/>
        </w:rPr>
        <w:t xml:space="preserve">assigned 5243 (intervertebral disc syndrome); </w:t>
      </w:r>
      <w:r w:rsidRPr="008264D6">
        <w:rPr>
          <w:rFonts w:asciiTheme="minorHAnsi" w:hAnsiTheme="minorHAnsi" w:cs="Times New Roman"/>
          <w:color w:val="auto"/>
          <w:szCs w:val="24"/>
        </w:rPr>
        <w:t>but</w:t>
      </w:r>
      <w:r w:rsidR="009F4D67">
        <w:rPr>
          <w:rFonts w:asciiTheme="minorHAnsi" w:hAnsiTheme="minorHAnsi" w:cs="Times New Roman"/>
          <w:color w:val="auto"/>
          <w:szCs w:val="24"/>
        </w:rPr>
        <w:t>,</w:t>
      </w:r>
      <w:r w:rsidRPr="008264D6">
        <w:rPr>
          <w:rFonts w:asciiTheme="minorHAnsi" w:hAnsiTheme="minorHAnsi" w:cs="Times New Roman"/>
          <w:color w:val="auto"/>
          <w:szCs w:val="24"/>
        </w:rPr>
        <w:t xml:space="preserve"> this </w:t>
      </w:r>
      <w:r w:rsidR="009F4D67">
        <w:rPr>
          <w:rFonts w:asciiTheme="minorHAnsi" w:hAnsiTheme="minorHAnsi" w:cs="Times New Roman"/>
          <w:color w:val="auto"/>
          <w:szCs w:val="24"/>
        </w:rPr>
        <w:t>does</w:t>
      </w:r>
      <w:r w:rsidRPr="008264D6">
        <w:rPr>
          <w:rFonts w:asciiTheme="minorHAnsi" w:hAnsiTheme="minorHAnsi" w:cs="Times New Roman"/>
          <w:color w:val="auto"/>
          <w:szCs w:val="24"/>
        </w:rPr>
        <w:t xml:space="preserve"> not bear on rating</w:t>
      </w:r>
      <w:r w:rsidR="006E2EAA">
        <w:rPr>
          <w:rFonts w:asciiTheme="minorHAnsi" w:hAnsiTheme="minorHAnsi" w:cs="Times New Roman"/>
          <w:color w:val="auto"/>
          <w:szCs w:val="24"/>
        </w:rPr>
        <w:t xml:space="preserve"> under the </w:t>
      </w:r>
      <w:r w:rsidR="00425917">
        <w:rPr>
          <w:rFonts w:asciiTheme="minorHAnsi" w:hAnsiTheme="minorHAnsi" w:cs="Times New Roman"/>
          <w:color w:val="auto"/>
          <w:szCs w:val="24"/>
        </w:rPr>
        <w:t>g</w:t>
      </w:r>
      <w:r w:rsidR="001734E4" w:rsidRPr="008264D6">
        <w:rPr>
          <w:rFonts w:asciiTheme="minorHAnsi" w:hAnsiTheme="minorHAnsi" w:cs="Times New Roman"/>
          <w:color w:val="auto"/>
          <w:szCs w:val="24"/>
        </w:rPr>
        <w:t xml:space="preserve">eneral </w:t>
      </w:r>
      <w:r w:rsidR="00425917">
        <w:rPr>
          <w:rFonts w:asciiTheme="minorHAnsi" w:hAnsiTheme="minorHAnsi" w:cs="Times New Roman"/>
          <w:color w:val="auto"/>
          <w:szCs w:val="24"/>
        </w:rPr>
        <w:t>r</w:t>
      </w:r>
      <w:r w:rsidR="001734E4" w:rsidRPr="008264D6">
        <w:rPr>
          <w:rFonts w:asciiTheme="minorHAnsi" w:hAnsiTheme="minorHAnsi" w:cs="Times New Roman"/>
          <w:color w:val="auto"/>
          <w:szCs w:val="24"/>
        </w:rPr>
        <w:t xml:space="preserve">ating </w:t>
      </w:r>
      <w:r w:rsidR="00425917">
        <w:rPr>
          <w:rFonts w:asciiTheme="minorHAnsi" w:hAnsiTheme="minorHAnsi" w:cs="Times New Roman"/>
          <w:color w:val="auto"/>
          <w:szCs w:val="24"/>
        </w:rPr>
        <w:t>f</w:t>
      </w:r>
      <w:r w:rsidR="001734E4" w:rsidRPr="008264D6">
        <w:rPr>
          <w:rFonts w:asciiTheme="minorHAnsi" w:hAnsiTheme="minorHAnsi" w:cs="Times New Roman"/>
          <w:color w:val="auto"/>
          <w:szCs w:val="24"/>
        </w:rPr>
        <w:t xml:space="preserve">ormula for </w:t>
      </w:r>
      <w:r w:rsidR="00425917">
        <w:rPr>
          <w:rFonts w:asciiTheme="minorHAnsi" w:hAnsiTheme="minorHAnsi" w:cs="Times New Roman"/>
          <w:color w:val="auto"/>
          <w:szCs w:val="24"/>
        </w:rPr>
        <w:t>d</w:t>
      </w:r>
      <w:r w:rsidR="001734E4" w:rsidRPr="008264D6">
        <w:rPr>
          <w:rFonts w:asciiTheme="minorHAnsi" w:hAnsiTheme="minorHAnsi" w:cs="Times New Roman"/>
          <w:color w:val="auto"/>
          <w:szCs w:val="24"/>
        </w:rPr>
        <w:t xml:space="preserve">iseases and </w:t>
      </w:r>
      <w:r w:rsidR="00425917">
        <w:rPr>
          <w:rFonts w:asciiTheme="minorHAnsi" w:hAnsiTheme="minorHAnsi" w:cs="Times New Roman"/>
          <w:color w:val="auto"/>
          <w:szCs w:val="24"/>
        </w:rPr>
        <w:t>i</w:t>
      </w:r>
      <w:r w:rsidR="001734E4" w:rsidRPr="008264D6">
        <w:rPr>
          <w:rFonts w:asciiTheme="minorHAnsi" w:hAnsiTheme="minorHAnsi" w:cs="Times New Roman"/>
          <w:color w:val="auto"/>
          <w:szCs w:val="24"/>
        </w:rPr>
        <w:t xml:space="preserve">njuries of the </w:t>
      </w:r>
      <w:r w:rsidR="00425917">
        <w:rPr>
          <w:rFonts w:asciiTheme="minorHAnsi" w:hAnsiTheme="minorHAnsi" w:cs="Times New Roman"/>
          <w:color w:val="auto"/>
          <w:szCs w:val="24"/>
        </w:rPr>
        <w:t>s</w:t>
      </w:r>
      <w:r w:rsidR="001734E4" w:rsidRPr="008264D6">
        <w:rPr>
          <w:rFonts w:asciiTheme="minorHAnsi" w:hAnsiTheme="minorHAnsi" w:cs="Times New Roman"/>
          <w:color w:val="auto"/>
          <w:szCs w:val="24"/>
        </w:rPr>
        <w:t>pine</w:t>
      </w:r>
      <w:r w:rsidRPr="008264D6">
        <w:rPr>
          <w:rFonts w:asciiTheme="minorHAnsi" w:hAnsiTheme="minorHAnsi" w:cs="Times New Roman"/>
          <w:color w:val="auto"/>
          <w:szCs w:val="24"/>
        </w:rPr>
        <w:t xml:space="preserve">.  The PEB’s DA Form 199 reflected application of the USAPDA pain policy for rating, </w:t>
      </w:r>
      <w:r w:rsidR="008264D6" w:rsidRPr="008264D6">
        <w:rPr>
          <w:rFonts w:asciiTheme="minorHAnsi" w:hAnsiTheme="minorHAnsi" w:cs="Times New Roman"/>
          <w:color w:val="auto"/>
          <w:szCs w:val="24"/>
        </w:rPr>
        <w:t>and</w:t>
      </w:r>
      <w:r w:rsidRPr="008264D6">
        <w:rPr>
          <w:rFonts w:asciiTheme="minorHAnsi" w:hAnsiTheme="minorHAnsi" w:cs="Times New Roman"/>
          <w:color w:val="auto"/>
          <w:szCs w:val="24"/>
        </w:rPr>
        <w:t xml:space="preserve"> its 10% determination was </w:t>
      </w:r>
      <w:r w:rsidR="008264D6" w:rsidRPr="008264D6">
        <w:rPr>
          <w:rFonts w:asciiTheme="minorHAnsi" w:hAnsiTheme="minorHAnsi" w:cs="Times New Roman"/>
          <w:color w:val="auto"/>
          <w:szCs w:val="24"/>
        </w:rPr>
        <w:t xml:space="preserve">not </w:t>
      </w:r>
      <w:r w:rsidRPr="008264D6">
        <w:rPr>
          <w:rFonts w:asciiTheme="minorHAnsi" w:hAnsiTheme="minorHAnsi" w:cs="Times New Roman"/>
          <w:color w:val="auto"/>
          <w:szCs w:val="24"/>
        </w:rPr>
        <w:t>consistent with §4.71a standards.</w:t>
      </w:r>
      <w:r w:rsidR="008264D6" w:rsidRPr="008264D6">
        <w:rPr>
          <w:rFonts w:asciiTheme="minorHAnsi" w:hAnsiTheme="minorHAnsi" w:cs="Times New Roman"/>
          <w:color w:val="auto"/>
          <w:szCs w:val="24"/>
        </w:rPr>
        <w:t xml:space="preserve">  The MEB exam</w:t>
      </w:r>
      <w:r w:rsidR="001734E4">
        <w:rPr>
          <w:rFonts w:asciiTheme="minorHAnsi" w:hAnsiTheme="minorHAnsi" w:cs="Times New Roman"/>
          <w:color w:val="auto"/>
          <w:szCs w:val="24"/>
        </w:rPr>
        <w:t xml:space="preserve">, to which the Board assigns predominate probative value (as discussed above), </w:t>
      </w:r>
      <w:r w:rsidR="008264D6" w:rsidRPr="008264D6">
        <w:rPr>
          <w:rFonts w:asciiTheme="minorHAnsi" w:hAnsiTheme="minorHAnsi" w:cs="Times New Roman"/>
          <w:color w:val="auto"/>
          <w:szCs w:val="24"/>
        </w:rPr>
        <w:t>meets crite</w:t>
      </w:r>
      <w:r w:rsidR="001734E4">
        <w:rPr>
          <w:rFonts w:asciiTheme="minorHAnsi" w:hAnsiTheme="minorHAnsi" w:cs="Times New Roman"/>
          <w:color w:val="auto"/>
          <w:szCs w:val="24"/>
        </w:rPr>
        <w:t>ria for a 20% rating under the g</w:t>
      </w:r>
      <w:r w:rsidR="008264D6" w:rsidRPr="008264D6">
        <w:rPr>
          <w:rFonts w:asciiTheme="minorHAnsi" w:hAnsiTheme="minorHAnsi" w:cs="Times New Roman"/>
          <w:color w:val="auto"/>
          <w:szCs w:val="24"/>
        </w:rPr>
        <w:t xml:space="preserve">eneral </w:t>
      </w:r>
      <w:r w:rsidR="001734E4" w:rsidRPr="008264D6">
        <w:rPr>
          <w:rFonts w:asciiTheme="minorHAnsi" w:hAnsiTheme="minorHAnsi" w:cs="Times New Roman"/>
          <w:color w:val="auto"/>
          <w:szCs w:val="24"/>
        </w:rPr>
        <w:t>spine formula</w:t>
      </w:r>
      <w:r w:rsidR="008264D6" w:rsidRPr="008264D6">
        <w:rPr>
          <w:rFonts w:asciiTheme="minorHAnsi" w:hAnsiTheme="minorHAnsi" w:cs="Times New Roman"/>
          <w:color w:val="auto"/>
          <w:szCs w:val="24"/>
        </w:rPr>
        <w:t>.</w:t>
      </w:r>
      <w:r w:rsidR="008264D6">
        <w:rPr>
          <w:rFonts w:asciiTheme="minorHAnsi" w:hAnsiTheme="minorHAnsi" w:cs="Times New Roman"/>
          <w:color w:val="auto"/>
          <w:szCs w:val="24"/>
        </w:rPr>
        <w:t xml:space="preserve">  </w:t>
      </w:r>
      <w:r w:rsidR="001734E4">
        <w:rPr>
          <w:rFonts w:asciiTheme="minorHAnsi" w:hAnsiTheme="minorHAnsi" w:cs="Times New Roman"/>
          <w:color w:val="auto"/>
          <w:szCs w:val="24"/>
        </w:rPr>
        <w:t>The Board considered a rating recommendation premised on the incapacitating episodes formula</w:t>
      </w:r>
      <w:r w:rsidR="009F4D67">
        <w:rPr>
          <w:rFonts w:asciiTheme="minorHAnsi" w:hAnsiTheme="minorHAnsi" w:cs="Times New Roman"/>
          <w:color w:val="auto"/>
          <w:szCs w:val="24"/>
        </w:rPr>
        <w:t xml:space="preserve"> under code 5243</w:t>
      </w:r>
      <w:r w:rsidR="001734E4">
        <w:rPr>
          <w:rFonts w:asciiTheme="minorHAnsi" w:hAnsiTheme="minorHAnsi" w:cs="Times New Roman"/>
          <w:color w:val="auto"/>
          <w:szCs w:val="24"/>
        </w:rPr>
        <w:t xml:space="preserve">; although, it was debated whether the </w:t>
      </w:r>
      <w:r w:rsidR="001734E4">
        <w:rPr>
          <w:rFonts w:cs="Calibri"/>
          <w:color w:val="auto"/>
          <w:szCs w:val="24"/>
        </w:rPr>
        <w:t>§</w:t>
      </w:r>
      <w:r w:rsidR="001734E4">
        <w:rPr>
          <w:rFonts w:cs="Times New Roman"/>
          <w:color w:val="auto"/>
          <w:szCs w:val="24"/>
        </w:rPr>
        <w:t>4.71a</w:t>
      </w:r>
      <w:r w:rsidR="001734E4" w:rsidRPr="003C53E8">
        <w:rPr>
          <w:rFonts w:asciiTheme="minorHAnsi" w:hAnsiTheme="minorHAnsi" w:cs="Times New Roman"/>
          <w:color w:val="auto"/>
          <w:szCs w:val="24"/>
        </w:rPr>
        <w:t xml:space="preserve"> </w:t>
      </w:r>
      <w:r w:rsidR="001734E4">
        <w:rPr>
          <w:rFonts w:asciiTheme="minorHAnsi" w:hAnsiTheme="minorHAnsi" w:cs="Times New Roman"/>
          <w:color w:val="auto"/>
          <w:szCs w:val="24"/>
        </w:rPr>
        <w:t xml:space="preserve">definition was met based solely on the uncorroborated medical histories.  </w:t>
      </w:r>
      <w:r w:rsidR="00C10EE1">
        <w:rPr>
          <w:rFonts w:asciiTheme="minorHAnsi" w:hAnsiTheme="minorHAnsi" w:cs="Times New Roman"/>
          <w:color w:val="auto"/>
          <w:szCs w:val="24"/>
        </w:rPr>
        <w:t xml:space="preserve">Without conceding </w:t>
      </w:r>
      <w:r w:rsidR="00425917">
        <w:rPr>
          <w:rFonts w:asciiTheme="minorHAnsi" w:hAnsiTheme="minorHAnsi" w:cs="Times New Roman"/>
          <w:color w:val="auto"/>
          <w:szCs w:val="24"/>
        </w:rPr>
        <w:t>three</w:t>
      </w:r>
      <w:r w:rsidR="00C10EE1">
        <w:rPr>
          <w:rFonts w:asciiTheme="minorHAnsi" w:hAnsiTheme="minorHAnsi" w:cs="Times New Roman"/>
          <w:color w:val="auto"/>
          <w:szCs w:val="24"/>
        </w:rPr>
        <w:t xml:space="preserve"> physician directed days of </w:t>
      </w:r>
      <w:r w:rsidR="00E525C8">
        <w:rPr>
          <w:rFonts w:asciiTheme="minorHAnsi" w:hAnsiTheme="minorHAnsi" w:cs="Times New Roman"/>
          <w:color w:val="auto"/>
          <w:szCs w:val="24"/>
        </w:rPr>
        <w:t>bed rest</w:t>
      </w:r>
      <w:r w:rsidR="00C10EE1">
        <w:rPr>
          <w:rFonts w:asciiTheme="minorHAnsi" w:hAnsiTheme="minorHAnsi" w:cs="Times New Roman"/>
          <w:color w:val="auto"/>
          <w:szCs w:val="24"/>
        </w:rPr>
        <w:t xml:space="preserve"> per month</w:t>
      </w:r>
      <w:r w:rsidR="00425917">
        <w:rPr>
          <w:rFonts w:asciiTheme="minorHAnsi" w:hAnsiTheme="minorHAnsi" w:cs="Times New Roman"/>
          <w:color w:val="auto"/>
          <w:szCs w:val="24"/>
        </w:rPr>
        <w:t>;</w:t>
      </w:r>
      <w:r w:rsidR="00C10EE1">
        <w:rPr>
          <w:rFonts w:asciiTheme="minorHAnsi" w:hAnsiTheme="minorHAnsi" w:cs="Times New Roman"/>
          <w:color w:val="auto"/>
          <w:szCs w:val="24"/>
        </w:rPr>
        <w:t xml:space="preserve"> however, the alternate formula would still achieve the same 20% rating derived from the MEB goniometric evidence.  All members agreed that such a concession required an unacceptable level of speculation.  </w:t>
      </w:r>
      <w:r w:rsidR="008264D6" w:rsidRPr="003C53E8">
        <w:rPr>
          <w:rFonts w:asciiTheme="minorHAnsi" w:hAnsiTheme="minorHAnsi" w:cs="Times New Roman"/>
          <w:color w:val="auto"/>
          <w:szCs w:val="24"/>
        </w:rPr>
        <w:t xml:space="preserve">After due </w:t>
      </w:r>
      <w:r w:rsidR="008264D6" w:rsidRPr="008264D6">
        <w:rPr>
          <w:rFonts w:asciiTheme="minorHAnsi" w:hAnsiTheme="minorHAnsi" w:cs="Times New Roman"/>
          <w:color w:val="auto"/>
          <w:szCs w:val="24"/>
        </w:rPr>
        <w:t>deliberation, considering all of the evidence and mindful of VASRD §4.3 (reasonable doubt), the Board</w:t>
      </w:r>
      <w:r w:rsidR="008264D6" w:rsidRPr="003C53E8">
        <w:rPr>
          <w:rFonts w:asciiTheme="minorHAnsi" w:hAnsiTheme="minorHAnsi" w:cs="Times New Roman"/>
          <w:color w:val="auto"/>
          <w:szCs w:val="24"/>
        </w:rPr>
        <w:t xml:space="preserve"> recommends a separation rating of </w:t>
      </w:r>
      <w:r w:rsidR="008264D6">
        <w:rPr>
          <w:rFonts w:asciiTheme="minorHAnsi" w:hAnsiTheme="minorHAnsi" w:cs="Times New Roman"/>
          <w:color w:val="auto"/>
          <w:szCs w:val="24"/>
        </w:rPr>
        <w:t>2</w:t>
      </w:r>
      <w:r w:rsidR="008264D6" w:rsidRPr="003C53E8">
        <w:rPr>
          <w:rFonts w:asciiTheme="minorHAnsi" w:hAnsiTheme="minorHAnsi" w:cs="Times New Roman"/>
          <w:color w:val="auto"/>
          <w:szCs w:val="24"/>
        </w:rPr>
        <w:t xml:space="preserve">0% for the </w:t>
      </w:r>
      <w:r w:rsidR="00C10EE1">
        <w:rPr>
          <w:rFonts w:asciiTheme="minorHAnsi" w:hAnsiTheme="minorHAnsi" w:cs="Times New Roman"/>
          <w:color w:val="auto"/>
          <w:szCs w:val="24"/>
        </w:rPr>
        <w:t>lumbar spine</w:t>
      </w:r>
      <w:r w:rsidR="008264D6" w:rsidRPr="003C53E8">
        <w:rPr>
          <w:rFonts w:asciiTheme="minorHAnsi" w:hAnsiTheme="minorHAnsi" w:cs="Times New Roman"/>
          <w:color w:val="auto"/>
          <w:szCs w:val="24"/>
        </w:rPr>
        <w:t xml:space="preserve"> condition</w:t>
      </w:r>
      <w:r w:rsidR="00C10EE1">
        <w:rPr>
          <w:rFonts w:asciiTheme="minorHAnsi" w:hAnsiTheme="minorHAnsi" w:cs="Times New Roman"/>
          <w:color w:val="auto"/>
          <w:szCs w:val="24"/>
        </w:rPr>
        <w:t xml:space="preserve">.  </w:t>
      </w:r>
      <w:r w:rsidR="00425917">
        <w:rPr>
          <w:rFonts w:asciiTheme="minorHAnsi" w:hAnsiTheme="minorHAnsi" w:cs="Times New Roman"/>
          <w:color w:val="auto"/>
          <w:szCs w:val="24"/>
        </w:rPr>
        <w:t>The Board</w:t>
      </w:r>
      <w:r w:rsidR="009F4D67">
        <w:rPr>
          <w:rFonts w:asciiTheme="minorHAnsi" w:hAnsiTheme="minorHAnsi" w:cs="Times New Roman"/>
          <w:color w:val="auto"/>
          <w:szCs w:val="24"/>
        </w:rPr>
        <w:t xml:space="preserve"> agreed that 5243 was the more applicable code, given the </w:t>
      </w:r>
      <w:r w:rsidR="00F33512">
        <w:rPr>
          <w:rFonts w:asciiTheme="minorHAnsi" w:hAnsiTheme="minorHAnsi" w:cs="Times New Roman"/>
          <w:color w:val="auto"/>
          <w:szCs w:val="24"/>
        </w:rPr>
        <w:t>clinical features</w:t>
      </w:r>
      <w:r w:rsidR="009F4D67">
        <w:rPr>
          <w:rFonts w:asciiTheme="minorHAnsi" w:hAnsiTheme="minorHAnsi" w:cs="Times New Roman"/>
          <w:color w:val="auto"/>
          <w:szCs w:val="24"/>
        </w:rPr>
        <w:t xml:space="preserve">.  </w:t>
      </w:r>
    </w:p>
    <w:p w:rsidR="002253BF" w:rsidRPr="003C53E8" w:rsidRDefault="002253BF" w:rsidP="008264D6">
      <w:pPr>
        <w:tabs>
          <w:tab w:val="left" w:pos="288"/>
          <w:tab w:val="left" w:pos="4752"/>
        </w:tabs>
        <w:jc w:val="both"/>
        <w:rPr>
          <w:rFonts w:asciiTheme="minorHAnsi" w:hAnsiTheme="minorHAnsi" w:cs="Times New Roman"/>
          <w:color w:val="auto"/>
          <w:szCs w:val="24"/>
        </w:rPr>
      </w:pPr>
    </w:p>
    <w:p w:rsidR="004D63D5" w:rsidRDefault="006E2EAA" w:rsidP="004D63D5">
      <w:pPr>
        <w:tabs>
          <w:tab w:val="left" w:pos="288"/>
          <w:tab w:val="left" w:pos="4752"/>
        </w:tabs>
        <w:jc w:val="both"/>
        <w:rPr>
          <w:color w:val="000000" w:themeColor="text1"/>
          <w:szCs w:val="24"/>
          <w:u w:val="single"/>
        </w:rPr>
      </w:pPr>
      <w:proofErr w:type="gramStart"/>
      <w:r w:rsidRPr="006E2EAA">
        <w:rPr>
          <w:rFonts w:asciiTheme="minorHAnsi" w:hAnsiTheme="minorHAnsi" w:cs="Times New Roman"/>
          <w:color w:val="auto"/>
          <w:szCs w:val="24"/>
          <w:u w:val="single"/>
        </w:rPr>
        <w:t>Radiculopathy</w:t>
      </w:r>
      <w:r>
        <w:rPr>
          <w:rFonts w:asciiTheme="minorHAnsi" w:hAnsiTheme="minorHAnsi" w:cs="Times New Roman"/>
          <w:color w:val="auto"/>
          <w:szCs w:val="24"/>
        </w:rPr>
        <w:t>.</w:t>
      </w:r>
      <w:proofErr w:type="gramEnd"/>
      <w:r>
        <w:rPr>
          <w:rFonts w:asciiTheme="minorHAnsi" w:hAnsiTheme="minorHAnsi" w:cs="Times New Roman"/>
          <w:color w:val="auto"/>
          <w:szCs w:val="24"/>
        </w:rPr>
        <w:t xml:space="preserve">  </w:t>
      </w:r>
      <w:r w:rsidR="00EF7A82">
        <w:rPr>
          <w:rFonts w:asciiTheme="minorHAnsi" w:hAnsiTheme="minorHAnsi" w:cs="Times New Roman"/>
          <w:color w:val="auto"/>
          <w:szCs w:val="24"/>
        </w:rPr>
        <w:t xml:space="preserve">The Board </w:t>
      </w:r>
      <w:r w:rsidR="008264D6">
        <w:rPr>
          <w:rFonts w:asciiTheme="minorHAnsi" w:hAnsiTheme="minorHAnsi" w:cs="Times New Roman"/>
          <w:color w:val="auto"/>
          <w:szCs w:val="24"/>
        </w:rPr>
        <w:t xml:space="preserve">next </w:t>
      </w:r>
      <w:r w:rsidR="00EF7A82">
        <w:rPr>
          <w:rFonts w:asciiTheme="minorHAnsi" w:hAnsiTheme="minorHAnsi" w:cs="Times New Roman"/>
          <w:color w:val="auto"/>
          <w:szCs w:val="24"/>
        </w:rPr>
        <w:t xml:space="preserve">considered whether the CI’s left </w:t>
      </w:r>
      <w:r w:rsidR="004D63D5">
        <w:rPr>
          <w:rFonts w:asciiTheme="minorHAnsi" w:hAnsiTheme="minorHAnsi" w:cs="Times New Roman"/>
          <w:color w:val="auto"/>
          <w:szCs w:val="24"/>
        </w:rPr>
        <w:t>sciatic</w:t>
      </w:r>
      <w:r w:rsidR="00EF7A82">
        <w:rPr>
          <w:rFonts w:asciiTheme="minorHAnsi" w:hAnsiTheme="minorHAnsi" w:cs="Times New Roman"/>
          <w:color w:val="auto"/>
          <w:szCs w:val="24"/>
        </w:rPr>
        <w:t xml:space="preserve"> radiculopathy warranted an additional separation rating, as per the VA rating decision.  </w:t>
      </w:r>
      <w:r w:rsidR="009F4D67">
        <w:rPr>
          <w:rFonts w:asciiTheme="minorHAnsi" w:hAnsiTheme="minorHAnsi" w:cs="Times New Roman"/>
          <w:color w:val="auto"/>
          <w:szCs w:val="24"/>
        </w:rPr>
        <w:t xml:space="preserve">The MEB’s DA Form 3947 did not </w:t>
      </w:r>
      <w:r w:rsidR="00F33512">
        <w:rPr>
          <w:rFonts w:asciiTheme="minorHAnsi" w:hAnsiTheme="minorHAnsi" w:cs="Times New Roman"/>
          <w:color w:val="auto"/>
          <w:szCs w:val="24"/>
        </w:rPr>
        <w:t>submit</w:t>
      </w:r>
      <w:r w:rsidR="009F4D67">
        <w:rPr>
          <w:rFonts w:asciiTheme="minorHAnsi" w:hAnsiTheme="minorHAnsi" w:cs="Times New Roman"/>
          <w:color w:val="auto"/>
          <w:szCs w:val="24"/>
        </w:rPr>
        <w:t xml:space="preserve"> a diagnosis of radiculopathy</w:t>
      </w:r>
      <w:r w:rsidR="00F33512">
        <w:rPr>
          <w:rFonts w:asciiTheme="minorHAnsi" w:hAnsiTheme="minorHAnsi" w:cs="Times New Roman"/>
          <w:color w:val="auto"/>
          <w:szCs w:val="24"/>
        </w:rPr>
        <w:t xml:space="preserve"> to the PEB.</w:t>
      </w:r>
      <w:r w:rsidR="009F4D67">
        <w:rPr>
          <w:rFonts w:asciiTheme="minorHAnsi" w:hAnsiTheme="minorHAnsi" w:cs="Times New Roman"/>
          <w:color w:val="auto"/>
          <w:szCs w:val="24"/>
        </w:rPr>
        <w:t xml:space="preserve"> </w:t>
      </w:r>
      <w:r w:rsidR="00F33512">
        <w:rPr>
          <w:rFonts w:asciiTheme="minorHAnsi" w:hAnsiTheme="minorHAnsi" w:cs="Times New Roman"/>
          <w:color w:val="auto"/>
          <w:szCs w:val="24"/>
        </w:rPr>
        <w:t xml:space="preserve"> T</w:t>
      </w:r>
      <w:r w:rsidR="009F4D67">
        <w:rPr>
          <w:rFonts w:asciiTheme="minorHAnsi" w:hAnsiTheme="minorHAnsi" w:cs="Times New Roman"/>
          <w:color w:val="auto"/>
          <w:szCs w:val="24"/>
        </w:rPr>
        <w:t xml:space="preserve">he PEB’s DA </w:t>
      </w:r>
      <w:r w:rsidR="00425917">
        <w:rPr>
          <w:rFonts w:asciiTheme="minorHAnsi" w:hAnsiTheme="minorHAnsi" w:cs="Times New Roman"/>
          <w:color w:val="auto"/>
          <w:szCs w:val="24"/>
        </w:rPr>
        <w:t xml:space="preserve">Form </w:t>
      </w:r>
      <w:r w:rsidR="009F4D67">
        <w:rPr>
          <w:rFonts w:asciiTheme="minorHAnsi" w:hAnsiTheme="minorHAnsi" w:cs="Times New Roman"/>
          <w:color w:val="auto"/>
          <w:szCs w:val="24"/>
        </w:rPr>
        <w:t>199 stated, “subjective weakness of the left leg (</w:t>
      </w:r>
      <w:r w:rsidR="00253BA8">
        <w:rPr>
          <w:rFonts w:asciiTheme="minorHAnsi" w:hAnsiTheme="minorHAnsi" w:cs="Times New Roman"/>
          <w:color w:val="auto"/>
          <w:szCs w:val="24"/>
        </w:rPr>
        <w:t>this has been present since original injury)</w:t>
      </w:r>
      <w:r w:rsidR="00425917">
        <w:rPr>
          <w:rFonts w:asciiTheme="minorHAnsi" w:hAnsiTheme="minorHAnsi" w:cs="Times New Roman"/>
          <w:color w:val="auto"/>
          <w:szCs w:val="24"/>
        </w:rPr>
        <w:t>;</w:t>
      </w:r>
      <w:r w:rsidR="00253BA8">
        <w:rPr>
          <w:rFonts w:asciiTheme="minorHAnsi" w:hAnsiTheme="minorHAnsi" w:cs="Times New Roman"/>
          <w:color w:val="auto"/>
          <w:szCs w:val="24"/>
        </w:rPr>
        <w:t>”</w:t>
      </w:r>
      <w:r w:rsidR="00F33512">
        <w:rPr>
          <w:rFonts w:asciiTheme="minorHAnsi" w:hAnsiTheme="minorHAnsi" w:cs="Times New Roman"/>
          <w:color w:val="auto"/>
          <w:szCs w:val="24"/>
        </w:rPr>
        <w:t xml:space="preserve"> implying a non-service connected link of any radiculopathy </w:t>
      </w:r>
      <w:r w:rsidR="00F33512" w:rsidRPr="00F33512">
        <w:rPr>
          <w:rFonts w:asciiTheme="minorHAnsi" w:hAnsiTheme="minorHAnsi" w:cs="Times New Roman"/>
          <w:i/>
          <w:color w:val="auto"/>
          <w:szCs w:val="24"/>
        </w:rPr>
        <w:t>per se</w:t>
      </w:r>
      <w:r w:rsidR="00F33512">
        <w:rPr>
          <w:rFonts w:asciiTheme="minorHAnsi" w:hAnsiTheme="minorHAnsi" w:cs="Times New Roman"/>
          <w:color w:val="auto"/>
          <w:szCs w:val="24"/>
        </w:rPr>
        <w:t xml:space="preserve"> to the civilian onset of symptoms</w:t>
      </w:r>
      <w:r w:rsidR="00253BA8">
        <w:rPr>
          <w:rFonts w:asciiTheme="minorHAnsi" w:hAnsiTheme="minorHAnsi" w:cs="Times New Roman"/>
          <w:color w:val="auto"/>
          <w:szCs w:val="24"/>
        </w:rPr>
        <w:t xml:space="preserve">.  </w:t>
      </w:r>
      <w:r w:rsidR="004D63D5">
        <w:rPr>
          <w:rFonts w:asciiTheme="minorHAnsi" w:hAnsiTheme="minorHAnsi" w:cs="Times New Roman"/>
          <w:color w:val="auto"/>
          <w:szCs w:val="24"/>
        </w:rPr>
        <w:t>However t</w:t>
      </w:r>
      <w:r w:rsidR="00F33512">
        <w:rPr>
          <w:rFonts w:asciiTheme="minorHAnsi" w:hAnsiTheme="minorHAnsi" w:cs="Times New Roman"/>
          <w:color w:val="auto"/>
          <w:szCs w:val="24"/>
        </w:rPr>
        <w:t>he above evidence does make</w:t>
      </w:r>
      <w:r w:rsidR="008B3855">
        <w:rPr>
          <w:rFonts w:asciiTheme="minorHAnsi" w:hAnsiTheme="minorHAnsi" w:cs="Times New Roman"/>
          <w:color w:val="auto"/>
          <w:szCs w:val="24"/>
        </w:rPr>
        <w:t xml:space="preserve"> it clear that a left sciatic neuropathy was confirmed </w:t>
      </w:r>
      <w:r w:rsidR="00F33512">
        <w:rPr>
          <w:rFonts w:asciiTheme="minorHAnsi" w:hAnsiTheme="minorHAnsi" w:cs="Times New Roman"/>
          <w:color w:val="auto"/>
          <w:szCs w:val="24"/>
        </w:rPr>
        <w:t xml:space="preserve">at separation </w:t>
      </w:r>
      <w:r w:rsidR="008B3855">
        <w:rPr>
          <w:rFonts w:asciiTheme="minorHAnsi" w:hAnsiTheme="minorHAnsi" w:cs="Times New Roman"/>
          <w:color w:val="auto"/>
          <w:szCs w:val="24"/>
        </w:rPr>
        <w:t xml:space="preserve">by EMG, history and physical exam; and, </w:t>
      </w:r>
      <w:r w:rsidR="00F33512">
        <w:rPr>
          <w:rFonts w:asciiTheme="minorHAnsi" w:hAnsiTheme="minorHAnsi" w:cs="Times New Roman"/>
          <w:color w:val="auto"/>
          <w:szCs w:val="24"/>
        </w:rPr>
        <w:t xml:space="preserve">there is no equivalent evidence confirming its presence prior to the </w:t>
      </w:r>
      <w:r w:rsidR="004C4296">
        <w:rPr>
          <w:rFonts w:asciiTheme="minorHAnsi" w:hAnsiTheme="minorHAnsi" w:cs="Times New Roman"/>
          <w:color w:val="auto"/>
          <w:szCs w:val="24"/>
        </w:rPr>
        <w:t>2003 mobilization</w:t>
      </w:r>
      <w:r w:rsidR="008B3855">
        <w:rPr>
          <w:rFonts w:asciiTheme="minorHAnsi" w:hAnsiTheme="minorHAnsi" w:cs="Times New Roman"/>
          <w:color w:val="auto"/>
          <w:szCs w:val="24"/>
        </w:rPr>
        <w:t xml:space="preserve">.  </w:t>
      </w:r>
      <w:r w:rsidR="004C4296">
        <w:rPr>
          <w:rFonts w:asciiTheme="minorHAnsi" w:hAnsiTheme="minorHAnsi" w:cs="Times New Roman"/>
          <w:color w:val="auto"/>
          <w:szCs w:val="24"/>
        </w:rPr>
        <w:t xml:space="preserve">Members agreed therefore that </w:t>
      </w:r>
      <w:r w:rsidR="004D63D5">
        <w:rPr>
          <w:rFonts w:asciiTheme="minorHAnsi" w:hAnsiTheme="minorHAnsi" w:cs="Times New Roman"/>
          <w:color w:val="auto"/>
          <w:szCs w:val="24"/>
        </w:rPr>
        <w:t>the</w:t>
      </w:r>
      <w:r w:rsidR="004C4296">
        <w:rPr>
          <w:rFonts w:asciiTheme="minorHAnsi" w:hAnsiTheme="minorHAnsi" w:cs="Times New Roman"/>
          <w:color w:val="auto"/>
          <w:szCs w:val="24"/>
        </w:rPr>
        <w:t xml:space="preserve"> presumption of </w:t>
      </w:r>
      <w:r w:rsidR="004D63D5">
        <w:rPr>
          <w:rFonts w:asciiTheme="minorHAnsi" w:hAnsiTheme="minorHAnsi" w:cs="Times New Roman"/>
          <w:color w:val="auto"/>
          <w:szCs w:val="24"/>
        </w:rPr>
        <w:t xml:space="preserve">at least </w:t>
      </w:r>
      <w:r w:rsidR="00425917">
        <w:rPr>
          <w:rFonts w:asciiTheme="minorHAnsi" w:hAnsiTheme="minorHAnsi" w:cs="Times New Roman"/>
          <w:color w:val="auto"/>
          <w:szCs w:val="24"/>
        </w:rPr>
        <w:t>service-</w:t>
      </w:r>
      <w:r w:rsidR="004C4296">
        <w:rPr>
          <w:rFonts w:asciiTheme="minorHAnsi" w:hAnsiTheme="minorHAnsi" w:cs="Times New Roman"/>
          <w:color w:val="auto"/>
          <w:szCs w:val="24"/>
        </w:rPr>
        <w:t xml:space="preserve">aggravation </w:t>
      </w:r>
      <w:r w:rsidR="004D63D5">
        <w:rPr>
          <w:rFonts w:asciiTheme="minorHAnsi" w:hAnsiTheme="minorHAnsi" w:cs="Times New Roman"/>
          <w:color w:val="auto"/>
          <w:szCs w:val="24"/>
        </w:rPr>
        <w:t xml:space="preserve">could </w:t>
      </w:r>
      <w:r w:rsidR="004C4296">
        <w:rPr>
          <w:rFonts w:asciiTheme="minorHAnsi" w:hAnsiTheme="minorHAnsi" w:cs="Times New Roman"/>
          <w:color w:val="auto"/>
          <w:szCs w:val="24"/>
        </w:rPr>
        <w:t xml:space="preserve">not </w:t>
      </w:r>
      <w:r w:rsidR="004D63D5">
        <w:rPr>
          <w:rFonts w:asciiTheme="minorHAnsi" w:hAnsiTheme="minorHAnsi" w:cs="Times New Roman"/>
          <w:color w:val="auto"/>
          <w:szCs w:val="24"/>
        </w:rPr>
        <w:t xml:space="preserve">be </w:t>
      </w:r>
      <w:r w:rsidR="004C4296">
        <w:rPr>
          <w:rFonts w:asciiTheme="minorHAnsi" w:hAnsiTheme="minorHAnsi" w:cs="Times New Roman"/>
          <w:color w:val="auto"/>
          <w:szCs w:val="24"/>
        </w:rPr>
        <w:t xml:space="preserve">overcome.  </w:t>
      </w:r>
      <w:r w:rsidR="003F1BBB">
        <w:rPr>
          <w:rFonts w:asciiTheme="minorHAnsi" w:hAnsiTheme="minorHAnsi" w:cs="Times New Roman"/>
          <w:color w:val="auto"/>
          <w:szCs w:val="24"/>
        </w:rPr>
        <w:t>The condition was noted on the profile as “left leg pain &amp; weakness</w:t>
      </w:r>
      <w:r w:rsidR="00425917">
        <w:rPr>
          <w:rFonts w:asciiTheme="minorHAnsi" w:hAnsiTheme="minorHAnsi" w:cs="Times New Roman"/>
          <w:color w:val="auto"/>
          <w:szCs w:val="24"/>
        </w:rPr>
        <w:t>,</w:t>
      </w:r>
      <w:r w:rsidR="003F1BBB">
        <w:rPr>
          <w:rFonts w:asciiTheme="minorHAnsi" w:hAnsiTheme="minorHAnsi" w:cs="Times New Roman"/>
          <w:color w:val="auto"/>
          <w:szCs w:val="24"/>
        </w:rPr>
        <w:t>”</w:t>
      </w:r>
      <w:r w:rsidR="00C37B6F">
        <w:rPr>
          <w:rFonts w:asciiTheme="minorHAnsi" w:hAnsiTheme="minorHAnsi" w:cs="Times New Roman"/>
          <w:color w:val="auto"/>
          <w:szCs w:val="24"/>
        </w:rPr>
        <w:t xml:space="preserve"> although all of the profile limitations were inherent to the spine condition alone</w:t>
      </w:r>
      <w:r w:rsidR="003F1BBB">
        <w:rPr>
          <w:rFonts w:asciiTheme="minorHAnsi" w:hAnsiTheme="minorHAnsi" w:cs="Times New Roman"/>
          <w:color w:val="auto"/>
          <w:szCs w:val="24"/>
        </w:rPr>
        <w:t xml:space="preserve">.  </w:t>
      </w:r>
      <w:r w:rsidR="00C37B6F">
        <w:rPr>
          <w:rFonts w:asciiTheme="minorHAnsi" w:hAnsiTheme="minorHAnsi" w:cs="Times New Roman"/>
          <w:color w:val="auto"/>
          <w:szCs w:val="24"/>
        </w:rPr>
        <w:t xml:space="preserve">The commander’s statement was not specific to the diagnoses, </w:t>
      </w:r>
      <w:r w:rsidR="004D63D5">
        <w:rPr>
          <w:rFonts w:asciiTheme="minorHAnsi" w:hAnsiTheme="minorHAnsi" w:cs="Times New Roman"/>
          <w:color w:val="auto"/>
          <w:szCs w:val="24"/>
        </w:rPr>
        <w:t>but</w:t>
      </w:r>
      <w:r w:rsidR="00C37B6F">
        <w:rPr>
          <w:rFonts w:asciiTheme="minorHAnsi" w:hAnsiTheme="minorHAnsi" w:cs="Times New Roman"/>
          <w:color w:val="auto"/>
          <w:szCs w:val="24"/>
        </w:rPr>
        <w:t xml:space="preserve"> the last two performance evaluations preceding separation specifically stated</w:t>
      </w:r>
      <w:r w:rsidR="00B1352F">
        <w:rPr>
          <w:rFonts w:asciiTheme="minorHAnsi" w:hAnsiTheme="minorHAnsi" w:cs="Times New Roman"/>
          <w:color w:val="auto"/>
          <w:szCs w:val="24"/>
        </w:rPr>
        <w:t xml:space="preserve"> “profile did not hinder soldier abilities</w:t>
      </w:r>
      <w:r w:rsidR="00425917">
        <w:rPr>
          <w:rFonts w:asciiTheme="minorHAnsi" w:hAnsiTheme="minorHAnsi" w:cs="Times New Roman"/>
          <w:color w:val="auto"/>
          <w:szCs w:val="24"/>
        </w:rPr>
        <w:t>.</w:t>
      </w:r>
      <w:r w:rsidR="00B1352F">
        <w:rPr>
          <w:rFonts w:asciiTheme="minorHAnsi" w:hAnsiTheme="minorHAnsi" w:cs="Times New Roman"/>
          <w:color w:val="auto"/>
          <w:szCs w:val="24"/>
        </w:rPr>
        <w:t xml:space="preserve">”  </w:t>
      </w:r>
      <w:r w:rsidR="004D63D5">
        <w:rPr>
          <w:rFonts w:asciiTheme="minorHAnsi" w:hAnsiTheme="minorHAnsi" w:cs="Times New Roman"/>
          <w:color w:val="auto"/>
          <w:szCs w:val="24"/>
        </w:rPr>
        <w:t xml:space="preserve">Well established </w:t>
      </w:r>
      <w:r w:rsidR="00EF7A82" w:rsidRPr="00EF7A82">
        <w:rPr>
          <w:rFonts w:asciiTheme="minorHAnsi" w:hAnsiTheme="minorHAnsi" w:cs="Times New Roman"/>
          <w:color w:val="auto"/>
          <w:szCs w:val="24"/>
        </w:rPr>
        <w:t xml:space="preserve">Board precedent is that a functional impairment tied to fitness is required to support a recommendation for addition of a peripheral nerve rating at separation. </w:t>
      </w:r>
      <w:r w:rsidR="00EF7A82">
        <w:rPr>
          <w:rFonts w:asciiTheme="minorHAnsi" w:hAnsiTheme="minorHAnsi" w:cs="Times New Roman"/>
          <w:color w:val="auto"/>
          <w:szCs w:val="24"/>
        </w:rPr>
        <w:t xml:space="preserve"> </w:t>
      </w:r>
      <w:r w:rsidR="00EF7A82" w:rsidRPr="00EF7A82">
        <w:rPr>
          <w:rFonts w:asciiTheme="minorHAnsi" w:hAnsiTheme="minorHAnsi" w:cs="Times New Roman"/>
          <w:color w:val="auto"/>
          <w:szCs w:val="24"/>
        </w:rPr>
        <w:t xml:space="preserve">The pain component of a radiculopathy is subsumed under the general spine rating as specified in §4.71a. </w:t>
      </w:r>
      <w:r w:rsidR="00EF7A82">
        <w:rPr>
          <w:rFonts w:asciiTheme="minorHAnsi" w:hAnsiTheme="minorHAnsi" w:cs="Times New Roman"/>
          <w:color w:val="auto"/>
          <w:szCs w:val="24"/>
        </w:rPr>
        <w:t xml:space="preserve"> </w:t>
      </w:r>
      <w:r w:rsidR="00EF7A82" w:rsidRPr="00EF7A82">
        <w:rPr>
          <w:rFonts w:asciiTheme="minorHAnsi" w:hAnsiTheme="minorHAnsi" w:cs="Times New Roman"/>
          <w:color w:val="auto"/>
          <w:szCs w:val="24"/>
        </w:rPr>
        <w:t>The sensory component in this case has no functional implications</w:t>
      </w:r>
      <w:r w:rsidR="004C4296">
        <w:rPr>
          <w:rFonts w:asciiTheme="minorHAnsi" w:hAnsiTheme="minorHAnsi" w:cs="Times New Roman"/>
          <w:color w:val="auto"/>
          <w:szCs w:val="24"/>
        </w:rPr>
        <w:t xml:space="preserve">.  </w:t>
      </w:r>
      <w:r w:rsidR="00EF7A82" w:rsidRPr="00EF7A82">
        <w:rPr>
          <w:rFonts w:asciiTheme="minorHAnsi" w:hAnsiTheme="minorHAnsi" w:cs="Times New Roman"/>
          <w:color w:val="auto"/>
          <w:szCs w:val="24"/>
        </w:rPr>
        <w:t>The motor impairment</w:t>
      </w:r>
      <w:r w:rsidR="00B1352F">
        <w:rPr>
          <w:rFonts w:asciiTheme="minorHAnsi" w:hAnsiTheme="minorHAnsi" w:cs="Times New Roman"/>
          <w:color w:val="auto"/>
          <w:szCs w:val="24"/>
        </w:rPr>
        <w:t xml:space="preserve"> was mild by both examination and EMG</w:t>
      </w:r>
      <w:r w:rsidR="00EF7A82">
        <w:rPr>
          <w:rFonts w:asciiTheme="minorHAnsi" w:hAnsiTheme="minorHAnsi" w:cs="Times New Roman"/>
          <w:color w:val="auto"/>
          <w:szCs w:val="24"/>
        </w:rPr>
        <w:t>,</w:t>
      </w:r>
      <w:r w:rsidR="00B1352F">
        <w:rPr>
          <w:rFonts w:asciiTheme="minorHAnsi" w:hAnsiTheme="minorHAnsi" w:cs="Times New Roman"/>
          <w:color w:val="auto"/>
          <w:szCs w:val="24"/>
        </w:rPr>
        <w:t xml:space="preserve"> but the documentation of stumbling</w:t>
      </w:r>
      <w:r w:rsidR="00EF7A82">
        <w:rPr>
          <w:rFonts w:asciiTheme="minorHAnsi" w:hAnsiTheme="minorHAnsi" w:cs="Times New Roman"/>
          <w:color w:val="auto"/>
          <w:szCs w:val="24"/>
        </w:rPr>
        <w:t xml:space="preserve"> </w:t>
      </w:r>
      <w:r w:rsidR="00B1352F">
        <w:rPr>
          <w:rFonts w:asciiTheme="minorHAnsi" w:hAnsiTheme="minorHAnsi" w:cs="Times New Roman"/>
          <w:color w:val="auto"/>
          <w:szCs w:val="24"/>
        </w:rPr>
        <w:t xml:space="preserve">in a garrison environment raised the question of an unfitting link.  The </w:t>
      </w:r>
      <w:r w:rsidR="00425917">
        <w:rPr>
          <w:rFonts w:asciiTheme="minorHAnsi" w:hAnsiTheme="minorHAnsi" w:cs="Times New Roman"/>
          <w:color w:val="auto"/>
          <w:szCs w:val="24"/>
        </w:rPr>
        <w:t>a</w:t>
      </w:r>
      <w:r w:rsidR="00B1352F">
        <w:rPr>
          <w:rFonts w:asciiTheme="minorHAnsi" w:hAnsiTheme="minorHAnsi" w:cs="Times New Roman"/>
          <w:color w:val="auto"/>
          <w:szCs w:val="24"/>
        </w:rPr>
        <w:t xml:space="preserve">ction </w:t>
      </w:r>
      <w:r w:rsidR="00425917">
        <w:rPr>
          <w:rFonts w:asciiTheme="minorHAnsi" w:hAnsiTheme="minorHAnsi" w:cs="Times New Roman"/>
          <w:color w:val="auto"/>
          <w:szCs w:val="24"/>
        </w:rPr>
        <w:t>o</w:t>
      </w:r>
      <w:r w:rsidR="00B1352F">
        <w:rPr>
          <w:rFonts w:asciiTheme="minorHAnsi" w:hAnsiTheme="minorHAnsi" w:cs="Times New Roman"/>
          <w:color w:val="auto"/>
          <w:szCs w:val="24"/>
        </w:rPr>
        <w:t xml:space="preserve">fficer was skeptical regarding the mechanism for the </w:t>
      </w:r>
      <w:r w:rsidR="009E205E">
        <w:rPr>
          <w:rFonts w:asciiTheme="minorHAnsi" w:hAnsiTheme="minorHAnsi" w:cs="Times New Roman"/>
          <w:color w:val="auto"/>
          <w:szCs w:val="24"/>
        </w:rPr>
        <w:t xml:space="preserve">noted </w:t>
      </w:r>
      <w:r w:rsidR="00B1352F">
        <w:rPr>
          <w:rFonts w:asciiTheme="minorHAnsi" w:hAnsiTheme="minorHAnsi" w:cs="Times New Roman"/>
          <w:color w:val="auto"/>
          <w:szCs w:val="24"/>
        </w:rPr>
        <w:t xml:space="preserve">mild weakness to cause tripping, since that would </w:t>
      </w:r>
      <w:r w:rsidR="009E205E">
        <w:rPr>
          <w:rFonts w:asciiTheme="minorHAnsi" w:hAnsiTheme="minorHAnsi" w:cs="Times New Roman"/>
          <w:color w:val="auto"/>
          <w:szCs w:val="24"/>
        </w:rPr>
        <w:t>connote</w:t>
      </w:r>
      <w:r w:rsidR="00B1352F">
        <w:rPr>
          <w:rFonts w:asciiTheme="minorHAnsi" w:hAnsiTheme="minorHAnsi" w:cs="Times New Roman"/>
          <w:color w:val="auto"/>
          <w:szCs w:val="24"/>
        </w:rPr>
        <w:t xml:space="preserve"> intermittent foot drop which would not result from the peripheral nerve disturbance objectively confirmed.  </w:t>
      </w:r>
      <w:r w:rsidR="009E205E">
        <w:rPr>
          <w:rFonts w:asciiTheme="minorHAnsi" w:hAnsiTheme="minorHAnsi" w:cs="Times New Roman"/>
          <w:color w:val="auto"/>
          <w:szCs w:val="24"/>
        </w:rPr>
        <w:t xml:space="preserve">The Board also took note that the mild weakness noted </w:t>
      </w:r>
      <w:r w:rsidR="00425917">
        <w:rPr>
          <w:rFonts w:asciiTheme="minorHAnsi" w:hAnsiTheme="minorHAnsi" w:cs="Times New Roman"/>
          <w:color w:val="auto"/>
          <w:szCs w:val="24"/>
        </w:rPr>
        <w:t>seven</w:t>
      </w:r>
      <w:r w:rsidR="009E205E">
        <w:rPr>
          <w:rFonts w:asciiTheme="minorHAnsi" w:hAnsiTheme="minorHAnsi" w:cs="Times New Roman"/>
          <w:color w:val="auto"/>
          <w:szCs w:val="24"/>
        </w:rPr>
        <w:t xml:space="preserve"> months prior to separation was resolved at the time of the VA C&amp;P examination</w:t>
      </w:r>
      <w:r w:rsidR="00425917">
        <w:rPr>
          <w:rFonts w:asciiTheme="minorHAnsi" w:hAnsiTheme="minorHAnsi" w:cs="Times New Roman"/>
          <w:color w:val="auto"/>
          <w:szCs w:val="24"/>
        </w:rPr>
        <w:t xml:space="preserve"> after separation</w:t>
      </w:r>
      <w:r w:rsidR="009E205E">
        <w:rPr>
          <w:rFonts w:asciiTheme="minorHAnsi" w:hAnsiTheme="minorHAnsi" w:cs="Times New Roman"/>
          <w:color w:val="auto"/>
          <w:szCs w:val="24"/>
        </w:rPr>
        <w:t>; and, was logically improving up to the time of separation.</w:t>
      </w:r>
      <w:r w:rsidR="00B1352F">
        <w:rPr>
          <w:rFonts w:asciiTheme="minorHAnsi" w:hAnsiTheme="minorHAnsi" w:cs="Times New Roman"/>
          <w:color w:val="auto"/>
          <w:szCs w:val="24"/>
        </w:rPr>
        <w:t xml:space="preserve"> </w:t>
      </w:r>
      <w:r w:rsidR="009E205E">
        <w:rPr>
          <w:rFonts w:asciiTheme="minorHAnsi" w:hAnsiTheme="minorHAnsi" w:cs="Times New Roman"/>
          <w:color w:val="auto"/>
          <w:szCs w:val="24"/>
        </w:rPr>
        <w:t xml:space="preserve"> </w:t>
      </w:r>
      <w:r w:rsidR="00EF7A82" w:rsidRPr="003C53E8">
        <w:rPr>
          <w:rFonts w:asciiTheme="minorHAnsi" w:hAnsiTheme="minorHAnsi" w:cs="Times New Roman"/>
          <w:color w:val="auto"/>
          <w:szCs w:val="24"/>
        </w:rPr>
        <w:t xml:space="preserve">After </w:t>
      </w:r>
      <w:r w:rsidR="004D63D5">
        <w:rPr>
          <w:rFonts w:asciiTheme="minorHAnsi" w:hAnsiTheme="minorHAnsi" w:cs="Times New Roman"/>
          <w:color w:val="auto"/>
          <w:szCs w:val="24"/>
        </w:rPr>
        <w:t>considerable</w:t>
      </w:r>
      <w:r w:rsidR="00EF7A82" w:rsidRPr="003C53E8">
        <w:rPr>
          <w:rFonts w:asciiTheme="minorHAnsi" w:hAnsiTheme="minorHAnsi" w:cs="Times New Roman"/>
          <w:color w:val="auto"/>
          <w:szCs w:val="24"/>
        </w:rPr>
        <w:t xml:space="preserve"> deliberation, Board </w:t>
      </w:r>
      <w:r w:rsidR="009E205E">
        <w:rPr>
          <w:rFonts w:asciiTheme="minorHAnsi" w:hAnsiTheme="minorHAnsi" w:cs="Times New Roman"/>
          <w:color w:val="auto"/>
          <w:szCs w:val="24"/>
        </w:rPr>
        <w:t xml:space="preserve">consensus was that </w:t>
      </w:r>
      <w:r w:rsidR="00EF7A82" w:rsidRPr="003C53E8">
        <w:rPr>
          <w:rFonts w:asciiTheme="minorHAnsi" w:hAnsiTheme="minorHAnsi" w:cs="Times New Roman"/>
          <w:color w:val="auto"/>
          <w:szCs w:val="24"/>
        </w:rPr>
        <w:t xml:space="preserve">the preponderance of the evidence with regard to the functional </w:t>
      </w:r>
      <w:r w:rsidR="00EF7A82" w:rsidRPr="003C53E8">
        <w:rPr>
          <w:rFonts w:asciiTheme="minorHAnsi" w:hAnsiTheme="minorHAnsi" w:cs="Times New Roman"/>
          <w:color w:val="auto"/>
          <w:szCs w:val="24"/>
        </w:rPr>
        <w:lastRenderedPageBreak/>
        <w:t xml:space="preserve">impairment of </w:t>
      </w:r>
      <w:r w:rsidR="00EF7A82">
        <w:rPr>
          <w:rFonts w:asciiTheme="minorHAnsi" w:hAnsiTheme="minorHAnsi" w:cs="Times New Roman"/>
          <w:color w:val="auto"/>
          <w:szCs w:val="24"/>
        </w:rPr>
        <w:t>the left sciatic radiculopathy</w:t>
      </w:r>
      <w:r w:rsidR="00EF7A82" w:rsidRPr="003C53E8">
        <w:rPr>
          <w:rFonts w:asciiTheme="minorHAnsi" w:hAnsiTheme="minorHAnsi" w:cs="Times New Roman"/>
          <w:color w:val="auto"/>
          <w:szCs w:val="24"/>
        </w:rPr>
        <w:t xml:space="preserve"> </w:t>
      </w:r>
      <w:r w:rsidR="004D63D5">
        <w:rPr>
          <w:rFonts w:asciiTheme="minorHAnsi" w:hAnsiTheme="minorHAnsi" w:cs="Times New Roman"/>
          <w:color w:val="auto"/>
          <w:szCs w:val="24"/>
        </w:rPr>
        <w:t xml:space="preserve">did not support a recommendation for additional </w:t>
      </w:r>
      <w:r w:rsidR="00425917">
        <w:rPr>
          <w:rFonts w:asciiTheme="minorHAnsi" w:hAnsiTheme="minorHAnsi" w:cs="Times New Roman"/>
          <w:color w:val="auto"/>
          <w:szCs w:val="24"/>
        </w:rPr>
        <w:t>s</w:t>
      </w:r>
      <w:r w:rsidR="004D63D5">
        <w:rPr>
          <w:rFonts w:asciiTheme="minorHAnsi" w:hAnsiTheme="minorHAnsi" w:cs="Times New Roman"/>
          <w:color w:val="auto"/>
          <w:szCs w:val="24"/>
        </w:rPr>
        <w:t xml:space="preserve">ervice rating on this basis. </w:t>
      </w:r>
      <w:r w:rsidR="00EF7A82" w:rsidRPr="003C53E8">
        <w:rPr>
          <w:rFonts w:asciiTheme="minorHAnsi" w:hAnsiTheme="minorHAnsi" w:cs="Times New Roman"/>
          <w:color w:val="auto"/>
          <w:szCs w:val="24"/>
        </w:rPr>
        <w:t xml:space="preserve"> </w:t>
      </w:r>
    </w:p>
    <w:p w:rsidR="00425917" w:rsidRDefault="00425917" w:rsidP="004D63D5">
      <w:pPr>
        <w:jc w:val="both"/>
        <w:rPr>
          <w:color w:val="000000" w:themeColor="text1"/>
          <w:szCs w:val="24"/>
          <w:u w:val="single"/>
        </w:rPr>
      </w:pPr>
    </w:p>
    <w:p w:rsidR="00ED39C4" w:rsidRPr="004D63D5" w:rsidRDefault="004C60A3" w:rsidP="004D63D5">
      <w:pPr>
        <w:jc w:val="both"/>
        <w:rPr>
          <w:color w:val="000000" w:themeColor="text1"/>
          <w:szCs w:val="24"/>
          <w:u w:val="single"/>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2253BF">
        <w:rPr>
          <w:color w:val="000000" w:themeColor="text1"/>
          <w:szCs w:val="24"/>
        </w:rPr>
        <w:t>One</w:t>
      </w:r>
      <w:r w:rsidR="002253BF" w:rsidRPr="001F29F9">
        <w:rPr>
          <w:color w:val="000000" w:themeColor="text1"/>
          <w:szCs w:val="24"/>
        </w:rPr>
        <w:t xml:space="preserve"> other condition</w:t>
      </w:r>
      <w:r w:rsidR="002253BF">
        <w:rPr>
          <w:color w:val="000000" w:themeColor="text1"/>
          <w:szCs w:val="24"/>
        </w:rPr>
        <w:t xml:space="preserve">, </w:t>
      </w:r>
      <w:r w:rsidR="002253BF" w:rsidRPr="002253BF">
        <w:rPr>
          <w:color w:val="000000" w:themeColor="text1"/>
          <w:szCs w:val="24"/>
        </w:rPr>
        <w:t>depressive disorder not otherwise specified</w:t>
      </w:r>
      <w:r w:rsidR="002253BF">
        <w:rPr>
          <w:color w:val="000000" w:themeColor="text1"/>
          <w:szCs w:val="24"/>
        </w:rPr>
        <w:t>, was</w:t>
      </w:r>
      <w:r w:rsidR="002253BF" w:rsidRPr="002253BF">
        <w:rPr>
          <w:color w:val="000000" w:themeColor="text1"/>
          <w:szCs w:val="24"/>
        </w:rPr>
        <w:t xml:space="preserve"> </w:t>
      </w:r>
      <w:r w:rsidR="002253BF" w:rsidRPr="001F29F9">
        <w:rPr>
          <w:color w:val="000000" w:themeColor="text1"/>
          <w:szCs w:val="24"/>
        </w:rPr>
        <w:t xml:space="preserve">forwarded by the MEB and adjudicated as not unfitting by the PEB.  </w:t>
      </w:r>
      <w:r w:rsidR="00A67F2E">
        <w:rPr>
          <w:color w:val="000000" w:themeColor="text1"/>
          <w:szCs w:val="24"/>
        </w:rPr>
        <w:t xml:space="preserve">A psychiatric addendum indicated that the CI experienced intermittent bouts of depression </w:t>
      </w:r>
      <w:r w:rsidR="00ED39C4">
        <w:rPr>
          <w:color w:val="000000" w:themeColor="text1"/>
          <w:szCs w:val="24"/>
        </w:rPr>
        <w:t>after</w:t>
      </w:r>
      <w:r w:rsidR="00A67F2E">
        <w:rPr>
          <w:color w:val="000000" w:themeColor="text1"/>
          <w:szCs w:val="24"/>
        </w:rPr>
        <w:t xml:space="preserve"> marital problems in 1998 ended in divorce.  She reported that her symptoms were well controlled with an anti-depressant.  </w:t>
      </w:r>
      <w:r w:rsidR="00ED39C4">
        <w:rPr>
          <w:color w:val="000000" w:themeColor="text1"/>
          <w:szCs w:val="24"/>
        </w:rPr>
        <w:t>The MEB psychiatrist provided an unequivocal opinion that there was no unfitting psychiatric impairment as per the following excerpt.</w:t>
      </w:r>
    </w:p>
    <w:p w:rsidR="00ED39C4" w:rsidRDefault="00ED39C4" w:rsidP="00A67F2E">
      <w:pPr>
        <w:jc w:val="both"/>
        <w:rPr>
          <w:color w:val="000000" w:themeColor="text1"/>
          <w:szCs w:val="24"/>
        </w:rPr>
      </w:pPr>
    </w:p>
    <w:p w:rsidR="00ED39C4" w:rsidRPr="00ED39C4" w:rsidRDefault="00ED39C4" w:rsidP="00ED39C4">
      <w:pPr>
        <w:spacing w:line="200" w:lineRule="exact"/>
        <w:ind w:left="720" w:right="720"/>
        <w:jc w:val="both"/>
        <w:rPr>
          <w:color w:val="000000" w:themeColor="text1"/>
          <w:sz w:val="20"/>
        </w:rPr>
      </w:pPr>
      <w:r w:rsidRPr="00ED39C4">
        <w:rPr>
          <w:color w:val="000000" w:themeColor="text1"/>
          <w:sz w:val="20"/>
        </w:rPr>
        <w:t xml:space="preserve">It is the opinion of the Medical board that although this patient suffers from some mood symptoms, these symptoms have been amenable to medication and </w:t>
      </w:r>
      <w:proofErr w:type="gramStart"/>
      <w:r w:rsidRPr="00ED39C4">
        <w:rPr>
          <w:color w:val="000000" w:themeColor="text1"/>
          <w:sz w:val="20"/>
        </w:rPr>
        <w:t>are</w:t>
      </w:r>
      <w:proofErr w:type="gramEnd"/>
      <w:r w:rsidRPr="00ED39C4">
        <w:rPr>
          <w:color w:val="000000" w:themeColor="text1"/>
          <w:sz w:val="20"/>
        </w:rPr>
        <w:t xml:space="preserve"> not of the severity to require a finding of being unfit for continued military service.  The patient is therefore found to meet retention standards from a psychiatric standpoint </w:t>
      </w:r>
      <w:proofErr w:type="spellStart"/>
      <w:r w:rsidRPr="00ED39C4">
        <w:rPr>
          <w:color w:val="000000" w:themeColor="text1"/>
          <w:sz w:val="20"/>
        </w:rPr>
        <w:t>lAW</w:t>
      </w:r>
      <w:proofErr w:type="spellEnd"/>
      <w:r w:rsidRPr="00ED39C4">
        <w:rPr>
          <w:color w:val="000000" w:themeColor="text1"/>
          <w:sz w:val="20"/>
        </w:rPr>
        <w:t xml:space="preserve"> the provisions of AR 40-501, Paragraph 3-32.</w:t>
      </w:r>
    </w:p>
    <w:p w:rsidR="00ED39C4" w:rsidRDefault="00ED39C4" w:rsidP="00A67F2E">
      <w:pPr>
        <w:jc w:val="both"/>
        <w:rPr>
          <w:color w:val="000000" w:themeColor="text1"/>
          <w:szCs w:val="24"/>
        </w:rPr>
      </w:pPr>
    </w:p>
    <w:p w:rsidR="004C60A3" w:rsidRPr="001F29F9" w:rsidRDefault="00ED39C4" w:rsidP="00A67F2E">
      <w:pPr>
        <w:jc w:val="both"/>
        <w:rPr>
          <w:rFonts w:eastAsia="HiddenHorzOCR"/>
          <w:i/>
          <w:color w:val="000000" w:themeColor="text1"/>
          <w:sz w:val="20"/>
        </w:rPr>
      </w:pPr>
      <w:r>
        <w:rPr>
          <w:color w:val="000000" w:themeColor="text1"/>
          <w:szCs w:val="24"/>
        </w:rPr>
        <w:t xml:space="preserve">This condition was not profiled </w:t>
      </w:r>
      <w:r w:rsidR="002253BF" w:rsidRPr="002253BF">
        <w:rPr>
          <w:color w:val="000000" w:themeColor="text1"/>
          <w:szCs w:val="24"/>
        </w:rPr>
        <w:t>or implicated in the commander’s</w:t>
      </w:r>
      <w:r>
        <w:rPr>
          <w:color w:val="000000" w:themeColor="text1"/>
          <w:szCs w:val="24"/>
        </w:rPr>
        <w:t xml:space="preserve"> statement</w:t>
      </w:r>
      <w:r w:rsidR="002253BF" w:rsidRPr="002253BF">
        <w:rPr>
          <w:color w:val="000000" w:themeColor="text1"/>
          <w:szCs w:val="24"/>
        </w:rPr>
        <w:t xml:space="preserve">.  </w:t>
      </w:r>
      <w:r w:rsidR="002253BF" w:rsidRPr="001F29F9">
        <w:rPr>
          <w:color w:val="000000" w:themeColor="text1"/>
          <w:szCs w:val="24"/>
        </w:rPr>
        <w:t xml:space="preserve"> </w:t>
      </w:r>
      <w:r>
        <w:rPr>
          <w:color w:val="000000" w:themeColor="text1"/>
          <w:szCs w:val="24"/>
        </w:rPr>
        <w:t>It</w:t>
      </w:r>
      <w:r w:rsidR="002253BF">
        <w:rPr>
          <w:color w:val="000000" w:themeColor="text1"/>
          <w:szCs w:val="24"/>
        </w:rPr>
        <w:t xml:space="preserve"> was</w:t>
      </w:r>
      <w:r w:rsidR="002253BF" w:rsidRPr="001F29F9">
        <w:rPr>
          <w:color w:val="000000" w:themeColor="text1"/>
          <w:szCs w:val="24"/>
        </w:rPr>
        <w:t xml:space="preserve"> reviewed by the </w:t>
      </w:r>
      <w:r w:rsidR="00425917">
        <w:rPr>
          <w:color w:val="000000" w:themeColor="text1"/>
          <w:szCs w:val="24"/>
        </w:rPr>
        <w:t>a</w:t>
      </w:r>
      <w:r w:rsidR="002253BF" w:rsidRPr="001F29F9">
        <w:rPr>
          <w:color w:val="000000" w:themeColor="text1"/>
          <w:szCs w:val="24"/>
        </w:rPr>
        <w:t xml:space="preserve">ction </w:t>
      </w:r>
      <w:r w:rsidR="00425917">
        <w:rPr>
          <w:color w:val="000000" w:themeColor="text1"/>
          <w:szCs w:val="24"/>
        </w:rPr>
        <w:t>o</w:t>
      </w:r>
      <w:r w:rsidR="002253BF" w:rsidRPr="001F29F9">
        <w:rPr>
          <w:color w:val="000000" w:themeColor="text1"/>
          <w:szCs w:val="24"/>
        </w:rPr>
        <w:t xml:space="preserve">fficer and considered by the Board.  There was no indication from the record that </w:t>
      </w:r>
      <w:r>
        <w:rPr>
          <w:color w:val="000000" w:themeColor="text1"/>
          <w:szCs w:val="24"/>
        </w:rPr>
        <w:t>it</w:t>
      </w:r>
      <w:r w:rsidR="002253BF" w:rsidRPr="001F29F9">
        <w:rPr>
          <w:color w:val="000000" w:themeColor="text1"/>
          <w:szCs w:val="24"/>
        </w:rPr>
        <w:t xml:space="preserve"> significantly interfered with satisfactory duty performance.  All evidence considered</w:t>
      </w:r>
      <w:proofErr w:type="gramStart"/>
      <w:r w:rsidR="002253BF" w:rsidRPr="001F29F9">
        <w:rPr>
          <w:color w:val="000000" w:themeColor="text1"/>
          <w:szCs w:val="24"/>
        </w:rPr>
        <w:t>,</w:t>
      </w:r>
      <w:proofErr w:type="gramEnd"/>
      <w:r w:rsidR="002253BF" w:rsidRPr="001F29F9">
        <w:rPr>
          <w:color w:val="000000" w:themeColor="text1"/>
          <w:szCs w:val="24"/>
        </w:rPr>
        <w:t xml:space="preserve"> there is not reasonable doubt in the CI’s favor supporting </w:t>
      </w:r>
      <w:r>
        <w:rPr>
          <w:color w:val="000000" w:themeColor="text1"/>
          <w:szCs w:val="24"/>
        </w:rPr>
        <w:t>a change in</w:t>
      </w:r>
      <w:r w:rsidR="002253BF" w:rsidRPr="001F29F9">
        <w:rPr>
          <w:color w:val="000000" w:themeColor="text1"/>
          <w:szCs w:val="24"/>
        </w:rPr>
        <w:t xml:space="preserve"> the PEB</w:t>
      </w:r>
      <w:r>
        <w:rPr>
          <w:color w:val="000000" w:themeColor="text1"/>
          <w:szCs w:val="24"/>
        </w:rPr>
        <w:t>’s</w:t>
      </w:r>
      <w:r w:rsidR="002253BF" w:rsidRPr="001F29F9">
        <w:rPr>
          <w:color w:val="000000" w:themeColor="text1"/>
          <w:szCs w:val="24"/>
        </w:rPr>
        <w:t xml:space="preserve"> fitness adjudication for </w:t>
      </w:r>
      <w:r>
        <w:rPr>
          <w:color w:val="000000" w:themeColor="text1"/>
          <w:szCs w:val="24"/>
        </w:rPr>
        <w:t xml:space="preserve">the </w:t>
      </w:r>
      <w:r w:rsidR="002253BF">
        <w:rPr>
          <w:color w:val="000000" w:themeColor="text1"/>
          <w:szCs w:val="24"/>
        </w:rPr>
        <w:t>depressive disorder</w:t>
      </w:r>
      <w:r w:rsidR="002253BF" w:rsidRPr="001F29F9">
        <w:rPr>
          <w:color w:val="000000" w:themeColor="text1"/>
          <w:szCs w:val="24"/>
        </w:rPr>
        <w:t>.</w:t>
      </w:r>
    </w:p>
    <w:p w:rsidR="00990FD6" w:rsidRPr="001F29F9" w:rsidRDefault="00990FD6" w:rsidP="00BF0E94">
      <w:pPr>
        <w:jc w:val="left"/>
        <w:rPr>
          <w:rFonts w:eastAsia="HiddenHorzOCR"/>
          <w:color w:val="000000" w:themeColor="text1"/>
          <w:szCs w:val="24"/>
          <w:u w:val="single"/>
        </w:rPr>
      </w:pPr>
    </w:p>
    <w:p w:rsidR="002253BF" w:rsidRPr="002253BF" w:rsidRDefault="00EC337D" w:rsidP="00A67F2E">
      <w:pPr>
        <w:jc w:val="both"/>
        <w:rPr>
          <w:rFonts w:eastAsia="HiddenHorzOC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w:t>
      </w:r>
      <w:r w:rsidR="002253BF" w:rsidRPr="002253BF">
        <w:rPr>
          <w:rFonts w:eastAsia="HiddenHorzOCR"/>
          <w:color w:val="000000" w:themeColor="text1"/>
          <w:szCs w:val="24"/>
        </w:rPr>
        <w:t>The CI’s application asserts that compensable ratings should be considered for</w:t>
      </w:r>
      <w:r w:rsidR="00A67F2E">
        <w:rPr>
          <w:rFonts w:eastAsia="HiddenHorzOCR"/>
          <w:color w:val="000000" w:themeColor="text1"/>
          <w:szCs w:val="24"/>
        </w:rPr>
        <w:t xml:space="preserve"> posttraumatic stress disorder </w:t>
      </w:r>
      <w:r w:rsidR="00ED39C4">
        <w:rPr>
          <w:rFonts w:eastAsia="HiddenHorzOCR"/>
          <w:color w:val="000000" w:themeColor="text1"/>
          <w:szCs w:val="24"/>
        </w:rPr>
        <w:t xml:space="preserve">(PTSD) </w:t>
      </w:r>
      <w:r w:rsidR="00A67F2E">
        <w:rPr>
          <w:rFonts w:eastAsia="HiddenHorzOCR"/>
          <w:color w:val="000000" w:themeColor="text1"/>
          <w:szCs w:val="24"/>
        </w:rPr>
        <w:t xml:space="preserve">and </w:t>
      </w:r>
      <w:r w:rsidR="002253BF" w:rsidRPr="002253BF">
        <w:rPr>
          <w:rFonts w:eastAsia="HiddenHorzOCR"/>
          <w:color w:val="000000" w:themeColor="text1"/>
          <w:szCs w:val="24"/>
        </w:rPr>
        <w:t xml:space="preserve">high blood pressure.  </w:t>
      </w:r>
      <w:r w:rsidR="007C3499">
        <w:rPr>
          <w:rFonts w:eastAsia="HiddenHorzOCR"/>
          <w:color w:val="000000" w:themeColor="text1"/>
          <w:szCs w:val="24"/>
        </w:rPr>
        <w:t>PTSD was noted in the differ</w:t>
      </w:r>
      <w:r w:rsidR="00E525C8">
        <w:rPr>
          <w:rFonts w:eastAsia="HiddenHorzOCR"/>
          <w:color w:val="000000" w:themeColor="text1"/>
          <w:szCs w:val="24"/>
        </w:rPr>
        <w:t>ential diagnosis of outpatient s</w:t>
      </w:r>
      <w:r w:rsidR="007C3499">
        <w:rPr>
          <w:rFonts w:eastAsia="HiddenHorzOCR"/>
          <w:color w:val="000000" w:themeColor="text1"/>
          <w:szCs w:val="24"/>
        </w:rPr>
        <w:t xml:space="preserve">ervice mental health notes; but, specifically addressed and excluded as an </w:t>
      </w:r>
      <w:r w:rsidR="00E525C8">
        <w:rPr>
          <w:rFonts w:eastAsia="HiddenHorzOCR"/>
          <w:color w:val="000000" w:themeColor="text1"/>
          <w:szCs w:val="24"/>
        </w:rPr>
        <w:t>a</w:t>
      </w:r>
      <w:r w:rsidR="007C3499">
        <w:rPr>
          <w:rFonts w:eastAsia="HiddenHorzOCR"/>
          <w:color w:val="000000" w:themeColor="text1"/>
          <w:szCs w:val="24"/>
        </w:rPr>
        <w:t>xis I diagnosis by the MEB psychiatrist.  Regardless of the diagnosis, the absence of unfitting psychiatric impairment has been established as above.  Hypertension was noted in the medical history on the psychiatric ad</w:t>
      </w:r>
      <w:r w:rsidR="000D1805">
        <w:rPr>
          <w:rFonts w:eastAsia="HiddenHorzOCR"/>
          <w:color w:val="000000" w:themeColor="text1"/>
          <w:szCs w:val="24"/>
        </w:rPr>
        <w:t xml:space="preserve">dendum, but not in the NARSUM.  It was not </w:t>
      </w:r>
      <w:r w:rsidR="00E525C8">
        <w:rPr>
          <w:rFonts w:eastAsia="HiddenHorzOCR"/>
          <w:color w:val="000000" w:themeColor="text1"/>
          <w:szCs w:val="24"/>
        </w:rPr>
        <w:t>s</w:t>
      </w:r>
      <w:r w:rsidR="000D1805">
        <w:rPr>
          <w:rFonts w:eastAsia="HiddenHorzOCR"/>
          <w:color w:val="000000" w:themeColor="text1"/>
          <w:szCs w:val="24"/>
        </w:rPr>
        <w:t xml:space="preserve">ervice connected by the VA, and there is no evidence of associated symptoms or medical complications.  </w:t>
      </w:r>
      <w:r w:rsidR="00A67F2E">
        <w:rPr>
          <w:rFonts w:eastAsia="HiddenHorzOCR"/>
          <w:color w:val="000000" w:themeColor="text1"/>
          <w:szCs w:val="24"/>
        </w:rPr>
        <w:t>Both</w:t>
      </w:r>
      <w:r w:rsidR="002253BF" w:rsidRPr="002253BF">
        <w:rPr>
          <w:rFonts w:eastAsia="HiddenHorzOCR"/>
          <w:color w:val="000000" w:themeColor="text1"/>
          <w:szCs w:val="24"/>
        </w:rPr>
        <w:t xml:space="preserve"> of these conditions were reviewed by the </w:t>
      </w:r>
      <w:r w:rsidR="00E525C8">
        <w:rPr>
          <w:rFonts w:eastAsia="HiddenHorzOCR"/>
          <w:color w:val="000000" w:themeColor="text1"/>
          <w:szCs w:val="24"/>
        </w:rPr>
        <w:t>a</w:t>
      </w:r>
      <w:r w:rsidR="00ED39C4" w:rsidRPr="002253BF">
        <w:rPr>
          <w:rFonts w:eastAsia="HiddenHorzOCR"/>
          <w:color w:val="000000" w:themeColor="text1"/>
          <w:szCs w:val="24"/>
        </w:rPr>
        <w:t xml:space="preserve">ction </w:t>
      </w:r>
      <w:r w:rsidR="00E525C8">
        <w:rPr>
          <w:rFonts w:eastAsia="HiddenHorzOCR"/>
          <w:color w:val="000000" w:themeColor="text1"/>
          <w:szCs w:val="24"/>
        </w:rPr>
        <w:t>o</w:t>
      </w:r>
      <w:r w:rsidR="00ED39C4" w:rsidRPr="002253BF">
        <w:rPr>
          <w:rFonts w:eastAsia="HiddenHorzOCR"/>
          <w:color w:val="000000" w:themeColor="text1"/>
          <w:szCs w:val="24"/>
        </w:rPr>
        <w:t xml:space="preserve">fficer </w:t>
      </w:r>
      <w:r w:rsidR="002253BF" w:rsidRPr="002253BF">
        <w:rPr>
          <w:rFonts w:eastAsia="HiddenHorzOCR"/>
          <w:color w:val="000000" w:themeColor="text1"/>
          <w:szCs w:val="24"/>
        </w:rPr>
        <w:t xml:space="preserve">and considered by the Board.  There was no evidence for concluding that </w:t>
      </w:r>
      <w:r w:rsidR="00A67F2E">
        <w:rPr>
          <w:rFonts w:eastAsia="HiddenHorzOCR"/>
          <w:color w:val="000000" w:themeColor="text1"/>
          <w:szCs w:val="24"/>
        </w:rPr>
        <w:t>either</w:t>
      </w:r>
      <w:r w:rsidR="002253BF" w:rsidRPr="002253BF">
        <w:rPr>
          <w:rFonts w:eastAsia="HiddenHorzOCR"/>
          <w:color w:val="000000" w:themeColor="text1"/>
          <w:szCs w:val="24"/>
        </w:rPr>
        <w:t xml:space="preserve"> of the conditions interfered with duty performance to a degree that could be argued as unfitting.  The Board determined therefore that </w:t>
      </w:r>
      <w:r w:rsidR="00A67F2E">
        <w:rPr>
          <w:rFonts w:eastAsia="HiddenHorzOCR"/>
          <w:color w:val="000000" w:themeColor="text1"/>
          <w:szCs w:val="24"/>
        </w:rPr>
        <w:t>neither</w:t>
      </w:r>
      <w:r w:rsidR="002253BF" w:rsidRPr="002253BF">
        <w:rPr>
          <w:rFonts w:eastAsia="HiddenHorzOCR"/>
          <w:color w:val="000000" w:themeColor="text1"/>
          <w:szCs w:val="24"/>
        </w:rPr>
        <w:t xml:space="preserve"> of the stated conditions </w:t>
      </w:r>
      <w:r w:rsidR="00F97BF6" w:rsidRPr="002253BF">
        <w:rPr>
          <w:rFonts w:eastAsia="HiddenHorzOCR"/>
          <w:color w:val="000000" w:themeColor="text1"/>
          <w:szCs w:val="24"/>
        </w:rPr>
        <w:t>was</w:t>
      </w:r>
      <w:r w:rsidR="002253BF" w:rsidRPr="002253BF">
        <w:rPr>
          <w:rFonts w:eastAsia="HiddenHorzOCR"/>
          <w:color w:val="000000" w:themeColor="text1"/>
          <w:szCs w:val="24"/>
        </w:rPr>
        <w:t xml:space="preserve"> subject to </w:t>
      </w:r>
      <w:r w:rsidR="00E525C8">
        <w:rPr>
          <w:rFonts w:eastAsia="HiddenHorzOCR"/>
          <w:color w:val="000000" w:themeColor="text1"/>
          <w:szCs w:val="24"/>
        </w:rPr>
        <w:t>s</w:t>
      </w:r>
      <w:r w:rsidR="002253BF" w:rsidRPr="002253BF">
        <w:rPr>
          <w:rFonts w:eastAsia="HiddenHorzOCR"/>
          <w:color w:val="000000" w:themeColor="text1"/>
          <w:szCs w:val="24"/>
        </w:rPr>
        <w:t>ervice disability rating.</w:t>
      </w:r>
    </w:p>
    <w:p w:rsidR="00226B1A" w:rsidRPr="001F29F9" w:rsidRDefault="00226B1A" w:rsidP="006364ED">
      <w:pPr>
        <w:jc w:val="left"/>
        <w:rPr>
          <w:color w:val="000000" w:themeColor="text1"/>
        </w:rPr>
      </w:pPr>
    </w:p>
    <w:p w:rsidR="002253BF" w:rsidRPr="002253BF" w:rsidRDefault="00EC337D" w:rsidP="00F97BF6">
      <w:pPr>
        <w:jc w:val="both"/>
        <w:rPr>
          <w:color w:val="000000" w:themeColor="text1"/>
          <w:szCs w:val="24"/>
        </w:rPr>
      </w:pPr>
      <w:proofErr w:type="gramStart"/>
      <w:r w:rsidRPr="000D1805">
        <w:rPr>
          <w:color w:val="000000" w:themeColor="text1"/>
          <w:szCs w:val="24"/>
          <w:u w:val="single"/>
        </w:rPr>
        <w:t>Remaining Conditions</w:t>
      </w:r>
      <w:r w:rsidRPr="000D1805">
        <w:rPr>
          <w:color w:val="000000" w:themeColor="text1"/>
          <w:szCs w:val="24"/>
        </w:rPr>
        <w:t>.</w:t>
      </w:r>
      <w:proofErr w:type="gramEnd"/>
      <w:r w:rsidRPr="001F29F9">
        <w:rPr>
          <w:color w:val="000000" w:themeColor="text1"/>
          <w:szCs w:val="24"/>
        </w:rPr>
        <w:t xml:space="preserve">  </w:t>
      </w:r>
      <w:r w:rsidR="002253BF" w:rsidRPr="002253BF">
        <w:rPr>
          <w:color w:val="000000" w:themeColor="text1"/>
          <w:szCs w:val="24"/>
        </w:rPr>
        <w:t>Other conditions identified in the DES file were sinusitis, arthritis, frequent urination, dizziness, sea sickness, chest pain and endometriosis.  Several additional non-acute conditions or medical complaints were also documented.  None of these conditions were significantly clinically or occupational</w:t>
      </w:r>
      <w:r w:rsidR="000D1805">
        <w:rPr>
          <w:color w:val="000000" w:themeColor="text1"/>
          <w:szCs w:val="24"/>
        </w:rPr>
        <w:t>ly active during the MEB period;</w:t>
      </w:r>
      <w:r w:rsidR="002253BF" w:rsidRPr="002253BF">
        <w:rPr>
          <w:color w:val="000000" w:themeColor="text1"/>
          <w:szCs w:val="24"/>
        </w:rPr>
        <w:t xml:space="preserve"> none carried attached profiles</w:t>
      </w:r>
      <w:r w:rsidR="000D1805">
        <w:rPr>
          <w:color w:val="000000" w:themeColor="text1"/>
          <w:szCs w:val="24"/>
        </w:rPr>
        <w:t>;</w:t>
      </w:r>
      <w:r w:rsidR="002253BF" w:rsidRPr="002253BF">
        <w:rPr>
          <w:color w:val="000000" w:themeColor="text1"/>
          <w:szCs w:val="24"/>
        </w:rPr>
        <w:t xml:space="preserve"> and</w:t>
      </w:r>
      <w:r w:rsidR="000D1805">
        <w:rPr>
          <w:color w:val="000000" w:themeColor="text1"/>
          <w:szCs w:val="24"/>
        </w:rPr>
        <w:t>,</w:t>
      </w:r>
      <w:r w:rsidR="002253BF" w:rsidRPr="002253BF">
        <w:rPr>
          <w:color w:val="000000" w:themeColor="text1"/>
          <w:szCs w:val="24"/>
        </w:rPr>
        <w:t xml:space="preserve"> none were implicated in the commander’s statement.  These conditions were reviewed by the </w:t>
      </w:r>
      <w:r w:rsidR="00E525C8">
        <w:rPr>
          <w:color w:val="000000" w:themeColor="text1"/>
          <w:szCs w:val="24"/>
        </w:rPr>
        <w:t>a</w:t>
      </w:r>
      <w:r w:rsidR="000D1805" w:rsidRPr="002253BF">
        <w:rPr>
          <w:color w:val="000000" w:themeColor="text1"/>
          <w:szCs w:val="24"/>
        </w:rPr>
        <w:t xml:space="preserve">ction </w:t>
      </w:r>
      <w:r w:rsidR="00E525C8">
        <w:rPr>
          <w:color w:val="000000" w:themeColor="text1"/>
          <w:szCs w:val="24"/>
        </w:rPr>
        <w:t>o</w:t>
      </w:r>
      <w:r w:rsidR="000D1805" w:rsidRPr="002253BF">
        <w:rPr>
          <w:color w:val="000000" w:themeColor="text1"/>
          <w:szCs w:val="24"/>
        </w:rPr>
        <w:t xml:space="preserve">fficer </w:t>
      </w:r>
      <w:r w:rsidR="002253BF" w:rsidRPr="002253BF">
        <w:rPr>
          <w:color w:val="000000" w:themeColor="text1"/>
          <w:szCs w:val="24"/>
        </w:rPr>
        <w:t>and considered by the Board.  It was determined that none could be argued as unfitting and subject to separation rating.  Additionally anorexia nervosa with bulimia 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0C52AA" w:rsidRPr="000C52AA" w:rsidRDefault="00C56FC8" w:rsidP="000C52AA">
      <w:pPr>
        <w:jc w:val="both"/>
        <w:rPr>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F97BF6">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As discussed above, PEB reliance on the USAPDA pain policy </w:t>
      </w:r>
      <w:r w:rsidR="003C53E8" w:rsidRPr="004D63D5">
        <w:rPr>
          <w:rFonts w:asciiTheme="minorHAnsi" w:eastAsiaTheme="minorHAnsi" w:hAnsiTheme="minorHAnsi" w:cs="Times New Roman"/>
          <w:color w:val="auto"/>
          <w:szCs w:val="24"/>
        </w:rPr>
        <w:t xml:space="preserve">for rating </w:t>
      </w:r>
      <w:r w:rsidR="00F97BF6" w:rsidRPr="004D63D5">
        <w:rPr>
          <w:rFonts w:asciiTheme="minorHAnsi" w:eastAsiaTheme="minorHAnsi" w:hAnsiTheme="minorHAnsi" w:cs="Times New Roman"/>
          <w:color w:val="auto"/>
          <w:szCs w:val="24"/>
        </w:rPr>
        <w:t>back</w:t>
      </w:r>
      <w:r w:rsidR="003C53E8" w:rsidRPr="004D63D5">
        <w:rPr>
          <w:rFonts w:asciiTheme="minorHAnsi" w:eastAsiaTheme="minorHAnsi" w:hAnsiTheme="minorHAnsi" w:cs="Times New Roman"/>
          <w:color w:val="auto"/>
          <w:szCs w:val="24"/>
        </w:rPr>
        <w:t xml:space="preserve"> was operant in this case and the condition was adjudicated independently of that policy by the Board. </w:t>
      </w:r>
      <w:r w:rsidR="00F97BF6" w:rsidRPr="004D63D5">
        <w:rPr>
          <w:rFonts w:asciiTheme="minorHAnsi" w:eastAsiaTheme="minorHAnsi" w:hAnsiTheme="minorHAnsi" w:cs="Times New Roman"/>
          <w:color w:val="auto"/>
          <w:szCs w:val="24"/>
        </w:rPr>
        <w:t xml:space="preserve"> </w:t>
      </w:r>
      <w:r w:rsidR="003C53E8" w:rsidRPr="004D63D5">
        <w:rPr>
          <w:rFonts w:asciiTheme="minorHAnsi" w:eastAsiaTheme="minorHAnsi" w:hAnsiTheme="minorHAnsi" w:cs="Times New Roman"/>
          <w:color w:val="auto"/>
          <w:szCs w:val="24"/>
        </w:rPr>
        <w:t xml:space="preserve">In the matter of the </w:t>
      </w:r>
      <w:r w:rsidR="000D1805" w:rsidRPr="004D63D5">
        <w:rPr>
          <w:rFonts w:asciiTheme="minorHAnsi" w:eastAsiaTheme="minorHAnsi" w:hAnsiTheme="minorHAnsi" w:cs="Times New Roman"/>
          <w:color w:val="auto"/>
          <w:szCs w:val="24"/>
        </w:rPr>
        <w:t>lumbar spine</w:t>
      </w:r>
      <w:r w:rsidR="003C53E8" w:rsidRPr="004D63D5">
        <w:rPr>
          <w:rFonts w:asciiTheme="minorHAnsi" w:eastAsiaTheme="minorHAnsi" w:hAnsiTheme="minorHAnsi" w:cs="Times New Roman"/>
          <w:color w:val="auto"/>
          <w:szCs w:val="24"/>
        </w:rPr>
        <w:t xml:space="preserve"> </w:t>
      </w:r>
      <w:r w:rsidR="003C53E8" w:rsidRPr="004D63D5">
        <w:rPr>
          <w:rFonts w:asciiTheme="minorHAnsi" w:eastAsiaTheme="minorHAnsi" w:hAnsiTheme="minorHAnsi" w:cs="Times New Roman"/>
          <w:color w:val="auto"/>
          <w:szCs w:val="24"/>
        </w:rPr>
        <w:lastRenderedPageBreak/>
        <w:t xml:space="preserve">condition, the Board unanimously recommends a rating of </w:t>
      </w:r>
      <w:r w:rsidR="00F97BF6" w:rsidRPr="004D63D5">
        <w:rPr>
          <w:rFonts w:asciiTheme="minorHAnsi" w:eastAsiaTheme="minorHAnsi" w:hAnsiTheme="minorHAnsi" w:cs="Times New Roman"/>
          <w:color w:val="auto"/>
          <w:szCs w:val="24"/>
        </w:rPr>
        <w:t>2</w:t>
      </w:r>
      <w:r w:rsidR="003C53E8" w:rsidRPr="004D63D5">
        <w:rPr>
          <w:rFonts w:asciiTheme="minorHAnsi" w:eastAsiaTheme="minorHAnsi" w:hAnsiTheme="minorHAnsi" w:cs="Times New Roman"/>
          <w:color w:val="auto"/>
          <w:szCs w:val="24"/>
        </w:rPr>
        <w:t xml:space="preserve">0% coded </w:t>
      </w:r>
      <w:r w:rsidR="00F97BF6" w:rsidRPr="004D63D5">
        <w:rPr>
          <w:rFonts w:asciiTheme="minorHAnsi" w:eastAsiaTheme="minorHAnsi" w:hAnsiTheme="minorHAnsi" w:cs="Times New Roman"/>
          <w:color w:val="auto"/>
          <w:szCs w:val="24"/>
        </w:rPr>
        <w:t>5243</w:t>
      </w:r>
      <w:r w:rsidR="003C53E8" w:rsidRPr="004D63D5">
        <w:rPr>
          <w:rFonts w:asciiTheme="minorHAnsi" w:eastAsiaTheme="minorHAnsi" w:hAnsiTheme="minorHAnsi" w:cs="Times New Roman"/>
          <w:color w:val="auto"/>
          <w:szCs w:val="24"/>
        </w:rPr>
        <w:t xml:space="preserve"> </w:t>
      </w:r>
      <w:r w:rsidR="003C53E8" w:rsidRPr="004D63D5">
        <w:rPr>
          <w:rFonts w:asciiTheme="minorHAnsi" w:hAnsiTheme="minorHAnsi" w:cs="Times New Roman"/>
          <w:color w:val="auto"/>
          <w:szCs w:val="24"/>
        </w:rPr>
        <w:t xml:space="preserve">IAW VASRD §4.71a.  In the matter of the </w:t>
      </w:r>
      <w:r w:rsidR="00F97BF6" w:rsidRPr="004D63D5">
        <w:rPr>
          <w:rFonts w:asciiTheme="minorHAnsi" w:hAnsiTheme="minorHAnsi" w:cs="Times New Roman"/>
          <w:color w:val="auto"/>
          <w:szCs w:val="24"/>
        </w:rPr>
        <w:t xml:space="preserve">left </w:t>
      </w:r>
      <w:r w:rsidR="000D1805" w:rsidRPr="004D63D5">
        <w:rPr>
          <w:rFonts w:asciiTheme="minorHAnsi" w:hAnsiTheme="minorHAnsi" w:cs="Times New Roman"/>
          <w:color w:val="auto"/>
          <w:szCs w:val="24"/>
        </w:rPr>
        <w:t>sciatic radiculopath</w:t>
      </w:r>
      <w:r w:rsidR="000C52AA" w:rsidRPr="004D63D5">
        <w:rPr>
          <w:rFonts w:asciiTheme="minorHAnsi" w:hAnsiTheme="minorHAnsi" w:cs="Times New Roman"/>
          <w:color w:val="auto"/>
          <w:szCs w:val="24"/>
        </w:rPr>
        <w:t>y</w:t>
      </w:r>
      <w:r w:rsidR="003C53E8" w:rsidRPr="004D63D5">
        <w:rPr>
          <w:rFonts w:asciiTheme="minorHAnsi" w:hAnsiTheme="minorHAnsi" w:cs="Times New Roman"/>
          <w:color w:val="auto"/>
          <w:szCs w:val="24"/>
        </w:rPr>
        <w:t xml:space="preserve"> condition, the Board </w:t>
      </w:r>
      <w:r w:rsidR="004D63D5">
        <w:rPr>
          <w:rFonts w:asciiTheme="minorHAnsi" w:hAnsiTheme="minorHAnsi" w:cs="Times New Roman"/>
          <w:color w:val="auto"/>
          <w:szCs w:val="24"/>
        </w:rPr>
        <w:t>concurs</w:t>
      </w:r>
      <w:r w:rsidR="004D63D5" w:rsidRPr="004D63D5">
        <w:rPr>
          <w:rFonts w:asciiTheme="minorHAnsi" w:hAnsiTheme="minorHAnsi" w:cs="Times New Roman"/>
          <w:color w:val="auto"/>
          <w:szCs w:val="24"/>
        </w:rPr>
        <w:t xml:space="preserve"> </w:t>
      </w:r>
      <w:r w:rsidR="004D63D5">
        <w:rPr>
          <w:rFonts w:asciiTheme="minorHAnsi" w:hAnsiTheme="minorHAnsi" w:cs="Times New Roman"/>
          <w:color w:val="auto"/>
          <w:szCs w:val="24"/>
        </w:rPr>
        <w:t>by a 2:1 vote</w:t>
      </w:r>
      <w:r w:rsidR="004D63D5" w:rsidRPr="004D63D5">
        <w:rPr>
          <w:rFonts w:asciiTheme="minorHAnsi" w:hAnsiTheme="minorHAnsi" w:cs="Times New Roman"/>
          <w:color w:val="auto"/>
          <w:szCs w:val="24"/>
        </w:rPr>
        <w:t xml:space="preserve"> that it cannot recommend a finding of unfit for additional rating at separation.  The single voter for dissent (who recommended </w:t>
      </w:r>
      <w:r w:rsidR="004D63D5">
        <w:rPr>
          <w:rFonts w:asciiTheme="minorHAnsi" w:hAnsiTheme="minorHAnsi" w:cs="Times New Roman"/>
          <w:color w:val="auto"/>
          <w:szCs w:val="24"/>
        </w:rPr>
        <w:t xml:space="preserve">a </w:t>
      </w:r>
      <w:r w:rsidR="00E525C8">
        <w:rPr>
          <w:rFonts w:asciiTheme="minorHAnsi" w:hAnsiTheme="minorHAnsi" w:cs="Times New Roman"/>
          <w:color w:val="auto"/>
          <w:szCs w:val="24"/>
        </w:rPr>
        <w:t>s</w:t>
      </w:r>
      <w:r w:rsidR="004D63D5">
        <w:rPr>
          <w:rFonts w:asciiTheme="minorHAnsi" w:hAnsiTheme="minorHAnsi" w:cs="Times New Roman"/>
          <w:color w:val="auto"/>
          <w:szCs w:val="24"/>
        </w:rPr>
        <w:t xml:space="preserve">ervice rating of 10% for sciatic radiculopathy </w:t>
      </w:r>
      <w:r w:rsidR="00437C3F" w:rsidRPr="004D63D5">
        <w:rPr>
          <w:rFonts w:asciiTheme="minorHAnsi" w:hAnsiTheme="minorHAnsi" w:cs="Times New Roman"/>
          <w:color w:val="auto"/>
          <w:szCs w:val="24"/>
        </w:rPr>
        <w:t>coded</w:t>
      </w:r>
      <w:r w:rsidR="00437C3F" w:rsidRPr="003C53E8">
        <w:rPr>
          <w:rFonts w:asciiTheme="minorHAnsi" w:hAnsiTheme="minorHAnsi" w:cs="Times New Roman"/>
          <w:color w:val="auto"/>
          <w:szCs w:val="24"/>
        </w:rPr>
        <w:t xml:space="preserve"> </w:t>
      </w:r>
      <w:r w:rsidR="00437C3F">
        <w:rPr>
          <w:rFonts w:asciiTheme="minorHAnsi" w:hAnsiTheme="minorHAnsi" w:cs="Times New Roman"/>
          <w:color w:val="auto"/>
          <w:szCs w:val="24"/>
        </w:rPr>
        <w:t>8520</w:t>
      </w:r>
      <w:r w:rsidR="004D63D5" w:rsidRPr="004D63D5">
        <w:rPr>
          <w:rFonts w:asciiTheme="minorHAnsi" w:hAnsiTheme="minorHAnsi" w:cs="Times New Roman"/>
          <w:color w:val="auto"/>
          <w:szCs w:val="24"/>
        </w:rPr>
        <w:t>) did not elect to submit a minority opinion.</w:t>
      </w:r>
      <w:r w:rsidR="00437C3F">
        <w:rPr>
          <w:rFonts w:asciiTheme="minorHAnsi" w:hAnsiTheme="minorHAnsi" w:cs="Times New Roman"/>
          <w:color w:val="auto"/>
          <w:szCs w:val="24"/>
        </w:rPr>
        <w:t xml:space="preserve">  </w:t>
      </w:r>
      <w:r w:rsidR="00F97BF6" w:rsidRPr="003C53E8">
        <w:rPr>
          <w:rFonts w:asciiTheme="minorHAnsi" w:hAnsiTheme="minorHAnsi" w:cs="Times New Roman"/>
          <w:color w:val="auto"/>
          <w:szCs w:val="24"/>
        </w:rPr>
        <w:t xml:space="preserve">In the matter of the </w:t>
      </w:r>
      <w:r w:rsidR="00F97BF6" w:rsidRPr="002253BF">
        <w:rPr>
          <w:color w:val="000000" w:themeColor="text1"/>
          <w:szCs w:val="24"/>
        </w:rPr>
        <w:t>depressive disorder</w:t>
      </w:r>
      <w:r w:rsidR="00F97BF6" w:rsidRPr="003C53E8">
        <w:rPr>
          <w:rFonts w:asciiTheme="minorHAnsi" w:hAnsiTheme="minorHAnsi" w:cs="Times New Roman"/>
          <w:color w:val="auto"/>
          <w:szCs w:val="24"/>
        </w:rPr>
        <w:t xml:space="preserve">, the Board </w:t>
      </w:r>
      <w:r w:rsidR="00F97BF6" w:rsidRPr="000C52AA">
        <w:rPr>
          <w:rFonts w:asciiTheme="minorHAnsi" w:hAnsiTheme="minorHAnsi" w:cs="Times New Roman"/>
          <w:color w:val="auto"/>
          <w:szCs w:val="24"/>
        </w:rPr>
        <w:t>unanimously recommends no c</w:t>
      </w:r>
      <w:r w:rsidR="000C52AA" w:rsidRPr="000C52AA">
        <w:rPr>
          <w:rFonts w:asciiTheme="minorHAnsi" w:hAnsiTheme="minorHAnsi" w:cs="Times New Roman"/>
          <w:color w:val="auto"/>
          <w:szCs w:val="24"/>
        </w:rPr>
        <w:t>hange from the PEB adjudication</w:t>
      </w:r>
      <w:r w:rsidR="00F97BF6" w:rsidRPr="000C52AA">
        <w:rPr>
          <w:rFonts w:asciiTheme="minorHAnsi" w:hAnsiTheme="minorHAnsi" w:cs="Times New Roman"/>
          <w:color w:val="auto"/>
          <w:szCs w:val="24"/>
        </w:rPr>
        <w:t xml:space="preserve"> as not unfitting.  In the matter of the </w:t>
      </w:r>
      <w:r w:rsidR="000C52AA" w:rsidRPr="000C52AA">
        <w:rPr>
          <w:rFonts w:asciiTheme="minorHAnsi" w:hAnsiTheme="minorHAnsi" w:cs="Times New Roman"/>
          <w:color w:val="auto"/>
          <w:szCs w:val="24"/>
        </w:rPr>
        <w:t xml:space="preserve">contended </w:t>
      </w:r>
      <w:r w:rsidR="00E525C8">
        <w:rPr>
          <w:rFonts w:asciiTheme="minorHAnsi" w:hAnsiTheme="minorHAnsi" w:cs="Times New Roman"/>
          <w:color w:val="auto"/>
          <w:szCs w:val="24"/>
        </w:rPr>
        <w:t>PTSD</w:t>
      </w:r>
      <w:r w:rsidR="000C52AA" w:rsidRPr="000C52AA">
        <w:rPr>
          <w:rFonts w:asciiTheme="minorHAnsi" w:hAnsiTheme="minorHAnsi" w:cs="Times New Roman"/>
          <w:color w:val="auto"/>
          <w:szCs w:val="24"/>
        </w:rPr>
        <w:t xml:space="preserve"> and hypertension conditions, the Board unanimously agrees that</w:t>
      </w:r>
      <w:r w:rsidR="000C52AA" w:rsidRPr="003C53E8">
        <w:rPr>
          <w:rFonts w:asciiTheme="minorHAnsi" w:hAnsiTheme="minorHAnsi" w:cs="Times New Roman"/>
          <w:color w:val="auto"/>
          <w:szCs w:val="24"/>
        </w:rPr>
        <w:t xml:space="preserve"> it cannot</w:t>
      </w:r>
      <w:r w:rsidR="000C52AA" w:rsidRPr="003C53E8">
        <w:rPr>
          <w:rFonts w:asciiTheme="minorHAnsi" w:hAnsiTheme="minorHAnsi" w:cs="Times New Roman"/>
          <w:color w:val="000080"/>
          <w:szCs w:val="24"/>
        </w:rPr>
        <w:t xml:space="preserve"> </w:t>
      </w:r>
      <w:r w:rsidR="000C52AA" w:rsidRPr="003C53E8">
        <w:rPr>
          <w:rFonts w:asciiTheme="minorHAnsi" w:hAnsiTheme="minorHAnsi" w:cs="Times New Roman"/>
          <w:color w:val="auto"/>
          <w:szCs w:val="24"/>
        </w:rPr>
        <w:t>recommend any findings of unfit for additional rating at separation.</w:t>
      </w:r>
      <w:r w:rsidR="000C52AA">
        <w:rPr>
          <w:rFonts w:asciiTheme="minorHAnsi" w:hAnsiTheme="minorHAnsi" w:cs="Times New Roman"/>
          <w:color w:val="auto"/>
          <w:szCs w:val="24"/>
        </w:rPr>
        <w:t xml:space="preserve"> </w:t>
      </w:r>
      <w:r w:rsidR="000C52AA" w:rsidRPr="000C52AA">
        <w:rPr>
          <w:color w:val="000000" w:themeColor="text1"/>
          <w:szCs w:val="24"/>
        </w:rPr>
        <w:t>The Board unanimously agrees that there were no other conditions eligible for Board consideration which could be recommended as additionally unfitting for rating at separation.</w:t>
      </w:r>
    </w:p>
    <w:p w:rsidR="000C52AA" w:rsidRPr="001F29F9" w:rsidRDefault="000C52AA" w:rsidP="000C52AA">
      <w:pPr>
        <w:pBdr>
          <w:bottom w:val="single" w:sz="12" w:space="1" w:color="auto"/>
        </w:pBdr>
        <w:tabs>
          <w:tab w:val="left" w:pos="288"/>
          <w:tab w:val="left" w:pos="4752"/>
        </w:tabs>
        <w:jc w:val="both"/>
        <w:rPr>
          <w:color w:val="000000" w:themeColor="text1"/>
        </w:rPr>
      </w:pPr>
    </w:p>
    <w:p w:rsidR="000C52AA" w:rsidRPr="001F29F9" w:rsidRDefault="000C52AA" w:rsidP="000C52AA">
      <w:pPr>
        <w:jc w:val="left"/>
        <w:rPr>
          <w:color w:val="000000" w:themeColor="text1"/>
          <w:szCs w:val="24"/>
        </w:rPr>
      </w:pPr>
    </w:p>
    <w:p w:rsidR="00437C3F" w:rsidRPr="00437C3F" w:rsidRDefault="00C56FC8" w:rsidP="00437C3F">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F97BF6" w:rsidRPr="00F97BF6">
        <w:rPr>
          <w:color w:val="000000" w:themeColor="text1"/>
          <w:szCs w:val="24"/>
        </w:rPr>
        <w:t xml:space="preserve"> </w:t>
      </w:r>
      <w:r w:rsidR="00F97BF6">
        <w:rPr>
          <w:color w:val="000000" w:themeColor="text1"/>
          <w:szCs w:val="24"/>
        </w:rPr>
        <w:t xml:space="preserve"> </w:t>
      </w:r>
      <w:r w:rsidR="00437C3F" w:rsidRPr="00437C3F">
        <w:rPr>
          <w:color w:val="000000" w:themeColor="text1"/>
          <w:szCs w:val="24"/>
        </w:rPr>
        <w:t>The Board recommends that the CI’s prior determination be modified as follows, effective as of the date of her prior medical separation.</w:t>
      </w:r>
    </w:p>
    <w:p w:rsidR="00BA6A9C" w:rsidRPr="001F29F9" w:rsidRDefault="00BA6A9C" w:rsidP="00437C3F">
      <w:pPr>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8"/>
        <w:gridCol w:w="1620"/>
        <w:gridCol w:w="1080"/>
      </w:tblGrid>
      <w:tr w:rsidR="00A95BBA" w:rsidRPr="001F29F9" w:rsidTr="000C52AA">
        <w:trPr>
          <w:trHeight w:val="233"/>
          <w:jc w:val="center"/>
        </w:trPr>
        <w:tc>
          <w:tcPr>
            <w:tcW w:w="6588"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62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08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0C52AA">
        <w:trPr>
          <w:jc w:val="center"/>
        </w:trPr>
        <w:tc>
          <w:tcPr>
            <w:tcW w:w="6588" w:type="dxa"/>
            <w:vAlign w:val="center"/>
          </w:tcPr>
          <w:p w:rsidR="00A95BBA" w:rsidRPr="001F29F9" w:rsidRDefault="00437C3F" w:rsidP="00437C3F">
            <w:pPr>
              <w:tabs>
                <w:tab w:val="left" w:pos="288"/>
                <w:tab w:val="left" w:pos="4752"/>
              </w:tabs>
              <w:jc w:val="left"/>
              <w:rPr>
                <w:color w:val="000000" w:themeColor="text1"/>
                <w:szCs w:val="24"/>
              </w:rPr>
            </w:pPr>
            <w:r>
              <w:rPr>
                <w:color w:val="000000" w:themeColor="text1"/>
                <w:szCs w:val="24"/>
              </w:rPr>
              <w:t xml:space="preserve">Lumbosacral </w:t>
            </w:r>
            <w:r w:rsidR="00F97BF6">
              <w:rPr>
                <w:color w:val="000000" w:themeColor="text1"/>
                <w:szCs w:val="24"/>
              </w:rPr>
              <w:t>Disc Disease</w:t>
            </w:r>
          </w:p>
        </w:tc>
        <w:tc>
          <w:tcPr>
            <w:tcW w:w="1620" w:type="dxa"/>
            <w:vAlign w:val="center"/>
          </w:tcPr>
          <w:p w:rsidR="00A95BBA" w:rsidRPr="00F97BF6" w:rsidRDefault="00F97BF6" w:rsidP="00F97BF6">
            <w:pPr>
              <w:tabs>
                <w:tab w:val="left" w:pos="288"/>
                <w:tab w:val="left" w:pos="4752"/>
              </w:tabs>
              <w:rPr>
                <w:color w:val="000000" w:themeColor="text1"/>
                <w:szCs w:val="24"/>
              </w:rPr>
            </w:pPr>
            <w:r w:rsidRPr="00F97BF6">
              <w:rPr>
                <w:color w:val="000000" w:themeColor="text1"/>
                <w:szCs w:val="24"/>
              </w:rPr>
              <w:t>524</w:t>
            </w:r>
            <w:r>
              <w:rPr>
                <w:color w:val="000000" w:themeColor="text1"/>
                <w:szCs w:val="24"/>
              </w:rPr>
              <w:t>3</w:t>
            </w:r>
          </w:p>
        </w:tc>
        <w:tc>
          <w:tcPr>
            <w:tcW w:w="1080" w:type="dxa"/>
            <w:vAlign w:val="center"/>
          </w:tcPr>
          <w:p w:rsidR="00A95BBA" w:rsidRPr="00F97BF6" w:rsidRDefault="00F97BF6" w:rsidP="00BF0E94">
            <w:pPr>
              <w:tabs>
                <w:tab w:val="left" w:pos="288"/>
                <w:tab w:val="left" w:pos="4752"/>
              </w:tabs>
              <w:rPr>
                <w:color w:val="000000" w:themeColor="text1"/>
                <w:szCs w:val="24"/>
              </w:rPr>
            </w:pPr>
            <w:r w:rsidRPr="00F97BF6">
              <w:rPr>
                <w:color w:val="000000" w:themeColor="text1"/>
                <w:szCs w:val="24"/>
              </w:rPr>
              <w:t>2</w:t>
            </w:r>
            <w:r w:rsidR="00A95BBA" w:rsidRPr="00F97BF6">
              <w:rPr>
                <w:color w:val="000000" w:themeColor="text1"/>
                <w:szCs w:val="24"/>
              </w:rPr>
              <w:t>0%</w:t>
            </w:r>
          </w:p>
        </w:tc>
      </w:tr>
      <w:tr w:rsidR="00A95BBA" w:rsidRPr="001F29F9" w:rsidTr="000C52AA">
        <w:tblPrEx>
          <w:tblLook w:val="0000"/>
        </w:tblPrEx>
        <w:trPr>
          <w:gridBefore w:val="1"/>
          <w:wBefore w:w="6588" w:type="dxa"/>
          <w:trHeight w:val="152"/>
          <w:jc w:val="center"/>
        </w:trPr>
        <w:tc>
          <w:tcPr>
            <w:tcW w:w="1620" w:type="dxa"/>
            <w:tcBorders>
              <w:left w:val="single" w:sz="4" w:space="0" w:color="auto"/>
              <w:bottom w:val="single" w:sz="4" w:space="0" w:color="000000"/>
            </w:tcBorders>
            <w:shd w:val="clear" w:color="auto" w:fill="D9D9D9" w:themeFill="background1" w:themeFillShade="D9"/>
            <w:vAlign w:val="center"/>
          </w:tcPr>
          <w:p w:rsidR="00A95BBA" w:rsidRPr="00F97BF6" w:rsidRDefault="00A95BBA" w:rsidP="00BF0E94">
            <w:pPr>
              <w:tabs>
                <w:tab w:val="left" w:pos="288"/>
                <w:tab w:val="left" w:pos="4752"/>
              </w:tabs>
              <w:rPr>
                <w:b/>
                <w:color w:val="000000" w:themeColor="text1"/>
                <w:szCs w:val="24"/>
              </w:rPr>
            </w:pPr>
            <w:r w:rsidRPr="00F97BF6">
              <w:rPr>
                <w:b/>
                <w:color w:val="000000" w:themeColor="text1"/>
                <w:szCs w:val="24"/>
              </w:rPr>
              <w:t>COMBINED</w:t>
            </w:r>
          </w:p>
        </w:tc>
        <w:tc>
          <w:tcPr>
            <w:tcW w:w="1080" w:type="dxa"/>
            <w:tcBorders>
              <w:bottom w:val="single" w:sz="4" w:space="0" w:color="000000"/>
            </w:tcBorders>
            <w:shd w:val="clear" w:color="auto" w:fill="D9D9D9" w:themeFill="background1" w:themeFillShade="D9"/>
            <w:vAlign w:val="center"/>
          </w:tcPr>
          <w:p w:rsidR="00A95BBA" w:rsidRPr="00F97BF6" w:rsidRDefault="00437C3F" w:rsidP="00BF0E94">
            <w:pPr>
              <w:tabs>
                <w:tab w:val="left" w:pos="288"/>
                <w:tab w:val="left" w:pos="4752"/>
              </w:tabs>
              <w:rPr>
                <w:b/>
                <w:color w:val="000000" w:themeColor="text1"/>
                <w:szCs w:val="24"/>
              </w:rPr>
            </w:pPr>
            <w:r>
              <w:rPr>
                <w:b/>
                <w:color w:val="000000" w:themeColor="text1"/>
                <w:szCs w:val="24"/>
              </w:rPr>
              <w:t>2</w:t>
            </w:r>
            <w:r w:rsidR="00A95BBA" w:rsidRPr="00F97BF6">
              <w:rPr>
                <w:b/>
                <w:color w:val="000000" w:themeColor="text1"/>
                <w:szCs w:val="24"/>
              </w:rPr>
              <w:t>0%</w:t>
            </w:r>
          </w:p>
        </w:tc>
      </w:tr>
    </w:tbl>
    <w:p w:rsidR="000C52AA" w:rsidRPr="001F29F9" w:rsidRDefault="000C52AA"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F97BF6">
        <w:rPr>
          <w:color w:val="000000" w:themeColor="text1"/>
          <w:szCs w:val="24"/>
        </w:rPr>
        <w:t>01115</w:t>
      </w:r>
      <w:r w:rsidRPr="001F29F9">
        <w:rPr>
          <w:color w:val="000000" w:themeColor="text1"/>
        </w:rPr>
        <w:t>, w/</w:t>
      </w:r>
      <w:proofErr w:type="spellStart"/>
      <w:r w:rsidR="00E525C8">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E525C8">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E525C8">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A3229B"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A3229B" w:rsidRDefault="00A3229B">
      <w:pPr>
        <w:rPr>
          <w:color w:val="000000" w:themeColor="text1"/>
          <w:szCs w:val="24"/>
        </w:rPr>
      </w:pPr>
      <w:r>
        <w:rPr>
          <w:color w:val="000000" w:themeColor="text1"/>
          <w:szCs w:val="24"/>
        </w:rPr>
        <w:br w:type="page"/>
      </w:r>
    </w:p>
    <w:p w:rsidR="00A3229B" w:rsidRDefault="00A3229B" w:rsidP="00A3229B">
      <w:pPr>
        <w:pStyle w:val="Header"/>
        <w:tabs>
          <w:tab w:val="clear" w:pos="4320"/>
          <w:tab w:val="clear" w:pos="8640"/>
        </w:tabs>
        <w:jc w:val="left"/>
      </w:pPr>
      <w:r>
        <w:lastRenderedPageBreak/>
        <w:t>SFMR-RB</w:t>
      </w:r>
      <w:r>
        <w:tab/>
      </w:r>
      <w:r>
        <w:tab/>
      </w:r>
      <w:r>
        <w:tab/>
      </w:r>
      <w:r>
        <w:tab/>
      </w:r>
      <w:r>
        <w:tab/>
      </w:r>
      <w:r>
        <w:tab/>
      </w:r>
      <w:r>
        <w:tab/>
      </w:r>
      <w:r>
        <w:tab/>
      </w:r>
      <w:r>
        <w:tab/>
      </w:r>
    </w:p>
    <w:p w:rsidR="00A3229B" w:rsidRDefault="00A3229B" w:rsidP="00A3229B">
      <w:pPr>
        <w:pStyle w:val="Header"/>
        <w:tabs>
          <w:tab w:val="clear" w:pos="4320"/>
          <w:tab w:val="clear" w:pos="8640"/>
        </w:tabs>
        <w:jc w:val="left"/>
      </w:pPr>
    </w:p>
    <w:p w:rsidR="00A3229B" w:rsidRDefault="00A3229B" w:rsidP="00A3229B">
      <w:pPr>
        <w:jc w:val="left"/>
      </w:pPr>
    </w:p>
    <w:p w:rsidR="00A3229B" w:rsidRDefault="00A3229B" w:rsidP="00A3229B">
      <w:pPr>
        <w:jc w:val="left"/>
      </w:pPr>
      <w:r>
        <w:t xml:space="preserve">MEMORANDUM FOR Commander, US Army Physical Disability Agency </w:t>
      </w:r>
    </w:p>
    <w:p w:rsidR="00A3229B" w:rsidRDefault="00A3229B" w:rsidP="00A3229B">
      <w:pPr>
        <w:jc w:val="left"/>
      </w:pPr>
      <w:r>
        <w:t xml:space="preserve"> </w:t>
      </w:r>
    </w:p>
    <w:p w:rsidR="00A3229B" w:rsidRDefault="00A3229B" w:rsidP="00A3229B">
      <w:pPr>
        <w:jc w:val="left"/>
      </w:pPr>
    </w:p>
    <w:p w:rsidR="00A3229B" w:rsidRDefault="00A3229B" w:rsidP="00A3229B">
      <w:pPr>
        <w:ind w:right="-180"/>
        <w:jc w:val="left"/>
      </w:pPr>
      <w:r>
        <w:t xml:space="preserve">SUBJECT:  Department of Defense Physical Disability Board of Review Recommendation </w:t>
      </w:r>
    </w:p>
    <w:p w:rsidR="00A3229B" w:rsidRDefault="00A3229B" w:rsidP="00A3229B">
      <w:pPr>
        <w:pStyle w:val="Header"/>
        <w:tabs>
          <w:tab w:val="left" w:pos="720"/>
        </w:tabs>
        <w:jc w:val="left"/>
      </w:pPr>
      <w:r>
        <w:t xml:space="preserve"> </w:t>
      </w:r>
    </w:p>
    <w:p w:rsidR="00A3229B" w:rsidRDefault="00A3229B" w:rsidP="00A3229B">
      <w:pPr>
        <w:pStyle w:val="Header"/>
        <w:tabs>
          <w:tab w:val="left" w:pos="720"/>
        </w:tabs>
        <w:jc w:val="left"/>
      </w:pPr>
    </w:p>
    <w:p w:rsidR="00A3229B" w:rsidRDefault="00A3229B" w:rsidP="00A3229B">
      <w:pPr>
        <w:jc w:val="left"/>
      </w:pPr>
    </w:p>
    <w:p w:rsidR="00A3229B" w:rsidRDefault="00A3229B" w:rsidP="00A3229B">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A3229B" w:rsidRDefault="00A3229B" w:rsidP="00A3229B">
      <w:pPr>
        <w:jc w:val="left"/>
      </w:pPr>
    </w:p>
    <w:p w:rsidR="00A3229B" w:rsidRDefault="00A3229B" w:rsidP="00A3229B">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A3229B" w:rsidRDefault="00A3229B" w:rsidP="00A3229B">
      <w:pPr>
        <w:jc w:val="left"/>
      </w:pPr>
    </w:p>
    <w:p w:rsidR="00A3229B" w:rsidRDefault="00A3229B" w:rsidP="00A3229B">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A3229B" w:rsidRDefault="00A3229B" w:rsidP="00A3229B">
      <w:pPr>
        <w:jc w:val="left"/>
      </w:pPr>
    </w:p>
    <w:p w:rsidR="00A3229B" w:rsidRDefault="00A3229B" w:rsidP="00A3229B">
      <w:pPr>
        <w:jc w:val="left"/>
      </w:pPr>
      <w:r>
        <w:t xml:space="preserve"> BY ORDER OF THE SECRETARY OF THE ARMY:</w:t>
      </w:r>
    </w:p>
    <w:p w:rsidR="00A3229B" w:rsidRDefault="00A3229B" w:rsidP="00A3229B">
      <w:pPr>
        <w:jc w:val="left"/>
      </w:pPr>
    </w:p>
    <w:p w:rsidR="00A3229B" w:rsidRDefault="00A3229B" w:rsidP="00A3229B">
      <w:pPr>
        <w:jc w:val="left"/>
      </w:pPr>
    </w:p>
    <w:p w:rsidR="00A3229B" w:rsidRDefault="00A3229B" w:rsidP="00A3229B">
      <w:pPr>
        <w:pStyle w:val="Header"/>
        <w:tabs>
          <w:tab w:val="clear" w:pos="4320"/>
          <w:tab w:val="clear" w:pos="8640"/>
        </w:tabs>
        <w:jc w:val="left"/>
      </w:pPr>
    </w:p>
    <w:p w:rsidR="00A3229B" w:rsidRDefault="00A3229B" w:rsidP="00A3229B">
      <w:pPr>
        <w:jc w:val="left"/>
      </w:pPr>
    </w:p>
    <w:p w:rsidR="00A3229B" w:rsidRDefault="00A3229B" w:rsidP="00A3229B">
      <w:pPr>
        <w:jc w:val="left"/>
      </w:pPr>
      <w:bookmarkStart w:id="0" w:name="OLE_LINK3"/>
      <w:bookmarkStart w:id="1" w:name="OLE_LINK4"/>
      <w:r>
        <w:t>Encl</w:t>
      </w:r>
      <w:r>
        <w:tab/>
      </w:r>
      <w:r>
        <w:tab/>
      </w:r>
      <w:r>
        <w:tab/>
      </w:r>
      <w:r>
        <w:tab/>
      </w:r>
      <w:r>
        <w:tab/>
      </w:r>
      <w:r>
        <w:tab/>
        <w:t xml:space="preserve">     </w:t>
      </w:r>
    </w:p>
    <w:p w:rsidR="00A3229B" w:rsidRDefault="00A3229B" w:rsidP="00A3229B">
      <w:pPr>
        <w:jc w:val="left"/>
      </w:pPr>
      <w:r>
        <w:tab/>
      </w:r>
      <w:r>
        <w:tab/>
      </w:r>
      <w:r>
        <w:tab/>
      </w:r>
      <w:r>
        <w:tab/>
      </w:r>
      <w:r>
        <w:tab/>
      </w:r>
      <w:r>
        <w:tab/>
        <w:t xml:space="preserve">     Deputy Assistant Secretary</w:t>
      </w:r>
    </w:p>
    <w:p w:rsidR="00A3229B" w:rsidRDefault="00A3229B" w:rsidP="00A3229B">
      <w:pPr>
        <w:jc w:val="left"/>
      </w:pPr>
      <w:r>
        <w:tab/>
      </w:r>
      <w:r>
        <w:tab/>
      </w:r>
      <w:r>
        <w:tab/>
      </w:r>
      <w:r>
        <w:tab/>
      </w:r>
      <w:r>
        <w:tab/>
      </w:r>
      <w:r>
        <w:tab/>
        <w:t xml:space="preserve">         (Army Review Boards)</w:t>
      </w:r>
      <w:bookmarkEnd w:id="0"/>
      <w:bookmarkEnd w:id="1"/>
    </w:p>
    <w:p w:rsidR="00E3077F" w:rsidRPr="001F29F9" w:rsidRDefault="00E3077F" w:rsidP="00BF0E94">
      <w:pPr>
        <w:tabs>
          <w:tab w:val="left" w:pos="0"/>
          <w:tab w:val="left" w:pos="4320"/>
        </w:tabs>
        <w:jc w:val="both"/>
        <w:rPr>
          <w:color w:val="000000" w:themeColor="text1"/>
          <w:szCs w:val="24"/>
        </w:rPr>
      </w:pPr>
    </w:p>
    <w:p w:rsidR="00DC1607" w:rsidRDefault="00DC1607" w:rsidP="00BF0E94">
      <w:pPr>
        <w:rPr>
          <w:color w:val="000000" w:themeColor="text1"/>
          <w:szCs w:val="24"/>
          <w:u w:val="single"/>
        </w:rPr>
      </w:pPr>
    </w:p>
    <w:sectPr w:rsidR="00DC160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89" w:rsidRDefault="00271689">
      <w:r>
        <w:separator/>
      </w:r>
    </w:p>
  </w:endnote>
  <w:endnote w:type="continuationSeparator" w:id="0">
    <w:p w:rsidR="00271689" w:rsidRDefault="00271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D63D5" w:rsidRPr="00374247" w:rsidRDefault="004D63D5" w:rsidP="00374247">
        <w:pPr>
          <w:pStyle w:val="Footer"/>
          <w:ind w:firstLine="4320"/>
          <w:rPr>
            <w:color w:val="auto"/>
            <w:szCs w:val="24"/>
          </w:rPr>
        </w:pPr>
        <w:r w:rsidRPr="00374247">
          <w:rPr>
            <w:color w:val="auto"/>
            <w:szCs w:val="24"/>
          </w:rPr>
          <w:t xml:space="preserve">   </w:t>
        </w:r>
        <w:r w:rsidR="004C4023" w:rsidRPr="00374247">
          <w:rPr>
            <w:color w:val="auto"/>
            <w:szCs w:val="24"/>
          </w:rPr>
          <w:fldChar w:fldCharType="begin"/>
        </w:r>
        <w:r w:rsidRPr="00374247">
          <w:rPr>
            <w:color w:val="auto"/>
            <w:szCs w:val="24"/>
          </w:rPr>
          <w:instrText xml:space="preserve"> PAGE   \* MERGEFORMAT </w:instrText>
        </w:r>
        <w:r w:rsidR="004C4023" w:rsidRPr="00374247">
          <w:rPr>
            <w:color w:val="auto"/>
            <w:szCs w:val="24"/>
          </w:rPr>
          <w:fldChar w:fldCharType="separate"/>
        </w:r>
        <w:r w:rsidR="00A3229B" w:rsidRPr="00A3229B">
          <w:rPr>
            <w:noProof/>
            <w:color w:val="auto"/>
          </w:rPr>
          <w:t>5</w:t>
        </w:r>
        <w:r w:rsidR="004C4023" w:rsidRPr="00374247">
          <w:rPr>
            <w:color w:val="auto"/>
            <w:szCs w:val="24"/>
          </w:rPr>
          <w:fldChar w:fldCharType="end"/>
        </w:r>
        <w:r w:rsidRPr="00374247">
          <w:rPr>
            <w:color w:val="auto"/>
            <w:szCs w:val="24"/>
          </w:rPr>
          <w:t xml:space="preserve">                                                           </w:t>
        </w:r>
        <w:r w:rsidRPr="003375E4">
          <w:rPr>
            <w:color w:val="auto"/>
            <w:szCs w:val="24"/>
          </w:rPr>
          <w:t>PD100</w:t>
        </w:r>
        <w:r>
          <w:rPr>
            <w:color w:val="auto"/>
            <w:szCs w:val="24"/>
          </w:rPr>
          <w:t>1294</w:t>
        </w:r>
      </w:p>
    </w:sdtContent>
  </w:sdt>
  <w:p w:rsidR="004D63D5" w:rsidRPr="00684CE6" w:rsidRDefault="004D63D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89" w:rsidRDefault="00271689">
      <w:r>
        <w:separator/>
      </w:r>
    </w:p>
  </w:footnote>
  <w:footnote w:type="continuationSeparator" w:id="0">
    <w:p w:rsidR="00271689" w:rsidRDefault="00271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7282"/>
  </w:hdrShapeDefaults>
  <w:footnotePr>
    <w:numRestart w:val="eachSect"/>
    <w:footnote w:id="-1"/>
    <w:footnote w:id="0"/>
  </w:footnotePr>
  <w:endnotePr>
    <w:endnote w:id="-1"/>
    <w:endnote w:id="0"/>
  </w:endnotePr>
  <w:compat/>
  <w:rsids>
    <w:rsidRoot w:val="001C28D1"/>
    <w:rsid w:val="000024F5"/>
    <w:rsid w:val="00004813"/>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42B"/>
    <w:rsid w:val="00042C26"/>
    <w:rsid w:val="00043382"/>
    <w:rsid w:val="00043825"/>
    <w:rsid w:val="00044623"/>
    <w:rsid w:val="000452D7"/>
    <w:rsid w:val="00051282"/>
    <w:rsid w:val="00051622"/>
    <w:rsid w:val="00051A11"/>
    <w:rsid w:val="00052234"/>
    <w:rsid w:val="00053D7C"/>
    <w:rsid w:val="000572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2AA"/>
    <w:rsid w:val="000C53F9"/>
    <w:rsid w:val="000C5813"/>
    <w:rsid w:val="000C714C"/>
    <w:rsid w:val="000C7161"/>
    <w:rsid w:val="000C75CF"/>
    <w:rsid w:val="000C7B83"/>
    <w:rsid w:val="000C7DE4"/>
    <w:rsid w:val="000D0AE6"/>
    <w:rsid w:val="000D15E7"/>
    <w:rsid w:val="000D1805"/>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4F0"/>
    <w:rsid w:val="00105C07"/>
    <w:rsid w:val="00106920"/>
    <w:rsid w:val="00106AD8"/>
    <w:rsid w:val="001078DB"/>
    <w:rsid w:val="001079FA"/>
    <w:rsid w:val="00107EC5"/>
    <w:rsid w:val="001103CD"/>
    <w:rsid w:val="00110C48"/>
    <w:rsid w:val="00113432"/>
    <w:rsid w:val="00113D2A"/>
    <w:rsid w:val="00113E8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47E98"/>
    <w:rsid w:val="00150B8A"/>
    <w:rsid w:val="00150DCB"/>
    <w:rsid w:val="00151912"/>
    <w:rsid w:val="00153740"/>
    <w:rsid w:val="001537D8"/>
    <w:rsid w:val="00153D88"/>
    <w:rsid w:val="001541C5"/>
    <w:rsid w:val="0015623F"/>
    <w:rsid w:val="00156585"/>
    <w:rsid w:val="00156BA9"/>
    <w:rsid w:val="00161642"/>
    <w:rsid w:val="00161761"/>
    <w:rsid w:val="00165A13"/>
    <w:rsid w:val="00166182"/>
    <w:rsid w:val="0017038B"/>
    <w:rsid w:val="00170C94"/>
    <w:rsid w:val="0017139A"/>
    <w:rsid w:val="001724C8"/>
    <w:rsid w:val="001732C4"/>
    <w:rsid w:val="001734E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D9B"/>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3FCC"/>
    <w:rsid w:val="001D4F88"/>
    <w:rsid w:val="001D64F3"/>
    <w:rsid w:val="001D6597"/>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412"/>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3BF"/>
    <w:rsid w:val="00225CB4"/>
    <w:rsid w:val="00226B1A"/>
    <w:rsid w:val="00227F0B"/>
    <w:rsid w:val="0023049F"/>
    <w:rsid w:val="002310C3"/>
    <w:rsid w:val="002316F6"/>
    <w:rsid w:val="00231B3E"/>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09F"/>
    <w:rsid w:val="00252351"/>
    <w:rsid w:val="002528EC"/>
    <w:rsid w:val="00253522"/>
    <w:rsid w:val="00253709"/>
    <w:rsid w:val="00253BA8"/>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1689"/>
    <w:rsid w:val="002722F2"/>
    <w:rsid w:val="00274549"/>
    <w:rsid w:val="00274E46"/>
    <w:rsid w:val="002752AE"/>
    <w:rsid w:val="00275AFD"/>
    <w:rsid w:val="002769AF"/>
    <w:rsid w:val="00276C86"/>
    <w:rsid w:val="00276FD0"/>
    <w:rsid w:val="00277217"/>
    <w:rsid w:val="002810A4"/>
    <w:rsid w:val="0028123B"/>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A9A"/>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07E"/>
    <w:rsid w:val="0036319E"/>
    <w:rsid w:val="003632A4"/>
    <w:rsid w:val="00363362"/>
    <w:rsid w:val="0036392A"/>
    <w:rsid w:val="00364577"/>
    <w:rsid w:val="00364CAB"/>
    <w:rsid w:val="00365767"/>
    <w:rsid w:val="003659C0"/>
    <w:rsid w:val="00365B96"/>
    <w:rsid w:val="003660DF"/>
    <w:rsid w:val="00367D4F"/>
    <w:rsid w:val="00370743"/>
    <w:rsid w:val="00370EF5"/>
    <w:rsid w:val="0037135B"/>
    <w:rsid w:val="003718CD"/>
    <w:rsid w:val="00372251"/>
    <w:rsid w:val="003732A2"/>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76B"/>
    <w:rsid w:val="003E3E93"/>
    <w:rsid w:val="003E46D1"/>
    <w:rsid w:val="003E6214"/>
    <w:rsid w:val="003F070E"/>
    <w:rsid w:val="003F1206"/>
    <w:rsid w:val="003F1BBB"/>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917"/>
    <w:rsid w:val="00425A6A"/>
    <w:rsid w:val="00426A23"/>
    <w:rsid w:val="00427C7F"/>
    <w:rsid w:val="00427F54"/>
    <w:rsid w:val="004316FD"/>
    <w:rsid w:val="00433F36"/>
    <w:rsid w:val="00434860"/>
    <w:rsid w:val="00434BBD"/>
    <w:rsid w:val="0043503A"/>
    <w:rsid w:val="00437B8A"/>
    <w:rsid w:val="00437C3F"/>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6DE"/>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023"/>
    <w:rsid w:val="004C4296"/>
    <w:rsid w:val="004C47D5"/>
    <w:rsid w:val="004C4CAF"/>
    <w:rsid w:val="004C5E33"/>
    <w:rsid w:val="004C60A3"/>
    <w:rsid w:val="004C6CDA"/>
    <w:rsid w:val="004D10D4"/>
    <w:rsid w:val="004D16BD"/>
    <w:rsid w:val="004D2AAB"/>
    <w:rsid w:val="004D3C7F"/>
    <w:rsid w:val="004D42CB"/>
    <w:rsid w:val="004D43C4"/>
    <w:rsid w:val="004D63D5"/>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4DA5"/>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1F6"/>
    <w:rsid w:val="0058039C"/>
    <w:rsid w:val="00580A63"/>
    <w:rsid w:val="00583379"/>
    <w:rsid w:val="0058417C"/>
    <w:rsid w:val="005854F9"/>
    <w:rsid w:val="00586EC6"/>
    <w:rsid w:val="00587DDE"/>
    <w:rsid w:val="00593043"/>
    <w:rsid w:val="00594D30"/>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15EA"/>
    <w:rsid w:val="006036C2"/>
    <w:rsid w:val="00604311"/>
    <w:rsid w:val="00605AAB"/>
    <w:rsid w:val="00606BEB"/>
    <w:rsid w:val="0061014A"/>
    <w:rsid w:val="0061054B"/>
    <w:rsid w:val="006110FB"/>
    <w:rsid w:val="00612FB0"/>
    <w:rsid w:val="0061356D"/>
    <w:rsid w:val="00613E26"/>
    <w:rsid w:val="00615641"/>
    <w:rsid w:val="00615A66"/>
    <w:rsid w:val="00616959"/>
    <w:rsid w:val="00616B78"/>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40E"/>
    <w:rsid w:val="006937C6"/>
    <w:rsid w:val="00693AEC"/>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2EAA"/>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37EEF"/>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788F"/>
    <w:rsid w:val="0076100C"/>
    <w:rsid w:val="007612A5"/>
    <w:rsid w:val="00763CAE"/>
    <w:rsid w:val="00763F95"/>
    <w:rsid w:val="00764DFD"/>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499"/>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64D6"/>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A9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855"/>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200C"/>
    <w:rsid w:val="00914ADB"/>
    <w:rsid w:val="00917182"/>
    <w:rsid w:val="00920251"/>
    <w:rsid w:val="00920BD1"/>
    <w:rsid w:val="00921CFD"/>
    <w:rsid w:val="00923B25"/>
    <w:rsid w:val="0092402E"/>
    <w:rsid w:val="009259BA"/>
    <w:rsid w:val="00926FCB"/>
    <w:rsid w:val="009303BB"/>
    <w:rsid w:val="0093108A"/>
    <w:rsid w:val="00931B6D"/>
    <w:rsid w:val="0093311A"/>
    <w:rsid w:val="009346D0"/>
    <w:rsid w:val="0093536B"/>
    <w:rsid w:val="009369A6"/>
    <w:rsid w:val="00937F57"/>
    <w:rsid w:val="0094031E"/>
    <w:rsid w:val="009419B4"/>
    <w:rsid w:val="00941A4C"/>
    <w:rsid w:val="00942645"/>
    <w:rsid w:val="009431B3"/>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4BE2"/>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2C8"/>
    <w:rsid w:val="009B7BA7"/>
    <w:rsid w:val="009B7C01"/>
    <w:rsid w:val="009C0938"/>
    <w:rsid w:val="009C0C22"/>
    <w:rsid w:val="009C15D9"/>
    <w:rsid w:val="009C1A1D"/>
    <w:rsid w:val="009C22C8"/>
    <w:rsid w:val="009C3F82"/>
    <w:rsid w:val="009C582A"/>
    <w:rsid w:val="009C5C56"/>
    <w:rsid w:val="009C5FCC"/>
    <w:rsid w:val="009C72DD"/>
    <w:rsid w:val="009C78FD"/>
    <w:rsid w:val="009C7DF5"/>
    <w:rsid w:val="009D056C"/>
    <w:rsid w:val="009D060F"/>
    <w:rsid w:val="009D1ADE"/>
    <w:rsid w:val="009D260E"/>
    <w:rsid w:val="009D297C"/>
    <w:rsid w:val="009D3652"/>
    <w:rsid w:val="009D37CA"/>
    <w:rsid w:val="009D4229"/>
    <w:rsid w:val="009D4268"/>
    <w:rsid w:val="009D5DE9"/>
    <w:rsid w:val="009E09D0"/>
    <w:rsid w:val="009E1181"/>
    <w:rsid w:val="009E1283"/>
    <w:rsid w:val="009E205E"/>
    <w:rsid w:val="009E3A7F"/>
    <w:rsid w:val="009E4C9B"/>
    <w:rsid w:val="009E4DFC"/>
    <w:rsid w:val="009E5789"/>
    <w:rsid w:val="009E57B1"/>
    <w:rsid w:val="009E6379"/>
    <w:rsid w:val="009F020F"/>
    <w:rsid w:val="009F3B63"/>
    <w:rsid w:val="009F43E2"/>
    <w:rsid w:val="009F4D67"/>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4CD8"/>
    <w:rsid w:val="00A06F66"/>
    <w:rsid w:val="00A0798C"/>
    <w:rsid w:val="00A07BDD"/>
    <w:rsid w:val="00A07F12"/>
    <w:rsid w:val="00A1105B"/>
    <w:rsid w:val="00A1213C"/>
    <w:rsid w:val="00A130E8"/>
    <w:rsid w:val="00A14232"/>
    <w:rsid w:val="00A14FEB"/>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29B"/>
    <w:rsid w:val="00A32743"/>
    <w:rsid w:val="00A3416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67F2E"/>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072B"/>
    <w:rsid w:val="00B02145"/>
    <w:rsid w:val="00B022DC"/>
    <w:rsid w:val="00B032F8"/>
    <w:rsid w:val="00B04562"/>
    <w:rsid w:val="00B0472F"/>
    <w:rsid w:val="00B06091"/>
    <w:rsid w:val="00B06930"/>
    <w:rsid w:val="00B0773A"/>
    <w:rsid w:val="00B07955"/>
    <w:rsid w:val="00B1176B"/>
    <w:rsid w:val="00B1352F"/>
    <w:rsid w:val="00B140B8"/>
    <w:rsid w:val="00B14FAA"/>
    <w:rsid w:val="00B15BED"/>
    <w:rsid w:val="00B15D30"/>
    <w:rsid w:val="00B15F09"/>
    <w:rsid w:val="00B16D18"/>
    <w:rsid w:val="00B177DE"/>
    <w:rsid w:val="00B20624"/>
    <w:rsid w:val="00B218B1"/>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D33"/>
    <w:rsid w:val="00B427BB"/>
    <w:rsid w:val="00B43BA2"/>
    <w:rsid w:val="00B449EE"/>
    <w:rsid w:val="00B454AE"/>
    <w:rsid w:val="00B50227"/>
    <w:rsid w:val="00B50510"/>
    <w:rsid w:val="00B505E9"/>
    <w:rsid w:val="00B50C51"/>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E64"/>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26F0"/>
    <w:rsid w:val="00C0359D"/>
    <w:rsid w:val="00C038EC"/>
    <w:rsid w:val="00C03C21"/>
    <w:rsid w:val="00C04303"/>
    <w:rsid w:val="00C05C6D"/>
    <w:rsid w:val="00C072D7"/>
    <w:rsid w:val="00C10302"/>
    <w:rsid w:val="00C104DB"/>
    <w:rsid w:val="00C10A22"/>
    <w:rsid w:val="00C10EE1"/>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CA3"/>
    <w:rsid w:val="00C22F3A"/>
    <w:rsid w:val="00C23311"/>
    <w:rsid w:val="00C24AD9"/>
    <w:rsid w:val="00C25978"/>
    <w:rsid w:val="00C261C6"/>
    <w:rsid w:val="00C26621"/>
    <w:rsid w:val="00C26B27"/>
    <w:rsid w:val="00C26E7C"/>
    <w:rsid w:val="00C276CD"/>
    <w:rsid w:val="00C27827"/>
    <w:rsid w:val="00C30A97"/>
    <w:rsid w:val="00C31DDC"/>
    <w:rsid w:val="00C3223A"/>
    <w:rsid w:val="00C32F16"/>
    <w:rsid w:val="00C34168"/>
    <w:rsid w:val="00C34247"/>
    <w:rsid w:val="00C34326"/>
    <w:rsid w:val="00C34CEB"/>
    <w:rsid w:val="00C36201"/>
    <w:rsid w:val="00C368E8"/>
    <w:rsid w:val="00C36900"/>
    <w:rsid w:val="00C36C3D"/>
    <w:rsid w:val="00C372C7"/>
    <w:rsid w:val="00C376A7"/>
    <w:rsid w:val="00C37B6F"/>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05A"/>
    <w:rsid w:val="00C60F23"/>
    <w:rsid w:val="00C61172"/>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A38"/>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07ED4"/>
    <w:rsid w:val="00D10577"/>
    <w:rsid w:val="00D12405"/>
    <w:rsid w:val="00D12A4E"/>
    <w:rsid w:val="00D1323B"/>
    <w:rsid w:val="00D14BAE"/>
    <w:rsid w:val="00D15107"/>
    <w:rsid w:val="00D1648B"/>
    <w:rsid w:val="00D16819"/>
    <w:rsid w:val="00D1705F"/>
    <w:rsid w:val="00D1778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18D"/>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953"/>
    <w:rsid w:val="00DC39C0"/>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8EC"/>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3F2"/>
    <w:rsid w:val="00E25A99"/>
    <w:rsid w:val="00E25B8A"/>
    <w:rsid w:val="00E25EF8"/>
    <w:rsid w:val="00E2632B"/>
    <w:rsid w:val="00E26F75"/>
    <w:rsid w:val="00E27423"/>
    <w:rsid w:val="00E3077F"/>
    <w:rsid w:val="00E322F7"/>
    <w:rsid w:val="00E3369B"/>
    <w:rsid w:val="00E34263"/>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25C8"/>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39C4"/>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EF7A82"/>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AC6"/>
    <w:rsid w:val="00F14933"/>
    <w:rsid w:val="00F1516A"/>
    <w:rsid w:val="00F153D1"/>
    <w:rsid w:val="00F15EE5"/>
    <w:rsid w:val="00F171F9"/>
    <w:rsid w:val="00F1737C"/>
    <w:rsid w:val="00F173AA"/>
    <w:rsid w:val="00F1766A"/>
    <w:rsid w:val="00F22A26"/>
    <w:rsid w:val="00F24072"/>
    <w:rsid w:val="00F26432"/>
    <w:rsid w:val="00F3197A"/>
    <w:rsid w:val="00F32139"/>
    <w:rsid w:val="00F328BE"/>
    <w:rsid w:val="00F33512"/>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97BF6"/>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A3229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66854774">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5A13-ACCB-4049-9451-AFC9C23F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2011-04-08T11:41:00Z</cp:lastPrinted>
  <dcterms:created xsi:type="dcterms:W3CDTF">2012-03-04T15:17:00Z</dcterms:created>
  <dcterms:modified xsi:type="dcterms:W3CDTF">2012-04-02T21:26:00Z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