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A02179">
      <w:pPr>
        <w:tabs>
          <w:tab w:val="left" w:pos="288"/>
          <w:tab w:val="left" w:pos="4752"/>
        </w:tabs>
        <w:rPr>
          <w:color w:val="000000" w:themeColor="text1"/>
        </w:rPr>
      </w:pPr>
      <w:r w:rsidRPr="001F29F9">
        <w:rPr>
          <w:color w:val="000000" w:themeColor="text1"/>
        </w:rPr>
        <w:t>RECORD OF PROCEEDINGS</w:t>
      </w:r>
    </w:p>
    <w:p w:rsidR="00540BEF" w:rsidRPr="001F29F9" w:rsidRDefault="00540BEF" w:rsidP="00A02179">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A02179">
      <w:pPr>
        <w:tabs>
          <w:tab w:val="left" w:pos="288"/>
          <w:tab w:val="left" w:pos="4752"/>
        </w:tabs>
        <w:jc w:val="both"/>
        <w:rPr>
          <w:caps/>
          <w:color w:val="000000" w:themeColor="text1"/>
        </w:rPr>
      </w:pPr>
    </w:p>
    <w:p w:rsidR="00E0346A" w:rsidRPr="001F29F9" w:rsidRDefault="00F629C0" w:rsidP="00170B63">
      <w:pPr>
        <w:tabs>
          <w:tab w:val="left" w:pos="288"/>
          <w:tab w:val="left" w:pos="4752"/>
          <w:tab w:val="left" w:pos="6390"/>
          <w:tab w:val="left" w:pos="9270"/>
        </w:tabs>
        <w:jc w:val="left"/>
        <w:rPr>
          <w:caps/>
          <w:color w:val="000000" w:themeColor="text1"/>
        </w:rPr>
      </w:pPr>
      <w:r w:rsidRPr="001F29F9">
        <w:rPr>
          <w:caps/>
          <w:color w:val="000000" w:themeColor="text1"/>
        </w:rPr>
        <w:t xml:space="preserve">NAME:  </w:t>
      </w:r>
      <w:r w:rsidR="00934E98">
        <w:rPr>
          <w:caps/>
          <w:color w:val="000000" w:themeColor="text1"/>
        </w:rPr>
        <w:t>XXXXXXXXXXXXXXXX</w:t>
      </w:r>
      <w:r w:rsidR="00170B63">
        <w:rPr>
          <w:caps/>
          <w:color w:val="000000" w:themeColor="text1"/>
        </w:rPr>
        <w:t xml:space="preserve">     </w:t>
      </w:r>
      <w:r w:rsidR="00170B63">
        <w:rPr>
          <w:caps/>
          <w:color w:val="000000" w:themeColor="text1"/>
        </w:rPr>
        <w:tab/>
        <w:t xml:space="preserve">                              </w:t>
      </w:r>
      <w:r w:rsidRPr="001F29F9">
        <w:rPr>
          <w:caps/>
          <w:color w:val="000000" w:themeColor="text1"/>
        </w:rPr>
        <w:t>BRANCH OF SERVICE</w:t>
      </w:r>
      <w:r w:rsidRPr="004A026E">
        <w:rPr>
          <w:caps/>
          <w:color w:val="000000" w:themeColor="text1"/>
        </w:rPr>
        <w:t xml:space="preserve">: </w:t>
      </w:r>
      <w:r w:rsidR="004C24C5" w:rsidRPr="004A026E">
        <w:rPr>
          <w:caps/>
          <w:color w:val="000000" w:themeColor="text1"/>
        </w:rPr>
        <w:t xml:space="preserve"> </w:t>
      </w:r>
      <w:r w:rsidR="00332DE3" w:rsidRPr="004A026E">
        <w:rPr>
          <w:caps/>
          <w:color w:val="000000" w:themeColor="text1"/>
        </w:rPr>
        <w:t xml:space="preserve">Army </w:t>
      </w:r>
    </w:p>
    <w:p w:rsidR="00DE3AAD" w:rsidRPr="001F29F9" w:rsidRDefault="00012733" w:rsidP="00170B63">
      <w:pPr>
        <w:tabs>
          <w:tab w:val="left" w:pos="288"/>
          <w:tab w:val="left" w:pos="4166"/>
          <w:tab w:val="left" w:pos="4752"/>
          <w:tab w:val="left" w:pos="5130"/>
          <w:tab w:val="left" w:pos="9270"/>
        </w:tabs>
        <w:jc w:val="left"/>
        <w:rPr>
          <w:caps/>
          <w:color w:val="000000" w:themeColor="text1"/>
        </w:rPr>
      </w:pPr>
      <w:r w:rsidRPr="001F29F9">
        <w:rPr>
          <w:caps/>
          <w:color w:val="000000" w:themeColor="text1"/>
        </w:rPr>
        <w:t>C</w:t>
      </w:r>
      <w:r w:rsidR="00DE3AAD" w:rsidRPr="001F29F9">
        <w:rPr>
          <w:caps/>
          <w:color w:val="000000" w:themeColor="text1"/>
        </w:rPr>
        <w:t>ASE NUMBER:  PD</w:t>
      </w:r>
      <w:r w:rsidR="008F58E1" w:rsidRPr="004A026E">
        <w:rPr>
          <w:caps/>
          <w:color w:val="000000" w:themeColor="text1"/>
        </w:rPr>
        <w:t>1</w:t>
      </w:r>
      <w:r w:rsidR="004A026E">
        <w:rPr>
          <w:caps/>
          <w:color w:val="000000" w:themeColor="text1"/>
        </w:rPr>
        <w:t>001293</w:t>
      </w:r>
      <w:r w:rsidR="00170B63">
        <w:rPr>
          <w:color w:val="000000" w:themeColor="text1"/>
        </w:rPr>
        <w:t xml:space="preserve"> </w:t>
      </w:r>
      <w:r w:rsidR="00170B63">
        <w:rPr>
          <w:color w:val="000000" w:themeColor="text1"/>
        </w:rPr>
        <w:tab/>
      </w:r>
      <w:r w:rsidR="00170B63">
        <w:rPr>
          <w:color w:val="000000" w:themeColor="text1"/>
        </w:rPr>
        <w:tab/>
        <w:t xml:space="preserve">                              </w:t>
      </w:r>
      <w:r w:rsidR="00DE3AAD" w:rsidRPr="001F29F9">
        <w:rPr>
          <w:color w:val="000000" w:themeColor="text1"/>
        </w:rPr>
        <w:t>SEPARATION DATE:  200</w:t>
      </w:r>
      <w:r w:rsidR="004A026E">
        <w:rPr>
          <w:color w:val="000000" w:themeColor="text1"/>
        </w:rPr>
        <w:t>20520</w:t>
      </w:r>
    </w:p>
    <w:p w:rsidR="003B2143" w:rsidRPr="001F29F9" w:rsidRDefault="004F3639" w:rsidP="00170B63">
      <w:pPr>
        <w:tabs>
          <w:tab w:val="left" w:pos="288"/>
          <w:tab w:val="left" w:pos="5130"/>
        </w:tabs>
        <w:jc w:val="left"/>
        <w:rPr>
          <w:color w:val="000000" w:themeColor="text1"/>
        </w:rPr>
      </w:pPr>
      <w:r w:rsidRPr="001F29F9">
        <w:rPr>
          <w:caps/>
          <w:color w:val="000000" w:themeColor="text1"/>
        </w:rPr>
        <w:t>BOARD DATE:  201</w:t>
      </w:r>
      <w:r w:rsidR="000D0473">
        <w:rPr>
          <w:caps/>
          <w:color w:val="000000" w:themeColor="text1"/>
        </w:rPr>
        <w:t>2</w:t>
      </w:r>
      <w:r w:rsidR="0025126C">
        <w:rPr>
          <w:caps/>
          <w:color w:val="000000" w:themeColor="text1"/>
        </w:rPr>
        <w:t>02</w:t>
      </w:r>
      <w:r w:rsidR="00640711">
        <w:rPr>
          <w:caps/>
          <w:color w:val="000000" w:themeColor="text1"/>
        </w:rPr>
        <w:t>22</w:t>
      </w:r>
      <w:r w:rsidR="003B2143" w:rsidRPr="001F29F9">
        <w:rPr>
          <w:caps/>
          <w:color w:val="000000" w:themeColor="text1"/>
        </w:rPr>
        <w:tab/>
      </w:r>
      <w:r w:rsidR="003C53E8">
        <w:rPr>
          <w:rFonts w:cs="Times New Roman"/>
          <w:caps/>
          <w:color w:val="000000" w:themeColor="text1"/>
          <w:szCs w:val="24"/>
        </w:rPr>
        <w:tab/>
      </w:r>
    </w:p>
    <w:p w:rsidR="003C53E8" w:rsidRPr="001F29F9" w:rsidRDefault="003C53E8" w:rsidP="00A02179">
      <w:pPr>
        <w:pBdr>
          <w:bottom w:val="single" w:sz="12" w:space="1" w:color="auto"/>
        </w:pBdr>
        <w:tabs>
          <w:tab w:val="left" w:pos="288"/>
          <w:tab w:val="left" w:pos="4752"/>
        </w:tabs>
        <w:jc w:val="both"/>
        <w:rPr>
          <w:color w:val="000000" w:themeColor="text1"/>
        </w:rPr>
      </w:pPr>
    </w:p>
    <w:p w:rsidR="009369A6" w:rsidRPr="001F29F9" w:rsidRDefault="009369A6" w:rsidP="00A02179">
      <w:pPr>
        <w:tabs>
          <w:tab w:val="left" w:pos="288"/>
          <w:tab w:val="left" w:pos="4752"/>
        </w:tabs>
        <w:jc w:val="both"/>
        <w:rPr>
          <w:color w:val="000000" w:themeColor="text1"/>
        </w:rPr>
      </w:pPr>
    </w:p>
    <w:p w:rsidR="002C6E5B" w:rsidRPr="001F29F9" w:rsidRDefault="00FB0E80" w:rsidP="00A02179">
      <w:pPr>
        <w:tabs>
          <w:tab w:val="left" w:pos="288"/>
          <w:tab w:val="left" w:pos="4752"/>
        </w:tabs>
        <w:jc w:val="both"/>
        <w:rPr>
          <w:color w:val="000000" w:themeColor="text1"/>
          <w:szCs w:val="24"/>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 duty</w:t>
      </w:r>
      <w:r w:rsidR="006D4E0E" w:rsidRPr="001F29F9">
        <w:rPr>
          <w:color w:val="000000" w:themeColor="text1"/>
          <w:szCs w:val="24"/>
        </w:rPr>
        <w:t xml:space="preserve"> </w:t>
      </w:r>
      <w:r w:rsidR="00661BA2" w:rsidRPr="001F29F9">
        <w:rPr>
          <w:color w:val="000000" w:themeColor="text1"/>
          <w:szCs w:val="24"/>
        </w:rPr>
        <w:t>SGT/E-5</w:t>
      </w:r>
      <w:r w:rsidR="00705C40" w:rsidRPr="001F29F9">
        <w:rPr>
          <w:color w:val="000000" w:themeColor="text1"/>
          <w:szCs w:val="24"/>
        </w:rPr>
        <w:t xml:space="preserve"> (</w:t>
      </w:r>
      <w:r w:rsidR="009E4900">
        <w:rPr>
          <w:color w:val="000000" w:themeColor="text1"/>
          <w:szCs w:val="24"/>
        </w:rPr>
        <w:t>91J, Medical Supply</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 xml:space="preserve">medically separated for </w:t>
      </w:r>
      <w:proofErr w:type="spellStart"/>
      <w:r w:rsidR="00D539F9">
        <w:rPr>
          <w:color w:val="000000" w:themeColor="text1"/>
          <w:szCs w:val="24"/>
        </w:rPr>
        <w:t>myofascial</w:t>
      </w:r>
      <w:proofErr w:type="spellEnd"/>
      <w:r w:rsidR="00D539F9">
        <w:rPr>
          <w:color w:val="000000" w:themeColor="text1"/>
          <w:szCs w:val="24"/>
        </w:rPr>
        <w:t xml:space="preserve"> pain syndrome </w:t>
      </w:r>
      <w:r w:rsidR="00602997">
        <w:rPr>
          <w:color w:val="000000" w:themeColor="text1"/>
          <w:szCs w:val="24"/>
        </w:rPr>
        <w:t xml:space="preserve">(MPS) </w:t>
      </w:r>
      <w:r w:rsidR="00D539F9">
        <w:rPr>
          <w:color w:val="000000" w:themeColor="text1"/>
          <w:szCs w:val="24"/>
        </w:rPr>
        <w:t>in</w:t>
      </w:r>
      <w:r w:rsidR="009E4900">
        <w:rPr>
          <w:color w:val="000000" w:themeColor="text1"/>
          <w:szCs w:val="24"/>
        </w:rPr>
        <w:t xml:space="preserve"> the right </w:t>
      </w:r>
      <w:proofErr w:type="spellStart"/>
      <w:r w:rsidR="009E4900">
        <w:rPr>
          <w:color w:val="000000" w:themeColor="text1"/>
          <w:szCs w:val="24"/>
        </w:rPr>
        <w:t>trapezius</w:t>
      </w:r>
      <w:proofErr w:type="spellEnd"/>
      <w:r w:rsidR="009E4900">
        <w:rPr>
          <w:color w:val="000000" w:themeColor="text1"/>
          <w:szCs w:val="24"/>
        </w:rPr>
        <w:t xml:space="preserve"> and rhomboid muscles. </w:t>
      </w:r>
      <w:r w:rsidR="00966FD3">
        <w:rPr>
          <w:color w:val="000000" w:themeColor="text1"/>
          <w:szCs w:val="24"/>
        </w:rPr>
        <w:t xml:space="preserve"> </w:t>
      </w:r>
      <w:r w:rsidR="008B6507">
        <w:rPr>
          <w:color w:val="000000" w:themeColor="text1"/>
          <w:szCs w:val="24"/>
        </w:rPr>
        <w:t>Sh</w:t>
      </w:r>
      <w:r w:rsidR="008B6507" w:rsidRPr="00C472C7">
        <w:rPr>
          <w:rFonts w:asciiTheme="minorHAnsi" w:hAnsiTheme="minorHAnsi"/>
          <w:color w:val="auto"/>
          <w:szCs w:val="24"/>
        </w:rPr>
        <w:t>e</w:t>
      </w:r>
      <w:r w:rsidR="008B6507">
        <w:rPr>
          <w:rFonts w:asciiTheme="minorHAnsi" w:hAnsiTheme="minorHAnsi"/>
          <w:color w:val="auto"/>
          <w:szCs w:val="24"/>
        </w:rPr>
        <w:t xml:space="preserve"> was treated, but </w:t>
      </w:r>
      <w:r w:rsidR="008B6507" w:rsidRPr="00C472C7">
        <w:rPr>
          <w:rFonts w:asciiTheme="minorHAnsi" w:hAnsiTheme="minorHAnsi"/>
          <w:color w:val="auto"/>
          <w:szCs w:val="24"/>
        </w:rPr>
        <w:t xml:space="preserve">did not respond adequately to </w:t>
      </w:r>
      <w:r w:rsidR="008B6507">
        <w:rPr>
          <w:rFonts w:asciiTheme="minorHAnsi" w:hAnsiTheme="minorHAnsi"/>
          <w:color w:val="auto"/>
          <w:szCs w:val="24"/>
        </w:rPr>
        <w:t>fully perform her</w:t>
      </w:r>
      <w:r w:rsidR="008B6507" w:rsidRPr="00C472C7">
        <w:rPr>
          <w:rFonts w:asciiTheme="minorHAnsi" w:hAnsiTheme="minorHAnsi"/>
          <w:color w:val="auto"/>
          <w:szCs w:val="24"/>
        </w:rPr>
        <w:t xml:space="preserve"> </w:t>
      </w:r>
      <w:r w:rsidR="008B6507">
        <w:rPr>
          <w:rFonts w:asciiTheme="minorHAnsi" w:hAnsiTheme="minorHAnsi"/>
          <w:color w:val="auto"/>
          <w:szCs w:val="24"/>
        </w:rPr>
        <w:t>military duties</w:t>
      </w:r>
      <w:r w:rsidR="008B6507" w:rsidRPr="00F6519C">
        <w:rPr>
          <w:rFonts w:asciiTheme="minorHAnsi" w:hAnsiTheme="minorHAnsi"/>
          <w:color w:val="auto"/>
          <w:szCs w:val="24"/>
        </w:rPr>
        <w:t xml:space="preserve"> </w:t>
      </w:r>
      <w:r w:rsidR="008B6507">
        <w:rPr>
          <w:rFonts w:asciiTheme="minorHAnsi" w:hAnsiTheme="minorHAnsi"/>
          <w:color w:val="auto"/>
          <w:szCs w:val="24"/>
        </w:rPr>
        <w:t xml:space="preserve">or meet </w:t>
      </w:r>
      <w:r w:rsidR="008B6507" w:rsidRPr="00C472C7">
        <w:rPr>
          <w:rFonts w:asciiTheme="minorHAnsi" w:hAnsiTheme="minorHAnsi"/>
          <w:color w:val="auto"/>
          <w:szCs w:val="24"/>
        </w:rPr>
        <w:t xml:space="preserve">physical fitness </w:t>
      </w:r>
      <w:r w:rsidR="008B6507">
        <w:rPr>
          <w:rFonts w:asciiTheme="minorHAnsi" w:hAnsiTheme="minorHAnsi"/>
          <w:color w:val="auto"/>
          <w:szCs w:val="24"/>
        </w:rPr>
        <w:t>standards.  Sh</w:t>
      </w:r>
      <w:r w:rsidR="008B6507" w:rsidRPr="00555C66">
        <w:rPr>
          <w:rFonts w:asciiTheme="minorHAnsi" w:hAnsiTheme="minorHAnsi"/>
          <w:color w:val="auto"/>
          <w:szCs w:val="24"/>
        </w:rPr>
        <w:t xml:space="preserve">e </w:t>
      </w:r>
      <w:r w:rsidR="008B6507" w:rsidRPr="00F6519C">
        <w:rPr>
          <w:rFonts w:asciiTheme="minorHAnsi" w:hAnsiTheme="minorHAnsi"/>
          <w:color w:val="auto"/>
          <w:szCs w:val="24"/>
        </w:rPr>
        <w:t>underwent a Medical Evaluation Board (MEB).</w:t>
      </w:r>
      <w:r w:rsidR="008B6507">
        <w:rPr>
          <w:rFonts w:asciiTheme="minorHAnsi" w:hAnsiTheme="minorHAnsi"/>
          <w:color w:val="auto"/>
          <w:szCs w:val="24"/>
        </w:rPr>
        <w:t xml:space="preserve">  </w:t>
      </w:r>
      <w:r w:rsidR="008B6507">
        <w:rPr>
          <w:color w:val="000000" w:themeColor="text1"/>
          <w:szCs w:val="24"/>
        </w:rPr>
        <w:t xml:space="preserve">Right shoulder and upper back </w:t>
      </w:r>
      <w:r w:rsidR="008B6507" w:rsidRPr="000B7A99">
        <w:rPr>
          <w:color w:val="000000" w:themeColor="text1"/>
          <w:szCs w:val="24"/>
        </w:rPr>
        <w:t>pain</w:t>
      </w:r>
      <w:r w:rsidR="008B6507">
        <w:rPr>
          <w:rFonts w:asciiTheme="minorHAnsi" w:hAnsiTheme="minorHAnsi"/>
          <w:color w:val="auto"/>
          <w:szCs w:val="24"/>
        </w:rPr>
        <w:t xml:space="preserve"> were </w:t>
      </w:r>
      <w:r w:rsidR="008B6507" w:rsidRPr="00C472C7">
        <w:rPr>
          <w:rFonts w:asciiTheme="minorHAnsi" w:hAnsiTheme="minorHAnsi"/>
          <w:color w:val="auto"/>
          <w:szCs w:val="24"/>
        </w:rPr>
        <w:t xml:space="preserve">forwarded to the Physical Evaluation Board (PEB) as medically unacceptable IAW </w:t>
      </w:r>
      <w:r w:rsidR="008B6507" w:rsidRPr="00802924">
        <w:rPr>
          <w:rFonts w:asciiTheme="minorHAnsi" w:hAnsiTheme="minorHAnsi"/>
          <w:color w:val="auto"/>
          <w:szCs w:val="24"/>
        </w:rPr>
        <w:t>AR 40-501.</w:t>
      </w:r>
      <w:r w:rsidR="008B6507">
        <w:rPr>
          <w:rFonts w:asciiTheme="minorHAnsi" w:hAnsiTheme="minorHAnsi"/>
          <w:color w:val="auto"/>
          <w:szCs w:val="24"/>
        </w:rPr>
        <w:t xml:space="preserve">  </w:t>
      </w:r>
      <w:r w:rsidR="008B6507" w:rsidRPr="001F29F9">
        <w:rPr>
          <w:color w:val="000000" w:themeColor="text1"/>
          <w:szCs w:val="24"/>
        </w:rPr>
        <w:t xml:space="preserve">No other conditions appeared on the </w:t>
      </w:r>
      <w:r w:rsidR="003A227E">
        <w:rPr>
          <w:color w:val="000000" w:themeColor="text1"/>
          <w:szCs w:val="24"/>
        </w:rPr>
        <w:t>DA Form 3947</w:t>
      </w:r>
      <w:r w:rsidR="008B6507" w:rsidRPr="001F29F9">
        <w:rPr>
          <w:color w:val="000000" w:themeColor="text1"/>
          <w:szCs w:val="24"/>
        </w:rPr>
        <w:t>.</w:t>
      </w:r>
      <w:r w:rsidR="008B6507">
        <w:rPr>
          <w:color w:val="000000" w:themeColor="text1"/>
          <w:szCs w:val="24"/>
        </w:rPr>
        <w:t xml:space="preserve">  The PEB found the </w:t>
      </w:r>
      <w:r w:rsidR="00170B63">
        <w:rPr>
          <w:color w:val="000000" w:themeColor="text1"/>
          <w:szCs w:val="24"/>
        </w:rPr>
        <w:t>CI unfit due to MPS</w:t>
      </w:r>
      <w:r w:rsidR="008B6507" w:rsidRPr="000B7A99">
        <w:rPr>
          <w:color w:val="000000" w:themeColor="text1"/>
          <w:szCs w:val="24"/>
        </w:rPr>
        <w:t xml:space="preserve">, rated </w:t>
      </w:r>
      <w:r w:rsidR="00170B63">
        <w:rPr>
          <w:color w:val="000000" w:themeColor="text1"/>
          <w:szCs w:val="24"/>
        </w:rPr>
        <w:t>a</w:t>
      </w:r>
      <w:r w:rsidR="008B6507">
        <w:rPr>
          <w:color w:val="000000" w:themeColor="text1"/>
          <w:szCs w:val="24"/>
        </w:rPr>
        <w:t xml:space="preserve">t </w:t>
      </w:r>
      <w:r w:rsidR="008B6507" w:rsidRPr="000B7A99">
        <w:rPr>
          <w:color w:val="000000" w:themeColor="text1"/>
          <w:szCs w:val="24"/>
        </w:rPr>
        <w:t>10%</w:t>
      </w:r>
      <w:r w:rsidR="008B6507">
        <w:rPr>
          <w:color w:val="000000" w:themeColor="text1"/>
          <w:szCs w:val="24"/>
        </w:rPr>
        <w:t xml:space="preserve">.  </w:t>
      </w:r>
      <w:r w:rsidR="008B6507" w:rsidRPr="001F29F9">
        <w:rPr>
          <w:color w:val="000000" w:themeColor="text1"/>
        </w:rPr>
        <w:t xml:space="preserve">The CI made no appeals, </w:t>
      </w:r>
      <w:r w:rsidR="008B6507">
        <w:rPr>
          <w:color w:val="000000" w:themeColor="text1"/>
        </w:rPr>
        <w:t xml:space="preserve">and was thus </w:t>
      </w:r>
      <w:r w:rsidR="008B6507" w:rsidRPr="001F29F9">
        <w:rPr>
          <w:color w:val="000000" w:themeColor="text1"/>
        </w:rPr>
        <w:t xml:space="preserve">separated with </w:t>
      </w:r>
      <w:r w:rsidR="008B6507">
        <w:rPr>
          <w:color w:val="000000" w:themeColor="text1"/>
        </w:rPr>
        <w:t>10% disability</w:t>
      </w:r>
      <w:r w:rsidR="008B6507" w:rsidRPr="00C472C7">
        <w:rPr>
          <w:rFonts w:asciiTheme="minorHAnsi" w:hAnsiTheme="minorHAnsi"/>
          <w:color w:val="auto"/>
        </w:rPr>
        <w:t>.</w:t>
      </w:r>
    </w:p>
    <w:p w:rsidR="004174F0" w:rsidRPr="001F29F9" w:rsidRDefault="004174F0" w:rsidP="00A02179">
      <w:pPr>
        <w:pBdr>
          <w:bottom w:val="single" w:sz="12" w:space="1" w:color="auto"/>
        </w:pBdr>
        <w:tabs>
          <w:tab w:val="left" w:pos="288"/>
          <w:tab w:val="left" w:pos="4752"/>
        </w:tabs>
        <w:jc w:val="both"/>
        <w:rPr>
          <w:color w:val="000000" w:themeColor="text1"/>
        </w:rPr>
      </w:pPr>
    </w:p>
    <w:p w:rsidR="004174F0" w:rsidRPr="001F29F9" w:rsidRDefault="004174F0" w:rsidP="00A02179">
      <w:pPr>
        <w:tabs>
          <w:tab w:val="left" w:pos="288"/>
          <w:tab w:val="left" w:pos="4752"/>
        </w:tabs>
        <w:jc w:val="both"/>
        <w:rPr>
          <w:color w:val="000000" w:themeColor="text1"/>
        </w:rPr>
      </w:pPr>
    </w:p>
    <w:p w:rsidR="004E10D7" w:rsidRPr="004E10D7" w:rsidRDefault="002C6E5B" w:rsidP="003A227E">
      <w:pPr>
        <w:tabs>
          <w:tab w:val="left" w:pos="288"/>
          <w:tab w:val="left" w:pos="4752"/>
        </w:tabs>
        <w:jc w:val="both"/>
        <w:rPr>
          <w:color w:val="000000" w:themeColor="text1"/>
        </w:rPr>
      </w:pPr>
      <w:r w:rsidRPr="001F29F9">
        <w:rPr>
          <w:color w:val="000000" w:themeColor="text1"/>
          <w:u w:val="single"/>
        </w:rPr>
        <w:t>CI CONTENTION</w:t>
      </w:r>
      <w:r w:rsidRPr="001F29F9">
        <w:rPr>
          <w:color w:val="000000" w:themeColor="text1"/>
        </w:rPr>
        <w:t>:</w:t>
      </w:r>
      <w:r w:rsidR="00D539F9">
        <w:rPr>
          <w:color w:val="000000" w:themeColor="text1"/>
        </w:rPr>
        <w:t xml:space="preserve">  </w:t>
      </w:r>
      <w:r w:rsidR="008B6507">
        <w:rPr>
          <w:color w:val="000000" w:themeColor="text1"/>
        </w:rPr>
        <w:t xml:space="preserve">The CI states, </w:t>
      </w:r>
      <w:r w:rsidR="00D539F9">
        <w:rPr>
          <w:color w:val="000000" w:themeColor="text1"/>
        </w:rPr>
        <w:t>“SM was not rated for migraines, although I was diagnosed with them by Neuro</w:t>
      </w:r>
      <w:r w:rsidR="008B6507">
        <w:rPr>
          <w:color w:val="000000" w:themeColor="text1"/>
        </w:rPr>
        <w:t>logy</w:t>
      </w:r>
      <w:r w:rsidR="00D539F9">
        <w:rPr>
          <w:color w:val="000000" w:themeColor="text1"/>
        </w:rPr>
        <w:t xml:space="preserve"> a</w:t>
      </w:r>
      <w:r w:rsidR="008B6507">
        <w:rPr>
          <w:color w:val="000000" w:themeColor="text1"/>
        </w:rPr>
        <w:t>t</w:t>
      </w:r>
      <w:r w:rsidR="00D539F9">
        <w:rPr>
          <w:color w:val="000000" w:themeColor="text1"/>
        </w:rPr>
        <w:t xml:space="preserve"> WRAMC in 1993 and was extensively treated for them prior and during </w:t>
      </w:r>
      <w:proofErr w:type="gramStart"/>
      <w:r w:rsidR="00D539F9">
        <w:rPr>
          <w:color w:val="000000" w:themeColor="text1"/>
        </w:rPr>
        <w:t>the</w:t>
      </w:r>
      <w:proofErr w:type="gramEnd"/>
      <w:r w:rsidR="00D539F9">
        <w:rPr>
          <w:color w:val="000000" w:themeColor="text1"/>
        </w:rPr>
        <w:t xml:space="preserve"> onset of MPS; therefore they should have been individually rated.</w:t>
      </w:r>
      <w:r w:rsidR="00796FFC">
        <w:rPr>
          <w:color w:val="000000" w:themeColor="text1"/>
        </w:rPr>
        <w:t xml:space="preserve"> </w:t>
      </w:r>
      <w:r w:rsidR="00D539F9">
        <w:rPr>
          <w:color w:val="000000" w:themeColor="text1"/>
        </w:rPr>
        <w:t xml:space="preserve"> Please review my records and you will see that migraines were one of the chief complaints of mine at the time of my discharge.  I am aware that headaches can be associated with MPS/FM; however, I beg you to consider the</w:t>
      </w:r>
      <w:r w:rsidR="008B6507">
        <w:rPr>
          <w:color w:val="000000" w:themeColor="text1"/>
        </w:rPr>
        <w:t xml:space="preserve"> fact that mine were a separate</w:t>
      </w:r>
      <w:r w:rsidR="00D539F9">
        <w:rPr>
          <w:color w:val="000000" w:themeColor="text1"/>
        </w:rPr>
        <w:t xml:space="preserve"> condition clearly proven by the fact that the onset of </w:t>
      </w:r>
      <w:r w:rsidR="00D44813">
        <w:rPr>
          <w:color w:val="000000" w:themeColor="text1"/>
        </w:rPr>
        <w:t>m</w:t>
      </w:r>
      <w:r w:rsidR="00D539F9">
        <w:rPr>
          <w:color w:val="000000" w:themeColor="text1"/>
        </w:rPr>
        <w:t xml:space="preserve">y migraines is well documented as occurring at least 9 years PRIOR to a diagnosis of MPS/FM.  On page 6 of VA letter dated </w:t>
      </w:r>
      <w:r w:rsidR="0081033C">
        <w:rPr>
          <w:color w:val="000000" w:themeColor="text1"/>
        </w:rPr>
        <w:t>20020424;</w:t>
      </w:r>
      <w:r w:rsidR="00D539F9">
        <w:rPr>
          <w:color w:val="000000" w:themeColor="text1"/>
        </w:rPr>
        <w:t xml:space="preserve"> the VA concurs with a diagnosis of Recurring migraine headaches.  They t</w:t>
      </w:r>
      <w:r w:rsidR="00602997">
        <w:rPr>
          <w:color w:val="000000" w:themeColor="text1"/>
        </w:rPr>
        <w:t>o</w:t>
      </w:r>
      <w:r w:rsidR="00D539F9">
        <w:rPr>
          <w:color w:val="000000" w:themeColor="text1"/>
        </w:rPr>
        <w:t>o initially made the mistake of assuming that the heada</w:t>
      </w:r>
      <w:r w:rsidR="00796FFC">
        <w:rPr>
          <w:color w:val="000000" w:themeColor="text1"/>
        </w:rPr>
        <w:t>ches were associated with MPS/FM</w:t>
      </w:r>
      <w:r w:rsidR="00D539F9">
        <w:rPr>
          <w:color w:val="000000" w:themeColor="text1"/>
        </w:rPr>
        <w:t xml:space="preserve"> until I asked them to reconsider based on the evidence that I have just shared with you (see letter to VA Board).  The result was that in 2005, they separately awarded me for migraine with aura based on the fact that they began in 1993.  I ask that you please do the same.</w:t>
      </w:r>
      <w:r w:rsidR="0081033C">
        <w:rPr>
          <w:color w:val="000000" w:themeColor="text1"/>
        </w:rPr>
        <w:t xml:space="preserve">  </w:t>
      </w:r>
      <w:r w:rsidR="00796FFC">
        <w:rPr>
          <w:color w:val="000000" w:themeColor="text1"/>
        </w:rPr>
        <w:t>(</w:t>
      </w:r>
      <w:r w:rsidR="0081033C" w:rsidRPr="0081033C">
        <w:rPr>
          <w:i/>
          <w:color w:val="000000" w:themeColor="text1"/>
        </w:rPr>
        <w:t>Exhibit C and B</w:t>
      </w:r>
      <w:r w:rsidR="00796FFC">
        <w:rPr>
          <w:i/>
          <w:color w:val="000000" w:themeColor="text1"/>
        </w:rPr>
        <w:t>)</w:t>
      </w:r>
      <w:r w:rsidR="00796FFC">
        <w:rPr>
          <w:color w:val="000000" w:themeColor="text1"/>
        </w:rPr>
        <w:t xml:space="preserve">  </w:t>
      </w:r>
      <w:r w:rsidR="0081033C">
        <w:rPr>
          <w:color w:val="000000" w:themeColor="text1"/>
        </w:rPr>
        <w:t>SM was not rated accurately for MPS/FM by the review board</w:t>
      </w:r>
      <w:r w:rsidR="003A227E">
        <w:rPr>
          <w:color w:val="000000" w:themeColor="text1"/>
        </w:rPr>
        <w:t xml:space="preserve">;         I was </w:t>
      </w:r>
      <w:r w:rsidR="0081033C">
        <w:rPr>
          <w:color w:val="000000" w:themeColor="text1"/>
        </w:rPr>
        <w:t xml:space="preserve">rated 10% by PEB on 20020206 and then 40% by the VA on 20020214.  </w:t>
      </w:r>
      <w:r w:rsidR="00796FFC">
        <w:rPr>
          <w:color w:val="000000" w:themeColor="text1"/>
        </w:rPr>
        <w:t>(</w:t>
      </w:r>
      <w:r w:rsidR="0081033C" w:rsidRPr="004E10D7">
        <w:rPr>
          <w:i/>
          <w:color w:val="000000" w:themeColor="text1"/>
        </w:rPr>
        <w:t>Exhibit B &amp; F</w:t>
      </w:r>
      <w:r w:rsidR="00796FFC">
        <w:rPr>
          <w:i/>
          <w:color w:val="000000" w:themeColor="text1"/>
        </w:rPr>
        <w:t>)</w:t>
      </w:r>
      <w:r w:rsidR="00796FFC">
        <w:rPr>
          <w:color w:val="000000" w:themeColor="text1"/>
        </w:rPr>
        <w:t xml:space="preserve"> </w:t>
      </w:r>
      <w:r w:rsidR="0081033C" w:rsidRPr="004E10D7">
        <w:rPr>
          <w:i/>
          <w:color w:val="000000" w:themeColor="text1"/>
        </w:rPr>
        <w:t xml:space="preserve"> </w:t>
      </w:r>
      <w:r w:rsidR="0081033C" w:rsidRPr="00796FFC">
        <w:rPr>
          <w:color w:val="000000" w:themeColor="text1"/>
        </w:rPr>
        <w:t>MRI was ignored for degenerative cer</w:t>
      </w:r>
      <w:r w:rsidR="004E10D7" w:rsidRPr="00796FFC">
        <w:rPr>
          <w:color w:val="000000" w:themeColor="text1"/>
        </w:rPr>
        <w:t xml:space="preserve">vical </w:t>
      </w:r>
      <w:proofErr w:type="spellStart"/>
      <w:r w:rsidR="004E10D7" w:rsidRPr="00796FFC">
        <w:rPr>
          <w:color w:val="000000" w:themeColor="text1"/>
        </w:rPr>
        <w:t>spondyliti</w:t>
      </w:r>
      <w:r w:rsidR="00897D4C">
        <w:rPr>
          <w:color w:val="000000" w:themeColor="text1"/>
        </w:rPr>
        <w:t>c</w:t>
      </w:r>
      <w:proofErr w:type="spellEnd"/>
      <w:r w:rsidR="00796FFC">
        <w:rPr>
          <w:color w:val="000000" w:themeColor="text1"/>
        </w:rPr>
        <w:t xml:space="preserve">.  </w:t>
      </w:r>
      <w:r w:rsidR="004E10D7">
        <w:rPr>
          <w:color w:val="000000" w:themeColor="text1"/>
        </w:rPr>
        <w:t>Finall</w:t>
      </w:r>
      <w:r w:rsidR="004A443F">
        <w:rPr>
          <w:color w:val="000000" w:themeColor="text1"/>
        </w:rPr>
        <w:t>y, my PCM never referred me to mental</w:t>
      </w:r>
      <w:r w:rsidR="004E10D7">
        <w:rPr>
          <w:color w:val="000000" w:themeColor="text1"/>
        </w:rPr>
        <w:t xml:space="preserve"> health even though my mental actions and complaints warranted evaluation and contributed to my being unfit.  In 20030728, the VA awarded me 70% for depressive di</w:t>
      </w:r>
      <w:r w:rsidR="00796FFC">
        <w:rPr>
          <w:color w:val="000000" w:themeColor="text1"/>
        </w:rPr>
        <w:t xml:space="preserve">sorder secondary to MPS/FM.  </w:t>
      </w:r>
      <w:r w:rsidR="004E10D7">
        <w:rPr>
          <w:color w:val="000000" w:themeColor="text1"/>
        </w:rPr>
        <w:t xml:space="preserve">It was </w:t>
      </w:r>
      <w:r w:rsidR="00796FFC">
        <w:rPr>
          <w:color w:val="000000" w:themeColor="text1"/>
        </w:rPr>
        <w:t xml:space="preserve">a </w:t>
      </w:r>
      <w:r w:rsidR="004E10D7">
        <w:rPr>
          <w:color w:val="000000" w:themeColor="text1"/>
        </w:rPr>
        <w:t>disservice to me that my ailments were totally and unjustly ignored or lowly rated.  I am hoping that you will sincerely review my records and see that it was a combination of my physical and mental challenges of migraines, MPS/FM and depression that rendered me unfit for duty and adjust m</w:t>
      </w:r>
      <w:r w:rsidR="00796FFC">
        <w:rPr>
          <w:color w:val="000000" w:themeColor="text1"/>
        </w:rPr>
        <w:t>y rating accordingly. Thank You</w:t>
      </w:r>
      <w:r w:rsidR="004E10D7">
        <w:rPr>
          <w:color w:val="000000" w:themeColor="text1"/>
        </w:rPr>
        <w:t>.</w:t>
      </w:r>
      <w:r w:rsidR="00796FFC">
        <w:rPr>
          <w:color w:val="000000" w:themeColor="text1"/>
        </w:rPr>
        <w:t>”</w:t>
      </w:r>
      <w:r w:rsidR="004E10D7">
        <w:rPr>
          <w:color w:val="000000" w:themeColor="text1"/>
        </w:rPr>
        <w:t xml:space="preserve">  </w:t>
      </w:r>
      <w:r w:rsidR="00796FFC">
        <w:rPr>
          <w:color w:val="000000" w:themeColor="text1"/>
        </w:rPr>
        <w:t>(</w:t>
      </w:r>
      <w:r w:rsidR="004E10D7" w:rsidRPr="004E10D7">
        <w:rPr>
          <w:i/>
          <w:color w:val="000000" w:themeColor="text1"/>
        </w:rPr>
        <w:t>Exhibit E</w:t>
      </w:r>
      <w:r w:rsidR="00796FFC">
        <w:rPr>
          <w:i/>
          <w:color w:val="000000" w:themeColor="text1"/>
        </w:rPr>
        <w:t>)</w:t>
      </w:r>
    </w:p>
    <w:p w:rsidR="004174F0" w:rsidRPr="001F29F9" w:rsidRDefault="004174F0" w:rsidP="00A02179">
      <w:pPr>
        <w:pBdr>
          <w:bottom w:val="single" w:sz="12" w:space="1" w:color="auto"/>
        </w:pBdr>
        <w:tabs>
          <w:tab w:val="left" w:pos="288"/>
          <w:tab w:val="left" w:pos="4752"/>
        </w:tabs>
        <w:jc w:val="both"/>
        <w:rPr>
          <w:color w:val="000000" w:themeColor="text1"/>
        </w:rPr>
      </w:pPr>
    </w:p>
    <w:p w:rsidR="004174F0" w:rsidRPr="001F29F9" w:rsidRDefault="004174F0" w:rsidP="00A02179">
      <w:pPr>
        <w:tabs>
          <w:tab w:val="left" w:pos="288"/>
          <w:tab w:val="left" w:pos="4752"/>
        </w:tabs>
        <w:jc w:val="both"/>
        <w:rPr>
          <w:color w:val="000000" w:themeColor="text1"/>
        </w:rPr>
      </w:pPr>
    </w:p>
    <w:p w:rsidR="001537D8" w:rsidRPr="001F29F9" w:rsidRDefault="007F0AB7" w:rsidP="00A02179">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A02179">
      <w:pPr>
        <w:jc w:val="both"/>
        <w:rPr>
          <w:color w:val="000000" w:themeColor="text1"/>
        </w:rPr>
      </w:pPr>
    </w:p>
    <w:tbl>
      <w:tblPr>
        <w:tblStyle w:val="TableGrid"/>
        <w:tblpPr w:leftFromText="187" w:rightFromText="187" w:vertAnchor="text" w:tblpXSpec="center" w:tblpY="1"/>
        <w:tblOverlap w:val="never"/>
        <w:tblW w:w="9288" w:type="dxa"/>
        <w:jc w:val="center"/>
        <w:tblLayout w:type="fixed"/>
        <w:tblLook w:val="04A0"/>
      </w:tblPr>
      <w:tblGrid>
        <w:gridCol w:w="2232"/>
        <w:gridCol w:w="1080"/>
        <w:gridCol w:w="900"/>
        <w:gridCol w:w="2322"/>
        <w:gridCol w:w="1044"/>
        <w:gridCol w:w="720"/>
        <w:gridCol w:w="990"/>
      </w:tblGrid>
      <w:tr w:rsidR="002B4E22" w:rsidRPr="001F29F9" w:rsidTr="00AB53BC">
        <w:trPr>
          <w:trHeight w:val="170"/>
          <w:jc w:val="center"/>
        </w:trPr>
        <w:tc>
          <w:tcPr>
            <w:tcW w:w="4212" w:type="dxa"/>
            <w:gridSpan w:val="3"/>
            <w:tcBorders>
              <w:right w:val="thinThickThinSmallGap" w:sz="24" w:space="0" w:color="auto"/>
            </w:tcBorders>
            <w:shd w:val="clear" w:color="auto" w:fill="D9D9D9" w:themeFill="background1" w:themeFillShade="D9"/>
            <w:vAlign w:val="center"/>
          </w:tcPr>
          <w:p w:rsidR="002B4E22" w:rsidRPr="001F29F9" w:rsidRDefault="00AB53BC" w:rsidP="00AB53BC">
            <w:pPr>
              <w:contextualSpacing/>
              <w:rPr>
                <w:rFonts w:ascii="Calibri" w:hAnsi="Calibri" w:cs="Calibri"/>
                <w:b/>
                <w:color w:val="000000" w:themeColor="text1"/>
                <w:sz w:val="18"/>
                <w:szCs w:val="18"/>
              </w:rPr>
            </w:pPr>
            <w:r>
              <w:rPr>
                <w:rFonts w:ascii="Calibri" w:hAnsi="Calibri" w:cs="Calibri"/>
                <w:b/>
                <w:color w:val="000000" w:themeColor="text1"/>
                <w:sz w:val="18"/>
                <w:szCs w:val="18"/>
              </w:rPr>
              <w:t>Army</w:t>
            </w:r>
            <w:r w:rsidR="00B731E4" w:rsidRPr="001F29F9">
              <w:rPr>
                <w:rFonts w:ascii="Calibri" w:hAnsi="Calibri" w:cs="Calibri"/>
                <w:b/>
                <w:color w:val="000000" w:themeColor="text1"/>
                <w:sz w:val="18"/>
                <w:szCs w:val="18"/>
              </w:rPr>
              <w:t xml:space="preserve"> PEB – </w:t>
            </w:r>
            <w:r w:rsidR="00A94C9D">
              <w:rPr>
                <w:rFonts w:ascii="Calibri" w:hAnsi="Calibri" w:cs="Calibri"/>
                <w:b/>
                <w:color w:val="000000" w:themeColor="text1"/>
                <w:sz w:val="18"/>
                <w:szCs w:val="18"/>
              </w:rPr>
              <w:t>d</w:t>
            </w:r>
            <w:r w:rsidR="00B731E4" w:rsidRPr="001F29F9">
              <w:rPr>
                <w:rFonts w:ascii="Calibri" w:hAnsi="Calibri" w:cs="Calibri"/>
                <w:b/>
                <w:color w:val="000000" w:themeColor="text1"/>
                <w:sz w:val="18"/>
                <w:szCs w:val="18"/>
              </w:rPr>
              <w:t>ated 200</w:t>
            </w:r>
            <w:r w:rsidR="00094549">
              <w:rPr>
                <w:rFonts w:ascii="Calibri" w:hAnsi="Calibri" w:cs="Calibri"/>
                <w:b/>
                <w:color w:val="000000" w:themeColor="text1"/>
                <w:sz w:val="18"/>
                <w:szCs w:val="18"/>
              </w:rPr>
              <w:t>20206</w:t>
            </w:r>
          </w:p>
        </w:tc>
        <w:tc>
          <w:tcPr>
            <w:tcW w:w="5076" w:type="dxa"/>
            <w:gridSpan w:val="4"/>
            <w:tcBorders>
              <w:left w:val="thinThickThinSmallGap" w:sz="24" w:space="0" w:color="auto"/>
            </w:tcBorders>
            <w:shd w:val="clear" w:color="auto" w:fill="D9D9D9" w:themeFill="background1" w:themeFillShade="D9"/>
            <w:vAlign w:val="center"/>
          </w:tcPr>
          <w:p w:rsidR="002B4E22" w:rsidRPr="001F29F9" w:rsidRDefault="002B4E22" w:rsidP="00AB53BC">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264BA5">
              <w:rPr>
                <w:rFonts w:ascii="Calibri" w:hAnsi="Calibri" w:cs="Calibri"/>
                <w:b/>
                <w:color w:val="000000" w:themeColor="text1"/>
                <w:sz w:val="18"/>
                <w:szCs w:val="18"/>
              </w:rPr>
              <w:t xml:space="preserve">2 </w:t>
            </w:r>
            <w:r w:rsidR="00A94C9D">
              <w:rPr>
                <w:rFonts w:ascii="Calibri" w:hAnsi="Calibri" w:cs="Calibri"/>
                <w:b/>
                <w:color w:val="000000" w:themeColor="text1"/>
                <w:sz w:val="18"/>
                <w:szCs w:val="18"/>
              </w:rPr>
              <w:t>m</w:t>
            </w:r>
            <w:r w:rsidRPr="001F29F9">
              <w:rPr>
                <w:rFonts w:ascii="Calibri" w:hAnsi="Calibri" w:cs="Calibri"/>
                <w:b/>
                <w:color w:val="000000" w:themeColor="text1"/>
                <w:sz w:val="18"/>
                <w:szCs w:val="18"/>
              </w:rPr>
              <w:t>o</w:t>
            </w:r>
            <w:r w:rsidR="00AB53BC">
              <w:rPr>
                <w:rFonts w:ascii="Calibri" w:hAnsi="Calibri" w:cs="Calibri"/>
                <w:b/>
                <w:color w:val="000000" w:themeColor="text1"/>
                <w:sz w:val="18"/>
                <w:szCs w:val="18"/>
              </w:rPr>
              <w:t>s</w:t>
            </w:r>
            <w:r w:rsidRPr="001F29F9">
              <w:rPr>
                <w:rFonts w:ascii="Calibri" w:hAnsi="Calibri" w:cs="Calibri"/>
                <w:b/>
                <w:color w:val="000000" w:themeColor="text1"/>
                <w:sz w:val="18"/>
                <w:szCs w:val="18"/>
              </w:rPr>
              <w:t>.</w:t>
            </w:r>
            <w:r w:rsidR="00264BA5">
              <w:rPr>
                <w:rFonts w:ascii="Calibri" w:hAnsi="Calibri" w:cs="Calibri"/>
                <w:b/>
                <w:color w:val="000000" w:themeColor="text1"/>
                <w:sz w:val="18"/>
                <w:szCs w:val="18"/>
              </w:rPr>
              <w:t xml:space="preserve"> </w:t>
            </w:r>
            <w:r w:rsidR="00AB53BC">
              <w:rPr>
                <w:rFonts w:ascii="Calibri" w:hAnsi="Calibri" w:cs="Calibri"/>
                <w:b/>
                <w:color w:val="000000" w:themeColor="text1"/>
                <w:sz w:val="18"/>
                <w:szCs w:val="18"/>
              </w:rPr>
              <w:t>a</w:t>
            </w:r>
            <w:r w:rsidRPr="00264BA5">
              <w:rPr>
                <w:rFonts w:ascii="Calibri" w:hAnsi="Calibri" w:cs="Calibri"/>
                <w:b/>
                <w:color w:val="000000" w:themeColor="text1"/>
                <w:sz w:val="18"/>
                <w:szCs w:val="18"/>
              </w:rPr>
              <w:t>fter</w:t>
            </w:r>
            <w:r w:rsidRPr="001F29F9">
              <w:rPr>
                <w:rFonts w:ascii="Calibri" w:hAnsi="Calibri" w:cs="Calibri"/>
                <w:b/>
                <w:color w:val="000000" w:themeColor="text1"/>
                <w:sz w:val="18"/>
                <w:szCs w:val="18"/>
              </w:rPr>
              <w:t xml:space="preserve"> Separation) – All Effective </w:t>
            </w:r>
            <w:r w:rsidR="002D08F3" w:rsidRPr="001F29F9">
              <w:rPr>
                <w:rFonts w:ascii="Calibri" w:hAnsi="Calibri" w:cs="Calibri"/>
                <w:b/>
                <w:color w:val="000000" w:themeColor="text1"/>
                <w:sz w:val="18"/>
                <w:szCs w:val="18"/>
              </w:rPr>
              <w:t>200</w:t>
            </w:r>
            <w:r w:rsidR="00264BA5">
              <w:rPr>
                <w:rFonts w:ascii="Calibri" w:hAnsi="Calibri" w:cs="Calibri"/>
                <w:b/>
                <w:color w:val="000000" w:themeColor="text1"/>
                <w:sz w:val="18"/>
                <w:szCs w:val="18"/>
              </w:rPr>
              <w:t>20521</w:t>
            </w:r>
          </w:p>
        </w:tc>
      </w:tr>
      <w:tr w:rsidR="002B4E22" w:rsidRPr="001F29F9" w:rsidTr="00AB53BC">
        <w:trPr>
          <w:trHeight w:val="97"/>
          <w:jc w:val="center"/>
        </w:trPr>
        <w:tc>
          <w:tcPr>
            <w:tcW w:w="2232"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A0217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A0217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A0217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A0217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44" w:type="dxa"/>
            <w:tcBorders>
              <w:bottom w:val="single" w:sz="4" w:space="0" w:color="000000" w:themeColor="text1"/>
            </w:tcBorders>
            <w:shd w:val="clear" w:color="auto" w:fill="D9D9D9" w:themeFill="background1" w:themeFillShade="D9"/>
            <w:vAlign w:val="center"/>
          </w:tcPr>
          <w:p w:rsidR="002B4E22" w:rsidRPr="001F29F9" w:rsidRDefault="002B4E22" w:rsidP="00A0217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2B4E22" w:rsidRPr="001F29F9" w:rsidRDefault="002B4E22" w:rsidP="00A0217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A0217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C03C21" w:rsidRPr="001F29F9" w:rsidTr="00AB53BC">
        <w:trPr>
          <w:trHeight w:val="115"/>
          <w:jc w:val="center"/>
        </w:trPr>
        <w:tc>
          <w:tcPr>
            <w:tcW w:w="2232" w:type="dxa"/>
            <w:tcBorders>
              <w:right w:val="single" w:sz="4" w:space="0" w:color="auto"/>
            </w:tcBorders>
            <w:shd w:val="clear" w:color="auto" w:fill="FFFFFF" w:themeFill="background1"/>
            <w:vAlign w:val="center"/>
          </w:tcPr>
          <w:p w:rsidR="00BC5860" w:rsidRPr="001F29F9" w:rsidRDefault="00094549" w:rsidP="00A02179">
            <w:pPr>
              <w:contextualSpacing/>
              <w:jc w:val="left"/>
              <w:rPr>
                <w:rFonts w:ascii="Calibri" w:eastAsia="Times New Roman" w:hAnsi="Calibri" w:cs="Calibri"/>
                <w:color w:val="000000" w:themeColor="text1"/>
                <w:sz w:val="18"/>
                <w:szCs w:val="18"/>
              </w:rPr>
            </w:pPr>
            <w:proofErr w:type="spellStart"/>
            <w:r>
              <w:rPr>
                <w:rFonts w:ascii="Calibri" w:eastAsia="Times New Roman" w:hAnsi="Calibri" w:cs="Calibri"/>
                <w:color w:val="000000" w:themeColor="text1"/>
                <w:sz w:val="18"/>
                <w:szCs w:val="18"/>
              </w:rPr>
              <w:t>Myofascial</w:t>
            </w:r>
            <w:proofErr w:type="spellEnd"/>
            <w:r>
              <w:rPr>
                <w:rFonts w:ascii="Calibri" w:eastAsia="Times New Roman" w:hAnsi="Calibri" w:cs="Calibri"/>
                <w:color w:val="000000" w:themeColor="text1"/>
                <w:sz w:val="18"/>
                <w:szCs w:val="18"/>
              </w:rPr>
              <w:t xml:space="preserve"> Pain Syndrome</w:t>
            </w:r>
          </w:p>
        </w:tc>
        <w:tc>
          <w:tcPr>
            <w:tcW w:w="1080" w:type="dxa"/>
            <w:tcBorders>
              <w:left w:val="single" w:sz="4" w:space="0" w:color="auto"/>
            </w:tcBorders>
            <w:shd w:val="clear" w:color="auto" w:fill="FFFFFF" w:themeFill="background1"/>
            <w:vAlign w:val="center"/>
          </w:tcPr>
          <w:p w:rsidR="00BC5860" w:rsidRPr="001F29F9" w:rsidRDefault="00094549" w:rsidP="00A94C9D">
            <w:pPr>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5099</w:t>
            </w:r>
            <w:r w:rsidR="00A94C9D">
              <w:rPr>
                <w:rFonts w:ascii="Calibri" w:eastAsia="Times New Roman" w:hAnsi="Calibri" w:cs="Calibri"/>
                <w:color w:val="000000" w:themeColor="text1"/>
                <w:sz w:val="18"/>
                <w:szCs w:val="18"/>
              </w:rPr>
              <w:t>-</w:t>
            </w:r>
            <w:r>
              <w:rPr>
                <w:rFonts w:ascii="Calibri" w:eastAsia="Times New Roman" w:hAnsi="Calibri" w:cs="Calibri"/>
                <w:color w:val="000000" w:themeColor="text1"/>
                <w:sz w:val="18"/>
                <w:szCs w:val="18"/>
              </w:rPr>
              <w:t>5003</w:t>
            </w:r>
          </w:p>
        </w:tc>
        <w:tc>
          <w:tcPr>
            <w:tcW w:w="900" w:type="dxa"/>
            <w:tcBorders>
              <w:right w:val="thinThickThinSmallGap" w:sz="24" w:space="0" w:color="auto"/>
            </w:tcBorders>
            <w:shd w:val="clear" w:color="auto" w:fill="FFFFFF" w:themeFill="background1"/>
            <w:vAlign w:val="center"/>
          </w:tcPr>
          <w:p w:rsidR="00BC5860" w:rsidRPr="001F29F9" w:rsidRDefault="00094549" w:rsidP="00A02179">
            <w:pPr>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2322" w:type="dxa"/>
            <w:tcBorders>
              <w:left w:val="thinThickThinSmallGap" w:sz="24" w:space="0" w:color="auto"/>
            </w:tcBorders>
            <w:shd w:val="clear" w:color="auto" w:fill="FFFFFF" w:themeFill="background1"/>
            <w:vAlign w:val="center"/>
          </w:tcPr>
          <w:p w:rsidR="00BC5860" w:rsidRPr="001F29F9" w:rsidRDefault="00264BA5" w:rsidP="00A02179">
            <w:pPr>
              <w:contextualSpacing/>
              <w:jc w:val="left"/>
              <w:rPr>
                <w:rFonts w:ascii="Calibri" w:eastAsia="Times New Roman" w:hAnsi="Calibri" w:cs="Calibri"/>
                <w:color w:val="000000" w:themeColor="text1"/>
                <w:sz w:val="18"/>
                <w:szCs w:val="18"/>
              </w:rPr>
            </w:pPr>
            <w:proofErr w:type="spellStart"/>
            <w:r>
              <w:rPr>
                <w:rFonts w:ascii="Calibri" w:eastAsia="Times New Roman" w:hAnsi="Calibri" w:cs="Calibri"/>
                <w:color w:val="000000" w:themeColor="text1"/>
                <w:sz w:val="18"/>
                <w:szCs w:val="18"/>
              </w:rPr>
              <w:t>Myofascial</w:t>
            </w:r>
            <w:proofErr w:type="spellEnd"/>
            <w:r>
              <w:rPr>
                <w:rFonts w:ascii="Calibri" w:eastAsia="Times New Roman" w:hAnsi="Calibri" w:cs="Calibri"/>
                <w:color w:val="000000" w:themeColor="text1"/>
                <w:sz w:val="18"/>
                <w:szCs w:val="18"/>
              </w:rPr>
              <w:t xml:space="preserve"> Pain Syndrome</w:t>
            </w:r>
          </w:p>
        </w:tc>
        <w:tc>
          <w:tcPr>
            <w:tcW w:w="1044" w:type="dxa"/>
            <w:shd w:val="clear" w:color="auto" w:fill="FFFFFF" w:themeFill="background1"/>
            <w:vAlign w:val="center"/>
          </w:tcPr>
          <w:p w:rsidR="00BC5860" w:rsidRPr="001F29F9" w:rsidRDefault="00264BA5" w:rsidP="00AB53BC">
            <w:pPr>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5099</w:t>
            </w:r>
            <w:r w:rsidR="00A94C9D">
              <w:rPr>
                <w:rFonts w:ascii="Calibri" w:eastAsia="Times New Roman" w:hAnsi="Calibri" w:cs="Calibri"/>
                <w:color w:val="000000" w:themeColor="text1"/>
                <w:sz w:val="18"/>
                <w:szCs w:val="18"/>
              </w:rPr>
              <w:t>-</w:t>
            </w:r>
            <w:r>
              <w:rPr>
                <w:rFonts w:ascii="Calibri" w:eastAsia="Times New Roman" w:hAnsi="Calibri" w:cs="Calibri"/>
                <w:color w:val="000000" w:themeColor="text1"/>
                <w:sz w:val="18"/>
                <w:szCs w:val="18"/>
              </w:rPr>
              <w:t>5025</w:t>
            </w:r>
          </w:p>
        </w:tc>
        <w:tc>
          <w:tcPr>
            <w:tcW w:w="720" w:type="dxa"/>
            <w:shd w:val="clear" w:color="auto" w:fill="FFFFFF" w:themeFill="background1"/>
            <w:vAlign w:val="center"/>
          </w:tcPr>
          <w:p w:rsidR="00BC5860" w:rsidRPr="001F29F9" w:rsidRDefault="00264BA5" w:rsidP="00A02179">
            <w:pPr>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40%</w:t>
            </w:r>
          </w:p>
        </w:tc>
        <w:tc>
          <w:tcPr>
            <w:tcW w:w="990" w:type="dxa"/>
            <w:shd w:val="clear" w:color="auto" w:fill="FFFFFF" w:themeFill="background1"/>
            <w:vAlign w:val="center"/>
          </w:tcPr>
          <w:p w:rsidR="00BC5860" w:rsidRPr="00094549" w:rsidRDefault="00264BA5" w:rsidP="00A02179">
            <w:pPr>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20020225</w:t>
            </w:r>
          </w:p>
        </w:tc>
      </w:tr>
      <w:tr w:rsidR="00264BA5" w:rsidRPr="001F29F9" w:rsidTr="00AB53BC">
        <w:trPr>
          <w:trHeight w:val="106"/>
          <w:jc w:val="center"/>
        </w:trPr>
        <w:tc>
          <w:tcPr>
            <w:tcW w:w="4212" w:type="dxa"/>
            <w:gridSpan w:val="3"/>
            <w:vMerge w:val="restart"/>
            <w:tcBorders>
              <w:right w:val="thinThickThinSmallGap" w:sz="24" w:space="0" w:color="auto"/>
            </w:tcBorders>
            <w:shd w:val="clear" w:color="auto" w:fill="FFFFFF" w:themeFill="background1"/>
            <w:vAlign w:val="center"/>
          </w:tcPr>
          <w:p w:rsidR="00264BA5" w:rsidRPr="001F29F9" w:rsidRDefault="00264BA5" w:rsidP="00A02179">
            <w:pPr>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264BA5" w:rsidRPr="001F29F9" w:rsidRDefault="00264BA5" w:rsidP="00A02179">
            <w:pPr>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Urethral </w:t>
            </w:r>
            <w:proofErr w:type="spellStart"/>
            <w:r>
              <w:rPr>
                <w:rFonts w:ascii="Calibri" w:eastAsia="Times New Roman" w:hAnsi="Calibri" w:cs="Calibri"/>
                <w:color w:val="000000" w:themeColor="text1"/>
                <w:sz w:val="18"/>
                <w:szCs w:val="18"/>
              </w:rPr>
              <w:t>Diverticulum</w:t>
            </w:r>
            <w:proofErr w:type="spellEnd"/>
          </w:p>
        </w:tc>
        <w:tc>
          <w:tcPr>
            <w:tcW w:w="1044" w:type="dxa"/>
            <w:tcBorders>
              <w:left w:val="single" w:sz="4" w:space="0" w:color="auto"/>
            </w:tcBorders>
            <w:shd w:val="clear" w:color="auto" w:fill="FFFFFF" w:themeFill="background1"/>
            <w:vAlign w:val="center"/>
          </w:tcPr>
          <w:p w:rsidR="00264BA5" w:rsidRPr="001F29F9" w:rsidRDefault="00264BA5" w:rsidP="00C34625">
            <w:pPr>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7599</w:t>
            </w:r>
            <w:r w:rsidR="00C34625">
              <w:rPr>
                <w:rFonts w:ascii="Calibri" w:eastAsia="Times New Roman" w:hAnsi="Calibri" w:cs="Calibri"/>
                <w:color w:val="000000" w:themeColor="text1"/>
                <w:sz w:val="18"/>
                <w:szCs w:val="18"/>
              </w:rPr>
              <w:t>-</w:t>
            </w:r>
            <w:r>
              <w:rPr>
                <w:rFonts w:ascii="Calibri" w:eastAsia="Times New Roman" w:hAnsi="Calibri" w:cs="Calibri"/>
                <w:color w:val="000000" w:themeColor="text1"/>
                <w:sz w:val="18"/>
                <w:szCs w:val="18"/>
              </w:rPr>
              <w:t>7518</w:t>
            </w:r>
          </w:p>
        </w:tc>
        <w:tc>
          <w:tcPr>
            <w:tcW w:w="720" w:type="dxa"/>
            <w:shd w:val="clear" w:color="auto" w:fill="FFFFFF" w:themeFill="background1"/>
            <w:vAlign w:val="center"/>
          </w:tcPr>
          <w:p w:rsidR="00264BA5" w:rsidRPr="001F29F9" w:rsidRDefault="00264BA5" w:rsidP="00A02179">
            <w:pPr>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264BA5" w:rsidRPr="00094549" w:rsidRDefault="00264BA5" w:rsidP="00A02179">
            <w:pPr>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20020225</w:t>
            </w:r>
          </w:p>
        </w:tc>
      </w:tr>
      <w:tr w:rsidR="00264BA5" w:rsidRPr="001F29F9" w:rsidTr="00AB53BC">
        <w:trPr>
          <w:trHeight w:val="97"/>
          <w:jc w:val="center"/>
        </w:trPr>
        <w:tc>
          <w:tcPr>
            <w:tcW w:w="4212" w:type="dxa"/>
            <w:gridSpan w:val="3"/>
            <w:vMerge/>
            <w:tcBorders>
              <w:right w:val="thinThickThinSmallGap" w:sz="24" w:space="0" w:color="auto"/>
            </w:tcBorders>
            <w:shd w:val="clear" w:color="auto" w:fill="FFFFFF" w:themeFill="background1"/>
            <w:vAlign w:val="center"/>
          </w:tcPr>
          <w:p w:rsidR="00264BA5" w:rsidRPr="001F29F9" w:rsidRDefault="00264BA5" w:rsidP="00A02179">
            <w:pPr>
              <w:contextualSpacing/>
              <w:rPr>
                <w:rFonts w:ascii="Calibri" w:eastAsia="Times New Roman" w:hAnsi="Calibri" w:cs="Calibri"/>
                <w:color w:val="000000" w:themeColor="text1"/>
                <w:sz w:val="18"/>
                <w:szCs w:val="18"/>
                <w:highlight w:val="yellow"/>
              </w:rPr>
            </w:pPr>
          </w:p>
        </w:tc>
        <w:tc>
          <w:tcPr>
            <w:tcW w:w="2322" w:type="dxa"/>
            <w:tcBorders>
              <w:left w:val="thinThickThinSmallGap" w:sz="24" w:space="0" w:color="auto"/>
              <w:right w:val="single" w:sz="4" w:space="0" w:color="auto"/>
            </w:tcBorders>
            <w:shd w:val="clear" w:color="auto" w:fill="FFFFFF" w:themeFill="background1"/>
            <w:vAlign w:val="center"/>
          </w:tcPr>
          <w:p w:rsidR="00264BA5" w:rsidRPr="001F29F9" w:rsidRDefault="00264BA5" w:rsidP="00A02179">
            <w:pPr>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Right Ankle Sprain</w:t>
            </w:r>
          </w:p>
        </w:tc>
        <w:tc>
          <w:tcPr>
            <w:tcW w:w="1044" w:type="dxa"/>
            <w:tcBorders>
              <w:left w:val="single" w:sz="4" w:space="0" w:color="auto"/>
            </w:tcBorders>
            <w:shd w:val="clear" w:color="auto" w:fill="FFFFFF" w:themeFill="background1"/>
            <w:vAlign w:val="center"/>
          </w:tcPr>
          <w:p w:rsidR="00264BA5" w:rsidRPr="001F29F9" w:rsidRDefault="00264BA5" w:rsidP="00C34625">
            <w:pPr>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5299</w:t>
            </w:r>
            <w:r w:rsidR="00C34625">
              <w:rPr>
                <w:rFonts w:ascii="Calibri" w:eastAsia="Times New Roman" w:hAnsi="Calibri" w:cs="Calibri"/>
                <w:color w:val="000000" w:themeColor="text1"/>
                <w:sz w:val="18"/>
                <w:szCs w:val="18"/>
              </w:rPr>
              <w:t>-</w:t>
            </w:r>
            <w:r>
              <w:rPr>
                <w:rFonts w:ascii="Calibri" w:eastAsia="Times New Roman" w:hAnsi="Calibri" w:cs="Calibri"/>
                <w:color w:val="000000" w:themeColor="text1"/>
                <w:sz w:val="18"/>
                <w:szCs w:val="18"/>
              </w:rPr>
              <w:t>5271</w:t>
            </w:r>
          </w:p>
        </w:tc>
        <w:tc>
          <w:tcPr>
            <w:tcW w:w="720" w:type="dxa"/>
            <w:shd w:val="clear" w:color="auto" w:fill="FFFFFF" w:themeFill="background1"/>
            <w:vAlign w:val="center"/>
          </w:tcPr>
          <w:p w:rsidR="00264BA5" w:rsidRPr="001F29F9" w:rsidRDefault="00264BA5" w:rsidP="00A02179">
            <w:pPr>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264BA5" w:rsidRPr="00094549" w:rsidRDefault="00264BA5" w:rsidP="00A02179">
            <w:pPr>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20020225</w:t>
            </w:r>
          </w:p>
        </w:tc>
      </w:tr>
      <w:tr w:rsidR="00264BA5" w:rsidRPr="001F29F9" w:rsidTr="00AB53BC">
        <w:trPr>
          <w:trHeight w:val="178"/>
          <w:jc w:val="center"/>
        </w:trPr>
        <w:tc>
          <w:tcPr>
            <w:tcW w:w="4212" w:type="dxa"/>
            <w:gridSpan w:val="3"/>
            <w:vMerge/>
            <w:tcBorders>
              <w:right w:val="thinThickThinSmallGap" w:sz="24" w:space="0" w:color="auto"/>
            </w:tcBorders>
            <w:shd w:val="clear" w:color="auto" w:fill="FFFFFF" w:themeFill="background1"/>
            <w:vAlign w:val="center"/>
          </w:tcPr>
          <w:p w:rsidR="00264BA5" w:rsidRPr="001F29F9" w:rsidRDefault="00264BA5" w:rsidP="00A02179">
            <w:pPr>
              <w:contextualSpacing/>
              <w:rPr>
                <w:rFonts w:ascii="Calibri" w:eastAsia="Times New Roman" w:hAnsi="Calibri" w:cs="Calibri"/>
                <w:color w:val="000000" w:themeColor="text1"/>
                <w:sz w:val="18"/>
                <w:szCs w:val="18"/>
                <w:highlight w:val="yellow"/>
              </w:rPr>
            </w:pPr>
          </w:p>
        </w:tc>
        <w:tc>
          <w:tcPr>
            <w:tcW w:w="2322" w:type="dxa"/>
            <w:tcBorders>
              <w:left w:val="thinThickThinSmallGap" w:sz="24" w:space="0" w:color="auto"/>
              <w:right w:val="single" w:sz="4" w:space="0" w:color="auto"/>
            </w:tcBorders>
            <w:shd w:val="clear" w:color="auto" w:fill="FFFFFF" w:themeFill="background1"/>
            <w:vAlign w:val="center"/>
          </w:tcPr>
          <w:p w:rsidR="00264BA5" w:rsidRPr="001F29F9" w:rsidRDefault="00264BA5" w:rsidP="00A02179">
            <w:pPr>
              <w:contextualSpacing/>
              <w:jc w:val="left"/>
              <w:rPr>
                <w:rFonts w:ascii="Calibri" w:eastAsia="Times New Roman" w:hAnsi="Calibri" w:cs="Calibri"/>
                <w:color w:val="000000" w:themeColor="text1"/>
                <w:sz w:val="18"/>
                <w:szCs w:val="18"/>
              </w:rPr>
            </w:pPr>
            <w:proofErr w:type="spellStart"/>
            <w:r>
              <w:rPr>
                <w:rFonts w:ascii="Calibri" w:eastAsia="Times New Roman" w:hAnsi="Calibri" w:cs="Calibri"/>
                <w:color w:val="000000" w:themeColor="text1"/>
                <w:sz w:val="18"/>
                <w:szCs w:val="18"/>
              </w:rPr>
              <w:t>Seborrheic</w:t>
            </w:r>
            <w:proofErr w:type="spellEnd"/>
            <w:r>
              <w:rPr>
                <w:rFonts w:ascii="Calibri" w:eastAsia="Times New Roman" w:hAnsi="Calibri" w:cs="Calibri"/>
                <w:color w:val="000000" w:themeColor="text1"/>
                <w:sz w:val="18"/>
                <w:szCs w:val="18"/>
              </w:rPr>
              <w:t xml:space="preserve"> Dermatitis</w:t>
            </w:r>
          </w:p>
        </w:tc>
        <w:tc>
          <w:tcPr>
            <w:tcW w:w="1044" w:type="dxa"/>
            <w:tcBorders>
              <w:left w:val="single" w:sz="4" w:space="0" w:color="auto"/>
            </w:tcBorders>
            <w:shd w:val="clear" w:color="auto" w:fill="FFFFFF" w:themeFill="background1"/>
            <w:vAlign w:val="center"/>
          </w:tcPr>
          <w:p w:rsidR="00264BA5" w:rsidRPr="001F29F9" w:rsidRDefault="00264BA5" w:rsidP="00C34625">
            <w:pPr>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7899</w:t>
            </w:r>
            <w:r w:rsidR="00C34625">
              <w:rPr>
                <w:rFonts w:ascii="Calibri" w:eastAsia="Times New Roman" w:hAnsi="Calibri" w:cs="Calibri"/>
                <w:color w:val="000000" w:themeColor="text1"/>
                <w:sz w:val="18"/>
                <w:szCs w:val="18"/>
              </w:rPr>
              <w:t>-</w:t>
            </w:r>
            <w:r>
              <w:rPr>
                <w:rFonts w:ascii="Calibri" w:eastAsia="Times New Roman" w:hAnsi="Calibri" w:cs="Calibri"/>
                <w:color w:val="000000" w:themeColor="text1"/>
                <w:sz w:val="18"/>
                <w:szCs w:val="18"/>
              </w:rPr>
              <w:t>7806</w:t>
            </w:r>
          </w:p>
        </w:tc>
        <w:tc>
          <w:tcPr>
            <w:tcW w:w="720" w:type="dxa"/>
            <w:shd w:val="clear" w:color="auto" w:fill="FFFFFF" w:themeFill="background1"/>
            <w:vAlign w:val="center"/>
          </w:tcPr>
          <w:p w:rsidR="00264BA5" w:rsidRPr="001F29F9" w:rsidRDefault="00264BA5" w:rsidP="00A02179">
            <w:pPr>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264BA5" w:rsidRPr="00094549" w:rsidRDefault="00264BA5" w:rsidP="00A02179">
            <w:pPr>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20020225</w:t>
            </w:r>
          </w:p>
        </w:tc>
      </w:tr>
      <w:tr w:rsidR="00264BA5" w:rsidRPr="001F29F9" w:rsidTr="00AB53BC">
        <w:trPr>
          <w:trHeight w:val="133"/>
          <w:jc w:val="center"/>
        </w:trPr>
        <w:tc>
          <w:tcPr>
            <w:tcW w:w="4212" w:type="dxa"/>
            <w:gridSpan w:val="3"/>
            <w:vMerge/>
            <w:tcBorders>
              <w:right w:val="thinThickThinSmallGap" w:sz="24" w:space="0" w:color="auto"/>
            </w:tcBorders>
            <w:shd w:val="clear" w:color="auto" w:fill="FFFFFF" w:themeFill="background1"/>
          </w:tcPr>
          <w:p w:rsidR="00264BA5" w:rsidRPr="001F29F9" w:rsidRDefault="00264BA5" w:rsidP="00A02179">
            <w:pPr>
              <w:contextualSpacing/>
              <w:rPr>
                <w:rFonts w:ascii="Calibri" w:eastAsia="Times New Roman" w:hAnsi="Calibri" w:cs="Calibri"/>
                <w:color w:val="000000" w:themeColor="text1"/>
                <w:sz w:val="18"/>
                <w:szCs w:val="18"/>
              </w:rPr>
            </w:pPr>
          </w:p>
        </w:tc>
        <w:tc>
          <w:tcPr>
            <w:tcW w:w="4086" w:type="dxa"/>
            <w:gridSpan w:val="3"/>
            <w:tcBorders>
              <w:left w:val="thinThickThinSmallGap" w:sz="24" w:space="0" w:color="auto"/>
            </w:tcBorders>
            <w:shd w:val="clear" w:color="auto" w:fill="FFFFFF" w:themeFill="background1"/>
            <w:vAlign w:val="center"/>
          </w:tcPr>
          <w:p w:rsidR="00264BA5" w:rsidRPr="001F29F9" w:rsidRDefault="00264BA5" w:rsidP="00A02179">
            <w:pPr>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0% x</w:t>
            </w:r>
            <w:r>
              <w:rPr>
                <w:rFonts w:ascii="Calibri" w:hAnsi="Calibri" w:cs="Calibri"/>
                <w:color w:val="000000" w:themeColor="text1"/>
                <w:sz w:val="18"/>
                <w:szCs w:val="18"/>
              </w:rPr>
              <w:t xml:space="preserve"> 2</w:t>
            </w:r>
            <w:r w:rsidRPr="001F29F9">
              <w:rPr>
                <w:rFonts w:ascii="Calibri" w:hAnsi="Calibri" w:cs="Calibri"/>
                <w:color w:val="000000" w:themeColor="text1"/>
                <w:sz w:val="18"/>
                <w:szCs w:val="18"/>
              </w:rPr>
              <w:t xml:space="preserve">/Not Service Connected x </w:t>
            </w:r>
            <w:r>
              <w:rPr>
                <w:rFonts w:ascii="Calibri" w:hAnsi="Calibri" w:cs="Calibri"/>
                <w:color w:val="000000" w:themeColor="text1"/>
                <w:sz w:val="18"/>
                <w:szCs w:val="18"/>
              </w:rPr>
              <w:t>1</w:t>
            </w:r>
          </w:p>
        </w:tc>
        <w:tc>
          <w:tcPr>
            <w:tcW w:w="990" w:type="dxa"/>
            <w:shd w:val="clear" w:color="auto" w:fill="FFFFFF" w:themeFill="background1"/>
            <w:vAlign w:val="center"/>
          </w:tcPr>
          <w:p w:rsidR="00264BA5" w:rsidRPr="001F29F9" w:rsidRDefault="00264BA5" w:rsidP="00A02179">
            <w:pPr>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20225</w:t>
            </w:r>
          </w:p>
        </w:tc>
      </w:tr>
      <w:tr w:rsidR="007A65A9" w:rsidRPr="001F29F9" w:rsidTr="00AB53BC">
        <w:trPr>
          <w:trHeight w:val="124"/>
          <w:jc w:val="center"/>
        </w:trPr>
        <w:tc>
          <w:tcPr>
            <w:tcW w:w="4212" w:type="dxa"/>
            <w:gridSpan w:val="3"/>
            <w:tcBorders>
              <w:right w:val="thinThickThinSmallGap" w:sz="24" w:space="0" w:color="auto"/>
            </w:tcBorders>
            <w:shd w:val="clear" w:color="auto" w:fill="D9D9D9" w:themeFill="background1" w:themeFillShade="D9"/>
            <w:vAlign w:val="center"/>
          </w:tcPr>
          <w:p w:rsidR="007A65A9" w:rsidRPr="001F29F9" w:rsidRDefault="007A65A9" w:rsidP="00A0217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lastRenderedPageBreak/>
              <w:t xml:space="preserve">Combined: </w:t>
            </w:r>
            <w:r w:rsidR="006458FD" w:rsidRPr="001F29F9">
              <w:rPr>
                <w:rFonts w:ascii="Calibri" w:hAnsi="Calibri" w:cs="Calibri"/>
                <w:b/>
                <w:color w:val="000000" w:themeColor="text1"/>
                <w:sz w:val="18"/>
                <w:szCs w:val="18"/>
              </w:rPr>
              <w:t xml:space="preserve"> </w:t>
            </w:r>
            <w:r w:rsidR="00264BA5">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076" w:type="dxa"/>
            <w:gridSpan w:val="4"/>
            <w:tcBorders>
              <w:left w:val="thinThickThinSmallGap" w:sz="24" w:space="0" w:color="auto"/>
            </w:tcBorders>
            <w:shd w:val="clear" w:color="auto" w:fill="D9D9D9" w:themeFill="background1" w:themeFillShade="D9"/>
            <w:vAlign w:val="center"/>
          </w:tcPr>
          <w:p w:rsidR="007A65A9" w:rsidRPr="001F29F9" w:rsidRDefault="007A65A9" w:rsidP="00A0217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264BA5">
              <w:rPr>
                <w:rFonts w:ascii="Calibri" w:hAnsi="Calibri" w:cs="Calibri"/>
                <w:b/>
                <w:color w:val="000000" w:themeColor="text1"/>
                <w:sz w:val="18"/>
                <w:szCs w:val="18"/>
              </w:rPr>
              <w:t>6</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4174F0" w:rsidRPr="001F29F9" w:rsidRDefault="004174F0" w:rsidP="00A02179">
      <w:pPr>
        <w:pBdr>
          <w:bottom w:val="single" w:sz="12" w:space="1" w:color="auto"/>
        </w:pBdr>
        <w:tabs>
          <w:tab w:val="left" w:pos="288"/>
          <w:tab w:val="left" w:pos="4752"/>
        </w:tabs>
        <w:jc w:val="both"/>
        <w:rPr>
          <w:color w:val="000000" w:themeColor="text1"/>
        </w:rPr>
      </w:pPr>
    </w:p>
    <w:p w:rsidR="00A53FC7" w:rsidRDefault="002C6E5B" w:rsidP="00A02179">
      <w:pPr>
        <w:jc w:val="both"/>
        <w:rPr>
          <w:rFonts w:asciiTheme="minorHAnsi" w:hAnsiTheme="minorHAnsi"/>
          <w:color w:val="auto"/>
          <w:szCs w:val="24"/>
        </w:rPr>
      </w:pPr>
      <w:r w:rsidRPr="001F29F9">
        <w:rPr>
          <w:color w:val="000000" w:themeColor="text1"/>
          <w:szCs w:val="24"/>
          <w:u w:val="single"/>
        </w:rPr>
        <w:t>ANALYSIS SUMMARY</w:t>
      </w:r>
      <w:r w:rsidRPr="001F29F9">
        <w:rPr>
          <w:color w:val="000000" w:themeColor="text1"/>
          <w:szCs w:val="24"/>
        </w:rPr>
        <w:t>:</w:t>
      </w:r>
      <w:r w:rsidR="00B505E9">
        <w:rPr>
          <w:color w:val="000000" w:themeColor="text1"/>
          <w:szCs w:val="24"/>
        </w:rPr>
        <w:t xml:space="preserve">  </w:t>
      </w:r>
      <w:r w:rsidR="00A53FC7" w:rsidRPr="005E751E">
        <w:rPr>
          <w:rFonts w:asciiTheme="minorHAnsi" w:hAnsiTheme="minorHAnsi"/>
          <w:color w:val="auto"/>
          <w:szCs w:val="24"/>
        </w:rPr>
        <w:t xml:space="preserve">The Board acknowledges the sentiment expressed </w:t>
      </w:r>
      <w:r w:rsidR="00A53FC7">
        <w:rPr>
          <w:rFonts w:asciiTheme="minorHAnsi" w:hAnsiTheme="minorHAnsi"/>
          <w:color w:val="auto"/>
          <w:szCs w:val="24"/>
        </w:rPr>
        <w:t xml:space="preserve">by the </w:t>
      </w:r>
      <w:r w:rsidR="00A53FC7" w:rsidRPr="005E751E">
        <w:rPr>
          <w:rFonts w:asciiTheme="minorHAnsi" w:hAnsiTheme="minorHAnsi"/>
          <w:color w:val="auto"/>
          <w:szCs w:val="24"/>
        </w:rPr>
        <w:t>CI regarding the significant impairment with which h</w:t>
      </w:r>
      <w:r w:rsidR="00A94C9D">
        <w:rPr>
          <w:rFonts w:asciiTheme="minorHAnsi" w:hAnsiTheme="minorHAnsi"/>
          <w:color w:val="auto"/>
          <w:szCs w:val="24"/>
        </w:rPr>
        <w:t>er</w:t>
      </w:r>
      <w:r w:rsidR="00A53FC7" w:rsidRPr="005E751E">
        <w:rPr>
          <w:rFonts w:asciiTheme="minorHAnsi" w:hAnsiTheme="minorHAnsi"/>
          <w:color w:val="auto"/>
          <w:szCs w:val="24"/>
        </w:rPr>
        <w:t xml:space="preserve"> condition</w:t>
      </w:r>
      <w:r w:rsidR="004F6788">
        <w:rPr>
          <w:rFonts w:asciiTheme="minorHAnsi" w:hAnsiTheme="minorHAnsi"/>
          <w:color w:val="auto"/>
          <w:szCs w:val="24"/>
        </w:rPr>
        <w:t>s</w:t>
      </w:r>
      <w:r w:rsidR="00A53FC7" w:rsidRPr="005E751E">
        <w:rPr>
          <w:rFonts w:asciiTheme="minorHAnsi" w:hAnsiTheme="minorHAnsi"/>
          <w:color w:val="auto"/>
          <w:szCs w:val="24"/>
        </w:rPr>
        <w:t xml:space="preserve"> continue to burden h</w:t>
      </w:r>
      <w:r w:rsidR="00A94C9D">
        <w:rPr>
          <w:rFonts w:asciiTheme="minorHAnsi" w:hAnsiTheme="minorHAnsi"/>
          <w:color w:val="auto"/>
          <w:szCs w:val="24"/>
        </w:rPr>
        <w:t>er</w:t>
      </w:r>
      <w:r w:rsidR="00A53FC7" w:rsidRPr="005E751E">
        <w:rPr>
          <w:rFonts w:asciiTheme="minorHAnsi" w:hAnsiTheme="minorHAnsi"/>
          <w:color w:val="auto"/>
          <w:szCs w:val="24"/>
        </w:rPr>
        <w:t xml:space="preserve">.  The </w:t>
      </w:r>
      <w:r w:rsidR="00A53FC7">
        <w:rPr>
          <w:rFonts w:asciiTheme="minorHAnsi" w:hAnsiTheme="minorHAnsi"/>
          <w:color w:val="auto"/>
          <w:szCs w:val="24"/>
        </w:rPr>
        <w:t xml:space="preserve">Board </w:t>
      </w:r>
      <w:r w:rsidR="00A53FC7" w:rsidRPr="005E751E">
        <w:rPr>
          <w:rFonts w:asciiTheme="minorHAnsi" w:hAnsiTheme="minorHAnsi"/>
          <w:color w:val="auto"/>
          <w:szCs w:val="24"/>
        </w:rPr>
        <w:t xml:space="preserve">is subject to the same laws for </w:t>
      </w:r>
      <w:r w:rsidR="006362D7">
        <w:rPr>
          <w:rFonts w:asciiTheme="minorHAnsi" w:hAnsiTheme="minorHAnsi"/>
          <w:color w:val="auto"/>
          <w:szCs w:val="24"/>
        </w:rPr>
        <w:t>s</w:t>
      </w:r>
      <w:r w:rsidR="00A53FC7" w:rsidRPr="005E751E">
        <w:rPr>
          <w:rFonts w:asciiTheme="minorHAnsi" w:hAnsiTheme="minorHAnsi"/>
          <w:color w:val="auto"/>
          <w:szCs w:val="24"/>
        </w:rPr>
        <w:t xml:space="preserve">ervice disability entitlements as those under which the </w:t>
      </w:r>
      <w:proofErr w:type="spellStart"/>
      <w:r w:rsidR="00A53FC7">
        <w:rPr>
          <w:rFonts w:asciiTheme="minorHAnsi" w:hAnsiTheme="minorHAnsi"/>
          <w:color w:val="auto"/>
          <w:szCs w:val="24"/>
        </w:rPr>
        <w:t>DoD</w:t>
      </w:r>
      <w:proofErr w:type="spellEnd"/>
      <w:r w:rsidR="00A53FC7">
        <w:rPr>
          <w:rFonts w:asciiTheme="minorHAnsi" w:hAnsiTheme="minorHAnsi"/>
          <w:color w:val="auto"/>
          <w:szCs w:val="24"/>
        </w:rPr>
        <w:t xml:space="preserve"> Disability Evaluation System (DES) operates.  The </w:t>
      </w:r>
      <w:r w:rsidR="00A53FC7" w:rsidRPr="005E751E">
        <w:rPr>
          <w:rFonts w:asciiTheme="minorHAnsi" w:hAnsiTheme="minorHAnsi"/>
          <w:color w:val="auto"/>
          <w:szCs w:val="24"/>
        </w:rPr>
        <w:t xml:space="preserve">DES has neither the role nor the authority to compensate service members for anticipated future severity or potential complications of conditions resulting in medical separation.  That role and authority is granted by Congress to the </w:t>
      </w:r>
      <w:r w:rsidR="006362D7">
        <w:rPr>
          <w:rFonts w:asciiTheme="minorHAnsi" w:hAnsiTheme="minorHAnsi"/>
          <w:color w:val="auto"/>
          <w:szCs w:val="24"/>
        </w:rPr>
        <w:t xml:space="preserve">Department of </w:t>
      </w:r>
      <w:r w:rsidR="00A53FC7" w:rsidRPr="005E751E">
        <w:rPr>
          <w:rFonts w:asciiTheme="minorHAnsi" w:hAnsiTheme="minorHAnsi"/>
          <w:color w:val="auto"/>
          <w:szCs w:val="24"/>
        </w:rPr>
        <w:t>Veteran</w:t>
      </w:r>
      <w:r w:rsidR="004F6788">
        <w:rPr>
          <w:rFonts w:asciiTheme="minorHAnsi" w:hAnsiTheme="minorHAnsi"/>
          <w:color w:val="auto"/>
          <w:szCs w:val="24"/>
        </w:rPr>
        <w:t>s</w:t>
      </w:r>
      <w:r w:rsidR="00A53FC7">
        <w:rPr>
          <w:rFonts w:asciiTheme="minorHAnsi" w:hAnsiTheme="minorHAnsi"/>
          <w:color w:val="auto"/>
          <w:szCs w:val="24"/>
        </w:rPr>
        <w:t>’</w:t>
      </w:r>
      <w:r w:rsidR="00A53FC7" w:rsidRPr="005E751E">
        <w:rPr>
          <w:rFonts w:asciiTheme="minorHAnsi" w:hAnsiTheme="minorHAnsi"/>
          <w:color w:val="auto"/>
          <w:szCs w:val="24"/>
        </w:rPr>
        <w:t xml:space="preserve"> A</w:t>
      </w:r>
      <w:r w:rsidR="006362D7">
        <w:rPr>
          <w:rFonts w:asciiTheme="minorHAnsi" w:hAnsiTheme="minorHAnsi"/>
          <w:color w:val="auto"/>
          <w:szCs w:val="24"/>
        </w:rPr>
        <w:t>ffairs</w:t>
      </w:r>
      <w:r w:rsidR="00A53FC7" w:rsidRPr="005E751E">
        <w:rPr>
          <w:rFonts w:asciiTheme="minorHAnsi" w:hAnsiTheme="minorHAnsi"/>
          <w:color w:val="auto"/>
          <w:szCs w:val="24"/>
        </w:rPr>
        <w:t xml:space="preserve"> (</w:t>
      </w:r>
      <w:r w:rsidR="006362D7">
        <w:rPr>
          <w:rFonts w:asciiTheme="minorHAnsi" w:hAnsiTheme="minorHAnsi"/>
          <w:color w:val="auto"/>
          <w:szCs w:val="24"/>
        </w:rPr>
        <w:t>D</w:t>
      </w:r>
      <w:r w:rsidR="00A53FC7" w:rsidRPr="005E751E">
        <w:rPr>
          <w:rFonts w:asciiTheme="minorHAnsi" w:hAnsiTheme="minorHAnsi"/>
          <w:color w:val="auto"/>
          <w:szCs w:val="24"/>
        </w:rPr>
        <w:t>VA).  The Board</w:t>
      </w:r>
      <w:r w:rsidR="00A53FC7">
        <w:rPr>
          <w:rFonts w:asciiTheme="minorHAnsi" w:hAnsiTheme="minorHAnsi"/>
          <w:color w:val="auto"/>
          <w:szCs w:val="24"/>
        </w:rPr>
        <w:t>’s</w:t>
      </w:r>
      <w:r w:rsidR="00A53FC7" w:rsidRPr="005E751E">
        <w:rPr>
          <w:rFonts w:asciiTheme="minorHAnsi" w:hAnsiTheme="minorHAnsi"/>
          <w:color w:val="auto"/>
          <w:szCs w:val="24"/>
        </w:rPr>
        <w:t xml:space="preserve"> authority resides</w:t>
      </w:r>
      <w:r w:rsidR="00A53FC7">
        <w:rPr>
          <w:rFonts w:asciiTheme="minorHAnsi" w:hAnsiTheme="minorHAnsi"/>
          <w:color w:val="auto"/>
          <w:szCs w:val="24"/>
        </w:rPr>
        <w:t xml:space="preserve"> in evaluating the fairness of </w:t>
      </w:r>
      <w:r w:rsidR="00A53FC7" w:rsidRPr="005E751E">
        <w:rPr>
          <w:rFonts w:asciiTheme="minorHAnsi" w:hAnsiTheme="minorHAnsi"/>
          <w:color w:val="auto"/>
          <w:szCs w:val="24"/>
        </w:rPr>
        <w:t>DES fitness decisions and rating determinations at the time of separation</w:t>
      </w:r>
      <w:r w:rsidR="00A53FC7">
        <w:rPr>
          <w:rFonts w:asciiTheme="minorHAnsi" w:hAnsiTheme="minorHAnsi"/>
          <w:color w:val="auto"/>
          <w:szCs w:val="24"/>
        </w:rPr>
        <w:t xml:space="preserve">.  </w:t>
      </w:r>
      <w:r w:rsidR="00A53FC7" w:rsidRPr="005E751E">
        <w:rPr>
          <w:rFonts w:asciiTheme="minorHAnsi" w:hAnsiTheme="minorHAnsi"/>
          <w:color w:val="auto"/>
          <w:szCs w:val="24"/>
        </w:rPr>
        <w:t xml:space="preserve">The Board also acknowledges the CI’s contention for </w:t>
      </w:r>
      <w:r w:rsidR="006362D7">
        <w:rPr>
          <w:rFonts w:asciiTheme="minorHAnsi" w:hAnsiTheme="minorHAnsi"/>
          <w:color w:val="auto"/>
          <w:szCs w:val="24"/>
        </w:rPr>
        <w:t>s</w:t>
      </w:r>
      <w:r w:rsidR="00A53FC7" w:rsidRPr="005E751E">
        <w:rPr>
          <w:rFonts w:asciiTheme="minorHAnsi" w:hAnsiTheme="minorHAnsi"/>
          <w:color w:val="auto"/>
          <w:szCs w:val="24"/>
        </w:rPr>
        <w:t>ervice ratings for other conditions</w:t>
      </w:r>
      <w:r w:rsidR="00A53FC7">
        <w:rPr>
          <w:rFonts w:asciiTheme="minorHAnsi" w:hAnsiTheme="minorHAnsi"/>
          <w:color w:val="auto"/>
          <w:szCs w:val="24"/>
        </w:rPr>
        <w:t xml:space="preserve">.  </w:t>
      </w:r>
      <w:r w:rsidR="00A53FC7" w:rsidRPr="005E751E">
        <w:rPr>
          <w:rFonts w:asciiTheme="minorHAnsi" w:hAnsiTheme="minorHAnsi"/>
          <w:color w:val="auto"/>
          <w:szCs w:val="24"/>
        </w:rPr>
        <w:t xml:space="preserve">While </w:t>
      </w:r>
      <w:r w:rsidR="00A53FC7">
        <w:rPr>
          <w:rFonts w:asciiTheme="minorHAnsi" w:hAnsiTheme="minorHAnsi"/>
          <w:color w:val="auto"/>
          <w:szCs w:val="24"/>
        </w:rPr>
        <w:t xml:space="preserve">the </w:t>
      </w:r>
      <w:r w:rsidR="00A53FC7" w:rsidRPr="005E751E">
        <w:rPr>
          <w:rFonts w:asciiTheme="minorHAnsi" w:hAnsiTheme="minorHAnsi"/>
          <w:color w:val="auto"/>
          <w:szCs w:val="24"/>
        </w:rPr>
        <w:t xml:space="preserve">DES considers all of the </w:t>
      </w:r>
      <w:r w:rsidR="00A53FC7">
        <w:rPr>
          <w:rFonts w:asciiTheme="minorHAnsi" w:hAnsiTheme="minorHAnsi"/>
          <w:color w:val="auto"/>
          <w:szCs w:val="24"/>
        </w:rPr>
        <w:t>CI</w:t>
      </w:r>
      <w:r w:rsidR="00A53FC7" w:rsidRPr="005E751E">
        <w:rPr>
          <w:rFonts w:asciiTheme="minorHAnsi" w:hAnsiTheme="minorHAnsi"/>
          <w:color w:val="auto"/>
          <w:szCs w:val="24"/>
        </w:rPr>
        <w:t>'s medical conditions, compensation can on</w:t>
      </w:r>
      <w:r w:rsidR="00A53FC7">
        <w:rPr>
          <w:rFonts w:asciiTheme="minorHAnsi" w:hAnsiTheme="minorHAnsi"/>
          <w:color w:val="auto"/>
          <w:szCs w:val="24"/>
        </w:rPr>
        <w:t xml:space="preserve">ly be offered for those conditions that cut </w:t>
      </w:r>
      <w:r w:rsidR="00A53FC7" w:rsidRPr="005E751E">
        <w:rPr>
          <w:rFonts w:asciiTheme="minorHAnsi" w:hAnsiTheme="minorHAnsi"/>
          <w:color w:val="auto"/>
          <w:szCs w:val="24"/>
        </w:rPr>
        <w:t>short a service member’s career, and then only to the degree of severity present at the time of final disposition.  T</w:t>
      </w:r>
      <w:r w:rsidR="00A53FC7">
        <w:rPr>
          <w:rFonts w:asciiTheme="minorHAnsi" w:hAnsiTheme="minorHAnsi"/>
          <w:color w:val="auto"/>
          <w:szCs w:val="24"/>
        </w:rPr>
        <w:t xml:space="preserve">he </w:t>
      </w:r>
      <w:r w:rsidR="006362D7">
        <w:rPr>
          <w:rFonts w:asciiTheme="minorHAnsi" w:hAnsiTheme="minorHAnsi"/>
          <w:color w:val="auto"/>
          <w:szCs w:val="24"/>
        </w:rPr>
        <w:t>D</w:t>
      </w:r>
      <w:r w:rsidR="00A53FC7" w:rsidRPr="005E751E">
        <w:rPr>
          <w:rFonts w:asciiTheme="minorHAnsi" w:hAnsiTheme="minorHAnsi"/>
          <w:color w:val="auto"/>
          <w:szCs w:val="24"/>
        </w:rPr>
        <w:t>VA</w:t>
      </w:r>
      <w:r w:rsidR="00A53FC7">
        <w:rPr>
          <w:rFonts w:asciiTheme="minorHAnsi" w:hAnsiTheme="minorHAnsi"/>
          <w:color w:val="auto"/>
          <w:szCs w:val="24"/>
        </w:rPr>
        <w:t>,</w:t>
      </w:r>
      <w:r w:rsidR="00A53FC7" w:rsidRPr="005E751E">
        <w:rPr>
          <w:rFonts w:asciiTheme="minorHAnsi" w:hAnsiTheme="minorHAnsi"/>
          <w:color w:val="auto"/>
          <w:szCs w:val="24"/>
        </w:rPr>
        <w:t xml:space="preserve"> however, is </w:t>
      </w:r>
      <w:r w:rsidR="006362D7">
        <w:rPr>
          <w:rFonts w:asciiTheme="minorHAnsi" w:hAnsiTheme="minorHAnsi"/>
          <w:color w:val="auto"/>
          <w:szCs w:val="24"/>
        </w:rPr>
        <w:t>empowered to compensate service-</w:t>
      </w:r>
      <w:r w:rsidR="00A53FC7" w:rsidRPr="005E751E">
        <w:rPr>
          <w:rFonts w:asciiTheme="minorHAnsi" w:hAnsiTheme="minorHAnsi"/>
          <w:color w:val="auto"/>
          <w:szCs w:val="24"/>
        </w:rPr>
        <w:t xml:space="preserve">connected conditions and to periodically re-evaluate said conditions for the purpose of adjusting the </w:t>
      </w:r>
      <w:r w:rsidR="006362D7">
        <w:rPr>
          <w:rFonts w:asciiTheme="minorHAnsi" w:hAnsiTheme="minorHAnsi"/>
          <w:color w:val="auto"/>
          <w:szCs w:val="24"/>
        </w:rPr>
        <w:t>Veteran’s</w:t>
      </w:r>
      <w:r w:rsidR="00A53FC7" w:rsidRPr="005E751E">
        <w:rPr>
          <w:rFonts w:asciiTheme="minorHAnsi" w:hAnsiTheme="minorHAnsi"/>
          <w:color w:val="auto"/>
          <w:szCs w:val="24"/>
        </w:rPr>
        <w:t xml:space="preserve"> disability rating should </w:t>
      </w:r>
      <w:r w:rsidR="006362D7">
        <w:rPr>
          <w:rFonts w:asciiTheme="minorHAnsi" w:hAnsiTheme="minorHAnsi"/>
          <w:color w:val="auto"/>
          <w:szCs w:val="24"/>
        </w:rPr>
        <w:t>the</w:t>
      </w:r>
      <w:r w:rsidR="00A53FC7" w:rsidRPr="005E751E">
        <w:rPr>
          <w:rFonts w:asciiTheme="minorHAnsi" w:hAnsiTheme="minorHAnsi"/>
          <w:color w:val="auto"/>
          <w:szCs w:val="24"/>
        </w:rPr>
        <w:t xml:space="preserve"> degree of impairment vary over time.</w:t>
      </w:r>
    </w:p>
    <w:p w:rsidR="004C60A3" w:rsidRPr="001F29F9" w:rsidRDefault="004C60A3" w:rsidP="00A02179">
      <w:pPr>
        <w:jc w:val="left"/>
        <w:rPr>
          <w:color w:val="000000" w:themeColor="text1"/>
          <w:szCs w:val="24"/>
        </w:rPr>
      </w:pPr>
    </w:p>
    <w:p w:rsidR="00440CBC" w:rsidRDefault="003D541B" w:rsidP="00451EA5">
      <w:pPr>
        <w:autoSpaceDE w:val="0"/>
        <w:autoSpaceDN w:val="0"/>
        <w:adjustRightInd w:val="0"/>
        <w:jc w:val="both"/>
        <w:rPr>
          <w:color w:val="000000" w:themeColor="text1"/>
          <w:szCs w:val="24"/>
        </w:rPr>
      </w:pPr>
      <w:proofErr w:type="spellStart"/>
      <w:proofErr w:type="gramStart"/>
      <w:r>
        <w:rPr>
          <w:color w:val="000000" w:themeColor="text1"/>
          <w:szCs w:val="24"/>
          <w:u w:val="single"/>
        </w:rPr>
        <w:t>M</w:t>
      </w:r>
      <w:r w:rsidR="004F6788">
        <w:rPr>
          <w:color w:val="000000" w:themeColor="text1"/>
          <w:szCs w:val="24"/>
          <w:u w:val="single"/>
        </w:rPr>
        <w:t>yofascial</w:t>
      </w:r>
      <w:proofErr w:type="spellEnd"/>
      <w:r w:rsidR="004F6788">
        <w:rPr>
          <w:color w:val="000000" w:themeColor="text1"/>
          <w:szCs w:val="24"/>
          <w:u w:val="single"/>
        </w:rPr>
        <w:t xml:space="preserve"> pain syndrome (M</w:t>
      </w:r>
      <w:r w:rsidR="00583458">
        <w:rPr>
          <w:color w:val="000000" w:themeColor="text1"/>
          <w:szCs w:val="24"/>
          <w:u w:val="single"/>
        </w:rPr>
        <w:t>PS</w:t>
      </w:r>
      <w:r w:rsidR="004F6788">
        <w:rPr>
          <w:color w:val="000000" w:themeColor="text1"/>
          <w:szCs w:val="24"/>
          <w:u w:val="single"/>
        </w:rPr>
        <w:t>)</w:t>
      </w:r>
      <w:r>
        <w:rPr>
          <w:color w:val="000000" w:themeColor="text1"/>
          <w:szCs w:val="24"/>
        </w:rPr>
        <w:t>.</w:t>
      </w:r>
      <w:proofErr w:type="gramEnd"/>
      <w:r w:rsidR="00646F0D" w:rsidRPr="00A53FC7">
        <w:rPr>
          <w:rFonts w:asciiTheme="minorHAnsi" w:hAnsiTheme="minorHAnsi"/>
          <w:color w:val="000000" w:themeColor="text1"/>
          <w:szCs w:val="24"/>
        </w:rPr>
        <w:t xml:space="preserve"> </w:t>
      </w:r>
      <w:r w:rsidR="005F0B8A" w:rsidRPr="00A53FC7">
        <w:rPr>
          <w:rFonts w:asciiTheme="minorHAnsi" w:hAnsiTheme="minorHAnsi"/>
          <w:color w:val="000000" w:themeColor="text1"/>
          <w:szCs w:val="24"/>
        </w:rPr>
        <w:t xml:space="preserve"> </w:t>
      </w:r>
      <w:r w:rsidR="00A53FC7">
        <w:rPr>
          <w:rFonts w:asciiTheme="minorHAnsi" w:hAnsiTheme="minorHAnsi"/>
          <w:bCs/>
          <w:color w:val="000000" w:themeColor="text1"/>
          <w:szCs w:val="24"/>
        </w:rPr>
        <w:t xml:space="preserve">The CI </w:t>
      </w:r>
      <w:r w:rsidR="004F6788">
        <w:rPr>
          <w:rFonts w:asciiTheme="minorHAnsi" w:hAnsiTheme="minorHAnsi"/>
          <w:bCs/>
          <w:color w:val="000000" w:themeColor="text1"/>
          <w:szCs w:val="24"/>
        </w:rPr>
        <w:t xml:space="preserve">woke up one day with </w:t>
      </w:r>
      <w:r>
        <w:rPr>
          <w:rFonts w:asciiTheme="minorHAnsi" w:hAnsiTheme="minorHAnsi"/>
          <w:bCs/>
          <w:color w:val="000000" w:themeColor="text1"/>
          <w:szCs w:val="24"/>
        </w:rPr>
        <w:t>right</w:t>
      </w:r>
      <w:r w:rsidR="004F6788">
        <w:rPr>
          <w:rFonts w:asciiTheme="minorHAnsi" w:hAnsiTheme="minorHAnsi"/>
          <w:bCs/>
          <w:color w:val="000000" w:themeColor="text1"/>
          <w:szCs w:val="24"/>
        </w:rPr>
        <w:t>-</w:t>
      </w:r>
      <w:r>
        <w:rPr>
          <w:rFonts w:asciiTheme="minorHAnsi" w:hAnsiTheme="minorHAnsi"/>
          <w:bCs/>
          <w:color w:val="000000" w:themeColor="text1"/>
          <w:szCs w:val="24"/>
        </w:rPr>
        <w:t xml:space="preserve">sided </w:t>
      </w:r>
      <w:r w:rsidR="00E31B03">
        <w:rPr>
          <w:rFonts w:asciiTheme="minorHAnsi" w:hAnsiTheme="minorHAnsi"/>
          <w:bCs/>
          <w:color w:val="000000" w:themeColor="text1"/>
          <w:szCs w:val="24"/>
        </w:rPr>
        <w:t>shoulder</w:t>
      </w:r>
      <w:r w:rsidR="00B72F2C">
        <w:rPr>
          <w:rFonts w:asciiTheme="minorHAnsi" w:hAnsiTheme="minorHAnsi"/>
          <w:bCs/>
          <w:color w:val="000000" w:themeColor="text1"/>
          <w:szCs w:val="24"/>
        </w:rPr>
        <w:t xml:space="preserve">, </w:t>
      </w:r>
      <w:r w:rsidR="00437E80">
        <w:rPr>
          <w:rFonts w:asciiTheme="minorHAnsi" w:hAnsiTheme="minorHAnsi"/>
          <w:bCs/>
          <w:color w:val="000000" w:themeColor="text1"/>
          <w:szCs w:val="24"/>
        </w:rPr>
        <w:t>upper back</w:t>
      </w:r>
      <w:r w:rsidR="00B72F2C">
        <w:rPr>
          <w:rFonts w:asciiTheme="minorHAnsi" w:hAnsiTheme="minorHAnsi"/>
          <w:bCs/>
          <w:color w:val="000000" w:themeColor="text1"/>
          <w:szCs w:val="24"/>
        </w:rPr>
        <w:t>, and neck</w:t>
      </w:r>
      <w:r w:rsidR="00E31B03">
        <w:rPr>
          <w:rFonts w:asciiTheme="minorHAnsi" w:hAnsiTheme="minorHAnsi"/>
          <w:bCs/>
          <w:color w:val="000000" w:themeColor="text1"/>
          <w:szCs w:val="24"/>
        </w:rPr>
        <w:t xml:space="preserve"> </w:t>
      </w:r>
      <w:r w:rsidR="001D6322">
        <w:rPr>
          <w:rFonts w:asciiTheme="minorHAnsi" w:hAnsiTheme="minorHAnsi"/>
          <w:bCs/>
          <w:color w:val="000000" w:themeColor="text1"/>
          <w:szCs w:val="24"/>
        </w:rPr>
        <w:t>pain</w:t>
      </w:r>
      <w:r w:rsidR="004F6788">
        <w:rPr>
          <w:rFonts w:asciiTheme="minorHAnsi" w:hAnsiTheme="minorHAnsi"/>
          <w:bCs/>
          <w:color w:val="000000" w:themeColor="text1"/>
          <w:szCs w:val="24"/>
        </w:rPr>
        <w:t>.  There was no history of any specific injury or trauma.</w:t>
      </w:r>
      <w:r w:rsidR="000F7DCA">
        <w:rPr>
          <w:rFonts w:asciiTheme="minorHAnsi" w:hAnsiTheme="minorHAnsi"/>
          <w:bCs/>
          <w:color w:val="000000" w:themeColor="text1"/>
          <w:szCs w:val="24"/>
        </w:rPr>
        <w:t xml:space="preserve">  </w:t>
      </w:r>
      <w:r w:rsidR="004F6788">
        <w:rPr>
          <w:rFonts w:asciiTheme="minorHAnsi" w:hAnsiTheme="minorHAnsi"/>
          <w:bCs/>
          <w:color w:val="000000" w:themeColor="text1"/>
          <w:szCs w:val="24"/>
        </w:rPr>
        <w:t xml:space="preserve">She was treated with </w:t>
      </w:r>
      <w:r w:rsidR="00A03DA7">
        <w:rPr>
          <w:rFonts w:asciiTheme="minorHAnsi" w:hAnsiTheme="minorHAnsi"/>
          <w:bCs/>
          <w:color w:val="000000" w:themeColor="text1"/>
          <w:szCs w:val="24"/>
        </w:rPr>
        <w:t>medications</w:t>
      </w:r>
      <w:r w:rsidR="001D6322">
        <w:rPr>
          <w:rFonts w:asciiTheme="minorHAnsi" w:hAnsiTheme="minorHAnsi"/>
          <w:bCs/>
          <w:color w:val="000000" w:themeColor="text1"/>
          <w:szCs w:val="24"/>
        </w:rPr>
        <w:t xml:space="preserve"> and physical therapy</w:t>
      </w:r>
      <w:r w:rsidR="004F6788">
        <w:rPr>
          <w:rFonts w:asciiTheme="minorHAnsi" w:hAnsiTheme="minorHAnsi"/>
          <w:bCs/>
          <w:color w:val="000000" w:themeColor="text1"/>
          <w:szCs w:val="24"/>
        </w:rPr>
        <w:t xml:space="preserve"> (PT)</w:t>
      </w:r>
      <w:r w:rsidR="001D6322">
        <w:rPr>
          <w:rFonts w:asciiTheme="minorHAnsi" w:hAnsiTheme="minorHAnsi"/>
          <w:bCs/>
          <w:color w:val="000000" w:themeColor="text1"/>
          <w:szCs w:val="24"/>
        </w:rPr>
        <w:t>.</w:t>
      </w:r>
      <w:r w:rsidR="004F6788">
        <w:rPr>
          <w:rFonts w:asciiTheme="minorHAnsi" w:hAnsiTheme="minorHAnsi"/>
          <w:bCs/>
          <w:color w:val="000000" w:themeColor="text1"/>
          <w:szCs w:val="24"/>
        </w:rPr>
        <w:t xml:space="preserve">  However, in spite of treatment, the pain persisted.  </w:t>
      </w:r>
      <w:r w:rsidR="000F7DCA">
        <w:rPr>
          <w:rFonts w:asciiTheme="minorHAnsi" w:hAnsiTheme="minorHAnsi"/>
          <w:bCs/>
          <w:color w:val="000000" w:themeColor="text1"/>
          <w:szCs w:val="24"/>
        </w:rPr>
        <w:t>T</w:t>
      </w:r>
      <w:r w:rsidR="000F7DCA" w:rsidRPr="000F7DCA">
        <w:rPr>
          <w:rFonts w:asciiTheme="minorHAnsi" w:hAnsiTheme="minorHAnsi"/>
          <w:bCs/>
          <w:color w:val="000000" w:themeColor="text1"/>
          <w:szCs w:val="24"/>
        </w:rPr>
        <w:t xml:space="preserve">he CI </w:t>
      </w:r>
      <w:r w:rsidR="00EE2D78">
        <w:rPr>
          <w:rFonts w:asciiTheme="minorHAnsi" w:hAnsiTheme="minorHAnsi"/>
          <w:bCs/>
          <w:color w:val="000000" w:themeColor="text1"/>
          <w:szCs w:val="24"/>
        </w:rPr>
        <w:t>was offered a trial of “</w:t>
      </w:r>
      <w:r w:rsidR="000F7DCA" w:rsidRPr="000F7DCA">
        <w:rPr>
          <w:rFonts w:asciiTheme="minorHAnsi" w:hAnsiTheme="minorHAnsi"/>
          <w:bCs/>
          <w:color w:val="000000" w:themeColor="text1"/>
          <w:szCs w:val="24"/>
        </w:rPr>
        <w:t>trigger point</w:t>
      </w:r>
      <w:r w:rsidR="00EE2D78">
        <w:rPr>
          <w:rFonts w:asciiTheme="minorHAnsi" w:hAnsiTheme="minorHAnsi"/>
          <w:bCs/>
          <w:color w:val="000000" w:themeColor="text1"/>
          <w:szCs w:val="24"/>
        </w:rPr>
        <w:t>”</w:t>
      </w:r>
      <w:r w:rsidR="000F7DCA" w:rsidRPr="000F7DCA">
        <w:rPr>
          <w:rFonts w:asciiTheme="minorHAnsi" w:hAnsiTheme="minorHAnsi"/>
          <w:bCs/>
          <w:color w:val="000000" w:themeColor="text1"/>
          <w:szCs w:val="24"/>
        </w:rPr>
        <w:t xml:space="preserve"> injections</w:t>
      </w:r>
      <w:r w:rsidR="00EE2D78">
        <w:rPr>
          <w:rFonts w:asciiTheme="minorHAnsi" w:hAnsiTheme="minorHAnsi"/>
          <w:bCs/>
          <w:color w:val="000000" w:themeColor="text1"/>
          <w:szCs w:val="24"/>
        </w:rPr>
        <w:t xml:space="preserve"> but she declined.  She was issued a </w:t>
      </w:r>
      <w:r w:rsidR="000F7DCA">
        <w:rPr>
          <w:rFonts w:asciiTheme="minorHAnsi" w:hAnsiTheme="minorHAnsi"/>
          <w:bCs/>
          <w:color w:val="000000" w:themeColor="text1"/>
          <w:szCs w:val="24"/>
        </w:rPr>
        <w:t>permanent profile and an MEB was initiated.</w:t>
      </w:r>
      <w:r w:rsidR="001D6322">
        <w:rPr>
          <w:rFonts w:asciiTheme="minorHAnsi" w:hAnsiTheme="minorHAnsi"/>
          <w:bCs/>
          <w:color w:val="000000" w:themeColor="text1"/>
          <w:szCs w:val="24"/>
        </w:rPr>
        <w:t xml:space="preserve"> </w:t>
      </w:r>
      <w:r w:rsidR="000F7DCA">
        <w:rPr>
          <w:rFonts w:asciiTheme="minorHAnsi" w:hAnsiTheme="minorHAnsi"/>
          <w:bCs/>
          <w:color w:val="000000" w:themeColor="text1"/>
          <w:szCs w:val="24"/>
        </w:rPr>
        <w:t xml:space="preserve"> </w:t>
      </w:r>
      <w:r w:rsidR="001D6322">
        <w:rPr>
          <w:rFonts w:asciiTheme="minorHAnsi" w:hAnsiTheme="minorHAnsi"/>
          <w:bCs/>
          <w:color w:val="000000" w:themeColor="text1"/>
          <w:szCs w:val="24"/>
        </w:rPr>
        <w:t xml:space="preserve">At her </w:t>
      </w:r>
      <w:r w:rsidR="00EE2D78">
        <w:rPr>
          <w:rFonts w:asciiTheme="minorHAnsi" w:hAnsiTheme="minorHAnsi"/>
          <w:bCs/>
          <w:color w:val="000000" w:themeColor="text1"/>
          <w:szCs w:val="24"/>
        </w:rPr>
        <w:t xml:space="preserve">September 2001 </w:t>
      </w:r>
      <w:r w:rsidR="001D6322">
        <w:rPr>
          <w:rFonts w:asciiTheme="minorHAnsi" w:hAnsiTheme="minorHAnsi"/>
          <w:bCs/>
          <w:color w:val="000000" w:themeColor="text1"/>
          <w:szCs w:val="24"/>
        </w:rPr>
        <w:t>MEB exam, eight months prior to separation, the CI reported that her pain had</w:t>
      </w:r>
      <w:r w:rsidR="00A53FC7" w:rsidRPr="00A53FC7">
        <w:rPr>
          <w:rFonts w:asciiTheme="minorHAnsi" w:hAnsiTheme="minorHAnsi"/>
          <w:bCs/>
          <w:color w:val="000000" w:themeColor="text1"/>
          <w:szCs w:val="24"/>
        </w:rPr>
        <w:t xml:space="preserve"> both a dull and a sharp component</w:t>
      </w:r>
      <w:r w:rsidR="00EE2D78">
        <w:rPr>
          <w:rFonts w:asciiTheme="minorHAnsi" w:hAnsiTheme="minorHAnsi"/>
          <w:bCs/>
          <w:color w:val="000000" w:themeColor="text1"/>
          <w:szCs w:val="24"/>
        </w:rPr>
        <w:t>,</w:t>
      </w:r>
      <w:r w:rsidR="00A53FC7" w:rsidRPr="00A53FC7">
        <w:rPr>
          <w:rFonts w:asciiTheme="minorHAnsi" w:hAnsiTheme="minorHAnsi"/>
          <w:bCs/>
          <w:color w:val="000000" w:themeColor="text1"/>
          <w:szCs w:val="24"/>
        </w:rPr>
        <w:t xml:space="preserve"> depending on </w:t>
      </w:r>
      <w:r w:rsidR="00EE2D78">
        <w:rPr>
          <w:rFonts w:asciiTheme="minorHAnsi" w:hAnsiTheme="minorHAnsi"/>
          <w:bCs/>
          <w:color w:val="000000" w:themeColor="text1"/>
          <w:szCs w:val="24"/>
        </w:rPr>
        <w:t>her level</w:t>
      </w:r>
      <w:r w:rsidR="00A53FC7" w:rsidRPr="00A53FC7">
        <w:rPr>
          <w:rFonts w:asciiTheme="minorHAnsi" w:hAnsiTheme="minorHAnsi"/>
          <w:bCs/>
          <w:color w:val="000000" w:themeColor="text1"/>
          <w:szCs w:val="24"/>
        </w:rPr>
        <w:t xml:space="preserve"> of physical activity.</w:t>
      </w:r>
      <w:r w:rsidR="00A53FC7">
        <w:rPr>
          <w:rFonts w:asciiTheme="minorHAnsi" w:hAnsiTheme="minorHAnsi"/>
          <w:bCs/>
          <w:color w:val="000000" w:themeColor="text1"/>
          <w:szCs w:val="24"/>
        </w:rPr>
        <w:t xml:space="preserve">  </w:t>
      </w:r>
      <w:r w:rsidR="00EE2D78">
        <w:rPr>
          <w:rFonts w:asciiTheme="minorHAnsi" w:hAnsiTheme="minorHAnsi"/>
          <w:bCs/>
          <w:color w:val="000000" w:themeColor="text1"/>
          <w:szCs w:val="24"/>
        </w:rPr>
        <w:t>S</w:t>
      </w:r>
      <w:r w:rsidR="001D6322">
        <w:rPr>
          <w:rFonts w:asciiTheme="minorHAnsi" w:hAnsiTheme="minorHAnsi"/>
          <w:bCs/>
          <w:color w:val="000000" w:themeColor="text1"/>
          <w:szCs w:val="24"/>
        </w:rPr>
        <w:t xml:space="preserve">everity </w:t>
      </w:r>
      <w:r w:rsidR="00EE2D78">
        <w:rPr>
          <w:rFonts w:asciiTheme="minorHAnsi" w:hAnsiTheme="minorHAnsi"/>
          <w:bCs/>
          <w:color w:val="000000" w:themeColor="text1"/>
          <w:szCs w:val="24"/>
        </w:rPr>
        <w:t xml:space="preserve">of the pain varied from </w:t>
      </w:r>
      <w:r w:rsidR="006362D7">
        <w:rPr>
          <w:rFonts w:asciiTheme="minorHAnsi" w:hAnsiTheme="minorHAnsi"/>
          <w:bCs/>
          <w:color w:val="000000" w:themeColor="text1"/>
          <w:szCs w:val="24"/>
        </w:rPr>
        <w:t>two</w:t>
      </w:r>
      <w:r w:rsidR="00EE2D78">
        <w:rPr>
          <w:rFonts w:asciiTheme="minorHAnsi" w:hAnsiTheme="minorHAnsi"/>
          <w:bCs/>
          <w:color w:val="000000" w:themeColor="text1"/>
          <w:szCs w:val="24"/>
        </w:rPr>
        <w:t xml:space="preserve"> out of ten, to</w:t>
      </w:r>
      <w:r w:rsidR="00147521">
        <w:rPr>
          <w:rFonts w:asciiTheme="minorHAnsi" w:hAnsiTheme="minorHAnsi"/>
          <w:bCs/>
          <w:color w:val="000000" w:themeColor="text1"/>
          <w:szCs w:val="24"/>
        </w:rPr>
        <w:t xml:space="preserve"> </w:t>
      </w:r>
      <w:r w:rsidR="006362D7">
        <w:rPr>
          <w:rFonts w:asciiTheme="minorHAnsi" w:hAnsiTheme="minorHAnsi"/>
          <w:bCs/>
          <w:color w:val="000000" w:themeColor="text1"/>
          <w:szCs w:val="24"/>
        </w:rPr>
        <w:t>eight</w:t>
      </w:r>
      <w:r w:rsidR="00147521">
        <w:rPr>
          <w:rFonts w:asciiTheme="minorHAnsi" w:hAnsiTheme="minorHAnsi"/>
          <w:bCs/>
          <w:color w:val="000000" w:themeColor="text1"/>
          <w:szCs w:val="24"/>
        </w:rPr>
        <w:t xml:space="preserve"> out of ten.  The </w:t>
      </w:r>
      <w:r w:rsidR="00EE2D78">
        <w:rPr>
          <w:rFonts w:asciiTheme="minorHAnsi" w:hAnsiTheme="minorHAnsi"/>
          <w:bCs/>
          <w:color w:val="000000" w:themeColor="text1"/>
          <w:szCs w:val="24"/>
        </w:rPr>
        <w:t>pain was e</w:t>
      </w:r>
      <w:r w:rsidR="00A53FC7" w:rsidRPr="00A53FC7">
        <w:rPr>
          <w:rFonts w:asciiTheme="minorHAnsi" w:hAnsiTheme="minorHAnsi"/>
          <w:bCs/>
          <w:color w:val="000000" w:themeColor="text1"/>
          <w:szCs w:val="24"/>
        </w:rPr>
        <w:t>xacerbat</w:t>
      </w:r>
      <w:r w:rsidR="00EE2D78">
        <w:rPr>
          <w:rFonts w:asciiTheme="minorHAnsi" w:hAnsiTheme="minorHAnsi"/>
          <w:bCs/>
          <w:color w:val="000000" w:themeColor="text1"/>
          <w:szCs w:val="24"/>
        </w:rPr>
        <w:t xml:space="preserve">ed by </w:t>
      </w:r>
      <w:r w:rsidR="00A53FC7" w:rsidRPr="00A53FC7">
        <w:rPr>
          <w:rFonts w:asciiTheme="minorHAnsi" w:hAnsiTheme="minorHAnsi"/>
          <w:bCs/>
          <w:color w:val="000000" w:themeColor="text1"/>
          <w:szCs w:val="24"/>
        </w:rPr>
        <w:t>running, carrying a rucksack,</w:t>
      </w:r>
      <w:r w:rsidR="00A53FC7">
        <w:rPr>
          <w:rFonts w:asciiTheme="minorHAnsi" w:hAnsiTheme="minorHAnsi"/>
          <w:bCs/>
          <w:color w:val="000000" w:themeColor="text1"/>
          <w:szCs w:val="24"/>
        </w:rPr>
        <w:t xml:space="preserve"> </w:t>
      </w:r>
      <w:r w:rsidR="00A53FC7" w:rsidRPr="00A53FC7">
        <w:rPr>
          <w:rFonts w:asciiTheme="minorHAnsi" w:hAnsiTheme="minorHAnsi"/>
          <w:bCs/>
          <w:color w:val="000000" w:themeColor="text1"/>
          <w:szCs w:val="24"/>
        </w:rPr>
        <w:t xml:space="preserve">wearing a </w:t>
      </w:r>
      <w:proofErr w:type="spellStart"/>
      <w:r w:rsidR="00A53FC7" w:rsidRPr="00A53FC7">
        <w:rPr>
          <w:rFonts w:asciiTheme="minorHAnsi" w:hAnsiTheme="minorHAnsi"/>
          <w:bCs/>
          <w:color w:val="000000" w:themeColor="text1"/>
          <w:szCs w:val="24"/>
        </w:rPr>
        <w:t>flakvest</w:t>
      </w:r>
      <w:proofErr w:type="spellEnd"/>
      <w:r w:rsidR="00A53FC7" w:rsidRPr="00A53FC7">
        <w:rPr>
          <w:rFonts w:asciiTheme="minorHAnsi" w:hAnsiTheme="minorHAnsi"/>
          <w:bCs/>
          <w:color w:val="000000" w:themeColor="text1"/>
          <w:szCs w:val="24"/>
        </w:rPr>
        <w:t xml:space="preserve">, </w:t>
      </w:r>
      <w:r w:rsidR="00EE2D78">
        <w:rPr>
          <w:rFonts w:asciiTheme="minorHAnsi" w:hAnsiTheme="minorHAnsi"/>
          <w:bCs/>
          <w:color w:val="000000" w:themeColor="text1"/>
          <w:szCs w:val="24"/>
        </w:rPr>
        <w:t xml:space="preserve">or </w:t>
      </w:r>
      <w:r w:rsidR="00A53FC7" w:rsidRPr="00A53FC7">
        <w:rPr>
          <w:rFonts w:asciiTheme="minorHAnsi" w:hAnsiTheme="minorHAnsi"/>
          <w:bCs/>
          <w:color w:val="000000" w:themeColor="text1"/>
          <w:szCs w:val="24"/>
        </w:rPr>
        <w:t xml:space="preserve">marching. </w:t>
      </w:r>
      <w:r w:rsidR="001D6322">
        <w:rPr>
          <w:rFonts w:asciiTheme="minorHAnsi" w:hAnsiTheme="minorHAnsi"/>
          <w:bCs/>
          <w:color w:val="000000" w:themeColor="text1"/>
          <w:szCs w:val="24"/>
        </w:rPr>
        <w:t xml:space="preserve"> </w:t>
      </w:r>
      <w:r w:rsidR="00A53FC7" w:rsidRPr="00A53FC7">
        <w:rPr>
          <w:rFonts w:asciiTheme="minorHAnsi" w:hAnsiTheme="minorHAnsi"/>
          <w:bCs/>
          <w:color w:val="000000" w:themeColor="text1"/>
          <w:szCs w:val="24"/>
        </w:rPr>
        <w:t xml:space="preserve">Alleviating factors </w:t>
      </w:r>
      <w:r w:rsidR="00A53FC7" w:rsidRPr="00A53FC7">
        <w:rPr>
          <w:rFonts w:asciiTheme="minorHAnsi" w:hAnsiTheme="minorHAnsi"/>
          <w:color w:val="000000" w:themeColor="text1"/>
          <w:szCs w:val="24"/>
        </w:rPr>
        <w:t>include</w:t>
      </w:r>
      <w:r w:rsidR="001D6322">
        <w:rPr>
          <w:rFonts w:asciiTheme="minorHAnsi" w:hAnsiTheme="minorHAnsi"/>
          <w:color w:val="000000" w:themeColor="text1"/>
          <w:szCs w:val="24"/>
        </w:rPr>
        <w:t>d</w:t>
      </w:r>
      <w:r w:rsidR="00A53FC7" w:rsidRPr="00A53FC7">
        <w:rPr>
          <w:rFonts w:asciiTheme="minorHAnsi" w:hAnsiTheme="minorHAnsi"/>
          <w:color w:val="000000" w:themeColor="text1"/>
          <w:szCs w:val="24"/>
        </w:rPr>
        <w:t xml:space="preserve"> </w:t>
      </w:r>
      <w:r w:rsidR="00A53FC7" w:rsidRPr="00A53FC7">
        <w:rPr>
          <w:rFonts w:asciiTheme="minorHAnsi" w:hAnsiTheme="minorHAnsi"/>
          <w:bCs/>
          <w:color w:val="000000" w:themeColor="text1"/>
          <w:szCs w:val="24"/>
        </w:rPr>
        <w:t>rest, changing position</w:t>
      </w:r>
      <w:r w:rsidR="00C8415D">
        <w:rPr>
          <w:rFonts w:asciiTheme="minorHAnsi" w:hAnsiTheme="minorHAnsi"/>
          <w:bCs/>
          <w:color w:val="000000" w:themeColor="text1"/>
          <w:szCs w:val="24"/>
        </w:rPr>
        <w:t xml:space="preserve">, </w:t>
      </w:r>
      <w:r w:rsidR="00A53FC7" w:rsidRPr="00A53FC7">
        <w:rPr>
          <w:rFonts w:asciiTheme="minorHAnsi" w:hAnsiTheme="minorHAnsi"/>
          <w:bCs/>
          <w:color w:val="000000" w:themeColor="text1"/>
          <w:szCs w:val="24"/>
        </w:rPr>
        <w:t>and stretching.</w:t>
      </w:r>
      <w:r w:rsidR="00C8415D">
        <w:rPr>
          <w:rFonts w:asciiTheme="minorHAnsi" w:hAnsiTheme="minorHAnsi"/>
          <w:bCs/>
          <w:color w:val="000000" w:themeColor="text1"/>
          <w:szCs w:val="24"/>
        </w:rPr>
        <w:t xml:space="preserve">  She</w:t>
      </w:r>
      <w:r w:rsidR="001D6322">
        <w:rPr>
          <w:rFonts w:asciiTheme="minorHAnsi" w:hAnsiTheme="minorHAnsi"/>
          <w:bCs/>
          <w:color w:val="000000" w:themeColor="text1"/>
          <w:szCs w:val="24"/>
        </w:rPr>
        <w:t xml:space="preserve"> denied any</w:t>
      </w:r>
      <w:r w:rsidR="00A53FC7" w:rsidRPr="00A53FC7">
        <w:rPr>
          <w:rFonts w:asciiTheme="minorHAnsi" w:hAnsiTheme="minorHAnsi"/>
          <w:bCs/>
          <w:color w:val="000000" w:themeColor="text1"/>
          <w:szCs w:val="24"/>
        </w:rPr>
        <w:t xml:space="preserve"> </w:t>
      </w:r>
      <w:proofErr w:type="spellStart"/>
      <w:r w:rsidR="00A53FC7" w:rsidRPr="00A53FC7">
        <w:rPr>
          <w:rFonts w:asciiTheme="minorHAnsi" w:hAnsiTheme="minorHAnsi"/>
          <w:bCs/>
          <w:color w:val="000000" w:themeColor="text1"/>
          <w:szCs w:val="24"/>
        </w:rPr>
        <w:t>radicular</w:t>
      </w:r>
      <w:proofErr w:type="spellEnd"/>
      <w:r w:rsidR="00A53FC7" w:rsidRPr="00A53FC7">
        <w:rPr>
          <w:rFonts w:asciiTheme="minorHAnsi" w:hAnsiTheme="minorHAnsi"/>
          <w:bCs/>
          <w:color w:val="000000" w:themeColor="text1"/>
          <w:szCs w:val="24"/>
        </w:rPr>
        <w:t xml:space="preserve"> symptoms </w:t>
      </w:r>
      <w:r w:rsidR="00A53FC7" w:rsidRPr="00A53FC7">
        <w:rPr>
          <w:rFonts w:asciiTheme="minorHAnsi" w:hAnsiTheme="minorHAnsi"/>
          <w:color w:val="000000" w:themeColor="text1"/>
          <w:szCs w:val="24"/>
        </w:rPr>
        <w:t xml:space="preserve">in the </w:t>
      </w:r>
      <w:r w:rsidR="00A03DA7">
        <w:rPr>
          <w:rFonts w:asciiTheme="minorHAnsi" w:hAnsiTheme="minorHAnsi"/>
          <w:bCs/>
          <w:color w:val="000000" w:themeColor="text1"/>
          <w:szCs w:val="24"/>
        </w:rPr>
        <w:t xml:space="preserve">right </w:t>
      </w:r>
      <w:r w:rsidR="00C8415D">
        <w:rPr>
          <w:rFonts w:asciiTheme="minorHAnsi" w:hAnsiTheme="minorHAnsi"/>
          <w:bCs/>
          <w:color w:val="000000" w:themeColor="text1"/>
          <w:szCs w:val="24"/>
        </w:rPr>
        <w:t>arm</w:t>
      </w:r>
      <w:r w:rsidR="00A53FC7" w:rsidRPr="00A53FC7">
        <w:rPr>
          <w:rFonts w:asciiTheme="minorHAnsi" w:hAnsiTheme="minorHAnsi"/>
          <w:color w:val="000000" w:themeColor="text1"/>
          <w:szCs w:val="24"/>
        </w:rPr>
        <w:t xml:space="preserve">. </w:t>
      </w:r>
      <w:r w:rsidR="001D6322">
        <w:rPr>
          <w:rFonts w:asciiTheme="minorHAnsi" w:hAnsiTheme="minorHAnsi"/>
          <w:color w:val="000000" w:themeColor="text1"/>
          <w:szCs w:val="24"/>
        </w:rPr>
        <w:t xml:space="preserve"> </w:t>
      </w:r>
      <w:r w:rsidR="001D6322">
        <w:rPr>
          <w:color w:val="000000" w:themeColor="text1"/>
          <w:szCs w:val="24"/>
        </w:rPr>
        <w:t>On exam</w:t>
      </w:r>
      <w:r w:rsidR="00C8415D">
        <w:rPr>
          <w:color w:val="000000" w:themeColor="text1"/>
          <w:szCs w:val="24"/>
        </w:rPr>
        <w:t xml:space="preserve">, </w:t>
      </w:r>
      <w:r w:rsidR="006362D7">
        <w:rPr>
          <w:color w:val="000000" w:themeColor="text1"/>
          <w:szCs w:val="24"/>
        </w:rPr>
        <w:t>the CI had full range-of-</w:t>
      </w:r>
      <w:r w:rsidR="001D6322">
        <w:rPr>
          <w:color w:val="000000" w:themeColor="text1"/>
          <w:szCs w:val="24"/>
        </w:rPr>
        <w:t xml:space="preserve">motion (ROM) of </w:t>
      </w:r>
      <w:r w:rsidR="00C8415D">
        <w:rPr>
          <w:color w:val="000000" w:themeColor="text1"/>
          <w:szCs w:val="24"/>
        </w:rPr>
        <w:t>her neck</w:t>
      </w:r>
      <w:r w:rsidR="00437E80">
        <w:rPr>
          <w:color w:val="000000" w:themeColor="text1"/>
          <w:szCs w:val="24"/>
        </w:rPr>
        <w:t>, upper back,</w:t>
      </w:r>
      <w:r w:rsidR="00C8415D">
        <w:rPr>
          <w:color w:val="000000" w:themeColor="text1"/>
          <w:szCs w:val="24"/>
        </w:rPr>
        <w:t xml:space="preserve"> and </w:t>
      </w:r>
      <w:r w:rsidR="001D6322">
        <w:rPr>
          <w:color w:val="000000" w:themeColor="text1"/>
          <w:szCs w:val="24"/>
        </w:rPr>
        <w:t xml:space="preserve">both </w:t>
      </w:r>
      <w:r w:rsidR="00C8415D">
        <w:rPr>
          <w:color w:val="000000" w:themeColor="text1"/>
          <w:szCs w:val="24"/>
        </w:rPr>
        <w:t xml:space="preserve">arms.  </w:t>
      </w:r>
      <w:r w:rsidR="001D6322">
        <w:rPr>
          <w:color w:val="000000" w:themeColor="text1"/>
          <w:szCs w:val="24"/>
        </w:rPr>
        <w:t xml:space="preserve">There was </w:t>
      </w:r>
      <w:r w:rsidR="00C8415D">
        <w:rPr>
          <w:color w:val="000000" w:themeColor="text1"/>
          <w:szCs w:val="24"/>
        </w:rPr>
        <w:t xml:space="preserve">some </w:t>
      </w:r>
      <w:r w:rsidR="001D6322">
        <w:rPr>
          <w:color w:val="000000" w:themeColor="text1"/>
          <w:szCs w:val="24"/>
        </w:rPr>
        <w:t xml:space="preserve">tenderness to palpation (TTP) </w:t>
      </w:r>
      <w:r w:rsidR="00C8415D">
        <w:rPr>
          <w:color w:val="000000" w:themeColor="text1"/>
          <w:szCs w:val="24"/>
        </w:rPr>
        <w:t>of</w:t>
      </w:r>
      <w:r w:rsidR="000F7DCA">
        <w:rPr>
          <w:color w:val="000000" w:themeColor="text1"/>
          <w:szCs w:val="24"/>
        </w:rPr>
        <w:t xml:space="preserve"> her right </w:t>
      </w:r>
      <w:proofErr w:type="spellStart"/>
      <w:r w:rsidR="000F7DCA">
        <w:rPr>
          <w:color w:val="000000" w:themeColor="text1"/>
          <w:szCs w:val="24"/>
        </w:rPr>
        <w:t>trapezius</w:t>
      </w:r>
      <w:proofErr w:type="spellEnd"/>
      <w:r w:rsidR="000F7DCA">
        <w:rPr>
          <w:color w:val="000000" w:themeColor="text1"/>
          <w:szCs w:val="24"/>
        </w:rPr>
        <w:t xml:space="preserve"> muscle</w:t>
      </w:r>
      <w:r w:rsidR="00C8415D">
        <w:rPr>
          <w:color w:val="000000" w:themeColor="text1"/>
          <w:szCs w:val="24"/>
        </w:rPr>
        <w:t xml:space="preserve">, and her </w:t>
      </w:r>
      <w:r w:rsidR="000F7DCA">
        <w:rPr>
          <w:color w:val="000000" w:themeColor="text1"/>
          <w:szCs w:val="24"/>
        </w:rPr>
        <w:t xml:space="preserve">right rhomboid muscle.  </w:t>
      </w:r>
      <w:r w:rsidR="003E687D">
        <w:rPr>
          <w:color w:val="000000" w:themeColor="text1"/>
          <w:szCs w:val="24"/>
        </w:rPr>
        <w:t>N</w:t>
      </w:r>
      <w:r w:rsidR="000F7DCA">
        <w:rPr>
          <w:color w:val="000000" w:themeColor="text1"/>
          <w:szCs w:val="24"/>
        </w:rPr>
        <w:t>eurologic exam</w:t>
      </w:r>
      <w:r w:rsidR="00C8415D">
        <w:rPr>
          <w:color w:val="000000" w:themeColor="text1"/>
          <w:szCs w:val="24"/>
        </w:rPr>
        <w:t xml:space="preserve"> was </w:t>
      </w:r>
      <w:r w:rsidR="000F7DCA">
        <w:rPr>
          <w:color w:val="000000" w:themeColor="text1"/>
          <w:szCs w:val="24"/>
        </w:rPr>
        <w:t>normal</w:t>
      </w:r>
      <w:r w:rsidR="00C8415D">
        <w:rPr>
          <w:color w:val="000000" w:themeColor="text1"/>
          <w:szCs w:val="24"/>
        </w:rPr>
        <w:t xml:space="preserve">.  </w:t>
      </w:r>
      <w:r w:rsidR="00C34625">
        <w:rPr>
          <w:color w:val="000000" w:themeColor="text1"/>
          <w:szCs w:val="24"/>
        </w:rPr>
        <w:t xml:space="preserve">Plain </w:t>
      </w:r>
      <w:r w:rsidR="006362D7">
        <w:rPr>
          <w:color w:val="000000" w:themeColor="text1"/>
          <w:szCs w:val="24"/>
        </w:rPr>
        <w:t>x</w:t>
      </w:r>
      <w:r w:rsidR="000F7DCA">
        <w:rPr>
          <w:color w:val="000000" w:themeColor="text1"/>
          <w:szCs w:val="24"/>
        </w:rPr>
        <w:t xml:space="preserve">-rays of the neck and </w:t>
      </w:r>
      <w:r w:rsidR="00147521">
        <w:rPr>
          <w:color w:val="000000" w:themeColor="text1"/>
          <w:szCs w:val="24"/>
        </w:rPr>
        <w:t xml:space="preserve">right </w:t>
      </w:r>
      <w:r w:rsidR="000F7DCA">
        <w:rPr>
          <w:color w:val="000000" w:themeColor="text1"/>
          <w:szCs w:val="24"/>
        </w:rPr>
        <w:t>shoulder were normal.</w:t>
      </w:r>
      <w:r w:rsidR="003A227E">
        <w:rPr>
          <w:color w:val="000000" w:themeColor="text1"/>
          <w:szCs w:val="24"/>
        </w:rPr>
        <w:t xml:space="preserve">  </w:t>
      </w:r>
      <w:r w:rsidR="00B25B1D">
        <w:rPr>
          <w:color w:val="000000" w:themeColor="text1"/>
          <w:szCs w:val="24"/>
        </w:rPr>
        <w:t xml:space="preserve">At her </w:t>
      </w:r>
      <w:r w:rsidR="003A227E">
        <w:rPr>
          <w:color w:val="000000" w:themeColor="text1"/>
          <w:szCs w:val="24"/>
        </w:rPr>
        <w:t xml:space="preserve">February 2002 VA </w:t>
      </w:r>
      <w:r w:rsidR="006362D7">
        <w:rPr>
          <w:color w:val="000000" w:themeColor="text1"/>
          <w:szCs w:val="24"/>
        </w:rPr>
        <w:t>C</w:t>
      </w:r>
      <w:r w:rsidR="00B25B1D">
        <w:rPr>
          <w:color w:val="000000" w:themeColor="text1"/>
          <w:szCs w:val="24"/>
        </w:rPr>
        <w:t xml:space="preserve">ompensation and </w:t>
      </w:r>
      <w:r w:rsidR="006362D7">
        <w:rPr>
          <w:color w:val="000000" w:themeColor="text1"/>
          <w:szCs w:val="24"/>
        </w:rPr>
        <w:t>P</w:t>
      </w:r>
      <w:r w:rsidR="003C15DA">
        <w:rPr>
          <w:color w:val="000000" w:themeColor="text1"/>
          <w:szCs w:val="24"/>
        </w:rPr>
        <w:t>ension (C&amp;P) exam</w:t>
      </w:r>
      <w:r w:rsidR="00B25B1D">
        <w:rPr>
          <w:color w:val="000000" w:themeColor="text1"/>
          <w:szCs w:val="24"/>
        </w:rPr>
        <w:t xml:space="preserve">, three months prior to separation, the CI reported that the pain </w:t>
      </w:r>
      <w:r w:rsidR="003C15DA">
        <w:rPr>
          <w:color w:val="000000" w:themeColor="text1"/>
          <w:szCs w:val="24"/>
        </w:rPr>
        <w:t>had</w:t>
      </w:r>
      <w:r w:rsidR="00B25B1D">
        <w:rPr>
          <w:color w:val="000000" w:themeColor="text1"/>
          <w:szCs w:val="24"/>
        </w:rPr>
        <w:t xml:space="preserve"> initially </w:t>
      </w:r>
      <w:r w:rsidR="003C15DA">
        <w:rPr>
          <w:color w:val="000000" w:themeColor="text1"/>
          <w:szCs w:val="24"/>
        </w:rPr>
        <w:t xml:space="preserve">been </w:t>
      </w:r>
      <w:r w:rsidR="00B25B1D">
        <w:rPr>
          <w:color w:val="000000" w:themeColor="text1"/>
          <w:szCs w:val="24"/>
        </w:rPr>
        <w:t xml:space="preserve">only on </w:t>
      </w:r>
      <w:r w:rsidR="003C15DA">
        <w:rPr>
          <w:color w:val="000000" w:themeColor="text1"/>
          <w:szCs w:val="24"/>
        </w:rPr>
        <w:t>the</w:t>
      </w:r>
      <w:r w:rsidR="00B25B1D">
        <w:rPr>
          <w:color w:val="000000" w:themeColor="text1"/>
          <w:szCs w:val="24"/>
        </w:rPr>
        <w:t xml:space="preserve"> right</w:t>
      </w:r>
      <w:r w:rsidR="003C15DA">
        <w:rPr>
          <w:color w:val="000000" w:themeColor="text1"/>
          <w:szCs w:val="24"/>
        </w:rPr>
        <w:t>,</w:t>
      </w:r>
      <w:r w:rsidR="00B25B1D">
        <w:rPr>
          <w:color w:val="000000" w:themeColor="text1"/>
          <w:szCs w:val="24"/>
        </w:rPr>
        <w:t xml:space="preserve"> </w:t>
      </w:r>
      <w:r w:rsidR="004A443F">
        <w:rPr>
          <w:color w:val="000000" w:themeColor="text1"/>
          <w:szCs w:val="24"/>
        </w:rPr>
        <w:t>but had</w:t>
      </w:r>
      <w:r w:rsidR="00B25B1D">
        <w:rPr>
          <w:color w:val="000000" w:themeColor="text1"/>
          <w:szCs w:val="24"/>
        </w:rPr>
        <w:t xml:space="preserve"> spread to </w:t>
      </w:r>
      <w:r w:rsidR="003C15DA">
        <w:rPr>
          <w:color w:val="000000" w:themeColor="text1"/>
          <w:szCs w:val="24"/>
        </w:rPr>
        <w:t>involve the</w:t>
      </w:r>
      <w:r w:rsidR="00B25B1D">
        <w:rPr>
          <w:color w:val="000000" w:themeColor="text1"/>
          <w:szCs w:val="24"/>
        </w:rPr>
        <w:t xml:space="preserve"> left side.  She stated that the pain affect</w:t>
      </w:r>
      <w:r w:rsidR="003C15DA">
        <w:rPr>
          <w:color w:val="000000" w:themeColor="text1"/>
          <w:szCs w:val="24"/>
        </w:rPr>
        <w:t>ed</w:t>
      </w:r>
      <w:r w:rsidR="00B25B1D">
        <w:rPr>
          <w:color w:val="000000" w:themeColor="text1"/>
          <w:szCs w:val="24"/>
        </w:rPr>
        <w:t xml:space="preserve"> her conce</w:t>
      </w:r>
      <w:r w:rsidR="00640711">
        <w:rPr>
          <w:color w:val="000000" w:themeColor="text1"/>
          <w:szCs w:val="24"/>
        </w:rPr>
        <w:t xml:space="preserve">ntration and sleep.  </w:t>
      </w:r>
      <w:r w:rsidR="003E687D">
        <w:rPr>
          <w:color w:val="000000" w:themeColor="text1"/>
          <w:szCs w:val="24"/>
        </w:rPr>
        <w:t xml:space="preserve">On exam, there was </w:t>
      </w:r>
      <w:r w:rsidR="00EC1074">
        <w:rPr>
          <w:color w:val="000000" w:themeColor="text1"/>
          <w:szCs w:val="24"/>
        </w:rPr>
        <w:t>TTP o</w:t>
      </w:r>
      <w:r w:rsidR="003E687D">
        <w:rPr>
          <w:color w:val="000000" w:themeColor="text1"/>
          <w:szCs w:val="24"/>
        </w:rPr>
        <w:t>f</w:t>
      </w:r>
      <w:r w:rsidR="00EC1074">
        <w:rPr>
          <w:color w:val="000000" w:themeColor="text1"/>
          <w:szCs w:val="24"/>
        </w:rPr>
        <w:t xml:space="preserve"> the right </w:t>
      </w:r>
      <w:proofErr w:type="spellStart"/>
      <w:r w:rsidR="003E687D">
        <w:rPr>
          <w:color w:val="000000" w:themeColor="text1"/>
          <w:szCs w:val="24"/>
        </w:rPr>
        <w:t>trapezius</w:t>
      </w:r>
      <w:proofErr w:type="spellEnd"/>
      <w:r w:rsidR="003E687D">
        <w:rPr>
          <w:color w:val="000000" w:themeColor="text1"/>
          <w:szCs w:val="24"/>
        </w:rPr>
        <w:t xml:space="preserve"> and rhomboid, but no tenderness on the left.  Neurological exam, including motor testing, was normal.   </w:t>
      </w:r>
    </w:p>
    <w:p w:rsidR="00451EA5" w:rsidRDefault="00451EA5" w:rsidP="00451EA5">
      <w:pPr>
        <w:autoSpaceDE w:val="0"/>
        <w:autoSpaceDN w:val="0"/>
        <w:adjustRightInd w:val="0"/>
        <w:jc w:val="both"/>
        <w:rPr>
          <w:rFonts w:asciiTheme="minorHAnsi" w:hAnsiTheme="minorHAnsi" w:cs="Times New Roman"/>
          <w:color w:val="auto"/>
          <w:szCs w:val="24"/>
        </w:rPr>
      </w:pPr>
    </w:p>
    <w:p w:rsidR="00440CBC" w:rsidRDefault="00BA18C6" w:rsidP="00A02179">
      <w:pPr>
        <w:jc w:val="both"/>
        <w:rPr>
          <w:color w:val="auto"/>
          <w:szCs w:val="24"/>
        </w:rPr>
      </w:pPr>
      <w:r>
        <w:rPr>
          <w:color w:val="auto"/>
          <w:szCs w:val="24"/>
        </w:rPr>
        <w:t xml:space="preserve">The Army </w:t>
      </w:r>
      <w:r w:rsidR="00440CBC" w:rsidRPr="0092268F">
        <w:rPr>
          <w:color w:val="auto"/>
          <w:szCs w:val="24"/>
        </w:rPr>
        <w:t xml:space="preserve">PEB combined the </w:t>
      </w:r>
      <w:r>
        <w:rPr>
          <w:color w:val="auto"/>
          <w:szCs w:val="24"/>
        </w:rPr>
        <w:t xml:space="preserve">right </w:t>
      </w:r>
      <w:r w:rsidR="00440CBC" w:rsidRPr="0092268F">
        <w:rPr>
          <w:color w:val="auto"/>
          <w:szCs w:val="24"/>
        </w:rPr>
        <w:t xml:space="preserve">shoulder and </w:t>
      </w:r>
      <w:r>
        <w:rPr>
          <w:color w:val="auto"/>
          <w:szCs w:val="24"/>
        </w:rPr>
        <w:t>upper back</w:t>
      </w:r>
      <w:r w:rsidR="00440CBC" w:rsidRPr="0092268F">
        <w:rPr>
          <w:color w:val="auto"/>
          <w:szCs w:val="24"/>
        </w:rPr>
        <w:t xml:space="preserve"> pain as a single unfitting condition</w:t>
      </w:r>
      <w:r>
        <w:rPr>
          <w:color w:val="auto"/>
          <w:szCs w:val="24"/>
        </w:rPr>
        <w:t xml:space="preserve">.  They called it MPS and coded it as </w:t>
      </w:r>
      <w:r w:rsidR="008F0814">
        <w:rPr>
          <w:color w:val="auto"/>
          <w:szCs w:val="24"/>
        </w:rPr>
        <w:t>5099-</w:t>
      </w:r>
      <w:r w:rsidR="00440CBC" w:rsidRPr="0092268F">
        <w:rPr>
          <w:color w:val="auto"/>
          <w:szCs w:val="24"/>
        </w:rPr>
        <w:t xml:space="preserve">5003 </w:t>
      </w:r>
      <w:r>
        <w:rPr>
          <w:color w:val="auto"/>
          <w:szCs w:val="24"/>
        </w:rPr>
        <w:t>(</w:t>
      </w:r>
      <w:r w:rsidR="008F0814" w:rsidRPr="0092268F">
        <w:rPr>
          <w:color w:val="auto"/>
          <w:szCs w:val="24"/>
        </w:rPr>
        <w:t xml:space="preserve">analogous to </w:t>
      </w:r>
      <w:r>
        <w:rPr>
          <w:color w:val="auto"/>
          <w:szCs w:val="24"/>
        </w:rPr>
        <w:t>degenerative arthritis)</w:t>
      </w:r>
      <w:r w:rsidR="00440CBC" w:rsidRPr="0092268F">
        <w:rPr>
          <w:color w:val="auto"/>
          <w:szCs w:val="24"/>
        </w:rPr>
        <w:t xml:space="preserve">.  The VA </w:t>
      </w:r>
      <w:r w:rsidR="008F0814">
        <w:rPr>
          <w:color w:val="auto"/>
          <w:szCs w:val="24"/>
        </w:rPr>
        <w:t xml:space="preserve">also labeled the condition MPS, but they used code </w:t>
      </w:r>
      <w:r w:rsidR="00440CBC">
        <w:rPr>
          <w:color w:val="auto"/>
          <w:szCs w:val="24"/>
        </w:rPr>
        <w:t>5099-</w:t>
      </w:r>
      <w:r w:rsidR="00440CBC" w:rsidRPr="0092268F">
        <w:rPr>
          <w:color w:val="auto"/>
          <w:szCs w:val="24"/>
        </w:rPr>
        <w:t>5025 (</w:t>
      </w:r>
      <w:r w:rsidR="008F0814">
        <w:rPr>
          <w:color w:val="auto"/>
          <w:szCs w:val="24"/>
        </w:rPr>
        <w:t>analogous</w:t>
      </w:r>
      <w:r w:rsidR="008F0814" w:rsidRPr="0092268F">
        <w:rPr>
          <w:color w:val="auto"/>
          <w:szCs w:val="24"/>
        </w:rPr>
        <w:t xml:space="preserve"> </w:t>
      </w:r>
      <w:r w:rsidR="008F0814">
        <w:rPr>
          <w:color w:val="auto"/>
          <w:szCs w:val="24"/>
        </w:rPr>
        <w:t xml:space="preserve">to </w:t>
      </w:r>
      <w:r w:rsidR="00440CBC" w:rsidRPr="0092268F">
        <w:rPr>
          <w:color w:val="auto"/>
          <w:szCs w:val="24"/>
        </w:rPr>
        <w:t>fibrom</w:t>
      </w:r>
      <w:r w:rsidR="008F0814">
        <w:rPr>
          <w:color w:val="auto"/>
          <w:szCs w:val="24"/>
        </w:rPr>
        <w:t>yal</w:t>
      </w:r>
      <w:r w:rsidR="00440CBC" w:rsidRPr="0092268F">
        <w:rPr>
          <w:color w:val="auto"/>
          <w:szCs w:val="24"/>
        </w:rPr>
        <w:t>gia)</w:t>
      </w:r>
      <w:r w:rsidR="008F0814">
        <w:rPr>
          <w:color w:val="auto"/>
          <w:szCs w:val="24"/>
        </w:rPr>
        <w:t>.</w:t>
      </w:r>
      <w:r w:rsidR="008F0814" w:rsidRPr="008F0814">
        <w:rPr>
          <w:color w:val="auto"/>
          <w:szCs w:val="24"/>
        </w:rPr>
        <w:t xml:space="preserve"> </w:t>
      </w:r>
      <w:r w:rsidR="008F0814" w:rsidRPr="0092268F">
        <w:rPr>
          <w:color w:val="auto"/>
          <w:szCs w:val="24"/>
        </w:rPr>
        <w:t xml:space="preserve">The </w:t>
      </w:r>
      <w:r w:rsidR="008F0814">
        <w:rPr>
          <w:color w:val="auto"/>
          <w:szCs w:val="24"/>
        </w:rPr>
        <w:t>Board carefully reviewed all available evidence.</w:t>
      </w:r>
      <w:r w:rsidR="004226E3">
        <w:rPr>
          <w:color w:val="auto"/>
          <w:szCs w:val="24"/>
        </w:rPr>
        <w:t xml:space="preserve"> </w:t>
      </w:r>
      <w:r w:rsidR="008F0814">
        <w:rPr>
          <w:color w:val="auto"/>
          <w:szCs w:val="24"/>
        </w:rPr>
        <w:t xml:space="preserve"> IAW the Veterans’ Administration Schedule for Rating Disabilities (</w:t>
      </w:r>
      <w:r w:rsidR="008F0814" w:rsidRPr="0092268F">
        <w:rPr>
          <w:color w:val="auto"/>
          <w:szCs w:val="24"/>
        </w:rPr>
        <w:t>VASRD</w:t>
      </w:r>
      <w:r w:rsidR="008F0814">
        <w:rPr>
          <w:color w:val="auto"/>
          <w:szCs w:val="24"/>
        </w:rPr>
        <w:t>)</w:t>
      </w:r>
      <w:r w:rsidR="004226E3" w:rsidRPr="004226E3">
        <w:rPr>
          <w:color w:val="auto"/>
          <w:szCs w:val="24"/>
        </w:rPr>
        <w:t xml:space="preserve"> </w:t>
      </w:r>
      <w:r w:rsidR="004226E3" w:rsidRPr="0092268F">
        <w:rPr>
          <w:color w:val="auto"/>
          <w:szCs w:val="24"/>
        </w:rPr>
        <w:t>§4.71a</w:t>
      </w:r>
      <w:r w:rsidR="008F0814">
        <w:rPr>
          <w:color w:val="auto"/>
          <w:szCs w:val="24"/>
        </w:rPr>
        <w:t xml:space="preserve">, diagnostic code </w:t>
      </w:r>
      <w:r w:rsidR="00B71F0C">
        <w:rPr>
          <w:color w:val="auto"/>
          <w:szCs w:val="24"/>
        </w:rPr>
        <w:t xml:space="preserve">(DC) </w:t>
      </w:r>
      <w:r w:rsidR="00B72F2C">
        <w:rPr>
          <w:color w:val="auto"/>
          <w:szCs w:val="24"/>
        </w:rPr>
        <w:t xml:space="preserve">5025 </w:t>
      </w:r>
      <w:r w:rsidR="00B71F0C">
        <w:rPr>
          <w:color w:val="auto"/>
          <w:szCs w:val="24"/>
        </w:rPr>
        <w:t>should</w:t>
      </w:r>
      <w:r w:rsidR="004226E3">
        <w:rPr>
          <w:color w:val="auto"/>
          <w:szCs w:val="24"/>
        </w:rPr>
        <w:t xml:space="preserve"> be used for cases involving widespread musculoskeletal pain and tender points.  Widespread pain means pain in both sides of the body, above and below the waist, affecting both the axial skeleton and the extremities.</w:t>
      </w:r>
      <w:r w:rsidR="00B71F0C">
        <w:rPr>
          <w:color w:val="auto"/>
          <w:szCs w:val="24"/>
        </w:rPr>
        <w:t xml:space="preserve">  The Board determined that even though she did have some symptoms on the left, the CI’s condition primarily involved the right side of her body above the waist, and therefore did not qualify as widespread musculoskeletal pain.  The Board determined that the most appropriate coding option was 5099-5021 (analogous to </w:t>
      </w:r>
      <w:proofErr w:type="spellStart"/>
      <w:r w:rsidR="00B71F0C">
        <w:rPr>
          <w:color w:val="auto"/>
          <w:szCs w:val="24"/>
        </w:rPr>
        <w:t>myositis</w:t>
      </w:r>
      <w:proofErr w:type="spellEnd"/>
      <w:r w:rsidR="00B71F0C">
        <w:rPr>
          <w:color w:val="auto"/>
          <w:szCs w:val="24"/>
        </w:rPr>
        <w:t xml:space="preserve">).  IAW </w:t>
      </w:r>
      <w:r w:rsidR="00B71F0C" w:rsidRPr="0092268F">
        <w:rPr>
          <w:color w:val="auto"/>
          <w:szCs w:val="24"/>
        </w:rPr>
        <w:t>VASRD</w:t>
      </w:r>
      <w:r w:rsidR="00B71F0C" w:rsidRPr="004226E3">
        <w:rPr>
          <w:color w:val="auto"/>
          <w:szCs w:val="24"/>
        </w:rPr>
        <w:t xml:space="preserve"> </w:t>
      </w:r>
      <w:r w:rsidR="00B71F0C" w:rsidRPr="0092268F">
        <w:rPr>
          <w:color w:val="auto"/>
          <w:szCs w:val="24"/>
        </w:rPr>
        <w:t>§4.71a</w:t>
      </w:r>
      <w:r w:rsidR="00B71F0C">
        <w:rPr>
          <w:color w:val="auto"/>
          <w:szCs w:val="24"/>
        </w:rPr>
        <w:t xml:space="preserve">, cases involving </w:t>
      </w:r>
      <w:r w:rsidR="00B72F2C">
        <w:rPr>
          <w:color w:val="auto"/>
          <w:szCs w:val="24"/>
        </w:rPr>
        <w:t xml:space="preserve">DC 5021 </w:t>
      </w:r>
      <w:r w:rsidR="00B71F0C">
        <w:rPr>
          <w:color w:val="auto"/>
          <w:szCs w:val="24"/>
        </w:rPr>
        <w:t>should be rated</w:t>
      </w:r>
      <w:r w:rsidR="00B72F2C">
        <w:rPr>
          <w:color w:val="auto"/>
          <w:szCs w:val="24"/>
        </w:rPr>
        <w:t xml:space="preserve"> based on limitation of motion of the affected parts.  The Board determined that for the CI, her affected parts were primarily right shoulder and right neck.</w:t>
      </w:r>
      <w:r w:rsidR="00B71F0C">
        <w:rPr>
          <w:color w:val="auto"/>
          <w:szCs w:val="24"/>
        </w:rPr>
        <w:t xml:space="preserve"> </w:t>
      </w:r>
      <w:r w:rsidR="004226E3">
        <w:rPr>
          <w:color w:val="auto"/>
          <w:szCs w:val="24"/>
        </w:rPr>
        <w:t xml:space="preserve"> </w:t>
      </w:r>
      <w:r w:rsidR="00B72F2C">
        <w:rPr>
          <w:color w:val="auto"/>
          <w:szCs w:val="24"/>
        </w:rPr>
        <w:t xml:space="preserve"> </w:t>
      </w:r>
      <w:r w:rsidR="00440CBC">
        <w:rPr>
          <w:color w:val="auto"/>
          <w:szCs w:val="24"/>
        </w:rPr>
        <w:t xml:space="preserve"> </w:t>
      </w:r>
    </w:p>
    <w:p w:rsidR="00440CBC" w:rsidRDefault="00440CBC" w:rsidP="00A02179">
      <w:pPr>
        <w:jc w:val="both"/>
        <w:rPr>
          <w:color w:val="auto"/>
          <w:szCs w:val="24"/>
        </w:rPr>
      </w:pPr>
    </w:p>
    <w:p w:rsidR="00451EA5" w:rsidRPr="00AD6490" w:rsidRDefault="00440CBC" w:rsidP="00AD6490">
      <w:pPr>
        <w:jc w:val="both"/>
        <w:rPr>
          <w:color w:val="auto"/>
          <w:szCs w:val="24"/>
        </w:rPr>
      </w:pPr>
      <w:proofErr w:type="gramStart"/>
      <w:r w:rsidRPr="00440CBC">
        <w:rPr>
          <w:color w:val="auto"/>
          <w:szCs w:val="24"/>
          <w:u w:val="single"/>
        </w:rPr>
        <w:lastRenderedPageBreak/>
        <w:t xml:space="preserve">Right Shoulder </w:t>
      </w:r>
      <w:r w:rsidR="004657B5">
        <w:rPr>
          <w:color w:val="auto"/>
          <w:szCs w:val="24"/>
          <w:u w:val="single"/>
        </w:rPr>
        <w:t>Pain</w:t>
      </w:r>
      <w:r>
        <w:rPr>
          <w:color w:val="auto"/>
          <w:szCs w:val="24"/>
        </w:rPr>
        <w:t>.</w:t>
      </w:r>
      <w:proofErr w:type="gramEnd"/>
      <w:r w:rsidR="00AD6490">
        <w:rPr>
          <w:color w:val="auto"/>
          <w:szCs w:val="24"/>
        </w:rPr>
        <w:t xml:space="preserve">  Even though the right </w:t>
      </w:r>
      <w:proofErr w:type="spellStart"/>
      <w:r w:rsidR="00AD6490">
        <w:rPr>
          <w:color w:val="auto"/>
          <w:szCs w:val="24"/>
        </w:rPr>
        <w:t>glenohumeral</w:t>
      </w:r>
      <w:proofErr w:type="spellEnd"/>
      <w:r w:rsidR="00AD6490">
        <w:rPr>
          <w:color w:val="auto"/>
          <w:szCs w:val="24"/>
        </w:rPr>
        <w:t xml:space="preserve"> joint itself was without pathology, the muscles of the right shoulder region were tender to palpation and painful with motion.  Due to the pain</w:t>
      </w:r>
      <w:r w:rsidR="00C34625">
        <w:rPr>
          <w:color w:val="auto"/>
          <w:szCs w:val="24"/>
        </w:rPr>
        <w:t>,</w:t>
      </w:r>
      <w:r w:rsidR="00AD6490">
        <w:rPr>
          <w:color w:val="auto"/>
          <w:szCs w:val="24"/>
        </w:rPr>
        <w:t xml:space="preserve"> the CI could not lift anything greater than 20 pounds.  </w:t>
      </w:r>
      <w:r w:rsidR="00827509">
        <w:rPr>
          <w:color w:val="auto"/>
          <w:szCs w:val="24"/>
        </w:rPr>
        <w:t>As noted above, the s</w:t>
      </w:r>
      <w:r w:rsidR="00827509">
        <w:rPr>
          <w:rFonts w:asciiTheme="minorHAnsi" w:hAnsiTheme="minorHAnsi"/>
          <w:bCs/>
          <w:color w:val="000000" w:themeColor="text1"/>
          <w:szCs w:val="24"/>
        </w:rPr>
        <w:t xml:space="preserve">everity of her pain varied, and </w:t>
      </w:r>
      <w:r w:rsidR="00D602C7">
        <w:rPr>
          <w:rFonts w:asciiTheme="minorHAnsi" w:hAnsiTheme="minorHAnsi"/>
          <w:bCs/>
          <w:color w:val="000000" w:themeColor="text1"/>
          <w:szCs w:val="24"/>
        </w:rPr>
        <w:t>the pain</w:t>
      </w:r>
      <w:r w:rsidR="00827509">
        <w:rPr>
          <w:rFonts w:asciiTheme="minorHAnsi" w:hAnsiTheme="minorHAnsi"/>
          <w:bCs/>
          <w:color w:val="000000" w:themeColor="text1"/>
          <w:szCs w:val="24"/>
        </w:rPr>
        <w:t xml:space="preserve"> was e</w:t>
      </w:r>
      <w:r w:rsidR="00827509" w:rsidRPr="00A53FC7">
        <w:rPr>
          <w:rFonts w:asciiTheme="minorHAnsi" w:hAnsiTheme="minorHAnsi"/>
          <w:bCs/>
          <w:color w:val="000000" w:themeColor="text1"/>
          <w:szCs w:val="24"/>
        </w:rPr>
        <w:t>xacerbat</w:t>
      </w:r>
      <w:r w:rsidR="00827509">
        <w:rPr>
          <w:rFonts w:asciiTheme="minorHAnsi" w:hAnsiTheme="minorHAnsi"/>
          <w:bCs/>
          <w:color w:val="000000" w:themeColor="text1"/>
          <w:szCs w:val="24"/>
        </w:rPr>
        <w:t xml:space="preserve">ed by </w:t>
      </w:r>
      <w:r w:rsidR="00827509" w:rsidRPr="00A53FC7">
        <w:rPr>
          <w:rFonts w:asciiTheme="minorHAnsi" w:hAnsiTheme="minorHAnsi"/>
          <w:bCs/>
          <w:color w:val="000000" w:themeColor="text1"/>
          <w:szCs w:val="24"/>
        </w:rPr>
        <w:t xml:space="preserve">running, carrying a </w:t>
      </w:r>
      <w:proofErr w:type="spellStart"/>
      <w:r w:rsidR="00827509" w:rsidRPr="00A53FC7">
        <w:rPr>
          <w:rFonts w:asciiTheme="minorHAnsi" w:hAnsiTheme="minorHAnsi"/>
          <w:bCs/>
          <w:color w:val="000000" w:themeColor="text1"/>
          <w:szCs w:val="24"/>
        </w:rPr>
        <w:t>ruck</w:t>
      </w:r>
      <w:proofErr w:type="spellEnd"/>
      <w:r w:rsidR="00827509" w:rsidRPr="00A53FC7">
        <w:rPr>
          <w:rFonts w:asciiTheme="minorHAnsi" w:hAnsiTheme="minorHAnsi"/>
          <w:bCs/>
          <w:color w:val="000000" w:themeColor="text1"/>
          <w:szCs w:val="24"/>
        </w:rPr>
        <w:t>,</w:t>
      </w:r>
      <w:r w:rsidR="00827509">
        <w:rPr>
          <w:rFonts w:asciiTheme="minorHAnsi" w:hAnsiTheme="minorHAnsi"/>
          <w:bCs/>
          <w:color w:val="000000" w:themeColor="text1"/>
          <w:szCs w:val="24"/>
        </w:rPr>
        <w:t xml:space="preserve"> </w:t>
      </w:r>
      <w:r w:rsidR="00827509" w:rsidRPr="00A53FC7">
        <w:rPr>
          <w:rFonts w:asciiTheme="minorHAnsi" w:hAnsiTheme="minorHAnsi"/>
          <w:bCs/>
          <w:color w:val="000000" w:themeColor="text1"/>
          <w:szCs w:val="24"/>
        </w:rPr>
        <w:t xml:space="preserve">wearing a </w:t>
      </w:r>
      <w:proofErr w:type="spellStart"/>
      <w:r w:rsidR="00827509" w:rsidRPr="00A53FC7">
        <w:rPr>
          <w:rFonts w:asciiTheme="minorHAnsi" w:hAnsiTheme="minorHAnsi"/>
          <w:bCs/>
          <w:color w:val="000000" w:themeColor="text1"/>
          <w:szCs w:val="24"/>
        </w:rPr>
        <w:t>flakvest</w:t>
      </w:r>
      <w:proofErr w:type="spellEnd"/>
      <w:r w:rsidR="00827509" w:rsidRPr="00A53FC7">
        <w:rPr>
          <w:rFonts w:asciiTheme="minorHAnsi" w:hAnsiTheme="minorHAnsi"/>
          <w:bCs/>
          <w:color w:val="000000" w:themeColor="text1"/>
          <w:szCs w:val="24"/>
        </w:rPr>
        <w:t xml:space="preserve">, </w:t>
      </w:r>
      <w:r w:rsidR="00827509">
        <w:rPr>
          <w:rFonts w:asciiTheme="minorHAnsi" w:hAnsiTheme="minorHAnsi"/>
          <w:bCs/>
          <w:color w:val="000000" w:themeColor="text1"/>
          <w:szCs w:val="24"/>
        </w:rPr>
        <w:t xml:space="preserve">or </w:t>
      </w:r>
      <w:r w:rsidR="00827509" w:rsidRPr="00A53FC7">
        <w:rPr>
          <w:rFonts w:asciiTheme="minorHAnsi" w:hAnsiTheme="minorHAnsi"/>
          <w:bCs/>
          <w:color w:val="000000" w:themeColor="text1"/>
          <w:szCs w:val="24"/>
        </w:rPr>
        <w:t xml:space="preserve">marching. </w:t>
      </w:r>
      <w:r w:rsidR="00827509">
        <w:rPr>
          <w:rFonts w:asciiTheme="minorHAnsi" w:hAnsiTheme="minorHAnsi"/>
          <w:bCs/>
          <w:color w:val="000000" w:themeColor="text1"/>
          <w:szCs w:val="24"/>
        </w:rPr>
        <w:t xml:space="preserve"> </w:t>
      </w:r>
      <w:r w:rsidR="00AD6490">
        <w:rPr>
          <w:color w:val="auto"/>
          <w:szCs w:val="24"/>
        </w:rPr>
        <w:t xml:space="preserve">Her right shoulder </w:t>
      </w:r>
      <w:r w:rsidR="006362D7">
        <w:rPr>
          <w:color w:val="auto"/>
          <w:szCs w:val="24"/>
        </w:rPr>
        <w:t>ROM</w:t>
      </w:r>
      <w:r w:rsidR="00AD6490">
        <w:rPr>
          <w:color w:val="auto"/>
          <w:szCs w:val="24"/>
        </w:rPr>
        <w:t xml:space="preserve"> is summarized below.  </w:t>
      </w:r>
    </w:p>
    <w:p w:rsidR="00451EA5" w:rsidRPr="003C53E8" w:rsidRDefault="00451EA5" w:rsidP="00451EA5">
      <w:pPr>
        <w:tabs>
          <w:tab w:val="left" w:pos="288"/>
          <w:tab w:val="left" w:pos="4752"/>
        </w:tabs>
        <w:rPr>
          <w:rFonts w:asciiTheme="minorHAnsi" w:hAnsiTheme="minorHAnsi" w:cs="Times New Roman"/>
          <w:color w:val="auto"/>
          <w:szCs w:val="24"/>
        </w:rPr>
      </w:pPr>
    </w:p>
    <w:tbl>
      <w:tblPr>
        <w:tblpPr w:leftFromText="180" w:rightFromText="180" w:vertAnchor="text" w:tblpXSpec="center" w:tblpY="1"/>
        <w:tblOverlap w:val="never"/>
        <w:tblW w:w="6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28"/>
        <w:gridCol w:w="3942"/>
        <w:gridCol w:w="244"/>
      </w:tblGrid>
      <w:tr w:rsidR="00451EA5" w:rsidRPr="001F29F9" w:rsidTr="00AD6490">
        <w:tc>
          <w:tcPr>
            <w:tcW w:w="2628" w:type="dxa"/>
            <w:shd w:val="clear" w:color="auto" w:fill="D9D9D9" w:themeFill="background1" w:themeFillShade="D9"/>
            <w:vAlign w:val="center"/>
          </w:tcPr>
          <w:p w:rsidR="00451EA5" w:rsidRPr="0087232D" w:rsidRDefault="00451EA5" w:rsidP="00B71F0C">
            <w:pPr>
              <w:contextualSpacing/>
              <w:rPr>
                <w:rFonts w:eastAsia="Calibri"/>
                <w:color w:val="000000" w:themeColor="text1"/>
                <w:sz w:val="22"/>
                <w:szCs w:val="22"/>
              </w:rPr>
            </w:pPr>
            <w:r w:rsidRPr="0087232D">
              <w:rPr>
                <w:rFonts w:eastAsia="Calibri"/>
                <w:color w:val="000000" w:themeColor="text1"/>
                <w:sz w:val="22"/>
                <w:szCs w:val="22"/>
              </w:rPr>
              <w:t>Right Shoulder</w:t>
            </w:r>
          </w:p>
        </w:tc>
        <w:tc>
          <w:tcPr>
            <w:tcW w:w="4186" w:type="dxa"/>
            <w:gridSpan w:val="2"/>
            <w:shd w:val="clear" w:color="auto" w:fill="D9D9D9" w:themeFill="background1" w:themeFillShade="D9"/>
            <w:vAlign w:val="center"/>
          </w:tcPr>
          <w:p w:rsidR="00451EA5" w:rsidRPr="0087232D" w:rsidRDefault="00451EA5" w:rsidP="00B71F0C">
            <w:pPr>
              <w:contextualSpacing/>
              <w:rPr>
                <w:rFonts w:eastAsia="Calibri"/>
                <w:color w:val="000000" w:themeColor="text1"/>
                <w:sz w:val="22"/>
                <w:szCs w:val="22"/>
              </w:rPr>
            </w:pPr>
            <w:r w:rsidRPr="0087232D">
              <w:rPr>
                <w:rFonts w:eastAsia="Calibri"/>
                <w:color w:val="000000" w:themeColor="text1"/>
                <w:sz w:val="22"/>
                <w:szCs w:val="22"/>
              </w:rPr>
              <w:t>Separation Date: 20020520</w:t>
            </w:r>
          </w:p>
        </w:tc>
      </w:tr>
      <w:tr w:rsidR="00451EA5" w:rsidRPr="001F29F9" w:rsidTr="00AD6490">
        <w:tc>
          <w:tcPr>
            <w:tcW w:w="2628" w:type="dxa"/>
            <w:shd w:val="clear" w:color="auto" w:fill="D9D9D9" w:themeFill="background1" w:themeFillShade="D9"/>
            <w:vAlign w:val="center"/>
          </w:tcPr>
          <w:p w:rsidR="00451EA5" w:rsidRPr="0087232D" w:rsidRDefault="00451EA5" w:rsidP="00B71F0C">
            <w:pPr>
              <w:contextualSpacing/>
              <w:rPr>
                <w:rFonts w:eastAsia="Calibri"/>
                <w:color w:val="000000" w:themeColor="text1"/>
                <w:sz w:val="22"/>
                <w:szCs w:val="22"/>
              </w:rPr>
            </w:pPr>
            <w:r w:rsidRPr="0087232D">
              <w:rPr>
                <w:rFonts w:eastAsia="Calibri"/>
                <w:color w:val="000000" w:themeColor="text1"/>
                <w:sz w:val="22"/>
                <w:szCs w:val="22"/>
              </w:rPr>
              <w:t>Goniometric  ROM</w:t>
            </w:r>
          </w:p>
        </w:tc>
        <w:tc>
          <w:tcPr>
            <w:tcW w:w="3942" w:type="dxa"/>
            <w:shd w:val="clear" w:color="auto" w:fill="D9D9D9" w:themeFill="background1" w:themeFillShade="D9"/>
            <w:vAlign w:val="center"/>
          </w:tcPr>
          <w:p w:rsidR="00451EA5" w:rsidRPr="0087232D" w:rsidRDefault="00D602C7" w:rsidP="00D602C7">
            <w:pPr>
              <w:contextualSpacing/>
              <w:rPr>
                <w:rFonts w:asciiTheme="minorHAnsi" w:eastAsia="Calibri" w:hAnsiTheme="minorHAnsi"/>
                <w:color w:val="000000" w:themeColor="text1"/>
                <w:sz w:val="22"/>
                <w:szCs w:val="22"/>
              </w:rPr>
            </w:pPr>
            <w:r w:rsidRPr="0087232D">
              <w:rPr>
                <w:rFonts w:eastAsia="Calibri"/>
                <w:color w:val="000000" w:themeColor="text1"/>
                <w:sz w:val="22"/>
                <w:szCs w:val="22"/>
              </w:rPr>
              <w:t>C&amp;P exam</w:t>
            </w:r>
            <w:r>
              <w:rPr>
                <w:rFonts w:eastAsia="Calibri"/>
                <w:color w:val="000000" w:themeColor="text1"/>
                <w:sz w:val="22"/>
                <w:szCs w:val="22"/>
              </w:rPr>
              <w:t xml:space="preserve"> – </w:t>
            </w:r>
            <w:r w:rsidR="00451EA5">
              <w:rPr>
                <w:rFonts w:eastAsia="Calibri"/>
                <w:color w:val="000000" w:themeColor="text1"/>
                <w:sz w:val="22"/>
                <w:szCs w:val="22"/>
              </w:rPr>
              <w:t>3</w:t>
            </w:r>
            <w:r w:rsidR="00451EA5" w:rsidRPr="0087232D">
              <w:rPr>
                <w:rFonts w:eastAsia="Calibri"/>
                <w:color w:val="000000" w:themeColor="text1"/>
                <w:sz w:val="22"/>
                <w:szCs w:val="22"/>
              </w:rPr>
              <w:t xml:space="preserve"> </w:t>
            </w:r>
            <w:r>
              <w:rPr>
                <w:rFonts w:eastAsia="Calibri"/>
                <w:color w:val="000000" w:themeColor="text1"/>
                <w:sz w:val="22"/>
                <w:szCs w:val="22"/>
              </w:rPr>
              <w:t>mos</w:t>
            </w:r>
            <w:r w:rsidR="00451EA5" w:rsidRPr="0087232D">
              <w:rPr>
                <w:rFonts w:eastAsia="Calibri"/>
                <w:color w:val="000000" w:themeColor="text1"/>
                <w:sz w:val="22"/>
                <w:szCs w:val="22"/>
              </w:rPr>
              <w:t>. Pre-Sep</w:t>
            </w:r>
          </w:p>
        </w:tc>
        <w:tc>
          <w:tcPr>
            <w:tcW w:w="244" w:type="dxa"/>
            <w:shd w:val="clear" w:color="auto" w:fill="D9D9D9" w:themeFill="background1" w:themeFillShade="D9"/>
            <w:vAlign w:val="center"/>
          </w:tcPr>
          <w:p w:rsidR="00451EA5" w:rsidRPr="0030700A" w:rsidRDefault="00451EA5" w:rsidP="00B71F0C">
            <w:pPr>
              <w:contextualSpacing/>
              <w:rPr>
                <w:rFonts w:asciiTheme="minorHAnsi" w:eastAsia="Calibri" w:hAnsiTheme="minorHAnsi"/>
                <w:color w:val="000000" w:themeColor="text1"/>
                <w:sz w:val="18"/>
                <w:szCs w:val="18"/>
              </w:rPr>
            </w:pPr>
          </w:p>
        </w:tc>
      </w:tr>
      <w:tr w:rsidR="00451EA5" w:rsidRPr="001F29F9" w:rsidTr="00AD6490">
        <w:tc>
          <w:tcPr>
            <w:tcW w:w="2628" w:type="dxa"/>
            <w:vAlign w:val="center"/>
          </w:tcPr>
          <w:p w:rsidR="00451EA5" w:rsidRPr="0087232D" w:rsidRDefault="00AD6490" w:rsidP="00AD6490">
            <w:pPr>
              <w:pStyle w:val="ListParagraph"/>
              <w:spacing w:after="0" w:line="240" w:lineRule="exact"/>
              <w:ind w:left="0"/>
              <w:rPr>
                <w:rFonts w:ascii="Calibri" w:eastAsia="Calibri" w:hAnsi="Calibri" w:cstheme="minorHAnsi"/>
                <w:color w:val="000000" w:themeColor="text1"/>
              </w:rPr>
            </w:pPr>
            <w:r>
              <w:rPr>
                <w:rFonts w:ascii="Calibri" w:eastAsia="Calibri" w:hAnsi="Calibri" w:cstheme="minorHAnsi"/>
                <w:color w:val="000000" w:themeColor="text1"/>
              </w:rPr>
              <w:t>Flexion (</w:t>
            </w:r>
            <w:r w:rsidR="00451EA5" w:rsidRPr="0087232D">
              <w:rPr>
                <w:rFonts w:ascii="Calibri" w:eastAsia="Calibri" w:hAnsi="Calibri" w:cstheme="minorHAnsi"/>
                <w:color w:val="000000" w:themeColor="text1"/>
              </w:rPr>
              <w:t>18</w:t>
            </w:r>
            <w:r w:rsidRPr="0087232D">
              <w:rPr>
                <w:rFonts w:eastAsia="Calibri"/>
                <w:color w:val="000000" w:themeColor="text1"/>
              </w:rPr>
              <w:t>0⁰</w:t>
            </w:r>
            <w:r>
              <w:rPr>
                <w:rFonts w:eastAsia="Calibri"/>
                <w:color w:val="000000" w:themeColor="text1"/>
              </w:rPr>
              <w:t xml:space="preserve"> is normal</w:t>
            </w:r>
            <w:r w:rsidR="00451EA5" w:rsidRPr="0087232D">
              <w:rPr>
                <w:rFonts w:ascii="Calibri" w:eastAsia="Calibri" w:hAnsi="Calibri" w:cstheme="minorHAnsi"/>
                <w:color w:val="000000" w:themeColor="text1"/>
              </w:rPr>
              <w:t>)</w:t>
            </w:r>
          </w:p>
        </w:tc>
        <w:tc>
          <w:tcPr>
            <w:tcW w:w="3942" w:type="dxa"/>
            <w:vAlign w:val="center"/>
          </w:tcPr>
          <w:p w:rsidR="00451EA5" w:rsidRPr="0087232D" w:rsidRDefault="00451EA5" w:rsidP="00B71F0C">
            <w:pPr>
              <w:contextualSpacing/>
              <w:rPr>
                <w:rFonts w:eastAsia="Calibri"/>
                <w:color w:val="000000" w:themeColor="text1"/>
                <w:sz w:val="22"/>
                <w:szCs w:val="22"/>
              </w:rPr>
            </w:pPr>
            <w:r w:rsidRPr="0087232D">
              <w:rPr>
                <w:rFonts w:eastAsia="Calibri"/>
                <w:color w:val="000000" w:themeColor="text1"/>
                <w:sz w:val="22"/>
                <w:szCs w:val="22"/>
              </w:rPr>
              <w:t>140⁰</w:t>
            </w:r>
          </w:p>
        </w:tc>
        <w:tc>
          <w:tcPr>
            <w:tcW w:w="244" w:type="dxa"/>
            <w:vAlign w:val="center"/>
          </w:tcPr>
          <w:p w:rsidR="00451EA5" w:rsidRPr="001F29F9" w:rsidRDefault="00451EA5" w:rsidP="00B71F0C">
            <w:pPr>
              <w:contextualSpacing/>
              <w:rPr>
                <w:rFonts w:eastAsia="Calibri"/>
                <w:color w:val="000000" w:themeColor="text1"/>
                <w:sz w:val="18"/>
                <w:szCs w:val="18"/>
              </w:rPr>
            </w:pPr>
          </w:p>
        </w:tc>
      </w:tr>
      <w:tr w:rsidR="00451EA5" w:rsidRPr="001F29F9" w:rsidTr="00AD6490">
        <w:trPr>
          <w:trHeight w:val="79"/>
        </w:trPr>
        <w:tc>
          <w:tcPr>
            <w:tcW w:w="2628" w:type="dxa"/>
            <w:vAlign w:val="center"/>
          </w:tcPr>
          <w:p w:rsidR="00451EA5" w:rsidRPr="0087232D" w:rsidRDefault="00451EA5" w:rsidP="00AD6490">
            <w:pPr>
              <w:pStyle w:val="ListParagraph"/>
              <w:spacing w:after="0" w:line="240" w:lineRule="exact"/>
              <w:ind w:left="0"/>
              <w:rPr>
                <w:rFonts w:ascii="Calibri" w:eastAsia="Calibri" w:hAnsi="Calibri" w:cstheme="minorHAnsi"/>
                <w:color w:val="000000" w:themeColor="text1"/>
              </w:rPr>
            </w:pPr>
            <w:r w:rsidRPr="0087232D">
              <w:rPr>
                <w:rFonts w:ascii="Calibri" w:eastAsia="Calibri" w:hAnsi="Calibri" w:cstheme="minorHAnsi"/>
                <w:color w:val="000000" w:themeColor="text1"/>
              </w:rPr>
              <w:t>Abduction</w:t>
            </w:r>
            <w:r w:rsidR="00AD6490">
              <w:rPr>
                <w:rFonts w:ascii="Calibri" w:eastAsia="Calibri" w:hAnsi="Calibri" w:cstheme="minorHAnsi"/>
                <w:color w:val="000000" w:themeColor="text1"/>
              </w:rPr>
              <w:t xml:space="preserve"> (</w:t>
            </w:r>
            <w:r w:rsidR="00AD6490" w:rsidRPr="0087232D">
              <w:rPr>
                <w:rFonts w:ascii="Calibri" w:eastAsia="Calibri" w:hAnsi="Calibri" w:cstheme="minorHAnsi"/>
                <w:color w:val="000000" w:themeColor="text1"/>
              </w:rPr>
              <w:t>18</w:t>
            </w:r>
            <w:r w:rsidR="00AD6490" w:rsidRPr="0087232D">
              <w:rPr>
                <w:rFonts w:eastAsia="Calibri"/>
                <w:color w:val="000000" w:themeColor="text1"/>
              </w:rPr>
              <w:t>0⁰</w:t>
            </w:r>
            <w:r w:rsidR="00AD6490">
              <w:rPr>
                <w:rFonts w:eastAsia="Calibri"/>
                <w:color w:val="000000" w:themeColor="text1"/>
              </w:rPr>
              <w:t xml:space="preserve"> is normal</w:t>
            </w:r>
            <w:r w:rsidR="00AD6490" w:rsidRPr="0087232D">
              <w:rPr>
                <w:rFonts w:ascii="Calibri" w:eastAsia="Calibri" w:hAnsi="Calibri" w:cstheme="minorHAnsi"/>
                <w:color w:val="000000" w:themeColor="text1"/>
              </w:rPr>
              <w:t>)</w:t>
            </w:r>
          </w:p>
        </w:tc>
        <w:tc>
          <w:tcPr>
            <w:tcW w:w="3942" w:type="dxa"/>
            <w:vAlign w:val="center"/>
          </w:tcPr>
          <w:p w:rsidR="00451EA5" w:rsidRPr="0087232D" w:rsidRDefault="00451EA5" w:rsidP="00B71F0C">
            <w:pPr>
              <w:contextualSpacing/>
              <w:rPr>
                <w:rFonts w:eastAsia="Calibri"/>
                <w:color w:val="000000" w:themeColor="text1"/>
                <w:sz w:val="22"/>
                <w:szCs w:val="22"/>
              </w:rPr>
            </w:pPr>
            <w:r w:rsidRPr="0087232D">
              <w:rPr>
                <w:rFonts w:eastAsia="Calibri"/>
                <w:color w:val="000000" w:themeColor="text1"/>
                <w:sz w:val="22"/>
                <w:szCs w:val="22"/>
              </w:rPr>
              <w:t>140⁰</w:t>
            </w:r>
          </w:p>
        </w:tc>
        <w:tc>
          <w:tcPr>
            <w:tcW w:w="244" w:type="dxa"/>
            <w:vAlign w:val="center"/>
          </w:tcPr>
          <w:p w:rsidR="00451EA5" w:rsidRPr="001F29F9" w:rsidRDefault="00451EA5" w:rsidP="00B71F0C">
            <w:pPr>
              <w:contextualSpacing/>
              <w:rPr>
                <w:rFonts w:eastAsia="Calibri"/>
                <w:color w:val="000000" w:themeColor="text1"/>
                <w:sz w:val="18"/>
                <w:szCs w:val="18"/>
              </w:rPr>
            </w:pPr>
          </w:p>
        </w:tc>
      </w:tr>
      <w:tr w:rsidR="00451EA5" w:rsidRPr="001F29F9" w:rsidTr="00AD6490">
        <w:tc>
          <w:tcPr>
            <w:tcW w:w="2628" w:type="dxa"/>
            <w:vAlign w:val="center"/>
          </w:tcPr>
          <w:p w:rsidR="00451EA5" w:rsidRPr="0087232D" w:rsidRDefault="00451EA5" w:rsidP="00B71F0C">
            <w:pPr>
              <w:tabs>
                <w:tab w:val="left" w:pos="288"/>
                <w:tab w:val="left" w:pos="4752"/>
              </w:tabs>
              <w:rPr>
                <w:rFonts w:eastAsiaTheme="minorHAnsi"/>
                <w:color w:val="000000" w:themeColor="text1"/>
                <w:sz w:val="22"/>
                <w:szCs w:val="22"/>
              </w:rPr>
            </w:pPr>
            <w:r w:rsidRPr="0087232D">
              <w:rPr>
                <w:rFonts w:eastAsiaTheme="minorHAnsi"/>
                <w:color w:val="000000" w:themeColor="text1"/>
                <w:sz w:val="22"/>
                <w:szCs w:val="22"/>
              </w:rPr>
              <w:t>§4.71a Rating</w:t>
            </w:r>
          </w:p>
        </w:tc>
        <w:tc>
          <w:tcPr>
            <w:tcW w:w="3942" w:type="dxa"/>
            <w:vAlign w:val="center"/>
          </w:tcPr>
          <w:p w:rsidR="00451EA5" w:rsidRPr="0087232D" w:rsidRDefault="00D602C7" w:rsidP="00B71F0C">
            <w:pPr>
              <w:tabs>
                <w:tab w:val="left" w:pos="288"/>
                <w:tab w:val="left" w:pos="4752"/>
              </w:tabs>
              <w:rPr>
                <w:rFonts w:eastAsiaTheme="minorHAnsi"/>
                <w:color w:val="000000" w:themeColor="text1"/>
                <w:sz w:val="22"/>
                <w:szCs w:val="22"/>
              </w:rPr>
            </w:pPr>
            <w:r>
              <w:rPr>
                <w:rFonts w:eastAsiaTheme="minorHAnsi"/>
                <w:color w:val="000000" w:themeColor="text1"/>
                <w:sz w:val="22"/>
                <w:szCs w:val="22"/>
              </w:rPr>
              <w:t>1</w:t>
            </w:r>
            <w:r w:rsidR="00451EA5" w:rsidRPr="0087232D">
              <w:rPr>
                <w:rFonts w:eastAsiaTheme="minorHAnsi"/>
                <w:color w:val="000000" w:themeColor="text1"/>
                <w:sz w:val="22"/>
                <w:szCs w:val="22"/>
              </w:rPr>
              <w:t>0%</w:t>
            </w:r>
            <w:r>
              <w:rPr>
                <w:rFonts w:eastAsiaTheme="minorHAnsi"/>
                <w:color w:val="000000" w:themeColor="text1"/>
                <w:sz w:val="22"/>
                <w:szCs w:val="22"/>
              </w:rPr>
              <w:t>*</w:t>
            </w:r>
          </w:p>
        </w:tc>
        <w:tc>
          <w:tcPr>
            <w:tcW w:w="244" w:type="dxa"/>
            <w:vAlign w:val="center"/>
          </w:tcPr>
          <w:p w:rsidR="00451EA5" w:rsidRPr="001F29F9" w:rsidRDefault="00451EA5" w:rsidP="00B71F0C">
            <w:pPr>
              <w:tabs>
                <w:tab w:val="left" w:pos="288"/>
                <w:tab w:val="left" w:pos="4752"/>
              </w:tabs>
              <w:rPr>
                <w:rFonts w:eastAsiaTheme="minorHAnsi"/>
                <w:color w:val="000000" w:themeColor="text1"/>
                <w:sz w:val="18"/>
                <w:szCs w:val="18"/>
              </w:rPr>
            </w:pPr>
          </w:p>
        </w:tc>
      </w:tr>
      <w:tr w:rsidR="00451EA5" w:rsidRPr="001F29F9" w:rsidTr="00AD6490">
        <w:tc>
          <w:tcPr>
            <w:tcW w:w="2628" w:type="dxa"/>
            <w:vAlign w:val="center"/>
          </w:tcPr>
          <w:p w:rsidR="00451EA5" w:rsidRPr="0087232D" w:rsidRDefault="00451EA5" w:rsidP="00B71F0C">
            <w:pPr>
              <w:tabs>
                <w:tab w:val="left" w:pos="288"/>
                <w:tab w:val="left" w:pos="4752"/>
              </w:tabs>
              <w:rPr>
                <w:rFonts w:eastAsiaTheme="minorHAnsi"/>
                <w:color w:val="000000" w:themeColor="text1"/>
                <w:sz w:val="22"/>
                <w:szCs w:val="22"/>
              </w:rPr>
            </w:pPr>
            <w:r w:rsidRPr="0087232D">
              <w:rPr>
                <w:rFonts w:eastAsiaTheme="minorHAnsi"/>
                <w:color w:val="000000" w:themeColor="text1"/>
                <w:sz w:val="22"/>
                <w:szCs w:val="22"/>
              </w:rPr>
              <w:t>Comment</w:t>
            </w:r>
          </w:p>
        </w:tc>
        <w:tc>
          <w:tcPr>
            <w:tcW w:w="3942" w:type="dxa"/>
          </w:tcPr>
          <w:p w:rsidR="00451EA5" w:rsidRPr="0087232D" w:rsidRDefault="00451EA5" w:rsidP="00D602C7">
            <w:pPr>
              <w:tabs>
                <w:tab w:val="left" w:pos="288"/>
                <w:tab w:val="left" w:pos="4752"/>
              </w:tabs>
              <w:rPr>
                <w:rFonts w:eastAsiaTheme="minorHAnsi"/>
                <w:color w:val="000000" w:themeColor="text1"/>
                <w:sz w:val="22"/>
                <w:szCs w:val="22"/>
              </w:rPr>
            </w:pPr>
            <w:r w:rsidRPr="0087232D">
              <w:rPr>
                <w:rFonts w:eastAsiaTheme="minorHAnsi"/>
                <w:color w:val="000000" w:themeColor="text1"/>
                <w:sz w:val="22"/>
                <w:szCs w:val="22"/>
              </w:rPr>
              <w:t xml:space="preserve">pain at </w:t>
            </w:r>
            <w:r w:rsidR="00D602C7">
              <w:rPr>
                <w:rFonts w:eastAsiaTheme="minorHAnsi"/>
                <w:color w:val="000000" w:themeColor="text1"/>
                <w:sz w:val="22"/>
                <w:szCs w:val="22"/>
              </w:rPr>
              <w:t xml:space="preserve">the </w:t>
            </w:r>
            <w:r w:rsidRPr="0087232D">
              <w:rPr>
                <w:rFonts w:eastAsiaTheme="minorHAnsi"/>
                <w:color w:val="000000" w:themeColor="text1"/>
                <w:sz w:val="22"/>
                <w:szCs w:val="22"/>
              </w:rPr>
              <w:t>end of ROM</w:t>
            </w:r>
            <w:r w:rsidR="00D602C7">
              <w:rPr>
                <w:rFonts w:eastAsiaTheme="minorHAnsi"/>
                <w:color w:val="000000" w:themeColor="text1"/>
                <w:sz w:val="22"/>
                <w:szCs w:val="22"/>
              </w:rPr>
              <w:t xml:space="preserve"> (</w:t>
            </w:r>
            <w:r w:rsidR="00D602C7" w:rsidRPr="0087232D">
              <w:rPr>
                <w:rFonts w:eastAsia="Calibri"/>
                <w:color w:val="000000" w:themeColor="text1"/>
                <w:sz w:val="22"/>
                <w:szCs w:val="22"/>
              </w:rPr>
              <w:t>140⁰</w:t>
            </w:r>
            <w:r w:rsidR="00D602C7">
              <w:rPr>
                <w:rFonts w:eastAsia="Calibri"/>
                <w:color w:val="000000" w:themeColor="text1"/>
                <w:sz w:val="22"/>
                <w:szCs w:val="22"/>
              </w:rPr>
              <w:t>)</w:t>
            </w:r>
          </w:p>
        </w:tc>
        <w:tc>
          <w:tcPr>
            <w:tcW w:w="244" w:type="dxa"/>
          </w:tcPr>
          <w:p w:rsidR="00451EA5" w:rsidRPr="001F29F9" w:rsidRDefault="00451EA5" w:rsidP="00B71F0C">
            <w:pPr>
              <w:tabs>
                <w:tab w:val="left" w:pos="288"/>
                <w:tab w:val="left" w:pos="4752"/>
              </w:tabs>
              <w:rPr>
                <w:rFonts w:eastAsiaTheme="minorHAnsi"/>
                <w:color w:val="000000" w:themeColor="text1"/>
                <w:sz w:val="18"/>
                <w:szCs w:val="18"/>
              </w:rPr>
            </w:pPr>
          </w:p>
        </w:tc>
      </w:tr>
    </w:tbl>
    <w:p w:rsidR="00451EA5" w:rsidRPr="003C53E8" w:rsidRDefault="00451EA5" w:rsidP="00451EA5">
      <w:pPr>
        <w:tabs>
          <w:tab w:val="left" w:pos="288"/>
          <w:tab w:val="left" w:pos="4752"/>
        </w:tabs>
        <w:rPr>
          <w:rFonts w:asciiTheme="minorHAnsi" w:hAnsiTheme="minorHAnsi" w:cs="Times New Roman"/>
          <w:color w:val="auto"/>
          <w:szCs w:val="24"/>
        </w:rPr>
      </w:pPr>
    </w:p>
    <w:p w:rsidR="00451EA5" w:rsidRDefault="00451EA5" w:rsidP="00451EA5">
      <w:pPr>
        <w:tabs>
          <w:tab w:val="left" w:pos="288"/>
          <w:tab w:val="left" w:pos="4752"/>
        </w:tabs>
        <w:rPr>
          <w:rFonts w:cs="Times New Roman"/>
          <w:color w:val="auto"/>
          <w:sz w:val="18"/>
          <w:szCs w:val="24"/>
        </w:rPr>
      </w:pPr>
    </w:p>
    <w:p w:rsidR="00451EA5" w:rsidRDefault="00451EA5" w:rsidP="00451EA5">
      <w:pPr>
        <w:tabs>
          <w:tab w:val="left" w:pos="288"/>
          <w:tab w:val="left" w:pos="4752"/>
        </w:tabs>
        <w:rPr>
          <w:rFonts w:cs="Times New Roman"/>
          <w:color w:val="auto"/>
          <w:sz w:val="18"/>
          <w:szCs w:val="24"/>
        </w:rPr>
      </w:pPr>
    </w:p>
    <w:p w:rsidR="00451EA5" w:rsidRDefault="00451EA5" w:rsidP="00451EA5">
      <w:pPr>
        <w:tabs>
          <w:tab w:val="left" w:pos="288"/>
          <w:tab w:val="left" w:pos="4752"/>
        </w:tabs>
        <w:rPr>
          <w:rFonts w:asciiTheme="minorHAnsi" w:hAnsiTheme="minorHAnsi" w:cs="Times New Roman"/>
          <w:color w:val="auto"/>
          <w:sz w:val="18"/>
          <w:szCs w:val="24"/>
        </w:rPr>
      </w:pPr>
    </w:p>
    <w:p w:rsidR="00451EA5" w:rsidRDefault="00451EA5" w:rsidP="00451EA5">
      <w:pPr>
        <w:tabs>
          <w:tab w:val="left" w:pos="288"/>
          <w:tab w:val="left" w:pos="4752"/>
        </w:tabs>
        <w:rPr>
          <w:rFonts w:asciiTheme="minorHAnsi" w:hAnsiTheme="minorHAnsi" w:cs="Times New Roman"/>
          <w:color w:val="auto"/>
          <w:sz w:val="18"/>
          <w:szCs w:val="24"/>
        </w:rPr>
      </w:pPr>
    </w:p>
    <w:p w:rsidR="00451EA5" w:rsidRDefault="00451EA5" w:rsidP="00451EA5">
      <w:pPr>
        <w:tabs>
          <w:tab w:val="left" w:pos="288"/>
          <w:tab w:val="left" w:pos="4752"/>
        </w:tabs>
        <w:rPr>
          <w:rFonts w:asciiTheme="minorHAnsi" w:hAnsiTheme="minorHAnsi" w:cs="Times New Roman"/>
          <w:color w:val="auto"/>
          <w:sz w:val="18"/>
          <w:szCs w:val="24"/>
        </w:rPr>
      </w:pPr>
    </w:p>
    <w:p w:rsidR="00451EA5" w:rsidRDefault="00AD1843" w:rsidP="00AD1843">
      <w:pPr>
        <w:tabs>
          <w:tab w:val="left" w:pos="288"/>
          <w:tab w:val="left" w:pos="4752"/>
        </w:tabs>
        <w:jc w:val="left"/>
        <w:rPr>
          <w:color w:val="auto"/>
          <w:szCs w:val="24"/>
        </w:rPr>
      </w:pPr>
      <w:r>
        <w:rPr>
          <w:rFonts w:asciiTheme="minorHAnsi" w:hAnsiTheme="minorHAnsi"/>
          <w:color w:val="auto"/>
          <w:sz w:val="16"/>
          <w:szCs w:val="16"/>
        </w:rPr>
        <w:tab/>
      </w:r>
    </w:p>
    <w:p w:rsidR="00AD1843" w:rsidRDefault="00AD1843" w:rsidP="00AD1843">
      <w:pPr>
        <w:tabs>
          <w:tab w:val="left" w:pos="288"/>
          <w:tab w:val="left" w:pos="4752"/>
        </w:tabs>
        <w:jc w:val="left"/>
        <w:rPr>
          <w:rFonts w:asciiTheme="minorHAnsi" w:hAnsiTheme="minorHAnsi" w:cs="Times New Roman"/>
          <w:color w:val="auto"/>
          <w:szCs w:val="24"/>
        </w:rPr>
      </w:pPr>
      <w:r>
        <w:rPr>
          <w:rFonts w:cs="Calibri"/>
          <w:color w:val="auto"/>
          <w:szCs w:val="24"/>
        </w:rPr>
        <w:tab/>
        <w:t xml:space="preserve">                  </w:t>
      </w:r>
      <w:r w:rsidRPr="009E61F4">
        <w:rPr>
          <w:rFonts w:asciiTheme="minorHAnsi" w:hAnsiTheme="minorHAnsi"/>
          <w:color w:val="auto"/>
          <w:sz w:val="16"/>
          <w:szCs w:val="16"/>
        </w:rPr>
        <w:t xml:space="preserve">*10% based on </w:t>
      </w:r>
      <w:r w:rsidRPr="009E61F4">
        <w:rPr>
          <w:rFonts w:asciiTheme="minorHAnsi" w:eastAsiaTheme="minorHAnsi" w:hAnsiTheme="minorHAnsi"/>
          <w:color w:val="auto"/>
          <w:sz w:val="16"/>
          <w:szCs w:val="16"/>
        </w:rPr>
        <w:t>§4.40 (Functional loss), §4.45 (The joints), and §4.59 (Painful motion)</w:t>
      </w:r>
    </w:p>
    <w:p w:rsidR="00AD1843" w:rsidRDefault="00AD1843" w:rsidP="00AD1843">
      <w:pPr>
        <w:jc w:val="both"/>
        <w:rPr>
          <w:color w:val="auto"/>
          <w:szCs w:val="24"/>
        </w:rPr>
      </w:pPr>
    </w:p>
    <w:p w:rsidR="008C5607" w:rsidRPr="00440CBC" w:rsidRDefault="004657B5" w:rsidP="00A02179">
      <w:pPr>
        <w:jc w:val="both"/>
        <w:rPr>
          <w:color w:val="auto"/>
          <w:szCs w:val="24"/>
        </w:rPr>
      </w:pPr>
      <w:r>
        <w:rPr>
          <w:rFonts w:cs="Calibri"/>
          <w:color w:val="auto"/>
          <w:szCs w:val="24"/>
        </w:rPr>
        <w:t>Based on ROM alone, the right</w:t>
      </w:r>
      <w:r w:rsidR="008C5607" w:rsidRPr="00440CBC">
        <w:rPr>
          <w:rFonts w:cs="Calibri"/>
          <w:color w:val="auto"/>
          <w:szCs w:val="24"/>
        </w:rPr>
        <w:t xml:space="preserve"> shoulder </w:t>
      </w:r>
      <w:r w:rsidR="00C14FAF">
        <w:rPr>
          <w:rFonts w:cs="Calibri"/>
          <w:color w:val="auto"/>
          <w:szCs w:val="24"/>
        </w:rPr>
        <w:t>is</w:t>
      </w:r>
      <w:r w:rsidR="008C5607" w:rsidRPr="00440CBC">
        <w:rPr>
          <w:rFonts w:cs="Calibri"/>
          <w:color w:val="auto"/>
          <w:szCs w:val="24"/>
        </w:rPr>
        <w:t xml:space="preserve"> essentially non-compensable, using VASRD shoulder and arm codes (5200 to 5203).  However, </w:t>
      </w:r>
      <w:r w:rsidR="00C14FAF">
        <w:rPr>
          <w:rFonts w:cs="Calibri"/>
          <w:color w:val="auto"/>
          <w:szCs w:val="24"/>
        </w:rPr>
        <w:t xml:space="preserve">IAW </w:t>
      </w:r>
      <w:r w:rsidR="008C5607" w:rsidRPr="00440CBC">
        <w:rPr>
          <w:rFonts w:cs="Calibri"/>
          <w:color w:val="auto"/>
          <w:szCs w:val="24"/>
        </w:rPr>
        <w:t>§4.40</w:t>
      </w:r>
      <w:r w:rsidR="00C14FAF">
        <w:rPr>
          <w:rFonts w:cs="Calibri"/>
          <w:color w:val="auto"/>
          <w:szCs w:val="24"/>
        </w:rPr>
        <w:t xml:space="preserve">, </w:t>
      </w:r>
      <w:r w:rsidR="00C14FAF" w:rsidRPr="00440CBC">
        <w:rPr>
          <w:rFonts w:cs="Calibri"/>
          <w:color w:val="auto"/>
          <w:szCs w:val="24"/>
        </w:rPr>
        <w:t>§4.4</w:t>
      </w:r>
      <w:r w:rsidR="00C14FAF">
        <w:rPr>
          <w:rFonts w:cs="Calibri"/>
          <w:color w:val="auto"/>
          <w:szCs w:val="24"/>
        </w:rPr>
        <w:t>5,</w:t>
      </w:r>
      <w:r w:rsidR="008C5607" w:rsidRPr="00440CBC">
        <w:rPr>
          <w:rFonts w:cs="Calibri"/>
          <w:color w:val="auto"/>
          <w:szCs w:val="24"/>
        </w:rPr>
        <w:t xml:space="preserve"> and §4.59</w:t>
      </w:r>
      <w:r w:rsidR="00C14FAF">
        <w:rPr>
          <w:rFonts w:cs="Calibri"/>
          <w:color w:val="auto"/>
          <w:szCs w:val="24"/>
        </w:rPr>
        <w:t xml:space="preserve">: a rating of 10% is warranted when there is sufficient evidence of functional loss due to painful motion of a major joint.  </w:t>
      </w:r>
      <w:r w:rsidR="008C5607" w:rsidRPr="00440CBC">
        <w:rPr>
          <w:rFonts w:cs="Calibri"/>
          <w:color w:val="auto"/>
          <w:szCs w:val="24"/>
        </w:rPr>
        <w:t>After due deliberation, considering all of the evidence</w:t>
      </w:r>
      <w:r w:rsidR="00C34625">
        <w:rPr>
          <w:rFonts w:cs="Calibri"/>
          <w:color w:val="auto"/>
          <w:szCs w:val="24"/>
        </w:rPr>
        <w:t>,</w:t>
      </w:r>
      <w:r w:rsidR="008C5607" w:rsidRPr="00440CBC">
        <w:rPr>
          <w:rFonts w:cs="Calibri"/>
          <w:color w:val="auto"/>
          <w:szCs w:val="24"/>
        </w:rPr>
        <w:t xml:space="preserve"> and mindful of VASRD §4.3 (reasonable doubt), the Board unanimously recommends a s</w:t>
      </w:r>
      <w:r w:rsidR="00640711">
        <w:rPr>
          <w:rFonts w:cs="Calibri"/>
          <w:color w:val="auto"/>
          <w:szCs w:val="24"/>
        </w:rPr>
        <w:t>eparation rating of 10% for right</w:t>
      </w:r>
      <w:r w:rsidR="008C5607" w:rsidRPr="00440CBC">
        <w:rPr>
          <w:rFonts w:cs="Calibri"/>
          <w:color w:val="auto"/>
          <w:szCs w:val="24"/>
        </w:rPr>
        <w:t xml:space="preserve"> shoulder pain</w:t>
      </w:r>
      <w:r w:rsidR="00C14FAF">
        <w:rPr>
          <w:rFonts w:cs="Calibri"/>
          <w:color w:val="auto"/>
          <w:szCs w:val="24"/>
        </w:rPr>
        <w:t xml:space="preserve">, </w:t>
      </w:r>
      <w:r w:rsidR="00D65F7A" w:rsidRPr="00440CBC">
        <w:rPr>
          <w:rFonts w:cs="Calibri"/>
          <w:color w:val="auto"/>
          <w:szCs w:val="24"/>
        </w:rPr>
        <w:t>appropri</w:t>
      </w:r>
      <w:r w:rsidR="00D8007D">
        <w:rPr>
          <w:rFonts w:cs="Calibri"/>
          <w:color w:val="auto"/>
          <w:szCs w:val="24"/>
        </w:rPr>
        <w:t>ately coded 5099-5021</w:t>
      </w:r>
      <w:r>
        <w:rPr>
          <w:rFonts w:cs="Calibri"/>
          <w:color w:val="auto"/>
          <w:szCs w:val="24"/>
        </w:rPr>
        <w:t>.</w:t>
      </w:r>
      <w:r w:rsidR="008C5607" w:rsidRPr="004125EB">
        <w:rPr>
          <w:rFonts w:cs="Calibri"/>
          <w:color w:val="auto"/>
          <w:szCs w:val="24"/>
        </w:rPr>
        <w:t xml:space="preserve">  </w:t>
      </w:r>
    </w:p>
    <w:p w:rsidR="00440CBC" w:rsidRDefault="00440CBC" w:rsidP="00A02179">
      <w:pPr>
        <w:tabs>
          <w:tab w:val="left" w:pos="288"/>
          <w:tab w:val="left" w:pos="4752"/>
        </w:tabs>
        <w:jc w:val="both"/>
        <w:rPr>
          <w:rFonts w:eastAsia="Calibri" w:cs="Calibri"/>
          <w:color w:val="auto"/>
          <w:szCs w:val="24"/>
          <w:highlight w:val="yellow"/>
        </w:rPr>
      </w:pPr>
    </w:p>
    <w:p w:rsidR="00451EA5" w:rsidRPr="009560AD" w:rsidRDefault="004657B5" w:rsidP="009560AD">
      <w:pPr>
        <w:tabs>
          <w:tab w:val="left" w:pos="288"/>
          <w:tab w:val="left" w:pos="4752"/>
        </w:tabs>
        <w:jc w:val="both"/>
        <w:rPr>
          <w:rFonts w:eastAsia="Calibri" w:cs="Calibri"/>
          <w:color w:val="auto"/>
          <w:szCs w:val="24"/>
        </w:rPr>
      </w:pPr>
      <w:proofErr w:type="gramStart"/>
      <w:r>
        <w:rPr>
          <w:rFonts w:eastAsia="Calibri" w:cs="Calibri"/>
          <w:color w:val="auto"/>
          <w:szCs w:val="24"/>
          <w:u w:val="single"/>
        </w:rPr>
        <w:t>Right Neck Pain</w:t>
      </w:r>
      <w:r w:rsidR="00440CBC" w:rsidRPr="00440CBC">
        <w:rPr>
          <w:rFonts w:eastAsia="Calibri" w:cs="Calibri"/>
          <w:color w:val="auto"/>
          <w:szCs w:val="24"/>
        </w:rPr>
        <w:t>.</w:t>
      </w:r>
      <w:proofErr w:type="gramEnd"/>
      <w:r w:rsidR="00C14FAF">
        <w:rPr>
          <w:rFonts w:eastAsia="Calibri" w:cs="Calibri"/>
          <w:color w:val="auto"/>
          <w:szCs w:val="24"/>
        </w:rPr>
        <w:t xml:space="preserve">  In like manner, the Board then considered the issue of right neck pain.</w:t>
      </w:r>
      <w:r w:rsidR="003423AA">
        <w:rPr>
          <w:rFonts w:eastAsia="Calibri" w:cs="Calibri"/>
          <w:color w:val="auto"/>
          <w:szCs w:val="24"/>
        </w:rPr>
        <w:t xml:space="preserve">  At her September 2001 MEB exam, she had full ROM of her neck.</w:t>
      </w:r>
      <w:r w:rsidR="009560AD">
        <w:rPr>
          <w:rFonts w:eastAsia="Calibri" w:cs="Calibri"/>
          <w:color w:val="auto"/>
          <w:szCs w:val="24"/>
        </w:rPr>
        <w:t xml:space="preserve">  </w:t>
      </w:r>
      <w:r w:rsidR="006874B0">
        <w:rPr>
          <w:rFonts w:eastAsia="Calibri" w:cs="Calibri"/>
          <w:color w:val="auto"/>
          <w:szCs w:val="24"/>
        </w:rPr>
        <w:t xml:space="preserve">Magnetic resonance imaging (MRI) of the neck showed some degenerative </w:t>
      </w:r>
      <w:proofErr w:type="spellStart"/>
      <w:r w:rsidR="006874B0">
        <w:rPr>
          <w:rFonts w:eastAsia="Calibri" w:cs="Calibri"/>
          <w:color w:val="auto"/>
          <w:szCs w:val="24"/>
        </w:rPr>
        <w:t>spondylitic</w:t>
      </w:r>
      <w:proofErr w:type="spellEnd"/>
      <w:r w:rsidR="006874B0">
        <w:rPr>
          <w:rFonts w:eastAsia="Calibri" w:cs="Calibri"/>
          <w:color w:val="auto"/>
          <w:szCs w:val="24"/>
        </w:rPr>
        <w:t xml:space="preserve"> changes.  At her February 2002</w:t>
      </w:r>
      <w:r w:rsidR="009560AD">
        <w:rPr>
          <w:rFonts w:eastAsia="Calibri" w:cs="Calibri"/>
          <w:color w:val="auto"/>
          <w:szCs w:val="24"/>
        </w:rPr>
        <w:t xml:space="preserve"> C&amp;P exam, </w:t>
      </w:r>
      <w:r w:rsidR="00363CDB">
        <w:rPr>
          <w:rFonts w:eastAsia="Calibri" w:cs="Calibri"/>
          <w:color w:val="auto"/>
          <w:szCs w:val="24"/>
        </w:rPr>
        <w:t>there was</w:t>
      </w:r>
      <w:r w:rsidR="009560AD">
        <w:rPr>
          <w:rFonts w:eastAsia="Calibri" w:cs="Calibri"/>
          <w:color w:val="auto"/>
          <w:szCs w:val="24"/>
        </w:rPr>
        <w:t xml:space="preserve"> some limitation of neck motion.  The </w:t>
      </w:r>
      <w:r w:rsidR="006874B0">
        <w:rPr>
          <w:rFonts w:eastAsia="Calibri" w:cs="Calibri"/>
          <w:color w:val="auto"/>
          <w:szCs w:val="24"/>
        </w:rPr>
        <w:t xml:space="preserve">ROM </w:t>
      </w:r>
      <w:r w:rsidR="009560AD">
        <w:rPr>
          <w:rFonts w:eastAsia="Calibri" w:cs="Calibri"/>
          <w:color w:val="auto"/>
          <w:szCs w:val="24"/>
        </w:rPr>
        <w:t xml:space="preserve">measurements from </w:t>
      </w:r>
      <w:r w:rsidR="006874B0">
        <w:rPr>
          <w:rFonts w:eastAsia="Calibri" w:cs="Calibri"/>
          <w:color w:val="auto"/>
          <w:szCs w:val="24"/>
        </w:rPr>
        <w:t xml:space="preserve">that </w:t>
      </w:r>
      <w:r w:rsidR="009560AD">
        <w:rPr>
          <w:rFonts w:eastAsia="Calibri" w:cs="Calibri"/>
          <w:color w:val="auto"/>
          <w:szCs w:val="24"/>
        </w:rPr>
        <w:t xml:space="preserve">February 2002 </w:t>
      </w:r>
      <w:r w:rsidR="006874B0">
        <w:rPr>
          <w:rFonts w:eastAsia="Calibri" w:cs="Calibri"/>
          <w:color w:val="auto"/>
          <w:szCs w:val="24"/>
        </w:rPr>
        <w:t xml:space="preserve">exam </w:t>
      </w:r>
      <w:r w:rsidR="009560AD">
        <w:rPr>
          <w:rFonts w:eastAsia="Calibri" w:cs="Calibri"/>
          <w:color w:val="auto"/>
          <w:szCs w:val="24"/>
        </w:rPr>
        <w:t>are summarized below.</w:t>
      </w:r>
      <w:r w:rsidR="003423AA">
        <w:rPr>
          <w:rFonts w:eastAsia="Calibri" w:cs="Calibri"/>
          <w:color w:val="auto"/>
          <w:szCs w:val="24"/>
        </w:rPr>
        <w:t xml:space="preserve">  </w:t>
      </w:r>
      <w:r w:rsidR="00C14FAF">
        <w:rPr>
          <w:rFonts w:eastAsia="Calibri" w:cs="Calibri"/>
          <w:color w:val="auto"/>
          <w:szCs w:val="24"/>
        </w:rPr>
        <w:t xml:space="preserve">  </w:t>
      </w:r>
      <w:r w:rsidR="00440CBC" w:rsidRPr="00440CBC">
        <w:rPr>
          <w:rFonts w:eastAsia="Calibri" w:cs="Calibri"/>
          <w:color w:val="auto"/>
          <w:szCs w:val="24"/>
        </w:rPr>
        <w:t xml:space="preserve">  </w:t>
      </w:r>
    </w:p>
    <w:p w:rsidR="00451EA5" w:rsidRDefault="00451EA5" w:rsidP="00451EA5">
      <w:pPr>
        <w:tabs>
          <w:tab w:val="left" w:pos="288"/>
          <w:tab w:val="left" w:pos="4752"/>
        </w:tabs>
        <w:rPr>
          <w:rFonts w:asciiTheme="minorHAnsi" w:hAnsiTheme="minorHAnsi" w:cs="Times New Roman"/>
          <w:color w:val="auto"/>
          <w:szCs w:val="24"/>
        </w:rPr>
      </w:pPr>
    </w:p>
    <w:tbl>
      <w:tblPr>
        <w:tblW w:w="6210" w:type="dxa"/>
        <w:tblInd w:w="1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8"/>
        <w:gridCol w:w="3272"/>
        <w:gridCol w:w="270"/>
      </w:tblGrid>
      <w:tr w:rsidR="00451EA5" w:rsidRPr="00F81C35" w:rsidTr="009560AD">
        <w:tc>
          <w:tcPr>
            <w:tcW w:w="2668" w:type="dxa"/>
            <w:shd w:val="clear" w:color="auto" w:fill="D9D9D9" w:themeFill="background1" w:themeFillShade="D9"/>
          </w:tcPr>
          <w:p w:rsidR="00451EA5" w:rsidRPr="0087232D" w:rsidRDefault="00451EA5" w:rsidP="00B71F0C">
            <w:pPr>
              <w:contextualSpacing/>
              <w:rPr>
                <w:rFonts w:eastAsia="Calibri"/>
                <w:color w:val="000000" w:themeColor="text1"/>
                <w:sz w:val="22"/>
                <w:szCs w:val="22"/>
              </w:rPr>
            </w:pPr>
            <w:r w:rsidRPr="0087232D">
              <w:rPr>
                <w:rFonts w:eastAsia="Calibri"/>
                <w:color w:val="000000" w:themeColor="text1"/>
                <w:sz w:val="22"/>
                <w:szCs w:val="22"/>
              </w:rPr>
              <w:t>Cervical Spine</w:t>
            </w:r>
          </w:p>
        </w:tc>
        <w:tc>
          <w:tcPr>
            <w:tcW w:w="3542" w:type="dxa"/>
            <w:gridSpan w:val="2"/>
            <w:shd w:val="clear" w:color="auto" w:fill="D9D9D9" w:themeFill="background1" w:themeFillShade="D9"/>
          </w:tcPr>
          <w:p w:rsidR="00451EA5" w:rsidRPr="0087232D" w:rsidRDefault="00451EA5" w:rsidP="00B71F0C">
            <w:pPr>
              <w:contextualSpacing/>
              <w:rPr>
                <w:rFonts w:eastAsia="Calibri"/>
                <w:color w:val="000000" w:themeColor="text1"/>
                <w:sz w:val="22"/>
                <w:szCs w:val="22"/>
              </w:rPr>
            </w:pPr>
            <w:r w:rsidRPr="0087232D">
              <w:rPr>
                <w:rFonts w:eastAsia="Calibri"/>
                <w:color w:val="000000" w:themeColor="text1"/>
                <w:sz w:val="22"/>
                <w:szCs w:val="22"/>
              </w:rPr>
              <w:t>Separation Date:  20020520</w:t>
            </w:r>
          </w:p>
        </w:tc>
      </w:tr>
      <w:tr w:rsidR="00451EA5" w:rsidRPr="00F81C35" w:rsidTr="009560AD">
        <w:tc>
          <w:tcPr>
            <w:tcW w:w="2668" w:type="dxa"/>
            <w:shd w:val="clear" w:color="auto" w:fill="D9D9D9" w:themeFill="background1" w:themeFillShade="D9"/>
          </w:tcPr>
          <w:p w:rsidR="00451EA5" w:rsidRPr="0087232D" w:rsidRDefault="00451EA5" w:rsidP="00B71F0C">
            <w:pPr>
              <w:contextualSpacing/>
              <w:rPr>
                <w:rFonts w:eastAsia="Calibri"/>
                <w:color w:val="000000" w:themeColor="text1"/>
                <w:sz w:val="22"/>
                <w:szCs w:val="22"/>
              </w:rPr>
            </w:pPr>
            <w:r w:rsidRPr="0087232D">
              <w:rPr>
                <w:rFonts w:eastAsia="Calibri"/>
                <w:color w:val="000000" w:themeColor="text1"/>
                <w:sz w:val="22"/>
                <w:szCs w:val="22"/>
              </w:rPr>
              <w:t>Goniometric ROM</w:t>
            </w:r>
          </w:p>
        </w:tc>
        <w:tc>
          <w:tcPr>
            <w:tcW w:w="3272" w:type="dxa"/>
            <w:shd w:val="clear" w:color="auto" w:fill="D9D9D9" w:themeFill="background1" w:themeFillShade="D9"/>
          </w:tcPr>
          <w:p w:rsidR="00451EA5" w:rsidRPr="0087232D" w:rsidRDefault="003423AA" w:rsidP="003423AA">
            <w:pPr>
              <w:contextualSpacing/>
              <w:rPr>
                <w:rFonts w:eastAsia="Calibri"/>
                <w:color w:val="000000" w:themeColor="text1"/>
                <w:sz w:val="22"/>
                <w:szCs w:val="22"/>
              </w:rPr>
            </w:pPr>
            <w:r w:rsidRPr="0087232D">
              <w:rPr>
                <w:rFonts w:eastAsia="Calibri"/>
                <w:color w:val="000000" w:themeColor="text1"/>
                <w:sz w:val="22"/>
                <w:szCs w:val="22"/>
              </w:rPr>
              <w:t>C&amp;P exam</w:t>
            </w:r>
            <w:r>
              <w:rPr>
                <w:rFonts w:eastAsia="Calibri"/>
                <w:color w:val="000000" w:themeColor="text1"/>
                <w:sz w:val="22"/>
                <w:szCs w:val="22"/>
              </w:rPr>
              <w:t xml:space="preserve"> – </w:t>
            </w:r>
            <w:r w:rsidR="00451EA5">
              <w:rPr>
                <w:rFonts w:eastAsia="Calibri"/>
                <w:color w:val="000000" w:themeColor="text1"/>
                <w:sz w:val="22"/>
                <w:szCs w:val="22"/>
              </w:rPr>
              <w:t>3</w:t>
            </w:r>
            <w:r w:rsidR="00451EA5" w:rsidRPr="0087232D">
              <w:rPr>
                <w:rFonts w:eastAsia="Calibri"/>
                <w:color w:val="000000" w:themeColor="text1"/>
                <w:sz w:val="22"/>
                <w:szCs w:val="22"/>
              </w:rPr>
              <w:t xml:space="preserve"> </w:t>
            </w:r>
            <w:r>
              <w:rPr>
                <w:rFonts w:eastAsia="Calibri"/>
                <w:color w:val="000000" w:themeColor="text1"/>
                <w:sz w:val="22"/>
                <w:szCs w:val="22"/>
              </w:rPr>
              <w:t>mos</w:t>
            </w:r>
            <w:r w:rsidR="00451EA5" w:rsidRPr="0087232D">
              <w:rPr>
                <w:rFonts w:eastAsia="Calibri"/>
                <w:color w:val="000000" w:themeColor="text1"/>
                <w:sz w:val="22"/>
                <w:szCs w:val="22"/>
              </w:rPr>
              <w:t>. Pre-Sep</w:t>
            </w:r>
          </w:p>
        </w:tc>
        <w:tc>
          <w:tcPr>
            <w:tcW w:w="270" w:type="dxa"/>
            <w:shd w:val="clear" w:color="auto" w:fill="D9D9D9" w:themeFill="background1" w:themeFillShade="D9"/>
          </w:tcPr>
          <w:p w:rsidR="00451EA5" w:rsidRPr="00743424" w:rsidRDefault="00451EA5" w:rsidP="00B71F0C">
            <w:pPr>
              <w:contextualSpacing/>
              <w:rPr>
                <w:rFonts w:eastAsia="Calibri"/>
                <w:color w:val="000000" w:themeColor="text1"/>
                <w:sz w:val="18"/>
                <w:szCs w:val="18"/>
              </w:rPr>
            </w:pPr>
          </w:p>
        </w:tc>
      </w:tr>
      <w:tr w:rsidR="00451EA5" w:rsidRPr="00542C9A" w:rsidTr="009560AD">
        <w:tc>
          <w:tcPr>
            <w:tcW w:w="2668" w:type="dxa"/>
          </w:tcPr>
          <w:p w:rsidR="00451EA5" w:rsidRPr="0087232D" w:rsidRDefault="00451EA5" w:rsidP="009560AD">
            <w:pPr>
              <w:contextualSpacing/>
              <w:rPr>
                <w:rFonts w:eastAsia="Calibri"/>
                <w:color w:val="000000" w:themeColor="text1"/>
                <w:sz w:val="22"/>
                <w:szCs w:val="22"/>
              </w:rPr>
            </w:pPr>
            <w:r w:rsidRPr="0087232D">
              <w:rPr>
                <w:rFonts w:eastAsia="Calibri"/>
                <w:color w:val="000000" w:themeColor="text1"/>
                <w:sz w:val="22"/>
                <w:szCs w:val="22"/>
              </w:rPr>
              <w:t xml:space="preserve">Flexion </w:t>
            </w:r>
            <w:r w:rsidR="009560AD">
              <w:rPr>
                <w:rFonts w:eastAsia="Calibri"/>
                <w:color w:val="000000" w:themeColor="text1"/>
                <w:sz w:val="22"/>
                <w:szCs w:val="22"/>
              </w:rPr>
              <w:t>(</w:t>
            </w:r>
            <w:r w:rsidRPr="0087232D">
              <w:rPr>
                <w:rFonts w:eastAsia="Calibri"/>
                <w:color w:val="000000" w:themeColor="text1"/>
                <w:sz w:val="22"/>
                <w:szCs w:val="22"/>
              </w:rPr>
              <w:t>45⁰</w:t>
            </w:r>
            <w:r w:rsidR="009560AD">
              <w:rPr>
                <w:rFonts w:eastAsia="Calibri"/>
                <w:color w:val="000000" w:themeColor="text1"/>
                <w:sz w:val="22"/>
                <w:szCs w:val="22"/>
              </w:rPr>
              <w:t xml:space="preserve"> is</w:t>
            </w:r>
            <w:r w:rsidRPr="0087232D">
              <w:rPr>
                <w:rFonts w:eastAsia="Calibri"/>
                <w:color w:val="000000" w:themeColor="text1"/>
                <w:sz w:val="22"/>
                <w:szCs w:val="22"/>
              </w:rPr>
              <w:t xml:space="preserve"> normal</w:t>
            </w:r>
            <w:r w:rsidR="009560AD">
              <w:rPr>
                <w:rFonts w:eastAsia="Calibri"/>
                <w:color w:val="000000" w:themeColor="text1"/>
                <w:sz w:val="22"/>
                <w:szCs w:val="22"/>
              </w:rPr>
              <w:t>)</w:t>
            </w:r>
          </w:p>
        </w:tc>
        <w:tc>
          <w:tcPr>
            <w:tcW w:w="3272" w:type="dxa"/>
          </w:tcPr>
          <w:p w:rsidR="00451EA5" w:rsidRPr="0087232D" w:rsidRDefault="00451EA5" w:rsidP="00B71F0C">
            <w:pPr>
              <w:contextualSpacing/>
              <w:rPr>
                <w:rFonts w:eastAsia="Calibri"/>
                <w:color w:val="000000" w:themeColor="text1"/>
                <w:sz w:val="22"/>
                <w:szCs w:val="22"/>
              </w:rPr>
            </w:pPr>
            <w:r w:rsidRPr="0087232D">
              <w:rPr>
                <w:rFonts w:eastAsia="Calibri"/>
                <w:color w:val="000000" w:themeColor="text1"/>
                <w:sz w:val="22"/>
                <w:szCs w:val="22"/>
              </w:rPr>
              <w:t>30⁰</w:t>
            </w:r>
          </w:p>
        </w:tc>
        <w:tc>
          <w:tcPr>
            <w:tcW w:w="270" w:type="dxa"/>
          </w:tcPr>
          <w:p w:rsidR="00451EA5" w:rsidRPr="00743424" w:rsidRDefault="00451EA5" w:rsidP="00B71F0C">
            <w:pPr>
              <w:contextualSpacing/>
              <w:rPr>
                <w:rFonts w:eastAsia="Calibri"/>
                <w:color w:val="000000" w:themeColor="text1"/>
                <w:sz w:val="18"/>
                <w:szCs w:val="18"/>
              </w:rPr>
            </w:pPr>
          </w:p>
        </w:tc>
      </w:tr>
      <w:tr w:rsidR="00451EA5" w:rsidRPr="00542C9A" w:rsidTr="009560AD">
        <w:tc>
          <w:tcPr>
            <w:tcW w:w="2668" w:type="dxa"/>
          </w:tcPr>
          <w:p w:rsidR="00451EA5" w:rsidRPr="0087232D" w:rsidRDefault="00451EA5" w:rsidP="00B71F0C">
            <w:pPr>
              <w:contextualSpacing/>
              <w:rPr>
                <w:rFonts w:eastAsia="Calibri"/>
                <w:color w:val="000000" w:themeColor="text1"/>
                <w:sz w:val="22"/>
                <w:szCs w:val="22"/>
              </w:rPr>
            </w:pPr>
            <w:r w:rsidRPr="0087232D">
              <w:rPr>
                <w:rFonts w:eastAsia="Calibri"/>
                <w:color w:val="000000" w:themeColor="text1"/>
                <w:sz w:val="22"/>
                <w:szCs w:val="22"/>
              </w:rPr>
              <w:t xml:space="preserve">Combined </w:t>
            </w:r>
            <w:r w:rsidR="009560AD">
              <w:rPr>
                <w:rFonts w:eastAsia="Calibri"/>
                <w:color w:val="000000" w:themeColor="text1"/>
                <w:sz w:val="22"/>
                <w:szCs w:val="22"/>
              </w:rPr>
              <w:t>(</w:t>
            </w:r>
            <w:r w:rsidRPr="0087232D">
              <w:rPr>
                <w:rFonts w:eastAsia="Calibri"/>
                <w:color w:val="000000" w:themeColor="text1"/>
                <w:sz w:val="22"/>
                <w:szCs w:val="22"/>
              </w:rPr>
              <w:t>340⁰</w:t>
            </w:r>
            <w:r w:rsidR="009560AD">
              <w:rPr>
                <w:rFonts w:eastAsia="Calibri"/>
                <w:color w:val="000000" w:themeColor="text1"/>
                <w:sz w:val="22"/>
                <w:szCs w:val="22"/>
              </w:rPr>
              <w:t xml:space="preserve"> is</w:t>
            </w:r>
            <w:r w:rsidRPr="0087232D">
              <w:rPr>
                <w:rFonts w:eastAsia="Calibri"/>
                <w:color w:val="000000" w:themeColor="text1"/>
                <w:sz w:val="22"/>
                <w:szCs w:val="22"/>
              </w:rPr>
              <w:t xml:space="preserve"> normal</w:t>
            </w:r>
            <w:r w:rsidR="009560AD">
              <w:rPr>
                <w:rFonts w:eastAsia="Calibri"/>
                <w:color w:val="000000" w:themeColor="text1"/>
                <w:sz w:val="22"/>
                <w:szCs w:val="22"/>
              </w:rPr>
              <w:t>)</w:t>
            </w:r>
          </w:p>
        </w:tc>
        <w:tc>
          <w:tcPr>
            <w:tcW w:w="3272" w:type="dxa"/>
          </w:tcPr>
          <w:p w:rsidR="00451EA5" w:rsidRPr="0087232D" w:rsidRDefault="00451EA5" w:rsidP="00B71F0C">
            <w:pPr>
              <w:contextualSpacing/>
              <w:rPr>
                <w:rFonts w:eastAsia="Calibri"/>
                <w:color w:val="000000" w:themeColor="text1"/>
                <w:sz w:val="22"/>
                <w:szCs w:val="22"/>
              </w:rPr>
            </w:pPr>
            <w:r w:rsidRPr="0087232D">
              <w:rPr>
                <w:rFonts w:eastAsia="Calibri"/>
                <w:color w:val="000000" w:themeColor="text1"/>
                <w:sz w:val="22"/>
                <w:szCs w:val="22"/>
              </w:rPr>
              <w:t>245⁰</w:t>
            </w:r>
          </w:p>
        </w:tc>
        <w:tc>
          <w:tcPr>
            <w:tcW w:w="270" w:type="dxa"/>
          </w:tcPr>
          <w:p w:rsidR="00451EA5" w:rsidRPr="00743424" w:rsidRDefault="00451EA5" w:rsidP="00B71F0C">
            <w:pPr>
              <w:contextualSpacing/>
              <w:rPr>
                <w:rFonts w:eastAsia="Calibri"/>
                <w:color w:val="000000" w:themeColor="text1"/>
                <w:sz w:val="18"/>
                <w:szCs w:val="18"/>
              </w:rPr>
            </w:pPr>
          </w:p>
        </w:tc>
      </w:tr>
      <w:tr w:rsidR="00451EA5" w:rsidRPr="00542C9A" w:rsidTr="009560AD">
        <w:tc>
          <w:tcPr>
            <w:tcW w:w="2668" w:type="dxa"/>
          </w:tcPr>
          <w:p w:rsidR="00451EA5" w:rsidRPr="0087232D" w:rsidRDefault="00451EA5" w:rsidP="00B71F0C">
            <w:pPr>
              <w:contextualSpacing/>
              <w:rPr>
                <w:rFonts w:eastAsia="Calibri"/>
                <w:color w:val="000000" w:themeColor="text1"/>
                <w:sz w:val="22"/>
                <w:szCs w:val="22"/>
              </w:rPr>
            </w:pPr>
            <w:r w:rsidRPr="0087232D">
              <w:rPr>
                <w:rFonts w:eastAsia="Calibri"/>
                <w:color w:val="000000" w:themeColor="text1"/>
                <w:sz w:val="22"/>
                <w:szCs w:val="22"/>
              </w:rPr>
              <w:t>Comments</w:t>
            </w:r>
          </w:p>
        </w:tc>
        <w:tc>
          <w:tcPr>
            <w:tcW w:w="3272" w:type="dxa"/>
          </w:tcPr>
          <w:p w:rsidR="00451EA5" w:rsidRPr="0087232D" w:rsidRDefault="00451EA5" w:rsidP="00B71F0C">
            <w:pPr>
              <w:contextualSpacing/>
              <w:rPr>
                <w:rFonts w:eastAsia="Calibri"/>
                <w:color w:val="000000" w:themeColor="text1"/>
                <w:sz w:val="22"/>
                <w:szCs w:val="22"/>
              </w:rPr>
            </w:pPr>
            <w:r w:rsidRPr="0087232D">
              <w:rPr>
                <w:rFonts w:eastAsia="Calibri"/>
                <w:color w:val="000000" w:themeColor="text1"/>
                <w:sz w:val="22"/>
                <w:szCs w:val="22"/>
              </w:rPr>
              <w:t xml:space="preserve">pain at </w:t>
            </w:r>
            <w:r w:rsidR="009560AD">
              <w:rPr>
                <w:rFonts w:eastAsia="Calibri"/>
                <w:color w:val="000000" w:themeColor="text1"/>
                <w:sz w:val="22"/>
                <w:szCs w:val="22"/>
              </w:rPr>
              <w:t>the end of ROM</w:t>
            </w:r>
          </w:p>
        </w:tc>
        <w:tc>
          <w:tcPr>
            <w:tcW w:w="270" w:type="dxa"/>
          </w:tcPr>
          <w:p w:rsidR="00451EA5" w:rsidRPr="00743424" w:rsidRDefault="00451EA5" w:rsidP="00B71F0C">
            <w:pPr>
              <w:contextualSpacing/>
              <w:rPr>
                <w:rFonts w:eastAsia="Calibri"/>
                <w:color w:val="000000" w:themeColor="text1"/>
                <w:sz w:val="18"/>
                <w:szCs w:val="18"/>
              </w:rPr>
            </w:pPr>
          </w:p>
        </w:tc>
      </w:tr>
    </w:tbl>
    <w:p w:rsidR="00451EA5" w:rsidRDefault="00451EA5" w:rsidP="00451EA5">
      <w:pPr>
        <w:tabs>
          <w:tab w:val="left" w:pos="288"/>
          <w:tab w:val="left" w:pos="4752"/>
        </w:tabs>
        <w:jc w:val="left"/>
        <w:rPr>
          <w:rFonts w:asciiTheme="minorHAnsi" w:hAnsiTheme="minorHAnsi" w:cs="Times New Roman"/>
          <w:color w:val="auto"/>
          <w:szCs w:val="24"/>
        </w:rPr>
      </w:pPr>
    </w:p>
    <w:p w:rsidR="00604321" w:rsidRPr="006874B0" w:rsidRDefault="00EC51A7" w:rsidP="006874B0">
      <w:pPr>
        <w:tabs>
          <w:tab w:val="left" w:pos="288"/>
          <w:tab w:val="left" w:pos="4752"/>
        </w:tabs>
        <w:jc w:val="both"/>
        <w:rPr>
          <w:rFonts w:eastAsia="Calibri" w:cs="Calibri"/>
          <w:color w:val="auto"/>
          <w:szCs w:val="24"/>
        </w:rPr>
      </w:pPr>
      <w:r w:rsidRPr="00EC51A7">
        <w:rPr>
          <w:rFonts w:cs="Calibri"/>
          <w:color w:val="auto"/>
          <w:szCs w:val="24"/>
        </w:rPr>
        <w:t xml:space="preserve">The VASRD coding and rating standards for the spine, which were in effect at the time of separation, were modified in September 2002, and then were changed again in </w:t>
      </w:r>
      <w:r w:rsidR="006362D7">
        <w:rPr>
          <w:rFonts w:cs="Calibri"/>
          <w:color w:val="auto"/>
          <w:szCs w:val="24"/>
        </w:rPr>
        <w:t xml:space="preserve">          </w:t>
      </w:r>
      <w:r w:rsidRPr="00EC51A7">
        <w:rPr>
          <w:rFonts w:cs="Calibri"/>
          <w:color w:val="auto"/>
          <w:szCs w:val="24"/>
        </w:rPr>
        <w:t xml:space="preserve">September 2003.  The older standards were subject to the rater’s opinion regarding degree of severity, whereas the current standards specify rating thresholds in actual degrees of ROM impairment.  The Board must comply with the </w:t>
      </w:r>
      <w:proofErr w:type="spellStart"/>
      <w:r w:rsidRPr="00EC51A7">
        <w:rPr>
          <w:rFonts w:cs="Calibri"/>
          <w:color w:val="auto"/>
          <w:szCs w:val="24"/>
        </w:rPr>
        <w:t>DoDI</w:t>
      </w:r>
      <w:proofErr w:type="spellEnd"/>
      <w:r w:rsidRPr="00EC51A7">
        <w:rPr>
          <w:rFonts w:cs="Calibri"/>
          <w:color w:val="auto"/>
          <w:szCs w:val="24"/>
        </w:rPr>
        <w:t xml:space="preserve"> 6040.44 requirement for rating IAW the VASRD in effect at the time of separation from service.  </w:t>
      </w:r>
      <w:r>
        <w:rPr>
          <w:rFonts w:cs="Calibri"/>
          <w:color w:val="auto"/>
          <w:szCs w:val="24"/>
        </w:rPr>
        <w:t>As noted above, t</w:t>
      </w:r>
      <w:r w:rsidRPr="00EC51A7">
        <w:rPr>
          <w:rFonts w:cs="Calibri"/>
          <w:color w:val="auto"/>
          <w:szCs w:val="24"/>
        </w:rPr>
        <w:t xml:space="preserve">he February 2002 </w:t>
      </w:r>
      <w:r>
        <w:rPr>
          <w:rFonts w:cs="Calibri"/>
          <w:color w:val="auto"/>
          <w:szCs w:val="24"/>
        </w:rPr>
        <w:t>C&amp;P</w:t>
      </w:r>
      <w:r w:rsidRPr="00EC51A7">
        <w:rPr>
          <w:rFonts w:cs="Calibri"/>
          <w:color w:val="auto"/>
          <w:szCs w:val="24"/>
        </w:rPr>
        <w:t xml:space="preserve"> goniometric ROM exam had s</w:t>
      </w:r>
      <w:r>
        <w:rPr>
          <w:rFonts w:cs="Calibri"/>
          <w:color w:val="auto"/>
          <w:szCs w:val="24"/>
        </w:rPr>
        <w:t>ome</w:t>
      </w:r>
      <w:r w:rsidRPr="00EC51A7">
        <w:rPr>
          <w:rFonts w:cs="Calibri"/>
          <w:color w:val="auto"/>
          <w:szCs w:val="24"/>
        </w:rPr>
        <w:t xml:space="preserve"> limitation of motion</w:t>
      </w:r>
      <w:r>
        <w:rPr>
          <w:rFonts w:cs="Calibri"/>
          <w:color w:val="auto"/>
          <w:szCs w:val="24"/>
        </w:rPr>
        <w:t xml:space="preserve">.  </w:t>
      </w:r>
      <w:r w:rsidR="003874BC" w:rsidRPr="003874BC">
        <w:rPr>
          <w:color w:val="auto"/>
          <w:szCs w:val="24"/>
        </w:rPr>
        <w:t xml:space="preserve">The Board considered that the values documented </w:t>
      </w:r>
      <w:r w:rsidR="003874BC">
        <w:rPr>
          <w:color w:val="auto"/>
          <w:szCs w:val="24"/>
        </w:rPr>
        <w:t xml:space="preserve">on her C&amp;P exam </w:t>
      </w:r>
      <w:r w:rsidR="003874BC" w:rsidRPr="003874BC">
        <w:rPr>
          <w:color w:val="auto"/>
          <w:szCs w:val="24"/>
        </w:rPr>
        <w:t xml:space="preserve">were derived from reported pain threshold with motion during an exam performed in the context of expressly providing a basis for disability rating; thus </w:t>
      </w:r>
      <w:r>
        <w:rPr>
          <w:color w:val="auto"/>
          <w:szCs w:val="24"/>
        </w:rPr>
        <w:t xml:space="preserve">possibly </w:t>
      </w:r>
      <w:r w:rsidR="003874BC" w:rsidRPr="003874BC">
        <w:rPr>
          <w:color w:val="auto"/>
          <w:szCs w:val="24"/>
        </w:rPr>
        <w:t xml:space="preserve">subject to </w:t>
      </w:r>
      <w:r>
        <w:rPr>
          <w:color w:val="auto"/>
          <w:szCs w:val="24"/>
        </w:rPr>
        <w:t xml:space="preserve">some </w:t>
      </w:r>
      <w:r w:rsidR="003874BC" w:rsidRPr="003874BC">
        <w:rPr>
          <w:color w:val="auto"/>
          <w:szCs w:val="24"/>
        </w:rPr>
        <w:t>loss of objectivity.</w:t>
      </w:r>
      <w:r>
        <w:rPr>
          <w:color w:val="auto"/>
          <w:szCs w:val="24"/>
        </w:rPr>
        <w:t xml:space="preserve">  After due deliberation, t</w:t>
      </w:r>
      <w:r w:rsidR="008C5607" w:rsidRPr="00440CBC">
        <w:rPr>
          <w:rFonts w:eastAsia="Calibri" w:cs="Calibri"/>
          <w:color w:val="auto"/>
          <w:szCs w:val="24"/>
        </w:rPr>
        <w:t xml:space="preserve">he Board unanimously </w:t>
      </w:r>
      <w:r>
        <w:rPr>
          <w:rFonts w:eastAsia="Calibri" w:cs="Calibri"/>
          <w:color w:val="auto"/>
          <w:szCs w:val="24"/>
        </w:rPr>
        <w:t xml:space="preserve">recommends a rating of 10% for right neck pain.  It is appropriately coded </w:t>
      </w:r>
      <w:r w:rsidR="008C5607" w:rsidRPr="00440CBC">
        <w:rPr>
          <w:rFonts w:eastAsia="Calibri" w:cs="Calibri"/>
          <w:color w:val="auto"/>
          <w:szCs w:val="24"/>
        </w:rPr>
        <w:t>5290</w:t>
      </w:r>
      <w:r w:rsidR="00685B66">
        <w:rPr>
          <w:rFonts w:eastAsia="Calibri" w:cs="Calibri"/>
          <w:color w:val="auto"/>
          <w:szCs w:val="24"/>
        </w:rPr>
        <w:t>-5021</w:t>
      </w:r>
      <w:r>
        <w:rPr>
          <w:rFonts w:eastAsia="Calibri" w:cs="Calibri"/>
          <w:color w:val="auto"/>
          <w:szCs w:val="24"/>
        </w:rPr>
        <w:t xml:space="preserve"> and </w:t>
      </w:r>
      <w:r w:rsidR="00882090">
        <w:rPr>
          <w:rFonts w:cs="Calibri"/>
          <w:color w:val="auto"/>
          <w:szCs w:val="24"/>
        </w:rPr>
        <w:t>IAW VASRD 4.71a,</w:t>
      </w:r>
      <w:r w:rsidR="00882090">
        <w:rPr>
          <w:rFonts w:eastAsia="Calibri" w:cs="Calibri"/>
          <w:color w:val="auto"/>
          <w:szCs w:val="24"/>
        </w:rPr>
        <w:t xml:space="preserve"> </w:t>
      </w:r>
      <w:r>
        <w:rPr>
          <w:rFonts w:eastAsia="Calibri" w:cs="Calibri"/>
          <w:color w:val="auto"/>
          <w:szCs w:val="24"/>
        </w:rPr>
        <w:t>meets criteria for the 10% rating level</w:t>
      </w:r>
      <w:r w:rsidR="00D65F7A" w:rsidRPr="00440CBC">
        <w:rPr>
          <w:rFonts w:eastAsia="Calibri" w:cs="Calibri"/>
          <w:color w:val="auto"/>
          <w:szCs w:val="24"/>
        </w:rPr>
        <w:t xml:space="preserve"> (</w:t>
      </w:r>
      <w:r w:rsidR="00882090">
        <w:rPr>
          <w:rFonts w:eastAsia="Calibri" w:cs="Calibri"/>
          <w:color w:val="auto"/>
          <w:szCs w:val="24"/>
        </w:rPr>
        <w:t xml:space="preserve">slight </w:t>
      </w:r>
      <w:r w:rsidR="00D65F7A" w:rsidRPr="00440CBC">
        <w:rPr>
          <w:rFonts w:eastAsia="Calibri" w:cs="Calibri"/>
          <w:color w:val="auto"/>
          <w:szCs w:val="24"/>
        </w:rPr>
        <w:t xml:space="preserve">limitation of </w:t>
      </w:r>
      <w:r w:rsidR="00882090">
        <w:rPr>
          <w:rFonts w:eastAsia="Calibri" w:cs="Calibri"/>
          <w:color w:val="auto"/>
          <w:szCs w:val="24"/>
        </w:rPr>
        <w:t xml:space="preserve">cervical </w:t>
      </w:r>
      <w:r w:rsidR="00D65F7A" w:rsidRPr="00440CBC">
        <w:rPr>
          <w:rFonts w:eastAsia="Calibri" w:cs="Calibri"/>
          <w:color w:val="auto"/>
          <w:szCs w:val="24"/>
        </w:rPr>
        <w:t>motion)</w:t>
      </w:r>
      <w:r w:rsidR="00882090">
        <w:rPr>
          <w:rFonts w:eastAsia="Calibri" w:cs="Calibri"/>
          <w:color w:val="auto"/>
          <w:szCs w:val="24"/>
        </w:rPr>
        <w:t>.</w:t>
      </w:r>
      <w:r w:rsidR="008C5607">
        <w:rPr>
          <w:rFonts w:cs="Calibri"/>
          <w:color w:val="auto"/>
          <w:szCs w:val="24"/>
        </w:rPr>
        <w:t xml:space="preserve">    </w:t>
      </w:r>
      <w:r w:rsidR="00EC337D" w:rsidRPr="001F29F9">
        <w:rPr>
          <w:rFonts w:eastAsia="HiddenHorzOCR"/>
          <w:color w:val="000000" w:themeColor="text1"/>
          <w:szCs w:val="24"/>
        </w:rPr>
        <w:t xml:space="preserve"> </w:t>
      </w:r>
    </w:p>
    <w:p w:rsidR="00EC337D" w:rsidRDefault="00D8007D" w:rsidP="00A02179">
      <w:pPr>
        <w:jc w:val="both"/>
        <w:rPr>
          <w:color w:val="000000" w:themeColor="text1"/>
          <w:szCs w:val="24"/>
        </w:rPr>
      </w:pPr>
      <w:r>
        <w:rPr>
          <w:color w:val="000000" w:themeColor="text1"/>
          <w:szCs w:val="24"/>
        </w:rPr>
        <w:t xml:space="preserve">  </w:t>
      </w:r>
    </w:p>
    <w:p w:rsidR="002F08D6" w:rsidRPr="00C34625" w:rsidRDefault="00D8007D" w:rsidP="00C34625">
      <w:pPr>
        <w:tabs>
          <w:tab w:val="left" w:pos="288"/>
          <w:tab w:val="left" w:pos="4752"/>
        </w:tabs>
        <w:jc w:val="both"/>
        <w:rPr>
          <w:rFonts w:eastAsia="Calibri" w:cs="Calibri"/>
          <w:color w:val="auto"/>
          <w:szCs w:val="24"/>
        </w:rPr>
      </w:pPr>
      <w:proofErr w:type="gramStart"/>
      <w:r w:rsidRPr="004A443F">
        <w:rPr>
          <w:rFonts w:asciiTheme="minorHAnsi" w:hAnsiTheme="minorHAnsi" w:cs="Times New Roman"/>
          <w:color w:val="auto"/>
          <w:szCs w:val="24"/>
          <w:u w:val="single"/>
        </w:rPr>
        <w:t>Migraine Headaches</w:t>
      </w:r>
      <w:r>
        <w:rPr>
          <w:rFonts w:asciiTheme="minorHAnsi" w:hAnsiTheme="minorHAnsi" w:cs="Times New Roman"/>
          <w:color w:val="auto"/>
          <w:szCs w:val="24"/>
        </w:rPr>
        <w:t>.</w:t>
      </w:r>
      <w:proofErr w:type="gramEnd"/>
      <w:r>
        <w:rPr>
          <w:rFonts w:asciiTheme="minorHAnsi" w:hAnsiTheme="minorHAnsi" w:cs="Times New Roman"/>
          <w:color w:val="auto"/>
          <w:szCs w:val="24"/>
        </w:rPr>
        <w:t xml:space="preserve">  </w:t>
      </w:r>
      <w:r w:rsidR="006874B0">
        <w:rPr>
          <w:rFonts w:asciiTheme="minorHAnsi" w:hAnsiTheme="minorHAnsi" w:cs="Times New Roman"/>
          <w:color w:val="auto"/>
          <w:szCs w:val="24"/>
        </w:rPr>
        <w:t>T</w:t>
      </w:r>
      <w:r>
        <w:rPr>
          <w:rFonts w:asciiTheme="minorHAnsi" w:hAnsiTheme="minorHAnsi" w:cs="Times New Roman"/>
          <w:color w:val="auto"/>
          <w:szCs w:val="24"/>
        </w:rPr>
        <w:t xml:space="preserve">he CI had </w:t>
      </w:r>
      <w:r w:rsidR="006874B0">
        <w:rPr>
          <w:rFonts w:asciiTheme="minorHAnsi" w:hAnsiTheme="minorHAnsi" w:cs="Times New Roman"/>
          <w:color w:val="auto"/>
          <w:szCs w:val="24"/>
        </w:rPr>
        <w:t xml:space="preserve">multiple </w:t>
      </w:r>
      <w:r w:rsidR="00280BD3">
        <w:rPr>
          <w:rFonts w:asciiTheme="minorHAnsi" w:hAnsiTheme="minorHAnsi" w:cs="Times New Roman"/>
          <w:color w:val="auto"/>
          <w:szCs w:val="24"/>
        </w:rPr>
        <w:t>episodes of headache over a 12 year period</w:t>
      </w:r>
      <w:r w:rsidR="006874B0">
        <w:rPr>
          <w:rFonts w:asciiTheme="minorHAnsi" w:hAnsiTheme="minorHAnsi" w:cs="Times New Roman"/>
          <w:color w:val="auto"/>
          <w:szCs w:val="24"/>
        </w:rPr>
        <w:t>.  T</w:t>
      </w:r>
      <w:r w:rsidR="00280BD3">
        <w:rPr>
          <w:rFonts w:asciiTheme="minorHAnsi" w:hAnsiTheme="minorHAnsi" w:cs="Times New Roman"/>
          <w:color w:val="auto"/>
          <w:szCs w:val="24"/>
        </w:rPr>
        <w:t>hey occurred infrequently</w:t>
      </w:r>
      <w:r w:rsidR="006874B0">
        <w:rPr>
          <w:rFonts w:asciiTheme="minorHAnsi" w:hAnsiTheme="minorHAnsi" w:cs="Times New Roman"/>
          <w:color w:val="auto"/>
          <w:szCs w:val="24"/>
        </w:rPr>
        <w:t>,</w:t>
      </w:r>
      <w:r w:rsidR="00280BD3">
        <w:rPr>
          <w:rFonts w:asciiTheme="minorHAnsi" w:hAnsiTheme="minorHAnsi" w:cs="Times New Roman"/>
          <w:color w:val="auto"/>
          <w:szCs w:val="24"/>
        </w:rPr>
        <w:t xml:space="preserve"> and there was </w:t>
      </w:r>
      <w:r w:rsidR="006874B0">
        <w:rPr>
          <w:rFonts w:asciiTheme="minorHAnsi" w:hAnsiTheme="minorHAnsi" w:cs="Times New Roman"/>
          <w:color w:val="auto"/>
          <w:szCs w:val="24"/>
        </w:rPr>
        <w:t xml:space="preserve">insufficient </w:t>
      </w:r>
      <w:r w:rsidR="00280BD3">
        <w:rPr>
          <w:rFonts w:asciiTheme="minorHAnsi" w:hAnsiTheme="minorHAnsi" w:cs="Times New Roman"/>
          <w:color w:val="auto"/>
          <w:szCs w:val="24"/>
        </w:rPr>
        <w:t xml:space="preserve">evidence in the </w:t>
      </w:r>
      <w:r w:rsidR="006874B0">
        <w:rPr>
          <w:rFonts w:asciiTheme="minorHAnsi" w:hAnsiTheme="minorHAnsi" w:cs="Times New Roman"/>
          <w:color w:val="auto"/>
          <w:szCs w:val="24"/>
        </w:rPr>
        <w:t>treatment record</w:t>
      </w:r>
      <w:r w:rsidR="00280BD3">
        <w:rPr>
          <w:rFonts w:asciiTheme="minorHAnsi" w:hAnsiTheme="minorHAnsi" w:cs="Times New Roman"/>
          <w:color w:val="auto"/>
          <w:szCs w:val="24"/>
        </w:rPr>
        <w:t xml:space="preserve"> that the</w:t>
      </w:r>
      <w:r w:rsidR="006874B0">
        <w:rPr>
          <w:rFonts w:asciiTheme="minorHAnsi" w:hAnsiTheme="minorHAnsi" w:cs="Times New Roman"/>
          <w:color w:val="auto"/>
          <w:szCs w:val="24"/>
        </w:rPr>
        <w:t xml:space="preserve"> headaches significantly in</w:t>
      </w:r>
      <w:r w:rsidR="00C34625">
        <w:rPr>
          <w:rFonts w:asciiTheme="minorHAnsi" w:hAnsiTheme="minorHAnsi" w:cs="Times New Roman"/>
          <w:color w:val="auto"/>
          <w:szCs w:val="24"/>
        </w:rPr>
        <w:t>ter</w:t>
      </w:r>
      <w:r w:rsidR="006874B0">
        <w:rPr>
          <w:rFonts w:asciiTheme="minorHAnsi" w:hAnsiTheme="minorHAnsi" w:cs="Times New Roman"/>
          <w:color w:val="auto"/>
          <w:szCs w:val="24"/>
        </w:rPr>
        <w:t xml:space="preserve">fered with performance of her required military duties.  </w:t>
      </w:r>
      <w:r w:rsidR="00280BD3">
        <w:rPr>
          <w:rFonts w:asciiTheme="minorHAnsi" w:hAnsiTheme="minorHAnsi" w:cs="Times New Roman"/>
          <w:color w:val="auto"/>
          <w:szCs w:val="24"/>
        </w:rPr>
        <w:t xml:space="preserve">She was </w:t>
      </w:r>
      <w:r w:rsidR="00280BD3">
        <w:rPr>
          <w:rFonts w:asciiTheme="minorHAnsi" w:hAnsiTheme="minorHAnsi" w:cs="Times New Roman"/>
          <w:color w:val="auto"/>
          <w:szCs w:val="24"/>
        </w:rPr>
        <w:lastRenderedPageBreak/>
        <w:t>not profiled for headaches</w:t>
      </w:r>
      <w:r w:rsidR="008140E6">
        <w:rPr>
          <w:rFonts w:asciiTheme="minorHAnsi" w:hAnsiTheme="minorHAnsi" w:cs="Times New Roman"/>
          <w:color w:val="auto"/>
          <w:szCs w:val="24"/>
        </w:rPr>
        <w:t>,</w:t>
      </w:r>
      <w:r w:rsidR="00280BD3">
        <w:rPr>
          <w:rFonts w:asciiTheme="minorHAnsi" w:hAnsiTheme="minorHAnsi" w:cs="Times New Roman"/>
          <w:color w:val="auto"/>
          <w:szCs w:val="24"/>
        </w:rPr>
        <w:t xml:space="preserve"> and they were not mentioned in the commander’s statement.</w:t>
      </w:r>
      <w:r w:rsidR="00604321">
        <w:rPr>
          <w:rFonts w:asciiTheme="minorHAnsi" w:hAnsiTheme="minorHAnsi" w:cs="Times New Roman"/>
          <w:color w:val="auto"/>
          <w:szCs w:val="24"/>
        </w:rPr>
        <w:t xml:space="preserve">  </w:t>
      </w:r>
      <w:r w:rsidR="00604321" w:rsidRPr="00440CBC">
        <w:rPr>
          <w:rFonts w:cs="Calibri"/>
          <w:color w:val="auto"/>
          <w:szCs w:val="24"/>
        </w:rPr>
        <w:t>All evidence considered</w:t>
      </w:r>
      <w:proofErr w:type="gramStart"/>
      <w:r w:rsidR="00604321" w:rsidRPr="00440CBC">
        <w:rPr>
          <w:rFonts w:cs="Calibri"/>
          <w:color w:val="auto"/>
          <w:szCs w:val="24"/>
        </w:rPr>
        <w:t>,</w:t>
      </w:r>
      <w:proofErr w:type="gramEnd"/>
      <w:r w:rsidR="00604321" w:rsidRPr="00440CBC">
        <w:rPr>
          <w:rFonts w:cs="Calibri"/>
          <w:color w:val="auto"/>
          <w:szCs w:val="24"/>
        </w:rPr>
        <w:t xml:space="preserve"> the Board cannot find sufficient evidence to support rec</w:t>
      </w:r>
      <w:r w:rsidR="00604321">
        <w:rPr>
          <w:rFonts w:cs="Calibri"/>
          <w:color w:val="auto"/>
          <w:szCs w:val="24"/>
        </w:rPr>
        <w:t>ommending migraine headaches</w:t>
      </w:r>
      <w:r w:rsidR="00604321" w:rsidRPr="00440CBC">
        <w:rPr>
          <w:rFonts w:cs="Calibri"/>
          <w:color w:val="auto"/>
          <w:szCs w:val="24"/>
        </w:rPr>
        <w:t xml:space="preserve"> as an additional unfitting condition.</w:t>
      </w:r>
      <w:r w:rsidR="00604321">
        <w:rPr>
          <w:rFonts w:cs="Calibri"/>
          <w:color w:val="auto"/>
          <w:szCs w:val="24"/>
        </w:rPr>
        <w:t xml:space="preserve">      </w:t>
      </w:r>
    </w:p>
    <w:p w:rsidR="00604321" w:rsidRDefault="00604321" w:rsidP="00A02179">
      <w:pPr>
        <w:jc w:val="both"/>
        <w:rPr>
          <w:rFonts w:asciiTheme="minorHAnsi" w:hAnsiTheme="minorHAnsi" w:cs="Times New Roman"/>
          <w:color w:val="FF0000"/>
          <w:szCs w:val="24"/>
        </w:rPr>
      </w:pPr>
    </w:p>
    <w:p w:rsidR="00A02AA8" w:rsidRPr="001F29F9" w:rsidRDefault="003C5B54" w:rsidP="00A02179">
      <w:pPr>
        <w:jc w:val="both"/>
        <w:rPr>
          <w:color w:val="000000" w:themeColor="text1"/>
          <w:szCs w:val="24"/>
        </w:rPr>
      </w:pPr>
      <w:proofErr w:type="gramStart"/>
      <w:r w:rsidRPr="001F29F9">
        <w:rPr>
          <w:color w:val="000000" w:themeColor="text1"/>
          <w:szCs w:val="24"/>
          <w:u w:val="single"/>
        </w:rPr>
        <w:t>Remaining Conditions.</w:t>
      </w:r>
      <w:proofErr w:type="gramEnd"/>
      <w:r w:rsidRPr="001F29F9">
        <w:rPr>
          <w:color w:val="000000" w:themeColor="text1"/>
          <w:szCs w:val="24"/>
        </w:rPr>
        <w:t xml:space="preserve">  </w:t>
      </w:r>
      <w:r w:rsidR="002F08D6">
        <w:rPr>
          <w:rFonts w:asciiTheme="minorHAnsi" w:hAnsiTheme="minorHAnsi"/>
          <w:color w:val="auto"/>
          <w:szCs w:val="24"/>
        </w:rPr>
        <w:t>Several other conditions were also noted in the DES file</w:t>
      </w:r>
      <w:r w:rsidR="002F08D6" w:rsidRPr="00F6196E">
        <w:rPr>
          <w:rFonts w:asciiTheme="minorHAnsi" w:hAnsiTheme="minorHAnsi"/>
          <w:color w:val="auto"/>
          <w:szCs w:val="24"/>
        </w:rPr>
        <w:t xml:space="preserve">.  </w:t>
      </w:r>
      <w:r w:rsidR="002F08D6" w:rsidRPr="00924471">
        <w:rPr>
          <w:rFonts w:asciiTheme="minorHAnsi" w:hAnsiTheme="minorHAnsi"/>
          <w:color w:val="auto"/>
          <w:szCs w:val="24"/>
        </w:rPr>
        <w:t>Th</w:t>
      </w:r>
      <w:r w:rsidR="002F08D6">
        <w:rPr>
          <w:rFonts w:asciiTheme="minorHAnsi" w:hAnsiTheme="minorHAnsi"/>
          <w:color w:val="auto"/>
          <w:szCs w:val="24"/>
        </w:rPr>
        <w:t>ese other</w:t>
      </w:r>
      <w:r w:rsidR="002F08D6" w:rsidRPr="00924471">
        <w:rPr>
          <w:rFonts w:asciiTheme="minorHAnsi" w:hAnsiTheme="minorHAnsi"/>
          <w:color w:val="auto"/>
          <w:szCs w:val="24"/>
        </w:rPr>
        <w:t xml:space="preserve"> condition</w:t>
      </w:r>
      <w:r w:rsidR="002F08D6">
        <w:rPr>
          <w:rFonts w:asciiTheme="minorHAnsi" w:hAnsiTheme="minorHAnsi"/>
          <w:color w:val="auto"/>
          <w:szCs w:val="24"/>
        </w:rPr>
        <w:t>s were all</w:t>
      </w:r>
      <w:r w:rsidR="002F08D6" w:rsidRPr="00924471">
        <w:rPr>
          <w:rFonts w:asciiTheme="minorHAnsi" w:hAnsiTheme="minorHAnsi"/>
          <w:color w:val="auto"/>
          <w:szCs w:val="24"/>
        </w:rPr>
        <w:t xml:space="preserve"> reviewed by the action officer and considered by the Board.  It</w:t>
      </w:r>
      <w:r w:rsidR="002F08D6" w:rsidRPr="00F6196E">
        <w:rPr>
          <w:rFonts w:asciiTheme="minorHAnsi" w:hAnsiTheme="minorHAnsi"/>
          <w:color w:val="auto"/>
          <w:szCs w:val="24"/>
        </w:rPr>
        <w:t xml:space="preserve"> was determined that </w:t>
      </w:r>
      <w:r w:rsidR="002F08D6">
        <w:rPr>
          <w:rFonts w:asciiTheme="minorHAnsi" w:hAnsiTheme="minorHAnsi"/>
          <w:color w:val="auto"/>
          <w:szCs w:val="24"/>
        </w:rPr>
        <w:t xml:space="preserve">none </w:t>
      </w:r>
      <w:r w:rsidR="002F08D6" w:rsidRPr="00F6196E">
        <w:rPr>
          <w:rFonts w:asciiTheme="minorHAnsi" w:hAnsiTheme="minorHAnsi"/>
          <w:color w:val="auto"/>
          <w:szCs w:val="24"/>
        </w:rPr>
        <w:t xml:space="preserve">could be argued as unfitting and subject to separation rating.  </w:t>
      </w:r>
      <w:r w:rsidR="00A02AA8" w:rsidRPr="001F29F9">
        <w:rPr>
          <w:color w:val="000000" w:themeColor="text1"/>
          <w:szCs w:val="24"/>
        </w:rPr>
        <w:t>Additionally</w:t>
      </w:r>
      <w:r w:rsidR="006874B0">
        <w:rPr>
          <w:color w:val="000000" w:themeColor="text1"/>
          <w:szCs w:val="24"/>
        </w:rPr>
        <w:t>,</w:t>
      </w:r>
      <w:r w:rsidR="00A02AA8" w:rsidRPr="001F29F9">
        <w:rPr>
          <w:color w:val="000000" w:themeColor="text1"/>
          <w:szCs w:val="24"/>
        </w:rPr>
        <w:t xml:space="preserve"> </w:t>
      </w:r>
      <w:r w:rsidR="006874B0">
        <w:rPr>
          <w:color w:val="000000" w:themeColor="text1"/>
          <w:szCs w:val="24"/>
        </w:rPr>
        <w:t xml:space="preserve">depressive disorder, </w:t>
      </w:r>
      <w:r w:rsidR="002F08D6">
        <w:rPr>
          <w:color w:val="000000" w:themeColor="text1"/>
          <w:szCs w:val="24"/>
        </w:rPr>
        <w:t xml:space="preserve">urethral </w:t>
      </w:r>
      <w:proofErr w:type="spellStart"/>
      <w:r w:rsidR="002F08D6">
        <w:rPr>
          <w:color w:val="000000" w:themeColor="text1"/>
          <w:szCs w:val="24"/>
        </w:rPr>
        <w:t>d</w:t>
      </w:r>
      <w:r w:rsidR="00646287" w:rsidRPr="00646287">
        <w:rPr>
          <w:color w:val="000000" w:themeColor="text1"/>
          <w:szCs w:val="24"/>
        </w:rPr>
        <w:t>iverticulum</w:t>
      </w:r>
      <w:proofErr w:type="spellEnd"/>
      <w:r w:rsidR="00646287" w:rsidRPr="00646287">
        <w:rPr>
          <w:color w:val="000000" w:themeColor="text1"/>
          <w:szCs w:val="24"/>
        </w:rPr>
        <w:t>,</w:t>
      </w:r>
      <w:r w:rsidR="00DA25BE">
        <w:rPr>
          <w:color w:val="000000" w:themeColor="text1"/>
          <w:szCs w:val="24"/>
        </w:rPr>
        <w:t xml:space="preserve"> right ankle sprain, </w:t>
      </w:r>
      <w:r w:rsidR="006874B0">
        <w:rPr>
          <w:color w:val="000000" w:themeColor="text1"/>
          <w:szCs w:val="24"/>
        </w:rPr>
        <w:t xml:space="preserve">and several other </w:t>
      </w:r>
      <w:r w:rsidR="00A02AA8" w:rsidRPr="00646287">
        <w:rPr>
          <w:color w:val="000000" w:themeColor="text1"/>
          <w:szCs w:val="24"/>
        </w:rPr>
        <w:t xml:space="preserve">conditions were noted in </w:t>
      </w:r>
      <w:r w:rsidR="006874B0">
        <w:rPr>
          <w:color w:val="000000" w:themeColor="text1"/>
          <w:szCs w:val="24"/>
        </w:rPr>
        <w:t>her</w:t>
      </w:r>
      <w:r w:rsidR="00A02AA8" w:rsidRPr="00646287">
        <w:rPr>
          <w:color w:val="000000" w:themeColor="text1"/>
          <w:szCs w:val="24"/>
        </w:rPr>
        <w:t xml:space="preserve"> VA </w:t>
      </w:r>
      <w:r w:rsidR="006874B0">
        <w:rPr>
          <w:color w:val="000000" w:themeColor="text1"/>
          <w:szCs w:val="24"/>
        </w:rPr>
        <w:t>Rating Decisions</w:t>
      </w:r>
      <w:r w:rsidR="00A02AA8" w:rsidRPr="00646287">
        <w:rPr>
          <w:color w:val="000000" w:themeColor="text1"/>
          <w:szCs w:val="24"/>
        </w:rPr>
        <w:t xml:space="preserve"> </w:t>
      </w:r>
      <w:r w:rsidR="006362D7">
        <w:rPr>
          <w:color w:val="000000" w:themeColor="text1"/>
          <w:szCs w:val="24"/>
        </w:rPr>
        <w:t xml:space="preserve">(VARD) </w:t>
      </w:r>
      <w:r w:rsidR="00A02AA8" w:rsidRPr="00646287">
        <w:rPr>
          <w:color w:val="000000" w:themeColor="text1"/>
          <w:szCs w:val="24"/>
        </w:rPr>
        <w:t>but were not documented in the DES file.  The Board</w:t>
      </w:r>
      <w:r w:rsidR="00A02AA8" w:rsidRPr="001F29F9">
        <w:rPr>
          <w:color w:val="000000" w:themeColor="text1"/>
          <w:szCs w:val="24"/>
        </w:rPr>
        <w:t xml:space="preserve"> does not have the authority to render fitness or rating recommendations for any conditions not considered by the DES.  The Board therefore has no reasonable basis for recommending any additional unfitting conditions for separation rating.</w:t>
      </w:r>
    </w:p>
    <w:p w:rsidR="001031F4" w:rsidRPr="001F29F9" w:rsidRDefault="001031F4" w:rsidP="00A02179">
      <w:pPr>
        <w:pBdr>
          <w:bottom w:val="single" w:sz="12" w:space="1" w:color="auto"/>
        </w:pBdr>
        <w:tabs>
          <w:tab w:val="left" w:pos="288"/>
          <w:tab w:val="left" w:pos="4752"/>
        </w:tabs>
        <w:jc w:val="both"/>
        <w:rPr>
          <w:color w:val="000000" w:themeColor="text1"/>
        </w:rPr>
      </w:pPr>
    </w:p>
    <w:p w:rsidR="00F1737C" w:rsidRPr="001F29F9" w:rsidRDefault="00F1737C" w:rsidP="00A02179">
      <w:pPr>
        <w:jc w:val="left"/>
        <w:rPr>
          <w:color w:val="000000" w:themeColor="text1"/>
          <w:szCs w:val="24"/>
        </w:rPr>
      </w:pPr>
    </w:p>
    <w:p w:rsidR="004657B5" w:rsidRPr="00A03DA7" w:rsidRDefault="00C56FC8" w:rsidP="00A03DA7">
      <w:pPr>
        <w:jc w:val="both"/>
        <w:rPr>
          <w:rFonts w:asciiTheme="minorHAnsi" w:eastAsiaTheme="minorHAnsi" w:hAnsiTheme="minorHAns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w:t>
      </w:r>
      <w:proofErr w:type="spellStart"/>
      <w:r w:rsidRPr="001F29F9">
        <w:rPr>
          <w:rFonts w:eastAsiaTheme="minorHAnsi"/>
          <w:color w:val="000000" w:themeColor="text1"/>
          <w:szCs w:val="24"/>
        </w:rPr>
        <w:t>DoDI</w:t>
      </w:r>
      <w:proofErr w:type="spellEnd"/>
      <w:r w:rsidRPr="001F29F9">
        <w:rPr>
          <w:rFonts w:eastAsiaTheme="minorHAnsi"/>
          <w:color w:val="000000" w:themeColor="text1"/>
          <w:szCs w:val="24"/>
        </w:rPr>
        <w:t xml:space="preserve"> 6040.44, provisions of </w:t>
      </w:r>
      <w:proofErr w:type="spellStart"/>
      <w:r w:rsidRPr="001F29F9">
        <w:rPr>
          <w:rFonts w:eastAsiaTheme="minorHAnsi"/>
          <w:color w:val="000000" w:themeColor="text1"/>
          <w:szCs w:val="24"/>
        </w:rPr>
        <w:t>DoD</w:t>
      </w:r>
      <w:proofErr w:type="spellEnd"/>
      <w:r w:rsidRPr="001F29F9">
        <w:rPr>
          <w:rFonts w:eastAsiaTheme="minorHAnsi"/>
          <w:color w:val="000000" w:themeColor="text1"/>
          <w:szCs w:val="24"/>
        </w:rPr>
        <w:t xml:space="preserve"> or Military Department regulations or guidelines relied upon by the PEB will not be considered by the Board to the extent they were inconsistent with the VASRD in effect at the time of the adjudication</w:t>
      </w:r>
      <w:r w:rsidR="00DA25BE">
        <w:rPr>
          <w:rFonts w:asciiTheme="minorHAnsi" w:eastAsiaTheme="minorHAnsi" w:hAnsiTheme="minorHAnsi" w:cs="Times New Roman"/>
          <w:color w:val="auto"/>
          <w:szCs w:val="24"/>
        </w:rPr>
        <w:t xml:space="preserve">.  </w:t>
      </w:r>
      <w:r w:rsidR="00DA25BE" w:rsidRPr="00DA25BE">
        <w:rPr>
          <w:rFonts w:asciiTheme="minorHAnsi" w:hAnsiTheme="minorHAnsi" w:cs="Times New Roman"/>
          <w:color w:val="auto"/>
          <w:szCs w:val="24"/>
        </w:rPr>
        <w:t>In the matter</w:t>
      </w:r>
      <w:r w:rsidR="00DA25BE">
        <w:rPr>
          <w:rFonts w:asciiTheme="minorHAnsi" w:hAnsiTheme="minorHAnsi" w:cs="Times New Roman"/>
          <w:color w:val="auto"/>
          <w:szCs w:val="24"/>
        </w:rPr>
        <w:t xml:space="preserve"> of the right shoulder condition</w:t>
      </w:r>
      <w:r w:rsidR="004657B5">
        <w:rPr>
          <w:rFonts w:asciiTheme="minorHAnsi" w:hAnsiTheme="minorHAnsi" w:cs="Times New Roman"/>
          <w:color w:val="auto"/>
          <w:szCs w:val="24"/>
        </w:rPr>
        <w:t xml:space="preserve">, the Board </w:t>
      </w:r>
      <w:r w:rsidR="0025126C">
        <w:rPr>
          <w:rFonts w:asciiTheme="minorHAnsi" w:hAnsiTheme="minorHAnsi" w:cs="Times New Roman"/>
          <w:color w:val="auto"/>
          <w:szCs w:val="24"/>
        </w:rPr>
        <w:t>unanimously</w:t>
      </w:r>
      <w:r w:rsidR="004657B5">
        <w:rPr>
          <w:rFonts w:asciiTheme="minorHAnsi" w:hAnsiTheme="minorHAnsi" w:cs="Times New Roman"/>
          <w:color w:val="auto"/>
          <w:szCs w:val="24"/>
        </w:rPr>
        <w:t xml:space="preserve"> recommends a </w:t>
      </w:r>
      <w:r w:rsidR="00D0356B">
        <w:rPr>
          <w:rFonts w:asciiTheme="minorHAnsi" w:hAnsiTheme="minorHAnsi" w:cs="Times New Roman"/>
          <w:color w:val="auto"/>
          <w:szCs w:val="24"/>
        </w:rPr>
        <w:t xml:space="preserve">disability </w:t>
      </w:r>
      <w:r w:rsidR="004657B5">
        <w:rPr>
          <w:rFonts w:asciiTheme="minorHAnsi" w:hAnsiTheme="minorHAnsi" w:cs="Times New Roman"/>
          <w:color w:val="auto"/>
          <w:szCs w:val="24"/>
        </w:rPr>
        <w:t>rating of 10%</w:t>
      </w:r>
      <w:r w:rsidR="008140E6">
        <w:rPr>
          <w:rFonts w:asciiTheme="minorHAnsi" w:hAnsiTheme="minorHAnsi" w:cs="Times New Roman"/>
          <w:color w:val="auto"/>
          <w:szCs w:val="24"/>
        </w:rPr>
        <w:t>;</w:t>
      </w:r>
      <w:r w:rsidR="00D0356B">
        <w:rPr>
          <w:rFonts w:asciiTheme="minorHAnsi" w:hAnsiTheme="minorHAnsi" w:cs="Times New Roman"/>
          <w:color w:val="auto"/>
          <w:szCs w:val="24"/>
        </w:rPr>
        <w:t xml:space="preserve"> </w:t>
      </w:r>
      <w:r w:rsidR="004657B5">
        <w:rPr>
          <w:rFonts w:asciiTheme="minorHAnsi" w:hAnsiTheme="minorHAnsi" w:cs="Times New Roman"/>
          <w:color w:val="auto"/>
          <w:szCs w:val="24"/>
        </w:rPr>
        <w:t xml:space="preserve">IAW VASRD </w:t>
      </w:r>
      <w:r w:rsidR="00D0356B" w:rsidRPr="00440CBC">
        <w:rPr>
          <w:rFonts w:cs="Calibri"/>
          <w:color w:val="auto"/>
          <w:szCs w:val="24"/>
        </w:rPr>
        <w:t>§4.40</w:t>
      </w:r>
      <w:r w:rsidR="00D0356B">
        <w:rPr>
          <w:rFonts w:cs="Calibri"/>
          <w:color w:val="auto"/>
          <w:szCs w:val="24"/>
        </w:rPr>
        <w:t xml:space="preserve">, </w:t>
      </w:r>
      <w:r w:rsidR="00D0356B" w:rsidRPr="00440CBC">
        <w:rPr>
          <w:rFonts w:cs="Calibri"/>
          <w:color w:val="auto"/>
          <w:szCs w:val="24"/>
        </w:rPr>
        <w:t>§4.4</w:t>
      </w:r>
      <w:r w:rsidR="00D0356B">
        <w:rPr>
          <w:rFonts w:cs="Calibri"/>
          <w:color w:val="auto"/>
          <w:szCs w:val="24"/>
        </w:rPr>
        <w:t>5,</w:t>
      </w:r>
      <w:r w:rsidR="00D0356B" w:rsidRPr="00440CBC">
        <w:rPr>
          <w:rFonts w:cs="Calibri"/>
          <w:color w:val="auto"/>
          <w:szCs w:val="24"/>
        </w:rPr>
        <w:t xml:space="preserve"> §4.59</w:t>
      </w:r>
      <w:r w:rsidR="00D0356B">
        <w:rPr>
          <w:rFonts w:cs="Calibri"/>
          <w:color w:val="auto"/>
          <w:szCs w:val="24"/>
        </w:rPr>
        <w:t xml:space="preserve">, and </w:t>
      </w:r>
      <w:r w:rsidR="004657B5">
        <w:rPr>
          <w:rFonts w:asciiTheme="minorHAnsi" w:hAnsiTheme="minorHAnsi" w:cs="Times New Roman"/>
          <w:color w:val="auto"/>
          <w:szCs w:val="24"/>
        </w:rPr>
        <w:t>4.71a.</w:t>
      </w:r>
      <w:r w:rsidR="00A03DA7">
        <w:rPr>
          <w:rFonts w:asciiTheme="minorHAnsi" w:eastAsiaTheme="minorHAnsi" w:hAnsiTheme="minorHAnsi" w:cs="Times New Roman"/>
          <w:color w:val="auto"/>
          <w:szCs w:val="24"/>
        </w:rPr>
        <w:t xml:space="preserve">  </w:t>
      </w:r>
      <w:r w:rsidR="006B7CD7">
        <w:rPr>
          <w:rFonts w:asciiTheme="minorHAnsi" w:hAnsiTheme="minorHAnsi" w:cs="Times New Roman"/>
          <w:color w:val="auto"/>
          <w:szCs w:val="24"/>
        </w:rPr>
        <w:t>In the matter of the neck</w:t>
      </w:r>
      <w:r w:rsidR="004657B5">
        <w:rPr>
          <w:rFonts w:asciiTheme="minorHAnsi" w:hAnsiTheme="minorHAnsi" w:cs="Times New Roman"/>
          <w:color w:val="auto"/>
          <w:szCs w:val="24"/>
        </w:rPr>
        <w:t xml:space="preserve"> </w:t>
      </w:r>
      <w:r w:rsidR="00D0356B">
        <w:rPr>
          <w:rFonts w:asciiTheme="minorHAnsi" w:hAnsiTheme="minorHAnsi" w:cs="Times New Roman"/>
          <w:color w:val="auto"/>
          <w:szCs w:val="24"/>
        </w:rPr>
        <w:t xml:space="preserve">pain </w:t>
      </w:r>
      <w:r w:rsidR="004657B5">
        <w:rPr>
          <w:rFonts w:asciiTheme="minorHAnsi" w:hAnsiTheme="minorHAnsi" w:cs="Times New Roman"/>
          <w:color w:val="auto"/>
          <w:szCs w:val="24"/>
        </w:rPr>
        <w:t xml:space="preserve">condition, </w:t>
      </w:r>
      <w:r w:rsidR="00D0356B">
        <w:rPr>
          <w:rFonts w:asciiTheme="minorHAnsi" w:hAnsiTheme="minorHAnsi" w:cs="Times New Roman"/>
          <w:color w:val="auto"/>
          <w:szCs w:val="24"/>
        </w:rPr>
        <w:t xml:space="preserve">the </w:t>
      </w:r>
      <w:r w:rsidR="004657B5">
        <w:rPr>
          <w:rFonts w:asciiTheme="minorHAnsi" w:hAnsiTheme="minorHAnsi" w:cs="Times New Roman"/>
          <w:color w:val="auto"/>
          <w:szCs w:val="24"/>
        </w:rPr>
        <w:t xml:space="preserve">Board </w:t>
      </w:r>
      <w:r w:rsidR="0025126C">
        <w:rPr>
          <w:rFonts w:asciiTheme="minorHAnsi" w:hAnsiTheme="minorHAnsi" w:cs="Times New Roman"/>
          <w:color w:val="auto"/>
          <w:szCs w:val="24"/>
        </w:rPr>
        <w:t>unanimously</w:t>
      </w:r>
      <w:r w:rsidR="004657B5">
        <w:rPr>
          <w:rFonts w:asciiTheme="minorHAnsi" w:hAnsiTheme="minorHAnsi" w:cs="Times New Roman"/>
          <w:color w:val="auto"/>
          <w:szCs w:val="24"/>
        </w:rPr>
        <w:t xml:space="preserve"> recommends a </w:t>
      </w:r>
      <w:r w:rsidR="00D0356B">
        <w:rPr>
          <w:rFonts w:asciiTheme="minorHAnsi" w:hAnsiTheme="minorHAnsi" w:cs="Times New Roman"/>
          <w:color w:val="auto"/>
          <w:szCs w:val="24"/>
        </w:rPr>
        <w:t xml:space="preserve">disability </w:t>
      </w:r>
      <w:r w:rsidR="004657B5">
        <w:rPr>
          <w:rFonts w:asciiTheme="minorHAnsi" w:hAnsiTheme="minorHAnsi" w:cs="Times New Roman"/>
          <w:color w:val="auto"/>
          <w:szCs w:val="24"/>
        </w:rPr>
        <w:t>rating of 10%</w:t>
      </w:r>
      <w:r w:rsidR="00D0356B">
        <w:rPr>
          <w:rFonts w:asciiTheme="minorHAnsi" w:hAnsiTheme="minorHAnsi" w:cs="Times New Roman"/>
          <w:color w:val="auto"/>
          <w:szCs w:val="24"/>
        </w:rPr>
        <w:t xml:space="preserve">, </w:t>
      </w:r>
      <w:r w:rsidR="004657B5">
        <w:rPr>
          <w:rFonts w:asciiTheme="minorHAnsi" w:hAnsiTheme="minorHAnsi" w:cs="Times New Roman"/>
          <w:color w:val="auto"/>
          <w:szCs w:val="24"/>
        </w:rPr>
        <w:t xml:space="preserve">IAW VASRD </w:t>
      </w:r>
      <w:r w:rsidR="00D0356B" w:rsidRPr="00440CBC">
        <w:rPr>
          <w:rFonts w:cs="Calibri"/>
          <w:color w:val="auto"/>
          <w:szCs w:val="24"/>
        </w:rPr>
        <w:t>§</w:t>
      </w:r>
      <w:r w:rsidR="004657B5">
        <w:rPr>
          <w:rFonts w:asciiTheme="minorHAnsi" w:hAnsiTheme="minorHAnsi" w:cs="Times New Roman"/>
          <w:color w:val="auto"/>
          <w:szCs w:val="24"/>
        </w:rPr>
        <w:t>4.71a.</w:t>
      </w:r>
      <w:r w:rsidR="00A03DA7">
        <w:rPr>
          <w:rFonts w:asciiTheme="minorHAnsi" w:eastAsiaTheme="minorHAnsi" w:hAnsiTheme="minorHAnsi" w:cs="Times New Roman"/>
          <w:color w:val="auto"/>
          <w:szCs w:val="24"/>
        </w:rPr>
        <w:t xml:space="preserve">  </w:t>
      </w:r>
      <w:r w:rsidR="004657B5">
        <w:rPr>
          <w:rFonts w:asciiTheme="minorHAnsi" w:hAnsiTheme="minorHAnsi" w:cs="Times New Roman"/>
          <w:color w:val="auto"/>
          <w:szCs w:val="24"/>
        </w:rPr>
        <w:t>In the matter of the headache</w:t>
      </w:r>
      <w:r w:rsidR="003853A0">
        <w:rPr>
          <w:rFonts w:asciiTheme="minorHAnsi" w:hAnsiTheme="minorHAnsi" w:cs="Times New Roman"/>
          <w:color w:val="auto"/>
          <w:szCs w:val="24"/>
        </w:rPr>
        <w:t>s,</w:t>
      </w:r>
      <w:r w:rsidR="003853A0" w:rsidRPr="003853A0">
        <w:rPr>
          <w:color w:val="auto"/>
          <w:szCs w:val="24"/>
        </w:rPr>
        <w:t xml:space="preserve"> </w:t>
      </w:r>
      <w:r w:rsidR="003853A0">
        <w:rPr>
          <w:color w:val="auto"/>
          <w:szCs w:val="24"/>
        </w:rPr>
        <w:t>or any other</w:t>
      </w:r>
      <w:r w:rsidR="003853A0" w:rsidRPr="00AE3316">
        <w:rPr>
          <w:color w:val="auto"/>
          <w:szCs w:val="24"/>
        </w:rPr>
        <w:t xml:space="preserve"> conditions</w:t>
      </w:r>
      <w:r w:rsidR="003853A0">
        <w:rPr>
          <w:color w:val="auto"/>
          <w:szCs w:val="24"/>
        </w:rPr>
        <w:t xml:space="preserve"> eligible for consideration</w:t>
      </w:r>
      <w:r w:rsidR="003853A0" w:rsidRPr="00AE3316">
        <w:rPr>
          <w:color w:val="auto"/>
          <w:szCs w:val="24"/>
        </w:rPr>
        <w:t xml:space="preserve">; the Board </w:t>
      </w:r>
      <w:r w:rsidR="003853A0" w:rsidRPr="001236EC">
        <w:rPr>
          <w:color w:val="auto"/>
          <w:szCs w:val="24"/>
        </w:rPr>
        <w:t xml:space="preserve">unanimously </w:t>
      </w:r>
      <w:r w:rsidR="003853A0" w:rsidRPr="00AE3316">
        <w:rPr>
          <w:color w:val="auto"/>
          <w:szCs w:val="24"/>
        </w:rPr>
        <w:t>agrees that it cannot</w:t>
      </w:r>
      <w:r w:rsidR="003853A0" w:rsidRPr="00AE3316">
        <w:rPr>
          <w:color w:val="000080"/>
          <w:szCs w:val="24"/>
        </w:rPr>
        <w:t xml:space="preserve"> </w:t>
      </w:r>
      <w:r w:rsidR="003853A0" w:rsidRPr="00AE3316">
        <w:rPr>
          <w:color w:val="auto"/>
          <w:szCs w:val="24"/>
        </w:rPr>
        <w:t>recommend a</w:t>
      </w:r>
      <w:r w:rsidR="003853A0">
        <w:rPr>
          <w:color w:val="auto"/>
          <w:szCs w:val="24"/>
        </w:rPr>
        <w:t>ny</w:t>
      </w:r>
      <w:r w:rsidR="003853A0" w:rsidRPr="00AE3316">
        <w:rPr>
          <w:color w:val="auto"/>
          <w:szCs w:val="24"/>
        </w:rPr>
        <w:t xml:space="preserve"> finding</w:t>
      </w:r>
      <w:r w:rsidR="003853A0">
        <w:rPr>
          <w:color w:val="auto"/>
          <w:szCs w:val="24"/>
        </w:rPr>
        <w:t>s</w:t>
      </w:r>
      <w:r w:rsidR="003853A0" w:rsidRPr="00AE3316">
        <w:rPr>
          <w:color w:val="auto"/>
          <w:szCs w:val="24"/>
        </w:rPr>
        <w:t xml:space="preserve"> of unfit for additional rating at separation.</w:t>
      </w:r>
      <w:r w:rsidR="003853A0">
        <w:rPr>
          <w:color w:val="auto"/>
          <w:szCs w:val="24"/>
        </w:rPr>
        <w:t xml:space="preserve">  </w:t>
      </w:r>
    </w:p>
    <w:p w:rsidR="00F1737C" w:rsidRPr="001F29F9" w:rsidRDefault="00F1737C" w:rsidP="00A02179">
      <w:pPr>
        <w:pBdr>
          <w:bottom w:val="single" w:sz="12" w:space="1" w:color="auto"/>
        </w:pBdr>
        <w:tabs>
          <w:tab w:val="left" w:pos="288"/>
          <w:tab w:val="left" w:pos="4752"/>
        </w:tabs>
        <w:jc w:val="both"/>
        <w:rPr>
          <w:color w:val="000000" w:themeColor="text1"/>
        </w:rPr>
      </w:pPr>
    </w:p>
    <w:p w:rsidR="00F1737C" w:rsidRPr="001F29F9" w:rsidRDefault="00F1737C" w:rsidP="00A02179">
      <w:pPr>
        <w:jc w:val="left"/>
        <w:rPr>
          <w:color w:val="000000" w:themeColor="text1"/>
          <w:szCs w:val="24"/>
        </w:rPr>
      </w:pPr>
    </w:p>
    <w:p w:rsidR="00685B66" w:rsidRDefault="00685B66" w:rsidP="00A02179">
      <w:pPr>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Pr>
          <w:rFonts w:asciiTheme="minorHAnsi" w:hAnsiTheme="minorHAnsi"/>
          <w:color w:val="auto"/>
          <w:szCs w:val="24"/>
        </w:rPr>
        <w:t xml:space="preserve">  </w:t>
      </w:r>
      <w:r w:rsidRPr="00396779">
        <w:rPr>
          <w:rFonts w:asciiTheme="minorHAnsi" w:hAnsiTheme="minorHAnsi"/>
          <w:color w:val="auto"/>
          <w:szCs w:val="24"/>
        </w:rPr>
        <w:t xml:space="preserve">The Board recommends that the CI’s prior determination be modified </w:t>
      </w:r>
      <w:r w:rsidRPr="00B427BB">
        <w:rPr>
          <w:rFonts w:asciiTheme="minorHAnsi" w:hAnsiTheme="minorHAnsi"/>
          <w:color w:val="auto"/>
          <w:szCs w:val="24"/>
        </w:rPr>
        <w:t>as follows, effective as of the date of h</w:t>
      </w:r>
      <w:r w:rsidR="00D0356B">
        <w:rPr>
          <w:rFonts w:asciiTheme="minorHAnsi" w:hAnsiTheme="minorHAnsi"/>
          <w:color w:val="auto"/>
          <w:szCs w:val="24"/>
        </w:rPr>
        <w:t>er</w:t>
      </w:r>
      <w:r>
        <w:rPr>
          <w:rFonts w:asciiTheme="minorHAnsi" w:hAnsiTheme="minorHAnsi"/>
          <w:color w:val="auto"/>
          <w:szCs w:val="24"/>
        </w:rPr>
        <w:t xml:space="preserve"> prior medical separation:</w:t>
      </w:r>
    </w:p>
    <w:p w:rsidR="00685B66" w:rsidRDefault="00685B66" w:rsidP="00A02179">
      <w:pPr>
        <w:jc w:val="both"/>
        <w:rPr>
          <w:rFonts w:asciiTheme="minorHAnsi" w:hAnsiTheme="minorHAnsi"/>
          <w:color w:val="FF0000"/>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A02179">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A02179">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A02179">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80588E">
        <w:trPr>
          <w:jc w:val="center"/>
        </w:trPr>
        <w:tc>
          <w:tcPr>
            <w:tcW w:w="6282" w:type="dxa"/>
            <w:vAlign w:val="center"/>
          </w:tcPr>
          <w:p w:rsidR="00A95BBA" w:rsidRPr="001F29F9" w:rsidRDefault="00685B66" w:rsidP="00A02179">
            <w:pPr>
              <w:tabs>
                <w:tab w:val="left" w:pos="288"/>
                <w:tab w:val="left" w:pos="4752"/>
              </w:tabs>
              <w:jc w:val="left"/>
              <w:rPr>
                <w:color w:val="000000" w:themeColor="text1"/>
                <w:szCs w:val="24"/>
              </w:rPr>
            </w:pPr>
            <w:r>
              <w:rPr>
                <w:color w:val="000000" w:themeColor="text1"/>
                <w:szCs w:val="24"/>
              </w:rPr>
              <w:t>Right Shoulder Pain</w:t>
            </w:r>
            <w:r w:rsidR="00D0356B">
              <w:rPr>
                <w:color w:val="000000" w:themeColor="text1"/>
                <w:szCs w:val="24"/>
              </w:rPr>
              <w:t xml:space="preserve">, due to </w:t>
            </w:r>
            <w:proofErr w:type="spellStart"/>
            <w:r w:rsidR="00D0356B">
              <w:rPr>
                <w:color w:val="000000" w:themeColor="text1"/>
                <w:szCs w:val="24"/>
              </w:rPr>
              <w:t>Myofascial</w:t>
            </w:r>
            <w:proofErr w:type="spellEnd"/>
            <w:r w:rsidR="00D0356B">
              <w:rPr>
                <w:color w:val="000000" w:themeColor="text1"/>
                <w:szCs w:val="24"/>
              </w:rPr>
              <w:t xml:space="preserve"> Pain Syndrome</w:t>
            </w:r>
          </w:p>
        </w:tc>
        <w:tc>
          <w:tcPr>
            <w:tcW w:w="1710" w:type="dxa"/>
            <w:vAlign w:val="center"/>
          </w:tcPr>
          <w:p w:rsidR="00A95BBA" w:rsidRPr="001F29F9" w:rsidRDefault="00685B66" w:rsidP="00A02179">
            <w:pPr>
              <w:tabs>
                <w:tab w:val="left" w:pos="288"/>
                <w:tab w:val="left" w:pos="4752"/>
              </w:tabs>
              <w:rPr>
                <w:color w:val="000000" w:themeColor="text1"/>
                <w:szCs w:val="24"/>
              </w:rPr>
            </w:pPr>
            <w:r>
              <w:rPr>
                <w:color w:val="000000" w:themeColor="text1"/>
                <w:szCs w:val="24"/>
              </w:rPr>
              <w:t>5099-5021</w:t>
            </w:r>
          </w:p>
        </w:tc>
        <w:tc>
          <w:tcPr>
            <w:tcW w:w="1170" w:type="dxa"/>
            <w:vAlign w:val="center"/>
          </w:tcPr>
          <w:p w:rsidR="00A95BBA" w:rsidRPr="001F29F9" w:rsidRDefault="00685B66" w:rsidP="00A02179">
            <w:pPr>
              <w:tabs>
                <w:tab w:val="left" w:pos="288"/>
                <w:tab w:val="left" w:pos="4752"/>
              </w:tabs>
              <w:rPr>
                <w:color w:val="000000" w:themeColor="text1"/>
                <w:szCs w:val="24"/>
              </w:rPr>
            </w:pPr>
            <w:r>
              <w:rPr>
                <w:color w:val="000000" w:themeColor="text1"/>
                <w:szCs w:val="24"/>
              </w:rPr>
              <w:t>10</w:t>
            </w:r>
            <w:r w:rsidR="00A95BBA" w:rsidRPr="001F29F9">
              <w:rPr>
                <w:color w:val="000000" w:themeColor="text1"/>
                <w:szCs w:val="24"/>
              </w:rPr>
              <w:t>%</w:t>
            </w:r>
          </w:p>
        </w:tc>
      </w:tr>
      <w:tr w:rsidR="00685B66" w:rsidRPr="001F29F9" w:rsidTr="0080588E">
        <w:trPr>
          <w:jc w:val="center"/>
        </w:trPr>
        <w:tc>
          <w:tcPr>
            <w:tcW w:w="6282" w:type="dxa"/>
            <w:vAlign w:val="center"/>
          </w:tcPr>
          <w:p w:rsidR="00685B66" w:rsidRPr="00685B66" w:rsidRDefault="00A03DA7" w:rsidP="00A02179">
            <w:pPr>
              <w:tabs>
                <w:tab w:val="left" w:pos="288"/>
                <w:tab w:val="left" w:pos="4752"/>
              </w:tabs>
              <w:jc w:val="left"/>
              <w:rPr>
                <w:color w:val="000000" w:themeColor="text1"/>
                <w:szCs w:val="24"/>
              </w:rPr>
            </w:pPr>
            <w:r>
              <w:rPr>
                <w:color w:val="000000" w:themeColor="text1"/>
                <w:szCs w:val="24"/>
              </w:rPr>
              <w:t xml:space="preserve">Right </w:t>
            </w:r>
            <w:r w:rsidR="00685B66" w:rsidRPr="00685B66">
              <w:rPr>
                <w:color w:val="000000" w:themeColor="text1"/>
                <w:szCs w:val="24"/>
              </w:rPr>
              <w:t>Neck Pain</w:t>
            </w:r>
            <w:r w:rsidR="00D0356B">
              <w:rPr>
                <w:color w:val="000000" w:themeColor="text1"/>
                <w:szCs w:val="24"/>
              </w:rPr>
              <w:t xml:space="preserve">, due to </w:t>
            </w:r>
            <w:proofErr w:type="spellStart"/>
            <w:r w:rsidR="00D0356B">
              <w:rPr>
                <w:color w:val="000000" w:themeColor="text1"/>
                <w:szCs w:val="24"/>
              </w:rPr>
              <w:t>Myofascial</w:t>
            </w:r>
            <w:proofErr w:type="spellEnd"/>
            <w:r w:rsidR="00D0356B">
              <w:rPr>
                <w:color w:val="000000" w:themeColor="text1"/>
                <w:szCs w:val="24"/>
              </w:rPr>
              <w:t xml:space="preserve"> Pain Syndrome</w:t>
            </w:r>
          </w:p>
        </w:tc>
        <w:tc>
          <w:tcPr>
            <w:tcW w:w="1710" w:type="dxa"/>
            <w:vAlign w:val="center"/>
          </w:tcPr>
          <w:p w:rsidR="00685B66" w:rsidRPr="001F29F9" w:rsidRDefault="00685B66" w:rsidP="00A02179">
            <w:pPr>
              <w:tabs>
                <w:tab w:val="left" w:pos="288"/>
                <w:tab w:val="left" w:pos="4752"/>
              </w:tabs>
              <w:rPr>
                <w:color w:val="000000" w:themeColor="text1"/>
                <w:szCs w:val="24"/>
                <w:highlight w:val="yellow"/>
              </w:rPr>
            </w:pPr>
            <w:r w:rsidRPr="00685B66">
              <w:rPr>
                <w:color w:val="000000" w:themeColor="text1"/>
                <w:szCs w:val="24"/>
              </w:rPr>
              <w:t>5290-5021</w:t>
            </w:r>
          </w:p>
        </w:tc>
        <w:tc>
          <w:tcPr>
            <w:tcW w:w="1170" w:type="dxa"/>
            <w:vAlign w:val="center"/>
          </w:tcPr>
          <w:p w:rsidR="00685B66" w:rsidRPr="001F29F9" w:rsidRDefault="00685B66" w:rsidP="00A02179">
            <w:pPr>
              <w:tabs>
                <w:tab w:val="left" w:pos="288"/>
                <w:tab w:val="left" w:pos="4752"/>
              </w:tabs>
              <w:rPr>
                <w:color w:val="000000" w:themeColor="text1"/>
                <w:szCs w:val="24"/>
                <w:highlight w:val="yellow"/>
              </w:rPr>
            </w:pPr>
            <w:r w:rsidRPr="00685B66">
              <w:rPr>
                <w:color w:val="000000" w:themeColor="text1"/>
                <w:szCs w:val="24"/>
              </w:rPr>
              <w:t>10%</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A02179">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1F29F9" w:rsidRDefault="00685B66" w:rsidP="00A02179">
            <w:pPr>
              <w:tabs>
                <w:tab w:val="left" w:pos="288"/>
                <w:tab w:val="left" w:pos="4752"/>
              </w:tabs>
              <w:rPr>
                <w:b/>
                <w:color w:val="000000" w:themeColor="text1"/>
                <w:szCs w:val="24"/>
              </w:rPr>
            </w:pPr>
            <w:r>
              <w:rPr>
                <w:b/>
                <w:color w:val="000000" w:themeColor="text1"/>
                <w:szCs w:val="24"/>
              </w:rPr>
              <w:t>20</w:t>
            </w:r>
            <w:r w:rsidR="00A95BBA" w:rsidRPr="001F29F9">
              <w:rPr>
                <w:b/>
                <w:color w:val="000000" w:themeColor="text1"/>
                <w:szCs w:val="24"/>
              </w:rPr>
              <w:t>%</w:t>
            </w:r>
          </w:p>
        </w:tc>
      </w:tr>
    </w:tbl>
    <w:p w:rsidR="005B1D09" w:rsidRPr="001F29F9" w:rsidRDefault="005B1D09" w:rsidP="00A02179">
      <w:pPr>
        <w:pBdr>
          <w:bottom w:val="single" w:sz="12" w:space="1" w:color="auto"/>
        </w:pBdr>
        <w:tabs>
          <w:tab w:val="left" w:pos="288"/>
          <w:tab w:val="left" w:pos="4752"/>
        </w:tabs>
        <w:jc w:val="both"/>
        <w:rPr>
          <w:color w:val="000000" w:themeColor="text1"/>
        </w:rPr>
      </w:pPr>
    </w:p>
    <w:p w:rsidR="005B1D09" w:rsidRPr="001F29F9" w:rsidRDefault="005B1D09" w:rsidP="00A02179">
      <w:pPr>
        <w:rPr>
          <w:color w:val="000000" w:themeColor="text1"/>
          <w:szCs w:val="24"/>
        </w:rPr>
      </w:pPr>
    </w:p>
    <w:p w:rsidR="00D91DA6" w:rsidRPr="001F29F9" w:rsidRDefault="00FB1725" w:rsidP="00A02179">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A02179">
      <w:pPr>
        <w:tabs>
          <w:tab w:val="left" w:pos="288"/>
          <w:tab w:val="left" w:pos="4752"/>
        </w:tabs>
        <w:jc w:val="both"/>
        <w:rPr>
          <w:color w:val="000000" w:themeColor="text1"/>
        </w:rPr>
      </w:pPr>
    </w:p>
    <w:p w:rsidR="00114F20" w:rsidRPr="001F29F9" w:rsidRDefault="00FB1725" w:rsidP="00A02179">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134BEA">
        <w:rPr>
          <w:color w:val="000000" w:themeColor="text1"/>
          <w:szCs w:val="24"/>
        </w:rPr>
        <w:t>01130</w:t>
      </w:r>
      <w:r w:rsidR="006362D7">
        <w:rPr>
          <w:color w:val="000000" w:themeColor="text1"/>
        </w:rPr>
        <w:t>, w/</w:t>
      </w:r>
      <w:proofErr w:type="spellStart"/>
      <w:r w:rsidR="006362D7">
        <w:rPr>
          <w:color w:val="000000" w:themeColor="text1"/>
        </w:rPr>
        <w:t>atchs</w:t>
      </w:r>
      <w:proofErr w:type="spellEnd"/>
    </w:p>
    <w:p w:rsidR="00114F20" w:rsidRPr="001F29F9" w:rsidRDefault="00FB1725" w:rsidP="00A02179">
      <w:pPr>
        <w:tabs>
          <w:tab w:val="left" w:pos="288"/>
          <w:tab w:val="left" w:pos="4752"/>
        </w:tabs>
        <w:jc w:val="both"/>
        <w:rPr>
          <w:color w:val="000000" w:themeColor="text1"/>
        </w:rPr>
      </w:pPr>
      <w:r w:rsidRPr="001F29F9">
        <w:rPr>
          <w:color w:val="000000" w:themeColor="text1"/>
        </w:rPr>
        <w:t>Exhib</w:t>
      </w:r>
      <w:r w:rsidR="006362D7">
        <w:rPr>
          <w:color w:val="000000" w:themeColor="text1"/>
        </w:rPr>
        <w:t>it B.  Service Treatment Record</w:t>
      </w:r>
    </w:p>
    <w:p w:rsidR="00114F20" w:rsidRPr="001F29F9" w:rsidRDefault="00FB1725" w:rsidP="00A02179">
      <w:pPr>
        <w:tabs>
          <w:tab w:val="left" w:pos="288"/>
          <w:tab w:val="left" w:pos="4752"/>
        </w:tabs>
        <w:jc w:val="both"/>
        <w:rPr>
          <w:color w:val="000000" w:themeColor="text1"/>
        </w:rPr>
      </w:pPr>
      <w:r w:rsidRPr="001F29F9">
        <w:rPr>
          <w:color w:val="000000" w:themeColor="text1"/>
        </w:rPr>
        <w:t xml:space="preserve">Exhibit C.  Department of Veterans Affairs </w:t>
      </w:r>
      <w:r w:rsidR="006362D7">
        <w:rPr>
          <w:color w:val="000000" w:themeColor="text1"/>
        </w:rPr>
        <w:t>Treatment Record</w:t>
      </w:r>
    </w:p>
    <w:p w:rsidR="00D91DA6" w:rsidRPr="001F29F9" w:rsidRDefault="00D91DA6" w:rsidP="00A02179">
      <w:pPr>
        <w:tabs>
          <w:tab w:val="left" w:pos="288"/>
          <w:tab w:val="left" w:pos="4752"/>
        </w:tabs>
        <w:jc w:val="both"/>
        <w:rPr>
          <w:color w:val="000000" w:themeColor="text1"/>
        </w:rPr>
      </w:pPr>
    </w:p>
    <w:p w:rsidR="00114F20" w:rsidRPr="001F29F9" w:rsidRDefault="00114F20" w:rsidP="00A02179">
      <w:pPr>
        <w:tabs>
          <w:tab w:val="left" w:pos="288"/>
          <w:tab w:val="left" w:pos="4752"/>
        </w:tabs>
        <w:jc w:val="both"/>
        <w:rPr>
          <w:color w:val="000000" w:themeColor="text1"/>
        </w:rPr>
      </w:pPr>
    </w:p>
    <w:p w:rsidR="00114F20" w:rsidRPr="001F29F9" w:rsidRDefault="00114F20" w:rsidP="00A02179">
      <w:pPr>
        <w:tabs>
          <w:tab w:val="left" w:pos="288"/>
          <w:tab w:val="left" w:pos="4752"/>
        </w:tabs>
        <w:jc w:val="both"/>
        <w:rPr>
          <w:color w:val="000000" w:themeColor="text1"/>
        </w:rPr>
      </w:pPr>
    </w:p>
    <w:p w:rsidR="00114F20" w:rsidRPr="001F29F9" w:rsidRDefault="00114F20" w:rsidP="00A02179">
      <w:pPr>
        <w:tabs>
          <w:tab w:val="left" w:pos="288"/>
          <w:tab w:val="left" w:pos="4752"/>
        </w:tabs>
        <w:jc w:val="both"/>
        <w:rPr>
          <w:color w:val="000000" w:themeColor="text1"/>
        </w:rPr>
      </w:pPr>
    </w:p>
    <w:p w:rsidR="00E3077F" w:rsidRPr="001F29F9" w:rsidRDefault="00220FA9" w:rsidP="00A02179">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934E98">
        <w:rPr>
          <w:color w:val="000000" w:themeColor="text1"/>
          <w:szCs w:val="24"/>
        </w:rPr>
        <w:t>XXXXXXXXXXXXXXXXXX</w:t>
      </w:r>
    </w:p>
    <w:p w:rsidR="002F195B" w:rsidRPr="001F29F9" w:rsidRDefault="00220FA9" w:rsidP="00A02179">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Pr="001F29F9" w:rsidRDefault="002F195B" w:rsidP="00A02179">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DC1607" w:rsidRDefault="00DC1607" w:rsidP="00A02179">
      <w:pPr>
        <w:rPr>
          <w:color w:val="000000" w:themeColor="text1"/>
          <w:szCs w:val="24"/>
          <w:u w:val="single"/>
        </w:rPr>
      </w:pPr>
    </w:p>
    <w:p w:rsidR="00934E98" w:rsidRDefault="00934E98">
      <w:pPr>
        <w:rPr>
          <w:color w:val="000000" w:themeColor="text1"/>
          <w:szCs w:val="24"/>
          <w:u w:val="single"/>
        </w:rPr>
      </w:pPr>
      <w:r>
        <w:rPr>
          <w:color w:val="000000" w:themeColor="text1"/>
          <w:szCs w:val="24"/>
          <w:u w:val="single"/>
        </w:rPr>
        <w:br w:type="page"/>
      </w:r>
    </w:p>
    <w:p w:rsidR="00934E98" w:rsidRDefault="00934E98" w:rsidP="00934E98">
      <w:pPr>
        <w:sectPr w:rsidR="00934E98">
          <w:pgSz w:w="12240" w:h="15840"/>
          <w:pgMar w:top="2160" w:right="1440" w:bottom="1440" w:left="1440" w:header="720" w:footer="720" w:gutter="0"/>
          <w:cols w:space="720"/>
        </w:sectPr>
      </w:pPr>
    </w:p>
    <w:p w:rsidR="00934E98" w:rsidRDefault="00934E98" w:rsidP="00934E98">
      <w:pPr>
        <w:pStyle w:val="Header"/>
        <w:tabs>
          <w:tab w:val="left" w:pos="720"/>
        </w:tabs>
        <w:jc w:val="left"/>
      </w:pPr>
      <w:r>
        <w:lastRenderedPageBreak/>
        <w:t>SFMR-RB</w:t>
      </w:r>
      <w:r>
        <w:tab/>
      </w:r>
      <w:r>
        <w:tab/>
      </w:r>
      <w:r>
        <w:tab/>
      </w:r>
      <w:r>
        <w:tab/>
      </w:r>
      <w:r>
        <w:tab/>
      </w:r>
      <w:r>
        <w:tab/>
      </w:r>
      <w:r>
        <w:tab/>
      </w:r>
      <w:r>
        <w:tab/>
      </w:r>
      <w:r>
        <w:tab/>
      </w:r>
    </w:p>
    <w:p w:rsidR="00934E98" w:rsidRDefault="00934E98" w:rsidP="00934E98">
      <w:pPr>
        <w:pStyle w:val="Header"/>
        <w:tabs>
          <w:tab w:val="left" w:pos="720"/>
        </w:tabs>
        <w:jc w:val="left"/>
      </w:pPr>
    </w:p>
    <w:p w:rsidR="00934E98" w:rsidRDefault="00934E98" w:rsidP="00934E98">
      <w:pPr>
        <w:jc w:val="left"/>
      </w:pPr>
    </w:p>
    <w:p w:rsidR="00934E98" w:rsidRDefault="00934E98" w:rsidP="00934E98">
      <w:pPr>
        <w:jc w:val="left"/>
      </w:pPr>
      <w:r>
        <w:t xml:space="preserve">MEMORANDUM FOR Commander, US Army Physical Disability Agency </w:t>
      </w:r>
    </w:p>
    <w:p w:rsidR="00934E98" w:rsidRDefault="00934E98" w:rsidP="00934E98">
      <w:pPr>
        <w:jc w:val="left"/>
      </w:pPr>
      <w:r>
        <w:t xml:space="preserve">(TAPD-ZB </w:t>
      </w:r>
      <w:proofErr w:type="gramStart"/>
      <w:r>
        <w:t>/  )</w:t>
      </w:r>
      <w:proofErr w:type="gramEnd"/>
      <w:r>
        <w:t>, 2900 Crystal Drive, Suite 300, Arlington, VA  22202</w:t>
      </w:r>
    </w:p>
    <w:p w:rsidR="00934E98" w:rsidRDefault="00934E98" w:rsidP="00934E98">
      <w:pPr>
        <w:jc w:val="left"/>
      </w:pPr>
    </w:p>
    <w:p w:rsidR="00934E98" w:rsidRDefault="00934E98" w:rsidP="00934E98">
      <w:pPr>
        <w:ind w:right="-180"/>
        <w:jc w:val="left"/>
      </w:pPr>
      <w:r>
        <w:t xml:space="preserve">SUBJECT:  Department of Defense Physical Disability Board of Review Recommendation </w:t>
      </w:r>
    </w:p>
    <w:p w:rsidR="00934E98" w:rsidRDefault="00934E98" w:rsidP="00934E98">
      <w:pPr>
        <w:pStyle w:val="Header"/>
        <w:tabs>
          <w:tab w:val="left" w:pos="720"/>
        </w:tabs>
        <w:jc w:val="left"/>
      </w:pPr>
      <w:proofErr w:type="gramStart"/>
      <w:r>
        <w:t>for</w:t>
      </w:r>
      <w:proofErr w:type="gramEnd"/>
      <w:r>
        <w:t xml:space="preserve"> XXXXXXXXXXXXXXXXXXXXXXXXXXX, AR20120004762 (PD201001293)</w:t>
      </w:r>
    </w:p>
    <w:p w:rsidR="00934E98" w:rsidRDefault="00934E98" w:rsidP="00934E98">
      <w:pPr>
        <w:pStyle w:val="Header"/>
        <w:tabs>
          <w:tab w:val="left" w:pos="720"/>
        </w:tabs>
        <w:jc w:val="left"/>
      </w:pPr>
    </w:p>
    <w:p w:rsidR="00934E98" w:rsidRDefault="00934E98" w:rsidP="00934E98">
      <w:pPr>
        <w:jc w:val="left"/>
      </w:pPr>
    </w:p>
    <w:p w:rsidR="00934E98" w:rsidRDefault="00934E98" w:rsidP="00934E98">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934E98" w:rsidRDefault="00934E98" w:rsidP="00934E98">
      <w:pPr>
        <w:jc w:val="left"/>
      </w:pPr>
    </w:p>
    <w:p w:rsidR="00934E98" w:rsidRDefault="00934E98" w:rsidP="00934E98">
      <w:pPr>
        <w:jc w:val="left"/>
      </w:pPr>
      <w:r>
        <w:t xml:space="preserve">2.  I direct that all the Department of the Army records of the individual concerned be corrected accordingly no later than 120 days from the date of this memorandum.   </w:t>
      </w:r>
    </w:p>
    <w:p w:rsidR="00934E98" w:rsidRDefault="00934E98" w:rsidP="00934E98">
      <w:pPr>
        <w:jc w:val="left"/>
      </w:pPr>
    </w:p>
    <w:p w:rsidR="00934E98" w:rsidRDefault="00934E98" w:rsidP="00934E98">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934E98" w:rsidRDefault="00934E98" w:rsidP="00934E98">
      <w:pPr>
        <w:jc w:val="left"/>
      </w:pPr>
    </w:p>
    <w:p w:rsidR="00934E98" w:rsidRDefault="00934E98" w:rsidP="00934E98">
      <w:pPr>
        <w:jc w:val="left"/>
      </w:pPr>
      <w:r>
        <w:t xml:space="preserve"> BY ORDER OF THE SECRETARY OF THE ARMY:</w:t>
      </w:r>
    </w:p>
    <w:p w:rsidR="00934E98" w:rsidRDefault="00934E98" w:rsidP="00934E98">
      <w:pPr>
        <w:jc w:val="left"/>
      </w:pPr>
    </w:p>
    <w:p w:rsidR="00934E98" w:rsidRDefault="00934E98" w:rsidP="00934E98">
      <w:pPr>
        <w:jc w:val="left"/>
      </w:pPr>
    </w:p>
    <w:p w:rsidR="00934E98" w:rsidRDefault="00934E98" w:rsidP="00934E98">
      <w:pPr>
        <w:pStyle w:val="Header"/>
        <w:tabs>
          <w:tab w:val="left" w:pos="720"/>
        </w:tabs>
        <w:jc w:val="left"/>
      </w:pPr>
    </w:p>
    <w:p w:rsidR="00934E98" w:rsidRDefault="00934E98" w:rsidP="00934E98">
      <w:pPr>
        <w:jc w:val="left"/>
      </w:pPr>
    </w:p>
    <w:p w:rsidR="00934E98" w:rsidRDefault="00934E98" w:rsidP="00934E98">
      <w:pPr>
        <w:jc w:val="left"/>
      </w:pPr>
      <w:bookmarkStart w:id="0" w:name="OLE_LINK4"/>
      <w:bookmarkStart w:id="1" w:name="OLE_LINK3"/>
      <w:r>
        <w:t>Encl</w:t>
      </w:r>
      <w:r>
        <w:tab/>
      </w:r>
      <w:r>
        <w:tab/>
      </w:r>
      <w:r>
        <w:tab/>
      </w:r>
      <w:r>
        <w:tab/>
      </w:r>
      <w:r>
        <w:tab/>
      </w:r>
      <w:r>
        <w:tab/>
        <w:t xml:space="preserve">     XXXXXXXXXXXXXXXXX</w:t>
      </w:r>
    </w:p>
    <w:p w:rsidR="00934E98" w:rsidRDefault="00934E98" w:rsidP="00934E98">
      <w:pPr>
        <w:jc w:val="left"/>
      </w:pPr>
      <w:r>
        <w:tab/>
      </w:r>
      <w:r>
        <w:tab/>
      </w:r>
      <w:r>
        <w:tab/>
      </w:r>
      <w:r>
        <w:tab/>
      </w:r>
      <w:r>
        <w:tab/>
      </w:r>
      <w:r>
        <w:tab/>
        <w:t xml:space="preserve">     Deputy Assistant Secretary</w:t>
      </w:r>
    </w:p>
    <w:p w:rsidR="00934E98" w:rsidRDefault="00934E98" w:rsidP="00934E98">
      <w:pPr>
        <w:jc w:val="left"/>
      </w:pPr>
      <w:r>
        <w:tab/>
      </w:r>
      <w:r>
        <w:tab/>
      </w:r>
      <w:r>
        <w:tab/>
      </w:r>
      <w:r>
        <w:tab/>
      </w:r>
      <w:r>
        <w:tab/>
      </w:r>
      <w:r>
        <w:tab/>
        <w:t xml:space="preserve">         (Army Review Boards)</w:t>
      </w:r>
      <w:bookmarkEnd w:id="0"/>
      <w:bookmarkEnd w:id="1"/>
    </w:p>
    <w:p w:rsidR="00934E98" w:rsidRDefault="00934E98" w:rsidP="00934E98">
      <w:pPr>
        <w:jc w:val="left"/>
      </w:pPr>
    </w:p>
    <w:p w:rsidR="00934E98" w:rsidRDefault="00934E98" w:rsidP="00934E98">
      <w:pPr>
        <w:jc w:val="left"/>
      </w:pPr>
      <w:r>
        <w:t xml:space="preserve">CF: </w:t>
      </w:r>
    </w:p>
    <w:p w:rsidR="00934E98" w:rsidRDefault="00934E98" w:rsidP="00934E98">
      <w:pPr>
        <w:jc w:val="left"/>
      </w:pPr>
      <w:r>
        <w:t xml:space="preserve">(  ) </w:t>
      </w:r>
      <w:proofErr w:type="spellStart"/>
      <w:proofErr w:type="gramStart"/>
      <w:r>
        <w:t>DoD</w:t>
      </w:r>
      <w:proofErr w:type="spellEnd"/>
      <w:proofErr w:type="gramEnd"/>
      <w:r>
        <w:t xml:space="preserve"> PDBR</w:t>
      </w:r>
    </w:p>
    <w:p w:rsidR="00934E98" w:rsidRDefault="00934E98" w:rsidP="00934E98">
      <w:pPr>
        <w:jc w:val="left"/>
      </w:pPr>
      <w:r>
        <w:t>(  ) DVA</w:t>
      </w:r>
    </w:p>
    <w:p w:rsidR="00DC1607" w:rsidRPr="00DC1607" w:rsidRDefault="00DC1607" w:rsidP="00934E98">
      <w:pPr>
        <w:jc w:val="left"/>
        <w:rPr>
          <w:color w:val="000000" w:themeColor="text1"/>
          <w:szCs w:val="24"/>
          <w:u w:val="single"/>
        </w:rPr>
      </w:pPr>
    </w:p>
    <w:sectPr w:rsidR="00DC1607" w:rsidRPr="00DC1607"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48F" w:rsidRDefault="0089248F">
      <w:r>
        <w:separator/>
      </w:r>
    </w:p>
  </w:endnote>
  <w:endnote w:type="continuationSeparator" w:id="0">
    <w:p w:rsidR="0089248F" w:rsidRDefault="008924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9560AD" w:rsidRPr="00374247" w:rsidRDefault="009560AD" w:rsidP="00374247">
        <w:pPr>
          <w:pStyle w:val="Footer"/>
          <w:ind w:firstLine="4320"/>
          <w:rPr>
            <w:color w:val="auto"/>
            <w:szCs w:val="24"/>
          </w:rPr>
        </w:pPr>
        <w:r w:rsidRPr="00374247">
          <w:rPr>
            <w:color w:val="auto"/>
            <w:szCs w:val="24"/>
          </w:rPr>
          <w:t xml:space="preserve">   </w:t>
        </w:r>
        <w:r w:rsidR="004644DE" w:rsidRPr="00374247">
          <w:rPr>
            <w:color w:val="auto"/>
            <w:szCs w:val="24"/>
          </w:rPr>
          <w:fldChar w:fldCharType="begin"/>
        </w:r>
        <w:r w:rsidRPr="00374247">
          <w:rPr>
            <w:color w:val="auto"/>
            <w:szCs w:val="24"/>
          </w:rPr>
          <w:instrText xml:space="preserve"> PAGE   \* MERGEFORMAT </w:instrText>
        </w:r>
        <w:r w:rsidR="004644DE" w:rsidRPr="00374247">
          <w:rPr>
            <w:color w:val="auto"/>
            <w:szCs w:val="24"/>
          </w:rPr>
          <w:fldChar w:fldCharType="separate"/>
        </w:r>
        <w:r w:rsidR="00934E98" w:rsidRPr="00934E98">
          <w:rPr>
            <w:noProof/>
            <w:color w:val="auto"/>
          </w:rPr>
          <w:t>5</w:t>
        </w:r>
        <w:r w:rsidR="004644DE"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001293</w:t>
        </w:r>
      </w:p>
    </w:sdtContent>
  </w:sdt>
  <w:p w:rsidR="009560AD" w:rsidRPr="00684CE6" w:rsidRDefault="009560AD">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48F" w:rsidRDefault="0089248F">
      <w:r>
        <w:separator/>
      </w:r>
    </w:p>
  </w:footnote>
  <w:footnote w:type="continuationSeparator" w:id="0">
    <w:p w:rsidR="0089248F" w:rsidRDefault="008924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0113"/>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5C0A"/>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154B"/>
    <w:rsid w:val="00092619"/>
    <w:rsid w:val="00092C66"/>
    <w:rsid w:val="00094549"/>
    <w:rsid w:val="000949DD"/>
    <w:rsid w:val="00094E4F"/>
    <w:rsid w:val="000A2BCE"/>
    <w:rsid w:val="000A31E2"/>
    <w:rsid w:val="000A33C8"/>
    <w:rsid w:val="000A41E3"/>
    <w:rsid w:val="000A4BBA"/>
    <w:rsid w:val="000A5071"/>
    <w:rsid w:val="000B0AD2"/>
    <w:rsid w:val="000B1022"/>
    <w:rsid w:val="000B2FB8"/>
    <w:rsid w:val="000B471C"/>
    <w:rsid w:val="000B4C99"/>
    <w:rsid w:val="000B7A99"/>
    <w:rsid w:val="000C06F6"/>
    <w:rsid w:val="000C15F8"/>
    <w:rsid w:val="000C1D34"/>
    <w:rsid w:val="000C2362"/>
    <w:rsid w:val="000C2FA8"/>
    <w:rsid w:val="000C3C13"/>
    <w:rsid w:val="000C4D5F"/>
    <w:rsid w:val="000C53F9"/>
    <w:rsid w:val="000C5813"/>
    <w:rsid w:val="000C685F"/>
    <w:rsid w:val="000C714C"/>
    <w:rsid w:val="000C7161"/>
    <w:rsid w:val="000C75CF"/>
    <w:rsid w:val="000C7B83"/>
    <w:rsid w:val="000C7DE4"/>
    <w:rsid w:val="000D0473"/>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0F7AFF"/>
    <w:rsid w:val="000F7DCA"/>
    <w:rsid w:val="001007CE"/>
    <w:rsid w:val="001008C1"/>
    <w:rsid w:val="001023DB"/>
    <w:rsid w:val="00102B8D"/>
    <w:rsid w:val="00102BBE"/>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16386"/>
    <w:rsid w:val="001211AF"/>
    <w:rsid w:val="001215DF"/>
    <w:rsid w:val="001219DF"/>
    <w:rsid w:val="0012220B"/>
    <w:rsid w:val="00122ABE"/>
    <w:rsid w:val="001231DC"/>
    <w:rsid w:val="0012453A"/>
    <w:rsid w:val="0012489B"/>
    <w:rsid w:val="001272AE"/>
    <w:rsid w:val="00130756"/>
    <w:rsid w:val="001315DD"/>
    <w:rsid w:val="00134298"/>
    <w:rsid w:val="00134BEA"/>
    <w:rsid w:val="0013525F"/>
    <w:rsid w:val="00135385"/>
    <w:rsid w:val="00136204"/>
    <w:rsid w:val="001364D1"/>
    <w:rsid w:val="001374C7"/>
    <w:rsid w:val="00140FA4"/>
    <w:rsid w:val="00141BC9"/>
    <w:rsid w:val="001421FD"/>
    <w:rsid w:val="001425C8"/>
    <w:rsid w:val="00142EBA"/>
    <w:rsid w:val="00143B79"/>
    <w:rsid w:val="00145965"/>
    <w:rsid w:val="00147521"/>
    <w:rsid w:val="00150B8A"/>
    <w:rsid w:val="00150DCB"/>
    <w:rsid w:val="00151912"/>
    <w:rsid w:val="00153740"/>
    <w:rsid w:val="001537D8"/>
    <w:rsid w:val="00153D88"/>
    <w:rsid w:val="001541C5"/>
    <w:rsid w:val="0015623F"/>
    <w:rsid w:val="00156585"/>
    <w:rsid w:val="00156BA9"/>
    <w:rsid w:val="00161642"/>
    <w:rsid w:val="00161761"/>
    <w:rsid w:val="00163DD0"/>
    <w:rsid w:val="00166182"/>
    <w:rsid w:val="0017038B"/>
    <w:rsid w:val="00170B63"/>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1D64"/>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6631"/>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322"/>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4A51"/>
    <w:rsid w:val="00205B4F"/>
    <w:rsid w:val="002060B6"/>
    <w:rsid w:val="002066B5"/>
    <w:rsid w:val="00207140"/>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58CE"/>
    <w:rsid w:val="00246860"/>
    <w:rsid w:val="002468D9"/>
    <w:rsid w:val="00246995"/>
    <w:rsid w:val="00246DFF"/>
    <w:rsid w:val="00246E89"/>
    <w:rsid w:val="0025126C"/>
    <w:rsid w:val="0025183C"/>
    <w:rsid w:val="00252351"/>
    <w:rsid w:val="002528EC"/>
    <w:rsid w:val="00253EAA"/>
    <w:rsid w:val="00255049"/>
    <w:rsid w:val="00257538"/>
    <w:rsid w:val="00257AFF"/>
    <w:rsid w:val="00257DE5"/>
    <w:rsid w:val="00260531"/>
    <w:rsid w:val="00260B9A"/>
    <w:rsid w:val="00262EA5"/>
    <w:rsid w:val="0026318D"/>
    <w:rsid w:val="00264148"/>
    <w:rsid w:val="00264BA5"/>
    <w:rsid w:val="002660AF"/>
    <w:rsid w:val="00270864"/>
    <w:rsid w:val="002712F7"/>
    <w:rsid w:val="0027159C"/>
    <w:rsid w:val="002722F2"/>
    <w:rsid w:val="00274549"/>
    <w:rsid w:val="00274E46"/>
    <w:rsid w:val="002752AE"/>
    <w:rsid w:val="00275AFD"/>
    <w:rsid w:val="002769AF"/>
    <w:rsid w:val="00276C86"/>
    <w:rsid w:val="00276FD0"/>
    <w:rsid w:val="00277217"/>
    <w:rsid w:val="00280BD3"/>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8DA"/>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6"/>
    <w:rsid w:val="002F0D6A"/>
    <w:rsid w:val="002F0E28"/>
    <w:rsid w:val="002F195B"/>
    <w:rsid w:val="002F287E"/>
    <w:rsid w:val="002F2981"/>
    <w:rsid w:val="002F2D63"/>
    <w:rsid w:val="002F6AD8"/>
    <w:rsid w:val="002F7F81"/>
    <w:rsid w:val="00300A36"/>
    <w:rsid w:val="00301B45"/>
    <w:rsid w:val="003052D9"/>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47F8"/>
    <w:rsid w:val="0033555E"/>
    <w:rsid w:val="0033601F"/>
    <w:rsid w:val="00336805"/>
    <w:rsid w:val="0033688C"/>
    <w:rsid w:val="00337351"/>
    <w:rsid w:val="00341A54"/>
    <w:rsid w:val="003423AA"/>
    <w:rsid w:val="00344A4F"/>
    <w:rsid w:val="00344D17"/>
    <w:rsid w:val="0034669F"/>
    <w:rsid w:val="003470C4"/>
    <w:rsid w:val="00351498"/>
    <w:rsid w:val="00352B22"/>
    <w:rsid w:val="00352CBF"/>
    <w:rsid w:val="00353915"/>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3CDB"/>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AD0"/>
    <w:rsid w:val="00380FD4"/>
    <w:rsid w:val="00381E16"/>
    <w:rsid w:val="003821E1"/>
    <w:rsid w:val="003840F6"/>
    <w:rsid w:val="00384866"/>
    <w:rsid w:val="003851BA"/>
    <w:rsid w:val="003853A0"/>
    <w:rsid w:val="003857D4"/>
    <w:rsid w:val="00385D6F"/>
    <w:rsid w:val="00386D43"/>
    <w:rsid w:val="00387095"/>
    <w:rsid w:val="003874BC"/>
    <w:rsid w:val="00387E95"/>
    <w:rsid w:val="00390092"/>
    <w:rsid w:val="00390CFA"/>
    <w:rsid w:val="00391858"/>
    <w:rsid w:val="00393651"/>
    <w:rsid w:val="00393D7D"/>
    <w:rsid w:val="00394926"/>
    <w:rsid w:val="00394FF9"/>
    <w:rsid w:val="00395651"/>
    <w:rsid w:val="00395A5B"/>
    <w:rsid w:val="00395E12"/>
    <w:rsid w:val="003962A8"/>
    <w:rsid w:val="00396779"/>
    <w:rsid w:val="00397DB7"/>
    <w:rsid w:val="003A227E"/>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15DA"/>
    <w:rsid w:val="003C247E"/>
    <w:rsid w:val="003C294B"/>
    <w:rsid w:val="003C5046"/>
    <w:rsid w:val="003C53E8"/>
    <w:rsid w:val="003C5B54"/>
    <w:rsid w:val="003C6068"/>
    <w:rsid w:val="003C7AEC"/>
    <w:rsid w:val="003D2BA3"/>
    <w:rsid w:val="003D316B"/>
    <w:rsid w:val="003D3C22"/>
    <w:rsid w:val="003D541B"/>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E687D"/>
    <w:rsid w:val="003F070E"/>
    <w:rsid w:val="003F1206"/>
    <w:rsid w:val="003F2418"/>
    <w:rsid w:val="003F28DB"/>
    <w:rsid w:val="003F2EEE"/>
    <w:rsid w:val="003F58B0"/>
    <w:rsid w:val="003F776F"/>
    <w:rsid w:val="004007E9"/>
    <w:rsid w:val="00400810"/>
    <w:rsid w:val="00400D07"/>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3DD"/>
    <w:rsid w:val="004226E3"/>
    <w:rsid w:val="00422B75"/>
    <w:rsid w:val="00423873"/>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37E80"/>
    <w:rsid w:val="00440CBC"/>
    <w:rsid w:val="00441D99"/>
    <w:rsid w:val="004435BE"/>
    <w:rsid w:val="0044384F"/>
    <w:rsid w:val="0044411E"/>
    <w:rsid w:val="00444472"/>
    <w:rsid w:val="00444B93"/>
    <w:rsid w:val="00444F80"/>
    <w:rsid w:val="00445599"/>
    <w:rsid w:val="00446018"/>
    <w:rsid w:val="0044769D"/>
    <w:rsid w:val="0045027B"/>
    <w:rsid w:val="004504E7"/>
    <w:rsid w:val="00451EA5"/>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4DE"/>
    <w:rsid w:val="004647EB"/>
    <w:rsid w:val="004657B5"/>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26E"/>
    <w:rsid w:val="004A0C79"/>
    <w:rsid w:val="004A24D2"/>
    <w:rsid w:val="004A3214"/>
    <w:rsid w:val="004A4136"/>
    <w:rsid w:val="004A417B"/>
    <w:rsid w:val="004A4378"/>
    <w:rsid w:val="004A443F"/>
    <w:rsid w:val="004A712D"/>
    <w:rsid w:val="004A7C03"/>
    <w:rsid w:val="004B03F3"/>
    <w:rsid w:val="004B0CC9"/>
    <w:rsid w:val="004B1B3C"/>
    <w:rsid w:val="004B2536"/>
    <w:rsid w:val="004B46D7"/>
    <w:rsid w:val="004B4D9A"/>
    <w:rsid w:val="004B6AF3"/>
    <w:rsid w:val="004B6F1F"/>
    <w:rsid w:val="004B715E"/>
    <w:rsid w:val="004B7169"/>
    <w:rsid w:val="004B79C9"/>
    <w:rsid w:val="004C00DD"/>
    <w:rsid w:val="004C05CF"/>
    <w:rsid w:val="004C0776"/>
    <w:rsid w:val="004C1EF8"/>
    <w:rsid w:val="004C2063"/>
    <w:rsid w:val="004C24C5"/>
    <w:rsid w:val="004C2645"/>
    <w:rsid w:val="004C3278"/>
    <w:rsid w:val="004C47D5"/>
    <w:rsid w:val="004C4CAF"/>
    <w:rsid w:val="004C5E33"/>
    <w:rsid w:val="004C60A3"/>
    <w:rsid w:val="004C6CDA"/>
    <w:rsid w:val="004D10D4"/>
    <w:rsid w:val="004D16BD"/>
    <w:rsid w:val="004D18E2"/>
    <w:rsid w:val="004D2AAB"/>
    <w:rsid w:val="004D3C7F"/>
    <w:rsid w:val="004D42CB"/>
    <w:rsid w:val="004D6E90"/>
    <w:rsid w:val="004D6F2B"/>
    <w:rsid w:val="004E0248"/>
    <w:rsid w:val="004E10D7"/>
    <w:rsid w:val="004E21A3"/>
    <w:rsid w:val="004E32EA"/>
    <w:rsid w:val="004E3517"/>
    <w:rsid w:val="004E6866"/>
    <w:rsid w:val="004F0C58"/>
    <w:rsid w:val="004F3222"/>
    <w:rsid w:val="004F3639"/>
    <w:rsid w:val="004F3BFA"/>
    <w:rsid w:val="004F4E3C"/>
    <w:rsid w:val="004F5A1A"/>
    <w:rsid w:val="004F6788"/>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36D"/>
    <w:rsid w:val="00514449"/>
    <w:rsid w:val="00514D23"/>
    <w:rsid w:val="00515419"/>
    <w:rsid w:val="005157BD"/>
    <w:rsid w:val="00515C87"/>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65604"/>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3458"/>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2FF"/>
    <w:rsid w:val="005A7D5D"/>
    <w:rsid w:val="005B0040"/>
    <w:rsid w:val="005B011A"/>
    <w:rsid w:val="005B0283"/>
    <w:rsid w:val="005B17B7"/>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0B8A"/>
    <w:rsid w:val="005F1115"/>
    <w:rsid w:val="005F1AB6"/>
    <w:rsid w:val="005F27F2"/>
    <w:rsid w:val="005F2B27"/>
    <w:rsid w:val="005F3567"/>
    <w:rsid w:val="005F3AFE"/>
    <w:rsid w:val="005F424D"/>
    <w:rsid w:val="005F55F5"/>
    <w:rsid w:val="005F5EC1"/>
    <w:rsid w:val="005F67A9"/>
    <w:rsid w:val="005F6B6D"/>
    <w:rsid w:val="005F73CA"/>
    <w:rsid w:val="006008F8"/>
    <w:rsid w:val="0060132F"/>
    <w:rsid w:val="00602997"/>
    <w:rsid w:val="006036C2"/>
    <w:rsid w:val="00604321"/>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2D7"/>
    <w:rsid w:val="006364ED"/>
    <w:rsid w:val="00637063"/>
    <w:rsid w:val="0063737C"/>
    <w:rsid w:val="006377A1"/>
    <w:rsid w:val="00637BDC"/>
    <w:rsid w:val="00640363"/>
    <w:rsid w:val="00640622"/>
    <w:rsid w:val="00640711"/>
    <w:rsid w:val="006418C9"/>
    <w:rsid w:val="00642BD6"/>
    <w:rsid w:val="00643C8F"/>
    <w:rsid w:val="00645046"/>
    <w:rsid w:val="0064527A"/>
    <w:rsid w:val="006458FD"/>
    <w:rsid w:val="00645DE8"/>
    <w:rsid w:val="00645EA2"/>
    <w:rsid w:val="00646287"/>
    <w:rsid w:val="00646F0D"/>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5B66"/>
    <w:rsid w:val="006874B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CD7"/>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424"/>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6FFC"/>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239"/>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586"/>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6140"/>
    <w:rsid w:val="0080064F"/>
    <w:rsid w:val="00801B85"/>
    <w:rsid w:val="00803850"/>
    <w:rsid w:val="008039E8"/>
    <w:rsid w:val="00804385"/>
    <w:rsid w:val="00804E0E"/>
    <w:rsid w:val="008051EB"/>
    <w:rsid w:val="0080588E"/>
    <w:rsid w:val="00805AFD"/>
    <w:rsid w:val="00806397"/>
    <w:rsid w:val="008078D8"/>
    <w:rsid w:val="0080798E"/>
    <w:rsid w:val="0081033C"/>
    <w:rsid w:val="00811BD9"/>
    <w:rsid w:val="00811D5B"/>
    <w:rsid w:val="00813C51"/>
    <w:rsid w:val="008140E6"/>
    <w:rsid w:val="00816CCB"/>
    <w:rsid w:val="00817572"/>
    <w:rsid w:val="00817713"/>
    <w:rsid w:val="008208C3"/>
    <w:rsid w:val="008220F1"/>
    <w:rsid w:val="0082340B"/>
    <w:rsid w:val="00823D6A"/>
    <w:rsid w:val="00827509"/>
    <w:rsid w:val="00827B29"/>
    <w:rsid w:val="00827DB6"/>
    <w:rsid w:val="008304B2"/>
    <w:rsid w:val="00830999"/>
    <w:rsid w:val="00830D5E"/>
    <w:rsid w:val="00830F69"/>
    <w:rsid w:val="00831940"/>
    <w:rsid w:val="008324D9"/>
    <w:rsid w:val="00833418"/>
    <w:rsid w:val="0083387F"/>
    <w:rsid w:val="00834458"/>
    <w:rsid w:val="00834AEA"/>
    <w:rsid w:val="008351E6"/>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232D"/>
    <w:rsid w:val="0087566D"/>
    <w:rsid w:val="00875B50"/>
    <w:rsid w:val="00875B51"/>
    <w:rsid w:val="00875F2D"/>
    <w:rsid w:val="008762E7"/>
    <w:rsid w:val="008764DC"/>
    <w:rsid w:val="00882090"/>
    <w:rsid w:val="00882CC2"/>
    <w:rsid w:val="00883103"/>
    <w:rsid w:val="0088325A"/>
    <w:rsid w:val="00883930"/>
    <w:rsid w:val="00884535"/>
    <w:rsid w:val="008902BE"/>
    <w:rsid w:val="0089038F"/>
    <w:rsid w:val="00890CDA"/>
    <w:rsid w:val="00891BBA"/>
    <w:rsid w:val="00892079"/>
    <w:rsid w:val="0089248F"/>
    <w:rsid w:val="00892B90"/>
    <w:rsid w:val="00896535"/>
    <w:rsid w:val="00896683"/>
    <w:rsid w:val="00896E71"/>
    <w:rsid w:val="0089750B"/>
    <w:rsid w:val="00897589"/>
    <w:rsid w:val="00897D4C"/>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507"/>
    <w:rsid w:val="008B6705"/>
    <w:rsid w:val="008C22F3"/>
    <w:rsid w:val="008C3223"/>
    <w:rsid w:val="008C3FD0"/>
    <w:rsid w:val="008C4F01"/>
    <w:rsid w:val="008C5152"/>
    <w:rsid w:val="008C5607"/>
    <w:rsid w:val="008C62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0814"/>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268F"/>
    <w:rsid w:val="00923B25"/>
    <w:rsid w:val="0092402E"/>
    <w:rsid w:val="009259BA"/>
    <w:rsid w:val="00926FCB"/>
    <w:rsid w:val="009303BB"/>
    <w:rsid w:val="0093108A"/>
    <w:rsid w:val="00931B6D"/>
    <w:rsid w:val="0093311A"/>
    <w:rsid w:val="009346D0"/>
    <w:rsid w:val="00934E98"/>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60AD"/>
    <w:rsid w:val="009576BC"/>
    <w:rsid w:val="00957899"/>
    <w:rsid w:val="00957927"/>
    <w:rsid w:val="00960357"/>
    <w:rsid w:val="0096168C"/>
    <w:rsid w:val="00961840"/>
    <w:rsid w:val="009625E3"/>
    <w:rsid w:val="00962F2D"/>
    <w:rsid w:val="00963A7A"/>
    <w:rsid w:val="00966FD3"/>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900"/>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179"/>
    <w:rsid w:val="00A02457"/>
    <w:rsid w:val="00A02AA8"/>
    <w:rsid w:val="00A03190"/>
    <w:rsid w:val="00A03A9E"/>
    <w:rsid w:val="00A03DA7"/>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51A3"/>
    <w:rsid w:val="00A40356"/>
    <w:rsid w:val="00A40FFB"/>
    <w:rsid w:val="00A41468"/>
    <w:rsid w:val="00A414A9"/>
    <w:rsid w:val="00A44141"/>
    <w:rsid w:val="00A44CCA"/>
    <w:rsid w:val="00A44D75"/>
    <w:rsid w:val="00A47CF1"/>
    <w:rsid w:val="00A50418"/>
    <w:rsid w:val="00A50B17"/>
    <w:rsid w:val="00A53A9B"/>
    <w:rsid w:val="00A53FC7"/>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4C9D"/>
    <w:rsid w:val="00A959E7"/>
    <w:rsid w:val="00A95BBA"/>
    <w:rsid w:val="00A961EE"/>
    <w:rsid w:val="00A96559"/>
    <w:rsid w:val="00A97B11"/>
    <w:rsid w:val="00A97B20"/>
    <w:rsid w:val="00A97CD9"/>
    <w:rsid w:val="00AA020A"/>
    <w:rsid w:val="00AA04B3"/>
    <w:rsid w:val="00AA1253"/>
    <w:rsid w:val="00AA1ED0"/>
    <w:rsid w:val="00AA1F5B"/>
    <w:rsid w:val="00AA28EF"/>
    <w:rsid w:val="00AA32E8"/>
    <w:rsid w:val="00AA3593"/>
    <w:rsid w:val="00AA38CA"/>
    <w:rsid w:val="00AA493E"/>
    <w:rsid w:val="00AA73AF"/>
    <w:rsid w:val="00AB062D"/>
    <w:rsid w:val="00AB0A8A"/>
    <w:rsid w:val="00AB1754"/>
    <w:rsid w:val="00AB1F8D"/>
    <w:rsid w:val="00AB27DD"/>
    <w:rsid w:val="00AB4BA4"/>
    <w:rsid w:val="00AB53BC"/>
    <w:rsid w:val="00AB592E"/>
    <w:rsid w:val="00AC0C1C"/>
    <w:rsid w:val="00AC1305"/>
    <w:rsid w:val="00AC37BE"/>
    <w:rsid w:val="00AC439D"/>
    <w:rsid w:val="00AC59F2"/>
    <w:rsid w:val="00AC62CC"/>
    <w:rsid w:val="00AC713F"/>
    <w:rsid w:val="00AC7329"/>
    <w:rsid w:val="00AC7D96"/>
    <w:rsid w:val="00AD00E4"/>
    <w:rsid w:val="00AD067E"/>
    <w:rsid w:val="00AD168B"/>
    <w:rsid w:val="00AD1843"/>
    <w:rsid w:val="00AD1B4E"/>
    <w:rsid w:val="00AD2801"/>
    <w:rsid w:val="00AD3496"/>
    <w:rsid w:val="00AD426A"/>
    <w:rsid w:val="00AD49A1"/>
    <w:rsid w:val="00AD5771"/>
    <w:rsid w:val="00AD6490"/>
    <w:rsid w:val="00AD6870"/>
    <w:rsid w:val="00AD68C5"/>
    <w:rsid w:val="00AD754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3534"/>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5B1D"/>
    <w:rsid w:val="00B26354"/>
    <w:rsid w:val="00B26CA0"/>
    <w:rsid w:val="00B27551"/>
    <w:rsid w:val="00B300BD"/>
    <w:rsid w:val="00B31965"/>
    <w:rsid w:val="00B32179"/>
    <w:rsid w:val="00B32341"/>
    <w:rsid w:val="00B32685"/>
    <w:rsid w:val="00B32C2B"/>
    <w:rsid w:val="00B33007"/>
    <w:rsid w:val="00B331A9"/>
    <w:rsid w:val="00B33498"/>
    <w:rsid w:val="00B33598"/>
    <w:rsid w:val="00B3575C"/>
    <w:rsid w:val="00B36569"/>
    <w:rsid w:val="00B369A6"/>
    <w:rsid w:val="00B37345"/>
    <w:rsid w:val="00B37F53"/>
    <w:rsid w:val="00B40A05"/>
    <w:rsid w:val="00B40A3E"/>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B01"/>
    <w:rsid w:val="00B57E78"/>
    <w:rsid w:val="00B57EB8"/>
    <w:rsid w:val="00B609F6"/>
    <w:rsid w:val="00B60E75"/>
    <w:rsid w:val="00B643A6"/>
    <w:rsid w:val="00B64DD6"/>
    <w:rsid w:val="00B66505"/>
    <w:rsid w:val="00B6710C"/>
    <w:rsid w:val="00B67E84"/>
    <w:rsid w:val="00B71F0C"/>
    <w:rsid w:val="00B72076"/>
    <w:rsid w:val="00B72303"/>
    <w:rsid w:val="00B727A9"/>
    <w:rsid w:val="00B72C72"/>
    <w:rsid w:val="00B72ED9"/>
    <w:rsid w:val="00B72F2C"/>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18C6"/>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416F"/>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07ACF"/>
    <w:rsid w:val="00C10302"/>
    <w:rsid w:val="00C104DB"/>
    <w:rsid w:val="00C10A22"/>
    <w:rsid w:val="00C10F5B"/>
    <w:rsid w:val="00C1122B"/>
    <w:rsid w:val="00C127F2"/>
    <w:rsid w:val="00C13B34"/>
    <w:rsid w:val="00C13F26"/>
    <w:rsid w:val="00C1474E"/>
    <w:rsid w:val="00C14C37"/>
    <w:rsid w:val="00C14FAF"/>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625"/>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15D"/>
    <w:rsid w:val="00C84527"/>
    <w:rsid w:val="00C84AD1"/>
    <w:rsid w:val="00C85579"/>
    <w:rsid w:val="00C8590C"/>
    <w:rsid w:val="00C862F1"/>
    <w:rsid w:val="00C863E5"/>
    <w:rsid w:val="00C87BE6"/>
    <w:rsid w:val="00C87F76"/>
    <w:rsid w:val="00C9201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A17"/>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56B"/>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00F9"/>
    <w:rsid w:val="00D31683"/>
    <w:rsid w:val="00D33452"/>
    <w:rsid w:val="00D336C8"/>
    <w:rsid w:val="00D339E8"/>
    <w:rsid w:val="00D33FDD"/>
    <w:rsid w:val="00D3654A"/>
    <w:rsid w:val="00D3662E"/>
    <w:rsid w:val="00D373F1"/>
    <w:rsid w:val="00D37567"/>
    <w:rsid w:val="00D40B1F"/>
    <w:rsid w:val="00D40D75"/>
    <w:rsid w:val="00D43978"/>
    <w:rsid w:val="00D43CBD"/>
    <w:rsid w:val="00D44813"/>
    <w:rsid w:val="00D449F0"/>
    <w:rsid w:val="00D462D7"/>
    <w:rsid w:val="00D46A33"/>
    <w:rsid w:val="00D5062C"/>
    <w:rsid w:val="00D50C8C"/>
    <w:rsid w:val="00D52393"/>
    <w:rsid w:val="00D523E4"/>
    <w:rsid w:val="00D5279D"/>
    <w:rsid w:val="00D52A1B"/>
    <w:rsid w:val="00D52AA7"/>
    <w:rsid w:val="00D52FCC"/>
    <w:rsid w:val="00D539F9"/>
    <w:rsid w:val="00D53F14"/>
    <w:rsid w:val="00D54BE4"/>
    <w:rsid w:val="00D54DDB"/>
    <w:rsid w:val="00D554BC"/>
    <w:rsid w:val="00D560DC"/>
    <w:rsid w:val="00D56602"/>
    <w:rsid w:val="00D602C7"/>
    <w:rsid w:val="00D60483"/>
    <w:rsid w:val="00D61ABB"/>
    <w:rsid w:val="00D62D5C"/>
    <w:rsid w:val="00D63577"/>
    <w:rsid w:val="00D65F7A"/>
    <w:rsid w:val="00D67FD7"/>
    <w:rsid w:val="00D704E4"/>
    <w:rsid w:val="00D72410"/>
    <w:rsid w:val="00D73D53"/>
    <w:rsid w:val="00D7402C"/>
    <w:rsid w:val="00D7408A"/>
    <w:rsid w:val="00D74261"/>
    <w:rsid w:val="00D7441B"/>
    <w:rsid w:val="00D75589"/>
    <w:rsid w:val="00D764F9"/>
    <w:rsid w:val="00D76AB2"/>
    <w:rsid w:val="00D8007D"/>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5BE"/>
    <w:rsid w:val="00DA27F3"/>
    <w:rsid w:val="00DA2D1E"/>
    <w:rsid w:val="00DA3EC8"/>
    <w:rsid w:val="00DA40C1"/>
    <w:rsid w:val="00DA4629"/>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0BD"/>
    <w:rsid w:val="00DB756C"/>
    <w:rsid w:val="00DC07B7"/>
    <w:rsid w:val="00DC0BF1"/>
    <w:rsid w:val="00DC1607"/>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4B45"/>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1B03"/>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A751F"/>
    <w:rsid w:val="00EB04C6"/>
    <w:rsid w:val="00EB06A6"/>
    <w:rsid w:val="00EB29EA"/>
    <w:rsid w:val="00EB3307"/>
    <w:rsid w:val="00EB3823"/>
    <w:rsid w:val="00EB3CBB"/>
    <w:rsid w:val="00EB3F96"/>
    <w:rsid w:val="00EB47D8"/>
    <w:rsid w:val="00EB57D3"/>
    <w:rsid w:val="00EB5EFD"/>
    <w:rsid w:val="00EB679F"/>
    <w:rsid w:val="00EB76E4"/>
    <w:rsid w:val="00EC0E65"/>
    <w:rsid w:val="00EC1074"/>
    <w:rsid w:val="00EC1251"/>
    <w:rsid w:val="00EC2938"/>
    <w:rsid w:val="00EC337D"/>
    <w:rsid w:val="00EC38EF"/>
    <w:rsid w:val="00EC50C9"/>
    <w:rsid w:val="00EC51A7"/>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2D78"/>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08FB"/>
    <w:rsid w:val="00F22A26"/>
    <w:rsid w:val="00F24072"/>
    <w:rsid w:val="00F25486"/>
    <w:rsid w:val="00F26432"/>
    <w:rsid w:val="00F3197A"/>
    <w:rsid w:val="00F32139"/>
    <w:rsid w:val="00F323E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362D"/>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3792"/>
    <w:rsid w:val="00FC4284"/>
    <w:rsid w:val="00FC4576"/>
    <w:rsid w:val="00FC5FF5"/>
    <w:rsid w:val="00FC6285"/>
    <w:rsid w:val="00FC78FB"/>
    <w:rsid w:val="00FC7DBC"/>
    <w:rsid w:val="00FD076A"/>
    <w:rsid w:val="00FD0AA0"/>
    <w:rsid w:val="00FD1D5A"/>
    <w:rsid w:val="00FD2C6D"/>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934E98"/>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19079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18E5A-F019-4F37-972B-B01DEF53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2227</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2012-03-07T18:06:00Z</cp:lastPrinted>
  <dcterms:created xsi:type="dcterms:W3CDTF">2012-09-28T18:29:00Z</dcterms:created>
  <dcterms:modified xsi:type="dcterms:W3CDTF">2012-09-28T18:29:00Z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