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5A" w:rsidRPr="00396779" w:rsidRDefault="002A655A" w:rsidP="00510F9C">
      <w:pPr>
        <w:tabs>
          <w:tab w:val="left" w:pos="288"/>
          <w:tab w:val="left" w:pos="4752"/>
        </w:tabs>
        <w:spacing w:line="240" w:lineRule="exact"/>
        <w:jc w:val="center"/>
        <w:rPr>
          <w:color w:val="auto"/>
        </w:rPr>
      </w:pPr>
      <w:r w:rsidRPr="00396779">
        <w:rPr>
          <w:color w:val="auto"/>
        </w:rPr>
        <w:t>RECORD OF PROCEEDINGS</w:t>
      </w:r>
    </w:p>
    <w:p w:rsidR="002A655A" w:rsidRPr="00396779" w:rsidRDefault="002A655A" w:rsidP="00510F9C">
      <w:pPr>
        <w:tabs>
          <w:tab w:val="left" w:pos="288"/>
          <w:tab w:val="left" w:pos="4752"/>
        </w:tabs>
        <w:spacing w:line="240" w:lineRule="exact"/>
        <w:jc w:val="center"/>
        <w:rPr>
          <w:color w:val="auto"/>
        </w:rPr>
      </w:pPr>
      <w:r w:rsidRPr="00396779">
        <w:rPr>
          <w:color w:val="auto"/>
        </w:rPr>
        <w:t>PHYSICAL DISABILITY BOARD OF REVIEW</w:t>
      </w:r>
    </w:p>
    <w:p w:rsidR="002A655A" w:rsidRPr="00396779" w:rsidRDefault="002A655A" w:rsidP="00510F9C">
      <w:pPr>
        <w:tabs>
          <w:tab w:val="left" w:pos="288"/>
          <w:tab w:val="left" w:pos="4752"/>
        </w:tabs>
        <w:spacing w:line="240" w:lineRule="exact"/>
        <w:jc w:val="both"/>
        <w:rPr>
          <w:caps/>
          <w:color w:val="auto"/>
        </w:rPr>
      </w:pPr>
    </w:p>
    <w:p w:rsidR="002A655A" w:rsidRDefault="002A655A" w:rsidP="00CF4D46">
      <w:pPr>
        <w:tabs>
          <w:tab w:val="left" w:pos="288"/>
          <w:tab w:val="left" w:pos="4752"/>
          <w:tab w:val="left" w:pos="9270"/>
        </w:tabs>
        <w:spacing w:line="240" w:lineRule="exact"/>
        <w:jc w:val="both"/>
        <w:rPr>
          <w:caps/>
          <w:color w:val="auto"/>
        </w:rPr>
      </w:pPr>
      <w:r w:rsidRPr="00637294">
        <w:rPr>
          <w:caps/>
          <w:color w:val="auto"/>
        </w:rPr>
        <w:t xml:space="preserve">NAME:  </w:t>
      </w:r>
      <w:r w:rsidR="00757716">
        <w:rPr>
          <w:caps/>
          <w:color w:val="auto"/>
        </w:rPr>
        <w:t>XXXXXXX</w:t>
      </w:r>
      <w:r>
        <w:rPr>
          <w:caps/>
          <w:color w:val="auto"/>
        </w:rPr>
        <w:t xml:space="preserve">                </w:t>
      </w:r>
      <w:r>
        <w:rPr>
          <w:caps/>
          <w:color w:val="auto"/>
        </w:rPr>
        <w:tab/>
      </w:r>
      <w:r w:rsidRPr="00FD6C41">
        <w:rPr>
          <w:caps/>
          <w:color w:val="auto"/>
        </w:rPr>
        <w:t>BRANCH OF SERVICE</w:t>
      </w:r>
      <w:r w:rsidRPr="00816CCB">
        <w:rPr>
          <w:caps/>
          <w:color w:val="auto"/>
        </w:rPr>
        <w:t xml:space="preserve">: </w:t>
      </w:r>
      <w:r w:rsidRPr="00FD2D6A">
        <w:rPr>
          <w:caps/>
          <w:color w:val="auto"/>
        </w:rPr>
        <w:t>air force</w:t>
      </w:r>
    </w:p>
    <w:p w:rsidR="002A655A" w:rsidRDefault="002A655A" w:rsidP="00CF4D46">
      <w:pPr>
        <w:tabs>
          <w:tab w:val="left" w:pos="288"/>
          <w:tab w:val="left" w:pos="4752"/>
          <w:tab w:val="left" w:pos="9270"/>
        </w:tabs>
        <w:spacing w:line="240" w:lineRule="exact"/>
        <w:jc w:val="both"/>
        <w:rPr>
          <w:caps/>
          <w:color w:val="auto"/>
        </w:rPr>
      </w:pPr>
      <w:r>
        <w:rPr>
          <w:caps/>
          <w:color w:val="auto"/>
        </w:rPr>
        <w:t>C</w:t>
      </w:r>
      <w:r w:rsidRPr="00FD6C41">
        <w:rPr>
          <w:caps/>
          <w:color w:val="auto"/>
        </w:rPr>
        <w:t xml:space="preserve">ASE NUMBER: </w:t>
      </w:r>
      <w:r>
        <w:rPr>
          <w:caps/>
          <w:color w:val="auto"/>
        </w:rPr>
        <w:t xml:space="preserve"> </w:t>
      </w:r>
      <w:r w:rsidRPr="00FD6C41">
        <w:rPr>
          <w:caps/>
          <w:color w:val="auto"/>
        </w:rPr>
        <w:t>PD1001281</w:t>
      </w:r>
      <w:r>
        <w:rPr>
          <w:color w:val="auto"/>
        </w:rPr>
        <w:tab/>
      </w:r>
      <w:r w:rsidR="00CF4D46" w:rsidRPr="00CF4D46">
        <w:rPr>
          <w:color w:val="auto"/>
        </w:rPr>
        <w:t>DATE OF PLACEMENT ON TDRL</w:t>
      </w:r>
      <w:r w:rsidRPr="00DE3AAD">
        <w:rPr>
          <w:color w:val="auto"/>
        </w:rPr>
        <w:t xml:space="preserve">:  </w:t>
      </w:r>
      <w:r w:rsidR="00B27892">
        <w:rPr>
          <w:caps/>
          <w:color w:val="auto"/>
        </w:rPr>
        <w:t>20051019</w:t>
      </w:r>
    </w:p>
    <w:p w:rsidR="002A655A" w:rsidRDefault="002A655A" w:rsidP="001622DF">
      <w:pPr>
        <w:tabs>
          <w:tab w:val="left" w:pos="288"/>
          <w:tab w:val="left" w:pos="3060"/>
          <w:tab w:val="left" w:pos="4770"/>
        </w:tabs>
        <w:spacing w:line="240" w:lineRule="exact"/>
        <w:rPr>
          <w:caps/>
          <w:color w:val="auto"/>
        </w:rPr>
      </w:pPr>
      <w:r w:rsidRPr="00FD6C41">
        <w:rPr>
          <w:caps/>
          <w:color w:val="auto"/>
        </w:rPr>
        <w:t xml:space="preserve">BOARD DATE: </w:t>
      </w:r>
      <w:r>
        <w:rPr>
          <w:caps/>
          <w:color w:val="auto"/>
        </w:rPr>
        <w:t xml:space="preserve"> </w:t>
      </w:r>
      <w:r w:rsidRPr="00655258">
        <w:rPr>
          <w:caps/>
          <w:color w:val="auto"/>
        </w:rPr>
        <w:t>2011</w:t>
      </w:r>
      <w:r w:rsidR="009D76F6">
        <w:rPr>
          <w:caps/>
          <w:color w:val="auto"/>
        </w:rPr>
        <w:t>0120</w:t>
      </w:r>
      <w:r w:rsidR="000D5F33">
        <w:rPr>
          <w:caps/>
          <w:color w:val="auto"/>
        </w:rPr>
        <w:tab/>
      </w:r>
      <w:r>
        <w:rPr>
          <w:caps/>
          <w:color w:val="auto"/>
        </w:rPr>
        <w:tab/>
      </w:r>
      <w:r w:rsidR="00CF4D46" w:rsidRPr="00CF4D46">
        <w:rPr>
          <w:caps/>
          <w:color w:val="auto"/>
        </w:rPr>
        <w:t>Date of Permanent SEPARATION</w:t>
      </w:r>
      <w:r>
        <w:rPr>
          <w:caps/>
          <w:color w:val="auto"/>
        </w:rPr>
        <w:t xml:space="preserve">: </w:t>
      </w:r>
      <w:r w:rsidR="00384321">
        <w:rPr>
          <w:color w:val="auto"/>
        </w:rPr>
        <w:t>2009082</w:t>
      </w:r>
      <w:r w:rsidR="00B27892" w:rsidRPr="00DE3AAD">
        <w:rPr>
          <w:color w:val="auto"/>
        </w:rPr>
        <w:t>1</w:t>
      </w:r>
    </w:p>
    <w:p w:rsidR="002A655A" w:rsidRDefault="002A655A" w:rsidP="00510F9C">
      <w:pPr>
        <w:pBdr>
          <w:bottom w:val="single" w:sz="12" w:space="1" w:color="auto"/>
        </w:pBdr>
        <w:tabs>
          <w:tab w:val="left" w:pos="288"/>
          <w:tab w:val="left" w:pos="4752"/>
        </w:tabs>
        <w:spacing w:line="240" w:lineRule="exact"/>
        <w:jc w:val="both"/>
        <w:rPr>
          <w:color w:val="auto"/>
          <w:u w:val="single"/>
        </w:rPr>
      </w:pPr>
    </w:p>
    <w:p w:rsidR="002A655A" w:rsidRDefault="002A655A" w:rsidP="00510F9C">
      <w:pPr>
        <w:tabs>
          <w:tab w:val="left" w:pos="288"/>
          <w:tab w:val="left" w:pos="4752"/>
        </w:tabs>
        <w:spacing w:line="240" w:lineRule="exact"/>
        <w:jc w:val="both"/>
        <w:rPr>
          <w:color w:val="auto"/>
        </w:rPr>
      </w:pPr>
    </w:p>
    <w:p w:rsidR="002A655A" w:rsidRDefault="002A655A" w:rsidP="00FC7796">
      <w:pPr>
        <w:tabs>
          <w:tab w:val="left" w:pos="288"/>
          <w:tab w:val="left" w:pos="4752"/>
          <w:tab w:val="left" w:pos="6240"/>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 xml:space="preserve">was an active duty </w:t>
      </w:r>
      <w:r>
        <w:rPr>
          <w:color w:val="auto"/>
        </w:rPr>
        <w:t>member,</w:t>
      </w:r>
      <w:r w:rsidRPr="00AD7F8F">
        <w:rPr>
          <w:color w:val="auto"/>
        </w:rPr>
        <w:t xml:space="preserve"> </w:t>
      </w:r>
      <w:r w:rsidRPr="00FC7796">
        <w:rPr>
          <w:color w:val="auto"/>
        </w:rPr>
        <w:t xml:space="preserve">SRA/E-4 (4J0X2, Physical Medicine Technician), </w:t>
      </w:r>
      <w:r w:rsidRPr="00AD7F8F">
        <w:rPr>
          <w:color w:val="auto"/>
        </w:rPr>
        <w:t xml:space="preserve">medically separated for posttraumatic stress disorder (PTSD) with </w:t>
      </w:r>
      <w:r w:rsidR="009D76F6">
        <w:rPr>
          <w:color w:val="auto"/>
        </w:rPr>
        <w:t>associated psychiatric conditions</w:t>
      </w:r>
      <w:r>
        <w:rPr>
          <w:i/>
          <w:color w:val="auto"/>
        </w:rPr>
        <w:t>.</w:t>
      </w:r>
      <w:r>
        <w:rPr>
          <w:color w:val="auto"/>
        </w:rPr>
        <w:t xml:space="preserve">  The CI was first seen for mental health </w:t>
      </w:r>
      <w:r w:rsidR="00CF4D46">
        <w:rPr>
          <w:color w:val="auto"/>
        </w:rPr>
        <w:t xml:space="preserve">care </w:t>
      </w:r>
      <w:r>
        <w:rPr>
          <w:color w:val="auto"/>
        </w:rPr>
        <w:t xml:space="preserve">in 2003.  She reported experiencing depression and anxiety.  Her symptoms worsened in 2004 after experiencing a sexual assault.  </w:t>
      </w:r>
      <w:r w:rsidRPr="00FC7796">
        <w:rPr>
          <w:color w:val="auto"/>
        </w:rPr>
        <w:t>She</w:t>
      </w:r>
      <w:r w:rsidRPr="00C472C7">
        <w:rPr>
          <w:color w:val="auto"/>
        </w:rPr>
        <w:t xml:space="preserve"> did not respond adequately to treatment </w:t>
      </w:r>
      <w:r w:rsidRPr="00FC7796">
        <w:rPr>
          <w:color w:val="auto"/>
        </w:rPr>
        <w:t xml:space="preserve">to </w:t>
      </w:r>
      <w:r w:rsidR="00CF4D46">
        <w:rPr>
          <w:color w:val="auto"/>
        </w:rPr>
        <w:t xml:space="preserve">fully </w:t>
      </w:r>
      <w:r w:rsidRPr="00FC7796">
        <w:rPr>
          <w:color w:val="auto"/>
        </w:rPr>
        <w:t xml:space="preserve">perform within her Air Force Specialty (AFS) or </w:t>
      </w:r>
      <w:r w:rsidR="009D76F6">
        <w:rPr>
          <w:color w:val="auto"/>
        </w:rPr>
        <w:t>meet physical fitness standards;</w:t>
      </w:r>
      <w:r w:rsidRPr="00555C66">
        <w:rPr>
          <w:color w:val="auto"/>
        </w:rPr>
        <w:t xml:space="preserve"> was issued</w:t>
      </w:r>
      <w:r w:rsidRPr="00C472C7">
        <w:rPr>
          <w:color w:val="auto"/>
        </w:rPr>
        <w:t xml:space="preserve"> a </w:t>
      </w:r>
      <w:r w:rsidRPr="00FC7796">
        <w:rPr>
          <w:color w:val="auto"/>
        </w:rPr>
        <w:t>permanent S4 profile</w:t>
      </w:r>
      <w:r w:rsidR="009D76F6">
        <w:rPr>
          <w:color w:val="auto"/>
        </w:rPr>
        <w:t>;</w:t>
      </w:r>
      <w:r w:rsidRPr="00B32341">
        <w:rPr>
          <w:color w:val="auto"/>
        </w:rPr>
        <w:t xml:space="preserve"> </w:t>
      </w:r>
      <w:r w:rsidRPr="00C472C7">
        <w:rPr>
          <w:color w:val="auto"/>
        </w:rPr>
        <w:t>and</w:t>
      </w:r>
      <w:r w:rsidR="009D76F6">
        <w:rPr>
          <w:color w:val="auto"/>
        </w:rPr>
        <w:t>,</w:t>
      </w:r>
      <w:r w:rsidRPr="00C472C7">
        <w:rPr>
          <w:color w:val="auto"/>
        </w:rPr>
        <w:t xml:space="preserve"> </w:t>
      </w:r>
      <w:r w:rsidR="009D76F6">
        <w:rPr>
          <w:color w:val="auto"/>
        </w:rPr>
        <w:t>was referred for</w:t>
      </w:r>
      <w:r w:rsidRPr="00C472C7">
        <w:rPr>
          <w:color w:val="auto"/>
        </w:rPr>
        <w:t xml:space="preserve"> a Medical Evaluation Board (MEB).  </w:t>
      </w:r>
      <w:r w:rsidRPr="00FC7796">
        <w:rPr>
          <w:color w:val="auto"/>
        </w:rPr>
        <w:t>Dysthymic disorder and generalized anxiety disorder were forwarded</w:t>
      </w:r>
      <w:r w:rsidRPr="00C472C7">
        <w:rPr>
          <w:color w:val="auto"/>
        </w:rPr>
        <w:t xml:space="preserve"> to the Physical Evaluation Board (PEB) as medically unacceptable </w:t>
      </w:r>
      <w:r w:rsidR="009D76F6">
        <w:rPr>
          <w:color w:val="auto"/>
        </w:rPr>
        <w:t xml:space="preserve">conditions </w:t>
      </w:r>
      <w:r w:rsidRPr="00C472C7">
        <w:rPr>
          <w:color w:val="auto"/>
        </w:rPr>
        <w:t xml:space="preserve">IAW </w:t>
      </w:r>
      <w:r w:rsidRPr="00FC7796">
        <w:rPr>
          <w:color w:val="auto"/>
        </w:rPr>
        <w:t>AFI 48-123.</w:t>
      </w:r>
      <w:r w:rsidRPr="00C472C7">
        <w:rPr>
          <w:color w:val="auto"/>
        </w:rPr>
        <w:t xml:space="preserve">  No other conditions appeared on the MEB’s submission.  Other conditions included in the</w:t>
      </w:r>
      <w:r>
        <w:rPr>
          <w:color w:val="auto"/>
        </w:rPr>
        <w:t xml:space="preserve"> </w:t>
      </w:r>
      <w:r w:rsidRPr="00D93A41">
        <w:rPr>
          <w:color w:val="auto"/>
        </w:rPr>
        <w:t>Disability Evaluation System (DES)</w:t>
      </w:r>
      <w:r w:rsidRPr="00555C66">
        <w:rPr>
          <w:color w:val="auto"/>
        </w:rPr>
        <w:t xml:space="preserve"> </w:t>
      </w:r>
      <w:r w:rsidR="00CF4D46">
        <w:rPr>
          <w:color w:val="auto"/>
        </w:rPr>
        <w:t>file</w:t>
      </w:r>
      <w:r w:rsidRPr="00C472C7">
        <w:rPr>
          <w:color w:val="auto"/>
        </w:rPr>
        <w:t xml:space="preserve"> will be discussed below.</w:t>
      </w:r>
      <w:r>
        <w:rPr>
          <w:color w:val="auto"/>
        </w:rPr>
        <w:t xml:space="preserve">  </w:t>
      </w:r>
      <w:r w:rsidR="00987C77">
        <w:rPr>
          <w:color w:val="auto"/>
        </w:rPr>
        <w:t>The</w:t>
      </w:r>
      <w:r w:rsidRPr="00FC7796">
        <w:rPr>
          <w:color w:val="auto"/>
        </w:rPr>
        <w:t xml:space="preserve"> PEB adjudicated the </w:t>
      </w:r>
      <w:proofErr w:type="spellStart"/>
      <w:r w:rsidRPr="00FC7796">
        <w:rPr>
          <w:color w:val="auto"/>
        </w:rPr>
        <w:t>dysthymic</w:t>
      </w:r>
      <w:proofErr w:type="spellEnd"/>
      <w:r w:rsidR="009D76F6">
        <w:rPr>
          <w:color w:val="auto"/>
        </w:rPr>
        <w:t>/anxiety</w:t>
      </w:r>
      <w:r w:rsidRPr="00FC7796">
        <w:rPr>
          <w:color w:val="auto"/>
        </w:rPr>
        <w:t xml:space="preserve"> disorder as unfitting, rated 30% with application of Department of Defense Instruction (DoDI) 1332.39</w:t>
      </w:r>
      <w:r w:rsidR="009D76F6">
        <w:rPr>
          <w:color w:val="auto"/>
        </w:rPr>
        <w:t>;</w:t>
      </w:r>
      <w:r w:rsidR="00D34568">
        <w:rPr>
          <w:color w:val="auto"/>
        </w:rPr>
        <w:t xml:space="preserve"> and</w:t>
      </w:r>
      <w:r w:rsidR="009D76F6">
        <w:rPr>
          <w:color w:val="auto"/>
        </w:rPr>
        <w:t>,</w:t>
      </w:r>
      <w:r w:rsidR="00D34568">
        <w:rPr>
          <w:color w:val="auto"/>
        </w:rPr>
        <w:t xml:space="preserve"> </w:t>
      </w:r>
      <w:r w:rsidRPr="00C472C7">
        <w:rPr>
          <w:color w:val="auto"/>
        </w:rPr>
        <w:t xml:space="preserve">placed </w:t>
      </w:r>
      <w:r w:rsidR="00D34568">
        <w:rPr>
          <w:color w:val="auto"/>
        </w:rPr>
        <w:t xml:space="preserve">the CI </w:t>
      </w:r>
      <w:r w:rsidRPr="00C472C7">
        <w:rPr>
          <w:color w:val="auto"/>
        </w:rPr>
        <w:t xml:space="preserve">on </w:t>
      </w:r>
      <w:r w:rsidR="00384321">
        <w:rPr>
          <w:color w:val="auto"/>
        </w:rPr>
        <w:t xml:space="preserve">the </w:t>
      </w:r>
      <w:r w:rsidRPr="00C472C7">
        <w:rPr>
          <w:color w:val="auto"/>
        </w:rPr>
        <w:t xml:space="preserve">Temporary Disability Retired List (TDRL).  </w:t>
      </w:r>
      <w:r w:rsidR="00384321">
        <w:rPr>
          <w:color w:val="auto"/>
        </w:rPr>
        <w:t xml:space="preserve">After 46 months on TDRL, the CI’s psychiatric condition was considered to be stable and in remission.  </w:t>
      </w:r>
      <w:r w:rsidR="009D76F6">
        <w:rPr>
          <w:color w:val="auto"/>
        </w:rPr>
        <w:t>She</w:t>
      </w:r>
      <w:r w:rsidRPr="00C472C7">
        <w:rPr>
          <w:color w:val="auto"/>
        </w:rPr>
        <w:t xml:space="preserve"> was </w:t>
      </w:r>
      <w:r w:rsidR="00384321">
        <w:rPr>
          <w:color w:val="auto"/>
        </w:rPr>
        <w:t>removed from</w:t>
      </w:r>
      <w:r w:rsidRPr="00C472C7">
        <w:rPr>
          <w:color w:val="auto"/>
        </w:rPr>
        <w:t xml:space="preserve"> TDRL in 2</w:t>
      </w:r>
      <w:r w:rsidR="00384321">
        <w:rPr>
          <w:color w:val="auto"/>
        </w:rPr>
        <w:t>009 and permanently separated</w:t>
      </w:r>
      <w:r w:rsidR="004D56ED">
        <w:rPr>
          <w:color w:val="auto"/>
        </w:rPr>
        <w:t>, without appeal,</w:t>
      </w:r>
      <w:r w:rsidR="00384321">
        <w:rPr>
          <w:color w:val="auto"/>
        </w:rPr>
        <w:t xml:space="preserve"> </w:t>
      </w:r>
      <w:r w:rsidRPr="00C472C7">
        <w:rPr>
          <w:color w:val="auto"/>
        </w:rPr>
        <w:t xml:space="preserve">with a </w:t>
      </w:r>
      <w:r w:rsidRPr="00B37345">
        <w:rPr>
          <w:color w:val="auto"/>
        </w:rPr>
        <w:t>10</w:t>
      </w:r>
      <w:r w:rsidRPr="00C472C7">
        <w:rPr>
          <w:color w:val="auto"/>
        </w:rPr>
        <w:t>% disability rating</w:t>
      </w:r>
      <w:r w:rsidR="00384321">
        <w:rPr>
          <w:color w:val="auto"/>
        </w:rPr>
        <w:t xml:space="preserve"> IAW the </w:t>
      </w:r>
      <w:r w:rsidR="00384321" w:rsidRPr="00384321">
        <w:rPr>
          <w:rFonts w:eastAsia="Calibri"/>
          <w:color w:val="auto"/>
          <w:szCs w:val="24"/>
        </w:rPr>
        <w:t>Veterans’ Administration Schedule for Rating Disabilities (VASRD)</w:t>
      </w:r>
      <w:r w:rsidRPr="00C472C7">
        <w:rPr>
          <w:color w:val="auto"/>
        </w:rPr>
        <w:t>.</w:t>
      </w:r>
    </w:p>
    <w:p w:rsidR="002A655A" w:rsidRDefault="002A655A" w:rsidP="00510F9C">
      <w:pPr>
        <w:pBdr>
          <w:bottom w:val="single" w:sz="12" w:space="1" w:color="auto"/>
        </w:pBdr>
        <w:tabs>
          <w:tab w:val="left" w:pos="288"/>
          <w:tab w:val="left" w:pos="4752"/>
        </w:tabs>
        <w:spacing w:line="240" w:lineRule="exact"/>
        <w:jc w:val="both"/>
        <w:rPr>
          <w:color w:val="auto"/>
        </w:rPr>
      </w:pPr>
    </w:p>
    <w:p w:rsidR="002A655A" w:rsidRDefault="002A655A" w:rsidP="00510F9C">
      <w:pPr>
        <w:tabs>
          <w:tab w:val="left" w:pos="288"/>
          <w:tab w:val="left" w:pos="4752"/>
        </w:tabs>
        <w:spacing w:line="240" w:lineRule="exact"/>
        <w:jc w:val="both"/>
        <w:rPr>
          <w:color w:val="auto"/>
          <w:u w:val="single"/>
        </w:rPr>
      </w:pPr>
    </w:p>
    <w:p w:rsidR="002A655A" w:rsidRDefault="002A655A" w:rsidP="00FC7796">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The CI states: “</w:t>
      </w:r>
      <w:r w:rsidRPr="003F6B97">
        <w:rPr>
          <w:color w:val="auto"/>
        </w:rPr>
        <w:t>I was assigned less than 50% disability rating</w:t>
      </w:r>
      <w:r w:rsidRPr="00B9507E">
        <w:rPr>
          <w:color w:val="auto"/>
        </w:rPr>
        <w:t xml:space="preserve"> by the military for my unfitting PTSD upon discharge from active duty. </w:t>
      </w:r>
      <w:r w:rsidR="00860463">
        <w:rPr>
          <w:color w:val="auto"/>
        </w:rPr>
        <w:t xml:space="preserve"> </w:t>
      </w:r>
      <w:r w:rsidRPr="00B9507E">
        <w:rPr>
          <w:color w:val="auto"/>
        </w:rPr>
        <w:t xml:space="preserve">In accordance with the class action notice, assign the highest final disability rating applicable consistent with 38 CFR4.129 and DOD policy, to the extent such increase will not adversely affect my total compensation, including but not limited to compensation pursuant to CRSC. </w:t>
      </w:r>
      <w:r w:rsidRPr="00861D5C">
        <w:rPr>
          <w:color w:val="auto"/>
        </w:rPr>
        <w:t xml:space="preserve"> Please see attached list of contentions regarding why the PDBR should make the changes request in Item 3.</w:t>
      </w:r>
      <w:r w:rsidRPr="00B9507E">
        <w:rPr>
          <w:color w:val="auto"/>
        </w:rPr>
        <w:t>”</w:t>
      </w:r>
      <w:r>
        <w:rPr>
          <w:color w:val="auto"/>
        </w:rPr>
        <w:t xml:space="preserve">  </w:t>
      </w:r>
      <w:r w:rsidRPr="00861D5C">
        <w:rPr>
          <w:color w:val="auto"/>
        </w:rPr>
        <w:t>She additionally requests that her fitness determinations be reversed and that she receive ‘the highest rating possible’ for all of her PEB and VA conditions.</w:t>
      </w:r>
      <w:r w:rsidRPr="00FC7796">
        <w:rPr>
          <w:color w:val="auto"/>
        </w:rPr>
        <w:t xml:space="preserve"> </w:t>
      </w:r>
      <w:r w:rsidRPr="00861D5C">
        <w:rPr>
          <w:color w:val="auto"/>
        </w:rPr>
        <w:t xml:space="preserve"> This case is court remanded under the </w:t>
      </w:r>
      <w:r w:rsidRPr="00384321">
        <w:rPr>
          <w:i/>
          <w:color w:val="auto"/>
        </w:rPr>
        <w:t>Sabo et al v. United States</w:t>
      </w:r>
      <w:r w:rsidRPr="00861D5C">
        <w:rPr>
          <w:color w:val="auto"/>
        </w:rPr>
        <w:t xml:space="preserve"> class action suit.</w:t>
      </w:r>
      <w:r w:rsidRPr="0085089F">
        <w:rPr>
          <w:color w:val="auto"/>
        </w:rPr>
        <w:t xml:space="preserve">  </w:t>
      </w:r>
    </w:p>
    <w:p w:rsidR="002A655A" w:rsidRDefault="002A655A" w:rsidP="00510F9C">
      <w:pPr>
        <w:pBdr>
          <w:bottom w:val="single" w:sz="12" w:space="1" w:color="auto"/>
        </w:pBdr>
        <w:tabs>
          <w:tab w:val="left" w:pos="288"/>
          <w:tab w:val="left" w:pos="4752"/>
        </w:tabs>
        <w:spacing w:line="240" w:lineRule="exact"/>
        <w:jc w:val="both"/>
        <w:rPr>
          <w:color w:val="auto"/>
        </w:rPr>
      </w:pPr>
    </w:p>
    <w:p w:rsidR="00C65606" w:rsidRDefault="00C65606">
      <w:pPr>
        <w:rPr>
          <w:color w:val="auto"/>
          <w:u w:val="single"/>
        </w:rPr>
      </w:pPr>
    </w:p>
    <w:p w:rsidR="003475C4" w:rsidRDefault="002A655A">
      <w:pPr>
        <w:tabs>
          <w:tab w:val="left" w:pos="288"/>
          <w:tab w:val="left" w:pos="4752"/>
        </w:tabs>
        <w:spacing w:line="240" w:lineRule="exact"/>
        <w:rPr>
          <w:color w:val="auto"/>
        </w:rPr>
      </w:pPr>
      <w:r>
        <w:rPr>
          <w:color w:val="auto"/>
          <w:u w:val="single"/>
        </w:rPr>
        <w:t>R</w:t>
      </w:r>
      <w:r w:rsidRPr="00326C08">
        <w:rPr>
          <w:color w:val="auto"/>
          <w:u w:val="single"/>
        </w:rPr>
        <w:t>ATING COMPARISON</w:t>
      </w:r>
      <w:r w:rsidRPr="00326C08">
        <w:rPr>
          <w:color w:val="auto"/>
        </w:rPr>
        <w:t>:</w:t>
      </w:r>
      <w:r w:rsidDel="00C27EE3">
        <w:rPr>
          <w:color w:val="auto"/>
        </w:rPr>
        <w:t xml:space="preserve"> </w:t>
      </w:r>
    </w:p>
    <w:p w:rsidR="00C65606" w:rsidRDefault="00C65606">
      <w:pPr>
        <w:tabs>
          <w:tab w:val="left" w:pos="288"/>
          <w:tab w:val="left" w:pos="4752"/>
        </w:tabs>
        <w:spacing w:line="240" w:lineRule="exact"/>
        <w:rPr>
          <w:color w:val="000080"/>
        </w:rPr>
      </w:pPr>
    </w:p>
    <w:tbl>
      <w:tblPr>
        <w:tblStyle w:val="TableGrid"/>
        <w:tblW w:w="9288" w:type="dxa"/>
        <w:jc w:val="center"/>
        <w:tblInd w:w="55" w:type="dxa"/>
        <w:tblLayout w:type="fixed"/>
        <w:tblLook w:val="00A0"/>
      </w:tblPr>
      <w:tblGrid>
        <w:gridCol w:w="3140"/>
        <w:gridCol w:w="630"/>
        <w:gridCol w:w="720"/>
        <w:gridCol w:w="2430"/>
        <w:gridCol w:w="694"/>
        <w:gridCol w:w="720"/>
        <w:gridCol w:w="954"/>
      </w:tblGrid>
      <w:tr w:rsidR="002A655A" w:rsidRPr="008E1E94" w:rsidTr="00860463">
        <w:trPr>
          <w:trHeight w:val="233"/>
          <w:jc w:val="center"/>
        </w:trPr>
        <w:tc>
          <w:tcPr>
            <w:tcW w:w="4490" w:type="dxa"/>
            <w:gridSpan w:val="3"/>
            <w:tcBorders>
              <w:right w:val="thinThickThinSmallGap" w:sz="2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Final Service IPEB – 20090304</w:t>
            </w:r>
          </w:p>
        </w:tc>
        <w:tc>
          <w:tcPr>
            <w:tcW w:w="4798" w:type="dxa"/>
            <w:gridSpan w:val="4"/>
            <w:tcBorders>
              <w:left w:val="thinThickThinSmallGap" w:sz="24" w:space="0" w:color="auto"/>
            </w:tcBorders>
            <w:shd w:val="clear" w:color="auto" w:fill="D9D9D9"/>
            <w:vAlign w:val="center"/>
          </w:tcPr>
          <w:p w:rsidR="002A655A" w:rsidRPr="004561AF" w:rsidRDefault="002A655A" w:rsidP="00357993">
            <w:pPr>
              <w:pStyle w:val="ListParagraph"/>
              <w:spacing w:after="0" w:line="180" w:lineRule="exact"/>
              <w:ind w:left="0"/>
              <w:jc w:val="center"/>
              <w:rPr>
                <w:b/>
                <w:sz w:val="18"/>
              </w:rPr>
            </w:pPr>
            <w:r w:rsidRPr="004561AF">
              <w:rPr>
                <w:b/>
                <w:sz w:val="18"/>
              </w:rPr>
              <w:t>VA (5 Mo. Post-Separation) –</w:t>
            </w:r>
            <w:r w:rsidR="00357993">
              <w:rPr>
                <w:b/>
                <w:sz w:val="18"/>
              </w:rPr>
              <w:t xml:space="preserve"> </w:t>
            </w:r>
            <w:r w:rsidRPr="004561AF">
              <w:rPr>
                <w:b/>
                <w:sz w:val="18"/>
              </w:rPr>
              <w:t>Effective 20090814</w:t>
            </w:r>
          </w:p>
        </w:tc>
      </w:tr>
      <w:tr w:rsidR="00357993" w:rsidRPr="008E1E94" w:rsidTr="00860463">
        <w:trPr>
          <w:trHeight w:val="233"/>
          <w:jc w:val="center"/>
        </w:trPr>
        <w:tc>
          <w:tcPr>
            <w:tcW w:w="3140" w:type="dxa"/>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Condition</w:t>
            </w:r>
          </w:p>
        </w:tc>
        <w:tc>
          <w:tcPr>
            <w:tcW w:w="630" w:type="dxa"/>
            <w:vMerge w:val="restart"/>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Code</w:t>
            </w:r>
          </w:p>
        </w:tc>
        <w:tc>
          <w:tcPr>
            <w:tcW w:w="720" w:type="dxa"/>
            <w:vMerge w:val="restart"/>
            <w:tcBorders>
              <w:right w:val="thinThickThinSmallGap" w:sz="2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Rating</w:t>
            </w:r>
          </w:p>
        </w:tc>
        <w:tc>
          <w:tcPr>
            <w:tcW w:w="2430" w:type="dxa"/>
            <w:tcBorders>
              <w:left w:val="thinThickThinSmallGap" w:sz="2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Condition</w:t>
            </w:r>
          </w:p>
        </w:tc>
        <w:tc>
          <w:tcPr>
            <w:tcW w:w="694" w:type="dxa"/>
            <w:vMerge w:val="restart"/>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Code</w:t>
            </w:r>
          </w:p>
        </w:tc>
        <w:tc>
          <w:tcPr>
            <w:tcW w:w="720" w:type="dxa"/>
            <w:vMerge w:val="restart"/>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Rating</w:t>
            </w:r>
          </w:p>
        </w:tc>
        <w:tc>
          <w:tcPr>
            <w:tcW w:w="954" w:type="dxa"/>
            <w:vMerge w:val="restart"/>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Exam</w:t>
            </w:r>
          </w:p>
        </w:tc>
      </w:tr>
      <w:tr w:rsidR="00357993" w:rsidRPr="008E1E94" w:rsidTr="00860463">
        <w:trPr>
          <w:trHeight w:val="152"/>
          <w:jc w:val="center"/>
        </w:trPr>
        <w:tc>
          <w:tcPr>
            <w:tcW w:w="3140" w:type="dxa"/>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On TDRL - 20051019</w:t>
            </w:r>
          </w:p>
        </w:tc>
        <w:tc>
          <w:tcPr>
            <w:tcW w:w="630" w:type="dxa"/>
            <w:vMerge/>
            <w:shd w:val="clear" w:color="auto" w:fill="D9D9D9"/>
            <w:vAlign w:val="center"/>
          </w:tcPr>
          <w:p w:rsidR="002A655A" w:rsidRPr="004561AF" w:rsidRDefault="002A655A" w:rsidP="00254A6C">
            <w:pPr>
              <w:pStyle w:val="ListParagraph"/>
              <w:spacing w:after="0" w:line="180" w:lineRule="exact"/>
              <w:ind w:left="0"/>
              <w:jc w:val="center"/>
              <w:rPr>
                <w:sz w:val="18"/>
              </w:rPr>
            </w:pPr>
          </w:p>
        </w:tc>
        <w:tc>
          <w:tcPr>
            <w:tcW w:w="720" w:type="dxa"/>
            <w:vMerge/>
            <w:tcBorders>
              <w:right w:val="thinThickThinSmallGap" w:sz="2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18"/>
              </w:rPr>
            </w:pPr>
          </w:p>
        </w:tc>
        <w:tc>
          <w:tcPr>
            <w:tcW w:w="2430" w:type="dxa"/>
            <w:tcBorders>
              <w:left w:val="thinThickThinSmallGap" w:sz="2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18"/>
              </w:rPr>
            </w:pPr>
            <w:r w:rsidRPr="004561AF">
              <w:rPr>
                <w:b/>
                <w:sz w:val="18"/>
              </w:rPr>
              <w:t>On TDRL - 20051019</w:t>
            </w:r>
          </w:p>
        </w:tc>
        <w:tc>
          <w:tcPr>
            <w:tcW w:w="694" w:type="dxa"/>
            <w:vMerge/>
            <w:shd w:val="clear" w:color="auto" w:fill="C6D9F1"/>
            <w:vAlign w:val="center"/>
          </w:tcPr>
          <w:p w:rsidR="002A655A" w:rsidRPr="004561AF" w:rsidRDefault="002A655A" w:rsidP="00254A6C">
            <w:pPr>
              <w:pStyle w:val="ListParagraph"/>
              <w:spacing w:after="0" w:line="180" w:lineRule="exact"/>
              <w:ind w:left="0"/>
              <w:jc w:val="center"/>
              <w:rPr>
                <w:sz w:val="18"/>
              </w:rPr>
            </w:pPr>
          </w:p>
        </w:tc>
        <w:tc>
          <w:tcPr>
            <w:tcW w:w="720" w:type="dxa"/>
            <w:vMerge/>
            <w:shd w:val="clear" w:color="auto" w:fill="C6D9F1"/>
            <w:vAlign w:val="center"/>
          </w:tcPr>
          <w:p w:rsidR="002A655A" w:rsidRPr="004561AF" w:rsidRDefault="002A655A" w:rsidP="00254A6C">
            <w:pPr>
              <w:pStyle w:val="ListParagraph"/>
              <w:spacing w:after="0" w:line="180" w:lineRule="exact"/>
              <w:ind w:left="0"/>
              <w:jc w:val="center"/>
              <w:rPr>
                <w:sz w:val="18"/>
              </w:rPr>
            </w:pPr>
          </w:p>
        </w:tc>
        <w:tc>
          <w:tcPr>
            <w:tcW w:w="954" w:type="dxa"/>
            <w:vMerge/>
            <w:shd w:val="clear" w:color="auto" w:fill="C6D9F1"/>
            <w:vAlign w:val="center"/>
          </w:tcPr>
          <w:p w:rsidR="002A655A" w:rsidRPr="004561AF" w:rsidRDefault="002A655A" w:rsidP="00254A6C">
            <w:pPr>
              <w:pStyle w:val="ListParagraph"/>
              <w:spacing w:after="0" w:line="180" w:lineRule="exact"/>
              <w:ind w:left="0"/>
              <w:jc w:val="center"/>
              <w:rPr>
                <w:sz w:val="18"/>
              </w:rPr>
            </w:pPr>
          </w:p>
        </w:tc>
      </w:tr>
      <w:tr w:rsidR="00357993" w:rsidRPr="008E1E94" w:rsidTr="00860463">
        <w:trPr>
          <w:trHeight w:val="332"/>
          <w:jc w:val="center"/>
        </w:trPr>
        <w:tc>
          <w:tcPr>
            <w:tcW w:w="3140" w:type="dxa"/>
            <w:tcBorders>
              <w:right w:val="single" w:sz="4" w:space="0" w:color="auto"/>
            </w:tcBorders>
            <w:shd w:val="clear" w:color="auto" w:fill="FFFFFF"/>
            <w:vAlign w:val="center"/>
          </w:tcPr>
          <w:p w:rsidR="002A655A" w:rsidRPr="004561AF" w:rsidRDefault="002A655A" w:rsidP="00357993">
            <w:pPr>
              <w:pStyle w:val="ListParagraph"/>
              <w:spacing w:line="180" w:lineRule="exact"/>
              <w:ind w:left="0"/>
              <w:rPr>
                <w:sz w:val="18"/>
                <w:highlight w:val="yellow"/>
              </w:rPr>
            </w:pPr>
            <w:r w:rsidRPr="004561AF">
              <w:rPr>
                <w:sz w:val="18"/>
              </w:rPr>
              <w:t>Dysthymic Disorder associated with Generalized Anxiety Disorder</w:t>
            </w:r>
          </w:p>
        </w:tc>
        <w:tc>
          <w:tcPr>
            <w:tcW w:w="630" w:type="dxa"/>
            <w:tcBorders>
              <w:left w:val="single" w:sz="4" w:space="0" w:color="auto"/>
            </w:tcBorders>
            <w:shd w:val="clear" w:color="auto" w:fill="FFFFFF"/>
            <w:vAlign w:val="center"/>
          </w:tcPr>
          <w:p w:rsidR="002A655A" w:rsidRPr="004561AF" w:rsidRDefault="002A655A" w:rsidP="00254A6C">
            <w:pPr>
              <w:pStyle w:val="ListParagraph"/>
              <w:spacing w:after="0" w:line="180" w:lineRule="exact"/>
              <w:ind w:left="0"/>
              <w:jc w:val="center"/>
              <w:rPr>
                <w:sz w:val="18"/>
                <w:highlight w:val="yellow"/>
              </w:rPr>
            </w:pPr>
            <w:r w:rsidRPr="004561AF">
              <w:rPr>
                <w:sz w:val="18"/>
              </w:rPr>
              <w:t>9433</w:t>
            </w:r>
          </w:p>
        </w:tc>
        <w:tc>
          <w:tcPr>
            <w:tcW w:w="720" w:type="dxa"/>
            <w:tcBorders>
              <w:right w:val="thinThickThinSmallGap" w:sz="24" w:space="0" w:color="auto"/>
            </w:tcBorders>
            <w:shd w:val="clear" w:color="auto" w:fill="FFFFFF"/>
            <w:vAlign w:val="center"/>
          </w:tcPr>
          <w:p w:rsidR="002A655A" w:rsidRPr="004561AF" w:rsidRDefault="002A655A" w:rsidP="00B27892">
            <w:pPr>
              <w:pStyle w:val="ListParagraph"/>
              <w:spacing w:after="0" w:line="180" w:lineRule="exact"/>
              <w:ind w:left="0"/>
              <w:jc w:val="center"/>
              <w:rPr>
                <w:sz w:val="18"/>
              </w:rPr>
            </w:pPr>
            <w:r w:rsidRPr="004561AF">
              <w:rPr>
                <w:sz w:val="18"/>
              </w:rPr>
              <w:t>30%</w:t>
            </w:r>
          </w:p>
        </w:tc>
        <w:tc>
          <w:tcPr>
            <w:tcW w:w="2430" w:type="dxa"/>
            <w:tcBorders>
              <w:left w:val="thinThickThinSmallGap" w:sz="24" w:space="0" w:color="auto"/>
            </w:tcBorders>
            <w:shd w:val="clear" w:color="auto" w:fill="FFFFFF"/>
            <w:vAlign w:val="center"/>
          </w:tcPr>
          <w:p w:rsidR="002A655A" w:rsidRPr="004561AF" w:rsidRDefault="002A655A" w:rsidP="00357993">
            <w:pPr>
              <w:pStyle w:val="ListParagraph"/>
              <w:spacing w:line="180" w:lineRule="exact"/>
              <w:ind w:left="0"/>
              <w:rPr>
                <w:sz w:val="18"/>
                <w:highlight w:val="yellow"/>
              </w:rPr>
            </w:pPr>
            <w:r w:rsidRPr="00254A6C">
              <w:rPr>
                <w:sz w:val="18"/>
              </w:rPr>
              <w:t>Dysthymic Disorder with Generalized  Anxiety Disorder</w:t>
            </w:r>
          </w:p>
        </w:tc>
        <w:tc>
          <w:tcPr>
            <w:tcW w:w="694" w:type="dxa"/>
            <w:tcBorders>
              <w:right w:val="single" w:sz="4" w:space="0" w:color="auto"/>
            </w:tcBorders>
            <w:shd w:val="clear" w:color="auto" w:fill="FFFFFF"/>
            <w:vAlign w:val="center"/>
          </w:tcPr>
          <w:p w:rsidR="002A655A" w:rsidRPr="004561AF" w:rsidRDefault="002A655A" w:rsidP="00357993">
            <w:pPr>
              <w:pStyle w:val="ListParagraph"/>
              <w:spacing w:line="180" w:lineRule="exact"/>
              <w:ind w:left="0"/>
              <w:jc w:val="center"/>
              <w:rPr>
                <w:sz w:val="18"/>
              </w:rPr>
            </w:pPr>
            <w:r w:rsidRPr="004561AF">
              <w:rPr>
                <w:sz w:val="18"/>
              </w:rPr>
              <w:t>9400</w:t>
            </w:r>
            <w:r w:rsidR="00860463">
              <w:rPr>
                <w:sz w:val="18"/>
              </w:rPr>
              <w:t>-</w:t>
            </w:r>
            <w:r w:rsidRPr="004561AF">
              <w:rPr>
                <w:sz w:val="18"/>
              </w:rPr>
              <w:t>9433</w:t>
            </w:r>
          </w:p>
        </w:tc>
        <w:tc>
          <w:tcPr>
            <w:tcW w:w="720" w:type="dxa"/>
            <w:tcBorders>
              <w:left w:val="single" w:sz="4" w:space="0" w:color="auto"/>
            </w:tcBorders>
            <w:shd w:val="clear" w:color="auto" w:fill="FFFFFF"/>
            <w:vAlign w:val="center"/>
          </w:tcPr>
          <w:p w:rsidR="002A655A" w:rsidRPr="004561AF" w:rsidRDefault="002A655A" w:rsidP="00357993">
            <w:pPr>
              <w:pStyle w:val="ListParagraph"/>
              <w:spacing w:line="180" w:lineRule="exact"/>
              <w:ind w:left="0"/>
              <w:jc w:val="center"/>
              <w:rPr>
                <w:sz w:val="18"/>
              </w:rPr>
            </w:pPr>
            <w:r w:rsidRPr="004561AF">
              <w:rPr>
                <w:sz w:val="18"/>
              </w:rPr>
              <w:t xml:space="preserve">0% </w:t>
            </w:r>
          </w:p>
        </w:tc>
        <w:tc>
          <w:tcPr>
            <w:tcW w:w="954" w:type="dxa"/>
            <w:shd w:val="clear" w:color="auto" w:fill="FFFFFF"/>
            <w:vAlign w:val="center"/>
          </w:tcPr>
          <w:p w:rsidR="00357993" w:rsidRPr="004561AF" w:rsidRDefault="00357993" w:rsidP="00860463">
            <w:pPr>
              <w:pStyle w:val="ListParagraph"/>
              <w:spacing w:line="180" w:lineRule="exact"/>
              <w:ind w:left="0"/>
              <w:jc w:val="center"/>
              <w:rPr>
                <w:sz w:val="18"/>
              </w:rPr>
            </w:pPr>
            <w:r>
              <w:rPr>
                <w:sz w:val="18"/>
              </w:rPr>
              <w:t>No Show</w:t>
            </w:r>
          </w:p>
        </w:tc>
      </w:tr>
      <w:tr w:rsidR="00357993" w:rsidRPr="008E1E94" w:rsidTr="00860463">
        <w:trPr>
          <w:trHeight w:val="188"/>
          <w:jc w:val="center"/>
        </w:trPr>
        <w:tc>
          <w:tcPr>
            <w:tcW w:w="3140" w:type="dxa"/>
            <w:tcBorders>
              <w:bottom w:val="single" w:sz="4" w:space="0" w:color="auto"/>
              <w:right w:val="single" w:sz="4" w:space="0" w:color="auto"/>
            </w:tcBorders>
            <w:shd w:val="clear" w:color="auto" w:fill="D9D9D9"/>
            <w:vAlign w:val="center"/>
          </w:tcPr>
          <w:p w:rsidR="002A655A" w:rsidRPr="004561AF" w:rsidRDefault="002A655A" w:rsidP="00254A6C">
            <w:pPr>
              <w:pStyle w:val="ListParagraph"/>
              <w:spacing w:after="0" w:line="180" w:lineRule="exact"/>
              <w:ind w:left="0"/>
              <w:jc w:val="center"/>
              <w:rPr>
                <w:sz w:val="18"/>
                <w:highlight w:val="yellow"/>
              </w:rPr>
            </w:pPr>
            <w:r w:rsidRPr="004561AF">
              <w:rPr>
                <w:b/>
                <w:sz w:val="18"/>
              </w:rPr>
              <w:t>Medical Separation - 20090801</w:t>
            </w:r>
          </w:p>
        </w:tc>
        <w:tc>
          <w:tcPr>
            <w:tcW w:w="630" w:type="dxa"/>
            <w:tcBorders>
              <w:left w:val="single" w:sz="4" w:space="0" w:color="auto"/>
              <w:bottom w:val="single" w:sz="4" w:space="0" w:color="auto"/>
              <w:right w:val="single" w:sz="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18"/>
                <w:highlight w:val="yellow"/>
              </w:rPr>
            </w:pPr>
            <w:r w:rsidRPr="004561AF">
              <w:rPr>
                <w:b/>
                <w:sz w:val="18"/>
              </w:rPr>
              <w:t>Code</w:t>
            </w:r>
          </w:p>
        </w:tc>
        <w:tc>
          <w:tcPr>
            <w:tcW w:w="720" w:type="dxa"/>
            <w:tcBorders>
              <w:left w:val="single" w:sz="4" w:space="0" w:color="auto"/>
              <w:bottom w:val="single" w:sz="4" w:space="0" w:color="auto"/>
              <w:right w:val="thinThickThinSmallGap" w:sz="2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18"/>
                <w:highlight w:val="yellow"/>
              </w:rPr>
            </w:pPr>
            <w:r w:rsidRPr="004561AF">
              <w:rPr>
                <w:b/>
                <w:sz w:val="18"/>
              </w:rPr>
              <w:t>Rating</w:t>
            </w:r>
          </w:p>
        </w:tc>
        <w:tc>
          <w:tcPr>
            <w:tcW w:w="2430" w:type="dxa"/>
            <w:tcBorders>
              <w:left w:val="thinThickThinSmallGap" w:sz="24" w:space="0" w:color="auto"/>
            </w:tcBorders>
            <w:shd w:val="clear" w:color="auto" w:fill="CCCCCC"/>
            <w:vAlign w:val="center"/>
          </w:tcPr>
          <w:p w:rsidR="002A655A" w:rsidRPr="004561AF" w:rsidRDefault="002A655A" w:rsidP="00254A6C">
            <w:pPr>
              <w:pStyle w:val="ListParagraph"/>
              <w:spacing w:after="0" w:line="180" w:lineRule="exact"/>
              <w:ind w:left="0"/>
              <w:jc w:val="center"/>
              <w:rPr>
                <w:sz w:val="18"/>
                <w:highlight w:val="yellow"/>
              </w:rPr>
            </w:pPr>
          </w:p>
        </w:tc>
        <w:tc>
          <w:tcPr>
            <w:tcW w:w="694" w:type="dxa"/>
            <w:tcBorders>
              <w:right w:val="single" w:sz="4" w:space="0" w:color="auto"/>
            </w:tcBorders>
            <w:shd w:val="clear" w:color="auto" w:fill="CCCCCC"/>
            <w:vAlign w:val="center"/>
          </w:tcPr>
          <w:p w:rsidR="002A655A" w:rsidRPr="004561AF" w:rsidRDefault="002A655A" w:rsidP="00254A6C">
            <w:pPr>
              <w:pStyle w:val="ListParagraph"/>
              <w:spacing w:after="0" w:line="180" w:lineRule="exact"/>
              <w:ind w:left="0"/>
              <w:jc w:val="center"/>
              <w:rPr>
                <w:b/>
                <w:sz w:val="18"/>
                <w:highlight w:val="yellow"/>
              </w:rPr>
            </w:pPr>
            <w:r w:rsidRPr="004561AF">
              <w:rPr>
                <w:b/>
                <w:sz w:val="18"/>
              </w:rPr>
              <w:t>Code</w:t>
            </w:r>
          </w:p>
        </w:tc>
        <w:tc>
          <w:tcPr>
            <w:tcW w:w="720" w:type="dxa"/>
            <w:tcBorders>
              <w:left w:val="single" w:sz="4" w:space="0" w:color="auto"/>
            </w:tcBorders>
            <w:shd w:val="clear" w:color="auto" w:fill="CCCCCC"/>
            <w:vAlign w:val="center"/>
          </w:tcPr>
          <w:p w:rsidR="002A655A" w:rsidRPr="004561AF" w:rsidRDefault="002A655A" w:rsidP="00254A6C">
            <w:pPr>
              <w:pStyle w:val="ListParagraph"/>
              <w:spacing w:after="0" w:line="180" w:lineRule="exact"/>
              <w:ind w:left="0"/>
              <w:jc w:val="center"/>
              <w:rPr>
                <w:b/>
                <w:sz w:val="18"/>
                <w:highlight w:val="yellow"/>
              </w:rPr>
            </w:pPr>
            <w:r w:rsidRPr="004561AF">
              <w:rPr>
                <w:b/>
                <w:sz w:val="18"/>
              </w:rPr>
              <w:t>Rating</w:t>
            </w:r>
          </w:p>
        </w:tc>
        <w:tc>
          <w:tcPr>
            <w:tcW w:w="954" w:type="dxa"/>
            <w:tcBorders>
              <w:left w:val="single" w:sz="4" w:space="0" w:color="auto"/>
            </w:tcBorders>
            <w:shd w:val="clear" w:color="auto" w:fill="CCCCCC"/>
            <w:vAlign w:val="center"/>
          </w:tcPr>
          <w:p w:rsidR="002A655A" w:rsidRPr="00254A6C" w:rsidRDefault="002A655A" w:rsidP="00254A6C">
            <w:pPr>
              <w:pStyle w:val="ListParagraph"/>
              <w:spacing w:after="0" w:line="180" w:lineRule="exact"/>
              <w:ind w:left="0"/>
              <w:jc w:val="center"/>
              <w:rPr>
                <w:b/>
                <w:sz w:val="18"/>
              </w:rPr>
            </w:pPr>
            <w:r w:rsidRPr="00254A6C">
              <w:rPr>
                <w:b/>
                <w:sz w:val="18"/>
              </w:rPr>
              <w:t>Exam</w:t>
            </w:r>
          </w:p>
        </w:tc>
      </w:tr>
      <w:tr w:rsidR="00357993" w:rsidRPr="00181558" w:rsidTr="00181558">
        <w:trPr>
          <w:trHeight w:val="386"/>
          <w:jc w:val="center"/>
        </w:trPr>
        <w:tc>
          <w:tcPr>
            <w:tcW w:w="3140" w:type="dxa"/>
            <w:tcBorders>
              <w:top w:val="single" w:sz="4" w:space="0" w:color="auto"/>
              <w:bottom w:val="single" w:sz="4" w:space="0" w:color="auto"/>
              <w:right w:val="single" w:sz="4" w:space="0" w:color="auto"/>
            </w:tcBorders>
            <w:shd w:val="clear" w:color="auto" w:fill="FFFFFF"/>
            <w:vAlign w:val="center"/>
          </w:tcPr>
          <w:p w:rsidR="002A655A" w:rsidRPr="004561AF" w:rsidRDefault="00D34568" w:rsidP="00357993">
            <w:pPr>
              <w:pStyle w:val="ListParagraph"/>
              <w:spacing w:line="180" w:lineRule="exact"/>
              <w:ind w:left="0"/>
              <w:rPr>
                <w:sz w:val="18"/>
                <w:highlight w:val="yellow"/>
              </w:rPr>
            </w:pPr>
            <w:r>
              <w:rPr>
                <w:sz w:val="18"/>
              </w:rPr>
              <w:t>PTSD</w:t>
            </w:r>
            <w:r w:rsidR="002A655A" w:rsidRPr="004561AF">
              <w:rPr>
                <w:sz w:val="18"/>
              </w:rPr>
              <w:t xml:space="preserve"> with Dysthymic and Generalized Anxiety Disorder</w:t>
            </w:r>
            <w:r w:rsidR="00357993">
              <w:rPr>
                <w:sz w:val="18"/>
              </w:rPr>
              <w:t>s</w:t>
            </w:r>
            <w:r w:rsidR="002A655A" w:rsidRPr="004561AF">
              <w:rPr>
                <w:sz w:val="18"/>
              </w:rPr>
              <w:t xml:space="preserve">, </w:t>
            </w:r>
            <w:r w:rsidR="00543AED">
              <w:rPr>
                <w:sz w:val="18"/>
              </w:rPr>
              <w:t xml:space="preserve">all </w:t>
            </w:r>
            <w:r w:rsidR="002A655A" w:rsidRPr="004561AF">
              <w:rPr>
                <w:sz w:val="18"/>
              </w:rPr>
              <w:t>in remission</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2A655A" w:rsidRPr="004561AF" w:rsidRDefault="002A655A" w:rsidP="00357993">
            <w:pPr>
              <w:pStyle w:val="ListParagraph"/>
              <w:spacing w:after="0" w:line="180" w:lineRule="exact"/>
              <w:ind w:left="0"/>
              <w:jc w:val="center"/>
              <w:rPr>
                <w:sz w:val="18"/>
                <w:highlight w:val="yellow"/>
              </w:rPr>
            </w:pPr>
            <w:r w:rsidRPr="004561AF">
              <w:rPr>
                <w:sz w:val="18"/>
              </w:rPr>
              <w:t>9411</w:t>
            </w:r>
          </w:p>
        </w:tc>
        <w:tc>
          <w:tcPr>
            <w:tcW w:w="720" w:type="dxa"/>
            <w:tcBorders>
              <w:top w:val="single" w:sz="4" w:space="0" w:color="auto"/>
              <w:left w:val="single" w:sz="4" w:space="0" w:color="auto"/>
              <w:bottom w:val="single" w:sz="4" w:space="0" w:color="auto"/>
              <w:right w:val="thinThickThinSmallGap" w:sz="24" w:space="0" w:color="auto"/>
            </w:tcBorders>
            <w:shd w:val="clear" w:color="auto" w:fill="FFFFFF"/>
            <w:vAlign w:val="center"/>
          </w:tcPr>
          <w:p w:rsidR="002A655A" w:rsidRPr="004561AF" w:rsidRDefault="002A655A" w:rsidP="00181558">
            <w:pPr>
              <w:pStyle w:val="ListParagraph"/>
              <w:spacing w:after="0" w:line="180" w:lineRule="exact"/>
              <w:ind w:left="0"/>
              <w:jc w:val="center"/>
              <w:rPr>
                <w:sz w:val="18"/>
              </w:rPr>
            </w:pPr>
            <w:r w:rsidRPr="004561AF">
              <w:rPr>
                <w:sz w:val="18"/>
              </w:rPr>
              <w:t>10%</w:t>
            </w:r>
          </w:p>
        </w:tc>
        <w:tc>
          <w:tcPr>
            <w:tcW w:w="2430" w:type="dxa"/>
            <w:tcBorders>
              <w:left w:val="thinThickThinSmallGap" w:sz="24" w:space="0" w:color="auto"/>
            </w:tcBorders>
            <w:shd w:val="clear" w:color="auto" w:fill="FFFFFF"/>
            <w:vAlign w:val="center"/>
          </w:tcPr>
          <w:p w:rsidR="002A655A" w:rsidRPr="004561AF" w:rsidRDefault="00D34568" w:rsidP="00357993">
            <w:pPr>
              <w:pStyle w:val="ListParagraph"/>
              <w:spacing w:line="180" w:lineRule="exact"/>
              <w:ind w:left="0"/>
              <w:rPr>
                <w:sz w:val="18"/>
              </w:rPr>
            </w:pPr>
            <w:r>
              <w:rPr>
                <w:sz w:val="18"/>
              </w:rPr>
              <w:t>PTSD</w:t>
            </w:r>
          </w:p>
        </w:tc>
        <w:tc>
          <w:tcPr>
            <w:tcW w:w="694" w:type="dxa"/>
            <w:tcBorders>
              <w:right w:val="single" w:sz="4" w:space="0" w:color="auto"/>
            </w:tcBorders>
            <w:shd w:val="clear" w:color="auto" w:fill="FFFFFF"/>
            <w:vAlign w:val="center"/>
          </w:tcPr>
          <w:p w:rsidR="002A655A" w:rsidRPr="004561AF" w:rsidRDefault="002A655A" w:rsidP="00254A6C">
            <w:pPr>
              <w:pStyle w:val="ListParagraph"/>
              <w:spacing w:line="180" w:lineRule="exact"/>
              <w:ind w:left="0"/>
              <w:jc w:val="center"/>
              <w:rPr>
                <w:sz w:val="18"/>
              </w:rPr>
            </w:pPr>
            <w:r w:rsidRPr="004561AF">
              <w:rPr>
                <w:sz w:val="18"/>
              </w:rPr>
              <w:t>9411</w:t>
            </w:r>
          </w:p>
        </w:tc>
        <w:tc>
          <w:tcPr>
            <w:tcW w:w="720" w:type="dxa"/>
            <w:tcBorders>
              <w:left w:val="single" w:sz="4" w:space="0" w:color="auto"/>
            </w:tcBorders>
            <w:shd w:val="clear" w:color="auto" w:fill="FFFFFF"/>
            <w:vAlign w:val="center"/>
          </w:tcPr>
          <w:p w:rsidR="002A655A" w:rsidRPr="004561AF" w:rsidRDefault="002A655A" w:rsidP="00254A6C">
            <w:pPr>
              <w:pStyle w:val="ListParagraph"/>
              <w:spacing w:line="180" w:lineRule="exact"/>
              <w:ind w:left="0"/>
              <w:jc w:val="center"/>
              <w:rPr>
                <w:sz w:val="18"/>
              </w:rPr>
            </w:pPr>
            <w:r w:rsidRPr="004561AF">
              <w:rPr>
                <w:sz w:val="18"/>
              </w:rPr>
              <w:t>30%</w:t>
            </w:r>
          </w:p>
        </w:tc>
        <w:tc>
          <w:tcPr>
            <w:tcW w:w="954" w:type="dxa"/>
            <w:shd w:val="clear" w:color="auto" w:fill="FFFFFF"/>
            <w:vAlign w:val="center"/>
          </w:tcPr>
          <w:p w:rsidR="002A655A" w:rsidRPr="004561AF" w:rsidRDefault="002A655A" w:rsidP="00181558">
            <w:pPr>
              <w:pStyle w:val="ListParagraph"/>
              <w:spacing w:after="0" w:line="180" w:lineRule="exact"/>
              <w:ind w:left="0"/>
              <w:jc w:val="center"/>
              <w:rPr>
                <w:sz w:val="18"/>
              </w:rPr>
            </w:pPr>
            <w:r w:rsidRPr="004561AF">
              <w:rPr>
                <w:sz w:val="18"/>
              </w:rPr>
              <w:t>20090908</w:t>
            </w:r>
          </w:p>
        </w:tc>
      </w:tr>
      <w:tr w:rsidR="002A655A" w:rsidRPr="008E1E94" w:rsidTr="00860463">
        <w:trPr>
          <w:trHeight w:val="170"/>
          <w:jc w:val="center"/>
        </w:trPr>
        <w:tc>
          <w:tcPr>
            <w:tcW w:w="4490" w:type="dxa"/>
            <w:gridSpan w:val="3"/>
            <w:tcBorders>
              <w:right w:val="thinThickThinSmallGap" w:sz="24" w:space="0" w:color="auto"/>
            </w:tcBorders>
            <w:shd w:val="clear" w:color="auto" w:fill="FFFFFF"/>
            <w:vAlign w:val="center"/>
          </w:tcPr>
          <w:p w:rsidR="002A655A" w:rsidRPr="004561AF" w:rsidRDefault="002A655A" w:rsidP="00254A6C">
            <w:pPr>
              <w:pStyle w:val="ListParagraph"/>
              <w:spacing w:after="0" w:line="180" w:lineRule="exact"/>
              <w:ind w:left="0"/>
              <w:jc w:val="center"/>
              <w:rPr>
                <w:sz w:val="18"/>
                <w:highlight w:val="yellow"/>
              </w:rPr>
            </w:pPr>
            <w:r w:rsidRPr="00197705">
              <w:rPr>
                <w:sz w:val="18"/>
              </w:rPr>
              <w:t>No Additional MEB/PEB Entries</w:t>
            </w:r>
          </w:p>
        </w:tc>
        <w:tc>
          <w:tcPr>
            <w:tcW w:w="4798" w:type="dxa"/>
            <w:gridSpan w:val="4"/>
            <w:tcBorders>
              <w:left w:val="thinThickThinSmallGap" w:sz="24" w:space="0" w:color="auto"/>
            </w:tcBorders>
            <w:shd w:val="clear" w:color="auto" w:fill="FFFFFF"/>
            <w:vAlign w:val="center"/>
          </w:tcPr>
          <w:p w:rsidR="002A655A" w:rsidRPr="004561AF" w:rsidRDefault="002A655A" w:rsidP="00357993">
            <w:pPr>
              <w:pStyle w:val="ListParagraph"/>
              <w:spacing w:after="0" w:line="180" w:lineRule="exact"/>
              <w:ind w:left="0"/>
              <w:jc w:val="center"/>
              <w:rPr>
                <w:sz w:val="18"/>
              </w:rPr>
            </w:pPr>
            <w:r w:rsidRPr="00197705">
              <w:rPr>
                <w:sz w:val="18"/>
              </w:rPr>
              <w:t>Not Service Connected X 1</w:t>
            </w:r>
            <w:r w:rsidR="00357993">
              <w:rPr>
                <w:sz w:val="18"/>
              </w:rPr>
              <w:t>5</w:t>
            </w:r>
          </w:p>
        </w:tc>
      </w:tr>
      <w:tr w:rsidR="002A655A" w:rsidRPr="008E1E94" w:rsidTr="00860463">
        <w:trPr>
          <w:trHeight w:val="188"/>
          <w:jc w:val="center"/>
        </w:trPr>
        <w:tc>
          <w:tcPr>
            <w:tcW w:w="4490" w:type="dxa"/>
            <w:gridSpan w:val="3"/>
            <w:tcBorders>
              <w:right w:val="thinThickThinSmallGap" w:sz="2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20"/>
              </w:rPr>
            </w:pPr>
            <w:r w:rsidRPr="004561AF">
              <w:rPr>
                <w:b/>
                <w:sz w:val="20"/>
              </w:rPr>
              <w:t>Final Combined: 10%</w:t>
            </w:r>
          </w:p>
        </w:tc>
        <w:tc>
          <w:tcPr>
            <w:tcW w:w="4798" w:type="dxa"/>
            <w:gridSpan w:val="4"/>
            <w:tcBorders>
              <w:left w:val="thinThickThinSmallGap" w:sz="24" w:space="0" w:color="auto"/>
            </w:tcBorders>
            <w:shd w:val="clear" w:color="auto" w:fill="D9D9D9"/>
            <w:vAlign w:val="center"/>
          </w:tcPr>
          <w:p w:rsidR="002A655A" w:rsidRPr="004561AF" w:rsidRDefault="002A655A" w:rsidP="00254A6C">
            <w:pPr>
              <w:pStyle w:val="ListParagraph"/>
              <w:spacing w:after="0" w:line="180" w:lineRule="exact"/>
              <w:ind w:left="0"/>
              <w:jc w:val="center"/>
              <w:rPr>
                <w:b/>
                <w:sz w:val="20"/>
              </w:rPr>
            </w:pPr>
            <w:r w:rsidRPr="004561AF">
              <w:rPr>
                <w:b/>
                <w:sz w:val="20"/>
              </w:rPr>
              <w:t>TOTAL Combined: 30%</w:t>
            </w:r>
          </w:p>
        </w:tc>
      </w:tr>
    </w:tbl>
    <w:p w:rsidR="002A655A" w:rsidRPr="00FC7796" w:rsidRDefault="002A655A" w:rsidP="00FC7796">
      <w:pPr>
        <w:pBdr>
          <w:bottom w:val="single" w:sz="12" w:space="1" w:color="auto"/>
        </w:pBdr>
        <w:tabs>
          <w:tab w:val="left" w:pos="288"/>
          <w:tab w:val="left" w:pos="4752"/>
        </w:tabs>
        <w:spacing w:line="240" w:lineRule="exact"/>
        <w:jc w:val="both"/>
        <w:rPr>
          <w:color w:val="auto"/>
          <w:sz w:val="18"/>
        </w:rPr>
      </w:pPr>
    </w:p>
    <w:p w:rsidR="002A655A" w:rsidRDefault="002A655A" w:rsidP="00C6170B">
      <w:pPr>
        <w:rPr>
          <w:color w:val="auto"/>
          <w:u w:val="single"/>
        </w:rPr>
      </w:pPr>
    </w:p>
    <w:p w:rsidR="00285D80" w:rsidRDefault="002A655A" w:rsidP="00ED6EF9">
      <w:pPr>
        <w:spacing w:line="240" w:lineRule="exact"/>
        <w:jc w:val="both"/>
        <w:rPr>
          <w:color w:val="auto"/>
        </w:rPr>
      </w:pPr>
      <w:r w:rsidRPr="00396779">
        <w:rPr>
          <w:color w:val="auto"/>
          <w:u w:val="single"/>
        </w:rPr>
        <w:t>ANALYSIS SUMMARY</w:t>
      </w:r>
      <w:r w:rsidRPr="00396779">
        <w:rPr>
          <w:color w:val="auto"/>
        </w:rPr>
        <w:t xml:space="preserve">: </w:t>
      </w:r>
      <w:r w:rsidRPr="00FC7796">
        <w:rPr>
          <w:color w:val="auto"/>
        </w:rPr>
        <w:t xml:space="preserve"> </w:t>
      </w:r>
      <w:r w:rsidRPr="006C72C0">
        <w:rPr>
          <w:color w:val="auto"/>
        </w:rPr>
        <w:t>The PEB rating</w:t>
      </w:r>
      <w:r w:rsidR="004D56ED">
        <w:rPr>
          <w:color w:val="auto"/>
        </w:rPr>
        <w:t xml:space="preserve"> at the time of entry on TDRL </w:t>
      </w:r>
      <w:r w:rsidRPr="006C72C0">
        <w:rPr>
          <w:color w:val="auto"/>
        </w:rPr>
        <w:t xml:space="preserve">was derived from DoDI 1332.39 and preceded the promulgation of the National Defense Authorization Act (NDAA) </w:t>
      </w:r>
      <w:r w:rsidRPr="006C72C0">
        <w:rPr>
          <w:color w:val="auto"/>
        </w:rPr>
        <w:lastRenderedPageBreak/>
        <w:t xml:space="preserve">2008 mandate for DoD adherence to the </w:t>
      </w:r>
      <w:r w:rsidR="009B144F">
        <w:rPr>
          <w:color w:val="auto"/>
        </w:rPr>
        <w:t>VASRD</w:t>
      </w:r>
      <w:r w:rsidRPr="006C72C0">
        <w:rPr>
          <w:color w:val="auto"/>
        </w:rPr>
        <w:t xml:space="preserve"> §4.129.</w:t>
      </w:r>
      <w:r w:rsidR="00285D80">
        <w:rPr>
          <w:color w:val="auto"/>
        </w:rPr>
        <w:t xml:space="preserve">  </w:t>
      </w:r>
      <w:r w:rsidR="004D56ED" w:rsidRPr="004D56ED">
        <w:rPr>
          <w:rFonts w:eastAsia="Calibri"/>
          <w:color w:val="auto"/>
          <w:szCs w:val="24"/>
        </w:rPr>
        <w:t>IAW DoDI 6040.44 and DoD guidance (which applies current VASRD 4.129 to all Board cases), the Board is obligated to recommend a minimum 50% PTSD rating for a retroactive six-month period on the Temporary Disability Retired List (TDRL).  Since the Service was in compliance with the §4.129 TDRL requirement, the Board need not apply a constructive TDRL interval in this case.  A minimum TDRL rating of 50% remains applicable IAW</w:t>
      </w:r>
      <w:r w:rsidR="009B144F">
        <w:rPr>
          <w:rFonts w:eastAsia="Calibri"/>
          <w:color w:val="auto"/>
          <w:szCs w:val="24"/>
        </w:rPr>
        <w:t xml:space="preserve"> DoD direction, and as held by F</w:t>
      </w:r>
      <w:r w:rsidR="004D56ED" w:rsidRPr="004D56ED">
        <w:rPr>
          <w:rFonts w:eastAsia="Calibri"/>
          <w:color w:val="auto"/>
          <w:szCs w:val="24"/>
        </w:rPr>
        <w:t xml:space="preserve">ederal court in the </w:t>
      </w:r>
      <w:r w:rsidR="004D56ED" w:rsidRPr="004D56ED">
        <w:rPr>
          <w:rFonts w:eastAsia="Calibri"/>
          <w:i/>
          <w:color w:val="auto"/>
          <w:szCs w:val="24"/>
        </w:rPr>
        <w:t>Sabo v. United States</w:t>
      </w:r>
      <w:r w:rsidR="004D56ED" w:rsidRPr="004D56ED">
        <w:rPr>
          <w:rFonts w:eastAsia="Calibri"/>
          <w:color w:val="auto"/>
          <w:szCs w:val="24"/>
        </w:rPr>
        <w:t xml:space="preserve"> class action settlement.  The Board must then determine the most appropriate fit with VASRD 4.130 criteria at the end of the TDRL interval for its permanent rating recommendation.</w:t>
      </w:r>
      <w:r w:rsidR="004D56ED">
        <w:rPr>
          <w:rFonts w:eastAsia="Calibri"/>
          <w:color w:val="auto"/>
          <w:szCs w:val="24"/>
        </w:rPr>
        <w:t xml:space="preserve">  </w:t>
      </w:r>
      <w:r w:rsidR="00285D80" w:rsidRPr="00FC7796">
        <w:rPr>
          <w:color w:val="auto"/>
        </w:rPr>
        <w:t>The most proximate source</w:t>
      </w:r>
      <w:r w:rsidR="00285D80">
        <w:rPr>
          <w:color w:val="auto"/>
        </w:rPr>
        <w:t>s</w:t>
      </w:r>
      <w:r w:rsidR="00285D80" w:rsidRPr="00FC7796">
        <w:rPr>
          <w:color w:val="auto"/>
        </w:rPr>
        <w:t xml:space="preserve"> of comprehensive evidence on which to base the permanent rating recommendation in this case </w:t>
      </w:r>
      <w:r w:rsidR="00285D80">
        <w:rPr>
          <w:color w:val="auto"/>
        </w:rPr>
        <w:t xml:space="preserve">are the TDRL MEB exam performed 9 months prior to </w:t>
      </w:r>
      <w:r w:rsidR="00285D80" w:rsidRPr="00FC7796">
        <w:rPr>
          <w:color w:val="auto"/>
        </w:rPr>
        <w:t xml:space="preserve">permanent </w:t>
      </w:r>
      <w:r w:rsidR="00285D80">
        <w:rPr>
          <w:color w:val="auto"/>
        </w:rPr>
        <w:t>separation and</w:t>
      </w:r>
      <w:r w:rsidR="00285D80" w:rsidRPr="00FC7796">
        <w:rPr>
          <w:color w:val="auto"/>
        </w:rPr>
        <w:t xml:space="preserve"> the </w:t>
      </w:r>
      <w:r w:rsidR="009B144F">
        <w:rPr>
          <w:color w:val="auto"/>
        </w:rPr>
        <w:t>Department of Veterans’ Affairs (</w:t>
      </w:r>
      <w:r w:rsidR="00987C77">
        <w:rPr>
          <w:color w:val="auto"/>
        </w:rPr>
        <w:t>D</w:t>
      </w:r>
      <w:r w:rsidR="00285D80" w:rsidRPr="00FC7796">
        <w:rPr>
          <w:color w:val="auto"/>
        </w:rPr>
        <w:t>VA</w:t>
      </w:r>
      <w:r w:rsidR="009B144F">
        <w:rPr>
          <w:color w:val="auto"/>
        </w:rPr>
        <w:t>)</w:t>
      </w:r>
      <w:r w:rsidR="00285D80" w:rsidRPr="00FC7796">
        <w:rPr>
          <w:color w:val="auto"/>
        </w:rPr>
        <w:t xml:space="preserve"> </w:t>
      </w:r>
      <w:r w:rsidR="009B144F">
        <w:rPr>
          <w:color w:val="auto"/>
        </w:rPr>
        <w:t>C</w:t>
      </w:r>
      <w:r w:rsidR="00285D80" w:rsidRPr="00FC7796">
        <w:rPr>
          <w:color w:val="auto"/>
        </w:rPr>
        <w:t xml:space="preserve">ompensation and </w:t>
      </w:r>
      <w:r w:rsidR="009B144F">
        <w:rPr>
          <w:color w:val="auto"/>
        </w:rPr>
        <w:t>P</w:t>
      </w:r>
      <w:r w:rsidR="00285D80" w:rsidRPr="00FC7796">
        <w:rPr>
          <w:color w:val="auto"/>
        </w:rPr>
        <w:t xml:space="preserve">ension (C&amp;P) examination performed 1 month after permanent separation.  </w:t>
      </w:r>
    </w:p>
    <w:p w:rsidR="002A655A" w:rsidRDefault="002A655A" w:rsidP="00510F9C">
      <w:pPr>
        <w:spacing w:line="240" w:lineRule="exact"/>
        <w:rPr>
          <w:color w:val="auto"/>
        </w:rPr>
      </w:pPr>
    </w:p>
    <w:p w:rsidR="002A655A" w:rsidRDefault="0014558E" w:rsidP="00FC7796">
      <w:pPr>
        <w:autoSpaceDE w:val="0"/>
        <w:autoSpaceDN w:val="0"/>
        <w:adjustRightInd w:val="0"/>
        <w:spacing w:line="240" w:lineRule="exact"/>
        <w:jc w:val="both"/>
        <w:rPr>
          <w:iCs/>
          <w:color w:val="auto"/>
        </w:rPr>
      </w:pPr>
      <w:r>
        <w:rPr>
          <w:color w:val="auto"/>
          <w:u w:val="single"/>
        </w:rPr>
        <w:t>Psychiatric</w:t>
      </w:r>
      <w:r w:rsidR="002A655A" w:rsidRPr="00664296">
        <w:rPr>
          <w:color w:val="auto"/>
          <w:u w:val="single"/>
        </w:rPr>
        <w:t xml:space="preserve"> Condition</w:t>
      </w:r>
      <w:r w:rsidR="002A655A" w:rsidRPr="00664296">
        <w:rPr>
          <w:color w:val="auto"/>
        </w:rPr>
        <w:t xml:space="preserve">.  </w:t>
      </w:r>
      <w:r w:rsidR="002A655A" w:rsidRPr="00CB2018">
        <w:rPr>
          <w:iCs/>
          <w:color w:val="auto"/>
        </w:rPr>
        <w:t xml:space="preserve">The CI first reported mental health symptoms of depression and anxiety in 2003.  She sought help and was treated with counseling and medication.  In 2004, the CI was raped, and her mental health declined.  She experienced increased sensitivity and anxiety, feelings of worthlessness, insomnia, decreased interest and appetite, mood swings, and irritability.  She was unable to properly </w:t>
      </w:r>
      <w:r w:rsidR="009D76F6" w:rsidRPr="00CB2018">
        <w:rPr>
          <w:iCs/>
          <w:color w:val="auto"/>
        </w:rPr>
        <w:t xml:space="preserve">perform </w:t>
      </w:r>
      <w:r w:rsidR="003C348C">
        <w:rPr>
          <w:iCs/>
          <w:color w:val="auto"/>
        </w:rPr>
        <w:t xml:space="preserve">her </w:t>
      </w:r>
      <w:r w:rsidR="009B144F">
        <w:rPr>
          <w:iCs/>
          <w:color w:val="auto"/>
        </w:rPr>
        <w:t>duties and</w:t>
      </w:r>
      <w:r w:rsidR="00C878D0">
        <w:rPr>
          <w:iCs/>
          <w:color w:val="auto"/>
        </w:rPr>
        <w:t xml:space="preserve"> h</w:t>
      </w:r>
      <w:r w:rsidR="003C348C">
        <w:rPr>
          <w:iCs/>
          <w:color w:val="auto"/>
        </w:rPr>
        <w:t>er c</w:t>
      </w:r>
      <w:r w:rsidR="002A655A" w:rsidRPr="00CB2018">
        <w:rPr>
          <w:iCs/>
          <w:color w:val="auto"/>
        </w:rPr>
        <w:t>ommander stated that she was often seen crying at work</w:t>
      </w:r>
      <w:r w:rsidR="00C878D0">
        <w:rPr>
          <w:iCs/>
          <w:color w:val="auto"/>
        </w:rPr>
        <w:t>,</w:t>
      </w:r>
      <w:r w:rsidR="002A655A" w:rsidRPr="00CB2018">
        <w:rPr>
          <w:iCs/>
          <w:color w:val="auto"/>
        </w:rPr>
        <w:t xml:space="preserve"> and had to have </w:t>
      </w:r>
      <w:r w:rsidR="00C878D0">
        <w:rPr>
          <w:iCs/>
          <w:color w:val="auto"/>
        </w:rPr>
        <w:t>long breaks</w:t>
      </w:r>
      <w:r w:rsidR="002A655A" w:rsidRPr="00CB2018">
        <w:rPr>
          <w:iCs/>
          <w:color w:val="auto"/>
        </w:rPr>
        <w:t xml:space="preserve"> to regain her composure.  </w:t>
      </w:r>
      <w:r w:rsidR="00C21AE7">
        <w:rPr>
          <w:iCs/>
          <w:color w:val="auto"/>
        </w:rPr>
        <w:t>Her only Axis I diagnosis</w:t>
      </w:r>
      <w:r w:rsidR="00340E4A" w:rsidRPr="00CB2018">
        <w:rPr>
          <w:iCs/>
          <w:color w:val="auto"/>
        </w:rPr>
        <w:t xml:space="preserve"> at this </w:t>
      </w:r>
      <w:r w:rsidR="00CC1F22">
        <w:rPr>
          <w:iCs/>
          <w:color w:val="auto"/>
        </w:rPr>
        <w:t>time</w:t>
      </w:r>
      <w:r w:rsidR="00340E4A" w:rsidRPr="00CB2018">
        <w:rPr>
          <w:iCs/>
          <w:color w:val="auto"/>
        </w:rPr>
        <w:t xml:space="preserve"> </w:t>
      </w:r>
      <w:r w:rsidR="00C21AE7">
        <w:rPr>
          <w:iCs/>
          <w:color w:val="auto"/>
        </w:rPr>
        <w:t>was dysthymic disorder with generalized anxiety disorder</w:t>
      </w:r>
      <w:r w:rsidR="00C878D0">
        <w:rPr>
          <w:iCs/>
          <w:color w:val="auto"/>
        </w:rPr>
        <w:t>,</w:t>
      </w:r>
      <w:r w:rsidR="00C21AE7">
        <w:rPr>
          <w:iCs/>
          <w:color w:val="auto"/>
        </w:rPr>
        <w:t xml:space="preserve"> </w:t>
      </w:r>
      <w:r w:rsidR="00340E4A">
        <w:rPr>
          <w:iCs/>
          <w:color w:val="auto"/>
        </w:rPr>
        <w:t>with</w:t>
      </w:r>
      <w:r w:rsidR="00340E4A" w:rsidRPr="00CB2018">
        <w:rPr>
          <w:iCs/>
          <w:color w:val="auto"/>
        </w:rPr>
        <w:t xml:space="preserve"> a Global Assessment of Functioning </w:t>
      </w:r>
      <w:r w:rsidR="00340E4A">
        <w:rPr>
          <w:iCs/>
          <w:color w:val="auto"/>
        </w:rPr>
        <w:t>(</w:t>
      </w:r>
      <w:r w:rsidR="00340E4A" w:rsidRPr="00CB2018">
        <w:rPr>
          <w:iCs/>
          <w:color w:val="auto"/>
        </w:rPr>
        <w:t>GAF</w:t>
      </w:r>
      <w:r w:rsidR="00340E4A">
        <w:rPr>
          <w:iCs/>
          <w:color w:val="auto"/>
        </w:rPr>
        <w:t>)</w:t>
      </w:r>
      <w:r w:rsidR="00340E4A" w:rsidRPr="00CB2018">
        <w:rPr>
          <w:iCs/>
          <w:color w:val="auto"/>
        </w:rPr>
        <w:t xml:space="preserve"> </w:t>
      </w:r>
      <w:r w:rsidR="00CC1F22">
        <w:rPr>
          <w:iCs/>
          <w:color w:val="auto"/>
        </w:rPr>
        <w:t xml:space="preserve">assignment </w:t>
      </w:r>
      <w:r w:rsidR="00340E4A" w:rsidRPr="00CB2018">
        <w:rPr>
          <w:iCs/>
          <w:color w:val="auto"/>
        </w:rPr>
        <w:t xml:space="preserve">of 71-80.  </w:t>
      </w:r>
      <w:r w:rsidR="00C21AE7">
        <w:rPr>
          <w:iCs/>
          <w:color w:val="auto"/>
        </w:rPr>
        <w:t>She underwent a</w:t>
      </w:r>
      <w:r w:rsidR="00340E4A">
        <w:rPr>
          <w:iCs/>
          <w:color w:val="auto"/>
        </w:rPr>
        <w:t xml:space="preserve"> MEB</w:t>
      </w:r>
      <w:r w:rsidR="009B144F">
        <w:rPr>
          <w:iCs/>
          <w:color w:val="auto"/>
        </w:rPr>
        <w:t xml:space="preserve"> </w:t>
      </w:r>
      <w:r w:rsidR="00340E4A">
        <w:rPr>
          <w:iCs/>
          <w:color w:val="auto"/>
        </w:rPr>
        <w:t xml:space="preserve">and </w:t>
      </w:r>
      <w:r w:rsidR="00C21AE7">
        <w:rPr>
          <w:iCs/>
          <w:color w:val="auto"/>
        </w:rPr>
        <w:t>the I</w:t>
      </w:r>
      <w:r w:rsidR="00340E4A">
        <w:rPr>
          <w:iCs/>
          <w:color w:val="auto"/>
        </w:rPr>
        <w:t xml:space="preserve">PEB </w:t>
      </w:r>
      <w:r w:rsidR="002A655A" w:rsidRPr="00CB2018">
        <w:rPr>
          <w:iCs/>
          <w:color w:val="auto"/>
        </w:rPr>
        <w:t xml:space="preserve">placed </w:t>
      </w:r>
      <w:r w:rsidR="00C878D0">
        <w:rPr>
          <w:iCs/>
          <w:color w:val="auto"/>
        </w:rPr>
        <w:t>her</w:t>
      </w:r>
      <w:r w:rsidR="00340E4A">
        <w:rPr>
          <w:iCs/>
          <w:color w:val="auto"/>
        </w:rPr>
        <w:t xml:space="preserve"> </w:t>
      </w:r>
      <w:r w:rsidR="002A655A" w:rsidRPr="00CB2018">
        <w:rPr>
          <w:iCs/>
          <w:color w:val="auto"/>
        </w:rPr>
        <w:t>on TDRL in October of 2005 with a 30% disability rating</w:t>
      </w:r>
      <w:r w:rsidR="00C878D0" w:rsidRPr="00C878D0">
        <w:rPr>
          <w:iCs/>
          <w:color w:val="auto"/>
        </w:rPr>
        <w:t xml:space="preserve"> </w:t>
      </w:r>
      <w:r w:rsidR="00C878D0">
        <w:rPr>
          <w:iCs/>
          <w:color w:val="auto"/>
        </w:rPr>
        <w:t>for the dysthymic/anxiety disorder</w:t>
      </w:r>
      <w:r w:rsidR="002A655A" w:rsidRPr="00CB2018">
        <w:rPr>
          <w:iCs/>
          <w:color w:val="auto"/>
        </w:rPr>
        <w:t xml:space="preserve">.  </w:t>
      </w:r>
      <w:r w:rsidR="00C21AE7">
        <w:rPr>
          <w:iCs/>
          <w:color w:val="auto"/>
        </w:rPr>
        <w:t xml:space="preserve">Although PTSD had appeared as a </w:t>
      </w:r>
      <w:r w:rsidR="009B144F">
        <w:rPr>
          <w:iCs/>
          <w:color w:val="auto"/>
        </w:rPr>
        <w:t>“rule-out”</w:t>
      </w:r>
      <w:r w:rsidR="00C21AE7">
        <w:rPr>
          <w:iCs/>
          <w:color w:val="auto"/>
        </w:rPr>
        <w:t xml:space="preserve"> diagnosis during her initial MEB period (rape as the Criterion A stressor), she first received a formal Axis I diagnosis of PTSD </w:t>
      </w:r>
      <w:r w:rsidR="009010E9">
        <w:rPr>
          <w:iCs/>
          <w:color w:val="auto"/>
        </w:rPr>
        <w:t>at</w:t>
      </w:r>
      <w:r w:rsidR="00C21AE7">
        <w:rPr>
          <w:iCs/>
          <w:color w:val="auto"/>
        </w:rPr>
        <w:t xml:space="preserve"> </w:t>
      </w:r>
      <w:r w:rsidR="00C878D0">
        <w:rPr>
          <w:iCs/>
          <w:color w:val="auto"/>
        </w:rPr>
        <w:t>her</w:t>
      </w:r>
      <w:r w:rsidR="00C21AE7">
        <w:rPr>
          <w:iCs/>
          <w:color w:val="auto"/>
        </w:rPr>
        <w:t xml:space="preserve"> TDRL re-evaluation in 2007. </w:t>
      </w:r>
      <w:r w:rsidR="000D5F33">
        <w:rPr>
          <w:iCs/>
          <w:color w:val="auto"/>
        </w:rPr>
        <w:t xml:space="preserve"> </w:t>
      </w:r>
      <w:r w:rsidR="002A655A">
        <w:rPr>
          <w:color w:val="auto"/>
        </w:rPr>
        <w:t xml:space="preserve">Nine months </w:t>
      </w:r>
      <w:r w:rsidR="00340E4A">
        <w:rPr>
          <w:color w:val="auto"/>
        </w:rPr>
        <w:t xml:space="preserve">prior to permanent </w:t>
      </w:r>
      <w:r w:rsidR="002A655A">
        <w:rPr>
          <w:color w:val="auto"/>
        </w:rPr>
        <w:t xml:space="preserve">separation, </w:t>
      </w:r>
      <w:r w:rsidR="002A655A" w:rsidRPr="00CB2018">
        <w:rPr>
          <w:iCs/>
          <w:color w:val="auto"/>
        </w:rPr>
        <w:t xml:space="preserve">the severity of the CI’s PTSD condition </w:t>
      </w:r>
      <w:r w:rsidR="00C878D0">
        <w:rPr>
          <w:iCs/>
          <w:color w:val="auto"/>
        </w:rPr>
        <w:t>(</w:t>
      </w:r>
      <w:r w:rsidR="002A655A" w:rsidRPr="00CB2018">
        <w:rPr>
          <w:iCs/>
          <w:color w:val="auto"/>
        </w:rPr>
        <w:t xml:space="preserve">as evidenced by the </w:t>
      </w:r>
      <w:r w:rsidR="00C878D0">
        <w:rPr>
          <w:iCs/>
          <w:color w:val="auto"/>
        </w:rPr>
        <w:t>final TDRL psychiatric</w:t>
      </w:r>
      <w:r w:rsidR="002A655A" w:rsidRPr="00CB2018">
        <w:rPr>
          <w:iCs/>
          <w:color w:val="auto"/>
        </w:rPr>
        <w:t xml:space="preserve"> evaluation</w:t>
      </w:r>
      <w:r w:rsidR="00C878D0">
        <w:rPr>
          <w:iCs/>
          <w:color w:val="auto"/>
        </w:rPr>
        <w:t>)</w:t>
      </w:r>
      <w:r w:rsidR="002A655A" w:rsidRPr="00CB2018">
        <w:rPr>
          <w:iCs/>
          <w:color w:val="auto"/>
        </w:rPr>
        <w:t xml:space="preserve"> could best be described as slight to nonexistent. </w:t>
      </w:r>
      <w:r w:rsidR="001874BD">
        <w:rPr>
          <w:iCs/>
          <w:color w:val="auto"/>
        </w:rPr>
        <w:t xml:space="preserve">During </w:t>
      </w:r>
      <w:r w:rsidR="009010E9">
        <w:rPr>
          <w:iCs/>
          <w:color w:val="auto"/>
        </w:rPr>
        <w:t>the</w:t>
      </w:r>
      <w:r w:rsidR="001874BD">
        <w:rPr>
          <w:iCs/>
          <w:color w:val="auto"/>
        </w:rPr>
        <w:t xml:space="preserve"> TDRL period she had divorced, had started dating again, and had a stable full-time job.  She had not sought any mental health treatment since 2006</w:t>
      </w:r>
      <w:r w:rsidR="009010E9">
        <w:rPr>
          <w:iCs/>
          <w:color w:val="auto"/>
        </w:rPr>
        <w:t>, indicating “I didn’t think I needed it</w:t>
      </w:r>
      <w:r w:rsidR="001874BD">
        <w:rPr>
          <w:iCs/>
          <w:color w:val="auto"/>
        </w:rPr>
        <w:t>.</w:t>
      </w:r>
      <w:r w:rsidR="009010E9">
        <w:rPr>
          <w:iCs/>
          <w:color w:val="auto"/>
        </w:rPr>
        <w:t>”</w:t>
      </w:r>
      <w:r w:rsidR="001874BD">
        <w:rPr>
          <w:iCs/>
          <w:color w:val="auto"/>
        </w:rPr>
        <w:t xml:space="preserve">  </w:t>
      </w:r>
      <w:r w:rsidR="002A655A" w:rsidRPr="00CB2018">
        <w:rPr>
          <w:iCs/>
          <w:color w:val="auto"/>
        </w:rPr>
        <w:t xml:space="preserve">She related only symptoms of insomnia and said overall, “I’m doing well.”  </w:t>
      </w:r>
      <w:r w:rsidR="001874BD">
        <w:rPr>
          <w:iCs/>
          <w:color w:val="auto"/>
        </w:rPr>
        <w:t xml:space="preserve">The mental status exam </w:t>
      </w:r>
      <w:r w:rsidR="009010E9">
        <w:rPr>
          <w:iCs/>
          <w:color w:val="auto"/>
        </w:rPr>
        <w:t xml:space="preserve">(MSE) </w:t>
      </w:r>
      <w:r w:rsidR="001874BD">
        <w:rPr>
          <w:iCs/>
          <w:color w:val="auto"/>
        </w:rPr>
        <w:t>was completely normal.  The</w:t>
      </w:r>
      <w:r w:rsidR="002A655A">
        <w:rPr>
          <w:iCs/>
          <w:color w:val="auto"/>
        </w:rPr>
        <w:t xml:space="preserve"> </w:t>
      </w:r>
      <w:r w:rsidR="009010E9">
        <w:rPr>
          <w:iCs/>
          <w:color w:val="auto"/>
        </w:rPr>
        <w:t>TDRL</w:t>
      </w:r>
      <w:r w:rsidR="002A655A">
        <w:rPr>
          <w:iCs/>
          <w:color w:val="auto"/>
        </w:rPr>
        <w:t xml:space="preserve"> psychiatrist </w:t>
      </w:r>
      <w:r w:rsidR="001874BD">
        <w:rPr>
          <w:iCs/>
          <w:color w:val="auto"/>
        </w:rPr>
        <w:t>stated</w:t>
      </w:r>
      <w:r w:rsidR="002A655A">
        <w:rPr>
          <w:iCs/>
          <w:color w:val="auto"/>
        </w:rPr>
        <w:t xml:space="preserve">, “There is no current evidence by her report now that she meets criteria for any psychiatric disorder…. However, she is at some risk for recurrence given her history of anxiety and depression.”  It was noted that the CI was interested in returning to active duty status at this time, but the examiner </w:t>
      </w:r>
      <w:r w:rsidR="001874BD">
        <w:rPr>
          <w:iCs/>
          <w:color w:val="auto"/>
        </w:rPr>
        <w:t>opined</w:t>
      </w:r>
      <w:r w:rsidR="002A655A">
        <w:rPr>
          <w:iCs/>
          <w:color w:val="auto"/>
        </w:rPr>
        <w:t xml:space="preserve"> she was still unfit for duty with a 30% chance of relapse in a military environment.  The MEB examiner assigned a </w:t>
      </w:r>
      <w:r w:rsidR="002A655A" w:rsidRPr="00CB2018">
        <w:rPr>
          <w:iCs/>
          <w:color w:val="auto"/>
        </w:rPr>
        <w:t>GAF</w:t>
      </w:r>
      <w:r w:rsidR="002A655A">
        <w:rPr>
          <w:iCs/>
          <w:color w:val="auto"/>
        </w:rPr>
        <w:t xml:space="preserve"> score of 65 </w:t>
      </w:r>
      <w:r w:rsidR="009010E9">
        <w:rPr>
          <w:iCs/>
          <w:color w:val="auto"/>
        </w:rPr>
        <w:t>(</w:t>
      </w:r>
      <w:r w:rsidR="002A655A">
        <w:rPr>
          <w:iCs/>
          <w:color w:val="auto"/>
        </w:rPr>
        <w:t>connoting mild</w:t>
      </w:r>
      <w:r w:rsidR="002A655A" w:rsidRPr="00390336">
        <w:rPr>
          <w:iCs/>
          <w:color w:val="auto"/>
        </w:rPr>
        <w:t xml:space="preserve"> impairment in social and occupational functioning</w:t>
      </w:r>
      <w:r w:rsidR="009010E9">
        <w:rPr>
          <w:iCs/>
          <w:color w:val="auto"/>
        </w:rPr>
        <w:t>)</w:t>
      </w:r>
      <w:r w:rsidR="002A655A" w:rsidRPr="00390336">
        <w:rPr>
          <w:iCs/>
          <w:color w:val="auto"/>
        </w:rPr>
        <w:t>.</w:t>
      </w:r>
      <w:r w:rsidR="002A655A">
        <w:rPr>
          <w:iCs/>
          <w:color w:val="auto"/>
        </w:rPr>
        <w:t xml:space="preserve">  During the 9 months between the MEB exam and the VA exam, </w:t>
      </w:r>
      <w:r w:rsidR="00C878D0">
        <w:rPr>
          <w:iCs/>
          <w:color w:val="auto"/>
        </w:rPr>
        <w:t>however,</w:t>
      </w:r>
      <w:r w:rsidR="002A655A">
        <w:rPr>
          <w:iCs/>
          <w:color w:val="auto"/>
        </w:rPr>
        <w:t xml:space="preserve"> the CI had a serious exacerbation of symptoms.  </w:t>
      </w:r>
      <w:r w:rsidR="00573DBC">
        <w:rPr>
          <w:iCs/>
          <w:color w:val="auto"/>
        </w:rPr>
        <w:t>In May 2009, s</w:t>
      </w:r>
      <w:r w:rsidR="002A655A">
        <w:rPr>
          <w:iCs/>
          <w:color w:val="auto"/>
        </w:rPr>
        <w:t xml:space="preserve">he was hospitalized for 6 days for severe </w:t>
      </w:r>
      <w:r w:rsidR="00A71CB9">
        <w:rPr>
          <w:iCs/>
          <w:color w:val="auto"/>
        </w:rPr>
        <w:t xml:space="preserve">recurrent major depressive disorder </w:t>
      </w:r>
      <w:r w:rsidR="002A655A">
        <w:rPr>
          <w:iCs/>
          <w:color w:val="auto"/>
        </w:rPr>
        <w:t xml:space="preserve">and </w:t>
      </w:r>
      <w:r w:rsidR="00A71CB9">
        <w:rPr>
          <w:iCs/>
          <w:color w:val="auto"/>
        </w:rPr>
        <w:t xml:space="preserve">PTSD, </w:t>
      </w:r>
      <w:r w:rsidR="00C878D0">
        <w:rPr>
          <w:iCs/>
          <w:color w:val="auto"/>
        </w:rPr>
        <w:t xml:space="preserve">with </w:t>
      </w:r>
      <w:r w:rsidR="002B5D46">
        <w:rPr>
          <w:iCs/>
          <w:color w:val="auto"/>
        </w:rPr>
        <w:t>suicidal ideation and</w:t>
      </w:r>
      <w:r w:rsidR="00A71CB9">
        <w:rPr>
          <w:iCs/>
          <w:color w:val="auto"/>
        </w:rPr>
        <w:t xml:space="preserve"> an </w:t>
      </w:r>
      <w:r w:rsidR="002A655A">
        <w:rPr>
          <w:iCs/>
          <w:color w:val="auto"/>
        </w:rPr>
        <w:t xml:space="preserve">admission GAF </w:t>
      </w:r>
      <w:r w:rsidR="00A71CB9">
        <w:rPr>
          <w:iCs/>
          <w:color w:val="auto"/>
        </w:rPr>
        <w:t>of</w:t>
      </w:r>
      <w:r w:rsidR="002A655A">
        <w:rPr>
          <w:iCs/>
          <w:color w:val="auto"/>
        </w:rPr>
        <w:t xml:space="preserve"> 20</w:t>
      </w:r>
      <w:r w:rsidR="00A71CB9">
        <w:rPr>
          <w:iCs/>
          <w:color w:val="auto"/>
        </w:rPr>
        <w:t>.  No details of precipitating factors leading to admission are con</w:t>
      </w:r>
      <w:r w:rsidR="009B144F">
        <w:rPr>
          <w:iCs/>
          <w:color w:val="auto"/>
        </w:rPr>
        <w:t>tained in the discharge summary,</w:t>
      </w:r>
      <w:r w:rsidR="00A71CB9">
        <w:rPr>
          <w:iCs/>
          <w:color w:val="auto"/>
        </w:rPr>
        <w:t xml:space="preserve"> but a drug screen was positive for opioids</w:t>
      </w:r>
      <w:r w:rsidR="009010E9">
        <w:rPr>
          <w:iCs/>
          <w:color w:val="auto"/>
        </w:rPr>
        <w:t xml:space="preserve"> without evidence of valid medical indications or prescription</w:t>
      </w:r>
      <w:r w:rsidR="00A71CB9">
        <w:rPr>
          <w:iCs/>
          <w:color w:val="auto"/>
        </w:rPr>
        <w:t>.  The MSE a</w:t>
      </w:r>
      <w:r w:rsidR="002A655A">
        <w:rPr>
          <w:iCs/>
          <w:color w:val="auto"/>
        </w:rPr>
        <w:t>t discharge</w:t>
      </w:r>
      <w:r w:rsidR="00A71CB9">
        <w:rPr>
          <w:iCs/>
          <w:color w:val="auto"/>
        </w:rPr>
        <w:t xml:space="preserve"> showed a sad and depressed mood and affect, but was otherwise unremarkable.  At </w:t>
      </w:r>
      <w:r w:rsidR="002B5D46">
        <w:rPr>
          <w:iCs/>
          <w:color w:val="auto"/>
        </w:rPr>
        <w:t>this</w:t>
      </w:r>
      <w:r w:rsidR="00A71CB9">
        <w:rPr>
          <w:iCs/>
          <w:color w:val="auto"/>
        </w:rPr>
        <w:t xml:space="preserve"> time the CI </w:t>
      </w:r>
      <w:r w:rsidR="002B5D46">
        <w:rPr>
          <w:iCs/>
          <w:color w:val="auto"/>
        </w:rPr>
        <w:t xml:space="preserve">did not </w:t>
      </w:r>
      <w:r w:rsidR="00C878D0">
        <w:rPr>
          <w:iCs/>
          <w:color w:val="auto"/>
        </w:rPr>
        <w:t>exhibit suicidal ideation</w:t>
      </w:r>
      <w:r w:rsidR="00A71CB9">
        <w:rPr>
          <w:iCs/>
          <w:color w:val="auto"/>
        </w:rPr>
        <w:t xml:space="preserve"> or </w:t>
      </w:r>
      <w:r w:rsidR="00C878D0">
        <w:rPr>
          <w:iCs/>
          <w:color w:val="auto"/>
        </w:rPr>
        <w:t>any</w:t>
      </w:r>
      <w:r w:rsidR="00A71CB9">
        <w:rPr>
          <w:iCs/>
          <w:color w:val="auto"/>
        </w:rPr>
        <w:t xml:space="preserve"> </w:t>
      </w:r>
      <w:r w:rsidR="00242CD3">
        <w:rPr>
          <w:iCs/>
          <w:color w:val="auto"/>
        </w:rPr>
        <w:t xml:space="preserve">evidence of psychosis or other acute </w:t>
      </w:r>
      <w:r w:rsidR="00A71CB9">
        <w:rPr>
          <w:iCs/>
          <w:color w:val="auto"/>
        </w:rPr>
        <w:t>features.  The examiner</w:t>
      </w:r>
      <w:r w:rsidR="002A655A">
        <w:rPr>
          <w:iCs/>
          <w:color w:val="auto"/>
        </w:rPr>
        <w:t xml:space="preserve"> noted that “she showed a noticeable improvement in affect and mood an</w:t>
      </w:r>
      <w:r w:rsidR="00A71CB9">
        <w:rPr>
          <w:iCs/>
          <w:color w:val="auto"/>
        </w:rPr>
        <w:t xml:space="preserve">d was optimistic for the future,” and assigned a GAF of 40 </w:t>
      </w:r>
      <w:r w:rsidR="00A108A0">
        <w:rPr>
          <w:iCs/>
          <w:color w:val="auto"/>
        </w:rPr>
        <w:t xml:space="preserve">(connoting major functional impairment, but </w:t>
      </w:r>
      <w:r w:rsidR="00A71CB9">
        <w:rPr>
          <w:iCs/>
          <w:color w:val="auto"/>
        </w:rPr>
        <w:t xml:space="preserve">which the </w:t>
      </w:r>
      <w:r w:rsidR="009B144F">
        <w:rPr>
          <w:iCs/>
          <w:color w:val="auto"/>
        </w:rPr>
        <w:t>a</w:t>
      </w:r>
      <w:r w:rsidR="00A108A0">
        <w:rPr>
          <w:iCs/>
          <w:color w:val="auto"/>
        </w:rPr>
        <w:t xml:space="preserve">ction </w:t>
      </w:r>
      <w:r w:rsidR="009B144F">
        <w:rPr>
          <w:iCs/>
          <w:color w:val="auto"/>
        </w:rPr>
        <w:t>o</w:t>
      </w:r>
      <w:r w:rsidR="00A108A0">
        <w:rPr>
          <w:iCs/>
          <w:color w:val="auto"/>
        </w:rPr>
        <w:t>fficer</w:t>
      </w:r>
      <w:r w:rsidR="00A71CB9">
        <w:rPr>
          <w:iCs/>
          <w:color w:val="auto"/>
        </w:rPr>
        <w:t xml:space="preserve"> opines is incongruent with the </w:t>
      </w:r>
      <w:r w:rsidR="005718D5">
        <w:rPr>
          <w:iCs/>
          <w:color w:val="auto"/>
        </w:rPr>
        <w:t xml:space="preserve">relatively benign </w:t>
      </w:r>
      <w:r w:rsidR="00A71CB9">
        <w:rPr>
          <w:iCs/>
          <w:color w:val="auto"/>
        </w:rPr>
        <w:t xml:space="preserve">examination </w:t>
      </w:r>
      <w:r w:rsidR="00A108A0">
        <w:rPr>
          <w:iCs/>
          <w:color w:val="auto"/>
        </w:rPr>
        <w:t>and symptoms as documented)</w:t>
      </w:r>
      <w:r w:rsidR="00A71CB9">
        <w:rPr>
          <w:iCs/>
          <w:color w:val="auto"/>
        </w:rPr>
        <w:t xml:space="preserve">.  </w:t>
      </w:r>
      <w:r w:rsidR="002A655A">
        <w:rPr>
          <w:iCs/>
          <w:color w:val="auto"/>
        </w:rPr>
        <w:t xml:space="preserve">At the </w:t>
      </w:r>
      <w:r w:rsidR="002A655A" w:rsidRPr="005718D5">
        <w:rPr>
          <w:iCs/>
          <w:color w:val="auto"/>
        </w:rPr>
        <w:t xml:space="preserve">VA examination </w:t>
      </w:r>
      <w:r w:rsidR="00A71CB9" w:rsidRPr="005718D5">
        <w:rPr>
          <w:iCs/>
          <w:color w:val="auto"/>
        </w:rPr>
        <w:t>for mental disorders (not PTSD) one</w:t>
      </w:r>
      <w:r w:rsidR="002A655A" w:rsidRPr="005718D5">
        <w:rPr>
          <w:iCs/>
          <w:color w:val="auto"/>
        </w:rPr>
        <w:t xml:space="preserve"> month after </w:t>
      </w:r>
      <w:r w:rsidR="00A71CB9" w:rsidRPr="005718D5">
        <w:rPr>
          <w:iCs/>
          <w:color w:val="auto"/>
        </w:rPr>
        <w:t xml:space="preserve">permanent </w:t>
      </w:r>
      <w:r w:rsidR="002A655A" w:rsidRPr="005718D5">
        <w:rPr>
          <w:iCs/>
          <w:color w:val="auto"/>
        </w:rPr>
        <w:t>separation, the CI continued to have insomnia, mood swings, poor sustained attention, and anxiety</w:t>
      </w:r>
      <w:r w:rsidR="00242CD3">
        <w:rPr>
          <w:iCs/>
          <w:color w:val="auto"/>
        </w:rPr>
        <w:t>;</w:t>
      </w:r>
      <w:r w:rsidR="005718D5" w:rsidRPr="005718D5">
        <w:rPr>
          <w:iCs/>
          <w:color w:val="auto"/>
        </w:rPr>
        <w:t xml:space="preserve"> but these symptoms were improving</w:t>
      </w:r>
      <w:r w:rsidR="002A655A" w:rsidRPr="005718D5">
        <w:rPr>
          <w:iCs/>
          <w:color w:val="auto"/>
        </w:rPr>
        <w:t xml:space="preserve">.  </w:t>
      </w:r>
      <w:r w:rsidR="005718D5" w:rsidRPr="005718D5">
        <w:rPr>
          <w:iCs/>
          <w:color w:val="auto"/>
        </w:rPr>
        <w:t>She stated</w:t>
      </w:r>
      <w:r w:rsidR="002A655A" w:rsidRPr="005718D5">
        <w:rPr>
          <w:iCs/>
          <w:color w:val="auto"/>
        </w:rPr>
        <w:t xml:space="preserve"> that she had been fired from her job because of her condition.  Some social withdrawal was evidenced at this time, but she was living with her boyfriend. </w:t>
      </w:r>
      <w:r w:rsidR="005718D5" w:rsidRPr="005718D5">
        <w:rPr>
          <w:iCs/>
          <w:color w:val="auto"/>
        </w:rPr>
        <w:t xml:space="preserve"> She was taking antidepressant and anti-anxiety medications.  On MSE she appeared fatigued and tense, with an anxious, depressed mood and constricted affect.  The exam was otherwise normal with no suicidal or homicidal ideations, obsessive behaviors or psychotic features.</w:t>
      </w:r>
      <w:r w:rsidR="002A655A" w:rsidRPr="005718D5">
        <w:rPr>
          <w:iCs/>
          <w:color w:val="auto"/>
        </w:rPr>
        <w:t xml:space="preserve"> </w:t>
      </w:r>
      <w:r w:rsidR="005718D5" w:rsidRPr="005718D5">
        <w:rPr>
          <w:iCs/>
          <w:color w:val="auto"/>
        </w:rPr>
        <w:t xml:space="preserve"> </w:t>
      </w:r>
      <w:r w:rsidR="002A655A" w:rsidRPr="005718D5">
        <w:rPr>
          <w:iCs/>
          <w:color w:val="auto"/>
        </w:rPr>
        <w:t>The examiner</w:t>
      </w:r>
      <w:r w:rsidR="005718D5" w:rsidRPr="005718D5">
        <w:rPr>
          <w:iCs/>
          <w:color w:val="auto"/>
        </w:rPr>
        <w:t xml:space="preserve"> </w:t>
      </w:r>
      <w:r w:rsidR="005718D5" w:rsidRPr="005718D5">
        <w:rPr>
          <w:iCs/>
          <w:color w:val="auto"/>
        </w:rPr>
        <w:lastRenderedPageBreak/>
        <w:t>assigned</w:t>
      </w:r>
      <w:r w:rsidR="002A655A" w:rsidRPr="005718D5">
        <w:rPr>
          <w:iCs/>
          <w:color w:val="auto"/>
        </w:rPr>
        <w:t xml:space="preserve"> </w:t>
      </w:r>
      <w:r w:rsidR="005718D5" w:rsidRPr="005718D5">
        <w:rPr>
          <w:iCs/>
          <w:color w:val="auto"/>
        </w:rPr>
        <w:t xml:space="preserve">GAF score of 60, connoting moderate symptoms, and opined </w:t>
      </w:r>
      <w:r w:rsidR="002A655A" w:rsidRPr="005718D5">
        <w:rPr>
          <w:iCs/>
          <w:color w:val="auto"/>
        </w:rPr>
        <w:t xml:space="preserve">that the CI’s condition was an obstacle to </w:t>
      </w:r>
      <w:r w:rsidR="005718D5" w:rsidRPr="005718D5">
        <w:rPr>
          <w:iCs/>
          <w:color w:val="auto"/>
        </w:rPr>
        <w:t>her</w:t>
      </w:r>
      <w:r w:rsidR="002A655A" w:rsidRPr="005718D5">
        <w:rPr>
          <w:iCs/>
          <w:color w:val="auto"/>
        </w:rPr>
        <w:t xml:space="preserve"> ability to manage gainful employment productively. </w:t>
      </w:r>
      <w:r w:rsidR="005718D5" w:rsidRPr="005718D5">
        <w:rPr>
          <w:iCs/>
          <w:color w:val="auto"/>
        </w:rPr>
        <w:t xml:space="preserve"> </w:t>
      </w:r>
      <w:r w:rsidR="00085303">
        <w:rPr>
          <w:iCs/>
          <w:color w:val="auto"/>
        </w:rPr>
        <w:t xml:space="preserve">The examiner did not make an Axis I diagnosis of PTSD, but rather recommended that the CI be evaluated for PTSD.  </w:t>
      </w:r>
      <w:r w:rsidR="005718D5" w:rsidRPr="005718D5">
        <w:rPr>
          <w:iCs/>
          <w:color w:val="auto"/>
        </w:rPr>
        <w:t>The CI cancelled a subsequent C&amp;P exam for PTSD and did not reschedule.</w:t>
      </w:r>
      <w:r w:rsidR="00085303">
        <w:rPr>
          <w:iCs/>
          <w:color w:val="auto"/>
        </w:rPr>
        <w:t xml:space="preserve">  The VA rating decision (VARD) of </w:t>
      </w:r>
      <w:r w:rsidR="00987C77">
        <w:rPr>
          <w:iCs/>
          <w:color w:val="auto"/>
        </w:rPr>
        <w:t xml:space="preserve">27 May </w:t>
      </w:r>
      <w:r w:rsidR="00610E4F">
        <w:rPr>
          <w:iCs/>
          <w:color w:val="auto"/>
        </w:rPr>
        <w:t xml:space="preserve">2010 (the last VARD of record) </w:t>
      </w:r>
      <w:r w:rsidR="00085303">
        <w:rPr>
          <w:iCs/>
          <w:color w:val="auto"/>
        </w:rPr>
        <w:t>which conferred a 30% rating for PTSD</w:t>
      </w:r>
      <w:r w:rsidR="00610E4F">
        <w:rPr>
          <w:iCs/>
          <w:color w:val="auto"/>
        </w:rPr>
        <w:t xml:space="preserve"> cited only the admitting diagnosis from May 2009</w:t>
      </w:r>
      <w:r w:rsidR="00242CD3">
        <w:rPr>
          <w:iCs/>
          <w:color w:val="auto"/>
        </w:rPr>
        <w:t xml:space="preserve"> as a basis for the diagnosis</w:t>
      </w:r>
      <w:r w:rsidR="00610E4F">
        <w:rPr>
          <w:iCs/>
          <w:color w:val="auto"/>
        </w:rPr>
        <w:t>.</w:t>
      </w:r>
    </w:p>
    <w:p w:rsidR="000D5F33" w:rsidRDefault="000D5F33" w:rsidP="00035C70">
      <w:pPr>
        <w:autoSpaceDE w:val="0"/>
        <w:autoSpaceDN w:val="0"/>
        <w:adjustRightInd w:val="0"/>
        <w:spacing w:line="240" w:lineRule="exact"/>
        <w:jc w:val="both"/>
        <w:rPr>
          <w:iCs/>
          <w:color w:val="auto"/>
        </w:rPr>
      </w:pPr>
    </w:p>
    <w:p w:rsidR="002A655A" w:rsidRPr="00035C70" w:rsidRDefault="002A655A" w:rsidP="00035C70">
      <w:pPr>
        <w:autoSpaceDE w:val="0"/>
        <w:autoSpaceDN w:val="0"/>
        <w:adjustRightInd w:val="0"/>
        <w:spacing w:line="240" w:lineRule="exact"/>
        <w:jc w:val="both"/>
        <w:rPr>
          <w:iCs/>
          <w:color w:val="auto"/>
        </w:rPr>
      </w:pPr>
      <w:r w:rsidRPr="008241E0">
        <w:rPr>
          <w:iCs/>
          <w:color w:val="auto"/>
        </w:rPr>
        <w:t xml:space="preserve">The Board directs its attention to its rating recommendations based on the evidence just described. </w:t>
      </w:r>
      <w:r>
        <w:rPr>
          <w:iCs/>
          <w:color w:val="auto"/>
        </w:rPr>
        <w:t xml:space="preserve"> </w:t>
      </w:r>
      <w:r w:rsidRPr="008241E0">
        <w:rPr>
          <w:iCs/>
          <w:color w:val="auto"/>
        </w:rPr>
        <w:t xml:space="preserve">All members agreed that the §4.130 criteria for a rating higher than 50% were not met at the time of </w:t>
      </w:r>
      <w:r w:rsidR="00035C70">
        <w:rPr>
          <w:iCs/>
          <w:color w:val="auto"/>
        </w:rPr>
        <w:t>TDRL placement</w:t>
      </w:r>
      <w:r w:rsidRPr="008241E0">
        <w:rPr>
          <w:iCs/>
          <w:color w:val="auto"/>
        </w:rPr>
        <w:t xml:space="preserve">, and therefore the minimum 50% TDRL rating (as explained above) is applicable.  Board </w:t>
      </w:r>
      <w:r w:rsidR="0001522B">
        <w:rPr>
          <w:iCs/>
          <w:color w:val="auto"/>
        </w:rPr>
        <w:t>consensus was</w:t>
      </w:r>
      <w:r w:rsidRPr="008241E0">
        <w:rPr>
          <w:iCs/>
          <w:color w:val="auto"/>
        </w:rPr>
        <w:t xml:space="preserve"> that the VA C&amp;P exam </w:t>
      </w:r>
      <w:r w:rsidR="00300565">
        <w:rPr>
          <w:iCs/>
          <w:color w:val="auto"/>
        </w:rPr>
        <w:t>one</w:t>
      </w:r>
      <w:r w:rsidRPr="008241E0">
        <w:rPr>
          <w:iCs/>
          <w:color w:val="auto"/>
        </w:rPr>
        <w:t xml:space="preserve"> month post-separation </w:t>
      </w:r>
      <w:r w:rsidR="00FA51F9">
        <w:rPr>
          <w:iCs/>
          <w:color w:val="auto"/>
        </w:rPr>
        <w:t>carried</w:t>
      </w:r>
      <w:r w:rsidRPr="008241E0">
        <w:rPr>
          <w:iCs/>
          <w:color w:val="auto"/>
        </w:rPr>
        <w:t xml:space="preserve"> the most probative value in this case since it best demonstrates the CI’s </w:t>
      </w:r>
      <w:r w:rsidR="00FA51F9">
        <w:rPr>
          <w:iCs/>
          <w:color w:val="auto"/>
        </w:rPr>
        <w:t>occupational and social functioning</w:t>
      </w:r>
      <w:r w:rsidRPr="008241E0">
        <w:rPr>
          <w:iCs/>
          <w:color w:val="auto"/>
        </w:rPr>
        <w:t xml:space="preserve"> at the time of </w:t>
      </w:r>
      <w:r w:rsidR="0001522B">
        <w:rPr>
          <w:iCs/>
          <w:color w:val="auto"/>
        </w:rPr>
        <w:t xml:space="preserve">actual </w:t>
      </w:r>
      <w:r w:rsidRPr="008241E0">
        <w:rPr>
          <w:iCs/>
          <w:color w:val="auto"/>
        </w:rPr>
        <w:t xml:space="preserve">separation.  As regards the permanent rating recommendation, all members agreed that the </w:t>
      </w:r>
      <w:r w:rsidR="00FA51F9">
        <w:rPr>
          <w:iCs/>
          <w:color w:val="auto"/>
        </w:rPr>
        <w:t xml:space="preserve">CI’s marked improvement after the acute hospitalization provided little support for a </w:t>
      </w:r>
      <w:r w:rsidRPr="008241E0">
        <w:rPr>
          <w:iCs/>
          <w:color w:val="auto"/>
        </w:rPr>
        <w:t xml:space="preserve">§4.130 </w:t>
      </w:r>
      <w:r w:rsidR="00FA51F9" w:rsidRPr="008241E0">
        <w:rPr>
          <w:iCs/>
          <w:color w:val="auto"/>
        </w:rPr>
        <w:t xml:space="preserve">rating </w:t>
      </w:r>
      <w:r w:rsidR="00FA51F9">
        <w:rPr>
          <w:iCs/>
          <w:color w:val="auto"/>
        </w:rPr>
        <w:t xml:space="preserve">of </w:t>
      </w:r>
      <w:r w:rsidR="00C96030">
        <w:rPr>
          <w:iCs/>
          <w:color w:val="auto"/>
        </w:rPr>
        <w:t>5</w:t>
      </w:r>
      <w:r w:rsidRPr="008241E0">
        <w:rPr>
          <w:iCs/>
          <w:color w:val="auto"/>
        </w:rPr>
        <w:t xml:space="preserve">0% and that the criteria for a 0% rating were </w:t>
      </w:r>
      <w:r w:rsidR="00035C70">
        <w:rPr>
          <w:iCs/>
          <w:color w:val="auto"/>
        </w:rPr>
        <w:t xml:space="preserve">clearly </w:t>
      </w:r>
      <w:r w:rsidRPr="008241E0">
        <w:rPr>
          <w:iCs/>
          <w:color w:val="auto"/>
        </w:rPr>
        <w:t>exceeded.</w:t>
      </w:r>
      <w:r>
        <w:rPr>
          <w:iCs/>
          <w:color w:val="auto"/>
        </w:rPr>
        <w:t xml:space="preserve">  </w:t>
      </w:r>
      <w:r w:rsidRPr="008241E0">
        <w:rPr>
          <w:iCs/>
          <w:color w:val="auto"/>
        </w:rPr>
        <w:t xml:space="preserve">The deliberation settled therefore on arguments for a </w:t>
      </w:r>
      <w:r w:rsidR="00C96030">
        <w:rPr>
          <w:iCs/>
          <w:color w:val="auto"/>
        </w:rPr>
        <w:t>1</w:t>
      </w:r>
      <w:r w:rsidRPr="008241E0">
        <w:rPr>
          <w:iCs/>
          <w:color w:val="auto"/>
        </w:rPr>
        <w:t xml:space="preserve">0% versus a </w:t>
      </w:r>
      <w:r w:rsidR="00C96030">
        <w:rPr>
          <w:iCs/>
          <w:color w:val="auto"/>
        </w:rPr>
        <w:t>3</w:t>
      </w:r>
      <w:r w:rsidRPr="008241E0">
        <w:rPr>
          <w:iCs/>
          <w:color w:val="auto"/>
        </w:rPr>
        <w:t xml:space="preserve">0% permanent rating recommendation. </w:t>
      </w:r>
      <w:r w:rsidR="00C96030">
        <w:rPr>
          <w:iCs/>
          <w:color w:val="auto"/>
        </w:rPr>
        <w:t xml:space="preserve"> The Board noted that for the entire period of TDRL, prior to the point of hospitalization, the CI’s condition could </w:t>
      </w:r>
      <w:r w:rsidR="00035C70">
        <w:rPr>
          <w:iCs/>
          <w:color w:val="auto"/>
        </w:rPr>
        <w:t>reasonably</w:t>
      </w:r>
      <w:r w:rsidR="00C96030">
        <w:rPr>
          <w:iCs/>
          <w:color w:val="auto"/>
        </w:rPr>
        <w:t xml:space="preserve"> have been rated 0%</w:t>
      </w:r>
      <w:r w:rsidR="00035C70">
        <w:rPr>
          <w:iCs/>
          <w:color w:val="auto"/>
        </w:rPr>
        <w:t>;</w:t>
      </w:r>
      <w:r w:rsidR="00C96030">
        <w:rPr>
          <w:iCs/>
          <w:color w:val="auto"/>
        </w:rPr>
        <w:t xml:space="preserve"> since</w:t>
      </w:r>
      <w:r w:rsidR="00035C70">
        <w:rPr>
          <w:iCs/>
          <w:color w:val="auto"/>
        </w:rPr>
        <w:t>,</w:t>
      </w:r>
      <w:r w:rsidR="00C96030">
        <w:rPr>
          <w:iCs/>
          <w:color w:val="auto"/>
        </w:rPr>
        <w:t xml:space="preserve"> she was fully socially and occupationally functional without medications.  </w:t>
      </w:r>
      <w:r w:rsidR="00FA51F9">
        <w:rPr>
          <w:iCs/>
          <w:color w:val="auto"/>
        </w:rPr>
        <w:t xml:space="preserve">The Board considered that the hospitalization, likely precipitated by some unspecified stressor, appeared to represent an isolated setback in an otherwise stable condition; and that the apparently steady decrease in symptoms with treatment were consistent with a trajectory to recovery to baseline functioning.  Since the CI declined further VA C&amp;P evaluation, this assessment is somewhat speculative.  Conversely, the Board noted that at the time of the </w:t>
      </w:r>
      <w:r w:rsidR="00F97A71">
        <w:rPr>
          <w:iCs/>
          <w:color w:val="auto"/>
        </w:rPr>
        <w:t xml:space="preserve">post-separation C&amp;P there was clear evidence of the </w:t>
      </w:r>
      <w:r w:rsidR="00F97A71" w:rsidRPr="00F97A71">
        <w:rPr>
          <w:iCs/>
          <w:color w:val="auto"/>
        </w:rPr>
        <w:t>“occupational and social impairment with occasional decrease in work efficiency and intermittent periods of inability to perform occupational tasks (although gener</w:t>
      </w:r>
      <w:r w:rsidR="00300565">
        <w:rPr>
          <w:iCs/>
          <w:color w:val="auto"/>
        </w:rPr>
        <w:t>ally functioning satisfactorily</w:t>
      </w:r>
      <w:r w:rsidR="00F97A71" w:rsidRPr="00F97A71">
        <w:rPr>
          <w:iCs/>
          <w:color w:val="auto"/>
        </w:rPr>
        <w:t>…)</w:t>
      </w:r>
      <w:r w:rsidR="00F97A71">
        <w:rPr>
          <w:iCs/>
          <w:color w:val="auto"/>
        </w:rPr>
        <w:t xml:space="preserve">” that supports a 30% rating.  </w:t>
      </w:r>
      <w:r w:rsidRPr="00B16860">
        <w:rPr>
          <w:iCs/>
          <w:color w:val="auto"/>
        </w:rPr>
        <w:t xml:space="preserve">After due deliberation, considering the totality of the evidence and mindful of VASRD §4.3 (reasonable doubt), the Board recommends a permanent PTSD disability rating of </w:t>
      </w:r>
      <w:r>
        <w:rPr>
          <w:iCs/>
          <w:color w:val="auto"/>
        </w:rPr>
        <w:t>3</w:t>
      </w:r>
      <w:r w:rsidRPr="00B16860">
        <w:rPr>
          <w:iCs/>
          <w:color w:val="auto"/>
        </w:rPr>
        <w:t>0% in this case.</w:t>
      </w:r>
    </w:p>
    <w:p w:rsidR="00085303" w:rsidRPr="00664296" w:rsidRDefault="00085303" w:rsidP="00664296">
      <w:pPr>
        <w:spacing w:line="240" w:lineRule="exact"/>
        <w:jc w:val="both"/>
        <w:rPr>
          <w:color w:val="auto"/>
        </w:rPr>
      </w:pPr>
    </w:p>
    <w:p w:rsidR="002A655A" w:rsidRPr="00664296" w:rsidRDefault="002A655A" w:rsidP="00664296">
      <w:pPr>
        <w:spacing w:line="240" w:lineRule="exact"/>
        <w:jc w:val="both"/>
        <w:rPr>
          <w:color w:val="auto"/>
        </w:rPr>
      </w:pPr>
      <w:r w:rsidRPr="00664296">
        <w:rPr>
          <w:color w:val="auto"/>
          <w:u w:val="single"/>
        </w:rPr>
        <w:t>Remaining Conditions</w:t>
      </w:r>
      <w:r w:rsidRPr="00664296">
        <w:rPr>
          <w:color w:val="auto"/>
        </w:rPr>
        <w:t>. No other conditions were noted in the NARSUM, identified by the CI on the MEB physical 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2A655A" w:rsidRPr="00391858" w:rsidRDefault="002A655A" w:rsidP="00F1737C">
      <w:pPr>
        <w:pBdr>
          <w:bottom w:val="single" w:sz="12" w:space="1" w:color="auto"/>
        </w:pBdr>
        <w:tabs>
          <w:tab w:val="left" w:pos="288"/>
          <w:tab w:val="left" w:pos="4752"/>
        </w:tabs>
        <w:spacing w:line="240" w:lineRule="exact"/>
        <w:jc w:val="both"/>
        <w:rPr>
          <w:b/>
          <w:color w:val="auto"/>
          <w:u w:val="single"/>
        </w:rPr>
      </w:pPr>
    </w:p>
    <w:p w:rsidR="002A655A" w:rsidRDefault="002A655A" w:rsidP="00F1737C">
      <w:pPr>
        <w:spacing w:line="240" w:lineRule="exact"/>
        <w:rPr>
          <w:b/>
          <w:color w:val="auto"/>
          <w:u w:val="single"/>
        </w:rPr>
      </w:pPr>
    </w:p>
    <w:p w:rsidR="002A655A" w:rsidRPr="00CA4BCD" w:rsidRDefault="002A655A" w:rsidP="00FC7796">
      <w:pPr>
        <w:spacing w:line="240" w:lineRule="exact"/>
        <w:jc w:val="both"/>
        <w:rPr>
          <w:rFonts w:eastAsia="Calibri"/>
          <w:color w:val="auto"/>
          <w:szCs w:val="24"/>
        </w:rPr>
      </w:pPr>
      <w:r w:rsidRPr="009C78FD">
        <w:rPr>
          <w:color w:val="auto"/>
          <w:u w:val="single"/>
        </w:rPr>
        <w:t>BOARD FINDINGS</w:t>
      </w:r>
      <w:r w:rsidRPr="009C78FD">
        <w:rPr>
          <w:color w:val="auto"/>
        </w:rPr>
        <w:t>:  IAW DoDI 6040.44, provisions of DoD or Military Department regulations or guidelines relied upon by the PEB will not be considered by the Board to the extent they were inconsistent with the VASRD in effect at the time of the adjudication.</w:t>
      </w:r>
      <w:r>
        <w:rPr>
          <w:color w:val="auto"/>
        </w:rPr>
        <w:t xml:space="preserve">  </w:t>
      </w:r>
      <w:r w:rsidR="00536396" w:rsidRPr="00664296">
        <w:rPr>
          <w:color w:val="auto"/>
        </w:rPr>
        <w:t xml:space="preserve">As discussed above, PEB reliance on DoDI 1332.39 for </w:t>
      </w:r>
      <w:r w:rsidR="00536396">
        <w:rPr>
          <w:color w:val="auto"/>
        </w:rPr>
        <w:t xml:space="preserve">its TDRL </w:t>
      </w:r>
      <w:r w:rsidR="00536396" w:rsidRPr="00664296">
        <w:rPr>
          <w:color w:val="auto"/>
        </w:rPr>
        <w:t xml:space="preserve">rating </w:t>
      </w:r>
      <w:r w:rsidR="00536396">
        <w:rPr>
          <w:color w:val="auto"/>
        </w:rPr>
        <w:t xml:space="preserve">of </w:t>
      </w:r>
      <w:r w:rsidR="00536396" w:rsidRPr="00664296">
        <w:rPr>
          <w:color w:val="auto"/>
        </w:rPr>
        <w:t>PTSD was operant in this case</w:t>
      </w:r>
      <w:r w:rsidR="00536396">
        <w:rPr>
          <w:color w:val="auto"/>
        </w:rPr>
        <w:t>,</w:t>
      </w:r>
      <w:r w:rsidR="00536396" w:rsidRPr="00664296">
        <w:rPr>
          <w:color w:val="auto"/>
        </w:rPr>
        <w:t xml:space="preserve"> and </w:t>
      </w:r>
      <w:r w:rsidR="00536396">
        <w:rPr>
          <w:color w:val="auto"/>
        </w:rPr>
        <w:t>t</w:t>
      </w:r>
      <w:r w:rsidR="00536396" w:rsidRPr="00AC7BA5">
        <w:rPr>
          <w:color w:val="auto"/>
        </w:rPr>
        <w:t>he PEB did not</w:t>
      </w:r>
      <w:r w:rsidR="00536396">
        <w:rPr>
          <w:color w:val="auto"/>
        </w:rPr>
        <w:t xml:space="preserve"> </w:t>
      </w:r>
      <w:r w:rsidR="00536396" w:rsidRPr="00AC7BA5">
        <w:rPr>
          <w:color w:val="auto"/>
        </w:rPr>
        <w:t xml:space="preserve">apply </w:t>
      </w:r>
      <w:r w:rsidR="00536396">
        <w:rPr>
          <w:color w:val="auto"/>
        </w:rPr>
        <w:t xml:space="preserve">the </w:t>
      </w:r>
      <w:r w:rsidR="00536396" w:rsidRPr="00AC7BA5">
        <w:rPr>
          <w:color w:val="auto"/>
        </w:rPr>
        <w:t xml:space="preserve">VASRD §4.129 </w:t>
      </w:r>
      <w:r w:rsidR="00536396">
        <w:rPr>
          <w:color w:val="auto"/>
        </w:rPr>
        <w:t xml:space="preserve">minimum rating; </w:t>
      </w:r>
      <w:r w:rsidR="00536396" w:rsidRPr="00AC7BA5">
        <w:rPr>
          <w:color w:val="auto"/>
        </w:rPr>
        <w:t xml:space="preserve">for which the Board provides remedy.  </w:t>
      </w:r>
      <w:r w:rsidR="00F97A71" w:rsidRPr="00F97A71">
        <w:rPr>
          <w:color w:val="auto"/>
        </w:rPr>
        <w:t xml:space="preserve">In the matter of the </w:t>
      </w:r>
      <w:r w:rsidR="00EC7E3F">
        <w:rPr>
          <w:color w:val="auto"/>
        </w:rPr>
        <w:t>dysthymic/anxiety disorder</w:t>
      </w:r>
      <w:r w:rsidR="00F97A71" w:rsidRPr="00F97A71">
        <w:rPr>
          <w:color w:val="auto"/>
        </w:rPr>
        <w:t xml:space="preserve">, the </w:t>
      </w:r>
      <w:r w:rsidR="00F97A71" w:rsidRPr="0001522B">
        <w:rPr>
          <w:color w:val="auto"/>
        </w:rPr>
        <w:t xml:space="preserve">Board </w:t>
      </w:r>
      <w:r w:rsidR="0001522B">
        <w:rPr>
          <w:color w:val="auto"/>
        </w:rPr>
        <w:t>by a 2:1 vote</w:t>
      </w:r>
      <w:r w:rsidR="00F97A71" w:rsidRPr="0001522B">
        <w:rPr>
          <w:color w:val="auto"/>
        </w:rPr>
        <w:t xml:space="preserve"> recommends an initial TDRL rating of 50% in retroactive compliance with VASRD §4.129 as DOD directed, and </w:t>
      </w:r>
      <w:r w:rsidR="00AC7BA5" w:rsidRPr="0001522B">
        <w:rPr>
          <w:color w:val="auto"/>
        </w:rPr>
        <w:t xml:space="preserve">a </w:t>
      </w:r>
      <w:r w:rsidR="00F97A71" w:rsidRPr="0001522B">
        <w:rPr>
          <w:color w:val="auto"/>
        </w:rPr>
        <w:t xml:space="preserve">30% permanent rating </w:t>
      </w:r>
      <w:r w:rsidR="00EC7E3F" w:rsidRPr="0001522B">
        <w:rPr>
          <w:rFonts w:eastAsiaTheme="minorHAnsi"/>
          <w:color w:val="auto"/>
          <w:szCs w:val="24"/>
        </w:rPr>
        <w:t xml:space="preserve">(with a change in diagnosis to posttraumatic stress disorder, code 9411) </w:t>
      </w:r>
      <w:r w:rsidR="00F97A71" w:rsidRPr="0001522B">
        <w:rPr>
          <w:color w:val="auto"/>
        </w:rPr>
        <w:t xml:space="preserve">IAW VASRD §4.130.  </w:t>
      </w:r>
      <w:r w:rsidR="0001522B">
        <w:rPr>
          <w:color w:val="auto"/>
        </w:rPr>
        <w:t xml:space="preserve">The single voter in dissent (who recommended a 10% permanent rating for PTSD, assigning preponderant probative value to the final Service TDRL psychiatric reevaluation) submitted the appended minority opinion.  </w:t>
      </w:r>
      <w:r w:rsidR="00F97A71" w:rsidRPr="0001522B">
        <w:rPr>
          <w:color w:val="auto"/>
        </w:rPr>
        <w:t>The Board unanimously agrees that there were no other conditions eligible for</w:t>
      </w:r>
      <w:r w:rsidR="00F97A71" w:rsidRPr="00F97A71">
        <w:rPr>
          <w:color w:val="auto"/>
        </w:rPr>
        <w:t xml:space="preserve"> Board consideration which could be recommended as additionally unfitting for rating at separation.</w:t>
      </w:r>
    </w:p>
    <w:p w:rsidR="002A655A" w:rsidRPr="00391858" w:rsidRDefault="002A655A" w:rsidP="00664296">
      <w:pPr>
        <w:pBdr>
          <w:bottom w:val="single" w:sz="12" w:space="1" w:color="auto"/>
        </w:pBdr>
        <w:tabs>
          <w:tab w:val="left" w:pos="288"/>
          <w:tab w:val="left" w:pos="4752"/>
        </w:tabs>
        <w:spacing w:line="240" w:lineRule="exact"/>
        <w:jc w:val="both"/>
        <w:rPr>
          <w:b/>
          <w:color w:val="auto"/>
          <w:u w:val="single"/>
        </w:rPr>
      </w:pPr>
    </w:p>
    <w:p w:rsidR="002A655A" w:rsidRDefault="002A655A" w:rsidP="00664296">
      <w:pPr>
        <w:spacing w:line="240" w:lineRule="exact"/>
        <w:rPr>
          <w:b/>
          <w:color w:val="auto"/>
          <w:u w:val="single"/>
        </w:rPr>
      </w:pPr>
    </w:p>
    <w:p w:rsidR="00EC7E3F" w:rsidRDefault="00EC7E3F">
      <w:pPr>
        <w:rPr>
          <w:color w:val="auto"/>
          <w:u w:val="single"/>
        </w:rPr>
      </w:pPr>
      <w:r>
        <w:rPr>
          <w:color w:val="auto"/>
          <w:u w:val="single"/>
        </w:rPr>
        <w:br w:type="page"/>
      </w:r>
    </w:p>
    <w:p w:rsidR="00EC7E3F" w:rsidRPr="0001522B" w:rsidRDefault="002A655A" w:rsidP="00EC7E3F">
      <w:pPr>
        <w:spacing w:line="240" w:lineRule="exact"/>
        <w:jc w:val="both"/>
        <w:rPr>
          <w:color w:val="auto"/>
        </w:rPr>
      </w:pPr>
      <w:r w:rsidRPr="00396779">
        <w:rPr>
          <w:color w:val="auto"/>
          <w:u w:val="single"/>
        </w:rPr>
        <w:lastRenderedPageBreak/>
        <w:t>RECOMMENDATION</w:t>
      </w:r>
      <w:r w:rsidRPr="00396779">
        <w:rPr>
          <w:color w:val="auto"/>
        </w:rPr>
        <w:t>:</w:t>
      </w:r>
      <w:r w:rsidRPr="00396779">
        <w:rPr>
          <w:color w:val="000080"/>
        </w:rPr>
        <w:t xml:space="preserve"> </w:t>
      </w:r>
      <w:r w:rsidRPr="00B427BB">
        <w:rPr>
          <w:color w:val="auto"/>
        </w:rPr>
        <w:t xml:space="preserve"> </w:t>
      </w:r>
      <w:r w:rsidR="00EC7E3F" w:rsidRPr="0001522B">
        <w:rPr>
          <w:rFonts w:cs="Calibri"/>
          <w:color w:val="auto"/>
          <w:szCs w:val="24"/>
        </w:rPr>
        <w:t>The Board recommends that the CI’s prior determination be modified as follows: TDRL at 50% for six months following CI’s prior medical separation (dysthymic/anxiety disorder at minimum of 50% IAW §4.129 and DoD direction) and then a permanent 30% disability retirement as below.</w:t>
      </w:r>
    </w:p>
    <w:p w:rsidR="00EC7E3F" w:rsidRPr="003C61B0" w:rsidRDefault="00EC7E3F" w:rsidP="00FC7796">
      <w:pPr>
        <w:spacing w:line="240" w:lineRule="exact"/>
        <w:jc w:val="both"/>
        <w:rPr>
          <w:b/>
          <w:color w:val="auto"/>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8"/>
        <w:gridCol w:w="1530"/>
        <w:gridCol w:w="1062"/>
        <w:gridCol w:w="1530"/>
      </w:tblGrid>
      <w:tr w:rsidR="008D0E2B" w:rsidTr="008D0E2B">
        <w:tc>
          <w:tcPr>
            <w:tcW w:w="52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0E2B" w:rsidRDefault="008D0E2B" w:rsidP="00FD4106">
            <w:pPr>
              <w:tabs>
                <w:tab w:val="left" w:pos="288"/>
                <w:tab w:val="left" w:pos="4752"/>
              </w:tabs>
              <w:spacing w:line="240" w:lineRule="exact"/>
              <w:jc w:val="center"/>
              <w:rPr>
                <w:b/>
                <w:color w:val="auto"/>
                <w:szCs w:val="24"/>
              </w:rPr>
            </w:pPr>
            <w:r>
              <w:rPr>
                <w:b/>
                <w:color w:val="auto"/>
                <w:szCs w:val="24"/>
              </w:rPr>
              <w:t>UNFITTING CONDITION</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0E2B" w:rsidRDefault="008D0E2B" w:rsidP="00FD4106">
            <w:pPr>
              <w:tabs>
                <w:tab w:val="left" w:pos="288"/>
                <w:tab w:val="left" w:pos="4752"/>
              </w:tabs>
              <w:spacing w:line="240" w:lineRule="exact"/>
              <w:jc w:val="center"/>
              <w:rPr>
                <w:b/>
                <w:color w:val="auto"/>
                <w:szCs w:val="24"/>
              </w:rPr>
            </w:pPr>
            <w:r>
              <w:rPr>
                <w:b/>
                <w:color w:val="auto"/>
                <w:szCs w:val="24"/>
              </w:rPr>
              <w:t>VASRD CODE</w:t>
            </w:r>
          </w:p>
        </w:tc>
        <w:tc>
          <w:tcPr>
            <w:tcW w:w="1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0E2B" w:rsidRDefault="008D0E2B" w:rsidP="00FD4106">
            <w:pPr>
              <w:tabs>
                <w:tab w:val="left" w:pos="288"/>
                <w:tab w:val="left" w:pos="4752"/>
              </w:tabs>
              <w:spacing w:line="240" w:lineRule="exact"/>
              <w:jc w:val="center"/>
              <w:rPr>
                <w:b/>
                <w:color w:val="auto"/>
                <w:szCs w:val="24"/>
              </w:rPr>
            </w:pPr>
            <w:r>
              <w:rPr>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D0E2B" w:rsidRDefault="008D0E2B" w:rsidP="00FD4106">
            <w:pPr>
              <w:tabs>
                <w:tab w:val="left" w:pos="288"/>
                <w:tab w:val="left" w:pos="4752"/>
              </w:tabs>
              <w:rPr>
                <w:rFonts w:cstheme="minorHAnsi"/>
                <w:b/>
                <w:color w:val="auto"/>
                <w:szCs w:val="24"/>
              </w:rPr>
            </w:pPr>
            <w:r>
              <w:rPr>
                <w:b/>
                <w:color w:val="auto"/>
                <w:szCs w:val="24"/>
              </w:rPr>
              <w:t>PERMANENT</w:t>
            </w:r>
          </w:p>
          <w:p w:rsidR="008D0E2B" w:rsidRDefault="008D0E2B" w:rsidP="00FD4106">
            <w:pPr>
              <w:tabs>
                <w:tab w:val="left" w:pos="288"/>
                <w:tab w:val="left" w:pos="4752"/>
              </w:tabs>
              <w:spacing w:line="240" w:lineRule="exact"/>
              <w:jc w:val="center"/>
              <w:rPr>
                <w:b/>
                <w:color w:val="auto"/>
                <w:szCs w:val="24"/>
              </w:rPr>
            </w:pPr>
            <w:r>
              <w:rPr>
                <w:b/>
                <w:color w:val="auto"/>
                <w:szCs w:val="24"/>
              </w:rPr>
              <w:t>RATING</w:t>
            </w:r>
          </w:p>
        </w:tc>
      </w:tr>
      <w:tr w:rsidR="0001522B" w:rsidTr="008D0E2B">
        <w:trPr>
          <w:trHeight w:val="188"/>
        </w:trPr>
        <w:tc>
          <w:tcPr>
            <w:tcW w:w="5238" w:type="dxa"/>
            <w:tcBorders>
              <w:top w:val="single" w:sz="4" w:space="0" w:color="000000"/>
              <w:left w:val="single" w:sz="4" w:space="0" w:color="000000"/>
              <w:bottom w:val="single" w:sz="4" w:space="0" w:color="000000"/>
              <w:right w:val="single" w:sz="4" w:space="0" w:color="000000"/>
            </w:tcBorders>
            <w:vAlign w:val="center"/>
          </w:tcPr>
          <w:p w:rsidR="0001522B" w:rsidRDefault="0001522B" w:rsidP="008D0E2B">
            <w:pPr>
              <w:tabs>
                <w:tab w:val="left" w:pos="288"/>
                <w:tab w:val="left" w:pos="3538"/>
              </w:tabs>
              <w:spacing w:line="240" w:lineRule="exact"/>
              <w:rPr>
                <w:color w:val="auto"/>
                <w:szCs w:val="24"/>
              </w:rPr>
            </w:pPr>
            <w:r>
              <w:rPr>
                <w:color w:val="auto"/>
                <w:szCs w:val="24"/>
              </w:rPr>
              <w:t>Dysthymic/Anxiety Disorder</w:t>
            </w:r>
          </w:p>
        </w:tc>
        <w:tc>
          <w:tcPr>
            <w:tcW w:w="1530" w:type="dxa"/>
            <w:tcBorders>
              <w:top w:val="single" w:sz="4" w:space="0" w:color="000000"/>
              <w:left w:val="single" w:sz="4" w:space="0" w:color="000000"/>
              <w:bottom w:val="single" w:sz="4" w:space="0" w:color="000000"/>
              <w:right w:val="single" w:sz="4" w:space="0" w:color="000000"/>
            </w:tcBorders>
            <w:vAlign w:val="center"/>
          </w:tcPr>
          <w:p w:rsidR="0001522B" w:rsidRDefault="0001522B" w:rsidP="00FD4106">
            <w:pPr>
              <w:tabs>
                <w:tab w:val="left" w:pos="288"/>
                <w:tab w:val="left" w:pos="4752"/>
              </w:tabs>
              <w:spacing w:line="240" w:lineRule="exact"/>
              <w:jc w:val="center"/>
              <w:rPr>
                <w:color w:val="auto"/>
                <w:szCs w:val="24"/>
              </w:rPr>
            </w:pPr>
            <w:r>
              <w:rPr>
                <w:color w:val="auto"/>
                <w:szCs w:val="24"/>
              </w:rPr>
              <w:t>9433</w:t>
            </w:r>
          </w:p>
        </w:tc>
        <w:tc>
          <w:tcPr>
            <w:tcW w:w="1062" w:type="dxa"/>
            <w:tcBorders>
              <w:top w:val="single" w:sz="4" w:space="0" w:color="000000"/>
              <w:left w:val="single" w:sz="4" w:space="0" w:color="000000"/>
              <w:bottom w:val="single" w:sz="4" w:space="0" w:color="000000"/>
              <w:right w:val="single" w:sz="4" w:space="0" w:color="000000"/>
            </w:tcBorders>
            <w:vAlign w:val="center"/>
          </w:tcPr>
          <w:p w:rsidR="0001522B" w:rsidRDefault="0001522B" w:rsidP="00FD4106">
            <w:pPr>
              <w:tabs>
                <w:tab w:val="left" w:pos="288"/>
                <w:tab w:val="left" w:pos="4752"/>
              </w:tabs>
              <w:spacing w:line="240" w:lineRule="exact"/>
              <w:jc w:val="center"/>
              <w:rPr>
                <w:color w:val="auto"/>
                <w:szCs w:val="24"/>
              </w:rPr>
            </w:pPr>
            <w:r>
              <w:rPr>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01522B" w:rsidRPr="0001522B" w:rsidRDefault="0001522B" w:rsidP="00FD4106">
            <w:pPr>
              <w:tabs>
                <w:tab w:val="left" w:pos="288"/>
                <w:tab w:val="left" w:pos="4752"/>
              </w:tabs>
              <w:spacing w:line="240" w:lineRule="exact"/>
              <w:jc w:val="center"/>
              <w:rPr>
                <w:color w:val="auto"/>
                <w:szCs w:val="24"/>
              </w:rPr>
            </w:pPr>
            <w:r w:rsidRPr="0001522B">
              <w:rPr>
                <w:color w:val="auto"/>
                <w:szCs w:val="24"/>
              </w:rPr>
              <w:t>---</w:t>
            </w:r>
          </w:p>
        </w:tc>
      </w:tr>
      <w:tr w:rsidR="008D0E2B" w:rsidTr="008D0E2B">
        <w:trPr>
          <w:trHeight w:val="188"/>
        </w:trPr>
        <w:tc>
          <w:tcPr>
            <w:tcW w:w="5238" w:type="dxa"/>
            <w:tcBorders>
              <w:top w:val="single" w:sz="4" w:space="0" w:color="000000"/>
              <w:left w:val="single" w:sz="4" w:space="0" w:color="000000"/>
              <w:bottom w:val="single" w:sz="4" w:space="0" w:color="000000"/>
              <w:right w:val="single" w:sz="4" w:space="0" w:color="000000"/>
            </w:tcBorders>
            <w:vAlign w:val="center"/>
            <w:hideMark/>
          </w:tcPr>
          <w:p w:rsidR="008D0E2B" w:rsidRDefault="008D0E2B" w:rsidP="008D0E2B">
            <w:pPr>
              <w:tabs>
                <w:tab w:val="left" w:pos="288"/>
                <w:tab w:val="left" w:pos="3538"/>
              </w:tabs>
              <w:spacing w:line="240" w:lineRule="exact"/>
              <w:rPr>
                <w:color w:val="auto"/>
                <w:szCs w:val="24"/>
                <w:highlight w:val="yellow"/>
              </w:rPr>
            </w:pPr>
            <w:r>
              <w:rPr>
                <w:color w:val="auto"/>
                <w:szCs w:val="24"/>
              </w:rPr>
              <w:t>Post-Traumatic Stress Disorder</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8D0E2B" w:rsidRDefault="008D0E2B" w:rsidP="00FD4106">
            <w:pPr>
              <w:tabs>
                <w:tab w:val="left" w:pos="288"/>
                <w:tab w:val="left" w:pos="4752"/>
              </w:tabs>
              <w:spacing w:line="240" w:lineRule="exact"/>
              <w:jc w:val="center"/>
              <w:rPr>
                <w:color w:val="auto"/>
                <w:szCs w:val="24"/>
              </w:rPr>
            </w:pPr>
            <w:r>
              <w:rPr>
                <w:rFonts w:cs="Calibri"/>
                <w:color w:val="auto"/>
                <w:szCs w:val="24"/>
              </w:rPr>
              <w:t>9411</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8D0E2B" w:rsidRDefault="0001522B" w:rsidP="00FD4106">
            <w:pPr>
              <w:tabs>
                <w:tab w:val="left" w:pos="288"/>
                <w:tab w:val="left" w:pos="4752"/>
              </w:tabs>
              <w:spacing w:line="240" w:lineRule="exact"/>
              <w:jc w:val="center"/>
              <w:rPr>
                <w:color w:val="auto"/>
                <w:szCs w:val="24"/>
              </w:rPr>
            </w:pPr>
            <w:r>
              <w:rPr>
                <w:color w:val="auto"/>
                <w:szCs w:val="24"/>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8D0E2B" w:rsidRPr="0001522B" w:rsidRDefault="008D0E2B" w:rsidP="00FD4106">
            <w:pPr>
              <w:tabs>
                <w:tab w:val="left" w:pos="288"/>
                <w:tab w:val="left" w:pos="4752"/>
              </w:tabs>
              <w:spacing w:line="240" w:lineRule="exact"/>
              <w:jc w:val="center"/>
              <w:rPr>
                <w:color w:val="auto"/>
                <w:szCs w:val="24"/>
              </w:rPr>
            </w:pPr>
            <w:r w:rsidRPr="0001522B">
              <w:rPr>
                <w:color w:val="auto"/>
                <w:szCs w:val="24"/>
              </w:rPr>
              <w:t>30%</w:t>
            </w:r>
          </w:p>
        </w:tc>
      </w:tr>
      <w:tr w:rsidR="008D0E2B" w:rsidTr="008D0E2B">
        <w:trPr>
          <w:gridBefore w:val="1"/>
          <w:wBefore w:w="5238" w:type="dxa"/>
          <w:trHeight w:val="188"/>
        </w:trPr>
        <w:tc>
          <w:tcPr>
            <w:tcW w:w="153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8D0E2B" w:rsidRDefault="008D0E2B" w:rsidP="00FD4106">
            <w:pPr>
              <w:tabs>
                <w:tab w:val="left" w:pos="288"/>
                <w:tab w:val="left" w:pos="4752"/>
              </w:tabs>
              <w:spacing w:line="240" w:lineRule="exact"/>
              <w:jc w:val="center"/>
              <w:rPr>
                <w:b/>
                <w:color w:val="auto"/>
                <w:szCs w:val="24"/>
              </w:rPr>
            </w:pPr>
            <w:r>
              <w:rPr>
                <w:b/>
                <w:color w:val="auto"/>
                <w:szCs w:val="24"/>
              </w:rPr>
              <w:t>COMBINED</w:t>
            </w:r>
          </w:p>
        </w:tc>
        <w:tc>
          <w:tcPr>
            <w:tcW w:w="1062"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8D0E2B" w:rsidRDefault="008D0E2B" w:rsidP="00FD4106">
            <w:pPr>
              <w:tabs>
                <w:tab w:val="left" w:pos="288"/>
                <w:tab w:val="left" w:pos="4752"/>
              </w:tabs>
              <w:spacing w:line="240" w:lineRule="exact"/>
              <w:jc w:val="center"/>
              <w:rPr>
                <w:b/>
                <w:color w:val="auto"/>
                <w:szCs w:val="24"/>
              </w:rPr>
            </w:pPr>
            <w:r>
              <w:rPr>
                <w:b/>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D0E2B" w:rsidRPr="0001522B" w:rsidRDefault="008D0E2B" w:rsidP="00FD4106">
            <w:pPr>
              <w:tabs>
                <w:tab w:val="left" w:pos="288"/>
                <w:tab w:val="left" w:pos="4752"/>
              </w:tabs>
              <w:spacing w:line="240" w:lineRule="exact"/>
              <w:jc w:val="center"/>
              <w:rPr>
                <w:b/>
                <w:color w:val="auto"/>
                <w:szCs w:val="24"/>
              </w:rPr>
            </w:pPr>
            <w:r w:rsidRPr="0001522B">
              <w:rPr>
                <w:b/>
                <w:color w:val="auto"/>
                <w:szCs w:val="24"/>
              </w:rPr>
              <w:t>30%</w:t>
            </w:r>
          </w:p>
        </w:tc>
      </w:tr>
    </w:tbl>
    <w:p w:rsidR="002A655A" w:rsidRPr="00391858" w:rsidRDefault="002A655A"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2A655A" w:rsidRPr="00391858" w:rsidRDefault="002A655A" w:rsidP="00510F9C">
      <w:pPr>
        <w:tabs>
          <w:tab w:val="left" w:pos="288"/>
          <w:tab w:val="left" w:pos="4752"/>
        </w:tabs>
        <w:spacing w:line="240" w:lineRule="exact"/>
        <w:rPr>
          <w:b/>
          <w:color w:val="auto"/>
        </w:rPr>
      </w:pPr>
    </w:p>
    <w:p w:rsidR="002A655A" w:rsidRPr="00006186" w:rsidRDefault="002A655A" w:rsidP="00510F9C">
      <w:pPr>
        <w:tabs>
          <w:tab w:val="left" w:pos="288"/>
          <w:tab w:val="left" w:pos="4752"/>
        </w:tabs>
        <w:spacing w:line="240" w:lineRule="exact"/>
        <w:jc w:val="both"/>
        <w:rPr>
          <w:color w:val="auto"/>
        </w:rPr>
      </w:pPr>
      <w:r>
        <w:rPr>
          <w:color w:val="auto"/>
        </w:rPr>
        <w:t>The following documentary evidence was considered:</w:t>
      </w:r>
    </w:p>
    <w:p w:rsidR="002A655A" w:rsidRPr="00006186" w:rsidRDefault="002A655A" w:rsidP="00510F9C">
      <w:pPr>
        <w:tabs>
          <w:tab w:val="left" w:pos="288"/>
          <w:tab w:val="left" w:pos="4752"/>
        </w:tabs>
        <w:spacing w:line="240" w:lineRule="exact"/>
        <w:jc w:val="both"/>
        <w:rPr>
          <w:color w:val="auto"/>
        </w:rPr>
      </w:pPr>
    </w:p>
    <w:p w:rsidR="002A655A" w:rsidRPr="00006186" w:rsidRDefault="002A655A" w:rsidP="00510F9C">
      <w:pPr>
        <w:tabs>
          <w:tab w:val="left" w:pos="288"/>
          <w:tab w:val="left" w:pos="4752"/>
        </w:tabs>
        <w:spacing w:line="240" w:lineRule="exact"/>
        <w:jc w:val="both"/>
        <w:rPr>
          <w:color w:val="auto"/>
        </w:rPr>
      </w:pPr>
      <w:r>
        <w:rPr>
          <w:color w:val="auto"/>
        </w:rPr>
        <w:t>Exhibit A.  DD Fo</w:t>
      </w:r>
      <w:r w:rsidR="00300565">
        <w:rPr>
          <w:color w:val="auto"/>
        </w:rPr>
        <w:t>rm 294, dated 20101112, w/atchs</w:t>
      </w:r>
    </w:p>
    <w:p w:rsidR="002A655A" w:rsidRPr="00006186" w:rsidRDefault="002A655A" w:rsidP="00510F9C">
      <w:pPr>
        <w:tabs>
          <w:tab w:val="left" w:pos="288"/>
          <w:tab w:val="left" w:pos="4752"/>
        </w:tabs>
        <w:spacing w:line="240" w:lineRule="exact"/>
        <w:jc w:val="both"/>
        <w:rPr>
          <w:color w:val="auto"/>
        </w:rPr>
      </w:pPr>
      <w:r>
        <w:rPr>
          <w:color w:val="auto"/>
        </w:rPr>
        <w:t>Exhib</w:t>
      </w:r>
      <w:r w:rsidR="00300565">
        <w:rPr>
          <w:color w:val="auto"/>
        </w:rPr>
        <w:t>it B.  Service Treatment Record</w:t>
      </w:r>
    </w:p>
    <w:p w:rsidR="002A655A" w:rsidRPr="00006186" w:rsidRDefault="002A655A" w:rsidP="00510F9C">
      <w:pPr>
        <w:tabs>
          <w:tab w:val="left" w:pos="288"/>
          <w:tab w:val="left" w:pos="4752"/>
        </w:tabs>
        <w:spacing w:line="240" w:lineRule="exact"/>
        <w:jc w:val="both"/>
        <w:rPr>
          <w:color w:val="auto"/>
        </w:rPr>
      </w:pPr>
      <w:r>
        <w:rPr>
          <w:color w:val="auto"/>
        </w:rPr>
        <w:t>Exhibit C.  Department of Vet</w:t>
      </w:r>
      <w:r w:rsidR="00300565">
        <w:rPr>
          <w:color w:val="auto"/>
        </w:rPr>
        <w:t>erans' Affairs Treatment Record</w:t>
      </w:r>
    </w:p>
    <w:p w:rsidR="002A655A" w:rsidRPr="00006186" w:rsidRDefault="002A655A" w:rsidP="00510F9C">
      <w:pPr>
        <w:tabs>
          <w:tab w:val="left" w:pos="288"/>
          <w:tab w:val="left" w:pos="4752"/>
        </w:tabs>
        <w:spacing w:line="240" w:lineRule="exact"/>
        <w:jc w:val="both"/>
        <w:rPr>
          <w:color w:val="auto"/>
        </w:rPr>
      </w:pPr>
    </w:p>
    <w:p w:rsidR="002A655A" w:rsidRPr="00006186" w:rsidRDefault="002A655A" w:rsidP="00510F9C">
      <w:pPr>
        <w:tabs>
          <w:tab w:val="left" w:pos="288"/>
          <w:tab w:val="left" w:pos="4752"/>
        </w:tabs>
        <w:spacing w:line="240" w:lineRule="exact"/>
        <w:jc w:val="both"/>
        <w:rPr>
          <w:color w:val="auto"/>
        </w:rPr>
      </w:pPr>
    </w:p>
    <w:p w:rsidR="002A655A" w:rsidRPr="00006186" w:rsidRDefault="002A655A" w:rsidP="00510F9C">
      <w:pPr>
        <w:tabs>
          <w:tab w:val="left" w:pos="288"/>
          <w:tab w:val="left" w:pos="4752"/>
        </w:tabs>
        <w:spacing w:line="240" w:lineRule="exact"/>
        <w:jc w:val="both"/>
        <w:rPr>
          <w:color w:val="auto"/>
        </w:rPr>
      </w:pPr>
    </w:p>
    <w:p w:rsidR="002A655A" w:rsidRPr="00006186" w:rsidRDefault="002A655A" w:rsidP="00510F9C">
      <w:pPr>
        <w:tabs>
          <w:tab w:val="left" w:pos="288"/>
          <w:tab w:val="left" w:pos="4752"/>
        </w:tabs>
        <w:spacing w:line="240" w:lineRule="exact"/>
        <w:jc w:val="both"/>
        <w:rPr>
          <w:color w:val="auto"/>
        </w:rPr>
      </w:pPr>
    </w:p>
    <w:p w:rsidR="002A655A" w:rsidRDefault="002A655A" w:rsidP="00423148">
      <w:pPr>
        <w:tabs>
          <w:tab w:val="left" w:pos="0"/>
          <w:tab w:val="left" w:pos="4320"/>
        </w:tabs>
        <w:spacing w:line="240" w:lineRule="exact"/>
        <w:jc w:val="both"/>
        <w:rPr>
          <w:color w:val="auto"/>
        </w:rPr>
      </w:pPr>
      <w:r w:rsidRPr="00423148">
        <w:rPr>
          <w:color w:val="auto"/>
        </w:rPr>
        <w:t xml:space="preserve">                             </w:t>
      </w:r>
      <w:r w:rsidRPr="00423148">
        <w:rPr>
          <w:color w:val="auto"/>
        </w:rPr>
        <w:tab/>
      </w:r>
      <w:r w:rsidRPr="00423148">
        <w:rPr>
          <w:color w:val="auto"/>
        </w:rPr>
        <w:tab/>
        <w:t>President</w:t>
      </w:r>
      <w:r w:rsidRPr="00423148">
        <w:rPr>
          <w:color w:val="auto"/>
        </w:rPr>
        <w:tab/>
        <w:t xml:space="preserve">                           </w:t>
      </w:r>
      <w:r w:rsidRPr="00423148">
        <w:rPr>
          <w:color w:val="auto"/>
        </w:rPr>
        <w:tab/>
      </w:r>
      <w:r w:rsidRPr="00423148">
        <w:rPr>
          <w:color w:val="auto"/>
        </w:rPr>
        <w:tab/>
      </w:r>
      <w:r w:rsidRPr="00423148">
        <w:rPr>
          <w:color w:val="auto"/>
        </w:rPr>
        <w:tab/>
      </w:r>
      <w:r w:rsidRPr="00423148">
        <w:rPr>
          <w:color w:val="auto"/>
        </w:rPr>
        <w:tab/>
        <w:t>Physical Disability Board of Review</w:t>
      </w:r>
    </w:p>
    <w:p w:rsidR="002A242D" w:rsidRDefault="002A242D" w:rsidP="00423148">
      <w:pPr>
        <w:tabs>
          <w:tab w:val="left" w:pos="0"/>
          <w:tab w:val="left" w:pos="4320"/>
        </w:tabs>
        <w:spacing w:line="240" w:lineRule="exact"/>
        <w:jc w:val="both"/>
        <w:rPr>
          <w:color w:val="auto"/>
        </w:rPr>
      </w:pPr>
    </w:p>
    <w:p w:rsidR="00963F7A" w:rsidRDefault="00963F7A">
      <w:pPr>
        <w:rPr>
          <w:b/>
          <w:color w:val="auto"/>
          <w:szCs w:val="24"/>
          <w:highlight w:val="yellow"/>
        </w:rPr>
      </w:pPr>
      <w:r>
        <w:rPr>
          <w:b/>
          <w:color w:val="auto"/>
          <w:szCs w:val="24"/>
          <w:highlight w:val="yellow"/>
        </w:rPr>
        <w:br w:type="page"/>
      </w:r>
    </w:p>
    <w:p w:rsidR="002A242D" w:rsidRPr="00963F7A" w:rsidRDefault="00963F7A" w:rsidP="00423148">
      <w:pPr>
        <w:tabs>
          <w:tab w:val="left" w:pos="0"/>
          <w:tab w:val="left" w:pos="4320"/>
        </w:tabs>
        <w:spacing w:line="240" w:lineRule="exact"/>
        <w:jc w:val="both"/>
        <w:rPr>
          <w:color w:val="auto"/>
        </w:rPr>
      </w:pPr>
      <w:r>
        <w:rPr>
          <w:color w:val="auto"/>
          <w:u w:val="single"/>
        </w:rPr>
        <w:lastRenderedPageBreak/>
        <w:t>MINORITY OPINION</w:t>
      </w:r>
      <w:r>
        <w:rPr>
          <w:color w:val="auto"/>
        </w:rPr>
        <w:t>:</w:t>
      </w:r>
    </w:p>
    <w:p w:rsidR="002A655A" w:rsidRDefault="002A655A" w:rsidP="00057019">
      <w:pPr>
        <w:tabs>
          <w:tab w:val="left" w:pos="288"/>
          <w:tab w:val="left" w:pos="4752"/>
        </w:tabs>
        <w:spacing w:line="240" w:lineRule="exact"/>
        <w:jc w:val="both"/>
        <w:rPr>
          <w:color w:val="auto"/>
          <w:u w:val="single"/>
        </w:rPr>
      </w:pPr>
    </w:p>
    <w:p w:rsidR="00EB3DE4" w:rsidRDefault="000D5F33" w:rsidP="000D5F33">
      <w:pPr>
        <w:spacing w:line="240" w:lineRule="exact"/>
        <w:jc w:val="both"/>
        <w:rPr>
          <w:color w:val="auto"/>
        </w:rPr>
      </w:pPr>
      <w:r w:rsidRPr="000D5F33">
        <w:rPr>
          <w:color w:val="auto"/>
        </w:rPr>
        <w:t xml:space="preserve">As regards to its permanent rating recommendation, the Board deliberated at length the probative value considerations for the markedly disparate Service TDRL and VA inpatient/psychiatric C&amp;P evidence.  </w:t>
      </w:r>
      <w:r w:rsidR="00963F7A">
        <w:rPr>
          <w:color w:val="auto"/>
        </w:rPr>
        <w:t xml:space="preserve">The majority recommendation is premised on assigning the preponderant probative value to the latter, rather than the former.  The majority defends that position based on the conclusion that since the Air Force did not promptly separate the CI, </w:t>
      </w:r>
      <w:r w:rsidR="00F66B82">
        <w:rPr>
          <w:color w:val="auto"/>
        </w:rPr>
        <w:t xml:space="preserve">it retained responsibility for the disability which arose during that administrative lapse.  </w:t>
      </w:r>
      <w:r w:rsidR="00963F7A">
        <w:rPr>
          <w:color w:val="auto"/>
        </w:rPr>
        <w:t xml:space="preserve">Given that premise, I am in agreement with the recommendation; but, I remain in </w:t>
      </w:r>
      <w:r w:rsidR="00F66B82">
        <w:rPr>
          <w:color w:val="auto"/>
        </w:rPr>
        <w:t xml:space="preserve">adamant </w:t>
      </w:r>
      <w:r w:rsidR="00963F7A">
        <w:rPr>
          <w:color w:val="auto"/>
        </w:rPr>
        <w:t xml:space="preserve">disagreement with the premise.  </w:t>
      </w:r>
      <w:r w:rsidRPr="000D5F33">
        <w:rPr>
          <w:color w:val="auto"/>
        </w:rPr>
        <w:t>The Board must consider that the PEB decision to terminate TDRL and render its final rating preceded the developments during the administrative interval effecting permanent separation; and, that there is no evidence that the CI made any Service appeal or made the Service aware of said developments.  The ensuing psychiatric admission and lability in psychiatric severity would not represent a realistic endpoint for a trial of TDRL had it been recognized by the Service; and, does not serve as a valid measurement for permanent psychiatric disability, which should reflect the severity of the condition in a more stable and treated state.  The probative value of the evidence between the final PEB and administratively permanent separation is also clouded by the possibility of unratable substance abuse (difficult to link as a symptom of PTSD given the very stable period during which it was detected) and the CI’s non-compliance (as provided by evidence, at least) with any subsequent psychiatric treatment or evaluation.  Since the Board’s charge is to provide a fair assessment of the applicant’s permanent Service connected disability, it is quite speculative to conclude that the abrupt developments, very atypical for the &gt;5 year period which preceded it, represented more than temporary circumstances; further to conclude that no unratable factors precipitated the atypical variance; and, further yet, to premise a Service disability rating on circumstances which occurred after an appropriate and far lengthier period of Service applied TDRL than the 6 month DoD-p</w:t>
      </w:r>
      <w:r w:rsidR="00F66B82">
        <w:rPr>
          <w:color w:val="auto"/>
        </w:rPr>
        <w:t>rescribed application of §4.129; especially, since</w:t>
      </w:r>
      <w:r w:rsidRPr="000D5F33">
        <w:rPr>
          <w:color w:val="auto"/>
        </w:rPr>
        <w:t xml:space="preserve"> </w:t>
      </w:r>
      <w:r w:rsidR="00F66B82">
        <w:rPr>
          <w:color w:val="auto"/>
        </w:rPr>
        <w:t>this</w:t>
      </w:r>
      <w:r w:rsidRPr="000D5F33">
        <w:rPr>
          <w:color w:val="auto"/>
        </w:rPr>
        <w:t xml:space="preserve"> occurred </w:t>
      </w:r>
      <w:r w:rsidR="00F66B82">
        <w:rPr>
          <w:color w:val="auto"/>
        </w:rPr>
        <w:t xml:space="preserve">apparently </w:t>
      </w:r>
      <w:r w:rsidRPr="000D5F33">
        <w:rPr>
          <w:color w:val="auto"/>
        </w:rPr>
        <w:t xml:space="preserve">unbeknownst </w:t>
      </w:r>
      <w:r w:rsidR="00637294">
        <w:rPr>
          <w:color w:val="auto"/>
        </w:rPr>
        <w:t xml:space="preserve">to the Service </w:t>
      </w:r>
      <w:r w:rsidRPr="000D5F33">
        <w:rPr>
          <w:color w:val="auto"/>
        </w:rPr>
        <w:t xml:space="preserve">during the administrative period following Service compliance with </w:t>
      </w:r>
      <w:r w:rsidR="00637294">
        <w:rPr>
          <w:color w:val="auto"/>
        </w:rPr>
        <w:t>a fair period of TDRL</w:t>
      </w:r>
      <w:r w:rsidRPr="000D5F33">
        <w:rPr>
          <w:color w:val="auto"/>
        </w:rPr>
        <w:t xml:space="preserve">.  </w:t>
      </w:r>
      <w:r w:rsidR="00F66B82">
        <w:rPr>
          <w:color w:val="auto"/>
        </w:rPr>
        <w:t xml:space="preserve">The psychiatric evidence at the time </w:t>
      </w:r>
      <w:r w:rsidR="00EB3DE4">
        <w:rPr>
          <w:color w:val="auto"/>
        </w:rPr>
        <w:t xml:space="preserve">of </w:t>
      </w:r>
      <w:r w:rsidR="00F66B82">
        <w:rPr>
          <w:color w:val="auto"/>
        </w:rPr>
        <w:t xml:space="preserve">the PEB and clinical (vs. administrative) </w:t>
      </w:r>
      <w:r w:rsidR="00EB3DE4">
        <w:rPr>
          <w:color w:val="auto"/>
        </w:rPr>
        <w:t xml:space="preserve">conclusion of TDRL was clearly consistent with a </w:t>
      </w:r>
      <w:r w:rsidR="00637294">
        <w:rPr>
          <w:color w:val="auto"/>
        </w:rPr>
        <w:t xml:space="preserve">maximum </w:t>
      </w:r>
      <w:r w:rsidR="00EB3DE4">
        <w:rPr>
          <w:color w:val="auto"/>
        </w:rPr>
        <w:t xml:space="preserve">10% rating IAW VASRD </w:t>
      </w:r>
      <w:r w:rsidR="00EB3DE4" w:rsidRPr="00EB3DE4">
        <w:rPr>
          <w:color w:val="auto"/>
        </w:rPr>
        <w:t>§4.1</w:t>
      </w:r>
      <w:r w:rsidR="00EB3DE4">
        <w:rPr>
          <w:color w:val="auto"/>
        </w:rPr>
        <w:t>30; and, all members agreed with that rating based on that premise.  I respectfully suggest that the Secretary consider the following minority recommendation.</w:t>
      </w:r>
    </w:p>
    <w:p w:rsidR="00EB3DE4" w:rsidRDefault="00EB3DE4" w:rsidP="00EB3DE4">
      <w:pPr>
        <w:spacing w:line="240" w:lineRule="exact"/>
        <w:jc w:val="both"/>
        <w:rPr>
          <w:color w:val="auto"/>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8"/>
        <w:gridCol w:w="1530"/>
        <w:gridCol w:w="1062"/>
        <w:gridCol w:w="1530"/>
      </w:tblGrid>
      <w:tr w:rsidR="00EB3DE4" w:rsidTr="008D7B9A">
        <w:tc>
          <w:tcPr>
            <w:tcW w:w="52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3DE4" w:rsidRDefault="00EB3DE4" w:rsidP="008D7B9A">
            <w:pPr>
              <w:tabs>
                <w:tab w:val="left" w:pos="288"/>
                <w:tab w:val="left" w:pos="4752"/>
              </w:tabs>
              <w:spacing w:line="240" w:lineRule="exact"/>
              <w:jc w:val="center"/>
              <w:rPr>
                <w:b/>
                <w:color w:val="auto"/>
                <w:szCs w:val="24"/>
              </w:rPr>
            </w:pPr>
            <w:r>
              <w:rPr>
                <w:b/>
                <w:color w:val="auto"/>
                <w:szCs w:val="24"/>
              </w:rPr>
              <w:t>UNFITTING CONDITION</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3DE4" w:rsidRDefault="00EB3DE4" w:rsidP="008D7B9A">
            <w:pPr>
              <w:tabs>
                <w:tab w:val="left" w:pos="288"/>
                <w:tab w:val="left" w:pos="4752"/>
              </w:tabs>
              <w:spacing w:line="240" w:lineRule="exact"/>
              <w:jc w:val="center"/>
              <w:rPr>
                <w:b/>
                <w:color w:val="auto"/>
                <w:szCs w:val="24"/>
              </w:rPr>
            </w:pPr>
            <w:r>
              <w:rPr>
                <w:b/>
                <w:color w:val="auto"/>
                <w:szCs w:val="24"/>
              </w:rPr>
              <w:t>VASRD CODE</w:t>
            </w:r>
          </w:p>
        </w:tc>
        <w:tc>
          <w:tcPr>
            <w:tcW w:w="10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3DE4" w:rsidRDefault="00EB3DE4" w:rsidP="008D7B9A">
            <w:pPr>
              <w:tabs>
                <w:tab w:val="left" w:pos="288"/>
                <w:tab w:val="left" w:pos="4752"/>
              </w:tabs>
              <w:spacing w:line="240" w:lineRule="exact"/>
              <w:jc w:val="center"/>
              <w:rPr>
                <w:b/>
                <w:color w:val="auto"/>
                <w:szCs w:val="24"/>
              </w:rPr>
            </w:pPr>
            <w:r>
              <w:rPr>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B3DE4" w:rsidRDefault="00EB3DE4" w:rsidP="008D7B9A">
            <w:pPr>
              <w:tabs>
                <w:tab w:val="left" w:pos="288"/>
                <w:tab w:val="left" w:pos="4752"/>
              </w:tabs>
              <w:rPr>
                <w:rFonts w:cstheme="minorHAnsi"/>
                <w:b/>
                <w:color w:val="auto"/>
                <w:szCs w:val="24"/>
              </w:rPr>
            </w:pPr>
            <w:r>
              <w:rPr>
                <w:b/>
                <w:color w:val="auto"/>
                <w:szCs w:val="24"/>
              </w:rPr>
              <w:t>PERMANENT</w:t>
            </w:r>
          </w:p>
          <w:p w:rsidR="00EB3DE4" w:rsidRDefault="00EB3DE4" w:rsidP="008D7B9A">
            <w:pPr>
              <w:tabs>
                <w:tab w:val="left" w:pos="288"/>
                <w:tab w:val="left" w:pos="4752"/>
              </w:tabs>
              <w:spacing w:line="240" w:lineRule="exact"/>
              <w:jc w:val="center"/>
              <w:rPr>
                <w:b/>
                <w:color w:val="auto"/>
                <w:szCs w:val="24"/>
              </w:rPr>
            </w:pPr>
            <w:r>
              <w:rPr>
                <w:b/>
                <w:color w:val="auto"/>
                <w:szCs w:val="24"/>
              </w:rPr>
              <w:t>RATING</w:t>
            </w:r>
          </w:p>
        </w:tc>
      </w:tr>
      <w:tr w:rsidR="00EB3DE4" w:rsidTr="008D7B9A">
        <w:trPr>
          <w:trHeight w:val="188"/>
        </w:trPr>
        <w:tc>
          <w:tcPr>
            <w:tcW w:w="5238" w:type="dxa"/>
            <w:tcBorders>
              <w:top w:val="single" w:sz="4" w:space="0" w:color="000000"/>
              <w:left w:val="single" w:sz="4" w:space="0" w:color="000000"/>
              <w:bottom w:val="single" w:sz="4" w:space="0" w:color="000000"/>
              <w:right w:val="single" w:sz="4" w:space="0" w:color="000000"/>
            </w:tcBorders>
            <w:vAlign w:val="center"/>
          </w:tcPr>
          <w:p w:rsidR="00EB3DE4" w:rsidRDefault="00EB3DE4" w:rsidP="008D7B9A">
            <w:pPr>
              <w:tabs>
                <w:tab w:val="left" w:pos="288"/>
                <w:tab w:val="left" w:pos="3538"/>
              </w:tabs>
              <w:spacing w:line="240" w:lineRule="exact"/>
              <w:rPr>
                <w:color w:val="auto"/>
                <w:szCs w:val="24"/>
              </w:rPr>
            </w:pPr>
            <w:r>
              <w:rPr>
                <w:color w:val="auto"/>
                <w:szCs w:val="24"/>
              </w:rPr>
              <w:t>Dysthymic/Anxiety Disorder</w:t>
            </w:r>
          </w:p>
        </w:tc>
        <w:tc>
          <w:tcPr>
            <w:tcW w:w="1530" w:type="dxa"/>
            <w:tcBorders>
              <w:top w:val="single" w:sz="4" w:space="0" w:color="000000"/>
              <w:left w:val="single" w:sz="4" w:space="0" w:color="000000"/>
              <w:bottom w:val="single" w:sz="4" w:space="0" w:color="000000"/>
              <w:right w:val="single" w:sz="4" w:space="0" w:color="000000"/>
            </w:tcBorders>
            <w:vAlign w:val="center"/>
          </w:tcPr>
          <w:p w:rsidR="00EB3DE4" w:rsidRDefault="00EB3DE4" w:rsidP="008D7B9A">
            <w:pPr>
              <w:tabs>
                <w:tab w:val="left" w:pos="288"/>
                <w:tab w:val="left" w:pos="4752"/>
              </w:tabs>
              <w:spacing w:line="240" w:lineRule="exact"/>
              <w:jc w:val="center"/>
              <w:rPr>
                <w:color w:val="auto"/>
                <w:szCs w:val="24"/>
              </w:rPr>
            </w:pPr>
            <w:r>
              <w:rPr>
                <w:color w:val="auto"/>
                <w:szCs w:val="24"/>
              </w:rPr>
              <w:t>9433</w:t>
            </w:r>
          </w:p>
        </w:tc>
        <w:tc>
          <w:tcPr>
            <w:tcW w:w="1062" w:type="dxa"/>
            <w:tcBorders>
              <w:top w:val="single" w:sz="4" w:space="0" w:color="000000"/>
              <w:left w:val="single" w:sz="4" w:space="0" w:color="000000"/>
              <w:bottom w:val="single" w:sz="4" w:space="0" w:color="000000"/>
              <w:right w:val="single" w:sz="4" w:space="0" w:color="000000"/>
            </w:tcBorders>
            <w:vAlign w:val="center"/>
          </w:tcPr>
          <w:p w:rsidR="00EB3DE4" w:rsidRDefault="00EB3DE4" w:rsidP="008D7B9A">
            <w:pPr>
              <w:tabs>
                <w:tab w:val="left" w:pos="288"/>
                <w:tab w:val="left" w:pos="4752"/>
              </w:tabs>
              <w:spacing w:line="240" w:lineRule="exact"/>
              <w:jc w:val="center"/>
              <w:rPr>
                <w:color w:val="auto"/>
                <w:szCs w:val="24"/>
              </w:rPr>
            </w:pPr>
            <w:r>
              <w:rPr>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EB3DE4" w:rsidRPr="0001522B" w:rsidRDefault="00EB3DE4" w:rsidP="008D7B9A">
            <w:pPr>
              <w:tabs>
                <w:tab w:val="left" w:pos="288"/>
                <w:tab w:val="left" w:pos="4752"/>
              </w:tabs>
              <w:spacing w:line="240" w:lineRule="exact"/>
              <w:jc w:val="center"/>
              <w:rPr>
                <w:color w:val="auto"/>
                <w:szCs w:val="24"/>
              </w:rPr>
            </w:pPr>
            <w:r w:rsidRPr="0001522B">
              <w:rPr>
                <w:color w:val="auto"/>
                <w:szCs w:val="24"/>
              </w:rPr>
              <w:t>---</w:t>
            </w:r>
          </w:p>
        </w:tc>
      </w:tr>
      <w:tr w:rsidR="00EB3DE4" w:rsidTr="008D7B9A">
        <w:trPr>
          <w:trHeight w:val="188"/>
        </w:trPr>
        <w:tc>
          <w:tcPr>
            <w:tcW w:w="5238" w:type="dxa"/>
            <w:tcBorders>
              <w:top w:val="single" w:sz="4" w:space="0" w:color="000000"/>
              <w:left w:val="single" w:sz="4" w:space="0" w:color="000000"/>
              <w:bottom w:val="single" w:sz="4" w:space="0" w:color="000000"/>
              <w:right w:val="single" w:sz="4" w:space="0" w:color="000000"/>
            </w:tcBorders>
            <w:vAlign w:val="center"/>
            <w:hideMark/>
          </w:tcPr>
          <w:p w:rsidR="00EB3DE4" w:rsidRDefault="00EB3DE4" w:rsidP="008D7B9A">
            <w:pPr>
              <w:tabs>
                <w:tab w:val="left" w:pos="288"/>
                <w:tab w:val="left" w:pos="3538"/>
              </w:tabs>
              <w:spacing w:line="240" w:lineRule="exact"/>
              <w:rPr>
                <w:color w:val="auto"/>
                <w:szCs w:val="24"/>
                <w:highlight w:val="yellow"/>
              </w:rPr>
            </w:pPr>
            <w:r>
              <w:rPr>
                <w:color w:val="auto"/>
                <w:szCs w:val="24"/>
              </w:rPr>
              <w:t>Post-Traumatic Stress Disorder</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B3DE4" w:rsidRDefault="00EB3DE4" w:rsidP="008D7B9A">
            <w:pPr>
              <w:tabs>
                <w:tab w:val="left" w:pos="288"/>
                <w:tab w:val="left" w:pos="4752"/>
              </w:tabs>
              <w:spacing w:line="240" w:lineRule="exact"/>
              <w:jc w:val="center"/>
              <w:rPr>
                <w:color w:val="auto"/>
                <w:szCs w:val="24"/>
              </w:rPr>
            </w:pPr>
            <w:r>
              <w:rPr>
                <w:rFonts w:cs="Calibri"/>
                <w:color w:val="auto"/>
                <w:szCs w:val="24"/>
              </w:rPr>
              <w:t>9411</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EB3DE4" w:rsidRDefault="00EB3DE4" w:rsidP="008D7B9A">
            <w:pPr>
              <w:tabs>
                <w:tab w:val="left" w:pos="288"/>
                <w:tab w:val="left" w:pos="4752"/>
              </w:tabs>
              <w:spacing w:line="240" w:lineRule="exact"/>
              <w:jc w:val="center"/>
              <w:rPr>
                <w:color w:val="auto"/>
                <w:szCs w:val="24"/>
              </w:rPr>
            </w:pPr>
            <w:r>
              <w:rPr>
                <w:color w:val="auto"/>
                <w:szCs w:val="24"/>
              </w:rPr>
              <w:t>---</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B3DE4" w:rsidRPr="0001522B" w:rsidRDefault="00EB3DE4" w:rsidP="008D7B9A">
            <w:pPr>
              <w:tabs>
                <w:tab w:val="left" w:pos="288"/>
                <w:tab w:val="left" w:pos="4752"/>
              </w:tabs>
              <w:spacing w:line="240" w:lineRule="exact"/>
              <w:jc w:val="center"/>
              <w:rPr>
                <w:color w:val="auto"/>
                <w:szCs w:val="24"/>
              </w:rPr>
            </w:pPr>
            <w:r>
              <w:rPr>
                <w:color w:val="auto"/>
                <w:szCs w:val="24"/>
              </w:rPr>
              <w:t>1</w:t>
            </w:r>
            <w:r w:rsidRPr="0001522B">
              <w:rPr>
                <w:color w:val="auto"/>
                <w:szCs w:val="24"/>
              </w:rPr>
              <w:t>0%</w:t>
            </w:r>
          </w:p>
        </w:tc>
      </w:tr>
      <w:tr w:rsidR="00EB3DE4" w:rsidTr="008D7B9A">
        <w:trPr>
          <w:gridBefore w:val="1"/>
          <w:wBefore w:w="5238" w:type="dxa"/>
          <w:trHeight w:val="188"/>
        </w:trPr>
        <w:tc>
          <w:tcPr>
            <w:tcW w:w="153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EB3DE4" w:rsidRDefault="00EB3DE4" w:rsidP="008D7B9A">
            <w:pPr>
              <w:tabs>
                <w:tab w:val="left" w:pos="288"/>
                <w:tab w:val="left" w:pos="4752"/>
              </w:tabs>
              <w:spacing w:line="240" w:lineRule="exact"/>
              <w:jc w:val="center"/>
              <w:rPr>
                <w:b/>
                <w:color w:val="auto"/>
                <w:szCs w:val="24"/>
              </w:rPr>
            </w:pPr>
            <w:r>
              <w:rPr>
                <w:b/>
                <w:color w:val="auto"/>
                <w:szCs w:val="24"/>
              </w:rPr>
              <w:t>COMBINED</w:t>
            </w:r>
          </w:p>
        </w:tc>
        <w:tc>
          <w:tcPr>
            <w:tcW w:w="1062"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EB3DE4" w:rsidRDefault="00EB3DE4" w:rsidP="008D7B9A">
            <w:pPr>
              <w:tabs>
                <w:tab w:val="left" w:pos="288"/>
                <w:tab w:val="left" w:pos="4752"/>
              </w:tabs>
              <w:spacing w:line="240" w:lineRule="exact"/>
              <w:jc w:val="center"/>
              <w:rPr>
                <w:b/>
                <w:color w:val="auto"/>
                <w:szCs w:val="24"/>
              </w:rPr>
            </w:pPr>
            <w:r>
              <w:rPr>
                <w:b/>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B3DE4" w:rsidRPr="0001522B" w:rsidRDefault="00EB3DE4" w:rsidP="008D7B9A">
            <w:pPr>
              <w:tabs>
                <w:tab w:val="left" w:pos="288"/>
                <w:tab w:val="left" w:pos="4752"/>
              </w:tabs>
              <w:spacing w:line="240" w:lineRule="exact"/>
              <w:jc w:val="center"/>
              <w:rPr>
                <w:b/>
                <w:color w:val="auto"/>
                <w:szCs w:val="24"/>
              </w:rPr>
            </w:pPr>
            <w:r>
              <w:rPr>
                <w:b/>
                <w:color w:val="auto"/>
                <w:szCs w:val="24"/>
              </w:rPr>
              <w:t>1</w:t>
            </w:r>
            <w:bookmarkStart w:id="0" w:name="_GoBack"/>
            <w:bookmarkEnd w:id="0"/>
            <w:r w:rsidRPr="0001522B">
              <w:rPr>
                <w:b/>
                <w:color w:val="auto"/>
                <w:szCs w:val="24"/>
              </w:rPr>
              <w:t>0%</w:t>
            </w:r>
          </w:p>
        </w:tc>
      </w:tr>
    </w:tbl>
    <w:p w:rsidR="00757716" w:rsidRDefault="00757716" w:rsidP="00FC7796">
      <w:pPr>
        <w:tabs>
          <w:tab w:val="left" w:pos="288"/>
          <w:tab w:val="left" w:pos="4320"/>
          <w:tab w:val="left" w:pos="4410"/>
          <w:tab w:val="left" w:pos="4752"/>
          <w:tab w:val="left" w:pos="4860"/>
          <w:tab w:val="left" w:pos="5040"/>
        </w:tabs>
        <w:spacing w:line="240" w:lineRule="exact"/>
        <w:jc w:val="both"/>
        <w:rPr>
          <w:color w:val="auto"/>
        </w:rPr>
      </w:pPr>
    </w:p>
    <w:p w:rsidR="00757716" w:rsidRDefault="00757716">
      <w:pPr>
        <w:rPr>
          <w:color w:val="auto"/>
        </w:rPr>
      </w:pPr>
      <w:r>
        <w:rPr>
          <w:color w:val="auto"/>
        </w:rPr>
        <w:br w:type="page"/>
      </w:r>
    </w:p>
    <w:p w:rsidR="00757716" w:rsidRDefault="00757716" w:rsidP="00757716">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757716" w:rsidRDefault="00757716" w:rsidP="00757716">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757716" w:rsidRDefault="00757716" w:rsidP="00757716">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757716" w:rsidRDefault="00757716" w:rsidP="00757716">
      <w:pPr>
        <w:tabs>
          <w:tab w:val="left" w:pos="720"/>
        </w:tabs>
        <w:spacing w:line="240" w:lineRule="exact"/>
        <w:ind w:right="-1080"/>
        <w:rPr>
          <w:rFonts w:ascii="Times New Roman" w:hAnsi="Times New Roman"/>
          <w:bCs/>
          <w:color w:val="auto"/>
        </w:rPr>
      </w:pPr>
    </w:p>
    <w:p w:rsidR="00757716" w:rsidRDefault="00757716" w:rsidP="00757716">
      <w:pPr>
        <w:tabs>
          <w:tab w:val="left" w:pos="720"/>
        </w:tabs>
        <w:spacing w:line="240" w:lineRule="exact"/>
        <w:ind w:right="-1080"/>
        <w:rPr>
          <w:rFonts w:ascii="Times New Roman" w:hAnsi="Times New Roman"/>
          <w:color w:val="auto"/>
        </w:rPr>
      </w:pPr>
      <w:r>
        <w:rPr>
          <w:rFonts w:ascii="Times New Roman" w:hAnsi="Times New Roman"/>
          <w:color w:val="auto"/>
        </w:rPr>
        <w:t>Dear XXXXXXXX:</w:t>
      </w:r>
    </w:p>
    <w:p w:rsidR="00757716" w:rsidRDefault="00757716" w:rsidP="00757716">
      <w:pPr>
        <w:tabs>
          <w:tab w:val="left" w:pos="720"/>
        </w:tabs>
        <w:spacing w:line="240" w:lineRule="exact"/>
        <w:ind w:right="-1080"/>
        <w:rPr>
          <w:rFonts w:ascii="Times New Roman" w:hAnsi="Times New Roman"/>
          <w:color w:val="auto"/>
          <w:sz w:val="20"/>
        </w:rPr>
      </w:pPr>
    </w:p>
    <w:p w:rsidR="00757716" w:rsidRPr="00757716" w:rsidRDefault="00757716" w:rsidP="00757716">
      <w:pPr>
        <w:tabs>
          <w:tab w:val="left" w:pos="720"/>
        </w:tabs>
        <w:spacing w:line="240" w:lineRule="exact"/>
        <w:rPr>
          <w:rFonts w:ascii="Times New Roman" w:hAnsi="Times New Roman"/>
          <w:color w:val="auto"/>
        </w:rPr>
      </w:pPr>
      <w:r w:rsidRPr="00757716">
        <w:rPr>
          <w:rFonts w:ascii="Times New Roman" w:hAnsi="Times New Roman"/>
          <w:color w:val="auto"/>
        </w:rPr>
        <w:tab/>
        <w:t>Reference your application submitted under the provisions of DoDI 6040.44 (Title 10 U.S.C. § 1554a), PDBR Case Number PD-2010-01281.</w:t>
      </w:r>
    </w:p>
    <w:p w:rsidR="00757716" w:rsidRPr="00757716" w:rsidRDefault="00757716" w:rsidP="00757716">
      <w:pPr>
        <w:tabs>
          <w:tab w:val="left" w:pos="720"/>
        </w:tabs>
        <w:spacing w:line="240" w:lineRule="exact"/>
        <w:rPr>
          <w:rFonts w:ascii="Times New Roman" w:hAnsi="Times New Roman"/>
          <w:color w:val="auto"/>
        </w:rPr>
      </w:pPr>
    </w:p>
    <w:p w:rsidR="00757716" w:rsidRDefault="00757716" w:rsidP="00757716">
      <w:pPr>
        <w:tabs>
          <w:tab w:val="left" w:pos="720"/>
        </w:tabs>
        <w:spacing w:line="240" w:lineRule="exac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 </w:t>
      </w:r>
    </w:p>
    <w:p w:rsidR="00757716" w:rsidRDefault="00757716" w:rsidP="00757716">
      <w:pPr>
        <w:tabs>
          <w:tab w:val="left" w:pos="720"/>
        </w:tabs>
        <w:spacing w:line="240" w:lineRule="exact"/>
        <w:ind w:right="-1080"/>
        <w:rPr>
          <w:rFonts w:ascii="Times New Roman" w:hAnsi="Times New Roman"/>
          <w:color w:val="auto"/>
        </w:rPr>
      </w:pPr>
    </w:p>
    <w:p w:rsidR="00757716" w:rsidRDefault="00757716" w:rsidP="00757716">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757716" w:rsidRDefault="00757716" w:rsidP="00757716">
      <w:pPr>
        <w:pStyle w:val="BodyText2"/>
        <w:rPr>
          <w:rFonts w:ascii="Times New Roman" w:hAnsi="Times New Roman"/>
          <w:color w:val="auto"/>
          <w:sz w:val="20"/>
        </w:rPr>
      </w:pPr>
    </w:p>
    <w:p w:rsidR="00757716" w:rsidRDefault="00757716" w:rsidP="00757716">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757716" w:rsidRDefault="00757716" w:rsidP="00757716">
      <w:pPr>
        <w:tabs>
          <w:tab w:val="left" w:pos="720"/>
        </w:tabs>
        <w:spacing w:line="240" w:lineRule="exact"/>
        <w:ind w:right="-1080"/>
        <w:rPr>
          <w:rFonts w:ascii="Times New Roman" w:hAnsi="Times New Roman"/>
          <w:color w:val="auto"/>
          <w:sz w:val="20"/>
        </w:rPr>
      </w:pPr>
    </w:p>
    <w:p w:rsidR="00757716" w:rsidRDefault="00757716" w:rsidP="00757716">
      <w:pPr>
        <w:tabs>
          <w:tab w:val="left" w:pos="720"/>
        </w:tabs>
        <w:spacing w:line="240" w:lineRule="exact"/>
        <w:ind w:right="-1080"/>
        <w:rPr>
          <w:rFonts w:ascii="Times New Roman" w:hAnsi="Times New Roman"/>
          <w:color w:val="auto"/>
          <w:sz w:val="20"/>
        </w:rPr>
      </w:pPr>
    </w:p>
    <w:p w:rsidR="00757716" w:rsidRDefault="00757716" w:rsidP="00757716">
      <w:pPr>
        <w:tabs>
          <w:tab w:val="left" w:pos="720"/>
        </w:tabs>
        <w:spacing w:line="240" w:lineRule="exact"/>
        <w:ind w:right="-1080"/>
        <w:rPr>
          <w:rFonts w:ascii="Times New Roman" w:hAnsi="Times New Roman"/>
          <w:color w:val="auto"/>
          <w:sz w:val="20"/>
        </w:rPr>
      </w:pPr>
    </w:p>
    <w:p w:rsidR="00757716" w:rsidRDefault="00757716" w:rsidP="00757716">
      <w:pPr>
        <w:tabs>
          <w:tab w:val="left" w:pos="720"/>
        </w:tabs>
        <w:spacing w:line="240" w:lineRule="exact"/>
        <w:ind w:right="-1080"/>
        <w:rPr>
          <w:rFonts w:ascii="Times New Roman" w:hAnsi="Times New Roman"/>
          <w:color w:val="auto"/>
          <w:sz w:val="20"/>
        </w:rPr>
      </w:pPr>
    </w:p>
    <w:p w:rsidR="00757716" w:rsidRDefault="00757716" w:rsidP="00757716">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757716" w:rsidRDefault="00757716" w:rsidP="00757716">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757716" w:rsidRDefault="00757716">
      <w:pPr>
        <w:rPr>
          <w:rFonts w:ascii="Times New Roman" w:hAnsi="Times New Roman"/>
          <w:color w:val="auto"/>
        </w:rPr>
      </w:pPr>
      <w:r>
        <w:rPr>
          <w:rFonts w:ascii="Times New Roman" w:hAnsi="Times New Roman"/>
          <w:color w:val="auto"/>
        </w:rPr>
        <w:br w:type="page"/>
      </w:r>
    </w:p>
    <w:p w:rsidR="00757716" w:rsidRDefault="00757716" w:rsidP="00757716">
      <w:pPr>
        <w:tabs>
          <w:tab w:val="left" w:pos="720"/>
        </w:tabs>
        <w:spacing w:line="240" w:lineRule="exact"/>
        <w:ind w:left="5040" w:right="-1080"/>
        <w:rPr>
          <w:rFonts w:ascii="Times New Roman" w:hAnsi="Times New Roman"/>
          <w:color w:val="auto"/>
        </w:rPr>
      </w:pPr>
    </w:p>
    <w:p w:rsidR="00757716" w:rsidRDefault="00757716" w:rsidP="00757716">
      <w:pPr>
        <w:tabs>
          <w:tab w:val="left" w:pos="720"/>
        </w:tabs>
        <w:spacing w:line="240" w:lineRule="exact"/>
        <w:ind w:right="-1080"/>
        <w:rPr>
          <w:rFonts w:ascii="Times New Roman" w:hAnsi="Times New Roman"/>
          <w:color w:val="auto"/>
        </w:rPr>
      </w:pPr>
    </w:p>
    <w:p w:rsidR="00757716" w:rsidRDefault="00757716" w:rsidP="00757716">
      <w:pPr>
        <w:tabs>
          <w:tab w:val="left" w:pos="720"/>
        </w:tabs>
        <w:spacing w:line="240" w:lineRule="exact"/>
        <w:ind w:right="-360"/>
        <w:outlineLvl w:val="0"/>
        <w:rPr>
          <w:rFonts w:ascii="Times New Roman" w:hAnsi="Times New Roman"/>
          <w:color w:val="auto"/>
        </w:rPr>
      </w:pPr>
      <w:r>
        <w:rPr>
          <w:rFonts w:ascii="Times New Roman" w:hAnsi="Times New Roman"/>
          <w:color w:val="auto"/>
        </w:rPr>
        <w:t>PDBR PD-2010-01281</w:t>
      </w: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outlineLvl w:val="0"/>
        <w:rPr>
          <w:rFonts w:ascii="Times New Roman" w:hAnsi="Times New Roman"/>
          <w:color w:val="auto"/>
        </w:rPr>
      </w:pPr>
      <w:r>
        <w:rPr>
          <w:rFonts w:ascii="Times New Roman" w:hAnsi="Times New Roman"/>
          <w:color w:val="auto"/>
        </w:rPr>
        <w:t>MEMORANDUM FOR THE CHIEF OF STAFF</w:t>
      </w: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rPr>
          <w:rFonts w:ascii="Times New Roman" w:hAnsi="Times New Roman"/>
          <w:color w:val="auto"/>
        </w:rPr>
      </w:pPr>
      <w:r>
        <w:rPr>
          <w:rFonts w:ascii="Times New Roman" w:hAnsi="Times New Roman"/>
          <w:color w:val="auto"/>
        </w:rPr>
        <w:tab/>
        <w:t xml:space="preserve">The pertinent military records of the Department of the Air Force relating to </w:t>
      </w:r>
      <w:proofErr w:type="gramStart"/>
      <w:r>
        <w:rPr>
          <w:rFonts w:ascii="Times New Roman" w:hAnsi="Times New Roman"/>
          <w:color w:val="auto"/>
        </w:rPr>
        <w:t>XXXXXXXXXX,</w:t>
      </w:r>
      <w:proofErr w:type="gramEnd"/>
      <w:r>
        <w:rPr>
          <w:rFonts w:ascii="Times New Roman" w:hAnsi="Times New Roman"/>
          <w:color w:val="auto"/>
        </w:rPr>
        <w:t xml:space="preserve"> be corrected to show that:</w:t>
      </w: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1170"/>
        </w:tabs>
        <w:spacing w:line="240" w:lineRule="exact"/>
        <w:ind w:right="-360"/>
        <w:rPr>
          <w:rFonts w:ascii="Times New Roman" w:hAnsi="Times New Roman"/>
          <w:color w:val="auto"/>
        </w:rPr>
      </w:pPr>
      <w:r>
        <w:rPr>
          <w:rFonts w:ascii="Times New Roman" w:hAnsi="Times New Roman"/>
          <w:color w:val="auto"/>
        </w:rPr>
        <w:tab/>
      </w:r>
      <w:proofErr w:type="gramStart"/>
      <w:r>
        <w:rPr>
          <w:rFonts w:ascii="Times New Roman" w:hAnsi="Times New Roman"/>
          <w:color w:val="auto"/>
        </w:rPr>
        <w:t>a.  Upon</w:t>
      </w:r>
      <w:proofErr w:type="gramEnd"/>
      <w:r>
        <w:rPr>
          <w:rFonts w:ascii="Times New Roman" w:hAnsi="Times New Roman"/>
          <w:color w:val="auto"/>
        </w:rPr>
        <w:t xml:space="preserve"> final Temporary Disability Retired List (TDRL) disposition, the diagnosis in her finding of unfitness was Posttraumatic Stress Disorder, VASRD code 9411, rated at 30% rather than PTSD with </w:t>
      </w:r>
      <w:proofErr w:type="spellStart"/>
      <w:r>
        <w:rPr>
          <w:rFonts w:ascii="Times New Roman" w:hAnsi="Times New Roman"/>
          <w:color w:val="auto"/>
        </w:rPr>
        <w:t>Dysthymic</w:t>
      </w:r>
      <w:proofErr w:type="spellEnd"/>
      <w:r>
        <w:rPr>
          <w:rFonts w:ascii="Times New Roman" w:hAnsi="Times New Roman"/>
          <w:color w:val="auto"/>
        </w:rPr>
        <w:t xml:space="preserve"> and Generalized Anxiety Disorders, all in remission, VASRD code 9411, rated at 10%</w:t>
      </w:r>
    </w:p>
    <w:p w:rsidR="00757716" w:rsidRDefault="00757716" w:rsidP="00757716">
      <w:pPr>
        <w:tabs>
          <w:tab w:val="left" w:pos="1170"/>
        </w:tabs>
        <w:spacing w:line="240" w:lineRule="exact"/>
        <w:ind w:right="-360"/>
        <w:rPr>
          <w:rFonts w:ascii="Times New Roman" w:hAnsi="Times New Roman"/>
          <w:color w:val="auto"/>
        </w:rPr>
      </w:pPr>
    </w:p>
    <w:p w:rsidR="00757716" w:rsidRDefault="00757716" w:rsidP="00757716">
      <w:pPr>
        <w:tabs>
          <w:tab w:val="left" w:pos="1170"/>
        </w:tabs>
        <w:spacing w:line="240" w:lineRule="exact"/>
        <w:ind w:right="-360"/>
        <w:rPr>
          <w:rFonts w:ascii="Times New Roman" w:hAnsi="Times New Roman"/>
          <w:color w:val="auto"/>
        </w:rPr>
      </w:pPr>
      <w:r>
        <w:rPr>
          <w:rFonts w:ascii="Times New Roman" w:hAnsi="Times New Roman"/>
          <w:color w:val="auto"/>
        </w:rPr>
        <w:tab/>
        <w:t>b.</w:t>
      </w:r>
      <w:proofErr w:type="gramStart"/>
      <w:r>
        <w:rPr>
          <w:rFonts w:ascii="Times New Roman" w:hAnsi="Times New Roman"/>
          <w:color w:val="auto"/>
        </w:rPr>
        <w:t>  On</w:t>
      </w:r>
      <w:proofErr w:type="gramEnd"/>
      <w:r>
        <w:rPr>
          <w:rFonts w:ascii="Times New Roman" w:hAnsi="Times New Roman"/>
          <w:color w:val="auto"/>
        </w:rPr>
        <w:t xml:space="preserve"> 21 August 2009, she was not discharged with disability severance pay; rather, on that date her name was placed on the Permanent Disability Retired List.  </w:t>
      </w: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rPr>
          <w:rFonts w:ascii="Times New Roman" w:hAnsi="Times New Roman"/>
          <w:color w:val="auto"/>
        </w:rPr>
      </w:pPr>
    </w:p>
    <w:p w:rsidR="00757716" w:rsidRDefault="00757716" w:rsidP="00757716">
      <w:pPr>
        <w:tabs>
          <w:tab w:val="left" w:pos="720"/>
        </w:tabs>
        <w:spacing w:line="240" w:lineRule="exact"/>
        <w:ind w:right="-360"/>
        <w:outlineLvl w:val="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Director</w:t>
      </w:r>
    </w:p>
    <w:p w:rsidR="00757716" w:rsidRDefault="00757716" w:rsidP="00757716">
      <w:pPr>
        <w:tabs>
          <w:tab w:val="left" w:pos="72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Air Force Review Boards Agency</w:t>
      </w:r>
    </w:p>
    <w:p w:rsidR="00AC7BA5" w:rsidRPr="006B54DC" w:rsidRDefault="00AC7BA5" w:rsidP="00FC7796">
      <w:pPr>
        <w:tabs>
          <w:tab w:val="left" w:pos="288"/>
          <w:tab w:val="left" w:pos="4320"/>
          <w:tab w:val="left" w:pos="4410"/>
          <w:tab w:val="left" w:pos="4752"/>
          <w:tab w:val="left" w:pos="4860"/>
          <w:tab w:val="left" w:pos="5040"/>
        </w:tabs>
        <w:spacing w:line="240" w:lineRule="exact"/>
        <w:jc w:val="both"/>
        <w:rPr>
          <w:color w:val="auto"/>
        </w:rPr>
      </w:pPr>
    </w:p>
    <w:sectPr w:rsidR="00AC7BA5" w:rsidRPr="006B54DC"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44" w:rsidRDefault="00DD6C44">
      <w:r>
        <w:separator/>
      </w:r>
    </w:p>
  </w:endnote>
  <w:endnote w:type="continuationSeparator" w:id="0">
    <w:p w:rsidR="00DD6C44" w:rsidRDefault="00DD6C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5A" w:rsidRPr="00684CE6" w:rsidRDefault="002A655A" w:rsidP="00FD2D6A">
    <w:pPr>
      <w:pStyle w:val="Footer"/>
      <w:rPr>
        <w:color w:val="auto"/>
      </w:rPr>
    </w:pPr>
    <w:r>
      <w:tab/>
      <w:t xml:space="preserve">      </w:t>
    </w:r>
    <w:r w:rsidR="005C5C2C" w:rsidRPr="005C5C2C">
      <w:fldChar w:fldCharType="begin"/>
    </w:r>
    <w:r w:rsidR="00955167">
      <w:instrText xml:space="preserve"> PAGE   \* MERGEFORMAT </w:instrText>
    </w:r>
    <w:r w:rsidR="005C5C2C" w:rsidRPr="005C5C2C">
      <w:fldChar w:fldCharType="separate"/>
    </w:r>
    <w:r w:rsidR="00757716" w:rsidRPr="00757716">
      <w:rPr>
        <w:noProof/>
        <w:color w:val="auto"/>
      </w:rPr>
      <w:t>7</w:t>
    </w:r>
    <w:r w:rsidR="005C5C2C">
      <w:rPr>
        <w:noProof/>
        <w:color w:val="auto"/>
      </w:rPr>
      <w:fldChar w:fldCharType="end"/>
    </w:r>
    <w:r w:rsidRPr="00684CE6">
      <w:rPr>
        <w:color w:val="auto"/>
      </w:rPr>
      <w:t xml:space="preserve">                                                          </w:t>
    </w:r>
    <w:r w:rsidRPr="00684CE6">
      <w:rPr>
        <w:color w:val="auto"/>
      </w:rPr>
      <w:tab/>
      <w:t xml:space="preserve">         </w:t>
    </w:r>
    <w:r w:rsidRPr="00FD6C41">
      <w:rPr>
        <w:caps/>
        <w:color w:val="auto"/>
      </w:rPr>
      <w:t>PD1001281</w:t>
    </w:r>
  </w:p>
  <w:p w:rsidR="002A655A" w:rsidRPr="00684CE6" w:rsidRDefault="002A655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44" w:rsidRDefault="00DD6C44">
      <w:r>
        <w:separator/>
      </w:r>
    </w:p>
  </w:footnote>
  <w:footnote w:type="continuationSeparator" w:id="0">
    <w:p w:rsidR="00DD6C44" w:rsidRDefault="00DD6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522B"/>
    <w:rsid w:val="00021361"/>
    <w:rsid w:val="00022CF3"/>
    <w:rsid w:val="00023913"/>
    <w:rsid w:val="00023D43"/>
    <w:rsid w:val="00024DE7"/>
    <w:rsid w:val="000252A3"/>
    <w:rsid w:val="00026092"/>
    <w:rsid w:val="00030776"/>
    <w:rsid w:val="00032E07"/>
    <w:rsid w:val="000332CA"/>
    <w:rsid w:val="0003374E"/>
    <w:rsid w:val="000344D8"/>
    <w:rsid w:val="000344E6"/>
    <w:rsid w:val="00035C3A"/>
    <w:rsid w:val="00035C70"/>
    <w:rsid w:val="00036E4B"/>
    <w:rsid w:val="00037929"/>
    <w:rsid w:val="000379D0"/>
    <w:rsid w:val="00040FC4"/>
    <w:rsid w:val="000416F8"/>
    <w:rsid w:val="00042C26"/>
    <w:rsid w:val="00043382"/>
    <w:rsid w:val="00044057"/>
    <w:rsid w:val="00044623"/>
    <w:rsid w:val="000452D7"/>
    <w:rsid w:val="00050389"/>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303"/>
    <w:rsid w:val="00085D7B"/>
    <w:rsid w:val="0008708B"/>
    <w:rsid w:val="00092619"/>
    <w:rsid w:val="00092C66"/>
    <w:rsid w:val="000933EC"/>
    <w:rsid w:val="000949DD"/>
    <w:rsid w:val="00094E4F"/>
    <w:rsid w:val="000A0E95"/>
    <w:rsid w:val="000A2BCE"/>
    <w:rsid w:val="000A33C8"/>
    <w:rsid w:val="000A41E3"/>
    <w:rsid w:val="000A4BBA"/>
    <w:rsid w:val="000A5071"/>
    <w:rsid w:val="000A791A"/>
    <w:rsid w:val="000B0AD2"/>
    <w:rsid w:val="000B1022"/>
    <w:rsid w:val="000B2FB8"/>
    <w:rsid w:val="000B4C99"/>
    <w:rsid w:val="000C06F6"/>
    <w:rsid w:val="000C1D34"/>
    <w:rsid w:val="000C2362"/>
    <w:rsid w:val="000C2FA8"/>
    <w:rsid w:val="000C3C13"/>
    <w:rsid w:val="000C4D5F"/>
    <w:rsid w:val="000C4F8A"/>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F33"/>
    <w:rsid w:val="000D6457"/>
    <w:rsid w:val="000D7D55"/>
    <w:rsid w:val="000E0993"/>
    <w:rsid w:val="000E2E50"/>
    <w:rsid w:val="000E37E0"/>
    <w:rsid w:val="000E3F20"/>
    <w:rsid w:val="000E4CBF"/>
    <w:rsid w:val="000E5577"/>
    <w:rsid w:val="000E7034"/>
    <w:rsid w:val="000F02BE"/>
    <w:rsid w:val="000F0928"/>
    <w:rsid w:val="000F427B"/>
    <w:rsid w:val="000F42CB"/>
    <w:rsid w:val="000F43D0"/>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AD8"/>
    <w:rsid w:val="00107EC5"/>
    <w:rsid w:val="001103CD"/>
    <w:rsid w:val="00113D2A"/>
    <w:rsid w:val="00114F20"/>
    <w:rsid w:val="0011590B"/>
    <w:rsid w:val="001211AF"/>
    <w:rsid w:val="001219DF"/>
    <w:rsid w:val="0012220B"/>
    <w:rsid w:val="001222C6"/>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58E"/>
    <w:rsid w:val="00145965"/>
    <w:rsid w:val="00150B8A"/>
    <w:rsid w:val="00150DCB"/>
    <w:rsid w:val="00151912"/>
    <w:rsid w:val="00153740"/>
    <w:rsid w:val="00153D88"/>
    <w:rsid w:val="001541C5"/>
    <w:rsid w:val="0015623F"/>
    <w:rsid w:val="00156585"/>
    <w:rsid w:val="00156BA9"/>
    <w:rsid w:val="00161642"/>
    <w:rsid w:val="00161761"/>
    <w:rsid w:val="001622DF"/>
    <w:rsid w:val="00166182"/>
    <w:rsid w:val="001704A3"/>
    <w:rsid w:val="0017139A"/>
    <w:rsid w:val="001724C8"/>
    <w:rsid w:val="001732C4"/>
    <w:rsid w:val="001745DD"/>
    <w:rsid w:val="00174FDE"/>
    <w:rsid w:val="00174FE3"/>
    <w:rsid w:val="00177659"/>
    <w:rsid w:val="001779E5"/>
    <w:rsid w:val="00180826"/>
    <w:rsid w:val="00181240"/>
    <w:rsid w:val="00181558"/>
    <w:rsid w:val="00182A4C"/>
    <w:rsid w:val="00183F77"/>
    <w:rsid w:val="00183FB3"/>
    <w:rsid w:val="001844D8"/>
    <w:rsid w:val="00185DA8"/>
    <w:rsid w:val="00185ECB"/>
    <w:rsid w:val="001865E0"/>
    <w:rsid w:val="001870F0"/>
    <w:rsid w:val="001874BD"/>
    <w:rsid w:val="00190E48"/>
    <w:rsid w:val="0019273F"/>
    <w:rsid w:val="00193814"/>
    <w:rsid w:val="00193AAB"/>
    <w:rsid w:val="00193AD5"/>
    <w:rsid w:val="00194930"/>
    <w:rsid w:val="00195AAC"/>
    <w:rsid w:val="00197705"/>
    <w:rsid w:val="001A025E"/>
    <w:rsid w:val="001A08CD"/>
    <w:rsid w:val="001A0A1E"/>
    <w:rsid w:val="001A2182"/>
    <w:rsid w:val="001A323E"/>
    <w:rsid w:val="001A3A70"/>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1AA"/>
    <w:rsid w:val="001D3DC0"/>
    <w:rsid w:val="001D4F88"/>
    <w:rsid w:val="001D68CF"/>
    <w:rsid w:val="001D6A8C"/>
    <w:rsid w:val="001D6B43"/>
    <w:rsid w:val="001D6E67"/>
    <w:rsid w:val="001D7A56"/>
    <w:rsid w:val="001D7F60"/>
    <w:rsid w:val="001E15C0"/>
    <w:rsid w:val="001E18E0"/>
    <w:rsid w:val="001E18E2"/>
    <w:rsid w:val="001E19D0"/>
    <w:rsid w:val="001E2A30"/>
    <w:rsid w:val="001E2FF1"/>
    <w:rsid w:val="001E41FE"/>
    <w:rsid w:val="001E635C"/>
    <w:rsid w:val="001F0297"/>
    <w:rsid w:val="001F4E02"/>
    <w:rsid w:val="00200AA0"/>
    <w:rsid w:val="00202325"/>
    <w:rsid w:val="00202736"/>
    <w:rsid w:val="00202EFA"/>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AC4"/>
    <w:rsid w:val="00233FE5"/>
    <w:rsid w:val="00234B3B"/>
    <w:rsid w:val="00234D98"/>
    <w:rsid w:val="00236018"/>
    <w:rsid w:val="002374C9"/>
    <w:rsid w:val="0024174E"/>
    <w:rsid w:val="00242238"/>
    <w:rsid w:val="0024227D"/>
    <w:rsid w:val="00242CD3"/>
    <w:rsid w:val="00242D14"/>
    <w:rsid w:val="002432F4"/>
    <w:rsid w:val="00246860"/>
    <w:rsid w:val="002468D9"/>
    <w:rsid w:val="00246DFF"/>
    <w:rsid w:val="00246E89"/>
    <w:rsid w:val="0025183C"/>
    <w:rsid w:val="00252351"/>
    <w:rsid w:val="002528EC"/>
    <w:rsid w:val="00253EAA"/>
    <w:rsid w:val="00254A6C"/>
    <w:rsid w:val="00255049"/>
    <w:rsid w:val="00257AFF"/>
    <w:rsid w:val="00257DE5"/>
    <w:rsid w:val="00260531"/>
    <w:rsid w:val="00260B9A"/>
    <w:rsid w:val="00262EA5"/>
    <w:rsid w:val="0026318D"/>
    <w:rsid w:val="00264148"/>
    <w:rsid w:val="002660AF"/>
    <w:rsid w:val="00270864"/>
    <w:rsid w:val="00270E2D"/>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5D80"/>
    <w:rsid w:val="00287006"/>
    <w:rsid w:val="00292397"/>
    <w:rsid w:val="00292AB2"/>
    <w:rsid w:val="00293DB6"/>
    <w:rsid w:val="00293FE8"/>
    <w:rsid w:val="00294437"/>
    <w:rsid w:val="00297A45"/>
    <w:rsid w:val="00297E20"/>
    <w:rsid w:val="002A233F"/>
    <w:rsid w:val="002A242D"/>
    <w:rsid w:val="002A3237"/>
    <w:rsid w:val="002A4119"/>
    <w:rsid w:val="002A58B7"/>
    <w:rsid w:val="002A5943"/>
    <w:rsid w:val="002A5C3C"/>
    <w:rsid w:val="002A655A"/>
    <w:rsid w:val="002A685E"/>
    <w:rsid w:val="002A72C7"/>
    <w:rsid w:val="002B0204"/>
    <w:rsid w:val="002B03B2"/>
    <w:rsid w:val="002B0749"/>
    <w:rsid w:val="002B2645"/>
    <w:rsid w:val="002B303A"/>
    <w:rsid w:val="002B32E9"/>
    <w:rsid w:val="002B4E22"/>
    <w:rsid w:val="002B5D46"/>
    <w:rsid w:val="002B6FA0"/>
    <w:rsid w:val="002B7645"/>
    <w:rsid w:val="002C0DEA"/>
    <w:rsid w:val="002C34F6"/>
    <w:rsid w:val="002C3B6D"/>
    <w:rsid w:val="002C492D"/>
    <w:rsid w:val="002C5D9D"/>
    <w:rsid w:val="002C5F10"/>
    <w:rsid w:val="002C6E5B"/>
    <w:rsid w:val="002D08F3"/>
    <w:rsid w:val="002D18B4"/>
    <w:rsid w:val="002D231A"/>
    <w:rsid w:val="002D3F58"/>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565"/>
    <w:rsid w:val="00300A36"/>
    <w:rsid w:val="00301B45"/>
    <w:rsid w:val="00303D47"/>
    <w:rsid w:val="00305856"/>
    <w:rsid w:val="0030678B"/>
    <w:rsid w:val="00306D16"/>
    <w:rsid w:val="00307595"/>
    <w:rsid w:val="00310CD7"/>
    <w:rsid w:val="00313D7A"/>
    <w:rsid w:val="0031549C"/>
    <w:rsid w:val="003156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E4A"/>
    <w:rsid w:val="00341A54"/>
    <w:rsid w:val="00344A4F"/>
    <w:rsid w:val="00344D17"/>
    <w:rsid w:val="0034669F"/>
    <w:rsid w:val="003475C4"/>
    <w:rsid w:val="00350428"/>
    <w:rsid w:val="00351498"/>
    <w:rsid w:val="00352B22"/>
    <w:rsid w:val="00352CBF"/>
    <w:rsid w:val="00354547"/>
    <w:rsid w:val="003549F5"/>
    <w:rsid w:val="003567DE"/>
    <w:rsid w:val="003574F3"/>
    <w:rsid w:val="00357831"/>
    <w:rsid w:val="00357993"/>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321"/>
    <w:rsid w:val="00384866"/>
    <w:rsid w:val="003857D4"/>
    <w:rsid w:val="00385D6F"/>
    <w:rsid w:val="00386D43"/>
    <w:rsid w:val="00387095"/>
    <w:rsid w:val="00387E95"/>
    <w:rsid w:val="00390092"/>
    <w:rsid w:val="00390336"/>
    <w:rsid w:val="00391858"/>
    <w:rsid w:val="00392A25"/>
    <w:rsid w:val="00393651"/>
    <w:rsid w:val="00394926"/>
    <w:rsid w:val="00394FF9"/>
    <w:rsid w:val="00395651"/>
    <w:rsid w:val="00395E12"/>
    <w:rsid w:val="003962A8"/>
    <w:rsid w:val="00396779"/>
    <w:rsid w:val="003967E0"/>
    <w:rsid w:val="00397DB7"/>
    <w:rsid w:val="003A27B2"/>
    <w:rsid w:val="003A40B4"/>
    <w:rsid w:val="003A41BA"/>
    <w:rsid w:val="003A5491"/>
    <w:rsid w:val="003A5958"/>
    <w:rsid w:val="003A6A99"/>
    <w:rsid w:val="003A6E60"/>
    <w:rsid w:val="003A7FF8"/>
    <w:rsid w:val="003B17AC"/>
    <w:rsid w:val="003B227A"/>
    <w:rsid w:val="003B2947"/>
    <w:rsid w:val="003B3A77"/>
    <w:rsid w:val="003B4319"/>
    <w:rsid w:val="003B5281"/>
    <w:rsid w:val="003B5854"/>
    <w:rsid w:val="003B6764"/>
    <w:rsid w:val="003B7A8B"/>
    <w:rsid w:val="003C294B"/>
    <w:rsid w:val="003C348C"/>
    <w:rsid w:val="003C3AA9"/>
    <w:rsid w:val="003C5046"/>
    <w:rsid w:val="003C6068"/>
    <w:rsid w:val="003C61B0"/>
    <w:rsid w:val="003C7AEC"/>
    <w:rsid w:val="003D1857"/>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B97"/>
    <w:rsid w:val="003F776F"/>
    <w:rsid w:val="004007E9"/>
    <w:rsid w:val="00400810"/>
    <w:rsid w:val="00401825"/>
    <w:rsid w:val="00401BBC"/>
    <w:rsid w:val="00403BFB"/>
    <w:rsid w:val="00404B45"/>
    <w:rsid w:val="00405BCF"/>
    <w:rsid w:val="00406C89"/>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148"/>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389C"/>
    <w:rsid w:val="004543BC"/>
    <w:rsid w:val="004561AF"/>
    <w:rsid w:val="0045645D"/>
    <w:rsid w:val="004574C6"/>
    <w:rsid w:val="00457743"/>
    <w:rsid w:val="00457BCF"/>
    <w:rsid w:val="00457DCE"/>
    <w:rsid w:val="00460E3F"/>
    <w:rsid w:val="0046111A"/>
    <w:rsid w:val="00462F68"/>
    <w:rsid w:val="0046369B"/>
    <w:rsid w:val="004636AB"/>
    <w:rsid w:val="004640E9"/>
    <w:rsid w:val="00466CED"/>
    <w:rsid w:val="00466EB5"/>
    <w:rsid w:val="00467592"/>
    <w:rsid w:val="00467690"/>
    <w:rsid w:val="004718E7"/>
    <w:rsid w:val="00472289"/>
    <w:rsid w:val="00472535"/>
    <w:rsid w:val="0047566E"/>
    <w:rsid w:val="004761CC"/>
    <w:rsid w:val="004766C9"/>
    <w:rsid w:val="00476FB2"/>
    <w:rsid w:val="00480D4A"/>
    <w:rsid w:val="00481DA1"/>
    <w:rsid w:val="00483A2B"/>
    <w:rsid w:val="00484212"/>
    <w:rsid w:val="00484BA9"/>
    <w:rsid w:val="0048599A"/>
    <w:rsid w:val="00486818"/>
    <w:rsid w:val="00487EE2"/>
    <w:rsid w:val="00491784"/>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56ED"/>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2AC"/>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170B"/>
    <w:rsid w:val="00534D42"/>
    <w:rsid w:val="005350A5"/>
    <w:rsid w:val="00536379"/>
    <w:rsid w:val="00536396"/>
    <w:rsid w:val="00537238"/>
    <w:rsid w:val="005400C5"/>
    <w:rsid w:val="005404CD"/>
    <w:rsid w:val="00540BE0"/>
    <w:rsid w:val="00540BEF"/>
    <w:rsid w:val="00542C9A"/>
    <w:rsid w:val="005436C2"/>
    <w:rsid w:val="00543AED"/>
    <w:rsid w:val="005442D4"/>
    <w:rsid w:val="0054586A"/>
    <w:rsid w:val="0054631F"/>
    <w:rsid w:val="00546C24"/>
    <w:rsid w:val="005471BA"/>
    <w:rsid w:val="00547BE6"/>
    <w:rsid w:val="0055034F"/>
    <w:rsid w:val="0055288D"/>
    <w:rsid w:val="00555259"/>
    <w:rsid w:val="00555C66"/>
    <w:rsid w:val="005569EF"/>
    <w:rsid w:val="00556BDE"/>
    <w:rsid w:val="00560040"/>
    <w:rsid w:val="00560D57"/>
    <w:rsid w:val="00562A94"/>
    <w:rsid w:val="00563FAD"/>
    <w:rsid w:val="005701C1"/>
    <w:rsid w:val="005703BF"/>
    <w:rsid w:val="00570754"/>
    <w:rsid w:val="005709F7"/>
    <w:rsid w:val="005710A9"/>
    <w:rsid w:val="005718D5"/>
    <w:rsid w:val="00571B11"/>
    <w:rsid w:val="00571D1B"/>
    <w:rsid w:val="00571DA3"/>
    <w:rsid w:val="005738F5"/>
    <w:rsid w:val="00573D34"/>
    <w:rsid w:val="00573DBC"/>
    <w:rsid w:val="00575963"/>
    <w:rsid w:val="00575EBE"/>
    <w:rsid w:val="0058039C"/>
    <w:rsid w:val="00580A63"/>
    <w:rsid w:val="00583379"/>
    <w:rsid w:val="0058417C"/>
    <w:rsid w:val="00586EC6"/>
    <w:rsid w:val="00587DDE"/>
    <w:rsid w:val="00591815"/>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840"/>
    <w:rsid w:val="005B1ADA"/>
    <w:rsid w:val="005B1D8F"/>
    <w:rsid w:val="005B1E94"/>
    <w:rsid w:val="005B1FB5"/>
    <w:rsid w:val="005B5B3D"/>
    <w:rsid w:val="005B64CF"/>
    <w:rsid w:val="005C0E87"/>
    <w:rsid w:val="005C16F3"/>
    <w:rsid w:val="005C3758"/>
    <w:rsid w:val="005C4D72"/>
    <w:rsid w:val="005C50C1"/>
    <w:rsid w:val="005C5C2C"/>
    <w:rsid w:val="005C62C2"/>
    <w:rsid w:val="005D1C6B"/>
    <w:rsid w:val="005D2306"/>
    <w:rsid w:val="005D2A1A"/>
    <w:rsid w:val="005D4A74"/>
    <w:rsid w:val="005D51AA"/>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0E4F"/>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18A5"/>
    <w:rsid w:val="00634C4A"/>
    <w:rsid w:val="0063532E"/>
    <w:rsid w:val="00637063"/>
    <w:rsid w:val="00637294"/>
    <w:rsid w:val="0063737C"/>
    <w:rsid w:val="00637BDC"/>
    <w:rsid w:val="00640622"/>
    <w:rsid w:val="006418C9"/>
    <w:rsid w:val="00642BD6"/>
    <w:rsid w:val="00645046"/>
    <w:rsid w:val="0064527A"/>
    <w:rsid w:val="006458FD"/>
    <w:rsid w:val="00645EA2"/>
    <w:rsid w:val="00651E6D"/>
    <w:rsid w:val="00653D2D"/>
    <w:rsid w:val="00655258"/>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E96"/>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C72C0"/>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6F6FEB"/>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37648"/>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7716"/>
    <w:rsid w:val="0076100C"/>
    <w:rsid w:val="007612A5"/>
    <w:rsid w:val="007622CD"/>
    <w:rsid w:val="00763CAE"/>
    <w:rsid w:val="00763F95"/>
    <w:rsid w:val="007651ED"/>
    <w:rsid w:val="00766C87"/>
    <w:rsid w:val="00771043"/>
    <w:rsid w:val="00773AF7"/>
    <w:rsid w:val="00774FFD"/>
    <w:rsid w:val="00780378"/>
    <w:rsid w:val="0078085E"/>
    <w:rsid w:val="007812BA"/>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41E0"/>
    <w:rsid w:val="00827B29"/>
    <w:rsid w:val="00827DB6"/>
    <w:rsid w:val="008304B2"/>
    <w:rsid w:val="00830999"/>
    <w:rsid w:val="00830D5E"/>
    <w:rsid w:val="00830F69"/>
    <w:rsid w:val="008319B7"/>
    <w:rsid w:val="008324D9"/>
    <w:rsid w:val="00833418"/>
    <w:rsid w:val="0083387F"/>
    <w:rsid w:val="0083441A"/>
    <w:rsid w:val="00834458"/>
    <w:rsid w:val="00834AEA"/>
    <w:rsid w:val="00835129"/>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463"/>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5BE"/>
    <w:rsid w:val="0087566D"/>
    <w:rsid w:val="00875B50"/>
    <w:rsid w:val="00875B51"/>
    <w:rsid w:val="00875F2D"/>
    <w:rsid w:val="008764DC"/>
    <w:rsid w:val="0087733D"/>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0E2B"/>
    <w:rsid w:val="008D1484"/>
    <w:rsid w:val="008D29E7"/>
    <w:rsid w:val="008D3C07"/>
    <w:rsid w:val="008D5104"/>
    <w:rsid w:val="008D75F4"/>
    <w:rsid w:val="008D795D"/>
    <w:rsid w:val="008D7B07"/>
    <w:rsid w:val="008E0D8F"/>
    <w:rsid w:val="008E0F4E"/>
    <w:rsid w:val="008E1E94"/>
    <w:rsid w:val="008E2D99"/>
    <w:rsid w:val="008E30D4"/>
    <w:rsid w:val="008E38B0"/>
    <w:rsid w:val="008E4A60"/>
    <w:rsid w:val="008E744D"/>
    <w:rsid w:val="008F1E08"/>
    <w:rsid w:val="008F49DC"/>
    <w:rsid w:val="008F6FC8"/>
    <w:rsid w:val="0090045D"/>
    <w:rsid w:val="00900D8F"/>
    <w:rsid w:val="009010E9"/>
    <w:rsid w:val="009014E3"/>
    <w:rsid w:val="009020ED"/>
    <w:rsid w:val="009026E8"/>
    <w:rsid w:val="00902FDD"/>
    <w:rsid w:val="00905EEF"/>
    <w:rsid w:val="00906EB7"/>
    <w:rsid w:val="009102BF"/>
    <w:rsid w:val="009104C5"/>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0EBE"/>
    <w:rsid w:val="0095340A"/>
    <w:rsid w:val="00953AF6"/>
    <w:rsid w:val="0095423E"/>
    <w:rsid w:val="00954581"/>
    <w:rsid w:val="0095466C"/>
    <w:rsid w:val="00954E5B"/>
    <w:rsid w:val="00955167"/>
    <w:rsid w:val="00955316"/>
    <w:rsid w:val="00955E45"/>
    <w:rsid w:val="009576BC"/>
    <w:rsid w:val="00957899"/>
    <w:rsid w:val="00960357"/>
    <w:rsid w:val="0096168C"/>
    <w:rsid w:val="00961840"/>
    <w:rsid w:val="009625E3"/>
    <w:rsid w:val="00962F2D"/>
    <w:rsid w:val="00963A7A"/>
    <w:rsid w:val="00963F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87C77"/>
    <w:rsid w:val="009935C3"/>
    <w:rsid w:val="0099421F"/>
    <w:rsid w:val="00994FC8"/>
    <w:rsid w:val="009A0DE3"/>
    <w:rsid w:val="009A1643"/>
    <w:rsid w:val="009A215A"/>
    <w:rsid w:val="009A49D3"/>
    <w:rsid w:val="009A4F1B"/>
    <w:rsid w:val="009A66C5"/>
    <w:rsid w:val="009A66E7"/>
    <w:rsid w:val="009A79BA"/>
    <w:rsid w:val="009B144F"/>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76F6"/>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08A0"/>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F2E"/>
    <w:rsid w:val="00A40FFB"/>
    <w:rsid w:val="00A41468"/>
    <w:rsid w:val="00A414A9"/>
    <w:rsid w:val="00A432C7"/>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1CB9"/>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BA5"/>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860"/>
    <w:rsid w:val="00B16D18"/>
    <w:rsid w:val="00B177DE"/>
    <w:rsid w:val="00B20624"/>
    <w:rsid w:val="00B23436"/>
    <w:rsid w:val="00B237F1"/>
    <w:rsid w:val="00B23F10"/>
    <w:rsid w:val="00B24328"/>
    <w:rsid w:val="00B24ED4"/>
    <w:rsid w:val="00B24F33"/>
    <w:rsid w:val="00B26354"/>
    <w:rsid w:val="00B26CA0"/>
    <w:rsid w:val="00B27892"/>
    <w:rsid w:val="00B31965"/>
    <w:rsid w:val="00B32179"/>
    <w:rsid w:val="00B32341"/>
    <w:rsid w:val="00B32C2B"/>
    <w:rsid w:val="00B33007"/>
    <w:rsid w:val="00B331A9"/>
    <w:rsid w:val="00B33498"/>
    <w:rsid w:val="00B33598"/>
    <w:rsid w:val="00B347B9"/>
    <w:rsid w:val="00B36569"/>
    <w:rsid w:val="00B37345"/>
    <w:rsid w:val="00B37F53"/>
    <w:rsid w:val="00B40A05"/>
    <w:rsid w:val="00B40A3E"/>
    <w:rsid w:val="00B427BB"/>
    <w:rsid w:val="00B43BA2"/>
    <w:rsid w:val="00B449EE"/>
    <w:rsid w:val="00B454AE"/>
    <w:rsid w:val="00B50227"/>
    <w:rsid w:val="00B50510"/>
    <w:rsid w:val="00B51AB2"/>
    <w:rsid w:val="00B522CD"/>
    <w:rsid w:val="00B54031"/>
    <w:rsid w:val="00B55143"/>
    <w:rsid w:val="00B555C8"/>
    <w:rsid w:val="00B55917"/>
    <w:rsid w:val="00B563DA"/>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07E"/>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1AE7"/>
    <w:rsid w:val="00C2272E"/>
    <w:rsid w:val="00C22F3A"/>
    <w:rsid w:val="00C23311"/>
    <w:rsid w:val="00C24AD9"/>
    <w:rsid w:val="00C25978"/>
    <w:rsid w:val="00C261C6"/>
    <w:rsid w:val="00C26621"/>
    <w:rsid w:val="00C26E7C"/>
    <w:rsid w:val="00C276CD"/>
    <w:rsid w:val="00C27827"/>
    <w:rsid w:val="00C27EE3"/>
    <w:rsid w:val="00C30A97"/>
    <w:rsid w:val="00C31DDC"/>
    <w:rsid w:val="00C3223A"/>
    <w:rsid w:val="00C34168"/>
    <w:rsid w:val="00C34326"/>
    <w:rsid w:val="00C34CEB"/>
    <w:rsid w:val="00C36201"/>
    <w:rsid w:val="00C368E8"/>
    <w:rsid w:val="00C36C3D"/>
    <w:rsid w:val="00C372C7"/>
    <w:rsid w:val="00C40BD5"/>
    <w:rsid w:val="00C42039"/>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5606"/>
    <w:rsid w:val="00C665FE"/>
    <w:rsid w:val="00C71BEC"/>
    <w:rsid w:val="00C74D3A"/>
    <w:rsid w:val="00C75F3D"/>
    <w:rsid w:val="00C80511"/>
    <w:rsid w:val="00C826F5"/>
    <w:rsid w:val="00C83740"/>
    <w:rsid w:val="00C84AD1"/>
    <w:rsid w:val="00C85579"/>
    <w:rsid w:val="00C862F1"/>
    <w:rsid w:val="00C863E5"/>
    <w:rsid w:val="00C878D0"/>
    <w:rsid w:val="00C87BE6"/>
    <w:rsid w:val="00C87F76"/>
    <w:rsid w:val="00C931FC"/>
    <w:rsid w:val="00C932C5"/>
    <w:rsid w:val="00C94CB6"/>
    <w:rsid w:val="00C95299"/>
    <w:rsid w:val="00C95A72"/>
    <w:rsid w:val="00C96030"/>
    <w:rsid w:val="00C9650E"/>
    <w:rsid w:val="00C97000"/>
    <w:rsid w:val="00C975BD"/>
    <w:rsid w:val="00CA068D"/>
    <w:rsid w:val="00CA1228"/>
    <w:rsid w:val="00CA132B"/>
    <w:rsid w:val="00CA1C73"/>
    <w:rsid w:val="00CA282D"/>
    <w:rsid w:val="00CA3F73"/>
    <w:rsid w:val="00CA4670"/>
    <w:rsid w:val="00CA4BCD"/>
    <w:rsid w:val="00CA5006"/>
    <w:rsid w:val="00CA5F89"/>
    <w:rsid w:val="00CA6B1A"/>
    <w:rsid w:val="00CB1B18"/>
    <w:rsid w:val="00CB2018"/>
    <w:rsid w:val="00CB20DC"/>
    <w:rsid w:val="00CB23DC"/>
    <w:rsid w:val="00CB2487"/>
    <w:rsid w:val="00CB28E2"/>
    <w:rsid w:val="00CB2F20"/>
    <w:rsid w:val="00CB758D"/>
    <w:rsid w:val="00CB7A3E"/>
    <w:rsid w:val="00CB7FF7"/>
    <w:rsid w:val="00CC0D0E"/>
    <w:rsid w:val="00CC1253"/>
    <w:rsid w:val="00CC19B3"/>
    <w:rsid w:val="00CC1F22"/>
    <w:rsid w:val="00CC2044"/>
    <w:rsid w:val="00CC39D2"/>
    <w:rsid w:val="00CC42F8"/>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5F7C"/>
    <w:rsid w:val="00CF158D"/>
    <w:rsid w:val="00CF2166"/>
    <w:rsid w:val="00CF4340"/>
    <w:rsid w:val="00CF4394"/>
    <w:rsid w:val="00CF48B4"/>
    <w:rsid w:val="00CF4D46"/>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5FD"/>
    <w:rsid w:val="00D16819"/>
    <w:rsid w:val="00D17DD9"/>
    <w:rsid w:val="00D20AC0"/>
    <w:rsid w:val="00D2288F"/>
    <w:rsid w:val="00D2321B"/>
    <w:rsid w:val="00D23350"/>
    <w:rsid w:val="00D237E7"/>
    <w:rsid w:val="00D23DE4"/>
    <w:rsid w:val="00D25A5C"/>
    <w:rsid w:val="00D26873"/>
    <w:rsid w:val="00D302B6"/>
    <w:rsid w:val="00D31683"/>
    <w:rsid w:val="00D336C8"/>
    <w:rsid w:val="00D339E8"/>
    <w:rsid w:val="00D34568"/>
    <w:rsid w:val="00D3648C"/>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00EA"/>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CFB"/>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6C44"/>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12DB"/>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2623"/>
    <w:rsid w:val="00E9763D"/>
    <w:rsid w:val="00EA1177"/>
    <w:rsid w:val="00EA118B"/>
    <w:rsid w:val="00EA11B6"/>
    <w:rsid w:val="00EA2181"/>
    <w:rsid w:val="00EA2DD8"/>
    <w:rsid w:val="00EA4475"/>
    <w:rsid w:val="00EA52FE"/>
    <w:rsid w:val="00EA681F"/>
    <w:rsid w:val="00EB04C6"/>
    <w:rsid w:val="00EB06A6"/>
    <w:rsid w:val="00EB3307"/>
    <w:rsid w:val="00EB3823"/>
    <w:rsid w:val="00EB3DE4"/>
    <w:rsid w:val="00EB47D8"/>
    <w:rsid w:val="00EB57D3"/>
    <w:rsid w:val="00EB5EFD"/>
    <w:rsid w:val="00EB679F"/>
    <w:rsid w:val="00EB76E4"/>
    <w:rsid w:val="00EC0E65"/>
    <w:rsid w:val="00EC1251"/>
    <w:rsid w:val="00EC2938"/>
    <w:rsid w:val="00EC337D"/>
    <w:rsid w:val="00EC38EF"/>
    <w:rsid w:val="00EC50C9"/>
    <w:rsid w:val="00EC58B4"/>
    <w:rsid w:val="00EC5BB2"/>
    <w:rsid w:val="00EC7E3F"/>
    <w:rsid w:val="00ED12F0"/>
    <w:rsid w:val="00ED290C"/>
    <w:rsid w:val="00ED2A6C"/>
    <w:rsid w:val="00ED4773"/>
    <w:rsid w:val="00ED5284"/>
    <w:rsid w:val="00ED664B"/>
    <w:rsid w:val="00ED6A61"/>
    <w:rsid w:val="00ED6EF9"/>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5F94"/>
    <w:rsid w:val="00F46964"/>
    <w:rsid w:val="00F46F9A"/>
    <w:rsid w:val="00F470FD"/>
    <w:rsid w:val="00F50F30"/>
    <w:rsid w:val="00F5126A"/>
    <w:rsid w:val="00F5126E"/>
    <w:rsid w:val="00F516EF"/>
    <w:rsid w:val="00F51755"/>
    <w:rsid w:val="00F5580D"/>
    <w:rsid w:val="00F5667D"/>
    <w:rsid w:val="00F56EA1"/>
    <w:rsid w:val="00F606D5"/>
    <w:rsid w:val="00F611B3"/>
    <w:rsid w:val="00F6196E"/>
    <w:rsid w:val="00F624DD"/>
    <w:rsid w:val="00F629C0"/>
    <w:rsid w:val="00F63FC7"/>
    <w:rsid w:val="00F65E1F"/>
    <w:rsid w:val="00F65ED5"/>
    <w:rsid w:val="00F6608B"/>
    <w:rsid w:val="00F6636A"/>
    <w:rsid w:val="00F667C5"/>
    <w:rsid w:val="00F66B82"/>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97A71"/>
    <w:rsid w:val="00FA0C8F"/>
    <w:rsid w:val="00FA2DEF"/>
    <w:rsid w:val="00FA2F7B"/>
    <w:rsid w:val="00FA3C97"/>
    <w:rsid w:val="00FA3D30"/>
    <w:rsid w:val="00FA4B49"/>
    <w:rsid w:val="00FA51F9"/>
    <w:rsid w:val="00FA54F8"/>
    <w:rsid w:val="00FA78C8"/>
    <w:rsid w:val="00FA7A2F"/>
    <w:rsid w:val="00FB09FE"/>
    <w:rsid w:val="00FB0E80"/>
    <w:rsid w:val="00FB101D"/>
    <w:rsid w:val="00FB1725"/>
    <w:rsid w:val="00FB2493"/>
    <w:rsid w:val="00FB42B7"/>
    <w:rsid w:val="00FB4484"/>
    <w:rsid w:val="00FB5904"/>
    <w:rsid w:val="00FB593A"/>
    <w:rsid w:val="00FB6410"/>
    <w:rsid w:val="00FB677B"/>
    <w:rsid w:val="00FB6E82"/>
    <w:rsid w:val="00FB792E"/>
    <w:rsid w:val="00FB7CF0"/>
    <w:rsid w:val="00FC0042"/>
    <w:rsid w:val="00FC1E67"/>
    <w:rsid w:val="00FC2A13"/>
    <w:rsid w:val="00FC4284"/>
    <w:rsid w:val="00FC4576"/>
    <w:rsid w:val="00FC5FF5"/>
    <w:rsid w:val="00FC6285"/>
    <w:rsid w:val="00FC7796"/>
    <w:rsid w:val="00FC78FB"/>
    <w:rsid w:val="00FC7DBC"/>
    <w:rsid w:val="00FD076A"/>
    <w:rsid w:val="00FD0AA0"/>
    <w:rsid w:val="00FD1D5A"/>
    <w:rsid w:val="00FD2D6A"/>
    <w:rsid w:val="00FD5059"/>
    <w:rsid w:val="00FD554D"/>
    <w:rsid w:val="00FD5BCC"/>
    <w:rsid w:val="00FD6C41"/>
    <w:rsid w:val="00FD7B23"/>
    <w:rsid w:val="00FE2A48"/>
    <w:rsid w:val="00FE5D0A"/>
    <w:rsid w:val="00FE6469"/>
    <w:rsid w:val="00FF05D0"/>
    <w:rsid w:val="00FF06CE"/>
    <w:rsid w:val="00FF0FF7"/>
    <w:rsid w:val="00FF1022"/>
    <w:rsid w:val="00FF10A2"/>
    <w:rsid w:val="00FF1438"/>
    <w:rsid w:val="00FF2B84"/>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E4"/>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FC7796"/>
    <w:pPr>
      <w:widowControl w:val="0"/>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semiHidden/>
    <w:unhideWhenUsed/>
    <w:rsid w:val="00757716"/>
    <w:pPr>
      <w:spacing w:after="120" w:line="480" w:lineRule="auto"/>
    </w:pPr>
  </w:style>
  <w:style w:type="character" w:customStyle="1" w:styleId="BodyText2Char">
    <w:name w:val="Body Text 2 Char"/>
    <w:basedOn w:val="DefaultParagraphFont"/>
    <w:link w:val="BodyText2"/>
    <w:uiPriority w:val="99"/>
    <w:semiHidden/>
    <w:rsid w:val="00757716"/>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468962">
      <w:bodyDiv w:val="1"/>
      <w:marLeft w:val="0"/>
      <w:marRight w:val="0"/>
      <w:marTop w:val="0"/>
      <w:marBottom w:val="0"/>
      <w:divBdr>
        <w:top w:val="none" w:sz="0" w:space="0" w:color="auto"/>
        <w:left w:val="none" w:sz="0" w:space="0" w:color="auto"/>
        <w:bottom w:val="none" w:sz="0" w:space="0" w:color="auto"/>
        <w:right w:val="none" w:sz="0" w:space="0" w:color="auto"/>
      </w:divBdr>
    </w:div>
    <w:div w:id="306711615">
      <w:bodyDiv w:val="1"/>
      <w:marLeft w:val="0"/>
      <w:marRight w:val="0"/>
      <w:marTop w:val="0"/>
      <w:marBottom w:val="0"/>
      <w:divBdr>
        <w:top w:val="none" w:sz="0" w:space="0" w:color="auto"/>
        <w:left w:val="none" w:sz="0" w:space="0" w:color="auto"/>
        <w:bottom w:val="none" w:sz="0" w:space="0" w:color="auto"/>
        <w:right w:val="none" w:sz="0" w:space="0" w:color="auto"/>
      </w:divBdr>
    </w:div>
    <w:div w:id="520972999">
      <w:bodyDiv w:val="1"/>
      <w:marLeft w:val="0"/>
      <w:marRight w:val="0"/>
      <w:marTop w:val="0"/>
      <w:marBottom w:val="0"/>
      <w:divBdr>
        <w:top w:val="none" w:sz="0" w:space="0" w:color="auto"/>
        <w:left w:val="none" w:sz="0" w:space="0" w:color="auto"/>
        <w:bottom w:val="none" w:sz="0" w:space="0" w:color="auto"/>
        <w:right w:val="none" w:sz="0" w:space="0" w:color="auto"/>
      </w:divBdr>
    </w:div>
    <w:div w:id="1406952212">
      <w:bodyDiv w:val="1"/>
      <w:marLeft w:val="0"/>
      <w:marRight w:val="0"/>
      <w:marTop w:val="0"/>
      <w:marBottom w:val="0"/>
      <w:divBdr>
        <w:top w:val="none" w:sz="0" w:space="0" w:color="auto"/>
        <w:left w:val="none" w:sz="0" w:space="0" w:color="auto"/>
        <w:bottom w:val="none" w:sz="0" w:space="0" w:color="auto"/>
        <w:right w:val="none" w:sz="0" w:space="0" w:color="auto"/>
      </w:divBdr>
    </w:div>
    <w:div w:id="1419599772">
      <w:bodyDiv w:val="1"/>
      <w:marLeft w:val="0"/>
      <w:marRight w:val="0"/>
      <w:marTop w:val="0"/>
      <w:marBottom w:val="0"/>
      <w:divBdr>
        <w:top w:val="none" w:sz="0" w:space="0" w:color="auto"/>
        <w:left w:val="none" w:sz="0" w:space="0" w:color="auto"/>
        <w:bottom w:val="none" w:sz="0" w:space="0" w:color="auto"/>
        <w:right w:val="none" w:sz="0" w:space="0" w:color="auto"/>
      </w:divBdr>
    </w:div>
    <w:div w:id="1625111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2012-01-26T15:09:00Z</cp:lastPrinted>
  <dcterms:created xsi:type="dcterms:W3CDTF">2012-05-10T14:49:00Z</dcterms:created>
  <dcterms:modified xsi:type="dcterms:W3CDTF">2012-05-10T14:49:00Z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