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EA55ED">
        <w:rPr>
          <w:caps/>
          <w:color w:val="000000" w:themeColor="text1"/>
        </w:rPr>
        <w:t xml:space="preserve">NAME: </w:t>
      </w:r>
      <w:r w:rsidR="00703B4B">
        <w:rPr>
          <w:caps/>
          <w:color w:val="000000" w:themeColor="text1"/>
        </w:rPr>
        <w:t xml:space="preserve"> </w:t>
      </w:r>
      <w:r w:rsidR="00F1766A" w:rsidRPr="00EA55ED">
        <w:rPr>
          <w:caps/>
          <w:color w:val="000000" w:themeColor="text1"/>
        </w:rPr>
        <w:tab/>
      </w:r>
      <w:r w:rsidRPr="00EA55ED">
        <w:rPr>
          <w:caps/>
          <w:color w:val="000000" w:themeColor="text1"/>
        </w:rPr>
        <w:t xml:space="preserve">BRANCH OF SERVICE: </w:t>
      </w:r>
      <w:r w:rsidR="004C24C5" w:rsidRPr="00EA55ED">
        <w:rPr>
          <w:caps/>
          <w:color w:val="000000" w:themeColor="text1"/>
        </w:rPr>
        <w:t xml:space="preserve"> </w:t>
      </w:r>
      <w:r w:rsidR="00332DE3" w:rsidRPr="00EA55ED">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w:t>
      </w:r>
      <w:r w:rsidR="00EA55ED" w:rsidRPr="00EA55ED">
        <w:rPr>
          <w:caps/>
          <w:color w:val="000000" w:themeColor="text1"/>
        </w:rPr>
        <w:t>001269</w:t>
      </w:r>
      <w:r w:rsidR="00DE3AAD" w:rsidRPr="001F29F9">
        <w:rPr>
          <w:color w:val="000000" w:themeColor="text1"/>
        </w:rPr>
        <w:t xml:space="preserve"> </w:t>
      </w:r>
      <w:r w:rsidR="00F1766A">
        <w:rPr>
          <w:color w:val="000000" w:themeColor="text1"/>
        </w:rPr>
        <w:tab/>
      </w:r>
      <w:r w:rsidR="00DE3AAD" w:rsidRPr="001F29F9">
        <w:rPr>
          <w:color w:val="000000" w:themeColor="text1"/>
        </w:rPr>
        <w:t xml:space="preserve">SEPARATION DATE:  </w:t>
      </w:r>
      <w:r w:rsidR="00EA55ED" w:rsidRPr="00EA55ED">
        <w:rPr>
          <w:color w:val="000000" w:themeColor="text1"/>
        </w:rPr>
        <w:t>20050719</w:t>
      </w:r>
    </w:p>
    <w:p w:rsidR="003B2143" w:rsidRPr="001F29F9" w:rsidRDefault="004F3639" w:rsidP="00EA55ED">
      <w:pPr>
        <w:tabs>
          <w:tab w:val="left" w:pos="288"/>
          <w:tab w:val="left" w:pos="3060"/>
          <w:tab w:val="left" w:pos="5130"/>
        </w:tabs>
        <w:jc w:val="both"/>
        <w:rPr>
          <w:color w:val="000000" w:themeColor="text1"/>
        </w:rPr>
      </w:pPr>
      <w:r w:rsidRPr="001F29F9">
        <w:rPr>
          <w:caps/>
          <w:color w:val="000000" w:themeColor="text1"/>
        </w:rPr>
        <w:t>BOARD DATE:  201</w:t>
      </w:r>
      <w:r w:rsidR="006344DE">
        <w:rPr>
          <w:caps/>
          <w:color w:val="000000" w:themeColor="text1"/>
        </w:rPr>
        <w:t>2</w:t>
      </w:r>
      <w:r w:rsidR="004425A7">
        <w:rPr>
          <w:caps/>
          <w:color w:val="000000" w:themeColor="text1"/>
        </w:rPr>
        <w:t>0209</w:t>
      </w:r>
      <w:r w:rsidR="00EA55ED">
        <w:rPr>
          <w:caps/>
          <w:color w:val="000000" w:themeColor="text1"/>
        </w:rPr>
        <w:tab/>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EA55ED" w:rsidRPr="00EA55ED">
        <w:rPr>
          <w:color w:val="000000" w:themeColor="text1"/>
        </w:rPr>
        <w:t>Data extracted from the available evidence of record reflects that this covered individual (CI) was an active duty PFC/E-3 (</w:t>
      </w:r>
      <w:r w:rsidR="00EA55ED">
        <w:rPr>
          <w:color w:val="000000" w:themeColor="text1"/>
        </w:rPr>
        <w:t xml:space="preserve">21B, </w:t>
      </w:r>
      <w:r w:rsidR="00EA55ED" w:rsidRPr="00EA55ED">
        <w:rPr>
          <w:color w:val="000000" w:themeColor="text1"/>
        </w:rPr>
        <w:t xml:space="preserve">Combat Engineer) medically separated for </w:t>
      </w:r>
      <w:r w:rsidR="0090484C">
        <w:rPr>
          <w:color w:val="000000" w:themeColor="text1"/>
        </w:rPr>
        <w:t>a lumbar spine condition</w:t>
      </w:r>
      <w:r w:rsidR="00EA55ED" w:rsidRPr="00EA55ED">
        <w:rPr>
          <w:color w:val="000000" w:themeColor="text1"/>
        </w:rPr>
        <w:t xml:space="preserve">.  </w:t>
      </w:r>
      <w:r w:rsidR="00EA55ED">
        <w:rPr>
          <w:color w:val="000000" w:themeColor="text1"/>
        </w:rPr>
        <w:t xml:space="preserve">He </w:t>
      </w:r>
      <w:r w:rsidR="00EA55ED" w:rsidRPr="00EA55ED">
        <w:rPr>
          <w:color w:val="000000" w:themeColor="text1"/>
        </w:rPr>
        <w:t xml:space="preserve">injured his back in </w:t>
      </w:r>
      <w:r w:rsidR="0090484C">
        <w:rPr>
          <w:color w:val="000000" w:themeColor="text1"/>
        </w:rPr>
        <w:t xml:space="preserve">a fall associated with physical training during a </w:t>
      </w:r>
      <w:r w:rsidR="00EA55ED" w:rsidRPr="00EA55ED">
        <w:rPr>
          <w:color w:val="000000" w:themeColor="text1"/>
        </w:rPr>
        <w:t xml:space="preserve">2004 </w:t>
      </w:r>
      <w:r w:rsidR="0090484C">
        <w:rPr>
          <w:color w:val="000000" w:themeColor="text1"/>
        </w:rPr>
        <w:t>deployment to Iraq</w:t>
      </w:r>
      <w:r w:rsidR="00EA55ED" w:rsidRPr="00EA55ED">
        <w:rPr>
          <w:color w:val="000000" w:themeColor="text1"/>
        </w:rPr>
        <w:t xml:space="preserve">.  </w:t>
      </w:r>
      <w:r w:rsidR="001F2B32">
        <w:rPr>
          <w:color w:val="000000" w:themeColor="text1"/>
        </w:rPr>
        <w:t>Following redeployment</w:t>
      </w:r>
      <w:r w:rsidR="00C371DA">
        <w:rPr>
          <w:color w:val="000000" w:themeColor="text1"/>
        </w:rPr>
        <w:t>,</w:t>
      </w:r>
      <w:r w:rsidR="001F2B32">
        <w:rPr>
          <w:color w:val="000000" w:themeColor="text1"/>
        </w:rPr>
        <w:t xml:space="preserve"> his back pain worsened and he was diagnosed with non-surgical lumbar disc disease.  Despite aggressive </w:t>
      </w:r>
      <w:r w:rsidR="00EA55ED" w:rsidRPr="00EA55ED">
        <w:rPr>
          <w:color w:val="000000" w:themeColor="text1"/>
        </w:rPr>
        <w:t>conservative therapy</w:t>
      </w:r>
      <w:r w:rsidR="0090484C">
        <w:rPr>
          <w:color w:val="000000" w:themeColor="text1"/>
        </w:rPr>
        <w:t>,</w:t>
      </w:r>
      <w:r w:rsidR="00EA55ED" w:rsidRPr="00EA55ED">
        <w:rPr>
          <w:color w:val="000000" w:themeColor="text1"/>
        </w:rPr>
        <w:t xml:space="preserve"> </w:t>
      </w:r>
      <w:r w:rsidR="001F2B32">
        <w:rPr>
          <w:color w:val="000000" w:themeColor="text1"/>
        </w:rPr>
        <w:t>including</w:t>
      </w:r>
      <w:r w:rsidR="00EA55ED" w:rsidRPr="00EA55ED">
        <w:rPr>
          <w:color w:val="000000" w:themeColor="text1"/>
        </w:rPr>
        <w:t xml:space="preserve"> epidural steroid injections</w:t>
      </w:r>
      <w:r w:rsidR="0090484C">
        <w:rPr>
          <w:color w:val="000000" w:themeColor="text1"/>
        </w:rPr>
        <w:t>,</w:t>
      </w:r>
      <w:r w:rsidR="001F2B32">
        <w:rPr>
          <w:color w:val="000000" w:themeColor="text1"/>
        </w:rPr>
        <w:t xml:space="preserve"> he </w:t>
      </w:r>
      <w:r w:rsidR="001F2B32" w:rsidRPr="001F29F9">
        <w:rPr>
          <w:color w:val="000000" w:themeColor="text1"/>
          <w:szCs w:val="24"/>
        </w:rPr>
        <w:t xml:space="preserve">did not </w:t>
      </w:r>
      <w:r w:rsidR="0090484C">
        <w:rPr>
          <w:color w:val="000000" w:themeColor="text1"/>
          <w:szCs w:val="24"/>
        </w:rPr>
        <w:t>improve</w:t>
      </w:r>
      <w:r w:rsidR="001F2B32" w:rsidRPr="001F29F9">
        <w:rPr>
          <w:color w:val="000000" w:themeColor="text1"/>
          <w:szCs w:val="24"/>
        </w:rPr>
        <w:t xml:space="preserve"> adequately to </w:t>
      </w:r>
      <w:r w:rsidR="001F2B32">
        <w:rPr>
          <w:color w:val="000000" w:themeColor="text1"/>
          <w:szCs w:val="24"/>
        </w:rPr>
        <w:t>fully</w:t>
      </w:r>
      <w:r w:rsidR="001F2B32" w:rsidRPr="001F29F9">
        <w:rPr>
          <w:color w:val="000000" w:themeColor="text1"/>
          <w:szCs w:val="24"/>
        </w:rPr>
        <w:t xml:space="preserve"> perform within </w:t>
      </w:r>
      <w:r w:rsidR="001F2B32" w:rsidRPr="001F2B32">
        <w:rPr>
          <w:color w:val="000000" w:themeColor="text1"/>
          <w:szCs w:val="24"/>
        </w:rPr>
        <w:t>his Military Occupational Specialty (MOS) or</w:t>
      </w:r>
      <w:r w:rsidR="001F2B32" w:rsidRPr="001F29F9">
        <w:rPr>
          <w:color w:val="000000" w:themeColor="text1"/>
          <w:szCs w:val="24"/>
        </w:rPr>
        <w:t xml:space="preserve"> meet physical fitness standards.</w:t>
      </w:r>
      <w:r w:rsidR="001F2B32">
        <w:rPr>
          <w:color w:val="000000" w:themeColor="text1"/>
        </w:rPr>
        <w:t xml:space="preserve"> </w:t>
      </w:r>
      <w:r w:rsidR="00EA55ED" w:rsidRPr="00EA55ED">
        <w:rPr>
          <w:color w:val="000000" w:themeColor="text1"/>
        </w:rPr>
        <w:t xml:space="preserve"> </w:t>
      </w:r>
      <w:r w:rsidR="0090484C">
        <w:rPr>
          <w:color w:val="000000" w:themeColor="text1"/>
        </w:rPr>
        <w:t>He</w:t>
      </w:r>
      <w:r w:rsidR="00EA55ED" w:rsidRPr="00EA55ED">
        <w:rPr>
          <w:color w:val="000000" w:themeColor="text1"/>
        </w:rPr>
        <w:t xml:space="preserve"> was issued a permanent L3 profile</w:t>
      </w:r>
      <w:r w:rsidR="001F2B32">
        <w:rPr>
          <w:color w:val="000000" w:themeColor="text1"/>
        </w:rPr>
        <w:t xml:space="preserve"> and</w:t>
      </w:r>
      <w:r w:rsidR="00EA55ED" w:rsidRPr="00EA55ED">
        <w:rPr>
          <w:color w:val="000000" w:themeColor="text1"/>
        </w:rPr>
        <w:t xml:space="preserve"> referred to a Medical Evaluation Board (MEB).  </w:t>
      </w:r>
      <w:r w:rsidR="0090484C">
        <w:rPr>
          <w:color w:val="000000" w:themeColor="text1"/>
        </w:rPr>
        <w:t>“</w:t>
      </w:r>
      <w:r w:rsidR="001F2B32">
        <w:rPr>
          <w:color w:val="000000" w:themeColor="text1"/>
        </w:rPr>
        <w:t>C</w:t>
      </w:r>
      <w:r w:rsidR="00EA55ED" w:rsidRPr="00EA55ED">
        <w:rPr>
          <w:color w:val="000000" w:themeColor="text1"/>
        </w:rPr>
        <w:t xml:space="preserve">hronic </w:t>
      </w:r>
      <w:r w:rsidR="001F2B32">
        <w:rPr>
          <w:color w:val="000000" w:themeColor="text1"/>
        </w:rPr>
        <w:t>low back pain</w:t>
      </w:r>
      <w:r w:rsidR="00EA55ED" w:rsidRPr="00EA55ED">
        <w:rPr>
          <w:color w:val="000000" w:themeColor="text1"/>
        </w:rPr>
        <w:t xml:space="preserve"> with disc protrusion</w:t>
      </w:r>
      <w:r w:rsidR="0090484C">
        <w:rPr>
          <w:color w:val="000000" w:themeColor="text1"/>
        </w:rPr>
        <w:t xml:space="preserve">” </w:t>
      </w:r>
      <w:r w:rsidR="001F2B32">
        <w:rPr>
          <w:color w:val="000000" w:themeColor="text1"/>
        </w:rPr>
        <w:t>was forwarded</w:t>
      </w:r>
      <w:r w:rsidR="00EA55ED" w:rsidRPr="00EA55ED">
        <w:rPr>
          <w:color w:val="000000" w:themeColor="text1"/>
        </w:rPr>
        <w:t xml:space="preserve"> to the Physical Evaluation Board (PEB) as medically unacceptable IAW AR 40-501.  F</w:t>
      </w:r>
      <w:r w:rsidR="00AE41A3">
        <w:rPr>
          <w:color w:val="000000" w:themeColor="text1"/>
        </w:rPr>
        <w:t>our</w:t>
      </w:r>
      <w:r w:rsidR="00EA55ED" w:rsidRPr="00EA55ED">
        <w:rPr>
          <w:color w:val="000000" w:themeColor="text1"/>
        </w:rPr>
        <w:t xml:space="preserve"> other conditions, as identified in </w:t>
      </w:r>
      <w:r w:rsidR="00EA55ED" w:rsidRPr="00AE41A3">
        <w:rPr>
          <w:color w:val="000000" w:themeColor="text1"/>
        </w:rPr>
        <w:t xml:space="preserve">the rating chart below, were forwarded </w:t>
      </w:r>
      <w:r w:rsidR="0090484C">
        <w:rPr>
          <w:color w:val="000000" w:themeColor="text1"/>
        </w:rPr>
        <w:t>by</w:t>
      </w:r>
      <w:r w:rsidR="00EA55ED" w:rsidRPr="00AE41A3">
        <w:rPr>
          <w:color w:val="000000" w:themeColor="text1"/>
        </w:rPr>
        <w:t xml:space="preserve"> the MEB as medically acceptable conditions.  </w:t>
      </w:r>
      <w:r w:rsidR="0090484C">
        <w:rPr>
          <w:color w:val="000000" w:themeColor="text1"/>
        </w:rPr>
        <w:t>An</w:t>
      </w:r>
      <w:r w:rsidR="00AE41A3" w:rsidRPr="00AE41A3">
        <w:rPr>
          <w:color w:val="000000" w:themeColor="text1"/>
        </w:rPr>
        <w:t xml:space="preserve"> </w:t>
      </w:r>
      <w:r w:rsidR="00AE41A3" w:rsidRPr="00AE41A3">
        <w:rPr>
          <w:rFonts w:asciiTheme="minorHAnsi" w:hAnsiTheme="minorHAnsi"/>
          <w:color w:val="auto"/>
          <w:szCs w:val="24"/>
        </w:rPr>
        <w:t>additional condition</w:t>
      </w:r>
      <w:r w:rsidR="0090484C">
        <w:rPr>
          <w:rFonts w:asciiTheme="minorHAnsi" w:hAnsiTheme="minorHAnsi"/>
          <w:color w:val="auto"/>
          <w:szCs w:val="24"/>
        </w:rPr>
        <w:t>,</w:t>
      </w:r>
      <w:r w:rsidR="0090484C" w:rsidRPr="0090484C">
        <w:rPr>
          <w:rFonts w:asciiTheme="minorHAnsi" w:hAnsiTheme="minorHAnsi"/>
          <w:color w:val="auto"/>
          <w:szCs w:val="24"/>
        </w:rPr>
        <w:t xml:space="preserve"> </w:t>
      </w:r>
      <w:r w:rsidR="0090484C">
        <w:rPr>
          <w:rFonts w:asciiTheme="minorHAnsi" w:hAnsiTheme="minorHAnsi"/>
          <w:color w:val="auto"/>
          <w:szCs w:val="24"/>
        </w:rPr>
        <w:t>“</w:t>
      </w:r>
      <w:r w:rsidR="0090484C" w:rsidRPr="00AE41A3">
        <w:rPr>
          <w:rFonts w:asciiTheme="minorHAnsi" w:hAnsiTheme="minorHAnsi"/>
          <w:color w:val="auto"/>
          <w:szCs w:val="24"/>
        </w:rPr>
        <w:t>partner relationship problems</w:t>
      </w:r>
      <w:r w:rsidR="00C371DA">
        <w:rPr>
          <w:rFonts w:asciiTheme="minorHAnsi" w:hAnsiTheme="minorHAnsi"/>
          <w:color w:val="auto"/>
          <w:szCs w:val="24"/>
        </w:rPr>
        <w:t>,</w:t>
      </w:r>
      <w:r w:rsidR="0090484C">
        <w:rPr>
          <w:rFonts w:asciiTheme="minorHAnsi" w:hAnsiTheme="minorHAnsi"/>
          <w:color w:val="auto"/>
          <w:szCs w:val="24"/>
        </w:rPr>
        <w:t>”</w:t>
      </w:r>
      <w:r w:rsidR="00AE41A3" w:rsidRPr="00AE41A3">
        <w:rPr>
          <w:rFonts w:asciiTheme="minorHAnsi" w:hAnsiTheme="minorHAnsi"/>
          <w:color w:val="auto"/>
          <w:szCs w:val="24"/>
        </w:rPr>
        <w:t xml:space="preserve"> was also </w:t>
      </w:r>
      <w:r w:rsidR="0090484C">
        <w:rPr>
          <w:rFonts w:asciiTheme="minorHAnsi" w:hAnsiTheme="minorHAnsi"/>
          <w:color w:val="auto"/>
          <w:szCs w:val="24"/>
        </w:rPr>
        <w:t>forwarded on the DA Form 3947</w:t>
      </w:r>
      <w:r w:rsidR="00C371DA">
        <w:rPr>
          <w:rFonts w:asciiTheme="minorHAnsi" w:hAnsiTheme="minorHAnsi"/>
          <w:color w:val="auto"/>
          <w:szCs w:val="24"/>
        </w:rPr>
        <w:t>,</w:t>
      </w:r>
      <w:r w:rsidR="0090484C">
        <w:rPr>
          <w:rFonts w:asciiTheme="minorHAnsi" w:hAnsiTheme="minorHAnsi"/>
          <w:color w:val="auto"/>
          <w:szCs w:val="24"/>
        </w:rPr>
        <w:t xml:space="preserve"> but</w:t>
      </w:r>
      <w:r w:rsidR="00AE41A3" w:rsidRPr="00AE41A3">
        <w:rPr>
          <w:rFonts w:asciiTheme="minorHAnsi" w:hAnsiTheme="minorHAnsi"/>
          <w:color w:val="auto"/>
          <w:szCs w:val="24"/>
        </w:rPr>
        <w:t xml:space="preserve"> is not a ratable condition IAW DoD and VA regulations</w:t>
      </w:r>
      <w:r w:rsidR="0090484C">
        <w:rPr>
          <w:rFonts w:asciiTheme="minorHAnsi" w:hAnsiTheme="minorHAnsi"/>
          <w:color w:val="auto"/>
          <w:szCs w:val="24"/>
        </w:rPr>
        <w:t>,</w:t>
      </w:r>
      <w:r w:rsidR="00AE41A3" w:rsidRPr="00AE41A3">
        <w:rPr>
          <w:rFonts w:asciiTheme="minorHAnsi" w:hAnsiTheme="minorHAnsi"/>
          <w:color w:val="auto"/>
          <w:szCs w:val="24"/>
        </w:rPr>
        <w:t xml:space="preserve"> and will not be discussed further.  </w:t>
      </w:r>
      <w:r w:rsidR="0090484C">
        <w:rPr>
          <w:color w:val="000000" w:themeColor="text1"/>
        </w:rPr>
        <w:t xml:space="preserve">The </w:t>
      </w:r>
      <w:r w:rsidR="00C371DA">
        <w:rPr>
          <w:color w:val="000000" w:themeColor="text1"/>
        </w:rPr>
        <w:t>P</w:t>
      </w:r>
      <w:r w:rsidR="00EA55ED" w:rsidRPr="00AE41A3">
        <w:rPr>
          <w:color w:val="000000" w:themeColor="text1"/>
        </w:rPr>
        <w:t xml:space="preserve">EB adjudicated the chronic </w:t>
      </w:r>
      <w:r w:rsidR="00AE41A3" w:rsidRPr="00AE41A3">
        <w:rPr>
          <w:color w:val="000000" w:themeColor="text1"/>
        </w:rPr>
        <w:t>low back pain</w:t>
      </w:r>
      <w:r w:rsidR="00EA55ED" w:rsidRPr="00AE41A3">
        <w:rPr>
          <w:color w:val="000000" w:themeColor="text1"/>
        </w:rPr>
        <w:t xml:space="preserve"> condition as unfitting, rated 10%, </w:t>
      </w:r>
      <w:r w:rsidR="0090484C">
        <w:rPr>
          <w:color w:val="000000" w:themeColor="text1"/>
        </w:rPr>
        <w:t xml:space="preserve">citing criteria </w:t>
      </w:r>
      <w:r w:rsidR="004425A7">
        <w:rPr>
          <w:color w:val="000000" w:themeColor="text1"/>
        </w:rPr>
        <w:t>from</w:t>
      </w:r>
      <w:r w:rsidR="00EA55ED" w:rsidRPr="00AE41A3">
        <w:rPr>
          <w:color w:val="000000" w:themeColor="text1"/>
        </w:rPr>
        <w:t xml:space="preserve"> the </w:t>
      </w:r>
      <w:r w:rsidR="00AE41A3" w:rsidRPr="00AE41A3">
        <w:rPr>
          <w:color w:val="000000" w:themeColor="text1"/>
        </w:rPr>
        <w:t>Veterans</w:t>
      </w:r>
      <w:r w:rsidR="00EA55ED" w:rsidRPr="00AE41A3">
        <w:rPr>
          <w:color w:val="000000" w:themeColor="text1"/>
        </w:rPr>
        <w:t xml:space="preserve"> Administration Schedule for Rating Disabilities (VASRD).  </w:t>
      </w:r>
      <w:r w:rsidR="0090484C">
        <w:rPr>
          <w:color w:val="000000" w:themeColor="text1"/>
        </w:rPr>
        <w:t xml:space="preserve">The remaining conditions were determined to be not unfitting.  </w:t>
      </w:r>
      <w:r w:rsidR="00EA55ED" w:rsidRPr="00AE41A3">
        <w:rPr>
          <w:color w:val="000000" w:themeColor="text1"/>
        </w:rPr>
        <w:t>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A55ED" w:rsidRPr="00EA55ED" w:rsidRDefault="002C6E5B" w:rsidP="00EA55ED">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EA55ED">
        <w:rPr>
          <w:color w:val="000000" w:themeColor="text1"/>
        </w:rPr>
        <w:t xml:space="preserve">  </w:t>
      </w:r>
      <w:r w:rsidR="00EA55ED" w:rsidRPr="00EA55ED">
        <w:rPr>
          <w:color w:val="000000" w:themeColor="text1"/>
        </w:rPr>
        <w:t xml:space="preserve">“I am requesting a new review into my disability rating for my back, which I was awarded 10% from the United States Army.  And I am now receiving 20% from the Veteran’s Affairs”.  He additionally lists </w:t>
      </w:r>
      <w:r w:rsidR="00AE41A3">
        <w:rPr>
          <w:color w:val="000000" w:themeColor="text1"/>
        </w:rPr>
        <w:t>all</w:t>
      </w:r>
      <w:r w:rsidR="00EA55ED" w:rsidRPr="00EA55ED">
        <w:rPr>
          <w:color w:val="000000" w:themeColor="text1"/>
        </w:rPr>
        <w:t xml:space="preserve">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628"/>
        <w:gridCol w:w="630"/>
        <w:gridCol w:w="720"/>
        <w:gridCol w:w="2610"/>
        <w:gridCol w:w="1080"/>
        <w:gridCol w:w="702"/>
        <w:gridCol w:w="990"/>
      </w:tblGrid>
      <w:tr w:rsidR="00EA55ED" w:rsidRPr="001F29F9" w:rsidTr="00FD065B">
        <w:trPr>
          <w:trHeight w:val="170"/>
          <w:jc w:val="center"/>
        </w:trPr>
        <w:tc>
          <w:tcPr>
            <w:tcW w:w="3978" w:type="dxa"/>
            <w:gridSpan w:val="3"/>
            <w:tcBorders>
              <w:right w:val="thinThickThinSmallGap" w:sz="24" w:space="0" w:color="auto"/>
            </w:tcBorders>
            <w:shd w:val="clear" w:color="auto" w:fill="D9D9D9" w:themeFill="background1" w:themeFillShade="D9"/>
            <w:vAlign w:val="center"/>
          </w:tcPr>
          <w:p w:rsidR="00EA55ED" w:rsidRPr="003D40D9" w:rsidRDefault="0090484C" w:rsidP="00FD065B">
            <w:pPr>
              <w:contextualSpacing/>
              <w:rPr>
                <w:b/>
                <w:color w:val="auto"/>
                <w:sz w:val="20"/>
                <w:szCs w:val="20"/>
              </w:rPr>
            </w:pPr>
            <w:r>
              <w:rPr>
                <w:b/>
                <w:color w:val="auto"/>
                <w:sz w:val="20"/>
                <w:szCs w:val="20"/>
              </w:rPr>
              <w:t xml:space="preserve">Service </w:t>
            </w:r>
            <w:r w:rsidR="00EA55ED" w:rsidRPr="003D40D9">
              <w:rPr>
                <w:b/>
                <w:color w:val="auto"/>
                <w:sz w:val="20"/>
                <w:szCs w:val="20"/>
              </w:rPr>
              <w:t>PEB – Dated 20050608</w:t>
            </w:r>
          </w:p>
        </w:tc>
        <w:tc>
          <w:tcPr>
            <w:tcW w:w="5382" w:type="dxa"/>
            <w:gridSpan w:val="4"/>
            <w:tcBorders>
              <w:left w:val="thinThickThinSmallGap" w:sz="24" w:space="0" w:color="auto"/>
            </w:tcBorders>
            <w:shd w:val="clear" w:color="auto" w:fill="D9D9D9" w:themeFill="background1" w:themeFillShade="D9"/>
            <w:vAlign w:val="center"/>
          </w:tcPr>
          <w:p w:rsidR="00EA55ED" w:rsidRPr="003D40D9" w:rsidRDefault="00EA55ED" w:rsidP="00FD065B">
            <w:pPr>
              <w:contextualSpacing/>
              <w:rPr>
                <w:b/>
                <w:color w:val="auto"/>
                <w:sz w:val="20"/>
                <w:szCs w:val="20"/>
              </w:rPr>
            </w:pPr>
            <w:r w:rsidRPr="003D40D9">
              <w:rPr>
                <w:b/>
                <w:color w:val="auto"/>
                <w:sz w:val="20"/>
                <w:szCs w:val="20"/>
              </w:rPr>
              <w:t>VA (1 Mo. After Separation) – All Effective 20050720</w:t>
            </w:r>
          </w:p>
        </w:tc>
      </w:tr>
      <w:tr w:rsidR="002B4E22" w:rsidRPr="001F29F9" w:rsidTr="00FD065B">
        <w:trPr>
          <w:trHeight w:val="97"/>
          <w:jc w:val="center"/>
        </w:trPr>
        <w:tc>
          <w:tcPr>
            <w:tcW w:w="262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61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EA55ED" w:rsidRPr="001F29F9" w:rsidTr="00FD065B">
        <w:trPr>
          <w:trHeight w:val="115"/>
          <w:jc w:val="center"/>
        </w:trPr>
        <w:tc>
          <w:tcPr>
            <w:tcW w:w="2628" w:type="dxa"/>
            <w:tcBorders>
              <w:right w:val="single" w:sz="4" w:space="0" w:color="auto"/>
            </w:tcBorders>
            <w:shd w:val="clear" w:color="auto" w:fill="FFFFFF" w:themeFill="background1"/>
            <w:vAlign w:val="center"/>
          </w:tcPr>
          <w:p w:rsidR="00EA55ED" w:rsidRPr="003D40D9" w:rsidRDefault="00EA55ED" w:rsidP="00FD065B">
            <w:pPr>
              <w:spacing w:line="220" w:lineRule="exact"/>
              <w:contextualSpacing/>
              <w:jc w:val="left"/>
              <w:rPr>
                <w:color w:val="auto"/>
                <w:sz w:val="18"/>
                <w:szCs w:val="18"/>
              </w:rPr>
            </w:pPr>
            <w:r w:rsidRPr="003D40D9">
              <w:rPr>
                <w:color w:val="auto"/>
                <w:sz w:val="18"/>
                <w:szCs w:val="18"/>
              </w:rPr>
              <w:t xml:space="preserve">Chronic </w:t>
            </w:r>
            <w:r>
              <w:rPr>
                <w:color w:val="auto"/>
                <w:sz w:val="18"/>
                <w:szCs w:val="18"/>
              </w:rPr>
              <w:t>L</w:t>
            </w:r>
            <w:r w:rsidR="0090484C">
              <w:rPr>
                <w:color w:val="auto"/>
                <w:sz w:val="18"/>
                <w:szCs w:val="18"/>
              </w:rPr>
              <w:t xml:space="preserve">ow </w:t>
            </w:r>
            <w:r>
              <w:rPr>
                <w:color w:val="auto"/>
                <w:sz w:val="18"/>
                <w:szCs w:val="18"/>
              </w:rPr>
              <w:t>B</w:t>
            </w:r>
            <w:r w:rsidR="0090484C">
              <w:rPr>
                <w:color w:val="auto"/>
                <w:sz w:val="18"/>
                <w:szCs w:val="18"/>
              </w:rPr>
              <w:t xml:space="preserve">ack </w:t>
            </w:r>
            <w:r>
              <w:rPr>
                <w:color w:val="auto"/>
                <w:sz w:val="18"/>
                <w:szCs w:val="18"/>
              </w:rPr>
              <w:t>P</w:t>
            </w:r>
            <w:r w:rsidR="0090484C">
              <w:rPr>
                <w:color w:val="auto"/>
                <w:sz w:val="18"/>
                <w:szCs w:val="18"/>
              </w:rPr>
              <w:t>ain</w:t>
            </w:r>
          </w:p>
        </w:tc>
        <w:tc>
          <w:tcPr>
            <w:tcW w:w="630" w:type="dxa"/>
            <w:tcBorders>
              <w:left w:val="single" w:sz="4" w:space="0" w:color="auto"/>
            </w:tcBorders>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5243</w:t>
            </w:r>
          </w:p>
        </w:tc>
        <w:tc>
          <w:tcPr>
            <w:tcW w:w="720" w:type="dxa"/>
            <w:tcBorders>
              <w:right w:val="thinThickThinSmallGap" w:sz="24" w:space="0" w:color="auto"/>
            </w:tcBorders>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10%</w:t>
            </w:r>
          </w:p>
        </w:tc>
        <w:tc>
          <w:tcPr>
            <w:tcW w:w="2610" w:type="dxa"/>
            <w:tcBorders>
              <w:left w:val="thinThickThinSmallGap" w:sz="24" w:space="0" w:color="auto"/>
            </w:tcBorders>
            <w:shd w:val="clear" w:color="auto" w:fill="FFFFFF" w:themeFill="background1"/>
            <w:vAlign w:val="center"/>
          </w:tcPr>
          <w:p w:rsidR="00EA55ED" w:rsidRPr="001F29F9" w:rsidRDefault="00EA55ED" w:rsidP="00FD065B">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DDD Lumbosacral Spine</w:t>
            </w:r>
          </w:p>
        </w:tc>
        <w:tc>
          <w:tcPr>
            <w:tcW w:w="1080" w:type="dxa"/>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5299-5242</w:t>
            </w:r>
          </w:p>
        </w:tc>
        <w:tc>
          <w:tcPr>
            <w:tcW w:w="702" w:type="dxa"/>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10%</w:t>
            </w:r>
          </w:p>
        </w:tc>
        <w:tc>
          <w:tcPr>
            <w:tcW w:w="990" w:type="dxa"/>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20050816</w:t>
            </w:r>
          </w:p>
        </w:tc>
      </w:tr>
      <w:tr w:rsidR="00EA55ED" w:rsidRPr="001F29F9" w:rsidTr="00FD065B">
        <w:trPr>
          <w:trHeight w:val="106"/>
          <w:jc w:val="center"/>
        </w:trPr>
        <w:tc>
          <w:tcPr>
            <w:tcW w:w="2628" w:type="dxa"/>
            <w:tcBorders>
              <w:right w:val="single" w:sz="4" w:space="0" w:color="auto"/>
            </w:tcBorders>
            <w:shd w:val="clear" w:color="auto" w:fill="FFFFFF" w:themeFill="background1"/>
            <w:vAlign w:val="center"/>
          </w:tcPr>
          <w:p w:rsidR="00EA55ED" w:rsidRPr="001F29F9" w:rsidRDefault="00EA55ED" w:rsidP="00FD065B">
            <w:pPr>
              <w:spacing w:line="220" w:lineRule="exact"/>
              <w:contextualSpacing/>
              <w:jc w:val="left"/>
              <w:rPr>
                <w:rFonts w:ascii="Calibri" w:eastAsia="Times New Roman" w:hAnsi="Calibri" w:cs="Calibri"/>
                <w:color w:val="000000" w:themeColor="text1"/>
                <w:sz w:val="18"/>
                <w:szCs w:val="18"/>
              </w:rPr>
            </w:pPr>
            <w:r w:rsidRPr="00EA55ED">
              <w:rPr>
                <w:rFonts w:ascii="Calibri" w:hAnsi="Calibri" w:cs="Calibri"/>
                <w:color w:val="000000" w:themeColor="text1"/>
                <w:sz w:val="18"/>
                <w:szCs w:val="18"/>
              </w:rPr>
              <w:t>Adjustment Disorder</w:t>
            </w:r>
            <w:r>
              <w:rPr>
                <w:rFonts w:ascii="Calibri" w:hAnsi="Calibri" w:cs="Calibri"/>
                <w:color w:val="000000" w:themeColor="text1"/>
                <w:sz w:val="18"/>
                <w:szCs w:val="18"/>
              </w:rPr>
              <w:t>…</w:t>
            </w:r>
          </w:p>
        </w:tc>
        <w:tc>
          <w:tcPr>
            <w:tcW w:w="1350" w:type="dxa"/>
            <w:gridSpan w:val="2"/>
            <w:tcBorders>
              <w:left w:val="single" w:sz="4" w:space="0" w:color="auto"/>
              <w:right w:val="thinThickThinSmallGap" w:sz="24" w:space="0" w:color="auto"/>
            </w:tcBorders>
            <w:shd w:val="clear" w:color="auto" w:fill="FFFFFF" w:themeFill="background1"/>
            <w:vAlign w:val="center"/>
          </w:tcPr>
          <w:p w:rsidR="00EA55ED" w:rsidRPr="001F29F9" w:rsidRDefault="00EA55ED" w:rsidP="00FD065B">
            <w:pPr>
              <w:spacing w:line="22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610" w:type="dxa"/>
            <w:vMerge w:val="restart"/>
            <w:tcBorders>
              <w:left w:val="thinThickThinSmallGap" w:sz="24" w:space="0" w:color="auto"/>
              <w:right w:val="single" w:sz="4" w:space="0" w:color="auto"/>
            </w:tcBorders>
            <w:shd w:val="clear" w:color="auto" w:fill="FFFFFF" w:themeFill="background1"/>
            <w:vAlign w:val="center"/>
          </w:tcPr>
          <w:p w:rsidR="00EA55ED" w:rsidRPr="003D40D9" w:rsidRDefault="00EA55ED" w:rsidP="00FD065B">
            <w:pPr>
              <w:spacing w:line="180" w:lineRule="exact"/>
              <w:contextualSpacing/>
              <w:jc w:val="left"/>
              <w:rPr>
                <w:color w:val="auto"/>
                <w:sz w:val="18"/>
                <w:szCs w:val="18"/>
              </w:rPr>
            </w:pPr>
            <w:r w:rsidRPr="003D40D9">
              <w:rPr>
                <w:color w:val="auto"/>
                <w:sz w:val="18"/>
                <w:szCs w:val="18"/>
              </w:rPr>
              <w:t xml:space="preserve">Adjustment </w:t>
            </w:r>
            <w:r w:rsidR="00FD065B">
              <w:rPr>
                <w:color w:val="auto"/>
                <w:sz w:val="18"/>
                <w:szCs w:val="18"/>
              </w:rPr>
              <w:t xml:space="preserve">Disorder w/ Depressed Mood and </w:t>
            </w:r>
            <w:r w:rsidRPr="003D40D9">
              <w:rPr>
                <w:color w:val="auto"/>
                <w:sz w:val="18"/>
                <w:szCs w:val="18"/>
              </w:rPr>
              <w:t>Insomnia</w:t>
            </w:r>
          </w:p>
        </w:tc>
        <w:tc>
          <w:tcPr>
            <w:tcW w:w="1080" w:type="dxa"/>
            <w:vMerge w:val="restart"/>
            <w:tcBorders>
              <w:left w:val="single" w:sz="4" w:space="0" w:color="auto"/>
            </w:tcBorders>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9440</w:t>
            </w:r>
          </w:p>
        </w:tc>
        <w:tc>
          <w:tcPr>
            <w:tcW w:w="702" w:type="dxa"/>
            <w:vMerge w:val="restart"/>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10%</w:t>
            </w:r>
          </w:p>
        </w:tc>
        <w:tc>
          <w:tcPr>
            <w:tcW w:w="990" w:type="dxa"/>
            <w:vMerge w:val="restart"/>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20050816</w:t>
            </w:r>
          </w:p>
        </w:tc>
      </w:tr>
      <w:tr w:rsidR="00EA55ED" w:rsidRPr="001F29F9" w:rsidTr="00FD065B">
        <w:trPr>
          <w:trHeight w:val="97"/>
          <w:jc w:val="center"/>
        </w:trPr>
        <w:tc>
          <w:tcPr>
            <w:tcW w:w="2628" w:type="dxa"/>
            <w:tcBorders>
              <w:right w:val="single" w:sz="4" w:space="0" w:color="auto"/>
            </w:tcBorders>
            <w:shd w:val="clear" w:color="auto" w:fill="FFFFFF" w:themeFill="background1"/>
            <w:vAlign w:val="center"/>
          </w:tcPr>
          <w:p w:rsidR="00EA55ED" w:rsidRPr="003D40D9" w:rsidRDefault="00EA55ED" w:rsidP="00FD065B">
            <w:pPr>
              <w:spacing w:line="220" w:lineRule="exact"/>
              <w:contextualSpacing/>
              <w:jc w:val="left"/>
              <w:rPr>
                <w:color w:val="auto"/>
                <w:sz w:val="18"/>
                <w:szCs w:val="18"/>
              </w:rPr>
            </w:pPr>
            <w:r w:rsidRPr="003D40D9">
              <w:rPr>
                <w:color w:val="auto"/>
                <w:sz w:val="18"/>
                <w:szCs w:val="18"/>
              </w:rPr>
              <w:t>Insomnia</w:t>
            </w:r>
          </w:p>
        </w:tc>
        <w:tc>
          <w:tcPr>
            <w:tcW w:w="1350" w:type="dxa"/>
            <w:gridSpan w:val="2"/>
            <w:tcBorders>
              <w:left w:val="single" w:sz="4" w:space="0" w:color="auto"/>
              <w:right w:val="thinThickThinSmallGap" w:sz="24" w:space="0" w:color="auto"/>
            </w:tcBorders>
            <w:shd w:val="clear" w:color="auto" w:fill="FFFFFF" w:themeFill="background1"/>
            <w:vAlign w:val="center"/>
          </w:tcPr>
          <w:p w:rsidR="00EA55ED" w:rsidRPr="001F29F9" w:rsidRDefault="00EA55ED" w:rsidP="00FD065B">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610" w:type="dxa"/>
            <w:vMerge/>
            <w:tcBorders>
              <w:left w:val="thinThickThinSmallGap" w:sz="24" w:space="0" w:color="auto"/>
              <w:right w:val="single" w:sz="4" w:space="0" w:color="auto"/>
            </w:tcBorders>
            <w:shd w:val="clear" w:color="auto" w:fill="FFFFFF" w:themeFill="background1"/>
            <w:vAlign w:val="center"/>
          </w:tcPr>
          <w:p w:rsidR="00EA55ED" w:rsidRPr="001F29F9" w:rsidRDefault="00EA55ED" w:rsidP="00FD065B">
            <w:pPr>
              <w:spacing w:line="22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EA55ED" w:rsidRPr="001F29F9" w:rsidRDefault="00EA55ED" w:rsidP="00FD065B">
            <w:pPr>
              <w:spacing w:line="220" w:lineRule="exact"/>
              <w:contextualSpacing/>
              <w:rPr>
                <w:rFonts w:ascii="Calibri" w:eastAsia="Times New Roman" w:hAnsi="Calibri" w:cs="Calibri"/>
                <w:color w:val="000000" w:themeColor="text1"/>
                <w:sz w:val="18"/>
                <w:szCs w:val="18"/>
              </w:rPr>
            </w:pPr>
          </w:p>
        </w:tc>
        <w:tc>
          <w:tcPr>
            <w:tcW w:w="702" w:type="dxa"/>
            <w:vMerge/>
            <w:shd w:val="clear" w:color="auto" w:fill="FFFFFF" w:themeFill="background1"/>
            <w:vAlign w:val="center"/>
          </w:tcPr>
          <w:p w:rsidR="00EA55ED" w:rsidRPr="001F29F9" w:rsidRDefault="00EA55ED" w:rsidP="00FD065B">
            <w:pPr>
              <w:spacing w:line="22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EA55ED" w:rsidRPr="001F29F9" w:rsidRDefault="00EA55ED" w:rsidP="00FD065B">
            <w:pPr>
              <w:spacing w:line="220" w:lineRule="exact"/>
              <w:contextualSpacing/>
              <w:rPr>
                <w:rFonts w:ascii="Calibri" w:eastAsia="Times New Roman" w:hAnsi="Calibri" w:cs="Calibri"/>
                <w:color w:val="000000" w:themeColor="text1"/>
                <w:sz w:val="18"/>
                <w:szCs w:val="18"/>
                <w:highlight w:val="yellow"/>
              </w:rPr>
            </w:pPr>
          </w:p>
        </w:tc>
      </w:tr>
      <w:tr w:rsidR="00EA55ED" w:rsidRPr="001F29F9" w:rsidTr="00FD065B">
        <w:trPr>
          <w:trHeight w:val="178"/>
          <w:jc w:val="center"/>
        </w:trPr>
        <w:tc>
          <w:tcPr>
            <w:tcW w:w="2628" w:type="dxa"/>
            <w:tcBorders>
              <w:right w:val="single" w:sz="4" w:space="0" w:color="auto"/>
            </w:tcBorders>
            <w:shd w:val="clear" w:color="auto" w:fill="FFFFFF" w:themeFill="background1"/>
            <w:vAlign w:val="center"/>
          </w:tcPr>
          <w:p w:rsidR="00EA55ED" w:rsidRPr="001F29F9" w:rsidRDefault="00EA55ED" w:rsidP="00FD065B">
            <w:pPr>
              <w:spacing w:line="220" w:lineRule="exact"/>
              <w:contextualSpacing/>
              <w:jc w:val="left"/>
              <w:rPr>
                <w:rFonts w:ascii="Calibri" w:eastAsia="Times New Roman" w:hAnsi="Calibri" w:cs="Calibri"/>
                <w:color w:val="000000" w:themeColor="text1"/>
                <w:sz w:val="18"/>
                <w:szCs w:val="18"/>
              </w:rPr>
            </w:pPr>
            <w:r w:rsidRPr="00EA55ED">
              <w:rPr>
                <w:rFonts w:ascii="Calibri" w:eastAsia="Times New Roman" w:hAnsi="Calibri" w:cs="Calibri"/>
                <w:color w:val="000000" w:themeColor="text1"/>
                <w:sz w:val="18"/>
                <w:szCs w:val="18"/>
              </w:rPr>
              <w:t>Recurrent Headaches</w:t>
            </w:r>
          </w:p>
        </w:tc>
        <w:tc>
          <w:tcPr>
            <w:tcW w:w="1350" w:type="dxa"/>
            <w:gridSpan w:val="2"/>
            <w:tcBorders>
              <w:left w:val="single" w:sz="4" w:space="0" w:color="auto"/>
              <w:right w:val="thinThickThinSmallGap" w:sz="24" w:space="0" w:color="auto"/>
            </w:tcBorders>
            <w:shd w:val="clear" w:color="auto" w:fill="FFFFFF" w:themeFill="background1"/>
            <w:vAlign w:val="center"/>
          </w:tcPr>
          <w:p w:rsidR="00EA55ED" w:rsidRPr="001F29F9" w:rsidRDefault="00EA55ED" w:rsidP="00FD065B">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EA55ED" w:rsidRPr="003D40D9" w:rsidRDefault="00EA55ED" w:rsidP="00FD065B">
            <w:pPr>
              <w:spacing w:line="220" w:lineRule="exact"/>
              <w:contextualSpacing/>
              <w:jc w:val="left"/>
              <w:rPr>
                <w:color w:val="auto"/>
                <w:sz w:val="18"/>
                <w:szCs w:val="18"/>
              </w:rPr>
            </w:pPr>
            <w:r w:rsidRPr="003D40D9">
              <w:rPr>
                <w:color w:val="auto"/>
                <w:sz w:val="18"/>
                <w:szCs w:val="18"/>
              </w:rPr>
              <w:t>Tension Headaches</w:t>
            </w:r>
          </w:p>
        </w:tc>
        <w:tc>
          <w:tcPr>
            <w:tcW w:w="1080" w:type="dxa"/>
            <w:tcBorders>
              <w:left w:val="single" w:sz="4" w:space="0" w:color="auto"/>
            </w:tcBorders>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8199-8100</w:t>
            </w:r>
          </w:p>
        </w:tc>
        <w:tc>
          <w:tcPr>
            <w:tcW w:w="702" w:type="dxa"/>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0%</w:t>
            </w:r>
          </w:p>
        </w:tc>
        <w:tc>
          <w:tcPr>
            <w:tcW w:w="990" w:type="dxa"/>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20050816</w:t>
            </w:r>
          </w:p>
        </w:tc>
      </w:tr>
      <w:tr w:rsidR="00EA55ED" w:rsidRPr="001F29F9" w:rsidTr="00FD065B">
        <w:trPr>
          <w:trHeight w:val="70"/>
          <w:jc w:val="center"/>
        </w:trPr>
        <w:tc>
          <w:tcPr>
            <w:tcW w:w="2628" w:type="dxa"/>
            <w:tcBorders>
              <w:right w:val="single" w:sz="4" w:space="0" w:color="auto"/>
            </w:tcBorders>
            <w:shd w:val="clear" w:color="auto" w:fill="FFFFFF" w:themeFill="background1"/>
            <w:vAlign w:val="center"/>
          </w:tcPr>
          <w:p w:rsidR="00EA55ED" w:rsidRPr="001F29F9" w:rsidRDefault="00EA55ED" w:rsidP="00FD065B">
            <w:pPr>
              <w:spacing w:line="220" w:lineRule="exact"/>
              <w:contextualSpacing/>
              <w:jc w:val="left"/>
              <w:rPr>
                <w:rFonts w:ascii="Calibri" w:eastAsia="Times New Roman" w:hAnsi="Calibri" w:cs="Calibri"/>
                <w:color w:val="000000" w:themeColor="text1"/>
                <w:sz w:val="18"/>
                <w:szCs w:val="18"/>
              </w:rPr>
            </w:pPr>
            <w:r w:rsidRPr="00EA55ED">
              <w:rPr>
                <w:rFonts w:ascii="Calibri" w:hAnsi="Calibri" w:cs="Calibri"/>
                <w:color w:val="000000" w:themeColor="text1"/>
                <w:sz w:val="18"/>
                <w:szCs w:val="18"/>
              </w:rPr>
              <w:t>Tinnitus</w:t>
            </w:r>
          </w:p>
        </w:tc>
        <w:tc>
          <w:tcPr>
            <w:tcW w:w="1350" w:type="dxa"/>
            <w:gridSpan w:val="2"/>
            <w:tcBorders>
              <w:left w:val="single" w:sz="4" w:space="0" w:color="auto"/>
              <w:right w:val="thinThickThinSmallGap" w:sz="24" w:space="0" w:color="auto"/>
            </w:tcBorders>
            <w:shd w:val="clear" w:color="auto" w:fill="FFFFFF" w:themeFill="background1"/>
            <w:vAlign w:val="center"/>
          </w:tcPr>
          <w:p w:rsidR="00EA55ED" w:rsidRPr="001F29F9" w:rsidRDefault="00EA55ED" w:rsidP="00FD065B">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EA55ED" w:rsidRPr="001F29F9" w:rsidRDefault="00EA55ED" w:rsidP="00FD065B">
            <w:pPr>
              <w:spacing w:line="220" w:lineRule="exact"/>
              <w:contextualSpacing/>
              <w:jc w:val="left"/>
              <w:rPr>
                <w:rFonts w:ascii="Calibri" w:eastAsia="Times New Roman" w:hAnsi="Calibri" w:cs="Calibri"/>
                <w:color w:val="000000" w:themeColor="text1"/>
                <w:sz w:val="18"/>
                <w:szCs w:val="18"/>
              </w:rPr>
            </w:pPr>
            <w:r w:rsidRPr="003D40D9">
              <w:rPr>
                <w:color w:val="auto"/>
                <w:sz w:val="18"/>
                <w:szCs w:val="18"/>
              </w:rPr>
              <w:t>Bilateral Tinnitus</w:t>
            </w:r>
          </w:p>
        </w:tc>
        <w:tc>
          <w:tcPr>
            <w:tcW w:w="1080" w:type="dxa"/>
            <w:tcBorders>
              <w:left w:val="single" w:sz="4" w:space="0" w:color="auto"/>
              <w:right w:val="single" w:sz="4" w:space="0" w:color="auto"/>
            </w:tcBorders>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6260</w:t>
            </w:r>
          </w:p>
        </w:tc>
        <w:tc>
          <w:tcPr>
            <w:tcW w:w="702" w:type="dxa"/>
            <w:tcBorders>
              <w:left w:val="single" w:sz="4" w:space="0" w:color="auto"/>
            </w:tcBorders>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10%</w:t>
            </w:r>
          </w:p>
        </w:tc>
        <w:tc>
          <w:tcPr>
            <w:tcW w:w="990" w:type="dxa"/>
            <w:shd w:val="clear" w:color="auto" w:fill="FFFFFF" w:themeFill="background1"/>
            <w:vAlign w:val="center"/>
          </w:tcPr>
          <w:p w:rsidR="00EA55ED" w:rsidRPr="003D40D9" w:rsidRDefault="00EA55ED" w:rsidP="00FD065B">
            <w:pPr>
              <w:spacing w:line="220" w:lineRule="exact"/>
              <w:contextualSpacing/>
              <w:rPr>
                <w:color w:val="auto"/>
                <w:sz w:val="18"/>
                <w:szCs w:val="18"/>
              </w:rPr>
            </w:pPr>
            <w:r w:rsidRPr="003D40D9">
              <w:rPr>
                <w:color w:val="auto"/>
                <w:sz w:val="18"/>
                <w:szCs w:val="18"/>
              </w:rPr>
              <w:t>20050816</w:t>
            </w:r>
          </w:p>
        </w:tc>
      </w:tr>
      <w:tr w:rsidR="002E268C" w:rsidRPr="001F29F9" w:rsidTr="00FD065B">
        <w:trPr>
          <w:trHeight w:val="160"/>
          <w:jc w:val="center"/>
        </w:trPr>
        <w:tc>
          <w:tcPr>
            <w:tcW w:w="2628" w:type="dxa"/>
            <w:tcBorders>
              <w:right w:val="single" w:sz="4" w:space="0" w:color="auto"/>
            </w:tcBorders>
            <w:shd w:val="clear" w:color="auto" w:fill="FFFFFF" w:themeFill="background1"/>
            <w:vAlign w:val="center"/>
          </w:tcPr>
          <w:p w:rsidR="002E268C" w:rsidRPr="001F29F9" w:rsidRDefault="002E268C" w:rsidP="00FD065B">
            <w:pPr>
              <w:spacing w:line="220" w:lineRule="exact"/>
              <w:contextualSpacing/>
              <w:jc w:val="left"/>
              <w:rPr>
                <w:rFonts w:ascii="Calibri" w:eastAsia="Times New Roman" w:hAnsi="Calibri" w:cs="Calibri"/>
                <w:color w:val="000000" w:themeColor="text1"/>
                <w:sz w:val="18"/>
                <w:szCs w:val="18"/>
              </w:rPr>
            </w:pPr>
            <w:r w:rsidRPr="00EA55ED">
              <w:rPr>
                <w:rFonts w:ascii="Calibri" w:hAnsi="Calibri" w:cs="Calibri"/>
                <w:color w:val="000000" w:themeColor="text1"/>
                <w:sz w:val="18"/>
                <w:szCs w:val="18"/>
              </w:rPr>
              <w:t>Partner Relationship Problems</w:t>
            </w:r>
          </w:p>
        </w:tc>
        <w:tc>
          <w:tcPr>
            <w:tcW w:w="1350" w:type="dxa"/>
            <w:gridSpan w:val="2"/>
            <w:tcBorders>
              <w:left w:val="single" w:sz="4" w:space="0" w:color="auto"/>
              <w:right w:val="thinThickThinSmallGap" w:sz="24" w:space="0" w:color="auto"/>
            </w:tcBorders>
            <w:shd w:val="clear" w:color="auto" w:fill="FFFFFF" w:themeFill="background1"/>
            <w:vAlign w:val="center"/>
          </w:tcPr>
          <w:p w:rsidR="002E268C" w:rsidRPr="001F29F9" w:rsidRDefault="002E268C" w:rsidP="00FD065B">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5382" w:type="dxa"/>
            <w:gridSpan w:val="4"/>
            <w:tcBorders>
              <w:left w:val="thinThickThinSmallGap" w:sz="24" w:space="0" w:color="auto"/>
            </w:tcBorders>
            <w:shd w:val="clear" w:color="auto" w:fill="FFFFFF" w:themeFill="background1"/>
            <w:vAlign w:val="center"/>
          </w:tcPr>
          <w:p w:rsidR="002E268C" w:rsidRPr="001F29F9" w:rsidRDefault="002E268C" w:rsidP="00FD065B">
            <w:pPr>
              <w:spacing w:line="220" w:lineRule="exact"/>
              <w:contextualSpacing/>
              <w:rPr>
                <w:rFonts w:ascii="Calibri" w:eastAsia="Times New Roman" w:hAnsi="Calibri" w:cs="Calibri"/>
                <w:color w:val="000000" w:themeColor="text1"/>
                <w:sz w:val="18"/>
                <w:szCs w:val="18"/>
                <w:highlight w:val="yellow"/>
              </w:rPr>
            </w:pPr>
            <w:r>
              <w:rPr>
                <w:rFonts w:ascii="Calibri" w:hAnsi="Calibri" w:cs="Calibri"/>
                <w:color w:val="000000" w:themeColor="text1"/>
                <w:sz w:val="18"/>
                <w:szCs w:val="18"/>
              </w:rPr>
              <w:t xml:space="preserve">No </w:t>
            </w:r>
            <w:r w:rsidRPr="001F29F9">
              <w:rPr>
                <w:rFonts w:ascii="Calibri" w:hAnsi="Calibri" w:cs="Calibri"/>
                <w:color w:val="000000" w:themeColor="text1"/>
                <w:sz w:val="18"/>
                <w:szCs w:val="18"/>
              </w:rPr>
              <w:t>VA Entry</w:t>
            </w:r>
          </w:p>
        </w:tc>
      </w:tr>
      <w:tr w:rsidR="00EA55ED" w:rsidRPr="001F29F9" w:rsidTr="00FD065B">
        <w:trPr>
          <w:trHeight w:val="133"/>
          <w:jc w:val="center"/>
        </w:trPr>
        <w:tc>
          <w:tcPr>
            <w:tcW w:w="3978" w:type="dxa"/>
            <w:gridSpan w:val="3"/>
            <w:tcBorders>
              <w:right w:val="thinThickThinSmallGap" w:sz="24" w:space="0" w:color="auto"/>
            </w:tcBorders>
            <w:shd w:val="clear" w:color="auto" w:fill="FFFFFF" w:themeFill="background1"/>
          </w:tcPr>
          <w:p w:rsidR="00EA55ED" w:rsidRPr="001F29F9" w:rsidRDefault="002E268C" w:rsidP="00FD065B">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392" w:type="dxa"/>
            <w:gridSpan w:val="3"/>
            <w:tcBorders>
              <w:left w:val="thinThickThinSmallGap" w:sz="24" w:space="0" w:color="auto"/>
            </w:tcBorders>
            <w:shd w:val="clear" w:color="auto" w:fill="FFFFFF" w:themeFill="background1"/>
            <w:vAlign w:val="center"/>
          </w:tcPr>
          <w:p w:rsidR="00EA55ED" w:rsidRPr="001F29F9" w:rsidRDefault="002E268C" w:rsidP="00FD065B">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No Additional </w:t>
            </w:r>
            <w:r>
              <w:rPr>
                <w:rFonts w:ascii="Calibri" w:hAnsi="Calibri" w:cs="Calibri"/>
                <w:color w:val="000000" w:themeColor="text1"/>
                <w:sz w:val="18"/>
                <w:szCs w:val="18"/>
              </w:rPr>
              <w:t>VARD</w:t>
            </w:r>
            <w:r w:rsidRPr="001F29F9">
              <w:rPr>
                <w:rFonts w:ascii="Calibri" w:hAnsi="Calibri" w:cs="Calibri"/>
                <w:color w:val="000000" w:themeColor="text1"/>
                <w:sz w:val="18"/>
                <w:szCs w:val="18"/>
              </w:rPr>
              <w:t xml:space="preserve"> Entries</w:t>
            </w:r>
          </w:p>
        </w:tc>
        <w:tc>
          <w:tcPr>
            <w:tcW w:w="990" w:type="dxa"/>
            <w:shd w:val="clear" w:color="auto" w:fill="FFFFFF" w:themeFill="background1"/>
            <w:vAlign w:val="center"/>
          </w:tcPr>
          <w:p w:rsidR="00EA55ED" w:rsidRPr="001F29F9" w:rsidRDefault="002E268C" w:rsidP="00FD065B">
            <w:pPr>
              <w:spacing w:line="220" w:lineRule="exact"/>
              <w:contextualSpacing/>
              <w:rPr>
                <w:rFonts w:ascii="Calibri" w:eastAsia="Times New Roman" w:hAnsi="Calibri" w:cs="Calibri"/>
                <w:color w:val="000000" w:themeColor="text1"/>
                <w:sz w:val="18"/>
                <w:szCs w:val="18"/>
              </w:rPr>
            </w:pPr>
            <w:r w:rsidRPr="003D40D9">
              <w:rPr>
                <w:color w:val="auto"/>
                <w:sz w:val="18"/>
                <w:szCs w:val="18"/>
              </w:rPr>
              <w:t>20050816</w:t>
            </w:r>
          </w:p>
        </w:tc>
      </w:tr>
      <w:tr w:rsidR="00EA55ED" w:rsidRPr="001F29F9" w:rsidTr="00FD065B">
        <w:trPr>
          <w:trHeight w:val="124"/>
          <w:jc w:val="center"/>
        </w:trPr>
        <w:tc>
          <w:tcPr>
            <w:tcW w:w="3978" w:type="dxa"/>
            <w:gridSpan w:val="3"/>
            <w:tcBorders>
              <w:right w:val="thinThickThinSmallGap" w:sz="24" w:space="0" w:color="auto"/>
            </w:tcBorders>
            <w:shd w:val="clear" w:color="auto" w:fill="D9D9D9" w:themeFill="background1" w:themeFillShade="D9"/>
            <w:vAlign w:val="center"/>
          </w:tcPr>
          <w:p w:rsidR="00EA55ED" w:rsidRPr="001F29F9" w:rsidRDefault="00EA55ED"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382" w:type="dxa"/>
            <w:gridSpan w:val="4"/>
            <w:tcBorders>
              <w:left w:val="thinThickThinSmallGap" w:sz="24" w:space="0" w:color="auto"/>
            </w:tcBorders>
            <w:shd w:val="clear" w:color="auto" w:fill="D9D9D9" w:themeFill="background1" w:themeFillShade="D9"/>
            <w:vAlign w:val="center"/>
          </w:tcPr>
          <w:p w:rsidR="00EA55ED" w:rsidRPr="001F29F9" w:rsidRDefault="00EA55ED" w:rsidP="00FD065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EA55ED">
      <w:pPr>
        <w:jc w:val="both"/>
        <w:rPr>
          <w:color w:val="000000" w:themeColor="text1"/>
          <w:szCs w:val="24"/>
          <w:u w:val="single"/>
        </w:rPr>
      </w:pPr>
    </w:p>
    <w:p w:rsidR="00F328BE" w:rsidRDefault="002C6E5B" w:rsidP="004F2564">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2E268C" w:rsidRPr="002E268C">
        <w:rPr>
          <w:color w:val="000000" w:themeColor="text1"/>
          <w:szCs w:val="24"/>
        </w:rPr>
        <w:t xml:space="preserve">The Board notes the current VA ratings listed by the CI for all of his service connected conditions, but must emphasize that its recommendations are premised on severity at the time of separation. </w:t>
      </w:r>
      <w:r w:rsidR="00C371DA">
        <w:rPr>
          <w:color w:val="000000" w:themeColor="text1"/>
          <w:szCs w:val="24"/>
        </w:rPr>
        <w:t xml:space="preserve"> </w:t>
      </w:r>
      <w:r w:rsidR="002E268C" w:rsidRPr="002E268C">
        <w:rPr>
          <w:color w:val="000000" w:themeColor="text1"/>
          <w:szCs w:val="24"/>
        </w:rPr>
        <w:t xml:space="preserve">The VA ratings which it considers in that regard are those rendered most proximate to separation. </w:t>
      </w:r>
      <w:r w:rsidR="00C371DA">
        <w:rPr>
          <w:color w:val="000000" w:themeColor="text1"/>
          <w:szCs w:val="24"/>
        </w:rPr>
        <w:t xml:space="preserve"> </w:t>
      </w:r>
      <w:r w:rsidR="002E268C" w:rsidRPr="002E268C">
        <w:rPr>
          <w:color w:val="000000" w:themeColor="text1"/>
          <w:szCs w:val="24"/>
        </w:rPr>
        <w:t xml:space="preserve">The </w:t>
      </w:r>
      <w:r w:rsidR="00C371DA">
        <w:rPr>
          <w:color w:val="000000" w:themeColor="text1"/>
          <w:szCs w:val="24"/>
        </w:rPr>
        <w:t>Disability Evaluation System (</w:t>
      </w:r>
      <w:r w:rsidR="002E268C" w:rsidRPr="002E268C">
        <w:rPr>
          <w:color w:val="000000" w:themeColor="text1"/>
          <w:szCs w:val="24"/>
        </w:rPr>
        <w:t>DES</w:t>
      </w:r>
      <w:r w:rsidR="00C371DA">
        <w:rPr>
          <w:color w:val="000000" w:themeColor="text1"/>
          <w:szCs w:val="24"/>
        </w:rPr>
        <w:t>)</w:t>
      </w:r>
      <w:r w:rsidR="002E268C" w:rsidRPr="002E268C">
        <w:rPr>
          <w:color w:val="000000" w:themeColor="text1"/>
          <w:szCs w:val="24"/>
        </w:rPr>
        <w:t xml:space="preserve"> has neither the role nor the authority to compensate service members for anticipated future severity or </w:t>
      </w:r>
      <w:r w:rsidR="002E268C" w:rsidRPr="002E268C">
        <w:rPr>
          <w:color w:val="000000" w:themeColor="text1"/>
          <w:szCs w:val="24"/>
        </w:rPr>
        <w:lastRenderedPageBreak/>
        <w:t xml:space="preserve">potential complications of conditions resulting in medical separation. </w:t>
      </w:r>
      <w:r w:rsidR="00C371DA">
        <w:rPr>
          <w:color w:val="000000" w:themeColor="text1"/>
          <w:szCs w:val="24"/>
        </w:rPr>
        <w:t xml:space="preserve"> </w:t>
      </w:r>
      <w:r w:rsidR="002E268C" w:rsidRPr="002E268C">
        <w:rPr>
          <w:color w:val="000000" w:themeColor="text1"/>
          <w:szCs w:val="24"/>
        </w:rPr>
        <w:t xml:space="preserve">That role and authority is granted by Congress to the </w:t>
      </w:r>
      <w:r w:rsidR="0090484C">
        <w:rPr>
          <w:color w:val="000000" w:themeColor="text1"/>
          <w:szCs w:val="24"/>
        </w:rPr>
        <w:t xml:space="preserve">Department of </w:t>
      </w:r>
      <w:r w:rsidR="002E268C" w:rsidRPr="002E268C">
        <w:rPr>
          <w:color w:val="000000" w:themeColor="text1"/>
          <w:szCs w:val="24"/>
        </w:rPr>
        <w:t>Veterans Affairs.</w:t>
      </w:r>
    </w:p>
    <w:p w:rsidR="00EA55ED" w:rsidRPr="00F328BE" w:rsidRDefault="00EA55ED" w:rsidP="00F328BE">
      <w:pPr>
        <w:jc w:val="left"/>
        <w:rPr>
          <w:color w:val="000000" w:themeColor="text1"/>
          <w:szCs w:val="24"/>
        </w:rPr>
      </w:pPr>
    </w:p>
    <w:p w:rsidR="003C53E8" w:rsidRPr="003C53E8" w:rsidRDefault="00DF4487" w:rsidP="004F2564">
      <w:pPr>
        <w:jc w:val="both"/>
        <w:rPr>
          <w:rFonts w:asciiTheme="minorHAnsi" w:hAnsiTheme="minorHAnsi" w:cs="Times New Roman"/>
          <w:color w:val="auto"/>
          <w:szCs w:val="24"/>
        </w:rPr>
      </w:pPr>
      <w:proofErr w:type="gramStart"/>
      <w:r>
        <w:rPr>
          <w:color w:val="000000" w:themeColor="text1"/>
          <w:szCs w:val="24"/>
          <w:u w:val="single"/>
        </w:rPr>
        <w:t>Lumbar Spine</w:t>
      </w:r>
      <w:r w:rsidR="0080588E" w:rsidRPr="004F2564">
        <w:rPr>
          <w:color w:val="000000" w:themeColor="text1"/>
          <w:szCs w:val="24"/>
          <w:u w:val="single"/>
        </w:rPr>
        <w:t xml:space="preserve"> </w:t>
      </w:r>
      <w:r w:rsidR="003F2EEE" w:rsidRPr="004F2564">
        <w:rPr>
          <w:color w:val="000000" w:themeColor="text1"/>
          <w:szCs w:val="24"/>
          <w:u w:val="single"/>
        </w:rPr>
        <w:t>Condition</w:t>
      </w:r>
      <w:r w:rsidR="003F2EEE" w:rsidRPr="004F2564">
        <w:rPr>
          <w:color w:val="000000" w:themeColor="text1"/>
          <w:szCs w:val="24"/>
        </w:rPr>
        <w:t>.</w:t>
      </w:r>
      <w:proofErr w:type="gramEnd"/>
      <w:r w:rsidR="003F2EEE" w:rsidRPr="004F2564">
        <w:rPr>
          <w:color w:val="000000" w:themeColor="text1"/>
          <w:szCs w:val="24"/>
        </w:rPr>
        <w:t xml:space="preserve">  </w:t>
      </w:r>
      <w:r w:rsidR="004F2564" w:rsidRPr="004F2564">
        <w:rPr>
          <w:color w:val="000000" w:themeColor="text1"/>
          <w:szCs w:val="24"/>
        </w:rPr>
        <w:t>The</w:t>
      </w:r>
      <w:r w:rsidR="00A16946">
        <w:rPr>
          <w:color w:val="000000" w:themeColor="text1"/>
          <w:szCs w:val="24"/>
        </w:rPr>
        <w:t xml:space="preserve"> CI reported that his</w:t>
      </w:r>
      <w:r w:rsidR="004F2564" w:rsidRPr="004F2564">
        <w:rPr>
          <w:color w:val="000000" w:themeColor="text1"/>
          <w:szCs w:val="24"/>
        </w:rPr>
        <w:t xml:space="preserve"> back pain, </w:t>
      </w:r>
      <w:r w:rsidR="00CC2D84">
        <w:rPr>
          <w:color w:val="000000" w:themeColor="text1"/>
          <w:szCs w:val="24"/>
        </w:rPr>
        <w:t>associated with</w:t>
      </w:r>
      <w:r w:rsidR="00A16946">
        <w:rPr>
          <w:color w:val="000000" w:themeColor="text1"/>
          <w:szCs w:val="24"/>
        </w:rPr>
        <w:t xml:space="preserve"> </w:t>
      </w:r>
      <w:r w:rsidR="004F2564" w:rsidRPr="004F2564">
        <w:rPr>
          <w:color w:val="000000" w:themeColor="text1"/>
          <w:szCs w:val="24"/>
        </w:rPr>
        <w:t xml:space="preserve">numbness and tingling </w:t>
      </w:r>
      <w:r w:rsidR="00CC2D84">
        <w:rPr>
          <w:color w:val="000000" w:themeColor="text1"/>
          <w:szCs w:val="24"/>
        </w:rPr>
        <w:t>of the</w:t>
      </w:r>
      <w:r w:rsidR="004F2564" w:rsidRPr="004F2564">
        <w:rPr>
          <w:color w:val="000000" w:themeColor="text1"/>
          <w:szCs w:val="24"/>
        </w:rPr>
        <w:t xml:space="preserve"> left leg, </w:t>
      </w:r>
      <w:r w:rsidR="00A16946">
        <w:rPr>
          <w:color w:val="000000" w:themeColor="text1"/>
          <w:szCs w:val="24"/>
        </w:rPr>
        <w:t>became worse</w:t>
      </w:r>
      <w:r w:rsidR="004F2564" w:rsidRPr="004F2564">
        <w:rPr>
          <w:color w:val="000000" w:themeColor="text1"/>
          <w:szCs w:val="24"/>
        </w:rPr>
        <w:t xml:space="preserve"> with prolon</w:t>
      </w:r>
      <w:r w:rsidR="00CC2D84">
        <w:rPr>
          <w:color w:val="000000" w:themeColor="text1"/>
          <w:szCs w:val="24"/>
        </w:rPr>
        <w:t>ged sitting or standing,</w:t>
      </w:r>
      <w:r w:rsidR="004F2564" w:rsidRPr="004F2564">
        <w:rPr>
          <w:color w:val="000000" w:themeColor="text1"/>
          <w:szCs w:val="24"/>
        </w:rPr>
        <w:t xml:space="preserve"> bending</w:t>
      </w:r>
      <w:r w:rsidR="00CC2D84">
        <w:rPr>
          <w:color w:val="000000" w:themeColor="text1"/>
          <w:szCs w:val="24"/>
        </w:rPr>
        <w:t>,</w:t>
      </w:r>
      <w:r w:rsidR="004F2564" w:rsidRPr="004F2564">
        <w:rPr>
          <w:color w:val="000000" w:themeColor="text1"/>
          <w:szCs w:val="24"/>
        </w:rPr>
        <w:t xml:space="preserve"> </w:t>
      </w:r>
      <w:r w:rsidR="00CC2D84">
        <w:rPr>
          <w:color w:val="000000" w:themeColor="text1"/>
          <w:szCs w:val="24"/>
        </w:rPr>
        <w:t>and</w:t>
      </w:r>
      <w:r w:rsidR="004F2564" w:rsidRPr="004F2564">
        <w:rPr>
          <w:color w:val="000000" w:themeColor="text1"/>
          <w:szCs w:val="24"/>
        </w:rPr>
        <w:t xml:space="preserve"> lifting.  </w:t>
      </w:r>
      <w:r w:rsidR="00CC2D84">
        <w:rPr>
          <w:rFonts w:asciiTheme="minorHAnsi" w:hAnsiTheme="minorHAnsi" w:cs="Times New Roman"/>
          <w:color w:val="auto"/>
          <w:szCs w:val="24"/>
        </w:rPr>
        <w:t xml:space="preserve">Imaging studies showed </w:t>
      </w:r>
      <w:r w:rsidR="004425A7" w:rsidRPr="00C11578">
        <w:rPr>
          <w:rFonts w:asciiTheme="minorHAnsi" w:hAnsiTheme="minorHAnsi" w:cs="Times New Roman"/>
          <w:color w:val="auto"/>
          <w:szCs w:val="24"/>
        </w:rPr>
        <w:t>bulging</w:t>
      </w:r>
      <w:r w:rsidR="004425A7">
        <w:rPr>
          <w:rFonts w:asciiTheme="minorHAnsi" w:hAnsiTheme="minorHAnsi" w:cs="Times New Roman"/>
          <w:color w:val="auto"/>
          <w:szCs w:val="24"/>
        </w:rPr>
        <w:t xml:space="preserve"> </w:t>
      </w:r>
      <w:r w:rsidR="00CC2D84" w:rsidRPr="00C11578">
        <w:rPr>
          <w:rFonts w:asciiTheme="minorHAnsi" w:hAnsiTheme="minorHAnsi" w:cs="Times New Roman"/>
          <w:color w:val="auto"/>
          <w:szCs w:val="24"/>
        </w:rPr>
        <w:t>disc</w:t>
      </w:r>
      <w:r w:rsidR="004425A7">
        <w:rPr>
          <w:rFonts w:asciiTheme="minorHAnsi" w:hAnsiTheme="minorHAnsi" w:cs="Times New Roman"/>
          <w:color w:val="auto"/>
          <w:szCs w:val="24"/>
        </w:rPr>
        <w:t>s</w:t>
      </w:r>
      <w:r w:rsidR="00CC2D84" w:rsidRPr="00C11578">
        <w:rPr>
          <w:rFonts w:asciiTheme="minorHAnsi" w:hAnsiTheme="minorHAnsi" w:cs="Times New Roman"/>
          <w:color w:val="auto"/>
          <w:szCs w:val="24"/>
        </w:rPr>
        <w:t xml:space="preserve"> </w:t>
      </w:r>
      <w:r w:rsidR="00CC2D84">
        <w:rPr>
          <w:rFonts w:asciiTheme="minorHAnsi" w:hAnsiTheme="minorHAnsi" w:cs="Times New Roman"/>
          <w:color w:val="auto"/>
          <w:szCs w:val="24"/>
        </w:rPr>
        <w:t>at L4-5 and L5-S1</w:t>
      </w:r>
      <w:r w:rsidR="00C371DA">
        <w:rPr>
          <w:rFonts w:asciiTheme="minorHAnsi" w:hAnsiTheme="minorHAnsi" w:cs="Times New Roman"/>
          <w:color w:val="auto"/>
          <w:szCs w:val="24"/>
        </w:rPr>
        <w:t>,</w:t>
      </w:r>
      <w:r w:rsidR="00CC2D84">
        <w:rPr>
          <w:rFonts w:asciiTheme="minorHAnsi" w:hAnsiTheme="minorHAnsi" w:cs="Times New Roman"/>
          <w:color w:val="auto"/>
          <w:szCs w:val="24"/>
        </w:rPr>
        <w:t xml:space="preserve"> with</w:t>
      </w:r>
      <w:r w:rsidR="004425A7">
        <w:rPr>
          <w:rFonts w:asciiTheme="minorHAnsi" w:hAnsiTheme="minorHAnsi" w:cs="Times New Roman"/>
          <w:color w:val="auto"/>
          <w:szCs w:val="24"/>
        </w:rPr>
        <w:t>out nerve root impingement</w:t>
      </w:r>
      <w:r w:rsidR="00CC2D84">
        <w:rPr>
          <w:rFonts w:asciiTheme="minorHAnsi" w:hAnsiTheme="minorHAnsi" w:cs="Times New Roman"/>
          <w:color w:val="auto"/>
          <w:szCs w:val="24"/>
        </w:rPr>
        <w:t xml:space="preserve">.  </w:t>
      </w:r>
      <w:r w:rsidR="00CC2D84">
        <w:rPr>
          <w:color w:val="000000" w:themeColor="text1"/>
          <w:szCs w:val="24"/>
        </w:rPr>
        <w:t>The</w:t>
      </w:r>
      <w:r w:rsidR="004F2564" w:rsidRPr="004F2564">
        <w:rPr>
          <w:color w:val="000000" w:themeColor="text1"/>
          <w:szCs w:val="24"/>
        </w:rPr>
        <w:t xml:space="preserve"> orthopedic consultant </w:t>
      </w:r>
      <w:r w:rsidR="00CC2D84">
        <w:rPr>
          <w:color w:val="000000" w:themeColor="text1"/>
          <w:szCs w:val="24"/>
        </w:rPr>
        <w:t xml:space="preserve">recommended non-surgical management and </w:t>
      </w:r>
      <w:r w:rsidR="006C7F63">
        <w:rPr>
          <w:color w:val="000000" w:themeColor="text1"/>
          <w:szCs w:val="24"/>
        </w:rPr>
        <w:t>opined</w:t>
      </w:r>
      <w:r w:rsidR="00C371DA">
        <w:rPr>
          <w:color w:val="000000" w:themeColor="text1"/>
          <w:szCs w:val="24"/>
        </w:rPr>
        <w:t>,</w:t>
      </w:r>
      <w:r w:rsidR="006C7F63">
        <w:rPr>
          <w:color w:val="000000" w:themeColor="text1"/>
          <w:szCs w:val="24"/>
        </w:rPr>
        <w:t xml:space="preserve"> “At this point he has been given a reasonable course of conservative treatment but has failed to get significant relief…</w:t>
      </w:r>
      <w:r w:rsidR="004F2564" w:rsidRPr="004F2564">
        <w:rPr>
          <w:color w:val="000000" w:themeColor="text1"/>
          <w:szCs w:val="24"/>
        </w:rPr>
        <w:t>his overall prognosis for complete relief at this point I think is very guarded</w:t>
      </w:r>
      <w:r w:rsidR="006C7F63">
        <w:rPr>
          <w:color w:val="000000" w:themeColor="text1"/>
          <w:szCs w:val="24"/>
        </w:rPr>
        <w:t>.”</w:t>
      </w:r>
      <w:r w:rsidR="004F2564" w:rsidRPr="004F2564">
        <w:rPr>
          <w:color w:val="000000" w:themeColor="text1"/>
          <w:szCs w:val="24"/>
        </w:rPr>
        <w:t xml:space="preserve">  </w:t>
      </w:r>
      <w:r w:rsidR="00A57C35" w:rsidRPr="004F2564">
        <w:rPr>
          <w:color w:val="000000" w:themeColor="text1"/>
          <w:szCs w:val="24"/>
        </w:rPr>
        <w:t xml:space="preserve">There were </w:t>
      </w:r>
      <w:r w:rsidR="006C7F63">
        <w:rPr>
          <w:color w:val="000000" w:themeColor="text1"/>
          <w:szCs w:val="24"/>
        </w:rPr>
        <w:t>two</w:t>
      </w:r>
      <w:r w:rsidR="00A57C35" w:rsidRPr="004F2564">
        <w:rPr>
          <w:color w:val="000000" w:themeColor="text1"/>
          <w:szCs w:val="24"/>
        </w:rPr>
        <w:t xml:space="preserve"> goniometric </w:t>
      </w:r>
      <w:proofErr w:type="gramStart"/>
      <w:r w:rsidR="00A57C35" w:rsidRPr="004F2564">
        <w:rPr>
          <w:color w:val="000000" w:themeColor="text1"/>
          <w:szCs w:val="24"/>
        </w:rPr>
        <w:t>range</w:t>
      </w:r>
      <w:proofErr w:type="gramEnd"/>
      <w:r w:rsidR="00C371DA">
        <w:rPr>
          <w:color w:val="000000" w:themeColor="text1"/>
          <w:szCs w:val="24"/>
        </w:rPr>
        <w:t xml:space="preserve"> </w:t>
      </w:r>
      <w:r w:rsidR="00A57C35" w:rsidRPr="004F2564">
        <w:rPr>
          <w:color w:val="000000" w:themeColor="text1"/>
          <w:szCs w:val="24"/>
        </w:rPr>
        <w:t>of</w:t>
      </w:r>
      <w:r w:rsidR="00C371DA">
        <w:rPr>
          <w:color w:val="000000" w:themeColor="text1"/>
          <w:szCs w:val="24"/>
        </w:rPr>
        <w:t xml:space="preserve"> </w:t>
      </w:r>
      <w:r w:rsidR="00A57C35" w:rsidRPr="004F2564">
        <w:rPr>
          <w:color w:val="000000" w:themeColor="text1"/>
          <w:szCs w:val="24"/>
        </w:rPr>
        <w:t>motion (ROM) evaluations in evidence, with documentation of additional ratable criteria, which the Board weighed in arriving at its rating recommendation</w:t>
      </w:r>
      <w:r w:rsidR="003C53E8" w:rsidRPr="004F2564">
        <w:rPr>
          <w:rFonts w:asciiTheme="minorHAnsi" w:hAnsiTheme="minorHAnsi" w:cs="Times New Roman"/>
          <w:color w:val="auto"/>
          <w:szCs w:val="24"/>
        </w:rPr>
        <w:t>.</w:t>
      </w:r>
      <w:r w:rsidR="006C7F63">
        <w:rPr>
          <w:rFonts w:asciiTheme="minorHAnsi" w:hAnsiTheme="minorHAnsi" w:cs="Times New Roman"/>
          <w:color w:val="auto"/>
          <w:szCs w:val="24"/>
        </w:rPr>
        <w:t xml:space="preserve">  The same MEB examiner documented separate measurements a month</w:t>
      </w:r>
      <w:r w:rsidR="004425A7">
        <w:rPr>
          <w:rFonts w:asciiTheme="minorHAnsi" w:hAnsiTheme="minorHAnsi" w:cs="Times New Roman"/>
          <w:color w:val="auto"/>
          <w:szCs w:val="24"/>
        </w:rPr>
        <w:t xml:space="preserve"> apart which were quite similar</w:t>
      </w:r>
      <w:r w:rsidR="00C371DA">
        <w:rPr>
          <w:rFonts w:asciiTheme="minorHAnsi" w:hAnsiTheme="minorHAnsi" w:cs="Times New Roman"/>
          <w:color w:val="auto"/>
          <w:szCs w:val="24"/>
        </w:rPr>
        <w:t>.  T</w:t>
      </w:r>
      <w:r w:rsidR="004425A7">
        <w:rPr>
          <w:rFonts w:asciiTheme="minorHAnsi" w:hAnsiTheme="minorHAnsi" w:cs="Times New Roman"/>
          <w:color w:val="auto"/>
          <w:szCs w:val="24"/>
        </w:rPr>
        <w:t xml:space="preserve">he </w:t>
      </w:r>
      <w:r w:rsidR="001079C9">
        <w:rPr>
          <w:rFonts w:asciiTheme="minorHAnsi" w:hAnsiTheme="minorHAnsi" w:cs="Times New Roman"/>
          <w:color w:val="auto"/>
          <w:szCs w:val="24"/>
        </w:rPr>
        <w:t>measurements</w:t>
      </w:r>
      <w:r w:rsidR="004425A7">
        <w:rPr>
          <w:rFonts w:asciiTheme="minorHAnsi" w:hAnsiTheme="minorHAnsi" w:cs="Times New Roman"/>
          <w:color w:val="auto"/>
          <w:szCs w:val="24"/>
        </w:rPr>
        <w:t xml:space="preserve"> he recorded in </w:t>
      </w:r>
      <w:r w:rsidR="006C7F63">
        <w:rPr>
          <w:rFonts w:asciiTheme="minorHAnsi" w:hAnsiTheme="minorHAnsi" w:cs="Times New Roman"/>
          <w:color w:val="auto"/>
          <w:szCs w:val="24"/>
        </w:rPr>
        <w:t xml:space="preserve">the narrative summary (NARSUM) </w:t>
      </w:r>
      <w:r w:rsidR="004425A7">
        <w:rPr>
          <w:rFonts w:asciiTheme="minorHAnsi" w:hAnsiTheme="minorHAnsi" w:cs="Times New Roman"/>
          <w:color w:val="auto"/>
          <w:szCs w:val="24"/>
        </w:rPr>
        <w:t xml:space="preserve">and those recorded by the VA proximal to separation </w:t>
      </w:r>
      <w:r w:rsidR="006C7F63">
        <w:rPr>
          <w:rFonts w:asciiTheme="minorHAnsi" w:hAnsiTheme="minorHAnsi" w:cs="Times New Roman"/>
          <w:color w:val="auto"/>
          <w:szCs w:val="24"/>
        </w:rPr>
        <w:t>are reflected in the chart below.</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7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340"/>
        <w:gridCol w:w="2520"/>
      </w:tblGrid>
      <w:tr w:rsidR="003C53E8" w:rsidRPr="003C53E8" w:rsidTr="004F2564">
        <w:trPr>
          <w:jc w:val="center"/>
        </w:trPr>
        <w:tc>
          <w:tcPr>
            <w:tcW w:w="2430" w:type="dxa"/>
            <w:shd w:val="clear" w:color="auto" w:fill="D9D9D9" w:themeFill="background1" w:themeFillShade="D9"/>
          </w:tcPr>
          <w:p w:rsidR="003C53E8" w:rsidRPr="003C53E8" w:rsidRDefault="003C53E8" w:rsidP="003C53E8">
            <w:pPr>
              <w:contextualSpacing/>
              <w:rPr>
                <w:rFonts w:eastAsia="Calibri" w:cs="Times New Roman"/>
                <w:color w:val="auto"/>
                <w:sz w:val="22"/>
                <w:szCs w:val="22"/>
              </w:rPr>
            </w:pPr>
            <w:r w:rsidRPr="003C53E8">
              <w:rPr>
                <w:rFonts w:eastAsia="Calibri" w:cs="Times New Roman"/>
                <w:color w:val="auto"/>
                <w:sz w:val="22"/>
                <w:szCs w:val="22"/>
              </w:rPr>
              <w:t>Thoracolumbar ROM</w:t>
            </w:r>
          </w:p>
        </w:tc>
        <w:tc>
          <w:tcPr>
            <w:tcW w:w="2340" w:type="dxa"/>
            <w:shd w:val="clear" w:color="auto" w:fill="D9D9D9" w:themeFill="background1" w:themeFillShade="D9"/>
          </w:tcPr>
          <w:p w:rsidR="003C53E8" w:rsidRPr="003C53E8" w:rsidRDefault="00FD065B" w:rsidP="004F2564">
            <w:pPr>
              <w:contextualSpacing/>
              <w:rPr>
                <w:rFonts w:eastAsia="Calibri" w:cs="Times New Roman"/>
                <w:color w:val="auto"/>
                <w:sz w:val="22"/>
                <w:szCs w:val="22"/>
              </w:rPr>
            </w:pPr>
            <w:r>
              <w:rPr>
                <w:rFonts w:eastAsia="Calibri" w:cs="Times New Roman"/>
                <w:color w:val="auto"/>
                <w:sz w:val="22"/>
                <w:szCs w:val="22"/>
              </w:rPr>
              <w:t>MEB ~</w:t>
            </w:r>
            <w:r w:rsidR="004F2564">
              <w:rPr>
                <w:rFonts w:eastAsia="Calibri" w:cs="Times New Roman"/>
                <w:color w:val="auto"/>
                <w:sz w:val="22"/>
                <w:szCs w:val="22"/>
              </w:rPr>
              <w:t>2 Mo.</w:t>
            </w:r>
            <w:r>
              <w:rPr>
                <w:rFonts w:eastAsia="Calibri" w:cs="Times New Roman"/>
                <w:color w:val="auto"/>
                <w:sz w:val="22"/>
                <w:szCs w:val="22"/>
              </w:rPr>
              <w:t xml:space="preserve"> Pre-</w:t>
            </w:r>
            <w:r w:rsidR="003C53E8" w:rsidRPr="003C53E8">
              <w:rPr>
                <w:rFonts w:eastAsia="Calibri" w:cs="Times New Roman"/>
                <w:color w:val="auto"/>
                <w:sz w:val="22"/>
                <w:szCs w:val="22"/>
              </w:rPr>
              <w:t>Sep</w:t>
            </w:r>
          </w:p>
        </w:tc>
        <w:tc>
          <w:tcPr>
            <w:tcW w:w="2520" w:type="dxa"/>
            <w:shd w:val="clear" w:color="auto" w:fill="D9D9D9" w:themeFill="background1" w:themeFillShade="D9"/>
          </w:tcPr>
          <w:p w:rsidR="003C53E8" w:rsidRPr="003C53E8" w:rsidRDefault="003C53E8" w:rsidP="004F2564">
            <w:pPr>
              <w:contextualSpacing/>
              <w:rPr>
                <w:rFonts w:eastAsiaTheme="minorHAnsi" w:cstheme="minorBidi"/>
                <w:color w:val="auto"/>
                <w:sz w:val="22"/>
                <w:szCs w:val="22"/>
              </w:rPr>
            </w:pPr>
            <w:r w:rsidRPr="003C53E8">
              <w:rPr>
                <w:rFonts w:eastAsia="Calibri" w:cs="Times New Roman"/>
                <w:color w:val="auto"/>
                <w:sz w:val="22"/>
                <w:szCs w:val="22"/>
              </w:rPr>
              <w:t>VA</w:t>
            </w:r>
            <w:r w:rsidR="00FD065B">
              <w:rPr>
                <w:rFonts w:eastAsiaTheme="minorHAnsi" w:cstheme="minorBidi"/>
                <w:color w:val="auto"/>
                <w:sz w:val="22"/>
                <w:szCs w:val="22"/>
              </w:rPr>
              <w:t xml:space="preserve"> C&amp;P ~</w:t>
            </w:r>
            <w:r w:rsidR="004F2564">
              <w:rPr>
                <w:rFonts w:eastAsiaTheme="minorHAnsi" w:cstheme="minorBidi"/>
                <w:color w:val="auto"/>
                <w:sz w:val="22"/>
                <w:szCs w:val="22"/>
              </w:rPr>
              <w:t>1</w:t>
            </w:r>
            <w:r w:rsidRPr="003C53E8">
              <w:rPr>
                <w:rFonts w:eastAsiaTheme="minorHAnsi" w:cstheme="minorBidi"/>
                <w:color w:val="auto"/>
                <w:sz w:val="22"/>
                <w:szCs w:val="22"/>
              </w:rPr>
              <w:t xml:space="preserve"> </w:t>
            </w:r>
            <w:r w:rsidR="004F2564">
              <w:rPr>
                <w:rFonts w:eastAsia="Calibri" w:cs="Times New Roman"/>
                <w:color w:val="auto"/>
                <w:sz w:val="22"/>
                <w:szCs w:val="22"/>
              </w:rPr>
              <w:t>Mo.</w:t>
            </w:r>
            <w:r w:rsidR="004F2564" w:rsidRPr="003C53E8">
              <w:rPr>
                <w:rFonts w:eastAsia="Calibri" w:cs="Times New Roman"/>
                <w:color w:val="auto"/>
                <w:sz w:val="22"/>
                <w:szCs w:val="22"/>
              </w:rPr>
              <w:t xml:space="preserve"> </w:t>
            </w:r>
            <w:r w:rsidR="00FD065B">
              <w:rPr>
                <w:rFonts w:eastAsiaTheme="minorHAnsi" w:cstheme="minorBidi"/>
                <w:color w:val="auto"/>
                <w:sz w:val="22"/>
                <w:szCs w:val="22"/>
              </w:rPr>
              <w:t>Post-</w:t>
            </w:r>
            <w:r w:rsidRPr="003C53E8">
              <w:rPr>
                <w:rFonts w:eastAsiaTheme="minorHAnsi" w:cstheme="minorBidi"/>
                <w:color w:val="auto"/>
                <w:sz w:val="22"/>
                <w:szCs w:val="22"/>
              </w:rPr>
              <w:t>Sep</w:t>
            </w:r>
          </w:p>
        </w:tc>
      </w:tr>
      <w:tr w:rsidR="003C53E8" w:rsidRPr="003C53E8" w:rsidTr="004F2564">
        <w:trPr>
          <w:jc w:val="center"/>
        </w:trPr>
        <w:tc>
          <w:tcPr>
            <w:tcW w:w="2430" w:type="dxa"/>
          </w:tcPr>
          <w:p w:rsidR="003C53E8" w:rsidRPr="003C53E8" w:rsidRDefault="00FD065B" w:rsidP="003C53E8">
            <w:pPr>
              <w:contextualSpacing/>
              <w:rPr>
                <w:rFonts w:eastAsia="Calibri" w:cs="Times New Roman"/>
                <w:color w:val="auto"/>
                <w:sz w:val="22"/>
                <w:szCs w:val="22"/>
              </w:rPr>
            </w:pPr>
            <w:r>
              <w:rPr>
                <w:rFonts w:eastAsia="Calibri" w:cs="Times New Roman"/>
                <w:color w:val="auto"/>
                <w:sz w:val="22"/>
                <w:szCs w:val="22"/>
              </w:rPr>
              <w:t>Flexion (90⁰ N</w:t>
            </w:r>
            <w:r w:rsidR="003C53E8" w:rsidRPr="003C53E8">
              <w:rPr>
                <w:rFonts w:eastAsia="Calibri" w:cs="Times New Roman"/>
                <w:color w:val="auto"/>
                <w:sz w:val="22"/>
                <w:szCs w:val="22"/>
              </w:rPr>
              <w:t>ormal</w:t>
            </w:r>
            <w:r>
              <w:rPr>
                <w:rFonts w:eastAsia="Calibri" w:cs="Times New Roman"/>
                <w:color w:val="auto"/>
                <w:sz w:val="22"/>
                <w:szCs w:val="22"/>
              </w:rPr>
              <w:t>)</w:t>
            </w:r>
          </w:p>
        </w:tc>
        <w:tc>
          <w:tcPr>
            <w:tcW w:w="2340" w:type="dxa"/>
          </w:tcPr>
          <w:p w:rsidR="003C53E8" w:rsidRPr="003C53E8" w:rsidRDefault="00100DC0" w:rsidP="00100DC0">
            <w:pPr>
              <w:contextualSpacing/>
              <w:rPr>
                <w:rFonts w:eastAsia="Calibri" w:cs="Times New Roman"/>
                <w:color w:val="auto"/>
                <w:sz w:val="22"/>
                <w:szCs w:val="22"/>
              </w:rPr>
            </w:pPr>
            <w:r>
              <w:rPr>
                <w:rFonts w:eastAsia="Calibri" w:cs="Times New Roman"/>
                <w:color w:val="auto"/>
                <w:sz w:val="22"/>
                <w:szCs w:val="22"/>
              </w:rPr>
              <w:t>75</w:t>
            </w:r>
            <w:r w:rsidR="003C53E8" w:rsidRPr="003C53E8">
              <w:rPr>
                <w:rFonts w:eastAsia="Calibri" w:cs="Times New Roman"/>
                <w:color w:val="auto"/>
                <w:sz w:val="22"/>
                <w:szCs w:val="22"/>
              </w:rPr>
              <w:t>⁰</w:t>
            </w:r>
          </w:p>
        </w:tc>
        <w:tc>
          <w:tcPr>
            <w:tcW w:w="2520" w:type="dxa"/>
          </w:tcPr>
          <w:p w:rsidR="003C53E8" w:rsidRPr="003C53E8" w:rsidRDefault="00EA55ED" w:rsidP="00EA55ED">
            <w:pPr>
              <w:contextualSpacing/>
              <w:rPr>
                <w:rFonts w:eastAsia="Calibri" w:cs="Times New Roman"/>
                <w:color w:val="auto"/>
                <w:sz w:val="22"/>
                <w:szCs w:val="22"/>
              </w:rPr>
            </w:pPr>
            <w:r>
              <w:rPr>
                <w:rFonts w:eastAsia="Calibri" w:cs="Times New Roman"/>
                <w:color w:val="auto"/>
                <w:sz w:val="22"/>
                <w:szCs w:val="22"/>
              </w:rPr>
              <w:t>80</w:t>
            </w:r>
            <w:r w:rsidR="003C53E8" w:rsidRPr="003C53E8">
              <w:rPr>
                <w:rFonts w:eastAsia="Calibri" w:cs="Times New Roman"/>
                <w:color w:val="auto"/>
                <w:sz w:val="22"/>
                <w:szCs w:val="22"/>
              </w:rPr>
              <w:t>⁰</w:t>
            </w:r>
          </w:p>
        </w:tc>
      </w:tr>
      <w:tr w:rsidR="003C53E8" w:rsidRPr="003C53E8" w:rsidTr="004F2564">
        <w:trPr>
          <w:jc w:val="center"/>
        </w:trPr>
        <w:tc>
          <w:tcPr>
            <w:tcW w:w="2430" w:type="dxa"/>
          </w:tcPr>
          <w:p w:rsidR="003C53E8" w:rsidRPr="003C53E8" w:rsidRDefault="003C53E8" w:rsidP="003C53E8">
            <w:pPr>
              <w:contextualSpacing/>
              <w:rPr>
                <w:rFonts w:eastAsia="Calibri" w:cs="Times New Roman"/>
                <w:color w:val="auto"/>
                <w:sz w:val="22"/>
                <w:szCs w:val="22"/>
              </w:rPr>
            </w:pPr>
            <w:r w:rsidRPr="003C53E8">
              <w:rPr>
                <w:rFonts w:eastAsia="Calibri" w:cs="Times New Roman"/>
                <w:color w:val="auto"/>
                <w:sz w:val="22"/>
                <w:szCs w:val="22"/>
              </w:rPr>
              <w:t xml:space="preserve">Combined </w:t>
            </w:r>
            <w:r w:rsidR="00FD065B">
              <w:rPr>
                <w:rFonts w:eastAsia="Calibri" w:cs="Times New Roman"/>
                <w:color w:val="auto"/>
                <w:sz w:val="22"/>
                <w:szCs w:val="22"/>
              </w:rPr>
              <w:t>(</w:t>
            </w:r>
            <w:r w:rsidRPr="003C53E8">
              <w:rPr>
                <w:rFonts w:eastAsia="Calibri" w:cs="Times New Roman"/>
                <w:color w:val="auto"/>
                <w:sz w:val="22"/>
                <w:szCs w:val="22"/>
              </w:rPr>
              <w:t>240⁰</w:t>
            </w:r>
            <w:r w:rsidR="00FD065B">
              <w:rPr>
                <w:rFonts w:eastAsia="Calibri" w:cs="Times New Roman"/>
                <w:color w:val="auto"/>
                <w:sz w:val="22"/>
                <w:szCs w:val="22"/>
              </w:rPr>
              <w:t>)</w:t>
            </w:r>
          </w:p>
        </w:tc>
        <w:tc>
          <w:tcPr>
            <w:tcW w:w="2340" w:type="dxa"/>
          </w:tcPr>
          <w:p w:rsidR="003C53E8" w:rsidRPr="003C53E8" w:rsidRDefault="00EA55ED" w:rsidP="00100DC0">
            <w:pPr>
              <w:contextualSpacing/>
              <w:rPr>
                <w:rFonts w:eastAsia="Calibri" w:cs="Times New Roman"/>
                <w:color w:val="auto"/>
                <w:sz w:val="22"/>
                <w:szCs w:val="22"/>
              </w:rPr>
            </w:pPr>
            <w:r>
              <w:rPr>
                <w:rFonts w:eastAsia="Calibri" w:cs="Times New Roman"/>
                <w:color w:val="auto"/>
                <w:sz w:val="22"/>
                <w:szCs w:val="22"/>
              </w:rPr>
              <w:t>21</w:t>
            </w:r>
            <w:r w:rsidR="00100DC0">
              <w:rPr>
                <w:rFonts w:eastAsia="Calibri" w:cs="Times New Roman"/>
                <w:color w:val="auto"/>
                <w:sz w:val="22"/>
                <w:szCs w:val="22"/>
              </w:rPr>
              <w:t>0</w:t>
            </w:r>
            <w:r w:rsidR="003C53E8" w:rsidRPr="003C53E8">
              <w:rPr>
                <w:rFonts w:eastAsia="Calibri" w:cs="Times New Roman"/>
                <w:color w:val="auto"/>
                <w:sz w:val="22"/>
                <w:szCs w:val="22"/>
              </w:rPr>
              <w:t>⁰</w:t>
            </w:r>
          </w:p>
        </w:tc>
        <w:tc>
          <w:tcPr>
            <w:tcW w:w="2520" w:type="dxa"/>
          </w:tcPr>
          <w:p w:rsidR="003C53E8" w:rsidRPr="003C53E8" w:rsidRDefault="00EA55ED" w:rsidP="003C53E8">
            <w:pPr>
              <w:contextualSpacing/>
              <w:rPr>
                <w:rFonts w:eastAsia="Calibri" w:cs="Times New Roman"/>
                <w:color w:val="auto"/>
                <w:sz w:val="22"/>
                <w:szCs w:val="22"/>
              </w:rPr>
            </w:pPr>
            <w:r>
              <w:rPr>
                <w:rFonts w:eastAsia="Calibri" w:cs="Times New Roman"/>
                <w:color w:val="auto"/>
                <w:sz w:val="22"/>
                <w:szCs w:val="22"/>
              </w:rPr>
              <w:t>230</w:t>
            </w:r>
            <w:r w:rsidR="003C53E8" w:rsidRPr="003C53E8">
              <w:rPr>
                <w:rFonts w:eastAsia="Calibri" w:cs="Times New Roman"/>
                <w:color w:val="auto"/>
                <w:sz w:val="22"/>
                <w:szCs w:val="22"/>
              </w:rPr>
              <w:t>⁰</w:t>
            </w:r>
          </w:p>
        </w:tc>
      </w:tr>
      <w:tr w:rsidR="00FD065B" w:rsidRPr="003C53E8" w:rsidTr="006A6A41">
        <w:trPr>
          <w:jc w:val="center"/>
        </w:trPr>
        <w:tc>
          <w:tcPr>
            <w:tcW w:w="2430" w:type="dxa"/>
          </w:tcPr>
          <w:p w:rsidR="00FD065B" w:rsidRPr="003C53E8" w:rsidRDefault="00FD065B"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4860" w:type="dxa"/>
            <w:gridSpan w:val="2"/>
          </w:tcPr>
          <w:p w:rsidR="00FD065B" w:rsidRPr="003C53E8" w:rsidRDefault="00FD065B"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Both noted spasm, but normal gait and contour.</w:t>
            </w:r>
          </w:p>
        </w:tc>
      </w:tr>
      <w:tr w:rsidR="003C53E8" w:rsidRPr="003C53E8" w:rsidTr="004F2564">
        <w:trPr>
          <w:trHeight w:val="70"/>
          <w:jc w:val="center"/>
        </w:trPr>
        <w:tc>
          <w:tcPr>
            <w:tcW w:w="2430" w:type="dxa"/>
          </w:tcPr>
          <w:p w:rsidR="003C53E8" w:rsidRPr="003C53E8" w:rsidRDefault="003C53E8"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340" w:type="dxa"/>
          </w:tcPr>
          <w:p w:rsidR="003C53E8" w:rsidRPr="003C53E8" w:rsidRDefault="00EA55ED"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c>
          <w:tcPr>
            <w:tcW w:w="2520" w:type="dxa"/>
          </w:tcPr>
          <w:p w:rsidR="003C53E8" w:rsidRPr="003C53E8" w:rsidRDefault="00EA55ED"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10</w:t>
            </w:r>
            <w:r w:rsidR="003C53E8" w:rsidRPr="003C53E8">
              <w:rPr>
                <w:rFonts w:asciiTheme="minorHAnsi" w:eastAsiaTheme="minorHAnsi" w:hAnsiTheme="minorHAnsi" w:cs="Times New Roman"/>
                <w:color w:val="auto"/>
                <w:sz w:val="22"/>
                <w:szCs w:val="22"/>
              </w:rPr>
              <w:t>%</w:t>
            </w:r>
          </w:p>
        </w:tc>
      </w:tr>
    </w:tbl>
    <w:p w:rsidR="003C53E8" w:rsidRPr="002E268C" w:rsidRDefault="003C53E8" w:rsidP="003C53E8">
      <w:pPr>
        <w:tabs>
          <w:tab w:val="left" w:pos="288"/>
          <w:tab w:val="left" w:pos="4752"/>
        </w:tabs>
        <w:jc w:val="left"/>
        <w:rPr>
          <w:rFonts w:asciiTheme="minorHAnsi" w:hAnsiTheme="minorHAnsi" w:cs="Times New Roman"/>
          <w:color w:val="auto"/>
          <w:szCs w:val="24"/>
        </w:rPr>
      </w:pPr>
      <w:r w:rsidRPr="002E268C">
        <w:rPr>
          <w:rFonts w:asciiTheme="minorHAnsi" w:hAnsiTheme="minorHAnsi" w:cs="Times New Roman"/>
          <w:color w:val="auto"/>
          <w:szCs w:val="24"/>
        </w:rPr>
        <w:tab/>
      </w:r>
    </w:p>
    <w:p w:rsidR="00DF4487" w:rsidRPr="00DF4487" w:rsidRDefault="001C40D3" w:rsidP="00DF4487">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MEB </w:t>
      </w:r>
      <w:r w:rsidR="006C7F63">
        <w:rPr>
          <w:rFonts w:asciiTheme="minorHAnsi" w:hAnsiTheme="minorHAnsi" w:cs="Times New Roman"/>
          <w:color w:val="auto"/>
          <w:szCs w:val="24"/>
        </w:rPr>
        <w:t>and</w:t>
      </w:r>
      <w:r>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VA Compensation </w:t>
      </w:r>
      <w:r w:rsidR="00C371DA">
        <w:rPr>
          <w:rFonts w:asciiTheme="minorHAnsi" w:hAnsiTheme="minorHAnsi" w:cs="Times New Roman"/>
          <w:color w:val="auto"/>
          <w:szCs w:val="24"/>
        </w:rPr>
        <w:t>and</w:t>
      </w:r>
      <w:r w:rsidR="003C53E8" w:rsidRPr="003C53E8">
        <w:rPr>
          <w:rFonts w:asciiTheme="minorHAnsi" w:hAnsiTheme="minorHAnsi" w:cs="Times New Roman"/>
          <w:color w:val="auto"/>
          <w:szCs w:val="24"/>
        </w:rPr>
        <w:t xml:space="preserve"> Pension (C&amp;P) exam</w:t>
      </w:r>
      <w:r w:rsidR="006C7F63">
        <w:rPr>
          <w:rFonts w:asciiTheme="minorHAnsi" w:hAnsiTheme="minorHAnsi" w:cs="Times New Roman"/>
          <w:color w:val="auto"/>
          <w:szCs w:val="24"/>
        </w:rPr>
        <w:t>s</w:t>
      </w:r>
      <w:r>
        <w:rPr>
          <w:rFonts w:asciiTheme="minorHAnsi" w:hAnsiTheme="minorHAnsi" w:cs="Times New Roman"/>
          <w:color w:val="auto"/>
          <w:szCs w:val="24"/>
        </w:rPr>
        <w:t xml:space="preserve"> </w:t>
      </w:r>
      <w:r w:rsidR="006C7F63">
        <w:rPr>
          <w:rFonts w:asciiTheme="minorHAnsi" w:hAnsiTheme="minorHAnsi" w:cs="Times New Roman"/>
          <w:color w:val="auto"/>
          <w:szCs w:val="24"/>
        </w:rPr>
        <w:t>closely flanked separation and</w:t>
      </w:r>
      <w:r>
        <w:rPr>
          <w:rFonts w:asciiTheme="minorHAnsi" w:hAnsiTheme="minorHAnsi" w:cs="Times New Roman"/>
          <w:color w:val="auto"/>
          <w:szCs w:val="24"/>
        </w:rPr>
        <w:t xml:space="preserve"> recorded very similar physical findings.  The MEB examiner </w:t>
      </w:r>
      <w:r w:rsidR="00A16946">
        <w:rPr>
          <w:rFonts w:asciiTheme="minorHAnsi" w:hAnsiTheme="minorHAnsi" w:cs="Times New Roman"/>
          <w:color w:val="auto"/>
          <w:szCs w:val="24"/>
        </w:rPr>
        <w:t>noted a normal gait, normal strength in the lower extremities, no sensory deficits, and no signs of radicular symptoms.  The ROM was mildly diminished, with pain noted in several planes of motion.  An orthopedic addendum noted palpable muscle spasm in the left lumbosacral region</w:t>
      </w:r>
      <w:r w:rsidR="00C371DA">
        <w:rPr>
          <w:rFonts w:asciiTheme="minorHAnsi" w:hAnsiTheme="minorHAnsi" w:cs="Times New Roman"/>
          <w:color w:val="auto"/>
          <w:szCs w:val="24"/>
        </w:rPr>
        <w:t>,</w:t>
      </w:r>
      <w:r w:rsidR="00A16946">
        <w:rPr>
          <w:rFonts w:asciiTheme="minorHAnsi" w:hAnsiTheme="minorHAnsi" w:cs="Times New Roman"/>
          <w:color w:val="auto"/>
          <w:szCs w:val="24"/>
        </w:rPr>
        <w:t xml:space="preserve"> with normal gait and no mention of abnormal spinal contour.  The C&amp;P examiner likewise noted</w:t>
      </w:r>
      <w:r w:rsidR="00C11578">
        <w:rPr>
          <w:rFonts w:asciiTheme="minorHAnsi" w:hAnsiTheme="minorHAnsi" w:cs="Times New Roman"/>
          <w:color w:val="auto"/>
          <w:szCs w:val="24"/>
        </w:rPr>
        <w:t xml:space="preserve"> a normal motor and sensory exam, as well as</w:t>
      </w:r>
      <w:r w:rsidR="00A16946">
        <w:rPr>
          <w:rFonts w:asciiTheme="minorHAnsi" w:hAnsiTheme="minorHAnsi" w:cs="Times New Roman"/>
          <w:color w:val="auto"/>
          <w:szCs w:val="24"/>
        </w:rPr>
        <w:t xml:space="preserve"> paraspinal muscle spasm</w:t>
      </w:r>
      <w:r w:rsidR="00C371DA">
        <w:rPr>
          <w:rFonts w:asciiTheme="minorHAnsi" w:hAnsiTheme="minorHAnsi" w:cs="Times New Roman"/>
          <w:color w:val="auto"/>
          <w:szCs w:val="24"/>
        </w:rPr>
        <w:t>,</w:t>
      </w:r>
      <w:r w:rsidR="00C11578">
        <w:rPr>
          <w:rFonts w:asciiTheme="minorHAnsi" w:hAnsiTheme="minorHAnsi" w:cs="Times New Roman"/>
          <w:color w:val="auto"/>
          <w:szCs w:val="24"/>
        </w:rPr>
        <w:t xml:space="preserve"> but normal gait, posture and stance (contour). </w:t>
      </w:r>
      <w:r w:rsidR="00A16946">
        <w:rPr>
          <w:rFonts w:asciiTheme="minorHAnsi" w:hAnsiTheme="minorHAnsi" w:cs="Times New Roman"/>
          <w:color w:val="auto"/>
          <w:szCs w:val="24"/>
        </w:rPr>
        <w:t xml:space="preserve"> </w:t>
      </w:r>
      <w:r w:rsidR="00C11578">
        <w:rPr>
          <w:rFonts w:asciiTheme="minorHAnsi" w:hAnsiTheme="minorHAnsi" w:cs="Times New Roman"/>
          <w:color w:val="auto"/>
          <w:szCs w:val="24"/>
        </w:rPr>
        <w:t>ROM was minimally impaired, with pain noted through much of the range in several planes.  There was no incoordination, weakness or change in ROM with repetitions</w:t>
      </w:r>
      <w:r w:rsidR="006C7F63">
        <w:rPr>
          <w:rFonts w:asciiTheme="minorHAnsi" w:hAnsiTheme="minorHAnsi" w:cs="Times New Roman"/>
          <w:color w:val="auto"/>
          <w:szCs w:val="24"/>
        </w:rPr>
        <w:t xml:space="preserve"> (no positive DeLuca findings)</w:t>
      </w:r>
      <w:r w:rsidR="00C11578">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and VA chose different coding options for the condition, but this did not bear on rating.  </w:t>
      </w:r>
      <w:r w:rsidR="00C11578">
        <w:rPr>
          <w:rFonts w:asciiTheme="minorHAnsi" w:hAnsiTheme="minorHAnsi" w:cs="Times New Roman"/>
          <w:color w:val="auto"/>
          <w:szCs w:val="24"/>
        </w:rPr>
        <w:t xml:space="preserve">Both codes are appropriate to the underlying pathology.  Both exams are appropriately rated 10% </w:t>
      </w:r>
      <w:r w:rsidR="00C30A31">
        <w:rPr>
          <w:rFonts w:asciiTheme="minorHAnsi" w:hAnsiTheme="minorHAnsi" w:cs="Times New Roman"/>
          <w:color w:val="auto"/>
          <w:szCs w:val="24"/>
        </w:rPr>
        <w:t xml:space="preserve">IAW VASRD </w:t>
      </w:r>
      <w:r w:rsidR="00C30A31">
        <w:rPr>
          <w:rFonts w:asciiTheme="minorHAnsi" w:hAnsiTheme="minorHAnsi"/>
          <w:color w:val="auto"/>
          <w:szCs w:val="24"/>
        </w:rPr>
        <w:t>§</w:t>
      </w:r>
      <w:r w:rsidR="00C30A31">
        <w:rPr>
          <w:rFonts w:asciiTheme="minorHAnsi" w:hAnsiTheme="minorHAnsi" w:cs="Times New Roman"/>
          <w:color w:val="auto"/>
          <w:szCs w:val="24"/>
        </w:rPr>
        <w:t>4.71a</w:t>
      </w:r>
      <w:r w:rsidR="00C11578">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There was no evidence of ratable periphera</w:t>
      </w:r>
      <w:r w:rsidR="006C7F63">
        <w:rPr>
          <w:rFonts w:asciiTheme="minorHAnsi" w:hAnsiTheme="minorHAnsi" w:cs="Times New Roman"/>
          <w:color w:val="auto"/>
          <w:szCs w:val="24"/>
        </w:rPr>
        <w:t>l nerve impairment in this case since</w:t>
      </w:r>
      <w:r w:rsidR="003C53E8" w:rsidRPr="003C53E8">
        <w:rPr>
          <w:rFonts w:asciiTheme="minorHAnsi" w:hAnsiTheme="minorHAnsi" w:cs="Times New Roman"/>
          <w:color w:val="auto"/>
          <w:szCs w:val="24"/>
        </w:rPr>
        <w:t xml:space="preserve"> </w:t>
      </w:r>
      <w:r w:rsidR="006C7F63">
        <w:rPr>
          <w:rFonts w:asciiTheme="minorHAnsi" w:hAnsiTheme="minorHAnsi" w:cs="Times New Roman"/>
          <w:color w:val="auto"/>
          <w:szCs w:val="24"/>
        </w:rPr>
        <w:t xml:space="preserve">there </w:t>
      </w:r>
      <w:r w:rsidR="003C53E8" w:rsidRPr="003C53E8">
        <w:rPr>
          <w:rFonts w:asciiTheme="minorHAnsi" w:hAnsiTheme="minorHAnsi" w:cs="Times New Roman"/>
          <w:color w:val="auto"/>
          <w:szCs w:val="24"/>
        </w:rPr>
        <w:t>was no motor we</w:t>
      </w:r>
      <w:r w:rsidR="006C7F63">
        <w:rPr>
          <w:rFonts w:asciiTheme="minorHAnsi" w:hAnsiTheme="minorHAnsi" w:cs="Times New Roman"/>
          <w:color w:val="auto"/>
          <w:szCs w:val="24"/>
        </w:rPr>
        <w:t>akness demonstrated</w:t>
      </w:r>
      <w:r w:rsidR="003C53E8" w:rsidRPr="003C53E8">
        <w:rPr>
          <w:rFonts w:asciiTheme="minorHAnsi" w:hAnsiTheme="minorHAnsi" w:cs="Times New Roman"/>
          <w:color w:val="auto"/>
          <w:szCs w:val="24"/>
        </w:rPr>
        <w:t xml:space="preserve">, and the sensory component had no functional implications.  </w:t>
      </w:r>
      <w:r w:rsidRPr="003C53E8">
        <w:rPr>
          <w:rFonts w:asciiTheme="minorHAnsi" w:hAnsiTheme="minorHAnsi" w:cs="Times New Roman"/>
          <w:color w:val="auto"/>
          <w:szCs w:val="24"/>
        </w:rPr>
        <w:t xml:space="preserve">There was no documentation of incapacitating episodes which would provide for </w:t>
      </w:r>
      <w:r w:rsidR="00DF4487">
        <w:rPr>
          <w:rFonts w:asciiTheme="minorHAnsi" w:hAnsiTheme="minorHAnsi" w:cs="Times New Roman"/>
          <w:color w:val="auto"/>
          <w:szCs w:val="24"/>
        </w:rPr>
        <w:t>a</w:t>
      </w:r>
      <w:r w:rsidRPr="003C53E8">
        <w:rPr>
          <w:rFonts w:asciiTheme="minorHAnsi" w:hAnsiTheme="minorHAnsi" w:cs="Times New Roman"/>
          <w:color w:val="auto"/>
          <w:szCs w:val="24"/>
        </w:rPr>
        <w:t xml:space="preserve"> higher rating.</w:t>
      </w:r>
      <w:r>
        <w:rPr>
          <w:rFonts w:asciiTheme="minorHAnsi" w:hAnsiTheme="minorHAnsi" w:cs="Times New Roman"/>
          <w:color w:val="auto"/>
          <w:szCs w:val="24"/>
        </w:rPr>
        <w:t xml:space="preserve">  </w:t>
      </w:r>
      <w:r w:rsidR="00DF4487" w:rsidRPr="00DF4487">
        <w:rPr>
          <w:rFonts w:asciiTheme="minorHAnsi" w:hAnsiTheme="minorHAns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DF4487">
        <w:rPr>
          <w:rFonts w:asciiTheme="minorHAnsi" w:hAnsiTheme="minorHAnsi" w:cs="Times New Roman"/>
          <w:color w:val="auto"/>
          <w:szCs w:val="24"/>
        </w:rPr>
        <w:t>lumbar spine</w:t>
      </w:r>
      <w:r w:rsidR="00DF4487" w:rsidRPr="00DF4487">
        <w:rPr>
          <w:rFonts w:asciiTheme="minorHAnsi" w:hAnsiTheme="minorHAnsi" w:cs="Times New Roman"/>
          <w:color w:val="auto"/>
          <w:szCs w:val="24"/>
        </w:rPr>
        <w:t xml:space="preserve"> condition.</w:t>
      </w:r>
    </w:p>
    <w:p w:rsidR="003C53E8" w:rsidRPr="002C53E8" w:rsidRDefault="003C53E8" w:rsidP="00DF4487">
      <w:pPr>
        <w:tabs>
          <w:tab w:val="left" w:pos="288"/>
          <w:tab w:val="left" w:pos="4752"/>
        </w:tabs>
        <w:jc w:val="both"/>
        <w:rPr>
          <w:rFonts w:asciiTheme="minorHAnsi" w:hAnsiTheme="minorHAnsi" w:cs="Times New Roman"/>
          <w:color w:val="auto"/>
          <w:szCs w:val="24"/>
        </w:rPr>
      </w:pPr>
    </w:p>
    <w:p w:rsidR="004C60A3" w:rsidRPr="001F29F9" w:rsidRDefault="004C60A3" w:rsidP="00BD7300">
      <w:pPr>
        <w:jc w:val="both"/>
        <w:rPr>
          <w:rFonts w:eastAsia="HiddenHorzOCR"/>
          <w:i/>
          <w:color w:val="000000" w:themeColor="text1"/>
          <w:sz w:val="20"/>
        </w:rPr>
      </w:pPr>
      <w:proofErr w:type="gramStart"/>
      <w:r w:rsidRPr="00A13F1A">
        <w:rPr>
          <w:rFonts w:eastAsia="HiddenHorzOCR"/>
          <w:color w:val="000000" w:themeColor="text1"/>
          <w:szCs w:val="24"/>
          <w:u w:val="single"/>
        </w:rPr>
        <w:t>Ot</w:t>
      </w:r>
      <w:r w:rsidR="003604A5" w:rsidRPr="00A13F1A">
        <w:rPr>
          <w:rFonts w:eastAsia="HiddenHorzOCR"/>
          <w:color w:val="000000" w:themeColor="text1"/>
          <w:szCs w:val="24"/>
          <w:u w:val="single"/>
        </w:rPr>
        <w:t xml:space="preserve">her </w:t>
      </w:r>
      <w:r w:rsidR="008F30F4" w:rsidRPr="00A13F1A">
        <w:rPr>
          <w:rFonts w:eastAsia="HiddenHorzOCR"/>
          <w:color w:val="000000" w:themeColor="text1"/>
          <w:szCs w:val="24"/>
          <w:u w:val="single"/>
        </w:rPr>
        <w:t xml:space="preserve">PEB </w:t>
      </w:r>
      <w:r w:rsidR="003604A5" w:rsidRPr="00A13F1A">
        <w:rPr>
          <w:rFonts w:eastAsia="HiddenHorzOCR"/>
          <w:color w:val="000000" w:themeColor="text1"/>
          <w:szCs w:val="24"/>
          <w:u w:val="single"/>
        </w:rPr>
        <w:t>Conditions</w:t>
      </w:r>
      <w:r w:rsidR="003604A5" w:rsidRPr="00A13F1A">
        <w:rPr>
          <w:rFonts w:eastAsia="HiddenHorzOCR"/>
          <w:color w:val="000000" w:themeColor="text1"/>
          <w:szCs w:val="24"/>
        </w:rPr>
        <w:t>.</w:t>
      </w:r>
      <w:proofErr w:type="gramEnd"/>
      <w:r w:rsidR="002F2981" w:rsidRPr="00A13F1A">
        <w:rPr>
          <w:rFonts w:eastAsia="HiddenHorzOCR"/>
          <w:color w:val="000000" w:themeColor="text1"/>
          <w:szCs w:val="24"/>
        </w:rPr>
        <w:t xml:space="preserve"> </w:t>
      </w:r>
      <w:r w:rsidR="003C5B54" w:rsidRPr="00A13F1A">
        <w:rPr>
          <w:rFonts w:eastAsia="HiddenHorzOCR"/>
          <w:color w:val="000000" w:themeColor="text1"/>
          <w:szCs w:val="24"/>
        </w:rPr>
        <w:t xml:space="preserve"> </w:t>
      </w:r>
      <w:r w:rsidR="002E268C" w:rsidRPr="00A13F1A">
        <w:rPr>
          <w:rFonts w:eastAsia="HiddenHorzOCR"/>
          <w:color w:val="000000" w:themeColor="text1"/>
          <w:szCs w:val="24"/>
        </w:rPr>
        <w:t>The other conditions</w:t>
      </w:r>
      <w:r w:rsidR="002E268C" w:rsidRPr="002E268C">
        <w:rPr>
          <w:rFonts w:eastAsia="HiddenHorzOCR"/>
          <w:color w:val="000000" w:themeColor="text1"/>
          <w:szCs w:val="24"/>
        </w:rPr>
        <w:t xml:space="preserve"> forwarded by the MEB and adjudicated as not unfitting by the PEB were adjus</w:t>
      </w:r>
      <w:r w:rsidR="00C30A31">
        <w:rPr>
          <w:rFonts w:eastAsia="HiddenHorzOCR"/>
          <w:color w:val="000000" w:themeColor="text1"/>
          <w:szCs w:val="24"/>
        </w:rPr>
        <w:t xml:space="preserve">tment disorder with </w:t>
      </w:r>
      <w:r w:rsidR="00A13F1A">
        <w:rPr>
          <w:rFonts w:eastAsia="HiddenHorzOCR"/>
          <w:color w:val="000000" w:themeColor="text1"/>
          <w:szCs w:val="24"/>
        </w:rPr>
        <w:t>depressed mood, insomnia,</w:t>
      </w:r>
      <w:r w:rsidR="002E268C" w:rsidRPr="002E268C">
        <w:rPr>
          <w:rFonts w:eastAsia="HiddenHorzOCR"/>
          <w:color w:val="000000" w:themeColor="text1"/>
          <w:szCs w:val="24"/>
        </w:rPr>
        <w:t xml:space="preserve"> recurrent headaches</w:t>
      </w:r>
      <w:r w:rsidR="00A13F1A">
        <w:rPr>
          <w:rFonts w:eastAsia="HiddenHorzOCR"/>
          <w:color w:val="000000" w:themeColor="text1"/>
          <w:szCs w:val="24"/>
        </w:rPr>
        <w:t>,</w:t>
      </w:r>
      <w:r w:rsidR="002E268C" w:rsidRPr="002E268C">
        <w:rPr>
          <w:rFonts w:eastAsia="HiddenHorzOCR"/>
          <w:color w:val="000000" w:themeColor="text1"/>
          <w:szCs w:val="24"/>
        </w:rPr>
        <w:t xml:space="preserve"> and tinnitus.  </w:t>
      </w:r>
      <w:r w:rsidR="00BD7300">
        <w:rPr>
          <w:rFonts w:eastAsia="HiddenHorzOCR"/>
          <w:color w:val="000000" w:themeColor="text1"/>
          <w:szCs w:val="24"/>
        </w:rPr>
        <w:t>A MEB psychiatric</w:t>
      </w:r>
      <w:r w:rsidR="00C30A31">
        <w:rPr>
          <w:rFonts w:eastAsia="HiddenHorzOCR"/>
          <w:color w:val="000000" w:themeColor="text1"/>
          <w:szCs w:val="24"/>
        </w:rPr>
        <w:t xml:space="preserve"> consultant</w:t>
      </w:r>
      <w:r w:rsidR="00BD7300">
        <w:rPr>
          <w:rFonts w:eastAsia="HiddenHorzOCR"/>
          <w:color w:val="000000" w:themeColor="text1"/>
          <w:szCs w:val="24"/>
        </w:rPr>
        <w:t xml:space="preserve"> three months prior to separation addressed the adjustment disorder and insomnia conditions.  The examiner assigned a Global Assessment of Functioning (GAF) of 80 (</w:t>
      </w:r>
      <w:r w:rsidR="00BD7300" w:rsidRPr="00BD7300">
        <w:rPr>
          <w:rFonts w:eastAsia="HiddenHorzOCR"/>
          <w:color w:val="000000" w:themeColor="text1"/>
          <w:szCs w:val="24"/>
        </w:rPr>
        <w:t>transient</w:t>
      </w:r>
      <w:r w:rsidR="00BD7300">
        <w:rPr>
          <w:rFonts w:eastAsia="HiddenHorzOCR"/>
          <w:color w:val="000000" w:themeColor="text1"/>
          <w:szCs w:val="24"/>
        </w:rPr>
        <w:t xml:space="preserve"> symptoms with no more than slight impairment) and opined that</w:t>
      </w:r>
      <w:r w:rsidR="00C30A31">
        <w:rPr>
          <w:rFonts w:eastAsia="HiddenHorzOCR"/>
          <w:color w:val="000000" w:themeColor="text1"/>
          <w:szCs w:val="24"/>
        </w:rPr>
        <w:t xml:space="preserve"> (</w:t>
      </w:r>
      <w:r w:rsidR="00BD7300">
        <w:rPr>
          <w:rFonts w:eastAsia="HiddenHorzOCR"/>
          <w:color w:val="000000" w:themeColor="text1"/>
          <w:szCs w:val="24"/>
        </w:rPr>
        <w:t xml:space="preserve">other than referral to a </w:t>
      </w:r>
      <w:r w:rsidR="00C30A31">
        <w:rPr>
          <w:rFonts w:eastAsia="HiddenHorzOCR"/>
          <w:color w:val="000000" w:themeColor="text1"/>
          <w:szCs w:val="24"/>
        </w:rPr>
        <w:t>support</w:t>
      </w:r>
      <w:r w:rsidR="00BD7300" w:rsidRPr="00BD7300">
        <w:rPr>
          <w:rFonts w:eastAsia="HiddenHorzOCR"/>
          <w:color w:val="000000" w:themeColor="text1"/>
          <w:szCs w:val="24"/>
        </w:rPr>
        <w:t xml:space="preserve"> group</w:t>
      </w:r>
      <w:r w:rsidR="00C30A31">
        <w:rPr>
          <w:rFonts w:eastAsia="HiddenHorzOCR"/>
          <w:color w:val="000000" w:themeColor="text1"/>
          <w:szCs w:val="24"/>
        </w:rPr>
        <w:t>)</w:t>
      </w:r>
      <w:r w:rsidR="00BD7300">
        <w:rPr>
          <w:rFonts w:eastAsia="HiddenHorzOCR"/>
          <w:color w:val="000000" w:themeColor="text1"/>
          <w:szCs w:val="24"/>
        </w:rPr>
        <w:t xml:space="preserve"> no “</w:t>
      </w:r>
      <w:r w:rsidR="00BD7300" w:rsidRPr="00BD7300">
        <w:rPr>
          <w:rFonts w:eastAsia="HiddenHorzOCR"/>
          <w:color w:val="000000" w:themeColor="text1"/>
          <w:szCs w:val="24"/>
        </w:rPr>
        <w:t>other treatment is needed at this time.</w:t>
      </w:r>
      <w:r w:rsidR="00BD7300">
        <w:rPr>
          <w:rFonts w:eastAsia="HiddenHorzOCR"/>
          <w:color w:val="000000" w:themeColor="text1"/>
          <w:szCs w:val="24"/>
        </w:rPr>
        <w:t xml:space="preserve"> </w:t>
      </w:r>
      <w:r w:rsidR="00BD7300" w:rsidRPr="00BD7300">
        <w:rPr>
          <w:rFonts w:eastAsia="HiddenHorzOCR"/>
          <w:color w:val="000000" w:themeColor="text1"/>
          <w:szCs w:val="24"/>
        </w:rPr>
        <w:t xml:space="preserve"> No psychiatric</w:t>
      </w:r>
      <w:r w:rsidR="00BD7300">
        <w:rPr>
          <w:rFonts w:eastAsia="HiddenHorzOCR"/>
          <w:color w:val="000000" w:themeColor="text1"/>
          <w:szCs w:val="24"/>
        </w:rPr>
        <w:t xml:space="preserve"> </w:t>
      </w:r>
      <w:r w:rsidR="00BD7300" w:rsidRPr="00BD7300">
        <w:rPr>
          <w:rFonts w:eastAsia="HiddenHorzOCR"/>
          <w:color w:val="000000" w:themeColor="text1"/>
          <w:szCs w:val="24"/>
        </w:rPr>
        <w:t xml:space="preserve">profile is warranted. </w:t>
      </w:r>
      <w:r w:rsidR="00EA05CF">
        <w:rPr>
          <w:rFonts w:eastAsia="HiddenHorzOCR"/>
          <w:color w:val="000000" w:themeColor="text1"/>
          <w:szCs w:val="24"/>
        </w:rPr>
        <w:t xml:space="preserve"> </w:t>
      </w:r>
      <w:r w:rsidR="00BD7300" w:rsidRPr="00BD7300">
        <w:rPr>
          <w:rFonts w:eastAsia="HiddenHorzOCR"/>
          <w:color w:val="000000" w:themeColor="text1"/>
          <w:szCs w:val="24"/>
        </w:rPr>
        <w:t xml:space="preserve">There are no compensable </w:t>
      </w:r>
      <w:r w:rsidR="00BD7300">
        <w:rPr>
          <w:rFonts w:eastAsia="HiddenHorzOCR"/>
          <w:color w:val="000000" w:themeColor="text1"/>
          <w:szCs w:val="24"/>
        </w:rPr>
        <w:t>d</w:t>
      </w:r>
      <w:r w:rsidR="00BD7300" w:rsidRPr="00BD7300">
        <w:rPr>
          <w:rFonts w:eastAsia="HiddenHorzOCR"/>
          <w:color w:val="000000" w:themeColor="text1"/>
          <w:szCs w:val="24"/>
        </w:rPr>
        <w:t>iagnoses.</w:t>
      </w:r>
      <w:r w:rsidR="00BD7300">
        <w:rPr>
          <w:rFonts w:eastAsia="HiddenHorzOCR"/>
          <w:color w:val="000000" w:themeColor="text1"/>
          <w:szCs w:val="24"/>
        </w:rPr>
        <w:t xml:space="preserve"> </w:t>
      </w:r>
      <w:r w:rsidR="00BD7300" w:rsidRPr="00BD7300">
        <w:rPr>
          <w:rFonts w:eastAsia="HiddenHorzOCR"/>
          <w:color w:val="000000" w:themeColor="text1"/>
          <w:szCs w:val="24"/>
        </w:rPr>
        <w:t xml:space="preserve"> This service</w:t>
      </w:r>
      <w:r w:rsidR="00BD7300">
        <w:rPr>
          <w:rFonts w:eastAsia="HiddenHorzOCR"/>
          <w:color w:val="000000" w:themeColor="text1"/>
          <w:szCs w:val="24"/>
        </w:rPr>
        <w:t xml:space="preserve"> </w:t>
      </w:r>
      <w:r w:rsidR="00BD7300" w:rsidRPr="00BD7300">
        <w:rPr>
          <w:rFonts w:eastAsia="HiddenHorzOCR"/>
          <w:color w:val="000000" w:themeColor="text1"/>
          <w:szCs w:val="24"/>
        </w:rPr>
        <w:t>member's prognosis is favorable</w:t>
      </w:r>
      <w:r w:rsidR="00C371DA">
        <w:rPr>
          <w:rFonts w:eastAsia="HiddenHorzOCR"/>
          <w:color w:val="000000" w:themeColor="text1"/>
          <w:szCs w:val="24"/>
        </w:rPr>
        <w:t>.</w:t>
      </w:r>
      <w:r w:rsidR="002C53E8">
        <w:rPr>
          <w:rFonts w:eastAsia="HiddenHorzOCR"/>
          <w:color w:val="000000" w:themeColor="text1"/>
          <w:szCs w:val="24"/>
        </w:rPr>
        <w:t>”  The VA C&amp;</w:t>
      </w:r>
      <w:r w:rsidR="00BD7300">
        <w:rPr>
          <w:rFonts w:eastAsia="HiddenHorzOCR"/>
          <w:color w:val="000000" w:themeColor="text1"/>
          <w:szCs w:val="24"/>
        </w:rPr>
        <w:t>P psych</w:t>
      </w:r>
      <w:r w:rsidR="00C30A31">
        <w:rPr>
          <w:rFonts w:eastAsia="HiddenHorzOCR"/>
          <w:color w:val="000000" w:themeColor="text1"/>
          <w:szCs w:val="24"/>
        </w:rPr>
        <w:t>iatrist made no Axis I diagnosi</w:t>
      </w:r>
      <w:r w:rsidR="00BD7300">
        <w:rPr>
          <w:rFonts w:eastAsia="HiddenHorzOCR"/>
          <w:color w:val="000000" w:themeColor="text1"/>
          <w:szCs w:val="24"/>
        </w:rPr>
        <w:t xml:space="preserve">s.  The CI described his headaches as “annoying” but not incapacitating.  He also had normal hearing with better than 95% speech discrimination in both ears.  </w:t>
      </w:r>
      <w:r w:rsidR="002E268C" w:rsidRPr="002E268C">
        <w:rPr>
          <w:rFonts w:eastAsia="HiddenHorzOCR"/>
          <w:color w:val="000000" w:themeColor="text1"/>
          <w:szCs w:val="24"/>
        </w:rPr>
        <w:t>None of these conditions were profiled, implicated in the commander’s statement</w:t>
      </w:r>
      <w:r w:rsidR="00C30A31">
        <w:rPr>
          <w:rFonts w:eastAsia="HiddenHorzOCR"/>
          <w:color w:val="000000" w:themeColor="text1"/>
          <w:szCs w:val="24"/>
        </w:rPr>
        <w:t>,</w:t>
      </w:r>
      <w:r w:rsidR="002E268C" w:rsidRPr="002E268C">
        <w:rPr>
          <w:rFonts w:eastAsia="HiddenHorzOCR"/>
          <w:color w:val="000000" w:themeColor="text1"/>
          <w:szCs w:val="24"/>
        </w:rPr>
        <w:t xml:space="preserve"> or noted as failing retention standards.  All were reviewed by the </w:t>
      </w:r>
      <w:r w:rsidR="001079C9">
        <w:rPr>
          <w:rFonts w:eastAsia="HiddenHorzOCR"/>
          <w:color w:val="000000" w:themeColor="text1"/>
          <w:szCs w:val="24"/>
        </w:rPr>
        <w:t>a</w:t>
      </w:r>
      <w:r w:rsidR="00A13F1A" w:rsidRPr="002E268C">
        <w:rPr>
          <w:rFonts w:eastAsia="HiddenHorzOCR"/>
          <w:color w:val="000000" w:themeColor="text1"/>
          <w:szCs w:val="24"/>
        </w:rPr>
        <w:t xml:space="preserve">ction </w:t>
      </w:r>
      <w:r w:rsidR="001079C9">
        <w:rPr>
          <w:rFonts w:eastAsia="HiddenHorzOCR"/>
          <w:color w:val="000000" w:themeColor="text1"/>
          <w:szCs w:val="24"/>
        </w:rPr>
        <w:t>o</w:t>
      </w:r>
      <w:r w:rsidR="00A13F1A" w:rsidRPr="002E268C">
        <w:rPr>
          <w:rFonts w:eastAsia="HiddenHorzOCR"/>
          <w:color w:val="000000" w:themeColor="text1"/>
          <w:szCs w:val="24"/>
        </w:rPr>
        <w:t xml:space="preserve">fficer </w:t>
      </w:r>
      <w:r w:rsidR="002E268C" w:rsidRPr="002E268C">
        <w:rPr>
          <w:rFonts w:eastAsia="HiddenHorzOCR"/>
          <w:color w:val="000000" w:themeColor="text1"/>
          <w:szCs w:val="24"/>
        </w:rPr>
        <w:t xml:space="preserve">and considered by the Board.  There was no indication from the record that any of these conditions significantly interfered </w:t>
      </w:r>
      <w:r w:rsidR="002E268C" w:rsidRPr="002E268C">
        <w:rPr>
          <w:rFonts w:eastAsia="HiddenHorzOCR"/>
          <w:color w:val="000000" w:themeColor="text1"/>
          <w:szCs w:val="24"/>
        </w:rPr>
        <w:lastRenderedPageBreak/>
        <w:t>with satisfactory performance of MOS duty requirements.  All evidence considered</w:t>
      </w:r>
      <w:proofErr w:type="gramStart"/>
      <w:r w:rsidR="002E268C" w:rsidRPr="002E268C">
        <w:rPr>
          <w:rFonts w:eastAsia="HiddenHorzOCR"/>
          <w:color w:val="000000" w:themeColor="text1"/>
          <w:szCs w:val="24"/>
        </w:rPr>
        <w:t>,</w:t>
      </w:r>
      <w:proofErr w:type="gramEnd"/>
      <w:r w:rsidR="002E268C" w:rsidRPr="002E268C">
        <w:rPr>
          <w:rFonts w:eastAsia="HiddenHorzOCR"/>
          <w:color w:val="000000" w:themeColor="text1"/>
          <w:szCs w:val="24"/>
        </w:rPr>
        <w:t xml:space="preserve"> there is not reasonable doubt in the CI’s favor supporting </w:t>
      </w:r>
      <w:r w:rsidR="00C30A31">
        <w:rPr>
          <w:rFonts w:eastAsia="HiddenHorzOCR"/>
          <w:color w:val="000000" w:themeColor="text1"/>
          <w:szCs w:val="24"/>
        </w:rPr>
        <w:t>a change</w:t>
      </w:r>
      <w:r w:rsidR="002E268C" w:rsidRPr="002E268C">
        <w:rPr>
          <w:rFonts w:eastAsia="HiddenHorzOCR"/>
          <w:color w:val="000000" w:themeColor="text1"/>
          <w:szCs w:val="24"/>
        </w:rPr>
        <w:t xml:space="preserve"> </w:t>
      </w:r>
      <w:r w:rsidR="00C30A31">
        <w:rPr>
          <w:rFonts w:eastAsia="HiddenHorzOCR"/>
          <w:color w:val="000000" w:themeColor="text1"/>
          <w:szCs w:val="24"/>
        </w:rPr>
        <w:t>in</w:t>
      </w:r>
      <w:r w:rsidR="002E268C" w:rsidRPr="002E268C">
        <w:rPr>
          <w:rFonts w:eastAsia="HiddenHorzOCR"/>
          <w:color w:val="000000" w:themeColor="text1"/>
          <w:szCs w:val="24"/>
        </w:rPr>
        <w:t xml:space="preserve"> the PEB fitness adjudication for any of the stated conditions.</w:t>
      </w:r>
    </w:p>
    <w:p w:rsidR="002F2981" w:rsidRPr="001F29F9" w:rsidRDefault="002F2981" w:rsidP="006364ED">
      <w:pPr>
        <w:jc w:val="left"/>
        <w:rPr>
          <w:rFonts w:eastAsia="HiddenHorzOCR"/>
          <w:color w:val="000000" w:themeColor="text1"/>
          <w:szCs w:val="24"/>
        </w:rPr>
      </w:pPr>
    </w:p>
    <w:p w:rsidR="002E268C" w:rsidRPr="001F29F9" w:rsidRDefault="00EC337D" w:rsidP="002E268C">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2E268C" w:rsidRPr="002E268C">
        <w:rPr>
          <w:color w:val="000000" w:themeColor="text1"/>
          <w:szCs w:val="24"/>
        </w:rPr>
        <w:t xml:space="preserve">Other conditions identified in the DES file were </w:t>
      </w:r>
      <w:r w:rsidR="002E268C">
        <w:rPr>
          <w:color w:val="000000" w:themeColor="text1"/>
          <w:szCs w:val="24"/>
        </w:rPr>
        <w:t>pseudofolliculitis barbae</w:t>
      </w:r>
      <w:r w:rsidR="002E268C" w:rsidRPr="002E268C">
        <w:rPr>
          <w:color w:val="000000" w:themeColor="text1"/>
          <w:szCs w:val="24"/>
        </w:rPr>
        <w:t xml:space="preserve"> and </w:t>
      </w:r>
      <w:r w:rsidR="002E268C">
        <w:rPr>
          <w:color w:val="000000" w:themeColor="text1"/>
          <w:szCs w:val="24"/>
        </w:rPr>
        <w:t>seasonal allergies</w:t>
      </w:r>
      <w:r w:rsidR="002E268C" w:rsidRPr="002E268C">
        <w:rPr>
          <w:color w:val="000000" w:themeColor="text1"/>
          <w:szCs w:val="24"/>
        </w:rPr>
        <w:t>.  Several additional non-acute conditions or medical complaints were also documented.  None of these conditions were clinical</w:t>
      </w:r>
      <w:r w:rsidR="00A13F1A">
        <w:rPr>
          <w:color w:val="000000" w:themeColor="text1"/>
          <w:szCs w:val="24"/>
        </w:rPr>
        <w:t>ly active during the MEB period;</w:t>
      </w:r>
      <w:r w:rsidR="002E268C" w:rsidRPr="002E268C">
        <w:rPr>
          <w:color w:val="000000" w:themeColor="text1"/>
          <w:szCs w:val="24"/>
        </w:rPr>
        <w:t xml:space="preserve"> none carried attached profiles</w:t>
      </w:r>
      <w:r w:rsidR="00A13F1A">
        <w:rPr>
          <w:color w:val="000000" w:themeColor="text1"/>
          <w:szCs w:val="24"/>
        </w:rPr>
        <w:t>;</w:t>
      </w:r>
      <w:r w:rsidR="002E268C" w:rsidRPr="002E268C">
        <w:rPr>
          <w:color w:val="000000" w:themeColor="text1"/>
          <w:szCs w:val="24"/>
        </w:rPr>
        <w:t xml:space="preserve"> and none were implicated in the commander’s statement.  These conditions were reviewed by the </w:t>
      </w:r>
      <w:r w:rsidR="001079C9">
        <w:rPr>
          <w:color w:val="000000" w:themeColor="text1"/>
          <w:szCs w:val="24"/>
        </w:rPr>
        <w:t>a</w:t>
      </w:r>
      <w:r w:rsidR="00A13F1A" w:rsidRPr="002E268C">
        <w:rPr>
          <w:color w:val="000000" w:themeColor="text1"/>
          <w:szCs w:val="24"/>
        </w:rPr>
        <w:t xml:space="preserve">ction </w:t>
      </w:r>
      <w:r w:rsidR="001079C9">
        <w:rPr>
          <w:color w:val="000000" w:themeColor="text1"/>
          <w:szCs w:val="24"/>
        </w:rPr>
        <w:t>o</w:t>
      </w:r>
      <w:r w:rsidR="00A13F1A" w:rsidRPr="002E268C">
        <w:rPr>
          <w:color w:val="000000" w:themeColor="text1"/>
          <w:szCs w:val="24"/>
        </w:rPr>
        <w:t xml:space="preserve">fficer </w:t>
      </w:r>
      <w:r w:rsidR="002E268C" w:rsidRPr="002E268C">
        <w:rPr>
          <w:color w:val="000000" w:themeColor="text1"/>
          <w:szCs w:val="24"/>
        </w:rPr>
        <w:t>and considered by the Board.  It was determined that none could be argued as unfitting and subject to separation rating.</w:t>
      </w:r>
      <w:r w:rsidR="002E268C">
        <w:rPr>
          <w:color w:val="000000" w:themeColor="text1"/>
          <w:szCs w:val="24"/>
        </w:rPr>
        <w:t xml:space="preserve">  </w:t>
      </w:r>
      <w:r w:rsidR="002E268C" w:rsidRPr="001F29F9">
        <w:rPr>
          <w:color w:val="000000" w:themeColor="text1"/>
          <w:szCs w:val="24"/>
        </w:rPr>
        <w:t>No other conditions were service</w:t>
      </w:r>
      <w:r w:rsidR="001079C9">
        <w:rPr>
          <w:color w:val="000000" w:themeColor="text1"/>
          <w:szCs w:val="24"/>
        </w:rPr>
        <w:t>-</w:t>
      </w:r>
      <w:r w:rsidR="002E268C" w:rsidRPr="001F29F9">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13F1A" w:rsidRPr="00A13F1A" w:rsidRDefault="00C56FC8" w:rsidP="00A13F1A">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w:t>
      </w:r>
      <w:r w:rsidRPr="002C53E8">
        <w:rPr>
          <w:rFonts w:eastAsiaTheme="minorHAnsi"/>
          <w:color w:val="000000" w:themeColor="text1"/>
          <w:szCs w:val="24"/>
        </w:rPr>
        <w:t>inconsistent with the VASRD in effect at the time of the adjudication</w:t>
      </w:r>
      <w:r w:rsidR="003C53E8" w:rsidRPr="002C53E8">
        <w:rPr>
          <w:rFonts w:asciiTheme="minorHAnsi" w:eastAsiaTheme="minorHAnsi" w:hAnsiTheme="minorHAnsi" w:cs="Times New Roman"/>
          <w:color w:val="auto"/>
          <w:szCs w:val="24"/>
        </w:rPr>
        <w:t>.</w:t>
      </w:r>
      <w:r w:rsidR="00BD7300" w:rsidRPr="002C53E8">
        <w:rPr>
          <w:rFonts w:asciiTheme="minorHAnsi" w:eastAsiaTheme="minorHAnsi" w:hAnsiTheme="minorHAnsi" w:cs="Times New Roman"/>
          <w:color w:val="auto"/>
          <w:szCs w:val="24"/>
        </w:rPr>
        <w:t xml:space="preserve">  The Board did not surmise from the record or PEB ruling in this case that any prerogatives outside the VASRD were exercised.  </w:t>
      </w:r>
      <w:r w:rsidR="003C53E8" w:rsidRPr="002C53E8">
        <w:rPr>
          <w:rFonts w:asciiTheme="minorHAnsi" w:eastAsiaTheme="minorHAnsi" w:hAnsiTheme="minorHAnsi" w:cs="Times New Roman"/>
          <w:color w:val="auto"/>
          <w:szCs w:val="24"/>
        </w:rPr>
        <w:t xml:space="preserve">In the matter of the </w:t>
      </w:r>
      <w:r w:rsidR="00A13F1A">
        <w:rPr>
          <w:rFonts w:asciiTheme="minorHAnsi" w:eastAsiaTheme="minorHAnsi" w:hAnsiTheme="minorHAnsi" w:cs="Times New Roman"/>
          <w:color w:val="auto"/>
          <w:szCs w:val="24"/>
        </w:rPr>
        <w:t>lumbar spine</w:t>
      </w:r>
      <w:r w:rsidR="003C53E8" w:rsidRPr="002C53E8">
        <w:rPr>
          <w:rFonts w:asciiTheme="minorHAnsi" w:eastAsiaTheme="minorHAnsi" w:hAnsiTheme="minorHAnsi" w:cs="Times New Roman"/>
          <w:color w:val="auto"/>
          <w:szCs w:val="24"/>
        </w:rPr>
        <w:t xml:space="preserve"> condition and </w:t>
      </w:r>
      <w:r w:rsidR="003C53E8" w:rsidRPr="002C53E8">
        <w:rPr>
          <w:rFonts w:asciiTheme="minorHAnsi" w:hAnsiTheme="minorHAnsi" w:cs="Times New Roman"/>
          <w:color w:val="auto"/>
          <w:szCs w:val="24"/>
        </w:rPr>
        <w:t>IAW VASRD §4.71a</w:t>
      </w:r>
      <w:r w:rsidR="003C53E8" w:rsidRPr="002C53E8">
        <w:rPr>
          <w:rFonts w:asciiTheme="minorHAnsi" w:eastAsiaTheme="minorHAnsi" w:hAnsiTheme="minorHAnsi" w:cs="Times New Roman"/>
          <w:color w:val="auto"/>
          <w:szCs w:val="24"/>
        </w:rPr>
        <w:t>, the Board unanimously recommends no change in the PEB adjudication</w:t>
      </w:r>
      <w:r w:rsidR="003C53E8" w:rsidRPr="002C53E8">
        <w:rPr>
          <w:rFonts w:asciiTheme="minorHAnsi" w:hAnsiTheme="minorHAnsi" w:cs="Times New Roman"/>
          <w:color w:val="auto"/>
          <w:szCs w:val="24"/>
        </w:rPr>
        <w:t xml:space="preserve">.  In the matter of the </w:t>
      </w:r>
      <w:r w:rsidR="002C53E8" w:rsidRPr="002C53E8">
        <w:rPr>
          <w:rFonts w:eastAsia="HiddenHorzOCR"/>
          <w:color w:val="000000" w:themeColor="text1"/>
          <w:szCs w:val="24"/>
        </w:rPr>
        <w:t>adjustment disorder</w:t>
      </w:r>
      <w:r w:rsidR="00C371DA">
        <w:rPr>
          <w:rFonts w:eastAsia="HiddenHorzOCR"/>
          <w:color w:val="000000" w:themeColor="text1"/>
          <w:szCs w:val="24"/>
        </w:rPr>
        <w:t>,</w:t>
      </w:r>
      <w:r w:rsidR="002C53E8" w:rsidRPr="002C53E8">
        <w:rPr>
          <w:rFonts w:eastAsia="HiddenHorzOCR"/>
          <w:color w:val="000000" w:themeColor="text1"/>
          <w:szCs w:val="24"/>
        </w:rPr>
        <w:t xml:space="preserve"> insomnia</w:t>
      </w:r>
      <w:r w:rsidR="00C371DA">
        <w:rPr>
          <w:rFonts w:eastAsia="HiddenHorzOCR"/>
          <w:color w:val="000000" w:themeColor="text1"/>
          <w:szCs w:val="24"/>
        </w:rPr>
        <w:t>,</w:t>
      </w:r>
      <w:r w:rsidR="002C53E8" w:rsidRPr="002C53E8">
        <w:rPr>
          <w:rFonts w:eastAsia="HiddenHorzOCR"/>
          <w:color w:val="000000" w:themeColor="text1"/>
          <w:szCs w:val="24"/>
        </w:rPr>
        <w:t xml:space="preserve"> recurrent headaches</w:t>
      </w:r>
      <w:r w:rsidR="00C371DA">
        <w:rPr>
          <w:rFonts w:eastAsia="HiddenHorzOCR"/>
          <w:color w:val="000000" w:themeColor="text1"/>
          <w:szCs w:val="24"/>
        </w:rPr>
        <w:t>,</w:t>
      </w:r>
      <w:r w:rsidR="002C53E8" w:rsidRPr="002C53E8">
        <w:rPr>
          <w:rFonts w:eastAsia="HiddenHorzOCR"/>
          <w:color w:val="000000" w:themeColor="text1"/>
          <w:szCs w:val="24"/>
        </w:rPr>
        <w:t xml:space="preserve"> and tinnitus</w:t>
      </w:r>
      <w:r w:rsidR="003C53E8" w:rsidRPr="002C53E8">
        <w:rPr>
          <w:rFonts w:asciiTheme="minorHAnsi" w:hAnsiTheme="minorHAnsi" w:cs="Times New Roman"/>
          <w:color w:val="auto"/>
          <w:szCs w:val="24"/>
        </w:rPr>
        <w:t>, the Board unanimously recommends no change from the PEB adjudications as not unfitting.</w:t>
      </w:r>
      <w:r w:rsidR="00812BB8" w:rsidRPr="002C53E8">
        <w:rPr>
          <w:rFonts w:asciiTheme="minorHAnsi" w:hAnsiTheme="minorHAnsi" w:cs="Times New Roman"/>
          <w:color w:val="auto"/>
          <w:szCs w:val="24"/>
        </w:rPr>
        <w:t xml:space="preserve">  </w:t>
      </w:r>
      <w:r w:rsidR="00A13F1A" w:rsidRPr="00A13F1A">
        <w:rPr>
          <w:rFonts w:asciiTheme="minorHAnsi" w:hAnsiTheme="minorHAnsi" w:cs="Times New Roman"/>
          <w:color w:val="auto"/>
          <w:szCs w:val="24"/>
        </w:rPr>
        <w:t>The Board unanimously agrees that there were no other conditions eligible for Board consideration which could be recommended as additionally unfitting for rating at separation.</w:t>
      </w:r>
    </w:p>
    <w:p w:rsidR="00A13F1A" w:rsidRPr="001F29F9" w:rsidRDefault="00A13F1A" w:rsidP="00A13F1A">
      <w:pPr>
        <w:pBdr>
          <w:bottom w:val="single" w:sz="12" w:space="1" w:color="auto"/>
        </w:pBdr>
        <w:tabs>
          <w:tab w:val="left" w:pos="288"/>
          <w:tab w:val="left" w:pos="4752"/>
        </w:tabs>
        <w:jc w:val="both"/>
        <w:rPr>
          <w:color w:val="000000" w:themeColor="text1"/>
        </w:rPr>
      </w:pPr>
    </w:p>
    <w:p w:rsidR="00F1737C" w:rsidRPr="001F29F9" w:rsidRDefault="00F1737C" w:rsidP="00C371DA">
      <w:pPr>
        <w:jc w:val="both"/>
        <w:rPr>
          <w:color w:val="000000" w:themeColor="text1"/>
          <w:szCs w:val="24"/>
        </w:rPr>
      </w:pPr>
    </w:p>
    <w:p w:rsidR="006B4AA2" w:rsidRPr="001F29F9" w:rsidRDefault="00C56FC8" w:rsidP="00C371DA">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812BB8">
        <w:rPr>
          <w:color w:val="000000" w:themeColor="text1"/>
          <w:szCs w:val="24"/>
        </w:rPr>
        <w:t xml:space="preserve">  </w:t>
      </w:r>
      <w:r w:rsidRPr="001F29F9">
        <w:rPr>
          <w:color w:val="000000" w:themeColor="text1"/>
          <w:szCs w:val="24"/>
        </w:rPr>
        <w:t>The Board therefore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1530"/>
        <w:gridCol w:w="1062"/>
      </w:tblGrid>
      <w:tr w:rsidR="00A95BBA" w:rsidRPr="001F29F9" w:rsidTr="00A13F1A">
        <w:trPr>
          <w:trHeight w:val="233"/>
          <w:jc w:val="center"/>
        </w:trPr>
        <w:tc>
          <w:tcPr>
            <w:tcW w:w="676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6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812BB8" w:rsidRPr="001F29F9" w:rsidTr="00A13F1A">
        <w:trPr>
          <w:jc w:val="center"/>
        </w:trPr>
        <w:tc>
          <w:tcPr>
            <w:tcW w:w="6768" w:type="dxa"/>
            <w:vAlign w:val="center"/>
          </w:tcPr>
          <w:p w:rsidR="00812BB8" w:rsidRPr="00812BB8" w:rsidRDefault="00812BB8" w:rsidP="00812BB8">
            <w:pPr>
              <w:jc w:val="left"/>
              <w:rPr>
                <w:color w:val="000000" w:themeColor="text1"/>
                <w:szCs w:val="24"/>
              </w:rPr>
            </w:pPr>
            <w:r w:rsidRPr="00812BB8">
              <w:rPr>
                <w:color w:val="000000" w:themeColor="text1"/>
                <w:szCs w:val="24"/>
              </w:rPr>
              <w:t>Chronic L</w:t>
            </w:r>
            <w:r>
              <w:rPr>
                <w:color w:val="000000" w:themeColor="text1"/>
                <w:szCs w:val="24"/>
              </w:rPr>
              <w:t xml:space="preserve">ow </w:t>
            </w:r>
            <w:r w:rsidRPr="00812BB8">
              <w:rPr>
                <w:color w:val="000000" w:themeColor="text1"/>
                <w:szCs w:val="24"/>
              </w:rPr>
              <w:t>B</w:t>
            </w:r>
            <w:r>
              <w:rPr>
                <w:color w:val="000000" w:themeColor="text1"/>
                <w:szCs w:val="24"/>
              </w:rPr>
              <w:t xml:space="preserve">ack </w:t>
            </w:r>
            <w:r w:rsidRPr="00812BB8">
              <w:rPr>
                <w:color w:val="000000" w:themeColor="text1"/>
                <w:szCs w:val="24"/>
              </w:rPr>
              <w:t>P</w:t>
            </w:r>
            <w:r>
              <w:rPr>
                <w:color w:val="000000" w:themeColor="text1"/>
                <w:szCs w:val="24"/>
              </w:rPr>
              <w:t>ain</w:t>
            </w:r>
          </w:p>
        </w:tc>
        <w:tc>
          <w:tcPr>
            <w:tcW w:w="1530" w:type="dxa"/>
            <w:vAlign w:val="center"/>
          </w:tcPr>
          <w:p w:rsidR="00812BB8" w:rsidRPr="00812BB8" w:rsidRDefault="00812BB8" w:rsidP="00812BB8">
            <w:pPr>
              <w:rPr>
                <w:color w:val="000000" w:themeColor="text1"/>
                <w:szCs w:val="24"/>
              </w:rPr>
            </w:pPr>
            <w:r w:rsidRPr="00812BB8">
              <w:rPr>
                <w:color w:val="000000" w:themeColor="text1"/>
                <w:szCs w:val="24"/>
              </w:rPr>
              <w:t>5243</w:t>
            </w:r>
          </w:p>
        </w:tc>
        <w:tc>
          <w:tcPr>
            <w:tcW w:w="1062" w:type="dxa"/>
            <w:vAlign w:val="center"/>
          </w:tcPr>
          <w:p w:rsidR="00812BB8" w:rsidRPr="00812BB8" w:rsidRDefault="00812BB8" w:rsidP="00812BB8">
            <w:pPr>
              <w:rPr>
                <w:color w:val="000000" w:themeColor="text1"/>
                <w:szCs w:val="24"/>
              </w:rPr>
            </w:pPr>
            <w:r w:rsidRPr="00812BB8">
              <w:rPr>
                <w:color w:val="000000" w:themeColor="text1"/>
                <w:szCs w:val="24"/>
              </w:rPr>
              <w:t>10%</w:t>
            </w:r>
          </w:p>
        </w:tc>
      </w:tr>
      <w:tr w:rsidR="00A95BBA" w:rsidRPr="001F29F9" w:rsidTr="00A13F1A">
        <w:tblPrEx>
          <w:tblLook w:val="0000"/>
        </w:tblPrEx>
        <w:trPr>
          <w:gridBefore w:val="1"/>
          <w:wBefore w:w="676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62" w:type="dxa"/>
            <w:tcBorders>
              <w:bottom w:val="single" w:sz="4" w:space="0" w:color="000000"/>
            </w:tcBorders>
            <w:shd w:val="clear" w:color="auto" w:fill="D9D9D9" w:themeFill="background1" w:themeFillShade="D9"/>
            <w:vAlign w:val="center"/>
          </w:tcPr>
          <w:p w:rsidR="00A95BBA" w:rsidRPr="001F29F9" w:rsidRDefault="00812BB8"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EA55ED">
        <w:rPr>
          <w:color w:val="000000" w:themeColor="text1"/>
          <w:szCs w:val="24"/>
        </w:rPr>
        <w:t>01126</w:t>
      </w:r>
      <w:r w:rsidRPr="001F29F9">
        <w:rPr>
          <w:color w:val="000000" w:themeColor="text1"/>
        </w:rPr>
        <w:t>, w/</w:t>
      </w:r>
      <w:proofErr w:type="spellStart"/>
      <w:r w:rsidRPr="001F29F9">
        <w:rPr>
          <w:color w:val="000000" w:themeColor="text1"/>
        </w:rPr>
        <w:t>atchs</w:t>
      </w:r>
      <w:proofErr w:type="spellEnd"/>
      <w:r w:rsidRPr="001F29F9">
        <w:rPr>
          <w:color w:val="000000" w:themeColor="text1"/>
        </w:rPr>
        <w:t>.</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703B4B"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703B4B" w:rsidRDefault="00703B4B">
      <w:pPr>
        <w:rPr>
          <w:color w:val="000000" w:themeColor="text1"/>
          <w:szCs w:val="24"/>
        </w:rPr>
      </w:pPr>
      <w:r>
        <w:rPr>
          <w:color w:val="000000" w:themeColor="text1"/>
          <w:szCs w:val="24"/>
        </w:rPr>
        <w:br w:type="page"/>
      </w:r>
    </w:p>
    <w:p w:rsidR="00703B4B" w:rsidRDefault="00703B4B" w:rsidP="00703B4B">
      <w:pPr>
        <w:pStyle w:val="Header"/>
        <w:tabs>
          <w:tab w:val="clear" w:pos="4320"/>
          <w:tab w:val="clear" w:pos="8640"/>
        </w:tabs>
        <w:jc w:val="left"/>
      </w:pPr>
      <w:r>
        <w:lastRenderedPageBreak/>
        <w:t>SFMR-RB</w:t>
      </w:r>
      <w:r>
        <w:tab/>
      </w:r>
      <w:r>
        <w:tab/>
      </w:r>
      <w:r>
        <w:tab/>
      </w:r>
      <w:r>
        <w:tab/>
      </w:r>
      <w:r>
        <w:tab/>
      </w:r>
      <w:r>
        <w:tab/>
      </w:r>
      <w:r>
        <w:tab/>
      </w:r>
      <w:r>
        <w:tab/>
      </w:r>
      <w:r>
        <w:tab/>
      </w:r>
    </w:p>
    <w:p w:rsidR="00703B4B" w:rsidRDefault="00703B4B" w:rsidP="00703B4B">
      <w:pPr>
        <w:pStyle w:val="Header"/>
        <w:tabs>
          <w:tab w:val="clear" w:pos="4320"/>
          <w:tab w:val="clear" w:pos="8640"/>
        </w:tabs>
        <w:jc w:val="left"/>
      </w:pPr>
    </w:p>
    <w:p w:rsidR="00703B4B" w:rsidRDefault="00703B4B" w:rsidP="00703B4B">
      <w:pPr>
        <w:jc w:val="left"/>
      </w:pPr>
    </w:p>
    <w:p w:rsidR="00703B4B" w:rsidRDefault="00703B4B" w:rsidP="00703B4B">
      <w:pPr>
        <w:jc w:val="left"/>
      </w:pPr>
      <w:r>
        <w:t xml:space="preserve">MEMORANDUM FOR Commander, US Army Physical Disability Agency </w:t>
      </w:r>
    </w:p>
    <w:p w:rsidR="00703B4B" w:rsidRDefault="00703B4B" w:rsidP="00703B4B">
      <w:pPr>
        <w:jc w:val="left"/>
      </w:pPr>
      <w:r>
        <w:t xml:space="preserve"> </w:t>
      </w:r>
    </w:p>
    <w:p w:rsidR="00703B4B" w:rsidRDefault="00703B4B" w:rsidP="00703B4B">
      <w:pPr>
        <w:jc w:val="left"/>
      </w:pPr>
    </w:p>
    <w:p w:rsidR="00703B4B" w:rsidRDefault="00703B4B" w:rsidP="00703B4B">
      <w:pPr>
        <w:ind w:right="-180"/>
        <w:jc w:val="left"/>
      </w:pPr>
      <w:r>
        <w:t xml:space="preserve">SUBJECT:  Department of Defense Physical Disability Board of Review Recommendation  </w:t>
      </w:r>
    </w:p>
    <w:p w:rsidR="00703B4B" w:rsidRDefault="00703B4B" w:rsidP="00703B4B">
      <w:pPr>
        <w:pStyle w:val="Header"/>
        <w:tabs>
          <w:tab w:val="clear" w:pos="4320"/>
          <w:tab w:val="clear" w:pos="8640"/>
        </w:tabs>
        <w:jc w:val="left"/>
      </w:pPr>
    </w:p>
    <w:p w:rsidR="00703B4B" w:rsidRDefault="00703B4B" w:rsidP="00703B4B">
      <w:pPr>
        <w:jc w:val="left"/>
      </w:pPr>
    </w:p>
    <w:p w:rsidR="00703B4B" w:rsidRDefault="00703B4B" w:rsidP="00703B4B">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03B4B" w:rsidRDefault="00703B4B" w:rsidP="00703B4B">
      <w:pPr>
        <w:jc w:val="left"/>
      </w:pPr>
    </w:p>
    <w:p w:rsidR="00703B4B" w:rsidRDefault="00703B4B" w:rsidP="00703B4B">
      <w:pPr>
        <w:jc w:val="left"/>
      </w:pPr>
      <w:r>
        <w:t>This decision is final.  The individual concerned, counsel (if any), and any Members of Congress who have shown interest in this application have been notified of this decision by mail.</w:t>
      </w:r>
    </w:p>
    <w:p w:rsidR="00703B4B" w:rsidRDefault="00703B4B" w:rsidP="00703B4B">
      <w:pPr>
        <w:jc w:val="left"/>
      </w:pPr>
    </w:p>
    <w:p w:rsidR="00703B4B" w:rsidRDefault="00703B4B" w:rsidP="00703B4B">
      <w:pPr>
        <w:jc w:val="left"/>
      </w:pPr>
      <w:r>
        <w:t xml:space="preserve"> BY ORDER OF THE SECRETARY OF THE ARMY:</w:t>
      </w:r>
    </w:p>
    <w:p w:rsidR="00703B4B" w:rsidRDefault="00703B4B" w:rsidP="00703B4B">
      <w:pPr>
        <w:jc w:val="left"/>
      </w:pPr>
    </w:p>
    <w:p w:rsidR="00703B4B" w:rsidRDefault="00703B4B" w:rsidP="00703B4B">
      <w:pPr>
        <w:jc w:val="left"/>
      </w:pPr>
    </w:p>
    <w:p w:rsidR="00703B4B" w:rsidRDefault="00703B4B" w:rsidP="00703B4B">
      <w:pPr>
        <w:pStyle w:val="Header"/>
        <w:tabs>
          <w:tab w:val="clear" w:pos="4320"/>
          <w:tab w:val="clear" w:pos="8640"/>
        </w:tabs>
        <w:jc w:val="left"/>
      </w:pPr>
    </w:p>
    <w:p w:rsidR="00703B4B" w:rsidRDefault="00703B4B" w:rsidP="00703B4B">
      <w:pPr>
        <w:jc w:val="left"/>
      </w:pPr>
    </w:p>
    <w:p w:rsidR="00703B4B" w:rsidRDefault="00703B4B" w:rsidP="00703B4B">
      <w:pPr>
        <w:jc w:val="left"/>
      </w:pPr>
      <w:bookmarkStart w:id="0" w:name="OLE_LINK3"/>
      <w:bookmarkStart w:id="1" w:name="OLE_LINK4"/>
      <w:r>
        <w:t>Encl</w:t>
      </w:r>
      <w:r>
        <w:tab/>
      </w:r>
      <w:r>
        <w:tab/>
      </w:r>
      <w:r>
        <w:tab/>
      </w:r>
      <w:r>
        <w:tab/>
      </w:r>
      <w:r>
        <w:tab/>
      </w:r>
      <w:r>
        <w:tab/>
        <w:t xml:space="preserve">    </w:t>
      </w:r>
    </w:p>
    <w:p w:rsidR="00703B4B" w:rsidRDefault="00703B4B" w:rsidP="00703B4B">
      <w:pPr>
        <w:jc w:val="left"/>
      </w:pPr>
      <w:r>
        <w:tab/>
      </w:r>
      <w:r>
        <w:tab/>
      </w:r>
      <w:r>
        <w:tab/>
      </w:r>
      <w:r>
        <w:tab/>
      </w:r>
      <w:r>
        <w:tab/>
      </w:r>
      <w:r>
        <w:tab/>
        <w:t xml:space="preserve">     Deputy Assistant Secretary</w:t>
      </w:r>
    </w:p>
    <w:p w:rsidR="00703B4B" w:rsidRDefault="00703B4B" w:rsidP="00703B4B">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DC1607" w:rsidRPr="00A13F1A" w:rsidRDefault="00DC1607" w:rsidP="00DC1607">
      <w:pPr>
        <w:jc w:val="left"/>
        <w:rPr>
          <w:b/>
          <w:color w:val="000000" w:themeColor="text1"/>
          <w:szCs w:val="24"/>
        </w:rPr>
      </w:pPr>
    </w:p>
    <w:sectPr w:rsidR="00DC1607" w:rsidRPr="00A13F1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37" w:rsidRDefault="00D87437">
      <w:r>
        <w:separator/>
      </w:r>
    </w:p>
  </w:endnote>
  <w:endnote w:type="continuationSeparator" w:id="0">
    <w:p w:rsidR="00D87437" w:rsidRDefault="00D87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D7300" w:rsidRPr="00374247" w:rsidRDefault="00BD7300" w:rsidP="00374247">
        <w:pPr>
          <w:pStyle w:val="Footer"/>
          <w:ind w:firstLine="4320"/>
          <w:rPr>
            <w:color w:val="auto"/>
            <w:szCs w:val="24"/>
          </w:rPr>
        </w:pPr>
        <w:r w:rsidRPr="00374247">
          <w:rPr>
            <w:color w:val="auto"/>
            <w:szCs w:val="24"/>
          </w:rPr>
          <w:t xml:space="preserve">   </w:t>
        </w:r>
        <w:r w:rsidR="00BD32EC" w:rsidRPr="00374247">
          <w:rPr>
            <w:color w:val="auto"/>
            <w:szCs w:val="24"/>
          </w:rPr>
          <w:fldChar w:fldCharType="begin"/>
        </w:r>
        <w:r w:rsidRPr="00374247">
          <w:rPr>
            <w:color w:val="auto"/>
            <w:szCs w:val="24"/>
          </w:rPr>
          <w:instrText xml:space="preserve"> PAGE   \* MERGEFORMAT </w:instrText>
        </w:r>
        <w:r w:rsidR="00BD32EC" w:rsidRPr="00374247">
          <w:rPr>
            <w:color w:val="auto"/>
            <w:szCs w:val="24"/>
          </w:rPr>
          <w:fldChar w:fldCharType="separate"/>
        </w:r>
        <w:r w:rsidR="00703B4B" w:rsidRPr="00703B4B">
          <w:rPr>
            <w:noProof/>
            <w:color w:val="auto"/>
          </w:rPr>
          <w:t>4</w:t>
        </w:r>
        <w:r w:rsidR="00BD32EC" w:rsidRPr="00374247">
          <w:rPr>
            <w:color w:val="auto"/>
            <w:szCs w:val="24"/>
          </w:rPr>
          <w:fldChar w:fldCharType="end"/>
        </w:r>
        <w:r w:rsidRPr="00374247">
          <w:rPr>
            <w:color w:val="auto"/>
            <w:szCs w:val="24"/>
          </w:rPr>
          <w:t xml:space="preserve">                                                           </w:t>
        </w:r>
        <w:r w:rsidRPr="00EA55ED">
          <w:rPr>
            <w:color w:val="auto"/>
            <w:szCs w:val="24"/>
          </w:rPr>
          <w:t>PD1001269</w:t>
        </w:r>
      </w:p>
    </w:sdtContent>
  </w:sdt>
  <w:p w:rsidR="00BD7300" w:rsidRPr="00684CE6" w:rsidRDefault="00BD730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37" w:rsidRDefault="00D87437">
      <w:r>
        <w:separator/>
      </w:r>
    </w:p>
  </w:footnote>
  <w:footnote w:type="continuationSeparator" w:id="0">
    <w:p w:rsidR="00D87437" w:rsidRDefault="00D87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15CD"/>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0DC0"/>
    <w:rsid w:val="001023DB"/>
    <w:rsid w:val="00102B8D"/>
    <w:rsid w:val="001031F4"/>
    <w:rsid w:val="00103948"/>
    <w:rsid w:val="00103CCF"/>
    <w:rsid w:val="0010417F"/>
    <w:rsid w:val="001042D2"/>
    <w:rsid w:val="0010530E"/>
    <w:rsid w:val="00105C07"/>
    <w:rsid w:val="00106920"/>
    <w:rsid w:val="00106AD8"/>
    <w:rsid w:val="001078DB"/>
    <w:rsid w:val="001079C9"/>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0D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2B32"/>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0DA"/>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3E8"/>
    <w:rsid w:val="002C5D9D"/>
    <w:rsid w:val="002C5F10"/>
    <w:rsid w:val="002C6E5B"/>
    <w:rsid w:val="002D08F3"/>
    <w:rsid w:val="002D18B4"/>
    <w:rsid w:val="002D2058"/>
    <w:rsid w:val="002D231A"/>
    <w:rsid w:val="002D5330"/>
    <w:rsid w:val="002D5F57"/>
    <w:rsid w:val="002D73D4"/>
    <w:rsid w:val="002D7787"/>
    <w:rsid w:val="002E1877"/>
    <w:rsid w:val="002E1C31"/>
    <w:rsid w:val="002E268C"/>
    <w:rsid w:val="002E2E0F"/>
    <w:rsid w:val="002E333A"/>
    <w:rsid w:val="002E3474"/>
    <w:rsid w:val="002E400C"/>
    <w:rsid w:val="002E49C3"/>
    <w:rsid w:val="002E4F76"/>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C06"/>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936"/>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1FD0"/>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25A7"/>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486D"/>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66E"/>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2564"/>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2A6A"/>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766"/>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C7F63"/>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2AEC"/>
    <w:rsid w:val="00703B4B"/>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048"/>
    <w:rsid w:val="007927BE"/>
    <w:rsid w:val="00793051"/>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0C5F"/>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BB8"/>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DCC"/>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84C"/>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1B3"/>
    <w:rsid w:val="00A02457"/>
    <w:rsid w:val="00A02AA8"/>
    <w:rsid w:val="00A03190"/>
    <w:rsid w:val="00A03A9E"/>
    <w:rsid w:val="00A0404B"/>
    <w:rsid w:val="00A06F66"/>
    <w:rsid w:val="00A0798C"/>
    <w:rsid w:val="00A07BDD"/>
    <w:rsid w:val="00A07F12"/>
    <w:rsid w:val="00A1105B"/>
    <w:rsid w:val="00A1213C"/>
    <w:rsid w:val="00A130E8"/>
    <w:rsid w:val="00A13F1A"/>
    <w:rsid w:val="00A15B6B"/>
    <w:rsid w:val="00A15EB4"/>
    <w:rsid w:val="00A16172"/>
    <w:rsid w:val="00A16876"/>
    <w:rsid w:val="00A1694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1A3"/>
    <w:rsid w:val="00AE4624"/>
    <w:rsid w:val="00AE4809"/>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D95"/>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652B"/>
    <w:rsid w:val="00BC7F82"/>
    <w:rsid w:val="00BD1844"/>
    <w:rsid w:val="00BD2A49"/>
    <w:rsid w:val="00BD32EC"/>
    <w:rsid w:val="00BD3683"/>
    <w:rsid w:val="00BD40AB"/>
    <w:rsid w:val="00BD40DE"/>
    <w:rsid w:val="00BD6297"/>
    <w:rsid w:val="00BD6806"/>
    <w:rsid w:val="00BD6939"/>
    <w:rsid w:val="00BD7300"/>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57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31"/>
    <w:rsid w:val="00C30A97"/>
    <w:rsid w:val="00C31DDC"/>
    <w:rsid w:val="00C3223A"/>
    <w:rsid w:val="00C34168"/>
    <w:rsid w:val="00C34247"/>
    <w:rsid w:val="00C34326"/>
    <w:rsid w:val="00C34CEB"/>
    <w:rsid w:val="00C36201"/>
    <w:rsid w:val="00C368E8"/>
    <w:rsid w:val="00C36C3D"/>
    <w:rsid w:val="00C371DA"/>
    <w:rsid w:val="00C372C7"/>
    <w:rsid w:val="00C376A7"/>
    <w:rsid w:val="00C42443"/>
    <w:rsid w:val="00C42CBA"/>
    <w:rsid w:val="00C4338C"/>
    <w:rsid w:val="00C43C2B"/>
    <w:rsid w:val="00C45B27"/>
    <w:rsid w:val="00C4652E"/>
    <w:rsid w:val="00C472C7"/>
    <w:rsid w:val="00C5019E"/>
    <w:rsid w:val="00C50B82"/>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D8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43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487"/>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5CF"/>
    <w:rsid w:val="00EA1177"/>
    <w:rsid w:val="00EA118B"/>
    <w:rsid w:val="00EA11B6"/>
    <w:rsid w:val="00EA2181"/>
    <w:rsid w:val="00EA2DD8"/>
    <w:rsid w:val="00EA30FC"/>
    <w:rsid w:val="00EA4475"/>
    <w:rsid w:val="00EA52FE"/>
    <w:rsid w:val="00EA55ED"/>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54D"/>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65B"/>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703B4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0494-4BEE-445E-BC64-26361A10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2012-02-13T18:33:00Z</cp:lastPrinted>
  <dcterms:created xsi:type="dcterms:W3CDTF">2012-02-09T17:09:00Z</dcterms:created>
  <dcterms:modified xsi:type="dcterms:W3CDTF">2012-04-02T21:22:00Z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