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A5643" w:rsidRDefault="00540BEF" w:rsidP="00190E48">
      <w:pPr>
        <w:tabs>
          <w:tab w:val="left" w:pos="288"/>
          <w:tab w:val="left" w:pos="4752"/>
        </w:tabs>
        <w:spacing w:line="240" w:lineRule="exact"/>
        <w:jc w:val="center"/>
        <w:rPr>
          <w:rStyle w:val="IntenseEmphasis"/>
        </w:rPr>
      </w:pPr>
      <w:r w:rsidRPr="00396779">
        <w:rPr>
          <w:rFonts w:ascii="Calibri" w:hAnsi="Calibri"/>
          <w:color w:val="auto"/>
        </w:rPr>
        <w:t>RECORD OF PROCEEDINGS</w:t>
      </w:r>
    </w:p>
    <w:p w:rsidR="00540BEF" w:rsidRPr="00396779" w:rsidRDefault="00540BEF" w:rsidP="00190E48">
      <w:pPr>
        <w:tabs>
          <w:tab w:val="left" w:pos="288"/>
          <w:tab w:val="left" w:pos="4752"/>
        </w:tabs>
        <w:spacing w:line="240" w:lineRule="exact"/>
        <w:jc w:val="center"/>
        <w:rPr>
          <w:rFonts w:ascii="Calibri" w:hAnsi="Calibri"/>
          <w:color w:val="auto"/>
        </w:rPr>
      </w:pPr>
      <w:r w:rsidRPr="00396779">
        <w:rPr>
          <w:rFonts w:ascii="Calibri" w:hAnsi="Calibri"/>
          <w:color w:val="auto"/>
        </w:rPr>
        <w:t>PHYSICAL DISABILITY BOARD OF REVIEW</w:t>
      </w:r>
    </w:p>
    <w:p w:rsidR="00540BEF" w:rsidRPr="00396779" w:rsidRDefault="00540BEF" w:rsidP="00190E48">
      <w:pPr>
        <w:tabs>
          <w:tab w:val="left" w:pos="288"/>
          <w:tab w:val="left" w:pos="4752"/>
        </w:tabs>
        <w:spacing w:line="240" w:lineRule="exact"/>
        <w:jc w:val="both"/>
        <w:rPr>
          <w:rFonts w:ascii="Calibri" w:hAnsi="Calibri"/>
          <w:caps/>
          <w:color w:val="auto"/>
        </w:rPr>
      </w:pPr>
    </w:p>
    <w:p w:rsidR="008B446D" w:rsidRDefault="008B446D" w:rsidP="008B446D">
      <w:pPr>
        <w:tabs>
          <w:tab w:val="left" w:pos="288"/>
          <w:tab w:val="left" w:pos="4752"/>
        </w:tabs>
        <w:spacing w:line="240" w:lineRule="exact"/>
        <w:ind w:right="-1260"/>
        <w:jc w:val="both"/>
        <w:rPr>
          <w:rFonts w:ascii="Calibri" w:hAnsi="Calibri"/>
          <w:caps/>
          <w:color w:val="auto"/>
        </w:rPr>
      </w:pPr>
      <w:r>
        <w:rPr>
          <w:rFonts w:ascii="Calibri" w:hAnsi="Calibri"/>
          <w:caps/>
          <w:color w:val="auto"/>
        </w:rPr>
        <w:t>NAME:</w:t>
      </w:r>
      <w:r w:rsidR="0065407D">
        <w:rPr>
          <w:rFonts w:ascii="Calibri" w:hAnsi="Calibri"/>
          <w:caps/>
          <w:color w:val="auto"/>
        </w:rPr>
        <w:t xml:space="preserve"> </w:t>
      </w:r>
      <w:r w:rsidR="00E068B4">
        <w:rPr>
          <w:rFonts w:ascii="Calibri" w:hAnsi="Calibri"/>
          <w:caps/>
          <w:color w:val="auto"/>
        </w:rPr>
        <w:t>XXXXXXXXXXXXXXX</w:t>
      </w:r>
      <w:r>
        <w:rPr>
          <w:rFonts w:ascii="Calibri" w:hAnsi="Calibri"/>
          <w:caps/>
          <w:color w:val="auto"/>
        </w:rPr>
        <w:tab/>
      </w:r>
      <w:r>
        <w:rPr>
          <w:rFonts w:ascii="Calibri" w:hAnsi="Calibri"/>
          <w:caps/>
          <w:color w:val="auto"/>
        </w:rPr>
        <w:tab/>
      </w:r>
      <w:r>
        <w:rPr>
          <w:rFonts w:ascii="Calibri" w:hAnsi="Calibri"/>
          <w:caps/>
          <w:color w:val="auto"/>
        </w:rPr>
        <w:tab/>
      </w:r>
      <w:r w:rsidR="00B45246">
        <w:rPr>
          <w:rFonts w:ascii="Calibri" w:hAnsi="Calibri"/>
          <w:caps/>
          <w:color w:val="auto"/>
        </w:rPr>
        <w:t xml:space="preserve">         </w:t>
      </w:r>
      <w:r>
        <w:rPr>
          <w:rFonts w:ascii="Calibri" w:hAnsi="Calibri"/>
          <w:caps/>
          <w:color w:val="auto"/>
        </w:rPr>
        <w:t xml:space="preserve">BRANCH OF SERVICE: </w:t>
      </w:r>
      <w:r w:rsidRPr="0065407D">
        <w:rPr>
          <w:rFonts w:ascii="Calibri" w:hAnsi="Calibri"/>
          <w:caps/>
          <w:color w:val="auto"/>
        </w:rPr>
        <w:t>AIR FORCE</w:t>
      </w:r>
    </w:p>
    <w:p w:rsidR="008B446D" w:rsidRDefault="008B446D" w:rsidP="008B446D">
      <w:pPr>
        <w:tabs>
          <w:tab w:val="left" w:pos="288"/>
          <w:tab w:val="left" w:pos="4752"/>
        </w:tabs>
        <w:spacing w:line="240" w:lineRule="exact"/>
        <w:ind w:right="-900"/>
        <w:jc w:val="both"/>
        <w:rPr>
          <w:rFonts w:ascii="Calibri" w:hAnsi="Calibri"/>
          <w:caps/>
          <w:color w:val="auto"/>
        </w:rPr>
      </w:pPr>
      <w:r>
        <w:rPr>
          <w:rFonts w:ascii="Calibri" w:hAnsi="Calibri"/>
          <w:caps/>
          <w:color w:val="auto"/>
        </w:rPr>
        <w:t>CASE NUMBER: PD</w:t>
      </w:r>
      <w:r w:rsidR="0065407D">
        <w:rPr>
          <w:rFonts w:ascii="Calibri" w:hAnsi="Calibri"/>
          <w:caps/>
          <w:color w:val="auto"/>
        </w:rPr>
        <w:t>1001268</w:t>
      </w:r>
      <w:r>
        <w:rPr>
          <w:rFonts w:ascii="Calibri" w:hAnsi="Calibri"/>
          <w:caps/>
          <w:color w:val="auto"/>
        </w:rPr>
        <w:tab/>
      </w:r>
      <w:r>
        <w:rPr>
          <w:rFonts w:ascii="Calibri" w:hAnsi="Calibri"/>
          <w:caps/>
          <w:color w:val="auto"/>
        </w:rPr>
        <w:tab/>
      </w:r>
      <w:r>
        <w:rPr>
          <w:rFonts w:ascii="Calibri" w:hAnsi="Calibri"/>
          <w:caps/>
          <w:color w:val="auto"/>
        </w:rPr>
        <w:tab/>
      </w:r>
      <w:r w:rsidR="00B45246">
        <w:rPr>
          <w:rFonts w:ascii="Calibri" w:hAnsi="Calibri"/>
          <w:caps/>
          <w:color w:val="auto"/>
        </w:rPr>
        <w:t xml:space="preserve">         </w:t>
      </w:r>
      <w:r>
        <w:rPr>
          <w:rFonts w:ascii="Calibri" w:hAnsi="Calibri"/>
          <w:caps/>
          <w:color w:val="auto"/>
        </w:rPr>
        <w:t>SEPARATION DATE: 200</w:t>
      </w:r>
      <w:r w:rsidR="0065407D">
        <w:rPr>
          <w:rFonts w:ascii="Calibri" w:hAnsi="Calibri"/>
          <w:caps/>
          <w:color w:val="auto"/>
        </w:rPr>
        <w:t>40105</w:t>
      </w:r>
    </w:p>
    <w:p w:rsidR="008B446D" w:rsidRDefault="00CF4FBA" w:rsidP="008B446D">
      <w:pPr>
        <w:tabs>
          <w:tab w:val="left" w:pos="288"/>
          <w:tab w:val="left" w:pos="4752"/>
        </w:tabs>
        <w:spacing w:line="240" w:lineRule="exact"/>
        <w:jc w:val="both"/>
        <w:rPr>
          <w:rFonts w:ascii="Calibri" w:hAnsi="Calibri"/>
          <w:caps/>
          <w:color w:val="auto"/>
        </w:rPr>
      </w:pPr>
      <w:r>
        <w:rPr>
          <w:rFonts w:ascii="Calibri" w:hAnsi="Calibri"/>
          <w:caps/>
          <w:color w:val="auto"/>
        </w:rPr>
        <w:t>BOARD DATE: 2012</w:t>
      </w:r>
      <w:r w:rsidR="0024051A">
        <w:rPr>
          <w:rFonts w:ascii="Calibri" w:hAnsi="Calibri"/>
          <w:caps/>
          <w:color w:val="auto"/>
        </w:rPr>
        <w:t>0417</w:t>
      </w:r>
      <w:r>
        <w:rPr>
          <w:rFonts w:ascii="Calibri" w:hAnsi="Calibri"/>
          <w:color w:val="auto"/>
        </w:rPr>
        <w:tab/>
      </w:r>
      <w:r w:rsidR="008B446D">
        <w:rPr>
          <w:rFonts w:ascii="Calibri" w:hAnsi="Calibri"/>
          <w:caps/>
          <w:color w:val="auto"/>
        </w:rPr>
        <w:tab/>
      </w:r>
      <w:r w:rsidR="008B446D">
        <w:rPr>
          <w:rFonts w:ascii="Calibri" w:hAnsi="Calibri"/>
          <w:caps/>
          <w:color w:val="auto"/>
        </w:rPr>
        <w:tab/>
      </w:r>
    </w:p>
    <w:p w:rsidR="00FC7326" w:rsidRPr="00CD5BD7" w:rsidRDefault="00FC7326" w:rsidP="00FC7326">
      <w:pPr>
        <w:pBdr>
          <w:bottom w:val="single" w:sz="12" w:space="1" w:color="auto"/>
        </w:pBdr>
        <w:tabs>
          <w:tab w:val="left" w:pos="288"/>
          <w:tab w:val="left" w:pos="4752"/>
        </w:tabs>
        <w:spacing w:line="240" w:lineRule="exact"/>
        <w:jc w:val="both"/>
        <w:rPr>
          <w:rFonts w:ascii="Calibri" w:hAnsi="Calibri"/>
          <w:color w:val="auto"/>
          <w:szCs w:val="24"/>
        </w:rPr>
      </w:pPr>
    </w:p>
    <w:p w:rsidR="00FC7326" w:rsidRPr="00CD5BD7" w:rsidRDefault="00FC7326" w:rsidP="00FC7326">
      <w:pPr>
        <w:tabs>
          <w:tab w:val="left" w:pos="288"/>
          <w:tab w:val="left" w:pos="4752"/>
        </w:tabs>
        <w:spacing w:line="240" w:lineRule="exact"/>
        <w:rPr>
          <w:rFonts w:ascii="Calibri" w:hAnsi="Calibri"/>
          <w:color w:val="000080"/>
          <w:szCs w:val="24"/>
        </w:rPr>
      </w:pPr>
    </w:p>
    <w:p w:rsidR="00737283" w:rsidRPr="00C77124" w:rsidRDefault="00737283" w:rsidP="00411FDC">
      <w:pPr>
        <w:tabs>
          <w:tab w:val="left" w:pos="288"/>
          <w:tab w:val="left" w:pos="4752"/>
        </w:tabs>
        <w:spacing w:line="240" w:lineRule="exact"/>
        <w:jc w:val="both"/>
        <w:rPr>
          <w:rFonts w:asciiTheme="minorHAnsi" w:hAnsiTheme="minorHAnsi"/>
          <w:color w:val="auto"/>
          <w:szCs w:val="24"/>
        </w:rPr>
      </w:pPr>
      <w:r w:rsidRPr="00396779">
        <w:rPr>
          <w:rFonts w:ascii="Calibri" w:hAnsi="Calibri"/>
          <w:color w:val="auto"/>
          <w:u w:val="single"/>
        </w:rPr>
        <w:t>SUMMARY OF CASE</w:t>
      </w:r>
      <w:r w:rsidRPr="00396779">
        <w:rPr>
          <w:rFonts w:ascii="Calibri" w:hAnsi="Calibri"/>
          <w:color w:val="auto"/>
        </w:rPr>
        <w:t xml:space="preserve">: </w:t>
      </w:r>
      <w:r>
        <w:rPr>
          <w:rFonts w:ascii="Calibri" w:hAnsi="Calibri"/>
          <w:color w:val="auto"/>
        </w:rPr>
        <w:t xml:space="preserve"> </w:t>
      </w:r>
      <w:r w:rsidR="00FF0EFB" w:rsidRPr="00FF0EFB">
        <w:rPr>
          <w:rFonts w:ascii="Calibri" w:hAnsi="Calibri"/>
          <w:color w:val="auto"/>
          <w:szCs w:val="24"/>
        </w:rPr>
        <w:t xml:space="preserve">Data extracted from the available evidence of record reflects that this covered individual (CI) </w:t>
      </w:r>
      <w:r w:rsidR="002C6E5B" w:rsidRPr="00396779">
        <w:rPr>
          <w:rFonts w:ascii="Calibri" w:hAnsi="Calibri"/>
          <w:color w:val="auto"/>
          <w:szCs w:val="24"/>
        </w:rPr>
        <w:t xml:space="preserve">was </w:t>
      </w:r>
      <w:r w:rsidR="00E322F7" w:rsidRPr="00396779">
        <w:rPr>
          <w:rFonts w:ascii="Calibri" w:hAnsi="Calibri"/>
          <w:color w:val="auto"/>
          <w:szCs w:val="24"/>
        </w:rPr>
        <w:t xml:space="preserve">an </w:t>
      </w:r>
      <w:r w:rsidR="00E322F7" w:rsidRPr="0065407D">
        <w:rPr>
          <w:rFonts w:ascii="Calibri" w:hAnsi="Calibri"/>
          <w:color w:val="auto"/>
          <w:szCs w:val="24"/>
        </w:rPr>
        <w:t>active duty</w:t>
      </w:r>
      <w:r w:rsidR="006D4E0E" w:rsidRPr="0065407D">
        <w:rPr>
          <w:rFonts w:ascii="Calibri" w:hAnsi="Calibri"/>
          <w:color w:val="auto"/>
          <w:szCs w:val="24"/>
        </w:rPr>
        <w:t xml:space="preserve"> </w:t>
      </w:r>
      <w:r w:rsidR="003E47C9">
        <w:rPr>
          <w:rFonts w:ascii="Calibri" w:hAnsi="Calibri"/>
          <w:color w:val="auto"/>
          <w:szCs w:val="24"/>
        </w:rPr>
        <w:t>SSgt</w:t>
      </w:r>
      <w:r w:rsidR="00E13397">
        <w:rPr>
          <w:rFonts w:ascii="Calibri" w:hAnsi="Calibri"/>
          <w:color w:val="auto"/>
          <w:szCs w:val="24"/>
        </w:rPr>
        <w:t>/</w:t>
      </w:r>
      <w:r w:rsidR="0065407D">
        <w:rPr>
          <w:rFonts w:ascii="Calibri" w:hAnsi="Calibri"/>
          <w:color w:val="auto"/>
          <w:szCs w:val="24"/>
        </w:rPr>
        <w:t>E</w:t>
      </w:r>
      <w:r w:rsidR="00D32D6F">
        <w:rPr>
          <w:rFonts w:ascii="Calibri" w:hAnsi="Calibri"/>
          <w:color w:val="auto"/>
          <w:szCs w:val="24"/>
        </w:rPr>
        <w:t>-</w:t>
      </w:r>
      <w:r w:rsidR="0065407D">
        <w:rPr>
          <w:rFonts w:ascii="Calibri" w:hAnsi="Calibri"/>
          <w:color w:val="auto"/>
          <w:szCs w:val="24"/>
        </w:rPr>
        <w:t>5</w:t>
      </w:r>
      <w:r w:rsidR="006D4E0E" w:rsidRPr="0065407D">
        <w:rPr>
          <w:rFonts w:ascii="Calibri" w:hAnsi="Calibri"/>
          <w:color w:val="auto"/>
          <w:szCs w:val="24"/>
        </w:rPr>
        <w:t xml:space="preserve"> </w:t>
      </w:r>
      <w:r w:rsidR="0065407D">
        <w:rPr>
          <w:rFonts w:ascii="Calibri" w:hAnsi="Calibri"/>
          <w:color w:val="auto"/>
          <w:szCs w:val="24"/>
        </w:rPr>
        <w:t>(3P051B, Combat Arms Journeyman</w:t>
      </w:r>
      <w:r w:rsidR="00E322F7" w:rsidRPr="0065407D">
        <w:rPr>
          <w:rFonts w:ascii="Calibri" w:hAnsi="Calibri"/>
          <w:color w:val="auto"/>
          <w:szCs w:val="24"/>
        </w:rPr>
        <w:t>)</w:t>
      </w:r>
      <w:r w:rsidR="00E322F7" w:rsidRPr="00396779">
        <w:rPr>
          <w:rFonts w:ascii="Calibri" w:hAnsi="Calibri"/>
          <w:color w:val="auto"/>
          <w:szCs w:val="24"/>
        </w:rPr>
        <w:t xml:space="preserve"> </w:t>
      </w:r>
      <w:r w:rsidR="002C6E5B" w:rsidRPr="00396779">
        <w:rPr>
          <w:rFonts w:ascii="Calibri" w:hAnsi="Calibri"/>
          <w:color w:val="auto"/>
          <w:szCs w:val="24"/>
        </w:rPr>
        <w:t>medically separated in 200</w:t>
      </w:r>
      <w:r w:rsidR="0065407D">
        <w:rPr>
          <w:rFonts w:ascii="Calibri" w:hAnsi="Calibri"/>
          <w:color w:val="auto"/>
          <w:szCs w:val="24"/>
        </w:rPr>
        <w:t>4</w:t>
      </w:r>
      <w:r w:rsidR="003E47C9">
        <w:rPr>
          <w:rFonts w:ascii="Calibri" w:hAnsi="Calibri"/>
          <w:color w:val="auto"/>
          <w:szCs w:val="24"/>
        </w:rPr>
        <w:t xml:space="preserve"> for </w:t>
      </w:r>
      <w:r w:rsidR="00E13397">
        <w:rPr>
          <w:rFonts w:ascii="Calibri" w:hAnsi="Calibri"/>
          <w:color w:val="auto"/>
          <w:szCs w:val="24"/>
        </w:rPr>
        <w:t>depression.  T</w:t>
      </w:r>
      <w:r w:rsidR="0065407D">
        <w:rPr>
          <w:rFonts w:ascii="Calibri" w:hAnsi="Calibri"/>
          <w:color w:val="auto"/>
          <w:szCs w:val="24"/>
        </w:rPr>
        <w:t>he CI</w:t>
      </w:r>
      <w:r w:rsidR="00E13397">
        <w:rPr>
          <w:rFonts w:ascii="Calibri" w:hAnsi="Calibri"/>
          <w:color w:val="auto"/>
          <w:szCs w:val="24"/>
        </w:rPr>
        <w:t>’s</w:t>
      </w:r>
      <w:r w:rsidR="0065407D">
        <w:rPr>
          <w:rFonts w:ascii="Calibri" w:hAnsi="Calibri"/>
          <w:color w:val="auto"/>
          <w:szCs w:val="24"/>
        </w:rPr>
        <w:t xml:space="preserve"> initial</w:t>
      </w:r>
      <w:r w:rsidR="00CC597B">
        <w:rPr>
          <w:rFonts w:ascii="Calibri" w:hAnsi="Calibri"/>
          <w:color w:val="auto"/>
          <w:szCs w:val="24"/>
        </w:rPr>
        <w:t xml:space="preserve"> </w:t>
      </w:r>
      <w:r w:rsidR="0065407D">
        <w:rPr>
          <w:rFonts w:ascii="Calibri" w:hAnsi="Calibri"/>
          <w:color w:val="auto"/>
          <w:szCs w:val="24"/>
        </w:rPr>
        <w:t>symptoms occurred after</w:t>
      </w:r>
      <w:r w:rsidR="00CC597B">
        <w:rPr>
          <w:rFonts w:ascii="Calibri" w:hAnsi="Calibri"/>
          <w:color w:val="auto"/>
          <w:szCs w:val="24"/>
        </w:rPr>
        <w:t xml:space="preserve"> a sexual assault</w:t>
      </w:r>
      <w:r w:rsidR="00E13397">
        <w:rPr>
          <w:rFonts w:ascii="Calibri" w:hAnsi="Calibri"/>
          <w:color w:val="auto"/>
          <w:szCs w:val="24"/>
        </w:rPr>
        <w:t xml:space="preserve"> in January 2001</w:t>
      </w:r>
      <w:r w:rsidR="00CC597B">
        <w:rPr>
          <w:rFonts w:ascii="Calibri" w:hAnsi="Calibri"/>
          <w:color w:val="auto"/>
          <w:szCs w:val="24"/>
        </w:rPr>
        <w:t xml:space="preserve">.  </w:t>
      </w:r>
      <w:r w:rsidR="003E47C9">
        <w:rPr>
          <w:rFonts w:ascii="Calibri" w:hAnsi="Calibri"/>
          <w:color w:val="auto"/>
          <w:szCs w:val="24"/>
        </w:rPr>
        <w:t>She underwent</w:t>
      </w:r>
      <w:r w:rsidR="00CC597B">
        <w:rPr>
          <w:rFonts w:ascii="Calibri" w:hAnsi="Calibri"/>
          <w:color w:val="auto"/>
          <w:szCs w:val="24"/>
        </w:rPr>
        <w:t xml:space="preserve"> intensive inpatient and outpatient treatment, </w:t>
      </w:r>
      <w:r w:rsidR="003E47C9">
        <w:rPr>
          <w:rFonts w:ascii="Calibri" w:hAnsi="Calibri"/>
          <w:color w:val="auto"/>
          <w:szCs w:val="24"/>
        </w:rPr>
        <w:t xml:space="preserve">but </w:t>
      </w:r>
      <w:r w:rsidR="00E322F7" w:rsidRPr="00326C08">
        <w:rPr>
          <w:rFonts w:ascii="Calibri" w:hAnsi="Calibri"/>
          <w:color w:val="auto"/>
          <w:szCs w:val="24"/>
        </w:rPr>
        <w:t xml:space="preserve">did not respond </w:t>
      </w:r>
      <w:r w:rsidR="00B67C39">
        <w:rPr>
          <w:rFonts w:ascii="Calibri" w:hAnsi="Calibri"/>
          <w:color w:val="auto"/>
          <w:szCs w:val="24"/>
        </w:rPr>
        <w:t>adequately to perform within her</w:t>
      </w:r>
      <w:r w:rsidR="00E322F7" w:rsidRPr="00326C08">
        <w:rPr>
          <w:rFonts w:ascii="Calibri" w:hAnsi="Calibri"/>
          <w:color w:val="auto"/>
          <w:szCs w:val="24"/>
        </w:rPr>
        <w:t xml:space="preserve"> </w:t>
      </w:r>
      <w:r w:rsidR="00EF5A38" w:rsidRPr="00EF5A38">
        <w:rPr>
          <w:rFonts w:ascii="Calibri" w:hAnsi="Calibri"/>
          <w:color w:val="auto"/>
          <w:szCs w:val="24"/>
        </w:rPr>
        <w:t>Air Force Specialty (AFS)</w:t>
      </w:r>
      <w:r w:rsidR="00E13397">
        <w:rPr>
          <w:rFonts w:ascii="Calibri" w:hAnsi="Calibri"/>
          <w:color w:val="auto"/>
          <w:szCs w:val="24"/>
        </w:rPr>
        <w:t xml:space="preserve">.  She </w:t>
      </w:r>
      <w:r w:rsidR="00E322F7" w:rsidRPr="00326C08">
        <w:rPr>
          <w:rFonts w:ascii="Calibri" w:hAnsi="Calibri"/>
          <w:color w:val="auto"/>
          <w:szCs w:val="24"/>
        </w:rPr>
        <w:t xml:space="preserve">was issued a permanent </w:t>
      </w:r>
      <w:r w:rsidR="00E942D0">
        <w:rPr>
          <w:rFonts w:ascii="Calibri" w:hAnsi="Calibri"/>
          <w:color w:val="auto"/>
          <w:szCs w:val="24"/>
        </w:rPr>
        <w:t>S4</w:t>
      </w:r>
      <w:r w:rsidR="00E322F7" w:rsidRPr="00326C08">
        <w:rPr>
          <w:rFonts w:ascii="Calibri" w:hAnsi="Calibri"/>
          <w:color w:val="auto"/>
          <w:szCs w:val="24"/>
        </w:rPr>
        <w:t xml:space="preserve"> profile and </w:t>
      </w:r>
      <w:r w:rsidR="00E942D0">
        <w:rPr>
          <w:rFonts w:ascii="Calibri" w:hAnsi="Calibri"/>
          <w:color w:val="auto"/>
          <w:szCs w:val="24"/>
        </w:rPr>
        <w:t>referred for</w:t>
      </w:r>
      <w:r w:rsidR="00E322F7" w:rsidRPr="00326C08">
        <w:rPr>
          <w:rFonts w:ascii="Calibri" w:hAnsi="Calibri"/>
          <w:color w:val="auto"/>
          <w:szCs w:val="24"/>
        </w:rPr>
        <w:t xml:space="preserve"> a </w:t>
      </w:r>
      <w:r w:rsidR="00705C40" w:rsidRPr="00326C08">
        <w:rPr>
          <w:rFonts w:ascii="Calibri" w:hAnsi="Calibri"/>
          <w:color w:val="auto"/>
          <w:szCs w:val="24"/>
        </w:rPr>
        <w:t>Medical Evaluation Board (</w:t>
      </w:r>
      <w:r w:rsidR="00E322F7" w:rsidRPr="00326C08">
        <w:rPr>
          <w:rFonts w:ascii="Calibri" w:hAnsi="Calibri"/>
          <w:color w:val="auto"/>
          <w:szCs w:val="24"/>
        </w:rPr>
        <w:t>MEB</w:t>
      </w:r>
      <w:r w:rsidR="00705C40" w:rsidRPr="00326C08">
        <w:rPr>
          <w:rFonts w:ascii="Calibri" w:hAnsi="Calibri"/>
          <w:color w:val="auto"/>
          <w:szCs w:val="24"/>
        </w:rPr>
        <w:t>)</w:t>
      </w:r>
      <w:r w:rsidR="00E322F7" w:rsidRPr="00326C08">
        <w:rPr>
          <w:rFonts w:ascii="Calibri" w:hAnsi="Calibri"/>
          <w:color w:val="auto"/>
          <w:szCs w:val="24"/>
        </w:rPr>
        <w:t>.</w:t>
      </w:r>
      <w:r w:rsidR="007065AC">
        <w:rPr>
          <w:rFonts w:ascii="Calibri" w:hAnsi="Calibri"/>
          <w:color w:val="auto"/>
          <w:szCs w:val="24"/>
        </w:rPr>
        <w:t xml:space="preserve">  </w:t>
      </w:r>
      <w:r w:rsidR="00EF5A38">
        <w:rPr>
          <w:rFonts w:ascii="Calibri" w:hAnsi="Calibri"/>
          <w:color w:val="auto"/>
          <w:szCs w:val="24"/>
        </w:rPr>
        <w:t>D</w:t>
      </w:r>
      <w:r w:rsidR="00D42BF4">
        <w:rPr>
          <w:rFonts w:ascii="Calibri" w:hAnsi="Calibri"/>
          <w:color w:val="auto"/>
          <w:szCs w:val="24"/>
        </w:rPr>
        <w:t>epression was</w:t>
      </w:r>
      <w:r w:rsidR="00AE5E14" w:rsidRPr="00396779">
        <w:rPr>
          <w:rFonts w:ascii="Calibri" w:hAnsi="Calibri"/>
          <w:color w:val="auto"/>
          <w:szCs w:val="24"/>
        </w:rPr>
        <w:t xml:space="preserve"> </w:t>
      </w:r>
      <w:r w:rsidR="00AE5E14" w:rsidRPr="0013525F">
        <w:rPr>
          <w:rFonts w:ascii="Calibri" w:hAnsi="Calibri"/>
          <w:color w:val="auto"/>
          <w:szCs w:val="24"/>
        </w:rPr>
        <w:t xml:space="preserve">forwarded to the </w:t>
      </w:r>
      <w:r w:rsidR="00B20624" w:rsidRPr="00396779">
        <w:rPr>
          <w:rFonts w:ascii="Calibri" w:hAnsi="Calibri"/>
          <w:color w:val="auto"/>
          <w:szCs w:val="24"/>
        </w:rPr>
        <w:t>Physical Evaluation Board (</w:t>
      </w:r>
      <w:r w:rsidR="00AE5E14" w:rsidRPr="00396779">
        <w:rPr>
          <w:rFonts w:ascii="Calibri" w:hAnsi="Calibri"/>
          <w:color w:val="auto"/>
          <w:szCs w:val="24"/>
        </w:rPr>
        <w:t>PEB</w:t>
      </w:r>
      <w:r w:rsidR="00B20624" w:rsidRPr="00396779">
        <w:rPr>
          <w:rFonts w:ascii="Calibri" w:hAnsi="Calibri"/>
          <w:color w:val="auto"/>
          <w:szCs w:val="24"/>
        </w:rPr>
        <w:t>)</w:t>
      </w:r>
      <w:r w:rsidR="00AE5E14" w:rsidRPr="00396779">
        <w:rPr>
          <w:rFonts w:ascii="Calibri" w:hAnsi="Calibri"/>
          <w:color w:val="auto"/>
          <w:szCs w:val="24"/>
        </w:rPr>
        <w:t xml:space="preserve"> </w:t>
      </w:r>
      <w:r w:rsidR="00B76F7D">
        <w:rPr>
          <w:rFonts w:ascii="Calibri" w:hAnsi="Calibri"/>
          <w:color w:val="auto"/>
          <w:szCs w:val="24"/>
        </w:rPr>
        <w:t xml:space="preserve">as </w:t>
      </w:r>
      <w:r w:rsidR="00EF5A38">
        <w:rPr>
          <w:rFonts w:ascii="Calibri" w:hAnsi="Calibri"/>
          <w:color w:val="auto"/>
          <w:szCs w:val="24"/>
        </w:rPr>
        <w:t xml:space="preserve">a </w:t>
      </w:r>
      <w:r w:rsidR="00B76F7D">
        <w:rPr>
          <w:rFonts w:ascii="Calibri" w:hAnsi="Calibri"/>
          <w:color w:val="auto"/>
          <w:szCs w:val="24"/>
        </w:rPr>
        <w:t xml:space="preserve">medically unacceptable </w:t>
      </w:r>
      <w:r w:rsidR="00E942D0">
        <w:rPr>
          <w:rFonts w:ascii="Calibri" w:hAnsi="Calibri"/>
          <w:color w:val="auto"/>
          <w:szCs w:val="24"/>
        </w:rPr>
        <w:t xml:space="preserve">condition </w:t>
      </w:r>
      <w:r w:rsidR="00B76F7D">
        <w:rPr>
          <w:rFonts w:ascii="Calibri" w:hAnsi="Calibri"/>
          <w:color w:val="auto"/>
          <w:szCs w:val="24"/>
        </w:rPr>
        <w:t>IAW AFI 48-123.</w:t>
      </w:r>
      <w:r w:rsidR="004773EC">
        <w:rPr>
          <w:rFonts w:ascii="Calibri" w:hAnsi="Calibri"/>
          <w:color w:val="auto"/>
          <w:szCs w:val="24"/>
        </w:rPr>
        <w:t xml:space="preserve"> </w:t>
      </w:r>
      <w:r w:rsidR="00B76F7D" w:rsidRPr="00B76F7D">
        <w:rPr>
          <w:rFonts w:asciiTheme="minorHAnsi" w:hAnsiTheme="minorHAnsi"/>
          <w:color w:val="auto"/>
          <w:szCs w:val="24"/>
        </w:rPr>
        <w:t xml:space="preserve"> </w:t>
      </w:r>
      <w:r w:rsidR="00B76F7D" w:rsidRPr="00C472C7">
        <w:rPr>
          <w:rFonts w:asciiTheme="minorHAnsi" w:hAnsiTheme="minorHAnsi"/>
          <w:color w:val="auto"/>
          <w:szCs w:val="24"/>
        </w:rPr>
        <w:t>No other conditions appeared on the MEB’s submission.  Other conditions included in the</w:t>
      </w:r>
      <w:r w:rsidR="00B76F7D">
        <w:rPr>
          <w:rFonts w:asciiTheme="minorHAnsi" w:hAnsiTheme="minorHAnsi"/>
          <w:color w:val="auto"/>
          <w:szCs w:val="24"/>
        </w:rPr>
        <w:t xml:space="preserve"> </w:t>
      </w:r>
      <w:r w:rsidR="00B76F7D" w:rsidRPr="00D93A41">
        <w:rPr>
          <w:rFonts w:asciiTheme="minorHAnsi" w:hAnsiTheme="minorHAnsi"/>
          <w:color w:val="auto"/>
          <w:szCs w:val="24"/>
        </w:rPr>
        <w:t>Disability Evaluation System (DES)</w:t>
      </w:r>
      <w:r w:rsidR="00B76F7D" w:rsidRPr="00555C66">
        <w:rPr>
          <w:rFonts w:asciiTheme="minorHAnsi" w:hAnsiTheme="minorHAnsi"/>
          <w:color w:val="auto"/>
          <w:szCs w:val="24"/>
        </w:rPr>
        <w:t xml:space="preserve"> </w:t>
      </w:r>
      <w:r w:rsidR="00E942D0">
        <w:rPr>
          <w:rFonts w:asciiTheme="minorHAnsi" w:hAnsiTheme="minorHAnsi"/>
          <w:color w:val="auto"/>
          <w:szCs w:val="24"/>
        </w:rPr>
        <w:t>file</w:t>
      </w:r>
      <w:r w:rsidR="00B76F7D" w:rsidRPr="00C472C7">
        <w:rPr>
          <w:rFonts w:asciiTheme="minorHAnsi" w:hAnsiTheme="minorHAnsi"/>
          <w:color w:val="auto"/>
          <w:szCs w:val="24"/>
        </w:rPr>
        <w:t xml:space="preserve"> </w:t>
      </w:r>
      <w:r w:rsidR="00E942D0">
        <w:rPr>
          <w:rFonts w:asciiTheme="minorHAnsi" w:hAnsiTheme="minorHAnsi"/>
          <w:color w:val="auto"/>
          <w:szCs w:val="24"/>
        </w:rPr>
        <w:t>are addressed</w:t>
      </w:r>
      <w:r w:rsidR="00B76F7D" w:rsidRPr="00C472C7">
        <w:rPr>
          <w:rFonts w:asciiTheme="minorHAnsi" w:hAnsiTheme="minorHAnsi"/>
          <w:color w:val="auto"/>
          <w:szCs w:val="24"/>
        </w:rPr>
        <w:t xml:space="preserve"> below.</w:t>
      </w:r>
      <w:r w:rsidR="004773EC">
        <w:rPr>
          <w:rFonts w:asciiTheme="minorHAnsi" w:hAnsiTheme="minorHAnsi"/>
          <w:color w:val="auto"/>
          <w:szCs w:val="24"/>
        </w:rPr>
        <w:t xml:space="preserve"> </w:t>
      </w:r>
      <w:r w:rsidR="00C77124">
        <w:rPr>
          <w:rFonts w:asciiTheme="minorHAnsi" w:hAnsiTheme="minorHAnsi"/>
          <w:color w:val="auto"/>
          <w:szCs w:val="24"/>
        </w:rPr>
        <w:t xml:space="preserve"> </w:t>
      </w:r>
      <w:r w:rsidRPr="00737283">
        <w:rPr>
          <w:rFonts w:ascii="Calibri" w:hAnsi="Calibri"/>
          <w:color w:val="auto"/>
          <w:szCs w:val="24"/>
        </w:rPr>
        <w:t xml:space="preserve">The PEB adjudicated the </w:t>
      </w:r>
      <w:r w:rsidR="0024051A">
        <w:rPr>
          <w:rFonts w:ascii="Calibri" w:hAnsi="Calibri"/>
          <w:color w:val="auto"/>
          <w:szCs w:val="24"/>
        </w:rPr>
        <w:t>psychiatric</w:t>
      </w:r>
      <w:r w:rsidRPr="00737283">
        <w:rPr>
          <w:rFonts w:ascii="Calibri" w:hAnsi="Calibri"/>
          <w:color w:val="auto"/>
          <w:szCs w:val="24"/>
        </w:rPr>
        <w:t xml:space="preserve"> </w:t>
      </w:r>
      <w:r w:rsidR="00D42BF4">
        <w:rPr>
          <w:rFonts w:ascii="Calibri" w:hAnsi="Calibri"/>
          <w:color w:val="auto"/>
          <w:szCs w:val="24"/>
        </w:rPr>
        <w:t>condition as unfitting, rated 10</w:t>
      </w:r>
      <w:r w:rsidRPr="00737283">
        <w:rPr>
          <w:rFonts w:ascii="Calibri" w:hAnsi="Calibri"/>
          <w:color w:val="auto"/>
          <w:szCs w:val="24"/>
        </w:rPr>
        <w:t xml:space="preserve">%, </w:t>
      </w:r>
      <w:r w:rsidR="005140B1">
        <w:rPr>
          <w:rFonts w:ascii="Calibri" w:hAnsi="Calibri"/>
          <w:color w:val="auto"/>
          <w:szCs w:val="24"/>
        </w:rPr>
        <w:t>citing criteria</w:t>
      </w:r>
      <w:r w:rsidRPr="00737283">
        <w:rPr>
          <w:rFonts w:ascii="Calibri" w:hAnsi="Calibri"/>
          <w:color w:val="auto"/>
          <w:szCs w:val="24"/>
        </w:rPr>
        <w:t xml:space="preserve"> </w:t>
      </w:r>
      <w:r w:rsidR="00D42BF4">
        <w:rPr>
          <w:rFonts w:ascii="Calibri" w:hAnsi="Calibri"/>
          <w:color w:val="auto"/>
          <w:szCs w:val="24"/>
        </w:rPr>
        <w:t>of</w:t>
      </w:r>
      <w:r w:rsidRPr="00737283">
        <w:rPr>
          <w:rFonts w:ascii="Calibri" w:hAnsi="Calibri"/>
          <w:color w:val="auto"/>
          <w:szCs w:val="24"/>
        </w:rPr>
        <w:t xml:space="preserve"> Department of Defense Instruction (</w:t>
      </w:r>
      <w:proofErr w:type="spellStart"/>
      <w:r w:rsidRPr="00737283">
        <w:rPr>
          <w:rFonts w:ascii="Calibri" w:hAnsi="Calibri"/>
          <w:color w:val="auto"/>
          <w:szCs w:val="24"/>
        </w:rPr>
        <w:t>DoDI</w:t>
      </w:r>
      <w:proofErr w:type="spellEnd"/>
      <w:r w:rsidRPr="00737283">
        <w:rPr>
          <w:rFonts w:ascii="Calibri" w:hAnsi="Calibri"/>
          <w:color w:val="auto"/>
          <w:szCs w:val="24"/>
        </w:rPr>
        <w:t xml:space="preserve">) </w:t>
      </w:r>
      <w:r w:rsidR="007065AC" w:rsidRPr="00737283">
        <w:rPr>
          <w:rFonts w:ascii="Calibri" w:hAnsi="Calibri"/>
          <w:color w:val="auto"/>
          <w:szCs w:val="24"/>
        </w:rPr>
        <w:t>1332.39</w:t>
      </w:r>
      <w:r w:rsidRPr="00737283">
        <w:rPr>
          <w:rFonts w:ascii="Calibri" w:hAnsi="Calibri"/>
          <w:color w:val="auto"/>
          <w:szCs w:val="24"/>
        </w:rPr>
        <w:t>.</w:t>
      </w:r>
      <w:r w:rsidR="004773EC">
        <w:rPr>
          <w:rFonts w:ascii="Calibri" w:hAnsi="Calibri"/>
          <w:color w:val="auto"/>
          <w:szCs w:val="24"/>
        </w:rPr>
        <w:t xml:space="preserve"> </w:t>
      </w:r>
      <w:r w:rsidR="00C77124">
        <w:rPr>
          <w:rFonts w:ascii="Calibri" w:hAnsi="Calibri"/>
          <w:color w:val="auto"/>
          <w:szCs w:val="24"/>
        </w:rPr>
        <w:t xml:space="preserve"> </w:t>
      </w:r>
      <w:r w:rsidR="00C77124">
        <w:rPr>
          <w:rFonts w:asciiTheme="minorHAnsi" w:hAnsiTheme="minorHAnsi"/>
          <w:color w:val="auto"/>
          <w:szCs w:val="24"/>
        </w:rPr>
        <w:t>A second condition, tobacco abuse,</w:t>
      </w:r>
      <w:r w:rsidR="00C77124" w:rsidRPr="00C77124">
        <w:rPr>
          <w:rFonts w:asciiTheme="minorHAnsi" w:hAnsiTheme="minorHAnsi"/>
          <w:color w:val="auto"/>
          <w:szCs w:val="24"/>
        </w:rPr>
        <w:t xml:space="preserve"> </w:t>
      </w:r>
      <w:r w:rsidR="00C77124">
        <w:rPr>
          <w:rFonts w:asciiTheme="minorHAnsi" w:hAnsiTheme="minorHAnsi"/>
          <w:color w:val="auto"/>
          <w:szCs w:val="24"/>
        </w:rPr>
        <w:t>was adjudicat</w:t>
      </w:r>
      <w:r w:rsidR="0024051A">
        <w:rPr>
          <w:rFonts w:asciiTheme="minorHAnsi" w:hAnsiTheme="minorHAnsi"/>
          <w:color w:val="auto"/>
          <w:szCs w:val="24"/>
        </w:rPr>
        <w:t xml:space="preserve">ed as a </w:t>
      </w:r>
      <w:r w:rsidR="003826D9">
        <w:rPr>
          <w:rFonts w:asciiTheme="minorHAnsi" w:hAnsiTheme="minorHAnsi"/>
          <w:color w:val="auto"/>
          <w:szCs w:val="24"/>
        </w:rPr>
        <w:t>c</w:t>
      </w:r>
      <w:r w:rsidR="0024051A">
        <w:rPr>
          <w:rFonts w:asciiTheme="minorHAnsi" w:hAnsiTheme="minorHAnsi"/>
          <w:color w:val="auto"/>
          <w:szCs w:val="24"/>
        </w:rPr>
        <w:t>ategory III condition; which</w:t>
      </w:r>
      <w:r w:rsidR="00C77124">
        <w:rPr>
          <w:rFonts w:asciiTheme="minorHAnsi" w:hAnsiTheme="minorHAnsi"/>
          <w:color w:val="auto"/>
          <w:szCs w:val="24"/>
        </w:rPr>
        <w:t xml:space="preserve"> is</w:t>
      </w:r>
      <w:r w:rsidR="00C77124" w:rsidRPr="00C77124">
        <w:rPr>
          <w:rFonts w:asciiTheme="minorHAnsi" w:hAnsiTheme="minorHAnsi"/>
          <w:color w:val="auto"/>
          <w:szCs w:val="24"/>
        </w:rPr>
        <w:t xml:space="preserve"> not</w:t>
      </w:r>
      <w:r w:rsidR="00C77124">
        <w:rPr>
          <w:rFonts w:asciiTheme="minorHAnsi" w:hAnsiTheme="minorHAnsi"/>
          <w:color w:val="auto"/>
          <w:szCs w:val="24"/>
        </w:rPr>
        <w:t xml:space="preserve"> a</w:t>
      </w:r>
      <w:r w:rsidR="00C77124" w:rsidRPr="00C77124">
        <w:rPr>
          <w:rFonts w:asciiTheme="minorHAnsi" w:hAnsiTheme="minorHAnsi"/>
          <w:color w:val="auto"/>
          <w:szCs w:val="24"/>
        </w:rPr>
        <w:t xml:space="preserve"> ratable condition</w:t>
      </w:r>
      <w:r w:rsidR="007738C1">
        <w:rPr>
          <w:rFonts w:asciiTheme="minorHAnsi" w:hAnsiTheme="minorHAnsi"/>
          <w:color w:val="auto"/>
          <w:szCs w:val="24"/>
        </w:rPr>
        <w:t xml:space="preserve"> </w:t>
      </w:r>
      <w:r w:rsidR="00C77124" w:rsidRPr="00C77124">
        <w:rPr>
          <w:rFonts w:asciiTheme="minorHAnsi" w:hAnsiTheme="minorHAnsi"/>
          <w:color w:val="auto"/>
          <w:szCs w:val="24"/>
        </w:rPr>
        <w:t xml:space="preserve">IAW </w:t>
      </w:r>
      <w:proofErr w:type="spellStart"/>
      <w:r w:rsidR="00C77124" w:rsidRPr="00C77124">
        <w:rPr>
          <w:rFonts w:asciiTheme="minorHAnsi" w:hAnsiTheme="minorHAnsi"/>
          <w:color w:val="auto"/>
          <w:szCs w:val="24"/>
        </w:rPr>
        <w:t>DoD</w:t>
      </w:r>
      <w:proofErr w:type="spellEnd"/>
      <w:r w:rsidR="00C77124" w:rsidRPr="00C77124">
        <w:rPr>
          <w:rFonts w:asciiTheme="minorHAnsi" w:hAnsiTheme="minorHAnsi"/>
          <w:color w:val="auto"/>
          <w:szCs w:val="24"/>
        </w:rPr>
        <w:t xml:space="preserve"> and VA regulations</w:t>
      </w:r>
      <w:r w:rsidR="0024051A">
        <w:rPr>
          <w:rFonts w:asciiTheme="minorHAnsi" w:hAnsiTheme="minorHAnsi"/>
          <w:color w:val="auto"/>
          <w:szCs w:val="24"/>
        </w:rPr>
        <w:t>,</w:t>
      </w:r>
      <w:r w:rsidR="00C77124" w:rsidRPr="00C77124">
        <w:rPr>
          <w:rFonts w:asciiTheme="minorHAnsi" w:hAnsiTheme="minorHAnsi"/>
          <w:color w:val="auto"/>
          <w:szCs w:val="24"/>
        </w:rPr>
        <w:t xml:space="preserve"> and will not be discussed further.</w:t>
      </w:r>
      <w:r w:rsidR="007065AC">
        <w:rPr>
          <w:rFonts w:ascii="Calibri" w:hAnsi="Calibri"/>
          <w:color w:val="auto"/>
          <w:szCs w:val="24"/>
        </w:rPr>
        <w:t xml:space="preserve">  </w:t>
      </w:r>
      <w:r w:rsidR="00D42BF4">
        <w:rPr>
          <w:rFonts w:ascii="Calibri" w:hAnsi="Calibri"/>
          <w:color w:val="auto"/>
          <w:szCs w:val="24"/>
        </w:rPr>
        <w:t>The CI appealed to</w:t>
      </w:r>
      <w:r w:rsidR="00C77124">
        <w:rPr>
          <w:rFonts w:ascii="Calibri" w:hAnsi="Calibri"/>
          <w:color w:val="auto"/>
          <w:szCs w:val="24"/>
        </w:rPr>
        <w:t xml:space="preserve"> </w:t>
      </w:r>
      <w:r w:rsidR="005140B1">
        <w:rPr>
          <w:rFonts w:ascii="Calibri" w:hAnsi="Calibri"/>
          <w:color w:val="auto"/>
          <w:szCs w:val="24"/>
        </w:rPr>
        <w:t xml:space="preserve">the </w:t>
      </w:r>
      <w:r w:rsidR="00C77124">
        <w:rPr>
          <w:rFonts w:ascii="Calibri" w:hAnsi="Calibri"/>
          <w:color w:val="auto"/>
          <w:szCs w:val="24"/>
        </w:rPr>
        <w:t>Formal PEB (</w:t>
      </w:r>
      <w:r w:rsidRPr="00737283">
        <w:rPr>
          <w:rFonts w:ascii="Calibri" w:hAnsi="Calibri"/>
          <w:color w:val="auto"/>
          <w:szCs w:val="24"/>
        </w:rPr>
        <w:t>FPEB</w:t>
      </w:r>
      <w:r w:rsidR="00C77124">
        <w:rPr>
          <w:rFonts w:ascii="Calibri" w:hAnsi="Calibri"/>
          <w:color w:val="auto"/>
          <w:szCs w:val="24"/>
        </w:rPr>
        <w:t>)</w:t>
      </w:r>
      <w:r w:rsidR="007065AC">
        <w:rPr>
          <w:rFonts w:ascii="Calibri" w:hAnsi="Calibri"/>
          <w:color w:val="auto"/>
          <w:szCs w:val="24"/>
        </w:rPr>
        <w:t xml:space="preserve"> </w:t>
      </w:r>
      <w:r w:rsidR="003E47C9">
        <w:rPr>
          <w:rFonts w:ascii="Calibri" w:hAnsi="Calibri"/>
          <w:color w:val="auto"/>
          <w:szCs w:val="24"/>
        </w:rPr>
        <w:t xml:space="preserve">for a 30% rating </w:t>
      </w:r>
      <w:r w:rsidR="0024051A">
        <w:rPr>
          <w:rFonts w:ascii="Calibri" w:hAnsi="Calibri"/>
          <w:color w:val="auto"/>
          <w:szCs w:val="24"/>
        </w:rPr>
        <w:t>with</w:t>
      </w:r>
      <w:r w:rsidR="003E47C9">
        <w:rPr>
          <w:rFonts w:ascii="Calibri" w:hAnsi="Calibri"/>
          <w:color w:val="auto"/>
          <w:szCs w:val="24"/>
        </w:rPr>
        <w:t xml:space="preserve"> placement on the </w:t>
      </w:r>
      <w:r w:rsidR="003E47C9" w:rsidRPr="003E47C9">
        <w:rPr>
          <w:rFonts w:ascii="Calibri" w:hAnsi="Calibri"/>
          <w:color w:val="auto"/>
          <w:szCs w:val="24"/>
        </w:rPr>
        <w:t>Temporary Disability Retired List (TDRL)</w:t>
      </w:r>
      <w:r w:rsidR="003E47C9">
        <w:rPr>
          <w:rFonts w:ascii="Calibri" w:hAnsi="Calibri"/>
          <w:color w:val="auto"/>
          <w:szCs w:val="24"/>
        </w:rPr>
        <w:t xml:space="preserve">.  The </w:t>
      </w:r>
      <w:r w:rsidR="003826D9">
        <w:rPr>
          <w:rFonts w:ascii="Calibri" w:hAnsi="Calibri"/>
          <w:color w:val="auto"/>
          <w:szCs w:val="24"/>
        </w:rPr>
        <w:t xml:space="preserve">FPEB affirmed the </w:t>
      </w:r>
      <w:r w:rsidR="003E47C9">
        <w:rPr>
          <w:rFonts w:ascii="Calibri" w:hAnsi="Calibri"/>
          <w:color w:val="auto"/>
          <w:szCs w:val="24"/>
        </w:rPr>
        <w:t xml:space="preserve">PEB findings, </w:t>
      </w:r>
      <w:r w:rsidRPr="00737283">
        <w:rPr>
          <w:rFonts w:ascii="Calibri" w:hAnsi="Calibri"/>
          <w:color w:val="auto"/>
          <w:szCs w:val="24"/>
        </w:rPr>
        <w:t xml:space="preserve">and </w:t>
      </w:r>
      <w:r w:rsidR="003E47C9">
        <w:rPr>
          <w:rFonts w:ascii="Calibri" w:hAnsi="Calibri"/>
          <w:color w:val="auto"/>
          <w:szCs w:val="24"/>
        </w:rPr>
        <w:t xml:space="preserve">the CI </w:t>
      </w:r>
      <w:r w:rsidRPr="00737283">
        <w:rPr>
          <w:rFonts w:ascii="Calibri" w:hAnsi="Calibri"/>
          <w:color w:val="auto"/>
          <w:szCs w:val="24"/>
        </w:rPr>
        <w:t xml:space="preserve">was medically separated </w:t>
      </w:r>
      <w:r w:rsidR="00D42BF4">
        <w:rPr>
          <w:rFonts w:ascii="Calibri" w:hAnsi="Calibri"/>
          <w:color w:val="auto"/>
          <w:szCs w:val="24"/>
        </w:rPr>
        <w:t>with a 10</w:t>
      </w:r>
      <w:r w:rsidRPr="00737283">
        <w:rPr>
          <w:rFonts w:ascii="Calibri" w:hAnsi="Calibri"/>
          <w:color w:val="auto"/>
          <w:szCs w:val="24"/>
        </w:rPr>
        <w:t xml:space="preserve">% </w:t>
      </w:r>
      <w:r w:rsidR="003826D9">
        <w:rPr>
          <w:rFonts w:ascii="Calibri" w:hAnsi="Calibri"/>
          <w:color w:val="auto"/>
          <w:szCs w:val="24"/>
        </w:rPr>
        <w:t>s</w:t>
      </w:r>
      <w:r w:rsidR="003E47C9">
        <w:rPr>
          <w:rFonts w:ascii="Calibri" w:hAnsi="Calibri"/>
          <w:color w:val="auto"/>
          <w:szCs w:val="24"/>
        </w:rPr>
        <w:t>ervice</w:t>
      </w:r>
      <w:r w:rsidRPr="00737283">
        <w:rPr>
          <w:rFonts w:ascii="Calibri" w:hAnsi="Calibri"/>
          <w:color w:val="auto"/>
          <w:szCs w:val="24"/>
        </w:rPr>
        <w:t xml:space="preserve"> disability rating.</w:t>
      </w:r>
    </w:p>
    <w:p w:rsidR="00106AD8" w:rsidRPr="00CD5BD7" w:rsidRDefault="00106AD8" w:rsidP="00411FDC">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411FDC">
      <w:pPr>
        <w:tabs>
          <w:tab w:val="left" w:pos="288"/>
          <w:tab w:val="left" w:pos="4752"/>
        </w:tabs>
        <w:spacing w:line="240" w:lineRule="exact"/>
        <w:rPr>
          <w:rFonts w:ascii="Calibri" w:hAnsi="Calibri"/>
          <w:color w:val="000080"/>
          <w:szCs w:val="24"/>
        </w:rPr>
      </w:pPr>
    </w:p>
    <w:p w:rsidR="00AA1ED0" w:rsidRPr="005140B1" w:rsidRDefault="002C6E5B" w:rsidP="00411FDC">
      <w:pPr>
        <w:tabs>
          <w:tab w:val="left" w:pos="288"/>
          <w:tab w:val="left" w:pos="4752"/>
        </w:tabs>
        <w:spacing w:line="240" w:lineRule="exact"/>
        <w:jc w:val="both"/>
        <w:rPr>
          <w:rFonts w:ascii="Calibri" w:hAnsi="Calibri"/>
          <w:color w:val="auto"/>
          <w:szCs w:val="24"/>
        </w:rPr>
      </w:pPr>
      <w:r w:rsidRPr="00326C08">
        <w:rPr>
          <w:rFonts w:ascii="Calibri" w:hAnsi="Calibri"/>
          <w:color w:val="auto"/>
          <w:u w:val="single"/>
        </w:rPr>
        <w:t>CI CONTENTION</w:t>
      </w:r>
      <w:r w:rsidRPr="00326C08">
        <w:rPr>
          <w:rFonts w:ascii="Calibri" w:hAnsi="Calibri"/>
          <w:color w:val="auto"/>
        </w:rPr>
        <w:t xml:space="preserve">:  </w:t>
      </w:r>
      <w:r w:rsidR="005140B1">
        <w:rPr>
          <w:rFonts w:ascii="Calibri" w:hAnsi="Calibri"/>
          <w:color w:val="auto"/>
          <w:szCs w:val="24"/>
        </w:rPr>
        <w:t>The CI states, “</w:t>
      </w:r>
      <w:r w:rsidR="00C86B5F">
        <w:rPr>
          <w:rFonts w:ascii="Calibri" w:hAnsi="Calibri"/>
          <w:color w:val="auto"/>
          <w:szCs w:val="24"/>
        </w:rPr>
        <w:t>The board failed to address the severity of my condition</w:t>
      </w:r>
      <w:r w:rsidR="005140B1">
        <w:rPr>
          <w:rFonts w:ascii="Calibri" w:hAnsi="Calibri"/>
          <w:color w:val="auto"/>
          <w:szCs w:val="24"/>
        </w:rPr>
        <w:t>.</w:t>
      </w:r>
      <w:r w:rsidR="00C86B5F">
        <w:rPr>
          <w:rFonts w:ascii="Calibri" w:hAnsi="Calibri"/>
          <w:color w:val="auto"/>
          <w:szCs w:val="24"/>
        </w:rPr>
        <w:t>”</w:t>
      </w:r>
      <w:r w:rsidR="005140B1">
        <w:rPr>
          <w:rFonts w:ascii="Calibri" w:hAnsi="Calibri"/>
          <w:color w:val="auto"/>
          <w:szCs w:val="24"/>
        </w:rPr>
        <w:t xml:space="preserve">  </w:t>
      </w:r>
      <w:r w:rsidR="00EF5A38">
        <w:rPr>
          <w:rFonts w:ascii="Calibri" w:hAnsi="Calibri"/>
          <w:color w:val="auto"/>
          <w:szCs w:val="24"/>
        </w:rPr>
        <w:t>Sh</w:t>
      </w:r>
      <w:r w:rsidR="005140B1" w:rsidRPr="005140B1">
        <w:rPr>
          <w:rFonts w:ascii="Calibri" w:hAnsi="Calibri"/>
          <w:color w:val="auto"/>
          <w:szCs w:val="24"/>
        </w:rPr>
        <w:t xml:space="preserve">e does not elaborate further or note any additionally contended conditions.     </w:t>
      </w:r>
    </w:p>
    <w:p w:rsidR="00106AD8" w:rsidRPr="00C23429" w:rsidRDefault="00106AD8" w:rsidP="00411FDC">
      <w:pPr>
        <w:pBdr>
          <w:bottom w:val="single" w:sz="12" w:space="1" w:color="auto"/>
        </w:pBdr>
        <w:tabs>
          <w:tab w:val="left" w:pos="288"/>
          <w:tab w:val="left" w:pos="4752"/>
        </w:tabs>
        <w:spacing w:line="240" w:lineRule="exact"/>
        <w:jc w:val="both"/>
        <w:rPr>
          <w:rFonts w:ascii="Calibri" w:hAnsi="Calibri"/>
          <w:color w:val="auto"/>
          <w:szCs w:val="24"/>
        </w:rPr>
      </w:pPr>
    </w:p>
    <w:p w:rsidR="00C86B5F" w:rsidRDefault="00C86B5F" w:rsidP="00411FDC">
      <w:pPr>
        <w:spacing w:line="240" w:lineRule="exact"/>
        <w:rPr>
          <w:rFonts w:ascii="Calibri" w:hAnsi="Calibri"/>
          <w:color w:val="auto"/>
          <w:u w:val="single"/>
        </w:rPr>
      </w:pPr>
    </w:p>
    <w:p w:rsidR="002338CA" w:rsidRPr="00326C08" w:rsidRDefault="002C6E5B" w:rsidP="00411FDC">
      <w:pPr>
        <w:spacing w:line="240" w:lineRule="exact"/>
        <w:rPr>
          <w:rFonts w:ascii="Calibri" w:hAnsi="Calibri"/>
          <w:color w:val="auto"/>
        </w:rPr>
      </w:pPr>
      <w:r w:rsidRPr="00326C08">
        <w:rPr>
          <w:rFonts w:ascii="Calibri" w:hAnsi="Calibri"/>
          <w:color w:val="auto"/>
          <w:u w:val="single"/>
        </w:rPr>
        <w:t>RATING COMPARISON</w:t>
      </w:r>
      <w:r w:rsidRPr="00326C08">
        <w:rPr>
          <w:rFonts w:ascii="Calibri" w:hAnsi="Calibri"/>
          <w:color w:val="auto"/>
        </w:rPr>
        <w:t>:</w:t>
      </w:r>
    </w:p>
    <w:p w:rsidR="00F82981" w:rsidRPr="00396779" w:rsidRDefault="00F82981" w:rsidP="00411FDC">
      <w:pPr>
        <w:tabs>
          <w:tab w:val="left" w:pos="288"/>
          <w:tab w:val="left" w:pos="4752"/>
        </w:tabs>
        <w:spacing w:line="240" w:lineRule="exact"/>
        <w:jc w:val="both"/>
        <w:rPr>
          <w:rFonts w:ascii="Calibri" w:hAnsi="Calibri"/>
          <w:color w:val="auto"/>
        </w:rPr>
      </w:pPr>
    </w:p>
    <w:tbl>
      <w:tblPr>
        <w:tblW w:w="9393" w:type="dxa"/>
        <w:jc w:val="center"/>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708"/>
        <w:gridCol w:w="810"/>
        <w:gridCol w:w="2892"/>
        <w:gridCol w:w="720"/>
        <w:gridCol w:w="810"/>
        <w:gridCol w:w="1023"/>
      </w:tblGrid>
      <w:tr w:rsidR="00684E2B" w:rsidRPr="00396779" w:rsidTr="00CF4FBA">
        <w:trPr>
          <w:trHeight w:val="233"/>
          <w:jc w:val="center"/>
        </w:trPr>
        <w:tc>
          <w:tcPr>
            <w:tcW w:w="3948" w:type="dxa"/>
            <w:gridSpan w:val="3"/>
            <w:tcBorders>
              <w:right w:val="thinThickThinSmallGap" w:sz="24" w:space="0" w:color="auto"/>
            </w:tcBorders>
            <w:shd w:val="clear" w:color="auto" w:fill="D9D9D9"/>
            <w:vAlign w:val="center"/>
          </w:tcPr>
          <w:p w:rsidR="00684E2B" w:rsidRPr="00EF7C0E" w:rsidRDefault="00684E2B" w:rsidP="00CF4FBA">
            <w:pPr>
              <w:pStyle w:val="ListParagraph"/>
              <w:spacing w:after="0" w:line="240" w:lineRule="exact"/>
              <w:ind w:left="0"/>
              <w:jc w:val="center"/>
              <w:rPr>
                <w:b/>
                <w:sz w:val="20"/>
                <w:szCs w:val="20"/>
              </w:rPr>
            </w:pPr>
            <w:r w:rsidRPr="00EF7C0E">
              <w:rPr>
                <w:b/>
                <w:sz w:val="20"/>
                <w:szCs w:val="20"/>
              </w:rPr>
              <w:t xml:space="preserve">Service </w:t>
            </w:r>
            <w:r w:rsidR="00D51CE8" w:rsidRPr="00EF7C0E">
              <w:rPr>
                <w:b/>
                <w:sz w:val="20"/>
                <w:szCs w:val="20"/>
              </w:rPr>
              <w:t>F</w:t>
            </w:r>
            <w:r w:rsidRPr="00EF7C0E">
              <w:rPr>
                <w:b/>
                <w:sz w:val="20"/>
                <w:szCs w:val="20"/>
              </w:rPr>
              <w:t>PEB</w:t>
            </w:r>
            <w:r w:rsidR="002B2645" w:rsidRPr="00EF7C0E">
              <w:rPr>
                <w:b/>
                <w:sz w:val="20"/>
                <w:szCs w:val="20"/>
              </w:rPr>
              <w:t xml:space="preserve"> – Dated </w:t>
            </w:r>
            <w:r w:rsidR="00D51CE8" w:rsidRPr="00EF7C0E">
              <w:rPr>
                <w:b/>
                <w:sz w:val="20"/>
                <w:szCs w:val="20"/>
              </w:rPr>
              <w:t>20031017</w:t>
            </w:r>
          </w:p>
        </w:tc>
        <w:tc>
          <w:tcPr>
            <w:tcW w:w="5445" w:type="dxa"/>
            <w:gridSpan w:val="4"/>
            <w:tcBorders>
              <w:left w:val="thinThickThinSmallGap" w:sz="24" w:space="0" w:color="auto"/>
            </w:tcBorders>
            <w:shd w:val="clear" w:color="auto" w:fill="D9D9D9"/>
            <w:vAlign w:val="center"/>
          </w:tcPr>
          <w:p w:rsidR="00684E2B" w:rsidRPr="00EF7C0E" w:rsidRDefault="00684E2B" w:rsidP="00CF4FBA">
            <w:pPr>
              <w:pStyle w:val="ListParagraph"/>
              <w:spacing w:after="0" w:line="240" w:lineRule="exact"/>
              <w:ind w:left="0"/>
              <w:jc w:val="center"/>
              <w:rPr>
                <w:b/>
                <w:sz w:val="20"/>
                <w:szCs w:val="20"/>
              </w:rPr>
            </w:pPr>
            <w:r w:rsidRPr="00EF7C0E">
              <w:rPr>
                <w:b/>
                <w:sz w:val="20"/>
                <w:szCs w:val="20"/>
              </w:rPr>
              <w:t>VA (</w:t>
            </w:r>
            <w:r w:rsidR="00D51CE8" w:rsidRPr="00EF7C0E">
              <w:rPr>
                <w:b/>
                <w:sz w:val="20"/>
                <w:szCs w:val="20"/>
              </w:rPr>
              <w:t xml:space="preserve">11 </w:t>
            </w:r>
            <w:r w:rsidRPr="00EF7C0E">
              <w:rPr>
                <w:b/>
                <w:sz w:val="20"/>
                <w:szCs w:val="20"/>
              </w:rPr>
              <w:t xml:space="preserve">Mo. </w:t>
            </w:r>
            <w:r w:rsidR="00D51CE8" w:rsidRPr="00EF7C0E">
              <w:rPr>
                <w:b/>
                <w:sz w:val="20"/>
                <w:szCs w:val="20"/>
              </w:rPr>
              <w:t>After</w:t>
            </w:r>
            <w:r w:rsidRPr="00EF7C0E">
              <w:rPr>
                <w:b/>
                <w:sz w:val="20"/>
                <w:szCs w:val="20"/>
              </w:rPr>
              <w:t xml:space="preserve"> Separation)</w:t>
            </w:r>
            <w:r w:rsidR="000C3C13" w:rsidRPr="00EF7C0E">
              <w:rPr>
                <w:b/>
                <w:sz w:val="20"/>
                <w:szCs w:val="20"/>
              </w:rPr>
              <w:t xml:space="preserve"> – All Effective </w:t>
            </w:r>
            <w:r w:rsidR="006F48FC" w:rsidRPr="00EF7C0E">
              <w:rPr>
                <w:b/>
                <w:sz w:val="20"/>
                <w:szCs w:val="20"/>
              </w:rPr>
              <w:t>200</w:t>
            </w:r>
            <w:r w:rsidR="00AF7A9B">
              <w:rPr>
                <w:b/>
                <w:sz w:val="20"/>
                <w:szCs w:val="20"/>
              </w:rPr>
              <w:t>42</w:t>
            </w:r>
            <w:r w:rsidR="00D51CE8" w:rsidRPr="00EF7C0E">
              <w:rPr>
                <w:b/>
                <w:sz w:val="20"/>
                <w:szCs w:val="20"/>
              </w:rPr>
              <w:t>106</w:t>
            </w:r>
          </w:p>
        </w:tc>
      </w:tr>
      <w:tr w:rsidR="002B2645" w:rsidRPr="00396779" w:rsidTr="00CF4FBA">
        <w:trPr>
          <w:trHeight w:val="233"/>
          <w:jc w:val="center"/>
        </w:trPr>
        <w:tc>
          <w:tcPr>
            <w:tcW w:w="2430" w:type="dxa"/>
            <w:tcBorders>
              <w:bottom w:val="single" w:sz="4" w:space="0" w:color="000000"/>
            </w:tcBorders>
            <w:shd w:val="clear" w:color="auto" w:fill="D9D9D9"/>
            <w:vAlign w:val="center"/>
          </w:tcPr>
          <w:p w:rsidR="002B2645" w:rsidRPr="00EF7C0E" w:rsidRDefault="002B2645" w:rsidP="00CF4FBA">
            <w:pPr>
              <w:pStyle w:val="ListParagraph"/>
              <w:spacing w:after="0" w:line="240" w:lineRule="exact"/>
              <w:ind w:left="0"/>
              <w:jc w:val="center"/>
              <w:rPr>
                <w:b/>
                <w:sz w:val="20"/>
                <w:szCs w:val="20"/>
              </w:rPr>
            </w:pPr>
            <w:r w:rsidRPr="00EF7C0E">
              <w:rPr>
                <w:b/>
                <w:sz w:val="20"/>
                <w:szCs w:val="20"/>
              </w:rPr>
              <w:t>Condition</w:t>
            </w:r>
          </w:p>
        </w:tc>
        <w:tc>
          <w:tcPr>
            <w:tcW w:w="708" w:type="dxa"/>
            <w:tcBorders>
              <w:bottom w:val="single" w:sz="4" w:space="0" w:color="000000"/>
            </w:tcBorders>
            <w:shd w:val="clear" w:color="auto" w:fill="D9D9D9"/>
            <w:vAlign w:val="center"/>
          </w:tcPr>
          <w:p w:rsidR="002B2645" w:rsidRPr="00EF7C0E" w:rsidRDefault="002B2645" w:rsidP="00CF4FBA">
            <w:pPr>
              <w:pStyle w:val="ListParagraph"/>
              <w:spacing w:after="0" w:line="240" w:lineRule="exact"/>
              <w:ind w:left="0"/>
              <w:jc w:val="center"/>
              <w:rPr>
                <w:b/>
                <w:sz w:val="20"/>
                <w:szCs w:val="20"/>
              </w:rPr>
            </w:pPr>
            <w:r w:rsidRPr="00EF7C0E">
              <w:rPr>
                <w:b/>
                <w:sz w:val="20"/>
                <w:szCs w:val="20"/>
              </w:rPr>
              <w:t>Code</w:t>
            </w:r>
          </w:p>
        </w:tc>
        <w:tc>
          <w:tcPr>
            <w:tcW w:w="810" w:type="dxa"/>
            <w:tcBorders>
              <w:bottom w:val="single" w:sz="4" w:space="0" w:color="000000"/>
              <w:right w:val="thinThickThinSmallGap" w:sz="24" w:space="0" w:color="auto"/>
            </w:tcBorders>
            <w:shd w:val="clear" w:color="auto" w:fill="D9D9D9"/>
            <w:vAlign w:val="center"/>
          </w:tcPr>
          <w:p w:rsidR="002B2645" w:rsidRPr="00EF7C0E" w:rsidRDefault="002B2645" w:rsidP="00CF4FBA">
            <w:pPr>
              <w:pStyle w:val="ListParagraph"/>
              <w:spacing w:after="0" w:line="240" w:lineRule="exact"/>
              <w:ind w:left="0"/>
              <w:jc w:val="center"/>
              <w:rPr>
                <w:b/>
                <w:sz w:val="20"/>
                <w:szCs w:val="20"/>
              </w:rPr>
            </w:pPr>
            <w:r w:rsidRPr="00EF7C0E">
              <w:rPr>
                <w:b/>
                <w:sz w:val="20"/>
                <w:szCs w:val="20"/>
              </w:rPr>
              <w:t>Rating</w:t>
            </w:r>
          </w:p>
        </w:tc>
        <w:tc>
          <w:tcPr>
            <w:tcW w:w="2892" w:type="dxa"/>
            <w:tcBorders>
              <w:left w:val="thinThickThinSmallGap" w:sz="24" w:space="0" w:color="auto"/>
              <w:bottom w:val="single" w:sz="4" w:space="0" w:color="000000"/>
            </w:tcBorders>
            <w:shd w:val="clear" w:color="auto" w:fill="D9D9D9"/>
            <w:vAlign w:val="center"/>
          </w:tcPr>
          <w:p w:rsidR="002B2645" w:rsidRPr="00EF7C0E" w:rsidRDefault="002B2645" w:rsidP="00CF4FBA">
            <w:pPr>
              <w:pStyle w:val="ListParagraph"/>
              <w:spacing w:after="0" w:line="240" w:lineRule="exact"/>
              <w:ind w:left="0"/>
              <w:jc w:val="center"/>
              <w:rPr>
                <w:b/>
                <w:sz w:val="20"/>
                <w:szCs w:val="20"/>
              </w:rPr>
            </w:pPr>
            <w:r w:rsidRPr="00EF7C0E">
              <w:rPr>
                <w:b/>
                <w:sz w:val="20"/>
                <w:szCs w:val="20"/>
              </w:rPr>
              <w:t>Condition</w:t>
            </w:r>
          </w:p>
        </w:tc>
        <w:tc>
          <w:tcPr>
            <w:tcW w:w="720" w:type="dxa"/>
            <w:tcBorders>
              <w:bottom w:val="single" w:sz="4" w:space="0" w:color="000000"/>
            </w:tcBorders>
            <w:shd w:val="clear" w:color="auto" w:fill="D9D9D9"/>
            <w:vAlign w:val="center"/>
          </w:tcPr>
          <w:p w:rsidR="002B2645" w:rsidRPr="00EF7C0E" w:rsidRDefault="002B2645" w:rsidP="00CF4FBA">
            <w:pPr>
              <w:pStyle w:val="ListParagraph"/>
              <w:spacing w:after="0" w:line="240" w:lineRule="exact"/>
              <w:ind w:left="0"/>
              <w:jc w:val="center"/>
              <w:rPr>
                <w:b/>
                <w:sz w:val="20"/>
                <w:szCs w:val="20"/>
              </w:rPr>
            </w:pPr>
            <w:r w:rsidRPr="00EF7C0E">
              <w:rPr>
                <w:b/>
                <w:sz w:val="20"/>
                <w:szCs w:val="20"/>
              </w:rPr>
              <w:t>Code</w:t>
            </w:r>
          </w:p>
        </w:tc>
        <w:tc>
          <w:tcPr>
            <w:tcW w:w="810" w:type="dxa"/>
            <w:tcBorders>
              <w:bottom w:val="single" w:sz="4" w:space="0" w:color="000000"/>
            </w:tcBorders>
            <w:shd w:val="clear" w:color="auto" w:fill="D9D9D9"/>
            <w:vAlign w:val="center"/>
          </w:tcPr>
          <w:p w:rsidR="002B2645" w:rsidRPr="00EF7C0E" w:rsidRDefault="002B2645" w:rsidP="00CF4FBA">
            <w:pPr>
              <w:pStyle w:val="ListParagraph"/>
              <w:spacing w:after="0" w:line="240" w:lineRule="exact"/>
              <w:ind w:left="0"/>
              <w:jc w:val="center"/>
              <w:rPr>
                <w:b/>
                <w:sz w:val="20"/>
                <w:szCs w:val="20"/>
              </w:rPr>
            </w:pPr>
            <w:r w:rsidRPr="00EF7C0E">
              <w:rPr>
                <w:b/>
                <w:sz w:val="20"/>
                <w:szCs w:val="20"/>
              </w:rPr>
              <w:t>Rating</w:t>
            </w:r>
          </w:p>
        </w:tc>
        <w:tc>
          <w:tcPr>
            <w:tcW w:w="1023" w:type="dxa"/>
            <w:tcBorders>
              <w:bottom w:val="single" w:sz="4" w:space="0" w:color="000000"/>
            </w:tcBorders>
            <w:shd w:val="clear" w:color="auto" w:fill="D9D9D9"/>
            <w:vAlign w:val="center"/>
          </w:tcPr>
          <w:p w:rsidR="002B2645" w:rsidRPr="00EF7C0E" w:rsidRDefault="002B2645" w:rsidP="00CF4FBA">
            <w:pPr>
              <w:pStyle w:val="ListParagraph"/>
              <w:spacing w:after="0" w:line="240" w:lineRule="exact"/>
              <w:ind w:left="0"/>
              <w:jc w:val="center"/>
              <w:rPr>
                <w:b/>
                <w:sz w:val="20"/>
                <w:szCs w:val="20"/>
              </w:rPr>
            </w:pPr>
            <w:r w:rsidRPr="00EF7C0E">
              <w:rPr>
                <w:b/>
                <w:sz w:val="20"/>
                <w:szCs w:val="20"/>
              </w:rPr>
              <w:t>Exam</w:t>
            </w:r>
          </w:p>
        </w:tc>
      </w:tr>
      <w:tr w:rsidR="006274B4" w:rsidRPr="00396779" w:rsidTr="00CF4FBA">
        <w:trPr>
          <w:trHeight w:val="62"/>
          <w:jc w:val="center"/>
        </w:trPr>
        <w:tc>
          <w:tcPr>
            <w:tcW w:w="2430" w:type="dxa"/>
            <w:shd w:val="clear" w:color="auto" w:fill="FFFFFF"/>
            <w:vAlign w:val="center"/>
          </w:tcPr>
          <w:p w:rsidR="006274B4" w:rsidRPr="00EF7C0E" w:rsidRDefault="00D51CE8" w:rsidP="005140B1">
            <w:pPr>
              <w:pStyle w:val="ListParagraph"/>
              <w:spacing w:after="0" w:line="220" w:lineRule="exact"/>
              <w:ind w:left="0"/>
              <w:rPr>
                <w:sz w:val="18"/>
                <w:szCs w:val="18"/>
              </w:rPr>
            </w:pPr>
            <w:r w:rsidRPr="00EF7C0E">
              <w:rPr>
                <w:sz w:val="18"/>
                <w:szCs w:val="18"/>
              </w:rPr>
              <w:t>Depression</w:t>
            </w:r>
          </w:p>
        </w:tc>
        <w:tc>
          <w:tcPr>
            <w:tcW w:w="708" w:type="dxa"/>
            <w:shd w:val="clear" w:color="auto" w:fill="FFFFFF"/>
            <w:vAlign w:val="center"/>
          </w:tcPr>
          <w:p w:rsidR="006274B4" w:rsidRPr="00EF7C0E" w:rsidRDefault="00D51CE8" w:rsidP="00CF4FBA">
            <w:pPr>
              <w:pStyle w:val="ListParagraph"/>
              <w:spacing w:after="0" w:line="220" w:lineRule="exact"/>
              <w:ind w:left="0"/>
              <w:jc w:val="center"/>
              <w:rPr>
                <w:sz w:val="18"/>
                <w:szCs w:val="18"/>
              </w:rPr>
            </w:pPr>
            <w:r w:rsidRPr="00EF7C0E">
              <w:rPr>
                <w:sz w:val="18"/>
                <w:szCs w:val="18"/>
              </w:rPr>
              <w:t>9434</w:t>
            </w:r>
          </w:p>
        </w:tc>
        <w:tc>
          <w:tcPr>
            <w:tcW w:w="810" w:type="dxa"/>
            <w:tcBorders>
              <w:right w:val="thinThickThinSmallGap" w:sz="24" w:space="0" w:color="auto"/>
            </w:tcBorders>
            <w:shd w:val="clear" w:color="auto" w:fill="FFFFFF"/>
            <w:vAlign w:val="center"/>
          </w:tcPr>
          <w:p w:rsidR="006274B4" w:rsidRPr="00EF7C0E" w:rsidRDefault="00D51CE8" w:rsidP="00CF4FBA">
            <w:pPr>
              <w:pStyle w:val="ListParagraph"/>
              <w:spacing w:after="0" w:line="220" w:lineRule="exact"/>
              <w:ind w:left="0"/>
              <w:jc w:val="center"/>
              <w:rPr>
                <w:sz w:val="18"/>
                <w:szCs w:val="18"/>
              </w:rPr>
            </w:pPr>
            <w:r w:rsidRPr="00EF7C0E">
              <w:rPr>
                <w:sz w:val="18"/>
                <w:szCs w:val="18"/>
              </w:rPr>
              <w:t>10%</w:t>
            </w:r>
          </w:p>
        </w:tc>
        <w:tc>
          <w:tcPr>
            <w:tcW w:w="2892" w:type="dxa"/>
            <w:tcBorders>
              <w:left w:val="thinThickThinSmallGap" w:sz="24" w:space="0" w:color="auto"/>
            </w:tcBorders>
            <w:shd w:val="clear" w:color="auto" w:fill="FFFFFF"/>
            <w:vAlign w:val="center"/>
          </w:tcPr>
          <w:p w:rsidR="006274B4" w:rsidRPr="00EF7C0E" w:rsidRDefault="00D51CE8" w:rsidP="005140B1">
            <w:pPr>
              <w:pStyle w:val="ListParagraph"/>
              <w:spacing w:after="0" w:line="220" w:lineRule="exact"/>
              <w:ind w:left="0"/>
              <w:rPr>
                <w:sz w:val="18"/>
                <w:szCs w:val="18"/>
              </w:rPr>
            </w:pPr>
            <w:r w:rsidRPr="00EF7C0E">
              <w:rPr>
                <w:sz w:val="18"/>
                <w:szCs w:val="18"/>
              </w:rPr>
              <w:t>Major Depression</w:t>
            </w:r>
          </w:p>
        </w:tc>
        <w:tc>
          <w:tcPr>
            <w:tcW w:w="720" w:type="dxa"/>
            <w:shd w:val="clear" w:color="auto" w:fill="FFFFFF"/>
            <w:vAlign w:val="center"/>
          </w:tcPr>
          <w:p w:rsidR="006274B4" w:rsidRPr="00EF7C0E" w:rsidRDefault="00D51CE8" w:rsidP="00CF4FBA">
            <w:pPr>
              <w:pStyle w:val="ListParagraph"/>
              <w:spacing w:after="0" w:line="220" w:lineRule="exact"/>
              <w:ind w:left="0"/>
              <w:jc w:val="center"/>
              <w:rPr>
                <w:sz w:val="18"/>
                <w:szCs w:val="18"/>
              </w:rPr>
            </w:pPr>
            <w:r w:rsidRPr="00EF7C0E">
              <w:rPr>
                <w:sz w:val="18"/>
                <w:szCs w:val="18"/>
              </w:rPr>
              <w:t>9434</w:t>
            </w:r>
          </w:p>
        </w:tc>
        <w:tc>
          <w:tcPr>
            <w:tcW w:w="810" w:type="dxa"/>
            <w:shd w:val="clear" w:color="auto" w:fill="FFFFFF"/>
            <w:vAlign w:val="center"/>
          </w:tcPr>
          <w:p w:rsidR="006274B4" w:rsidRPr="00EF7C0E" w:rsidRDefault="00D51CE8" w:rsidP="00CF4FBA">
            <w:pPr>
              <w:pStyle w:val="ListParagraph"/>
              <w:spacing w:after="0" w:line="220" w:lineRule="exact"/>
              <w:ind w:left="0"/>
              <w:jc w:val="center"/>
              <w:rPr>
                <w:sz w:val="18"/>
                <w:szCs w:val="18"/>
                <w:highlight w:val="yellow"/>
              </w:rPr>
            </w:pPr>
            <w:r w:rsidRPr="00EF7C0E">
              <w:rPr>
                <w:sz w:val="18"/>
                <w:szCs w:val="18"/>
              </w:rPr>
              <w:t>10%</w:t>
            </w:r>
          </w:p>
        </w:tc>
        <w:tc>
          <w:tcPr>
            <w:tcW w:w="1023" w:type="dxa"/>
            <w:shd w:val="clear" w:color="auto" w:fill="FFFFFF"/>
            <w:vAlign w:val="center"/>
          </w:tcPr>
          <w:p w:rsidR="006274B4" w:rsidRPr="00EF7C0E" w:rsidRDefault="00D51CE8" w:rsidP="00CF4FBA">
            <w:pPr>
              <w:pStyle w:val="ListParagraph"/>
              <w:spacing w:after="0" w:line="220" w:lineRule="exact"/>
              <w:ind w:left="0"/>
              <w:jc w:val="center"/>
              <w:rPr>
                <w:sz w:val="18"/>
                <w:szCs w:val="18"/>
                <w:highlight w:val="yellow"/>
              </w:rPr>
            </w:pPr>
            <w:r w:rsidRPr="00EF7C0E">
              <w:rPr>
                <w:sz w:val="18"/>
                <w:szCs w:val="18"/>
              </w:rPr>
              <w:t>20041206</w:t>
            </w:r>
          </w:p>
        </w:tc>
      </w:tr>
      <w:tr w:rsidR="00CF4FBA" w:rsidRPr="00396779" w:rsidTr="00CF4FBA">
        <w:trPr>
          <w:trHeight w:val="188"/>
          <w:jc w:val="center"/>
        </w:trPr>
        <w:tc>
          <w:tcPr>
            <w:tcW w:w="2430" w:type="dxa"/>
            <w:shd w:val="clear" w:color="auto" w:fill="FFFFFF"/>
            <w:vAlign w:val="center"/>
          </w:tcPr>
          <w:p w:rsidR="00CF4FBA" w:rsidRPr="00EF7C0E" w:rsidRDefault="00CF4FBA" w:rsidP="005140B1">
            <w:pPr>
              <w:pStyle w:val="ListParagraph"/>
              <w:spacing w:after="0" w:line="220" w:lineRule="exact"/>
              <w:ind w:left="0"/>
              <w:rPr>
                <w:sz w:val="18"/>
                <w:szCs w:val="18"/>
              </w:rPr>
            </w:pPr>
            <w:r>
              <w:rPr>
                <w:sz w:val="18"/>
                <w:szCs w:val="18"/>
              </w:rPr>
              <w:t>Tobacco Abuse</w:t>
            </w:r>
          </w:p>
        </w:tc>
        <w:tc>
          <w:tcPr>
            <w:tcW w:w="1518" w:type="dxa"/>
            <w:gridSpan w:val="2"/>
            <w:tcBorders>
              <w:right w:val="thinThickThinSmallGap" w:sz="24" w:space="0" w:color="auto"/>
            </w:tcBorders>
            <w:shd w:val="clear" w:color="auto" w:fill="FFFFFF"/>
            <w:vAlign w:val="center"/>
          </w:tcPr>
          <w:p w:rsidR="00CF4FBA" w:rsidRPr="00EF7C0E" w:rsidRDefault="00CF4FBA" w:rsidP="00CF4FBA">
            <w:pPr>
              <w:pStyle w:val="ListParagraph"/>
              <w:spacing w:after="0" w:line="220" w:lineRule="exact"/>
              <w:ind w:left="0"/>
              <w:jc w:val="center"/>
              <w:rPr>
                <w:sz w:val="18"/>
                <w:szCs w:val="18"/>
              </w:rPr>
            </w:pPr>
            <w:r>
              <w:rPr>
                <w:sz w:val="18"/>
                <w:szCs w:val="18"/>
              </w:rPr>
              <w:t>CAT III</w:t>
            </w:r>
          </w:p>
        </w:tc>
        <w:tc>
          <w:tcPr>
            <w:tcW w:w="4422" w:type="dxa"/>
            <w:gridSpan w:val="3"/>
            <w:tcBorders>
              <w:left w:val="thinThickThinSmallGap" w:sz="24" w:space="0" w:color="auto"/>
            </w:tcBorders>
            <w:shd w:val="clear" w:color="auto" w:fill="FFFFFF"/>
            <w:vAlign w:val="center"/>
          </w:tcPr>
          <w:p w:rsidR="00CF4FBA" w:rsidRPr="00EF7C0E" w:rsidRDefault="00CF4FBA" w:rsidP="00CF4FBA">
            <w:pPr>
              <w:pStyle w:val="ListParagraph"/>
              <w:spacing w:after="0" w:line="220" w:lineRule="exact"/>
              <w:ind w:left="0"/>
              <w:jc w:val="center"/>
              <w:rPr>
                <w:sz w:val="18"/>
                <w:szCs w:val="18"/>
              </w:rPr>
            </w:pPr>
            <w:r>
              <w:rPr>
                <w:sz w:val="18"/>
                <w:szCs w:val="18"/>
              </w:rPr>
              <w:t>No VA Rating</w:t>
            </w:r>
          </w:p>
        </w:tc>
        <w:tc>
          <w:tcPr>
            <w:tcW w:w="1023" w:type="dxa"/>
            <w:shd w:val="clear" w:color="auto" w:fill="FFFFFF"/>
            <w:vAlign w:val="center"/>
          </w:tcPr>
          <w:p w:rsidR="00CF4FBA" w:rsidRPr="00EF7C0E" w:rsidRDefault="00CF4FBA" w:rsidP="00CF4FBA">
            <w:pPr>
              <w:pStyle w:val="ListParagraph"/>
              <w:spacing w:after="0" w:line="220" w:lineRule="exact"/>
              <w:ind w:left="0"/>
              <w:jc w:val="center"/>
              <w:rPr>
                <w:sz w:val="18"/>
                <w:szCs w:val="18"/>
              </w:rPr>
            </w:pPr>
            <w:r w:rsidRPr="00EF7C0E">
              <w:rPr>
                <w:sz w:val="18"/>
                <w:szCs w:val="18"/>
              </w:rPr>
              <w:t>20041206</w:t>
            </w:r>
          </w:p>
        </w:tc>
      </w:tr>
      <w:tr w:rsidR="00BE5F92" w:rsidRPr="00396779" w:rsidTr="00CF4FBA">
        <w:trPr>
          <w:trHeight w:val="125"/>
          <w:jc w:val="center"/>
        </w:trPr>
        <w:tc>
          <w:tcPr>
            <w:tcW w:w="3948" w:type="dxa"/>
            <w:gridSpan w:val="3"/>
            <w:tcBorders>
              <w:bottom w:val="single" w:sz="4" w:space="0" w:color="auto"/>
              <w:right w:val="thinThickThinSmallGap" w:sz="24" w:space="0" w:color="auto"/>
            </w:tcBorders>
            <w:shd w:val="clear" w:color="auto" w:fill="FFFFFF"/>
            <w:vAlign w:val="center"/>
          </w:tcPr>
          <w:p w:rsidR="00BE5F92" w:rsidRPr="00EF7C0E" w:rsidRDefault="00F90F7D" w:rsidP="00CF4FBA">
            <w:pPr>
              <w:pStyle w:val="ListParagraph"/>
              <w:spacing w:after="0" w:line="220" w:lineRule="exact"/>
              <w:ind w:left="0"/>
              <w:jc w:val="center"/>
              <w:rPr>
                <w:sz w:val="18"/>
                <w:szCs w:val="18"/>
              </w:rPr>
            </w:pPr>
            <w:r w:rsidRPr="00EF7C0E">
              <w:rPr>
                <w:sz w:val="18"/>
                <w:szCs w:val="18"/>
              </w:rPr>
              <w:t>↓No Additional MEB Entries↓</w:t>
            </w:r>
          </w:p>
        </w:tc>
        <w:tc>
          <w:tcPr>
            <w:tcW w:w="4422" w:type="dxa"/>
            <w:gridSpan w:val="3"/>
            <w:tcBorders>
              <w:left w:val="thinThickThinSmallGap" w:sz="24" w:space="0" w:color="auto"/>
            </w:tcBorders>
            <w:shd w:val="clear" w:color="auto" w:fill="FFFFFF"/>
            <w:vAlign w:val="center"/>
          </w:tcPr>
          <w:p w:rsidR="00BE5F92" w:rsidRPr="00EF7C0E" w:rsidRDefault="00F90F7D" w:rsidP="00CF4FBA">
            <w:pPr>
              <w:pStyle w:val="ListParagraph"/>
              <w:spacing w:after="0" w:line="220" w:lineRule="exact"/>
              <w:ind w:left="0"/>
              <w:jc w:val="center"/>
              <w:rPr>
                <w:sz w:val="18"/>
                <w:szCs w:val="18"/>
              </w:rPr>
            </w:pPr>
            <w:r w:rsidRPr="00EF7C0E">
              <w:rPr>
                <w:sz w:val="18"/>
                <w:szCs w:val="18"/>
              </w:rPr>
              <w:t>0% x 3</w:t>
            </w:r>
            <w:r w:rsidR="00BE5F92" w:rsidRPr="00EF7C0E">
              <w:rPr>
                <w:sz w:val="18"/>
                <w:szCs w:val="18"/>
              </w:rPr>
              <w:t xml:space="preserve"> / NSC x </w:t>
            </w:r>
            <w:r w:rsidRPr="00EF7C0E">
              <w:rPr>
                <w:sz w:val="18"/>
                <w:szCs w:val="18"/>
              </w:rPr>
              <w:t>2</w:t>
            </w:r>
          </w:p>
        </w:tc>
        <w:tc>
          <w:tcPr>
            <w:tcW w:w="1023" w:type="dxa"/>
            <w:shd w:val="clear" w:color="auto" w:fill="FFFFFF"/>
            <w:vAlign w:val="center"/>
          </w:tcPr>
          <w:p w:rsidR="00BE5F92" w:rsidRPr="00EF7C0E" w:rsidRDefault="00BE5F92" w:rsidP="00CF4FBA">
            <w:pPr>
              <w:pStyle w:val="ListParagraph"/>
              <w:spacing w:after="0" w:line="220" w:lineRule="exact"/>
              <w:ind w:left="0"/>
              <w:jc w:val="center"/>
              <w:rPr>
                <w:sz w:val="18"/>
                <w:szCs w:val="18"/>
              </w:rPr>
            </w:pPr>
            <w:r w:rsidRPr="00EF7C0E">
              <w:rPr>
                <w:sz w:val="18"/>
                <w:szCs w:val="18"/>
              </w:rPr>
              <w:t>20041206</w:t>
            </w:r>
          </w:p>
        </w:tc>
      </w:tr>
      <w:tr w:rsidR="00C87F76" w:rsidRPr="00396779" w:rsidTr="00CF4FBA">
        <w:trPr>
          <w:trHeight w:val="242"/>
          <w:jc w:val="center"/>
        </w:trPr>
        <w:tc>
          <w:tcPr>
            <w:tcW w:w="3948" w:type="dxa"/>
            <w:gridSpan w:val="3"/>
            <w:tcBorders>
              <w:right w:val="thinThickThinSmallGap" w:sz="24" w:space="0" w:color="auto"/>
            </w:tcBorders>
            <w:shd w:val="clear" w:color="auto" w:fill="D9D9D9"/>
            <w:vAlign w:val="center"/>
          </w:tcPr>
          <w:p w:rsidR="00C87F76" w:rsidRPr="00EF7C0E" w:rsidRDefault="00C87F76" w:rsidP="00CF4FBA">
            <w:pPr>
              <w:pStyle w:val="ListParagraph"/>
              <w:spacing w:after="0" w:line="240" w:lineRule="exact"/>
              <w:ind w:left="0"/>
              <w:jc w:val="center"/>
              <w:rPr>
                <w:b/>
                <w:sz w:val="20"/>
                <w:szCs w:val="20"/>
              </w:rPr>
            </w:pPr>
            <w:r w:rsidRPr="00EF7C0E">
              <w:rPr>
                <w:b/>
                <w:sz w:val="20"/>
                <w:szCs w:val="20"/>
              </w:rPr>
              <w:t xml:space="preserve">Combined: </w:t>
            </w:r>
            <w:r w:rsidR="00BE5F92" w:rsidRPr="00EF7C0E">
              <w:rPr>
                <w:b/>
                <w:sz w:val="20"/>
                <w:szCs w:val="20"/>
              </w:rPr>
              <w:t>1</w:t>
            </w:r>
            <w:r w:rsidRPr="00EF7C0E">
              <w:rPr>
                <w:b/>
                <w:sz w:val="20"/>
                <w:szCs w:val="20"/>
              </w:rPr>
              <w:t>0%</w:t>
            </w:r>
          </w:p>
        </w:tc>
        <w:tc>
          <w:tcPr>
            <w:tcW w:w="5445" w:type="dxa"/>
            <w:gridSpan w:val="4"/>
            <w:tcBorders>
              <w:left w:val="thinThickThinSmallGap" w:sz="24" w:space="0" w:color="auto"/>
            </w:tcBorders>
            <w:shd w:val="clear" w:color="auto" w:fill="D9D9D9"/>
            <w:vAlign w:val="center"/>
          </w:tcPr>
          <w:p w:rsidR="00C87F76" w:rsidRPr="00EF7C0E" w:rsidRDefault="00C87F76" w:rsidP="00CF4FBA">
            <w:pPr>
              <w:pStyle w:val="ListParagraph"/>
              <w:spacing w:after="0" w:line="240" w:lineRule="exact"/>
              <w:ind w:left="0"/>
              <w:jc w:val="center"/>
              <w:rPr>
                <w:b/>
                <w:sz w:val="20"/>
                <w:szCs w:val="20"/>
              </w:rPr>
            </w:pPr>
            <w:r w:rsidRPr="00EF7C0E">
              <w:rPr>
                <w:b/>
                <w:sz w:val="20"/>
                <w:szCs w:val="20"/>
              </w:rPr>
              <w:t>Combined</w:t>
            </w:r>
            <w:r w:rsidR="006F48FC" w:rsidRPr="00EF7C0E">
              <w:rPr>
                <w:b/>
                <w:sz w:val="20"/>
                <w:szCs w:val="20"/>
              </w:rPr>
              <w:t xml:space="preserve">:  </w:t>
            </w:r>
            <w:r w:rsidR="00BE5F92" w:rsidRPr="00EF7C0E">
              <w:rPr>
                <w:b/>
                <w:sz w:val="20"/>
                <w:szCs w:val="20"/>
              </w:rPr>
              <w:t>1</w:t>
            </w:r>
            <w:r w:rsidRPr="00EF7C0E">
              <w:rPr>
                <w:b/>
                <w:sz w:val="20"/>
                <w:szCs w:val="20"/>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2A6E97" w:rsidRDefault="002C6E5B" w:rsidP="0003253E">
      <w:pPr>
        <w:pStyle w:val="Default"/>
        <w:spacing w:line="240" w:lineRule="exact"/>
        <w:jc w:val="both"/>
      </w:pPr>
      <w:r w:rsidRPr="00396779">
        <w:rPr>
          <w:color w:val="auto"/>
          <w:u w:val="single"/>
        </w:rPr>
        <w:t>ANALYSIS SUMMARY</w:t>
      </w:r>
      <w:r w:rsidRPr="00396779">
        <w:rPr>
          <w:color w:val="auto"/>
        </w:rPr>
        <w:t>:</w:t>
      </w:r>
      <w:r w:rsidR="00411FDC">
        <w:rPr>
          <w:color w:val="auto"/>
        </w:rPr>
        <w:t xml:space="preserve">  </w:t>
      </w:r>
      <w:r w:rsidR="0003253E" w:rsidRPr="007277DA">
        <w:t xml:space="preserve">The PEB rating, as described above, was derived from </w:t>
      </w:r>
      <w:proofErr w:type="spellStart"/>
      <w:r w:rsidR="0003253E" w:rsidRPr="007277DA">
        <w:t>DoDI</w:t>
      </w:r>
      <w:proofErr w:type="spellEnd"/>
      <w:r w:rsidR="0003253E" w:rsidRPr="007277DA">
        <w:t xml:space="preserve"> 1332.39 and preceded the promulgation of the </w:t>
      </w:r>
      <w:r w:rsidR="0003253E" w:rsidRPr="007277DA">
        <w:rPr>
          <w:bCs/>
        </w:rPr>
        <w:t>National Defense Authorization Act</w:t>
      </w:r>
      <w:r w:rsidR="0003253E" w:rsidRPr="007277DA">
        <w:t xml:space="preserve"> (NDAA) 2008 mandate for </w:t>
      </w:r>
      <w:proofErr w:type="spellStart"/>
      <w:r w:rsidR="0003253E" w:rsidRPr="00190353">
        <w:t>DoD</w:t>
      </w:r>
      <w:proofErr w:type="spellEnd"/>
      <w:r w:rsidR="0003253E" w:rsidRPr="00190353">
        <w:t xml:space="preserve"> adherence to Veterans’ Administration</w:t>
      </w:r>
      <w:r w:rsidR="0003253E" w:rsidRPr="007277DA">
        <w:t xml:space="preserve"> Schedule for Rating Disabilities (VASRD) §4.129. IAW </w:t>
      </w:r>
      <w:proofErr w:type="spellStart"/>
      <w:r w:rsidR="0003253E" w:rsidRPr="007277DA">
        <w:t>DoDI</w:t>
      </w:r>
      <w:proofErr w:type="spellEnd"/>
      <w:r w:rsidR="0003253E" w:rsidRPr="007277DA">
        <w:t xml:space="preserve"> 6040.44 and </w:t>
      </w:r>
      <w:proofErr w:type="spellStart"/>
      <w:proofErr w:type="gramStart"/>
      <w:r w:rsidR="0003253E" w:rsidRPr="007277DA">
        <w:t>DoD</w:t>
      </w:r>
      <w:proofErr w:type="spellEnd"/>
      <w:proofErr w:type="gramEnd"/>
      <w:r w:rsidR="0003253E" w:rsidRPr="007277DA">
        <w:t xml:space="preserve"> guidance (which applies current VASRD </w:t>
      </w:r>
      <w:r w:rsidR="007A05A5">
        <w:t>§</w:t>
      </w:r>
      <w:r w:rsidR="0003253E" w:rsidRPr="007277DA">
        <w:t xml:space="preserve">4.129 to all Board cases), the Board is obligated to </w:t>
      </w:r>
      <w:r w:rsidR="007A05A5">
        <w:t xml:space="preserve">consider if the </w:t>
      </w:r>
      <w:r w:rsidR="00E56D69">
        <w:t>definition</w:t>
      </w:r>
      <w:r w:rsidR="007A05A5">
        <w:t xml:space="preserve"> of §</w:t>
      </w:r>
      <w:r w:rsidR="007A05A5" w:rsidRPr="007277DA">
        <w:t>4.129</w:t>
      </w:r>
      <w:r w:rsidR="007A05A5">
        <w:t xml:space="preserve"> </w:t>
      </w:r>
      <w:r w:rsidR="00E56D69">
        <w:t>is</w:t>
      </w:r>
      <w:r w:rsidR="007A05A5">
        <w:t xml:space="preserve"> met for any psychiatric </w:t>
      </w:r>
      <w:r w:rsidR="00E56D69">
        <w:t>condition resulting in medical separation; i.e., “</w:t>
      </w:r>
      <w:r w:rsidR="00E56D69" w:rsidRPr="002A6E97">
        <w:t>a mental disorder that develops in service as a result of a highly stressful event</w:t>
      </w:r>
      <w:r w:rsidR="00E56D69">
        <w:t>.</w:t>
      </w:r>
      <w:r w:rsidR="0031220B">
        <w:t>”</w:t>
      </w:r>
      <w:r w:rsidR="00E56D69">
        <w:t xml:space="preserve">  If the Board judges that §</w:t>
      </w:r>
      <w:r w:rsidR="00E56D69" w:rsidRPr="007277DA">
        <w:t>4.129</w:t>
      </w:r>
      <w:r w:rsidR="00E56D69">
        <w:t xml:space="preserve"> attaches, it must </w:t>
      </w:r>
      <w:r w:rsidR="0003253E" w:rsidRPr="007277DA">
        <w:t xml:space="preserve">recommend a minimum 50% rating for a retroactive </w:t>
      </w:r>
      <w:r w:rsidR="003826D9">
        <w:t>6</w:t>
      </w:r>
      <w:r w:rsidR="0003253E">
        <w:t>-</w:t>
      </w:r>
      <w:r w:rsidR="0003253E" w:rsidRPr="007277DA">
        <w:t xml:space="preserve">month period on the Temporary Disability Retired List (TDRL).  The Board must then determine the most appropriate fit with VASRD 4.130 criteria </w:t>
      </w:r>
      <w:proofErr w:type="gramStart"/>
      <w:r w:rsidR="0003253E" w:rsidRPr="007277DA">
        <w:t xml:space="preserve">at </w:t>
      </w:r>
      <w:r w:rsidR="003826D9">
        <w:t xml:space="preserve"> 6</w:t>
      </w:r>
      <w:proofErr w:type="gramEnd"/>
      <w:r w:rsidR="0003253E" w:rsidRPr="007277DA">
        <w:t xml:space="preserve"> months for its permanent rating recommendation</w:t>
      </w:r>
      <w:r w:rsidR="00E56D69">
        <w:t>, based on the facts in evidence which are most probative for that interval</w:t>
      </w:r>
      <w:r w:rsidR="0003253E" w:rsidRPr="007277DA">
        <w:t>.</w:t>
      </w:r>
    </w:p>
    <w:p w:rsidR="002A6E97" w:rsidRDefault="002A6E97" w:rsidP="0003253E">
      <w:pPr>
        <w:pStyle w:val="Default"/>
        <w:spacing w:line="240" w:lineRule="exact"/>
        <w:jc w:val="both"/>
      </w:pPr>
    </w:p>
    <w:p w:rsidR="003826D9" w:rsidRDefault="003826D9" w:rsidP="00BE3ECD">
      <w:pPr>
        <w:pStyle w:val="Default"/>
        <w:spacing w:line="240" w:lineRule="exact"/>
        <w:jc w:val="both"/>
        <w:rPr>
          <w:color w:val="auto"/>
          <w:u w:val="single"/>
        </w:rPr>
      </w:pPr>
    </w:p>
    <w:p w:rsidR="0046202E" w:rsidRDefault="008F42BF" w:rsidP="00BE3ECD">
      <w:pPr>
        <w:pStyle w:val="Default"/>
        <w:spacing w:line="240" w:lineRule="exact"/>
        <w:jc w:val="both"/>
        <w:rPr>
          <w:color w:val="auto"/>
        </w:rPr>
      </w:pPr>
      <w:r w:rsidRPr="00F11FAE">
        <w:rPr>
          <w:color w:val="auto"/>
          <w:u w:val="single"/>
        </w:rPr>
        <w:lastRenderedPageBreak/>
        <w:t>Depression</w:t>
      </w:r>
      <w:r>
        <w:rPr>
          <w:color w:val="auto"/>
        </w:rPr>
        <w:t>:</w:t>
      </w:r>
      <w:r w:rsidR="003437C4">
        <w:rPr>
          <w:color w:val="auto"/>
        </w:rPr>
        <w:t xml:space="preserve"> </w:t>
      </w:r>
      <w:r w:rsidR="0024051A">
        <w:rPr>
          <w:color w:val="auto"/>
        </w:rPr>
        <w:t xml:space="preserve"> In February 2001 the</w:t>
      </w:r>
      <w:r>
        <w:rPr>
          <w:color w:val="auto"/>
        </w:rPr>
        <w:t xml:space="preserve"> CI was </w:t>
      </w:r>
      <w:r w:rsidR="0053237D">
        <w:rPr>
          <w:color w:val="auto"/>
        </w:rPr>
        <w:t>deployed to Saudi Arabia.  A few days before her deployment,</w:t>
      </w:r>
      <w:r>
        <w:rPr>
          <w:color w:val="auto"/>
        </w:rPr>
        <w:t xml:space="preserve"> she was sexually and physically assaulted b</w:t>
      </w:r>
      <w:r w:rsidR="0053237D">
        <w:rPr>
          <w:color w:val="auto"/>
        </w:rPr>
        <w:t>y an</w:t>
      </w:r>
      <w:r w:rsidR="0024051A">
        <w:rPr>
          <w:color w:val="auto"/>
        </w:rPr>
        <w:t xml:space="preserve"> individual inside her</w:t>
      </w:r>
      <w:r w:rsidR="0053237D">
        <w:rPr>
          <w:color w:val="auto"/>
        </w:rPr>
        <w:t xml:space="preserve"> home</w:t>
      </w:r>
      <w:r>
        <w:rPr>
          <w:color w:val="auto"/>
        </w:rPr>
        <w:t xml:space="preserve">. </w:t>
      </w:r>
      <w:r w:rsidR="0053237D">
        <w:rPr>
          <w:color w:val="auto"/>
        </w:rPr>
        <w:t xml:space="preserve"> </w:t>
      </w:r>
      <w:r>
        <w:rPr>
          <w:color w:val="auto"/>
        </w:rPr>
        <w:t xml:space="preserve">She </w:t>
      </w:r>
      <w:r w:rsidR="00B949DB">
        <w:rPr>
          <w:color w:val="auto"/>
        </w:rPr>
        <w:t xml:space="preserve">did not report the assault or discuss it with others; and, denied any history of psychiatric symptoms prior to the incident.  </w:t>
      </w:r>
      <w:r>
        <w:rPr>
          <w:color w:val="auto"/>
        </w:rPr>
        <w:t xml:space="preserve">While </w:t>
      </w:r>
      <w:r w:rsidR="00B949DB">
        <w:rPr>
          <w:color w:val="auto"/>
        </w:rPr>
        <w:t xml:space="preserve">deployed she began to experience episodes of depression, and underwent mental health care without disclosure of the assault. </w:t>
      </w:r>
      <w:r w:rsidR="00E21AAB">
        <w:rPr>
          <w:color w:val="auto"/>
        </w:rPr>
        <w:t xml:space="preserve">She was diagnosed with adjustment disorder and treated with an anti-depressant.  </w:t>
      </w:r>
      <w:r w:rsidR="00BB38E3">
        <w:rPr>
          <w:color w:val="auto"/>
        </w:rPr>
        <w:t>She discontinued mental</w:t>
      </w:r>
      <w:r w:rsidR="00640C92">
        <w:rPr>
          <w:color w:val="auto"/>
        </w:rPr>
        <w:t xml:space="preserve"> health care after redeployment;</w:t>
      </w:r>
      <w:r w:rsidR="00BB38E3">
        <w:rPr>
          <w:color w:val="auto"/>
        </w:rPr>
        <w:t xml:space="preserve"> but</w:t>
      </w:r>
      <w:r w:rsidR="00640C92">
        <w:rPr>
          <w:color w:val="auto"/>
        </w:rPr>
        <w:t>,</w:t>
      </w:r>
      <w:r w:rsidR="00BB38E3">
        <w:rPr>
          <w:color w:val="auto"/>
        </w:rPr>
        <w:t xml:space="preserve"> periodically sought care over the subsequent </w:t>
      </w:r>
      <w:r w:rsidR="000E3EA6">
        <w:rPr>
          <w:color w:val="auto"/>
        </w:rPr>
        <w:t>2 years,</w:t>
      </w:r>
      <w:r w:rsidR="00640C92">
        <w:rPr>
          <w:color w:val="auto"/>
        </w:rPr>
        <w:t xml:space="preserve"> including an episode of post-partum depression.  The sexual assault was disclosed during this period; and, the </w:t>
      </w:r>
      <w:r w:rsidR="003826D9">
        <w:rPr>
          <w:color w:val="auto"/>
        </w:rPr>
        <w:t>a</w:t>
      </w:r>
      <w:r w:rsidR="00640C92">
        <w:rPr>
          <w:color w:val="auto"/>
        </w:rPr>
        <w:t xml:space="preserve">xis I diagnosis was depression, with consideration given to </w:t>
      </w:r>
      <w:r w:rsidR="0024051A">
        <w:rPr>
          <w:color w:val="auto"/>
        </w:rPr>
        <w:t xml:space="preserve">a </w:t>
      </w:r>
      <w:r w:rsidR="00640C92">
        <w:rPr>
          <w:color w:val="auto"/>
        </w:rPr>
        <w:t xml:space="preserve">late onset </w:t>
      </w:r>
      <w:r w:rsidR="0024051A">
        <w:rPr>
          <w:color w:val="auto"/>
        </w:rPr>
        <w:t xml:space="preserve">of </w:t>
      </w:r>
      <w:r w:rsidR="003826D9">
        <w:rPr>
          <w:color w:val="auto"/>
        </w:rPr>
        <w:t>post</w:t>
      </w:r>
      <w:r w:rsidR="00640C92">
        <w:rPr>
          <w:color w:val="auto"/>
        </w:rPr>
        <w:t>traumatic stress disorder (PTSD).  In May 2003</w:t>
      </w:r>
      <w:r w:rsidR="006A290B">
        <w:rPr>
          <w:color w:val="auto"/>
        </w:rPr>
        <w:t>, during a stressful overseas tour,</w:t>
      </w:r>
      <w:r w:rsidR="00640C92">
        <w:rPr>
          <w:color w:val="auto"/>
        </w:rPr>
        <w:t xml:space="preserve"> she reported suicidal ideation</w:t>
      </w:r>
      <w:r w:rsidR="006A290B">
        <w:rPr>
          <w:color w:val="auto"/>
        </w:rPr>
        <w:t>;</w:t>
      </w:r>
      <w:r w:rsidR="00640C92">
        <w:rPr>
          <w:color w:val="auto"/>
        </w:rPr>
        <w:t xml:space="preserve"> and</w:t>
      </w:r>
      <w:r w:rsidR="006A290B">
        <w:rPr>
          <w:color w:val="auto"/>
        </w:rPr>
        <w:t>,</w:t>
      </w:r>
      <w:r w:rsidR="00640C92">
        <w:rPr>
          <w:color w:val="auto"/>
        </w:rPr>
        <w:t xml:space="preserve"> underwent a 7 day hospital admission for major depression.</w:t>
      </w:r>
      <w:r w:rsidR="00B45246">
        <w:rPr>
          <w:color w:val="auto"/>
        </w:rPr>
        <w:t xml:space="preserve"> </w:t>
      </w:r>
      <w:r w:rsidR="00640C92">
        <w:rPr>
          <w:color w:val="auto"/>
        </w:rPr>
        <w:t xml:space="preserve"> </w:t>
      </w:r>
      <w:r w:rsidR="000E3EA6">
        <w:rPr>
          <w:color w:val="auto"/>
        </w:rPr>
        <w:t>Her condition was stabilizing</w:t>
      </w:r>
      <w:r w:rsidR="002C6D22">
        <w:rPr>
          <w:color w:val="auto"/>
        </w:rPr>
        <w:t xml:space="preserve"> afterwards, but her profile and security limitations were incompatible with her </w:t>
      </w:r>
      <w:r w:rsidR="00424F51">
        <w:rPr>
          <w:color w:val="auto"/>
        </w:rPr>
        <w:t>AFS; and, her duties had been modified by her commander accordingly.</w:t>
      </w:r>
      <w:r w:rsidR="002C6D22">
        <w:rPr>
          <w:color w:val="auto"/>
        </w:rPr>
        <w:t xml:space="preserve">  Retraini</w:t>
      </w:r>
      <w:r w:rsidR="0024051A">
        <w:rPr>
          <w:color w:val="auto"/>
        </w:rPr>
        <w:t>ng and retention were discussed;</w:t>
      </w:r>
      <w:r w:rsidR="002C6D22">
        <w:rPr>
          <w:color w:val="auto"/>
        </w:rPr>
        <w:t xml:space="preserve"> but</w:t>
      </w:r>
      <w:r w:rsidR="0024051A">
        <w:rPr>
          <w:color w:val="auto"/>
        </w:rPr>
        <w:t>,</w:t>
      </w:r>
      <w:r w:rsidR="002C6D22">
        <w:rPr>
          <w:color w:val="auto"/>
        </w:rPr>
        <w:t xml:space="preserve"> the CI did not believe that she could </w:t>
      </w:r>
      <w:r w:rsidR="00991B81">
        <w:rPr>
          <w:color w:val="auto"/>
        </w:rPr>
        <w:t>maintain her own standards for continued military service</w:t>
      </w:r>
      <w:r w:rsidR="0024051A">
        <w:rPr>
          <w:color w:val="auto"/>
        </w:rPr>
        <w:t>, and MEB proceedings ensued</w:t>
      </w:r>
      <w:r w:rsidR="000E3EA6">
        <w:rPr>
          <w:color w:val="auto"/>
        </w:rPr>
        <w:t xml:space="preserve">.  </w:t>
      </w:r>
    </w:p>
    <w:p w:rsidR="0046202E" w:rsidRDefault="0046202E" w:rsidP="00BE3ECD">
      <w:pPr>
        <w:pStyle w:val="Default"/>
        <w:spacing w:line="240" w:lineRule="exact"/>
        <w:jc w:val="both"/>
        <w:rPr>
          <w:color w:val="auto"/>
        </w:rPr>
      </w:pPr>
    </w:p>
    <w:p w:rsidR="0046202E" w:rsidRDefault="000E3EA6" w:rsidP="00BE3ECD">
      <w:pPr>
        <w:pStyle w:val="Default"/>
        <w:spacing w:line="240" w:lineRule="exact"/>
        <w:jc w:val="both"/>
        <w:rPr>
          <w:color w:val="auto"/>
        </w:rPr>
      </w:pPr>
      <w:r>
        <w:rPr>
          <w:color w:val="auto"/>
        </w:rPr>
        <w:t>At the time of the MEB psychia</w:t>
      </w:r>
      <w:r w:rsidR="0024051A">
        <w:rPr>
          <w:color w:val="auto"/>
        </w:rPr>
        <w:t>tric narrative summary (NARSUM)</w:t>
      </w:r>
      <w:r>
        <w:rPr>
          <w:color w:val="auto"/>
        </w:rPr>
        <w:t xml:space="preserve"> with an addendum</w:t>
      </w:r>
      <w:r w:rsidR="003826D9">
        <w:rPr>
          <w:color w:val="auto"/>
        </w:rPr>
        <w:t xml:space="preserve"> dated 6 months prior to </w:t>
      </w:r>
      <w:r w:rsidR="0024051A">
        <w:rPr>
          <w:color w:val="auto"/>
        </w:rPr>
        <w:t>separation,</w:t>
      </w:r>
      <w:r>
        <w:rPr>
          <w:color w:val="auto"/>
        </w:rPr>
        <w:t xml:space="preserve"> the CI was </w:t>
      </w:r>
      <w:r w:rsidR="0024051A">
        <w:rPr>
          <w:color w:val="auto"/>
        </w:rPr>
        <w:t>compliant with</w:t>
      </w:r>
      <w:r w:rsidR="00795708">
        <w:rPr>
          <w:color w:val="auto"/>
        </w:rPr>
        <w:t xml:space="preserve"> m</w:t>
      </w:r>
      <w:r w:rsidR="0024051A">
        <w:rPr>
          <w:color w:val="auto"/>
        </w:rPr>
        <w:t xml:space="preserve">edications and outpatient </w:t>
      </w:r>
      <w:r w:rsidR="00795708">
        <w:rPr>
          <w:color w:val="auto"/>
        </w:rPr>
        <w:t>therapy</w:t>
      </w:r>
      <w:r w:rsidR="001278BD">
        <w:rPr>
          <w:color w:val="auto"/>
        </w:rPr>
        <w:t>;</w:t>
      </w:r>
      <w:r w:rsidR="00795708">
        <w:rPr>
          <w:color w:val="auto"/>
        </w:rPr>
        <w:t xml:space="preserve"> and</w:t>
      </w:r>
      <w:r w:rsidR="001278BD">
        <w:rPr>
          <w:color w:val="auto"/>
        </w:rPr>
        <w:t>,</w:t>
      </w:r>
      <w:r w:rsidR="00795708">
        <w:rPr>
          <w:color w:val="auto"/>
        </w:rPr>
        <w:t xml:space="preserve"> was felt to be slowly improving </w:t>
      </w:r>
      <w:r w:rsidR="001278BD">
        <w:rPr>
          <w:color w:val="auto"/>
        </w:rPr>
        <w:t>with treatment</w:t>
      </w:r>
      <w:r w:rsidR="00795708">
        <w:rPr>
          <w:color w:val="auto"/>
        </w:rPr>
        <w:t xml:space="preserve">.  The NARSUM </w:t>
      </w:r>
      <w:r w:rsidR="005F1F5F">
        <w:rPr>
          <w:color w:val="auto"/>
        </w:rPr>
        <w:t xml:space="preserve">documented </w:t>
      </w:r>
      <w:r w:rsidR="00795708">
        <w:rPr>
          <w:color w:val="auto"/>
        </w:rPr>
        <w:t xml:space="preserve">a recent rebound of </w:t>
      </w:r>
      <w:r w:rsidR="00C26807">
        <w:rPr>
          <w:color w:val="auto"/>
        </w:rPr>
        <w:t>“</w:t>
      </w:r>
      <w:proofErr w:type="spellStart"/>
      <w:r w:rsidR="00C26807" w:rsidRPr="00C26807">
        <w:rPr>
          <w:color w:val="auto"/>
        </w:rPr>
        <w:t>neurovegetative</w:t>
      </w:r>
      <w:proofErr w:type="spellEnd"/>
      <w:r w:rsidR="00C26807" w:rsidRPr="00C26807">
        <w:rPr>
          <w:color w:val="auto"/>
        </w:rPr>
        <w:t xml:space="preserve"> symptoms of depression including </w:t>
      </w:r>
      <w:proofErr w:type="spellStart"/>
      <w:r w:rsidR="00C26807" w:rsidRPr="00C26807">
        <w:rPr>
          <w:color w:val="auto"/>
        </w:rPr>
        <w:t>hypersomnia</w:t>
      </w:r>
      <w:proofErr w:type="spellEnd"/>
      <w:r w:rsidR="00C26807" w:rsidRPr="00C26807">
        <w:rPr>
          <w:color w:val="auto"/>
        </w:rPr>
        <w:t xml:space="preserve">, decreased motivation, </w:t>
      </w:r>
      <w:proofErr w:type="spellStart"/>
      <w:r w:rsidR="00C26807" w:rsidRPr="00C26807">
        <w:rPr>
          <w:color w:val="auto"/>
        </w:rPr>
        <w:t>anhedonia</w:t>
      </w:r>
      <w:proofErr w:type="spellEnd"/>
      <w:r w:rsidR="00C26807" w:rsidRPr="00C26807">
        <w:rPr>
          <w:color w:val="auto"/>
        </w:rPr>
        <w:t>, and decreased energy</w:t>
      </w:r>
      <w:r w:rsidR="00C26807">
        <w:rPr>
          <w:color w:val="auto"/>
        </w:rPr>
        <w:t>;</w:t>
      </w:r>
      <w:r w:rsidR="0031220B">
        <w:rPr>
          <w:color w:val="auto"/>
        </w:rPr>
        <w:t>”</w:t>
      </w:r>
      <w:r w:rsidR="00C26807">
        <w:rPr>
          <w:color w:val="auto"/>
        </w:rPr>
        <w:t xml:space="preserve"> which were at least partly attributed to situational stressors</w:t>
      </w:r>
      <w:r w:rsidR="001278BD">
        <w:rPr>
          <w:color w:val="auto"/>
        </w:rPr>
        <w:t xml:space="preserve"> (</w:t>
      </w:r>
      <w:r w:rsidR="00C26807" w:rsidRPr="00743071">
        <w:rPr>
          <w:color w:val="auto"/>
        </w:rPr>
        <w:t xml:space="preserve">separation from </w:t>
      </w:r>
      <w:r w:rsidR="001278BD">
        <w:rPr>
          <w:color w:val="auto"/>
        </w:rPr>
        <w:t xml:space="preserve">her </w:t>
      </w:r>
      <w:r w:rsidR="00C26807" w:rsidRPr="00743071">
        <w:rPr>
          <w:color w:val="auto"/>
        </w:rPr>
        <w:t>husband</w:t>
      </w:r>
      <w:r w:rsidR="00C26807">
        <w:rPr>
          <w:color w:val="auto"/>
        </w:rPr>
        <w:t xml:space="preserve"> </w:t>
      </w:r>
      <w:r w:rsidR="00C26807" w:rsidRPr="00743071">
        <w:rPr>
          <w:color w:val="auto"/>
        </w:rPr>
        <w:t>and uncertainty about the future</w:t>
      </w:r>
      <w:r w:rsidR="00C26807">
        <w:rPr>
          <w:color w:val="auto"/>
        </w:rPr>
        <w:t xml:space="preserve">).  </w:t>
      </w:r>
      <w:r w:rsidR="00991B81">
        <w:rPr>
          <w:color w:val="auto"/>
        </w:rPr>
        <w:t xml:space="preserve">The </w:t>
      </w:r>
      <w:r w:rsidR="00991B81" w:rsidRPr="007277DA">
        <w:t>mental status examination (MSE)</w:t>
      </w:r>
      <w:r w:rsidR="00991B81">
        <w:t xml:space="preserve"> was notable only for a “mildly anxious and </w:t>
      </w:r>
      <w:proofErr w:type="spellStart"/>
      <w:r w:rsidR="00991B81">
        <w:t>dysphoric</w:t>
      </w:r>
      <w:proofErr w:type="spellEnd"/>
      <w:r w:rsidR="00991B81">
        <w:t xml:space="preserve">” mood.  </w:t>
      </w:r>
      <w:r w:rsidR="00991B81" w:rsidRPr="00991B81">
        <w:rPr>
          <w:rFonts w:eastAsiaTheme="minorHAnsi" w:cstheme="minorBidi"/>
          <w:color w:val="auto"/>
        </w:rPr>
        <w:t xml:space="preserve">There was no </w:t>
      </w:r>
      <w:r w:rsidR="00991B81">
        <w:rPr>
          <w:rFonts w:eastAsiaTheme="minorHAnsi" w:cstheme="minorBidi"/>
          <w:color w:val="auto"/>
        </w:rPr>
        <w:t xml:space="preserve">active </w:t>
      </w:r>
      <w:r w:rsidR="00991B81" w:rsidRPr="00991B81">
        <w:rPr>
          <w:rFonts w:eastAsiaTheme="minorHAnsi" w:cstheme="minorBidi"/>
          <w:color w:val="auto"/>
        </w:rPr>
        <w:t>suicidal ideation, delusional or hallucinatory symptoms, speech disturbance, objective cognitive impairment,</w:t>
      </w:r>
      <w:r w:rsidR="004439BB">
        <w:rPr>
          <w:rFonts w:eastAsiaTheme="minorHAnsi" w:cstheme="minorBidi"/>
          <w:color w:val="auto"/>
        </w:rPr>
        <w:t xml:space="preserve"> or other abnormality</w:t>
      </w:r>
      <w:r w:rsidR="00991B81" w:rsidRPr="00991B81">
        <w:rPr>
          <w:rFonts w:eastAsiaTheme="minorHAnsi" w:cstheme="minorBidi"/>
          <w:color w:val="auto"/>
        </w:rPr>
        <w:t xml:space="preserve">.  </w:t>
      </w:r>
      <w:r w:rsidR="004439BB">
        <w:rPr>
          <w:color w:val="auto"/>
        </w:rPr>
        <w:t xml:space="preserve">The Global Assessment of Functioning (GAF) assignment was 60, </w:t>
      </w:r>
      <w:r w:rsidR="00E46D47">
        <w:rPr>
          <w:color w:val="auto"/>
        </w:rPr>
        <w:t xml:space="preserve">indicative of </w:t>
      </w:r>
      <w:r w:rsidR="004439BB">
        <w:rPr>
          <w:color w:val="auto"/>
        </w:rPr>
        <w:t>mild to moderate impairment.</w:t>
      </w:r>
      <w:r w:rsidR="004439BB" w:rsidRPr="004439BB">
        <w:rPr>
          <w:color w:val="auto"/>
        </w:rPr>
        <w:t xml:space="preserve"> </w:t>
      </w:r>
      <w:r w:rsidR="004439BB">
        <w:rPr>
          <w:color w:val="auto"/>
        </w:rPr>
        <w:t xml:space="preserve"> The </w:t>
      </w:r>
      <w:proofErr w:type="spellStart"/>
      <w:r w:rsidR="004439BB">
        <w:rPr>
          <w:color w:val="auto"/>
        </w:rPr>
        <w:t>DoDI</w:t>
      </w:r>
      <w:proofErr w:type="spellEnd"/>
      <w:r w:rsidR="004439BB">
        <w:rPr>
          <w:color w:val="auto"/>
        </w:rPr>
        <w:t xml:space="preserve"> 1332.39-</w:t>
      </w:r>
      <w:r w:rsidR="004439BB" w:rsidRPr="004439BB">
        <w:rPr>
          <w:color w:val="auto"/>
        </w:rPr>
        <w:t>derived</w:t>
      </w:r>
      <w:r w:rsidR="004439BB">
        <w:rPr>
          <w:color w:val="auto"/>
        </w:rPr>
        <w:t xml:space="preserve"> assessment of social</w:t>
      </w:r>
      <w:r w:rsidR="0031220B">
        <w:rPr>
          <w:color w:val="auto"/>
        </w:rPr>
        <w:t xml:space="preserve"> and industrial impairment was “</w:t>
      </w:r>
      <w:r w:rsidR="004439BB">
        <w:rPr>
          <w:color w:val="auto"/>
        </w:rPr>
        <w:t>mild,</w:t>
      </w:r>
      <w:r w:rsidR="0031220B">
        <w:rPr>
          <w:color w:val="auto"/>
        </w:rPr>
        <w:t>”</w:t>
      </w:r>
      <w:r w:rsidR="004439BB">
        <w:rPr>
          <w:color w:val="auto"/>
        </w:rPr>
        <w:t xml:space="preserve"> and </w:t>
      </w:r>
      <w:r w:rsidR="00424F51" w:rsidRPr="00773B0B">
        <w:t>assessment of</w:t>
      </w:r>
      <w:r w:rsidR="00424F51">
        <w:rPr>
          <w:color w:val="auto"/>
        </w:rPr>
        <w:t xml:space="preserve"> </w:t>
      </w:r>
      <w:r w:rsidR="0031220B">
        <w:rPr>
          <w:color w:val="auto"/>
        </w:rPr>
        <w:t>military impairment was “</w:t>
      </w:r>
      <w:r w:rsidR="004439BB">
        <w:rPr>
          <w:color w:val="auto"/>
        </w:rPr>
        <w:t>marked.</w:t>
      </w:r>
      <w:r w:rsidR="0031220B">
        <w:rPr>
          <w:color w:val="auto"/>
        </w:rPr>
        <w:t>”</w:t>
      </w:r>
      <w:r w:rsidR="00424F51" w:rsidRPr="00424F51">
        <w:rPr>
          <w:color w:val="auto"/>
        </w:rPr>
        <w:t xml:space="preserve"> </w:t>
      </w:r>
      <w:r w:rsidR="00424F51">
        <w:rPr>
          <w:color w:val="auto"/>
        </w:rPr>
        <w:t xml:space="preserve"> </w:t>
      </w:r>
      <w:proofErr w:type="gramStart"/>
      <w:r w:rsidR="003826D9">
        <w:rPr>
          <w:color w:val="auto"/>
        </w:rPr>
        <w:t>t</w:t>
      </w:r>
      <w:r w:rsidR="00424F51">
        <w:rPr>
          <w:color w:val="auto"/>
        </w:rPr>
        <w:t>he</w:t>
      </w:r>
      <w:proofErr w:type="gramEnd"/>
      <w:r w:rsidR="00424F51">
        <w:rPr>
          <w:color w:val="auto"/>
        </w:rPr>
        <w:t xml:space="preserve"> Axis I diagnosis was “major </w:t>
      </w:r>
      <w:r w:rsidR="00424F51" w:rsidRPr="00BE3ECD">
        <w:rPr>
          <w:color w:val="auto"/>
        </w:rPr>
        <w:t>depressive disorder, single episode, moderate.</w:t>
      </w:r>
      <w:r w:rsidR="0031220B">
        <w:rPr>
          <w:color w:val="auto"/>
        </w:rPr>
        <w:t>”</w:t>
      </w:r>
      <w:r w:rsidR="00424F51" w:rsidRPr="00BE3ECD">
        <w:rPr>
          <w:color w:val="auto"/>
        </w:rPr>
        <w:t xml:space="preserve">  </w:t>
      </w:r>
      <w:r w:rsidR="00BE3ECD" w:rsidRPr="00BE3ECD">
        <w:rPr>
          <w:color w:val="auto"/>
        </w:rPr>
        <w:t xml:space="preserve"> </w:t>
      </w:r>
    </w:p>
    <w:p w:rsidR="0046202E" w:rsidRDefault="0046202E" w:rsidP="00BE3ECD">
      <w:pPr>
        <w:pStyle w:val="Default"/>
        <w:spacing w:line="240" w:lineRule="exact"/>
        <w:jc w:val="both"/>
        <w:rPr>
          <w:color w:val="auto"/>
        </w:rPr>
      </w:pPr>
    </w:p>
    <w:p w:rsidR="00BE3ECD" w:rsidRDefault="00BE3ECD" w:rsidP="00BE3ECD">
      <w:pPr>
        <w:pStyle w:val="Default"/>
        <w:spacing w:line="240" w:lineRule="exact"/>
        <w:jc w:val="both"/>
        <w:rPr>
          <w:color w:val="auto"/>
        </w:rPr>
      </w:pPr>
      <w:r w:rsidRPr="00BE3ECD">
        <w:rPr>
          <w:color w:val="auto"/>
        </w:rPr>
        <w:t xml:space="preserve">The first psychiatric evaluation in evidence after separation was the </w:t>
      </w:r>
      <w:r w:rsidR="003826D9">
        <w:rPr>
          <w:color w:val="auto"/>
        </w:rPr>
        <w:t>Department of Veterans’ Affairs (D</w:t>
      </w:r>
      <w:r w:rsidRPr="00BE3ECD">
        <w:rPr>
          <w:color w:val="auto"/>
        </w:rPr>
        <w:t>VA</w:t>
      </w:r>
      <w:r w:rsidR="003826D9">
        <w:rPr>
          <w:color w:val="auto"/>
        </w:rPr>
        <w:t>)</w:t>
      </w:r>
      <w:r w:rsidRPr="00BE3ECD">
        <w:rPr>
          <w:color w:val="auto"/>
        </w:rPr>
        <w:t xml:space="preserve"> </w:t>
      </w:r>
      <w:r>
        <w:rPr>
          <w:color w:val="auto"/>
        </w:rPr>
        <w:t>mental health</w:t>
      </w:r>
      <w:r w:rsidRPr="00BE3ECD">
        <w:rPr>
          <w:color w:val="auto"/>
        </w:rPr>
        <w:t xml:space="preserve"> </w:t>
      </w:r>
      <w:r w:rsidRPr="00BE3ECD">
        <w:rPr>
          <w:rFonts w:cs="Times New Roman"/>
          <w:color w:val="auto"/>
        </w:rPr>
        <w:t>Compensation and Pension (C&amp;P) rating</w:t>
      </w:r>
      <w:r>
        <w:rPr>
          <w:rFonts w:cs="Times New Roman"/>
          <w:color w:val="auto"/>
        </w:rPr>
        <w:t xml:space="preserve"> exam </w:t>
      </w:r>
      <w:r>
        <w:rPr>
          <w:color w:val="auto"/>
        </w:rPr>
        <w:t xml:space="preserve">11 months later.  This documented that </w:t>
      </w:r>
      <w:r w:rsidR="000521D5">
        <w:rPr>
          <w:color w:val="auto"/>
        </w:rPr>
        <w:t xml:space="preserve">the </w:t>
      </w:r>
      <w:r>
        <w:rPr>
          <w:color w:val="auto"/>
        </w:rPr>
        <w:t xml:space="preserve">CI had </w:t>
      </w:r>
      <w:r w:rsidR="004116DF">
        <w:rPr>
          <w:color w:val="auto"/>
        </w:rPr>
        <w:t>discontinued</w:t>
      </w:r>
      <w:r>
        <w:rPr>
          <w:color w:val="auto"/>
        </w:rPr>
        <w:t xml:space="preserve"> counseling </w:t>
      </w:r>
      <w:r w:rsidR="004116DF">
        <w:rPr>
          <w:color w:val="auto"/>
        </w:rPr>
        <w:t>and</w:t>
      </w:r>
      <w:r>
        <w:rPr>
          <w:color w:val="auto"/>
        </w:rPr>
        <w:t xml:space="preserve"> psychotherapy following separation</w:t>
      </w:r>
      <w:r w:rsidR="00E46D47">
        <w:rPr>
          <w:color w:val="auto"/>
        </w:rPr>
        <w:t>;</w:t>
      </w:r>
      <w:r>
        <w:rPr>
          <w:color w:val="auto"/>
        </w:rPr>
        <w:t xml:space="preserve"> but</w:t>
      </w:r>
      <w:r w:rsidR="00E46D47">
        <w:rPr>
          <w:color w:val="auto"/>
        </w:rPr>
        <w:t>,</w:t>
      </w:r>
      <w:r>
        <w:rPr>
          <w:color w:val="auto"/>
        </w:rPr>
        <w:t xml:space="preserve"> </w:t>
      </w:r>
      <w:r w:rsidR="004116DF">
        <w:rPr>
          <w:color w:val="auto"/>
        </w:rPr>
        <w:t>remained on</w:t>
      </w:r>
      <w:r w:rsidR="00E46D47">
        <w:rPr>
          <w:color w:val="auto"/>
        </w:rPr>
        <w:t xml:space="preserve"> mood stabilizing medications (</w:t>
      </w:r>
      <w:proofErr w:type="spellStart"/>
      <w:r w:rsidR="00E46D47">
        <w:rPr>
          <w:color w:val="auto"/>
        </w:rPr>
        <w:t>Wellbutrin</w:t>
      </w:r>
      <w:proofErr w:type="spellEnd"/>
      <w:r w:rsidR="00E46D47">
        <w:rPr>
          <w:color w:val="auto"/>
        </w:rPr>
        <w:t xml:space="preserve"> and Prozac)</w:t>
      </w:r>
      <w:r w:rsidR="004116DF">
        <w:rPr>
          <w:color w:val="auto"/>
        </w:rPr>
        <w:t>,</w:t>
      </w:r>
      <w:r w:rsidR="00E46D47">
        <w:rPr>
          <w:color w:val="auto"/>
        </w:rPr>
        <w:t xml:space="preserve"> which were </w:t>
      </w:r>
      <w:r w:rsidR="004116DF">
        <w:rPr>
          <w:color w:val="auto"/>
        </w:rPr>
        <w:t xml:space="preserve">documented to be </w:t>
      </w:r>
      <w:r w:rsidR="00E46D47">
        <w:rPr>
          <w:color w:val="auto"/>
        </w:rPr>
        <w:t>effective and free of side effects.</w:t>
      </w:r>
      <w:r>
        <w:rPr>
          <w:color w:val="auto"/>
        </w:rPr>
        <w:t xml:space="preserve">  Symptoms had </w:t>
      </w:r>
      <w:r w:rsidR="00E46D47">
        <w:rPr>
          <w:color w:val="auto"/>
        </w:rPr>
        <w:t xml:space="preserve">markedly </w:t>
      </w:r>
      <w:r>
        <w:rPr>
          <w:color w:val="auto"/>
        </w:rPr>
        <w:t xml:space="preserve">improved and were noted to be mild and occasional.  She still manifested some emotional </w:t>
      </w:r>
      <w:proofErr w:type="spellStart"/>
      <w:r>
        <w:rPr>
          <w:color w:val="auto"/>
        </w:rPr>
        <w:t>lability</w:t>
      </w:r>
      <w:proofErr w:type="spellEnd"/>
      <w:r>
        <w:rPr>
          <w:color w:val="auto"/>
        </w:rPr>
        <w:t xml:space="preserve"> (</w:t>
      </w:r>
      <w:r w:rsidR="00E46D47">
        <w:rPr>
          <w:color w:val="auto"/>
        </w:rPr>
        <w:t>crying</w:t>
      </w:r>
      <w:r>
        <w:rPr>
          <w:color w:val="auto"/>
        </w:rPr>
        <w:t xml:space="preserve"> easily) and social </w:t>
      </w:r>
      <w:r w:rsidR="00E46D47">
        <w:rPr>
          <w:color w:val="auto"/>
        </w:rPr>
        <w:t xml:space="preserve">reticence.  </w:t>
      </w:r>
      <w:r w:rsidR="00C00574">
        <w:rPr>
          <w:color w:val="auto"/>
        </w:rPr>
        <w:t xml:space="preserve">Her marriage was intact; and, she was engaged in part-time employment as a firearms instructor, pending completion of an associate’s degree.  </w:t>
      </w:r>
      <w:r w:rsidR="00E46D47">
        <w:rPr>
          <w:color w:val="auto"/>
        </w:rPr>
        <w:t xml:space="preserve">The MSE was significant only for a “mildly to minimally depressed mood” and “mildly reduced range” of affect.  The </w:t>
      </w:r>
      <w:r w:rsidR="003826D9">
        <w:rPr>
          <w:color w:val="auto"/>
        </w:rPr>
        <w:t>a</w:t>
      </w:r>
      <w:r>
        <w:rPr>
          <w:color w:val="auto"/>
        </w:rPr>
        <w:t xml:space="preserve">xis I diagnoses was </w:t>
      </w:r>
      <w:r w:rsidR="00E46D47">
        <w:rPr>
          <w:color w:val="auto"/>
        </w:rPr>
        <w:t>“</w:t>
      </w:r>
      <w:r>
        <w:rPr>
          <w:color w:val="auto"/>
        </w:rPr>
        <w:t xml:space="preserve">major depressive disorder in </w:t>
      </w:r>
      <w:r w:rsidR="00E46D47">
        <w:rPr>
          <w:color w:val="auto"/>
        </w:rPr>
        <w:t xml:space="preserve">partial </w:t>
      </w:r>
      <w:r>
        <w:rPr>
          <w:color w:val="auto"/>
        </w:rPr>
        <w:t>remission</w:t>
      </w:r>
      <w:r w:rsidR="006656F6">
        <w:rPr>
          <w:color w:val="auto"/>
        </w:rPr>
        <w:t>;</w:t>
      </w:r>
      <w:r w:rsidR="00E46D47">
        <w:rPr>
          <w:color w:val="auto"/>
        </w:rPr>
        <w:t>” and, the GAF assignment was 70,</w:t>
      </w:r>
      <w:r>
        <w:rPr>
          <w:color w:val="auto"/>
        </w:rPr>
        <w:t xml:space="preserve"> </w:t>
      </w:r>
      <w:r w:rsidR="00E46D47">
        <w:rPr>
          <w:color w:val="auto"/>
        </w:rPr>
        <w:t xml:space="preserve">indicative of </w:t>
      </w:r>
      <w:r w:rsidR="00C00574">
        <w:rPr>
          <w:color w:val="auto"/>
        </w:rPr>
        <w:t xml:space="preserve">slight to </w:t>
      </w:r>
      <w:r w:rsidR="00E46D47">
        <w:rPr>
          <w:color w:val="auto"/>
        </w:rPr>
        <w:t>mild impairment.</w:t>
      </w:r>
      <w:r w:rsidR="00E46D47" w:rsidRPr="004439BB">
        <w:rPr>
          <w:color w:val="auto"/>
        </w:rPr>
        <w:t xml:space="preserve"> </w:t>
      </w:r>
      <w:r w:rsidR="00C00574">
        <w:rPr>
          <w:color w:val="auto"/>
        </w:rPr>
        <w:t xml:space="preserve"> The VA psychiatrist specifically opined that the diagnostic criteria for PTSD were not m</w:t>
      </w:r>
      <w:r w:rsidR="0046202E">
        <w:rPr>
          <w:color w:val="auto"/>
        </w:rPr>
        <w:t>et.  The VA</w:t>
      </w:r>
      <w:r w:rsidR="00194A87">
        <w:rPr>
          <w:color w:val="auto"/>
        </w:rPr>
        <w:t xml:space="preserve">’s §4.130 rating determination based on this exam was </w:t>
      </w:r>
      <w:r w:rsidR="0046202E">
        <w:rPr>
          <w:color w:val="auto"/>
        </w:rPr>
        <w:t>10%.</w:t>
      </w:r>
    </w:p>
    <w:p w:rsidR="004116DF" w:rsidRDefault="004116DF" w:rsidP="00E81763">
      <w:pPr>
        <w:pStyle w:val="Default"/>
        <w:spacing w:line="240" w:lineRule="exact"/>
        <w:jc w:val="both"/>
        <w:rPr>
          <w:color w:val="auto"/>
        </w:rPr>
      </w:pPr>
    </w:p>
    <w:p w:rsidR="00E81763" w:rsidRPr="00E81763" w:rsidRDefault="005716FB" w:rsidP="00E81763">
      <w:pPr>
        <w:pStyle w:val="Default"/>
        <w:spacing w:line="240" w:lineRule="exact"/>
        <w:jc w:val="both"/>
        <w:rPr>
          <w:color w:val="auto"/>
        </w:rPr>
      </w:pPr>
      <w:r w:rsidRPr="005716FB">
        <w:rPr>
          <w:color w:val="auto"/>
        </w:rPr>
        <w:t xml:space="preserve">The Board </w:t>
      </w:r>
      <w:r w:rsidR="00C61B48">
        <w:rPr>
          <w:color w:val="auto"/>
        </w:rPr>
        <w:t xml:space="preserve">first deliberated whether the </w:t>
      </w:r>
      <w:proofErr w:type="spellStart"/>
      <w:proofErr w:type="gramStart"/>
      <w:r w:rsidR="00C61B48">
        <w:rPr>
          <w:color w:val="auto"/>
        </w:rPr>
        <w:t>DoD</w:t>
      </w:r>
      <w:proofErr w:type="spellEnd"/>
      <w:proofErr w:type="gramEnd"/>
      <w:r w:rsidR="00C61B48">
        <w:rPr>
          <w:color w:val="auto"/>
        </w:rPr>
        <w:t xml:space="preserve"> mandate for application of VASRD §4.129, as previously elaborated, was appropriately applied to its recommendations in this case.  </w:t>
      </w:r>
      <w:r w:rsidR="000811A4">
        <w:rPr>
          <w:color w:val="auto"/>
        </w:rPr>
        <w:t xml:space="preserve">Although somewhat remote from separation, it is clear that the 2001 assault was the precipitant of the CI’s psychiatric disorder; and, it would be hard to argue that it did not qualify as a “highly stressful event” per the §4.129 language.  Although there were some aggravating factors such as pregnancy and private stressors which were not directly linked to service, these were contributory and not etiologic.  </w:t>
      </w:r>
      <w:r w:rsidR="00EC161A">
        <w:rPr>
          <w:color w:val="auto"/>
        </w:rPr>
        <w:t xml:space="preserve">It is noted that the VA did not apply §4.129; </w:t>
      </w:r>
      <w:r w:rsidR="000521D5">
        <w:rPr>
          <w:color w:val="auto"/>
        </w:rPr>
        <w:t>but</w:t>
      </w:r>
      <w:r w:rsidR="00EC161A">
        <w:rPr>
          <w:color w:val="auto"/>
        </w:rPr>
        <w:t xml:space="preserve">, this case presented during an earlier period when compliance with §4.129 was not rigid.  </w:t>
      </w:r>
      <w:r w:rsidR="008D273E">
        <w:rPr>
          <w:color w:val="auto"/>
        </w:rPr>
        <w:t>The Board m</w:t>
      </w:r>
      <w:r w:rsidR="00EC161A">
        <w:rPr>
          <w:color w:val="auto"/>
        </w:rPr>
        <w:t>embers concluded that the preponderance of support lay with Board application of the §4.129 provisions.  The Board then turned to its TDRL and permanent rating recommendations</w:t>
      </w:r>
      <w:r w:rsidR="00E81763">
        <w:rPr>
          <w:color w:val="auto"/>
        </w:rPr>
        <w:t xml:space="preserve"> </w:t>
      </w:r>
      <w:r w:rsidR="00E81763">
        <w:rPr>
          <w:color w:val="auto"/>
        </w:rPr>
        <w:lastRenderedPageBreak/>
        <w:t>based on this conclusion</w:t>
      </w:r>
      <w:r w:rsidR="00EC161A">
        <w:rPr>
          <w:color w:val="auto"/>
        </w:rPr>
        <w:t xml:space="preserve">.  </w:t>
      </w:r>
      <w:r w:rsidR="00E81763">
        <w:rPr>
          <w:color w:val="auto"/>
        </w:rPr>
        <w:t xml:space="preserve">The MEB evidence was most probative to the TDRL rating recommendation, while the post-separation VA C&amp;P evidence was the only probative source for arriving at the permanent rating recommendation.  </w:t>
      </w:r>
      <w:r w:rsidR="00E81763" w:rsidRPr="00E81763">
        <w:rPr>
          <w:color w:val="auto"/>
        </w:rPr>
        <w:t xml:space="preserve">All members agreed that the §4.130 criteria for a TDRL rating higher than 50% at the time of placement on TDRL were not met; and, therefore the minimum 50% TDRL rating prescribed by  §4.129 is applicable. </w:t>
      </w:r>
      <w:r w:rsidR="00E81763">
        <w:rPr>
          <w:color w:val="auto"/>
        </w:rPr>
        <w:t xml:space="preserve"> </w:t>
      </w:r>
      <w:r w:rsidR="00E81763" w:rsidRPr="00E81763">
        <w:rPr>
          <w:color w:val="auto"/>
        </w:rPr>
        <w:t xml:space="preserve">As regards the permanent rating recommendation, all members agreed that the §4.130 threshold for a </w:t>
      </w:r>
      <w:r w:rsidR="00E81763">
        <w:rPr>
          <w:color w:val="auto"/>
        </w:rPr>
        <w:t>5</w:t>
      </w:r>
      <w:r w:rsidR="00E81763" w:rsidRPr="00E81763">
        <w:rPr>
          <w:color w:val="auto"/>
        </w:rPr>
        <w:t xml:space="preserve">0% rating was not approached and that the criteria for a 0% rating were </w:t>
      </w:r>
      <w:r w:rsidR="00E81763">
        <w:rPr>
          <w:color w:val="auto"/>
        </w:rPr>
        <w:t xml:space="preserve">exceeded.  </w:t>
      </w:r>
      <w:r w:rsidR="00E81763" w:rsidRPr="00E81763">
        <w:rPr>
          <w:color w:val="auto"/>
        </w:rPr>
        <w:t xml:space="preserve">The deliberation </w:t>
      </w:r>
      <w:r w:rsidR="00E81763">
        <w:rPr>
          <w:color w:val="auto"/>
        </w:rPr>
        <w:t xml:space="preserve">thus </w:t>
      </w:r>
      <w:r w:rsidR="00E81763" w:rsidRPr="00E81763">
        <w:rPr>
          <w:color w:val="auto"/>
        </w:rPr>
        <w:t xml:space="preserve">settled on arguments for a </w:t>
      </w:r>
      <w:r w:rsidR="0094179C">
        <w:rPr>
          <w:color w:val="auto"/>
        </w:rPr>
        <w:t>3</w:t>
      </w:r>
      <w:r w:rsidR="00E81763" w:rsidRPr="00E81763">
        <w:rPr>
          <w:color w:val="auto"/>
        </w:rPr>
        <w:t xml:space="preserve">0% versus a </w:t>
      </w:r>
      <w:r w:rsidR="0094179C">
        <w:rPr>
          <w:color w:val="auto"/>
        </w:rPr>
        <w:t>1</w:t>
      </w:r>
      <w:r w:rsidR="00E81763" w:rsidRPr="00E81763">
        <w:rPr>
          <w:color w:val="auto"/>
        </w:rPr>
        <w:t xml:space="preserve">0% permanent rating recommendation.  The </w:t>
      </w:r>
      <w:r w:rsidR="0094179C" w:rsidRPr="00E81763">
        <w:rPr>
          <w:color w:val="auto"/>
        </w:rPr>
        <w:t xml:space="preserve">§4.130 </w:t>
      </w:r>
      <w:r w:rsidR="00E81763" w:rsidRPr="00E81763">
        <w:rPr>
          <w:color w:val="auto"/>
        </w:rPr>
        <w:t xml:space="preserve">description </w:t>
      </w:r>
      <w:r w:rsidR="0094179C">
        <w:rPr>
          <w:color w:val="auto"/>
        </w:rPr>
        <w:t xml:space="preserve">for a </w:t>
      </w:r>
      <w:r w:rsidR="0094179C" w:rsidRPr="00E81763">
        <w:rPr>
          <w:color w:val="auto"/>
        </w:rPr>
        <w:t xml:space="preserve">30% </w:t>
      </w:r>
      <w:r w:rsidR="0094179C">
        <w:rPr>
          <w:color w:val="auto"/>
        </w:rPr>
        <w:t xml:space="preserve">rating is </w:t>
      </w:r>
      <w:r w:rsidR="00E81763" w:rsidRPr="00E81763">
        <w:rPr>
          <w:color w:val="auto"/>
        </w:rPr>
        <w:t>“occupational and social impairment with occasional decrease in work efficiency and intermittent periods of inability</w:t>
      </w:r>
      <w:r w:rsidR="0094179C">
        <w:rPr>
          <w:color w:val="auto"/>
        </w:rPr>
        <w:t xml:space="preserve"> to perform occupational tasks;</w:t>
      </w:r>
      <w:r w:rsidR="0031220B">
        <w:rPr>
          <w:color w:val="auto"/>
        </w:rPr>
        <w:t>”</w:t>
      </w:r>
      <w:r w:rsidR="0094179C">
        <w:rPr>
          <w:color w:val="auto"/>
        </w:rPr>
        <w:t xml:space="preserve"> while that for 10%</w:t>
      </w:r>
      <w:r w:rsidR="00E81763" w:rsidRPr="00E81763">
        <w:rPr>
          <w:color w:val="auto"/>
        </w:rPr>
        <w:t xml:space="preserve"> is </w:t>
      </w:r>
      <w:r w:rsidR="0094179C" w:rsidRPr="007277DA">
        <w:t xml:space="preserve">“occupational and social impairment due to mild or transient symptoms </w:t>
      </w:r>
      <w:r w:rsidR="003826D9">
        <w:t>which decrease work efficiency,</w:t>
      </w:r>
      <w:r w:rsidR="0094179C" w:rsidRPr="007277DA">
        <w:t xml:space="preserve"> only during periods of significant stress, or; symptoms controlled by continuous medication</w:t>
      </w:r>
      <w:r w:rsidR="0094179C">
        <w:t>.</w:t>
      </w:r>
      <w:r w:rsidR="0031220B">
        <w:t>”</w:t>
      </w:r>
      <w:r w:rsidR="0094179C">
        <w:t xml:space="preserve">  The VA C&amp;P evidence confirms that the CI suffered residual mil</w:t>
      </w:r>
      <w:r w:rsidR="000521D5">
        <w:t>d symptoms;</w:t>
      </w:r>
      <w:r w:rsidR="0094179C">
        <w:t xml:space="preserve"> but</w:t>
      </w:r>
      <w:r w:rsidR="000521D5">
        <w:t>,</w:t>
      </w:r>
      <w:r w:rsidR="0094179C">
        <w:t xml:space="preserve"> for the most part</w:t>
      </w:r>
      <w:r w:rsidR="000521D5">
        <w:t>,</w:t>
      </w:r>
      <w:r w:rsidR="0094179C">
        <w:t xml:space="preserve"> her condition was under good control on medication.  There was mild social impairment, but no documented occupational impairment.  Members agreed</w:t>
      </w:r>
      <w:r w:rsidR="00101394">
        <w:t>, as also judged by the VA rater, that this impairment was more closely aligned with the 10% criteria than with the 30% criteria.  There may have been some non-disclosed psychiatric interference with work efficiency, but clearly there were no intermittent periods of occupational incapacitation.</w:t>
      </w:r>
      <w:r w:rsidR="00101394">
        <w:rPr>
          <w:color w:val="auto"/>
        </w:rPr>
        <w:t xml:space="preserve">  </w:t>
      </w:r>
      <w:r w:rsidR="00E81763" w:rsidRPr="00E81763">
        <w:rPr>
          <w:color w:val="auto"/>
        </w:rPr>
        <w:t>After due deliberation, considering the totality of the evidence and mindful of VASRD §4.3 (reasonable doubt), t</w:t>
      </w:r>
      <w:r w:rsidR="00101394">
        <w:rPr>
          <w:color w:val="auto"/>
        </w:rPr>
        <w:t>he Board recommends a permanent</w:t>
      </w:r>
      <w:r w:rsidR="00E81763" w:rsidRPr="00E81763">
        <w:rPr>
          <w:color w:val="auto"/>
        </w:rPr>
        <w:t xml:space="preserve"> disability rating of </w:t>
      </w:r>
      <w:r w:rsidR="00101394">
        <w:rPr>
          <w:color w:val="auto"/>
        </w:rPr>
        <w:t>1</w:t>
      </w:r>
      <w:r w:rsidR="00E81763" w:rsidRPr="00E81763">
        <w:rPr>
          <w:color w:val="auto"/>
        </w:rPr>
        <w:t xml:space="preserve">0% </w:t>
      </w:r>
      <w:r w:rsidR="00101394">
        <w:rPr>
          <w:color w:val="auto"/>
        </w:rPr>
        <w:t xml:space="preserve">for </w:t>
      </w:r>
      <w:r w:rsidR="00D62841">
        <w:rPr>
          <w:color w:val="auto"/>
        </w:rPr>
        <w:t xml:space="preserve">the </w:t>
      </w:r>
      <w:r w:rsidR="00101394">
        <w:rPr>
          <w:color w:val="auto"/>
        </w:rPr>
        <w:t xml:space="preserve">depressive </w:t>
      </w:r>
      <w:r w:rsidR="00D62841">
        <w:rPr>
          <w:color w:val="auto"/>
        </w:rPr>
        <w:t xml:space="preserve">disorder </w:t>
      </w:r>
      <w:r w:rsidR="00E81763" w:rsidRPr="00E81763">
        <w:rPr>
          <w:color w:val="auto"/>
        </w:rPr>
        <w:t xml:space="preserve">in this case.  </w:t>
      </w:r>
    </w:p>
    <w:p w:rsidR="00D62841" w:rsidRDefault="00D62841" w:rsidP="00C67BE4">
      <w:pPr>
        <w:spacing w:line="240" w:lineRule="exact"/>
        <w:jc w:val="both"/>
        <w:rPr>
          <w:rFonts w:ascii="Calibri" w:hAnsi="Calibri" w:cs="Calibri"/>
          <w:color w:val="000000" w:themeColor="text1"/>
          <w:szCs w:val="24"/>
          <w:u w:val="single"/>
        </w:rPr>
      </w:pPr>
    </w:p>
    <w:p w:rsidR="00C67BE4" w:rsidRPr="00C67BE4" w:rsidRDefault="00C67BE4" w:rsidP="00C67BE4">
      <w:pPr>
        <w:spacing w:line="240" w:lineRule="exact"/>
        <w:jc w:val="both"/>
        <w:rPr>
          <w:rFonts w:ascii="Calibri" w:hAnsi="Calibri" w:cs="Calibri"/>
          <w:color w:val="000000" w:themeColor="text1"/>
          <w:szCs w:val="24"/>
        </w:rPr>
      </w:pPr>
      <w:proofErr w:type="gramStart"/>
      <w:r w:rsidRPr="00C67BE4">
        <w:rPr>
          <w:rFonts w:ascii="Calibri" w:hAnsi="Calibri" w:cs="Calibri"/>
          <w:color w:val="000000" w:themeColor="text1"/>
          <w:szCs w:val="24"/>
          <w:u w:val="single"/>
        </w:rPr>
        <w:t>Remaining Conditions</w:t>
      </w:r>
      <w:r w:rsidRPr="00D62841">
        <w:rPr>
          <w:rFonts w:ascii="Calibri" w:hAnsi="Calibri" w:cs="Calibri"/>
          <w:color w:val="000000" w:themeColor="text1"/>
          <w:szCs w:val="24"/>
        </w:rPr>
        <w:t>.</w:t>
      </w:r>
      <w:proofErr w:type="gramEnd"/>
      <w:r w:rsidR="00D62841">
        <w:rPr>
          <w:rFonts w:ascii="Calibri" w:hAnsi="Calibri" w:cs="Calibri"/>
          <w:color w:val="000000" w:themeColor="text1"/>
          <w:szCs w:val="24"/>
        </w:rPr>
        <w:t xml:space="preserve">  The o</w:t>
      </w:r>
      <w:r w:rsidR="00911D84">
        <w:rPr>
          <w:rFonts w:ascii="Calibri" w:hAnsi="Calibri" w:cs="Calibri"/>
          <w:color w:val="000000" w:themeColor="text1"/>
          <w:szCs w:val="24"/>
        </w:rPr>
        <w:t>ther condition</w:t>
      </w:r>
      <w:r w:rsidR="00D62841">
        <w:rPr>
          <w:rFonts w:ascii="Calibri" w:hAnsi="Calibri" w:cs="Calibri"/>
          <w:color w:val="000000" w:themeColor="text1"/>
          <w:szCs w:val="24"/>
        </w:rPr>
        <w:t>s</w:t>
      </w:r>
      <w:r w:rsidR="00911D84">
        <w:rPr>
          <w:rFonts w:ascii="Calibri" w:hAnsi="Calibri" w:cs="Calibri"/>
          <w:color w:val="000000" w:themeColor="text1"/>
          <w:szCs w:val="24"/>
        </w:rPr>
        <w:t xml:space="preserve"> identified in the </w:t>
      </w:r>
      <w:r w:rsidR="00D62841">
        <w:rPr>
          <w:rFonts w:ascii="Calibri" w:hAnsi="Calibri" w:cs="Calibri"/>
          <w:color w:val="000000" w:themeColor="text1"/>
          <w:szCs w:val="24"/>
        </w:rPr>
        <w:t xml:space="preserve">core </w:t>
      </w:r>
      <w:r w:rsidR="00911D84">
        <w:rPr>
          <w:rFonts w:ascii="Calibri" w:hAnsi="Calibri" w:cs="Calibri"/>
          <w:color w:val="000000" w:themeColor="text1"/>
          <w:szCs w:val="24"/>
        </w:rPr>
        <w:t xml:space="preserve">DES file </w:t>
      </w:r>
      <w:r w:rsidR="00D62841">
        <w:rPr>
          <w:rFonts w:ascii="Calibri" w:hAnsi="Calibri" w:cs="Calibri"/>
          <w:color w:val="000000" w:themeColor="text1"/>
          <w:szCs w:val="24"/>
        </w:rPr>
        <w:t>were headache and</w:t>
      </w:r>
      <w:r>
        <w:rPr>
          <w:rFonts w:ascii="Calibri" w:hAnsi="Calibri" w:cs="Calibri"/>
          <w:color w:val="000000" w:themeColor="text1"/>
          <w:szCs w:val="24"/>
        </w:rPr>
        <w:t xml:space="preserve"> hypertension. </w:t>
      </w:r>
      <w:r w:rsidR="00D62841">
        <w:rPr>
          <w:rFonts w:ascii="Calibri" w:hAnsi="Calibri" w:cs="Calibri"/>
          <w:color w:val="000000" w:themeColor="text1"/>
          <w:szCs w:val="24"/>
        </w:rPr>
        <w:t xml:space="preserve"> </w:t>
      </w:r>
      <w:r w:rsidR="00B46491">
        <w:rPr>
          <w:rFonts w:ascii="Calibri" w:hAnsi="Calibri" w:cs="Calibri"/>
          <w:color w:val="000000" w:themeColor="text1"/>
          <w:szCs w:val="24"/>
        </w:rPr>
        <w:t>The NARSUM documented a history of headache, which was ascribed to a medication side effect.  Outpatient notes related it to emotional stressors</w:t>
      </w:r>
      <w:r w:rsidR="00B45246">
        <w:rPr>
          <w:rFonts w:ascii="Calibri" w:hAnsi="Calibri" w:cs="Calibri"/>
          <w:color w:val="000000" w:themeColor="text1"/>
          <w:szCs w:val="24"/>
        </w:rPr>
        <w:t xml:space="preserve">.  </w:t>
      </w:r>
      <w:r w:rsidR="00B46491">
        <w:rPr>
          <w:rFonts w:ascii="Calibri" w:hAnsi="Calibri" w:cs="Calibri"/>
          <w:color w:val="000000" w:themeColor="text1"/>
          <w:szCs w:val="24"/>
        </w:rPr>
        <w:t xml:space="preserve">It was noted as </w:t>
      </w:r>
      <w:r w:rsidR="003826D9">
        <w:rPr>
          <w:rFonts w:ascii="Calibri" w:hAnsi="Calibri" w:cs="Calibri"/>
          <w:color w:val="000000" w:themeColor="text1"/>
          <w:szCs w:val="24"/>
        </w:rPr>
        <w:t>impairment</w:t>
      </w:r>
      <w:r w:rsidR="00B46491">
        <w:rPr>
          <w:rFonts w:ascii="Calibri" w:hAnsi="Calibri" w:cs="Calibri"/>
          <w:color w:val="000000" w:themeColor="text1"/>
          <w:szCs w:val="24"/>
        </w:rPr>
        <w:t xml:space="preserve"> in the </w:t>
      </w:r>
      <w:r w:rsidR="003826D9">
        <w:rPr>
          <w:rFonts w:ascii="Calibri" w:hAnsi="Calibri" w:cs="Calibri"/>
          <w:color w:val="000000" w:themeColor="text1"/>
          <w:szCs w:val="24"/>
        </w:rPr>
        <w:t>c</w:t>
      </w:r>
      <w:r w:rsidR="00B46491">
        <w:rPr>
          <w:rFonts w:ascii="Calibri" w:hAnsi="Calibri" w:cs="Calibri"/>
          <w:color w:val="000000" w:themeColor="text1"/>
          <w:szCs w:val="24"/>
        </w:rPr>
        <w:t xml:space="preserve">ommander’s statement, but comments directed to actual AFS impediments were all linked to the mental health issues. </w:t>
      </w:r>
      <w:r w:rsidR="00DE74D0">
        <w:rPr>
          <w:rFonts w:ascii="Calibri" w:hAnsi="Calibri" w:cs="Calibri"/>
          <w:color w:val="000000" w:themeColor="text1"/>
          <w:szCs w:val="24"/>
        </w:rPr>
        <w:t>There was a single incapacitating episode of headache 8 months prior to separation,</w:t>
      </w:r>
      <w:r w:rsidR="00B46491">
        <w:rPr>
          <w:rFonts w:ascii="Calibri" w:hAnsi="Calibri" w:cs="Calibri"/>
          <w:color w:val="000000" w:themeColor="text1"/>
          <w:szCs w:val="24"/>
        </w:rPr>
        <w:t xml:space="preserve"> </w:t>
      </w:r>
      <w:r w:rsidR="00DE74D0">
        <w:rPr>
          <w:rFonts w:ascii="Calibri" w:hAnsi="Calibri" w:cs="Calibri"/>
          <w:color w:val="000000" w:themeColor="text1"/>
          <w:szCs w:val="24"/>
        </w:rPr>
        <w:t xml:space="preserve">but otherwise it was documented that there was no work loss due to headache.  The condition was not profiled or submitted by the MEB as medically unacceptable.  </w:t>
      </w:r>
      <w:r w:rsidR="00AD2CE7">
        <w:rPr>
          <w:rFonts w:ascii="Calibri" w:hAnsi="Calibri" w:cs="Calibri"/>
          <w:color w:val="000000" w:themeColor="text1"/>
          <w:szCs w:val="24"/>
        </w:rPr>
        <w:t xml:space="preserve">The hypertension </w:t>
      </w:r>
      <w:r w:rsidR="000521D5">
        <w:rPr>
          <w:rFonts w:ascii="Calibri" w:hAnsi="Calibri" w:cs="Calibri"/>
          <w:color w:val="000000" w:themeColor="text1"/>
          <w:szCs w:val="24"/>
        </w:rPr>
        <w:t xml:space="preserve">condition </w:t>
      </w:r>
      <w:r w:rsidR="00AD2CE7">
        <w:rPr>
          <w:rFonts w:ascii="Calibri" w:hAnsi="Calibri" w:cs="Calibri"/>
          <w:color w:val="000000" w:themeColor="text1"/>
          <w:szCs w:val="24"/>
        </w:rPr>
        <w:t xml:space="preserve">was asymptomatic and controlled on medication.  </w:t>
      </w:r>
      <w:r w:rsidR="00911D84">
        <w:rPr>
          <w:rFonts w:ascii="Calibri" w:hAnsi="Calibri" w:cs="Calibri"/>
          <w:color w:val="000000" w:themeColor="text1"/>
          <w:szCs w:val="24"/>
        </w:rPr>
        <w:t xml:space="preserve"> </w:t>
      </w:r>
      <w:r w:rsidR="00AD2CE7">
        <w:rPr>
          <w:rFonts w:ascii="Calibri" w:hAnsi="Calibri" w:cs="Calibri"/>
          <w:color w:val="000000" w:themeColor="text1"/>
          <w:szCs w:val="24"/>
        </w:rPr>
        <w:t xml:space="preserve">Both of these </w:t>
      </w:r>
      <w:r w:rsidR="00911D84">
        <w:rPr>
          <w:rFonts w:ascii="Calibri" w:hAnsi="Calibri" w:cs="Calibri"/>
          <w:color w:val="000000" w:themeColor="text1"/>
          <w:szCs w:val="24"/>
        </w:rPr>
        <w:t>condition</w:t>
      </w:r>
      <w:r w:rsidR="00AD2CE7">
        <w:rPr>
          <w:rFonts w:ascii="Calibri" w:hAnsi="Calibri" w:cs="Calibri"/>
          <w:color w:val="000000" w:themeColor="text1"/>
          <w:szCs w:val="24"/>
        </w:rPr>
        <w:t>s were</w:t>
      </w:r>
      <w:r w:rsidRPr="00C67BE4">
        <w:rPr>
          <w:rFonts w:ascii="Calibri" w:hAnsi="Calibri" w:cs="Calibri"/>
          <w:color w:val="000000" w:themeColor="text1"/>
          <w:szCs w:val="24"/>
        </w:rPr>
        <w:t xml:space="preserve"> reviewed by the </w:t>
      </w:r>
      <w:r w:rsidR="003826D9">
        <w:rPr>
          <w:rFonts w:ascii="Calibri" w:hAnsi="Calibri" w:cs="Calibri"/>
          <w:color w:val="000000" w:themeColor="text1"/>
          <w:szCs w:val="24"/>
        </w:rPr>
        <w:t>a</w:t>
      </w:r>
      <w:r w:rsidR="00AD2CE7" w:rsidRPr="00C67BE4">
        <w:rPr>
          <w:rFonts w:ascii="Calibri" w:hAnsi="Calibri" w:cs="Calibri"/>
          <w:color w:val="000000" w:themeColor="text1"/>
          <w:szCs w:val="24"/>
        </w:rPr>
        <w:t xml:space="preserve">ction </w:t>
      </w:r>
      <w:r w:rsidR="003826D9">
        <w:rPr>
          <w:rFonts w:ascii="Calibri" w:hAnsi="Calibri" w:cs="Calibri"/>
          <w:color w:val="000000" w:themeColor="text1"/>
          <w:szCs w:val="24"/>
        </w:rPr>
        <w:t>o</w:t>
      </w:r>
      <w:r w:rsidR="00AD2CE7" w:rsidRPr="00C67BE4">
        <w:rPr>
          <w:rFonts w:ascii="Calibri" w:hAnsi="Calibri" w:cs="Calibri"/>
          <w:color w:val="000000" w:themeColor="text1"/>
          <w:szCs w:val="24"/>
        </w:rPr>
        <w:t xml:space="preserve">fficer </w:t>
      </w:r>
      <w:r w:rsidRPr="00C67BE4">
        <w:rPr>
          <w:rFonts w:ascii="Calibri" w:hAnsi="Calibri" w:cs="Calibri"/>
          <w:color w:val="000000" w:themeColor="text1"/>
          <w:szCs w:val="24"/>
        </w:rPr>
        <w:t>and considered by the Boa</w:t>
      </w:r>
      <w:r w:rsidR="00911D84">
        <w:rPr>
          <w:rFonts w:ascii="Calibri" w:hAnsi="Calibri" w:cs="Calibri"/>
          <w:color w:val="000000" w:themeColor="text1"/>
          <w:szCs w:val="24"/>
        </w:rPr>
        <w:t xml:space="preserve">rd.  It was </w:t>
      </w:r>
      <w:r w:rsidR="00911D84" w:rsidRPr="004C2769">
        <w:rPr>
          <w:rFonts w:ascii="Calibri" w:hAnsi="Calibri" w:cs="Calibri"/>
          <w:color w:val="000000" w:themeColor="text1"/>
          <w:szCs w:val="24"/>
        </w:rPr>
        <w:t xml:space="preserve">determined that </w:t>
      </w:r>
      <w:r w:rsidR="00AD2CE7" w:rsidRPr="004C2769">
        <w:rPr>
          <w:rFonts w:ascii="Calibri" w:hAnsi="Calibri" w:cs="Calibri"/>
          <w:color w:val="000000" w:themeColor="text1"/>
          <w:szCs w:val="24"/>
        </w:rPr>
        <w:t>neither</w:t>
      </w:r>
      <w:r w:rsidRPr="004C2769">
        <w:rPr>
          <w:rFonts w:ascii="Calibri" w:hAnsi="Calibri" w:cs="Calibri"/>
          <w:color w:val="000000" w:themeColor="text1"/>
          <w:szCs w:val="24"/>
        </w:rPr>
        <w:t xml:space="preserve"> could be argued as unfitting</w:t>
      </w:r>
      <w:r w:rsidR="004C2769">
        <w:rPr>
          <w:rFonts w:ascii="Calibri" w:hAnsi="Calibri" w:cs="Calibri"/>
          <w:color w:val="000000" w:themeColor="text1"/>
          <w:szCs w:val="24"/>
        </w:rPr>
        <w:t>,</w:t>
      </w:r>
      <w:r w:rsidRPr="004C2769">
        <w:rPr>
          <w:rFonts w:ascii="Calibri" w:hAnsi="Calibri" w:cs="Calibri"/>
          <w:color w:val="000000" w:themeColor="text1"/>
          <w:szCs w:val="24"/>
        </w:rPr>
        <w:t xml:space="preserve"> </w:t>
      </w:r>
      <w:r w:rsidR="004C2769">
        <w:rPr>
          <w:rFonts w:ascii="Calibri" w:hAnsi="Calibri" w:cs="Calibri"/>
          <w:color w:val="000000" w:themeColor="text1"/>
          <w:szCs w:val="24"/>
        </w:rPr>
        <w:t>and t</w:t>
      </w:r>
      <w:r w:rsidRPr="00C67BE4">
        <w:rPr>
          <w:rFonts w:ascii="Calibri" w:hAnsi="Calibri" w:cs="Calibri"/>
          <w:color w:val="000000" w:themeColor="text1"/>
          <w:szCs w:val="24"/>
        </w:rPr>
        <w:t xml:space="preserve">he Board therefore has no reasonable basis for recommending any additional unfitting conditions for </w:t>
      </w:r>
      <w:r w:rsidR="003826D9">
        <w:rPr>
          <w:rFonts w:ascii="Calibri" w:hAnsi="Calibri" w:cs="Calibri"/>
          <w:color w:val="000000" w:themeColor="text1"/>
          <w:szCs w:val="24"/>
        </w:rPr>
        <w:t>s</w:t>
      </w:r>
      <w:r w:rsidR="004C2769" w:rsidRPr="004C2769">
        <w:rPr>
          <w:rFonts w:ascii="Calibri" w:hAnsi="Calibri" w:cs="Calibri"/>
          <w:color w:val="000000" w:themeColor="text1"/>
          <w:szCs w:val="24"/>
        </w:rPr>
        <w:t xml:space="preserve">ervice disability </w:t>
      </w:r>
      <w:r w:rsidRPr="00C67BE4">
        <w:rPr>
          <w:rFonts w:ascii="Calibri" w:hAnsi="Calibri" w:cs="Calibri"/>
          <w:color w:val="000000" w:themeColor="text1"/>
          <w:szCs w:val="24"/>
        </w:rPr>
        <w:t>rating.</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BE0FE7">
      <w:pPr>
        <w:tabs>
          <w:tab w:val="left" w:pos="288"/>
          <w:tab w:val="left" w:pos="4752"/>
        </w:tabs>
        <w:spacing w:line="240" w:lineRule="exact"/>
        <w:jc w:val="both"/>
        <w:rPr>
          <w:rFonts w:ascii="Calibri" w:hAnsi="Calibri"/>
          <w:color w:val="000080"/>
          <w:szCs w:val="24"/>
        </w:rPr>
      </w:pPr>
    </w:p>
    <w:p w:rsidR="00602011" w:rsidRPr="00444EA7" w:rsidRDefault="00737283" w:rsidP="006716AE">
      <w:pPr>
        <w:spacing w:line="240" w:lineRule="exact"/>
        <w:jc w:val="both"/>
        <w:rPr>
          <w:rFonts w:asciiTheme="minorHAnsi" w:hAnsiTheme="minorHAnsi"/>
          <w:color w:val="auto"/>
          <w:szCs w:val="24"/>
        </w:rPr>
      </w:pPr>
      <w:r w:rsidRPr="00737283">
        <w:rPr>
          <w:rFonts w:ascii="Calibri" w:hAnsi="Calibri"/>
          <w:color w:val="auto"/>
          <w:szCs w:val="24"/>
          <w:u w:val="single"/>
        </w:rPr>
        <w:t>BOARD FINDINGS</w:t>
      </w:r>
      <w:r w:rsidRPr="00737283">
        <w:rPr>
          <w:rFonts w:ascii="Calibri" w:hAnsi="Calibri"/>
          <w:color w:val="auto"/>
          <w:szCs w:val="24"/>
        </w:rPr>
        <w:t>:</w:t>
      </w:r>
      <w:r w:rsidRPr="00737283">
        <w:rPr>
          <w:rFonts w:ascii="Calibri" w:eastAsia="Calibri" w:hAnsi="Calibri"/>
          <w:color w:val="auto"/>
          <w:szCs w:val="24"/>
        </w:rPr>
        <w:t xml:space="preserve">  </w:t>
      </w:r>
      <w:r w:rsidR="00602011" w:rsidRPr="00602011">
        <w:rPr>
          <w:rFonts w:ascii="Calibri" w:eastAsia="Calibri" w:hAnsi="Calibri"/>
          <w:color w:val="auto"/>
          <w:szCs w:val="24"/>
        </w:rPr>
        <w:t xml:space="preserve">IAW </w:t>
      </w:r>
      <w:proofErr w:type="spellStart"/>
      <w:r w:rsidR="00602011" w:rsidRPr="00602011">
        <w:rPr>
          <w:rFonts w:ascii="Calibri" w:eastAsia="Calibri" w:hAnsi="Calibri"/>
          <w:color w:val="auto"/>
          <w:szCs w:val="24"/>
        </w:rPr>
        <w:t>DoDI</w:t>
      </w:r>
      <w:proofErr w:type="spellEnd"/>
      <w:r w:rsidR="00602011" w:rsidRPr="00602011">
        <w:rPr>
          <w:rFonts w:ascii="Calibri" w:eastAsia="Calibri" w:hAnsi="Calibri"/>
          <w:color w:val="auto"/>
          <w:szCs w:val="24"/>
        </w:rPr>
        <w:t xml:space="preserve"> 6040.44, provisions of </w:t>
      </w:r>
      <w:proofErr w:type="spellStart"/>
      <w:r w:rsidR="00602011" w:rsidRPr="00602011">
        <w:rPr>
          <w:rFonts w:ascii="Calibri" w:eastAsia="Calibri" w:hAnsi="Calibri"/>
          <w:color w:val="auto"/>
          <w:szCs w:val="24"/>
        </w:rPr>
        <w:t>DoD</w:t>
      </w:r>
      <w:proofErr w:type="spellEnd"/>
      <w:r w:rsidR="00602011" w:rsidRPr="00602011">
        <w:rPr>
          <w:rFonts w:ascii="Calibri" w:eastAsia="Calibri" w:hAnsi="Calibri"/>
          <w:color w:val="auto"/>
          <w:szCs w:val="24"/>
        </w:rPr>
        <w:t xml:space="preserve"> or Military Department regulations or guidelines relied upon by the PEB will not be considered by the Board to the extent they were inconsistent with the VASRD in effect at the time of the adjudication.</w:t>
      </w:r>
      <w:r w:rsidR="004D185A">
        <w:rPr>
          <w:rFonts w:asciiTheme="minorHAnsi" w:eastAsiaTheme="minorHAnsi" w:hAnsiTheme="minorHAnsi"/>
          <w:color w:val="FF0000"/>
          <w:szCs w:val="24"/>
        </w:rPr>
        <w:t xml:space="preserve"> </w:t>
      </w:r>
      <w:r w:rsidR="004D185A" w:rsidRPr="00664296">
        <w:rPr>
          <w:rFonts w:asciiTheme="minorHAnsi" w:eastAsiaTheme="minorHAnsi" w:hAnsiTheme="minorHAnsi"/>
          <w:color w:val="auto"/>
          <w:szCs w:val="24"/>
        </w:rPr>
        <w:t xml:space="preserve"> As discussed above, PEB reliance on </w:t>
      </w:r>
      <w:proofErr w:type="spellStart"/>
      <w:r w:rsidR="004D185A" w:rsidRPr="00664296">
        <w:rPr>
          <w:rFonts w:asciiTheme="minorHAnsi" w:eastAsiaTheme="minorHAnsi" w:hAnsiTheme="minorHAnsi"/>
          <w:color w:val="auto"/>
          <w:szCs w:val="24"/>
        </w:rPr>
        <w:t>DoDI</w:t>
      </w:r>
      <w:proofErr w:type="spellEnd"/>
      <w:r w:rsidR="004D185A" w:rsidRPr="00664296">
        <w:rPr>
          <w:rFonts w:asciiTheme="minorHAnsi" w:eastAsiaTheme="minorHAnsi" w:hAnsiTheme="minorHAnsi"/>
          <w:color w:val="auto"/>
          <w:szCs w:val="24"/>
        </w:rPr>
        <w:t xml:space="preserve"> 1332.39 for rating</w:t>
      </w:r>
      <w:r w:rsidR="004C2769">
        <w:rPr>
          <w:rFonts w:asciiTheme="minorHAnsi" w:eastAsiaTheme="minorHAnsi" w:hAnsiTheme="minorHAnsi"/>
          <w:color w:val="auto"/>
          <w:szCs w:val="24"/>
        </w:rPr>
        <w:t xml:space="preserve"> the depressive</w:t>
      </w:r>
      <w:r w:rsidR="004D185A">
        <w:rPr>
          <w:rFonts w:asciiTheme="minorHAnsi" w:eastAsiaTheme="minorHAnsi" w:hAnsiTheme="minorHAnsi"/>
          <w:color w:val="auto"/>
          <w:szCs w:val="24"/>
        </w:rPr>
        <w:t xml:space="preserve"> </w:t>
      </w:r>
      <w:r w:rsidR="004C2769">
        <w:rPr>
          <w:rFonts w:asciiTheme="minorHAnsi" w:eastAsiaTheme="minorHAnsi" w:hAnsiTheme="minorHAnsi"/>
          <w:color w:val="auto"/>
          <w:szCs w:val="24"/>
        </w:rPr>
        <w:t>disorder</w:t>
      </w:r>
      <w:r w:rsidR="004D185A" w:rsidRPr="00664296">
        <w:rPr>
          <w:rFonts w:asciiTheme="minorHAnsi" w:eastAsiaTheme="minorHAnsi" w:hAnsiTheme="minorHAnsi"/>
          <w:color w:val="auto"/>
          <w:szCs w:val="24"/>
        </w:rPr>
        <w:t xml:space="preserve"> was operant in this case and the condition was adjudicated </w:t>
      </w:r>
      <w:r w:rsidR="004D185A" w:rsidRPr="00B45246">
        <w:rPr>
          <w:rFonts w:asciiTheme="minorHAnsi" w:eastAsiaTheme="minorHAnsi" w:hAnsiTheme="minorHAnsi"/>
          <w:color w:val="auto"/>
          <w:szCs w:val="24"/>
        </w:rPr>
        <w:t>independently of that instruction by the Board.</w:t>
      </w:r>
      <w:r w:rsidR="00444EA7" w:rsidRPr="00B45246">
        <w:rPr>
          <w:rFonts w:asciiTheme="minorHAnsi" w:eastAsiaTheme="minorHAnsi" w:hAnsiTheme="minorHAnsi"/>
          <w:color w:val="auto"/>
          <w:szCs w:val="24"/>
        </w:rPr>
        <w:t xml:space="preserve"> </w:t>
      </w:r>
      <w:r w:rsidR="004D185A" w:rsidRPr="00B45246">
        <w:rPr>
          <w:rFonts w:asciiTheme="minorHAnsi" w:eastAsiaTheme="minorHAnsi" w:hAnsiTheme="minorHAnsi"/>
          <w:color w:val="auto"/>
          <w:szCs w:val="24"/>
        </w:rPr>
        <w:t xml:space="preserve"> </w:t>
      </w:r>
      <w:r w:rsidR="004C2769" w:rsidRPr="00B45246">
        <w:rPr>
          <w:rFonts w:asciiTheme="minorHAnsi" w:eastAsiaTheme="minorHAnsi" w:hAnsiTheme="minorHAnsi"/>
          <w:color w:val="auto"/>
          <w:szCs w:val="24"/>
        </w:rPr>
        <w:t xml:space="preserve">In the matter of the </w:t>
      </w:r>
      <w:r w:rsidR="006716AE" w:rsidRPr="00B45246">
        <w:rPr>
          <w:rFonts w:asciiTheme="minorHAnsi" w:eastAsiaTheme="minorHAnsi" w:hAnsiTheme="minorHAnsi"/>
          <w:color w:val="auto"/>
          <w:szCs w:val="24"/>
        </w:rPr>
        <w:t>depressive disorder</w:t>
      </w:r>
      <w:r w:rsidR="004C2769" w:rsidRPr="00B45246">
        <w:rPr>
          <w:rFonts w:asciiTheme="minorHAnsi" w:eastAsiaTheme="minorHAnsi" w:hAnsiTheme="minorHAnsi"/>
          <w:color w:val="auto"/>
          <w:szCs w:val="24"/>
        </w:rPr>
        <w:t xml:space="preserve">, the Board unanimously recommends an initial TDRL rating of 50% in retroactive compliance with VASRD §4.129 as </w:t>
      </w:r>
      <w:proofErr w:type="spellStart"/>
      <w:proofErr w:type="gramStart"/>
      <w:r w:rsidR="004C2769" w:rsidRPr="00B45246">
        <w:rPr>
          <w:rFonts w:asciiTheme="minorHAnsi" w:eastAsiaTheme="minorHAnsi" w:hAnsiTheme="minorHAnsi"/>
          <w:color w:val="auto"/>
          <w:szCs w:val="24"/>
        </w:rPr>
        <w:t>D</w:t>
      </w:r>
      <w:r w:rsidR="0031220B">
        <w:rPr>
          <w:rFonts w:asciiTheme="minorHAnsi" w:eastAsiaTheme="minorHAnsi" w:hAnsiTheme="minorHAnsi"/>
          <w:color w:val="auto"/>
          <w:szCs w:val="24"/>
        </w:rPr>
        <w:t>o</w:t>
      </w:r>
      <w:r w:rsidR="004C2769" w:rsidRPr="00B45246">
        <w:rPr>
          <w:rFonts w:asciiTheme="minorHAnsi" w:eastAsiaTheme="minorHAnsi" w:hAnsiTheme="minorHAnsi"/>
          <w:color w:val="auto"/>
          <w:szCs w:val="24"/>
        </w:rPr>
        <w:t>D</w:t>
      </w:r>
      <w:proofErr w:type="spellEnd"/>
      <w:proofErr w:type="gramEnd"/>
      <w:r w:rsidR="004C2769" w:rsidRPr="004C2769">
        <w:rPr>
          <w:rFonts w:asciiTheme="minorHAnsi" w:eastAsiaTheme="minorHAnsi" w:hAnsiTheme="minorHAnsi"/>
          <w:color w:val="auto"/>
          <w:szCs w:val="24"/>
        </w:rPr>
        <w:t xml:space="preserve"> directed and a </w:t>
      </w:r>
      <w:r w:rsidR="006716AE">
        <w:rPr>
          <w:rFonts w:asciiTheme="minorHAnsi" w:eastAsiaTheme="minorHAnsi" w:hAnsiTheme="minorHAnsi"/>
          <w:color w:val="auto"/>
          <w:szCs w:val="24"/>
        </w:rPr>
        <w:t>10</w:t>
      </w:r>
      <w:r w:rsidR="004C2769" w:rsidRPr="004C2769">
        <w:rPr>
          <w:rFonts w:asciiTheme="minorHAnsi" w:eastAsiaTheme="minorHAnsi" w:hAnsiTheme="minorHAnsi"/>
          <w:color w:val="auto"/>
          <w:szCs w:val="24"/>
        </w:rPr>
        <w:t xml:space="preserve">% permanent rating at </w:t>
      </w:r>
      <w:r w:rsidR="003826D9">
        <w:rPr>
          <w:rFonts w:asciiTheme="minorHAnsi" w:eastAsiaTheme="minorHAnsi" w:hAnsiTheme="minorHAnsi"/>
          <w:color w:val="auto"/>
          <w:szCs w:val="24"/>
        </w:rPr>
        <w:t>6</w:t>
      </w:r>
      <w:r w:rsidR="004C2769" w:rsidRPr="004C2769">
        <w:rPr>
          <w:rFonts w:asciiTheme="minorHAnsi" w:eastAsiaTheme="minorHAnsi" w:hAnsiTheme="minorHAnsi"/>
          <w:color w:val="auto"/>
          <w:szCs w:val="24"/>
        </w:rPr>
        <w:t xml:space="preserve"> months IAW VASRD §4.130.</w:t>
      </w:r>
      <w:r w:rsidR="006716AE">
        <w:rPr>
          <w:rFonts w:asciiTheme="minorHAnsi" w:eastAsiaTheme="minorHAnsi" w:hAnsiTheme="minorHAnsi"/>
          <w:color w:val="auto"/>
          <w:szCs w:val="24"/>
        </w:rPr>
        <w:t xml:space="preserve">  </w:t>
      </w:r>
      <w:r w:rsidR="006716AE" w:rsidRPr="006716AE">
        <w:rPr>
          <w:rFonts w:asciiTheme="minorHAnsi" w:eastAsiaTheme="minorHAnsi" w:hAnsiTheme="minorHAnsi"/>
          <w:color w:val="auto"/>
          <w:szCs w:val="24"/>
        </w:rPr>
        <w:t xml:space="preserve">In the matter of the </w:t>
      </w:r>
      <w:r w:rsidR="006716AE">
        <w:rPr>
          <w:rFonts w:asciiTheme="minorHAnsi" w:eastAsiaTheme="minorHAnsi" w:hAnsiTheme="minorHAnsi"/>
          <w:color w:val="auto"/>
          <w:szCs w:val="24"/>
        </w:rPr>
        <w:t>headache</w:t>
      </w:r>
      <w:r w:rsidR="006716AE" w:rsidRPr="006716AE">
        <w:rPr>
          <w:rFonts w:asciiTheme="minorHAnsi" w:eastAsiaTheme="minorHAnsi" w:hAnsiTheme="minorHAnsi"/>
          <w:color w:val="auto"/>
          <w:szCs w:val="24"/>
        </w:rPr>
        <w:t xml:space="preserve"> and </w:t>
      </w:r>
      <w:r w:rsidR="006716AE">
        <w:rPr>
          <w:rFonts w:asciiTheme="minorHAnsi" w:eastAsiaTheme="minorHAnsi" w:hAnsiTheme="minorHAnsi"/>
          <w:color w:val="auto"/>
          <w:szCs w:val="24"/>
        </w:rPr>
        <w:t>hypertension</w:t>
      </w:r>
      <w:r w:rsidR="006716AE" w:rsidRPr="006716AE">
        <w:rPr>
          <w:rFonts w:asciiTheme="minorHAnsi" w:eastAsiaTheme="minorHAnsi" w:hAnsiTheme="minorHAnsi"/>
          <w:color w:val="auto"/>
          <w:szCs w:val="24"/>
        </w:rPr>
        <w:t xml:space="preserve"> conditions</w:t>
      </w:r>
      <w:r w:rsidR="006716AE">
        <w:rPr>
          <w:rFonts w:asciiTheme="minorHAnsi" w:eastAsiaTheme="minorHAnsi" w:hAnsiTheme="minorHAnsi"/>
          <w:color w:val="auto"/>
          <w:szCs w:val="24"/>
        </w:rPr>
        <w:t>,</w:t>
      </w:r>
      <w:r w:rsidR="006716AE" w:rsidRPr="006716AE">
        <w:rPr>
          <w:rFonts w:asciiTheme="minorHAnsi" w:eastAsiaTheme="minorHAnsi" w:hAnsiTheme="minorHAnsi"/>
          <w:color w:val="auto"/>
          <w:szCs w:val="24"/>
        </w:rPr>
        <w:t xml:space="preserve"> or any other medical conditions eligible for Board consideration</w:t>
      </w:r>
      <w:r w:rsidR="006716AE">
        <w:rPr>
          <w:rFonts w:asciiTheme="minorHAnsi" w:eastAsiaTheme="minorHAnsi" w:hAnsiTheme="minorHAnsi"/>
          <w:color w:val="auto"/>
          <w:szCs w:val="24"/>
        </w:rPr>
        <w:t>;</w:t>
      </w:r>
      <w:r w:rsidR="006716AE" w:rsidRPr="006716AE">
        <w:rPr>
          <w:rFonts w:asciiTheme="minorHAnsi" w:eastAsiaTheme="minorHAnsi" w:hAnsiTheme="minorHAnsi"/>
          <w:color w:val="auto"/>
          <w:szCs w:val="24"/>
        </w:rPr>
        <w:t xml:space="preserve"> the Board unanimously agrees that it cannot recommend any findings of unfit for additional </w:t>
      </w:r>
      <w:r w:rsidR="003826D9">
        <w:rPr>
          <w:rFonts w:asciiTheme="minorHAnsi" w:eastAsiaTheme="minorHAnsi" w:hAnsiTheme="minorHAnsi"/>
          <w:color w:val="auto"/>
          <w:szCs w:val="24"/>
        </w:rPr>
        <w:t>s</w:t>
      </w:r>
      <w:r w:rsidR="006716AE" w:rsidRPr="006716AE">
        <w:rPr>
          <w:rFonts w:asciiTheme="minorHAnsi" w:eastAsiaTheme="minorHAnsi" w:hAnsiTheme="minorHAnsi"/>
          <w:color w:val="auto"/>
          <w:szCs w:val="24"/>
        </w:rPr>
        <w:t xml:space="preserve">ervice disability rating.  </w:t>
      </w:r>
    </w:p>
    <w:p w:rsidR="00FC7326" w:rsidRPr="00CD5BD7" w:rsidRDefault="00FC7326" w:rsidP="00BE0FE7">
      <w:pPr>
        <w:pBdr>
          <w:bottom w:val="single" w:sz="12" w:space="1" w:color="auto"/>
        </w:pBdr>
        <w:tabs>
          <w:tab w:val="left" w:pos="288"/>
          <w:tab w:val="left" w:pos="4752"/>
        </w:tabs>
        <w:spacing w:line="240" w:lineRule="exact"/>
        <w:jc w:val="both"/>
        <w:rPr>
          <w:rFonts w:ascii="Calibri" w:hAnsi="Calibri"/>
          <w:color w:val="auto"/>
          <w:szCs w:val="24"/>
        </w:rPr>
      </w:pPr>
    </w:p>
    <w:p w:rsidR="00FC7326" w:rsidRPr="00CD5BD7" w:rsidRDefault="00FC7326" w:rsidP="00BE0FE7">
      <w:pPr>
        <w:tabs>
          <w:tab w:val="left" w:pos="288"/>
          <w:tab w:val="left" w:pos="4752"/>
        </w:tabs>
        <w:spacing w:line="240" w:lineRule="exact"/>
        <w:jc w:val="both"/>
        <w:rPr>
          <w:rFonts w:ascii="Calibri" w:hAnsi="Calibri"/>
          <w:color w:val="000080"/>
          <w:szCs w:val="24"/>
        </w:rPr>
      </w:pPr>
    </w:p>
    <w:p w:rsidR="00B45246" w:rsidRDefault="00B45246">
      <w:pPr>
        <w:rPr>
          <w:rFonts w:ascii="Calibri" w:hAnsi="Calibri"/>
          <w:color w:val="auto"/>
          <w:szCs w:val="24"/>
          <w:u w:val="single"/>
        </w:rPr>
      </w:pPr>
      <w:r>
        <w:rPr>
          <w:rFonts w:ascii="Calibri" w:hAnsi="Calibri"/>
          <w:color w:val="auto"/>
          <w:szCs w:val="24"/>
          <w:u w:val="single"/>
        </w:rPr>
        <w:br w:type="page"/>
      </w:r>
    </w:p>
    <w:p w:rsidR="00444EA7" w:rsidRDefault="0047348E" w:rsidP="00BE0FE7">
      <w:pPr>
        <w:spacing w:line="240" w:lineRule="exact"/>
        <w:jc w:val="both"/>
        <w:rPr>
          <w:rFonts w:ascii="Calibri" w:hAnsi="Calibri"/>
          <w:color w:val="auto"/>
          <w:szCs w:val="24"/>
        </w:rPr>
      </w:pPr>
      <w:r w:rsidRPr="0047348E">
        <w:rPr>
          <w:rFonts w:ascii="Calibri" w:hAnsi="Calibri"/>
          <w:color w:val="auto"/>
          <w:szCs w:val="24"/>
          <w:u w:val="single"/>
        </w:rPr>
        <w:lastRenderedPageBreak/>
        <w:t>RECOMMENDATION</w:t>
      </w:r>
      <w:r w:rsidRPr="0047348E">
        <w:rPr>
          <w:rFonts w:ascii="Calibri" w:hAnsi="Calibri"/>
          <w:color w:val="auto"/>
          <w:szCs w:val="24"/>
        </w:rPr>
        <w:t>:</w:t>
      </w:r>
      <w:r w:rsidR="006716AE">
        <w:rPr>
          <w:rFonts w:ascii="Calibri" w:hAnsi="Calibri"/>
          <w:color w:val="auto"/>
          <w:szCs w:val="24"/>
        </w:rPr>
        <w:t xml:space="preserve">  </w:t>
      </w:r>
      <w:r w:rsidR="006716AE" w:rsidRPr="006716AE">
        <w:rPr>
          <w:rFonts w:ascii="Calibri" w:hAnsi="Calibri"/>
          <w:color w:val="auto"/>
          <w:szCs w:val="24"/>
        </w:rPr>
        <w:t xml:space="preserve">The Board recommends that the CI’s prior separation be modified to reflect that the CI was placed on the TDRL at 50% for a period of </w:t>
      </w:r>
      <w:r w:rsidR="006656F6">
        <w:rPr>
          <w:rFonts w:ascii="Calibri" w:hAnsi="Calibri"/>
          <w:color w:val="auto"/>
          <w:szCs w:val="24"/>
        </w:rPr>
        <w:t>6</w:t>
      </w:r>
      <w:r w:rsidR="006716AE" w:rsidRPr="006716AE">
        <w:rPr>
          <w:rFonts w:ascii="Calibri" w:hAnsi="Calibri"/>
          <w:color w:val="auto"/>
          <w:szCs w:val="24"/>
        </w:rPr>
        <w:t xml:space="preserve"> months (PTSD at 50% IAW §4.129 and </w:t>
      </w:r>
      <w:proofErr w:type="spellStart"/>
      <w:r w:rsidR="006716AE" w:rsidRPr="006716AE">
        <w:rPr>
          <w:rFonts w:ascii="Calibri" w:hAnsi="Calibri"/>
          <w:color w:val="auto"/>
          <w:szCs w:val="24"/>
        </w:rPr>
        <w:t>DoD</w:t>
      </w:r>
      <w:proofErr w:type="spellEnd"/>
      <w:r w:rsidR="006716AE" w:rsidRPr="006716AE">
        <w:rPr>
          <w:rFonts w:ascii="Calibri" w:hAnsi="Calibri"/>
          <w:color w:val="auto"/>
          <w:szCs w:val="24"/>
        </w:rPr>
        <w:t xml:space="preserve"> direction)</w:t>
      </w:r>
      <w:r w:rsidR="006716AE">
        <w:rPr>
          <w:rFonts w:ascii="Calibri" w:hAnsi="Calibri"/>
          <w:color w:val="auto"/>
          <w:szCs w:val="24"/>
        </w:rPr>
        <w:t>,</w:t>
      </w:r>
      <w:r w:rsidR="006716AE" w:rsidRPr="006716AE">
        <w:rPr>
          <w:rFonts w:ascii="Calibri" w:hAnsi="Calibri"/>
          <w:color w:val="auto"/>
          <w:szCs w:val="24"/>
        </w:rPr>
        <w:t xml:space="preserve"> and then permanently separated with severance pay by reason of physical disability with a final 10% rating as indicated </w:t>
      </w:r>
      <w:r w:rsidR="006716AE">
        <w:rPr>
          <w:rFonts w:ascii="Calibri" w:hAnsi="Calibri"/>
          <w:color w:val="auto"/>
          <w:szCs w:val="24"/>
        </w:rPr>
        <w:t>below:</w:t>
      </w:r>
    </w:p>
    <w:p w:rsidR="006716AE" w:rsidRDefault="006716AE" w:rsidP="00BE0FE7">
      <w:pPr>
        <w:spacing w:line="240" w:lineRule="exact"/>
        <w:jc w:val="both"/>
        <w:rPr>
          <w:rFonts w:ascii="Calibri" w:hAnsi="Calibr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6716AE" w:rsidRPr="006716AE" w:rsidTr="00680898">
        <w:trPr>
          <w:trHeight w:val="206"/>
          <w:jc w:val="center"/>
        </w:trPr>
        <w:tc>
          <w:tcPr>
            <w:tcW w:w="5490" w:type="dxa"/>
            <w:vMerge w:val="restart"/>
            <w:shd w:val="clear" w:color="auto" w:fill="D9D9D9"/>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r w:rsidRPr="006716AE">
              <w:rPr>
                <w:rFonts w:ascii="Calibri" w:eastAsia="Calibri" w:hAnsi="Calibri"/>
                <w:b/>
                <w:color w:val="auto"/>
                <w:szCs w:val="24"/>
              </w:rPr>
              <w:t>UNFITTING CONDITION</w:t>
            </w:r>
          </w:p>
        </w:tc>
        <w:tc>
          <w:tcPr>
            <w:tcW w:w="1530" w:type="dxa"/>
            <w:vMerge w:val="restart"/>
            <w:shd w:val="clear" w:color="auto" w:fill="D9D9D9"/>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r w:rsidRPr="006716AE">
              <w:rPr>
                <w:rFonts w:ascii="Calibri" w:eastAsia="Calibri" w:hAnsi="Calibri"/>
                <w:b/>
                <w:color w:val="auto"/>
                <w:szCs w:val="24"/>
              </w:rPr>
              <w:t>VASRD CODE</w:t>
            </w:r>
          </w:p>
        </w:tc>
        <w:tc>
          <w:tcPr>
            <w:tcW w:w="2340" w:type="dxa"/>
            <w:gridSpan w:val="2"/>
            <w:tcBorders>
              <w:bottom w:val="single" w:sz="4" w:space="0" w:color="auto"/>
            </w:tcBorders>
            <w:shd w:val="clear" w:color="auto" w:fill="D9D9D9"/>
            <w:vAlign w:val="center"/>
          </w:tcPr>
          <w:p w:rsidR="006716AE" w:rsidRPr="006716AE" w:rsidRDefault="006716AE" w:rsidP="006716AE">
            <w:pPr>
              <w:spacing w:line="240" w:lineRule="exact"/>
              <w:jc w:val="center"/>
              <w:rPr>
                <w:rFonts w:ascii="Calibri" w:hAnsi="Calibri" w:cs="Calibri"/>
                <w:color w:val="000000"/>
              </w:rPr>
            </w:pPr>
            <w:r w:rsidRPr="006716AE">
              <w:rPr>
                <w:rFonts w:ascii="Calibri" w:eastAsia="Calibri" w:hAnsi="Calibri"/>
                <w:b/>
                <w:color w:val="auto"/>
                <w:szCs w:val="24"/>
              </w:rPr>
              <w:t>RATING</w:t>
            </w:r>
          </w:p>
        </w:tc>
      </w:tr>
      <w:tr w:rsidR="006716AE" w:rsidRPr="006716AE" w:rsidTr="00680898">
        <w:trPr>
          <w:trHeight w:val="194"/>
          <w:jc w:val="center"/>
        </w:trPr>
        <w:tc>
          <w:tcPr>
            <w:tcW w:w="5490" w:type="dxa"/>
            <w:vMerge/>
            <w:shd w:val="clear" w:color="auto" w:fill="D9D9D9"/>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p>
        </w:tc>
        <w:tc>
          <w:tcPr>
            <w:tcW w:w="1530" w:type="dxa"/>
            <w:vMerge/>
            <w:shd w:val="clear" w:color="auto" w:fill="D9D9D9"/>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p>
        </w:tc>
        <w:tc>
          <w:tcPr>
            <w:tcW w:w="810" w:type="dxa"/>
            <w:tcBorders>
              <w:top w:val="single" w:sz="4" w:space="0" w:color="auto"/>
            </w:tcBorders>
            <w:shd w:val="clear" w:color="auto" w:fill="D9D9D9"/>
            <w:vAlign w:val="center"/>
          </w:tcPr>
          <w:p w:rsidR="006716AE" w:rsidRPr="006716AE" w:rsidRDefault="006716AE" w:rsidP="006716AE">
            <w:pPr>
              <w:spacing w:line="240" w:lineRule="exact"/>
              <w:jc w:val="center"/>
              <w:rPr>
                <w:rFonts w:ascii="Calibri" w:hAnsi="Calibri" w:cs="Calibri"/>
                <w:color w:val="000000"/>
              </w:rPr>
            </w:pPr>
            <w:r w:rsidRPr="006716AE">
              <w:rPr>
                <w:rFonts w:ascii="Calibri" w:eastAsia="Calibri" w:hAnsi="Calibri"/>
                <w:b/>
                <w:color w:val="auto"/>
                <w:szCs w:val="24"/>
              </w:rPr>
              <w:t>TDRL</w:t>
            </w:r>
          </w:p>
        </w:tc>
        <w:tc>
          <w:tcPr>
            <w:tcW w:w="1530" w:type="dxa"/>
            <w:tcBorders>
              <w:top w:val="single" w:sz="4" w:space="0" w:color="auto"/>
            </w:tcBorders>
            <w:shd w:val="pct15" w:color="auto" w:fill="auto"/>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r w:rsidRPr="006716AE">
              <w:rPr>
                <w:rFonts w:ascii="Calibri" w:eastAsia="Calibri" w:hAnsi="Calibri"/>
                <w:b/>
                <w:color w:val="auto"/>
                <w:szCs w:val="24"/>
              </w:rPr>
              <w:t>PERMANENT</w:t>
            </w:r>
          </w:p>
        </w:tc>
      </w:tr>
      <w:tr w:rsidR="006716AE" w:rsidRPr="006716AE" w:rsidTr="00680898">
        <w:trPr>
          <w:trHeight w:val="197"/>
          <w:jc w:val="center"/>
        </w:trPr>
        <w:tc>
          <w:tcPr>
            <w:tcW w:w="5490" w:type="dxa"/>
            <w:vAlign w:val="center"/>
          </w:tcPr>
          <w:p w:rsidR="006716AE" w:rsidRPr="006716AE" w:rsidRDefault="006716AE" w:rsidP="006716AE">
            <w:pPr>
              <w:tabs>
                <w:tab w:val="left" w:pos="288"/>
                <w:tab w:val="left" w:pos="4752"/>
              </w:tabs>
              <w:spacing w:line="240" w:lineRule="exact"/>
              <w:rPr>
                <w:rFonts w:ascii="Calibri" w:eastAsia="Calibri" w:hAnsi="Calibri"/>
                <w:color w:val="auto"/>
                <w:szCs w:val="24"/>
              </w:rPr>
            </w:pPr>
            <w:r>
              <w:rPr>
                <w:rFonts w:ascii="Calibri" w:eastAsia="Calibri" w:hAnsi="Calibri"/>
                <w:color w:val="auto"/>
                <w:szCs w:val="24"/>
              </w:rPr>
              <w:t>Depressive Disorder</w:t>
            </w:r>
          </w:p>
        </w:tc>
        <w:tc>
          <w:tcPr>
            <w:tcW w:w="1530" w:type="dxa"/>
            <w:tcBorders>
              <w:bottom w:val="single" w:sz="4" w:space="0" w:color="000000"/>
            </w:tcBorders>
            <w:vAlign w:val="center"/>
          </w:tcPr>
          <w:p w:rsidR="006716AE" w:rsidRPr="006716AE" w:rsidRDefault="006716AE" w:rsidP="006716AE">
            <w:pPr>
              <w:tabs>
                <w:tab w:val="left" w:pos="288"/>
                <w:tab w:val="left" w:pos="4752"/>
              </w:tabs>
              <w:spacing w:line="240" w:lineRule="exact"/>
              <w:jc w:val="center"/>
              <w:rPr>
                <w:rFonts w:ascii="Calibri" w:eastAsia="Calibri" w:hAnsi="Calibri"/>
                <w:color w:val="auto"/>
                <w:szCs w:val="24"/>
              </w:rPr>
            </w:pPr>
            <w:r>
              <w:rPr>
                <w:rFonts w:ascii="Calibri" w:eastAsia="Calibri" w:hAnsi="Calibri"/>
                <w:color w:val="auto"/>
                <w:szCs w:val="24"/>
              </w:rPr>
              <w:t>9434</w:t>
            </w:r>
          </w:p>
        </w:tc>
        <w:tc>
          <w:tcPr>
            <w:tcW w:w="810" w:type="dxa"/>
            <w:tcBorders>
              <w:bottom w:val="single" w:sz="4" w:space="0" w:color="000000"/>
            </w:tcBorders>
            <w:vAlign w:val="center"/>
          </w:tcPr>
          <w:p w:rsidR="006716AE" w:rsidRPr="006716AE" w:rsidRDefault="006716AE" w:rsidP="006716AE">
            <w:pPr>
              <w:tabs>
                <w:tab w:val="left" w:pos="288"/>
                <w:tab w:val="left" w:pos="4752"/>
              </w:tabs>
              <w:spacing w:line="240" w:lineRule="exact"/>
              <w:jc w:val="center"/>
              <w:rPr>
                <w:rFonts w:ascii="Calibri" w:eastAsia="Calibri" w:hAnsi="Calibri"/>
                <w:color w:val="auto"/>
                <w:szCs w:val="24"/>
              </w:rPr>
            </w:pPr>
            <w:r>
              <w:rPr>
                <w:rFonts w:ascii="Calibri" w:eastAsia="Calibri" w:hAnsi="Calibri"/>
                <w:color w:val="auto"/>
                <w:szCs w:val="24"/>
              </w:rPr>
              <w:t>5</w:t>
            </w:r>
            <w:r w:rsidRPr="006716AE">
              <w:rPr>
                <w:rFonts w:ascii="Calibri" w:eastAsia="Calibri" w:hAnsi="Calibri"/>
                <w:color w:val="auto"/>
                <w:szCs w:val="24"/>
              </w:rPr>
              <w:t>0%</w:t>
            </w:r>
          </w:p>
        </w:tc>
        <w:tc>
          <w:tcPr>
            <w:tcW w:w="1530" w:type="dxa"/>
            <w:tcBorders>
              <w:bottom w:val="single" w:sz="4" w:space="0" w:color="000000"/>
            </w:tcBorders>
            <w:vAlign w:val="center"/>
          </w:tcPr>
          <w:p w:rsidR="006716AE" w:rsidRPr="006716AE" w:rsidRDefault="006716AE" w:rsidP="006716AE">
            <w:pPr>
              <w:tabs>
                <w:tab w:val="left" w:pos="288"/>
                <w:tab w:val="left" w:pos="4752"/>
              </w:tabs>
              <w:spacing w:line="240" w:lineRule="exact"/>
              <w:jc w:val="center"/>
              <w:rPr>
                <w:rFonts w:ascii="Calibri" w:eastAsia="Calibri" w:hAnsi="Calibri"/>
                <w:color w:val="auto"/>
                <w:szCs w:val="24"/>
              </w:rPr>
            </w:pPr>
            <w:r>
              <w:rPr>
                <w:rFonts w:ascii="Calibri" w:eastAsia="Calibri" w:hAnsi="Calibri"/>
                <w:color w:val="auto"/>
                <w:szCs w:val="24"/>
              </w:rPr>
              <w:t>1</w:t>
            </w:r>
            <w:r w:rsidRPr="006716AE">
              <w:rPr>
                <w:rFonts w:ascii="Calibri" w:eastAsia="Calibri" w:hAnsi="Calibri"/>
                <w:color w:val="auto"/>
                <w:szCs w:val="24"/>
              </w:rPr>
              <w:t>0%</w:t>
            </w:r>
          </w:p>
        </w:tc>
      </w:tr>
      <w:tr w:rsidR="006716AE" w:rsidRPr="006716AE" w:rsidTr="00680898">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r w:rsidRPr="006716AE">
              <w:rPr>
                <w:rFonts w:ascii="Calibri" w:eastAsia="Calibri" w:hAnsi="Calibri"/>
                <w:b/>
                <w:color w:val="auto"/>
                <w:szCs w:val="24"/>
              </w:rPr>
              <w:t>COMBINED</w:t>
            </w:r>
          </w:p>
        </w:tc>
        <w:tc>
          <w:tcPr>
            <w:tcW w:w="810" w:type="dxa"/>
            <w:tcBorders>
              <w:left w:val="single" w:sz="4" w:space="0" w:color="auto"/>
            </w:tcBorders>
            <w:shd w:val="pct15" w:color="auto" w:fill="auto"/>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r>
              <w:rPr>
                <w:rFonts w:ascii="Calibri" w:eastAsia="Calibri" w:hAnsi="Calibri"/>
                <w:b/>
                <w:color w:val="auto"/>
                <w:szCs w:val="24"/>
              </w:rPr>
              <w:t>5</w:t>
            </w:r>
            <w:r w:rsidRPr="006716AE">
              <w:rPr>
                <w:rFonts w:ascii="Calibri" w:eastAsia="Calibri" w:hAnsi="Calibri"/>
                <w:b/>
                <w:color w:val="auto"/>
                <w:szCs w:val="24"/>
              </w:rPr>
              <w:t>0%</w:t>
            </w:r>
          </w:p>
        </w:tc>
        <w:tc>
          <w:tcPr>
            <w:tcW w:w="1530" w:type="dxa"/>
            <w:shd w:val="pct15" w:color="auto" w:fill="auto"/>
            <w:vAlign w:val="center"/>
          </w:tcPr>
          <w:p w:rsidR="006716AE" w:rsidRPr="006716AE" w:rsidRDefault="006716AE" w:rsidP="006716AE">
            <w:pPr>
              <w:tabs>
                <w:tab w:val="left" w:pos="288"/>
                <w:tab w:val="left" w:pos="4752"/>
              </w:tabs>
              <w:spacing w:line="240" w:lineRule="exact"/>
              <w:jc w:val="center"/>
              <w:rPr>
                <w:rFonts w:ascii="Calibri" w:eastAsia="Calibri" w:hAnsi="Calibri"/>
                <w:b/>
                <w:color w:val="auto"/>
                <w:szCs w:val="24"/>
              </w:rPr>
            </w:pPr>
            <w:r>
              <w:rPr>
                <w:rFonts w:ascii="Calibri" w:eastAsia="Calibri" w:hAnsi="Calibri"/>
                <w:b/>
                <w:color w:val="auto"/>
                <w:szCs w:val="24"/>
              </w:rPr>
              <w:t>1</w:t>
            </w:r>
            <w:r w:rsidRPr="006716AE">
              <w:rPr>
                <w:rFonts w:ascii="Calibri" w:eastAsia="Calibri" w:hAnsi="Calibri"/>
                <w:b/>
                <w:color w:val="auto"/>
                <w:szCs w:val="24"/>
              </w:rPr>
              <w:t>0%</w:t>
            </w:r>
          </w:p>
        </w:tc>
      </w:tr>
    </w:tbl>
    <w:p w:rsidR="006716AE" w:rsidRPr="00CD5BD7" w:rsidRDefault="006716AE" w:rsidP="00BE0FE7">
      <w:pPr>
        <w:pBdr>
          <w:bottom w:val="single" w:sz="12" w:space="1" w:color="auto"/>
        </w:pBdr>
        <w:tabs>
          <w:tab w:val="left" w:pos="288"/>
          <w:tab w:val="left" w:pos="4752"/>
        </w:tabs>
        <w:spacing w:line="240" w:lineRule="exact"/>
        <w:jc w:val="both"/>
        <w:rPr>
          <w:rFonts w:ascii="Calibri" w:hAnsi="Calibri"/>
          <w:color w:val="auto"/>
          <w:szCs w:val="24"/>
        </w:rPr>
      </w:pPr>
    </w:p>
    <w:p w:rsidR="00074848" w:rsidRPr="00CD09FB" w:rsidRDefault="00074848" w:rsidP="00DD469B">
      <w:pPr>
        <w:tabs>
          <w:tab w:val="left" w:pos="288"/>
          <w:tab w:val="left" w:pos="1710"/>
        </w:tabs>
        <w:spacing w:line="240" w:lineRule="exact"/>
        <w:jc w:val="both"/>
        <w:rPr>
          <w:rFonts w:ascii="Calibri" w:hAnsi="Calibri" w:cs="Calibri"/>
          <w:color w:val="auto"/>
          <w:szCs w:val="24"/>
          <w:highlight w:val="yellow"/>
        </w:rPr>
      </w:pPr>
    </w:p>
    <w:p w:rsidR="00DD469B" w:rsidRPr="00DD469B" w:rsidRDefault="00DD469B" w:rsidP="00DD469B">
      <w:pPr>
        <w:tabs>
          <w:tab w:val="left" w:pos="288"/>
          <w:tab w:val="left" w:pos="4752"/>
        </w:tabs>
        <w:spacing w:line="240" w:lineRule="exact"/>
        <w:jc w:val="both"/>
        <w:rPr>
          <w:rFonts w:ascii="Calibri" w:hAnsi="Calibri"/>
          <w:color w:val="auto"/>
        </w:rPr>
      </w:pPr>
      <w:r w:rsidRPr="00DD469B">
        <w:rPr>
          <w:rFonts w:ascii="Calibri" w:hAnsi="Calibri"/>
          <w:color w:val="auto"/>
        </w:rPr>
        <w:t>The following documentary evidence was considered:</w:t>
      </w:r>
    </w:p>
    <w:p w:rsidR="00DD469B" w:rsidRPr="00DD469B" w:rsidRDefault="00DD469B" w:rsidP="00DD469B">
      <w:pPr>
        <w:tabs>
          <w:tab w:val="left" w:pos="288"/>
          <w:tab w:val="left" w:pos="4752"/>
        </w:tabs>
        <w:spacing w:line="240" w:lineRule="exact"/>
        <w:jc w:val="both"/>
        <w:rPr>
          <w:rFonts w:ascii="Calibri" w:hAnsi="Calibri"/>
          <w:color w:val="auto"/>
        </w:rPr>
      </w:pPr>
    </w:p>
    <w:p w:rsidR="00DD469B" w:rsidRPr="00DD469B" w:rsidRDefault="00DD469B" w:rsidP="00DD469B">
      <w:pPr>
        <w:tabs>
          <w:tab w:val="left" w:pos="288"/>
          <w:tab w:val="left" w:pos="4752"/>
        </w:tabs>
        <w:spacing w:line="240" w:lineRule="exact"/>
        <w:jc w:val="both"/>
        <w:rPr>
          <w:rFonts w:ascii="Calibri" w:hAnsi="Calibri"/>
          <w:color w:val="auto"/>
        </w:rPr>
      </w:pPr>
      <w:r w:rsidRPr="00DD469B">
        <w:rPr>
          <w:rFonts w:ascii="Calibri" w:hAnsi="Calibri"/>
          <w:color w:val="auto"/>
        </w:rPr>
        <w:t>Ex</w:t>
      </w:r>
      <w:r w:rsidR="00776E9D">
        <w:rPr>
          <w:rFonts w:ascii="Calibri" w:hAnsi="Calibri"/>
          <w:color w:val="auto"/>
        </w:rPr>
        <w:t>hibit A.  DD Form 294 dated 20101119</w:t>
      </w:r>
      <w:r w:rsidR="003826D9">
        <w:rPr>
          <w:rFonts w:ascii="Calibri" w:hAnsi="Calibri"/>
          <w:color w:val="auto"/>
        </w:rPr>
        <w:t>, w/</w:t>
      </w:r>
      <w:proofErr w:type="spellStart"/>
      <w:r w:rsidR="003826D9">
        <w:rPr>
          <w:rFonts w:ascii="Calibri" w:hAnsi="Calibri"/>
          <w:color w:val="auto"/>
        </w:rPr>
        <w:t>atchs</w:t>
      </w:r>
      <w:proofErr w:type="spellEnd"/>
    </w:p>
    <w:p w:rsidR="00DD469B" w:rsidRPr="00DD469B" w:rsidRDefault="00DD469B" w:rsidP="00DD469B">
      <w:pPr>
        <w:tabs>
          <w:tab w:val="left" w:pos="288"/>
          <w:tab w:val="left" w:pos="4752"/>
        </w:tabs>
        <w:spacing w:line="240" w:lineRule="exact"/>
        <w:jc w:val="both"/>
        <w:rPr>
          <w:rFonts w:ascii="Calibri" w:hAnsi="Calibri"/>
          <w:color w:val="auto"/>
        </w:rPr>
      </w:pPr>
      <w:r w:rsidRPr="00DD469B">
        <w:rPr>
          <w:rFonts w:ascii="Calibri" w:hAnsi="Calibri"/>
          <w:color w:val="auto"/>
        </w:rPr>
        <w:t xml:space="preserve">Exhibit B.  Service </w:t>
      </w:r>
      <w:r w:rsidR="00C56D89">
        <w:rPr>
          <w:rFonts w:ascii="Calibri" w:hAnsi="Calibri"/>
          <w:color w:val="auto"/>
        </w:rPr>
        <w:t>Treatment Record</w:t>
      </w:r>
    </w:p>
    <w:p w:rsidR="00DD469B" w:rsidRPr="00DD469B" w:rsidRDefault="00DD469B" w:rsidP="00DD469B">
      <w:pPr>
        <w:tabs>
          <w:tab w:val="left" w:pos="288"/>
          <w:tab w:val="left" w:pos="4752"/>
        </w:tabs>
        <w:spacing w:line="240" w:lineRule="exact"/>
        <w:jc w:val="both"/>
        <w:rPr>
          <w:rFonts w:ascii="Calibri" w:hAnsi="Calibri"/>
          <w:color w:val="auto"/>
        </w:rPr>
      </w:pPr>
      <w:r w:rsidRPr="00DD469B">
        <w:rPr>
          <w:rFonts w:ascii="Calibri" w:hAnsi="Calibri"/>
          <w:color w:val="auto"/>
        </w:rPr>
        <w:t>Exhibit C.  Department of Vet</w:t>
      </w:r>
      <w:r w:rsidR="00C56D89">
        <w:rPr>
          <w:rFonts w:ascii="Calibri" w:hAnsi="Calibri"/>
          <w:color w:val="auto"/>
        </w:rPr>
        <w:t>erans' Affairs Treatment Record</w:t>
      </w:r>
    </w:p>
    <w:p w:rsidR="00DD469B" w:rsidRPr="00DD469B" w:rsidRDefault="00DD469B" w:rsidP="00DD469B">
      <w:pPr>
        <w:tabs>
          <w:tab w:val="left" w:pos="288"/>
          <w:tab w:val="left" w:pos="4752"/>
        </w:tabs>
        <w:spacing w:line="240" w:lineRule="exact"/>
        <w:jc w:val="both"/>
        <w:rPr>
          <w:rFonts w:ascii="Calibri" w:hAnsi="Calibri"/>
          <w:color w:val="auto"/>
        </w:rPr>
      </w:pPr>
    </w:p>
    <w:p w:rsidR="00DD469B" w:rsidRPr="00DD469B" w:rsidRDefault="00DD469B" w:rsidP="00DD469B">
      <w:pPr>
        <w:tabs>
          <w:tab w:val="left" w:pos="288"/>
          <w:tab w:val="left" w:pos="4752"/>
        </w:tabs>
        <w:spacing w:line="240" w:lineRule="exact"/>
        <w:jc w:val="both"/>
        <w:rPr>
          <w:rFonts w:ascii="Calibri" w:hAnsi="Calibri"/>
          <w:color w:val="auto"/>
        </w:rPr>
      </w:pPr>
    </w:p>
    <w:p w:rsidR="00DD469B" w:rsidRPr="00DD469B" w:rsidRDefault="00DD469B" w:rsidP="00DD469B">
      <w:pPr>
        <w:tabs>
          <w:tab w:val="left" w:pos="288"/>
          <w:tab w:val="left" w:pos="4752"/>
        </w:tabs>
        <w:spacing w:line="240" w:lineRule="exact"/>
        <w:jc w:val="both"/>
        <w:rPr>
          <w:rFonts w:ascii="Calibri" w:hAnsi="Calibri"/>
          <w:color w:val="auto"/>
        </w:rPr>
      </w:pPr>
    </w:p>
    <w:p w:rsidR="00DD469B" w:rsidRPr="00DD469B" w:rsidRDefault="00DD469B" w:rsidP="00DD469B">
      <w:pPr>
        <w:tabs>
          <w:tab w:val="left" w:pos="288"/>
          <w:tab w:val="left" w:pos="4752"/>
        </w:tabs>
        <w:spacing w:line="240" w:lineRule="exact"/>
        <w:jc w:val="both"/>
        <w:rPr>
          <w:rFonts w:ascii="Calibri" w:hAnsi="Calibri"/>
          <w:color w:val="auto"/>
        </w:rPr>
      </w:pPr>
    </w:p>
    <w:p w:rsidR="00411FDC" w:rsidRPr="00411FDC" w:rsidRDefault="00411FDC" w:rsidP="00411FDC">
      <w:pPr>
        <w:tabs>
          <w:tab w:val="left" w:pos="0"/>
          <w:tab w:val="left" w:pos="4320"/>
        </w:tabs>
        <w:spacing w:line="240" w:lineRule="exact"/>
        <w:jc w:val="both"/>
        <w:rPr>
          <w:rFonts w:asciiTheme="minorHAnsi" w:hAnsiTheme="minorHAnsi" w:cstheme="minorHAnsi"/>
          <w:color w:val="auto"/>
        </w:rPr>
      </w:pPr>
      <w:r>
        <w:rPr>
          <w:color w:val="auto"/>
        </w:rPr>
        <w:t xml:space="preserve">                             </w:t>
      </w:r>
      <w:r>
        <w:rPr>
          <w:color w:val="auto"/>
        </w:rPr>
        <w:tab/>
      </w:r>
      <w:r>
        <w:rPr>
          <w:color w:val="auto"/>
        </w:rPr>
        <w:tab/>
      </w:r>
    </w:p>
    <w:p w:rsidR="00411FDC" w:rsidRPr="00411FDC" w:rsidRDefault="00411FDC" w:rsidP="00411FDC">
      <w:pPr>
        <w:tabs>
          <w:tab w:val="left" w:pos="0"/>
          <w:tab w:val="left" w:pos="4320"/>
        </w:tabs>
        <w:spacing w:line="240" w:lineRule="exact"/>
        <w:jc w:val="both"/>
        <w:rPr>
          <w:rFonts w:asciiTheme="minorHAnsi" w:hAnsiTheme="minorHAnsi" w:cstheme="minorHAnsi"/>
          <w:color w:val="auto"/>
        </w:rPr>
      </w:pPr>
      <w:r w:rsidRPr="00411FDC">
        <w:rPr>
          <w:rFonts w:asciiTheme="minorHAnsi" w:hAnsiTheme="minorHAnsi" w:cstheme="minorHAnsi"/>
          <w:color w:val="auto"/>
        </w:rPr>
        <w:t xml:space="preserve">                             </w:t>
      </w:r>
      <w:r w:rsidRPr="00411FDC">
        <w:rPr>
          <w:rFonts w:asciiTheme="minorHAnsi" w:hAnsiTheme="minorHAnsi" w:cstheme="minorHAnsi"/>
          <w:color w:val="auto"/>
        </w:rPr>
        <w:tab/>
      </w:r>
      <w:r w:rsidRPr="00411FDC">
        <w:rPr>
          <w:rFonts w:asciiTheme="minorHAnsi" w:hAnsiTheme="minorHAnsi" w:cstheme="minorHAnsi"/>
          <w:color w:val="auto"/>
        </w:rPr>
        <w:tab/>
        <w:t>President</w:t>
      </w:r>
    </w:p>
    <w:p w:rsidR="00E068B4" w:rsidRDefault="00411FDC" w:rsidP="00411FDC">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rPr>
      </w:pPr>
      <w:r w:rsidRPr="00411FDC">
        <w:rPr>
          <w:rFonts w:asciiTheme="minorHAnsi" w:hAnsiTheme="minorHAnsi" w:cstheme="minorHAnsi"/>
          <w:color w:val="auto"/>
        </w:rPr>
        <w:tab/>
        <w:t xml:space="preserve">                           </w:t>
      </w:r>
      <w:r w:rsidRPr="00411FDC">
        <w:rPr>
          <w:rFonts w:asciiTheme="minorHAnsi" w:hAnsiTheme="minorHAnsi" w:cstheme="minorHAnsi"/>
          <w:color w:val="auto"/>
        </w:rPr>
        <w:tab/>
      </w:r>
      <w:r w:rsidRPr="00411FDC">
        <w:rPr>
          <w:rFonts w:asciiTheme="minorHAnsi" w:hAnsiTheme="minorHAnsi" w:cstheme="minorHAnsi"/>
          <w:color w:val="auto"/>
        </w:rPr>
        <w:tab/>
      </w:r>
      <w:r w:rsidRPr="00411FDC">
        <w:rPr>
          <w:rFonts w:asciiTheme="minorHAnsi" w:hAnsiTheme="minorHAnsi" w:cstheme="minorHAnsi"/>
          <w:color w:val="auto"/>
        </w:rPr>
        <w:tab/>
      </w:r>
      <w:r w:rsidRPr="00411FDC">
        <w:rPr>
          <w:rFonts w:asciiTheme="minorHAnsi" w:hAnsiTheme="minorHAnsi" w:cstheme="minorHAnsi"/>
          <w:color w:val="auto"/>
        </w:rPr>
        <w:tab/>
      </w:r>
      <w:r w:rsidRPr="00411FDC">
        <w:rPr>
          <w:rFonts w:asciiTheme="minorHAnsi" w:hAnsiTheme="minorHAnsi" w:cstheme="minorHAnsi"/>
          <w:color w:val="auto"/>
        </w:rPr>
        <w:tab/>
        <w:t>Physical Disability Board of Review</w:t>
      </w:r>
    </w:p>
    <w:p w:rsidR="00E068B4" w:rsidRDefault="00E068B4">
      <w:pPr>
        <w:rPr>
          <w:rFonts w:asciiTheme="minorHAnsi" w:hAnsiTheme="minorHAnsi" w:cstheme="minorHAnsi"/>
          <w:color w:val="auto"/>
        </w:rPr>
      </w:pPr>
      <w:r>
        <w:rPr>
          <w:rFonts w:asciiTheme="minorHAnsi" w:hAnsiTheme="minorHAnsi" w:cstheme="minorHAnsi"/>
          <w:color w:val="auto"/>
        </w:rPr>
        <w:br w:type="page"/>
      </w:r>
    </w:p>
    <w:p w:rsidR="00E068B4" w:rsidRPr="00E068B4" w:rsidRDefault="00E068B4" w:rsidP="00E068B4">
      <w:pPr>
        <w:tabs>
          <w:tab w:val="left" w:pos="576"/>
        </w:tabs>
        <w:spacing w:line="240" w:lineRule="exact"/>
        <w:ind w:right="-1080"/>
        <w:rPr>
          <w:rFonts w:ascii="Times New Roman" w:hAnsi="Times New Roman"/>
          <w:color w:val="auto"/>
        </w:rPr>
      </w:pPr>
      <w:r w:rsidRPr="00E068B4">
        <w:rPr>
          <w:rFonts w:ascii="Times New Roman" w:hAnsi="Times New Roman"/>
          <w:color w:val="auto"/>
        </w:rPr>
        <w:lastRenderedPageBreak/>
        <w:t>SAF/MRB</w:t>
      </w:r>
    </w:p>
    <w:p w:rsidR="00E068B4" w:rsidRPr="00E068B4" w:rsidRDefault="00E068B4" w:rsidP="00E068B4">
      <w:pPr>
        <w:tabs>
          <w:tab w:val="left" w:pos="576"/>
        </w:tabs>
        <w:spacing w:line="240" w:lineRule="exact"/>
        <w:ind w:right="-1080"/>
        <w:rPr>
          <w:rFonts w:ascii="Times New Roman" w:hAnsi="Times New Roman"/>
          <w:color w:val="auto"/>
        </w:rPr>
      </w:pPr>
      <w:r w:rsidRPr="00E068B4">
        <w:rPr>
          <w:rFonts w:ascii="Times New Roman" w:hAnsi="Times New Roman"/>
          <w:color w:val="auto"/>
        </w:rPr>
        <w:t>1500 West Perimeter Road, Suite 3700</w:t>
      </w:r>
    </w:p>
    <w:p w:rsidR="00E068B4" w:rsidRPr="00E068B4" w:rsidRDefault="00E068B4" w:rsidP="00E068B4">
      <w:pPr>
        <w:tabs>
          <w:tab w:val="left" w:pos="576"/>
        </w:tabs>
        <w:spacing w:line="240" w:lineRule="exact"/>
        <w:ind w:right="-1080"/>
        <w:rPr>
          <w:rFonts w:ascii="Times New Roman" w:hAnsi="Times New Roman"/>
          <w:color w:val="auto"/>
        </w:rPr>
      </w:pPr>
      <w:r w:rsidRPr="00E068B4">
        <w:rPr>
          <w:rFonts w:ascii="Times New Roman" w:hAnsi="Times New Roman"/>
          <w:color w:val="auto"/>
        </w:rPr>
        <w:t>Joint Base Andrews MD  20762</w:t>
      </w:r>
    </w:p>
    <w:p w:rsidR="00E068B4" w:rsidRPr="00E068B4" w:rsidRDefault="00E068B4" w:rsidP="00E068B4">
      <w:pPr>
        <w:tabs>
          <w:tab w:val="left" w:pos="576"/>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ind w:right="-1080"/>
        <w:rPr>
          <w:rFonts w:ascii="Times New Roman" w:hAnsi="Times New Roman"/>
          <w:bCs/>
          <w:color w:val="auto"/>
        </w:rPr>
      </w:pPr>
      <w:r>
        <w:rPr>
          <w:rFonts w:ascii="Times New Roman" w:hAnsi="Times New Roman"/>
          <w:bCs/>
          <w:color w:val="auto"/>
        </w:rPr>
        <w:t>XXXXXXXXXX</w:t>
      </w:r>
    </w:p>
    <w:p w:rsidR="00E068B4" w:rsidRPr="00E068B4" w:rsidRDefault="00E068B4" w:rsidP="00E068B4">
      <w:pPr>
        <w:tabs>
          <w:tab w:val="left" w:pos="720"/>
        </w:tabs>
        <w:spacing w:line="240" w:lineRule="exact"/>
        <w:ind w:right="-1080"/>
        <w:rPr>
          <w:rFonts w:ascii="Times New Roman" w:hAnsi="Times New Roman"/>
          <w:color w:val="auto"/>
          <w:sz w:val="20"/>
        </w:rPr>
      </w:pPr>
    </w:p>
    <w:p w:rsidR="00E068B4" w:rsidRPr="00E068B4" w:rsidRDefault="00E068B4" w:rsidP="00E068B4">
      <w:pPr>
        <w:tabs>
          <w:tab w:val="left" w:pos="720"/>
        </w:tabs>
        <w:spacing w:line="240" w:lineRule="exact"/>
        <w:ind w:right="-1080"/>
        <w:rPr>
          <w:rFonts w:ascii="Times New Roman" w:hAnsi="Times New Roman"/>
          <w:color w:val="auto"/>
        </w:rPr>
      </w:pPr>
      <w:r w:rsidRPr="00E068B4">
        <w:rPr>
          <w:rFonts w:ascii="Times New Roman" w:hAnsi="Times New Roman"/>
          <w:color w:val="auto"/>
        </w:rPr>
        <w:t xml:space="preserve">Dear </w:t>
      </w:r>
      <w:r>
        <w:rPr>
          <w:rFonts w:ascii="Times New Roman" w:hAnsi="Times New Roman"/>
          <w:color w:val="auto"/>
        </w:rPr>
        <w:t>XX</w:t>
      </w:r>
    </w:p>
    <w:p w:rsidR="00E068B4" w:rsidRPr="00E068B4" w:rsidRDefault="00E068B4" w:rsidP="00E068B4">
      <w:pPr>
        <w:tabs>
          <w:tab w:val="left" w:pos="720"/>
        </w:tabs>
        <w:spacing w:line="240" w:lineRule="exact"/>
        <w:ind w:right="-1080"/>
        <w:rPr>
          <w:rFonts w:ascii="Times New Roman" w:hAnsi="Times New Roman"/>
          <w:color w:val="auto"/>
          <w:sz w:val="20"/>
        </w:rPr>
      </w:pPr>
    </w:p>
    <w:p w:rsidR="00E068B4" w:rsidRPr="00E068B4" w:rsidRDefault="00E068B4" w:rsidP="00E068B4">
      <w:pPr>
        <w:tabs>
          <w:tab w:val="left" w:pos="720"/>
        </w:tabs>
        <w:spacing w:line="240" w:lineRule="exact"/>
        <w:ind w:right="-360"/>
        <w:rPr>
          <w:rFonts w:ascii="Times New Roman" w:hAnsi="Times New Roman"/>
          <w:color w:val="auto"/>
        </w:rPr>
      </w:pPr>
      <w:r w:rsidRPr="00E068B4">
        <w:rPr>
          <w:rFonts w:ascii="Times New Roman" w:hAnsi="Times New Roman"/>
          <w:color w:val="auto"/>
        </w:rPr>
        <w:tab/>
        <w:t xml:space="preserve">Reference your application submitted under the provisions of </w:t>
      </w:r>
      <w:proofErr w:type="spellStart"/>
      <w:r w:rsidRPr="00E068B4">
        <w:rPr>
          <w:rFonts w:ascii="Times New Roman" w:hAnsi="Times New Roman"/>
          <w:color w:val="auto"/>
        </w:rPr>
        <w:t>DoDI</w:t>
      </w:r>
      <w:proofErr w:type="spellEnd"/>
      <w:r w:rsidRPr="00E068B4">
        <w:rPr>
          <w:rFonts w:ascii="Times New Roman" w:hAnsi="Times New Roman"/>
          <w:color w:val="auto"/>
        </w:rPr>
        <w:t xml:space="preserve"> 6040.44 (Title 10 U.S.C. § 1554a), PDBR Case Number PD-2010-01268.</w:t>
      </w:r>
    </w:p>
    <w:p w:rsidR="00E068B4" w:rsidRPr="00E068B4" w:rsidRDefault="00E068B4" w:rsidP="00E068B4">
      <w:pPr>
        <w:tabs>
          <w:tab w:val="left" w:pos="720"/>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ind w:right="-360"/>
        <w:rPr>
          <w:rFonts w:ascii="Times New Roman" w:hAnsi="Times New Roman"/>
          <w:color w:val="auto"/>
        </w:rPr>
      </w:pPr>
      <w:r w:rsidRPr="00E068B4">
        <w:rPr>
          <w:rFonts w:ascii="Times New Roman" w:hAnsi="Times New Roman"/>
          <w:color w:val="auto"/>
        </w:rPr>
        <w:tab/>
        <w:t xml:space="preserve">After careful consideration of your application and treatment records, the Physical Disability Board of Review determined that the disposition at the time of your disability evaluation system processing was not appropriate under the guidelines of the Veterans Administration Schedule for Rating Disabilities.  Accordingly, the Board recommended modification of your records to reflect placement on the Temporary Disability Retired List without change to your assigned disability rating and separation with severance pay, upon final disposition. </w:t>
      </w:r>
    </w:p>
    <w:p w:rsidR="00E068B4" w:rsidRPr="00E068B4" w:rsidRDefault="00E068B4" w:rsidP="00E068B4">
      <w:pPr>
        <w:tabs>
          <w:tab w:val="left" w:pos="720"/>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rPr>
          <w:rFonts w:ascii="Times New Roman" w:hAnsi="Times New Roman"/>
          <w:color w:val="auto"/>
        </w:rPr>
      </w:pPr>
      <w:r w:rsidRPr="00E068B4">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E068B4" w:rsidRPr="00E068B4" w:rsidRDefault="00E068B4" w:rsidP="00E068B4">
      <w:pPr>
        <w:tabs>
          <w:tab w:val="left" w:pos="720"/>
        </w:tabs>
        <w:spacing w:line="240" w:lineRule="exact"/>
        <w:rPr>
          <w:rFonts w:ascii="Times New Roman" w:hAnsi="Times New Roman"/>
          <w:color w:val="auto"/>
        </w:rPr>
      </w:pPr>
    </w:p>
    <w:p w:rsidR="00E068B4" w:rsidRPr="00E068B4" w:rsidRDefault="00E068B4" w:rsidP="00E068B4">
      <w:pPr>
        <w:tabs>
          <w:tab w:val="left" w:pos="720"/>
        </w:tabs>
        <w:spacing w:line="240" w:lineRule="exact"/>
        <w:ind w:right="-360"/>
        <w:rPr>
          <w:rFonts w:ascii="Times New Roman" w:hAnsi="Times New Roman"/>
          <w:color w:val="auto"/>
        </w:rPr>
      </w:pPr>
      <w:r w:rsidRPr="00E068B4">
        <w:rPr>
          <w:rFonts w:ascii="Times New Roman" w:hAnsi="Times New Roman"/>
          <w:color w:val="auto"/>
        </w:rPr>
        <w:tab/>
      </w:r>
      <w:r w:rsidRPr="00E068B4">
        <w:rPr>
          <w:rFonts w:ascii="Times New Roman" w:hAnsi="Times New Roman"/>
          <w:color w:val="auto"/>
        </w:rPr>
        <w:tab/>
      </w:r>
      <w:r w:rsidRPr="00E068B4">
        <w:rPr>
          <w:rFonts w:ascii="Times New Roman" w:hAnsi="Times New Roman"/>
          <w:color w:val="auto"/>
        </w:rPr>
        <w:tab/>
      </w:r>
      <w:r w:rsidRPr="00E068B4">
        <w:rPr>
          <w:rFonts w:ascii="Times New Roman" w:hAnsi="Times New Roman"/>
          <w:color w:val="auto"/>
        </w:rPr>
        <w:tab/>
      </w:r>
      <w:r w:rsidRPr="00E068B4">
        <w:rPr>
          <w:rFonts w:ascii="Times New Roman" w:hAnsi="Times New Roman"/>
          <w:color w:val="auto"/>
        </w:rPr>
        <w:tab/>
      </w:r>
      <w:r w:rsidRPr="00E068B4">
        <w:rPr>
          <w:rFonts w:ascii="Times New Roman" w:hAnsi="Times New Roman"/>
          <w:color w:val="auto"/>
        </w:rPr>
        <w:tab/>
      </w:r>
      <w:r w:rsidRPr="00E068B4">
        <w:rPr>
          <w:rFonts w:ascii="Times New Roman" w:hAnsi="Times New Roman"/>
          <w:color w:val="auto"/>
        </w:rPr>
        <w:tab/>
        <w:t>Sincerely,</w:t>
      </w:r>
    </w:p>
    <w:p w:rsidR="00E068B4" w:rsidRPr="00E068B4" w:rsidRDefault="00E068B4" w:rsidP="00E068B4">
      <w:pPr>
        <w:tabs>
          <w:tab w:val="left" w:pos="720"/>
        </w:tabs>
        <w:spacing w:line="240" w:lineRule="exact"/>
        <w:ind w:right="-360"/>
        <w:rPr>
          <w:rFonts w:ascii="Times New Roman" w:hAnsi="Times New Roman"/>
          <w:color w:val="auto"/>
        </w:rPr>
      </w:pPr>
    </w:p>
    <w:p w:rsidR="00E068B4" w:rsidRPr="00E068B4" w:rsidRDefault="00E068B4" w:rsidP="00E068B4">
      <w:pPr>
        <w:tabs>
          <w:tab w:val="left" w:pos="720"/>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ind w:left="5040" w:right="-1080"/>
        <w:rPr>
          <w:rFonts w:ascii="Times New Roman" w:hAnsi="Times New Roman"/>
          <w:color w:val="auto"/>
        </w:rPr>
      </w:pPr>
      <w:r w:rsidRPr="00E068B4">
        <w:rPr>
          <w:rFonts w:ascii="Times New Roman" w:hAnsi="Times New Roman"/>
          <w:color w:val="auto"/>
        </w:rPr>
        <w:t>Director</w:t>
      </w:r>
    </w:p>
    <w:p w:rsidR="00E068B4" w:rsidRPr="00E068B4" w:rsidRDefault="00E068B4" w:rsidP="00E068B4">
      <w:pPr>
        <w:tabs>
          <w:tab w:val="left" w:pos="720"/>
        </w:tabs>
        <w:spacing w:line="240" w:lineRule="exact"/>
        <w:ind w:left="5040" w:right="-1080"/>
        <w:rPr>
          <w:rFonts w:ascii="Times New Roman" w:hAnsi="Times New Roman"/>
          <w:color w:val="auto"/>
        </w:rPr>
      </w:pPr>
      <w:r w:rsidRPr="00E068B4">
        <w:rPr>
          <w:rFonts w:ascii="Times New Roman" w:hAnsi="Times New Roman"/>
          <w:color w:val="auto"/>
        </w:rPr>
        <w:t>Air Force Review Boards Agency</w:t>
      </w:r>
    </w:p>
    <w:p w:rsidR="00E068B4" w:rsidRPr="00E068B4" w:rsidRDefault="00E068B4" w:rsidP="00E068B4">
      <w:pPr>
        <w:tabs>
          <w:tab w:val="left" w:pos="720"/>
        </w:tabs>
        <w:spacing w:line="240" w:lineRule="exact"/>
        <w:ind w:right="-1080"/>
        <w:rPr>
          <w:rFonts w:ascii="Times New Roman" w:hAnsi="Times New Roman"/>
          <w:color w:val="auto"/>
        </w:rPr>
      </w:pPr>
    </w:p>
    <w:p w:rsidR="00E068B4" w:rsidRPr="00E068B4" w:rsidRDefault="00E068B4" w:rsidP="00E068B4">
      <w:pPr>
        <w:tabs>
          <w:tab w:val="left" w:pos="720"/>
        </w:tabs>
        <w:spacing w:line="240" w:lineRule="exact"/>
        <w:ind w:right="-1080"/>
        <w:rPr>
          <w:rFonts w:ascii="Times New Roman" w:hAnsi="Times New Roman"/>
          <w:color w:val="auto"/>
        </w:rPr>
      </w:pPr>
      <w:r w:rsidRPr="00E068B4">
        <w:rPr>
          <w:rFonts w:ascii="Times New Roman" w:hAnsi="Times New Roman"/>
          <w:color w:val="auto"/>
        </w:rPr>
        <w:t>Attachments:</w:t>
      </w:r>
    </w:p>
    <w:p w:rsidR="00E068B4" w:rsidRPr="00E068B4" w:rsidRDefault="00E068B4" w:rsidP="00E068B4">
      <w:pPr>
        <w:tabs>
          <w:tab w:val="left" w:pos="720"/>
        </w:tabs>
        <w:spacing w:line="240" w:lineRule="exact"/>
        <w:ind w:right="-1080"/>
        <w:rPr>
          <w:rFonts w:ascii="Times New Roman" w:hAnsi="Times New Roman"/>
          <w:color w:val="auto"/>
        </w:rPr>
      </w:pPr>
      <w:r w:rsidRPr="00E068B4">
        <w:rPr>
          <w:rFonts w:ascii="Times New Roman" w:hAnsi="Times New Roman"/>
          <w:color w:val="auto"/>
        </w:rPr>
        <w:t>1.  Directive</w:t>
      </w:r>
    </w:p>
    <w:p w:rsidR="00E068B4" w:rsidRPr="00E068B4" w:rsidRDefault="00E068B4" w:rsidP="00E068B4">
      <w:pPr>
        <w:tabs>
          <w:tab w:val="left" w:pos="720"/>
        </w:tabs>
        <w:spacing w:line="240" w:lineRule="exact"/>
        <w:ind w:right="-1080"/>
        <w:rPr>
          <w:rFonts w:ascii="Times New Roman" w:hAnsi="Times New Roman"/>
          <w:color w:val="auto"/>
        </w:rPr>
      </w:pPr>
      <w:r w:rsidRPr="00E068B4">
        <w:rPr>
          <w:rFonts w:ascii="Times New Roman" w:hAnsi="Times New Roman"/>
          <w:color w:val="auto"/>
        </w:rPr>
        <w:t>2.  Record of Proceedings</w:t>
      </w:r>
    </w:p>
    <w:p w:rsidR="00E068B4" w:rsidRDefault="00E068B4">
      <w:pPr>
        <w:rPr>
          <w:rFonts w:asciiTheme="minorHAnsi" w:hAnsiTheme="minorHAnsi" w:cstheme="minorHAnsi"/>
          <w:color w:val="auto"/>
        </w:rPr>
      </w:pPr>
      <w:r>
        <w:rPr>
          <w:rFonts w:asciiTheme="minorHAnsi" w:hAnsiTheme="minorHAnsi" w:cstheme="minorHAnsi"/>
          <w:color w:val="auto"/>
        </w:rPr>
        <w:br w:type="page"/>
      </w:r>
    </w:p>
    <w:p w:rsidR="00E068B4" w:rsidRPr="00E232E9" w:rsidRDefault="00E068B4" w:rsidP="00E068B4">
      <w:pPr>
        <w:tabs>
          <w:tab w:val="left" w:pos="720"/>
        </w:tabs>
        <w:spacing w:line="240" w:lineRule="exact"/>
        <w:outlineLvl w:val="0"/>
        <w:rPr>
          <w:rFonts w:ascii="Times New Roman" w:hAnsi="Times New Roman"/>
          <w:color w:val="auto"/>
        </w:rPr>
      </w:pPr>
      <w:r w:rsidRPr="00E232E9">
        <w:rPr>
          <w:rFonts w:ascii="Times New Roman" w:hAnsi="Times New Roman"/>
          <w:color w:val="auto"/>
        </w:rPr>
        <w:lastRenderedPageBreak/>
        <w:t>PDBR PD-2010-01268</w:t>
      </w: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outlineLvl w:val="0"/>
        <w:rPr>
          <w:rFonts w:ascii="Times New Roman" w:hAnsi="Times New Roman"/>
          <w:color w:val="auto"/>
        </w:rPr>
      </w:pPr>
      <w:r w:rsidRPr="00E232E9">
        <w:rPr>
          <w:rFonts w:ascii="Times New Roman" w:hAnsi="Times New Roman"/>
          <w:color w:val="auto"/>
        </w:rPr>
        <w:t>MEMORANDUM FOR THE CHIEF OF STAFF</w:t>
      </w:r>
    </w:p>
    <w:p w:rsidR="00E068B4" w:rsidRPr="00E232E9" w:rsidRDefault="00E068B4" w:rsidP="00E068B4">
      <w:pPr>
        <w:tabs>
          <w:tab w:val="left" w:pos="720"/>
        </w:tabs>
        <w:spacing w:line="240" w:lineRule="exact"/>
        <w:outlineLvl w:val="0"/>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r w:rsidRPr="00E232E9">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r w:rsidRPr="00E232E9">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 xml:space="preserve">XXXXXXXXXXXX </w:t>
      </w:r>
      <w:r w:rsidRPr="00E232E9">
        <w:rPr>
          <w:rFonts w:ascii="Times New Roman" w:hAnsi="Times New Roman"/>
          <w:color w:val="auto"/>
        </w:rPr>
        <w:t xml:space="preserve"> be</w:t>
      </w:r>
      <w:proofErr w:type="gramEnd"/>
      <w:r w:rsidRPr="00E232E9">
        <w:rPr>
          <w:rFonts w:ascii="Times New Roman" w:hAnsi="Times New Roman"/>
          <w:color w:val="auto"/>
        </w:rPr>
        <w:t xml:space="preserve"> corrected to show that:</w:t>
      </w: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576"/>
          <w:tab w:val="left" w:pos="1170"/>
          <w:tab w:val="left" w:pos="2304"/>
          <w:tab w:val="left" w:pos="3456"/>
          <w:tab w:val="left" w:pos="4608"/>
          <w:tab w:val="left" w:pos="5760"/>
        </w:tabs>
        <w:spacing w:line="240" w:lineRule="exact"/>
        <w:rPr>
          <w:rFonts w:ascii="Times New Roman" w:hAnsi="Times New Roman"/>
          <w:color w:val="auto"/>
        </w:rPr>
      </w:pPr>
      <w:r w:rsidRPr="00E232E9">
        <w:rPr>
          <w:rFonts w:ascii="Times New Roman" w:hAnsi="Times New Roman"/>
          <w:color w:val="auto"/>
        </w:rPr>
        <w:tab/>
      </w:r>
      <w:r w:rsidRPr="00E232E9">
        <w:rPr>
          <w:rFonts w:ascii="Times New Roman" w:hAnsi="Times New Roman"/>
          <w:color w:val="auto"/>
        </w:rPr>
        <w:tab/>
      </w:r>
      <w:r>
        <w:rPr>
          <w:rFonts w:ascii="Times New Roman" w:hAnsi="Times New Roman"/>
          <w:color w:val="auto"/>
        </w:rPr>
        <w:t>a. Sh</w:t>
      </w:r>
      <w:r w:rsidRPr="00E232E9">
        <w:rPr>
          <w:rFonts w:ascii="Times New Roman" w:hAnsi="Times New Roman"/>
          <w:color w:val="auto"/>
        </w:rPr>
        <w:t xml:space="preserve">e was not discharged on 5 January 2004 with entitlement to disability severance pay; rather, on that date </w:t>
      </w:r>
      <w:r>
        <w:rPr>
          <w:rFonts w:ascii="Times New Roman" w:hAnsi="Times New Roman"/>
          <w:color w:val="auto"/>
        </w:rPr>
        <w:t>s</w:t>
      </w:r>
      <w:r w:rsidRPr="00E232E9">
        <w:rPr>
          <w:rFonts w:ascii="Times New Roman" w:hAnsi="Times New Roman"/>
          <w:color w:val="auto"/>
        </w:rPr>
        <w:t xml:space="preserve">he was released from active duty and on </w:t>
      </w:r>
      <w:r>
        <w:rPr>
          <w:rFonts w:ascii="Times New Roman" w:hAnsi="Times New Roman"/>
          <w:color w:val="auto"/>
        </w:rPr>
        <w:t>6 January 2004 her</w:t>
      </w:r>
      <w:r w:rsidRPr="00E232E9">
        <w:rPr>
          <w:rFonts w:ascii="Times New Roman" w:hAnsi="Times New Roman"/>
          <w:color w:val="auto"/>
        </w:rPr>
        <w:t xml:space="preserve"> name was placed on the Temporary Disability Retired List (TDRL), with a diagnosis of Depressive Disorder, VASRD code 9434, rated at 50%.</w:t>
      </w:r>
    </w:p>
    <w:p w:rsidR="00E068B4" w:rsidRPr="00E232E9" w:rsidRDefault="00E068B4" w:rsidP="00E068B4">
      <w:pPr>
        <w:tabs>
          <w:tab w:val="left" w:pos="576"/>
          <w:tab w:val="left" w:pos="1170"/>
          <w:tab w:val="left" w:pos="2304"/>
          <w:tab w:val="left" w:pos="3456"/>
          <w:tab w:val="left" w:pos="4608"/>
          <w:tab w:val="left" w:pos="5760"/>
        </w:tabs>
        <w:spacing w:line="240" w:lineRule="exact"/>
        <w:rPr>
          <w:rFonts w:ascii="Times New Roman" w:hAnsi="Times New Roman"/>
          <w:color w:val="auto"/>
        </w:rPr>
      </w:pPr>
    </w:p>
    <w:p w:rsidR="00E068B4" w:rsidRPr="00E232E9" w:rsidRDefault="00E068B4" w:rsidP="00E068B4">
      <w:pPr>
        <w:tabs>
          <w:tab w:val="left" w:pos="576"/>
          <w:tab w:val="left" w:pos="1170"/>
          <w:tab w:val="left" w:pos="2304"/>
          <w:tab w:val="left" w:pos="3456"/>
          <w:tab w:val="left" w:pos="4608"/>
          <w:tab w:val="left" w:pos="5760"/>
        </w:tabs>
        <w:spacing w:line="240" w:lineRule="exact"/>
        <w:rPr>
          <w:rFonts w:ascii="Times New Roman" w:hAnsi="Times New Roman"/>
          <w:color w:val="auto"/>
        </w:rPr>
      </w:pPr>
      <w:r w:rsidRPr="00E232E9">
        <w:rPr>
          <w:rFonts w:ascii="Times New Roman" w:hAnsi="Times New Roman"/>
          <w:color w:val="auto"/>
        </w:rPr>
        <w:tab/>
      </w:r>
      <w:r w:rsidRPr="00E232E9">
        <w:rPr>
          <w:rFonts w:ascii="Times New Roman" w:hAnsi="Times New Roman"/>
          <w:color w:val="auto"/>
        </w:rPr>
        <w:tab/>
        <w:t>b.</w:t>
      </w:r>
      <w:proofErr w:type="gramStart"/>
      <w:r w:rsidRPr="00E232E9">
        <w:rPr>
          <w:rFonts w:ascii="Times New Roman" w:hAnsi="Times New Roman"/>
          <w:color w:val="auto"/>
        </w:rPr>
        <w:t>  On</w:t>
      </w:r>
      <w:proofErr w:type="gramEnd"/>
      <w:r w:rsidRPr="00E232E9">
        <w:rPr>
          <w:rFonts w:ascii="Times New Roman" w:hAnsi="Times New Roman"/>
          <w:color w:val="auto"/>
        </w:rPr>
        <w:t xml:space="preserve"> 5 July 2004 </w:t>
      </w:r>
      <w:r>
        <w:rPr>
          <w:rFonts w:ascii="Times New Roman" w:hAnsi="Times New Roman"/>
          <w:color w:val="auto"/>
        </w:rPr>
        <w:t>s</w:t>
      </w:r>
      <w:r w:rsidRPr="00E232E9">
        <w:rPr>
          <w:rFonts w:ascii="Times New Roman" w:hAnsi="Times New Roman"/>
          <w:color w:val="auto"/>
        </w:rPr>
        <w:t xml:space="preserve">he was removed from the TDRL and discharged with severance pay with a final combined disability rating of 10%. </w:t>
      </w:r>
    </w:p>
    <w:p w:rsidR="00E068B4" w:rsidRPr="00E232E9" w:rsidRDefault="00E068B4" w:rsidP="00E068B4">
      <w:pPr>
        <w:pStyle w:val="BodyText"/>
        <w:ind w:right="0"/>
        <w:rPr>
          <w:color w:val="auto"/>
        </w:rPr>
      </w:pP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rPr>
          <w:rFonts w:ascii="Times New Roman" w:hAnsi="Times New Roman"/>
          <w:color w:val="auto"/>
        </w:rPr>
      </w:pPr>
    </w:p>
    <w:p w:rsidR="00E068B4" w:rsidRPr="00E232E9" w:rsidRDefault="00E068B4" w:rsidP="00E068B4">
      <w:pPr>
        <w:tabs>
          <w:tab w:val="left" w:pos="720"/>
        </w:tabs>
        <w:spacing w:line="240" w:lineRule="exact"/>
        <w:outlineLvl w:val="0"/>
        <w:rPr>
          <w:rFonts w:ascii="Times New Roman" w:hAnsi="Times New Roman"/>
          <w:color w:val="auto"/>
        </w:rPr>
      </w:pPr>
      <w:r w:rsidRPr="00E232E9">
        <w:rPr>
          <w:rFonts w:ascii="Times New Roman" w:hAnsi="Times New Roman"/>
          <w:color w:val="auto"/>
        </w:rPr>
        <w:t xml:space="preserve">                                                                       </w:t>
      </w:r>
      <w:r>
        <w:rPr>
          <w:rFonts w:ascii="Times New Roman" w:hAnsi="Times New Roman"/>
          <w:color w:val="auto"/>
        </w:rPr>
        <w:t xml:space="preserve"> </w:t>
      </w:r>
    </w:p>
    <w:p w:rsidR="00E068B4" w:rsidRPr="00E232E9" w:rsidRDefault="00E068B4" w:rsidP="00E068B4">
      <w:pPr>
        <w:tabs>
          <w:tab w:val="left" w:pos="720"/>
        </w:tabs>
        <w:spacing w:line="240" w:lineRule="exact"/>
        <w:outlineLvl w:val="0"/>
        <w:rPr>
          <w:rFonts w:ascii="Times New Roman" w:hAnsi="Times New Roman"/>
          <w:color w:val="auto"/>
        </w:rPr>
      </w:pPr>
      <w:r w:rsidRPr="00E232E9">
        <w:rPr>
          <w:rFonts w:ascii="Times New Roman" w:hAnsi="Times New Roman"/>
          <w:color w:val="auto"/>
        </w:rPr>
        <w:t xml:space="preserve">                                                                            Director</w:t>
      </w:r>
    </w:p>
    <w:p w:rsidR="00E068B4" w:rsidRPr="00E232E9" w:rsidRDefault="00E068B4" w:rsidP="00E068B4">
      <w:pPr>
        <w:tabs>
          <w:tab w:val="left" w:pos="720"/>
        </w:tabs>
        <w:spacing w:line="240" w:lineRule="exact"/>
        <w:rPr>
          <w:rFonts w:ascii="Times New Roman" w:hAnsi="Times New Roman"/>
          <w:color w:val="auto"/>
        </w:rPr>
      </w:pPr>
      <w:r w:rsidRPr="00E232E9">
        <w:rPr>
          <w:rFonts w:ascii="Times New Roman" w:hAnsi="Times New Roman"/>
          <w:color w:val="auto"/>
        </w:rPr>
        <w:t xml:space="preserve">                                                                            Air Force Review Boards Agency</w:t>
      </w:r>
    </w:p>
    <w:p w:rsidR="00411FDC" w:rsidRPr="00411FDC" w:rsidRDefault="00411FDC" w:rsidP="00411FDC">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rPr>
      </w:pPr>
    </w:p>
    <w:p w:rsidR="00271522" w:rsidRDefault="00271522" w:rsidP="004E2953">
      <w:pPr>
        <w:tabs>
          <w:tab w:val="left" w:pos="720"/>
          <w:tab w:val="left" w:pos="1080"/>
          <w:tab w:val="left" w:pos="1440"/>
          <w:tab w:val="left" w:pos="1800"/>
          <w:tab w:val="left" w:pos="2160"/>
          <w:tab w:val="right" w:leader="dot" w:pos="9180"/>
        </w:tabs>
        <w:overflowPunct w:val="0"/>
        <w:autoSpaceDE w:val="0"/>
        <w:autoSpaceDN w:val="0"/>
        <w:adjustRightInd w:val="0"/>
        <w:textAlignment w:val="baseline"/>
        <w:rPr>
          <w:rFonts w:asciiTheme="minorHAnsi" w:hAnsiTheme="minorHAnsi" w:cstheme="minorHAnsi"/>
          <w:color w:val="auto"/>
          <w:highlight w:val="yellow"/>
        </w:rPr>
      </w:pPr>
    </w:p>
    <w:sectPr w:rsidR="00271522"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48" w:rsidRDefault="001E3448">
      <w:r>
        <w:separator/>
      </w:r>
    </w:p>
  </w:endnote>
  <w:endnote w:type="continuationSeparator" w:id="0">
    <w:p w:rsidR="001E3448" w:rsidRDefault="001E3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184293">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184293">
    <w:pPr>
      <w:pStyle w:val="Footer"/>
      <w:framePr w:wrap="around" w:vAnchor="text" w:hAnchor="margin" w:xAlign="center" w:y="1"/>
      <w:rPr>
        <w:rStyle w:val="PageNumber"/>
        <w:rFonts w:ascii="Calibri" w:hAnsi="Calibri"/>
        <w:color w:val="auto"/>
      </w:rPr>
    </w:pPr>
    <w:r w:rsidRPr="00AC713F">
      <w:rPr>
        <w:rStyle w:val="PageNumber"/>
        <w:rFonts w:ascii="Calibri" w:hAnsi="Calibri"/>
        <w:color w:val="auto"/>
      </w:rPr>
      <w:fldChar w:fldCharType="begin"/>
    </w:r>
    <w:r w:rsidR="00737283" w:rsidRPr="00AC713F">
      <w:rPr>
        <w:rStyle w:val="PageNumber"/>
        <w:rFonts w:ascii="Calibri" w:hAnsi="Calibri"/>
        <w:color w:val="auto"/>
      </w:rPr>
      <w:instrText xml:space="preserve">PAGE  </w:instrText>
    </w:r>
    <w:r w:rsidRPr="00AC713F">
      <w:rPr>
        <w:rStyle w:val="PageNumber"/>
        <w:rFonts w:ascii="Calibri" w:hAnsi="Calibri"/>
        <w:color w:val="auto"/>
      </w:rPr>
      <w:fldChar w:fldCharType="separate"/>
    </w:r>
    <w:r w:rsidR="00E068B4">
      <w:rPr>
        <w:rStyle w:val="PageNumber"/>
        <w:rFonts w:ascii="Calibri" w:hAnsi="Calibri"/>
        <w:noProof/>
        <w:color w:val="auto"/>
      </w:rPr>
      <w:t>5</w:t>
    </w:r>
    <w:r w:rsidRPr="00AC713F">
      <w:rPr>
        <w:rStyle w:val="PageNumber"/>
        <w:rFonts w:ascii="Calibri" w:hAnsi="Calibri"/>
        <w:color w:val="auto"/>
      </w:rPr>
      <w:fldChar w:fldCharType="end"/>
    </w:r>
  </w:p>
  <w:p w:rsidR="00737283" w:rsidRPr="00396779" w:rsidRDefault="00737283" w:rsidP="002B0749">
    <w:pPr>
      <w:pStyle w:val="Footer"/>
      <w:jc w:val="right"/>
      <w:rPr>
        <w:rFonts w:ascii="Calibri" w:hAnsi="Calibri"/>
        <w:color w:val="auto"/>
      </w:rPr>
    </w:pPr>
    <w:r>
      <w:tab/>
    </w:r>
    <w:r>
      <w:tab/>
    </w:r>
    <w:r w:rsidRPr="00396779">
      <w:rPr>
        <w:rFonts w:ascii="Calibri" w:hAnsi="Calibri"/>
        <w:caps/>
        <w:color w:val="auto"/>
      </w:rPr>
      <w:t>PD</w:t>
    </w:r>
    <w:r w:rsidR="00776E9D">
      <w:rPr>
        <w:rFonts w:ascii="Calibri" w:hAnsi="Calibri"/>
        <w:caps/>
        <w:color w:val="auto"/>
      </w:rPr>
      <w:t>1001268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48" w:rsidRDefault="001E3448">
      <w:r>
        <w:separator/>
      </w:r>
    </w:p>
  </w:footnote>
  <w:footnote w:type="continuationSeparator" w:id="0">
    <w:p w:rsidR="001E3448" w:rsidRDefault="001E3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9330"/>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3253E"/>
    <w:rsid w:val="00032E07"/>
    <w:rsid w:val="000332CA"/>
    <w:rsid w:val="0003374E"/>
    <w:rsid w:val="000344E6"/>
    <w:rsid w:val="00035C3A"/>
    <w:rsid w:val="00036E4B"/>
    <w:rsid w:val="000379D0"/>
    <w:rsid w:val="00040FC4"/>
    <w:rsid w:val="000416F8"/>
    <w:rsid w:val="00042C26"/>
    <w:rsid w:val="00043382"/>
    <w:rsid w:val="00044623"/>
    <w:rsid w:val="00047BDF"/>
    <w:rsid w:val="00051622"/>
    <w:rsid w:val="000521D5"/>
    <w:rsid w:val="00052234"/>
    <w:rsid w:val="000523B0"/>
    <w:rsid w:val="00053D7C"/>
    <w:rsid w:val="00055278"/>
    <w:rsid w:val="000577C9"/>
    <w:rsid w:val="0006431E"/>
    <w:rsid w:val="00065E21"/>
    <w:rsid w:val="00072433"/>
    <w:rsid w:val="00074848"/>
    <w:rsid w:val="00075702"/>
    <w:rsid w:val="000772F9"/>
    <w:rsid w:val="000775C2"/>
    <w:rsid w:val="000806AD"/>
    <w:rsid w:val="000811A4"/>
    <w:rsid w:val="00081D83"/>
    <w:rsid w:val="00082482"/>
    <w:rsid w:val="00087051"/>
    <w:rsid w:val="0008708B"/>
    <w:rsid w:val="00092619"/>
    <w:rsid w:val="00092C66"/>
    <w:rsid w:val="00094E4F"/>
    <w:rsid w:val="000A2BCE"/>
    <w:rsid w:val="000A41E3"/>
    <w:rsid w:val="000A4BBA"/>
    <w:rsid w:val="000A5071"/>
    <w:rsid w:val="000A6FF8"/>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4EBE"/>
    <w:rsid w:val="000D6457"/>
    <w:rsid w:val="000D7D55"/>
    <w:rsid w:val="000E0993"/>
    <w:rsid w:val="000E37E0"/>
    <w:rsid w:val="000E3EA6"/>
    <w:rsid w:val="000E7034"/>
    <w:rsid w:val="000F02BE"/>
    <w:rsid w:val="000F427B"/>
    <w:rsid w:val="000F7181"/>
    <w:rsid w:val="001008C1"/>
    <w:rsid w:val="00101394"/>
    <w:rsid w:val="001023DB"/>
    <w:rsid w:val="00102E98"/>
    <w:rsid w:val="00103CCF"/>
    <w:rsid w:val="0010417F"/>
    <w:rsid w:val="001042D2"/>
    <w:rsid w:val="0010530E"/>
    <w:rsid w:val="00105C07"/>
    <w:rsid w:val="00106AD8"/>
    <w:rsid w:val="00107B82"/>
    <w:rsid w:val="00107EC5"/>
    <w:rsid w:val="001103CD"/>
    <w:rsid w:val="00110CB0"/>
    <w:rsid w:val="00114F20"/>
    <w:rsid w:val="001211AF"/>
    <w:rsid w:val="001219DF"/>
    <w:rsid w:val="00122ABE"/>
    <w:rsid w:val="00123060"/>
    <w:rsid w:val="001231DC"/>
    <w:rsid w:val="00126A95"/>
    <w:rsid w:val="001272AE"/>
    <w:rsid w:val="001278BD"/>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56C94"/>
    <w:rsid w:val="001601C4"/>
    <w:rsid w:val="00161761"/>
    <w:rsid w:val="001646E3"/>
    <w:rsid w:val="00166182"/>
    <w:rsid w:val="001745DD"/>
    <w:rsid w:val="00177659"/>
    <w:rsid w:val="001779E5"/>
    <w:rsid w:val="00182A4C"/>
    <w:rsid w:val="00183F77"/>
    <w:rsid w:val="00184293"/>
    <w:rsid w:val="001844D8"/>
    <w:rsid w:val="00185DA8"/>
    <w:rsid w:val="00185ECB"/>
    <w:rsid w:val="001865E0"/>
    <w:rsid w:val="001870F0"/>
    <w:rsid w:val="00190E48"/>
    <w:rsid w:val="0019273F"/>
    <w:rsid w:val="00193814"/>
    <w:rsid w:val="00193AD5"/>
    <w:rsid w:val="00194930"/>
    <w:rsid w:val="00194A87"/>
    <w:rsid w:val="00196A18"/>
    <w:rsid w:val="001A08CD"/>
    <w:rsid w:val="001A0A1E"/>
    <w:rsid w:val="001A5320"/>
    <w:rsid w:val="001A5E62"/>
    <w:rsid w:val="001A6848"/>
    <w:rsid w:val="001A7538"/>
    <w:rsid w:val="001B0B1A"/>
    <w:rsid w:val="001B4EC2"/>
    <w:rsid w:val="001B5B59"/>
    <w:rsid w:val="001B60E0"/>
    <w:rsid w:val="001B771C"/>
    <w:rsid w:val="001B7C8C"/>
    <w:rsid w:val="001C181A"/>
    <w:rsid w:val="001C1877"/>
    <w:rsid w:val="001C2053"/>
    <w:rsid w:val="001C252F"/>
    <w:rsid w:val="001C28D1"/>
    <w:rsid w:val="001C5CFC"/>
    <w:rsid w:val="001C7418"/>
    <w:rsid w:val="001C7EBE"/>
    <w:rsid w:val="001D0051"/>
    <w:rsid w:val="001D2224"/>
    <w:rsid w:val="001D31AA"/>
    <w:rsid w:val="001D36BC"/>
    <w:rsid w:val="001D4F88"/>
    <w:rsid w:val="001D68CF"/>
    <w:rsid w:val="001D6A8C"/>
    <w:rsid w:val="001D7A56"/>
    <w:rsid w:val="001E15C0"/>
    <w:rsid w:val="001E18E0"/>
    <w:rsid w:val="001E18E2"/>
    <w:rsid w:val="001E19D0"/>
    <w:rsid w:val="001E2A30"/>
    <w:rsid w:val="001E3448"/>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051A"/>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22"/>
    <w:rsid w:val="0027159C"/>
    <w:rsid w:val="00274549"/>
    <w:rsid w:val="00274E46"/>
    <w:rsid w:val="00276C86"/>
    <w:rsid w:val="002810A4"/>
    <w:rsid w:val="00284A26"/>
    <w:rsid w:val="00284A7F"/>
    <w:rsid w:val="00285904"/>
    <w:rsid w:val="00287006"/>
    <w:rsid w:val="00292AB2"/>
    <w:rsid w:val="00294437"/>
    <w:rsid w:val="002A13BF"/>
    <w:rsid w:val="002A3237"/>
    <w:rsid w:val="002A4C78"/>
    <w:rsid w:val="002A58B7"/>
    <w:rsid w:val="002A5943"/>
    <w:rsid w:val="002A5C3C"/>
    <w:rsid w:val="002A685E"/>
    <w:rsid w:val="002A6E97"/>
    <w:rsid w:val="002A72C7"/>
    <w:rsid w:val="002B03B2"/>
    <w:rsid w:val="002B0749"/>
    <w:rsid w:val="002B2645"/>
    <w:rsid w:val="002B6FA0"/>
    <w:rsid w:val="002C5F10"/>
    <w:rsid w:val="002C6D22"/>
    <w:rsid w:val="002C6E5B"/>
    <w:rsid w:val="002D18B4"/>
    <w:rsid w:val="002D231A"/>
    <w:rsid w:val="002D2943"/>
    <w:rsid w:val="002E1877"/>
    <w:rsid w:val="002E1C31"/>
    <w:rsid w:val="002E333A"/>
    <w:rsid w:val="002E3474"/>
    <w:rsid w:val="002E400C"/>
    <w:rsid w:val="002E49C3"/>
    <w:rsid w:val="002E5114"/>
    <w:rsid w:val="002E7570"/>
    <w:rsid w:val="002E764B"/>
    <w:rsid w:val="002F0E28"/>
    <w:rsid w:val="002F2868"/>
    <w:rsid w:val="002F287E"/>
    <w:rsid w:val="002F2D63"/>
    <w:rsid w:val="002F7E5B"/>
    <w:rsid w:val="002F7F81"/>
    <w:rsid w:val="00300A36"/>
    <w:rsid w:val="0030678B"/>
    <w:rsid w:val="00310CD7"/>
    <w:rsid w:val="0031220B"/>
    <w:rsid w:val="0032136A"/>
    <w:rsid w:val="00323E70"/>
    <w:rsid w:val="00325BA2"/>
    <w:rsid w:val="00326C08"/>
    <w:rsid w:val="00326F7F"/>
    <w:rsid w:val="003320E8"/>
    <w:rsid w:val="0033334F"/>
    <w:rsid w:val="003342DE"/>
    <w:rsid w:val="0033555E"/>
    <w:rsid w:val="00336805"/>
    <w:rsid w:val="00337351"/>
    <w:rsid w:val="00341A54"/>
    <w:rsid w:val="003437C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2261"/>
    <w:rsid w:val="003826D9"/>
    <w:rsid w:val="00384866"/>
    <w:rsid w:val="003857D4"/>
    <w:rsid w:val="00385D6F"/>
    <w:rsid w:val="00387095"/>
    <w:rsid w:val="00390092"/>
    <w:rsid w:val="00393651"/>
    <w:rsid w:val="00395E12"/>
    <w:rsid w:val="00396779"/>
    <w:rsid w:val="00397DB7"/>
    <w:rsid w:val="003A27B2"/>
    <w:rsid w:val="003A40B4"/>
    <w:rsid w:val="003A41BA"/>
    <w:rsid w:val="003A6701"/>
    <w:rsid w:val="003A6A99"/>
    <w:rsid w:val="003A7FF8"/>
    <w:rsid w:val="003B17AC"/>
    <w:rsid w:val="003B227A"/>
    <w:rsid w:val="003B5854"/>
    <w:rsid w:val="003B6764"/>
    <w:rsid w:val="003C334E"/>
    <w:rsid w:val="003C6068"/>
    <w:rsid w:val="003D2BA3"/>
    <w:rsid w:val="003D3C22"/>
    <w:rsid w:val="003D7089"/>
    <w:rsid w:val="003D7DDB"/>
    <w:rsid w:val="003E02C7"/>
    <w:rsid w:val="003E0543"/>
    <w:rsid w:val="003E0B5A"/>
    <w:rsid w:val="003E31E3"/>
    <w:rsid w:val="003E46D1"/>
    <w:rsid w:val="003E47C9"/>
    <w:rsid w:val="003E6214"/>
    <w:rsid w:val="003F070E"/>
    <w:rsid w:val="003F57F1"/>
    <w:rsid w:val="003F58B0"/>
    <w:rsid w:val="003F7346"/>
    <w:rsid w:val="004007E9"/>
    <w:rsid w:val="00401825"/>
    <w:rsid w:val="00401BBC"/>
    <w:rsid w:val="00403BFB"/>
    <w:rsid w:val="00404B45"/>
    <w:rsid w:val="00406CC5"/>
    <w:rsid w:val="00406D86"/>
    <w:rsid w:val="004074A4"/>
    <w:rsid w:val="004101B2"/>
    <w:rsid w:val="004116DF"/>
    <w:rsid w:val="00411FDC"/>
    <w:rsid w:val="004123D7"/>
    <w:rsid w:val="00412658"/>
    <w:rsid w:val="004172DB"/>
    <w:rsid w:val="00421485"/>
    <w:rsid w:val="00422B75"/>
    <w:rsid w:val="00424F51"/>
    <w:rsid w:val="00433F36"/>
    <w:rsid w:val="0043503A"/>
    <w:rsid w:val="00437E2B"/>
    <w:rsid w:val="0044384F"/>
    <w:rsid w:val="004439BB"/>
    <w:rsid w:val="00444EA7"/>
    <w:rsid w:val="00444F80"/>
    <w:rsid w:val="00446018"/>
    <w:rsid w:val="004543BC"/>
    <w:rsid w:val="0045645D"/>
    <w:rsid w:val="004574C6"/>
    <w:rsid w:val="00457BCF"/>
    <w:rsid w:val="00457DCE"/>
    <w:rsid w:val="00460E3F"/>
    <w:rsid w:val="0046202E"/>
    <w:rsid w:val="00462F68"/>
    <w:rsid w:val="00466CED"/>
    <w:rsid w:val="00467592"/>
    <w:rsid w:val="00467690"/>
    <w:rsid w:val="004718E7"/>
    <w:rsid w:val="00472535"/>
    <w:rsid w:val="0047348E"/>
    <w:rsid w:val="004761CC"/>
    <w:rsid w:val="004773EC"/>
    <w:rsid w:val="00480D4A"/>
    <w:rsid w:val="0048195B"/>
    <w:rsid w:val="00481DA1"/>
    <w:rsid w:val="00484212"/>
    <w:rsid w:val="0049255F"/>
    <w:rsid w:val="00492F59"/>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2769"/>
    <w:rsid w:val="004C5E33"/>
    <w:rsid w:val="004C6CDA"/>
    <w:rsid w:val="004D10D4"/>
    <w:rsid w:val="004D16BD"/>
    <w:rsid w:val="004D185A"/>
    <w:rsid w:val="004D2AAB"/>
    <w:rsid w:val="004D6F2B"/>
    <w:rsid w:val="004E0248"/>
    <w:rsid w:val="004E21A3"/>
    <w:rsid w:val="004E2953"/>
    <w:rsid w:val="004E32EA"/>
    <w:rsid w:val="004E6866"/>
    <w:rsid w:val="004F3222"/>
    <w:rsid w:val="004F3BFA"/>
    <w:rsid w:val="004F6CFC"/>
    <w:rsid w:val="005000AB"/>
    <w:rsid w:val="005025EE"/>
    <w:rsid w:val="005034B7"/>
    <w:rsid w:val="00504D9F"/>
    <w:rsid w:val="00507389"/>
    <w:rsid w:val="00510588"/>
    <w:rsid w:val="0051146C"/>
    <w:rsid w:val="00511FA5"/>
    <w:rsid w:val="005140B1"/>
    <w:rsid w:val="00514449"/>
    <w:rsid w:val="005157BD"/>
    <w:rsid w:val="005214A3"/>
    <w:rsid w:val="005222C7"/>
    <w:rsid w:val="005222E7"/>
    <w:rsid w:val="00523A8B"/>
    <w:rsid w:val="00523E04"/>
    <w:rsid w:val="0052590B"/>
    <w:rsid w:val="00526591"/>
    <w:rsid w:val="00527178"/>
    <w:rsid w:val="005278CB"/>
    <w:rsid w:val="0053237D"/>
    <w:rsid w:val="00534D42"/>
    <w:rsid w:val="005350A5"/>
    <w:rsid w:val="00536379"/>
    <w:rsid w:val="00537238"/>
    <w:rsid w:val="005400C5"/>
    <w:rsid w:val="00540BEF"/>
    <w:rsid w:val="00542C9A"/>
    <w:rsid w:val="005436C2"/>
    <w:rsid w:val="005442D4"/>
    <w:rsid w:val="0054586A"/>
    <w:rsid w:val="0054631F"/>
    <w:rsid w:val="005475D3"/>
    <w:rsid w:val="0055288D"/>
    <w:rsid w:val="00555259"/>
    <w:rsid w:val="00560D57"/>
    <w:rsid w:val="00562651"/>
    <w:rsid w:val="00562A94"/>
    <w:rsid w:val="005709F7"/>
    <w:rsid w:val="005710A9"/>
    <w:rsid w:val="005716FB"/>
    <w:rsid w:val="00571B83"/>
    <w:rsid w:val="00571D1B"/>
    <w:rsid w:val="005738F5"/>
    <w:rsid w:val="0058039C"/>
    <w:rsid w:val="00593043"/>
    <w:rsid w:val="00595BF0"/>
    <w:rsid w:val="005A1846"/>
    <w:rsid w:val="005A258C"/>
    <w:rsid w:val="005A3560"/>
    <w:rsid w:val="005A464E"/>
    <w:rsid w:val="005A5643"/>
    <w:rsid w:val="005A6C99"/>
    <w:rsid w:val="005A7D5D"/>
    <w:rsid w:val="005B011A"/>
    <w:rsid w:val="005B1D8F"/>
    <w:rsid w:val="005B1E94"/>
    <w:rsid w:val="005B5B3D"/>
    <w:rsid w:val="005B64CF"/>
    <w:rsid w:val="005C16F3"/>
    <w:rsid w:val="005C3758"/>
    <w:rsid w:val="005E3064"/>
    <w:rsid w:val="005E72B2"/>
    <w:rsid w:val="005F1115"/>
    <w:rsid w:val="005F1AB6"/>
    <w:rsid w:val="005F1F5F"/>
    <w:rsid w:val="005F27F2"/>
    <w:rsid w:val="005F2B90"/>
    <w:rsid w:val="005F3AFE"/>
    <w:rsid w:val="005F424D"/>
    <w:rsid w:val="005F6B6D"/>
    <w:rsid w:val="00602011"/>
    <w:rsid w:val="00605AAB"/>
    <w:rsid w:val="00606BEB"/>
    <w:rsid w:val="0061014A"/>
    <w:rsid w:val="0061054B"/>
    <w:rsid w:val="00613E26"/>
    <w:rsid w:val="00615641"/>
    <w:rsid w:val="00616959"/>
    <w:rsid w:val="006211D0"/>
    <w:rsid w:val="00624D0C"/>
    <w:rsid w:val="00625279"/>
    <w:rsid w:val="006274B4"/>
    <w:rsid w:val="006307BA"/>
    <w:rsid w:val="006315BA"/>
    <w:rsid w:val="00634C4A"/>
    <w:rsid w:val="0063532E"/>
    <w:rsid w:val="00637BDC"/>
    <w:rsid w:val="00640C92"/>
    <w:rsid w:val="006418C9"/>
    <w:rsid w:val="00642BD6"/>
    <w:rsid w:val="00644F2A"/>
    <w:rsid w:val="00645046"/>
    <w:rsid w:val="0064527A"/>
    <w:rsid w:val="00645EA2"/>
    <w:rsid w:val="00646058"/>
    <w:rsid w:val="00653D2D"/>
    <w:rsid w:val="0065407D"/>
    <w:rsid w:val="006573F2"/>
    <w:rsid w:val="0066198D"/>
    <w:rsid w:val="00662F08"/>
    <w:rsid w:val="00663589"/>
    <w:rsid w:val="006656F6"/>
    <w:rsid w:val="006708E3"/>
    <w:rsid w:val="00670DDC"/>
    <w:rsid w:val="006716AE"/>
    <w:rsid w:val="00671EB4"/>
    <w:rsid w:val="0067443B"/>
    <w:rsid w:val="00676FDE"/>
    <w:rsid w:val="00684A16"/>
    <w:rsid w:val="00684E2B"/>
    <w:rsid w:val="00690FDA"/>
    <w:rsid w:val="00691E61"/>
    <w:rsid w:val="00693C5E"/>
    <w:rsid w:val="00694EEA"/>
    <w:rsid w:val="006955B4"/>
    <w:rsid w:val="00696476"/>
    <w:rsid w:val="006A10FA"/>
    <w:rsid w:val="006A290B"/>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8FC"/>
    <w:rsid w:val="006F4F06"/>
    <w:rsid w:val="006F5A4E"/>
    <w:rsid w:val="006F6005"/>
    <w:rsid w:val="00703B6C"/>
    <w:rsid w:val="00705C40"/>
    <w:rsid w:val="00706482"/>
    <w:rsid w:val="007065AC"/>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37283"/>
    <w:rsid w:val="007419A1"/>
    <w:rsid w:val="00743071"/>
    <w:rsid w:val="00743B71"/>
    <w:rsid w:val="00743C2D"/>
    <w:rsid w:val="00743E36"/>
    <w:rsid w:val="007446F7"/>
    <w:rsid w:val="00744EBB"/>
    <w:rsid w:val="00745B0A"/>
    <w:rsid w:val="007468AC"/>
    <w:rsid w:val="00746AE2"/>
    <w:rsid w:val="00750C82"/>
    <w:rsid w:val="00752775"/>
    <w:rsid w:val="00752950"/>
    <w:rsid w:val="0076100C"/>
    <w:rsid w:val="007612A5"/>
    <w:rsid w:val="00763F95"/>
    <w:rsid w:val="007651ED"/>
    <w:rsid w:val="00765D5A"/>
    <w:rsid w:val="00766C87"/>
    <w:rsid w:val="007738C1"/>
    <w:rsid w:val="00776E9D"/>
    <w:rsid w:val="00780378"/>
    <w:rsid w:val="00781BD4"/>
    <w:rsid w:val="00784832"/>
    <w:rsid w:val="00785D77"/>
    <w:rsid w:val="00786111"/>
    <w:rsid w:val="00790713"/>
    <w:rsid w:val="007911B3"/>
    <w:rsid w:val="00791F1E"/>
    <w:rsid w:val="00794F3D"/>
    <w:rsid w:val="00795708"/>
    <w:rsid w:val="00796045"/>
    <w:rsid w:val="007968AC"/>
    <w:rsid w:val="007969AB"/>
    <w:rsid w:val="00797882"/>
    <w:rsid w:val="007A05A5"/>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1C2"/>
    <w:rsid w:val="007D568A"/>
    <w:rsid w:val="007D574E"/>
    <w:rsid w:val="007D6BFE"/>
    <w:rsid w:val="007E2046"/>
    <w:rsid w:val="007E3883"/>
    <w:rsid w:val="007E4E6B"/>
    <w:rsid w:val="007E4FBB"/>
    <w:rsid w:val="007E55BF"/>
    <w:rsid w:val="007E71B1"/>
    <w:rsid w:val="007E7B4E"/>
    <w:rsid w:val="007F0CE2"/>
    <w:rsid w:val="007F0EFF"/>
    <w:rsid w:val="007F1375"/>
    <w:rsid w:val="007F6620"/>
    <w:rsid w:val="00803850"/>
    <w:rsid w:val="00804385"/>
    <w:rsid w:val="00804568"/>
    <w:rsid w:val="00805AFD"/>
    <w:rsid w:val="008078D8"/>
    <w:rsid w:val="00811D5B"/>
    <w:rsid w:val="00817713"/>
    <w:rsid w:val="008220F1"/>
    <w:rsid w:val="0082340B"/>
    <w:rsid w:val="00823CA4"/>
    <w:rsid w:val="00824B56"/>
    <w:rsid w:val="00827DB6"/>
    <w:rsid w:val="008304B2"/>
    <w:rsid w:val="00830999"/>
    <w:rsid w:val="00830D5E"/>
    <w:rsid w:val="00830F69"/>
    <w:rsid w:val="00833418"/>
    <w:rsid w:val="00834458"/>
    <w:rsid w:val="00835841"/>
    <w:rsid w:val="00837465"/>
    <w:rsid w:val="00841243"/>
    <w:rsid w:val="00841457"/>
    <w:rsid w:val="0084374E"/>
    <w:rsid w:val="00843B13"/>
    <w:rsid w:val="00844842"/>
    <w:rsid w:val="00844DD0"/>
    <w:rsid w:val="0085089F"/>
    <w:rsid w:val="00851A0E"/>
    <w:rsid w:val="0085206E"/>
    <w:rsid w:val="00852AD4"/>
    <w:rsid w:val="00852BA8"/>
    <w:rsid w:val="00853718"/>
    <w:rsid w:val="008541EF"/>
    <w:rsid w:val="00856AC7"/>
    <w:rsid w:val="00856FA4"/>
    <w:rsid w:val="0085754B"/>
    <w:rsid w:val="0086162B"/>
    <w:rsid w:val="00861D5C"/>
    <w:rsid w:val="00865207"/>
    <w:rsid w:val="008656A7"/>
    <w:rsid w:val="00866231"/>
    <w:rsid w:val="008700E4"/>
    <w:rsid w:val="00871262"/>
    <w:rsid w:val="00871D4E"/>
    <w:rsid w:val="00871E7B"/>
    <w:rsid w:val="00874D88"/>
    <w:rsid w:val="00875B51"/>
    <w:rsid w:val="00875F2D"/>
    <w:rsid w:val="008764DC"/>
    <w:rsid w:val="00882CC2"/>
    <w:rsid w:val="00883930"/>
    <w:rsid w:val="00896535"/>
    <w:rsid w:val="00896683"/>
    <w:rsid w:val="0089750B"/>
    <w:rsid w:val="00897589"/>
    <w:rsid w:val="008A63A9"/>
    <w:rsid w:val="008A7F7E"/>
    <w:rsid w:val="008B04DB"/>
    <w:rsid w:val="008B1A5B"/>
    <w:rsid w:val="008B27FD"/>
    <w:rsid w:val="008B3AF2"/>
    <w:rsid w:val="008B446D"/>
    <w:rsid w:val="008B515D"/>
    <w:rsid w:val="008B5D31"/>
    <w:rsid w:val="008B6705"/>
    <w:rsid w:val="008C22F3"/>
    <w:rsid w:val="008D273E"/>
    <w:rsid w:val="008D795D"/>
    <w:rsid w:val="008D7B07"/>
    <w:rsid w:val="008E1E94"/>
    <w:rsid w:val="008E2D99"/>
    <w:rsid w:val="008E4A60"/>
    <w:rsid w:val="008E744D"/>
    <w:rsid w:val="008E7B83"/>
    <w:rsid w:val="008F1E08"/>
    <w:rsid w:val="008F42BF"/>
    <w:rsid w:val="00900D8F"/>
    <w:rsid w:val="009014E3"/>
    <w:rsid w:val="009026E8"/>
    <w:rsid w:val="00906EB7"/>
    <w:rsid w:val="009102BF"/>
    <w:rsid w:val="00911490"/>
    <w:rsid w:val="009115F2"/>
    <w:rsid w:val="00911D84"/>
    <w:rsid w:val="00914ADB"/>
    <w:rsid w:val="00923B25"/>
    <w:rsid w:val="0092402E"/>
    <w:rsid w:val="00924462"/>
    <w:rsid w:val="009259BA"/>
    <w:rsid w:val="00926FCB"/>
    <w:rsid w:val="0093311A"/>
    <w:rsid w:val="0094179C"/>
    <w:rsid w:val="00942645"/>
    <w:rsid w:val="00944149"/>
    <w:rsid w:val="009450A9"/>
    <w:rsid w:val="00950A3A"/>
    <w:rsid w:val="0095340A"/>
    <w:rsid w:val="00954581"/>
    <w:rsid w:val="0095466C"/>
    <w:rsid w:val="00954E5B"/>
    <w:rsid w:val="009576BC"/>
    <w:rsid w:val="00960357"/>
    <w:rsid w:val="0096168C"/>
    <w:rsid w:val="00961840"/>
    <w:rsid w:val="00962F2D"/>
    <w:rsid w:val="00963D38"/>
    <w:rsid w:val="009672CD"/>
    <w:rsid w:val="00972996"/>
    <w:rsid w:val="009732B8"/>
    <w:rsid w:val="00975C72"/>
    <w:rsid w:val="00976869"/>
    <w:rsid w:val="00977740"/>
    <w:rsid w:val="00977CB4"/>
    <w:rsid w:val="009809B8"/>
    <w:rsid w:val="0098222D"/>
    <w:rsid w:val="00985099"/>
    <w:rsid w:val="00991B81"/>
    <w:rsid w:val="0099421F"/>
    <w:rsid w:val="0099608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67A8"/>
    <w:rsid w:val="009C72DD"/>
    <w:rsid w:val="009C7DF5"/>
    <w:rsid w:val="009C7E4C"/>
    <w:rsid w:val="009D056C"/>
    <w:rsid w:val="009D060F"/>
    <w:rsid w:val="009D1ADE"/>
    <w:rsid w:val="009D37CA"/>
    <w:rsid w:val="009E09D0"/>
    <w:rsid w:val="009E1283"/>
    <w:rsid w:val="009E3A7F"/>
    <w:rsid w:val="009E54D5"/>
    <w:rsid w:val="009E57B1"/>
    <w:rsid w:val="009E6379"/>
    <w:rsid w:val="009F7809"/>
    <w:rsid w:val="009F7AF5"/>
    <w:rsid w:val="00A00D14"/>
    <w:rsid w:val="00A01408"/>
    <w:rsid w:val="00A02457"/>
    <w:rsid w:val="00A03190"/>
    <w:rsid w:val="00A0404B"/>
    <w:rsid w:val="00A0798C"/>
    <w:rsid w:val="00A07BDD"/>
    <w:rsid w:val="00A10860"/>
    <w:rsid w:val="00A1105B"/>
    <w:rsid w:val="00A1213C"/>
    <w:rsid w:val="00A130E8"/>
    <w:rsid w:val="00A15B6B"/>
    <w:rsid w:val="00A15EB4"/>
    <w:rsid w:val="00A16876"/>
    <w:rsid w:val="00A200AA"/>
    <w:rsid w:val="00A20558"/>
    <w:rsid w:val="00A2186F"/>
    <w:rsid w:val="00A21C0D"/>
    <w:rsid w:val="00A2270B"/>
    <w:rsid w:val="00A23B89"/>
    <w:rsid w:val="00A23FE3"/>
    <w:rsid w:val="00A248C3"/>
    <w:rsid w:val="00A2496E"/>
    <w:rsid w:val="00A258B7"/>
    <w:rsid w:val="00A26A93"/>
    <w:rsid w:val="00A32743"/>
    <w:rsid w:val="00A35568"/>
    <w:rsid w:val="00A414A9"/>
    <w:rsid w:val="00A44CCA"/>
    <w:rsid w:val="00A44D75"/>
    <w:rsid w:val="00A47CF1"/>
    <w:rsid w:val="00A50418"/>
    <w:rsid w:val="00A5185A"/>
    <w:rsid w:val="00A544C7"/>
    <w:rsid w:val="00A54A47"/>
    <w:rsid w:val="00A56D26"/>
    <w:rsid w:val="00A571A7"/>
    <w:rsid w:val="00A608FB"/>
    <w:rsid w:val="00A60D83"/>
    <w:rsid w:val="00A60F68"/>
    <w:rsid w:val="00A63DF3"/>
    <w:rsid w:val="00A65C78"/>
    <w:rsid w:val="00A660A8"/>
    <w:rsid w:val="00A666DE"/>
    <w:rsid w:val="00A67591"/>
    <w:rsid w:val="00A67CA6"/>
    <w:rsid w:val="00A70E7B"/>
    <w:rsid w:val="00A7295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2CE7"/>
    <w:rsid w:val="00AD6870"/>
    <w:rsid w:val="00AD68C5"/>
    <w:rsid w:val="00AE1273"/>
    <w:rsid w:val="00AE2D29"/>
    <w:rsid w:val="00AE4624"/>
    <w:rsid w:val="00AE5E14"/>
    <w:rsid w:val="00AE6115"/>
    <w:rsid w:val="00AE625B"/>
    <w:rsid w:val="00AF1668"/>
    <w:rsid w:val="00AF4FA5"/>
    <w:rsid w:val="00AF7A9B"/>
    <w:rsid w:val="00B038FD"/>
    <w:rsid w:val="00B07955"/>
    <w:rsid w:val="00B140B8"/>
    <w:rsid w:val="00B14FAA"/>
    <w:rsid w:val="00B15D30"/>
    <w:rsid w:val="00B20624"/>
    <w:rsid w:val="00B23436"/>
    <w:rsid w:val="00B237F1"/>
    <w:rsid w:val="00B240C3"/>
    <w:rsid w:val="00B24F33"/>
    <w:rsid w:val="00B24F9E"/>
    <w:rsid w:val="00B26354"/>
    <w:rsid w:val="00B26CA0"/>
    <w:rsid w:val="00B32179"/>
    <w:rsid w:val="00B33007"/>
    <w:rsid w:val="00B331A9"/>
    <w:rsid w:val="00B36569"/>
    <w:rsid w:val="00B40A05"/>
    <w:rsid w:val="00B40A3E"/>
    <w:rsid w:val="00B427BB"/>
    <w:rsid w:val="00B449EE"/>
    <w:rsid w:val="00B45246"/>
    <w:rsid w:val="00B46491"/>
    <w:rsid w:val="00B50227"/>
    <w:rsid w:val="00B50510"/>
    <w:rsid w:val="00B522CD"/>
    <w:rsid w:val="00B55143"/>
    <w:rsid w:val="00B555C8"/>
    <w:rsid w:val="00B55917"/>
    <w:rsid w:val="00B643A6"/>
    <w:rsid w:val="00B64DD6"/>
    <w:rsid w:val="00B6710C"/>
    <w:rsid w:val="00B67C39"/>
    <w:rsid w:val="00B67E84"/>
    <w:rsid w:val="00B719D6"/>
    <w:rsid w:val="00B72076"/>
    <w:rsid w:val="00B72303"/>
    <w:rsid w:val="00B72C72"/>
    <w:rsid w:val="00B76F7D"/>
    <w:rsid w:val="00B82277"/>
    <w:rsid w:val="00B84AC7"/>
    <w:rsid w:val="00B91676"/>
    <w:rsid w:val="00B949C1"/>
    <w:rsid w:val="00B949DB"/>
    <w:rsid w:val="00B95833"/>
    <w:rsid w:val="00BA1824"/>
    <w:rsid w:val="00BA2D98"/>
    <w:rsid w:val="00BA30D1"/>
    <w:rsid w:val="00BA30E1"/>
    <w:rsid w:val="00BA4609"/>
    <w:rsid w:val="00BA5BE2"/>
    <w:rsid w:val="00BA7F46"/>
    <w:rsid w:val="00BB0A0A"/>
    <w:rsid w:val="00BB133C"/>
    <w:rsid w:val="00BB38E3"/>
    <w:rsid w:val="00BB45B5"/>
    <w:rsid w:val="00BB6064"/>
    <w:rsid w:val="00BC09D1"/>
    <w:rsid w:val="00BC1CF3"/>
    <w:rsid w:val="00BC3573"/>
    <w:rsid w:val="00BC7F82"/>
    <w:rsid w:val="00BD40AB"/>
    <w:rsid w:val="00BD6297"/>
    <w:rsid w:val="00BD6806"/>
    <w:rsid w:val="00BD6BF8"/>
    <w:rsid w:val="00BD7433"/>
    <w:rsid w:val="00BD7831"/>
    <w:rsid w:val="00BD7C10"/>
    <w:rsid w:val="00BE046F"/>
    <w:rsid w:val="00BE0DEB"/>
    <w:rsid w:val="00BE0FE7"/>
    <w:rsid w:val="00BE2FC1"/>
    <w:rsid w:val="00BE3ECD"/>
    <w:rsid w:val="00BE5F92"/>
    <w:rsid w:val="00BE6365"/>
    <w:rsid w:val="00BF0B7F"/>
    <w:rsid w:val="00BF4720"/>
    <w:rsid w:val="00BF4F49"/>
    <w:rsid w:val="00BF7B4F"/>
    <w:rsid w:val="00BF7B63"/>
    <w:rsid w:val="00C00574"/>
    <w:rsid w:val="00C02E97"/>
    <w:rsid w:val="00C038EC"/>
    <w:rsid w:val="00C05C6D"/>
    <w:rsid w:val="00C068B5"/>
    <w:rsid w:val="00C07211"/>
    <w:rsid w:val="00C1122B"/>
    <w:rsid w:val="00C13B34"/>
    <w:rsid w:val="00C13F26"/>
    <w:rsid w:val="00C1474E"/>
    <w:rsid w:val="00C16E9F"/>
    <w:rsid w:val="00C1713D"/>
    <w:rsid w:val="00C177F1"/>
    <w:rsid w:val="00C17EE6"/>
    <w:rsid w:val="00C22F3A"/>
    <w:rsid w:val="00C23311"/>
    <w:rsid w:val="00C23429"/>
    <w:rsid w:val="00C25978"/>
    <w:rsid w:val="00C261C6"/>
    <w:rsid w:val="00C26807"/>
    <w:rsid w:val="00C26E7C"/>
    <w:rsid w:val="00C276CD"/>
    <w:rsid w:val="00C30A97"/>
    <w:rsid w:val="00C31DDC"/>
    <w:rsid w:val="00C34326"/>
    <w:rsid w:val="00C36201"/>
    <w:rsid w:val="00C368E8"/>
    <w:rsid w:val="00C36C3D"/>
    <w:rsid w:val="00C372C7"/>
    <w:rsid w:val="00C42443"/>
    <w:rsid w:val="00C42CBA"/>
    <w:rsid w:val="00C438C9"/>
    <w:rsid w:val="00C463C2"/>
    <w:rsid w:val="00C5019E"/>
    <w:rsid w:val="00C5377C"/>
    <w:rsid w:val="00C53E8A"/>
    <w:rsid w:val="00C54DF3"/>
    <w:rsid w:val="00C560A7"/>
    <w:rsid w:val="00C56D89"/>
    <w:rsid w:val="00C56FC8"/>
    <w:rsid w:val="00C60F23"/>
    <w:rsid w:val="00C61B48"/>
    <w:rsid w:val="00C62EB2"/>
    <w:rsid w:val="00C635D4"/>
    <w:rsid w:val="00C67BE4"/>
    <w:rsid w:val="00C71BEC"/>
    <w:rsid w:val="00C74D3A"/>
    <w:rsid w:val="00C77124"/>
    <w:rsid w:val="00C80511"/>
    <w:rsid w:val="00C826F5"/>
    <w:rsid w:val="00C83740"/>
    <w:rsid w:val="00C845D4"/>
    <w:rsid w:val="00C84AD1"/>
    <w:rsid w:val="00C85579"/>
    <w:rsid w:val="00C863E5"/>
    <w:rsid w:val="00C86B5F"/>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62CB"/>
    <w:rsid w:val="00CB7A3E"/>
    <w:rsid w:val="00CB7FF7"/>
    <w:rsid w:val="00CC0D0E"/>
    <w:rsid w:val="00CC19B3"/>
    <w:rsid w:val="00CC2044"/>
    <w:rsid w:val="00CC39D2"/>
    <w:rsid w:val="00CC597B"/>
    <w:rsid w:val="00CC69EC"/>
    <w:rsid w:val="00CD09FB"/>
    <w:rsid w:val="00CD15BE"/>
    <w:rsid w:val="00CD1EF2"/>
    <w:rsid w:val="00CD32BD"/>
    <w:rsid w:val="00CD34C7"/>
    <w:rsid w:val="00CD5653"/>
    <w:rsid w:val="00CD5E6D"/>
    <w:rsid w:val="00CD63C8"/>
    <w:rsid w:val="00CF158D"/>
    <w:rsid w:val="00CF4394"/>
    <w:rsid w:val="00CF4FBA"/>
    <w:rsid w:val="00CF51BA"/>
    <w:rsid w:val="00CF5590"/>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00CA"/>
    <w:rsid w:val="00D31683"/>
    <w:rsid w:val="00D32D6F"/>
    <w:rsid w:val="00D336C8"/>
    <w:rsid w:val="00D339E8"/>
    <w:rsid w:val="00D3662E"/>
    <w:rsid w:val="00D40B1F"/>
    <w:rsid w:val="00D40D75"/>
    <w:rsid w:val="00D42BF4"/>
    <w:rsid w:val="00D449F0"/>
    <w:rsid w:val="00D50C8C"/>
    <w:rsid w:val="00D51CE8"/>
    <w:rsid w:val="00D52393"/>
    <w:rsid w:val="00D523E4"/>
    <w:rsid w:val="00D5279D"/>
    <w:rsid w:val="00D52A1B"/>
    <w:rsid w:val="00D52FCC"/>
    <w:rsid w:val="00D53F14"/>
    <w:rsid w:val="00D5414D"/>
    <w:rsid w:val="00D54BE4"/>
    <w:rsid w:val="00D557FD"/>
    <w:rsid w:val="00D560DC"/>
    <w:rsid w:val="00D60483"/>
    <w:rsid w:val="00D61ABB"/>
    <w:rsid w:val="00D62841"/>
    <w:rsid w:val="00D63577"/>
    <w:rsid w:val="00D67FD7"/>
    <w:rsid w:val="00D74261"/>
    <w:rsid w:val="00D7441B"/>
    <w:rsid w:val="00D76AB2"/>
    <w:rsid w:val="00D80490"/>
    <w:rsid w:val="00D829AD"/>
    <w:rsid w:val="00D82BCB"/>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30AE"/>
    <w:rsid w:val="00DC41C3"/>
    <w:rsid w:val="00DD286D"/>
    <w:rsid w:val="00DD2CAF"/>
    <w:rsid w:val="00DD3593"/>
    <w:rsid w:val="00DD469B"/>
    <w:rsid w:val="00DD64E0"/>
    <w:rsid w:val="00DE0C67"/>
    <w:rsid w:val="00DE5B7E"/>
    <w:rsid w:val="00DE6952"/>
    <w:rsid w:val="00DE74D0"/>
    <w:rsid w:val="00DE7E74"/>
    <w:rsid w:val="00DF071B"/>
    <w:rsid w:val="00DF6EF8"/>
    <w:rsid w:val="00E00A69"/>
    <w:rsid w:val="00E017F0"/>
    <w:rsid w:val="00E01A0E"/>
    <w:rsid w:val="00E041E4"/>
    <w:rsid w:val="00E068B4"/>
    <w:rsid w:val="00E1012B"/>
    <w:rsid w:val="00E103C8"/>
    <w:rsid w:val="00E1054A"/>
    <w:rsid w:val="00E1085B"/>
    <w:rsid w:val="00E1308B"/>
    <w:rsid w:val="00E13397"/>
    <w:rsid w:val="00E14581"/>
    <w:rsid w:val="00E15539"/>
    <w:rsid w:val="00E16541"/>
    <w:rsid w:val="00E21AAB"/>
    <w:rsid w:val="00E2350B"/>
    <w:rsid w:val="00E2536E"/>
    <w:rsid w:val="00E25B8A"/>
    <w:rsid w:val="00E2632B"/>
    <w:rsid w:val="00E322F7"/>
    <w:rsid w:val="00E32CB7"/>
    <w:rsid w:val="00E3350D"/>
    <w:rsid w:val="00E3369B"/>
    <w:rsid w:val="00E36D76"/>
    <w:rsid w:val="00E405EA"/>
    <w:rsid w:val="00E408B7"/>
    <w:rsid w:val="00E41637"/>
    <w:rsid w:val="00E42789"/>
    <w:rsid w:val="00E43F59"/>
    <w:rsid w:val="00E464F0"/>
    <w:rsid w:val="00E46D47"/>
    <w:rsid w:val="00E50BEB"/>
    <w:rsid w:val="00E548FA"/>
    <w:rsid w:val="00E56D69"/>
    <w:rsid w:val="00E57ED4"/>
    <w:rsid w:val="00E6092F"/>
    <w:rsid w:val="00E62049"/>
    <w:rsid w:val="00E629DA"/>
    <w:rsid w:val="00E6469F"/>
    <w:rsid w:val="00E670F8"/>
    <w:rsid w:val="00E67FAC"/>
    <w:rsid w:val="00E7200B"/>
    <w:rsid w:val="00E738CB"/>
    <w:rsid w:val="00E73C88"/>
    <w:rsid w:val="00E74437"/>
    <w:rsid w:val="00E7443D"/>
    <w:rsid w:val="00E81763"/>
    <w:rsid w:val="00E81C3E"/>
    <w:rsid w:val="00E82B6D"/>
    <w:rsid w:val="00E942D0"/>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161A"/>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5A38"/>
    <w:rsid w:val="00EF608E"/>
    <w:rsid w:val="00EF7C0E"/>
    <w:rsid w:val="00F0044B"/>
    <w:rsid w:val="00F00AF2"/>
    <w:rsid w:val="00F04957"/>
    <w:rsid w:val="00F05807"/>
    <w:rsid w:val="00F07052"/>
    <w:rsid w:val="00F0706C"/>
    <w:rsid w:val="00F10497"/>
    <w:rsid w:val="00F11EBE"/>
    <w:rsid w:val="00F11FAE"/>
    <w:rsid w:val="00F12BA8"/>
    <w:rsid w:val="00F12E32"/>
    <w:rsid w:val="00F130D0"/>
    <w:rsid w:val="00F14933"/>
    <w:rsid w:val="00F1516A"/>
    <w:rsid w:val="00F17507"/>
    <w:rsid w:val="00F22A26"/>
    <w:rsid w:val="00F24072"/>
    <w:rsid w:val="00F26432"/>
    <w:rsid w:val="00F3197A"/>
    <w:rsid w:val="00F32139"/>
    <w:rsid w:val="00F33D56"/>
    <w:rsid w:val="00F343B4"/>
    <w:rsid w:val="00F34E08"/>
    <w:rsid w:val="00F41D91"/>
    <w:rsid w:val="00F42363"/>
    <w:rsid w:val="00F4336E"/>
    <w:rsid w:val="00F46964"/>
    <w:rsid w:val="00F46F9A"/>
    <w:rsid w:val="00F470FD"/>
    <w:rsid w:val="00F50F30"/>
    <w:rsid w:val="00F5126A"/>
    <w:rsid w:val="00F5126E"/>
    <w:rsid w:val="00F522F7"/>
    <w:rsid w:val="00F6636A"/>
    <w:rsid w:val="00F667C5"/>
    <w:rsid w:val="00F67E31"/>
    <w:rsid w:val="00F718A8"/>
    <w:rsid w:val="00F72183"/>
    <w:rsid w:val="00F76BD0"/>
    <w:rsid w:val="00F76D01"/>
    <w:rsid w:val="00F81C35"/>
    <w:rsid w:val="00F82981"/>
    <w:rsid w:val="00F8311F"/>
    <w:rsid w:val="00F83248"/>
    <w:rsid w:val="00F83376"/>
    <w:rsid w:val="00F853AE"/>
    <w:rsid w:val="00F90F7D"/>
    <w:rsid w:val="00F93C74"/>
    <w:rsid w:val="00F93DCC"/>
    <w:rsid w:val="00F9435D"/>
    <w:rsid w:val="00F95996"/>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326"/>
    <w:rsid w:val="00FC78FB"/>
    <w:rsid w:val="00FC7DBC"/>
    <w:rsid w:val="00FD076A"/>
    <w:rsid w:val="00FD0AA0"/>
    <w:rsid w:val="00FD1D5A"/>
    <w:rsid w:val="00FD5059"/>
    <w:rsid w:val="00FD554D"/>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A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customStyle="1" w:styleId="Default">
    <w:name w:val="Default"/>
    <w:rsid w:val="00CB62CB"/>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5A5643"/>
    <w:rPr>
      <w:b/>
      <w:bCs/>
      <w:i/>
      <w:iCs/>
      <w:color w:val="4F81BD"/>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CB1B-6665-46AE-A6EC-8585D423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2012-04-19T18:15:00Z</cp:lastPrinted>
  <dcterms:created xsi:type="dcterms:W3CDTF">2012-04-16T21:47:00Z</dcterms:created>
  <dcterms:modified xsi:type="dcterms:W3CDTF">2012-06-01T18:43:00Z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