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DC71B8" w:rsidRPr="00DC71B8" w:rsidRDefault="00DC71B8" w:rsidP="00DC71B8">
      <w:pPr>
        <w:tabs>
          <w:tab w:val="left" w:pos="288"/>
          <w:tab w:val="left" w:pos="5130"/>
          <w:tab w:val="left" w:pos="6300"/>
        </w:tabs>
        <w:jc w:val="both"/>
        <w:rPr>
          <w:caps/>
          <w:color w:val="000000" w:themeColor="text1"/>
        </w:rPr>
      </w:pPr>
      <w:r w:rsidRPr="00DC71B8">
        <w:rPr>
          <w:caps/>
          <w:color w:val="000000" w:themeColor="text1"/>
        </w:rPr>
        <w:t xml:space="preserve">NAME:  </w:t>
      </w:r>
      <w:r w:rsidR="002C3BE0">
        <w:rPr>
          <w:caps/>
          <w:color w:val="000000" w:themeColor="text1"/>
        </w:rPr>
        <w:t xml:space="preserve"> </w:t>
      </w:r>
      <w:r w:rsidRPr="00DC71B8">
        <w:rPr>
          <w:caps/>
          <w:color w:val="000000" w:themeColor="text1"/>
        </w:rPr>
        <w:t xml:space="preserve">                </w:t>
      </w:r>
      <w:r>
        <w:rPr>
          <w:caps/>
          <w:color w:val="000000" w:themeColor="text1"/>
        </w:rPr>
        <w:tab/>
        <w:t xml:space="preserve">     </w:t>
      </w:r>
      <w:r>
        <w:rPr>
          <w:caps/>
          <w:color w:val="000000" w:themeColor="text1"/>
        </w:rPr>
        <w:tab/>
      </w:r>
      <w:r w:rsidRPr="00DC71B8">
        <w:rPr>
          <w:caps/>
          <w:color w:val="000000" w:themeColor="text1"/>
        </w:rPr>
        <w:t>BRANCH OF SERVICE:  Army</w:t>
      </w:r>
    </w:p>
    <w:p w:rsidR="00DC71B8" w:rsidRPr="00DC71B8" w:rsidRDefault="00DC71B8" w:rsidP="00DC71B8">
      <w:pPr>
        <w:tabs>
          <w:tab w:val="left" w:pos="288"/>
          <w:tab w:val="left" w:pos="5130"/>
          <w:tab w:val="left" w:pos="6300"/>
        </w:tabs>
        <w:jc w:val="both"/>
        <w:rPr>
          <w:caps/>
          <w:color w:val="000000" w:themeColor="text1"/>
        </w:rPr>
      </w:pPr>
      <w:r w:rsidRPr="00DC71B8">
        <w:rPr>
          <w:caps/>
          <w:color w:val="000000" w:themeColor="text1"/>
        </w:rPr>
        <w:t xml:space="preserve">CASE NUMBER:  </w:t>
      </w:r>
      <w:r>
        <w:rPr>
          <w:caps/>
          <w:color w:val="000000" w:themeColor="text1"/>
        </w:rPr>
        <w:t>PD</w:t>
      </w:r>
      <w:r w:rsidRPr="00DC71B8">
        <w:rPr>
          <w:caps/>
          <w:color w:val="000000" w:themeColor="text1"/>
        </w:rPr>
        <w:t>1001256</w:t>
      </w:r>
      <w:r>
        <w:rPr>
          <w:caps/>
          <w:color w:val="000000" w:themeColor="text1"/>
        </w:rPr>
        <w:t xml:space="preserve"> </w:t>
      </w:r>
      <w:r>
        <w:rPr>
          <w:caps/>
          <w:color w:val="000000" w:themeColor="text1"/>
        </w:rPr>
        <w:tab/>
        <w:t xml:space="preserve">            </w:t>
      </w:r>
      <w:r>
        <w:rPr>
          <w:caps/>
          <w:color w:val="000000" w:themeColor="text1"/>
        </w:rPr>
        <w:tab/>
      </w:r>
      <w:r w:rsidRPr="00DC71B8">
        <w:rPr>
          <w:caps/>
          <w:color w:val="000000" w:themeColor="text1"/>
        </w:rPr>
        <w:t>SEPARATION DATE:  20060</w:t>
      </w:r>
      <w:r w:rsidR="00EB20C6">
        <w:rPr>
          <w:caps/>
          <w:color w:val="000000" w:themeColor="text1"/>
        </w:rPr>
        <w:t>913</w:t>
      </w:r>
    </w:p>
    <w:p w:rsidR="00D27C99" w:rsidRPr="00880882" w:rsidRDefault="00DC71B8" w:rsidP="00DC71B8">
      <w:pPr>
        <w:tabs>
          <w:tab w:val="left" w:pos="288"/>
          <w:tab w:val="left" w:pos="5130"/>
        </w:tabs>
        <w:jc w:val="both"/>
        <w:rPr>
          <w:caps/>
          <w:color w:val="000000" w:themeColor="text1"/>
        </w:rPr>
      </w:pPr>
      <w:r w:rsidRPr="00DC71B8">
        <w:rPr>
          <w:caps/>
          <w:color w:val="000000" w:themeColor="text1"/>
        </w:rPr>
        <w:t>BOARD DATE</w:t>
      </w:r>
      <w:r w:rsidRPr="00880882">
        <w:rPr>
          <w:caps/>
          <w:color w:val="000000" w:themeColor="text1"/>
        </w:rPr>
        <w:t xml:space="preserve">:  </w:t>
      </w:r>
      <w:r w:rsidR="00880882">
        <w:rPr>
          <w:caps/>
          <w:color w:val="000000" w:themeColor="text1"/>
        </w:rPr>
        <w:t>2012</w:t>
      </w:r>
      <w:r w:rsidR="00141E70">
        <w:rPr>
          <w:caps/>
          <w:color w:val="000000" w:themeColor="text1"/>
        </w:rPr>
        <w:t>0</w:t>
      </w:r>
      <w:r w:rsidR="00EB20C6">
        <w:rPr>
          <w:caps/>
          <w:color w:val="000000" w:themeColor="text1"/>
        </w:rPr>
        <w:t>405</w:t>
      </w:r>
    </w:p>
    <w:p w:rsidR="00DC71B8" w:rsidRPr="001F29F9" w:rsidRDefault="00DC71B8" w:rsidP="00DC71B8">
      <w:pPr>
        <w:pBdr>
          <w:bottom w:val="single" w:sz="12" w:space="1" w:color="auto"/>
        </w:pBdr>
        <w:tabs>
          <w:tab w:val="left" w:pos="288"/>
          <w:tab w:val="left" w:pos="4752"/>
        </w:tabs>
        <w:jc w:val="both"/>
        <w:rPr>
          <w:color w:val="000000" w:themeColor="text1"/>
        </w:rPr>
      </w:pPr>
    </w:p>
    <w:p w:rsidR="00FF4C90" w:rsidRPr="001F29F9" w:rsidRDefault="00FF4C90" w:rsidP="00BF0E94">
      <w:pPr>
        <w:tabs>
          <w:tab w:val="left" w:pos="288"/>
          <w:tab w:val="left" w:pos="4752"/>
        </w:tabs>
        <w:jc w:val="both"/>
        <w:rPr>
          <w:color w:val="000000" w:themeColor="text1"/>
        </w:rPr>
      </w:pPr>
    </w:p>
    <w:p w:rsidR="000165A0" w:rsidRDefault="00FB0E80" w:rsidP="007318D3">
      <w:pPr>
        <w:tabs>
          <w:tab w:val="left" w:pos="288"/>
          <w:tab w:val="left" w:pos="4752"/>
        </w:tabs>
        <w:jc w:val="both"/>
        <w:rPr>
          <w:rFonts w:asciiTheme="minorHAnsi" w:hAnsiTheme="minorHAnsi"/>
          <w:color w:val="auto"/>
          <w:szCs w:val="24"/>
        </w:rPr>
      </w:pPr>
      <w:r w:rsidRPr="001F29F9">
        <w:rPr>
          <w:color w:val="000000" w:themeColor="text1"/>
          <w:u w:val="single"/>
        </w:rPr>
        <w:t>SUMMARY OF CASE</w:t>
      </w:r>
      <w:r w:rsidR="001C19BB">
        <w:rPr>
          <w:color w:val="000000" w:themeColor="text1"/>
        </w:rPr>
        <w:t xml:space="preserve">:  </w:t>
      </w:r>
      <w:r w:rsidR="001C19BB" w:rsidRPr="001C19BB">
        <w:rPr>
          <w:color w:val="000000" w:themeColor="text1"/>
        </w:rPr>
        <w:t xml:space="preserve">Data extracted from the available evidence of record reflects that this covered individual (CI) was a Reserve </w:t>
      </w:r>
      <w:r w:rsidR="002260C3">
        <w:rPr>
          <w:color w:val="000000" w:themeColor="text1"/>
        </w:rPr>
        <w:t>Major/O-4 (38A</w:t>
      </w:r>
      <w:r w:rsidR="001C19BB" w:rsidRPr="001C19BB">
        <w:rPr>
          <w:color w:val="000000" w:themeColor="text1"/>
        </w:rPr>
        <w:t xml:space="preserve">/Civil Affairs Officer), medically separated </w:t>
      </w:r>
      <w:r w:rsidR="001C19BB" w:rsidRPr="00375D0A">
        <w:rPr>
          <w:color w:val="000000" w:themeColor="text1"/>
        </w:rPr>
        <w:t xml:space="preserve">for </w:t>
      </w:r>
      <w:r w:rsidR="00EE76A1" w:rsidRPr="00375D0A">
        <w:rPr>
          <w:color w:val="000000" w:themeColor="text1"/>
        </w:rPr>
        <w:t xml:space="preserve">bilateral shoulder and </w:t>
      </w:r>
      <w:r w:rsidR="000B7D38" w:rsidRPr="00375D0A">
        <w:rPr>
          <w:color w:val="000000" w:themeColor="text1"/>
        </w:rPr>
        <w:t>r</w:t>
      </w:r>
      <w:r w:rsidR="001C19BB" w:rsidRPr="00375D0A">
        <w:rPr>
          <w:color w:val="000000" w:themeColor="text1"/>
        </w:rPr>
        <w:t xml:space="preserve">ight </w:t>
      </w:r>
      <w:r w:rsidR="00D97540">
        <w:rPr>
          <w:color w:val="000000" w:themeColor="text1"/>
        </w:rPr>
        <w:t>wrist/hand</w:t>
      </w:r>
      <w:r w:rsidR="001C19BB" w:rsidRPr="00375D0A">
        <w:rPr>
          <w:color w:val="000000" w:themeColor="text1"/>
        </w:rPr>
        <w:t xml:space="preserve"> </w:t>
      </w:r>
      <w:r w:rsidR="00D97540">
        <w:rPr>
          <w:color w:val="000000" w:themeColor="text1"/>
        </w:rPr>
        <w:t xml:space="preserve">injuries sustained </w:t>
      </w:r>
      <w:r w:rsidR="00CB71B4" w:rsidRPr="00375D0A">
        <w:rPr>
          <w:color w:val="000000" w:themeColor="text1"/>
        </w:rPr>
        <w:t xml:space="preserve">from an </w:t>
      </w:r>
      <w:r w:rsidR="00357F87">
        <w:rPr>
          <w:color w:val="000000" w:themeColor="text1"/>
        </w:rPr>
        <w:t>improvised explosive</w:t>
      </w:r>
      <w:r w:rsidR="00357F87" w:rsidRPr="00375D0A">
        <w:rPr>
          <w:color w:val="000000" w:themeColor="text1"/>
        </w:rPr>
        <w:t xml:space="preserve"> device </w:t>
      </w:r>
      <w:r w:rsidR="00CB71B4" w:rsidRPr="00375D0A">
        <w:rPr>
          <w:color w:val="000000" w:themeColor="text1"/>
        </w:rPr>
        <w:t>(</w:t>
      </w:r>
      <w:r w:rsidR="001C19BB" w:rsidRPr="00375D0A">
        <w:rPr>
          <w:color w:val="000000" w:themeColor="text1"/>
        </w:rPr>
        <w:t>IED</w:t>
      </w:r>
      <w:r w:rsidR="00CB71B4" w:rsidRPr="00375D0A">
        <w:rPr>
          <w:color w:val="000000" w:themeColor="text1"/>
        </w:rPr>
        <w:t>)</w:t>
      </w:r>
      <w:r w:rsidR="001C19BB" w:rsidRPr="00375D0A">
        <w:rPr>
          <w:color w:val="000000" w:themeColor="text1"/>
        </w:rPr>
        <w:t xml:space="preserve"> while deployed to Iraq in March 2004.  </w:t>
      </w:r>
      <w:r w:rsidR="002B16A1">
        <w:rPr>
          <w:color w:val="000000" w:themeColor="text1"/>
        </w:rPr>
        <w:t xml:space="preserve">He suffered penetrating trauma (shrapnel) to the left shoulder and blunt trauma to the right </w:t>
      </w:r>
      <w:r w:rsidR="00F42D06">
        <w:rPr>
          <w:color w:val="000000" w:themeColor="text1"/>
        </w:rPr>
        <w:t xml:space="preserve">(dominant) </w:t>
      </w:r>
      <w:r w:rsidR="00141E70">
        <w:rPr>
          <w:color w:val="000000" w:themeColor="text1"/>
        </w:rPr>
        <w:t>shoulder</w:t>
      </w:r>
      <w:r w:rsidR="002B16A1">
        <w:rPr>
          <w:color w:val="000000" w:themeColor="text1"/>
        </w:rPr>
        <w:t xml:space="preserve">; and, underwent surgical interventions for both.  He suffered </w:t>
      </w:r>
      <w:r w:rsidR="00F42D06">
        <w:rPr>
          <w:color w:val="000000" w:themeColor="text1"/>
        </w:rPr>
        <w:t>shrapnel injuries and burns</w:t>
      </w:r>
      <w:r w:rsidR="00771F6D">
        <w:rPr>
          <w:color w:val="000000" w:themeColor="text1"/>
        </w:rPr>
        <w:t xml:space="preserve"> to the right hand</w:t>
      </w:r>
      <w:r w:rsidR="00F42D06">
        <w:rPr>
          <w:color w:val="000000" w:themeColor="text1"/>
        </w:rPr>
        <w:t xml:space="preserve"> and long finger</w:t>
      </w:r>
      <w:r w:rsidR="00141E70">
        <w:rPr>
          <w:color w:val="000000" w:themeColor="text1"/>
        </w:rPr>
        <w:t>,</w:t>
      </w:r>
      <w:r w:rsidR="00F42D06">
        <w:rPr>
          <w:color w:val="000000" w:themeColor="text1"/>
        </w:rPr>
        <w:t xml:space="preserve"> and was subsequently diagnosed with </w:t>
      </w:r>
      <w:r w:rsidR="00F42D06" w:rsidRPr="00375D0A">
        <w:rPr>
          <w:color w:val="000000" w:themeColor="text1"/>
        </w:rPr>
        <w:t>carpal tunnel syndrome</w:t>
      </w:r>
      <w:r w:rsidR="00141E70">
        <w:rPr>
          <w:color w:val="000000" w:themeColor="text1"/>
        </w:rPr>
        <w:t>.</w:t>
      </w:r>
      <w:r w:rsidR="00F42D06">
        <w:rPr>
          <w:color w:val="000000" w:themeColor="text1"/>
        </w:rPr>
        <w:t xml:space="preserve"> </w:t>
      </w:r>
      <w:r w:rsidR="00141E70">
        <w:rPr>
          <w:color w:val="000000" w:themeColor="text1"/>
        </w:rPr>
        <w:t xml:space="preserve"> H</w:t>
      </w:r>
      <w:r w:rsidR="00F42D06">
        <w:rPr>
          <w:color w:val="000000" w:themeColor="text1"/>
        </w:rPr>
        <w:t>e required surgical intervention for the latter, and tendon repair of the long finger.</w:t>
      </w:r>
      <w:r w:rsidR="00FF68D1" w:rsidRPr="00375D0A">
        <w:rPr>
          <w:color w:val="000000" w:themeColor="text1"/>
        </w:rPr>
        <w:t xml:space="preserve">  Despite s</w:t>
      </w:r>
      <w:r w:rsidR="00F42D06">
        <w:rPr>
          <w:color w:val="000000" w:themeColor="text1"/>
        </w:rPr>
        <w:t>ome improvement with the surgeries</w:t>
      </w:r>
      <w:r w:rsidR="00FF68D1" w:rsidRPr="00375D0A">
        <w:rPr>
          <w:color w:val="000000" w:themeColor="text1"/>
        </w:rPr>
        <w:t xml:space="preserve"> and rehabilitative interventions, the CI </w:t>
      </w:r>
      <w:r w:rsidR="00F42D06">
        <w:rPr>
          <w:color w:val="000000" w:themeColor="text1"/>
        </w:rPr>
        <w:t>did not improve adequately</w:t>
      </w:r>
      <w:r w:rsidR="00D66A41" w:rsidRPr="00375D0A">
        <w:rPr>
          <w:color w:val="000000" w:themeColor="text1"/>
        </w:rPr>
        <w:t xml:space="preserve"> </w:t>
      </w:r>
      <w:r w:rsidR="00D66A41">
        <w:rPr>
          <w:color w:val="000000" w:themeColor="text1"/>
        </w:rPr>
        <w:t xml:space="preserve">to </w:t>
      </w:r>
      <w:r w:rsidR="000B7D38">
        <w:rPr>
          <w:color w:val="000000" w:themeColor="text1"/>
        </w:rPr>
        <w:t xml:space="preserve">perform </w:t>
      </w:r>
      <w:r w:rsidR="007C4790">
        <w:rPr>
          <w:color w:val="000000" w:themeColor="text1"/>
        </w:rPr>
        <w:t xml:space="preserve">soldiering skills required of </w:t>
      </w:r>
      <w:r w:rsidR="000B7D38">
        <w:rPr>
          <w:color w:val="000000" w:themeColor="text1"/>
        </w:rPr>
        <w:t xml:space="preserve">his Military Occupational Specialty (MOS) </w:t>
      </w:r>
      <w:r w:rsidR="009B582A">
        <w:rPr>
          <w:color w:val="000000" w:themeColor="text1"/>
        </w:rPr>
        <w:t xml:space="preserve">or </w:t>
      </w:r>
      <w:r w:rsidR="001C19BB" w:rsidRPr="001C19BB">
        <w:rPr>
          <w:color w:val="000000" w:themeColor="text1"/>
        </w:rPr>
        <w:t>meet physical fitness standards</w:t>
      </w:r>
      <w:r w:rsidR="00D66A41">
        <w:rPr>
          <w:color w:val="000000" w:themeColor="text1"/>
        </w:rPr>
        <w:t xml:space="preserve">.  </w:t>
      </w:r>
      <w:r w:rsidR="001C19BB" w:rsidRPr="001C19BB">
        <w:rPr>
          <w:color w:val="000000" w:themeColor="text1"/>
        </w:rPr>
        <w:t>He was issued a permanent U3</w:t>
      </w:r>
      <w:r w:rsidR="009B582A">
        <w:rPr>
          <w:color w:val="000000" w:themeColor="text1"/>
        </w:rPr>
        <w:t xml:space="preserve"> </w:t>
      </w:r>
      <w:r w:rsidR="001C19BB" w:rsidRPr="001C19BB">
        <w:rPr>
          <w:color w:val="000000" w:themeColor="text1"/>
        </w:rPr>
        <w:t xml:space="preserve">profile and underwent a Medical Evaluation Board (MEB).  </w:t>
      </w:r>
      <w:r w:rsidR="009B582A">
        <w:rPr>
          <w:color w:val="000000" w:themeColor="text1"/>
        </w:rPr>
        <w:t xml:space="preserve">Left shoulder </w:t>
      </w:r>
      <w:r w:rsidR="00F42D06">
        <w:rPr>
          <w:color w:val="000000" w:themeColor="text1"/>
        </w:rPr>
        <w:t>IED</w:t>
      </w:r>
      <w:r w:rsidR="009B582A">
        <w:rPr>
          <w:color w:val="000000" w:themeColor="text1"/>
        </w:rPr>
        <w:t xml:space="preserve"> i</w:t>
      </w:r>
      <w:r w:rsidR="001C19BB" w:rsidRPr="001C19BB">
        <w:rPr>
          <w:color w:val="000000" w:themeColor="text1"/>
        </w:rPr>
        <w:t>njury</w:t>
      </w:r>
      <w:r w:rsidR="009B582A">
        <w:rPr>
          <w:color w:val="000000" w:themeColor="text1"/>
        </w:rPr>
        <w:t xml:space="preserve">, </w:t>
      </w:r>
      <w:r w:rsidR="001C19BB" w:rsidRPr="001C19BB">
        <w:rPr>
          <w:color w:val="000000" w:themeColor="text1"/>
        </w:rPr>
        <w:t>chronic right shoulder pain</w:t>
      </w:r>
      <w:r w:rsidR="009B582A">
        <w:rPr>
          <w:color w:val="000000" w:themeColor="text1"/>
        </w:rPr>
        <w:t>,</w:t>
      </w:r>
      <w:r w:rsidR="001C19BB" w:rsidRPr="001C19BB">
        <w:rPr>
          <w:color w:val="000000" w:themeColor="text1"/>
        </w:rPr>
        <w:t xml:space="preserve"> and right carpal tunnel syndrome were forwarded to the Physical Evaluation Board (PEB) as </w:t>
      </w:r>
      <w:r w:rsidR="00F42D06">
        <w:rPr>
          <w:color w:val="000000" w:themeColor="text1"/>
        </w:rPr>
        <w:t xml:space="preserve">separate </w:t>
      </w:r>
      <w:r w:rsidR="001C19BB" w:rsidRPr="001C19BB">
        <w:rPr>
          <w:color w:val="000000" w:themeColor="text1"/>
        </w:rPr>
        <w:t xml:space="preserve">medically unacceptable </w:t>
      </w:r>
      <w:r w:rsidR="00F42D06">
        <w:rPr>
          <w:color w:val="000000" w:themeColor="text1"/>
        </w:rPr>
        <w:t xml:space="preserve">conditions </w:t>
      </w:r>
      <w:r w:rsidR="001C19BB" w:rsidRPr="001C19BB">
        <w:rPr>
          <w:color w:val="000000" w:themeColor="text1"/>
        </w:rPr>
        <w:t xml:space="preserve">IAW AR 40-501.  Three other conditions, as identified in the rating chart </w:t>
      </w:r>
      <w:r w:rsidR="001C19BB" w:rsidRPr="00375D0A">
        <w:rPr>
          <w:color w:val="000000" w:themeColor="text1"/>
        </w:rPr>
        <w:t xml:space="preserve">below, were forwarded </w:t>
      </w:r>
      <w:r w:rsidR="00F42D06">
        <w:rPr>
          <w:color w:val="000000" w:themeColor="text1"/>
        </w:rPr>
        <w:t>by</w:t>
      </w:r>
      <w:r w:rsidR="001C19BB" w:rsidRPr="00375D0A">
        <w:rPr>
          <w:color w:val="000000" w:themeColor="text1"/>
        </w:rPr>
        <w:t xml:space="preserve"> the MEB as medically acceptable.  </w:t>
      </w:r>
      <w:r w:rsidR="009B582A" w:rsidRPr="00375D0A">
        <w:rPr>
          <w:color w:val="000000" w:themeColor="text1"/>
          <w:szCs w:val="24"/>
        </w:rPr>
        <w:t xml:space="preserve">Other conditions included in the Disability Evaluation System (DES) </w:t>
      </w:r>
      <w:r w:rsidR="00F42D06">
        <w:rPr>
          <w:color w:val="000000" w:themeColor="text1"/>
          <w:szCs w:val="24"/>
        </w:rPr>
        <w:t>file are addressed</w:t>
      </w:r>
      <w:r w:rsidR="009B582A" w:rsidRPr="00375D0A">
        <w:rPr>
          <w:color w:val="000000" w:themeColor="text1"/>
          <w:szCs w:val="24"/>
        </w:rPr>
        <w:t xml:space="preserve"> below.  </w:t>
      </w:r>
      <w:r w:rsidR="007E1DCB">
        <w:rPr>
          <w:color w:val="000000" w:themeColor="text1"/>
          <w:szCs w:val="24"/>
        </w:rPr>
        <w:t>The</w:t>
      </w:r>
      <w:r w:rsidR="00F42D06">
        <w:rPr>
          <w:color w:val="000000" w:themeColor="text1"/>
        </w:rPr>
        <w:t xml:space="preserve"> </w:t>
      </w:r>
      <w:r w:rsidR="001C19BB" w:rsidRPr="00375D0A">
        <w:rPr>
          <w:color w:val="000000" w:themeColor="text1"/>
        </w:rPr>
        <w:t xml:space="preserve">PEB adjudicated the </w:t>
      </w:r>
      <w:r w:rsidR="00F42D06">
        <w:rPr>
          <w:color w:val="000000" w:themeColor="text1"/>
        </w:rPr>
        <w:t>left and right</w:t>
      </w:r>
      <w:r w:rsidR="00EE76A1" w:rsidRPr="00375D0A">
        <w:rPr>
          <w:color w:val="000000" w:themeColor="text1"/>
        </w:rPr>
        <w:t xml:space="preserve"> shoulder conditions </w:t>
      </w:r>
      <w:r w:rsidR="001D420E">
        <w:rPr>
          <w:color w:val="000000" w:themeColor="text1"/>
        </w:rPr>
        <w:t xml:space="preserve">(under a combined bilateral rating) </w:t>
      </w:r>
      <w:r w:rsidR="001C19BB" w:rsidRPr="00375D0A">
        <w:rPr>
          <w:color w:val="000000" w:themeColor="text1"/>
        </w:rPr>
        <w:t xml:space="preserve">and </w:t>
      </w:r>
      <w:r w:rsidR="001D420E">
        <w:rPr>
          <w:color w:val="000000" w:themeColor="text1"/>
        </w:rPr>
        <w:t xml:space="preserve">the </w:t>
      </w:r>
      <w:r w:rsidR="00EE76A1" w:rsidRPr="00375D0A">
        <w:rPr>
          <w:color w:val="000000" w:themeColor="text1"/>
        </w:rPr>
        <w:t xml:space="preserve">carpal tunnel condition </w:t>
      </w:r>
      <w:r w:rsidR="001C19BB" w:rsidRPr="00375D0A">
        <w:rPr>
          <w:color w:val="000000" w:themeColor="text1"/>
        </w:rPr>
        <w:t xml:space="preserve">as unfitting, rated 0% and </w:t>
      </w:r>
      <w:r w:rsidR="00EE76A1" w:rsidRPr="00375D0A">
        <w:rPr>
          <w:color w:val="000000" w:themeColor="text1"/>
        </w:rPr>
        <w:t>1</w:t>
      </w:r>
      <w:r w:rsidR="001D420E">
        <w:rPr>
          <w:color w:val="000000" w:themeColor="text1"/>
        </w:rPr>
        <w:t>0% respectively;</w:t>
      </w:r>
      <w:r w:rsidR="001C19BB" w:rsidRPr="00375D0A">
        <w:rPr>
          <w:color w:val="000000" w:themeColor="text1"/>
        </w:rPr>
        <w:t xml:space="preserve"> with application of the </w:t>
      </w:r>
      <w:r w:rsidR="001D420E" w:rsidRPr="00375D0A">
        <w:rPr>
          <w:color w:val="000000" w:themeColor="text1"/>
        </w:rPr>
        <w:t xml:space="preserve">US Army Physical Disability Agency (USAPDA) pain policy </w:t>
      </w:r>
      <w:r w:rsidR="001D420E">
        <w:rPr>
          <w:color w:val="000000" w:themeColor="text1"/>
        </w:rPr>
        <w:t xml:space="preserve">to the shoulder rating, and the </w:t>
      </w:r>
      <w:r w:rsidR="007318D3" w:rsidRPr="00375D0A">
        <w:rPr>
          <w:color w:val="000000" w:themeColor="text1"/>
        </w:rPr>
        <w:t xml:space="preserve">Veterans Administration Schedule for Rating Disabilities (VASRD) </w:t>
      </w:r>
      <w:r w:rsidR="001D420E">
        <w:rPr>
          <w:color w:val="000000" w:themeColor="text1"/>
        </w:rPr>
        <w:t xml:space="preserve">to the </w:t>
      </w:r>
      <w:r w:rsidR="00771F6D">
        <w:rPr>
          <w:color w:val="000000" w:themeColor="text1"/>
        </w:rPr>
        <w:t>carpal tunnel</w:t>
      </w:r>
      <w:r w:rsidR="001D420E">
        <w:rPr>
          <w:color w:val="000000" w:themeColor="text1"/>
        </w:rPr>
        <w:t xml:space="preserve"> rating</w:t>
      </w:r>
      <w:r w:rsidR="001C19BB" w:rsidRPr="00375D0A">
        <w:rPr>
          <w:color w:val="000000" w:themeColor="text1"/>
        </w:rPr>
        <w:t>.</w:t>
      </w:r>
      <w:r w:rsidR="007318D3" w:rsidRPr="00375D0A">
        <w:rPr>
          <w:color w:val="000000" w:themeColor="text1"/>
        </w:rPr>
        <w:t xml:space="preserve">  </w:t>
      </w:r>
      <w:r w:rsidR="007318D3" w:rsidRPr="00375D0A">
        <w:rPr>
          <w:rFonts w:asciiTheme="minorHAnsi" w:hAnsiTheme="minorHAnsi"/>
          <w:color w:val="auto"/>
          <w:szCs w:val="24"/>
        </w:rPr>
        <w:t xml:space="preserve">The remaining conditions were determined to be not unfitting.  </w:t>
      </w:r>
      <w:r w:rsidR="000165A0" w:rsidRPr="00375D0A">
        <w:rPr>
          <w:rFonts w:asciiTheme="minorHAnsi" w:hAnsiTheme="minorHAnsi"/>
          <w:color w:val="auto"/>
          <w:szCs w:val="24"/>
        </w:rPr>
        <w:t xml:space="preserve">The CI </w:t>
      </w:r>
      <w:r w:rsidR="001D420E">
        <w:rPr>
          <w:rFonts w:asciiTheme="minorHAnsi" w:hAnsiTheme="minorHAnsi"/>
          <w:color w:val="auto"/>
          <w:szCs w:val="24"/>
        </w:rPr>
        <w:t xml:space="preserve">requested and was granted an Active Reserve continuance </w:t>
      </w:r>
      <w:r w:rsidR="00FF063A">
        <w:rPr>
          <w:rFonts w:asciiTheme="minorHAnsi" w:hAnsiTheme="minorHAnsi"/>
          <w:color w:val="auto"/>
          <w:szCs w:val="24"/>
        </w:rPr>
        <w:t>to retirement</w:t>
      </w:r>
      <w:r w:rsidR="0072341D">
        <w:rPr>
          <w:rFonts w:asciiTheme="minorHAnsi" w:hAnsiTheme="minorHAnsi"/>
          <w:color w:val="auto"/>
          <w:szCs w:val="24"/>
        </w:rPr>
        <w:t xml:space="preserve"> (COAR)</w:t>
      </w:r>
      <w:r w:rsidR="00FF063A">
        <w:rPr>
          <w:rFonts w:asciiTheme="minorHAnsi" w:hAnsiTheme="minorHAnsi"/>
          <w:color w:val="auto"/>
          <w:szCs w:val="24"/>
        </w:rPr>
        <w:t xml:space="preserve">; </w:t>
      </w:r>
      <w:r w:rsidR="001D420E">
        <w:rPr>
          <w:rFonts w:asciiTheme="minorHAnsi" w:hAnsiTheme="minorHAnsi"/>
          <w:color w:val="auto"/>
          <w:szCs w:val="24"/>
        </w:rPr>
        <w:t xml:space="preserve">withdrew a preceding appeal for a </w:t>
      </w:r>
      <w:r w:rsidR="009E3DB0">
        <w:rPr>
          <w:rFonts w:asciiTheme="minorHAnsi" w:hAnsiTheme="minorHAnsi"/>
          <w:color w:val="auto"/>
          <w:szCs w:val="24"/>
        </w:rPr>
        <w:t>F</w:t>
      </w:r>
      <w:r w:rsidR="007C4790">
        <w:rPr>
          <w:rFonts w:asciiTheme="minorHAnsi" w:hAnsiTheme="minorHAnsi"/>
          <w:color w:val="auto"/>
          <w:szCs w:val="24"/>
        </w:rPr>
        <w:t>ormal PEB</w:t>
      </w:r>
      <w:r w:rsidR="0072341D">
        <w:rPr>
          <w:rFonts w:asciiTheme="minorHAnsi" w:hAnsiTheme="minorHAnsi"/>
          <w:color w:val="auto"/>
          <w:szCs w:val="24"/>
        </w:rPr>
        <w:t xml:space="preserve">; and entered </w:t>
      </w:r>
      <w:r w:rsidR="0072341D" w:rsidRPr="0072341D">
        <w:rPr>
          <w:rFonts w:asciiTheme="minorHAnsi" w:hAnsiTheme="minorHAnsi"/>
          <w:color w:val="auto"/>
          <w:szCs w:val="24"/>
        </w:rPr>
        <w:t xml:space="preserve">COAR </w:t>
      </w:r>
      <w:r w:rsidR="00F1231C">
        <w:rPr>
          <w:rFonts w:asciiTheme="minorHAnsi" w:hAnsiTheme="minorHAnsi"/>
          <w:color w:val="auto"/>
          <w:szCs w:val="24"/>
        </w:rPr>
        <w:t xml:space="preserve">with a </w:t>
      </w:r>
      <w:r w:rsidR="009B493C">
        <w:rPr>
          <w:rFonts w:asciiTheme="minorHAnsi" w:hAnsiTheme="minorHAnsi"/>
          <w:color w:val="auto"/>
          <w:szCs w:val="24"/>
        </w:rPr>
        <w:t xml:space="preserve">10% combined disability rating.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1C19BB">
        <w:rPr>
          <w:color w:val="000000" w:themeColor="text1"/>
        </w:rPr>
        <w:t xml:space="preserve">  The CI </w:t>
      </w:r>
      <w:r w:rsidR="00ED5284" w:rsidRPr="001F29F9">
        <w:rPr>
          <w:rFonts w:eastAsiaTheme="minorHAnsi"/>
          <w:color w:val="000000" w:themeColor="text1"/>
          <w:szCs w:val="24"/>
        </w:rPr>
        <w:t>elaborates no specific contentions regarding rating or coding</w:t>
      </w:r>
      <w:r w:rsidR="00357F87">
        <w:rPr>
          <w:rFonts w:eastAsiaTheme="minorHAnsi"/>
          <w:color w:val="000000" w:themeColor="text1"/>
          <w:szCs w:val="24"/>
        </w:rPr>
        <w:t xml:space="preserve">.  He refers to an attached VA rating decision (as elaborated in rating chart below); and specifically lists the following conditions: </w:t>
      </w:r>
      <w:r w:rsidR="00357F87" w:rsidRPr="00357F87">
        <w:rPr>
          <w:rFonts w:eastAsiaTheme="minorHAnsi"/>
          <w:color w:val="000000" w:themeColor="text1"/>
          <w:szCs w:val="24"/>
        </w:rPr>
        <w:t xml:space="preserve">“Post Traumatic Stress Disorder (PTSD), Right Median Nerve Damage, Left Shoulder Shrapnel Wound, DJD </w:t>
      </w:r>
      <w:r w:rsidR="00CC161E">
        <w:rPr>
          <w:rFonts w:eastAsiaTheme="minorHAnsi"/>
          <w:color w:val="000000" w:themeColor="text1"/>
          <w:szCs w:val="24"/>
        </w:rPr>
        <w:t xml:space="preserve">[degenerative joint disease] </w:t>
      </w:r>
      <w:r w:rsidR="00357F87" w:rsidRPr="00357F87">
        <w:rPr>
          <w:rFonts w:eastAsiaTheme="minorHAnsi"/>
          <w:color w:val="000000" w:themeColor="text1"/>
          <w:szCs w:val="24"/>
        </w:rPr>
        <w:t>of Right Knee, Right Clavicle Condition, Cervical Strain, Scar (Right Long Finger), Arthritis of Left Median Nerve</w:t>
      </w:r>
      <w:r w:rsidR="00D55860">
        <w:rPr>
          <w:rFonts w:eastAsiaTheme="minorHAnsi"/>
          <w:color w:val="000000" w:themeColor="text1"/>
          <w:szCs w:val="24"/>
        </w:rPr>
        <w:t>.</w:t>
      </w:r>
      <w:r w:rsidR="00357F87" w:rsidRPr="00357F87">
        <w:rPr>
          <w:rFonts w:eastAsiaTheme="minorHAnsi"/>
          <w:color w:val="000000" w:themeColor="text1"/>
          <w:szCs w:val="24"/>
        </w:rPr>
        <w:t>”</w:t>
      </w:r>
      <w:r w:rsidR="00ED5284" w:rsidRPr="001F29F9">
        <w:rPr>
          <w:rFonts w:eastAsiaTheme="minorHAnsi"/>
          <w:color w:val="000000" w:themeColor="text1"/>
          <w:szCs w:val="24"/>
        </w:rPr>
        <w:t xml:space="preserve"> </w:t>
      </w:r>
      <w:r w:rsidR="00357F87">
        <w:rPr>
          <w:rFonts w:eastAsiaTheme="minorHAnsi"/>
          <w:color w:val="000000" w:themeColor="text1"/>
          <w:szCs w:val="24"/>
        </w:rPr>
        <w:t xml:space="preserve"> </w:t>
      </w:r>
      <w:r w:rsidR="00ED5284" w:rsidRPr="001F29F9">
        <w:rPr>
          <w:rFonts w:eastAsiaTheme="minorHAnsi"/>
          <w:color w:val="000000" w:themeColor="text1"/>
          <w:szCs w:val="24"/>
        </w:rPr>
        <w:t xml:space="preserve">A contention for </w:t>
      </w:r>
      <w:r w:rsidR="00D55860">
        <w:rPr>
          <w:rFonts w:eastAsiaTheme="minorHAnsi"/>
          <w:color w:val="000000" w:themeColor="text1"/>
          <w:szCs w:val="24"/>
        </w:rPr>
        <w:t>s</w:t>
      </w:r>
      <w:r w:rsidR="00357F87">
        <w:rPr>
          <w:rFonts w:eastAsiaTheme="minorHAnsi"/>
          <w:color w:val="000000" w:themeColor="text1"/>
          <w:szCs w:val="24"/>
        </w:rPr>
        <w:t xml:space="preserve">ervice rating of these conditions </w:t>
      </w:r>
      <w:r w:rsidR="00ED5284" w:rsidRPr="001F29F9">
        <w:rPr>
          <w:rFonts w:eastAsiaTheme="minorHAnsi"/>
          <w:color w:val="000000" w:themeColor="text1"/>
          <w:szCs w:val="24"/>
        </w:rPr>
        <w:t xml:space="preserve">is </w:t>
      </w:r>
      <w:r w:rsidR="00357F87">
        <w:rPr>
          <w:rFonts w:eastAsiaTheme="minorHAnsi"/>
          <w:color w:val="000000" w:themeColor="text1"/>
          <w:szCs w:val="24"/>
        </w:rPr>
        <w:t>thus</w:t>
      </w:r>
      <w:r w:rsidR="00ED5284" w:rsidRPr="001F29F9">
        <w:rPr>
          <w:rFonts w:eastAsiaTheme="minorHAnsi"/>
          <w:color w:val="000000" w:themeColor="text1"/>
          <w:szCs w:val="24"/>
        </w:rPr>
        <w:t xml:space="preserv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FF063A" w:rsidRDefault="00FF063A">
      <w:pPr>
        <w:rPr>
          <w:color w:val="000000" w:themeColor="text1"/>
          <w:u w:val="single"/>
        </w:rPr>
      </w:pPr>
      <w:r>
        <w:rPr>
          <w:color w:val="000000" w:themeColor="text1"/>
          <w:u w:val="single"/>
        </w:rPr>
        <w:br w:type="page"/>
      </w:r>
    </w:p>
    <w:p w:rsidR="001537D8" w:rsidRPr="00196EB1" w:rsidRDefault="007F0AB7" w:rsidP="00196EB1">
      <w:pPr>
        <w:jc w:val="both"/>
        <w:rPr>
          <w:color w:val="000000" w:themeColor="text1"/>
          <w:u w:val="single"/>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C8590C" w:rsidRPr="001F29F9" w:rsidRDefault="00C8590C" w:rsidP="00BF0E94">
      <w:pPr>
        <w:jc w:val="left"/>
        <w:rPr>
          <w:color w:val="000000" w:themeColor="text1"/>
          <w:szCs w:val="28"/>
          <w:highlight w:val="magenta"/>
        </w:rPr>
      </w:pPr>
    </w:p>
    <w:tbl>
      <w:tblPr>
        <w:tblStyle w:val="TableGrid"/>
        <w:tblpPr w:leftFromText="187" w:rightFromText="187" w:vertAnchor="text" w:tblpXSpec="center" w:tblpY="1"/>
        <w:tblOverlap w:val="never"/>
        <w:tblW w:w="9312" w:type="dxa"/>
        <w:jc w:val="center"/>
        <w:tblLayout w:type="fixed"/>
        <w:tblLook w:val="04A0"/>
      </w:tblPr>
      <w:tblGrid>
        <w:gridCol w:w="2250"/>
        <w:gridCol w:w="720"/>
        <w:gridCol w:w="900"/>
        <w:gridCol w:w="2576"/>
        <w:gridCol w:w="1091"/>
        <w:gridCol w:w="785"/>
        <w:gridCol w:w="990"/>
      </w:tblGrid>
      <w:tr w:rsidR="002B4E22" w:rsidRPr="001F29F9" w:rsidTr="0039386E">
        <w:trPr>
          <w:trHeight w:val="233"/>
          <w:jc w:val="center"/>
        </w:trPr>
        <w:tc>
          <w:tcPr>
            <w:tcW w:w="3870" w:type="dxa"/>
            <w:gridSpan w:val="3"/>
            <w:tcBorders>
              <w:right w:val="thinThickThinSmallGap" w:sz="24" w:space="0" w:color="auto"/>
            </w:tcBorders>
            <w:shd w:val="clear" w:color="auto" w:fill="D9D9D9" w:themeFill="background1" w:themeFillShade="D9"/>
            <w:vAlign w:val="center"/>
          </w:tcPr>
          <w:p w:rsidR="002B4E22" w:rsidRPr="001F29F9" w:rsidRDefault="00D55860" w:rsidP="0039386E">
            <w:pPr>
              <w:contextualSpacing/>
              <w:rPr>
                <w:rFonts w:ascii="Calibri" w:hAnsi="Calibri" w:cs="Calibri"/>
                <w:b/>
                <w:color w:val="000000" w:themeColor="text1"/>
                <w:sz w:val="18"/>
                <w:szCs w:val="18"/>
              </w:rPr>
            </w:pPr>
            <w:r>
              <w:rPr>
                <w:rFonts w:cstheme="minorHAnsi"/>
                <w:b/>
                <w:color w:val="auto"/>
                <w:sz w:val="18"/>
                <w:szCs w:val="18"/>
              </w:rPr>
              <w:t xml:space="preserve">Service </w:t>
            </w:r>
            <w:r w:rsidR="009A044F" w:rsidRPr="00A82542">
              <w:rPr>
                <w:rFonts w:cstheme="minorHAnsi"/>
                <w:b/>
                <w:color w:val="auto"/>
                <w:sz w:val="18"/>
                <w:szCs w:val="18"/>
              </w:rPr>
              <w:t>PEB – Dated 20060309</w:t>
            </w:r>
          </w:p>
        </w:tc>
        <w:tc>
          <w:tcPr>
            <w:tcW w:w="5442" w:type="dxa"/>
            <w:gridSpan w:val="4"/>
            <w:tcBorders>
              <w:left w:val="thinThickThinSmallGap" w:sz="24" w:space="0" w:color="auto"/>
            </w:tcBorders>
            <w:shd w:val="clear" w:color="auto" w:fill="D9D9D9" w:themeFill="background1" w:themeFillShade="D9"/>
            <w:vAlign w:val="center"/>
          </w:tcPr>
          <w:p w:rsidR="002B4E22" w:rsidRPr="001F29F9" w:rsidRDefault="00D743E5" w:rsidP="0039386E">
            <w:pPr>
              <w:contextualSpacing/>
              <w:rPr>
                <w:rFonts w:ascii="Calibri" w:hAnsi="Calibri" w:cs="Calibri"/>
                <w:b/>
                <w:color w:val="000000" w:themeColor="text1"/>
                <w:sz w:val="18"/>
                <w:szCs w:val="18"/>
              </w:rPr>
            </w:pPr>
            <w:r w:rsidRPr="00D743E5">
              <w:rPr>
                <w:rFonts w:ascii="Calibri" w:hAnsi="Calibri" w:cs="Calibri"/>
                <w:b/>
                <w:color w:val="000000" w:themeColor="text1"/>
                <w:sz w:val="18"/>
                <w:szCs w:val="18"/>
              </w:rPr>
              <w:t>VA (5 Mo. After Separation) – All Effective Date 20060422</w:t>
            </w:r>
          </w:p>
        </w:tc>
      </w:tr>
      <w:tr w:rsidR="002B4E22" w:rsidRPr="001F29F9" w:rsidTr="0039386E">
        <w:trPr>
          <w:trHeight w:val="64"/>
          <w:jc w:val="center"/>
        </w:trPr>
        <w:tc>
          <w:tcPr>
            <w:tcW w:w="2250"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57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91" w:type="dxa"/>
            <w:tcBorders>
              <w:bottom w:val="single" w:sz="4" w:space="0" w:color="000000" w:themeColor="text1"/>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85" w:type="dxa"/>
            <w:tcBorders>
              <w:bottom w:val="single" w:sz="4" w:space="0" w:color="000000" w:themeColor="text1"/>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764C27" w:rsidRPr="001F29F9" w:rsidTr="0039386E">
        <w:trPr>
          <w:trHeight w:val="64"/>
          <w:jc w:val="center"/>
        </w:trPr>
        <w:tc>
          <w:tcPr>
            <w:tcW w:w="2250" w:type="dxa"/>
            <w:vMerge w:val="restart"/>
            <w:tcBorders>
              <w:right w:val="single" w:sz="4" w:space="0" w:color="auto"/>
            </w:tcBorders>
            <w:shd w:val="clear" w:color="auto" w:fill="FFFFFF" w:themeFill="background1"/>
            <w:vAlign w:val="center"/>
          </w:tcPr>
          <w:p w:rsidR="00764C27" w:rsidRPr="00A82542" w:rsidRDefault="00764C27" w:rsidP="0039386E">
            <w:pPr>
              <w:spacing w:line="220" w:lineRule="exact"/>
              <w:contextualSpacing/>
              <w:jc w:val="left"/>
              <w:rPr>
                <w:rFonts w:cstheme="minorHAnsi"/>
                <w:color w:val="auto"/>
                <w:sz w:val="18"/>
                <w:szCs w:val="18"/>
              </w:rPr>
            </w:pPr>
            <w:r w:rsidRPr="00A82542">
              <w:rPr>
                <w:rFonts w:cstheme="minorHAnsi"/>
                <w:color w:val="auto"/>
                <w:sz w:val="18"/>
                <w:szCs w:val="18"/>
              </w:rPr>
              <w:t>R Carpal Tunnel Syndrome</w:t>
            </w:r>
          </w:p>
        </w:tc>
        <w:tc>
          <w:tcPr>
            <w:tcW w:w="720" w:type="dxa"/>
            <w:vMerge w:val="restart"/>
            <w:tcBorders>
              <w:left w:val="single" w:sz="4" w:space="0" w:color="auto"/>
            </w:tcBorders>
            <w:shd w:val="clear" w:color="auto" w:fill="FFFFFF" w:themeFill="background1"/>
            <w:vAlign w:val="center"/>
          </w:tcPr>
          <w:p w:rsidR="00764C27" w:rsidRPr="00A82542" w:rsidRDefault="00764C27" w:rsidP="0039386E">
            <w:pPr>
              <w:spacing w:line="180" w:lineRule="exact"/>
              <w:contextualSpacing/>
              <w:rPr>
                <w:rFonts w:cstheme="minorHAnsi"/>
                <w:color w:val="auto"/>
                <w:sz w:val="18"/>
                <w:szCs w:val="18"/>
              </w:rPr>
            </w:pPr>
            <w:r w:rsidRPr="00A82542">
              <w:rPr>
                <w:rFonts w:cstheme="minorHAnsi"/>
                <w:color w:val="auto"/>
                <w:sz w:val="18"/>
                <w:szCs w:val="18"/>
              </w:rPr>
              <w:t>8599-8515</w:t>
            </w:r>
          </w:p>
        </w:tc>
        <w:tc>
          <w:tcPr>
            <w:tcW w:w="900" w:type="dxa"/>
            <w:vMerge w:val="restart"/>
            <w:tcBorders>
              <w:right w:val="thinThickThinSmallGap" w:sz="24" w:space="0" w:color="auto"/>
            </w:tcBorders>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highlight w:val="yellow"/>
              </w:rPr>
            </w:pPr>
            <w:r w:rsidRPr="00A82542">
              <w:rPr>
                <w:rFonts w:cstheme="minorHAnsi"/>
                <w:color w:val="auto"/>
                <w:sz w:val="18"/>
                <w:szCs w:val="18"/>
              </w:rPr>
              <w:t>10%</w:t>
            </w:r>
          </w:p>
        </w:tc>
        <w:tc>
          <w:tcPr>
            <w:tcW w:w="2576" w:type="dxa"/>
            <w:tcBorders>
              <w:left w:val="thinThickThinSmallGap" w:sz="24" w:space="0" w:color="auto"/>
            </w:tcBorders>
            <w:shd w:val="clear" w:color="auto" w:fill="FFFFFF" w:themeFill="background1"/>
            <w:vAlign w:val="center"/>
          </w:tcPr>
          <w:p w:rsidR="00764C27" w:rsidRPr="00A82542" w:rsidRDefault="00764C27" w:rsidP="0039386E">
            <w:pPr>
              <w:spacing w:line="220" w:lineRule="exact"/>
              <w:contextualSpacing/>
              <w:jc w:val="left"/>
              <w:rPr>
                <w:rFonts w:cstheme="minorHAnsi"/>
                <w:color w:val="auto"/>
                <w:sz w:val="18"/>
                <w:szCs w:val="18"/>
              </w:rPr>
            </w:pPr>
            <w:r w:rsidRPr="00A82542">
              <w:rPr>
                <w:rFonts w:cstheme="minorHAnsi"/>
                <w:color w:val="auto"/>
                <w:sz w:val="18"/>
                <w:szCs w:val="18"/>
              </w:rPr>
              <w:t>Right Median Nerve Damage</w:t>
            </w:r>
          </w:p>
        </w:tc>
        <w:tc>
          <w:tcPr>
            <w:tcW w:w="1091"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8512</w:t>
            </w:r>
          </w:p>
        </w:tc>
        <w:tc>
          <w:tcPr>
            <w:tcW w:w="785"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30%</w:t>
            </w:r>
          </w:p>
        </w:tc>
        <w:tc>
          <w:tcPr>
            <w:tcW w:w="990"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64C27" w:rsidRPr="001F29F9" w:rsidTr="0039386E">
        <w:trPr>
          <w:trHeight w:val="168"/>
          <w:jc w:val="center"/>
        </w:trPr>
        <w:tc>
          <w:tcPr>
            <w:tcW w:w="2250" w:type="dxa"/>
            <w:vMerge/>
            <w:tcBorders>
              <w:right w:val="single" w:sz="4" w:space="0" w:color="auto"/>
            </w:tcBorders>
            <w:shd w:val="clear" w:color="auto" w:fill="FFFFFF" w:themeFill="background1"/>
            <w:vAlign w:val="center"/>
          </w:tcPr>
          <w:p w:rsidR="00764C27" w:rsidRPr="001F29F9" w:rsidRDefault="00764C27" w:rsidP="0039386E">
            <w:pPr>
              <w:spacing w:line="220" w:lineRule="exact"/>
              <w:contextualSpacing/>
              <w:jc w:val="left"/>
              <w:rPr>
                <w:rFonts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764C27" w:rsidRPr="001F29F9" w:rsidRDefault="00764C27" w:rsidP="0039386E">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764C27" w:rsidRPr="001F29F9" w:rsidRDefault="00764C27" w:rsidP="0039386E">
            <w:pPr>
              <w:spacing w:line="220" w:lineRule="exact"/>
              <w:rPr>
                <w:rFonts w:cs="Calibri"/>
                <w:color w:val="000000" w:themeColor="text1"/>
                <w:sz w:val="18"/>
                <w:szCs w:val="18"/>
              </w:rPr>
            </w:pPr>
          </w:p>
        </w:tc>
        <w:tc>
          <w:tcPr>
            <w:tcW w:w="2576" w:type="dxa"/>
            <w:tcBorders>
              <w:left w:val="thinThickThinSmallGap" w:sz="24" w:space="0" w:color="auto"/>
              <w:right w:val="single" w:sz="4" w:space="0" w:color="auto"/>
            </w:tcBorders>
            <w:shd w:val="clear" w:color="auto" w:fill="FFFFFF" w:themeFill="background1"/>
            <w:vAlign w:val="center"/>
          </w:tcPr>
          <w:p w:rsidR="00764C27" w:rsidRPr="00A82542" w:rsidRDefault="00764C27" w:rsidP="0039386E">
            <w:pPr>
              <w:spacing w:line="220" w:lineRule="exact"/>
              <w:contextualSpacing/>
              <w:jc w:val="left"/>
              <w:rPr>
                <w:color w:val="auto"/>
                <w:sz w:val="18"/>
                <w:szCs w:val="18"/>
              </w:rPr>
            </w:pPr>
            <w:r>
              <w:rPr>
                <w:color w:val="auto"/>
                <w:sz w:val="18"/>
                <w:szCs w:val="18"/>
              </w:rPr>
              <w:t>Post Operative Scar, R Wrist</w:t>
            </w:r>
          </w:p>
        </w:tc>
        <w:tc>
          <w:tcPr>
            <w:tcW w:w="1091" w:type="dxa"/>
            <w:tcBorders>
              <w:left w:val="single" w:sz="4" w:space="0" w:color="auto"/>
            </w:tcBorders>
            <w:shd w:val="clear" w:color="auto" w:fill="FFFFFF" w:themeFill="background1"/>
            <w:vAlign w:val="center"/>
          </w:tcPr>
          <w:p w:rsidR="00764C27" w:rsidRPr="00A82542" w:rsidRDefault="00764C27" w:rsidP="0039386E">
            <w:pPr>
              <w:spacing w:line="220" w:lineRule="exact"/>
              <w:contextualSpacing/>
              <w:rPr>
                <w:color w:val="auto"/>
                <w:sz w:val="18"/>
                <w:szCs w:val="18"/>
              </w:rPr>
            </w:pPr>
            <w:r>
              <w:rPr>
                <w:color w:val="auto"/>
                <w:sz w:val="18"/>
                <w:szCs w:val="18"/>
              </w:rPr>
              <w:t>7805</w:t>
            </w:r>
          </w:p>
        </w:tc>
        <w:tc>
          <w:tcPr>
            <w:tcW w:w="785" w:type="dxa"/>
            <w:shd w:val="clear" w:color="auto" w:fill="FFFFFF" w:themeFill="background1"/>
            <w:vAlign w:val="center"/>
          </w:tcPr>
          <w:p w:rsidR="00764C27" w:rsidRPr="00A82542" w:rsidRDefault="00764C27" w:rsidP="0039386E">
            <w:pPr>
              <w:spacing w:line="220" w:lineRule="exact"/>
              <w:contextualSpacing/>
              <w:rPr>
                <w:color w:val="auto"/>
                <w:sz w:val="18"/>
                <w:szCs w:val="18"/>
              </w:rPr>
            </w:pPr>
            <w:r>
              <w:rPr>
                <w:color w:val="auto"/>
                <w:sz w:val="18"/>
                <w:szCs w:val="18"/>
              </w:rPr>
              <w:t>0%</w:t>
            </w:r>
          </w:p>
        </w:tc>
        <w:tc>
          <w:tcPr>
            <w:tcW w:w="990" w:type="dxa"/>
            <w:shd w:val="clear" w:color="auto" w:fill="FFFFFF" w:themeFill="background1"/>
            <w:vAlign w:val="center"/>
          </w:tcPr>
          <w:p w:rsidR="00764C27" w:rsidRPr="00A82542" w:rsidRDefault="00764C27" w:rsidP="0039386E">
            <w:pPr>
              <w:spacing w:line="220" w:lineRule="exact"/>
              <w:contextualSpacing/>
              <w:rPr>
                <w:color w:val="auto"/>
                <w:sz w:val="18"/>
                <w:szCs w:val="18"/>
              </w:rPr>
            </w:pPr>
            <w:r w:rsidRPr="00A82542">
              <w:rPr>
                <w:rFonts w:cstheme="minorHAnsi"/>
                <w:color w:val="auto"/>
                <w:sz w:val="18"/>
                <w:szCs w:val="18"/>
              </w:rPr>
              <w:t>20060910</w:t>
            </w:r>
          </w:p>
        </w:tc>
      </w:tr>
      <w:tr w:rsidR="00764C27" w:rsidRPr="001F29F9" w:rsidTr="0039386E">
        <w:trPr>
          <w:trHeight w:val="64"/>
          <w:jc w:val="center"/>
        </w:trPr>
        <w:tc>
          <w:tcPr>
            <w:tcW w:w="2250" w:type="dxa"/>
            <w:vMerge w:val="restart"/>
            <w:tcBorders>
              <w:right w:val="single" w:sz="4" w:space="0" w:color="auto"/>
            </w:tcBorders>
            <w:shd w:val="clear" w:color="auto" w:fill="FFFFFF" w:themeFill="background1"/>
            <w:vAlign w:val="center"/>
          </w:tcPr>
          <w:p w:rsidR="00764C27" w:rsidRPr="00A82542" w:rsidRDefault="00764C27" w:rsidP="0039386E">
            <w:pPr>
              <w:spacing w:line="220" w:lineRule="exact"/>
              <w:contextualSpacing/>
              <w:jc w:val="left"/>
              <w:rPr>
                <w:rFonts w:cstheme="minorHAnsi"/>
                <w:color w:val="auto"/>
                <w:sz w:val="18"/>
                <w:szCs w:val="18"/>
              </w:rPr>
            </w:pPr>
            <w:r w:rsidRPr="00A82542">
              <w:rPr>
                <w:rFonts w:cstheme="minorHAnsi"/>
                <w:color w:val="auto"/>
                <w:sz w:val="18"/>
                <w:szCs w:val="18"/>
              </w:rPr>
              <w:t>Bilateral Shoulder Pain</w:t>
            </w:r>
          </w:p>
        </w:tc>
        <w:tc>
          <w:tcPr>
            <w:tcW w:w="720" w:type="dxa"/>
            <w:vMerge w:val="restart"/>
            <w:tcBorders>
              <w:left w:val="single" w:sz="4" w:space="0" w:color="auto"/>
            </w:tcBorders>
            <w:shd w:val="clear" w:color="auto" w:fill="FFFFFF" w:themeFill="background1"/>
            <w:vAlign w:val="center"/>
          </w:tcPr>
          <w:p w:rsidR="00764C27" w:rsidRPr="00A82542" w:rsidRDefault="00764C27" w:rsidP="0039386E">
            <w:pPr>
              <w:spacing w:line="180" w:lineRule="exact"/>
              <w:contextualSpacing/>
              <w:rPr>
                <w:rFonts w:cstheme="minorHAnsi"/>
                <w:color w:val="auto"/>
                <w:sz w:val="18"/>
                <w:szCs w:val="18"/>
              </w:rPr>
            </w:pPr>
            <w:r w:rsidRPr="00A82542">
              <w:rPr>
                <w:rFonts w:cstheme="minorHAnsi"/>
                <w:color w:val="auto"/>
                <w:sz w:val="18"/>
                <w:szCs w:val="18"/>
              </w:rPr>
              <w:t>5099-5003</w:t>
            </w:r>
          </w:p>
        </w:tc>
        <w:tc>
          <w:tcPr>
            <w:tcW w:w="900" w:type="dxa"/>
            <w:vMerge w:val="restart"/>
            <w:tcBorders>
              <w:right w:val="thinThickThinSmallGap" w:sz="24" w:space="0" w:color="auto"/>
            </w:tcBorders>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0%</w:t>
            </w:r>
          </w:p>
        </w:tc>
        <w:tc>
          <w:tcPr>
            <w:tcW w:w="2576" w:type="dxa"/>
            <w:tcBorders>
              <w:left w:val="thinThickThinSmallGap" w:sz="24" w:space="0" w:color="auto"/>
              <w:right w:val="single" w:sz="4" w:space="0" w:color="auto"/>
            </w:tcBorders>
            <w:shd w:val="clear" w:color="auto" w:fill="FFFFFF" w:themeFill="background1"/>
            <w:vAlign w:val="center"/>
          </w:tcPr>
          <w:p w:rsidR="00764C27" w:rsidRPr="00A82542" w:rsidRDefault="00764C27" w:rsidP="0039386E">
            <w:pPr>
              <w:spacing w:line="220" w:lineRule="exact"/>
              <w:contextualSpacing/>
              <w:jc w:val="left"/>
              <w:rPr>
                <w:rFonts w:cstheme="minorHAnsi"/>
                <w:color w:val="auto"/>
                <w:sz w:val="18"/>
                <w:szCs w:val="18"/>
              </w:rPr>
            </w:pPr>
            <w:r>
              <w:rPr>
                <w:rFonts w:cstheme="minorHAnsi"/>
                <w:color w:val="auto"/>
                <w:sz w:val="18"/>
                <w:szCs w:val="18"/>
              </w:rPr>
              <w:t xml:space="preserve">Group III Injury, </w:t>
            </w:r>
            <w:r w:rsidRPr="00A82542">
              <w:rPr>
                <w:rFonts w:cstheme="minorHAnsi"/>
                <w:color w:val="auto"/>
                <w:sz w:val="18"/>
                <w:szCs w:val="18"/>
              </w:rPr>
              <w:t>L Shoulder</w:t>
            </w:r>
          </w:p>
        </w:tc>
        <w:tc>
          <w:tcPr>
            <w:tcW w:w="1091" w:type="dxa"/>
            <w:tcBorders>
              <w:left w:val="single" w:sz="4" w:space="0" w:color="auto"/>
            </w:tcBorders>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5303</w:t>
            </w:r>
          </w:p>
        </w:tc>
        <w:tc>
          <w:tcPr>
            <w:tcW w:w="785"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20%</w:t>
            </w:r>
          </w:p>
        </w:tc>
        <w:tc>
          <w:tcPr>
            <w:tcW w:w="990"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64C27" w:rsidRPr="001F29F9" w:rsidTr="0039386E">
        <w:trPr>
          <w:trHeight w:val="64"/>
          <w:jc w:val="center"/>
        </w:trPr>
        <w:tc>
          <w:tcPr>
            <w:tcW w:w="2250" w:type="dxa"/>
            <w:vMerge/>
            <w:tcBorders>
              <w:right w:val="single" w:sz="4" w:space="0" w:color="auto"/>
            </w:tcBorders>
            <w:shd w:val="clear" w:color="auto" w:fill="FFFFFF" w:themeFill="background1"/>
            <w:vAlign w:val="center"/>
          </w:tcPr>
          <w:p w:rsidR="00764C27" w:rsidRPr="001F29F9" w:rsidRDefault="00764C27" w:rsidP="0039386E">
            <w:pPr>
              <w:spacing w:line="220" w:lineRule="exact"/>
              <w:contextualSpacing/>
              <w:jc w:val="left"/>
              <w:rPr>
                <w:rFonts w:ascii="Calibri" w:eastAsia="Times New Roman" w:hAnsi="Calibri"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764C27" w:rsidRPr="001F29F9" w:rsidRDefault="00764C27" w:rsidP="0039386E">
            <w:pPr>
              <w:spacing w:line="22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764C27" w:rsidRPr="001F29F9" w:rsidRDefault="00764C27" w:rsidP="0039386E">
            <w:pPr>
              <w:spacing w:line="220" w:lineRule="exact"/>
              <w:rPr>
                <w:rFonts w:ascii="Calibri" w:eastAsia="Times New Roman" w:hAnsi="Calibri" w:cs="Calibri"/>
                <w:color w:val="000000" w:themeColor="text1"/>
                <w:sz w:val="18"/>
                <w:szCs w:val="18"/>
              </w:rPr>
            </w:pPr>
          </w:p>
        </w:tc>
        <w:tc>
          <w:tcPr>
            <w:tcW w:w="2576" w:type="dxa"/>
            <w:tcBorders>
              <w:left w:val="thinThickThinSmallGap" w:sz="24" w:space="0" w:color="auto"/>
              <w:right w:val="single" w:sz="4" w:space="0" w:color="auto"/>
            </w:tcBorders>
            <w:shd w:val="clear" w:color="auto" w:fill="FFFFFF" w:themeFill="background1"/>
            <w:vAlign w:val="center"/>
          </w:tcPr>
          <w:p w:rsidR="00764C27" w:rsidRPr="00A82542" w:rsidRDefault="00764C27" w:rsidP="0039386E">
            <w:pPr>
              <w:spacing w:line="220" w:lineRule="exact"/>
              <w:contextualSpacing/>
              <w:jc w:val="left"/>
              <w:rPr>
                <w:rFonts w:cstheme="minorHAnsi"/>
                <w:color w:val="auto"/>
                <w:sz w:val="18"/>
                <w:szCs w:val="18"/>
              </w:rPr>
            </w:pPr>
            <w:r w:rsidRPr="00A82542">
              <w:rPr>
                <w:rFonts w:cstheme="minorHAnsi"/>
                <w:color w:val="auto"/>
                <w:sz w:val="18"/>
                <w:szCs w:val="18"/>
              </w:rPr>
              <w:t>Distal R Clavicle Resection</w:t>
            </w:r>
          </w:p>
        </w:tc>
        <w:tc>
          <w:tcPr>
            <w:tcW w:w="1091" w:type="dxa"/>
            <w:tcBorders>
              <w:left w:val="single" w:sz="4" w:space="0" w:color="auto"/>
            </w:tcBorders>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5203</w:t>
            </w:r>
          </w:p>
        </w:tc>
        <w:tc>
          <w:tcPr>
            <w:tcW w:w="785"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10%</w:t>
            </w:r>
          </w:p>
        </w:tc>
        <w:tc>
          <w:tcPr>
            <w:tcW w:w="990" w:type="dxa"/>
            <w:shd w:val="clear" w:color="auto" w:fill="FFFFFF" w:themeFill="background1"/>
            <w:vAlign w:val="center"/>
          </w:tcPr>
          <w:p w:rsidR="00764C27" w:rsidRPr="00A82542" w:rsidRDefault="00764C27"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F62BF" w:rsidRPr="001F29F9" w:rsidTr="0039386E">
        <w:trPr>
          <w:trHeight w:val="64"/>
          <w:jc w:val="center"/>
        </w:trPr>
        <w:tc>
          <w:tcPr>
            <w:tcW w:w="2250" w:type="dxa"/>
            <w:tcBorders>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proofErr w:type="spellStart"/>
            <w:r w:rsidRPr="00A82542">
              <w:rPr>
                <w:rFonts w:cstheme="minorHAnsi"/>
                <w:color w:val="auto"/>
                <w:sz w:val="18"/>
                <w:szCs w:val="18"/>
              </w:rPr>
              <w:t>Hyperlipidemia</w:t>
            </w:r>
            <w:proofErr w:type="spellEnd"/>
          </w:p>
        </w:tc>
        <w:tc>
          <w:tcPr>
            <w:tcW w:w="1620" w:type="dxa"/>
            <w:gridSpan w:val="2"/>
            <w:tcBorders>
              <w:left w:val="single" w:sz="4" w:space="0" w:color="auto"/>
              <w:right w:val="thinThickThinSmallGap" w:sz="2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Not Unfitting</w:t>
            </w:r>
          </w:p>
        </w:tc>
        <w:tc>
          <w:tcPr>
            <w:tcW w:w="5442" w:type="dxa"/>
            <w:gridSpan w:val="4"/>
            <w:tcBorders>
              <w:lef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cs="Calibri"/>
                <w:color w:val="000000" w:themeColor="text1"/>
                <w:sz w:val="18"/>
                <w:szCs w:val="18"/>
                <w:highlight w:val="yellow"/>
              </w:rPr>
            </w:pPr>
            <w:r w:rsidRPr="00A82542">
              <w:rPr>
                <w:rFonts w:cstheme="minorHAnsi"/>
                <w:color w:val="auto"/>
                <w:sz w:val="18"/>
                <w:szCs w:val="18"/>
              </w:rPr>
              <w:t>No Corresponding VA Entry</w:t>
            </w:r>
          </w:p>
        </w:tc>
      </w:tr>
      <w:tr w:rsidR="007F62BF" w:rsidRPr="001F29F9" w:rsidTr="0039386E">
        <w:trPr>
          <w:trHeight w:val="64"/>
          <w:jc w:val="center"/>
        </w:trPr>
        <w:tc>
          <w:tcPr>
            <w:tcW w:w="2250" w:type="dxa"/>
            <w:tcBorders>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r w:rsidRPr="00A82542">
              <w:rPr>
                <w:rFonts w:cstheme="minorHAnsi"/>
                <w:color w:val="auto"/>
                <w:sz w:val="18"/>
                <w:szCs w:val="18"/>
              </w:rPr>
              <w:t>Allergic Rhinitis</w:t>
            </w:r>
          </w:p>
        </w:tc>
        <w:tc>
          <w:tcPr>
            <w:tcW w:w="1620" w:type="dxa"/>
            <w:gridSpan w:val="2"/>
            <w:tcBorders>
              <w:left w:val="single" w:sz="4" w:space="0" w:color="auto"/>
              <w:right w:val="thinThickThinSmallGap" w:sz="2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Not Unfitting</w:t>
            </w:r>
          </w:p>
        </w:tc>
        <w:tc>
          <w:tcPr>
            <w:tcW w:w="5442" w:type="dxa"/>
            <w:gridSpan w:val="4"/>
            <w:tcBorders>
              <w:lef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cs="Calibri"/>
                <w:color w:val="000000" w:themeColor="text1"/>
                <w:sz w:val="18"/>
                <w:szCs w:val="18"/>
                <w:highlight w:val="yellow"/>
              </w:rPr>
            </w:pPr>
            <w:r w:rsidRPr="00A82542">
              <w:rPr>
                <w:rFonts w:cstheme="minorHAnsi"/>
                <w:color w:val="auto"/>
                <w:sz w:val="18"/>
                <w:szCs w:val="18"/>
              </w:rPr>
              <w:t>No Corresponding VA Entry</w:t>
            </w:r>
          </w:p>
        </w:tc>
      </w:tr>
      <w:tr w:rsidR="00FD3CCC" w:rsidRPr="001F29F9" w:rsidTr="0039386E">
        <w:trPr>
          <w:trHeight w:val="78"/>
          <w:jc w:val="center"/>
        </w:trPr>
        <w:tc>
          <w:tcPr>
            <w:tcW w:w="2250" w:type="dxa"/>
            <w:tcBorders>
              <w:right w:val="single" w:sz="4" w:space="0" w:color="auto"/>
            </w:tcBorders>
            <w:shd w:val="clear" w:color="auto" w:fill="FFFFFF" w:themeFill="background1"/>
            <w:vAlign w:val="center"/>
          </w:tcPr>
          <w:p w:rsidR="00FD3CCC" w:rsidRPr="00A82542" w:rsidRDefault="00880882" w:rsidP="0039386E">
            <w:pPr>
              <w:spacing w:line="220" w:lineRule="exact"/>
              <w:contextualSpacing/>
              <w:jc w:val="left"/>
              <w:rPr>
                <w:rFonts w:cstheme="minorHAnsi"/>
                <w:color w:val="auto"/>
                <w:sz w:val="18"/>
                <w:szCs w:val="18"/>
              </w:rPr>
            </w:pPr>
            <w:r>
              <w:rPr>
                <w:rFonts w:cstheme="minorHAnsi"/>
                <w:color w:val="auto"/>
                <w:sz w:val="18"/>
                <w:szCs w:val="18"/>
              </w:rPr>
              <w:t>L</w:t>
            </w:r>
            <w:r w:rsidR="00FD3CCC" w:rsidRPr="00A82542">
              <w:rPr>
                <w:rFonts w:cstheme="minorHAnsi"/>
                <w:color w:val="auto"/>
                <w:sz w:val="18"/>
                <w:szCs w:val="18"/>
              </w:rPr>
              <w:t xml:space="preserve"> Hearing Loss</w:t>
            </w:r>
            <w:r>
              <w:rPr>
                <w:rFonts w:cstheme="minorHAnsi"/>
                <w:color w:val="auto"/>
                <w:sz w:val="18"/>
                <w:szCs w:val="18"/>
              </w:rPr>
              <w:t xml:space="preserve"> </w:t>
            </w:r>
            <w:r w:rsidR="008B1B7F">
              <w:rPr>
                <w:rFonts w:cstheme="minorHAnsi"/>
                <w:color w:val="auto"/>
                <w:sz w:val="18"/>
                <w:szCs w:val="18"/>
              </w:rPr>
              <w:t>/ Perforation</w:t>
            </w:r>
          </w:p>
        </w:tc>
        <w:tc>
          <w:tcPr>
            <w:tcW w:w="1620" w:type="dxa"/>
            <w:gridSpan w:val="2"/>
            <w:tcBorders>
              <w:left w:val="single" w:sz="4" w:space="0" w:color="auto"/>
              <w:right w:val="thinThickThinSmallGap" w:sz="24" w:space="0" w:color="auto"/>
            </w:tcBorders>
            <w:shd w:val="clear" w:color="auto" w:fill="FFFFFF" w:themeFill="background1"/>
            <w:vAlign w:val="center"/>
          </w:tcPr>
          <w:p w:rsidR="00FD3CCC" w:rsidRPr="00A82542" w:rsidRDefault="00FD3CCC" w:rsidP="0039386E">
            <w:pPr>
              <w:spacing w:line="220" w:lineRule="exact"/>
              <w:contextualSpacing/>
              <w:rPr>
                <w:rFonts w:cstheme="minorHAnsi"/>
                <w:color w:val="auto"/>
                <w:sz w:val="18"/>
                <w:szCs w:val="18"/>
              </w:rPr>
            </w:pPr>
            <w:r w:rsidRPr="00A82542">
              <w:rPr>
                <w:rFonts w:cstheme="minorHAnsi"/>
                <w:color w:val="auto"/>
                <w:sz w:val="18"/>
                <w:szCs w:val="18"/>
              </w:rPr>
              <w:t>Not Unfitting</w:t>
            </w:r>
          </w:p>
        </w:tc>
        <w:tc>
          <w:tcPr>
            <w:tcW w:w="2576" w:type="dxa"/>
            <w:tcBorders>
              <w:left w:val="thinThickThinSmallGap" w:sz="24" w:space="0" w:color="auto"/>
              <w:right w:val="single" w:sz="4" w:space="0" w:color="auto"/>
            </w:tcBorders>
            <w:shd w:val="clear" w:color="auto" w:fill="FFFFFF" w:themeFill="background1"/>
            <w:vAlign w:val="center"/>
          </w:tcPr>
          <w:p w:rsidR="00FD3CCC" w:rsidRPr="00A82542" w:rsidRDefault="00880882" w:rsidP="0039386E">
            <w:pPr>
              <w:spacing w:line="220" w:lineRule="exact"/>
              <w:contextualSpacing/>
              <w:jc w:val="left"/>
              <w:rPr>
                <w:rFonts w:cstheme="minorHAnsi"/>
                <w:color w:val="auto"/>
                <w:sz w:val="18"/>
                <w:szCs w:val="18"/>
              </w:rPr>
            </w:pPr>
            <w:r>
              <w:rPr>
                <w:rFonts w:cstheme="minorHAnsi"/>
                <w:color w:val="auto"/>
                <w:sz w:val="18"/>
                <w:szCs w:val="18"/>
              </w:rPr>
              <w:t>L</w:t>
            </w:r>
            <w:r w:rsidR="00FD3CCC" w:rsidRPr="00A82542">
              <w:rPr>
                <w:rFonts w:cstheme="minorHAnsi"/>
                <w:color w:val="auto"/>
                <w:sz w:val="18"/>
                <w:szCs w:val="18"/>
              </w:rPr>
              <w:t xml:space="preserve"> Tympanic Perforation</w:t>
            </w:r>
          </w:p>
        </w:tc>
        <w:tc>
          <w:tcPr>
            <w:tcW w:w="1091" w:type="dxa"/>
            <w:tcBorders>
              <w:left w:val="single" w:sz="4" w:space="0" w:color="auto"/>
              <w:right w:val="single" w:sz="4" w:space="0" w:color="auto"/>
            </w:tcBorders>
            <w:shd w:val="clear" w:color="auto" w:fill="FFFFFF" w:themeFill="background1"/>
            <w:vAlign w:val="center"/>
          </w:tcPr>
          <w:p w:rsidR="00FD3CCC" w:rsidRPr="00A82542" w:rsidRDefault="00FD3CCC" w:rsidP="0039386E">
            <w:pPr>
              <w:spacing w:line="220" w:lineRule="exact"/>
              <w:contextualSpacing/>
              <w:rPr>
                <w:rFonts w:cstheme="minorHAnsi"/>
                <w:color w:val="auto"/>
                <w:sz w:val="18"/>
                <w:szCs w:val="18"/>
              </w:rPr>
            </w:pPr>
            <w:r w:rsidRPr="00A82542">
              <w:rPr>
                <w:rFonts w:cstheme="minorHAnsi"/>
                <w:color w:val="auto"/>
                <w:sz w:val="18"/>
                <w:szCs w:val="18"/>
              </w:rPr>
              <w:t>6211</w:t>
            </w:r>
          </w:p>
        </w:tc>
        <w:tc>
          <w:tcPr>
            <w:tcW w:w="785" w:type="dxa"/>
            <w:tcBorders>
              <w:left w:val="single" w:sz="4" w:space="0" w:color="auto"/>
            </w:tcBorders>
            <w:shd w:val="clear" w:color="auto" w:fill="FFFFFF" w:themeFill="background1"/>
            <w:vAlign w:val="center"/>
          </w:tcPr>
          <w:p w:rsidR="00FD3CCC" w:rsidRPr="00A82542" w:rsidRDefault="00FD3CCC" w:rsidP="0039386E">
            <w:pPr>
              <w:spacing w:line="220" w:lineRule="exact"/>
              <w:contextualSpacing/>
              <w:rPr>
                <w:rFonts w:cstheme="minorHAnsi"/>
                <w:color w:val="auto"/>
                <w:sz w:val="18"/>
                <w:szCs w:val="18"/>
              </w:rPr>
            </w:pPr>
            <w:r w:rsidRPr="00A82542">
              <w:rPr>
                <w:rFonts w:cstheme="minorHAnsi"/>
                <w:color w:val="auto"/>
                <w:sz w:val="18"/>
                <w:szCs w:val="18"/>
              </w:rPr>
              <w:t>0%</w:t>
            </w:r>
          </w:p>
        </w:tc>
        <w:tc>
          <w:tcPr>
            <w:tcW w:w="990" w:type="dxa"/>
            <w:shd w:val="clear" w:color="auto" w:fill="FFFFFF" w:themeFill="background1"/>
            <w:vAlign w:val="center"/>
          </w:tcPr>
          <w:p w:rsidR="00FD3CCC" w:rsidRPr="00A82542" w:rsidRDefault="00FD3CCC" w:rsidP="0039386E">
            <w:pPr>
              <w:spacing w:line="220" w:lineRule="exact"/>
              <w:contextualSpacing/>
              <w:rPr>
                <w:rFonts w:cstheme="minorHAnsi"/>
                <w:color w:val="auto"/>
                <w:sz w:val="18"/>
                <w:szCs w:val="18"/>
              </w:rPr>
            </w:pPr>
            <w:r w:rsidRPr="00A82542">
              <w:rPr>
                <w:rFonts w:cstheme="minorHAnsi"/>
                <w:color w:val="auto"/>
                <w:sz w:val="18"/>
                <w:szCs w:val="18"/>
              </w:rPr>
              <w:t>200609</w:t>
            </w:r>
            <w:r w:rsidR="008B1B7F">
              <w:rPr>
                <w:rFonts w:cstheme="minorHAnsi"/>
                <w:color w:val="auto"/>
                <w:sz w:val="18"/>
                <w:szCs w:val="18"/>
              </w:rPr>
              <w:t>25</w:t>
            </w:r>
          </w:p>
        </w:tc>
      </w:tr>
      <w:tr w:rsidR="007F62BF" w:rsidRPr="001F29F9" w:rsidTr="0039386E">
        <w:trPr>
          <w:trHeight w:val="64"/>
          <w:jc w:val="center"/>
        </w:trPr>
        <w:tc>
          <w:tcPr>
            <w:tcW w:w="3870" w:type="dxa"/>
            <w:gridSpan w:val="3"/>
            <w:vMerge w:val="restart"/>
            <w:tcBorders>
              <w:right w:val="thinThickThinSmallGap" w:sz="24" w:space="0" w:color="auto"/>
            </w:tcBorders>
            <w:shd w:val="clear" w:color="auto" w:fill="FFFFFF" w:themeFill="background1"/>
          </w:tcPr>
          <w:p w:rsidR="008D3C1D" w:rsidRDefault="008D3C1D" w:rsidP="0039386E">
            <w:pPr>
              <w:spacing w:line="220" w:lineRule="exact"/>
              <w:contextualSpacing/>
              <w:rPr>
                <w:rFonts w:ascii="Calibri" w:hAnsi="Calibri" w:cs="Calibri"/>
                <w:color w:val="000000" w:themeColor="text1"/>
                <w:sz w:val="18"/>
                <w:szCs w:val="18"/>
              </w:rPr>
            </w:pPr>
          </w:p>
          <w:p w:rsidR="008D3C1D" w:rsidRDefault="008D3C1D" w:rsidP="0039386E">
            <w:pPr>
              <w:spacing w:line="220" w:lineRule="exact"/>
              <w:contextualSpacing/>
              <w:rPr>
                <w:rFonts w:ascii="Calibri" w:hAnsi="Calibri" w:cs="Calibri"/>
                <w:color w:val="000000" w:themeColor="text1"/>
                <w:sz w:val="18"/>
                <w:szCs w:val="18"/>
              </w:rPr>
            </w:pPr>
          </w:p>
          <w:p w:rsidR="007F62BF" w:rsidRPr="001F29F9" w:rsidRDefault="007F62BF" w:rsidP="0039386E">
            <w:pPr>
              <w:spacing w:line="220" w:lineRule="exact"/>
              <w:contextualSpacing/>
              <w:rPr>
                <w:rFonts w:cs="Calibri"/>
                <w:color w:val="000000" w:themeColor="text1"/>
                <w:sz w:val="18"/>
                <w:szCs w:val="18"/>
              </w:rPr>
            </w:pPr>
            <w:r w:rsidRPr="001F29F9">
              <w:rPr>
                <w:rFonts w:ascii="Calibri" w:hAnsi="Calibri" w:cs="Calibri"/>
                <w:color w:val="000000" w:themeColor="text1"/>
                <w:sz w:val="18"/>
                <w:szCs w:val="18"/>
              </w:rPr>
              <w:t>↓No Additional MEB/PEB Entries↓</w:t>
            </w:r>
          </w:p>
        </w:tc>
        <w:tc>
          <w:tcPr>
            <w:tcW w:w="2576" w:type="dxa"/>
            <w:tcBorders>
              <w:left w:val="thinThickThinSmallGap" w:sz="24" w:space="0" w:color="auto"/>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r w:rsidRPr="00A82542">
              <w:rPr>
                <w:rFonts w:cstheme="minorHAnsi"/>
                <w:color w:val="auto"/>
                <w:sz w:val="18"/>
                <w:szCs w:val="18"/>
              </w:rPr>
              <w:t>PTSD</w:t>
            </w:r>
          </w:p>
        </w:tc>
        <w:tc>
          <w:tcPr>
            <w:tcW w:w="1091" w:type="dxa"/>
            <w:tcBorders>
              <w:left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9411</w:t>
            </w:r>
          </w:p>
        </w:tc>
        <w:tc>
          <w:tcPr>
            <w:tcW w:w="785" w:type="dxa"/>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50%</w:t>
            </w:r>
          </w:p>
        </w:tc>
        <w:tc>
          <w:tcPr>
            <w:tcW w:w="990" w:type="dxa"/>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20060829</w:t>
            </w:r>
          </w:p>
        </w:tc>
      </w:tr>
      <w:tr w:rsidR="007F62BF" w:rsidRPr="001F29F9" w:rsidTr="0039386E">
        <w:trPr>
          <w:trHeight w:val="64"/>
          <w:jc w:val="center"/>
        </w:trPr>
        <w:tc>
          <w:tcPr>
            <w:tcW w:w="3870" w:type="dxa"/>
            <w:gridSpan w:val="3"/>
            <w:vMerge/>
            <w:tcBorders>
              <w:righ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cs="Calibri"/>
                <w:color w:val="000000" w:themeColor="text1"/>
                <w:sz w:val="18"/>
                <w:szCs w:val="18"/>
              </w:rPr>
            </w:pPr>
          </w:p>
        </w:tc>
        <w:tc>
          <w:tcPr>
            <w:tcW w:w="2576" w:type="dxa"/>
            <w:tcBorders>
              <w:left w:val="thinThickThinSmallGap" w:sz="24" w:space="0" w:color="auto"/>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r w:rsidRPr="00A82542">
              <w:rPr>
                <w:rFonts w:cstheme="minorHAnsi"/>
                <w:color w:val="auto"/>
                <w:sz w:val="18"/>
                <w:szCs w:val="18"/>
              </w:rPr>
              <w:t>DJD Right Knee</w:t>
            </w:r>
          </w:p>
        </w:tc>
        <w:tc>
          <w:tcPr>
            <w:tcW w:w="1091" w:type="dxa"/>
            <w:tcBorders>
              <w:left w:val="single" w:sz="4" w:space="0" w:color="auto"/>
              <w:bottom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5260-5010</w:t>
            </w:r>
          </w:p>
        </w:tc>
        <w:tc>
          <w:tcPr>
            <w:tcW w:w="785" w:type="dxa"/>
            <w:tcBorders>
              <w:bottom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10%</w:t>
            </w:r>
          </w:p>
        </w:tc>
        <w:tc>
          <w:tcPr>
            <w:tcW w:w="990" w:type="dxa"/>
            <w:tcBorders>
              <w:bottom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F62BF" w:rsidRPr="001F29F9" w:rsidTr="0039386E">
        <w:trPr>
          <w:trHeight w:val="64"/>
          <w:jc w:val="center"/>
        </w:trPr>
        <w:tc>
          <w:tcPr>
            <w:tcW w:w="3870" w:type="dxa"/>
            <w:gridSpan w:val="3"/>
            <w:vMerge/>
            <w:tcBorders>
              <w:righ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cs="Calibri"/>
                <w:color w:val="000000" w:themeColor="text1"/>
                <w:sz w:val="18"/>
                <w:szCs w:val="18"/>
              </w:rPr>
            </w:pPr>
          </w:p>
        </w:tc>
        <w:tc>
          <w:tcPr>
            <w:tcW w:w="2576" w:type="dxa"/>
            <w:tcBorders>
              <w:left w:val="thinThickThinSmallGap" w:sz="24" w:space="0" w:color="auto"/>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r w:rsidRPr="00A82542">
              <w:rPr>
                <w:rFonts w:cstheme="minorHAnsi"/>
                <w:color w:val="auto"/>
                <w:sz w:val="18"/>
                <w:szCs w:val="18"/>
              </w:rPr>
              <w:t>Cervical Strain</w:t>
            </w:r>
          </w:p>
        </w:tc>
        <w:tc>
          <w:tcPr>
            <w:tcW w:w="1091" w:type="dxa"/>
            <w:tcBorders>
              <w:top w:val="single" w:sz="4" w:space="0" w:color="auto"/>
              <w:left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5237</w:t>
            </w:r>
          </w:p>
        </w:tc>
        <w:tc>
          <w:tcPr>
            <w:tcW w:w="785" w:type="dxa"/>
            <w:tcBorders>
              <w:top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10%</w:t>
            </w:r>
          </w:p>
        </w:tc>
        <w:tc>
          <w:tcPr>
            <w:tcW w:w="990" w:type="dxa"/>
            <w:tcBorders>
              <w:top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F62BF" w:rsidRPr="001F29F9" w:rsidTr="0039386E">
        <w:trPr>
          <w:trHeight w:val="64"/>
          <w:jc w:val="center"/>
        </w:trPr>
        <w:tc>
          <w:tcPr>
            <w:tcW w:w="3870" w:type="dxa"/>
            <w:gridSpan w:val="3"/>
            <w:vMerge/>
            <w:tcBorders>
              <w:righ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cs="Calibri"/>
                <w:color w:val="000000" w:themeColor="text1"/>
                <w:sz w:val="18"/>
                <w:szCs w:val="18"/>
              </w:rPr>
            </w:pPr>
          </w:p>
        </w:tc>
        <w:tc>
          <w:tcPr>
            <w:tcW w:w="2576" w:type="dxa"/>
            <w:tcBorders>
              <w:left w:val="thinThickThinSmallGap" w:sz="24" w:space="0" w:color="auto"/>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r w:rsidRPr="00A82542">
              <w:rPr>
                <w:rFonts w:cstheme="minorHAnsi"/>
                <w:color w:val="auto"/>
                <w:sz w:val="18"/>
                <w:szCs w:val="18"/>
              </w:rPr>
              <w:t>Painful Scar, R Long Finger</w:t>
            </w:r>
          </w:p>
        </w:tc>
        <w:tc>
          <w:tcPr>
            <w:tcW w:w="1091" w:type="dxa"/>
            <w:tcBorders>
              <w:left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7804</w:t>
            </w:r>
          </w:p>
        </w:tc>
        <w:tc>
          <w:tcPr>
            <w:tcW w:w="785" w:type="dxa"/>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10%</w:t>
            </w:r>
          </w:p>
        </w:tc>
        <w:tc>
          <w:tcPr>
            <w:tcW w:w="990" w:type="dxa"/>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F62BF" w:rsidRPr="001F29F9" w:rsidTr="0039386E">
        <w:trPr>
          <w:trHeight w:val="64"/>
          <w:jc w:val="center"/>
        </w:trPr>
        <w:tc>
          <w:tcPr>
            <w:tcW w:w="3870" w:type="dxa"/>
            <w:gridSpan w:val="3"/>
            <w:vMerge/>
            <w:tcBorders>
              <w:righ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ascii="Calibri" w:eastAsia="Times New Roman" w:hAnsi="Calibri" w:cs="Calibri"/>
                <w:color w:val="000000" w:themeColor="text1"/>
                <w:sz w:val="18"/>
                <w:szCs w:val="18"/>
              </w:rPr>
            </w:pPr>
          </w:p>
        </w:tc>
        <w:tc>
          <w:tcPr>
            <w:tcW w:w="2576" w:type="dxa"/>
            <w:tcBorders>
              <w:left w:val="thinThickThinSmallGap" w:sz="24" w:space="0" w:color="auto"/>
              <w:right w:val="single" w:sz="4" w:space="0" w:color="auto"/>
            </w:tcBorders>
            <w:shd w:val="clear" w:color="auto" w:fill="FFFFFF" w:themeFill="background1"/>
            <w:vAlign w:val="center"/>
          </w:tcPr>
          <w:p w:rsidR="007F62BF" w:rsidRPr="00A82542" w:rsidRDefault="007F62BF" w:rsidP="0039386E">
            <w:pPr>
              <w:spacing w:line="220" w:lineRule="exact"/>
              <w:contextualSpacing/>
              <w:jc w:val="left"/>
              <w:rPr>
                <w:rFonts w:cstheme="minorHAnsi"/>
                <w:color w:val="auto"/>
                <w:sz w:val="18"/>
                <w:szCs w:val="18"/>
              </w:rPr>
            </w:pPr>
            <w:r w:rsidRPr="00A82542">
              <w:rPr>
                <w:rFonts w:cstheme="minorHAnsi"/>
                <w:color w:val="auto"/>
                <w:sz w:val="18"/>
                <w:szCs w:val="18"/>
              </w:rPr>
              <w:t>Arthritis Left Median Nerve</w:t>
            </w:r>
          </w:p>
        </w:tc>
        <w:tc>
          <w:tcPr>
            <w:tcW w:w="1091" w:type="dxa"/>
            <w:tcBorders>
              <w:left w:val="single" w:sz="4" w:space="0" w:color="auto"/>
            </w:tcBorders>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8615</w:t>
            </w:r>
          </w:p>
        </w:tc>
        <w:tc>
          <w:tcPr>
            <w:tcW w:w="785" w:type="dxa"/>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10%</w:t>
            </w:r>
          </w:p>
        </w:tc>
        <w:tc>
          <w:tcPr>
            <w:tcW w:w="990" w:type="dxa"/>
            <w:shd w:val="clear" w:color="auto" w:fill="FFFFFF" w:themeFill="background1"/>
            <w:vAlign w:val="center"/>
          </w:tcPr>
          <w:p w:rsidR="007F62BF" w:rsidRPr="00A82542" w:rsidRDefault="007F62BF" w:rsidP="0039386E">
            <w:pPr>
              <w:spacing w:line="220" w:lineRule="exact"/>
              <w:contextualSpacing/>
              <w:rPr>
                <w:rFonts w:cstheme="minorHAnsi"/>
                <w:color w:val="auto"/>
                <w:sz w:val="18"/>
                <w:szCs w:val="18"/>
              </w:rPr>
            </w:pPr>
            <w:r w:rsidRPr="00A82542">
              <w:rPr>
                <w:rFonts w:cstheme="minorHAnsi"/>
                <w:color w:val="auto"/>
                <w:sz w:val="18"/>
                <w:szCs w:val="18"/>
              </w:rPr>
              <w:t>20060910</w:t>
            </w:r>
          </w:p>
        </w:tc>
      </w:tr>
      <w:tr w:rsidR="007F62BF" w:rsidRPr="001F29F9" w:rsidTr="0039386E">
        <w:trPr>
          <w:trHeight w:val="64"/>
          <w:jc w:val="center"/>
        </w:trPr>
        <w:tc>
          <w:tcPr>
            <w:tcW w:w="3870" w:type="dxa"/>
            <w:gridSpan w:val="3"/>
            <w:vMerge/>
            <w:tcBorders>
              <w:righ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ascii="Calibri" w:eastAsia="Times New Roman" w:hAnsi="Calibri" w:cs="Calibri"/>
                <w:color w:val="000000" w:themeColor="text1"/>
                <w:sz w:val="18"/>
                <w:szCs w:val="18"/>
              </w:rPr>
            </w:pPr>
          </w:p>
        </w:tc>
        <w:tc>
          <w:tcPr>
            <w:tcW w:w="4452" w:type="dxa"/>
            <w:gridSpan w:val="3"/>
            <w:tcBorders>
              <w:left w:val="thinThickThinSmallGap" w:sz="24" w:space="0" w:color="auto"/>
            </w:tcBorders>
            <w:shd w:val="clear" w:color="auto" w:fill="FFFFFF" w:themeFill="background1"/>
            <w:vAlign w:val="center"/>
          </w:tcPr>
          <w:p w:rsidR="007F62BF" w:rsidRPr="001F29F9" w:rsidRDefault="007F62BF" w:rsidP="0039386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4</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0</w:t>
            </w:r>
          </w:p>
        </w:tc>
        <w:tc>
          <w:tcPr>
            <w:tcW w:w="990" w:type="dxa"/>
            <w:shd w:val="clear" w:color="auto" w:fill="FFFFFF" w:themeFill="background1"/>
            <w:vAlign w:val="center"/>
          </w:tcPr>
          <w:p w:rsidR="007F62BF" w:rsidRPr="001F29F9" w:rsidRDefault="007F62BF" w:rsidP="0039386E">
            <w:pPr>
              <w:spacing w:line="220" w:lineRule="exact"/>
              <w:contextualSpacing/>
              <w:rPr>
                <w:rFonts w:ascii="Calibri" w:eastAsia="Times New Roman" w:hAnsi="Calibri" w:cs="Calibri"/>
                <w:color w:val="000000" w:themeColor="text1"/>
                <w:sz w:val="18"/>
                <w:szCs w:val="18"/>
              </w:rPr>
            </w:pPr>
            <w:r w:rsidRPr="00A82542">
              <w:rPr>
                <w:rFonts w:cstheme="minorHAnsi"/>
                <w:color w:val="auto"/>
                <w:sz w:val="18"/>
                <w:szCs w:val="18"/>
              </w:rPr>
              <w:t>20060910</w:t>
            </w:r>
          </w:p>
        </w:tc>
      </w:tr>
      <w:tr w:rsidR="007A65A9" w:rsidRPr="001F29F9" w:rsidTr="0039386E">
        <w:trPr>
          <w:trHeight w:val="242"/>
          <w:jc w:val="center"/>
        </w:trPr>
        <w:tc>
          <w:tcPr>
            <w:tcW w:w="3870" w:type="dxa"/>
            <w:gridSpan w:val="3"/>
            <w:tcBorders>
              <w:right w:val="thinThickThinSmallGap" w:sz="24" w:space="0" w:color="auto"/>
            </w:tcBorders>
            <w:shd w:val="clear" w:color="auto" w:fill="D9D9D9" w:themeFill="background1" w:themeFillShade="D9"/>
          </w:tcPr>
          <w:p w:rsidR="007A65A9" w:rsidRPr="001F29F9" w:rsidRDefault="007A65A9"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7F62BF">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442" w:type="dxa"/>
            <w:gridSpan w:val="4"/>
            <w:tcBorders>
              <w:left w:val="thinThickThinSmallGap" w:sz="24" w:space="0" w:color="auto"/>
            </w:tcBorders>
            <w:shd w:val="clear" w:color="auto" w:fill="D9D9D9" w:themeFill="background1" w:themeFillShade="D9"/>
          </w:tcPr>
          <w:p w:rsidR="007A65A9" w:rsidRPr="001F29F9" w:rsidRDefault="007A65A9" w:rsidP="0039386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F62BF">
              <w:rPr>
                <w:rFonts w:ascii="Calibri" w:hAnsi="Calibri" w:cs="Calibri"/>
                <w:b/>
                <w:color w:val="000000" w:themeColor="text1"/>
                <w:sz w:val="18"/>
                <w:szCs w:val="18"/>
              </w:rPr>
              <w:t>9</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7F62BF">
              <w:rPr>
                <w:rFonts w:ascii="Calibri" w:hAnsi="Calibri" w:cs="Calibri"/>
                <w:b/>
                <w:color w:val="000000" w:themeColor="text1"/>
                <w:sz w:val="18"/>
                <w:szCs w:val="18"/>
              </w:rPr>
              <w:t xml:space="preserve"> (Incorporating BLF)</w:t>
            </w:r>
          </w:p>
        </w:tc>
      </w:tr>
    </w:tbl>
    <w:p w:rsidR="0039386E" w:rsidRPr="001F29F9" w:rsidRDefault="0039386E" w:rsidP="00A97CD9">
      <w:pPr>
        <w:pBdr>
          <w:bottom w:val="single" w:sz="12" w:space="1" w:color="auto"/>
        </w:pBdr>
        <w:tabs>
          <w:tab w:val="left" w:pos="288"/>
          <w:tab w:val="left" w:pos="4752"/>
        </w:tabs>
        <w:jc w:val="both"/>
        <w:rPr>
          <w:color w:val="000000" w:themeColor="text1"/>
          <w:szCs w:val="24"/>
        </w:rPr>
      </w:pPr>
    </w:p>
    <w:p w:rsidR="009369A6" w:rsidRPr="001F29F9" w:rsidRDefault="009369A6">
      <w:pPr>
        <w:rPr>
          <w:color w:val="000000" w:themeColor="text1"/>
        </w:rPr>
      </w:pPr>
    </w:p>
    <w:p w:rsidR="004C60A3" w:rsidRPr="001F29F9" w:rsidRDefault="002C6E5B" w:rsidP="00EE76A1">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C83FAB">
        <w:rPr>
          <w:color w:val="000000" w:themeColor="text1"/>
          <w:szCs w:val="24"/>
        </w:rPr>
        <w:t xml:space="preserve">  </w:t>
      </w:r>
      <w:r w:rsidR="00C83FAB" w:rsidRPr="00C83FAB">
        <w:rPr>
          <w:color w:val="000000" w:themeColor="text1"/>
          <w:szCs w:val="24"/>
        </w:rPr>
        <w:t xml:space="preserve">The Board acknowledges the CI’s contention that suggests service ratings should have been conferred for other conditions documented at the time of separation. </w:t>
      </w:r>
      <w:r w:rsidR="00C83FAB">
        <w:rPr>
          <w:color w:val="000000" w:themeColor="text1"/>
          <w:szCs w:val="24"/>
        </w:rPr>
        <w:t xml:space="preserve"> </w:t>
      </w:r>
      <w:r w:rsidR="00C83FAB" w:rsidRPr="00C83FAB">
        <w:rPr>
          <w:color w:val="000000" w:themeColor="text1"/>
          <w:szCs w:val="24"/>
        </w:rPr>
        <w:t xml:space="preserve">The Board wishes to clarify that it is subject to the same laws for service disability entitlements as those under which the </w:t>
      </w:r>
      <w:r w:rsidR="009E3DB0">
        <w:rPr>
          <w:color w:val="000000" w:themeColor="text1"/>
          <w:szCs w:val="24"/>
        </w:rPr>
        <w:t>DES</w:t>
      </w:r>
      <w:r w:rsidR="00C83FAB" w:rsidRPr="00C83FAB">
        <w:rPr>
          <w:color w:val="000000" w:themeColor="text1"/>
          <w:szCs w:val="24"/>
        </w:rPr>
        <w:t xml:space="preserve"> operates.</w:t>
      </w:r>
      <w:r w:rsidR="00C83FAB">
        <w:rPr>
          <w:color w:val="000000" w:themeColor="text1"/>
          <w:szCs w:val="24"/>
        </w:rPr>
        <w:t xml:space="preserve"> </w:t>
      </w:r>
      <w:r w:rsidR="00C83FAB" w:rsidRPr="00C83FAB">
        <w:rPr>
          <w:color w:val="000000" w:themeColor="text1"/>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C83FAB">
        <w:rPr>
          <w:color w:val="000000" w:themeColor="text1"/>
          <w:szCs w:val="24"/>
        </w:rPr>
        <w:t xml:space="preserve"> </w:t>
      </w:r>
      <w:r w:rsidR="00C83FAB" w:rsidRPr="00C83FAB">
        <w:rPr>
          <w:color w:val="000000" w:themeColor="text1"/>
          <w:szCs w:val="24"/>
        </w:rPr>
        <w:t>However the Department of Veteran</w:t>
      </w:r>
      <w:r w:rsidR="00C83FAB">
        <w:rPr>
          <w:color w:val="000000" w:themeColor="text1"/>
          <w:szCs w:val="24"/>
        </w:rPr>
        <w:t>s</w:t>
      </w:r>
      <w:r w:rsidR="009E3DB0">
        <w:rPr>
          <w:color w:val="000000" w:themeColor="text1"/>
          <w:szCs w:val="24"/>
        </w:rPr>
        <w:t xml:space="preserve">’ Affairs, </w:t>
      </w:r>
      <w:r w:rsidR="00C83FAB" w:rsidRPr="00C83FAB">
        <w:rPr>
          <w:color w:val="000000" w:themeColor="text1"/>
          <w:szCs w:val="24"/>
        </w:rPr>
        <w:t>operating under a different set of laws (Title 38, United States Code), is empo</w:t>
      </w:r>
      <w:r w:rsidR="009E3DB0">
        <w:rPr>
          <w:color w:val="000000" w:themeColor="text1"/>
          <w:szCs w:val="24"/>
        </w:rPr>
        <w:t>wered to compensate all service-</w:t>
      </w:r>
      <w:r w:rsidR="00C83FAB" w:rsidRPr="00C83FAB">
        <w:rPr>
          <w:color w:val="000000" w:themeColor="text1"/>
          <w:szCs w:val="24"/>
        </w:rPr>
        <w:t>connected conditions and to periodically reevaluate said conditions fo</w:t>
      </w:r>
      <w:r w:rsidR="00D55860">
        <w:rPr>
          <w:color w:val="000000" w:themeColor="text1"/>
          <w:szCs w:val="24"/>
        </w:rPr>
        <w:t>r the purpose of adjusting the V</w:t>
      </w:r>
      <w:r w:rsidR="00C83FAB" w:rsidRPr="00C83FAB">
        <w:rPr>
          <w:color w:val="000000" w:themeColor="text1"/>
          <w:szCs w:val="24"/>
        </w:rPr>
        <w:t xml:space="preserve">eteran’s disability rating should </w:t>
      </w:r>
      <w:r w:rsidR="00D55860">
        <w:rPr>
          <w:color w:val="000000" w:themeColor="text1"/>
          <w:szCs w:val="24"/>
        </w:rPr>
        <w:t>the</w:t>
      </w:r>
      <w:r w:rsidR="00C83FAB" w:rsidRPr="00C83FAB">
        <w:rPr>
          <w:color w:val="000000" w:themeColor="text1"/>
          <w:szCs w:val="24"/>
        </w:rPr>
        <w:t xml:space="preserve"> degree of impairment vary over time.</w:t>
      </w:r>
    </w:p>
    <w:p w:rsidR="002F6AD8" w:rsidRPr="001F29F9" w:rsidRDefault="002F6AD8" w:rsidP="00BF0E94">
      <w:pPr>
        <w:jc w:val="left"/>
        <w:rPr>
          <w:color w:val="000000" w:themeColor="text1"/>
          <w:szCs w:val="24"/>
          <w:u w:val="single"/>
        </w:rPr>
      </w:pPr>
    </w:p>
    <w:p w:rsidR="00C83FAB" w:rsidRDefault="00FF063A" w:rsidP="005D6A21">
      <w:pPr>
        <w:jc w:val="both"/>
        <w:rPr>
          <w:color w:val="000000" w:themeColor="text1"/>
          <w:szCs w:val="24"/>
        </w:rPr>
      </w:pPr>
      <w:proofErr w:type="gramStart"/>
      <w:r>
        <w:rPr>
          <w:color w:val="000000" w:themeColor="text1"/>
          <w:szCs w:val="24"/>
          <w:u w:val="single"/>
        </w:rPr>
        <w:t xml:space="preserve">Combined </w:t>
      </w:r>
      <w:r w:rsidRPr="00FF063A">
        <w:rPr>
          <w:color w:val="000000" w:themeColor="text1"/>
          <w:szCs w:val="24"/>
          <w:u w:val="single"/>
        </w:rPr>
        <w:t>Shoulder Rating</w:t>
      </w:r>
      <w:r>
        <w:rPr>
          <w:color w:val="000000" w:themeColor="text1"/>
          <w:szCs w:val="24"/>
        </w:rPr>
        <w:t>.</w:t>
      </w:r>
      <w:proofErr w:type="gramEnd"/>
      <w:r>
        <w:rPr>
          <w:color w:val="000000" w:themeColor="text1"/>
          <w:szCs w:val="24"/>
        </w:rPr>
        <w:t xml:space="preserve"> </w:t>
      </w:r>
      <w:r w:rsidR="00EB20C6">
        <w:rPr>
          <w:color w:val="000000" w:themeColor="text1"/>
          <w:szCs w:val="24"/>
        </w:rPr>
        <w:t xml:space="preserve"> </w:t>
      </w:r>
      <w:r w:rsidR="00E65B97" w:rsidRPr="00FF063A">
        <w:rPr>
          <w:color w:val="000000" w:themeColor="text1"/>
          <w:szCs w:val="24"/>
        </w:rPr>
        <w:t>The</w:t>
      </w:r>
      <w:r w:rsidR="00E65B97" w:rsidRPr="00E65B97">
        <w:rPr>
          <w:color w:val="000000" w:themeColor="text1"/>
          <w:szCs w:val="24"/>
        </w:rPr>
        <w:t xml:space="preserve"> PEB combined </w:t>
      </w:r>
      <w:r w:rsidR="00E65B97">
        <w:rPr>
          <w:color w:val="000000" w:themeColor="text1"/>
          <w:szCs w:val="24"/>
        </w:rPr>
        <w:t xml:space="preserve">the bilateral shoulder conditions </w:t>
      </w:r>
      <w:r w:rsidR="00E65B97" w:rsidRPr="00E65B97">
        <w:rPr>
          <w:color w:val="000000" w:themeColor="text1"/>
          <w:szCs w:val="24"/>
        </w:rPr>
        <w:t>as a single unfitting condition, coded analogously to 5003 and rated 0%</w:t>
      </w:r>
      <w:r w:rsidR="00E65B97">
        <w:rPr>
          <w:color w:val="000000" w:themeColor="text1"/>
          <w:szCs w:val="24"/>
        </w:rPr>
        <w:t xml:space="preserve">, relying on </w:t>
      </w:r>
      <w:r w:rsidR="00E65B97" w:rsidRPr="00E65B97">
        <w:rPr>
          <w:color w:val="000000" w:themeColor="text1"/>
          <w:szCs w:val="24"/>
        </w:rPr>
        <w:t xml:space="preserve">the USAPDA pain policy for not applying separately compensable VASRD codes. </w:t>
      </w:r>
      <w:r w:rsidR="00E65B97">
        <w:rPr>
          <w:color w:val="000000" w:themeColor="text1"/>
          <w:szCs w:val="24"/>
        </w:rPr>
        <w:t xml:space="preserve"> </w:t>
      </w:r>
      <w:r w:rsidR="00E65B97" w:rsidRPr="00E65B97">
        <w:rPr>
          <w:color w:val="000000" w:themeColor="text1"/>
          <w:szCs w:val="24"/>
        </w:rPr>
        <w:t xml:space="preserve">The Board must apply separate codes and ratings in its recommendations if compensable ratings for each condition are achieved IAW VASRD §4.71a. </w:t>
      </w:r>
      <w:r w:rsidR="00E65B97">
        <w:rPr>
          <w:color w:val="000000" w:themeColor="text1"/>
          <w:szCs w:val="24"/>
        </w:rPr>
        <w:t xml:space="preserve"> </w:t>
      </w:r>
      <w:r>
        <w:rPr>
          <w:color w:val="000000" w:themeColor="text1"/>
          <w:szCs w:val="24"/>
        </w:rPr>
        <w:t xml:space="preserve">As elaborated below, separate compensable ratings for each shoulder were </w:t>
      </w:r>
      <w:r w:rsidR="00122E4C">
        <w:rPr>
          <w:color w:val="000000" w:themeColor="text1"/>
          <w:szCs w:val="24"/>
        </w:rPr>
        <w:t>well supported by the evidence in this case.  Having determined that</w:t>
      </w:r>
      <w:r w:rsidR="00D55860">
        <w:rPr>
          <w:color w:val="000000" w:themeColor="text1"/>
          <w:szCs w:val="24"/>
        </w:rPr>
        <w:t xml:space="preserve"> separate ratings are warranted</w:t>
      </w:r>
      <w:r w:rsidR="007E1DCB">
        <w:rPr>
          <w:color w:val="000000" w:themeColor="text1"/>
          <w:szCs w:val="24"/>
        </w:rPr>
        <w:t xml:space="preserve">, the </w:t>
      </w:r>
      <w:r w:rsidR="00122E4C">
        <w:rPr>
          <w:color w:val="000000" w:themeColor="text1"/>
          <w:szCs w:val="24"/>
        </w:rPr>
        <w:t xml:space="preserve">Board </w:t>
      </w:r>
      <w:r w:rsidR="00E65B97" w:rsidRPr="00E65B97">
        <w:rPr>
          <w:color w:val="000000" w:themeColor="text1"/>
          <w:szCs w:val="24"/>
        </w:rPr>
        <w:t xml:space="preserve">must </w:t>
      </w:r>
      <w:r w:rsidR="00122E4C">
        <w:rPr>
          <w:color w:val="000000" w:themeColor="text1"/>
          <w:szCs w:val="24"/>
        </w:rPr>
        <w:t xml:space="preserve">also </w:t>
      </w:r>
      <w:r w:rsidR="00E65B97" w:rsidRPr="00E65B97">
        <w:rPr>
          <w:color w:val="000000" w:themeColor="text1"/>
          <w:szCs w:val="24"/>
        </w:rPr>
        <w:t xml:space="preserve">satisfy the requirement that each </w:t>
      </w:r>
      <w:r w:rsidR="00AC33D3">
        <w:rPr>
          <w:color w:val="000000" w:themeColor="text1"/>
          <w:szCs w:val="24"/>
        </w:rPr>
        <w:t>“</w:t>
      </w:r>
      <w:r w:rsidR="00E65B97" w:rsidRPr="00E65B97">
        <w:rPr>
          <w:color w:val="000000" w:themeColor="text1"/>
          <w:szCs w:val="24"/>
        </w:rPr>
        <w:t>unbundled</w:t>
      </w:r>
      <w:r w:rsidR="00AC33D3">
        <w:rPr>
          <w:color w:val="000000" w:themeColor="text1"/>
          <w:szCs w:val="24"/>
        </w:rPr>
        <w:t>”</w:t>
      </w:r>
      <w:r w:rsidR="00E65B97" w:rsidRPr="00E65B97">
        <w:rPr>
          <w:color w:val="000000" w:themeColor="text1"/>
          <w:szCs w:val="24"/>
        </w:rPr>
        <w:t xml:space="preserve"> condition was unfitting in and of itself. </w:t>
      </w:r>
      <w:r w:rsidR="00E65B97">
        <w:rPr>
          <w:color w:val="000000" w:themeColor="text1"/>
          <w:szCs w:val="24"/>
        </w:rPr>
        <w:t xml:space="preserve"> </w:t>
      </w:r>
      <w:r w:rsidR="00E65B97" w:rsidRPr="00E65B97">
        <w:rPr>
          <w:color w:val="000000" w:themeColor="text1"/>
          <w:szCs w:val="24"/>
        </w:rPr>
        <w:t>Not uncommonly</w:t>
      </w:r>
      <w:r w:rsidR="0009140C">
        <w:rPr>
          <w:color w:val="000000" w:themeColor="text1"/>
          <w:szCs w:val="24"/>
        </w:rPr>
        <w:t>,</w:t>
      </w:r>
      <w:r w:rsidR="00E65B97" w:rsidRPr="00E65B97">
        <w:rPr>
          <w:color w:val="000000" w:themeColor="text1"/>
          <w:szCs w:val="24"/>
        </w:rPr>
        <w:t xml:space="preserve"> this approach by the PEB reflects its judgment that the constellation of conditions was unfitting</w:t>
      </w:r>
      <w:r w:rsidR="00E65B97">
        <w:rPr>
          <w:color w:val="000000" w:themeColor="text1"/>
          <w:szCs w:val="24"/>
        </w:rPr>
        <w:t xml:space="preserve"> </w:t>
      </w:r>
      <w:r w:rsidR="00E65B97" w:rsidRPr="00E65B97">
        <w:rPr>
          <w:color w:val="000000" w:themeColor="text1"/>
          <w:szCs w:val="24"/>
        </w:rPr>
        <w:t xml:space="preserve">and that there was no need for separate fitness </w:t>
      </w:r>
      <w:r w:rsidR="00E65B97" w:rsidRPr="00003272">
        <w:rPr>
          <w:color w:val="000000" w:themeColor="text1"/>
          <w:szCs w:val="24"/>
        </w:rPr>
        <w:t xml:space="preserve">adjudications, not a judgment that each condition was independently unfitting. </w:t>
      </w:r>
      <w:r w:rsidR="00F6488A" w:rsidRPr="00003272">
        <w:rPr>
          <w:color w:val="000000" w:themeColor="text1"/>
          <w:szCs w:val="24"/>
        </w:rPr>
        <w:t xml:space="preserve"> </w:t>
      </w:r>
      <w:r w:rsidR="00122E4C" w:rsidRPr="00003272">
        <w:rPr>
          <w:color w:val="000000" w:themeColor="text1"/>
          <w:szCs w:val="24"/>
        </w:rPr>
        <w:t>T</w:t>
      </w:r>
      <w:r w:rsidR="00E65B97" w:rsidRPr="00003272">
        <w:rPr>
          <w:color w:val="000000" w:themeColor="text1"/>
          <w:szCs w:val="24"/>
        </w:rPr>
        <w:t xml:space="preserve">he Board </w:t>
      </w:r>
      <w:r w:rsidR="00122E4C" w:rsidRPr="00003272">
        <w:rPr>
          <w:color w:val="000000" w:themeColor="text1"/>
          <w:szCs w:val="24"/>
        </w:rPr>
        <w:t xml:space="preserve">therefore </w:t>
      </w:r>
      <w:r w:rsidR="00E65B97" w:rsidRPr="00003272">
        <w:rPr>
          <w:color w:val="000000" w:themeColor="text1"/>
          <w:szCs w:val="24"/>
        </w:rPr>
        <w:t>exercise</w:t>
      </w:r>
      <w:r w:rsidR="00122E4C" w:rsidRPr="00003272">
        <w:rPr>
          <w:color w:val="000000" w:themeColor="text1"/>
          <w:szCs w:val="24"/>
        </w:rPr>
        <w:t>s</w:t>
      </w:r>
      <w:r w:rsidR="00E65B97" w:rsidRPr="00003272">
        <w:rPr>
          <w:color w:val="000000" w:themeColor="text1"/>
          <w:szCs w:val="24"/>
        </w:rPr>
        <w:t xml:space="preserve"> the prerogative of separate fitness recommendations in this circumstance, with the caveat that its recommendations may not produce a lower combined rating than that of the PEB. </w:t>
      </w:r>
      <w:r w:rsidR="00122E4C" w:rsidRPr="00003272">
        <w:rPr>
          <w:color w:val="000000" w:themeColor="text1"/>
          <w:szCs w:val="24"/>
        </w:rPr>
        <w:t xml:space="preserve"> In this case, the </w:t>
      </w:r>
      <w:r w:rsidR="00AF3083" w:rsidRPr="00003272">
        <w:rPr>
          <w:color w:val="000000" w:themeColor="text1"/>
          <w:szCs w:val="24"/>
        </w:rPr>
        <w:t xml:space="preserve">bilateral shoulder </w:t>
      </w:r>
      <w:r w:rsidR="00122E4C" w:rsidRPr="00003272">
        <w:rPr>
          <w:color w:val="000000" w:themeColor="text1"/>
          <w:szCs w:val="24"/>
        </w:rPr>
        <w:t xml:space="preserve">impairments were well </w:t>
      </w:r>
      <w:r w:rsidR="00C13963" w:rsidRPr="00003272">
        <w:rPr>
          <w:color w:val="000000" w:themeColor="text1"/>
          <w:szCs w:val="24"/>
        </w:rPr>
        <w:t>supported as unfitting by evidence from the narrative summary (NARSUM) and service treatment record (STR).</w:t>
      </w:r>
      <w:r w:rsidR="00AF3083" w:rsidRPr="00003272">
        <w:rPr>
          <w:color w:val="000000" w:themeColor="text1"/>
          <w:szCs w:val="24"/>
        </w:rPr>
        <w:t xml:space="preserve">  </w:t>
      </w:r>
      <w:r w:rsidR="005D6A21" w:rsidRPr="00003272">
        <w:rPr>
          <w:color w:val="000000" w:themeColor="text1"/>
          <w:szCs w:val="24"/>
        </w:rPr>
        <w:t xml:space="preserve">As to the </w:t>
      </w:r>
      <w:r w:rsidR="00A17701" w:rsidRPr="00003272">
        <w:rPr>
          <w:color w:val="000000" w:themeColor="text1"/>
          <w:szCs w:val="24"/>
        </w:rPr>
        <w:t>judgment</w:t>
      </w:r>
      <w:r w:rsidR="005D6A21" w:rsidRPr="00003272">
        <w:rPr>
          <w:color w:val="000000" w:themeColor="text1"/>
          <w:szCs w:val="24"/>
        </w:rPr>
        <w:t xml:space="preserve"> as to whether each shoulder condition was independently unfitting, n</w:t>
      </w:r>
      <w:r w:rsidR="00782ACD" w:rsidRPr="00003272">
        <w:rPr>
          <w:color w:val="000000" w:themeColor="text1"/>
          <w:szCs w:val="24"/>
        </w:rPr>
        <w:t>e</w:t>
      </w:r>
      <w:r w:rsidR="001847F4" w:rsidRPr="00003272">
        <w:rPr>
          <w:color w:val="000000" w:themeColor="text1"/>
          <w:szCs w:val="24"/>
        </w:rPr>
        <w:t>ither the profile nor the commander’s statement specifically implicate</w:t>
      </w:r>
      <w:r w:rsidR="00AF3083" w:rsidRPr="00003272">
        <w:rPr>
          <w:color w:val="000000" w:themeColor="text1"/>
          <w:szCs w:val="24"/>
        </w:rPr>
        <w:t xml:space="preserve">d </w:t>
      </w:r>
      <w:r w:rsidR="001847F4" w:rsidRPr="00003272">
        <w:rPr>
          <w:color w:val="000000" w:themeColor="text1"/>
          <w:szCs w:val="24"/>
        </w:rPr>
        <w:t xml:space="preserve">the right or left shoulder as the primary </w:t>
      </w:r>
      <w:r w:rsidR="00782ACD" w:rsidRPr="00003272">
        <w:rPr>
          <w:color w:val="000000" w:themeColor="text1"/>
          <w:szCs w:val="24"/>
        </w:rPr>
        <w:t xml:space="preserve">unfitting </w:t>
      </w:r>
      <w:r w:rsidR="001847F4" w:rsidRPr="00003272">
        <w:rPr>
          <w:color w:val="000000" w:themeColor="text1"/>
          <w:szCs w:val="24"/>
        </w:rPr>
        <w:t>condition</w:t>
      </w:r>
      <w:r w:rsidR="005D6A21" w:rsidRPr="00003272">
        <w:rPr>
          <w:color w:val="000000" w:themeColor="text1"/>
          <w:szCs w:val="24"/>
        </w:rPr>
        <w:t xml:space="preserve">.  Separating the impairment </w:t>
      </w:r>
      <w:r w:rsidR="00AF3083" w:rsidRPr="00003272">
        <w:rPr>
          <w:color w:val="000000" w:themeColor="text1"/>
          <w:szCs w:val="24"/>
        </w:rPr>
        <w:t xml:space="preserve">related to </w:t>
      </w:r>
      <w:r w:rsidR="005D6A21" w:rsidRPr="00003272">
        <w:rPr>
          <w:color w:val="000000" w:themeColor="text1"/>
          <w:szCs w:val="24"/>
        </w:rPr>
        <w:t xml:space="preserve">the left shoulder from that </w:t>
      </w:r>
      <w:r w:rsidR="00AF3083" w:rsidRPr="00003272">
        <w:rPr>
          <w:color w:val="000000" w:themeColor="text1"/>
          <w:szCs w:val="24"/>
        </w:rPr>
        <w:t xml:space="preserve">related to the right </w:t>
      </w:r>
      <w:r w:rsidR="005D6A21" w:rsidRPr="00003272">
        <w:rPr>
          <w:color w:val="000000" w:themeColor="text1"/>
          <w:szCs w:val="24"/>
        </w:rPr>
        <w:t>requires undue speculation</w:t>
      </w:r>
      <w:r w:rsidR="00C13963" w:rsidRPr="00003272">
        <w:rPr>
          <w:color w:val="000000" w:themeColor="text1"/>
          <w:szCs w:val="24"/>
        </w:rPr>
        <w:t>; and, there is clinical evidence of significant functional impairment referable to each joint</w:t>
      </w:r>
      <w:r w:rsidR="005D6A21" w:rsidRPr="00003272">
        <w:rPr>
          <w:color w:val="000000" w:themeColor="text1"/>
          <w:szCs w:val="24"/>
        </w:rPr>
        <w:t xml:space="preserve">.  </w:t>
      </w:r>
      <w:r w:rsidR="00C13963" w:rsidRPr="00003272">
        <w:rPr>
          <w:color w:val="000000" w:themeColor="text1"/>
          <w:szCs w:val="24"/>
        </w:rPr>
        <w:t>After deliberation</w:t>
      </w:r>
      <w:r w:rsidR="005D6A21" w:rsidRPr="00003272">
        <w:rPr>
          <w:color w:val="000000" w:themeColor="text1"/>
          <w:szCs w:val="24"/>
        </w:rPr>
        <w:t xml:space="preserve">, all members agreed that </w:t>
      </w:r>
      <w:r w:rsidR="00C13963" w:rsidRPr="00003272">
        <w:rPr>
          <w:color w:val="000000" w:themeColor="text1"/>
          <w:szCs w:val="24"/>
        </w:rPr>
        <w:t>(more likely than not) each</w:t>
      </w:r>
      <w:r w:rsidR="005D6A21" w:rsidRPr="00003272">
        <w:rPr>
          <w:color w:val="000000" w:themeColor="text1"/>
          <w:szCs w:val="24"/>
        </w:rPr>
        <w:t xml:space="preserve"> o</w:t>
      </w:r>
      <w:r w:rsidR="00C13963" w:rsidRPr="00003272">
        <w:rPr>
          <w:color w:val="000000" w:themeColor="text1"/>
          <w:szCs w:val="24"/>
        </w:rPr>
        <w:t xml:space="preserve">f the shoulder </w:t>
      </w:r>
      <w:r w:rsidR="005D6A21" w:rsidRPr="00003272">
        <w:rPr>
          <w:color w:val="000000" w:themeColor="text1"/>
          <w:szCs w:val="24"/>
        </w:rPr>
        <w:t>conditions</w:t>
      </w:r>
      <w:r w:rsidR="00AF3083" w:rsidRPr="00003272">
        <w:rPr>
          <w:color w:val="000000" w:themeColor="text1"/>
          <w:szCs w:val="24"/>
        </w:rPr>
        <w:t>,</w:t>
      </w:r>
      <w:r w:rsidR="005D6A21" w:rsidRPr="00003272">
        <w:rPr>
          <w:color w:val="000000" w:themeColor="text1"/>
          <w:szCs w:val="24"/>
        </w:rPr>
        <w:t xml:space="preserve"> </w:t>
      </w:r>
      <w:r w:rsidR="00C13963" w:rsidRPr="00003272">
        <w:rPr>
          <w:color w:val="000000" w:themeColor="text1"/>
          <w:szCs w:val="24"/>
        </w:rPr>
        <w:t>in isolation</w:t>
      </w:r>
      <w:r w:rsidR="005D6A21" w:rsidRPr="00003272">
        <w:rPr>
          <w:color w:val="000000" w:themeColor="text1"/>
          <w:szCs w:val="24"/>
        </w:rPr>
        <w:t xml:space="preserve">, would have rendered the CI incapable of continued service </w:t>
      </w:r>
      <w:r w:rsidR="002A3C2A" w:rsidRPr="00003272">
        <w:rPr>
          <w:color w:val="000000" w:themeColor="text1"/>
          <w:szCs w:val="24"/>
        </w:rPr>
        <w:t>withi</w:t>
      </w:r>
      <w:r w:rsidR="00782FC4" w:rsidRPr="00003272">
        <w:rPr>
          <w:color w:val="000000" w:themeColor="text1"/>
          <w:szCs w:val="24"/>
        </w:rPr>
        <w:t>n his MOS</w:t>
      </w:r>
      <w:r w:rsidR="00141E70" w:rsidRPr="00003272">
        <w:rPr>
          <w:color w:val="000000" w:themeColor="text1"/>
          <w:szCs w:val="24"/>
        </w:rPr>
        <w:t>;</w:t>
      </w:r>
      <w:r w:rsidR="00782FC4" w:rsidRPr="00003272">
        <w:rPr>
          <w:color w:val="000000" w:themeColor="text1"/>
          <w:szCs w:val="24"/>
        </w:rPr>
        <w:t xml:space="preserve"> and</w:t>
      </w:r>
      <w:r w:rsidR="00141E70" w:rsidRPr="00003272">
        <w:rPr>
          <w:color w:val="000000" w:themeColor="text1"/>
          <w:szCs w:val="24"/>
        </w:rPr>
        <w:t>,</w:t>
      </w:r>
      <w:r w:rsidR="00782FC4" w:rsidRPr="00003272">
        <w:rPr>
          <w:color w:val="000000" w:themeColor="text1"/>
          <w:szCs w:val="24"/>
        </w:rPr>
        <w:t xml:space="preserve"> accordingly </w:t>
      </w:r>
      <w:r w:rsidR="00141E70" w:rsidRPr="00003272">
        <w:rPr>
          <w:color w:val="000000" w:themeColor="text1"/>
          <w:szCs w:val="24"/>
        </w:rPr>
        <w:t xml:space="preserve">each </w:t>
      </w:r>
      <w:r w:rsidR="00782FC4" w:rsidRPr="00003272">
        <w:rPr>
          <w:color w:val="000000" w:themeColor="text1"/>
          <w:szCs w:val="24"/>
        </w:rPr>
        <w:t>merit</w:t>
      </w:r>
      <w:r w:rsidR="00141E70" w:rsidRPr="00003272">
        <w:rPr>
          <w:color w:val="000000" w:themeColor="text1"/>
          <w:szCs w:val="24"/>
        </w:rPr>
        <w:t>s</w:t>
      </w:r>
      <w:r w:rsidR="00C13963" w:rsidRPr="00003272">
        <w:rPr>
          <w:color w:val="000000" w:themeColor="text1"/>
          <w:szCs w:val="24"/>
        </w:rPr>
        <w:t xml:space="preserve"> a separate </w:t>
      </w:r>
      <w:r w:rsidR="00AC33D3">
        <w:rPr>
          <w:color w:val="000000" w:themeColor="text1"/>
          <w:szCs w:val="24"/>
        </w:rPr>
        <w:t>s</w:t>
      </w:r>
      <w:r w:rsidR="002A3C2A" w:rsidRPr="00003272">
        <w:rPr>
          <w:color w:val="000000" w:themeColor="text1"/>
          <w:szCs w:val="24"/>
        </w:rPr>
        <w:t xml:space="preserve">ervice </w:t>
      </w:r>
      <w:r w:rsidR="00C13963" w:rsidRPr="00003272">
        <w:rPr>
          <w:color w:val="000000" w:themeColor="text1"/>
          <w:szCs w:val="24"/>
        </w:rPr>
        <w:t xml:space="preserve">disability </w:t>
      </w:r>
      <w:r w:rsidR="002A3C2A" w:rsidRPr="00003272">
        <w:rPr>
          <w:color w:val="000000" w:themeColor="text1"/>
          <w:szCs w:val="24"/>
        </w:rPr>
        <w:t>rating</w:t>
      </w:r>
      <w:r w:rsidR="00782FC4" w:rsidRPr="00003272">
        <w:rPr>
          <w:color w:val="000000" w:themeColor="text1"/>
          <w:szCs w:val="24"/>
        </w:rPr>
        <w:t>.</w:t>
      </w:r>
      <w:r w:rsidR="00782FC4">
        <w:rPr>
          <w:color w:val="000000" w:themeColor="text1"/>
          <w:szCs w:val="24"/>
        </w:rPr>
        <w:t xml:space="preserve">  </w:t>
      </w:r>
    </w:p>
    <w:p w:rsidR="003D3066" w:rsidRDefault="003D3066" w:rsidP="005D6A21">
      <w:pPr>
        <w:jc w:val="both"/>
        <w:rPr>
          <w:color w:val="000000" w:themeColor="text1"/>
          <w:szCs w:val="24"/>
        </w:rPr>
      </w:pPr>
    </w:p>
    <w:p w:rsidR="00370F4C" w:rsidRPr="008A7B39" w:rsidRDefault="00782ACD" w:rsidP="00370F4C">
      <w:pPr>
        <w:autoSpaceDE w:val="0"/>
        <w:autoSpaceDN w:val="0"/>
        <w:adjustRightInd w:val="0"/>
        <w:jc w:val="both"/>
        <w:rPr>
          <w:color w:val="000000" w:themeColor="text1"/>
          <w:szCs w:val="24"/>
        </w:rPr>
      </w:pPr>
      <w:proofErr w:type="gramStart"/>
      <w:r w:rsidRPr="00782ACD">
        <w:rPr>
          <w:color w:val="000000" w:themeColor="text1"/>
          <w:szCs w:val="24"/>
          <w:u w:val="single"/>
        </w:rPr>
        <w:lastRenderedPageBreak/>
        <w:t>Right Shoulder Condition</w:t>
      </w:r>
      <w:r>
        <w:rPr>
          <w:color w:val="000000" w:themeColor="text1"/>
          <w:szCs w:val="24"/>
        </w:rPr>
        <w:t>.</w:t>
      </w:r>
      <w:proofErr w:type="gramEnd"/>
      <w:r>
        <w:rPr>
          <w:color w:val="000000" w:themeColor="text1"/>
          <w:szCs w:val="24"/>
        </w:rPr>
        <w:t xml:space="preserve">  </w:t>
      </w:r>
      <w:r w:rsidR="00940632">
        <w:rPr>
          <w:color w:val="000000" w:themeColor="text1"/>
          <w:szCs w:val="24"/>
        </w:rPr>
        <w:t>The CI</w:t>
      </w:r>
      <w:r w:rsidR="00C13963">
        <w:rPr>
          <w:color w:val="000000" w:themeColor="text1"/>
          <w:szCs w:val="24"/>
        </w:rPr>
        <w:t>’s</w:t>
      </w:r>
      <w:r w:rsidR="00940632">
        <w:rPr>
          <w:color w:val="000000" w:themeColor="text1"/>
          <w:szCs w:val="24"/>
        </w:rPr>
        <w:t xml:space="preserve"> right shoulder injury from </w:t>
      </w:r>
      <w:r w:rsidR="00C13963">
        <w:rPr>
          <w:color w:val="000000" w:themeColor="text1"/>
          <w:szCs w:val="24"/>
        </w:rPr>
        <w:t>the</w:t>
      </w:r>
      <w:r w:rsidR="00940632">
        <w:rPr>
          <w:color w:val="000000" w:themeColor="text1"/>
          <w:szCs w:val="24"/>
        </w:rPr>
        <w:t xml:space="preserve"> IED blast </w:t>
      </w:r>
      <w:r w:rsidR="00C13963">
        <w:rPr>
          <w:color w:val="000000" w:themeColor="text1"/>
          <w:szCs w:val="24"/>
        </w:rPr>
        <w:t xml:space="preserve">was initially undiagnosed, but </w:t>
      </w:r>
      <w:r w:rsidR="00370F4C">
        <w:rPr>
          <w:color w:val="000000" w:themeColor="text1"/>
          <w:szCs w:val="24"/>
        </w:rPr>
        <w:t xml:space="preserve">was subsequently manifest as </w:t>
      </w:r>
      <w:proofErr w:type="spellStart"/>
      <w:r w:rsidR="00370F4C">
        <w:rPr>
          <w:color w:val="000000" w:themeColor="text1"/>
          <w:szCs w:val="24"/>
        </w:rPr>
        <w:t>acromioclavicular</w:t>
      </w:r>
      <w:proofErr w:type="spellEnd"/>
      <w:r w:rsidR="00370F4C">
        <w:rPr>
          <w:color w:val="000000" w:themeColor="text1"/>
          <w:szCs w:val="24"/>
        </w:rPr>
        <w:t xml:space="preserve"> </w:t>
      </w:r>
      <w:r w:rsidR="002D44B9">
        <w:rPr>
          <w:color w:val="000000" w:themeColor="text1"/>
          <w:szCs w:val="24"/>
        </w:rPr>
        <w:t xml:space="preserve">(AC) joint </w:t>
      </w:r>
      <w:r w:rsidR="00370F4C">
        <w:rPr>
          <w:color w:val="000000" w:themeColor="text1"/>
          <w:szCs w:val="24"/>
        </w:rPr>
        <w:t>pain; for which he underwent</w:t>
      </w:r>
      <w:r w:rsidR="00940632">
        <w:rPr>
          <w:color w:val="000000" w:themeColor="text1"/>
          <w:szCs w:val="24"/>
        </w:rPr>
        <w:t xml:space="preserve"> </w:t>
      </w:r>
      <w:r w:rsidR="003978B9">
        <w:rPr>
          <w:color w:val="000000" w:themeColor="text1"/>
          <w:szCs w:val="24"/>
        </w:rPr>
        <w:t xml:space="preserve">a </w:t>
      </w:r>
      <w:r w:rsidR="00940632">
        <w:rPr>
          <w:color w:val="000000" w:themeColor="text1"/>
          <w:szCs w:val="24"/>
        </w:rPr>
        <w:t>right distal clavicle</w:t>
      </w:r>
      <w:r w:rsidR="003978B9">
        <w:rPr>
          <w:color w:val="000000" w:themeColor="text1"/>
          <w:szCs w:val="24"/>
        </w:rPr>
        <w:t xml:space="preserve"> resection </w:t>
      </w:r>
      <w:r w:rsidR="00C13963">
        <w:rPr>
          <w:color w:val="000000" w:themeColor="text1"/>
          <w:szCs w:val="24"/>
        </w:rPr>
        <w:t>(Mumford procedure)</w:t>
      </w:r>
      <w:r w:rsidR="00EB45FC">
        <w:rPr>
          <w:color w:val="000000" w:themeColor="text1"/>
          <w:szCs w:val="24"/>
        </w:rPr>
        <w:t xml:space="preserve">.  </w:t>
      </w:r>
      <w:r w:rsidR="00940632">
        <w:rPr>
          <w:color w:val="000000" w:themeColor="text1"/>
          <w:szCs w:val="24"/>
        </w:rPr>
        <w:t xml:space="preserve">The pain persisted and </w:t>
      </w:r>
      <w:r w:rsidR="008A7B39">
        <w:rPr>
          <w:color w:val="000000" w:themeColor="text1"/>
          <w:szCs w:val="24"/>
        </w:rPr>
        <w:t xml:space="preserve">was reported </w:t>
      </w:r>
      <w:r w:rsidR="00370F4C">
        <w:rPr>
          <w:color w:val="000000" w:themeColor="text1"/>
          <w:szCs w:val="24"/>
        </w:rPr>
        <w:t xml:space="preserve">in the NARSUM as </w:t>
      </w:r>
      <w:r w:rsidR="00940632">
        <w:rPr>
          <w:color w:val="000000" w:themeColor="text1"/>
          <w:szCs w:val="24"/>
        </w:rPr>
        <w:t xml:space="preserve">constant </w:t>
      </w:r>
      <w:r w:rsidR="00370F4C">
        <w:rPr>
          <w:color w:val="000000" w:themeColor="text1"/>
          <w:szCs w:val="24"/>
        </w:rPr>
        <w:t xml:space="preserve">and </w:t>
      </w:r>
      <w:r w:rsidR="00940632">
        <w:rPr>
          <w:color w:val="000000" w:themeColor="text1"/>
          <w:szCs w:val="24"/>
        </w:rPr>
        <w:t xml:space="preserve">moderately severe </w:t>
      </w:r>
      <w:r w:rsidR="00370F4C">
        <w:rPr>
          <w:color w:val="000000" w:themeColor="text1"/>
          <w:szCs w:val="24"/>
        </w:rPr>
        <w:t>(2</w:t>
      </w:r>
      <w:r w:rsidR="00AC33D3">
        <w:rPr>
          <w:color w:val="000000" w:themeColor="text1"/>
          <w:szCs w:val="24"/>
        </w:rPr>
        <w:t>/</w:t>
      </w:r>
      <w:r w:rsidR="00370F4C">
        <w:rPr>
          <w:color w:val="000000" w:themeColor="text1"/>
          <w:szCs w:val="24"/>
        </w:rPr>
        <w:t>10); but,</w:t>
      </w:r>
      <w:r w:rsidR="00940632">
        <w:rPr>
          <w:color w:val="000000" w:themeColor="text1"/>
          <w:szCs w:val="24"/>
        </w:rPr>
        <w:t xml:space="preserve"> worse with repetitive movement or use</w:t>
      </w:r>
      <w:r w:rsidR="00370F4C">
        <w:rPr>
          <w:color w:val="000000" w:themeColor="text1"/>
          <w:szCs w:val="24"/>
        </w:rPr>
        <w:t xml:space="preserve"> (6</w:t>
      </w:r>
      <w:r w:rsidR="00AC33D3">
        <w:rPr>
          <w:color w:val="000000" w:themeColor="text1"/>
          <w:szCs w:val="24"/>
        </w:rPr>
        <w:t>/</w:t>
      </w:r>
      <w:r w:rsidR="00370F4C">
        <w:rPr>
          <w:color w:val="000000" w:themeColor="text1"/>
          <w:szCs w:val="24"/>
        </w:rPr>
        <w:t xml:space="preserve">10).  </w:t>
      </w:r>
      <w:r w:rsidR="00370F4C">
        <w:rPr>
          <w:rFonts w:asciiTheme="minorHAnsi" w:hAnsiTheme="minorHAnsi"/>
          <w:color w:val="000000" w:themeColor="text1"/>
          <w:szCs w:val="24"/>
        </w:rPr>
        <w:t xml:space="preserve">Imaging studies demonstrated post-operative changes with no </w:t>
      </w:r>
      <w:r w:rsidR="00370F4C" w:rsidRPr="006B1305">
        <w:rPr>
          <w:rFonts w:asciiTheme="minorHAnsi" w:hAnsiTheme="minorHAnsi"/>
          <w:color w:val="000000" w:themeColor="text1"/>
          <w:szCs w:val="24"/>
        </w:rPr>
        <w:t xml:space="preserve">evidence for fracture, dislocation, or </w:t>
      </w:r>
      <w:proofErr w:type="spellStart"/>
      <w:r w:rsidR="00370F4C" w:rsidRPr="006B1305">
        <w:rPr>
          <w:rFonts w:asciiTheme="minorHAnsi" w:hAnsiTheme="minorHAnsi"/>
          <w:color w:val="000000" w:themeColor="text1"/>
          <w:szCs w:val="24"/>
        </w:rPr>
        <w:t>calcific</w:t>
      </w:r>
      <w:proofErr w:type="spellEnd"/>
      <w:r w:rsidR="00370F4C" w:rsidRPr="006B1305">
        <w:rPr>
          <w:rFonts w:asciiTheme="minorHAnsi" w:hAnsiTheme="minorHAnsi"/>
          <w:color w:val="000000" w:themeColor="text1"/>
          <w:szCs w:val="24"/>
        </w:rPr>
        <w:t xml:space="preserve"> tendinitis</w:t>
      </w:r>
      <w:r w:rsidR="00370F4C">
        <w:rPr>
          <w:rFonts w:asciiTheme="minorHAnsi" w:hAnsiTheme="minorHAnsi"/>
          <w:color w:val="000000" w:themeColor="text1"/>
          <w:szCs w:val="24"/>
        </w:rPr>
        <w:t>;</w:t>
      </w:r>
      <w:r w:rsidR="00370F4C" w:rsidRPr="006B1305">
        <w:rPr>
          <w:rFonts w:asciiTheme="minorHAnsi" w:hAnsiTheme="minorHAnsi"/>
          <w:color w:val="000000" w:themeColor="text1"/>
          <w:szCs w:val="24"/>
        </w:rPr>
        <w:t xml:space="preserve"> </w:t>
      </w:r>
      <w:r w:rsidR="00370F4C">
        <w:rPr>
          <w:rFonts w:asciiTheme="minorHAnsi" w:hAnsiTheme="minorHAnsi"/>
          <w:color w:val="000000" w:themeColor="text1"/>
          <w:szCs w:val="24"/>
        </w:rPr>
        <w:t>and</w:t>
      </w:r>
      <w:r w:rsidR="00370F4C" w:rsidRPr="006B1305">
        <w:rPr>
          <w:rFonts w:asciiTheme="minorHAnsi" w:hAnsiTheme="minorHAnsi"/>
          <w:color w:val="000000" w:themeColor="text1"/>
          <w:szCs w:val="24"/>
        </w:rPr>
        <w:t xml:space="preserve"> an intact </w:t>
      </w:r>
      <w:proofErr w:type="spellStart"/>
      <w:r w:rsidR="00370F4C" w:rsidRPr="006B1305">
        <w:rPr>
          <w:rFonts w:asciiTheme="minorHAnsi" w:hAnsiTheme="minorHAnsi"/>
          <w:color w:val="000000" w:themeColor="text1"/>
          <w:szCs w:val="24"/>
        </w:rPr>
        <w:t>glenohumeral</w:t>
      </w:r>
      <w:proofErr w:type="spellEnd"/>
      <w:r w:rsidR="00370F4C" w:rsidRPr="006B1305">
        <w:rPr>
          <w:rFonts w:asciiTheme="minorHAnsi" w:hAnsiTheme="minorHAnsi"/>
          <w:color w:val="000000" w:themeColor="text1"/>
          <w:szCs w:val="24"/>
        </w:rPr>
        <w:t xml:space="preserve"> joint.  </w:t>
      </w:r>
      <w:r w:rsidR="00370F4C">
        <w:rPr>
          <w:color w:val="000000" w:themeColor="text1"/>
          <w:szCs w:val="24"/>
        </w:rPr>
        <w:t xml:space="preserve">The </w:t>
      </w:r>
      <w:r w:rsidR="00370F4C" w:rsidRPr="005105D1">
        <w:rPr>
          <w:color w:val="000000" w:themeColor="text1"/>
          <w:szCs w:val="24"/>
        </w:rPr>
        <w:t>goniometric range-of-motion (ROM) evaluations in evidence which the Board weighed in arriving at its rating recommendation</w:t>
      </w:r>
      <w:r w:rsidR="00370F4C">
        <w:rPr>
          <w:color w:val="000000" w:themeColor="text1"/>
          <w:szCs w:val="24"/>
        </w:rPr>
        <w:t xml:space="preserve"> </w:t>
      </w:r>
      <w:r w:rsidR="00370F4C" w:rsidRPr="005105D1">
        <w:rPr>
          <w:color w:val="000000" w:themeColor="text1"/>
          <w:szCs w:val="24"/>
        </w:rPr>
        <w:t>are summarized in the chart below.</w:t>
      </w:r>
      <w:r w:rsidR="00370F4C">
        <w:rPr>
          <w:rFonts w:asciiTheme="minorHAnsi" w:hAnsiTheme="minorHAnsi"/>
          <w:color w:val="000000" w:themeColor="text1"/>
          <w:szCs w:val="24"/>
        </w:rPr>
        <w:t xml:space="preserve">  </w:t>
      </w:r>
    </w:p>
    <w:p w:rsidR="00370F4C" w:rsidRDefault="00370F4C" w:rsidP="00370F4C">
      <w:pPr>
        <w:jc w:val="both"/>
        <w:rPr>
          <w:color w:val="000000" w:themeColor="text1"/>
          <w:szCs w:val="24"/>
        </w:rPr>
      </w:pPr>
    </w:p>
    <w:tbl>
      <w:tblPr>
        <w:tblpPr w:leftFromText="180" w:rightFromText="180" w:vertAnchor="text" w:tblpXSpec="center" w:tblpY="1"/>
        <w:tblOverlap w:val="neve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2095"/>
        <w:gridCol w:w="1913"/>
        <w:gridCol w:w="2430"/>
      </w:tblGrid>
      <w:tr w:rsidR="00370F4C" w:rsidRPr="00A50E07" w:rsidTr="003C0CF0">
        <w:tc>
          <w:tcPr>
            <w:tcW w:w="1950" w:type="dxa"/>
            <w:shd w:val="clear" w:color="auto" w:fill="D9D9D9" w:themeFill="background1" w:themeFillShade="D9"/>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ROM – R Shoulder</w:t>
            </w:r>
          </w:p>
        </w:tc>
        <w:tc>
          <w:tcPr>
            <w:tcW w:w="2095" w:type="dxa"/>
            <w:shd w:val="clear" w:color="auto" w:fill="D9D9D9" w:themeFill="background1" w:themeFillShade="D9"/>
            <w:vAlign w:val="center"/>
          </w:tcPr>
          <w:p w:rsidR="00370F4C" w:rsidRPr="00A50E07" w:rsidRDefault="00370F4C" w:rsidP="003C0CF0">
            <w:pPr>
              <w:contextualSpacing/>
              <w:rPr>
                <w:rFonts w:asciiTheme="minorHAnsi" w:eastAsia="Calibri" w:hAnsiTheme="minorHAnsi"/>
                <w:color w:val="000000" w:themeColor="text1"/>
                <w:sz w:val="22"/>
                <w:szCs w:val="22"/>
              </w:rPr>
            </w:pPr>
            <w:r w:rsidRPr="00A50E07">
              <w:rPr>
                <w:rFonts w:eastAsia="Calibri"/>
                <w:color w:val="000000" w:themeColor="text1"/>
                <w:sz w:val="22"/>
                <w:szCs w:val="22"/>
              </w:rPr>
              <w:t>MEB ~8 Mo. Pre-Sep</w:t>
            </w:r>
          </w:p>
        </w:tc>
        <w:tc>
          <w:tcPr>
            <w:tcW w:w="1913" w:type="dxa"/>
            <w:shd w:val="clear" w:color="auto" w:fill="D9D9D9" w:themeFill="background1" w:themeFillShade="D9"/>
            <w:vAlign w:val="center"/>
          </w:tcPr>
          <w:p w:rsidR="00370F4C" w:rsidRPr="00A50E07" w:rsidRDefault="00370F4C" w:rsidP="003C0CF0">
            <w:pPr>
              <w:contextualSpacing/>
              <w:rPr>
                <w:rFonts w:asciiTheme="minorHAnsi" w:eastAsia="Calibri" w:hAnsiTheme="minorHAnsi"/>
                <w:color w:val="000000" w:themeColor="text1"/>
                <w:sz w:val="22"/>
                <w:szCs w:val="22"/>
              </w:rPr>
            </w:pPr>
            <w:r w:rsidRPr="00A50E07">
              <w:rPr>
                <w:rFonts w:asciiTheme="minorHAnsi" w:eastAsia="Calibri" w:hAnsiTheme="minorHAnsi"/>
                <w:color w:val="000000" w:themeColor="text1"/>
                <w:sz w:val="22"/>
                <w:szCs w:val="22"/>
              </w:rPr>
              <w:t>PT ~3 Mo. Pre-Sep</w:t>
            </w:r>
          </w:p>
        </w:tc>
        <w:tc>
          <w:tcPr>
            <w:tcW w:w="2430" w:type="dxa"/>
            <w:shd w:val="clear" w:color="auto" w:fill="D9D9D9" w:themeFill="background1" w:themeFillShade="D9"/>
            <w:vAlign w:val="center"/>
          </w:tcPr>
          <w:p w:rsidR="00370F4C" w:rsidRPr="00A50E07" w:rsidRDefault="00370F4C" w:rsidP="003C0CF0">
            <w:pPr>
              <w:contextualSpacing/>
              <w:rPr>
                <w:rFonts w:asciiTheme="minorHAnsi" w:eastAsia="Calibri" w:hAnsiTheme="minorHAnsi"/>
                <w:color w:val="000000" w:themeColor="text1"/>
                <w:sz w:val="22"/>
                <w:szCs w:val="22"/>
              </w:rPr>
            </w:pPr>
            <w:r w:rsidRPr="00A50E07">
              <w:rPr>
                <w:rFonts w:eastAsia="Calibri"/>
                <w:color w:val="000000" w:themeColor="text1"/>
                <w:sz w:val="22"/>
                <w:szCs w:val="22"/>
              </w:rPr>
              <w:t>VA</w:t>
            </w:r>
            <w:r w:rsidRPr="00A50E07">
              <w:rPr>
                <w:rFonts w:eastAsiaTheme="minorHAnsi"/>
                <w:color w:val="000000" w:themeColor="text1"/>
                <w:sz w:val="22"/>
                <w:szCs w:val="22"/>
              </w:rPr>
              <w:t xml:space="preserve"> C&amp;P </w:t>
            </w:r>
            <w:r w:rsidRPr="00A50E07">
              <w:rPr>
                <w:rFonts w:eastAsia="Calibri"/>
                <w:color w:val="000000" w:themeColor="text1"/>
                <w:sz w:val="22"/>
                <w:szCs w:val="22"/>
              </w:rPr>
              <w:t>~5 Mo. Post-Sep</w:t>
            </w:r>
          </w:p>
        </w:tc>
      </w:tr>
      <w:tr w:rsidR="00370F4C" w:rsidRPr="00A50E07" w:rsidTr="003C0CF0">
        <w:tc>
          <w:tcPr>
            <w:tcW w:w="1950" w:type="dxa"/>
            <w:vAlign w:val="center"/>
          </w:tcPr>
          <w:p w:rsidR="00370F4C" w:rsidRPr="00A50E07" w:rsidRDefault="00370F4C" w:rsidP="003C0CF0">
            <w:pPr>
              <w:pStyle w:val="ListParagraph"/>
              <w:spacing w:after="0" w:line="240" w:lineRule="exact"/>
              <w:ind w:left="0"/>
              <w:rPr>
                <w:rFonts w:ascii="Calibri" w:eastAsia="Calibri" w:hAnsi="Calibri" w:cstheme="minorHAnsi"/>
                <w:color w:val="000000" w:themeColor="text1"/>
              </w:rPr>
            </w:pPr>
            <w:r w:rsidRPr="00A50E07">
              <w:rPr>
                <w:rFonts w:ascii="Calibri" w:eastAsia="Calibri" w:hAnsi="Calibri" w:cstheme="minorHAnsi"/>
                <w:color w:val="000000" w:themeColor="text1"/>
              </w:rPr>
              <w:t>Flexion (0-180</w:t>
            </w:r>
            <w:r w:rsidRPr="00A50E07">
              <w:rPr>
                <w:rFonts w:ascii="Calibri" w:eastAsia="Calibri" w:hAnsi="Calibri" w:cs="Calibri"/>
                <w:color w:val="000000" w:themeColor="text1"/>
              </w:rPr>
              <w:t>⁰</w:t>
            </w:r>
            <w:r w:rsidRPr="00A50E07">
              <w:rPr>
                <w:rFonts w:ascii="Calibri" w:eastAsia="Calibri" w:hAnsi="Calibri" w:cstheme="minorHAnsi"/>
                <w:color w:val="000000" w:themeColor="text1"/>
              </w:rPr>
              <w:t>)</w:t>
            </w:r>
          </w:p>
        </w:tc>
        <w:tc>
          <w:tcPr>
            <w:tcW w:w="2095" w:type="dxa"/>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148</w:t>
            </w:r>
            <w:r w:rsidRPr="00A50E07">
              <w:rPr>
                <w:rFonts w:eastAsia="Calibri" w:cs="Calibri"/>
                <w:color w:val="000000" w:themeColor="text1"/>
                <w:sz w:val="22"/>
                <w:szCs w:val="22"/>
              </w:rPr>
              <w:t>⁰</w:t>
            </w:r>
          </w:p>
        </w:tc>
        <w:tc>
          <w:tcPr>
            <w:tcW w:w="1913" w:type="dxa"/>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150</w:t>
            </w:r>
            <w:r w:rsidRPr="00A50E07">
              <w:rPr>
                <w:rFonts w:eastAsia="Calibri" w:cs="Calibri"/>
                <w:color w:val="000000" w:themeColor="text1"/>
                <w:sz w:val="22"/>
                <w:szCs w:val="22"/>
              </w:rPr>
              <w:t>⁰</w:t>
            </w:r>
          </w:p>
        </w:tc>
        <w:tc>
          <w:tcPr>
            <w:tcW w:w="2430" w:type="dxa"/>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100</w:t>
            </w:r>
            <w:r w:rsidRPr="00A50E07">
              <w:rPr>
                <w:rFonts w:eastAsia="Calibri" w:cs="Calibri"/>
                <w:color w:val="000000" w:themeColor="text1"/>
                <w:sz w:val="22"/>
                <w:szCs w:val="22"/>
              </w:rPr>
              <w:t>⁰</w:t>
            </w:r>
            <w:r>
              <w:rPr>
                <w:rFonts w:eastAsia="Calibri" w:cs="Calibri"/>
                <w:color w:val="000000" w:themeColor="text1"/>
                <w:sz w:val="22"/>
                <w:szCs w:val="22"/>
              </w:rPr>
              <w:t xml:space="preserve"> </w:t>
            </w:r>
            <w:r w:rsidRPr="00A50E07">
              <w:rPr>
                <w:rFonts w:eastAsia="Calibri" w:cs="Calibri"/>
                <w:color w:val="000000" w:themeColor="text1"/>
                <w:sz w:val="22"/>
                <w:szCs w:val="22"/>
              </w:rPr>
              <w:t>/</w:t>
            </w:r>
            <w:r>
              <w:rPr>
                <w:rFonts w:eastAsia="Calibri" w:cs="Calibri"/>
                <w:color w:val="000000" w:themeColor="text1"/>
                <w:sz w:val="22"/>
                <w:szCs w:val="22"/>
              </w:rPr>
              <w:t xml:space="preserve"> </w:t>
            </w:r>
            <w:r w:rsidRPr="00A50E07">
              <w:rPr>
                <w:rFonts w:eastAsia="Calibri" w:cs="Calibri"/>
                <w:color w:val="000000" w:themeColor="text1"/>
                <w:sz w:val="22"/>
                <w:szCs w:val="22"/>
              </w:rPr>
              <w:t>80⁰**</w:t>
            </w:r>
          </w:p>
        </w:tc>
      </w:tr>
      <w:tr w:rsidR="00370F4C" w:rsidRPr="00A50E07" w:rsidTr="003C0CF0">
        <w:trPr>
          <w:trHeight w:val="79"/>
        </w:trPr>
        <w:tc>
          <w:tcPr>
            <w:tcW w:w="1950" w:type="dxa"/>
            <w:vAlign w:val="center"/>
          </w:tcPr>
          <w:p w:rsidR="00370F4C" w:rsidRPr="00A50E07" w:rsidRDefault="00370F4C" w:rsidP="003C0CF0">
            <w:pPr>
              <w:pStyle w:val="ListParagraph"/>
              <w:spacing w:after="0" w:line="240" w:lineRule="exact"/>
              <w:ind w:left="0"/>
              <w:rPr>
                <w:rFonts w:ascii="Calibri" w:eastAsia="Calibri" w:hAnsi="Calibri" w:cstheme="minorHAnsi"/>
                <w:color w:val="000000" w:themeColor="text1"/>
              </w:rPr>
            </w:pPr>
            <w:r w:rsidRPr="00A50E07">
              <w:rPr>
                <w:rFonts w:ascii="Calibri" w:eastAsia="Calibri" w:hAnsi="Calibri" w:cstheme="minorHAnsi"/>
                <w:color w:val="000000" w:themeColor="text1"/>
              </w:rPr>
              <w:t>Abduction (0-180</w:t>
            </w:r>
            <w:r w:rsidRPr="00A50E07">
              <w:rPr>
                <w:rFonts w:ascii="Calibri" w:eastAsia="Calibri" w:hAnsi="Calibri" w:cs="Calibri"/>
                <w:color w:val="000000" w:themeColor="text1"/>
              </w:rPr>
              <w:t>⁰</w:t>
            </w:r>
            <w:r w:rsidRPr="00A50E07">
              <w:rPr>
                <w:rFonts w:ascii="Calibri" w:eastAsia="Calibri" w:hAnsi="Calibri" w:cstheme="minorHAnsi"/>
                <w:color w:val="000000" w:themeColor="text1"/>
              </w:rPr>
              <w:t>)</w:t>
            </w:r>
          </w:p>
        </w:tc>
        <w:tc>
          <w:tcPr>
            <w:tcW w:w="2095" w:type="dxa"/>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149</w:t>
            </w:r>
            <w:r w:rsidRPr="00A50E07">
              <w:rPr>
                <w:rFonts w:eastAsia="Calibri" w:cs="Calibri"/>
                <w:color w:val="000000" w:themeColor="text1"/>
                <w:sz w:val="22"/>
                <w:szCs w:val="22"/>
              </w:rPr>
              <w:t>⁰</w:t>
            </w:r>
          </w:p>
        </w:tc>
        <w:tc>
          <w:tcPr>
            <w:tcW w:w="1913" w:type="dxa"/>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&gt;100</w:t>
            </w:r>
            <w:r w:rsidRPr="00A50E07">
              <w:rPr>
                <w:rFonts w:eastAsia="Calibri" w:cs="Calibri"/>
                <w:color w:val="000000" w:themeColor="text1"/>
                <w:sz w:val="22"/>
                <w:szCs w:val="22"/>
              </w:rPr>
              <w:t>⁰</w:t>
            </w:r>
          </w:p>
        </w:tc>
        <w:tc>
          <w:tcPr>
            <w:tcW w:w="2430" w:type="dxa"/>
            <w:vAlign w:val="center"/>
          </w:tcPr>
          <w:p w:rsidR="00370F4C" w:rsidRPr="00A50E07" w:rsidRDefault="00370F4C" w:rsidP="003C0CF0">
            <w:pPr>
              <w:contextualSpacing/>
              <w:rPr>
                <w:rFonts w:eastAsia="Calibri"/>
                <w:color w:val="000000" w:themeColor="text1"/>
                <w:sz w:val="22"/>
                <w:szCs w:val="22"/>
              </w:rPr>
            </w:pPr>
            <w:r w:rsidRPr="00A50E07">
              <w:rPr>
                <w:rFonts w:eastAsia="Calibri"/>
                <w:color w:val="000000" w:themeColor="text1"/>
                <w:sz w:val="22"/>
                <w:szCs w:val="22"/>
              </w:rPr>
              <w:t>100</w:t>
            </w:r>
            <w:r w:rsidRPr="00A50E07">
              <w:rPr>
                <w:rFonts w:eastAsia="Calibri" w:cs="Calibri"/>
                <w:color w:val="000000" w:themeColor="text1"/>
                <w:sz w:val="22"/>
                <w:szCs w:val="22"/>
              </w:rPr>
              <w:t>⁰</w:t>
            </w:r>
          </w:p>
        </w:tc>
      </w:tr>
      <w:tr w:rsidR="00370F4C" w:rsidRPr="00A50E07" w:rsidTr="003C0CF0">
        <w:tc>
          <w:tcPr>
            <w:tcW w:w="1950" w:type="dxa"/>
            <w:vAlign w:val="center"/>
          </w:tcPr>
          <w:p w:rsidR="00370F4C" w:rsidRPr="00A50E07" w:rsidRDefault="00370F4C" w:rsidP="003C0CF0">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§4.71a Rating</w:t>
            </w:r>
          </w:p>
        </w:tc>
        <w:tc>
          <w:tcPr>
            <w:tcW w:w="2095" w:type="dxa"/>
            <w:vAlign w:val="center"/>
          </w:tcPr>
          <w:p w:rsidR="00370F4C" w:rsidRPr="00A50E07" w:rsidRDefault="00370F4C" w:rsidP="003C0CF0">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10%*</w:t>
            </w:r>
          </w:p>
        </w:tc>
        <w:tc>
          <w:tcPr>
            <w:tcW w:w="1913" w:type="dxa"/>
            <w:vAlign w:val="center"/>
          </w:tcPr>
          <w:p w:rsidR="00370F4C" w:rsidRPr="00A50E07" w:rsidRDefault="00370F4C" w:rsidP="003C0CF0">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10%*</w:t>
            </w:r>
          </w:p>
        </w:tc>
        <w:tc>
          <w:tcPr>
            <w:tcW w:w="2430" w:type="dxa"/>
            <w:vAlign w:val="center"/>
          </w:tcPr>
          <w:p w:rsidR="00370F4C" w:rsidRPr="00A50E07" w:rsidRDefault="00370F4C" w:rsidP="003C0CF0">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10%</w:t>
            </w:r>
            <w:r>
              <w:rPr>
                <w:rFonts w:eastAsiaTheme="minorHAnsi"/>
                <w:color w:val="000000" w:themeColor="text1"/>
                <w:sz w:val="22"/>
                <w:szCs w:val="22"/>
              </w:rPr>
              <w:t xml:space="preserve"> </w:t>
            </w:r>
            <w:r w:rsidRPr="00A50E07">
              <w:rPr>
                <w:rFonts w:eastAsiaTheme="minorHAnsi"/>
                <w:color w:val="000000" w:themeColor="text1"/>
                <w:sz w:val="22"/>
                <w:szCs w:val="22"/>
              </w:rPr>
              <w:t>/</w:t>
            </w:r>
            <w:r>
              <w:rPr>
                <w:rFonts w:eastAsiaTheme="minorHAnsi"/>
                <w:color w:val="000000" w:themeColor="text1"/>
                <w:sz w:val="22"/>
                <w:szCs w:val="22"/>
              </w:rPr>
              <w:t xml:space="preserve"> </w:t>
            </w:r>
            <w:r w:rsidRPr="00A50E07">
              <w:rPr>
                <w:rFonts w:eastAsiaTheme="minorHAnsi"/>
                <w:color w:val="000000" w:themeColor="text1"/>
                <w:sz w:val="22"/>
                <w:szCs w:val="22"/>
              </w:rPr>
              <w:t>20%**</w:t>
            </w:r>
          </w:p>
        </w:tc>
      </w:tr>
    </w:tbl>
    <w:p w:rsidR="00370F4C" w:rsidRDefault="00370F4C" w:rsidP="00370F4C">
      <w:pPr>
        <w:jc w:val="both"/>
        <w:rPr>
          <w:rFonts w:asciiTheme="minorHAnsi" w:hAnsiTheme="minorHAnsi"/>
          <w:color w:val="auto"/>
          <w:sz w:val="22"/>
          <w:szCs w:val="22"/>
        </w:rPr>
      </w:pPr>
      <w:r>
        <w:rPr>
          <w:rFonts w:asciiTheme="minorHAnsi" w:hAnsiTheme="minorHAnsi"/>
          <w:color w:val="auto"/>
          <w:sz w:val="22"/>
          <w:szCs w:val="22"/>
        </w:rPr>
        <w:t xml:space="preserve">                          </w:t>
      </w:r>
      <w:r w:rsidR="00141E70">
        <w:rPr>
          <w:rFonts w:asciiTheme="minorHAnsi" w:hAnsiTheme="minorHAnsi"/>
          <w:color w:val="auto"/>
          <w:sz w:val="22"/>
          <w:szCs w:val="22"/>
        </w:rPr>
        <w:t xml:space="preserve">                             </w:t>
      </w:r>
      <w:r>
        <w:rPr>
          <w:rFonts w:asciiTheme="minorHAnsi" w:hAnsiTheme="minorHAnsi"/>
          <w:color w:val="auto"/>
          <w:sz w:val="22"/>
          <w:szCs w:val="22"/>
        </w:rPr>
        <w:t xml:space="preserve"> </w:t>
      </w:r>
      <w:r w:rsidRPr="00A50E07">
        <w:rPr>
          <w:rFonts w:asciiTheme="minorHAnsi" w:hAnsiTheme="minorHAnsi"/>
          <w:color w:val="auto"/>
          <w:sz w:val="22"/>
          <w:szCs w:val="22"/>
        </w:rPr>
        <w:t>*IAW 4.59 (painful motion)</w:t>
      </w:r>
      <w:r>
        <w:rPr>
          <w:rFonts w:asciiTheme="minorHAnsi" w:hAnsiTheme="minorHAnsi"/>
          <w:color w:val="auto"/>
          <w:sz w:val="22"/>
          <w:szCs w:val="22"/>
        </w:rPr>
        <w:t>.   **</w:t>
      </w:r>
      <w:proofErr w:type="spellStart"/>
      <w:r>
        <w:rPr>
          <w:rFonts w:asciiTheme="minorHAnsi" w:hAnsiTheme="minorHAnsi"/>
          <w:color w:val="auto"/>
          <w:sz w:val="22"/>
          <w:szCs w:val="22"/>
        </w:rPr>
        <w:t>DeLuca</w:t>
      </w:r>
      <w:proofErr w:type="spellEnd"/>
      <w:r>
        <w:rPr>
          <w:rFonts w:asciiTheme="minorHAnsi" w:hAnsiTheme="minorHAnsi"/>
          <w:color w:val="auto"/>
          <w:sz w:val="22"/>
          <w:szCs w:val="22"/>
        </w:rPr>
        <w:t xml:space="preserve"> deduction </w:t>
      </w:r>
      <w:proofErr w:type="gramStart"/>
      <w:r>
        <w:rPr>
          <w:rFonts w:asciiTheme="minorHAnsi" w:hAnsiTheme="minorHAnsi"/>
          <w:color w:val="auto"/>
          <w:sz w:val="22"/>
          <w:szCs w:val="22"/>
        </w:rPr>
        <w:t>of 20⁰ flexion</w:t>
      </w:r>
      <w:proofErr w:type="gramEnd"/>
      <w:r>
        <w:rPr>
          <w:rFonts w:asciiTheme="minorHAnsi" w:hAnsiTheme="minorHAnsi"/>
          <w:color w:val="auto"/>
          <w:sz w:val="22"/>
          <w:szCs w:val="22"/>
        </w:rPr>
        <w:t>.</w:t>
      </w:r>
    </w:p>
    <w:p w:rsidR="00370F4C" w:rsidRPr="00A50E07" w:rsidRDefault="00370F4C" w:rsidP="00370F4C">
      <w:pPr>
        <w:jc w:val="both"/>
        <w:rPr>
          <w:rFonts w:asciiTheme="minorHAnsi" w:hAnsiTheme="minorHAnsi"/>
          <w:color w:val="auto"/>
          <w:sz w:val="22"/>
          <w:szCs w:val="22"/>
        </w:rPr>
      </w:pPr>
    </w:p>
    <w:p w:rsidR="00A50E07" w:rsidRPr="00A50E07" w:rsidRDefault="00CE7684" w:rsidP="00370F4C">
      <w:pPr>
        <w:autoSpaceDE w:val="0"/>
        <w:autoSpaceDN w:val="0"/>
        <w:adjustRightInd w:val="0"/>
        <w:jc w:val="both"/>
        <w:rPr>
          <w:rFonts w:asciiTheme="minorHAnsi" w:hAnsiTheme="minorHAnsi"/>
          <w:color w:val="auto"/>
          <w:sz w:val="22"/>
          <w:szCs w:val="22"/>
        </w:rPr>
      </w:pPr>
      <w:r>
        <w:rPr>
          <w:color w:val="000000" w:themeColor="text1"/>
          <w:szCs w:val="24"/>
        </w:rPr>
        <w:t>T</w:t>
      </w:r>
      <w:r w:rsidR="00AE7776">
        <w:rPr>
          <w:color w:val="000000" w:themeColor="text1"/>
          <w:szCs w:val="24"/>
        </w:rPr>
        <w:t xml:space="preserve">he </w:t>
      </w:r>
      <w:r w:rsidR="00370F4C">
        <w:rPr>
          <w:color w:val="000000" w:themeColor="text1"/>
          <w:szCs w:val="24"/>
        </w:rPr>
        <w:t xml:space="preserve">NARSUM </w:t>
      </w:r>
      <w:r w:rsidR="00AE7776">
        <w:rPr>
          <w:color w:val="000000" w:themeColor="text1"/>
          <w:szCs w:val="24"/>
        </w:rPr>
        <w:t xml:space="preserve">examiner documented </w:t>
      </w:r>
      <w:r w:rsidR="00370F4C">
        <w:rPr>
          <w:color w:val="000000" w:themeColor="text1"/>
          <w:szCs w:val="24"/>
        </w:rPr>
        <w:t xml:space="preserve">only </w:t>
      </w:r>
      <w:r w:rsidR="00AE7776">
        <w:rPr>
          <w:color w:val="000000" w:themeColor="text1"/>
          <w:szCs w:val="24"/>
        </w:rPr>
        <w:t xml:space="preserve">a </w:t>
      </w:r>
      <w:r w:rsidR="00AC33D3">
        <w:rPr>
          <w:color w:val="000000" w:themeColor="text1"/>
          <w:szCs w:val="24"/>
        </w:rPr>
        <w:t>two</w:t>
      </w:r>
      <w:r w:rsidR="00AE7776">
        <w:rPr>
          <w:color w:val="000000" w:themeColor="text1"/>
          <w:szCs w:val="24"/>
        </w:rPr>
        <w:t xml:space="preserve"> inch </w:t>
      </w:r>
      <w:r w:rsidR="002D44B9">
        <w:rPr>
          <w:color w:val="000000" w:themeColor="text1"/>
          <w:szCs w:val="24"/>
        </w:rPr>
        <w:t xml:space="preserve">surgical </w:t>
      </w:r>
      <w:r w:rsidR="00AE7776">
        <w:rPr>
          <w:color w:val="000000" w:themeColor="text1"/>
          <w:szCs w:val="24"/>
        </w:rPr>
        <w:t xml:space="preserve">scar </w:t>
      </w:r>
      <w:r w:rsidR="002D44B9">
        <w:rPr>
          <w:color w:val="000000" w:themeColor="text1"/>
          <w:szCs w:val="24"/>
        </w:rPr>
        <w:t xml:space="preserve">and referred to the MEB ROMs charted above; but, the </w:t>
      </w:r>
      <w:r w:rsidR="00AC33D3">
        <w:rPr>
          <w:color w:val="000000" w:themeColor="text1"/>
          <w:szCs w:val="24"/>
        </w:rPr>
        <w:t>p</w:t>
      </w:r>
      <w:r w:rsidR="002D44B9">
        <w:rPr>
          <w:color w:val="000000" w:themeColor="text1"/>
          <w:szCs w:val="24"/>
        </w:rPr>
        <w:t xml:space="preserve">hysical </w:t>
      </w:r>
      <w:r w:rsidR="00AC33D3">
        <w:rPr>
          <w:color w:val="000000" w:themeColor="text1"/>
          <w:szCs w:val="24"/>
        </w:rPr>
        <w:t>t</w:t>
      </w:r>
      <w:r w:rsidR="008A7B39">
        <w:rPr>
          <w:color w:val="000000" w:themeColor="text1"/>
          <w:szCs w:val="24"/>
        </w:rPr>
        <w:t xml:space="preserve">herapy </w:t>
      </w:r>
      <w:r w:rsidR="002D44B9">
        <w:rPr>
          <w:color w:val="000000" w:themeColor="text1"/>
          <w:szCs w:val="24"/>
        </w:rPr>
        <w:t>(PT) examiner</w:t>
      </w:r>
      <w:r w:rsidR="008A7B39">
        <w:rPr>
          <w:color w:val="000000" w:themeColor="text1"/>
          <w:szCs w:val="24"/>
        </w:rPr>
        <w:t xml:space="preserve"> specifically tested motor strength with </w:t>
      </w:r>
      <w:r w:rsidR="006F4B42">
        <w:rPr>
          <w:color w:val="000000" w:themeColor="text1"/>
          <w:szCs w:val="24"/>
        </w:rPr>
        <w:t xml:space="preserve">right </w:t>
      </w:r>
      <w:r w:rsidR="008A7B39">
        <w:rPr>
          <w:color w:val="000000" w:themeColor="text1"/>
          <w:szCs w:val="24"/>
        </w:rPr>
        <w:t>shoulder flexion and noted a 4/5 loss.  The VA exam</w:t>
      </w:r>
      <w:r w:rsidR="002D44B9">
        <w:rPr>
          <w:color w:val="000000" w:themeColor="text1"/>
          <w:szCs w:val="24"/>
        </w:rPr>
        <w:t>iner</w:t>
      </w:r>
      <w:r w:rsidR="008A7B39">
        <w:rPr>
          <w:color w:val="000000" w:themeColor="text1"/>
          <w:szCs w:val="24"/>
        </w:rPr>
        <w:t xml:space="preserve"> documented</w:t>
      </w:r>
      <w:r w:rsidR="008A7B39" w:rsidRPr="008A7B39">
        <w:rPr>
          <w:color w:val="000000" w:themeColor="text1"/>
          <w:szCs w:val="24"/>
        </w:rPr>
        <w:t xml:space="preserve"> </w:t>
      </w:r>
      <w:r w:rsidR="002D44B9">
        <w:rPr>
          <w:color w:val="000000" w:themeColor="text1"/>
          <w:szCs w:val="24"/>
        </w:rPr>
        <w:t xml:space="preserve">point </w:t>
      </w:r>
      <w:r w:rsidR="008A7B39">
        <w:rPr>
          <w:color w:val="000000" w:themeColor="text1"/>
          <w:szCs w:val="24"/>
        </w:rPr>
        <w:t xml:space="preserve">tenderness </w:t>
      </w:r>
      <w:r w:rsidR="008A7B39" w:rsidRPr="005F7FC9">
        <w:rPr>
          <w:rFonts w:asciiTheme="minorHAnsi" w:hAnsiTheme="minorHAnsi"/>
          <w:color w:val="000000" w:themeColor="text1"/>
          <w:szCs w:val="24"/>
        </w:rPr>
        <w:t xml:space="preserve">over the AC joint and </w:t>
      </w:r>
      <w:r w:rsidR="002D44B9">
        <w:rPr>
          <w:color w:val="000000" w:themeColor="text1"/>
          <w:szCs w:val="24"/>
        </w:rPr>
        <w:t xml:space="preserve">diffuse </w:t>
      </w:r>
      <w:r w:rsidR="00CB5097">
        <w:rPr>
          <w:color w:val="000000" w:themeColor="text1"/>
          <w:szCs w:val="24"/>
        </w:rPr>
        <w:t>tenderness</w:t>
      </w:r>
      <w:r w:rsidR="008A7B39">
        <w:rPr>
          <w:color w:val="000000" w:themeColor="text1"/>
          <w:szCs w:val="24"/>
        </w:rPr>
        <w:t xml:space="preserve"> over the</w:t>
      </w:r>
      <w:r w:rsidR="008A7B39" w:rsidRPr="005F7FC9">
        <w:rPr>
          <w:rFonts w:asciiTheme="minorHAnsi" w:hAnsiTheme="minorHAnsi"/>
          <w:color w:val="000000" w:themeColor="text1"/>
          <w:szCs w:val="24"/>
        </w:rPr>
        <w:t xml:space="preserve"> entire shoulder joint</w:t>
      </w:r>
      <w:r w:rsidR="002D44B9">
        <w:rPr>
          <w:rFonts w:asciiTheme="minorHAnsi" w:hAnsiTheme="minorHAnsi"/>
          <w:color w:val="000000" w:themeColor="text1"/>
          <w:szCs w:val="24"/>
        </w:rPr>
        <w:t>;</w:t>
      </w:r>
      <w:r w:rsidR="008A7B39" w:rsidRPr="00F36C39">
        <w:rPr>
          <w:rFonts w:asciiTheme="minorHAnsi" w:hAnsiTheme="minorHAnsi"/>
          <w:color w:val="000000" w:themeColor="text1"/>
          <w:szCs w:val="24"/>
        </w:rPr>
        <w:t xml:space="preserve"> </w:t>
      </w:r>
      <w:r w:rsidR="008A7B39">
        <w:rPr>
          <w:rFonts w:asciiTheme="minorHAnsi" w:hAnsiTheme="minorHAnsi"/>
          <w:color w:val="000000" w:themeColor="text1"/>
          <w:szCs w:val="24"/>
        </w:rPr>
        <w:t>a well-healed sc</w:t>
      </w:r>
      <w:r w:rsidR="002D44B9">
        <w:rPr>
          <w:rFonts w:asciiTheme="minorHAnsi" w:hAnsiTheme="minorHAnsi"/>
          <w:color w:val="000000" w:themeColor="text1"/>
          <w:szCs w:val="24"/>
        </w:rPr>
        <w:t>ar that did not impair function;</w:t>
      </w:r>
      <w:r w:rsidR="008A7B39" w:rsidRPr="008A7B39">
        <w:rPr>
          <w:rFonts w:asciiTheme="minorHAnsi" w:hAnsiTheme="minorHAnsi"/>
          <w:color w:val="000000" w:themeColor="text1"/>
          <w:szCs w:val="24"/>
        </w:rPr>
        <w:t xml:space="preserve"> </w:t>
      </w:r>
      <w:r w:rsidR="008A7B39">
        <w:rPr>
          <w:rFonts w:asciiTheme="minorHAnsi" w:hAnsiTheme="minorHAnsi"/>
          <w:color w:val="000000" w:themeColor="text1"/>
          <w:szCs w:val="24"/>
        </w:rPr>
        <w:t>diminished strength with repetitive use</w:t>
      </w:r>
      <w:r w:rsidR="002D44B9">
        <w:rPr>
          <w:rFonts w:asciiTheme="minorHAnsi" w:hAnsiTheme="minorHAnsi"/>
          <w:color w:val="000000" w:themeColor="text1"/>
          <w:szCs w:val="24"/>
        </w:rPr>
        <w:t>,</w:t>
      </w:r>
      <w:r w:rsidR="008A7B39">
        <w:rPr>
          <w:rFonts w:asciiTheme="minorHAnsi" w:hAnsiTheme="minorHAnsi"/>
          <w:color w:val="000000" w:themeColor="text1"/>
          <w:szCs w:val="24"/>
        </w:rPr>
        <w:t xml:space="preserve"> </w:t>
      </w:r>
      <w:r w:rsidR="00CB5097">
        <w:rPr>
          <w:rFonts w:asciiTheme="minorHAnsi" w:hAnsiTheme="minorHAnsi"/>
          <w:color w:val="000000" w:themeColor="text1"/>
          <w:szCs w:val="24"/>
        </w:rPr>
        <w:t>degradation</w:t>
      </w:r>
      <w:r w:rsidR="002D44B9">
        <w:rPr>
          <w:rFonts w:asciiTheme="minorHAnsi" w:hAnsiTheme="minorHAnsi"/>
          <w:color w:val="000000" w:themeColor="text1"/>
          <w:szCs w:val="24"/>
        </w:rPr>
        <w:t xml:space="preserve"> of </w:t>
      </w:r>
      <w:r w:rsidR="0028414F">
        <w:rPr>
          <w:rFonts w:asciiTheme="minorHAnsi" w:hAnsiTheme="minorHAnsi"/>
          <w:color w:val="000000" w:themeColor="text1"/>
          <w:szCs w:val="24"/>
        </w:rPr>
        <w:t xml:space="preserve">flexion with </w:t>
      </w:r>
      <w:proofErr w:type="spellStart"/>
      <w:r w:rsidR="0028414F">
        <w:rPr>
          <w:rFonts w:asciiTheme="minorHAnsi" w:hAnsiTheme="minorHAnsi"/>
          <w:color w:val="000000" w:themeColor="text1"/>
          <w:szCs w:val="24"/>
        </w:rPr>
        <w:t>DeLuca</w:t>
      </w:r>
      <w:proofErr w:type="spellEnd"/>
      <w:r w:rsidR="0028414F">
        <w:rPr>
          <w:rFonts w:asciiTheme="minorHAnsi" w:hAnsiTheme="minorHAnsi"/>
          <w:color w:val="000000" w:themeColor="text1"/>
          <w:szCs w:val="24"/>
        </w:rPr>
        <w:t xml:space="preserve"> testing as charted above; and, </w:t>
      </w:r>
      <w:r w:rsidR="008A7B39">
        <w:rPr>
          <w:rFonts w:asciiTheme="minorHAnsi" w:hAnsiTheme="minorHAnsi"/>
          <w:color w:val="000000" w:themeColor="text1"/>
          <w:szCs w:val="24"/>
        </w:rPr>
        <w:t>no instability.</w:t>
      </w:r>
      <w:r w:rsidR="008A7B39" w:rsidRPr="008A7B39">
        <w:rPr>
          <w:rFonts w:asciiTheme="minorHAnsi" w:hAnsiTheme="minorHAnsi"/>
          <w:color w:val="000000" w:themeColor="text1"/>
          <w:szCs w:val="24"/>
        </w:rPr>
        <w:t xml:space="preserve"> </w:t>
      </w:r>
      <w:r w:rsidR="006B1305">
        <w:rPr>
          <w:rFonts w:asciiTheme="minorHAnsi" w:hAnsiTheme="minorHAnsi"/>
          <w:color w:val="000000" w:themeColor="text1"/>
          <w:szCs w:val="24"/>
        </w:rPr>
        <w:t xml:space="preserve"> </w:t>
      </w:r>
      <w:r w:rsidR="00EB45FC" w:rsidRPr="006B1305">
        <w:rPr>
          <w:color w:val="000000" w:themeColor="text1"/>
          <w:szCs w:val="24"/>
        </w:rPr>
        <w:t xml:space="preserve">The NARSUM </w:t>
      </w:r>
      <w:r w:rsidR="00AA4B2C" w:rsidRPr="006B1305">
        <w:rPr>
          <w:color w:val="000000" w:themeColor="text1"/>
          <w:szCs w:val="24"/>
        </w:rPr>
        <w:t xml:space="preserve">and the VA examiner </w:t>
      </w:r>
      <w:r w:rsidR="008A7B39" w:rsidRPr="006B1305">
        <w:rPr>
          <w:color w:val="000000" w:themeColor="text1"/>
          <w:szCs w:val="24"/>
        </w:rPr>
        <w:t xml:space="preserve">both </w:t>
      </w:r>
      <w:r w:rsidR="00EB45FC" w:rsidRPr="006B1305">
        <w:rPr>
          <w:color w:val="000000" w:themeColor="text1"/>
          <w:szCs w:val="24"/>
        </w:rPr>
        <w:t xml:space="preserve">documented </w:t>
      </w:r>
      <w:r w:rsidR="002D44B9">
        <w:rPr>
          <w:color w:val="000000" w:themeColor="text1"/>
          <w:szCs w:val="24"/>
        </w:rPr>
        <w:t xml:space="preserve">specific </w:t>
      </w:r>
      <w:r w:rsidR="008A7B39" w:rsidRPr="0072341D">
        <w:rPr>
          <w:color w:val="000000" w:themeColor="text1"/>
          <w:szCs w:val="24"/>
        </w:rPr>
        <w:t>occupational impairments</w:t>
      </w:r>
      <w:r w:rsidR="0028414F" w:rsidRPr="0072341D">
        <w:rPr>
          <w:color w:val="000000" w:themeColor="text1"/>
          <w:szCs w:val="24"/>
        </w:rPr>
        <w:t>, i.e.,</w:t>
      </w:r>
      <w:r w:rsidR="008A7B39" w:rsidRPr="0072341D">
        <w:rPr>
          <w:color w:val="000000" w:themeColor="text1"/>
          <w:szCs w:val="24"/>
        </w:rPr>
        <w:t xml:space="preserve"> </w:t>
      </w:r>
      <w:r w:rsidR="0028414F" w:rsidRPr="0072341D">
        <w:rPr>
          <w:color w:val="000000" w:themeColor="text1"/>
          <w:szCs w:val="24"/>
        </w:rPr>
        <w:t>inability</w:t>
      </w:r>
      <w:r w:rsidR="00940632" w:rsidRPr="0072341D">
        <w:rPr>
          <w:color w:val="000000" w:themeColor="text1"/>
          <w:szCs w:val="24"/>
        </w:rPr>
        <w:t xml:space="preserve"> to carry a b</w:t>
      </w:r>
      <w:r w:rsidR="00815C55" w:rsidRPr="0072341D">
        <w:rPr>
          <w:color w:val="000000" w:themeColor="text1"/>
          <w:szCs w:val="24"/>
        </w:rPr>
        <w:t>ackpack, lift mo</w:t>
      </w:r>
      <w:r w:rsidR="0072341D" w:rsidRPr="0072341D">
        <w:rPr>
          <w:color w:val="000000" w:themeColor="text1"/>
          <w:szCs w:val="24"/>
        </w:rPr>
        <w:t>re than 30 lbs with both hands, carry or fire a weapon</w:t>
      </w:r>
      <w:r w:rsidR="00940632" w:rsidRPr="0072341D">
        <w:rPr>
          <w:color w:val="000000" w:themeColor="text1"/>
          <w:szCs w:val="24"/>
        </w:rPr>
        <w:t>,</w:t>
      </w:r>
      <w:r w:rsidR="00940632" w:rsidRPr="006B1305">
        <w:rPr>
          <w:color w:val="000000" w:themeColor="text1"/>
          <w:szCs w:val="24"/>
        </w:rPr>
        <w:t xml:space="preserve"> </w:t>
      </w:r>
      <w:r w:rsidR="00815C55" w:rsidRPr="006B1305">
        <w:rPr>
          <w:color w:val="000000" w:themeColor="text1"/>
          <w:szCs w:val="24"/>
        </w:rPr>
        <w:t>and</w:t>
      </w:r>
      <w:r w:rsidR="00AA4B2C" w:rsidRPr="006B1305">
        <w:rPr>
          <w:color w:val="000000" w:themeColor="text1"/>
          <w:szCs w:val="24"/>
        </w:rPr>
        <w:t xml:space="preserve"> </w:t>
      </w:r>
      <w:r w:rsidR="002D44B9">
        <w:rPr>
          <w:color w:val="000000" w:themeColor="text1"/>
          <w:szCs w:val="24"/>
        </w:rPr>
        <w:t>interference with activities of</w:t>
      </w:r>
      <w:r w:rsidR="00AA4B2C" w:rsidRPr="006B1305">
        <w:rPr>
          <w:color w:val="000000" w:themeColor="text1"/>
          <w:szCs w:val="24"/>
        </w:rPr>
        <w:t xml:space="preserve"> daily living </w:t>
      </w:r>
      <w:r w:rsidR="002D44B9">
        <w:rPr>
          <w:color w:val="000000" w:themeColor="text1"/>
          <w:szCs w:val="24"/>
        </w:rPr>
        <w:t>which</w:t>
      </w:r>
      <w:r w:rsidR="00AA4B2C" w:rsidRPr="006B1305">
        <w:rPr>
          <w:color w:val="000000" w:themeColor="text1"/>
          <w:szCs w:val="24"/>
        </w:rPr>
        <w:t xml:space="preserve"> required repetitive use of the right upper extremity or overhead work.</w:t>
      </w:r>
      <w:r w:rsidR="009D6168">
        <w:rPr>
          <w:color w:val="000000" w:themeColor="text1"/>
          <w:szCs w:val="24"/>
        </w:rPr>
        <w:t xml:space="preserve">  </w:t>
      </w:r>
      <w:r w:rsidR="002D44B9">
        <w:rPr>
          <w:color w:val="000000" w:themeColor="text1"/>
          <w:szCs w:val="24"/>
        </w:rPr>
        <w:t>Similar restrictions were documented in t</w:t>
      </w:r>
      <w:r w:rsidR="009D6168">
        <w:rPr>
          <w:color w:val="000000" w:themeColor="text1"/>
          <w:szCs w:val="24"/>
        </w:rPr>
        <w:t xml:space="preserve">he permanent </w:t>
      </w:r>
      <w:r w:rsidR="002D44B9">
        <w:rPr>
          <w:color w:val="000000" w:themeColor="text1"/>
          <w:szCs w:val="24"/>
        </w:rPr>
        <w:t xml:space="preserve">(bilateral shoulder) </w:t>
      </w:r>
      <w:r w:rsidR="009D6168">
        <w:rPr>
          <w:color w:val="000000" w:themeColor="text1"/>
          <w:szCs w:val="24"/>
        </w:rPr>
        <w:t>profile.</w:t>
      </w:r>
      <w:r w:rsidR="005105D1">
        <w:rPr>
          <w:color w:val="000000" w:themeColor="text1"/>
          <w:szCs w:val="24"/>
        </w:rPr>
        <w:t xml:space="preserve">  </w:t>
      </w:r>
    </w:p>
    <w:p w:rsidR="002D44B9" w:rsidRDefault="002D44B9" w:rsidP="00B60055">
      <w:pPr>
        <w:jc w:val="both"/>
        <w:rPr>
          <w:rFonts w:asciiTheme="minorHAnsi" w:hAnsiTheme="minorHAnsi"/>
          <w:color w:val="auto"/>
          <w:szCs w:val="24"/>
        </w:rPr>
      </w:pPr>
    </w:p>
    <w:p w:rsidR="003978B9" w:rsidRDefault="00D22B7C" w:rsidP="00B60055">
      <w:pPr>
        <w:jc w:val="both"/>
        <w:rPr>
          <w:rFonts w:asciiTheme="minorHAnsi" w:hAnsiTheme="minorHAnsi"/>
          <w:color w:val="auto"/>
          <w:szCs w:val="24"/>
        </w:rPr>
      </w:pPr>
      <w:r>
        <w:rPr>
          <w:rFonts w:asciiTheme="minorHAnsi" w:hAnsiTheme="minorHAnsi"/>
          <w:color w:val="auto"/>
          <w:szCs w:val="24"/>
        </w:rPr>
        <w:t xml:space="preserve">The Board directs its attention to its rating recommendations based on the evidence just described.  </w:t>
      </w:r>
      <w:r w:rsidR="00320169">
        <w:rPr>
          <w:rFonts w:asciiTheme="minorHAnsi" w:hAnsiTheme="minorHAnsi"/>
          <w:color w:val="auto"/>
          <w:szCs w:val="24"/>
        </w:rPr>
        <w:t xml:space="preserve">There was a clear disparity between the MEB and VA </w:t>
      </w:r>
      <w:r w:rsidR="0028414F">
        <w:rPr>
          <w:rFonts w:asciiTheme="minorHAnsi" w:hAnsiTheme="minorHAnsi"/>
          <w:color w:val="auto"/>
          <w:szCs w:val="24"/>
        </w:rPr>
        <w:t>ROM measurements</w:t>
      </w:r>
      <w:r w:rsidR="006B1305">
        <w:rPr>
          <w:rFonts w:asciiTheme="minorHAnsi" w:hAnsiTheme="minorHAnsi"/>
          <w:color w:val="auto"/>
          <w:szCs w:val="24"/>
        </w:rPr>
        <w:t>.  There was</w:t>
      </w:r>
      <w:r w:rsidR="00320169">
        <w:rPr>
          <w:rFonts w:asciiTheme="minorHAnsi" w:hAnsiTheme="minorHAnsi"/>
          <w:color w:val="auto"/>
          <w:szCs w:val="24"/>
        </w:rPr>
        <w:t xml:space="preserve"> co</w:t>
      </w:r>
      <w:r w:rsidR="006F4B42">
        <w:rPr>
          <w:rFonts w:asciiTheme="minorHAnsi" w:hAnsiTheme="minorHAnsi"/>
          <w:color w:val="auto"/>
          <w:szCs w:val="24"/>
        </w:rPr>
        <w:t xml:space="preserve">rroborating evidence from </w:t>
      </w:r>
      <w:r w:rsidR="0028414F">
        <w:rPr>
          <w:rFonts w:asciiTheme="minorHAnsi" w:hAnsiTheme="minorHAnsi"/>
          <w:color w:val="auto"/>
          <w:szCs w:val="24"/>
        </w:rPr>
        <w:t>the</w:t>
      </w:r>
      <w:r w:rsidR="006F4B42">
        <w:rPr>
          <w:rFonts w:asciiTheme="minorHAnsi" w:hAnsiTheme="minorHAnsi"/>
          <w:color w:val="auto"/>
          <w:szCs w:val="24"/>
        </w:rPr>
        <w:t xml:space="preserve"> </w:t>
      </w:r>
      <w:r w:rsidR="00320169">
        <w:rPr>
          <w:rFonts w:asciiTheme="minorHAnsi" w:hAnsiTheme="minorHAnsi"/>
          <w:color w:val="auto"/>
          <w:szCs w:val="24"/>
        </w:rPr>
        <w:t>PT</w:t>
      </w:r>
      <w:r w:rsidR="0028414F">
        <w:rPr>
          <w:rFonts w:asciiTheme="minorHAnsi" w:hAnsiTheme="minorHAnsi"/>
          <w:color w:val="auto"/>
          <w:szCs w:val="24"/>
        </w:rPr>
        <w:t xml:space="preserve"> </w:t>
      </w:r>
      <w:r w:rsidR="00320169">
        <w:rPr>
          <w:rFonts w:asciiTheme="minorHAnsi" w:hAnsiTheme="minorHAnsi"/>
          <w:color w:val="auto"/>
          <w:szCs w:val="24"/>
        </w:rPr>
        <w:t xml:space="preserve">exam </w:t>
      </w:r>
      <w:r w:rsidR="00D55860">
        <w:rPr>
          <w:rFonts w:asciiTheme="minorHAnsi" w:hAnsiTheme="minorHAnsi"/>
          <w:color w:val="auto"/>
          <w:szCs w:val="24"/>
        </w:rPr>
        <w:t xml:space="preserve">prior to separation, </w:t>
      </w:r>
      <w:r w:rsidR="00320169">
        <w:rPr>
          <w:rFonts w:asciiTheme="minorHAnsi" w:hAnsiTheme="minorHAnsi"/>
          <w:color w:val="auto"/>
          <w:szCs w:val="24"/>
        </w:rPr>
        <w:t xml:space="preserve">to support the MEB ROM’s.  </w:t>
      </w:r>
      <w:r w:rsidR="00320169">
        <w:rPr>
          <w:rFonts w:cstheme="minorBidi"/>
          <w:color w:val="auto"/>
          <w:szCs w:val="24"/>
        </w:rPr>
        <w:t xml:space="preserve">There was also noted diminished motor strength in the PT exam </w:t>
      </w:r>
      <w:r w:rsidR="006B1305">
        <w:rPr>
          <w:rFonts w:cstheme="minorBidi"/>
          <w:color w:val="auto"/>
          <w:szCs w:val="24"/>
        </w:rPr>
        <w:t xml:space="preserve">which </w:t>
      </w:r>
      <w:r w:rsidR="00141E70">
        <w:rPr>
          <w:rFonts w:cstheme="minorBidi"/>
          <w:color w:val="auto"/>
          <w:szCs w:val="24"/>
        </w:rPr>
        <w:t>correlated</w:t>
      </w:r>
      <w:r w:rsidR="00320169">
        <w:rPr>
          <w:rFonts w:cstheme="minorBidi"/>
          <w:color w:val="auto"/>
          <w:szCs w:val="24"/>
        </w:rPr>
        <w:t xml:space="preserve"> with the </w:t>
      </w:r>
      <w:r w:rsidR="00A17701">
        <w:rPr>
          <w:rFonts w:cstheme="minorBidi"/>
          <w:color w:val="auto"/>
          <w:szCs w:val="24"/>
        </w:rPr>
        <w:t>diminished</w:t>
      </w:r>
      <w:r w:rsidR="006B1305">
        <w:rPr>
          <w:rFonts w:cstheme="minorBidi"/>
          <w:color w:val="auto"/>
          <w:szCs w:val="24"/>
        </w:rPr>
        <w:t xml:space="preserve"> strength </w:t>
      </w:r>
      <w:r w:rsidR="00141E70">
        <w:rPr>
          <w:rFonts w:cstheme="minorBidi"/>
          <w:color w:val="auto"/>
          <w:szCs w:val="24"/>
        </w:rPr>
        <w:t>on repetition</w:t>
      </w:r>
      <w:r w:rsidR="006B1305">
        <w:rPr>
          <w:rFonts w:cstheme="minorBidi"/>
          <w:color w:val="auto"/>
          <w:szCs w:val="24"/>
        </w:rPr>
        <w:t xml:space="preserve"> in the </w:t>
      </w:r>
      <w:r w:rsidR="00320169">
        <w:rPr>
          <w:rFonts w:cstheme="minorBidi"/>
          <w:color w:val="auto"/>
          <w:szCs w:val="24"/>
        </w:rPr>
        <w:t>VA</w:t>
      </w:r>
      <w:r w:rsidR="00747A56">
        <w:rPr>
          <w:rFonts w:cstheme="minorBidi"/>
          <w:color w:val="auto"/>
          <w:szCs w:val="24"/>
        </w:rPr>
        <w:t xml:space="preserve"> exam.  Due to the completeness, </w:t>
      </w:r>
      <w:r w:rsidR="00A17701">
        <w:rPr>
          <w:rFonts w:cstheme="minorBidi"/>
          <w:color w:val="auto"/>
          <w:szCs w:val="24"/>
        </w:rPr>
        <w:t>proximately</w:t>
      </w:r>
      <w:r w:rsidR="00747A56">
        <w:rPr>
          <w:rFonts w:cstheme="minorBidi"/>
          <w:color w:val="auto"/>
          <w:szCs w:val="24"/>
        </w:rPr>
        <w:t xml:space="preserve"> to separation and </w:t>
      </w:r>
      <w:r w:rsidR="0028414F">
        <w:rPr>
          <w:rFonts w:cstheme="minorBidi"/>
          <w:color w:val="auto"/>
          <w:szCs w:val="24"/>
        </w:rPr>
        <w:t>overlapping</w:t>
      </w:r>
      <w:r w:rsidR="00A17701">
        <w:rPr>
          <w:rFonts w:cstheme="minorBidi"/>
          <w:color w:val="auto"/>
          <w:szCs w:val="24"/>
        </w:rPr>
        <w:t xml:space="preserve"> findings with</w:t>
      </w:r>
      <w:r w:rsidR="00747A56">
        <w:rPr>
          <w:rFonts w:cstheme="minorBidi"/>
          <w:color w:val="auto"/>
          <w:szCs w:val="24"/>
        </w:rPr>
        <w:t xml:space="preserve"> both the MEB and VA exam</w:t>
      </w:r>
      <w:r w:rsidR="0028414F">
        <w:rPr>
          <w:rFonts w:cstheme="minorBidi"/>
          <w:color w:val="auto"/>
          <w:szCs w:val="24"/>
        </w:rPr>
        <w:t>s</w:t>
      </w:r>
      <w:r w:rsidR="00320169">
        <w:rPr>
          <w:rFonts w:cstheme="minorBidi"/>
          <w:color w:val="auto"/>
          <w:szCs w:val="24"/>
        </w:rPr>
        <w:t xml:space="preserve">, the Board agreed </w:t>
      </w:r>
      <w:r w:rsidR="0028414F">
        <w:rPr>
          <w:rFonts w:cstheme="minorBidi"/>
          <w:color w:val="auto"/>
          <w:szCs w:val="24"/>
        </w:rPr>
        <w:t xml:space="preserve">that </w:t>
      </w:r>
      <w:r w:rsidR="00747A56">
        <w:rPr>
          <w:rFonts w:cstheme="minorBidi"/>
          <w:color w:val="auto"/>
          <w:szCs w:val="24"/>
        </w:rPr>
        <w:t>the PT exam</w:t>
      </w:r>
      <w:r w:rsidR="00320169">
        <w:rPr>
          <w:rFonts w:cstheme="minorBidi"/>
          <w:color w:val="auto"/>
          <w:szCs w:val="24"/>
        </w:rPr>
        <w:t xml:space="preserve"> </w:t>
      </w:r>
      <w:r w:rsidR="0028414F">
        <w:rPr>
          <w:rFonts w:cstheme="minorBidi"/>
          <w:color w:val="auto"/>
          <w:szCs w:val="24"/>
        </w:rPr>
        <w:t>should be assigned</w:t>
      </w:r>
      <w:r w:rsidR="00320169">
        <w:rPr>
          <w:rFonts w:cstheme="minorBidi"/>
          <w:color w:val="auto"/>
          <w:szCs w:val="24"/>
        </w:rPr>
        <w:t xml:space="preserve"> the most probative </w:t>
      </w:r>
      <w:r w:rsidR="0028414F">
        <w:rPr>
          <w:rFonts w:cstheme="minorBidi"/>
          <w:color w:val="auto"/>
          <w:szCs w:val="24"/>
        </w:rPr>
        <w:t>value on which to base its recommendation</w:t>
      </w:r>
      <w:r w:rsidR="00320169">
        <w:rPr>
          <w:rFonts w:cstheme="minorBidi"/>
          <w:color w:val="auto"/>
          <w:szCs w:val="24"/>
        </w:rPr>
        <w:t>.</w:t>
      </w:r>
      <w:r w:rsidR="00320169">
        <w:rPr>
          <w:rFonts w:asciiTheme="minorHAnsi" w:hAnsiTheme="minorHAnsi"/>
          <w:color w:val="auto"/>
          <w:szCs w:val="24"/>
        </w:rPr>
        <w:t xml:space="preserve">  </w:t>
      </w:r>
      <w:r w:rsidR="00785A9E">
        <w:rPr>
          <w:rFonts w:asciiTheme="minorHAnsi" w:hAnsiTheme="minorHAnsi"/>
          <w:color w:val="auto"/>
          <w:szCs w:val="24"/>
        </w:rPr>
        <w:t xml:space="preserve">The PEB coded </w:t>
      </w:r>
      <w:r w:rsidR="00785A9E" w:rsidRPr="00721FA0">
        <w:rPr>
          <w:rFonts w:asciiTheme="minorHAnsi" w:hAnsiTheme="minorHAnsi"/>
          <w:color w:val="auto"/>
          <w:szCs w:val="24"/>
        </w:rPr>
        <w:t>analogous</w:t>
      </w:r>
      <w:r w:rsidR="00785A9E">
        <w:rPr>
          <w:rFonts w:asciiTheme="minorHAnsi" w:hAnsiTheme="minorHAnsi"/>
          <w:color w:val="auto"/>
          <w:szCs w:val="24"/>
        </w:rPr>
        <w:t>ly</w:t>
      </w:r>
      <w:r w:rsidR="00785A9E" w:rsidRPr="00721FA0">
        <w:rPr>
          <w:rFonts w:asciiTheme="minorHAnsi" w:hAnsiTheme="minorHAnsi"/>
          <w:color w:val="auto"/>
          <w:szCs w:val="24"/>
        </w:rPr>
        <w:t xml:space="preserve"> </w:t>
      </w:r>
      <w:r w:rsidR="00785A9E">
        <w:rPr>
          <w:rFonts w:asciiTheme="minorHAnsi" w:hAnsiTheme="minorHAnsi"/>
          <w:color w:val="auto"/>
          <w:szCs w:val="24"/>
        </w:rPr>
        <w:t>to</w:t>
      </w:r>
      <w:r w:rsidR="00785A9E" w:rsidRPr="00721FA0">
        <w:rPr>
          <w:rFonts w:asciiTheme="minorHAnsi" w:hAnsiTheme="minorHAnsi"/>
          <w:color w:val="auto"/>
          <w:szCs w:val="24"/>
        </w:rPr>
        <w:t xml:space="preserve"> </w:t>
      </w:r>
      <w:r w:rsidR="00785A9E">
        <w:rPr>
          <w:rFonts w:asciiTheme="minorHAnsi" w:hAnsiTheme="minorHAnsi"/>
          <w:color w:val="auto"/>
          <w:szCs w:val="24"/>
        </w:rPr>
        <w:t>5003 (</w:t>
      </w:r>
      <w:r w:rsidR="00785A9E" w:rsidRPr="00721FA0">
        <w:rPr>
          <w:rFonts w:asciiTheme="minorHAnsi" w:hAnsiTheme="minorHAnsi"/>
          <w:color w:val="auto"/>
          <w:szCs w:val="24"/>
        </w:rPr>
        <w:t xml:space="preserve">degenerative </w:t>
      </w:r>
      <w:r w:rsidR="0028414F">
        <w:rPr>
          <w:rFonts w:asciiTheme="minorHAnsi" w:hAnsiTheme="minorHAnsi"/>
          <w:color w:val="auto"/>
          <w:szCs w:val="24"/>
        </w:rPr>
        <w:t>arthritis); and,</w:t>
      </w:r>
      <w:r w:rsidR="00785A9E">
        <w:rPr>
          <w:rFonts w:asciiTheme="minorHAnsi" w:hAnsiTheme="minorHAnsi"/>
          <w:color w:val="auto"/>
          <w:szCs w:val="24"/>
        </w:rPr>
        <w:t xml:space="preserve"> </w:t>
      </w:r>
      <w:r w:rsidR="0028414F">
        <w:rPr>
          <w:rFonts w:asciiTheme="minorHAnsi" w:hAnsiTheme="minorHAnsi"/>
          <w:color w:val="auto"/>
          <w:szCs w:val="24"/>
        </w:rPr>
        <w:t>t</w:t>
      </w:r>
      <w:r>
        <w:rPr>
          <w:rFonts w:asciiTheme="minorHAnsi" w:hAnsiTheme="minorHAnsi"/>
          <w:color w:val="auto"/>
          <w:szCs w:val="24"/>
        </w:rPr>
        <w:t>he VA coded the condition 5203 (</w:t>
      </w:r>
      <w:r w:rsidR="00917CFF">
        <w:rPr>
          <w:rFonts w:asciiTheme="minorHAnsi" w:hAnsiTheme="minorHAnsi"/>
          <w:color w:val="auto"/>
          <w:szCs w:val="24"/>
        </w:rPr>
        <w:t xml:space="preserve">for </w:t>
      </w:r>
      <w:r w:rsidR="00917CFF">
        <w:rPr>
          <w:color w:val="000000" w:themeColor="text1"/>
          <w:szCs w:val="24"/>
        </w:rPr>
        <w:t xml:space="preserve">impairment of </w:t>
      </w:r>
      <w:r w:rsidR="0028414F">
        <w:rPr>
          <w:color w:val="000000" w:themeColor="text1"/>
          <w:szCs w:val="24"/>
        </w:rPr>
        <w:t>c</w:t>
      </w:r>
      <w:r>
        <w:rPr>
          <w:color w:val="000000" w:themeColor="text1"/>
          <w:szCs w:val="24"/>
        </w:rPr>
        <w:t>lavicle</w:t>
      </w:r>
      <w:r w:rsidR="00917CFF">
        <w:rPr>
          <w:rFonts w:asciiTheme="minorHAnsi" w:hAnsiTheme="minorHAnsi"/>
          <w:color w:val="auto"/>
          <w:szCs w:val="24"/>
        </w:rPr>
        <w:t>).  A</w:t>
      </w:r>
      <w:r>
        <w:rPr>
          <w:rFonts w:asciiTheme="minorHAnsi" w:hAnsiTheme="minorHAnsi"/>
          <w:color w:val="auto"/>
          <w:szCs w:val="24"/>
        </w:rPr>
        <w:t xml:space="preserve"> </w:t>
      </w:r>
      <w:r w:rsidR="00917CFF">
        <w:rPr>
          <w:rFonts w:asciiTheme="minorHAnsi" w:hAnsiTheme="minorHAnsi"/>
          <w:color w:val="auto"/>
          <w:szCs w:val="24"/>
        </w:rPr>
        <w:t xml:space="preserve">compensable rating under </w:t>
      </w:r>
      <w:r w:rsidR="00CB5097">
        <w:rPr>
          <w:rFonts w:asciiTheme="minorHAnsi" w:hAnsiTheme="minorHAnsi"/>
          <w:color w:val="auto"/>
          <w:szCs w:val="24"/>
        </w:rPr>
        <w:t>5203 requires</w:t>
      </w:r>
      <w:r w:rsidR="00917CFF">
        <w:rPr>
          <w:rFonts w:asciiTheme="minorHAnsi" w:hAnsiTheme="minorHAnsi"/>
          <w:color w:val="auto"/>
          <w:szCs w:val="24"/>
        </w:rPr>
        <w:t xml:space="preserve"> </w:t>
      </w:r>
      <w:proofErr w:type="spellStart"/>
      <w:r>
        <w:rPr>
          <w:color w:val="000000" w:themeColor="text1"/>
          <w:szCs w:val="24"/>
        </w:rPr>
        <w:t>malunion</w:t>
      </w:r>
      <w:proofErr w:type="spellEnd"/>
      <w:r>
        <w:rPr>
          <w:color w:val="000000" w:themeColor="text1"/>
          <w:szCs w:val="24"/>
        </w:rPr>
        <w:t xml:space="preserve"> or nonunion of the clavicle</w:t>
      </w:r>
      <w:r w:rsidR="00917CFF">
        <w:rPr>
          <w:color w:val="000000" w:themeColor="text1"/>
          <w:szCs w:val="24"/>
        </w:rPr>
        <w:t>, neither of which was demonstrated by imaging</w:t>
      </w:r>
      <w:r>
        <w:rPr>
          <w:color w:val="000000" w:themeColor="text1"/>
          <w:szCs w:val="24"/>
        </w:rPr>
        <w:t>.</w:t>
      </w:r>
      <w:r w:rsidR="0038471A">
        <w:rPr>
          <w:rFonts w:asciiTheme="minorHAnsi" w:hAnsiTheme="minorHAnsi"/>
          <w:color w:val="auto"/>
          <w:szCs w:val="24"/>
        </w:rPr>
        <w:t xml:space="preserve">  </w:t>
      </w:r>
      <w:r w:rsidR="00F67C20">
        <w:rPr>
          <w:rFonts w:cstheme="minorBidi"/>
          <w:color w:val="auto"/>
          <w:szCs w:val="24"/>
        </w:rPr>
        <w:t xml:space="preserve">The Board considered </w:t>
      </w:r>
      <w:r w:rsidR="00917CFF">
        <w:rPr>
          <w:rFonts w:cstheme="minorBidi"/>
          <w:color w:val="auto"/>
          <w:szCs w:val="24"/>
        </w:rPr>
        <w:t xml:space="preserve">that, although the probative ROM measurements were non-compensable; </w:t>
      </w:r>
      <w:r w:rsidR="00F67C20">
        <w:rPr>
          <w:rFonts w:cstheme="minorBidi"/>
          <w:color w:val="auto"/>
          <w:szCs w:val="24"/>
        </w:rPr>
        <w:t>the residual occupational and daily activity impa</w:t>
      </w:r>
      <w:r w:rsidR="00917CFF">
        <w:rPr>
          <w:rFonts w:cstheme="minorBidi"/>
          <w:color w:val="auto"/>
          <w:szCs w:val="24"/>
        </w:rPr>
        <w:t xml:space="preserve">irments due to pain and the </w:t>
      </w:r>
      <w:r w:rsidR="00F67C20">
        <w:rPr>
          <w:rFonts w:cstheme="minorBidi"/>
          <w:color w:val="auto"/>
          <w:szCs w:val="24"/>
        </w:rPr>
        <w:t xml:space="preserve"> diminished strength</w:t>
      </w:r>
      <w:r w:rsidR="00866721">
        <w:rPr>
          <w:rFonts w:cstheme="minorBidi"/>
          <w:color w:val="auto"/>
          <w:szCs w:val="24"/>
        </w:rPr>
        <w:t xml:space="preserve"> </w:t>
      </w:r>
      <w:r w:rsidR="00917CFF">
        <w:rPr>
          <w:rFonts w:cstheme="minorBidi"/>
          <w:color w:val="auto"/>
          <w:szCs w:val="24"/>
        </w:rPr>
        <w:t xml:space="preserve">in evidence </w:t>
      </w:r>
      <w:r w:rsidR="003C0CF0">
        <w:rPr>
          <w:rFonts w:cstheme="minorBidi"/>
          <w:color w:val="auto"/>
          <w:szCs w:val="24"/>
        </w:rPr>
        <w:t xml:space="preserve">adequately supported application of either </w:t>
      </w:r>
      <w:r w:rsidR="00F67C20">
        <w:rPr>
          <w:rFonts w:asciiTheme="minorHAnsi" w:hAnsiTheme="minorHAnsi"/>
          <w:color w:val="auto"/>
          <w:szCs w:val="24"/>
        </w:rPr>
        <w:t>VASRD</w:t>
      </w:r>
      <w:r w:rsidR="00F67C20">
        <w:rPr>
          <w:rFonts w:cstheme="minorBidi"/>
          <w:color w:val="auto"/>
          <w:szCs w:val="24"/>
        </w:rPr>
        <w:t xml:space="preserve"> </w:t>
      </w:r>
      <w:r w:rsidR="00F67C20">
        <w:rPr>
          <w:rFonts w:asciiTheme="minorHAnsi" w:hAnsiTheme="minorHAnsi"/>
          <w:color w:val="auto"/>
          <w:szCs w:val="24"/>
        </w:rPr>
        <w:t>§4.40</w:t>
      </w:r>
      <w:r w:rsidR="006F4B42">
        <w:rPr>
          <w:rFonts w:asciiTheme="minorHAnsi" w:hAnsiTheme="minorHAnsi"/>
          <w:color w:val="auto"/>
          <w:szCs w:val="24"/>
        </w:rPr>
        <w:t xml:space="preserve"> </w:t>
      </w:r>
      <w:r w:rsidR="00F67C20">
        <w:rPr>
          <w:rFonts w:asciiTheme="minorHAnsi" w:hAnsiTheme="minorHAnsi"/>
          <w:color w:val="auto"/>
          <w:szCs w:val="24"/>
        </w:rPr>
        <w:t xml:space="preserve">(functional loss) </w:t>
      </w:r>
      <w:r w:rsidR="003C0CF0">
        <w:rPr>
          <w:rFonts w:asciiTheme="minorHAnsi" w:hAnsiTheme="minorHAnsi"/>
          <w:color w:val="auto"/>
          <w:szCs w:val="24"/>
        </w:rPr>
        <w:t>or</w:t>
      </w:r>
      <w:r w:rsidR="00F67C20">
        <w:rPr>
          <w:rFonts w:asciiTheme="minorHAnsi" w:hAnsiTheme="minorHAnsi"/>
          <w:color w:val="auto"/>
          <w:szCs w:val="24"/>
        </w:rPr>
        <w:t xml:space="preserve"> §4.59 (</w:t>
      </w:r>
      <w:r w:rsidR="00F67C20">
        <w:rPr>
          <w:rFonts w:cstheme="minorBidi"/>
          <w:color w:val="auto"/>
          <w:szCs w:val="24"/>
        </w:rPr>
        <w:t>painful motion)</w:t>
      </w:r>
      <w:r w:rsidR="00747A56">
        <w:rPr>
          <w:rFonts w:cstheme="minorBidi"/>
          <w:color w:val="auto"/>
          <w:szCs w:val="24"/>
        </w:rPr>
        <w:t xml:space="preserve"> </w:t>
      </w:r>
      <w:r w:rsidR="003C0CF0">
        <w:rPr>
          <w:rFonts w:cstheme="minorBidi"/>
          <w:color w:val="auto"/>
          <w:szCs w:val="24"/>
        </w:rPr>
        <w:t>to achieve a minimum compensable rating (10%) under 5003 criteria</w:t>
      </w:r>
      <w:r w:rsidR="00747A56">
        <w:rPr>
          <w:rFonts w:cstheme="minorBidi"/>
          <w:color w:val="auto"/>
          <w:szCs w:val="24"/>
        </w:rPr>
        <w:t xml:space="preserve">. </w:t>
      </w:r>
      <w:r w:rsidR="00605DF9">
        <w:rPr>
          <w:rFonts w:cstheme="minorBidi"/>
          <w:color w:val="auto"/>
          <w:szCs w:val="24"/>
        </w:rPr>
        <w:t xml:space="preserve"> </w:t>
      </w:r>
      <w:r w:rsidR="003978B9" w:rsidRPr="003978B9">
        <w:rPr>
          <w:rFonts w:cstheme="minorBidi"/>
          <w:color w:val="auto"/>
          <w:szCs w:val="24"/>
        </w:rPr>
        <w:t xml:space="preserve">There was no clinical and/or radiologic evidence that suggested </w:t>
      </w:r>
      <w:proofErr w:type="spellStart"/>
      <w:r w:rsidR="003978B9" w:rsidRPr="003978B9">
        <w:rPr>
          <w:rFonts w:cstheme="minorBidi"/>
          <w:color w:val="auto"/>
          <w:szCs w:val="24"/>
        </w:rPr>
        <w:t>ankyl</w:t>
      </w:r>
      <w:r w:rsidR="003C0CF0">
        <w:rPr>
          <w:rFonts w:cstheme="minorBidi"/>
          <w:color w:val="auto"/>
          <w:szCs w:val="24"/>
        </w:rPr>
        <w:t>osis</w:t>
      </w:r>
      <w:proofErr w:type="spellEnd"/>
      <w:r w:rsidR="003C0CF0">
        <w:rPr>
          <w:rFonts w:cstheme="minorBidi"/>
          <w:color w:val="auto"/>
          <w:szCs w:val="24"/>
        </w:rPr>
        <w:t xml:space="preserve">, loss of the humeral head, deformity, </w:t>
      </w:r>
      <w:r w:rsidR="003978B9" w:rsidRPr="003978B9">
        <w:rPr>
          <w:rFonts w:cstheme="minorBidi"/>
          <w:color w:val="auto"/>
          <w:szCs w:val="24"/>
        </w:rPr>
        <w:t>or recurrent dislocations that would have justified any code with higher rating potential.</w:t>
      </w:r>
      <w:r w:rsidR="003978B9" w:rsidRPr="00124382">
        <w:rPr>
          <w:rFonts w:cstheme="minorBidi"/>
          <w:color w:val="auto"/>
          <w:szCs w:val="24"/>
        </w:rPr>
        <w:t xml:space="preserve">  </w:t>
      </w:r>
      <w:r w:rsidR="00E04D69">
        <w:rPr>
          <w:rFonts w:asciiTheme="minorHAnsi" w:hAnsiTheme="minorHAnsi"/>
          <w:color w:val="auto"/>
          <w:szCs w:val="24"/>
        </w:rPr>
        <w:t>A</w:t>
      </w:r>
      <w:r w:rsidR="00B60055" w:rsidRPr="00B60055">
        <w:rPr>
          <w:rFonts w:asciiTheme="minorHAnsi" w:hAnsiTheme="minorHAnsi"/>
          <w:color w:val="auto"/>
          <w:szCs w:val="24"/>
        </w:rPr>
        <w:t>fter due deliberation, considering all of the evi</w:t>
      </w:r>
      <w:r w:rsidR="009F6E48">
        <w:rPr>
          <w:rFonts w:asciiTheme="minorHAnsi" w:hAnsiTheme="minorHAnsi"/>
          <w:color w:val="auto"/>
          <w:szCs w:val="24"/>
        </w:rPr>
        <w:t>dence and mindful of VASRD §4.3</w:t>
      </w:r>
      <w:r w:rsidR="003C0CF0">
        <w:rPr>
          <w:rFonts w:asciiTheme="minorHAnsi" w:hAnsiTheme="minorHAnsi"/>
          <w:color w:val="auto"/>
          <w:szCs w:val="24"/>
        </w:rPr>
        <w:t xml:space="preserve"> </w:t>
      </w:r>
      <w:r w:rsidR="00B60055" w:rsidRPr="00B60055">
        <w:rPr>
          <w:rFonts w:asciiTheme="minorHAnsi" w:hAnsiTheme="minorHAnsi"/>
          <w:color w:val="auto"/>
          <w:szCs w:val="24"/>
        </w:rPr>
        <w:t>(reasonable doubt),</w:t>
      </w:r>
      <w:r w:rsidR="009F6E48">
        <w:rPr>
          <w:rFonts w:asciiTheme="minorHAnsi" w:hAnsiTheme="minorHAnsi"/>
          <w:color w:val="auto"/>
          <w:szCs w:val="24"/>
        </w:rPr>
        <w:t xml:space="preserve"> </w:t>
      </w:r>
      <w:r w:rsidR="00B60055" w:rsidRPr="00B60055">
        <w:rPr>
          <w:rFonts w:asciiTheme="minorHAnsi" w:hAnsiTheme="minorHAnsi"/>
          <w:color w:val="auto"/>
          <w:szCs w:val="24"/>
        </w:rPr>
        <w:t xml:space="preserve">the Board recommends a separation rating </w:t>
      </w:r>
      <w:r w:rsidR="00B60055" w:rsidRPr="003C0CF0">
        <w:rPr>
          <w:rFonts w:asciiTheme="minorHAnsi" w:hAnsiTheme="minorHAnsi"/>
          <w:color w:val="auto"/>
          <w:szCs w:val="24"/>
        </w:rPr>
        <w:t xml:space="preserve">of </w:t>
      </w:r>
      <w:r w:rsidR="003978B9" w:rsidRPr="003C0CF0">
        <w:rPr>
          <w:rFonts w:asciiTheme="minorHAnsi" w:hAnsiTheme="minorHAnsi"/>
          <w:color w:val="auto"/>
          <w:szCs w:val="24"/>
        </w:rPr>
        <w:t>1</w:t>
      </w:r>
      <w:r w:rsidR="00B60055" w:rsidRPr="003C0CF0">
        <w:rPr>
          <w:rFonts w:asciiTheme="minorHAnsi" w:hAnsiTheme="minorHAnsi"/>
          <w:color w:val="auto"/>
          <w:szCs w:val="24"/>
        </w:rPr>
        <w:t>0%</w:t>
      </w:r>
      <w:r w:rsidR="00B60055" w:rsidRPr="00B60055">
        <w:rPr>
          <w:rFonts w:asciiTheme="minorHAnsi" w:hAnsiTheme="minorHAnsi"/>
          <w:color w:val="auto"/>
          <w:szCs w:val="24"/>
        </w:rPr>
        <w:t xml:space="preserve"> for the </w:t>
      </w:r>
      <w:r w:rsidR="006B1305">
        <w:rPr>
          <w:rFonts w:asciiTheme="minorHAnsi" w:hAnsiTheme="minorHAnsi"/>
          <w:color w:val="auto"/>
          <w:szCs w:val="24"/>
        </w:rPr>
        <w:t>right shoulder</w:t>
      </w:r>
      <w:r w:rsidR="00B60055">
        <w:rPr>
          <w:rFonts w:asciiTheme="minorHAnsi" w:hAnsiTheme="minorHAnsi"/>
          <w:color w:val="auto"/>
          <w:szCs w:val="24"/>
        </w:rPr>
        <w:t xml:space="preserve"> </w:t>
      </w:r>
      <w:r w:rsidR="00B60055" w:rsidRPr="00B60055">
        <w:rPr>
          <w:rFonts w:asciiTheme="minorHAnsi" w:hAnsiTheme="minorHAnsi"/>
          <w:color w:val="auto"/>
          <w:szCs w:val="24"/>
        </w:rPr>
        <w:t>condition</w:t>
      </w:r>
      <w:r w:rsidR="003C0CF0">
        <w:rPr>
          <w:rFonts w:asciiTheme="minorHAnsi" w:hAnsiTheme="minorHAnsi"/>
          <w:color w:val="auto"/>
          <w:szCs w:val="24"/>
        </w:rPr>
        <w:t xml:space="preserve">.  The </w:t>
      </w:r>
      <w:r w:rsidR="00AC33D3">
        <w:rPr>
          <w:rFonts w:asciiTheme="minorHAnsi" w:hAnsiTheme="minorHAnsi"/>
          <w:color w:val="auto"/>
          <w:szCs w:val="24"/>
        </w:rPr>
        <w:t>a</w:t>
      </w:r>
      <w:r w:rsidR="003C0CF0">
        <w:rPr>
          <w:rFonts w:asciiTheme="minorHAnsi" w:hAnsiTheme="minorHAnsi"/>
          <w:color w:val="auto"/>
          <w:szCs w:val="24"/>
        </w:rPr>
        <w:t xml:space="preserve">ction </w:t>
      </w:r>
      <w:r w:rsidR="00AC33D3">
        <w:rPr>
          <w:rFonts w:asciiTheme="minorHAnsi" w:hAnsiTheme="minorHAnsi"/>
          <w:color w:val="auto"/>
          <w:szCs w:val="24"/>
        </w:rPr>
        <w:t>o</w:t>
      </w:r>
      <w:r w:rsidR="003C0CF0">
        <w:rPr>
          <w:rFonts w:asciiTheme="minorHAnsi" w:hAnsiTheme="minorHAnsi"/>
          <w:color w:val="auto"/>
          <w:szCs w:val="24"/>
        </w:rPr>
        <w:t>fficer prefers the</w:t>
      </w:r>
      <w:r w:rsidR="00B11316">
        <w:rPr>
          <w:rFonts w:asciiTheme="minorHAnsi" w:hAnsiTheme="minorHAnsi"/>
          <w:color w:val="auto"/>
          <w:szCs w:val="24"/>
        </w:rPr>
        <w:t xml:space="preserve"> code 5010 (traumatic arthritis,</w:t>
      </w:r>
      <w:r w:rsidR="003C0CF0">
        <w:rPr>
          <w:rFonts w:asciiTheme="minorHAnsi" w:hAnsiTheme="minorHAnsi"/>
          <w:color w:val="auto"/>
          <w:szCs w:val="24"/>
        </w:rPr>
        <w:t xml:space="preserve"> rated </w:t>
      </w:r>
      <w:r w:rsidR="00B11316">
        <w:rPr>
          <w:rFonts w:asciiTheme="minorHAnsi" w:hAnsiTheme="minorHAnsi"/>
          <w:color w:val="auto"/>
          <w:szCs w:val="24"/>
        </w:rPr>
        <w:t>per</w:t>
      </w:r>
      <w:r w:rsidR="003C0CF0">
        <w:rPr>
          <w:rFonts w:asciiTheme="minorHAnsi" w:hAnsiTheme="minorHAnsi"/>
          <w:color w:val="auto"/>
          <w:szCs w:val="24"/>
        </w:rPr>
        <w:t xml:space="preserve"> 5003) for its clinical compatibility</w:t>
      </w:r>
      <w:r w:rsidR="009F6E48">
        <w:rPr>
          <w:rFonts w:asciiTheme="minorHAnsi" w:hAnsiTheme="minorHAnsi"/>
          <w:color w:val="auto"/>
          <w:szCs w:val="24"/>
        </w:rPr>
        <w:t>.</w:t>
      </w:r>
    </w:p>
    <w:p w:rsidR="002E7CC2" w:rsidRPr="003978B9" w:rsidRDefault="002E7CC2" w:rsidP="00B60055">
      <w:pPr>
        <w:jc w:val="both"/>
        <w:rPr>
          <w:rFonts w:asciiTheme="minorHAnsi" w:hAnsiTheme="minorHAnsi"/>
          <w:color w:val="auto"/>
          <w:sz w:val="18"/>
          <w:szCs w:val="18"/>
        </w:rPr>
      </w:pPr>
    </w:p>
    <w:p w:rsidR="008613DA" w:rsidRDefault="00B60055" w:rsidP="008613DA">
      <w:pPr>
        <w:autoSpaceDE w:val="0"/>
        <w:autoSpaceDN w:val="0"/>
        <w:adjustRightInd w:val="0"/>
        <w:jc w:val="both"/>
        <w:rPr>
          <w:color w:val="000000" w:themeColor="text1"/>
          <w:szCs w:val="24"/>
        </w:rPr>
      </w:pPr>
      <w:proofErr w:type="gramStart"/>
      <w:r>
        <w:rPr>
          <w:color w:val="000000" w:themeColor="text1"/>
          <w:szCs w:val="24"/>
          <w:u w:val="single"/>
        </w:rPr>
        <w:t xml:space="preserve">Left </w:t>
      </w:r>
      <w:r w:rsidRPr="00782ACD">
        <w:rPr>
          <w:color w:val="000000" w:themeColor="text1"/>
          <w:szCs w:val="24"/>
          <w:u w:val="single"/>
        </w:rPr>
        <w:t>Shoulder Condition</w:t>
      </w:r>
      <w:r>
        <w:rPr>
          <w:color w:val="000000" w:themeColor="text1"/>
          <w:szCs w:val="24"/>
        </w:rPr>
        <w:t>.</w:t>
      </w:r>
      <w:proofErr w:type="gramEnd"/>
      <w:r>
        <w:rPr>
          <w:color w:val="000000" w:themeColor="text1"/>
          <w:szCs w:val="24"/>
        </w:rPr>
        <w:t xml:space="preserve">  </w:t>
      </w:r>
      <w:r w:rsidR="00931F34">
        <w:rPr>
          <w:color w:val="000000" w:themeColor="text1"/>
          <w:szCs w:val="24"/>
        </w:rPr>
        <w:t xml:space="preserve">The CI suffered </w:t>
      </w:r>
      <w:r w:rsidR="003C0CF0">
        <w:rPr>
          <w:color w:val="000000" w:themeColor="text1"/>
          <w:szCs w:val="24"/>
        </w:rPr>
        <w:t>shrapnel injuries</w:t>
      </w:r>
      <w:r w:rsidR="00931F34">
        <w:rPr>
          <w:color w:val="000000" w:themeColor="text1"/>
          <w:szCs w:val="24"/>
        </w:rPr>
        <w:t xml:space="preserve"> to the left shoulder which </w:t>
      </w:r>
      <w:r w:rsidR="003C0CF0">
        <w:rPr>
          <w:color w:val="000000" w:themeColor="text1"/>
          <w:szCs w:val="24"/>
        </w:rPr>
        <w:t xml:space="preserve">were </w:t>
      </w:r>
      <w:proofErr w:type="spellStart"/>
      <w:r w:rsidR="003C0CF0">
        <w:rPr>
          <w:color w:val="000000" w:themeColor="text1"/>
          <w:szCs w:val="24"/>
        </w:rPr>
        <w:t>debrided</w:t>
      </w:r>
      <w:proofErr w:type="spellEnd"/>
      <w:r w:rsidR="003C0CF0">
        <w:rPr>
          <w:color w:val="000000" w:themeColor="text1"/>
          <w:szCs w:val="24"/>
        </w:rPr>
        <w:t xml:space="preserve"> in theater, and underwent delayed primary closure </w:t>
      </w:r>
      <w:r w:rsidR="00336829">
        <w:rPr>
          <w:color w:val="000000" w:themeColor="text1"/>
          <w:szCs w:val="24"/>
        </w:rPr>
        <w:t>at</w:t>
      </w:r>
      <w:r w:rsidR="003C0CF0">
        <w:rPr>
          <w:color w:val="000000" w:themeColor="text1"/>
          <w:szCs w:val="24"/>
        </w:rPr>
        <w:t xml:space="preserve"> </w:t>
      </w:r>
      <w:proofErr w:type="spellStart"/>
      <w:r w:rsidR="003C0CF0">
        <w:rPr>
          <w:color w:val="000000" w:themeColor="text1"/>
          <w:szCs w:val="24"/>
        </w:rPr>
        <w:t>Landstuhl</w:t>
      </w:r>
      <w:proofErr w:type="spellEnd"/>
      <w:r w:rsidR="00336829">
        <w:rPr>
          <w:color w:val="000000" w:themeColor="text1"/>
          <w:szCs w:val="24"/>
        </w:rPr>
        <w:t xml:space="preserve"> Regional Medical Center (LRMC)</w:t>
      </w:r>
      <w:r w:rsidR="003C0CF0">
        <w:rPr>
          <w:color w:val="000000" w:themeColor="text1"/>
          <w:szCs w:val="24"/>
        </w:rPr>
        <w:t xml:space="preserve">.  </w:t>
      </w:r>
      <w:r w:rsidR="00336829">
        <w:rPr>
          <w:color w:val="000000" w:themeColor="text1"/>
          <w:szCs w:val="24"/>
        </w:rPr>
        <w:t xml:space="preserve">The STR </w:t>
      </w:r>
      <w:r w:rsidR="00CC161E">
        <w:rPr>
          <w:color w:val="000000" w:themeColor="text1"/>
          <w:szCs w:val="24"/>
        </w:rPr>
        <w:t>as submitted</w:t>
      </w:r>
      <w:r w:rsidR="00336829">
        <w:rPr>
          <w:color w:val="000000" w:themeColor="text1"/>
          <w:szCs w:val="24"/>
        </w:rPr>
        <w:t xml:space="preserve"> does not contain documentation from theater or LRMC, thus surgical details are not available</w:t>
      </w:r>
      <w:r w:rsidR="003C0CF0">
        <w:rPr>
          <w:color w:val="000000" w:themeColor="text1"/>
          <w:szCs w:val="24"/>
        </w:rPr>
        <w:t xml:space="preserve">.  Imaging from the MEB and VA </w:t>
      </w:r>
      <w:r w:rsidR="008613DA">
        <w:rPr>
          <w:color w:val="000000" w:themeColor="text1"/>
          <w:szCs w:val="24"/>
        </w:rPr>
        <w:t>demonstrate</w:t>
      </w:r>
      <w:r w:rsidR="00EB20C6">
        <w:rPr>
          <w:color w:val="000000" w:themeColor="text1"/>
          <w:szCs w:val="24"/>
        </w:rPr>
        <w:t>d</w:t>
      </w:r>
      <w:r w:rsidR="008613DA">
        <w:rPr>
          <w:color w:val="000000" w:themeColor="text1"/>
          <w:szCs w:val="24"/>
        </w:rPr>
        <w:t xml:space="preserve"> </w:t>
      </w:r>
      <w:r w:rsidR="003C0CF0">
        <w:rPr>
          <w:color w:val="000000" w:themeColor="text1"/>
          <w:szCs w:val="24"/>
        </w:rPr>
        <w:t xml:space="preserve">retained fragments, but no </w:t>
      </w:r>
      <w:r w:rsidR="008613DA">
        <w:rPr>
          <w:color w:val="000000" w:themeColor="text1"/>
          <w:szCs w:val="24"/>
        </w:rPr>
        <w:t>bony abnormality</w:t>
      </w:r>
      <w:r w:rsidR="003C0CF0">
        <w:rPr>
          <w:color w:val="000000" w:themeColor="text1"/>
          <w:szCs w:val="24"/>
        </w:rPr>
        <w:t xml:space="preserve"> or </w:t>
      </w:r>
      <w:r w:rsidR="008613DA">
        <w:rPr>
          <w:color w:val="000000" w:themeColor="text1"/>
          <w:szCs w:val="24"/>
        </w:rPr>
        <w:t>soft-tissue pathology related to joint integrity.  The pain was reported in the NARSUM</w:t>
      </w:r>
      <w:r w:rsidR="008613DA">
        <w:rPr>
          <w:rFonts w:asciiTheme="minorHAnsi" w:hAnsiTheme="minorHAnsi"/>
          <w:color w:val="000000" w:themeColor="text1"/>
          <w:szCs w:val="24"/>
        </w:rPr>
        <w:t xml:space="preserve"> </w:t>
      </w:r>
      <w:r w:rsidR="008613DA">
        <w:rPr>
          <w:color w:val="000000" w:themeColor="text1"/>
          <w:szCs w:val="24"/>
        </w:rPr>
        <w:t>as constant and moderately severe (3</w:t>
      </w:r>
      <w:r w:rsidR="00AC33D3">
        <w:rPr>
          <w:color w:val="000000" w:themeColor="text1"/>
          <w:szCs w:val="24"/>
        </w:rPr>
        <w:t>/</w:t>
      </w:r>
      <w:r w:rsidR="008613DA">
        <w:rPr>
          <w:color w:val="000000" w:themeColor="text1"/>
          <w:szCs w:val="24"/>
        </w:rPr>
        <w:t>10</w:t>
      </w:r>
      <w:r w:rsidR="00CB5097">
        <w:rPr>
          <w:color w:val="000000" w:themeColor="text1"/>
          <w:szCs w:val="24"/>
        </w:rPr>
        <w:t>);</w:t>
      </w:r>
      <w:r w:rsidR="008613DA">
        <w:rPr>
          <w:color w:val="000000" w:themeColor="text1"/>
          <w:szCs w:val="24"/>
        </w:rPr>
        <w:t xml:space="preserve"> but, worse with </w:t>
      </w:r>
      <w:r w:rsidR="008613DA">
        <w:rPr>
          <w:color w:val="000000" w:themeColor="text1"/>
          <w:szCs w:val="24"/>
        </w:rPr>
        <w:lastRenderedPageBreak/>
        <w:t>repetitive use (8</w:t>
      </w:r>
      <w:r w:rsidR="00AC33D3">
        <w:rPr>
          <w:color w:val="000000" w:themeColor="text1"/>
          <w:szCs w:val="24"/>
        </w:rPr>
        <w:t>/</w:t>
      </w:r>
      <w:r w:rsidR="008613DA">
        <w:rPr>
          <w:color w:val="000000" w:themeColor="text1"/>
          <w:szCs w:val="24"/>
        </w:rPr>
        <w:t xml:space="preserve">10).  The </w:t>
      </w:r>
      <w:r w:rsidR="008613DA" w:rsidRPr="005105D1">
        <w:rPr>
          <w:color w:val="000000" w:themeColor="text1"/>
          <w:szCs w:val="24"/>
        </w:rPr>
        <w:t xml:space="preserve">goniometric </w:t>
      </w:r>
      <w:r w:rsidR="00AC33D3">
        <w:rPr>
          <w:color w:val="000000" w:themeColor="text1"/>
          <w:szCs w:val="24"/>
        </w:rPr>
        <w:t xml:space="preserve">ROM </w:t>
      </w:r>
      <w:r w:rsidR="008613DA" w:rsidRPr="005105D1">
        <w:rPr>
          <w:color w:val="000000" w:themeColor="text1"/>
          <w:szCs w:val="24"/>
        </w:rPr>
        <w:t>evaluations in evidence which the Board weighed in arriving at its rating recommendation</w:t>
      </w:r>
      <w:r w:rsidR="008613DA">
        <w:rPr>
          <w:color w:val="000000" w:themeColor="text1"/>
          <w:szCs w:val="24"/>
        </w:rPr>
        <w:t xml:space="preserve"> </w:t>
      </w:r>
      <w:r w:rsidR="008613DA" w:rsidRPr="005105D1">
        <w:rPr>
          <w:color w:val="000000" w:themeColor="text1"/>
          <w:szCs w:val="24"/>
        </w:rPr>
        <w:t xml:space="preserve">are summarized in the chart </w:t>
      </w:r>
      <w:r w:rsidR="008613DA">
        <w:rPr>
          <w:color w:val="000000" w:themeColor="text1"/>
          <w:szCs w:val="24"/>
        </w:rPr>
        <w:t xml:space="preserve">below.  </w:t>
      </w:r>
    </w:p>
    <w:p w:rsidR="008613DA" w:rsidRDefault="008613DA" w:rsidP="008613DA">
      <w:pPr>
        <w:jc w:val="both"/>
        <w:rPr>
          <w:color w:val="000000" w:themeColor="text1"/>
          <w:szCs w:val="24"/>
        </w:rPr>
      </w:pPr>
    </w:p>
    <w:tbl>
      <w:tblPr>
        <w:tblpPr w:leftFromText="180" w:rightFromText="180" w:vertAnchor="text" w:tblpXSpec="center" w:tblpY="1"/>
        <w:tblOverlap w:val="neve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2095"/>
        <w:gridCol w:w="1913"/>
        <w:gridCol w:w="2430"/>
      </w:tblGrid>
      <w:tr w:rsidR="008613DA" w:rsidRPr="00A50E07" w:rsidTr="00036F4E">
        <w:tc>
          <w:tcPr>
            <w:tcW w:w="1950" w:type="dxa"/>
            <w:shd w:val="clear" w:color="auto" w:fill="D9D9D9" w:themeFill="background1" w:themeFillShade="D9"/>
            <w:vAlign w:val="center"/>
          </w:tcPr>
          <w:p w:rsidR="008613DA" w:rsidRPr="00A50E07" w:rsidRDefault="008613DA" w:rsidP="0072341D">
            <w:pPr>
              <w:contextualSpacing/>
              <w:rPr>
                <w:rFonts w:eastAsia="Calibri"/>
                <w:color w:val="000000" w:themeColor="text1"/>
                <w:sz w:val="22"/>
                <w:szCs w:val="22"/>
              </w:rPr>
            </w:pPr>
            <w:r w:rsidRPr="00A50E07">
              <w:rPr>
                <w:rFonts w:eastAsia="Calibri"/>
                <w:color w:val="000000" w:themeColor="text1"/>
                <w:sz w:val="22"/>
                <w:szCs w:val="22"/>
              </w:rPr>
              <w:t xml:space="preserve">ROM – </w:t>
            </w:r>
            <w:r w:rsidR="0072341D">
              <w:rPr>
                <w:rFonts w:eastAsia="Calibri"/>
                <w:color w:val="000000" w:themeColor="text1"/>
                <w:sz w:val="22"/>
                <w:szCs w:val="22"/>
              </w:rPr>
              <w:t>L</w:t>
            </w:r>
            <w:r w:rsidRPr="00A50E07">
              <w:rPr>
                <w:rFonts w:eastAsia="Calibri"/>
                <w:color w:val="000000" w:themeColor="text1"/>
                <w:sz w:val="22"/>
                <w:szCs w:val="22"/>
              </w:rPr>
              <w:t xml:space="preserve"> Shoulder</w:t>
            </w:r>
          </w:p>
        </w:tc>
        <w:tc>
          <w:tcPr>
            <w:tcW w:w="2095" w:type="dxa"/>
            <w:shd w:val="clear" w:color="auto" w:fill="D9D9D9" w:themeFill="background1" w:themeFillShade="D9"/>
            <w:vAlign w:val="center"/>
          </w:tcPr>
          <w:p w:rsidR="008613DA" w:rsidRPr="00A50E07" w:rsidRDefault="008613DA" w:rsidP="00036F4E">
            <w:pPr>
              <w:contextualSpacing/>
              <w:rPr>
                <w:rFonts w:asciiTheme="minorHAnsi" w:eastAsia="Calibri" w:hAnsiTheme="minorHAnsi"/>
                <w:color w:val="000000" w:themeColor="text1"/>
                <w:sz w:val="22"/>
                <w:szCs w:val="22"/>
              </w:rPr>
            </w:pPr>
            <w:r w:rsidRPr="00A50E07">
              <w:rPr>
                <w:rFonts w:eastAsia="Calibri"/>
                <w:color w:val="000000" w:themeColor="text1"/>
                <w:sz w:val="22"/>
                <w:szCs w:val="22"/>
              </w:rPr>
              <w:t>MEB ~8 Mo. Pre-Sep</w:t>
            </w:r>
          </w:p>
        </w:tc>
        <w:tc>
          <w:tcPr>
            <w:tcW w:w="1913" w:type="dxa"/>
            <w:shd w:val="clear" w:color="auto" w:fill="D9D9D9" w:themeFill="background1" w:themeFillShade="D9"/>
            <w:vAlign w:val="center"/>
          </w:tcPr>
          <w:p w:rsidR="008613DA" w:rsidRPr="00A50E07" w:rsidRDefault="008613DA" w:rsidP="00036F4E">
            <w:pPr>
              <w:contextualSpacing/>
              <w:rPr>
                <w:rFonts w:asciiTheme="minorHAnsi" w:eastAsia="Calibri" w:hAnsiTheme="minorHAnsi"/>
                <w:color w:val="000000" w:themeColor="text1"/>
                <w:sz w:val="22"/>
                <w:szCs w:val="22"/>
              </w:rPr>
            </w:pPr>
            <w:r w:rsidRPr="00A50E07">
              <w:rPr>
                <w:rFonts w:asciiTheme="minorHAnsi" w:eastAsia="Calibri" w:hAnsiTheme="minorHAnsi"/>
                <w:color w:val="000000" w:themeColor="text1"/>
                <w:sz w:val="22"/>
                <w:szCs w:val="22"/>
              </w:rPr>
              <w:t>PT ~3 Mo. Pre-Sep</w:t>
            </w:r>
          </w:p>
        </w:tc>
        <w:tc>
          <w:tcPr>
            <w:tcW w:w="2430" w:type="dxa"/>
            <w:shd w:val="clear" w:color="auto" w:fill="D9D9D9" w:themeFill="background1" w:themeFillShade="D9"/>
            <w:vAlign w:val="center"/>
          </w:tcPr>
          <w:p w:rsidR="008613DA" w:rsidRPr="00A50E07" w:rsidRDefault="008613DA" w:rsidP="00036F4E">
            <w:pPr>
              <w:contextualSpacing/>
              <w:rPr>
                <w:rFonts w:asciiTheme="minorHAnsi" w:eastAsia="Calibri" w:hAnsiTheme="minorHAnsi"/>
                <w:color w:val="000000" w:themeColor="text1"/>
                <w:sz w:val="22"/>
                <w:szCs w:val="22"/>
              </w:rPr>
            </w:pPr>
            <w:r w:rsidRPr="00A50E07">
              <w:rPr>
                <w:rFonts w:eastAsia="Calibri"/>
                <w:color w:val="000000" w:themeColor="text1"/>
                <w:sz w:val="22"/>
                <w:szCs w:val="22"/>
              </w:rPr>
              <w:t>VA</w:t>
            </w:r>
            <w:r w:rsidRPr="00A50E07">
              <w:rPr>
                <w:rFonts w:eastAsiaTheme="minorHAnsi"/>
                <w:color w:val="000000" w:themeColor="text1"/>
                <w:sz w:val="22"/>
                <w:szCs w:val="22"/>
              </w:rPr>
              <w:t xml:space="preserve"> C&amp;P </w:t>
            </w:r>
            <w:r w:rsidRPr="00A50E07">
              <w:rPr>
                <w:rFonts w:eastAsia="Calibri"/>
                <w:color w:val="000000" w:themeColor="text1"/>
                <w:sz w:val="22"/>
                <w:szCs w:val="22"/>
              </w:rPr>
              <w:t>~5 Mo. Post-Sep</w:t>
            </w:r>
          </w:p>
        </w:tc>
      </w:tr>
      <w:tr w:rsidR="008613DA" w:rsidRPr="00A50E07" w:rsidTr="00036F4E">
        <w:tc>
          <w:tcPr>
            <w:tcW w:w="1950" w:type="dxa"/>
            <w:vAlign w:val="center"/>
          </w:tcPr>
          <w:p w:rsidR="008613DA" w:rsidRPr="00A50E07" w:rsidRDefault="008613DA" w:rsidP="00036F4E">
            <w:pPr>
              <w:pStyle w:val="ListParagraph"/>
              <w:spacing w:after="0" w:line="240" w:lineRule="exact"/>
              <w:ind w:left="0"/>
              <w:rPr>
                <w:rFonts w:ascii="Calibri" w:eastAsia="Calibri" w:hAnsi="Calibri" w:cstheme="minorHAnsi"/>
                <w:color w:val="000000" w:themeColor="text1"/>
              </w:rPr>
            </w:pPr>
            <w:r w:rsidRPr="00A50E07">
              <w:rPr>
                <w:rFonts w:ascii="Calibri" w:eastAsia="Calibri" w:hAnsi="Calibri" w:cstheme="minorHAnsi"/>
                <w:color w:val="000000" w:themeColor="text1"/>
              </w:rPr>
              <w:t>Flexion (0-180</w:t>
            </w:r>
            <w:r w:rsidRPr="00A50E07">
              <w:rPr>
                <w:rFonts w:ascii="Calibri" w:eastAsia="Calibri" w:hAnsi="Calibri" w:cs="Calibri"/>
                <w:color w:val="000000" w:themeColor="text1"/>
              </w:rPr>
              <w:t>⁰</w:t>
            </w:r>
            <w:r w:rsidRPr="00A50E07">
              <w:rPr>
                <w:rFonts w:ascii="Calibri" w:eastAsia="Calibri" w:hAnsi="Calibri" w:cstheme="minorHAnsi"/>
                <w:color w:val="000000" w:themeColor="text1"/>
              </w:rPr>
              <w:t>)</w:t>
            </w:r>
          </w:p>
        </w:tc>
        <w:tc>
          <w:tcPr>
            <w:tcW w:w="2095" w:type="dxa"/>
            <w:vAlign w:val="center"/>
          </w:tcPr>
          <w:p w:rsidR="008613DA" w:rsidRPr="00A50E07" w:rsidRDefault="008613DA" w:rsidP="00036F4E">
            <w:pPr>
              <w:contextualSpacing/>
              <w:rPr>
                <w:rFonts w:eastAsia="Calibri"/>
                <w:color w:val="000000" w:themeColor="text1"/>
                <w:sz w:val="22"/>
                <w:szCs w:val="22"/>
              </w:rPr>
            </w:pPr>
            <w:r w:rsidRPr="00A50E07">
              <w:rPr>
                <w:rFonts w:eastAsia="Calibri"/>
                <w:color w:val="000000" w:themeColor="text1"/>
                <w:sz w:val="22"/>
                <w:szCs w:val="22"/>
              </w:rPr>
              <w:t>148</w:t>
            </w:r>
            <w:r w:rsidRPr="00A50E07">
              <w:rPr>
                <w:rFonts w:eastAsia="Calibri" w:cs="Calibri"/>
                <w:color w:val="000000" w:themeColor="text1"/>
                <w:sz w:val="22"/>
                <w:szCs w:val="22"/>
              </w:rPr>
              <w:t>⁰</w:t>
            </w:r>
          </w:p>
        </w:tc>
        <w:tc>
          <w:tcPr>
            <w:tcW w:w="1913" w:type="dxa"/>
            <w:vAlign w:val="center"/>
          </w:tcPr>
          <w:p w:rsidR="008613DA" w:rsidRPr="00A50E07" w:rsidRDefault="008613DA" w:rsidP="00036F4E">
            <w:pPr>
              <w:contextualSpacing/>
              <w:rPr>
                <w:rFonts w:eastAsia="Calibri"/>
                <w:color w:val="000000" w:themeColor="text1"/>
                <w:sz w:val="22"/>
                <w:szCs w:val="22"/>
              </w:rPr>
            </w:pPr>
            <w:r w:rsidRPr="00A50E07">
              <w:rPr>
                <w:rFonts w:eastAsia="Calibri"/>
                <w:color w:val="000000" w:themeColor="text1"/>
                <w:sz w:val="22"/>
                <w:szCs w:val="22"/>
              </w:rPr>
              <w:t>150</w:t>
            </w:r>
            <w:r w:rsidRPr="00A50E07">
              <w:rPr>
                <w:rFonts w:eastAsia="Calibri" w:cs="Calibri"/>
                <w:color w:val="000000" w:themeColor="text1"/>
                <w:sz w:val="22"/>
                <w:szCs w:val="22"/>
              </w:rPr>
              <w:t>⁰</w:t>
            </w:r>
          </w:p>
        </w:tc>
        <w:tc>
          <w:tcPr>
            <w:tcW w:w="2430" w:type="dxa"/>
            <w:vAlign w:val="center"/>
          </w:tcPr>
          <w:p w:rsidR="008613DA" w:rsidRPr="00A50E07" w:rsidRDefault="008613DA" w:rsidP="00036F4E">
            <w:pPr>
              <w:contextualSpacing/>
              <w:rPr>
                <w:rFonts w:eastAsia="Calibri"/>
                <w:color w:val="000000" w:themeColor="text1"/>
                <w:sz w:val="22"/>
                <w:szCs w:val="22"/>
              </w:rPr>
            </w:pPr>
            <w:r w:rsidRPr="00A50E07">
              <w:rPr>
                <w:rFonts w:eastAsia="Calibri"/>
                <w:color w:val="000000" w:themeColor="text1"/>
                <w:sz w:val="22"/>
                <w:szCs w:val="22"/>
              </w:rPr>
              <w:t>100</w:t>
            </w:r>
            <w:r w:rsidRPr="00A50E07">
              <w:rPr>
                <w:rFonts w:eastAsia="Calibri" w:cs="Calibri"/>
                <w:color w:val="000000" w:themeColor="text1"/>
                <w:sz w:val="22"/>
                <w:szCs w:val="22"/>
              </w:rPr>
              <w:t>⁰</w:t>
            </w:r>
            <w:r>
              <w:rPr>
                <w:rFonts w:eastAsia="Calibri" w:cs="Calibri"/>
                <w:color w:val="000000" w:themeColor="text1"/>
                <w:sz w:val="22"/>
                <w:szCs w:val="22"/>
              </w:rPr>
              <w:t xml:space="preserve"> / 90⁰</w:t>
            </w:r>
            <w:r w:rsidRPr="00A50E07">
              <w:rPr>
                <w:rFonts w:eastAsiaTheme="minorHAnsi"/>
                <w:color w:val="000000" w:themeColor="text1"/>
                <w:sz w:val="22"/>
                <w:szCs w:val="22"/>
              </w:rPr>
              <w:t>**</w:t>
            </w:r>
          </w:p>
        </w:tc>
      </w:tr>
      <w:tr w:rsidR="008613DA" w:rsidRPr="00A50E07" w:rsidTr="00036F4E">
        <w:trPr>
          <w:trHeight w:val="79"/>
        </w:trPr>
        <w:tc>
          <w:tcPr>
            <w:tcW w:w="1950" w:type="dxa"/>
            <w:vAlign w:val="center"/>
          </w:tcPr>
          <w:p w:rsidR="008613DA" w:rsidRPr="00A50E07" w:rsidRDefault="008613DA" w:rsidP="00036F4E">
            <w:pPr>
              <w:pStyle w:val="ListParagraph"/>
              <w:spacing w:after="0" w:line="240" w:lineRule="exact"/>
              <w:ind w:left="0"/>
              <w:rPr>
                <w:rFonts w:ascii="Calibri" w:eastAsia="Calibri" w:hAnsi="Calibri" w:cstheme="minorHAnsi"/>
                <w:color w:val="000000" w:themeColor="text1"/>
              </w:rPr>
            </w:pPr>
            <w:r w:rsidRPr="00A50E07">
              <w:rPr>
                <w:rFonts w:ascii="Calibri" w:eastAsia="Calibri" w:hAnsi="Calibri" w:cstheme="minorHAnsi"/>
                <w:color w:val="000000" w:themeColor="text1"/>
              </w:rPr>
              <w:t>Abduction (0-180</w:t>
            </w:r>
            <w:r w:rsidRPr="00A50E07">
              <w:rPr>
                <w:rFonts w:ascii="Calibri" w:eastAsia="Calibri" w:hAnsi="Calibri" w:cs="Calibri"/>
                <w:color w:val="000000" w:themeColor="text1"/>
              </w:rPr>
              <w:t>⁰</w:t>
            </w:r>
            <w:r w:rsidRPr="00A50E07">
              <w:rPr>
                <w:rFonts w:ascii="Calibri" w:eastAsia="Calibri" w:hAnsi="Calibri" w:cstheme="minorHAnsi"/>
                <w:color w:val="000000" w:themeColor="text1"/>
              </w:rPr>
              <w:t>)</w:t>
            </w:r>
          </w:p>
        </w:tc>
        <w:tc>
          <w:tcPr>
            <w:tcW w:w="2095" w:type="dxa"/>
            <w:vAlign w:val="center"/>
          </w:tcPr>
          <w:p w:rsidR="008613DA" w:rsidRPr="00A50E07" w:rsidRDefault="008613DA" w:rsidP="00036F4E">
            <w:pPr>
              <w:contextualSpacing/>
              <w:rPr>
                <w:rFonts w:eastAsia="Calibri"/>
                <w:color w:val="000000" w:themeColor="text1"/>
                <w:sz w:val="22"/>
                <w:szCs w:val="22"/>
              </w:rPr>
            </w:pPr>
            <w:r>
              <w:rPr>
                <w:rFonts w:eastAsia="Calibri"/>
                <w:color w:val="000000" w:themeColor="text1"/>
                <w:sz w:val="22"/>
                <w:szCs w:val="22"/>
              </w:rPr>
              <w:t>150</w:t>
            </w:r>
            <w:r w:rsidRPr="00A50E07">
              <w:rPr>
                <w:rFonts w:eastAsia="Calibri" w:cs="Calibri"/>
                <w:color w:val="000000" w:themeColor="text1"/>
                <w:sz w:val="22"/>
                <w:szCs w:val="22"/>
              </w:rPr>
              <w:t>⁰</w:t>
            </w:r>
          </w:p>
        </w:tc>
        <w:tc>
          <w:tcPr>
            <w:tcW w:w="1913" w:type="dxa"/>
            <w:vAlign w:val="center"/>
          </w:tcPr>
          <w:p w:rsidR="008613DA" w:rsidRPr="00A50E07" w:rsidRDefault="008613DA" w:rsidP="00036F4E">
            <w:pPr>
              <w:contextualSpacing/>
              <w:rPr>
                <w:rFonts w:eastAsia="Calibri"/>
                <w:color w:val="000000" w:themeColor="text1"/>
                <w:sz w:val="22"/>
                <w:szCs w:val="22"/>
              </w:rPr>
            </w:pPr>
            <w:r>
              <w:rPr>
                <w:rFonts w:eastAsia="Calibri"/>
                <w:color w:val="000000" w:themeColor="text1"/>
                <w:sz w:val="22"/>
                <w:szCs w:val="22"/>
              </w:rPr>
              <w:t>13</w:t>
            </w:r>
            <w:r w:rsidRPr="00A50E07">
              <w:rPr>
                <w:rFonts w:eastAsia="Calibri"/>
                <w:color w:val="000000" w:themeColor="text1"/>
                <w:sz w:val="22"/>
                <w:szCs w:val="22"/>
              </w:rPr>
              <w:t>0</w:t>
            </w:r>
            <w:r w:rsidRPr="00A50E07">
              <w:rPr>
                <w:rFonts w:eastAsia="Calibri" w:cs="Calibri"/>
                <w:color w:val="000000" w:themeColor="text1"/>
                <w:sz w:val="22"/>
                <w:szCs w:val="22"/>
              </w:rPr>
              <w:t>⁰</w:t>
            </w:r>
          </w:p>
        </w:tc>
        <w:tc>
          <w:tcPr>
            <w:tcW w:w="2430" w:type="dxa"/>
            <w:vAlign w:val="center"/>
          </w:tcPr>
          <w:p w:rsidR="008613DA" w:rsidRPr="00A50E07" w:rsidRDefault="008613DA" w:rsidP="00036F4E">
            <w:pPr>
              <w:contextualSpacing/>
              <w:rPr>
                <w:rFonts w:eastAsia="Calibri"/>
                <w:color w:val="000000" w:themeColor="text1"/>
                <w:sz w:val="22"/>
                <w:szCs w:val="22"/>
              </w:rPr>
            </w:pPr>
            <w:r>
              <w:rPr>
                <w:rFonts w:eastAsia="Calibri"/>
                <w:color w:val="000000" w:themeColor="text1"/>
                <w:sz w:val="22"/>
                <w:szCs w:val="22"/>
              </w:rPr>
              <w:t>9</w:t>
            </w:r>
            <w:r w:rsidRPr="00A50E07">
              <w:rPr>
                <w:rFonts w:eastAsia="Calibri"/>
                <w:color w:val="000000" w:themeColor="text1"/>
                <w:sz w:val="22"/>
                <w:szCs w:val="22"/>
              </w:rPr>
              <w:t>0</w:t>
            </w:r>
            <w:r w:rsidRPr="00A50E07">
              <w:rPr>
                <w:rFonts w:eastAsia="Calibri" w:cs="Calibri"/>
                <w:color w:val="000000" w:themeColor="text1"/>
                <w:sz w:val="22"/>
                <w:szCs w:val="22"/>
              </w:rPr>
              <w:t>⁰</w:t>
            </w:r>
            <w:r>
              <w:rPr>
                <w:rFonts w:eastAsia="Calibri" w:cs="Calibri"/>
                <w:color w:val="000000" w:themeColor="text1"/>
                <w:sz w:val="22"/>
                <w:szCs w:val="22"/>
              </w:rPr>
              <w:t xml:space="preserve"> / 80⁰</w:t>
            </w:r>
            <w:r w:rsidRPr="00A50E07">
              <w:rPr>
                <w:rFonts w:eastAsiaTheme="minorHAnsi"/>
                <w:color w:val="000000" w:themeColor="text1"/>
                <w:sz w:val="22"/>
                <w:szCs w:val="22"/>
              </w:rPr>
              <w:t>**</w:t>
            </w:r>
          </w:p>
        </w:tc>
      </w:tr>
      <w:tr w:rsidR="008613DA" w:rsidRPr="00A50E07" w:rsidTr="00036F4E">
        <w:tc>
          <w:tcPr>
            <w:tcW w:w="1950" w:type="dxa"/>
            <w:vAlign w:val="center"/>
          </w:tcPr>
          <w:p w:rsidR="008613DA" w:rsidRPr="00A50E07" w:rsidRDefault="008613DA" w:rsidP="00036F4E">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§4.71a Rating</w:t>
            </w:r>
          </w:p>
        </w:tc>
        <w:tc>
          <w:tcPr>
            <w:tcW w:w="2095" w:type="dxa"/>
            <w:vAlign w:val="center"/>
          </w:tcPr>
          <w:p w:rsidR="008613DA" w:rsidRPr="00A50E07" w:rsidRDefault="008613DA" w:rsidP="00036F4E">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10%*</w:t>
            </w:r>
          </w:p>
        </w:tc>
        <w:tc>
          <w:tcPr>
            <w:tcW w:w="1913" w:type="dxa"/>
            <w:vAlign w:val="center"/>
          </w:tcPr>
          <w:p w:rsidR="008613DA" w:rsidRPr="00A50E07" w:rsidRDefault="008613DA" w:rsidP="00036F4E">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10%*</w:t>
            </w:r>
          </w:p>
        </w:tc>
        <w:tc>
          <w:tcPr>
            <w:tcW w:w="2430" w:type="dxa"/>
            <w:vAlign w:val="center"/>
          </w:tcPr>
          <w:p w:rsidR="008613DA" w:rsidRPr="00A50E07" w:rsidRDefault="008613DA" w:rsidP="00036F4E">
            <w:pPr>
              <w:tabs>
                <w:tab w:val="left" w:pos="288"/>
                <w:tab w:val="left" w:pos="4752"/>
              </w:tabs>
              <w:rPr>
                <w:rFonts w:eastAsiaTheme="minorHAnsi"/>
                <w:color w:val="000000" w:themeColor="text1"/>
                <w:sz w:val="22"/>
                <w:szCs w:val="22"/>
              </w:rPr>
            </w:pPr>
            <w:r w:rsidRPr="00A50E07">
              <w:rPr>
                <w:rFonts w:eastAsiaTheme="minorHAnsi"/>
                <w:color w:val="000000" w:themeColor="text1"/>
                <w:sz w:val="22"/>
                <w:szCs w:val="22"/>
              </w:rPr>
              <w:t>20%</w:t>
            </w:r>
          </w:p>
        </w:tc>
      </w:tr>
    </w:tbl>
    <w:p w:rsidR="008613DA" w:rsidRPr="00A50E07" w:rsidRDefault="008613DA" w:rsidP="008613DA">
      <w:pPr>
        <w:jc w:val="both"/>
        <w:rPr>
          <w:rFonts w:asciiTheme="minorHAnsi" w:hAnsiTheme="minorHAnsi"/>
          <w:color w:val="auto"/>
          <w:sz w:val="22"/>
          <w:szCs w:val="22"/>
        </w:rPr>
      </w:pPr>
      <w:r>
        <w:rPr>
          <w:rFonts w:asciiTheme="minorHAnsi" w:hAnsiTheme="minorHAnsi"/>
          <w:color w:val="auto"/>
          <w:sz w:val="22"/>
          <w:szCs w:val="22"/>
        </w:rPr>
        <w:t xml:space="preserve"> </w:t>
      </w:r>
      <w:r w:rsidR="00B11316">
        <w:rPr>
          <w:rFonts w:asciiTheme="minorHAnsi" w:hAnsiTheme="minorHAnsi"/>
          <w:color w:val="auto"/>
          <w:sz w:val="22"/>
          <w:szCs w:val="22"/>
        </w:rPr>
        <w:t xml:space="preserve">                             </w:t>
      </w:r>
      <w:r>
        <w:rPr>
          <w:rFonts w:asciiTheme="minorHAnsi" w:hAnsiTheme="minorHAnsi"/>
          <w:color w:val="auto"/>
          <w:sz w:val="22"/>
          <w:szCs w:val="22"/>
        </w:rPr>
        <w:t xml:space="preserve">  </w:t>
      </w:r>
      <w:r w:rsidRPr="00A50E07">
        <w:rPr>
          <w:rFonts w:asciiTheme="minorHAnsi" w:hAnsiTheme="minorHAnsi"/>
          <w:color w:val="auto"/>
          <w:sz w:val="22"/>
          <w:szCs w:val="22"/>
        </w:rPr>
        <w:t>*IAW 4.59 (painful motion)</w:t>
      </w:r>
      <w:r>
        <w:rPr>
          <w:rFonts w:asciiTheme="minorHAnsi" w:hAnsiTheme="minorHAnsi"/>
          <w:color w:val="auto"/>
          <w:sz w:val="22"/>
          <w:szCs w:val="22"/>
        </w:rPr>
        <w:t>.   **</w:t>
      </w:r>
      <w:proofErr w:type="spellStart"/>
      <w:r>
        <w:rPr>
          <w:rFonts w:asciiTheme="minorHAnsi" w:hAnsiTheme="minorHAnsi"/>
          <w:color w:val="auto"/>
          <w:sz w:val="22"/>
          <w:szCs w:val="22"/>
        </w:rPr>
        <w:t>DeLuca</w:t>
      </w:r>
      <w:proofErr w:type="spellEnd"/>
      <w:r>
        <w:rPr>
          <w:rFonts w:asciiTheme="minorHAnsi" w:hAnsiTheme="minorHAnsi"/>
          <w:color w:val="auto"/>
          <w:sz w:val="22"/>
          <w:szCs w:val="22"/>
        </w:rPr>
        <w:t xml:space="preserve"> deduction of 10⁰ flexion and abduction.</w:t>
      </w:r>
    </w:p>
    <w:p w:rsidR="008613DA" w:rsidRDefault="008613DA" w:rsidP="008613DA">
      <w:pPr>
        <w:jc w:val="both"/>
        <w:rPr>
          <w:color w:val="000000" w:themeColor="text1"/>
          <w:szCs w:val="24"/>
        </w:rPr>
      </w:pPr>
    </w:p>
    <w:p w:rsidR="001A7B31" w:rsidRPr="00A50E07" w:rsidRDefault="008613DA" w:rsidP="00336829">
      <w:pPr>
        <w:autoSpaceDE w:val="0"/>
        <w:autoSpaceDN w:val="0"/>
        <w:adjustRightInd w:val="0"/>
        <w:jc w:val="both"/>
        <w:rPr>
          <w:rFonts w:asciiTheme="minorHAnsi" w:hAnsiTheme="minorHAnsi"/>
          <w:color w:val="auto"/>
          <w:sz w:val="22"/>
          <w:szCs w:val="22"/>
        </w:rPr>
      </w:pPr>
      <w:r>
        <w:rPr>
          <w:color w:val="000000" w:themeColor="text1"/>
          <w:szCs w:val="24"/>
        </w:rPr>
        <w:t xml:space="preserve">The NARSUM examiner referred to the MEB ROMs charted above, and recorded a </w:t>
      </w:r>
      <w:r w:rsidR="00DF3F90">
        <w:rPr>
          <w:color w:val="000000" w:themeColor="text1"/>
          <w:szCs w:val="24"/>
        </w:rPr>
        <w:t xml:space="preserve">1.5 inch </w:t>
      </w:r>
      <w:r w:rsidR="00747A56">
        <w:rPr>
          <w:color w:val="000000" w:themeColor="text1"/>
          <w:szCs w:val="24"/>
        </w:rPr>
        <w:t>s</w:t>
      </w:r>
      <w:r w:rsidR="00DF3F90">
        <w:rPr>
          <w:color w:val="000000" w:themeColor="text1"/>
          <w:szCs w:val="24"/>
        </w:rPr>
        <w:t>car on the anterior deltoid</w:t>
      </w:r>
      <w:r>
        <w:rPr>
          <w:color w:val="000000" w:themeColor="text1"/>
          <w:szCs w:val="24"/>
        </w:rPr>
        <w:t>; but,</w:t>
      </w:r>
      <w:r w:rsidR="00DF3F90">
        <w:rPr>
          <w:color w:val="000000" w:themeColor="text1"/>
          <w:szCs w:val="24"/>
        </w:rPr>
        <w:t xml:space="preserve"> </w:t>
      </w:r>
      <w:r w:rsidR="00605DF9">
        <w:rPr>
          <w:color w:val="000000" w:themeColor="text1"/>
          <w:szCs w:val="24"/>
        </w:rPr>
        <w:t>did not comment on any other scar features</w:t>
      </w:r>
      <w:r w:rsidR="00DF3F90">
        <w:rPr>
          <w:color w:val="000000" w:themeColor="text1"/>
          <w:szCs w:val="24"/>
        </w:rPr>
        <w:t xml:space="preserve">.  The VA C&amp;P </w:t>
      </w:r>
      <w:r w:rsidR="00733C3C">
        <w:rPr>
          <w:rFonts w:asciiTheme="minorHAnsi" w:hAnsiTheme="minorHAnsi"/>
          <w:color w:val="000000" w:themeColor="text1"/>
          <w:szCs w:val="24"/>
        </w:rPr>
        <w:t>examiner</w:t>
      </w:r>
      <w:r w:rsidR="00AC33D3">
        <w:rPr>
          <w:rFonts w:asciiTheme="minorHAnsi" w:hAnsiTheme="minorHAnsi"/>
          <w:color w:val="000000" w:themeColor="text1"/>
          <w:szCs w:val="24"/>
        </w:rPr>
        <w:t>;</w:t>
      </w:r>
      <w:r>
        <w:rPr>
          <w:rFonts w:asciiTheme="minorHAnsi" w:hAnsiTheme="minorHAnsi"/>
          <w:color w:val="000000" w:themeColor="text1"/>
          <w:szCs w:val="24"/>
        </w:rPr>
        <w:t xml:space="preserve"> however,</w:t>
      </w:r>
      <w:r w:rsidR="00733C3C">
        <w:rPr>
          <w:rFonts w:asciiTheme="minorHAnsi" w:hAnsiTheme="minorHAnsi"/>
          <w:color w:val="000000" w:themeColor="text1"/>
          <w:szCs w:val="24"/>
        </w:rPr>
        <w:t xml:space="preserve"> </w:t>
      </w:r>
      <w:r>
        <w:rPr>
          <w:rFonts w:asciiTheme="minorHAnsi" w:hAnsiTheme="minorHAnsi"/>
          <w:color w:val="000000" w:themeColor="text1"/>
          <w:szCs w:val="24"/>
        </w:rPr>
        <w:t xml:space="preserve">provided a detailed description of the scar characteristics and associated muscle injury.  These were significantly probative to the Board’s recommendation, considering that the operative details and initial wound description </w:t>
      </w:r>
      <w:r w:rsidR="00336829">
        <w:rPr>
          <w:rFonts w:asciiTheme="minorHAnsi" w:hAnsiTheme="minorHAnsi"/>
          <w:color w:val="000000" w:themeColor="text1"/>
          <w:szCs w:val="24"/>
        </w:rPr>
        <w:t>are missing from the STR as noted above.  The VA examiner documented</w:t>
      </w:r>
      <w:r w:rsidR="00733C3C">
        <w:rPr>
          <w:rFonts w:asciiTheme="minorHAnsi" w:hAnsiTheme="minorHAnsi"/>
          <w:color w:val="000000" w:themeColor="text1"/>
          <w:szCs w:val="24"/>
        </w:rPr>
        <w:t xml:space="preserve"> “</w:t>
      </w:r>
      <w:r w:rsidR="00AC33D3">
        <w:rPr>
          <w:rFonts w:asciiTheme="minorHAnsi" w:hAnsiTheme="minorHAnsi"/>
          <w:color w:val="000000" w:themeColor="text1"/>
          <w:szCs w:val="24"/>
        </w:rPr>
        <w:t xml:space="preserve">a deep wound apparently through and </w:t>
      </w:r>
      <w:r w:rsidR="00733C3C">
        <w:rPr>
          <w:rFonts w:asciiTheme="minorHAnsi" w:hAnsiTheme="minorHAnsi"/>
          <w:color w:val="000000" w:themeColor="text1"/>
          <w:szCs w:val="24"/>
        </w:rPr>
        <w:t>through the deltoid muscle</w:t>
      </w:r>
      <w:r w:rsidR="00AC33D3">
        <w:rPr>
          <w:rFonts w:asciiTheme="minorHAnsi" w:hAnsiTheme="minorHAnsi"/>
          <w:color w:val="000000" w:themeColor="text1"/>
          <w:szCs w:val="24"/>
        </w:rPr>
        <w:t>.</w:t>
      </w:r>
      <w:r w:rsidR="00733C3C">
        <w:rPr>
          <w:rFonts w:asciiTheme="minorHAnsi" w:hAnsiTheme="minorHAnsi"/>
          <w:color w:val="000000" w:themeColor="text1"/>
          <w:szCs w:val="24"/>
        </w:rPr>
        <w:t xml:space="preserve">”  </w:t>
      </w:r>
      <w:r w:rsidR="00336829">
        <w:rPr>
          <w:rFonts w:asciiTheme="minorHAnsi" w:hAnsiTheme="minorHAnsi"/>
          <w:color w:val="000000" w:themeColor="text1"/>
          <w:szCs w:val="24"/>
        </w:rPr>
        <w:t>His</w:t>
      </w:r>
      <w:r w:rsidR="00747A56">
        <w:rPr>
          <w:rFonts w:asciiTheme="minorHAnsi" w:hAnsiTheme="minorHAnsi"/>
          <w:color w:val="000000" w:themeColor="text1"/>
          <w:szCs w:val="24"/>
        </w:rPr>
        <w:t xml:space="preserve"> exam demonstrated</w:t>
      </w:r>
      <w:r w:rsidR="00733C3C">
        <w:rPr>
          <w:rFonts w:asciiTheme="minorHAnsi" w:hAnsiTheme="minorHAnsi"/>
          <w:color w:val="000000" w:themeColor="text1"/>
          <w:szCs w:val="24"/>
        </w:rPr>
        <w:t xml:space="preserve"> a </w:t>
      </w:r>
      <w:r w:rsidR="00733C3C" w:rsidRPr="005F7FC9">
        <w:rPr>
          <w:rFonts w:asciiTheme="minorHAnsi" w:hAnsiTheme="minorHAnsi"/>
          <w:color w:val="000000" w:themeColor="text1"/>
          <w:szCs w:val="24"/>
        </w:rPr>
        <w:t>ragged, depressed, and</w:t>
      </w:r>
      <w:r w:rsidR="00733C3C">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disfiguring scar over the left deltoid</w:t>
      </w:r>
      <w:r w:rsidR="00A11C44">
        <w:rPr>
          <w:rFonts w:asciiTheme="minorHAnsi" w:hAnsiTheme="minorHAnsi"/>
          <w:color w:val="000000" w:themeColor="text1"/>
          <w:szCs w:val="24"/>
        </w:rPr>
        <w:t xml:space="preserve"> which measured</w:t>
      </w:r>
      <w:r w:rsidR="00733C3C">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 xml:space="preserve">approximately 12 </w:t>
      </w:r>
      <w:r w:rsidR="00733C3C">
        <w:rPr>
          <w:rFonts w:asciiTheme="minorHAnsi" w:hAnsiTheme="minorHAnsi"/>
          <w:color w:val="000000" w:themeColor="text1"/>
          <w:szCs w:val="24"/>
        </w:rPr>
        <w:t>c</w:t>
      </w:r>
      <w:r w:rsidR="00733C3C" w:rsidRPr="005F7FC9">
        <w:rPr>
          <w:rFonts w:asciiTheme="minorHAnsi" w:hAnsiTheme="minorHAnsi"/>
          <w:color w:val="000000" w:themeColor="text1"/>
          <w:szCs w:val="24"/>
        </w:rPr>
        <w:t>m</w:t>
      </w:r>
      <w:r w:rsidR="00733C3C">
        <w:rPr>
          <w:rFonts w:asciiTheme="minorHAnsi" w:hAnsiTheme="minorHAnsi"/>
          <w:color w:val="000000" w:themeColor="text1"/>
          <w:szCs w:val="24"/>
        </w:rPr>
        <w:t xml:space="preserve"> (4.7 inches)</w:t>
      </w:r>
      <w:r w:rsidR="00733C3C" w:rsidRPr="005F7FC9">
        <w:rPr>
          <w:rFonts w:asciiTheme="minorHAnsi" w:hAnsiTheme="minorHAnsi"/>
          <w:color w:val="000000" w:themeColor="text1"/>
          <w:szCs w:val="24"/>
        </w:rPr>
        <w:t xml:space="preserve"> in length and 3 cm</w:t>
      </w:r>
      <w:r w:rsidR="00733C3C">
        <w:rPr>
          <w:rFonts w:asciiTheme="minorHAnsi" w:hAnsiTheme="minorHAnsi"/>
          <w:color w:val="000000" w:themeColor="text1"/>
          <w:szCs w:val="24"/>
        </w:rPr>
        <w:t xml:space="preserve"> (1.2</w:t>
      </w:r>
      <w:r w:rsidR="00EA357E">
        <w:rPr>
          <w:rFonts w:asciiTheme="minorHAnsi" w:hAnsiTheme="minorHAnsi"/>
          <w:color w:val="000000" w:themeColor="text1"/>
          <w:szCs w:val="24"/>
        </w:rPr>
        <w:t xml:space="preserve"> </w:t>
      </w:r>
      <w:r w:rsidR="00733C3C">
        <w:rPr>
          <w:rFonts w:asciiTheme="minorHAnsi" w:hAnsiTheme="minorHAnsi"/>
          <w:color w:val="000000" w:themeColor="text1"/>
          <w:szCs w:val="24"/>
        </w:rPr>
        <w:t>inches)</w:t>
      </w:r>
      <w:r w:rsidR="00733C3C" w:rsidRPr="005F7FC9">
        <w:rPr>
          <w:rFonts w:asciiTheme="minorHAnsi" w:hAnsiTheme="minorHAnsi"/>
          <w:color w:val="000000" w:themeColor="text1"/>
          <w:szCs w:val="24"/>
        </w:rPr>
        <w:t xml:space="preserve"> in greatest width</w:t>
      </w:r>
      <w:r w:rsidR="00A11C44">
        <w:rPr>
          <w:rFonts w:asciiTheme="minorHAnsi" w:hAnsiTheme="minorHAnsi"/>
          <w:color w:val="000000" w:themeColor="text1"/>
          <w:szCs w:val="24"/>
        </w:rPr>
        <w:t>.</w:t>
      </w:r>
      <w:r w:rsidR="00733C3C">
        <w:rPr>
          <w:rFonts w:asciiTheme="minorHAnsi" w:hAnsiTheme="minorHAnsi"/>
          <w:color w:val="000000" w:themeColor="text1"/>
          <w:szCs w:val="24"/>
        </w:rPr>
        <w:t xml:space="preserve"> </w:t>
      </w:r>
      <w:r w:rsidR="00A11C44">
        <w:rPr>
          <w:rFonts w:asciiTheme="minorHAnsi" w:hAnsiTheme="minorHAnsi"/>
          <w:color w:val="000000" w:themeColor="text1"/>
          <w:szCs w:val="24"/>
        </w:rPr>
        <w:t xml:space="preserve"> T</w:t>
      </w:r>
      <w:r w:rsidR="00733C3C">
        <w:rPr>
          <w:rFonts w:asciiTheme="minorHAnsi" w:hAnsiTheme="minorHAnsi"/>
          <w:color w:val="000000" w:themeColor="text1"/>
          <w:szCs w:val="24"/>
        </w:rPr>
        <w:t xml:space="preserve">here was </w:t>
      </w:r>
      <w:r w:rsidR="00733C3C" w:rsidRPr="005F7FC9">
        <w:rPr>
          <w:rFonts w:asciiTheme="minorHAnsi" w:hAnsiTheme="minorHAnsi"/>
          <w:color w:val="000000" w:themeColor="text1"/>
          <w:szCs w:val="24"/>
        </w:rPr>
        <w:t>definite loss of underlying muscle tissue to a depth of approximately</w:t>
      </w:r>
      <w:r w:rsidR="00733C3C">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1 cm</w:t>
      </w:r>
      <w:r w:rsidR="00733C3C">
        <w:rPr>
          <w:rFonts w:asciiTheme="minorHAnsi" w:hAnsiTheme="minorHAnsi"/>
          <w:color w:val="000000" w:themeColor="text1"/>
          <w:szCs w:val="24"/>
        </w:rPr>
        <w:t xml:space="preserve"> (0.4</w:t>
      </w:r>
      <w:r w:rsidR="00EA357E">
        <w:rPr>
          <w:rFonts w:asciiTheme="minorHAnsi" w:hAnsiTheme="minorHAnsi"/>
          <w:color w:val="000000" w:themeColor="text1"/>
          <w:szCs w:val="24"/>
        </w:rPr>
        <w:t xml:space="preserve"> </w:t>
      </w:r>
      <w:r w:rsidR="00733C3C">
        <w:rPr>
          <w:rFonts w:asciiTheme="minorHAnsi" w:hAnsiTheme="minorHAnsi"/>
          <w:color w:val="000000" w:themeColor="text1"/>
          <w:szCs w:val="24"/>
        </w:rPr>
        <w:t>inches)</w:t>
      </w:r>
      <w:r w:rsidR="00733C3C" w:rsidRPr="005F7FC9">
        <w:rPr>
          <w:rFonts w:asciiTheme="minorHAnsi" w:hAnsiTheme="minorHAnsi"/>
          <w:color w:val="000000" w:themeColor="text1"/>
          <w:szCs w:val="24"/>
        </w:rPr>
        <w:t xml:space="preserve"> in the center of the scar</w:t>
      </w:r>
      <w:r w:rsidR="00336829">
        <w:rPr>
          <w:rFonts w:asciiTheme="minorHAnsi" w:hAnsiTheme="minorHAnsi"/>
          <w:color w:val="000000" w:themeColor="text1"/>
          <w:szCs w:val="24"/>
        </w:rPr>
        <w:t>,</w:t>
      </w:r>
      <w:r w:rsidR="00733C3C" w:rsidRPr="005F7FC9">
        <w:rPr>
          <w:rFonts w:asciiTheme="minorHAnsi" w:hAnsiTheme="minorHAnsi"/>
          <w:color w:val="000000" w:themeColor="text1"/>
          <w:szCs w:val="24"/>
        </w:rPr>
        <w:t xml:space="preserve"> and for a length of approximately 6 cm</w:t>
      </w:r>
      <w:r w:rsidR="00733C3C">
        <w:rPr>
          <w:rFonts w:asciiTheme="minorHAnsi" w:hAnsiTheme="minorHAnsi"/>
          <w:color w:val="000000" w:themeColor="text1"/>
          <w:szCs w:val="24"/>
        </w:rPr>
        <w:t xml:space="preserve"> (2.4inches)</w:t>
      </w:r>
      <w:r w:rsidR="00733C3C" w:rsidRPr="005F7FC9">
        <w:rPr>
          <w:rFonts w:asciiTheme="minorHAnsi" w:hAnsiTheme="minorHAnsi"/>
          <w:color w:val="000000" w:themeColor="text1"/>
          <w:szCs w:val="24"/>
        </w:rPr>
        <w:t>.</w:t>
      </w:r>
      <w:r w:rsidR="00733C3C">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 xml:space="preserve">The scar </w:t>
      </w:r>
      <w:r w:rsidR="00733C3C">
        <w:rPr>
          <w:rFonts w:asciiTheme="minorHAnsi" w:hAnsiTheme="minorHAnsi"/>
          <w:color w:val="000000" w:themeColor="text1"/>
          <w:szCs w:val="24"/>
        </w:rPr>
        <w:t xml:space="preserve">was </w:t>
      </w:r>
      <w:r w:rsidR="00733C3C" w:rsidRPr="005F7FC9">
        <w:rPr>
          <w:rFonts w:asciiTheme="minorHAnsi" w:hAnsiTheme="minorHAnsi"/>
          <w:color w:val="000000" w:themeColor="text1"/>
          <w:szCs w:val="24"/>
        </w:rPr>
        <w:t xml:space="preserve">adherent </w:t>
      </w:r>
      <w:r w:rsidR="00A17701" w:rsidRPr="005F7FC9">
        <w:rPr>
          <w:rFonts w:asciiTheme="minorHAnsi" w:hAnsiTheme="minorHAnsi"/>
          <w:color w:val="000000" w:themeColor="text1"/>
          <w:szCs w:val="24"/>
        </w:rPr>
        <w:t xml:space="preserve">to </w:t>
      </w:r>
      <w:r w:rsidR="00A17701">
        <w:rPr>
          <w:rFonts w:asciiTheme="minorHAnsi" w:hAnsiTheme="minorHAnsi"/>
          <w:color w:val="000000" w:themeColor="text1"/>
          <w:szCs w:val="24"/>
        </w:rPr>
        <w:t>the</w:t>
      </w:r>
      <w:r w:rsidR="00A11C44">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underlying structure</w:t>
      </w:r>
      <w:r w:rsidR="00B11316">
        <w:rPr>
          <w:rFonts w:asciiTheme="minorHAnsi" w:hAnsiTheme="minorHAnsi"/>
          <w:color w:val="000000" w:themeColor="text1"/>
          <w:szCs w:val="24"/>
        </w:rPr>
        <w:t>,</w:t>
      </w:r>
      <w:r w:rsidR="00733C3C" w:rsidRPr="005F7FC9">
        <w:rPr>
          <w:rFonts w:asciiTheme="minorHAnsi" w:hAnsiTheme="minorHAnsi"/>
          <w:color w:val="000000" w:themeColor="text1"/>
          <w:szCs w:val="24"/>
        </w:rPr>
        <w:t xml:space="preserve"> and attempts to</w:t>
      </w:r>
      <w:r w:rsidR="00733C3C">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abduct</w:t>
      </w:r>
      <w:r w:rsidR="00336829">
        <w:rPr>
          <w:rFonts w:asciiTheme="minorHAnsi" w:hAnsiTheme="minorHAnsi"/>
          <w:color w:val="000000" w:themeColor="text1"/>
          <w:szCs w:val="24"/>
        </w:rPr>
        <w:t xml:space="preserve"> or</w:t>
      </w:r>
      <w:r w:rsidR="00733C3C" w:rsidRPr="00733C3C">
        <w:rPr>
          <w:rFonts w:asciiTheme="minorHAnsi" w:hAnsiTheme="minorHAnsi"/>
          <w:color w:val="000000" w:themeColor="text1"/>
          <w:szCs w:val="24"/>
        </w:rPr>
        <w:t xml:space="preserve"> </w:t>
      </w:r>
      <w:r w:rsidR="00733C3C">
        <w:rPr>
          <w:rFonts w:asciiTheme="minorHAnsi" w:hAnsiTheme="minorHAnsi"/>
          <w:color w:val="000000" w:themeColor="text1"/>
          <w:szCs w:val="24"/>
        </w:rPr>
        <w:t>i</w:t>
      </w:r>
      <w:r w:rsidR="00733C3C" w:rsidRPr="005F7FC9">
        <w:rPr>
          <w:rFonts w:asciiTheme="minorHAnsi" w:hAnsiTheme="minorHAnsi"/>
          <w:color w:val="000000" w:themeColor="text1"/>
          <w:szCs w:val="24"/>
        </w:rPr>
        <w:t>nternal</w:t>
      </w:r>
      <w:r w:rsidR="00336829">
        <w:rPr>
          <w:rFonts w:asciiTheme="minorHAnsi" w:hAnsiTheme="minorHAnsi"/>
          <w:color w:val="000000" w:themeColor="text1"/>
          <w:szCs w:val="24"/>
        </w:rPr>
        <w:t>ly/</w:t>
      </w:r>
      <w:r w:rsidR="00733C3C" w:rsidRPr="005F7FC9">
        <w:rPr>
          <w:rFonts w:asciiTheme="minorHAnsi" w:hAnsiTheme="minorHAnsi"/>
          <w:color w:val="000000" w:themeColor="text1"/>
          <w:szCs w:val="24"/>
        </w:rPr>
        <w:t>external</w:t>
      </w:r>
      <w:r w:rsidR="00336829">
        <w:rPr>
          <w:rFonts w:asciiTheme="minorHAnsi" w:hAnsiTheme="minorHAnsi"/>
          <w:color w:val="000000" w:themeColor="text1"/>
          <w:szCs w:val="24"/>
        </w:rPr>
        <w:t>ly</w:t>
      </w:r>
      <w:r w:rsidR="00733C3C" w:rsidRPr="005F7FC9">
        <w:rPr>
          <w:rFonts w:asciiTheme="minorHAnsi" w:hAnsiTheme="minorHAnsi"/>
          <w:color w:val="000000" w:themeColor="text1"/>
          <w:szCs w:val="24"/>
        </w:rPr>
        <w:t xml:space="preserve"> rotat</w:t>
      </w:r>
      <w:r w:rsidR="00733C3C">
        <w:rPr>
          <w:rFonts w:asciiTheme="minorHAnsi" w:hAnsiTheme="minorHAnsi"/>
          <w:color w:val="000000" w:themeColor="text1"/>
          <w:szCs w:val="24"/>
        </w:rPr>
        <w:t xml:space="preserve">e </w:t>
      </w:r>
      <w:r w:rsidR="00733C3C" w:rsidRPr="005F7FC9">
        <w:rPr>
          <w:rFonts w:asciiTheme="minorHAnsi" w:hAnsiTheme="minorHAnsi"/>
          <w:color w:val="000000" w:themeColor="text1"/>
          <w:szCs w:val="24"/>
        </w:rPr>
        <w:t xml:space="preserve">the shoulder </w:t>
      </w:r>
      <w:r w:rsidR="00733C3C">
        <w:rPr>
          <w:rFonts w:asciiTheme="minorHAnsi" w:hAnsiTheme="minorHAnsi"/>
          <w:color w:val="000000" w:themeColor="text1"/>
          <w:szCs w:val="24"/>
        </w:rPr>
        <w:t xml:space="preserve">were </w:t>
      </w:r>
      <w:r w:rsidR="00733C3C" w:rsidRPr="005F7FC9">
        <w:rPr>
          <w:rFonts w:asciiTheme="minorHAnsi" w:hAnsiTheme="minorHAnsi"/>
          <w:color w:val="000000" w:themeColor="text1"/>
          <w:szCs w:val="24"/>
        </w:rPr>
        <w:t>limited by the adhesion</w:t>
      </w:r>
      <w:r w:rsidR="00733C3C">
        <w:rPr>
          <w:rFonts w:asciiTheme="minorHAnsi" w:hAnsiTheme="minorHAnsi"/>
          <w:color w:val="000000" w:themeColor="text1"/>
          <w:szCs w:val="24"/>
        </w:rPr>
        <w:t>.</w:t>
      </w:r>
      <w:r w:rsidR="00733C3C" w:rsidRPr="00733C3C">
        <w:rPr>
          <w:rFonts w:asciiTheme="minorHAnsi" w:hAnsiTheme="minorHAnsi"/>
          <w:color w:val="auto"/>
          <w:szCs w:val="24"/>
        </w:rPr>
        <w:t xml:space="preserve"> </w:t>
      </w:r>
      <w:r w:rsidR="00733C3C">
        <w:rPr>
          <w:rFonts w:asciiTheme="minorHAnsi" w:hAnsiTheme="minorHAnsi"/>
          <w:color w:val="auto"/>
          <w:szCs w:val="24"/>
        </w:rPr>
        <w:t xml:space="preserve"> Actual movement of the shoulder demonstrated </w:t>
      </w:r>
      <w:r w:rsidR="00733C3C" w:rsidRPr="005F7FC9">
        <w:rPr>
          <w:rFonts w:asciiTheme="minorHAnsi" w:hAnsiTheme="minorHAnsi"/>
          <w:color w:val="000000" w:themeColor="text1"/>
          <w:szCs w:val="24"/>
        </w:rPr>
        <w:t>visible retraction of underlying</w:t>
      </w:r>
      <w:r w:rsidR="00733C3C">
        <w:rPr>
          <w:rFonts w:asciiTheme="minorHAnsi" w:hAnsiTheme="minorHAnsi"/>
          <w:color w:val="000000" w:themeColor="text1"/>
          <w:szCs w:val="24"/>
        </w:rPr>
        <w:t xml:space="preserve"> </w:t>
      </w:r>
      <w:r w:rsidR="00733C3C" w:rsidRPr="005F7FC9">
        <w:rPr>
          <w:rFonts w:asciiTheme="minorHAnsi" w:hAnsiTheme="minorHAnsi"/>
          <w:color w:val="000000" w:themeColor="text1"/>
          <w:szCs w:val="24"/>
        </w:rPr>
        <w:t>tissues in the depth of the scar</w:t>
      </w:r>
      <w:r w:rsidR="00A11C44">
        <w:rPr>
          <w:rFonts w:asciiTheme="minorHAnsi" w:hAnsiTheme="minorHAnsi"/>
          <w:color w:val="000000" w:themeColor="text1"/>
          <w:szCs w:val="24"/>
        </w:rPr>
        <w:t>.</w:t>
      </w:r>
      <w:r w:rsidR="00733C3C" w:rsidRPr="005F7FC9">
        <w:rPr>
          <w:rFonts w:asciiTheme="minorHAnsi" w:hAnsiTheme="minorHAnsi"/>
          <w:color w:val="000000" w:themeColor="text1"/>
          <w:szCs w:val="24"/>
        </w:rPr>
        <w:t xml:space="preserve"> </w:t>
      </w:r>
      <w:r w:rsidR="00A11C44">
        <w:rPr>
          <w:rFonts w:asciiTheme="minorHAnsi" w:hAnsiTheme="minorHAnsi"/>
          <w:color w:val="000000" w:themeColor="text1"/>
          <w:szCs w:val="24"/>
        </w:rPr>
        <w:t xml:space="preserve"> </w:t>
      </w:r>
      <w:r w:rsidR="00336829">
        <w:rPr>
          <w:rFonts w:asciiTheme="minorHAnsi" w:hAnsiTheme="minorHAnsi"/>
          <w:color w:val="000000" w:themeColor="text1"/>
          <w:szCs w:val="24"/>
        </w:rPr>
        <w:t xml:space="preserve">Although without detailed physical findings, the functional </w:t>
      </w:r>
      <w:r w:rsidR="00BD0707">
        <w:rPr>
          <w:rFonts w:asciiTheme="minorHAnsi" w:hAnsiTheme="minorHAnsi"/>
          <w:color w:val="000000" w:themeColor="text1"/>
          <w:szCs w:val="24"/>
        </w:rPr>
        <w:t>implications of the scar and muscle injury</w:t>
      </w:r>
      <w:r w:rsidR="00733C3C">
        <w:rPr>
          <w:rFonts w:asciiTheme="minorHAnsi" w:hAnsiTheme="minorHAnsi"/>
          <w:color w:val="000000" w:themeColor="text1"/>
          <w:szCs w:val="24"/>
        </w:rPr>
        <w:t xml:space="preserve"> were corroborated by the CI’s orthopedic surgeon</w:t>
      </w:r>
      <w:r w:rsidR="00BD0707">
        <w:rPr>
          <w:rFonts w:asciiTheme="minorHAnsi" w:hAnsiTheme="minorHAnsi"/>
          <w:color w:val="000000" w:themeColor="text1"/>
          <w:szCs w:val="24"/>
        </w:rPr>
        <w:t>;</w:t>
      </w:r>
      <w:r w:rsidR="006F21F6" w:rsidRPr="006F21F6">
        <w:rPr>
          <w:rFonts w:eastAsia="HiddenHorzOCR"/>
          <w:color w:val="000000" w:themeColor="text1"/>
          <w:szCs w:val="24"/>
        </w:rPr>
        <w:t xml:space="preserve"> </w:t>
      </w:r>
      <w:r w:rsidR="00B11316">
        <w:rPr>
          <w:rFonts w:asciiTheme="minorHAnsi" w:hAnsiTheme="minorHAnsi"/>
          <w:color w:val="000000" w:themeColor="text1"/>
          <w:szCs w:val="24"/>
        </w:rPr>
        <w:t>he</w:t>
      </w:r>
      <w:r w:rsidR="00733C3C">
        <w:rPr>
          <w:rFonts w:asciiTheme="minorHAnsi" w:hAnsiTheme="minorHAnsi"/>
          <w:color w:val="000000" w:themeColor="text1"/>
          <w:szCs w:val="24"/>
        </w:rPr>
        <w:t xml:space="preserve"> opined that “t</w:t>
      </w:r>
      <w:r w:rsidR="00733C3C">
        <w:rPr>
          <w:rFonts w:asciiTheme="minorHAnsi" w:hAnsiTheme="minorHAnsi"/>
          <w:color w:val="auto"/>
          <w:szCs w:val="24"/>
        </w:rPr>
        <w:t xml:space="preserve">his Army </w:t>
      </w:r>
      <w:r w:rsidR="00AC33D3">
        <w:rPr>
          <w:rFonts w:asciiTheme="minorHAnsi" w:hAnsiTheme="minorHAnsi"/>
          <w:color w:val="auto"/>
          <w:szCs w:val="24"/>
        </w:rPr>
        <w:t>o</w:t>
      </w:r>
      <w:r w:rsidR="00733C3C">
        <w:rPr>
          <w:rFonts w:asciiTheme="minorHAnsi" w:hAnsiTheme="minorHAnsi"/>
          <w:color w:val="auto"/>
          <w:szCs w:val="24"/>
        </w:rPr>
        <w:t xml:space="preserve">fficer definitely needs evaluation by a plastic surgeon and probable revision of the scar and </w:t>
      </w:r>
      <w:proofErr w:type="spellStart"/>
      <w:r w:rsidR="00733C3C">
        <w:rPr>
          <w:rFonts w:asciiTheme="minorHAnsi" w:hAnsiTheme="minorHAnsi"/>
          <w:color w:val="auto"/>
          <w:szCs w:val="24"/>
        </w:rPr>
        <w:t>lysis</w:t>
      </w:r>
      <w:proofErr w:type="spellEnd"/>
      <w:r w:rsidR="00733C3C">
        <w:rPr>
          <w:rFonts w:asciiTheme="minorHAnsi" w:hAnsiTheme="minorHAnsi"/>
          <w:color w:val="auto"/>
          <w:szCs w:val="24"/>
        </w:rPr>
        <w:t xml:space="preserve"> of the adhesions in the left shoulder.  This would improve the function of the shoulder.”</w:t>
      </w:r>
      <w:r w:rsidR="001B0D45">
        <w:rPr>
          <w:rFonts w:asciiTheme="minorHAnsi" w:hAnsiTheme="minorHAnsi"/>
          <w:color w:val="auto"/>
          <w:szCs w:val="24"/>
        </w:rPr>
        <w:t xml:space="preserve">  Additional corroboration for muscle involvement </w:t>
      </w:r>
      <w:r w:rsidR="00A11C44">
        <w:rPr>
          <w:rFonts w:asciiTheme="minorHAnsi" w:hAnsiTheme="minorHAnsi"/>
          <w:color w:val="auto"/>
          <w:szCs w:val="24"/>
        </w:rPr>
        <w:t xml:space="preserve">was documented </w:t>
      </w:r>
      <w:r w:rsidR="00AC33D3">
        <w:rPr>
          <w:rFonts w:asciiTheme="minorHAnsi" w:hAnsiTheme="minorHAnsi"/>
          <w:color w:val="auto"/>
          <w:szCs w:val="24"/>
        </w:rPr>
        <w:t>5</w:t>
      </w:r>
      <w:r w:rsidR="00A11C44">
        <w:rPr>
          <w:rFonts w:asciiTheme="minorHAnsi" w:hAnsiTheme="minorHAnsi"/>
          <w:color w:val="auto"/>
          <w:szCs w:val="24"/>
        </w:rPr>
        <w:t xml:space="preserve"> days </w:t>
      </w:r>
      <w:r w:rsidR="00BD0707">
        <w:rPr>
          <w:rFonts w:asciiTheme="minorHAnsi" w:hAnsiTheme="minorHAnsi"/>
          <w:color w:val="auto"/>
          <w:szCs w:val="24"/>
        </w:rPr>
        <w:t>after separation by a neurology</w:t>
      </w:r>
      <w:r w:rsidR="00A11C44">
        <w:rPr>
          <w:rFonts w:asciiTheme="minorHAnsi" w:hAnsiTheme="minorHAnsi"/>
          <w:color w:val="auto"/>
          <w:szCs w:val="24"/>
        </w:rPr>
        <w:t xml:space="preserve"> </w:t>
      </w:r>
      <w:r w:rsidR="00BD0707">
        <w:rPr>
          <w:rFonts w:asciiTheme="minorHAnsi" w:hAnsiTheme="minorHAnsi"/>
          <w:color w:val="auto"/>
          <w:szCs w:val="24"/>
        </w:rPr>
        <w:t>consultant</w:t>
      </w:r>
      <w:r w:rsidR="00A11C44">
        <w:rPr>
          <w:rFonts w:asciiTheme="minorHAnsi" w:hAnsiTheme="minorHAnsi"/>
          <w:color w:val="auto"/>
          <w:szCs w:val="24"/>
        </w:rPr>
        <w:t xml:space="preserve"> </w:t>
      </w:r>
      <w:r w:rsidR="00BD0707">
        <w:rPr>
          <w:rFonts w:asciiTheme="minorHAnsi" w:hAnsiTheme="minorHAnsi"/>
          <w:color w:val="auto"/>
          <w:szCs w:val="24"/>
        </w:rPr>
        <w:t>who noted</w:t>
      </w:r>
      <w:r w:rsidR="00A11C44">
        <w:rPr>
          <w:rFonts w:asciiTheme="minorHAnsi" w:hAnsiTheme="minorHAnsi"/>
          <w:color w:val="auto"/>
          <w:szCs w:val="24"/>
        </w:rPr>
        <w:t xml:space="preserve"> “atrophy of the left upper arm</w:t>
      </w:r>
      <w:r w:rsidR="00AC33D3">
        <w:rPr>
          <w:rFonts w:asciiTheme="minorHAnsi" w:hAnsiTheme="minorHAnsi"/>
          <w:color w:val="auto"/>
          <w:szCs w:val="24"/>
        </w:rPr>
        <w:t>.</w:t>
      </w:r>
      <w:r w:rsidR="00A11C44">
        <w:rPr>
          <w:rFonts w:asciiTheme="minorHAnsi" w:hAnsiTheme="minorHAnsi"/>
          <w:color w:val="auto"/>
          <w:szCs w:val="24"/>
        </w:rPr>
        <w:t>”</w:t>
      </w:r>
      <w:r w:rsidR="0072341D">
        <w:rPr>
          <w:rFonts w:asciiTheme="minorHAnsi" w:hAnsiTheme="minorHAnsi"/>
          <w:color w:val="auto"/>
          <w:szCs w:val="24"/>
        </w:rPr>
        <w:t xml:space="preserve"> </w:t>
      </w:r>
      <w:r w:rsidR="00733C3C">
        <w:rPr>
          <w:rFonts w:asciiTheme="minorHAnsi" w:hAnsiTheme="minorHAnsi"/>
          <w:color w:val="auto"/>
          <w:szCs w:val="24"/>
        </w:rPr>
        <w:t xml:space="preserve"> </w:t>
      </w:r>
      <w:r w:rsidR="00055E77">
        <w:rPr>
          <w:rFonts w:asciiTheme="minorHAnsi" w:hAnsiTheme="minorHAnsi"/>
          <w:color w:val="000000" w:themeColor="text1"/>
          <w:szCs w:val="24"/>
        </w:rPr>
        <w:t>The VA examiner opined that the left shoulder condition “</w:t>
      </w:r>
      <w:r w:rsidR="00055E77" w:rsidRPr="0066260C">
        <w:rPr>
          <w:rFonts w:asciiTheme="minorHAnsi" w:hAnsiTheme="minorHAnsi"/>
          <w:color w:val="000000" w:themeColor="text1"/>
          <w:szCs w:val="24"/>
        </w:rPr>
        <w:t>d</w:t>
      </w:r>
      <w:r w:rsidR="00AC33D3">
        <w:rPr>
          <w:rFonts w:asciiTheme="minorHAnsi" w:hAnsiTheme="minorHAnsi"/>
          <w:color w:val="000000" w:themeColor="text1"/>
          <w:szCs w:val="24"/>
        </w:rPr>
        <w:t>ramatically impairs the veteran’</w:t>
      </w:r>
      <w:r w:rsidR="00055E77" w:rsidRPr="0066260C">
        <w:rPr>
          <w:rFonts w:asciiTheme="minorHAnsi" w:hAnsiTheme="minorHAnsi"/>
          <w:color w:val="000000" w:themeColor="text1"/>
          <w:szCs w:val="24"/>
        </w:rPr>
        <w:t>s ability to do any repetitive work</w:t>
      </w:r>
      <w:r w:rsidR="00055E77">
        <w:rPr>
          <w:rFonts w:asciiTheme="minorHAnsi" w:hAnsiTheme="minorHAnsi"/>
          <w:color w:val="000000" w:themeColor="text1"/>
          <w:szCs w:val="24"/>
        </w:rPr>
        <w:t xml:space="preserve"> </w:t>
      </w:r>
      <w:r w:rsidR="00055E77" w:rsidRPr="0066260C">
        <w:rPr>
          <w:rFonts w:asciiTheme="minorHAnsi" w:hAnsiTheme="minorHAnsi"/>
          <w:color w:val="000000" w:themeColor="text1"/>
          <w:szCs w:val="24"/>
        </w:rPr>
        <w:t>with the left upper extremity due to aggravation of pain, as well as</w:t>
      </w:r>
      <w:r w:rsidR="00055E77">
        <w:rPr>
          <w:rFonts w:asciiTheme="minorHAnsi" w:hAnsiTheme="minorHAnsi"/>
          <w:color w:val="000000" w:themeColor="text1"/>
          <w:szCs w:val="24"/>
        </w:rPr>
        <w:t xml:space="preserve"> </w:t>
      </w:r>
      <w:r w:rsidR="00055E77" w:rsidRPr="0066260C">
        <w:rPr>
          <w:rFonts w:asciiTheme="minorHAnsi" w:hAnsiTheme="minorHAnsi"/>
          <w:color w:val="000000" w:themeColor="text1"/>
          <w:szCs w:val="24"/>
        </w:rPr>
        <w:t>lack of endurance and diminished strength of the left shoulder.</w:t>
      </w:r>
      <w:r w:rsidR="00055E77">
        <w:rPr>
          <w:rFonts w:asciiTheme="minorHAnsi" w:hAnsiTheme="minorHAnsi"/>
          <w:color w:val="000000" w:themeColor="text1"/>
          <w:szCs w:val="24"/>
        </w:rPr>
        <w:t xml:space="preserve">  </w:t>
      </w:r>
      <w:r w:rsidR="00055E77" w:rsidRPr="0066260C">
        <w:rPr>
          <w:rFonts w:asciiTheme="minorHAnsi" w:hAnsiTheme="minorHAnsi"/>
          <w:color w:val="000000" w:themeColor="text1"/>
          <w:szCs w:val="24"/>
        </w:rPr>
        <w:t>Impact on activities of daily living is the same as for the right</w:t>
      </w:r>
      <w:r w:rsidR="00055E77">
        <w:rPr>
          <w:rFonts w:asciiTheme="minorHAnsi" w:hAnsiTheme="minorHAnsi"/>
          <w:color w:val="000000" w:themeColor="text1"/>
          <w:szCs w:val="24"/>
        </w:rPr>
        <w:t xml:space="preserve"> </w:t>
      </w:r>
      <w:r w:rsidR="00055E77" w:rsidRPr="0066260C">
        <w:rPr>
          <w:rFonts w:asciiTheme="minorHAnsi" w:hAnsiTheme="minorHAnsi"/>
          <w:color w:val="000000" w:themeColor="text1"/>
          <w:szCs w:val="24"/>
        </w:rPr>
        <w:t>shoulder.</w:t>
      </w:r>
      <w:r w:rsidR="00055E77">
        <w:rPr>
          <w:rFonts w:asciiTheme="minorHAnsi" w:hAnsiTheme="minorHAnsi"/>
          <w:color w:val="000000" w:themeColor="text1"/>
          <w:szCs w:val="24"/>
        </w:rPr>
        <w:t>”</w:t>
      </w:r>
      <w:r w:rsidR="00055E77" w:rsidRPr="0066260C">
        <w:rPr>
          <w:rFonts w:asciiTheme="minorHAnsi" w:hAnsiTheme="minorHAnsi"/>
          <w:color w:val="000000" w:themeColor="text1"/>
          <w:szCs w:val="24"/>
        </w:rPr>
        <w:t xml:space="preserve"> </w:t>
      </w:r>
      <w:r w:rsidR="00055E77">
        <w:rPr>
          <w:rFonts w:asciiTheme="minorHAnsi" w:hAnsiTheme="minorHAnsi"/>
          <w:color w:val="000000" w:themeColor="text1"/>
          <w:szCs w:val="24"/>
        </w:rPr>
        <w:t xml:space="preserve"> Additionally, the examiner added that the CI “</w:t>
      </w:r>
      <w:r w:rsidR="00055E77" w:rsidRPr="0066260C">
        <w:rPr>
          <w:rFonts w:asciiTheme="minorHAnsi" w:hAnsiTheme="minorHAnsi"/>
          <w:color w:val="000000" w:themeColor="text1"/>
          <w:szCs w:val="24"/>
        </w:rPr>
        <w:t>has not</w:t>
      </w:r>
      <w:r w:rsidR="00055E77">
        <w:rPr>
          <w:rFonts w:asciiTheme="minorHAnsi" w:hAnsiTheme="minorHAnsi"/>
          <w:color w:val="000000" w:themeColor="text1"/>
          <w:szCs w:val="24"/>
        </w:rPr>
        <w:t xml:space="preserve"> </w:t>
      </w:r>
      <w:r w:rsidR="00055E77" w:rsidRPr="0066260C">
        <w:rPr>
          <w:rFonts w:asciiTheme="minorHAnsi" w:hAnsiTheme="minorHAnsi"/>
          <w:color w:val="000000" w:themeColor="text1"/>
          <w:szCs w:val="24"/>
        </w:rPr>
        <w:t>been found sufficiently fit for his civilian occupation to be allowed</w:t>
      </w:r>
      <w:r w:rsidR="00055E77">
        <w:rPr>
          <w:rFonts w:asciiTheme="minorHAnsi" w:hAnsiTheme="minorHAnsi"/>
          <w:color w:val="000000" w:themeColor="text1"/>
          <w:szCs w:val="24"/>
        </w:rPr>
        <w:t xml:space="preserve"> </w:t>
      </w:r>
      <w:r w:rsidR="00055E77" w:rsidRPr="0066260C">
        <w:rPr>
          <w:rFonts w:asciiTheme="minorHAnsi" w:hAnsiTheme="minorHAnsi"/>
          <w:color w:val="000000" w:themeColor="text1"/>
          <w:szCs w:val="24"/>
        </w:rPr>
        <w:t>to return to unlimited activities in that occupation.</w:t>
      </w:r>
      <w:r w:rsidR="00055E77">
        <w:rPr>
          <w:rFonts w:asciiTheme="minorHAnsi" w:hAnsiTheme="minorHAnsi"/>
          <w:color w:val="000000" w:themeColor="text1"/>
          <w:szCs w:val="24"/>
        </w:rPr>
        <w:t xml:space="preserve">”  </w:t>
      </w:r>
    </w:p>
    <w:p w:rsidR="001A7B31" w:rsidRDefault="001A7B31" w:rsidP="00C34D52">
      <w:pPr>
        <w:jc w:val="both"/>
        <w:rPr>
          <w:color w:val="000000" w:themeColor="text1"/>
          <w:szCs w:val="24"/>
        </w:rPr>
      </w:pPr>
    </w:p>
    <w:p w:rsidR="00C34D52" w:rsidRDefault="001F06C5" w:rsidP="00C34D52">
      <w:pPr>
        <w:jc w:val="both"/>
        <w:rPr>
          <w:rFonts w:asciiTheme="minorHAnsi" w:hAnsiTheme="minorHAnsi"/>
          <w:color w:val="auto"/>
          <w:szCs w:val="24"/>
        </w:rPr>
      </w:pPr>
      <w:r>
        <w:rPr>
          <w:rFonts w:asciiTheme="minorHAnsi" w:hAnsiTheme="minorHAnsi"/>
          <w:color w:val="auto"/>
          <w:szCs w:val="24"/>
        </w:rPr>
        <w:t>The Board directs its attention to its rating recommendations based on the evidence just described</w:t>
      </w:r>
      <w:r w:rsidR="00866721">
        <w:rPr>
          <w:rFonts w:asciiTheme="minorHAnsi" w:hAnsiTheme="minorHAnsi"/>
          <w:color w:val="auto"/>
          <w:szCs w:val="24"/>
        </w:rPr>
        <w:t xml:space="preserve">.  The Board agreed, as </w:t>
      </w:r>
      <w:r w:rsidR="00036F4E">
        <w:rPr>
          <w:rFonts w:asciiTheme="minorHAnsi" w:hAnsiTheme="minorHAnsi"/>
          <w:color w:val="auto"/>
          <w:szCs w:val="24"/>
        </w:rPr>
        <w:t>with</w:t>
      </w:r>
      <w:r w:rsidR="00866721">
        <w:rPr>
          <w:rFonts w:asciiTheme="minorHAnsi" w:hAnsiTheme="minorHAnsi"/>
          <w:color w:val="auto"/>
          <w:szCs w:val="24"/>
        </w:rPr>
        <w:t xml:space="preserve"> the right shoulder, that the PT </w:t>
      </w:r>
      <w:r w:rsidR="00036F4E">
        <w:rPr>
          <w:rFonts w:asciiTheme="minorHAnsi" w:hAnsiTheme="minorHAnsi"/>
          <w:color w:val="auto"/>
          <w:szCs w:val="24"/>
        </w:rPr>
        <w:t xml:space="preserve">ROM measurements were more probative; but, relied heavily on the VA C&amp;P examination </w:t>
      </w:r>
      <w:r w:rsidR="00AC33D3">
        <w:rPr>
          <w:rFonts w:asciiTheme="minorHAnsi" w:hAnsiTheme="minorHAnsi"/>
          <w:color w:val="auto"/>
          <w:szCs w:val="24"/>
        </w:rPr>
        <w:t xml:space="preserve">after separation </w:t>
      </w:r>
      <w:r w:rsidR="00036F4E">
        <w:rPr>
          <w:rFonts w:asciiTheme="minorHAnsi" w:hAnsiTheme="minorHAnsi"/>
          <w:color w:val="auto"/>
          <w:szCs w:val="24"/>
        </w:rPr>
        <w:t>for the clinical detail necessary to consider a rating for muscle disability rather than ROM impairment.  The PEB coding and rating approach (analogous to 5003) was</w:t>
      </w:r>
      <w:r w:rsidR="00B11316">
        <w:rPr>
          <w:rFonts w:asciiTheme="minorHAnsi" w:hAnsiTheme="minorHAnsi"/>
          <w:color w:val="auto"/>
          <w:szCs w:val="24"/>
        </w:rPr>
        <w:t>,</w:t>
      </w:r>
      <w:r w:rsidR="00036F4E">
        <w:rPr>
          <w:rFonts w:asciiTheme="minorHAnsi" w:hAnsiTheme="minorHAnsi"/>
          <w:color w:val="auto"/>
          <w:szCs w:val="24"/>
        </w:rPr>
        <w:t xml:space="preserve"> of course</w:t>
      </w:r>
      <w:r w:rsidR="00B11316">
        <w:rPr>
          <w:rFonts w:asciiTheme="minorHAnsi" w:hAnsiTheme="minorHAnsi"/>
          <w:color w:val="auto"/>
          <w:szCs w:val="24"/>
        </w:rPr>
        <w:t>,</w:t>
      </w:r>
      <w:r w:rsidR="00036F4E">
        <w:rPr>
          <w:rFonts w:asciiTheme="minorHAnsi" w:hAnsiTheme="minorHAnsi"/>
          <w:color w:val="auto"/>
          <w:szCs w:val="24"/>
        </w:rPr>
        <w:t xml:space="preserve"> identical to that</w:t>
      </w:r>
      <w:r w:rsidR="00B11316">
        <w:rPr>
          <w:rFonts w:asciiTheme="minorHAnsi" w:hAnsiTheme="minorHAnsi"/>
          <w:color w:val="auto"/>
          <w:szCs w:val="24"/>
        </w:rPr>
        <w:t xml:space="preserve"> for the right shoulder; and so</w:t>
      </w:r>
      <w:r w:rsidR="00036F4E">
        <w:rPr>
          <w:rFonts w:asciiTheme="minorHAnsi" w:hAnsiTheme="minorHAnsi"/>
          <w:color w:val="auto"/>
          <w:szCs w:val="24"/>
        </w:rPr>
        <w:t xml:space="preserve"> did not </w:t>
      </w:r>
      <w:r w:rsidR="00CB5097">
        <w:rPr>
          <w:rFonts w:asciiTheme="minorHAnsi" w:hAnsiTheme="minorHAnsi"/>
          <w:color w:val="auto"/>
          <w:szCs w:val="24"/>
        </w:rPr>
        <w:t>accommodate</w:t>
      </w:r>
      <w:r w:rsidR="00036F4E">
        <w:rPr>
          <w:rFonts w:asciiTheme="minorHAnsi" w:hAnsiTheme="minorHAnsi"/>
          <w:color w:val="auto"/>
          <w:szCs w:val="24"/>
        </w:rPr>
        <w:t xml:space="preserve"> the </w:t>
      </w:r>
      <w:r w:rsidR="00182072">
        <w:rPr>
          <w:rFonts w:asciiTheme="minorHAnsi" w:hAnsiTheme="minorHAnsi"/>
          <w:color w:val="auto"/>
          <w:szCs w:val="24"/>
        </w:rPr>
        <w:t xml:space="preserve">soft tissue injury unique to the left shoulder.  </w:t>
      </w:r>
      <w:r>
        <w:rPr>
          <w:rFonts w:asciiTheme="minorHAnsi" w:hAnsiTheme="minorHAnsi"/>
          <w:color w:val="auto"/>
          <w:szCs w:val="24"/>
        </w:rPr>
        <w:t xml:space="preserve">The VA </w:t>
      </w:r>
      <w:r w:rsidR="00182072">
        <w:rPr>
          <w:rFonts w:asciiTheme="minorHAnsi" w:hAnsiTheme="minorHAnsi"/>
          <w:color w:val="auto"/>
          <w:szCs w:val="24"/>
        </w:rPr>
        <w:t>rated</w:t>
      </w:r>
      <w:r>
        <w:rPr>
          <w:rFonts w:asciiTheme="minorHAnsi" w:hAnsiTheme="minorHAnsi"/>
          <w:color w:val="auto"/>
          <w:szCs w:val="24"/>
        </w:rPr>
        <w:t xml:space="preserve"> the </w:t>
      </w:r>
      <w:r w:rsidR="00FC639B">
        <w:rPr>
          <w:rFonts w:asciiTheme="minorHAnsi" w:hAnsiTheme="minorHAnsi"/>
          <w:color w:val="auto"/>
          <w:szCs w:val="24"/>
        </w:rPr>
        <w:t xml:space="preserve">left shoulder </w:t>
      </w:r>
      <w:r w:rsidR="00182072">
        <w:rPr>
          <w:rFonts w:asciiTheme="minorHAnsi" w:hAnsiTheme="minorHAnsi"/>
          <w:color w:val="auto"/>
          <w:szCs w:val="24"/>
        </w:rPr>
        <w:t>under the muscle code 5303 (m</w:t>
      </w:r>
      <w:r>
        <w:rPr>
          <w:rFonts w:asciiTheme="minorHAnsi" w:hAnsiTheme="minorHAnsi"/>
          <w:color w:val="auto"/>
          <w:szCs w:val="24"/>
        </w:rPr>
        <w:t>uscle group II</w:t>
      </w:r>
      <w:r w:rsidR="00182072">
        <w:rPr>
          <w:rFonts w:asciiTheme="minorHAnsi" w:hAnsiTheme="minorHAnsi"/>
          <w:color w:val="auto"/>
          <w:szCs w:val="24"/>
        </w:rPr>
        <w:t>I, the shoulder girdle and arm).</w:t>
      </w:r>
      <w:r>
        <w:rPr>
          <w:rFonts w:asciiTheme="minorHAnsi" w:hAnsiTheme="minorHAnsi"/>
          <w:color w:val="auto"/>
          <w:szCs w:val="24"/>
        </w:rPr>
        <w:t xml:space="preserve"> </w:t>
      </w:r>
      <w:r w:rsidR="00182072">
        <w:rPr>
          <w:rFonts w:asciiTheme="minorHAnsi" w:hAnsiTheme="minorHAnsi"/>
          <w:color w:val="auto"/>
          <w:szCs w:val="24"/>
        </w:rPr>
        <w:t xml:space="preserve"> The muscle disability was judged </w:t>
      </w:r>
      <w:r w:rsidR="003D66D4">
        <w:rPr>
          <w:rFonts w:asciiTheme="minorHAnsi" w:hAnsiTheme="minorHAnsi"/>
          <w:color w:val="auto"/>
          <w:szCs w:val="24"/>
        </w:rPr>
        <w:t xml:space="preserve">by the VA </w:t>
      </w:r>
      <w:r w:rsidR="00182072">
        <w:rPr>
          <w:rFonts w:asciiTheme="minorHAnsi" w:hAnsiTheme="minorHAnsi"/>
          <w:color w:val="auto"/>
          <w:szCs w:val="24"/>
        </w:rPr>
        <w:t xml:space="preserve">to be </w:t>
      </w:r>
      <w:r w:rsidR="00AC33D3">
        <w:rPr>
          <w:rFonts w:asciiTheme="minorHAnsi" w:hAnsiTheme="minorHAnsi"/>
          <w:color w:val="auto"/>
          <w:szCs w:val="24"/>
        </w:rPr>
        <w:t>“</w:t>
      </w:r>
      <w:r w:rsidR="00182072">
        <w:rPr>
          <w:rFonts w:asciiTheme="minorHAnsi" w:hAnsiTheme="minorHAnsi"/>
          <w:color w:val="auto"/>
          <w:szCs w:val="24"/>
        </w:rPr>
        <w:t>moderately severe</w:t>
      </w:r>
      <w:r w:rsidR="003D66D4">
        <w:rPr>
          <w:rFonts w:asciiTheme="minorHAnsi" w:hAnsiTheme="minorHAnsi"/>
          <w:color w:val="auto"/>
          <w:szCs w:val="24"/>
        </w:rPr>
        <w:t>,</w:t>
      </w:r>
      <w:r w:rsidR="00AC33D3">
        <w:rPr>
          <w:rFonts w:asciiTheme="minorHAnsi" w:hAnsiTheme="minorHAnsi"/>
          <w:color w:val="auto"/>
          <w:szCs w:val="24"/>
        </w:rPr>
        <w:t>”</w:t>
      </w:r>
      <w:r w:rsidR="00182072">
        <w:rPr>
          <w:rFonts w:asciiTheme="minorHAnsi" w:hAnsiTheme="minorHAnsi"/>
          <w:color w:val="auto"/>
          <w:szCs w:val="24"/>
        </w:rPr>
        <w:t xml:space="preserve"> which rates </w:t>
      </w:r>
      <w:r>
        <w:rPr>
          <w:rFonts w:asciiTheme="minorHAnsi" w:hAnsiTheme="minorHAnsi"/>
          <w:color w:val="auto"/>
          <w:szCs w:val="24"/>
        </w:rPr>
        <w:t>20%</w:t>
      </w:r>
      <w:r w:rsidR="00182072">
        <w:rPr>
          <w:rFonts w:asciiTheme="minorHAnsi" w:hAnsiTheme="minorHAnsi"/>
          <w:color w:val="auto"/>
          <w:szCs w:val="24"/>
        </w:rPr>
        <w:t xml:space="preserve"> for the non-dominant arm under that code.  </w:t>
      </w:r>
      <w:r w:rsidR="00374BCA">
        <w:rPr>
          <w:rFonts w:asciiTheme="minorHAnsi" w:hAnsiTheme="minorHAnsi"/>
          <w:color w:val="auto"/>
          <w:szCs w:val="24"/>
        </w:rPr>
        <w:t xml:space="preserve">The Board agreed that if alternate coding for muscle disability was not applied, a rating based solely on ROM impairment would be equivalent to that recommended for the right shoulder; i.e., 10% </w:t>
      </w:r>
      <w:r w:rsidR="003D66D4">
        <w:rPr>
          <w:rFonts w:asciiTheme="minorHAnsi" w:hAnsiTheme="minorHAnsi"/>
          <w:color w:val="auto"/>
          <w:szCs w:val="24"/>
        </w:rPr>
        <w:t xml:space="preserve">with application of §4.40 or §4.59 under a 5003 equivalent code.  </w:t>
      </w:r>
      <w:r w:rsidR="003D66D4">
        <w:rPr>
          <w:rFonts w:cstheme="minorBidi"/>
          <w:color w:val="auto"/>
          <w:szCs w:val="24"/>
        </w:rPr>
        <w:t>Given the compelling evidence for a functionally significant</w:t>
      </w:r>
      <w:r w:rsidR="003C529B">
        <w:rPr>
          <w:rFonts w:asciiTheme="minorHAnsi" w:hAnsiTheme="minorHAnsi"/>
          <w:color w:val="auto"/>
          <w:szCs w:val="24"/>
        </w:rPr>
        <w:t xml:space="preserve"> </w:t>
      </w:r>
      <w:r w:rsidR="00F67C20">
        <w:rPr>
          <w:rFonts w:asciiTheme="minorHAnsi" w:hAnsiTheme="minorHAnsi"/>
          <w:color w:val="auto"/>
          <w:szCs w:val="24"/>
        </w:rPr>
        <w:t xml:space="preserve">deltoid </w:t>
      </w:r>
      <w:r w:rsidR="003C529B">
        <w:rPr>
          <w:rFonts w:asciiTheme="minorHAnsi" w:hAnsiTheme="minorHAnsi"/>
          <w:color w:val="auto"/>
          <w:szCs w:val="24"/>
        </w:rPr>
        <w:t>muscle injury</w:t>
      </w:r>
      <w:r w:rsidR="003D66D4">
        <w:rPr>
          <w:rFonts w:asciiTheme="minorHAnsi" w:hAnsiTheme="minorHAnsi"/>
          <w:color w:val="auto"/>
          <w:szCs w:val="24"/>
        </w:rPr>
        <w:t xml:space="preserve"> with </w:t>
      </w:r>
      <w:r w:rsidR="00283F29">
        <w:rPr>
          <w:rFonts w:asciiTheme="minorHAnsi" w:hAnsiTheme="minorHAnsi"/>
          <w:color w:val="auto"/>
          <w:szCs w:val="24"/>
        </w:rPr>
        <w:t xml:space="preserve">a residual adhesive scar </w:t>
      </w:r>
      <w:r w:rsidR="003D66D4">
        <w:rPr>
          <w:rFonts w:asciiTheme="minorHAnsi" w:hAnsiTheme="minorHAnsi"/>
          <w:color w:val="auto"/>
          <w:szCs w:val="24"/>
        </w:rPr>
        <w:t>impeding ROM</w:t>
      </w:r>
      <w:r w:rsidR="00AC33D3">
        <w:rPr>
          <w:rFonts w:asciiTheme="minorHAnsi" w:hAnsiTheme="minorHAnsi"/>
          <w:color w:val="auto"/>
          <w:szCs w:val="24"/>
        </w:rPr>
        <w:t>;</w:t>
      </w:r>
      <w:r w:rsidR="003D66D4">
        <w:rPr>
          <w:rFonts w:asciiTheme="minorHAnsi" w:hAnsiTheme="minorHAnsi"/>
          <w:color w:val="auto"/>
          <w:szCs w:val="24"/>
        </w:rPr>
        <w:t xml:space="preserve"> </w:t>
      </w:r>
      <w:r w:rsidR="0027487B">
        <w:rPr>
          <w:rFonts w:asciiTheme="minorHAnsi" w:hAnsiTheme="minorHAnsi"/>
          <w:color w:val="auto"/>
          <w:szCs w:val="24"/>
        </w:rPr>
        <w:t xml:space="preserve">however, </w:t>
      </w:r>
      <w:r w:rsidR="003D66D4">
        <w:rPr>
          <w:rFonts w:asciiTheme="minorHAnsi" w:hAnsiTheme="minorHAnsi"/>
          <w:color w:val="auto"/>
          <w:szCs w:val="24"/>
        </w:rPr>
        <w:t xml:space="preserve">the Board </w:t>
      </w:r>
      <w:r w:rsidR="007262B8">
        <w:rPr>
          <w:rFonts w:asciiTheme="minorHAnsi" w:hAnsiTheme="minorHAnsi"/>
          <w:color w:val="auto"/>
          <w:szCs w:val="24"/>
        </w:rPr>
        <w:t>considered</w:t>
      </w:r>
      <w:r w:rsidR="0027487B">
        <w:rPr>
          <w:rFonts w:asciiTheme="minorHAnsi" w:hAnsiTheme="minorHAnsi"/>
          <w:color w:val="auto"/>
          <w:szCs w:val="24"/>
        </w:rPr>
        <w:t xml:space="preserve"> whether a fair rating would be achieved solely under a joint code.  It is noted that the findings in support of ratable muscle disability are documented almost exclusively in the VA C&amp;P examination, but were of a nature that had to have been present at separation; </w:t>
      </w:r>
      <w:r w:rsidR="00A67DC7">
        <w:rPr>
          <w:rFonts w:asciiTheme="minorHAnsi" w:hAnsiTheme="minorHAnsi"/>
          <w:color w:val="auto"/>
          <w:szCs w:val="24"/>
        </w:rPr>
        <w:t xml:space="preserve">further noted </w:t>
      </w:r>
      <w:r w:rsidR="0027487B">
        <w:rPr>
          <w:rFonts w:asciiTheme="minorHAnsi" w:hAnsiTheme="minorHAnsi"/>
          <w:color w:val="auto"/>
          <w:szCs w:val="24"/>
        </w:rPr>
        <w:t xml:space="preserve">that the findings are not contradicted by the available STR evidence; and, </w:t>
      </w:r>
      <w:r w:rsidR="00A67DC7">
        <w:rPr>
          <w:rFonts w:asciiTheme="minorHAnsi" w:hAnsiTheme="minorHAnsi"/>
          <w:color w:val="auto"/>
          <w:szCs w:val="24"/>
        </w:rPr>
        <w:t xml:space="preserve">finally noted </w:t>
      </w:r>
      <w:r w:rsidR="0027487B">
        <w:rPr>
          <w:rFonts w:asciiTheme="minorHAnsi" w:hAnsiTheme="minorHAnsi"/>
          <w:color w:val="auto"/>
          <w:szCs w:val="24"/>
        </w:rPr>
        <w:t xml:space="preserve">that the findings were </w:t>
      </w:r>
      <w:r w:rsidR="00F67C20">
        <w:rPr>
          <w:rFonts w:asciiTheme="minorHAnsi" w:hAnsiTheme="minorHAnsi"/>
          <w:color w:val="auto"/>
          <w:szCs w:val="24"/>
        </w:rPr>
        <w:t xml:space="preserve">corroborated </w:t>
      </w:r>
      <w:r w:rsidR="00283F29">
        <w:rPr>
          <w:rFonts w:asciiTheme="minorHAnsi" w:hAnsiTheme="minorHAnsi"/>
          <w:color w:val="auto"/>
          <w:szCs w:val="24"/>
        </w:rPr>
        <w:t>by the PT</w:t>
      </w:r>
      <w:r w:rsidR="00F67C20">
        <w:rPr>
          <w:rFonts w:asciiTheme="minorHAnsi" w:hAnsiTheme="minorHAnsi"/>
          <w:color w:val="auto"/>
          <w:szCs w:val="24"/>
        </w:rPr>
        <w:t xml:space="preserve"> exam</w:t>
      </w:r>
      <w:r w:rsidR="008A528B">
        <w:rPr>
          <w:rFonts w:asciiTheme="minorHAnsi" w:hAnsiTheme="minorHAnsi"/>
          <w:color w:val="auto"/>
          <w:szCs w:val="24"/>
        </w:rPr>
        <w:t xml:space="preserve"> </w:t>
      </w:r>
      <w:r w:rsidR="0027487B">
        <w:rPr>
          <w:rFonts w:asciiTheme="minorHAnsi" w:hAnsiTheme="minorHAnsi"/>
          <w:color w:val="auto"/>
          <w:szCs w:val="24"/>
        </w:rPr>
        <w:t xml:space="preserve">noting </w:t>
      </w:r>
      <w:r w:rsidR="008A528B">
        <w:rPr>
          <w:rFonts w:asciiTheme="minorHAnsi" w:hAnsiTheme="minorHAnsi"/>
          <w:color w:val="auto"/>
          <w:szCs w:val="24"/>
        </w:rPr>
        <w:t>diminished strength</w:t>
      </w:r>
      <w:r w:rsidR="00F67C20">
        <w:rPr>
          <w:rFonts w:asciiTheme="minorHAnsi" w:hAnsiTheme="minorHAnsi"/>
          <w:color w:val="auto"/>
          <w:szCs w:val="24"/>
        </w:rPr>
        <w:t xml:space="preserve">, </w:t>
      </w:r>
      <w:r w:rsidR="00A67DC7">
        <w:rPr>
          <w:rFonts w:asciiTheme="minorHAnsi" w:hAnsiTheme="minorHAnsi"/>
          <w:color w:val="auto"/>
          <w:szCs w:val="24"/>
        </w:rPr>
        <w:t xml:space="preserve">by </w:t>
      </w:r>
      <w:r w:rsidR="007262B8">
        <w:rPr>
          <w:rFonts w:asciiTheme="minorHAnsi" w:hAnsiTheme="minorHAnsi"/>
          <w:color w:val="auto"/>
          <w:szCs w:val="24"/>
        </w:rPr>
        <w:t>the</w:t>
      </w:r>
      <w:r w:rsidR="0027487B">
        <w:rPr>
          <w:rFonts w:asciiTheme="minorHAnsi" w:hAnsiTheme="minorHAnsi"/>
          <w:color w:val="auto"/>
          <w:szCs w:val="24"/>
        </w:rPr>
        <w:t xml:space="preserve"> </w:t>
      </w:r>
      <w:r w:rsidR="00F67C20">
        <w:rPr>
          <w:rFonts w:asciiTheme="minorHAnsi" w:hAnsiTheme="minorHAnsi"/>
          <w:color w:val="auto"/>
          <w:szCs w:val="24"/>
        </w:rPr>
        <w:lastRenderedPageBreak/>
        <w:t>orthopedic exam</w:t>
      </w:r>
      <w:r w:rsidR="00AC33D3">
        <w:rPr>
          <w:rFonts w:asciiTheme="minorHAnsi" w:hAnsiTheme="minorHAnsi"/>
          <w:color w:val="auto"/>
          <w:szCs w:val="24"/>
        </w:rPr>
        <w:t xml:space="preserve"> prior to separation</w:t>
      </w:r>
      <w:r w:rsidR="00F67C20">
        <w:rPr>
          <w:rFonts w:asciiTheme="minorHAnsi" w:hAnsiTheme="minorHAnsi"/>
          <w:color w:val="auto"/>
          <w:szCs w:val="24"/>
        </w:rPr>
        <w:t xml:space="preserve">, and </w:t>
      </w:r>
      <w:r w:rsidR="00A67DC7">
        <w:rPr>
          <w:rFonts w:asciiTheme="minorHAnsi" w:hAnsiTheme="minorHAnsi"/>
          <w:color w:val="auto"/>
          <w:szCs w:val="24"/>
        </w:rPr>
        <w:t xml:space="preserve">by </w:t>
      </w:r>
      <w:r w:rsidR="007262B8">
        <w:rPr>
          <w:rFonts w:asciiTheme="minorHAnsi" w:hAnsiTheme="minorHAnsi"/>
          <w:color w:val="auto"/>
          <w:szCs w:val="24"/>
        </w:rPr>
        <w:t>the</w:t>
      </w:r>
      <w:r w:rsidR="00F67C20">
        <w:rPr>
          <w:rFonts w:asciiTheme="minorHAnsi" w:hAnsiTheme="minorHAnsi"/>
          <w:color w:val="auto"/>
          <w:szCs w:val="24"/>
        </w:rPr>
        <w:t xml:space="preserve"> </w:t>
      </w:r>
      <w:r w:rsidR="007262B8">
        <w:rPr>
          <w:rFonts w:asciiTheme="minorHAnsi" w:hAnsiTheme="minorHAnsi"/>
          <w:color w:val="auto"/>
          <w:szCs w:val="24"/>
        </w:rPr>
        <w:t>neurologist’s</w:t>
      </w:r>
      <w:r w:rsidR="00F67C20">
        <w:rPr>
          <w:rFonts w:asciiTheme="minorHAnsi" w:hAnsiTheme="minorHAnsi"/>
          <w:color w:val="auto"/>
          <w:szCs w:val="24"/>
        </w:rPr>
        <w:t xml:space="preserve"> exam</w:t>
      </w:r>
      <w:r w:rsidR="007262B8" w:rsidRPr="007262B8">
        <w:rPr>
          <w:rFonts w:asciiTheme="minorHAnsi" w:hAnsiTheme="minorHAnsi"/>
          <w:color w:val="auto"/>
          <w:szCs w:val="24"/>
        </w:rPr>
        <w:t xml:space="preserve"> </w:t>
      </w:r>
      <w:r w:rsidR="007262B8">
        <w:rPr>
          <w:rFonts w:asciiTheme="minorHAnsi" w:hAnsiTheme="minorHAnsi"/>
          <w:color w:val="auto"/>
          <w:szCs w:val="24"/>
        </w:rPr>
        <w:t>proximate</w:t>
      </w:r>
      <w:r w:rsidR="007262B8" w:rsidRPr="007262B8">
        <w:rPr>
          <w:rFonts w:asciiTheme="minorHAnsi" w:hAnsiTheme="minorHAnsi"/>
          <w:color w:val="auto"/>
          <w:szCs w:val="24"/>
        </w:rPr>
        <w:t xml:space="preserve"> </w:t>
      </w:r>
      <w:r w:rsidR="007262B8">
        <w:rPr>
          <w:rFonts w:asciiTheme="minorHAnsi" w:hAnsiTheme="minorHAnsi"/>
          <w:color w:val="auto"/>
          <w:szCs w:val="24"/>
        </w:rPr>
        <w:t>to separation</w:t>
      </w:r>
      <w:r w:rsidR="00D06383">
        <w:rPr>
          <w:rFonts w:asciiTheme="minorHAnsi" w:hAnsiTheme="minorHAnsi"/>
          <w:color w:val="auto"/>
          <w:szCs w:val="24"/>
        </w:rPr>
        <w:t xml:space="preserve">.  </w:t>
      </w:r>
      <w:r w:rsidR="00233D21">
        <w:rPr>
          <w:rFonts w:asciiTheme="minorHAnsi" w:hAnsiTheme="minorHAnsi"/>
          <w:color w:val="auto"/>
          <w:szCs w:val="24"/>
        </w:rPr>
        <w:t>A</w:t>
      </w:r>
      <w:r w:rsidR="007262B8">
        <w:rPr>
          <w:rFonts w:asciiTheme="minorHAnsi" w:hAnsiTheme="minorHAnsi"/>
          <w:color w:val="auto"/>
          <w:szCs w:val="24"/>
        </w:rPr>
        <w:t>fter deliberation</w:t>
      </w:r>
      <w:r w:rsidR="00233D21">
        <w:rPr>
          <w:rFonts w:asciiTheme="minorHAnsi" w:hAnsiTheme="minorHAnsi"/>
          <w:color w:val="auto"/>
          <w:szCs w:val="24"/>
        </w:rPr>
        <w:t>s</w:t>
      </w:r>
      <w:r w:rsidR="007262B8">
        <w:rPr>
          <w:rFonts w:asciiTheme="minorHAnsi" w:hAnsiTheme="minorHAnsi"/>
          <w:color w:val="auto"/>
          <w:szCs w:val="24"/>
        </w:rPr>
        <w:t xml:space="preserve"> </w:t>
      </w:r>
      <w:r w:rsidR="00233D21">
        <w:rPr>
          <w:rFonts w:asciiTheme="minorHAnsi" w:hAnsiTheme="minorHAnsi"/>
          <w:color w:val="auto"/>
          <w:szCs w:val="24"/>
        </w:rPr>
        <w:t>m</w:t>
      </w:r>
      <w:r w:rsidR="00D06383">
        <w:rPr>
          <w:rFonts w:asciiTheme="minorHAnsi" w:hAnsiTheme="minorHAnsi"/>
          <w:color w:val="auto"/>
          <w:szCs w:val="24"/>
        </w:rPr>
        <w:t xml:space="preserve">embers agreed that a fairer rating would be reflected under muscle coding; and, the </w:t>
      </w:r>
      <w:r w:rsidR="00AC33D3">
        <w:rPr>
          <w:rFonts w:asciiTheme="minorHAnsi" w:hAnsiTheme="minorHAnsi"/>
          <w:color w:val="auto"/>
          <w:szCs w:val="24"/>
        </w:rPr>
        <w:t>a</w:t>
      </w:r>
      <w:r w:rsidR="00D06383">
        <w:rPr>
          <w:rFonts w:asciiTheme="minorHAnsi" w:hAnsiTheme="minorHAnsi"/>
          <w:color w:val="auto"/>
          <w:szCs w:val="24"/>
        </w:rPr>
        <w:t xml:space="preserve">ction </w:t>
      </w:r>
      <w:r w:rsidR="00AC33D3">
        <w:rPr>
          <w:rFonts w:asciiTheme="minorHAnsi" w:hAnsiTheme="minorHAnsi"/>
          <w:color w:val="auto"/>
          <w:szCs w:val="24"/>
        </w:rPr>
        <w:t>o</w:t>
      </w:r>
      <w:r w:rsidR="00D06383">
        <w:rPr>
          <w:rFonts w:asciiTheme="minorHAnsi" w:hAnsiTheme="minorHAnsi"/>
          <w:color w:val="auto"/>
          <w:szCs w:val="24"/>
        </w:rPr>
        <w:t>fficer concurred with the 5303 code applied by the VA.  T</w:t>
      </w:r>
      <w:r w:rsidR="00191E21">
        <w:rPr>
          <w:rFonts w:asciiTheme="minorHAnsi" w:hAnsiTheme="minorHAnsi"/>
          <w:color w:val="auto"/>
          <w:szCs w:val="24"/>
        </w:rPr>
        <w:t xml:space="preserve">he Board </w:t>
      </w:r>
      <w:r w:rsidR="00D06383">
        <w:rPr>
          <w:rFonts w:asciiTheme="minorHAnsi" w:hAnsiTheme="minorHAnsi"/>
          <w:color w:val="auto"/>
          <w:szCs w:val="24"/>
        </w:rPr>
        <w:t xml:space="preserve">then </w:t>
      </w:r>
      <w:r w:rsidR="00233D21">
        <w:rPr>
          <w:rFonts w:asciiTheme="minorHAnsi" w:hAnsiTheme="minorHAnsi"/>
          <w:color w:val="auto"/>
          <w:szCs w:val="24"/>
        </w:rPr>
        <w:t>considered</w:t>
      </w:r>
      <w:r w:rsidR="00D06383">
        <w:rPr>
          <w:rFonts w:asciiTheme="minorHAnsi" w:hAnsiTheme="minorHAnsi"/>
          <w:color w:val="auto"/>
          <w:szCs w:val="24"/>
        </w:rPr>
        <w:t xml:space="preserve"> the appropriate rating under 5303</w:t>
      </w:r>
      <w:r w:rsidR="00233D21">
        <w:rPr>
          <w:rFonts w:asciiTheme="minorHAnsi" w:hAnsiTheme="minorHAnsi"/>
          <w:color w:val="auto"/>
          <w:szCs w:val="24"/>
        </w:rPr>
        <w:t>,</w:t>
      </w:r>
      <w:r w:rsidR="00D06383">
        <w:rPr>
          <w:rFonts w:asciiTheme="minorHAnsi" w:hAnsiTheme="minorHAnsi"/>
          <w:color w:val="auto"/>
          <w:szCs w:val="24"/>
        </w:rPr>
        <w:t xml:space="preserve"> IAW the guidelines delineated in VASRD §4.56 (evaluation of muscle disabilities).  Although some of the §4.56 criteria for a </w:t>
      </w:r>
      <w:r w:rsidR="00AC33D3">
        <w:rPr>
          <w:rFonts w:asciiTheme="minorHAnsi" w:hAnsiTheme="minorHAnsi"/>
          <w:color w:val="auto"/>
          <w:szCs w:val="24"/>
        </w:rPr>
        <w:t>“</w:t>
      </w:r>
      <w:r w:rsidR="00D06383">
        <w:rPr>
          <w:rFonts w:asciiTheme="minorHAnsi" w:hAnsiTheme="minorHAnsi"/>
          <w:color w:val="auto"/>
          <w:szCs w:val="24"/>
        </w:rPr>
        <w:t>severe</w:t>
      </w:r>
      <w:r w:rsidR="00AC33D3">
        <w:rPr>
          <w:rFonts w:asciiTheme="minorHAnsi" w:hAnsiTheme="minorHAnsi"/>
          <w:color w:val="auto"/>
          <w:szCs w:val="24"/>
        </w:rPr>
        <w:t>”</w:t>
      </w:r>
      <w:r w:rsidR="00D06383">
        <w:rPr>
          <w:rFonts w:asciiTheme="minorHAnsi" w:hAnsiTheme="minorHAnsi"/>
          <w:color w:val="auto"/>
          <w:szCs w:val="24"/>
        </w:rPr>
        <w:t xml:space="preserve"> rating (30% for non-dominant) were documented</w:t>
      </w:r>
      <w:r w:rsidR="00AC2A8C">
        <w:rPr>
          <w:rFonts w:asciiTheme="minorHAnsi" w:hAnsiTheme="minorHAnsi"/>
          <w:color w:val="auto"/>
          <w:szCs w:val="24"/>
        </w:rPr>
        <w:t xml:space="preserve">, the </w:t>
      </w:r>
      <w:r w:rsidR="00AC33D3">
        <w:rPr>
          <w:rFonts w:asciiTheme="minorHAnsi" w:hAnsiTheme="minorHAnsi"/>
          <w:color w:val="auto"/>
          <w:szCs w:val="24"/>
        </w:rPr>
        <w:t>“</w:t>
      </w:r>
      <w:r w:rsidR="00AC2A8C">
        <w:rPr>
          <w:rFonts w:asciiTheme="minorHAnsi" w:hAnsiTheme="minorHAnsi"/>
          <w:color w:val="auto"/>
          <w:szCs w:val="24"/>
        </w:rPr>
        <w:t>moderately severe</w:t>
      </w:r>
      <w:r w:rsidR="00AC33D3">
        <w:rPr>
          <w:rFonts w:asciiTheme="minorHAnsi" w:hAnsiTheme="minorHAnsi"/>
          <w:color w:val="auto"/>
          <w:szCs w:val="24"/>
        </w:rPr>
        <w:t>”</w:t>
      </w:r>
      <w:r w:rsidR="00AC2A8C">
        <w:rPr>
          <w:rFonts w:asciiTheme="minorHAnsi" w:hAnsiTheme="minorHAnsi"/>
          <w:color w:val="auto"/>
          <w:szCs w:val="24"/>
        </w:rPr>
        <w:t xml:space="preserve"> criteria were </w:t>
      </w:r>
      <w:r w:rsidR="00233D21">
        <w:rPr>
          <w:rFonts w:asciiTheme="minorHAnsi" w:hAnsiTheme="minorHAnsi"/>
          <w:color w:val="auto"/>
          <w:szCs w:val="24"/>
        </w:rPr>
        <w:t>predominant</w:t>
      </w:r>
      <w:r w:rsidR="00D06383">
        <w:rPr>
          <w:rFonts w:asciiTheme="minorHAnsi" w:hAnsiTheme="minorHAnsi"/>
          <w:color w:val="auto"/>
          <w:szCs w:val="24"/>
        </w:rPr>
        <w:t xml:space="preserve"> </w:t>
      </w:r>
      <w:r w:rsidR="00AC2A8C">
        <w:rPr>
          <w:rFonts w:asciiTheme="minorHAnsi" w:hAnsiTheme="minorHAnsi"/>
          <w:color w:val="auto"/>
          <w:szCs w:val="24"/>
        </w:rPr>
        <w:t xml:space="preserve">and least speculative.  </w:t>
      </w:r>
      <w:r w:rsidR="00233D21">
        <w:rPr>
          <w:rFonts w:asciiTheme="minorHAnsi" w:hAnsiTheme="minorHAnsi"/>
          <w:color w:val="auto"/>
          <w:szCs w:val="24"/>
        </w:rPr>
        <w:t>After due deliberation in consideration of</w:t>
      </w:r>
      <w:r w:rsidR="00C34D52" w:rsidRPr="00B60055">
        <w:rPr>
          <w:rFonts w:asciiTheme="minorHAnsi" w:hAnsiTheme="minorHAnsi"/>
          <w:color w:val="auto"/>
          <w:szCs w:val="24"/>
        </w:rPr>
        <w:t xml:space="preserve"> all of the evidence</w:t>
      </w:r>
      <w:r w:rsidR="00233D21">
        <w:rPr>
          <w:rFonts w:asciiTheme="minorHAnsi" w:hAnsiTheme="minorHAnsi"/>
          <w:color w:val="auto"/>
          <w:szCs w:val="24"/>
        </w:rPr>
        <w:t>,</w:t>
      </w:r>
      <w:r w:rsidR="00C34D52" w:rsidRPr="00B60055">
        <w:rPr>
          <w:rFonts w:asciiTheme="minorHAnsi" w:hAnsiTheme="minorHAnsi"/>
          <w:color w:val="auto"/>
          <w:szCs w:val="24"/>
        </w:rPr>
        <w:t xml:space="preserve"> and mindful of </w:t>
      </w:r>
      <w:r w:rsidR="00AC2A8C">
        <w:rPr>
          <w:rFonts w:asciiTheme="minorHAnsi" w:hAnsiTheme="minorHAnsi"/>
          <w:color w:val="auto"/>
          <w:szCs w:val="24"/>
        </w:rPr>
        <w:t xml:space="preserve">both </w:t>
      </w:r>
      <w:r w:rsidR="00C34D52" w:rsidRPr="00B60055">
        <w:rPr>
          <w:rFonts w:asciiTheme="minorHAnsi" w:hAnsiTheme="minorHAnsi"/>
          <w:color w:val="auto"/>
          <w:szCs w:val="24"/>
        </w:rPr>
        <w:t>VASRD §4.3 (</w:t>
      </w:r>
      <w:r w:rsidR="00C34D52" w:rsidRPr="0072341D">
        <w:rPr>
          <w:rFonts w:asciiTheme="minorHAnsi" w:hAnsiTheme="minorHAnsi"/>
          <w:color w:val="auto"/>
          <w:szCs w:val="24"/>
        </w:rPr>
        <w:t>reasonable doubt)</w:t>
      </w:r>
      <w:r w:rsidR="00D87AE7" w:rsidRPr="0072341D">
        <w:rPr>
          <w:rFonts w:asciiTheme="minorHAnsi" w:hAnsiTheme="minorHAnsi"/>
          <w:color w:val="auto"/>
          <w:szCs w:val="24"/>
        </w:rPr>
        <w:t xml:space="preserve"> and §4.7 (higher of the two evaluations), </w:t>
      </w:r>
      <w:r w:rsidR="00C34D52" w:rsidRPr="0072341D">
        <w:rPr>
          <w:rFonts w:asciiTheme="minorHAnsi" w:hAnsiTheme="minorHAnsi"/>
          <w:color w:val="auto"/>
          <w:szCs w:val="24"/>
        </w:rPr>
        <w:t xml:space="preserve">the Board recommends a </w:t>
      </w:r>
      <w:r w:rsidR="00AC33D3">
        <w:rPr>
          <w:rFonts w:asciiTheme="minorHAnsi" w:hAnsiTheme="minorHAnsi"/>
          <w:color w:val="auto"/>
          <w:szCs w:val="24"/>
        </w:rPr>
        <w:t>s</w:t>
      </w:r>
      <w:r w:rsidR="00AC2A8C" w:rsidRPr="0072341D">
        <w:rPr>
          <w:rFonts w:asciiTheme="minorHAnsi" w:hAnsiTheme="minorHAnsi"/>
          <w:color w:val="auto"/>
          <w:szCs w:val="24"/>
        </w:rPr>
        <w:t>ervice disability</w:t>
      </w:r>
      <w:r w:rsidR="00C34D52" w:rsidRPr="0072341D">
        <w:rPr>
          <w:rFonts w:asciiTheme="minorHAnsi" w:hAnsiTheme="minorHAnsi"/>
          <w:color w:val="auto"/>
          <w:szCs w:val="24"/>
        </w:rPr>
        <w:t xml:space="preserve"> rating of 20%</w:t>
      </w:r>
      <w:r w:rsidR="0072341D" w:rsidRPr="0072341D">
        <w:rPr>
          <w:rFonts w:asciiTheme="minorHAnsi" w:hAnsiTheme="minorHAnsi"/>
          <w:color w:val="auto"/>
          <w:szCs w:val="24"/>
        </w:rPr>
        <w:t>, moderate-severe</w:t>
      </w:r>
      <w:r w:rsidR="00C34D52" w:rsidRPr="0072341D">
        <w:rPr>
          <w:rFonts w:asciiTheme="minorHAnsi" w:hAnsiTheme="minorHAnsi"/>
          <w:color w:val="auto"/>
          <w:szCs w:val="24"/>
        </w:rPr>
        <w:t xml:space="preserve"> for the </w:t>
      </w:r>
      <w:r w:rsidR="008A528B" w:rsidRPr="0072341D">
        <w:rPr>
          <w:rFonts w:asciiTheme="minorHAnsi" w:hAnsiTheme="minorHAnsi"/>
          <w:color w:val="auto"/>
          <w:szCs w:val="24"/>
        </w:rPr>
        <w:t>left</w:t>
      </w:r>
      <w:r w:rsidR="00C34D52" w:rsidRPr="0072341D">
        <w:rPr>
          <w:rFonts w:asciiTheme="minorHAnsi" w:hAnsiTheme="minorHAnsi"/>
          <w:color w:val="auto"/>
          <w:szCs w:val="24"/>
        </w:rPr>
        <w:t xml:space="preserve"> shoulder condition </w:t>
      </w:r>
      <w:r w:rsidR="00D5403F" w:rsidRPr="0072341D">
        <w:rPr>
          <w:rFonts w:asciiTheme="minorHAnsi" w:hAnsiTheme="minorHAnsi"/>
          <w:color w:val="auto"/>
          <w:szCs w:val="24"/>
        </w:rPr>
        <w:t>under the code</w:t>
      </w:r>
      <w:r w:rsidR="00C34D52" w:rsidRPr="0072341D">
        <w:rPr>
          <w:rFonts w:asciiTheme="minorHAnsi" w:hAnsiTheme="minorHAnsi"/>
          <w:color w:val="auto"/>
          <w:szCs w:val="24"/>
        </w:rPr>
        <w:t xml:space="preserve"> </w:t>
      </w:r>
      <w:r w:rsidR="00D87AE7" w:rsidRPr="0072341D">
        <w:rPr>
          <w:rFonts w:asciiTheme="minorHAnsi" w:hAnsiTheme="minorHAnsi"/>
          <w:color w:val="auto"/>
          <w:szCs w:val="24"/>
        </w:rPr>
        <w:t>5303</w:t>
      </w:r>
      <w:r w:rsidR="00C34D52" w:rsidRPr="0072341D">
        <w:rPr>
          <w:rFonts w:asciiTheme="minorHAnsi" w:hAnsiTheme="minorHAnsi"/>
          <w:color w:val="auto"/>
          <w:szCs w:val="24"/>
        </w:rPr>
        <w:t>.</w:t>
      </w:r>
      <w:r w:rsidR="00C34D52">
        <w:rPr>
          <w:rFonts w:asciiTheme="minorHAnsi" w:hAnsiTheme="minorHAnsi"/>
          <w:color w:val="auto"/>
          <w:szCs w:val="24"/>
        </w:rPr>
        <w:t xml:space="preserve">  </w:t>
      </w:r>
    </w:p>
    <w:p w:rsidR="00DF7983" w:rsidRDefault="00DF7983" w:rsidP="005D6A21">
      <w:pPr>
        <w:jc w:val="both"/>
        <w:rPr>
          <w:rFonts w:asciiTheme="minorHAnsi" w:hAnsiTheme="minorHAnsi"/>
          <w:color w:val="auto"/>
          <w:szCs w:val="24"/>
        </w:rPr>
      </w:pPr>
    </w:p>
    <w:p w:rsidR="002B2E25" w:rsidRPr="004F0B39" w:rsidRDefault="002B2E25" w:rsidP="00282DA1">
      <w:pPr>
        <w:jc w:val="both"/>
        <w:rPr>
          <w:color w:val="000000" w:themeColor="text1"/>
          <w:szCs w:val="24"/>
        </w:rPr>
      </w:pPr>
      <w:proofErr w:type="gramStart"/>
      <w:r>
        <w:rPr>
          <w:color w:val="000000" w:themeColor="text1"/>
          <w:szCs w:val="24"/>
          <w:u w:val="single"/>
        </w:rPr>
        <w:t xml:space="preserve">Right </w:t>
      </w:r>
      <w:r w:rsidR="009D6168">
        <w:rPr>
          <w:color w:val="000000" w:themeColor="text1"/>
          <w:szCs w:val="24"/>
          <w:u w:val="single"/>
        </w:rPr>
        <w:t>Hand Condition</w:t>
      </w:r>
      <w:r w:rsidRPr="002B2E25">
        <w:rPr>
          <w:color w:val="000000" w:themeColor="text1"/>
          <w:szCs w:val="24"/>
        </w:rPr>
        <w:t>.</w:t>
      </w:r>
      <w:proofErr w:type="gramEnd"/>
      <w:r w:rsidRPr="002B2E25">
        <w:rPr>
          <w:color w:val="000000" w:themeColor="text1"/>
          <w:szCs w:val="24"/>
        </w:rPr>
        <w:t xml:space="preserve">  </w:t>
      </w:r>
      <w:r w:rsidR="009D6168">
        <w:rPr>
          <w:rFonts w:asciiTheme="minorHAnsi" w:hAnsiTheme="minorHAnsi"/>
          <w:color w:val="000000" w:themeColor="text1"/>
          <w:szCs w:val="24"/>
        </w:rPr>
        <w:t xml:space="preserve">The CI </w:t>
      </w:r>
      <w:r w:rsidR="009D6168" w:rsidRPr="0066260C">
        <w:rPr>
          <w:rFonts w:asciiTheme="minorHAnsi" w:hAnsiTheme="minorHAnsi"/>
          <w:color w:val="000000" w:themeColor="text1"/>
          <w:szCs w:val="24"/>
        </w:rPr>
        <w:t xml:space="preserve">developed </w:t>
      </w:r>
      <w:r w:rsidR="009D6168">
        <w:rPr>
          <w:rFonts w:asciiTheme="minorHAnsi" w:hAnsiTheme="minorHAnsi"/>
          <w:color w:val="000000" w:themeColor="text1"/>
          <w:szCs w:val="24"/>
        </w:rPr>
        <w:t>p</w:t>
      </w:r>
      <w:r w:rsidR="009D6168" w:rsidRPr="0066260C">
        <w:rPr>
          <w:rFonts w:asciiTheme="minorHAnsi" w:hAnsiTheme="minorHAnsi"/>
          <w:color w:val="000000" w:themeColor="text1"/>
          <w:szCs w:val="24"/>
        </w:rPr>
        <w:t xml:space="preserve">ersistent </w:t>
      </w:r>
      <w:r w:rsidR="00A67DC7">
        <w:rPr>
          <w:rFonts w:asciiTheme="minorHAnsi" w:hAnsiTheme="minorHAnsi"/>
          <w:color w:val="000000" w:themeColor="text1"/>
          <w:szCs w:val="24"/>
        </w:rPr>
        <w:t>pain and sensory symptoms</w:t>
      </w:r>
      <w:r w:rsidR="009D6168" w:rsidRPr="0066260C">
        <w:rPr>
          <w:rFonts w:asciiTheme="minorHAnsi" w:hAnsiTheme="minorHAnsi"/>
          <w:color w:val="000000" w:themeColor="text1"/>
          <w:szCs w:val="24"/>
        </w:rPr>
        <w:t xml:space="preserve"> in the right media</w:t>
      </w:r>
      <w:r w:rsidR="008A528B">
        <w:rPr>
          <w:rFonts w:asciiTheme="minorHAnsi" w:hAnsiTheme="minorHAnsi"/>
          <w:color w:val="000000" w:themeColor="text1"/>
          <w:szCs w:val="24"/>
        </w:rPr>
        <w:t>n</w:t>
      </w:r>
      <w:r w:rsidR="009D6168">
        <w:rPr>
          <w:rFonts w:asciiTheme="minorHAnsi" w:hAnsiTheme="minorHAnsi"/>
          <w:color w:val="000000" w:themeColor="text1"/>
          <w:szCs w:val="24"/>
        </w:rPr>
        <w:t xml:space="preserve"> nerve distribution</w:t>
      </w:r>
      <w:r w:rsidR="00A67DC7">
        <w:rPr>
          <w:rFonts w:asciiTheme="minorHAnsi" w:hAnsiTheme="minorHAnsi"/>
          <w:color w:val="000000" w:themeColor="text1"/>
          <w:szCs w:val="24"/>
        </w:rPr>
        <w:t>,</w:t>
      </w:r>
      <w:r w:rsidR="009D6168">
        <w:rPr>
          <w:rFonts w:asciiTheme="minorHAnsi" w:hAnsiTheme="minorHAnsi"/>
          <w:color w:val="000000" w:themeColor="text1"/>
          <w:szCs w:val="24"/>
        </w:rPr>
        <w:t xml:space="preserve"> and underwent a </w:t>
      </w:r>
      <w:r w:rsidR="009D6168" w:rsidRPr="0066260C">
        <w:rPr>
          <w:rFonts w:asciiTheme="minorHAnsi" w:hAnsiTheme="minorHAnsi"/>
          <w:color w:val="000000" w:themeColor="text1"/>
          <w:szCs w:val="24"/>
        </w:rPr>
        <w:t xml:space="preserve">carpal </w:t>
      </w:r>
      <w:r w:rsidR="009D6168" w:rsidRPr="004F0B39">
        <w:rPr>
          <w:rFonts w:asciiTheme="minorHAnsi" w:hAnsiTheme="minorHAnsi"/>
          <w:color w:val="000000" w:themeColor="text1"/>
          <w:szCs w:val="24"/>
        </w:rPr>
        <w:t xml:space="preserve">tunnel release in June 2005 with improvement of symptoms.  </w:t>
      </w:r>
      <w:r w:rsidR="00CC5E96" w:rsidRPr="004F0B39">
        <w:rPr>
          <w:color w:val="000000" w:themeColor="text1"/>
          <w:szCs w:val="24"/>
        </w:rPr>
        <w:t>This</w:t>
      </w:r>
      <w:r w:rsidR="00193362" w:rsidRPr="004F0B39">
        <w:rPr>
          <w:color w:val="000000" w:themeColor="text1"/>
          <w:szCs w:val="24"/>
        </w:rPr>
        <w:t xml:space="preserve"> </w:t>
      </w:r>
      <w:r w:rsidR="007B1182" w:rsidRPr="004F0B39">
        <w:rPr>
          <w:color w:val="000000" w:themeColor="text1"/>
          <w:szCs w:val="24"/>
        </w:rPr>
        <w:t>condition</w:t>
      </w:r>
      <w:r w:rsidR="008A528B" w:rsidRPr="004F0B39">
        <w:rPr>
          <w:color w:val="000000" w:themeColor="text1"/>
          <w:szCs w:val="24"/>
        </w:rPr>
        <w:t>, which was</w:t>
      </w:r>
      <w:r w:rsidR="008A528B" w:rsidRPr="004F0B39">
        <w:rPr>
          <w:rFonts w:asciiTheme="minorHAnsi" w:hAnsiTheme="minorHAnsi"/>
          <w:color w:val="000000" w:themeColor="text1"/>
          <w:szCs w:val="24"/>
        </w:rPr>
        <w:t xml:space="preserve"> attributed to the blast trauma from the IED,</w:t>
      </w:r>
      <w:r w:rsidR="008A528B" w:rsidRPr="004F0B39">
        <w:rPr>
          <w:color w:val="000000" w:themeColor="text1"/>
          <w:szCs w:val="24"/>
        </w:rPr>
        <w:t xml:space="preserve"> </w:t>
      </w:r>
      <w:r w:rsidR="007B1182" w:rsidRPr="004F0B39">
        <w:rPr>
          <w:color w:val="000000" w:themeColor="text1"/>
          <w:szCs w:val="24"/>
        </w:rPr>
        <w:t xml:space="preserve">was </w:t>
      </w:r>
      <w:r w:rsidR="00CC5E96" w:rsidRPr="004F0B39">
        <w:rPr>
          <w:color w:val="000000" w:themeColor="text1"/>
          <w:szCs w:val="24"/>
        </w:rPr>
        <w:t xml:space="preserve">added </w:t>
      </w:r>
      <w:r w:rsidR="000A1605">
        <w:rPr>
          <w:color w:val="000000" w:themeColor="text1"/>
          <w:szCs w:val="24"/>
        </w:rPr>
        <w:t>4</w:t>
      </w:r>
      <w:r w:rsidR="00CC5E96" w:rsidRPr="004F0B39">
        <w:rPr>
          <w:color w:val="000000" w:themeColor="text1"/>
          <w:szCs w:val="24"/>
        </w:rPr>
        <w:t xml:space="preserve"> months prior to separation as</w:t>
      </w:r>
      <w:r w:rsidR="00193362" w:rsidRPr="004F0B39">
        <w:rPr>
          <w:color w:val="000000" w:themeColor="text1"/>
          <w:szCs w:val="24"/>
        </w:rPr>
        <w:t xml:space="preserve"> </w:t>
      </w:r>
      <w:r w:rsidR="00CC1978" w:rsidRPr="004F0B39">
        <w:rPr>
          <w:color w:val="000000" w:themeColor="text1"/>
          <w:szCs w:val="24"/>
        </w:rPr>
        <w:t>an addendum</w:t>
      </w:r>
      <w:r w:rsidR="00CC1978" w:rsidRPr="004F0B39">
        <w:rPr>
          <w:rFonts w:asciiTheme="minorHAnsi" w:hAnsiTheme="minorHAnsi"/>
          <w:color w:val="000000" w:themeColor="text1"/>
          <w:szCs w:val="24"/>
        </w:rPr>
        <w:t xml:space="preserve">.  </w:t>
      </w:r>
      <w:r w:rsidR="00700F61" w:rsidRPr="004F0B39">
        <w:rPr>
          <w:rFonts w:asciiTheme="minorHAnsi" w:hAnsiTheme="minorHAnsi"/>
          <w:color w:val="000000" w:themeColor="text1"/>
          <w:szCs w:val="24"/>
        </w:rPr>
        <w:t>The examiner</w:t>
      </w:r>
      <w:r w:rsidR="00233D21">
        <w:rPr>
          <w:rFonts w:asciiTheme="minorHAnsi" w:hAnsiTheme="minorHAnsi"/>
          <w:color w:val="000000" w:themeColor="text1"/>
          <w:szCs w:val="24"/>
        </w:rPr>
        <w:t xml:space="preserve"> (for the addendum)</w:t>
      </w:r>
      <w:r w:rsidR="00404CC2" w:rsidRPr="004F0B39">
        <w:rPr>
          <w:rFonts w:asciiTheme="minorHAnsi" w:hAnsiTheme="minorHAnsi"/>
          <w:color w:val="000000" w:themeColor="text1"/>
          <w:szCs w:val="24"/>
        </w:rPr>
        <w:t xml:space="preserve"> </w:t>
      </w:r>
      <w:r w:rsidR="00700F61" w:rsidRPr="004F0B39">
        <w:rPr>
          <w:rFonts w:asciiTheme="minorHAnsi" w:hAnsiTheme="minorHAnsi"/>
          <w:color w:val="000000" w:themeColor="text1"/>
          <w:szCs w:val="24"/>
        </w:rPr>
        <w:t xml:space="preserve">documented </w:t>
      </w:r>
      <w:r w:rsidR="00A67DC7">
        <w:rPr>
          <w:rFonts w:asciiTheme="minorHAnsi" w:hAnsiTheme="minorHAnsi"/>
          <w:color w:val="000000" w:themeColor="text1"/>
          <w:szCs w:val="24"/>
        </w:rPr>
        <w:t xml:space="preserve">that </w:t>
      </w:r>
      <w:r w:rsidR="00700F61" w:rsidRPr="004F0B39">
        <w:rPr>
          <w:rFonts w:asciiTheme="minorHAnsi" w:hAnsiTheme="minorHAnsi"/>
          <w:color w:val="000000" w:themeColor="text1"/>
          <w:szCs w:val="24"/>
        </w:rPr>
        <w:t xml:space="preserve">the CI had “significant weakness in his right </w:t>
      </w:r>
      <w:r w:rsidR="008A528B" w:rsidRPr="004F0B39">
        <w:rPr>
          <w:rFonts w:asciiTheme="minorHAnsi" w:hAnsiTheme="minorHAnsi"/>
          <w:color w:val="000000" w:themeColor="text1"/>
          <w:szCs w:val="24"/>
        </w:rPr>
        <w:t xml:space="preserve">dominant </w:t>
      </w:r>
      <w:r w:rsidR="00700F61" w:rsidRPr="004F0B39">
        <w:rPr>
          <w:rFonts w:asciiTheme="minorHAnsi" w:hAnsiTheme="minorHAnsi"/>
          <w:color w:val="000000" w:themeColor="text1"/>
          <w:szCs w:val="24"/>
        </w:rPr>
        <w:t>hand and is unable to make a fist, shake hands or open door</w:t>
      </w:r>
      <w:r w:rsidR="00AC33D3">
        <w:rPr>
          <w:rFonts w:asciiTheme="minorHAnsi" w:hAnsiTheme="minorHAnsi"/>
          <w:color w:val="000000" w:themeColor="text1"/>
          <w:szCs w:val="24"/>
        </w:rPr>
        <w:t>.</w:t>
      </w:r>
      <w:r w:rsidR="00700F61" w:rsidRPr="004F0B39">
        <w:rPr>
          <w:rFonts w:asciiTheme="minorHAnsi" w:hAnsiTheme="minorHAnsi"/>
          <w:color w:val="000000" w:themeColor="text1"/>
          <w:szCs w:val="24"/>
        </w:rPr>
        <w:t xml:space="preserve">”  The exam demonstrated </w:t>
      </w:r>
      <w:r w:rsidR="004F0B39">
        <w:rPr>
          <w:rFonts w:asciiTheme="minorHAnsi" w:hAnsiTheme="minorHAnsi"/>
          <w:color w:val="000000" w:themeColor="text1"/>
          <w:szCs w:val="24"/>
        </w:rPr>
        <w:t>weak</w:t>
      </w:r>
      <w:r w:rsidR="00700F61" w:rsidRPr="004F0B39">
        <w:rPr>
          <w:rFonts w:asciiTheme="minorHAnsi" w:hAnsiTheme="minorHAnsi"/>
          <w:color w:val="000000" w:themeColor="text1"/>
          <w:szCs w:val="24"/>
        </w:rPr>
        <w:t xml:space="preserve"> </w:t>
      </w:r>
      <w:r w:rsidR="004F0B39" w:rsidRPr="004F0B39">
        <w:rPr>
          <w:rFonts w:asciiTheme="minorHAnsi" w:hAnsiTheme="minorHAnsi"/>
          <w:color w:val="000000" w:themeColor="text1"/>
          <w:szCs w:val="24"/>
        </w:rPr>
        <w:t xml:space="preserve">flexion </w:t>
      </w:r>
      <w:r w:rsidR="00CB5097">
        <w:rPr>
          <w:rFonts w:asciiTheme="minorHAnsi" w:hAnsiTheme="minorHAnsi"/>
          <w:color w:val="000000" w:themeColor="text1"/>
          <w:szCs w:val="24"/>
        </w:rPr>
        <w:t xml:space="preserve">of the </w:t>
      </w:r>
      <w:r w:rsidR="00700F61" w:rsidRPr="004F0B39">
        <w:rPr>
          <w:rFonts w:asciiTheme="minorHAnsi" w:hAnsiTheme="minorHAnsi"/>
          <w:color w:val="000000" w:themeColor="text1"/>
          <w:szCs w:val="24"/>
        </w:rPr>
        <w:t>second, third and fourth fingers</w:t>
      </w:r>
      <w:r w:rsidR="004F0B39">
        <w:rPr>
          <w:rFonts w:asciiTheme="minorHAnsi" w:hAnsiTheme="minorHAnsi"/>
          <w:color w:val="000000" w:themeColor="text1"/>
          <w:szCs w:val="24"/>
        </w:rPr>
        <w:t>;</w:t>
      </w:r>
      <w:r w:rsidR="00700F61" w:rsidRPr="004F0B39">
        <w:rPr>
          <w:rFonts w:asciiTheme="minorHAnsi" w:hAnsiTheme="minorHAnsi"/>
          <w:color w:val="000000" w:themeColor="text1"/>
          <w:szCs w:val="24"/>
        </w:rPr>
        <w:t xml:space="preserve"> as well as </w:t>
      </w:r>
      <w:r w:rsidR="00577FA8" w:rsidRPr="004F0B39">
        <w:rPr>
          <w:color w:val="000000" w:themeColor="text1"/>
          <w:szCs w:val="24"/>
        </w:rPr>
        <w:t xml:space="preserve">decreased </w:t>
      </w:r>
      <w:r w:rsidR="00CC1978" w:rsidRPr="004F0B39">
        <w:rPr>
          <w:color w:val="000000" w:themeColor="text1"/>
          <w:szCs w:val="24"/>
        </w:rPr>
        <w:t>g</w:t>
      </w:r>
      <w:r w:rsidR="00FE17B6" w:rsidRPr="004F0B39">
        <w:rPr>
          <w:color w:val="000000" w:themeColor="text1"/>
          <w:szCs w:val="24"/>
        </w:rPr>
        <w:t xml:space="preserve">rip strength </w:t>
      </w:r>
      <w:r w:rsidR="00577FA8" w:rsidRPr="004F0B39">
        <w:rPr>
          <w:color w:val="000000" w:themeColor="text1"/>
          <w:szCs w:val="24"/>
        </w:rPr>
        <w:t xml:space="preserve">on </w:t>
      </w:r>
      <w:r w:rsidR="00FE17B6" w:rsidRPr="004F0B39">
        <w:rPr>
          <w:color w:val="000000" w:themeColor="text1"/>
          <w:szCs w:val="24"/>
        </w:rPr>
        <w:t>the right</w:t>
      </w:r>
      <w:r w:rsidR="00CC5E96" w:rsidRPr="004F0B39">
        <w:rPr>
          <w:color w:val="000000" w:themeColor="text1"/>
          <w:szCs w:val="24"/>
        </w:rPr>
        <w:t xml:space="preserve"> (28</w:t>
      </w:r>
      <w:r w:rsidR="00A67DC7">
        <w:rPr>
          <w:color w:val="000000" w:themeColor="text1"/>
          <w:szCs w:val="24"/>
        </w:rPr>
        <w:t xml:space="preserve"> lb.</w:t>
      </w:r>
      <w:r w:rsidR="00CC5E96" w:rsidRPr="004F0B39">
        <w:rPr>
          <w:color w:val="000000" w:themeColor="text1"/>
          <w:szCs w:val="24"/>
        </w:rPr>
        <w:t>)</w:t>
      </w:r>
      <w:r w:rsidR="00FE17B6" w:rsidRPr="004F0B39">
        <w:rPr>
          <w:color w:val="000000" w:themeColor="text1"/>
          <w:szCs w:val="24"/>
        </w:rPr>
        <w:t xml:space="preserve"> as compared to the left</w:t>
      </w:r>
      <w:r w:rsidR="00A67DC7">
        <w:rPr>
          <w:color w:val="000000" w:themeColor="text1"/>
          <w:szCs w:val="24"/>
        </w:rPr>
        <w:t xml:space="preserve"> (97 lb.</w:t>
      </w:r>
      <w:r w:rsidR="00CC5E96" w:rsidRPr="004F0B39">
        <w:rPr>
          <w:color w:val="000000" w:themeColor="text1"/>
          <w:szCs w:val="24"/>
        </w:rPr>
        <w:t>)</w:t>
      </w:r>
      <w:r w:rsidR="00FE17B6" w:rsidRPr="004F0B39">
        <w:rPr>
          <w:color w:val="000000" w:themeColor="text1"/>
          <w:szCs w:val="24"/>
        </w:rPr>
        <w:t>.</w:t>
      </w:r>
      <w:r w:rsidR="0025667A" w:rsidRPr="004F0B39">
        <w:rPr>
          <w:color w:val="000000" w:themeColor="text1"/>
          <w:szCs w:val="24"/>
        </w:rPr>
        <w:t xml:space="preserve"> </w:t>
      </w:r>
      <w:r w:rsidR="00D87AE7" w:rsidRPr="004F0B39">
        <w:rPr>
          <w:color w:val="000000" w:themeColor="text1"/>
          <w:szCs w:val="24"/>
        </w:rPr>
        <w:t xml:space="preserve"> </w:t>
      </w:r>
      <w:r w:rsidR="0025667A" w:rsidRPr="004F0B39">
        <w:rPr>
          <w:color w:val="000000" w:themeColor="text1"/>
          <w:szCs w:val="24"/>
        </w:rPr>
        <w:t xml:space="preserve">There </w:t>
      </w:r>
      <w:r w:rsidR="00A67DC7">
        <w:rPr>
          <w:color w:val="000000" w:themeColor="text1"/>
          <w:szCs w:val="24"/>
        </w:rPr>
        <w:t>were</w:t>
      </w:r>
      <w:r w:rsidR="0025667A" w:rsidRPr="004F0B39">
        <w:rPr>
          <w:color w:val="000000" w:themeColor="text1"/>
          <w:szCs w:val="24"/>
        </w:rPr>
        <w:t xml:space="preserve"> </w:t>
      </w:r>
      <w:r w:rsidR="004F0B39">
        <w:rPr>
          <w:color w:val="000000" w:themeColor="text1"/>
          <w:szCs w:val="24"/>
        </w:rPr>
        <w:t>non-</w:t>
      </w:r>
      <w:r w:rsidR="00A17701" w:rsidRPr="004F0B39">
        <w:rPr>
          <w:color w:val="000000" w:themeColor="text1"/>
          <w:szCs w:val="24"/>
        </w:rPr>
        <w:t>compensable</w:t>
      </w:r>
      <w:r w:rsidR="0025667A" w:rsidRPr="004F0B39">
        <w:rPr>
          <w:color w:val="000000" w:themeColor="text1"/>
          <w:szCs w:val="24"/>
        </w:rPr>
        <w:t xml:space="preserve"> </w:t>
      </w:r>
      <w:r w:rsidR="00030451" w:rsidRPr="004F0B39">
        <w:rPr>
          <w:color w:val="000000" w:themeColor="text1"/>
          <w:szCs w:val="24"/>
        </w:rPr>
        <w:t xml:space="preserve">ROM </w:t>
      </w:r>
      <w:r w:rsidR="00A67DC7">
        <w:rPr>
          <w:color w:val="000000" w:themeColor="text1"/>
          <w:szCs w:val="24"/>
        </w:rPr>
        <w:t>limitations</w:t>
      </w:r>
      <w:r w:rsidR="0025667A" w:rsidRPr="004F0B39">
        <w:rPr>
          <w:color w:val="000000" w:themeColor="text1"/>
          <w:szCs w:val="24"/>
        </w:rPr>
        <w:t xml:space="preserve"> </w:t>
      </w:r>
      <w:r w:rsidR="00A67DC7">
        <w:rPr>
          <w:color w:val="000000" w:themeColor="text1"/>
          <w:szCs w:val="24"/>
        </w:rPr>
        <w:t>of</w:t>
      </w:r>
      <w:r w:rsidR="00030451" w:rsidRPr="004F0B39">
        <w:rPr>
          <w:color w:val="000000" w:themeColor="text1"/>
          <w:szCs w:val="24"/>
        </w:rPr>
        <w:t xml:space="preserve"> wrist </w:t>
      </w:r>
      <w:proofErr w:type="spellStart"/>
      <w:r w:rsidR="00030451" w:rsidRPr="004F0B39">
        <w:rPr>
          <w:color w:val="000000" w:themeColor="text1"/>
          <w:szCs w:val="24"/>
        </w:rPr>
        <w:t>dorsiflexion</w:t>
      </w:r>
      <w:proofErr w:type="spellEnd"/>
      <w:r w:rsidR="00030451" w:rsidRPr="004F0B39">
        <w:rPr>
          <w:color w:val="000000" w:themeColor="text1"/>
          <w:szCs w:val="24"/>
        </w:rPr>
        <w:t xml:space="preserve">, </w:t>
      </w:r>
      <w:proofErr w:type="spellStart"/>
      <w:r w:rsidR="00030451" w:rsidRPr="004F0B39">
        <w:rPr>
          <w:color w:val="000000" w:themeColor="text1"/>
          <w:szCs w:val="24"/>
        </w:rPr>
        <w:t>ulnar</w:t>
      </w:r>
      <w:proofErr w:type="spellEnd"/>
      <w:r w:rsidR="00030451" w:rsidRPr="004F0B39">
        <w:rPr>
          <w:color w:val="000000" w:themeColor="text1"/>
          <w:szCs w:val="24"/>
        </w:rPr>
        <w:t xml:space="preserve"> deviation and radial deviation</w:t>
      </w:r>
      <w:r w:rsidR="00700F61" w:rsidRPr="004F0B39">
        <w:rPr>
          <w:color w:val="000000" w:themeColor="text1"/>
          <w:szCs w:val="24"/>
        </w:rPr>
        <w:t xml:space="preserve"> </w:t>
      </w:r>
      <w:r w:rsidR="00A67DC7">
        <w:rPr>
          <w:color w:val="000000" w:themeColor="text1"/>
          <w:szCs w:val="24"/>
        </w:rPr>
        <w:t>(</w:t>
      </w:r>
      <w:r w:rsidR="00233D21">
        <w:rPr>
          <w:color w:val="000000" w:themeColor="text1"/>
          <w:szCs w:val="24"/>
        </w:rPr>
        <w:t>referencing</w:t>
      </w:r>
      <w:r w:rsidR="00700F61" w:rsidRPr="004F0B39">
        <w:rPr>
          <w:color w:val="000000" w:themeColor="text1"/>
          <w:szCs w:val="24"/>
        </w:rPr>
        <w:t xml:space="preserve"> PT </w:t>
      </w:r>
      <w:r w:rsidR="00A67DC7">
        <w:rPr>
          <w:color w:val="000000" w:themeColor="text1"/>
          <w:szCs w:val="24"/>
        </w:rPr>
        <w:t>measurements)</w:t>
      </w:r>
      <w:r w:rsidR="00030451" w:rsidRPr="004F0B39">
        <w:rPr>
          <w:color w:val="000000" w:themeColor="text1"/>
          <w:szCs w:val="24"/>
        </w:rPr>
        <w:t>.</w:t>
      </w:r>
      <w:r w:rsidR="00A67DC7">
        <w:rPr>
          <w:color w:val="000000" w:themeColor="text1"/>
          <w:szCs w:val="24"/>
        </w:rPr>
        <w:t xml:space="preserve">  An </w:t>
      </w:r>
      <w:proofErr w:type="spellStart"/>
      <w:r w:rsidR="00A67DC7">
        <w:rPr>
          <w:color w:val="000000" w:themeColor="text1"/>
          <w:szCs w:val="24"/>
        </w:rPr>
        <w:t>e</w:t>
      </w:r>
      <w:r w:rsidR="00577FA8" w:rsidRPr="004F0B39">
        <w:rPr>
          <w:color w:val="000000" w:themeColor="text1"/>
          <w:szCs w:val="24"/>
        </w:rPr>
        <w:t>lectromyelogram</w:t>
      </w:r>
      <w:proofErr w:type="spellEnd"/>
      <w:r w:rsidR="00577FA8" w:rsidRPr="004F0B39">
        <w:rPr>
          <w:color w:val="000000" w:themeColor="text1"/>
          <w:szCs w:val="24"/>
        </w:rPr>
        <w:t xml:space="preserve"> (EMG) </w:t>
      </w:r>
      <w:r w:rsidR="001157ED" w:rsidRPr="004F0B39">
        <w:rPr>
          <w:color w:val="000000" w:themeColor="text1"/>
          <w:szCs w:val="24"/>
        </w:rPr>
        <w:t xml:space="preserve">in </w:t>
      </w:r>
      <w:r w:rsidR="00A17701" w:rsidRPr="004F0B39">
        <w:rPr>
          <w:color w:val="000000" w:themeColor="text1"/>
          <w:szCs w:val="24"/>
        </w:rPr>
        <w:t>November</w:t>
      </w:r>
      <w:r w:rsidR="001157ED" w:rsidRPr="004F0B39">
        <w:rPr>
          <w:color w:val="000000" w:themeColor="text1"/>
          <w:szCs w:val="24"/>
        </w:rPr>
        <w:t xml:space="preserve"> 2005</w:t>
      </w:r>
      <w:r w:rsidR="00577FA8" w:rsidRPr="004F0B39">
        <w:rPr>
          <w:color w:val="000000" w:themeColor="text1"/>
          <w:szCs w:val="24"/>
        </w:rPr>
        <w:t xml:space="preserve"> </w:t>
      </w:r>
      <w:r w:rsidR="00030451" w:rsidRPr="004F0B39">
        <w:rPr>
          <w:color w:val="000000" w:themeColor="text1"/>
          <w:szCs w:val="24"/>
        </w:rPr>
        <w:t>demonstrated</w:t>
      </w:r>
      <w:r w:rsidR="00577FA8" w:rsidRPr="004F0B39">
        <w:rPr>
          <w:color w:val="000000" w:themeColor="text1"/>
          <w:szCs w:val="24"/>
        </w:rPr>
        <w:t xml:space="preserve"> </w:t>
      </w:r>
      <w:r w:rsidR="00030451" w:rsidRPr="004F0B39">
        <w:rPr>
          <w:color w:val="000000" w:themeColor="text1"/>
          <w:szCs w:val="24"/>
        </w:rPr>
        <w:t>a</w:t>
      </w:r>
      <w:r w:rsidR="00FE17B6" w:rsidRPr="004F0B39">
        <w:rPr>
          <w:color w:val="000000" w:themeColor="text1"/>
          <w:szCs w:val="24"/>
        </w:rPr>
        <w:t xml:space="preserve"> </w:t>
      </w:r>
      <w:r w:rsidR="00700F61" w:rsidRPr="004F0B39">
        <w:rPr>
          <w:color w:val="000000" w:themeColor="text1"/>
          <w:szCs w:val="24"/>
        </w:rPr>
        <w:t>“</w:t>
      </w:r>
      <w:r w:rsidR="00FE17B6" w:rsidRPr="004F0B39">
        <w:rPr>
          <w:color w:val="000000" w:themeColor="text1"/>
          <w:szCs w:val="24"/>
        </w:rPr>
        <w:t xml:space="preserve">mild compression of the right median </w:t>
      </w:r>
      <w:proofErr w:type="spellStart"/>
      <w:r w:rsidR="00FE17B6" w:rsidRPr="004F0B39">
        <w:rPr>
          <w:color w:val="000000" w:themeColor="text1"/>
          <w:szCs w:val="24"/>
        </w:rPr>
        <w:t>palmar</w:t>
      </w:r>
      <w:proofErr w:type="spellEnd"/>
      <w:r w:rsidR="00FE17B6" w:rsidRPr="004F0B39">
        <w:rPr>
          <w:color w:val="000000" w:themeColor="text1"/>
          <w:szCs w:val="24"/>
        </w:rPr>
        <w:t xml:space="preserve"> nerve at the wrist</w:t>
      </w:r>
      <w:r w:rsidR="00577FA8" w:rsidRPr="004F0B39">
        <w:rPr>
          <w:color w:val="000000" w:themeColor="text1"/>
          <w:szCs w:val="24"/>
        </w:rPr>
        <w:t xml:space="preserve"> </w:t>
      </w:r>
      <w:r w:rsidR="00700F61" w:rsidRPr="004F0B39">
        <w:rPr>
          <w:color w:val="000000" w:themeColor="text1"/>
          <w:szCs w:val="24"/>
        </w:rPr>
        <w:t>but there was overall improvement in the median nerve</w:t>
      </w:r>
      <w:r w:rsidR="00AC33D3">
        <w:rPr>
          <w:color w:val="000000" w:themeColor="text1"/>
          <w:szCs w:val="24"/>
        </w:rPr>
        <w:t>.</w:t>
      </w:r>
      <w:r w:rsidR="00700F61" w:rsidRPr="004F0B39">
        <w:rPr>
          <w:color w:val="000000" w:themeColor="text1"/>
          <w:szCs w:val="24"/>
        </w:rPr>
        <w:t>”</w:t>
      </w:r>
      <w:r w:rsidR="00577FA8" w:rsidRPr="004F0B39">
        <w:rPr>
          <w:color w:val="000000" w:themeColor="text1"/>
          <w:szCs w:val="24"/>
        </w:rPr>
        <w:t xml:space="preserve">  </w:t>
      </w:r>
      <w:r w:rsidR="000A1605">
        <w:rPr>
          <w:color w:val="000000" w:themeColor="text1"/>
          <w:szCs w:val="24"/>
        </w:rPr>
        <w:t>Additionally</w:t>
      </w:r>
      <w:r w:rsidR="00700F61" w:rsidRPr="004F0B39">
        <w:rPr>
          <w:color w:val="000000" w:themeColor="text1"/>
          <w:szCs w:val="24"/>
        </w:rPr>
        <w:t xml:space="preserve"> th</w:t>
      </w:r>
      <w:r w:rsidR="000A1605">
        <w:rPr>
          <w:color w:val="000000" w:themeColor="text1"/>
          <w:szCs w:val="24"/>
        </w:rPr>
        <w:t>e</w:t>
      </w:r>
      <w:r w:rsidR="001157ED" w:rsidRPr="004F0B39">
        <w:rPr>
          <w:color w:val="000000" w:themeColor="text1"/>
          <w:szCs w:val="24"/>
        </w:rPr>
        <w:t xml:space="preserve"> </w:t>
      </w:r>
      <w:r w:rsidR="00700F61" w:rsidRPr="004F0B39">
        <w:rPr>
          <w:color w:val="000000" w:themeColor="text1"/>
          <w:szCs w:val="24"/>
        </w:rPr>
        <w:t>EMG revealed</w:t>
      </w:r>
      <w:r w:rsidR="00DF40FC" w:rsidRPr="004F0B39">
        <w:rPr>
          <w:color w:val="000000" w:themeColor="text1"/>
          <w:szCs w:val="24"/>
        </w:rPr>
        <w:t xml:space="preserve"> </w:t>
      </w:r>
      <w:r w:rsidR="00FE17B6" w:rsidRPr="004F0B39">
        <w:rPr>
          <w:color w:val="000000" w:themeColor="text1"/>
          <w:szCs w:val="24"/>
        </w:rPr>
        <w:t xml:space="preserve">no evidence for </w:t>
      </w:r>
      <w:proofErr w:type="spellStart"/>
      <w:r w:rsidR="00FE17B6" w:rsidRPr="004F0B39">
        <w:rPr>
          <w:color w:val="000000" w:themeColor="text1"/>
          <w:szCs w:val="24"/>
        </w:rPr>
        <w:t>denervation</w:t>
      </w:r>
      <w:proofErr w:type="spellEnd"/>
      <w:r w:rsidR="00FE17B6" w:rsidRPr="004F0B39">
        <w:rPr>
          <w:color w:val="000000" w:themeColor="text1"/>
          <w:szCs w:val="24"/>
        </w:rPr>
        <w:t xml:space="preserve"> </w:t>
      </w:r>
      <w:r w:rsidR="00DF40FC" w:rsidRPr="004F0B39">
        <w:rPr>
          <w:color w:val="000000" w:themeColor="text1"/>
          <w:szCs w:val="24"/>
        </w:rPr>
        <w:t xml:space="preserve">of any </w:t>
      </w:r>
      <w:r w:rsidR="001157ED" w:rsidRPr="004F0B39">
        <w:rPr>
          <w:color w:val="000000" w:themeColor="text1"/>
          <w:szCs w:val="24"/>
        </w:rPr>
        <w:t>of the muscles of the right upper extremity</w:t>
      </w:r>
      <w:r w:rsidR="00FE17B6" w:rsidRPr="004F0B39">
        <w:rPr>
          <w:color w:val="000000" w:themeColor="text1"/>
          <w:szCs w:val="24"/>
        </w:rPr>
        <w:t xml:space="preserve"> </w:t>
      </w:r>
      <w:r w:rsidR="000A1605">
        <w:rPr>
          <w:color w:val="000000" w:themeColor="text1"/>
          <w:szCs w:val="24"/>
        </w:rPr>
        <w:t>(</w:t>
      </w:r>
      <w:r w:rsidR="00FE17B6" w:rsidRPr="004F0B39">
        <w:rPr>
          <w:color w:val="000000" w:themeColor="text1"/>
          <w:szCs w:val="24"/>
        </w:rPr>
        <w:t>arm, forearm, and hand</w:t>
      </w:r>
      <w:r w:rsidR="000A1605">
        <w:rPr>
          <w:color w:val="000000" w:themeColor="text1"/>
          <w:szCs w:val="24"/>
        </w:rPr>
        <w:t>)</w:t>
      </w:r>
      <w:r w:rsidR="00404CC2" w:rsidRPr="004F0B39">
        <w:rPr>
          <w:color w:val="000000" w:themeColor="text1"/>
          <w:szCs w:val="24"/>
        </w:rPr>
        <w:t>.</w:t>
      </w:r>
      <w:r w:rsidR="00700F61" w:rsidRPr="004F0B39">
        <w:rPr>
          <w:color w:val="000000" w:themeColor="text1"/>
          <w:szCs w:val="24"/>
        </w:rPr>
        <w:t xml:space="preserve"> </w:t>
      </w:r>
      <w:r w:rsidR="004F0B39" w:rsidRPr="006F21F6">
        <w:rPr>
          <w:rFonts w:eastAsia="HiddenHorzOCR"/>
          <w:color w:val="000000" w:themeColor="text1"/>
          <w:szCs w:val="24"/>
        </w:rPr>
        <w:t xml:space="preserve"> </w:t>
      </w:r>
      <w:r w:rsidR="009D6168" w:rsidRPr="004F0B39">
        <w:rPr>
          <w:color w:val="000000" w:themeColor="text1"/>
          <w:szCs w:val="24"/>
        </w:rPr>
        <w:t xml:space="preserve">The permanent profile referenced right hand </w:t>
      </w:r>
      <w:r w:rsidR="009D6168" w:rsidRPr="007627B5">
        <w:rPr>
          <w:color w:val="000000" w:themeColor="text1"/>
          <w:szCs w:val="24"/>
        </w:rPr>
        <w:t xml:space="preserve">weakness and specifically </w:t>
      </w:r>
      <w:r w:rsidR="000A1605" w:rsidRPr="007627B5">
        <w:rPr>
          <w:color w:val="000000" w:themeColor="text1"/>
          <w:szCs w:val="24"/>
        </w:rPr>
        <w:t>restricted</w:t>
      </w:r>
      <w:r w:rsidR="009D6168" w:rsidRPr="007627B5">
        <w:rPr>
          <w:color w:val="000000" w:themeColor="text1"/>
          <w:szCs w:val="24"/>
        </w:rPr>
        <w:t xml:space="preserve"> lifting </w:t>
      </w:r>
      <w:r w:rsidR="00AC33D3">
        <w:rPr>
          <w:color w:val="000000" w:themeColor="text1"/>
          <w:szCs w:val="24"/>
        </w:rPr>
        <w:t>less than</w:t>
      </w:r>
      <w:r w:rsidR="009D6168" w:rsidRPr="007627B5">
        <w:rPr>
          <w:color w:val="000000" w:themeColor="text1"/>
          <w:szCs w:val="24"/>
        </w:rPr>
        <w:t xml:space="preserve"> pounds with the right hand, pushups, and  carrying or firing </w:t>
      </w:r>
      <w:r w:rsidR="000A1605" w:rsidRPr="007627B5">
        <w:rPr>
          <w:color w:val="000000" w:themeColor="text1"/>
          <w:szCs w:val="24"/>
        </w:rPr>
        <w:t>a</w:t>
      </w:r>
      <w:r w:rsidR="004F0B39" w:rsidRPr="007627B5">
        <w:rPr>
          <w:color w:val="000000" w:themeColor="text1"/>
          <w:szCs w:val="24"/>
        </w:rPr>
        <w:t xml:space="preserve"> </w:t>
      </w:r>
      <w:r w:rsidR="009D6168" w:rsidRPr="007627B5">
        <w:rPr>
          <w:color w:val="000000" w:themeColor="text1"/>
          <w:szCs w:val="24"/>
        </w:rPr>
        <w:t>weapon</w:t>
      </w:r>
      <w:r w:rsidR="00233D21">
        <w:rPr>
          <w:color w:val="000000" w:themeColor="text1"/>
          <w:szCs w:val="24"/>
        </w:rPr>
        <w:t xml:space="preserve"> (</w:t>
      </w:r>
      <w:r w:rsidR="003165BD">
        <w:rPr>
          <w:color w:val="000000" w:themeColor="text1"/>
          <w:szCs w:val="24"/>
        </w:rPr>
        <w:t xml:space="preserve">there is </w:t>
      </w:r>
      <w:r w:rsidR="000A1605">
        <w:rPr>
          <w:color w:val="000000" w:themeColor="text1"/>
          <w:szCs w:val="24"/>
        </w:rPr>
        <w:t xml:space="preserve">presumptive overlap </w:t>
      </w:r>
      <w:r w:rsidR="003165BD">
        <w:rPr>
          <w:color w:val="000000" w:themeColor="text1"/>
          <w:szCs w:val="24"/>
        </w:rPr>
        <w:t xml:space="preserve">of some of these restrictions </w:t>
      </w:r>
      <w:r w:rsidR="000A1605">
        <w:rPr>
          <w:color w:val="000000" w:themeColor="text1"/>
          <w:szCs w:val="24"/>
        </w:rPr>
        <w:t xml:space="preserve">with </w:t>
      </w:r>
      <w:r w:rsidR="003165BD">
        <w:rPr>
          <w:color w:val="000000" w:themeColor="text1"/>
          <w:szCs w:val="24"/>
        </w:rPr>
        <w:t>the shoulder conditions</w:t>
      </w:r>
      <w:r w:rsidR="00233D21">
        <w:rPr>
          <w:color w:val="000000" w:themeColor="text1"/>
          <w:szCs w:val="24"/>
        </w:rPr>
        <w:t>)</w:t>
      </w:r>
      <w:r w:rsidR="009D6168" w:rsidRPr="004F0B39">
        <w:rPr>
          <w:color w:val="000000" w:themeColor="text1"/>
          <w:szCs w:val="24"/>
        </w:rPr>
        <w:t>.</w:t>
      </w:r>
      <w:r w:rsidR="00EA357E">
        <w:rPr>
          <w:color w:val="000000" w:themeColor="text1"/>
          <w:szCs w:val="24"/>
        </w:rPr>
        <w:t xml:space="preserve">  </w:t>
      </w:r>
      <w:r w:rsidR="00FE17B6" w:rsidRPr="004F0B39">
        <w:rPr>
          <w:rFonts w:asciiTheme="minorHAnsi" w:hAnsiTheme="minorHAnsi"/>
          <w:color w:val="000000" w:themeColor="text1"/>
          <w:szCs w:val="24"/>
        </w:rPr>
        <w:t>The VA examiner corroborated the</w:t>
      </w:r>
      <w:r w:rsidR="00404CC2" w:rsidRPr="004F0B39">
        <w:rPr>
          <w:rFonts w:asciiTheme="minorHAnsi" w:hAnsiTheme="minorHAnsi"/>
          <w:color w:val="000000" w:themeColor="text1"/>
          <w:szCs w:val="24"/>
        </w:rPr>
        <w:t xml:space="preserve"> above</w:t>
      </w:r>
      <w:r w:rsidR="00FE17B6" w:rsidRPr="004F0B39">
        <w:rPr>
          <w:rFonts w:asciiTheme="minorHAnsi" w:hAnsiTheme="minorHAnsi"/>
          <w:color w:val="000000" w:themeColor="text1"/>
          <w:szCs w:val="24"/>
        </w:rPr>
        <w:t xml:space="preserve"> findings</w:t>
      </w:r>
      <w:r w:rsidR="000A1605">
        <w:rPr>
          <w:rFonts w:asciiTheme="minorHAnsi" w:hAnsiTheme="minorHAnsi"/>
          <w:color w:val="000000" w:themeColor="text1"/>
          <w:szCs w:val="24"/>
        </w:rPr>
        <w:t>; noting</w:t>
      </w:r>
      <w:r w:rsidR="00404CC2" w:rsidRPr="004F0B39">
        <w:rPr>
          <w:rFonts w:asciiTheme="minorHAnsi" w:hAnsiTheme="minorHAnsi"/>
          <w:color w:val="000000" w:themeColor="text1"/>
          <w:szCs w:val="24"/>
        </w:rPr>
        <w:t xml:space="preserve"> aggravation of pain with grasping</w:t>
      </w:r>
      <w:r w:rsidR="000A1605">
        <w:rPr>
          <w:rFonts w:asciiTheme="minorHAnsi" w:hAnsiTheme="minorHAnsi"/>
          <w:color w:val="000000" w:themeColor="text1"/>
          <w:szCs w:val="24"/>
        </w:rPr>
        <w:t>,</w:t>
      </w:r>
      <w:r w:rsidR="00404CC2" w:rsidRPr="004F0B39">
        <w:rPr>
          <w:rFonts w:asciiTheme="minorHAnsi" w:hAnsiTheme="minorHAnsi"/>
          <w:color w:val="000000" w:themeColor="text1"/>
          <w:szCs w:val="24"/>
        </w:rPr>
        <w:t xml:space="preserve"> </w:t>
      </w:r>
      <w:r w:rsidR="000A1605">
        <w:rPr>
          <w:rFonts w:asciiTheme="minorHAnsi" w:hAnsiTheme="minorHAnsi"/>
          <w:color w:val="000000" w:themeColor="text1"/>
          <w:szCs w:val="24"/>
        </w:rPr>
        <w:t>subjective</w:t>
      </w:r>
      <w:r w:rsidR="00FE17B6" w:rsidRPr="004F0B39">
        <w:rPr>
          <w:rFonts w:asciiTheme="minorHAnsi" w:hAnsiTheme="minorHAnsi"/>
          <w:color w:val="000000" w:themeColor="text1"/>
          <w:szCs w:val="24"/>
        </w:rPr>
        <w:t xml:space="preserve"> </w:t>
      </w:r>
      <w:r w:rsidR="003165BD" w:rsidRPr="004F0B39">
        <w:rPr>
          <w:rFonts w:asciiTheme="minorHAnsi" w:hAnsiTheme="minorHAnsi"/>
          <w:color w:val="000000" w:themeColor="text1"/>
          <w:szCs w:val="24"/>
        </w:rPr>
        <w:t xml:space="preserve">grasp </w:t>
      </w:r>
      <w:r w:rsidR="00FE17B6" w:rsidRPr="004F0B39">
        <w:rPr>
          <w:rFonts w:asciiTheme="minorHAnsi" w:hAnsiTheme="minorHAnsi"/>
          <w:color w:val="000000" w:themeColor="text1"/>
          <w:szCs w:val="24"/>
        </w:rPr>
        <w:t>weakness</w:t>
      </w:r>
      <w:r w:rsidR="003165BD">
        <w:rPr>
          <w:rFonts w:asciiTheme="minorHAnsi" w:hAnsiTheme="minorHAnsi"/>
          <w:color w:val="000000" w:themeColor="text1"/>
          <w:szCs w:val="24"/>
        </w:rPr>
        <w:t>,</w:t>
      </w:r>
      <w:r w:rsidR="00FE17B6" w:rsidRPr="004F0B39">
        <w:rPr>
          <w:rFonts w:asciiTheme="minorHAnsi" w:hAnsiTheme="minorHAnsi"/>
          <w:color w:val="000000" w:themeColor="text1"/>
          <w:szCs w:val="24"/>
        </w:rPr>
        <w:t xml:space="preserve"> and </w:t>
      </w:r>
      <w:r w:rsidR="003165BD">
        <w:rPr>
          <w:rFonts w:asciiTheme="minorHAnsi" w:hAnsiTheme="minorHAnsi"/>
          <w:color w:val="000000" w:themeColor="text1"/>
          <w:szCs w:val="24"/>
        </w:rPr>
        <w:t xml:space="preserve">impediment of </w:t>
      </w:r>
      <w:r w:rsidR="00FE17B6" w:rsidRPr="004F0B39">
        <w:rPr>
          <w:rFonts w:asciiTheme="minorHAnsi" w:hAnsiTheme="minorHAnsi"/>
          <w:color w:val="000000" w:themeColor="text1"/>
          <w:szCs w:val="24"/>
        </w:rPr>
        <w:t xml:space="preserve">fine </w:t>
      </w:r>
      <w:r w:rsidR="003165BD">
        <w:rPr>
          <w:rFonts w:asciiTheme="minorHAnsi" w:hAnsiTheme="minorHAnsi"/>
          <w:color w:val="000000" w:themeColor="text1"/>
          <w:szCs w:val="24"/>
        </w:rPr>
        <w:t>motor tasks</w:t>
      </w:r>
      <w:r w:rsidR="00FE17B6" w:rsidRPr="004F0B39">
        <w:rPr>
          <w:rFonts w:asciiTheme="minorHAnsi" w:hAnsiTheme="minorHAnsi"/>
          <w:color w:val="000000" w:themeColor="text1"/>
          <w:szCs w:val="24"/>
        </w:rPr>
        <w:t xml:space="preserve"> with the right hand</w:t>
      </w:r>
      <w:r w:rsidR="00404CC2" w:rsidRPr="004F0B39">
        <w:rPr>
          <w:rFonts w:asciiTheme="minorHAnsi" w:hAnsiTheme="minorHAnsi"/>
          <w:color w:val="000000" w:themeColor="text1"/>
          <w:szCs w:val="24"/>
        </w:rPr>
        <w:t xml:space="preserve">.  </w:t>
      </w:r>
      <w:r w:rsidR="000A1605">
        <w:rPr>
          <w:rFonts w:asciiTheme="minorHAnsi" w:hAnsiTheme="minorHAnsi"/>
          <w:color w:val="000000" w:themeColor="text1"/>
          <w:szCs w:val="24"/>
        </w:rPr>
        <w:t>T</w:t>
      </w:r>
      <w:r w:rsidR="005341AD" w:rsidRPr="004F0B39">
        <w:rPr>
          <w:rFonts w:asciiTheme="minorHAnsi" w:hAnsiTheme="minorHAnsi"/>
          <w:color w:val="000000" w:themeColor="text1"/>
          <w:szCs w:val="24"/>
        </w:rPr>
        <w:t xml:space="preserve">hese limitations </w:t>
      </w:r>
      <w:r w:rsidR="00DF40FC" w:rsidRPr="004F0B39">
        <w:rPr>
          <w:rFonts w:asciiTheme="minorHAnsi" w:hAnsiTheme="minorHAnsi"/>
          <w:color w:val="000000" w:themeColor="text1"/>
          <w:szCs w:val="24"/>
        </w:rPr>
        <w:t xml:space="preserve">had caused the </w:t>
      </w:r>
      <w:r w:rsidR="00FE17B6" w:rsidRPr="004F0B39">
        <w:rPr>
          <w:rFonts w:asciiTheme="minorHAnsi" w:hAnsiTheme="minorHAnsi"/>
          <w:color w:val="000000" w:themeColor="text1"/>
          <w:szCs w:val="24"/>
        </w:rPr>
        <w:t xml:space="preserve">CI </w:t>
      </w:r>
      <w:r w:rsidR="00DF40FC" w:rsidRPr="004F0B39">
        <w:rPr>
          <w:rFonts w:asciiTheme="minorHAnsi" w:hAnsiTheme="minorHAnsi"/>
          <w:color w:val="000000" w:themeColor="text1"/>
          <w:szCs w:val="24"/>
        </w:rPr>
        <w:t xml:space="preserve">to shift </w:t>
      </w:r>
      <w:r w:rsidR="000A1605">
        <w:rPr>
          <w:rFonts w:asciiTheme="minorHAnsi" w:hAnsiTheme="minorHAnsi"/>
          <w:color w:val="000000" w:themeColor="text1"/>
          <w:szCs w:val="24"/>
        </w:rPr>
        <w:t xml:space="preserve">many </w:t>
      </w:r>
      <w:r w:rsidR="00FE17B6" w:rsidRPr="004F0B39">
        <w:rPr>
          <w:rFonts w:asciiTheme="minorHAnsi" w:hAnsiTheme="minorHAnsi"/>
          <w:color w:val="000000" w:themeColor="text1"/>
          <w:szCs w:val="24"/>
        </w:rPr>
        <w:t xml:space="preserve">activities of daily living </w:t>
      </w:r>
      <w:r w:rsidR="000A1605">
        <w:rPr>
          <w:rFonts w:asciiTheme="minorHAnsi" w:hAnsiTheme="minorHAnsi"/>
          <w:color w:val="000000" w:themeColor="text1"/>
          <w:szCs w:val="24"/>
        </w:rPr>
        <w:t xml:space="preserve">to the left hand; and, significantly impaired </w:t>
      </w:r>
      <w:r w:rsidR="00FE17B6" w:rsidRPr="004F0B39">
        <w:rPr>
          <w:rFonts w:asciiTheme="minorHAnsi" w:hAnsiTheme="minorHAnsi"/>
          <w:color w:val="000000" w:themeColor="text1"/>
          <w:szCs w:val="24"/>
        </w:rPr>
        <w:t>writing</w:t>
      </w:r>
      <w:r w:rsidR="001157ED" w:rsidRPr="004F0B39">
        <w:rPr>
          <w:rFonts w:asciiTheme="minorHAnsi" w:hAnsiTheme="minorHAnsi"/>
          <w:color w:val="000000" w:themeColor="text1"/>
          <w:szCs w:val="24"/>
        </w:rPr>
        <w:t>.</w:t>
      </w:r>
      <w:r w:rsidR="009D6168" w:rsidRPr="004F0B39">
        <w:rPr>
          <w:rFonts w:asciiTheme="minorHAnsi" w:hAnsiTheme="minorHAnsi"/>
          <w:color w:val="000000" w:themeColor="text1"/>
          <w:szCs w:val="24"/>
        </w:rPr>
        <w:t xml:space="preserve"> </w:t>
      </w:r>
      <w:r w:rsidR="00282DA1" w:rsidRPr="004F0B39">
        <w:rPr>
          <w:rFonts w:asciiTheme="minorHAnsi" w:hAnsiTheme="minorHAnsi"/>
          <w:color w:val="000000" w:themeColor="text1"/>
          <w:szCs w:val="24"/>
        </w:rPr>
        <w:t xml:space="preserve"> </w:t>
      </w:r>
      <w:r w:rsidR="000A1605">
        <w:rPr>
          <w:rFonts w:asciiTheme="minorHAnsi" w:hAnsiTheme="minorHAnsi"/>
          <w:color w:val="000000" w:themeColor="text1"/>
          <w:szCs w:val="24"/>
        </w:rPr>
        <w:t>Of most import</w:t>
      </w:r>
      <w:r w:rsidR="00461A7C">
        <w:rPr>
          <w:rFonts w:asciiTheme="minorHAnsi" w:hAnsiTheme="minorHAnsi"/>
          <w:color w:val="000000" w:themeColor="text1"/>
          <w:szCs w:val="24"/>
        </w:rPr>
        <w:t>ance</w:t>
      </w:r>
      <w:r w:rsidR="000A1605">
        <w:rPr>
          <w:rFonts w:asciiTheme="minorHAnsi" w:hAnsiTheme="minorHAnsi"/>
          <w:color w:val="000000" w:themeColor="text1"/>
          <w:szCs w:val="24"/>
        </w:rPr>
        <w:t xml:space="preserve">, the right hand condition imposed stringent occupational limitations on </w:t>
      </w:r>
      <w:r w:rsidR="000A1605" w:rsidRPr="003165BD">
        <w:rPr>
          <w:rFonts w:asciiTheme="minorHAnsi" w:hAnsiTheme="minorHAnsi"/>
          <w:color w:val="000000" w:themeColor="text1"/>
          <w:szCs w:val="24"/>
        </w:rPr>
        <w:t xml:space="preserve">the CI’s civilian career in law enforcement; since, it prevented safe use of his </w:t>
      </w:r>
      <w:r w:rsidR="00233D21">
        <w:rPr>
          <w:rFonts w:asciiTheme="minorHAnsi" w:hAnsiTheme="minorHAnsi"/>
          <w:color w:val="000000" w:themeColor="text1"/>
          <w:szCs w:val="24"/>
        </w:rPr>
        <w:t>side arm</w:t>
      </w:r>
      <w:r w:rsidR="000A1605" w:rsidRPr="003165BD">
        <w:rPr>
          <w:rFonts w:asciiTheme="minorHAnsi" w:hAnsiTheme="minorHAnsi"/>
          <w:color w:val="000000" w:themeColor="text1"/>
          <w:szCs w:val="24"/>
        </w:rPr>
        <w:t xml:space="preserve">.  </w:t>
      </w:r>
      <w:r w:rsidR="00CA6287" w:rsidRPr="003165BD">
        <w:rPr>
          <w:rFonts w:asciiTheme="minorHAnsi" w:hAnsiTheme="minorHAnsi"/>
          <w:color w:val="000000" w:themeColor="text1"/>
          <w:szCs w:val="24"/>
        </w:rPr>
        <w:t xml:space="preserve">The VA </w:t>
      </w:r>
      <w:r w:rsidR="003165BD">
        <w:rPr>
          <w:rFonts w:asciiTheme="minorHAnsi" w:hAnsiTheme="minorHAnsi"/>
          <w:color w:val="000000" w:themeColor="text1"/>
          <w:szCs w:val="24"/>
        </w:rPr>
        <w:t>physical exam</w:t>
      </w:r>
      <w:r w:rsidR="00CA6287" w:rsidRPr="003165BD">
        <w:rPr>
          <w:rFonts w:asciiTheme="minorHAnsi" w:hAnsiTheme="minorHAnsi"/>
          <w:color w:val="000000" w:themeColor="text1"/>
          <w:szCs w:val="24"/>
        </w:rPr>
        <w:t xml:space="preserve"> </w:t>
      </w:r>
      <w:r w:rsidR="000A1605" w:rsidRPr="003165BD">
        <w:rPr>
          <w:rFonts w:asciiTheme="minorHAnsi" w:hAnsiTheme="minorHAnsi"/>
          <w:color w:val="000000" w:themeColor="text1"/>
          <w:szCs w:val="24"/>
        </w:rPr>
        <w:t>documented</w:t>
      </w:r>
      <w:r w:rsidR="00CA6287" w:rsidRPr="003165BD">
        <w:rPr>
          <w:rFonts w:asciiTheme="minorHAnsi" w:hAnsiTheme="minorHAnsi"/>
          <w:color w:val="000000" w:themeColor="text1"/>
          <w:szCs w:val="24"/>
        </w:rPr>
        <w:t xml:space="preserve"> a well-healed scar; no wrist tenderness; </w:t>
      </w:r>
      <w:r w:rsidR="00FE17B6" w:rsidRPr="003165BD">
        <w:rPr>
          <w:color w:val="000000" w:themeColor="text1"/>
          <w:szCs w:val="24"/>
        </w:rPr>
        <w:t>diminished sensation to light touch over the dorsal</w:t>
      </w:r>
      <w:r w:rsidR="003165BD">
        <w:rPr>
          <w:color w:val="000000" w:themeColor="text1"/>
          <w:szCs w:val="24"/>
        </w:rPr>
        <w:t xml:space="preserve"> right forearm and hand;</w:t>
      </w:r>
      <w:r w:rsidR="00FE17B6" w:rsidRPr="00243707">
        <w:rPr>
          <w:color w:val="000000" w:themeColor="text1"/>
          <w:szCs w:val="24"/>
        </w:rPr>
        <w:t xml:space="preserve"> diminished strength </w:t>
      </w:r>
      <w:r w:rsidR="003165BD">
        <w:rPr>
          <w:color w:val="000000" w:themeColor="text1"/>
          <w:szCs w:val="24"/>
        </w:rPr>
        <w:t xml:space="preserve">(4/5) </w:t>
      </w:r>
      <w:r w:rsidR="00CA6287">
        <w:rPr>
          <w:color w:val="000000" w:themeColor="text1"/>
          <w:szCs w:val="24"/>
        </w:rPr>
        <w:t xml:space="preserve">in </w:t>
      </w:r>
      <w:r w:rsidR="00FE17B6" w:rsidRPr="00243707">
        <w:rPr>
          <w:color w:val="000000" w:themeColor="text1"/>
          <w:szCs w:val="24"/>
        </w:rPr>
        <w:t xml:space="preserve">the right hand and forearm </w:t>
      </w:r>
      <w:r w:rsidR="00CA6287">
        <w:rPr>
          <w:color w:val="000000" w:themeColor="text1"/>
          <w:szCs w:val="24"/>
        </w:rPr>
        <w:t xml:space="preserve">as </w:t>
      </w:r>
      <w:r w:rsidR="00FE17B6" w:rsidRPr="00243707">
        <w:rPr>
          <w:color w:val="000000" w:themeColor="text1"/>
          <w:szCs w:val="24"/>
        </w:rPr>
        <w:t>compared to the left</w:t>
      </w:r>
      <w:r w:rsidR="00CA6287">
        <w:rPr>
          <w:color w:val="000000" w:themeColor="text1"/>
          <w:szCs w:val="24"/>
        </w:rPr>
        <w:t xml:space="preserve">; </w:t>
      </w:r>
      <w:proofErr w:type="spellStart"/>
      <w:r w:rsidR="00FE17B6" w:rsidRPr="00243707">
        <w:rPr>
          <w:color w:val="000000" w:themeColor="text1"/>
          <w:szCs w:val="24"/>
        </w:rPr>
        <w:t>interosseus</w:t>
      </w:r>
      <w:proofErr w:type="spellEnd"/>
      <w:r w:rsidR="00FE17B6" w:rsidRPr="00243707">
        <w:rPr>
          <w:color w:val="000000" w:themeColor="text1"/>
          <w:szCs w:val="24"/>
        </w:rPr>
        <w:t xml:space="preserve"> muscle </w:t>
      </w:r>
      <w:r w:rsidR="003165BD" w:rsidRPr="00243707">
        <w:rPr>
          <w:color w:val="000000" w:themeColor="text1"/>
          <w:szCs w:val="24"/>
        </w:rPr>
        <w:t>wasting</w:t>
      </w:r>
      <w:r w:rsidR="003165BD">
        <w:rPr>
          <w:color w:val="000000" w:themeColor="text1"/>
          <w:szCs w:val="24"/>
        </w:rPr>
        <w:t>; and,</w:t>
      </w:r>
      <w:r w:rsidR="003165BD" w:rsidRPr="00243707">
        <w:rPr>
          <w:color w:val="000000" w:themeColor="text1"/>
          <w:szCs w:val="24"/>
        </w:rPr>
        <w:t xml:space="preserve"> </w:t>
      </w:r>
      <w:r w:rsidR="00FE17B6" w:rsidRPr="00243707">
        <w:rPr>
          <w:color w:val="000000" w:themeColor="text1"/>
          <w:szCs w:val="24"/>
        </w:rPr>
        <w:t>diminished pinch and</w:t>
      </w:r>
      <w:r w:rsidR="00FE17B6">
        <w:rPr>
          <w:color w:val="000000" w:themeColor="text1"/>
          <w:szCs w:val="24"/>
        </w:rPr>
        <w:t xml:space="preserve"> </w:t>
      </w:r>
      <w:r w:rsidR="00E32132" w:rsidRPr="00243707">
        <w:rPr>
          <w:color w:val="000000" w:themeColor="text1"/>
          <w:szCs w:val="24"/>
        </w:rPr>
        <w:t>intrinsic</w:t>
      </w:r>
      <w:r w:rsidR="00E32132">
        <w:rPr>
          <w:color w:val="000000" w:themeColor="text1"/>
          <w:szCs w:val="24"/>
        </w:rPr>
        <w:t xml:space="preserve"> muscle</w:t>
      </w:r>
      <w:r w:rsidR="00E32132" w:rsidRPr="00243707">
        <w:rPr>
          <w:color w:val="000000" w:themeColor="text1"/>
          <w:szCs w:val="24"/>
        </w:rPr>
        <w:t xml:space="preserve"> </w:t>
      </w:r>
      <w:r w:rsidR="003165BD" w:rsidRPr="00243707">
        <w:rPr>
          <w:color w:val="000000" w:themeColor="text1"/>
          <w:szCs w:val="24"/>
        </w:rPr>
        <w:t>strength</w:t>
      </w:r>
      <w:r w:rsidR="00282DA1">
        <w:rPr>
          <w:color w:val="000000" w:themeColor="text1"/>
          <w:szCs w:val="24"/>
        </w:rPr>
        <w:t xml:space="preserve">. </w:t>
      </w:r>
      <w:r w:rsidR="006F21F6" w:rsidRPr="006F21F6">
        <w:rPr>
          <w:rFonts w:eastAsia="HiddenHorzOCR"/>
          <w:color w:val="000000" w:themeColor="text1"/>
          <w:szCs w:val="24"/>
        </w:rPr>
        <w:t xml:space="preserve"> </w:t>
      </w:r>
      <w:r w:rsidR="00E32132">
        <w:rPr>
          <w:color w:val="000000" w:themeColor="text1"/>
          <w:szCs w:val="24"/>
        </w:rPr>
        <w:t xml:space="preserve">ROM impairment </w:t>
      </w:r>
      <w:r w:rsidR="00030451">
        <w:rPr>
          <w:color w:val="000000" w:themeColor="text1"/>
          <w:szCs w:val="24"/>
        </w:rPr>
        <w:t xml:space="preserve">was </w:t>
      </w:r>
      <w:r w:rsidR="00E32132">
        <w:rPr>
          <w:color w:val="000000" w:themeColor="text1"/>
          <w:szCs w:val="24"/>
        </w:rPr>
        <w:t>confined to non-</w:t>
      </w:r>
      <w:r w:rsidR="00A17701">
        <w:rPr>
          <w:color w:val="000000" w:themeColor="text1"/>
          <w:szCs w:val="24"/>
        </w:rPr>
        <w:t>compensable</w:t>
      </w:r>
      <w:r w:rsidR="00030451">
        <w:rPr>
          <w:color w:val="000000" w:themeColor="text1"/>
          <w:szCs w:val="24"/>
        </w:rPr>
        <w:t xml:space="preserve"> loss of radial deviation.</w:t>
      </w:r>
      <w:r w:rsidR="00CA6287">
        <w:rPr>
          <w:color w:val="000000" w:themeColor="text1"/>
          <w:szCs w:val="24"/>
        </w:rPr>
        <w:t xml:space="preserve">  </w:t>
      </w:r>
      <w:r w:rsidR="00E32132">
        <w:rPr>
          <w:color w:val="000000" w:themeColor="text1"/>
          <w:szCs w:val="24"/>
        </w:rPr>
        <w:t>A VA i</w:t>
      </w:r>
      <w:r w:rsidR="00FE17B6">
        <w:rPr>
          <w:color w:val="000000" w:themeColor="text1"/>
          <w:szCs w:val="24"/>
        </w:rPr>
        <w:t xml:space="preserve">maging </w:t>
      </w:r>
      <w:r w:rsidR="00E32132">
        <w:rPr>
          <w:color w:val="000000" w:themeColor="text1"/>
          <w:szCs w:val="24"/>
        </w:rPr>
        <w:t xml:space="preserve">study </w:t>
      </w:r>
      <w:r w:rsidR="00FE17B6" w:rsidRPr="004F0B39">
        <w:rPr>
          <w:color w:val="000000" w:themeColor="text1"/>
          <w:szCs w:val="24"/>
        </w:rPr>
        <w:t>was negative for soft tissu</w:t>
      </w:r>
      <w:r w:rsidR="00E32132">
        <w:rPr>
          <w:color w:val="000000" w:themeColor="text1"/>
          <w:szCs w:val="24"/>
        </w:rPr>
        <w:t xml:space="preserve">e, bony, or </w:t>
      </w:r>
      <w:proofErr w:type="spellStart"/>
      <w:r w:rsidR="00E32132">
        <w:rPr>
          <w:color w:val="000000" w:themeColor="text1"/>
          <w:szCs w:val="24"/>
        </w:rPr>
        <w:t>articular</w:t>
      </w:r>
      <w:proofErr w:type="spellEnd"/>
      <w:r w:rsidR="00E32132">
        <w:rPr>
          <w:color w:val="000000" w:themeColor="text1"/>
          <w:szCs w:val="24"/>
        </w:rPr>
        <w:t xml:space="preserve"> pathology; and, a</w:t>
      </w:r>
      <w:r w:rsidR="00282DA1" w:rsidRPr="004F0B39">
        <w:rPr>
          <w:color w:val="000000" w:themeColor="text1"/>
          <w:szCs w:val="24"/>
        </w:rPr>
        <w:t xml:space="preserve">n EMG </w:t>
      </w:r>
      <w:r w:rsidR="00E32132">
        <w:rPr>
          <w:color w:val="000000" w:themeColor="text1"/>
          <w:szCs w:val="24"/>
        </w:rPr>
        <w:t>by the VA (</w:t>
      </w:r>
      <w:r w:rsidR="00AC33D3">
        <w:rPr>
          <w:color w:val="000000" w:themeColor="text1"/>
          <w:szCs w:val="24"/>
        </w:rPr>
        <w:t>a</w:t>
      </w:r>
      <w:r w:rsidR="00E32132">
        <w:rPr>
          <w:color w:val="000000" w:themeColor="text1"/>
          <w:szCs w:val="24"/>
        </w:rPr>
        <w:t xml:space="preserve"> month </w:t>
      </w:r>
      <w:r w:rsidR="00AC33D3">
        <w:rPr>
          <w:color w:val="000000" w:themeColor="text1"/>
          <w:szCs w:val="24"/>
        </w:rPr>
        <w:t xml:space="preserve">after </w:t>
      </w:r>
      <w:r w:rsidR="00E32132">
        <w:rPr>
          <w:color w:val="000000" w:themeColor="text1"/>
          <w:szCs w:val="24"/>
        </w:rPr>
        <w:t>separation)</w:t>
      </w:r>
      <w:r w:rsidR="00282DA1" w:rsidRPr="004F0B39">
        <w:rPr>
          <w:color w:val="000000" w:themeColor="text1"/>
          <w:szCs w:val="24"/>
        </w:rPr>
        <w:t xml:space="preserve"> demonstrated “mild evidence of </w:t>
      </w:r>
      <w:proofErr w:type="spellStart"/>
      <w:r w:rsidR="00282DA1" w:rsidRPr="004F0B39">
        <w:rPr>
          <w:color w:val="000000" w:themeColor="text1"/>
          <w:szCs w:val="24"/>
        </w:rPr>
        <w:t>denervation</w:t>
      </w:r>
      <w:proofErr w:type="spellEnd"/>
      <w:r w:rsidR="00282DA1" w:rsidRPr="004F0B39">
        <w:rPr>
          <w:color w:val="000000" w:themeColor="text1"/>
          <w:szCs w:val="24"/>
        </w:rPr>
        <w:t xml:space="preserve"> seen in the </w:t>
      </w:r>
      <w:r w:rsidR="001157ED" w:rsidRPr="004F0B39">
        <w:rPr>
          <w:color w:val="000000" w:themeColor="text1"/>
          <w:szCs w:val="24"/>
        </w:rPr>
        <w:t>C6-C7 supplied muscles in the right upper extremity” and “residual carpal tunnel syndrome on the right</w:t>
      </w:r>
      <w:r w:rsidR="00AC33D3">
        <w:rPr>
          <w:color w:val="000000" w:themeColor="text1"/>
          <w:szCs w:val="24"/>
        </w:rPr>
        <w:t>.</w:t>
      </w:r>
      <w:r w:rsidR="00E32132">
        <w:rPr>
          <w:color w:val="000000" w:themeColor="text1"/>
          <w:szCs w:val="24"/>
        </w:rPr>
        <w:t>”</w:t>
      </w:r>
      <w:r w:rsidR="00CA6287" w:rsidRPr="004F0B39">
        <w:rPr>
          <w:color w:val="000000" w:themeColor="text1"/>
          <w:szCs w:val="24"/>
        </w:rPr>
        <w:t xml:space="preserve"> </w:t>
      </w:r>
      <w:r w:rsidR="00825C9A" w:rsidRPr="004F0B39">
        <w:rPr>
          <w:color w:val="000000" w:themeColor="text1"/>
          <w:szCs w:val="24"/>
        </w:rPr>
        <w:t xml:space="preserve"> </w:t>
      </w:r>
      <w:r w:rsidR="001157ED" w:rsidRPr="004F0B39">
        <w:rPr>
          <w:color w:val="000000" w:themeColor="text1"/>
          <w:szCs w:val="24"/>
        </w:rPr>
        <w:t>The f</w:t>
      </w:r>
      <w:r w:rsidR="00282DA1" w:rsidRPr="004F0B39">
        <w:rPr>
          <w:color w:val="000000" w:themeColor="text1"/>
          <w:szCs w:val="24"/>
        </w:rPr>
        <w:t xml:space="preserve">inal impression of the </w:t>
      </w:r>
      <w:r w:rsidR="00F65E80">
        <w:rPr>
          <w:color w:val="000000" w:themeColor="text1"/>
          <w:szCs w:val="24"/>
        </w:rPr>
        <w:t xml:space="preserve">VA C&amp;P </w:t>
      </w:r>
      <w:r w:rsidR="00282DA1" w:rsidRPr="004F0B39">
        <w:rPr>
          <w:color w:val="000000" w:themeColor="text1"/>
          <w:szCs w:val="24"/>
        </w:rPr>
        <w:t xml:space="preserve">examiner was </w:t>
      </w:r>
      <w:r w:rsidR="00F65E80">
        <w:rPr>
          <w:color w:val="000000" w:themeColor="text1"/>
          <w:szCs w:val="24"/>
        </w:rPr>
        <w:t>“</w:t>
      </w:r>
      <w:r w:rsidR="00AC33D3">
        <w:rPr>
          <w:color w:val="000000" w:themeColor="text1"/>
          <w:szCs w:val="24"/>
        </w:rPr>
        <w:t>p</w:t>
      </w:r>
      <w:r w:rsidR="00282DA1" w:rsidRPr="004F0B39">
        <w:rPr>
          <w:color w:val="000000" w:themeColor="text1"/>
          <w:szCs w:val="24"/>
        </w:rPr>
        <w:t xml:space="preserve">aralysis, </w:t>
      </w:r>
      <w:r w:rsidR="00F65E80" w:rsidRPr="004F0B39">
        <w:rPr>
          <w:color w:val="000000" w:themeColor="text1"/>
          <w:szCs w:val="24"/>
        </w:rPr>
        <w:t xml:space="preserve">moderate </w:t>
      </w:r>
      <w:r w:rsidR="00282DA1" w:rsidRPr="004F0B39">
        <w:rPr>
          <w:color w:val="000000" w:themeColor="text1"/>
          <w:szCs w:val="24"/>
        </w:rPr>
        <w:t xml:space="preserve">right lower </w:t>
      </w:r>
      <w:proofErr w:type="spellStart"/>
      <w:r w:rsidR="00282DA1" w:rsidRPr="004F0B39">
        <w:rPr>
          <w:color w:val="000000" w:themeColor="text1"/>
          <w:szCs w:val="24"/>
        </w:rPr>
        <w:t>radicular</w:t>
      </w:r>
      <w:proofErr w:type="spellEnd"/>
      <w:r w:rsidR="00825C9A" w:rsidRPr="004F0B39">
        <w:rPr>
          <w:color w:val="000000" w:themeColor="text1"/>
          <w:szCs w:val="24"/>
        </w:rPr>
        <w:t xml:space="preserve"> </w:t>
      </w:r>
      <w:r w:rsidR="00282DA1" w:rsidRPr="004F0B39">
        <w:rPr>
          <w:color w:val="000000" w:themeColor="text1"/>
          <w:szCs w:val="24"/>
        </w:rPr>
        <w:t>group, moderately severe; this included loss of function in the media</w:t>
      </w:r>
      <w:r w:rsidR="001157ED" w:rsidRPr="004F0B39">
        <w:rPr>
          <w:color w:val="000000" w:themeColor="text1"/>
          <w:szCs w:val="24"/>
        </w:rPr>
        <w:t>n</w:t>
      </w:r>
      <w:r w:rsidR="00282DA1" w:rsidRPr="004F0B39">
        <w:rPr>
          <w:color w:val="000000" w:themeColor="text1"/>
          <w:szCs w:val="24"/>
        </w:rPr>
        <w:t xml:space="preserve"> nerve, </w:t>
      </w:r>
      <w:proofErr w:type="spellStart"/>
      <w:r w:rsidR="00282DA1" w:rsidRPr="004F0B39">
        <w:rPr>
          <w:color w:val="000000" w:themeColor="text1"/>
          <w:szCs w:val="24"/>
        </w:rPr>
        <w:t>ulnar</w:t>
      </w:r>
      <w:proofErr w:type="spellEnd"/>
      <w:r w:rsidR="00282DA1" w:rsidRPr="004F0B39">
        <w:rPr>
          <w:color w:val="000000" w:themeColor="text1"/>
          <w:szCs w:val="24"/>
        </w:rPr>
        <w:t xml:space="preserve"> nerve</w:t>
      </w:r>
      <w:r w:rsidR="00825C9A" w:rsidRPr="004F0B39">
        <w:rPr>
          <w:color w:val="000000" w:themeColor="text1"/>
          <w:szCs w:val="24"/>
        </w:rPr>
        <w:t xml:space="preserve"> </w:t>
      </w:r>
      <w:r w:rsidR="00282DA1" w:rsidRPr="004F0B39">
        <w:rPr>
          <w:color w:val="000000" w:themeColor="text1"/>
          <w:szCs w:val="24"/>
        </w:rPr>
        <w:t>and diminished strength in the forearm flexor and extensor muscle groups.</w:t>
      </w:r>
      <w:r w:rsidR="00F65E80">
        <w:rPr>
          <w:color w:val="000000" w:themeColor="text1"/>
          <w:szCs w:val="24"/>
        </w:rPr>
        <w:t>”</w:t>
      </w:r>
      <w:r w:rsidR="00C7552F" w:rsidRPr="004F0B39">
        <w:rPr>
          <w:color w:val="000000" w:themeColor="text1"/>
          <w:szCs w:val="24"/>
        </w:rPr>
        <w:t xml:space="preserve">  </w:t>
      </w:r>
    </w:p>
    <w:p w:rsidR="002B2E25" w:rsidRPr="004F0B39" w:rsidRDefault="002B2E25" w:rsidP="00BF0E94">
      <w:pPr>
        <w:jc w:val="left"/>
        <w:rPr>
          <w:color w:val="000000" w:themeColor="text1"/>
          <w:szCs w:val="24"/>
          <w:u w:val="single"/>
        </w:rPr>
      </w:pPr>
    </w:p>
    <w:p w:rsidR="001E508D" w:rsidRDefault="00CA59EB" w:rsidP="00820950">
      <w:pPr>
        <w:tabs>
          <w:tab w:val="left" w:pos="288"/>
          <w:tab w:val="left" w:pos="4752"/>
        </w:tabs>
        <w:jc w:val="both"/>
        <w:rPr>
          <w:rFonts w:asciiTheme="minorHAnsi" w:hAnsiTheme="minorHAnsi"/>
          <w:color w:val="auto"/>
          <w:szCs w:val="24"/>
        </w:rPr>
      </w:pPr>
      <w:r w:rsidRPr="004F0B39">
        <w:rPr>
          <w:rFonts w:asciiTheme="minorHAnsi" w:hAnsiTheme="minorHAnsi"/>
          <w:color w:val="auto"/>
          <w:szCs w:val="24"/>
        </w:rPr>
        <w:t>The Board directs its attenti</w:t>
      </w:r>
      <w:r w:rsidR="00F65E80">
        <w:rPr>
          <w:rFonts w:asciiTheme="minorHAnsi" w:hAnsiTheme="minorHAnsi"/>
          <w:color w:val="auto"/>
          <w:szCs w:val="24"/>
        </w:rPr>
        <w:t>on to its rating recommendation</w:t>
      </w:r>
      <w:r w:rsidRPr="004F0B39">
        <w:rPr>
          <w:rFonts w:asciiTheme="minorHAnsi" w:hAnsiTheme="minorHAnsi"/>
          <w:color w:val="auto"/>
          <w:szCs w:val="24"/>
        </w:rPr>
        <w:t xml:space="preserve"> </w:t>
      </w:r>
      <w:r w:rsidR="00771F6D">
        <w:rPr>
          <w:rFonts w:asciiTheme="minorHAnsi" w:hAnsiTheme="minorHAnsi"/>
          <w:color w:val="auto"/>
          <w:szCs w:val="24"/>
        </w:rPr>
        <w:t>for the right hand</w:t>
      </w:r>
      <w:r w:rsidR="00F65E80">
        <w:rPr>
          <w:rFonts w:asciiTheme="minorHAnsi" w:hAnsiTheme="minorHAnsi"/>
          <w:color w:val="auto"/>
          <w:szCs w:val="24"/>
        </w:rPr>
        <w:t xml:space="preserve"> condition </w:t>
      </w:r>
      <w:r w:rsidRPr="004F0B39">
        <w:rPr>
          <w:rFonts w:asciiTheme="minorHAnsi" w:hAnsiTheme="minorHAnsi"/>
          <w:color w:val="auto"/>
          <w:szCs w:val="24"/>
        </w:rPr>
        <w:t xml:space="preserve">based on the </w:t>
      </w:r>
      <w:r w:rsidR="00F65E80">
        <w:rPr>
          <w:rFonts w:asciiTheme="minorHAnsi" w:hAnsiTheme="minorHAnsi"/>
          <w:color w:val="auto"/>
          <w:szCs w:val="24"/>
        </w:rPr>
        <w:t xml:space="preserve">above </w:t>
      </w:r>
      <w:r w:rsidRPr="004F0B39">
        <w:rPr>
          <w:rFonts w:asciiTheme="minorHAnsi" w:hAnsiTheme="minorHAnsi"/>
          <w:color w:val="auto"/>
          <w:szCs w:val="24"/>
        </w:rPr>
        <w:t xml:space="preserve">evidence.  </w:t>
      </w:r>
      <w:r w:rsidR="007B59EB" w:rsidRPr="004F0B39">
        <w:rPr>
          <w:rFonts w:asciiTheme="minorHAnsi" w:hAnsiTheme="minorHAnsi"/>
          <w:color w:val="auto"/>
          <w:szCs w:val="24"/>
        </w:rPr>
        <w:t xml:space="preserve">The challenge before the Board </w:t>
      </w:r>
      <w:r w:rsidR="007B59EB">
        <w:rPr>
          <w:rFonts w:asciiTheme="minorHAnsi" w:hAnsiTheme="minorHAnsi"/>
          <w:color w:val="auto"/>
          <w:szCs w:val="24"/>
        </w:rPr>
        <w:t xml:space="preserve">is to </w:t>
      </w:r>
      <w:r w:rsidR="007B59EB" w:rsidRPr="004F0B39">
        <w:rPr>
          <w:rFonts w:asciiTheme="minorHAnsi" w:hAnsiTheme="minorHAnsi"/>
          <w:color w:val="auto"/>
          <w:szCs w:val="24"/>
        </w:rPr>
        <w:t xml:space="preserve">appropriately rate the total </w:t>
      </w:r>
      <w:r w:rsidR="007B59EB">
        <w:rPr>
          <w:rFonts w:asciiTheme="minorHAnsi" w:hAnsiTheme="minorHAnsi"/>
          <w:color w:val="auto"/>
          <w:szCs w:val="24"/>
        </w:rPr>
        <w:t xml:space="preserve">and significant </w:t>
      </w:r>
      <w:r w:rsidR="007B59EB" w:rsidRPr="004F0B39">
        <w:rPr>
          <w:rFonts w:asciiTheme="minorHAnsi" w:hAnsiTheme="minorHAnsi"/>
          <w:color w:val="auto"/>
          <w:szCs w:val="24"/>
        </w:rPr>
        <w:t>disability of the right hand</w:t>
      </w:r>
      <w:r w:rsidR="007B59EB">
        <w:rPr>
          <w:rFonts w:asciiTheme="minorHAnsi" w:hAnsiTheme="minorHAnsi"/>
          <w:color w:val="auto"/>
          <w:szCs w:val="24"/>
        </w:rPr>
        <w:t xml:space="preserve">; as the available joint codes in </w:t>
      </w:r>
      <w:r w:rsidR="007B59EB" w:rsidRPr="004F0B39">
        <w:rPr>
          <w:rFonts w:asciiTheme="minorHAnsi" w:hAnsiTheme="minorHAnsi"/>
          <w:color w:val="auto"/>
          <w:szCs w:val="24"/>
        </w:rPr>
        <w:t>VASRD §4.71a</w:t>
      </w:r>
      <w:r w:rsidR="007B59EB">
        <w:rPr>
          <w:rFonts w:asciiTheme="minorHAnsi" w:hAnsiTheme="minorHAnsi"/>
          <w:color w:val="auto"/>
          <w:szCs w:val="24"/>
        </w:rPr>
        <w:t xml:space="preserve"> do not provide for a compensable rating based on the orthopedic features alone</w:t>
      </w:r>
      <w:r w:rsidR="007B59EB" w:rsidRPr="004F0B39">
        <w:rPr>
          <w:rFonts w:asciiTheme="minorHAnsi" w:hAnsiTheme="minorHAnsi"/>
          <w:color w:val="auto"/>
          <w:szCs w:val="24"/>
        </w:rPr>
        <w:t xml:space="preserve">.  </w:t>
      </w:r>
      <w:r w:rsidRPr="004F0B39">
        <w:rPr>
          <w:rFonts w:asciiTheme="minorHAnsi" w:hAnsiTheme="minorHAnsi"/>
          <w:color w:val="auto"/>
          <w:szCs w:val="24"/>
        </w:rPr>
        <w:t xml:space="preserve">Both the VA and the PEB </w:t>
      </w:r>
      <w:r w:rsidR="00412818">
        <w:rPr>
          <w:rFonts w:asciiTheme="minorHAnsi" w:hAnsiTheme="minorHAnsi"/>
          <w:color w:val="auto"/>
          <w:szCs w:val="24"/>
        </w:rPr>
        <w:t xml:space="preserve">rated the mix of hand, finger and nerve disabilities under a single </w:t>
      </w:r>
      <w:r w:rsidRPr="004F0B39">
        <w:rPr>
          <w:rFonts w:asciiTheme="minorHAnsi" w:hAnsiTheme="minorHAnsi"/>
          <w:color w:val="auto"/>
          <w:szCs w:val="24"/>
        </w:rPr>
        <w:t>peripheral nerve code</w:t>
      </w:r>
      <w:r w:rsidR="00412818">
        <w:rPr>
          <w:rFonts w:asciiTheme="minorHAnsi" w:hAnsiTheme="minorHAnsi"/>
          <w:color w:val="auto"/>
          <w:szCs w:val="24"/>
        </w:rPr>
        <w:t>; which th</w:t>
      </w:r>
      <w:r w:rsidR="007B59EB">
        <w:rPr>
          <w:rFonts w:asciiTheme="minorHAnsi" w:hAnsiTheme="minorHAnsi"/>
          <w:color w:val="auto"/>
          <w:szCs w:val="24"/>
        </w:rPr>
        <w:t xml:space="preserve">e Board agreed was proper and </w:t>
      </w:r>
      <w:r w:rsidR="00412818">
        <w:rPr>
          <w:rFonts w:asciiTheme="minorHAnsi" w:hAnsiTheme="minorHAnsi"/>
          <w:color w:val="auto"/>
          <w:szCs w:val="24"/>
        </w:rPr>
        <w:t>the most straightforward approach</w:t>
      </w:r>
      <w:r w:rsidR="007B59EB">
        <w:rPr>
          <w:rFonts w:asciiTheme="minorHAnsi" w:hAnsiTheme="minorHAnsi"/>
          <w:color w:val="auto"/>
          <w:szCs w:val="24"/>
        </w:rPr>
        <w:t>,</w:t>
      </w:r>
      <w:r w:rsidR="00233D21">
        <w:rPr>
          <w:rFonts w:asciiTheme="minorHAnsi" w:hAnsiTheme="minorHAnsi"/>
          <w:color w:val="auto"/>
          <w:szCs w:val="24"/>
        </w:rPr>
        <w:t xml:space="preserve"> </w:t>
      </w:r>
      <w:r w:rsidR="007B59EB">
        <w:rPr>
          <w:rFonts w:asciiTheme="minorHAnsi" w:hAnsiTheme="minorHAnsi"/>
          <w:color w:val="auto"/>
          <w:szCs w:val="24"/>
        </w:rPr>
        <w:t>since it avoids conflict</w:t>
      </w:r>
      <w:r w:rsidR="00233D21">
        <w:rPr>
          <w:rFonts w:asciiTheme="minorHAnsi" w:hAnsiTheme="minorHAnsi"/>
          <w:color w:val="auto"/>
          <w:szCs w:val="24"/>
        </w:rPr>
        <w:t xml:space="preserve"> with </w:t>
      </w:r>
      <w:r w:rsidR="007B59EB" w:rsidRPr="007B59EB">
        <w:rPr>
          <w:rFonts w:asciiTheme="minorHAnsi" w:hAnsiTheme="minorHAnsi"/>
          <w:color w:val="auto"/>
          <w:szCs w:val="24"/>
        </w:rPr>
        <w:t>VASRD §4.14 (avoidance of pyramiding)</w:t>
      </w:r>
      <w:r w:rsidR="00412818">
        <w:rPr>
          <w:rFonts w:asciiTheme="minorHAnsi" w:hAnsiTheme="minorHAnsi"/>
          <w:color w:val="auto"/>
          <w:szCs w:val="24"/>
        </w:rPr>
        <w:t xml:space="preserve">. </w:t>
      </w:r>
      <w:r w:rsidRPr="004F0B39">
        <w:rPr>
          <w:rFonts w:asciiTheme="minorHAnsi" w:hAnsiTheme="minorHAnsi"/>
          <w:color w:val="auto"/>
          <w:szCs w:val="24"/>
        </w:rPr>
        <w:t xml:space="preserve"> </w:t>
      </w:r>
      <w:r w:rsidR="00412818">
        <w:rPr>
          <w:rFonts w:asciiTheme="minorHAnsi" w:hAnsiTheme="minorHAnsi"/>
          <w:color w:val="auto"/>
          <w:szCs w:val="24"/>
        </w:rPr>
        <w:t>T</w:t>
      </w:r>
      <w:r w:rsidRPr="004F0B39">
        <w:rPr>
          <w:rFonts w:asciiTheme="minorHAnsi" w:hAnsiTheme="minorHAnsi"/>
          <w:color w:val="auto"/>
          <w:szCs w:val="24"/>
        </w:rPr>
        <w:t xml:space="preserve">he VA used a more proximal </w:t>
      </w:r>
      <w:r w:rsidR="002C070E" w:rsidRPr="004F0B39">
        <w:rPr>
          <w:rFonts w:asciiTheme="minorHAnsi" w:hAnsiTheme="minorHAnsi"/>
          <w:color w:val="auto"/>
          <w:szCs w:val="24"/>
        </w:rPr>
        <w:t xml:space="preserve">peripheral </w:t>
      </w:r>
      <w:r w:rsidRPr="004F0B39">
        <w:rPr>
          <w:rFonts w:asciiTheme="minorHAnsi" w:hAnsiTheme="minorHAnsi"/>
          <w:color w:val="auto"/>
          <w:szCs w:val="24"/>
        </w:rPr>
        <w:t>nerve code, 8512</w:t>
      </w:r>
      <w:r w:rsidR="00412818">
        <w:rPr>
          <w:rFonts w:asciiTheme="minorHAnsi" w:hAnsiTheme="minorHAnsi"/>
          <w:color w:val="auto"/>
          <w:szCs w:val="24"/>
        </w:rPr>
        <w:t xml:space="preserve"> (l</w:t>
      </w:r>
      <w:r w:rsidR="00634E1C" w:rsidRPr="004F0B39">
        <w:rPr>
          <w:rFonts w:asciiTheme="minorHAnsi" w:hAnsiTheme="minorHAnsi"/>
          <w:color w:val="auto"/>
          <w:szCs w:val="24"/>
        </w:rPr>
        <w:t xml:space="preserve">ower </w:t>
      </w:r>
      <w:proofErr w:type="spellStart"/>
      <w:r w:rsidR="00634E1C" w:rsidRPr="004F0B39">
        <w:rPr>
          <w:rFonts w:asciiTheme="minorHAnsi" w:hAnsiTheme="minorHAnsi"/>
          <w:color w:val="auto"/>
          <w:szCs w:val="24"/>
        </w:rPr>
        <w:t>radicular</w:t>
      </w:r>
      <w:proofErr w:type="spellEnd"/>
      <w:r w:rsidR="00634E1C" w:rsidRPr="004F0B39">
        <w:rPr>
          <w:rFonts w:asciiTheme="minorHAnsi" w:hAnsiTheme="minorHAnsi"/>
          <w:color w:val="auto"/>
          <w:szCs w:val="24"/>
        </w:rPr>
        <w:t xml:space="preserve"> group)</w:t>
      </w:r>
      <w:r w:rsidR="00412818">
        <w:rPr>
          <w:rFonts w:asciiTheme="minorHAnsi" w:hAnsiTheme="minorHAnsi"/>
          <w:color w:val="auto"/>
          <w:szCs w:val="24"/>
        </w:rPr>
        <w:t>,</w:t>
      </w:r>
      <w:r w:rsidRPr="004F0B39">
        <w:rPr>
          <w:rFonts w:asciiTheme="minorHAnsi" w:hAnsiTheme="minorHAnsi"/>
          <w:color w:val="auto"/>
          <w:szCs w:val="24"/>
        </w:rPr>
        <w:t xml:space="preserve"> </w:t>
      </w:r>
      <w:r w:rsidR="00634E1C" w:rsidRPr="004F0B39">
        <w:rPr>
          <w:rFonts w:asciiTheme="minorHAnsi" w:hAnsiTheme="minorHAnsi"/>
          <w:color w:val="auto"/>
          <w:szCs w:val="24"/>
        </w:rPr>
        <w:t xml:space="preserve">rated as </w:t>
      </w:r>
      <w:r w:rsidR="00634E1C" w:rsidRPr="004F0B39">
        <w:rPr>
          <w:color w:val="000000" w:themeColor="text1"/>
          <w:szCs w:val="24"/>
        </w:rPr>
        <w:t xml:space="preserve">30% for </w:t>
      </w:r>
      <w:r w:rsidR="00D55860">
        <w:rPr>
          <w:color w:val="000000" w:themeColor="text1"/>
          <w:szCs w:val="24"/>
        </w:rPr>
        <w:t>“</w:t>
      </w:r>
      <w:r w:rsidR="00634E1C" w:rsidRPr="004F0B39">
        <w:rPr>
          <w:color w:val="000000" w:themeColor="text1"/>
          <w:szCs w:val="24"/>
        </w:rPr>
        <w:t>moderate</w:t>
      </w:r>
      <w:r w:rsidR="00D55860">
        <w:rPr>
          <w:color w:val="000000" w:themeColor="text1"/>
          <w:szCs w:val="24"/>
        </w:rPr>
        <w:t>”</w:t>
      </w:r>
      <w:r w:rsidR="00634E1C" w:rsidRPr="004F0B39">
        <w:rPr>
          <w:color w:val="000000" w:themeColor="text1"/>
          <w:szCs w:val="24"/>
        </w:rPr>
        <w:t xml:space="preserve"> </w:t>
      </w:r>
      <w:r w:rsidR="00412818">
        <w:rPr>
          <w:color w:val="000000" w:themeColor="text1"/>
          <w:szCs w:val="24"/>
        </w:rPr>
        <w:t xml:space="preserve">incomplete </w:t>
      </w:r>
      <w:r w:rsidR="00634E1C" w:rsidRPr="004F0B39">
        <w:rPr>
          <w:color w:val="000000" w:themeColor="text1"/>
          <w:szCs w:val="24"/>
        </w:rPr>
        <w:t>paralysis</w:t>
      </w:r>
      <w:r w:rsidR="00C93C07">
        <w:rPr>
          <w:color w:val="000000" w:themeColor="text1"/>
          <w:szCs w:val="24"/>
        </w:rPr>
        <w:t xml:space="preserve">.  </w:t>
      </w:r>
      <w:r w:rsidR="00D87AE7" w:rsidRPr="004F0B39">
        <w:rPr>
          <w:color w:val="000000" w:themeColor="text1"/>
          <w:szCs w:val="24"/>
        </w:rPr>
        <w:t xml:space="preserve"> </w:t>
      </w:r>
      <w:r w:rsidR="00C93C07">
        <w:rPr>
          <w:color w:val="000000" w:themeColor="text1"/>
          <w:szCs w:val="24"/>
        </w:rPr>
        <w:t>The assigned rating, however, was</w:t>
      </w:r>
      <w:r w:rsidR="00D87AE7" w:rsidRPr="004F0B39">
        <w:rPr>
          <w:color w:val="000000" w:themeColor="text1"/>
          <w:szCs w:val="24"/>
        </w:rPr>
        <w:t xml:space="preserve"> </w:t>
      </w:r>
      <w:r w:rsidR="00C93C07">
        <w:rPr>
          <w:color w:val="000000" w:themeColor="text1"/>
          <w:szCs w:val="24"/>
        </w:rPr>
        <w:t>erroneous; since this is the minor rating and the CI i</w:t>
      </w:r>
      <w:r w:rsidR="00D87AE7" w:rsidRPr="004F0B39">
        <w:rPr>
          <w:color w:val="000000" w:themeColor="text1"/>
          <w:szCs w:val="24"/>
        </w:rPr>
        <w:t>s right hand</w:t>
      </w:r>
      <w:r w:rsidR="003E372B" w:rsidRPr="004F0B39">
        <w:rPr>
          <w:color w:val="000000" w:themeColor="text1"/>
          <w:szCs w:val="24"/>
        </w:rPr>
        <w:t xml:space="preserve"> dominant</w:t>
      </w:r>
      <w:r w:rsidR="007B59EB">
        <w:rPr>
          <w:color w:val="000000" w:themeColor="text1"/>
          <w:szCs w:val="24"/>
        </w:rPr>
        <w:t xml:space="preserve">.  The </w:t>
      </w:r>
      <w:r w:rsidR="00C93C07">
        <w:rPr>
          <w:color w:val="000000" w:themeColor="text1"/>
          <w:szCs w:val="24"/>
        </w:rPr>
        <w:t xml:space="preserve">major rating </w:t>
      </w:r>
      <w:r w:rsidR="007B59EB">
        <w:rPr>
          <w:color w:val="000000" w:themeColor="text1"/>
          <w:szCs w:val="24"/>
        </w:rPr>
        <w:t xml:space="preserve">for the </w:t>
      </w:r>
      <w:r w:rsidR="00D55860">
        <w:rPr>
          <w:color w:val="000000" w:themeColor="text1"/>
          <w:szCs w:val="24"/>
        </w:rPr>
        <w:t>“</w:t>
      </w:r>
      <w:r w:rsidR="007B59EB">
        <w:rPr>
          <w:color w:val="000000" w:themeColor="text1"/>
          <w:szCs w:val="24"/>
        </w:rPr>
        <w:t>moderate</w:t>
      </w:r>
      <w:r w:rsidR="00D55860">
        <w:rPr>
          <w:color w:val="000000" w:themeColor="text1"/>
          <w:szCs w:val="24"/>
        </w:rPr>
        <w:t>”</w:t>
      </w:r>
      <w:r w:rsidR="007B59EB">
        <w:rPr>
          <w:color w:val="000000" w:themeColor="text1"/>
          <w:szCs w:val="24"/>
        </w:rPr>
        <w:t xml:space="preserve"> characterization is 40%; and, </w:t>
      </w:r>
      <w:r w:rsidR="00C93C07">
        <w:rPr>
          <w:color w:val="000000" w:themeColor="text1"/>
          <w:szCs w:val="24"/>
        </w:rPr>
        <w:t xml:space="preserve">30% </w:t>
      </w:r>
      <w:r w:rsidR="007B59EB">
        <w:rPr>
          <w:color w:val="000000" w:themeColor="text1"/>
          <w:szCs w:val="24"/>
        </w:rPr>
        <w:t xml:space="preserve">is </w:t>
      </w:r>
      <w:r w:rsidR="00C93C07">
        <w:rPr>
          <w:color w:val="000000" w:themeColor="text1"/>
          <w:szCs w:val="24"/>
        </w:rPr>
        <w:t xml:space="preserve">not available </w:t>
      </w:r>
      <w:r w:rsidR="007B59EB">
        <w:rPr>
          <w:color w:val="000000" w:themeColor="text1"/>
          <w:szCs w:val="24"/>
        </w:rPr>
        <w:t>as a major rating under 8512</w:t>
      </w:r>
      <w:r w:rsidR="00D87AE7" w:rsidRPr="004F0B39">
        <w:rPr>
          <w:color w:val="000000" w:themeColor="text1"/>
          <w:szCs w:val="24"/>
        </w:rPr>
        <w:t xml:space="preserve">.  </w:t>
      </w:r>
      <w:r w:rsidR="00A51EE0" w:rsidRPr="004F0B39">
        <w:rPr>
          <w:color w:val="000000" w:themeColor="text1"/>
          <w:szCs w:val="24"/>
        </w:rPr>
        <w:t>T</w:t>
      </w:r>
      <w:r w:rsidR="00634E1C" w:rsidRPr="004F0B39">
        <w:rPr>
          <w:color w:val="000000" w:themeColor="text1"/>
          <w:szCs w:val="24"/>
        </w:rPr>
        <w:t>he PEB a</w:t>
      </w:r>
      <w:r w:rsidR="00A51EE0" w:rsidRPr="004F0B39">
        <w:rPr>
          <w:color w:val="000000" w:themeColor="text1"/>
          <w:szCs w:val="24"/>
        </w:rPr>
        <w:t>ssigned a</w:t>
      </w:r>
      <w:r w:rsidR="00634E1C" w:rsidRPr="004F0B39">
        <w:rPr>
          <w:color w:val="000000" w:themeColor="text1"/>
          <w:szCs w:val="24"/>
        </w:rPr>
        <w:t xml:space="preserve"> more distal </w:t>
      </w:r>
      <w:r w:rsidR="002C070E" w:rsidRPr="004F0B39">
        <w:rPr>
          <w:color w:val="000000" w:themeColor="text1"/>
          <w:szCs w:val="24"/>
        </w:rPr>
        <w:t xml:space="preserve">peripheral </w:t>
      </w:r>
      <w:r w:rsidR="00C93C07">
        <w:rPr>
          <w:color w:val="000000" w:themeColor="text1"/>
          <w:szCs w:val="24"/>
        </w:rPr>
        <w:t xml:space="preserve">nerve code, </w:t>
      </w:r>
      <w:r w:rsidR="00C93C07">
        <w:rPr>
          <w:color w:val="000000" w:themeColor="text1"/>
          <w:szCs w:val="24"/>
        </w:rPr>
        <w:lastRenderedPageBreak/>
        <w:t>8515 (m</w:t>
      </w:r>
      <w:r w:rsidR="00634E1C" w:rsidRPr="004F0B39">
        <w:rPr>
          <w:color w:val="000000" w:themeColor="text1"/>
          <w:szCs w:val="24"/>
        </w:rPr>
        <w:t>edian nerve)</w:t>
      </w:r>
      <w:r w:rsidR="00C93C07">
        <w:rPr>
          <w:color w:val="000000" w:themeColor="text1"/>
          <w:szCs w:val="24"/>
        </w:rPr>
        <w:t>,</w:t>
      </w:r>
      <w:r w:rsidR="00634E1C" w:rsidRPr="004F0B39">
        <w:rPr>
          <w:color w:val="000000" w:themeColor="text1"/>
          <w:szCs w:val="24"/>
        </w:rPr>
        <w:t xml:space="preserve"> rated as 10% for </w:t>
      </w:r>
      <w:r w:rsidR="00D55860">
        <w:rPr>
          <w:color w:val="000000" w:themeColor="text1"/>
          <w:szCs w:val="24"/>
        </w:rPr>
        <w:t>“</w:t>
      </w:r>
      <w:r w:rsidR="00634E1C" w:rsidRPr="004F0B39">
        <w:rPr>
          <w:color w:val="000000" w:themeColor="text1"/>
          <w:szCs w:val="24"/>
        </w:rPr>
        <w:t>mild</w:t>
      </w:r>
      <w:r w:rsidR="00D55860">
        <w:rPr>
          <w:color w:val="000000" w:themeColor="text1"/>
          <w:szCs w:val="24"/>
        </w:rPr>
        <w:t>”</w:t>
      </w:r>
      <w:r w:rsidR="00634E1C" w:rsidRPr="004F0B39">
        <w:rPr>
          <w:color w:val="000000" w:themeColor="text1"/>
          <w:szCs w:val="24"/>
        </w:rPr>
        <w:t xml:space="preserve"> </w:t>
      </w:r>
      <w:r w:rsidR="00C93C07">
        <w:rPr>
          <w:color w:val="000000" w:themeColor="text1"/>
          <w:szCs w:val="24"/>
        </w:rPr>
        <w:t xml:space="preserve">incomplete </w:t>
      </w:r>
      <w:r w:rsidR="00634E1C" w:rsidRPr="004F0B39">
        <w:rPr>
          <w:color w:val="000000" w:themeColor="text1"/>
          <w:szCs w:val="24"/>
        </w:rPr>
        <w:t xml:space="preserve">paralysis. </w:t>
      </w:r>
      <w:r w:rsidR="00CA6287" w:rsidRPr="004F0B39">
        <w:rPr>
          <w:color w:val="000000" w:themeColor="text1"/>
          <w:szCs w:val="24"/>
        </w:rPr>
        <w:t xml:space="preserve"> </w:t>
      </w:r>
      <w:r w:rsidR="003E372B" w:rsidRPr="004F0B39">
        <w:rPr>
          <w:rFonts w:asciiTheme="minorHAnsi" w:hAnsiTheme="minorHAnsi"/>
          <w:color w:val="auto"/>
          <w:szCs w:val="24"/>
        </w:rPr>
        <w:t xml:space="preserve">The </w:t>
      </w:r>
      <w:r w:rsidR="00047243">
        <w:rPr>
          <w:rFonts w:asciiTheme="minorHAnsi" w:hAnsiTheme="minorHAnsi"/>
          <w:color w:val="auto"/>
          <w:szCs w:val="24"/>
        </w:rPr>
        <w:t xml:space="preserve">MEB </w:t>
      </w:r>
      <w:r w:rsidR="003E372B" w:rsidRPr="004F0B39">
        <w:rPr>
          <w:rFonts w:asciiTheme="minorHAnsi" w:hAnsiTheme="minorHAnsi"/>
          <w:color w:val="auto"/>
          <w:szCs w:val="24"/>
        </w:rPr>
        <w:t xml:space="preserve">addendum and the VA </w:t>
      </w:r>
      <w:r w:rsidR="00047243">
        <w:rPr>
          <w:rFonts w:asciiTheme="minorHAnsi" w:hAnsiTheme="minorHAnsi"/>
          <w:color w:val="auto"/>
          <w:szCs w:val="24"/>
        </w:rPr>
        <w:t xml:space="preserve">C&amp;P </w:t>
      </w:r>
      <w:r w:rsidR="003E372B" w:rsidRPr="004F0B39">
        <w:rPr>
          <w:rFonts w:asciiTheme="minorHAnsi" w:hAnsiTheme="minorHAnsi"/>
          <w:color w:val="auto"/>
          <w:szCs w:val="24"/>
        </w:rPr>
        <w:t xml:space="preserve">exam </w:t>
      </w:r>
      <w:r w:rsidR="00047243">
        <w:rPr>
          <w:rFonts w:asciiTheme="minorHAnsi" w:hAnsiTheme="minorHAnsi"/>
          <w:color w:val="auto"/>
          <w:szCs w:val="24"/>
        </w:rPr>
        <w:t>evidence</w:t>
      </w:r>
      <w:r w:rsidR="00B27F64" w:rsidRPr="004F0B39">
        <w:rPr>
          <w:rFonts w:asciiTheme="minorHAnsi" w:hAnsiTheme="minorHAnsi"/>
          <w:color w:val="auto"/>
          <w:szCs w:val="24"/>
        </w:rPr>
        <w:t xml:space="preserve"> weakened flexion of the fingers</w:t>
      </w:r>
      <w:r w:rsidR="003E372B" w:rsidRPr="004F0B39">
        <w:rPr>
          <w:rFonts w:asciiTheme="minorHAnsi" w:hAnsiTheme="minorHAnsi"/>
          <w:color w:val="auto"/>
          <w:szCs w:val="24"/>
        </w:rPr>
        <w:t xml:space="preserve"> </w:t>
      </w:r>
      <w:r w:rsidR="00047243">
        <w:rPr>
          <w:rFonts w:asciiTheme="minorHAnsi" w:hAnsiTheme="minorHAnsi"/>
          <w:color w:val="auto"/>
          <w:szCs w:val="24"/>
        </w:rPr>
        <w:t>encompassing</w:t>
      </w:r>
      <w:r w:rsidR="003E372B" w:rsidRPr="004F0B39">
        <w:rPr>
          <w:rFonts w:asciiTheme="minorHAnsi" w:hAnsiTheme="minorHAnsi"/>
          <w:color w:val="auto"/>
          <w:szCs w:val="24"/>
        </w:rPr>
        <w:t xml:space="preserve"> median and </w:t>
      </w:r>
      <w:proofErr w:type="spellStart"/>
      <w:r w:rsidR="003E372B" w:rsidRPr="004F0B39">
        <w:rPr>
          <w:rFonts w:asciiTheme="minorHAnsi" w:hAnsiTheme="minorHAnsi"/>
          <w:color w:val="auto"/>
          <w:szCs w:val="24"/>
        </w:rPr>
        <w:t>ulnar</w:t>
      </w:r>
      <w:proofErr w:type="spellEnd"/>
      <w:r w:rsidR="003E372B" w:rsidRPr="004F0B39">
        <w:rPr>
          <w:rFonts w:asciiTheme="minorHAnsi" w:hAnsiTheme="minorHAnsi"/>
          <w:color w:val="auto"/>
          <w:szCs w:val="24"/>
        </w:rPr>
        <w:t xml:space="preserve"> nerve</w:t>
      </w:r>
      <w:r w:rsidR="00047243">
        <w:rPr>
          <w:rFonts w:asciiTheme="minorHAnsi" w:hAnsiTheme="minorHAnsi"/>
          <w:color w:val="auto"/>
          <w:szCs w:val="24"/>
        </w:rPr>
        <w:t xml:space="preserve"> function</w:t>
      </w:r>
      <w:r w:rsidR="00B27F64" w:rsidRPr="004F0B39">
        <w:rPr>
          <w:rFonts w:asciiTheme="minorHAnsi" w:hAnsiTheme="minorHAnsi"/>
          <w:color w:val="auto"/>
          <w:szCs w:val="24"/>
        </w:rPr>
        <w:t xml:space="preserve">, </w:t>
      </w:r>
      <w:r w:rsidR="00E86BC1" w:rsidRPr="004F0B39">
        <w:rPr>
          <w:rFonts w:asciiTheme="minorHAnsi" w:hAnsiTheme="minorHAnsi"/>
          <w:color w:val="auto"/>
          <w:szCs w:val="24"/>
        </w:rPr>
        <w:t>decrease</w:t>
      </w:r>
      <w:r w:rsidR="002C070E" w:rsidRPr="004F0B39">
        <w:rPr>
          <w:rFonts w:asciiTheme="minorHAnsi" w:hAnsiTheme="minorHAnsi"/>
          <w:color w:val="auto"/>
          <w:szCs w:val="24"/>
        </w:rPr>
        <w:t>d</w:t>
      </w:r>
      <w:r w:rsidR="00E86BC1" w:rsidRPr="004F0B39">
        <w:rPr>
          <w:rFonts w:asciiTheme="minorHAnsi" w:hAnsiTheme="minorHAnsi"/>
          <w:color w:val="auto"/>
          <w:szCs w:val="24"/>
        </w:rPr>
        <w:t xml:space="preserve"> grip str</w:t>
      </w:r>
      <w:r w:rsidR="002C070E" w:rsidRPr="004F0B39">
        <w:rPr>
          <w:rFonts w:asciiTheme="minorHAnsi" w:hAnsiTheme="minorHAnsi"/>
          <w:color w:val="auto"/>
          <w:szCs w:val="24"/>
        </w:rPr>
        <w:t>e</w:t>
      </w:r>
      <w:r w:rsidR="00E86BC1" w:rsidRPr="004F0B39">
        <w:rPr>
          <w:rFonts w:asciiTheme="minorHAnsi" w:hAnsiTheme="minorHAnsi"/>
          <w:color w:val="auto"/>
          <w:szCs w:val="24"/>
        </w:rPr>
        <w:t>ng</w:t>
      </w:r>
      <w:r w:rsidR="002C070E" w:rsidRPr="004F0B39">
        <w:rPr>
          <w:rFonts w:asciiTheme="minorHAnsi" w:hAnsiTheme="minorHAnsi"/>
          <w:color w:val="auto"/>
          <w:szCs w:val="24"/>
        </w:rPr>
        <w:t>th</w:t>
      </w:r>
      <w:r w:rsidR="003E372B" w:rsidRPr="004F0B39">
        <w:rPr>
          <w:rFonts w:asciiTheme="minorHAnsi" w:hAnsiTheme="minorHAnsi"/>
          <w:color w:val="auto"/>
          <w:szCs w:val="24"/>
        </w:rPr>
        <w:t xml:space="preserve">, 3/4 loss of strength compared to the </w:t>
      </w:r>
      <w:r w:rsidR="00047243">
        <w:rPr>
          <w:rFonts w:asciiTheme="minorHAnsi" w:hAnsiTheme="minorHAnsi"/>
          <w:color w:val="auto"/>
          <w:szCs w:val="24"/>
        </w:rPr>
        <w:t>non-</w:t>
      </w:r>
      <w:r w:rsidR="00A17701" w:rsidRPr="004F0B39">
        <w:rPr>
          <w:rFonts w:asciiTheme="minorHAnsi" w:hAnsiTheme="minorHAnsi"/>
          <w:color w:val="auto"/>
          <w:szCs w:val="24"/>
        </w:rPr>
        <w:t>dominant</w:t>
      </w:r>
      <w:r w:rsidR="003E372B" w:rsidRPr="004F0B39">
        <w:rPr>
          <w:rFonts w:asciiTheme="minorHAnsi" w:hAnsiTheme="minorHAnsi"/>
          <w:color w:val="auto"/>
          <w:szCs w:val="24"/>
        </w:rPr>
        <w:t xml:space="preserve"> </w:t>
      </w:r>
      <w:r w:rsidR="008A528B" w:rsidRPr="004F0B39">
        <w:rPr>
          <w:rFonts w:asciiTheme="minorHAnsi" w:hAnsiTheme="minorHAnsi"/>
          <w:color w:val="auto"/>
          <w:szCs w:val="24"/>
        </w:rPr>
        <w:t>hand</w:t>
      </w:r>
      <w:r w:rsidR="002C070E" w:rsidRPr="004F0B39">
        <w:rPr>
          <w:rFonts w:asciiTheme="minorHAnsi" w:hAnsiTheme="minorHAnsi"/>
          <w:color w:val="auto"/>
          <w:szCs w:val="24"/>
        </w:rPr>
        <w:t xml:space="preserve">, </w:t>
      </w:r>
      <w:r w:rsidR="00820950" w:rsidRPr="004F0B39">
        <w:rPr>
          <w:rFonts w:asciiTheme="minorHAnsi" w:hAnsiTheme="minorHAnsi"/>
          <w:color w:val="auto"/>
          <w:szCs w:val="24"/>
        </w:rPr>
        <w:t xml:space="preserve">and </w:t>
      </w:r>
      <w:r w:rsidR="00047243">
        <w:rPr>
          <w:rFonts w:asciiTheme="minorHAnsi" w:hAnsiTheme="minorHAnsi"/>
          <w:color w:val="auto"/>
          <w:szCs w:val="24"/>
        </w:rPr>
        <w:t>sensory findings</w:t>
      </w:r>
      <w:r w:rsidR="00B27F64" w:rsidRPr="004F0B39">
        <w:rPr>
          <w:rFonts w:asciiTheme="minorHAnsi" w:hAnsiTheme="minorHAnsi"/>
          <w:color w:val="auto"/>
          <w:szCs w:val="24"/>
        </w:rPr>
        <w:t xml:space="preserve"> in the distribution of the </w:t>
      </w:r>
      <w:r w:rsidR="00E86BC1" w:rsidRPr="004F0B39">
        <w:rPr>
          <w:rFonts w:asciiTheme="minorHAnsi" w:hAnsiTheme="minorHAnsi"/>
          <w:color w:val="auto"/>
          <w:szCs w:val="24"/>
        </w:rPr>
        <w:t>median nerve</w:t>
      </w:r>
      <w:r w:rsidR="003E372B" w:rsidRPr="004F0B39">
        <w:rPr>
          <w:rFonts w:asciiTheme="minorHAnsi" w:hAnsiTheme="minorHAnsi"/>
          <w:color w:val="auto"/>
          <w:szCs w:val="24"/>
        </w:rPr>
        <w:t>.</w:t>
      </w:r>
      <w:r w:rsidR="002C070E" w:rsidRPr="004F0B39">
        <w:rPr>
          <w:rFonts w:asciiTheme="minorHAnsi" w:hAnsiTheme="minorHAnsi"/>
          <w:color w:val="auto"/>
          <w:szCs w:val="24"/>
        </w:rPr>
        <w:t xml:space="preserve"> </w:t>
      </w:r>
      <w:r w:rsidR="003E372B" w:rsidRPr="004F0B39">
        <w:rPr>
          <w:rFonts w:asciiTheme="minorHAnsi" w:hAnsiTheme="minorHAnsi"/>
          <w:color w:val="auto"/>
          <w:szCs w:val="24"/>
        </w:rPr>
        <w:t xml:space="preserve"> The functional impact</w:t>
      </w:r>
      <w:r w:rsidR="0069220A">
        <w:rPr>
          <w:rFonts w:asciiTheme="minorHAnsi" w:hAnsiTheme="minorHAnsi"/>
          <w:color w:val="auto"/>
          <w:szCs w:val="24"/>
        </w:rPr>
        <w:t>, significant for both routine activities and occupational pursuits,</w:t>
      </w:r>
      <w:r w:rsidR="003E372B" w:rsidRPr="004F0B39">
        <w:rPr>
          <w:rFonts w:asciiTheme="minorHAnsi" w:hAnsiTheme="minorHAnsi"/>
          <w:color w:val="auto"/>
          <w:szCs w:val="24"/>
        </w:rPr>
        <w:t xml:space="preserve"> </w:t>
      </w:r>
      <w:r w:rsidR="0069220A">
        <w:rPr>
          <w:rFonts w:asciiTheme="minorHAnsi" w:hAnsiTheme="minorHAnsi"/>
          <w:color w:val="auto"/>
          <w:szCs w:val="24"/>
        </w:rPr>
        <w:t xml:space="preserve">was far from inconsequential as elaborated above.  The Board </w:t>
      </w:r>
      <w:r w:rsidR="00C7552F" w:rsidRPr="004F0B39">
        <w:rPr>
          <w:rFonts w:asciiTheme="minorHAnsi" w:hAnsiTheme="minorHAnsi"/>
          <w:color w:val="auto"/>
          <w:szCs w:val="24"/>
        </w:rPr>
        <w:t xml:space="preserve">deliberated </w:t>
      </w:r>
      <w:r w:rsidR="0069220A">
        <w:rPr>
          <w:rFonts w:asciiTheme="minorHAnsi" w:hAnsiTheme="minorHAnsi"/>
          <w:color w:val="auto"/>
          <w:szCs w:val="24"/>
        </w:rPr>
        <w:t>between the</w:t>
      </w:r>
      <w:r w:rsidR="00232991" w:rsidRPr="004F0B39">
        <w:rPr>
          <w:rFonts w:asciiTheme="minorHAnsi" w:hAnsiTheme="minorHAnsi"/>
          <w:color w:val="auto"/>
          <w:szCs w:val="24"/>
        </w:rPr>
        <w:t xml:space="preserve"> 8512</w:t>
      </w:r>
      <w:r w:rsidR="0069220A">
        <w:rPr>
          <w:rFonts w:asciiTheme="minorHAnsi" w:hAnsiTheme="minorHAnsi"/>
          <w:color w:val="auto"/>
          <w:szCs w:val="24"/>
        </w:rPr>
        <w:t xml:space="preserve"> (proximal) and </w:t>
      </w:r>
      <w:r w:rsidR="00C75AA8">
        <w:rPr>
          <w:rFonts w:asciiTheme="minorHAnsi" w:hAnsiTheme="minorHAnsi"/>
          <w:color w:val="auto"/>
          <w:szCs w:val="24"/>
        </w:rPr>
        <w:t xml:space="preserve">8515 (distal) codes; and, between the </w:t>
      </w:r>
      <w:r w:rsidR="00D55860">
        <w:rPr>
          <w:rFonts w:asciiTheme="minorHAnsi" w:hAnsiTheme="minorHAnsi"/>
          <w:color w:val="auto"/>
          <w:szCs w:val="24"/>
        </w:rPr>
        <w:t>“</w:t>
      </w:r>
      <w:r w:rsidR="00C75AA8">
        <w:rPr>
          <w:rFonts w:asciiTheme="minorHAnsi" w:hAnsiTheme="minorHAnsi"/>
          <w:color w:val="auto"/>
          <w:szCs w:val="24"/>
        </w:rPr>
        <w:t>mild</w:t>
      </w:r>
      <w:r w:rsidR="00D55860">
        <w:rPr>
          <w:rFonts w:asciiTheme="minorHAnsi" w:hAnsiTheme="minorHAnsi"/>
          <w:color w:val="auto"/>
          <w:szCs w:val="24"/>
        </w:rPr>
        <w:t>”</w:t>
      </w:r>
      <w:r w:rsidR="00C75AA8">
        <w:rPr>
          <w:rFonts w:asciiTheme="minorHAnsi" w:hAnsiTheme="minorHAnsi"/>
          <w:color w:val="auto"/>
          <w:szCs w:val="24"/>
        </w:rPr>
        <w:t xml:space="preserve"> and </w:t>
      </w:r>
      <w:r w:rsidR="00D55860">
        <w:rPr>
          <w:rFonts w:asciiTheme="minorHAnsi" w:hAnsiTheme="minorHAnsi"/>
          <w:color w:val="auto"/>
          <w:szCs w:val="24"/>
        </w:rPr>
        <w:t>“</w:t>
      </w:r>
      <w:r w:rsidR="00C75AA8">
        <w:rPr>
          <w:rFonts w:asciiTheme="minorHAnsi" w:hAnsiTheme="minorHAnsi"/>
          <w:color w:val="auto"/>
          <w:szCs w:val="24"/>
        </w:rPr>
        <w:t>moderate</w:t>
      </w:r>
      <w:r w:rsidR="00D55860">
        <w:rPr>
          <w:rFonts w:asciiTheme="minorHAnsi" w:hAnsiTheme="minorHAnsi"/>
          <w:color w:val="auto"/>
          <w:szCs w:val="24"/>
        </w:rPr>
        <w:t>”</w:t>
      </w:r>
      <w:r w:rsidR="00C75AA8">
        <w:rPr>
          <w:rFonts w:asciiTheme="minorHAnsi" w:hAnsiTheme="minorHAnsi"/>
          <w:color w:val="auto"/>
          <w:szCs w:val="24"/>
        </w:rPr>
        <w:t xml:space="preserve"> ratings.  </w:t>
      </w:r>
      <w:r w:rsidR="00761D49">
        <w:rPr>
          <w:rFonts w:asciiTheme="minorHAnsi" w:hAnsiTheme="minorHAnsi"/>
          <w:color w:val="auto"/>
          <w:szCs w:val="24"/>
        </w:rPr>
        <w:t xml:space="preserve">The clinical evidence </w:t>
      </w:r>
      <w:r w:rsidR="00A17701" w:rsidRPr="004F0B39">
        <w:rPr>
          <w:rFonts w:asciiTheme="minorHAnsi" w:hAnsiTheme="minorHAnsi"/>
          <w:color w:val="auto"/>
          <w:szCs w:val="24"/>
        </w:rPr>
        <w:t xml:space="preserve">for </w:t>
      </w:r>
      <w:r w:rsidR="00CB5097" w:rsidRPr="004F0B39">
        <w:rPr>
          <w:rFonts w:asciiTheme="minorHAnsi" w:hAnsiTheme="minorHAnsi"/>
          <w:color w:val="auto"/>
          <w:szCs w:val="24"/>
        </w:rPr>
        <w:t>median</w:t>
      </w:r>
      <w:r w:rsidR="00A17701" w:rsidRPr="004F0B39">
        <w:rPr>
          <w:rFonts w:asciiTheme="minorHAnsi" w:hAnsiTheme="minorHAnsi"/>
          <w:color w:val="auto"/>
          <w:szCs w:val="24"/>
        </w:rPr>
        <w:t xml:space="preserve"> nerve and </w:t>
      </w:r>
      <w:proofErr w:type="spellStart"/>
      <w:r w:rsidR="00A17701" w:rsidRPr="004F0B39">
        <w:rPr>
          <w:rFonts w:asciiTheme="minorHAnsi" w:hAnsiTheme="minorHAnsi"/>
          <w:color w:val="auto"/>
          <w:szCs w:val="24"/>
        </w:rPr>
        <w:t>ulnar</w:t>
      </w:r>
      <w:proofErr w:type="spellEnd"/>
      <w:r w:rsidR="00A17701" w:rsidRPr="004F0B39">
        <w:rPr>
          <w:rFonts w:asciiTheme="minorHAnsi" w:hAnsiTheme="minorHAnsi"/>
          <w:color w:val="auto"/>
          <w:szCs w:val="24"/>
        </w:rPr>
        <w:t xml:space="preserve"> nerve pathology</w:t>
      </w:r>
      <w:r w:rsidR="00761D49">
        <w:rPr>
          <w:rFonts w:asciiTheme="minorHAnsi" w:hAnsiTheme="minorHAnsi"/>
          <w:color w:val="auto"/>
          <w:szCs w:val="24"/>
        </w:rPr>
        <w:t>,</w:t>
      </w:r>
      <w:r w:rsidR="00A17701" w:rsidRPr="004F0B39">
        <w:rPr>
          <w:rFonts w:asciiTheme="minorHAnsi" w:hAnsiTheme="minorHAnsi"/>
          <w:color w:val="auto"/>
          <w:szCs w:val="24"/>
        </w:rPr>
        <w:t xml:space="preserve"> as well as </w:t>
      </w:r>
      <w:r w:rsidR="00761D49">
        <w:rPr>
          <w:rFonts w:asciiTheme="minorHAnsi" w:hAnsiTheme="minorHAnsi"/>
          <w:color w:val="auto"/>
          <w:szCs w:val="24"/>
        </w:rPr>
        <w:t>the</w:t>
      </w:r>
      <w:r w:rsidR="00A17701" w:rsidRPr="004F0B39">
        <w:rPr>
          <w:rFonts w:asciiTheme="minorHAnsi" w:hAnsiTheme="minorHAnsi"/>
          <w:color w:val="auto"/>
          <w:szCs w:val="24"/>
        </w:rPr>
        <w:t xml:space="preserve"> significant decrease in grip strength</w:t>
      </w:r>
      <w:r w:rsidR="00761D49">
        <w:rPr>
          <w:rFonts w:asciiTheme="minorHAnsi" w:hAnsiTheme="minorHAnsi"/>
          <w:color w:val="auto"/>
          <w:szCs w:val="24"/>
        </w:rPr>
        <w:t>,</w:t>
      </w:r>
      <w:r w:rsidR="00A17701" w:rsidRPr="004F0B39">
        <w:rPr>
          <w:rFonts w:asciiTheme="minorHAnsi" w:hAnsiTheme="minorHAnsi"/>
          <w:color w:val="auto"/>
          <w:szCs w:val="24"/>
        </w:rPr>
        <w:t xml:space="preserve"> was not totally </w:t>
      </w:r>
      <w:r w:rsidR="00761D49">
        <w:rPr>
          <w:rFonts w:asciiTheme="minorHAnsi" w:hAnsiTheme="minorHAnsi"/>
          <w:color w:val="auto"/>
          <w:szCs w:val="24"/>
        </w:rPr>
        <w:t xml:space="preserve">reflected by </w:t>
      </w:r>
      <w:r w:rsidR="00CB5097">
        <w:rPr>
          <w:rFonts w:asciiTheme="minorHAnsi" w:hAnsiTheme="minorHAnsi"/>
          <w:color w:val="auto"/>
          <w:szCs w:val="24"/>
        </w:rPr>
        <w:t xml:space="preserve">the </w:t>
      </w:r>
      <w:r w:rsidR="00CB5097" w:rsidRPr="004F0B39">
        <w:rPr>
          <w:rFonts w:asciiTheme="minorHAnsi" w:hAnsiTheme="minorHAnsi"/>
          <w:color w:val="auto"/>
          <w:szCs w:val="24"/>
        </w:rPr>
        <w:t>EMG</w:t>
      </w:r>
      <w:r w:rsidR="00A17701" w:rsidRPr="004F0B39">
        <w:rPr>
          <w:rFonts w:asciiTheme="minorHAnsi" w:hAnsiTheme="minorHAnsi"/>
          <w:color w:val="auto"/>
          <w:szCs w:val="24"/>
        </w:rPr>
        <w:t xml:space="preserve"> findings </w:t>
      </w:r>
      <w:r w:rsidR="00761D49">
        <w:rPr>
          <w:rFonts w:asciiTheme="minorHAnsi" w:hAnsiTheme="minorHAnsi"/>
          <w:color w:val="auto"/>
          <w:szCs w:val="24"/>
        </w:rPr>
        <w:t>cited above</w:t>
      </w:r>
      <w:r w:rsidR="00A17701" w:rsidRPr="004F0B39">
        <w:rPr>
          <w:rFonts w:asciiTheme="minorHAnsi" w:hAnsiTheme="minorHAnsi"/>
          <w:color w:val="auto"/>
          <w:szCs w:val="24"/>
        </w:rPr>
        <w:t xml:space="preserve">.  </w:t>
      </w:r>
      <w:r w:rsidR="008046A7">
        <w:rPr>
          <w:rFonts w:asciiTheme="minorHAnsi" w:hAnsiTheme="minorHAnsi"/>
          <w:color w:val="auto"/>
          <w:szCs w:val="24"/>
        </w:rPr>
        <w:t>T</w:t>
      </w:r>
      <w:r w:rsidR="00232991" w:rsidRPr="004F0B39">
        <w:rPr>
          <w:rFonts w:asciiTheme="minorHAnsi" w:hAnsiTheme="minorHAnsi"/>
          <w:color w:val="auto"/>
          <w:szCs w:val="24"/>
        </w:rPr>
        <w:t xml:space="preserve">he </w:t>
      </w:r>
      <w:r w:rsidR="008046A7">
        <w:rPr>
          <w:rFonts w:asciiTheme="minorHAnsi" w:hAnsiTheme="minorHAnsi"/>
          <w:color w:val="auto"/>
          <w:szCs w:val="24"/>
        </w:rPr>
        <w:t xml:space="preserve">Board thus agreed on application of the </w:t>
      </w:r>
      <w:r w:rsidR="00761D49">
        <w:rPr>
          <w:rFonts w:asciiTheme="minorHAnsi" w:hAnsiTheme="minorHAnsi"/>
          <w:color w:val="auto"/>
          <w:szCs w:val="24"/>
        </w:rPr>
        <w:t xml:space="preserve">8512 </w:t>
      </w:r>
      <w:r w:rsidR="00232991" w:rsidRPr="004F0B39">
        <w:rPr>
          <w:rFonts w:asciiTheme="minorHAnsi" w:hAnsiTheme="minorHAnsi"/>
          <w:color w:val="auto"/>
          <w:szCs w:val="24"/>
        </w:rPr>
        <w:t>code</w:t>
      </w:r>
      <w:r w:rsidR="008046A7">
        <w:rPr>
          <w:rFonts w:asciiTheme="minorHAnsi" w:hAnsiTheme="minorHAnsi"/>
          <w:color w:val="auto"/>
          <w:szCs w:val="24"/>
        </w:rPr>
        <w:t>; since it</w:t>
      </w:r>
      <w:r w:rsidR="00232991" w:rsidRPr="004F0B39">
        <w:rPr>
          <w:rFonts w:asciiTheme="minorHAnsi" w:hAnsiTheme="minorHAnsi"/>
          <w:color w:val="auto"/>
          <w:szCs w:val="24"/>
        </w:rPr>
        <w:t xml:space="preserve"> subsumes disabilities of the </w:t>
      </w:r>
      <w:proofErr w:type="spellStart"/>
      <w:r w:rsidR="00232991" w:rsidRPr="004F0B39">
        <w:rPr>
          <w:rFonts w:asciiTheme="minorHAnsi" w:hAnsiTheme="minorHAnsi"/>
          <w:color w:val="auto"/>
          <w:szCs w:val="24"/>
        </w:rPr>
        <w:t>ulnar</w:t>
      </w:r>
      <w:proofErr w:type="spellEnd"/>
      <w:r w:rsidR="00232991" w:rsidRPr="004F0B39">
        <w:rPr>
          <w:rFonts w:asciiTheme="minorHAnsi" w:hAnsiTheme="minorHAnsi"/>
          <w:color w:val="auto"/>
          <w:szCs w:val="24"/>
        </w:rPr>
        <w:t>, median</w:t>
      </w:r>
      <w:r w:rsidR="00761D49">
        <w:rPr>
          <w:rFonts w:asciiTheme="minorHAnsi" w:hAnsiTheme="minorHAnsi"/>
          <w:color w:val="auto"/>
          <w:szCs w:val="24"/>
        </w:rPr>
        <w:t>,</w:t>
      </w:r>
      <w:r w:rsidR="00232991" w:rsidRPr="004F0B39">
        <w:rPr>
          <w:rFonts w:asciiTheme="minorHAnsi" w:hAnsiTheme="minorHAnsi"/>
          <w:color w:val="auto"/>
          <w:szCs w:val="24"/>
        </w:rPr>
        <w:t xml:space="preserve"> </w:t>
      </w:r>
      <w:r w:rsidR="00761D49">
        <w:rPr>
          <w:rFonts w:asciiTheme="minorHAnsi" w:hAnsiTheme="minorHAnsi"/>
          <w:color w:val="auto"/>
          <w:szCs w:val="24"/>
        </w:rPr>
        <w:t>and</w:t>
      </w:r>
      <w:r w:rsidR="00145B8C" w:rsidRPr="004F0B39">
        <w:rPr>
          <w:rFonts w:asciiTheme="minorHAnsi" w:hAnsiTheme="minorHAnsi"/>
          <w:color w:val="auto"/>
          <w:szCs w:val="24"/>
        </w:rPr>
        <w:t xml:space="preserve"> </w:t>
      </w:r>
      <w:r w:rsidR="00C7552F" w:rsidRPr="004F0B39">
        <w:rPr>
          <w:rFonts w:asciiTheme="minorHAnsi" w:hAnsiTheme="minorHAnsi"/>
          <w:color w:val="auto"/>
          <w:szCs w:val="24"/>
        </w:rPr>
        <w:t xml:space="preserve">any </w:t>
      </w:r>
      <w:r w:rsidR="008A528B" w:rsidRPr="004F0B39">
        <w:rPr>
          <w:rFonts w:asciiTheme="minorHAnsi" w:hAnsiTheme="minorHAnsi"/>
          <w:color w:val="auto"/>
          <w:szCs w:val="24"/>
        </w:rPr>
        <w:t xml:space="preserve">other </w:t>
      </w:r>
      <w:r w:rsidR="00C7552F" w:rsidRPr="004F0B39">
        <w:rPr>
          <w:rFonts w:asciiTheme="minorHAnsi" w:hAnsiTheme="minorHAnsi"/>
          <w:color w:val="auto"/>
          <w:szCs w:val="24"/>
        </w:rPr>
        <w:t xml:space="preserve">lower </w:t>
      </w:r>
      <w:proofErr w:type="spellStart"/>
      <w:r w:rsidR="00A17701" w:rsidRPr="004F0B39">
        <w:rPr>
          <w:rFonts w:asciiTheme="minorHAnsi" w:hAnsiTheme="minorHAnsi"/>
          <w:color w:val="auto"/>
          <w:szCs w:val="24"/>
        </w:rPr>
        <w:t>radicular</w:t>
      </w:r>
      <w:proofErr w:type="spellEnd"/>
      <w:r w:rsidR="00C7552F" w:rsidRPr="004F0B39">
        <w:rPr>
          <w:rFonts w:asciiTheme="minorHAnsi" w:hAnsiTheme="minorHAnsi"/>
          <w:color w:val="auto"/>
          <w:szCs w:val="24"/>
        </w:rPr>
        <w:t xml:space="preserve"> nerve </w:t>
      </w:r>
      <w:r w:rsidR="00761D49">
        <w:rPr>
          <w:rFonts w:asciiTheme="minorHAnsi" w:hAnsiTheme="minorHAnsi"/>
          <w:color w:val="auto"/>
          <w:szCs w:val="24"/>
        </w:rPr>
        <w:t>which may have contributed</w:t>
      </w:r>
      <w:r w:rsidR="00C7552F">
        <w:rPr>
          <w:rFonts w:asciiTheme="minorHAnsi" w:hAnsiTheme="minorHAnsi"/>
          <w:color w:val="auto"/>
          <w:szCs w:val="24"/>
        </w:rPr>
        <w:t xml:space="preserve"> to</w:t>
      </w:r>
      <w:r w:rsidR="00145B8C">
        <w:rPr>
          <w:rFonts w:asciiTheme="minorHAnsi" w:hAnsiTheme="minorHAnsi"/>
          <w:color w:val="auto"/>
          <w:szCs w:val="24"/>
        </w:rPr>
        <w:t xml:space="preserve"> </w:t>
      </w:r>
      <w:r w:rsidR="00C7552F">
        <w:rPr>
          <w:rFonts w:asciiTheme="minorHAnsi" w:hAnsiTheme="minorHAnsi"/>
          <w:color w:val="auto"/>
          <w:szCs w:val="24"/>
        </w:rPr>
        <w:t xml:space="preserve">the </w:t>
      </w:r>
      <w:r w:rsidR="00761D49">
        <w:rPr>
          <w:rFonts w:asciiTheme="minorHAnsi" w:hAnsiTheme="minorHAnsi"/>
          <w:color w:val="auto"/>
          <w:szCs w:val="24"/>
        </w:rPr>
        <w:t>physical findings and functional impairments</w:t>
      </w:r>
      <w:r w:rsidR="00145B8C">
        <w:rPr>
          <w:rFonts w:asciiTheme="minorHAnsi" w:hAnsiTheme="minorHAnsi"/>
          <w:color w:val="auto"/>
          <w:szCs w:val="24"/>
        </w:rPr>
        <w:t xml:space="preserve">. </w:t>
      </w:r>
      <w:r w:rsidR="00820950">
        <w:rPr>
          <w:rFonts w:asciiTheme="minorHAnsi" w:hAnsiTheme="minorHAnsi"/>
          <w:color w:val="auto"/>
          <w:szCs w:val="24"/>
        </w:rPr>
        <w:t xml:space="preserve"> </w:t>
      </w:r>
      <w:r w:rsidR="008046A7">
        <w:rPr>
          <w:rFonts w:asciiTheme="minorHAnsi" w:hAnsiTheme="minorHAnsi"/>
          <w:color w:val="auto"/>
          <w:szCs w:val="24"/>
        </w:rPr>
        <w:t>It was agreed</w:t>
      </w:r>
      <w:r w:rsidR="00D55860">
        <w:rPr>
          <w:rFonts w:asciiTheme="minorHAnsi" w:hAnsiTheme="minorHAnsi"/>
          <w:color w:val="auto"/>
          <w:szCs w:val="24"/>
        </w:rPr>
        <w:t>;</w:t>
      </w:r>
      <w:r w:rsidR="008046A7">
        <w:rPr>
          <w:rFonts w:asciiTheme="minorHAnsi" w:hAnsiTheme="minorHAnsi"/>
          <w:color w:val="auto"/>
          <w:szCs w:val="24"/>
        </w:rPr>
        <w:t xml:space="preserve"> however, considering the overall distribution of that nerve group, that the fair characterization of impairment was </w:t>
      </w:r>
      <w:r w:rsidR="00D55860">
        <w:rPr>
          <w:rFonts w:asciiTheme="minorHAnsi" w:hAnsiTheme="minorHAnsi"/>
          <w:color w:val="auto"/>
          <w:szCs w:val="24"/>
        </w:rPr>
        <w:t>“</w:t>
      </w:r>
      <w:r w:rsidR="008046A7">
        <w:rPr>
          <w:rFonts w:asciiTheme="minorHAnsi" w:hAnsiTheme="minorHAnsi"/>
          <w:color w:val="auto"/>
          <w:szCs w:val="24"/>
        </w:rPr>
        <w:t>mild;</w:t>
      </w:r>
      <w:r w:rsidR="00D55860">
        <w:rPr>
          <w:rFonts w:asciiTheme="minorHAnsi" w:hAnsiTheme="minorHAnsi"/>
          <w:color w:val="auto"/>
          <w:szCs w:val="24"/>
        </w:rPr>
        <w:t>”</w:t>
      </w:r>
      <w:r w:rsidR="008046A7">
        <w:rPr>
          <w:rFonts w:asciiTheme="minorHAnsi" w:hAnsiTheme="minorHAnsi"/>
          <w:color w:val="auto"/>
          <w:szCs w:val="24"/>
        </w:rPr>
        <w:t xml:space="preserve"> </w:t>
      </w:r>
      <w:r w:rsidR="007B59EB">
        <w:rPr>
          <w:rFonts w:asciiTheme="minorHAnsi" w:hAnsiTheme="minorHAnsi"/>
          <w:color w:val="auto"/>
          <w:szCs w:val="24"/>
        </w:rPr>
        <w:t>yielding</w:t>
      </w:r>
      <w:r w:rsidR="008046A7">
        <w:rPr>
          <w:rFonts w:asciiTheme="minorHAnsi" w:hAnsiTheme="minorHAnsi"/>
          <w:color w:val="auto"/>
          <w:szCs w:val="24"/>
        </w:rPr>
        <w:t xml:space="preserve"> a major </w:t>
      </w:r>
      <w:r w:rsidR="008046A7" w:rsidRPr="007627B5">
        <w:rPr>
          <w:rFonts w:asciiTheme="minorHAnsi" w:hAnsiTheme="minorHAnsi"/>
          <w:color w:val="auto"/>
          <w:szCs w:val="24"/>
        </w:rPr>
        <w:t>rating of 20%.  C</w:t>
      </w:r>
      <w:r w:rsidR="00C1586F" w:rsidRPr="007627B5">
        <w:rPr>
          <w:rFonts w:asciiTheme="minorHAnsi" w:hAnsiTheme="minorHAnsi"/>
          <w:color w:val="auto"/>
          <w:szCs w:val="24"/>
        </w:rPr>
        <w:t xml:space="preserve">onsidering all of the evidence and mindful of VASRD §4.3 (reasonable doubt), the Board recommends a separation rating of </w:t>
      </w:r>
      <w:r w:rsidR="00145B8C" w:rsidRPr="007627B5">
        <w:rPr>
          <w:rFonts w:asciiTheme="minorHAnsi" w:hAnsiTheme="minorHAnsi"/>
          <w:color w:val="auto"/>
          <w:szCs w:val="24"/>
        </w:rPr>
        <w:t>2</w:t>
      </w:r>
      <w:r w:rsidR="00C1586F" w:rsidRPr="007627B5">
        <w:rPr>
          <w:rFonts w:asciiTheme="minorHAnsi" w:hAnsiTheme="minorHAnsi"/>
          <w:color w:val="auto"/>
          <w:szCs w:val="24"/>
        </w:rPr>
        <w:t xml:space="preserve">0% for the right </w:t>
      </w:r>
      <w:r w:rsidR="00145B8C" w:rsidRPr="007627B5">
        <w:rPr>
          <w:rFonts w:asciiTheme="minorHAnsi" w:hAnsiTheme="minorHAnsi"/>
          <w:color w:val="auto"/>
          <w:szCs w:val="24"/>
        </w:rPr>
        <w:t xml:space="preserve">hand condition coded </w:t>
      </w:r>
      <w:r w:rsidR="006C19F1" w:rsidRPr="007627B5">
        <w:rPr>
          <w:rFonts w:asciiTheme="minorHAnsi" w:hAnsiTheme="minorHAnsi"/>
          <w:color w:val="auto"/>
          <w:szCs w:val="24"/>
        </w:rPr>
        <w:t>8599-</w:t>
      </w:r>
      <w:r w:rsidR="00145B8C" w:rsidRPr="007627B5">
        <w:rPr>
          <w:rFonts w:asciiTheme="minorHAnsi" w:hAnsiTheme="minorHAnsi"/>
          <w:color w:val="auto"/>
          <w:szCs w:val="24"/>
        </w:rPr>
        <w:t>8512.</w:t>
      </w:r>
      <w:r w:rsidR="00820950" w:rsidRPr="003F5959">
        <w:rPr>
          <w:rFonts w:asciiTheme="minorHAnsi" w:hAnsiTheme="minorHAnsi"/>
          <w:color w:val="auto"/>
          <w:szCs w:val="24"/>
        </w:rPr>
        <w:t xml:space="preserve">  </w:t>
      </w:r>
    </w:p>
    <w:p w:rsidR="00D85273" w:rsidRDefault="00D85273" w:rsidP="002802BC">
      <w:pPr>
        <w:jc w:val="both"/>
        <w:rPr>
          <w:rFonts w:eastAsia="HiddenHorzOCR"/>
          <w:color w:val="000000" w:themeColor="text1"/>
          <w:szCs w:val="24"/>
          <w:u w:val="single"/>
        </w:rPr>
      </w:pPr>
    </w:p>
    <w:p w:rsidR="002802BC" w:rsidRPr="001F29F9" w:rsidRDefault="004C60A3" w:rsidP="002802BC">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802BC">
        <w:rPr>
          <w:rFonts w:eastAsia="HiddenHorzOCR"/>
          <w:color w:val="000000" w:themeColor="text1"/>
          <w:szCs w:val="24"/>
        </w:rPr>
        <w:t xml:space="preserve">  </w:t>
      </w:r>
      <w:r w:rsidR="002802BC" w:rsidRPr="001F29F9">
        <w:rPr>
          <w:color w:val="000000" w:themeColor="text1"/>
          <w:szCs w:val="24"/>
        </w:rPr>
        <w:t xml:space="preserve">The other conditions forwarded by the MEB and adjudicated as not unfitting by the PEB were </w:t>
      </w:r>
      <w:proofErr w:type="spellStart"/>
      <w:r w:rsidR="002802BC">
        <w:rPr>
          <w:color w:val="000000" w:themeColor="text1"/>
          <w:szCs w:val="24"/>
        </w:rPr>
        <w:t>hyperlipidemia</w:t>
      </w:r>
      <w:proofErr w:type="spellEnd"/>
      <w:r w:rsidR="002802BC">
        <w:rPr>
          <w:color w:val="000000" w:themeColor="text1"/>
          <w:szCs w:val="24"/>
        </w:rPr>
        <w:t xml:space="preserve">, allergic rhinitis, and left ear hearing loss with perforation of the tympanic membrane.  </w:t>
      </w:r>
      <w:r w:rsidR="00C1586F" w:rsidRPr="008A1440">
        <w:rPr>
          <w:rFonts w:asciiTheme="minorHAnsi" w:hAnsiTheme="minorHAnsi"/>
          <w:color w:val="auto"/>
          <w:szCs w:val="24"/>
        </w:rPr>
        <w:t xml:space="preserve">The Board’s main charge in respect to </w:t>
      </w:r>
      <w:r w:rsidR="00C1586F">
        <w:rPr>
          <w:rFonts w:asciiTheme="minorHAnsi" w:hAnsiTheme="minorHAnsi"/>
          <w:color w:val="auto"/>
          <w:szCs w:val="24"/>
        </w:rPr>
        <w:t>these c</w:t>
      </w:r>
      <w:r w:rsidR="00C1586F" w:rsidRPr="008A1440">
        <w:rPr>
          <w:rFonts w:asciiTheme="minorHAnsi" w:hAnsiTheme="minorHAnsi"/>
          <w:color w:val="auto"/>
          <w:szCs w:val="24"/>
        </w:rPr>
        <w:t>ondition</w:t>
      </w:r>
      <w:r w:rsidR="00C1586F">
        <w:rPr>
          <w:rFonts w:asciiTheme="minorHAnsi" w:hAnsiTheme="minorHAnsi"/>
          <w:color w:val="auto"/>
          <w:szCs w:val="24"/>
        </w:rPr>
        <w:t>s</w:t>
      </w:r>
      <w:r w:rsidR="00C1586F" w:rsidRPr="008A1440">
        <w:rPr>
          <w:rFonts w:asciiTheme="minorHAnsi" w:hAnsiTheme="minorHAnsi"/>
          <w:color w:val="auto"/>
          <w:szCs w:val="24"/>
        </w:rPr>
        <w:t xml:space="preserve"> is an assessment of the appropriateness of the PEB’s fitness adjudication.  The Board’s threshold for countering DES fitness determinations is higher than the VASRD §4.3 (reasonable doubt) standard used for its rating recommendations, but remains adherent to the </w:t>
      </w:r>
      <w:proofErr w:type="spellStart"/>
      <w:r w:rsidR="00C1586F" w:rsidRPr="008A1440">
        <w:rPr>
          <w:rFonts w:asciiTheme="minorHAnsi" w:hAnsiTheme="minorHAnsi"/>
          <w:color w:val="auto"/>
          <w:szCs w:val="24"/>
        </w:rPr>
        <w:t>DoDI</w:t>
      </w:r>
      <w:proofErr w:type="spellEnd"/>
      <w:r w:rsidR="00C1586F" w:rsidRPr="008A1440">
        <w:rPr>
          <w:rFonts w:asciiTheme="minorHAnsi" w:hAnsiTheme="minorHAnsi"/>
          <w:color w:val="auto"/>
          <w:szCs w:val="24"/>
        </w:rPr>
        <w:t xml:space="preserve"> 6040.44 “fair and equitable” standard.</w:t>
      </w:r>
      <w:r w:rsidR="00C1586F">
        <w:rPr>
          <w:rFonts w:asciiTheme="minorHAnsi" w:hAnsiTheme="minorHAnsi"/>
          <w:color w:val="auto"/>
          <w:szCs w:val="24"/>
        </w:rPr>
        <w:t xml:space="preserve">  </w:t>
      </w:r>
      <w:r w:rsidR="002802BC">
        <w:rPr>
          <w:color w:val="000000" w:themeColor="text1"/>
          <w:szCs w:val="24"/>
        </w:rPr>
        <w:t xml:space="preserve">The </w:t>
      </w:r>
      <w:proofErr w:type="spellStart"/>
      <w:r w:rsidR="002802BC">
        <w:rPr>
          <w:color w:val="000000" w:themeColor="text1"/>
          <w:szCs w:val="24"/>
        </w:rPr>
        <w:t>hyperlipidemia</w:t>
      </w:r>
      <w:proofErr w:type="spellEnd"/>
      <w:r w:rsidR="002802BC">
        <w:rPr>
          <w:color w:val="000000" w:themeColor="text1"/>
          <w:szCs w:val="24"/>
        </w:rPr>
        <w:t xml:space="preserve"> was </w:t>
      </w:r>
      <w:r w:rsidR="00CC161E">
        <w:rPr>
          <w:color w:val="000000" w:themeColor="text1"/>
          <w:szCs w:val="24"/>
        </w:rPr>
        <w:t>controlled by medication, and furthermore does not constitute a ratable disability.  A</w:t>
      </w:r>
      <w:r w:rsidR="00EF2E84">
        <w:rPr>
          <w:color w:val="000000" w:themeColor="text1"/>
          <w:szCs w:val="24"/>
        </w:rPr>
        <w:t xml:space="preserve">llergic rhinitis had been documented as early as 1990 and </w:t>
      </w:r>
      <w:r w:rsidR="00CC161E">
        <w:rPr>
          <w:color w:val="000000" w:themeColor="text1"/>
          <w:szCs w:val="24"/>
        </w:rPr>
        <w:t>was well controlled on medication at the time of separation</w:t>
      </w:r>
      <w:r w:rsidR="00EF2E84">
        <w:rPr>
          <w:color w:val="000000" w:themeColor="text1"/>
          <w:szCs w:val="24"/>
        </w:rPr>
        <w:t xml:space="preserve">.  The perforation of the tympanic membrane occurred at the time of </w:t>
      </w:r>
      <w:r w:rsidR="003C48F9">
        <w:rPr>
          <w:color w:val="000000" w:themeColor="text1"/>
          <w:szCs w:val="24"/>
        </w:rPr>
        <w:t xml:space="preserve">the </w:t>
      </w:r>
      <w:r w:rsidR="00EF2E84">
        <w:rPr>
          <w:color w:val="000000" w:themeColor="text1"/>
          <w:szCs w:val="24"/>
        </w:rPr>
        <w:t>IED explosion</w:t>
      </w:r>
      <w:r w:rsidR="00550605">
        <w:rPr>
          <w:color w:val="000000" w:themeColor="text1"/>
          <w:szCs w:val="24"/>
        </w:rPr>
        <w:t xml:space="preserve"> and was associated with </w:t>
      </w:r>
      <w:r w:rsidR="00CC161E">
        <w:rPr>
          <w:color w:val="000000" w:themeColor="text1"/>
          <w:szCs w:val="24"/>
        </w:rPr>
        <w:t>some</w:t>
      </w:r>
      <w:r w:rsidR="00550605">
        <w:rPr>
          <w:color w:val="000000" w:themeColor="text1"/>
          <w:szCs w:val="24"/>
        </w:rPr>
        <w:t xml:space="preserve"> </w:t>
      </w:r>
      <w:r w:rsidR="00CC161E">
        <w:rPr>
          <w:color w:val="000000" w:themeColor="text1"/>
          <w:szCs w:val="24"/>
        </w:rPr>
        <w:t>(non-compensab</w:t>
      </w:r>
      <w:r w:rsidR="007B59EB">
        <w:rPr>
          <w:color w:val="000000" w:themeColor="text1"/>
          <w:szCs w:val="24"/>
        </w:rPr>
        <w:t>le) hearing loss; it carried an</w:t>
      </w:r>
      <w:r w:rsidR="00CC161E">
        <w:rPr>
          <w:color w:val="000000" w:themeColor="text1"/>
          <w:szCs w:val="24"/>
        </w:rPr>
        <w:t xml:space="preserve"> </w:t>
      </w:r>
      <w:r w:rsidR="00550605">
        <w:rPr>
          <w:color w:val="000000" w:themeColor="text1"/>
          <w:szCs w:val="24"/>
        </w:rPr>
        <w:t xml:space="preserve">H2 profile </w:t>
      </w:r>
      <w:r w:rsidR="00CC161E">
        <w:rPr>
          <w:color w:val="000000" w:themeColor="text1"/>
          <w:szCs w:val="24"/>
        </w:rPr>
        <w:t>at</w:t>
      </w:r>
      <w:r w:rsidR="00550605">
        <w:rPr>
          <w:color w:val="000000" w:themeColor="text1"/>
          <w:szCs w:val="24"/>
        </w:rPr>
        <w:t xml:space="preserve"> separation</w:t>
      </w:r>
      <w:r w:rsidR="000E345B">
        <w:rPr>
          <w:color w:val="000000" w:themeColor="text1"/>
          <w:szCs w:val="24"/>
        </w:rPr>
        <w:t>.</w:t>
      </w:r>
      <w:r w:rsidR="00CC161E">
        <w:rPr>
          <w:color w:val="000000" w:themeColor="text1"/>
          <w:szCs w:val="24"/>
        </w:rPr>
        <w:t xml:space="preserve"> </w:t>
      </w:r>
      <w:r w:rsidR="00550605">
        <w:rPr>
          <w:color w:val="000000" w:themeColor="text1"/>
          <w:szCs w:val="24"/>
        </w:rPr>
        <w:t xml:space="preserve"> </w:t>
      </w:r>
      <w:r w:rsidR="00CC161E">
        <w:rPr>
          <w:color w:val="000000" w:themeColor="text1"/>
          <w:szCs w:val="24"/>
        </w:rPr>
        <w:t>A</w:t>
      </w:r>
      <w:r w:rsidR="00550605">
        <w:rPr>
          <w:color w:val="000000" w:themeColor="text1"/>
          <w:szCs w:val="24"/>
        </w:rPr>
        <w:t xml:space="preserve"> VA </w:t>
      </w:r>
      <w:r w:rsidR="00A17701">
        <w:rPr>
          <w:color w:val="000000" w:themeColor="text1"/>
          <w:szCs w:val="24"/>
        </w:rPr>
        <w:t>exam</w:t>
      </w:r>
      <w:r w:rsidR="00550605">
        <w:rPr>
          <w:color w:val="000000" w:themeColor="text1"/>
          <w:szCs w:val="24"/>
        </w:rPr>
        <w:t xml:space="preserve"> </w:t>
      </w:r>
      <w:r w:rsidR="00D55860">
        <w:rPr>
          <w:color w:val="000000" w:themeColor="text1"/>
          <w:szCs w:val="24"/>
        </w:rPr>
        <w:t xml:space="preserve">after separation </w:t>
      </w:r>
      <w:r w:rsidR="00550605">
        <w:rPr>
          <w:color w:val="000000" w:themeColor="text1"/>
          <w:szCs w:val="24"/>
        </w:rPr>
        <w:t xml:space="preserve">documented that the perforation had healed.  </w:t>
      </w:r>
      <w:r w:rsidR="002802BC" w:rsidRPr="001F29F9">
        <w:rPr>
          <w:color w:val="000000" w:themeColor="text1"/>
          <w:szCs w:val="24"/>
        </w:rPr>
        <w:t>None of these conditions were profiled</w:t>
      </w:r>
      <w:r w:rsidR="00550605">
        <w:rPr>
          <w:color w:val="000000" w:themeColor="text1"/>
          <w:szCs w:val="24"/>
        </w:rPr>
        <w:t xml:space="preserve"> (except as noted for hearing)</w:t>
      </w:r>
      <w:r w:rsidR="00CC161E">
        <w:rPr>
          <w:color w:val="000000" w:themeColor="text1"/>
          <w:szCs w:val="24"/>
        </w:rPr>
        <w:t>,</w:t>
      </w:r>
      <w:r w:rsidR="002802BC" w:rsidRPr="001F29F9">
        <w:rPr>
          <w:color w:val="000000" w:themeColor="text1"/>
          <w:szCs w:val="24"/>
        </w:rPr>
        <w:t xml:space="preserve"> implicated in </w:t>
      </w:r>
      <w:r w:rsidR="002802BC" w:rsidRPr="00550605">
        <w:rPr>
          <w:color w:val="000000" w:themeColor="text1"/>
          <w:szCs w:val="24"/>
        </w:rPr>
        <w:t>the commander’s statement</w:t>
      </w:r>
      <w:r w:rsidR="00550605" w:rsidRPr="00550605">
        <w:rPr>
          <w:color w:val="000000" w:themeColor="text1"/>
          <w:szCs w:val="24"/>
        </w:rPr>
        <w:t>,</w:t>
      </w:r>
      <w:r w:rsidR="002802BC" w:rsidRPr="00550605">
        <w:rPr>
          <w:color w:val="000000" w:themeColor="text1"/>
          <w:szCs w:val="24"/>
        </w:rPr>
        <w:t xml:space="preserve"> or noted as failing retention standards</w:t>
      </w:r>
      <w:r w:rsidR="00550605" w:rsidRPr="00550605">
        <w:rPr>
          <w:color w:val="000000" w:themeColor="text1"/>
          <w:szCs w:val="24"/>
        </w:rPr>
        <w:t>.  All</w:t>
      </w:r>
      <w:r w:rsidR="00550605">
        <w:rPr>
          <w:color w:val="000000" w:themeColor="text1"/>
          <w:szCs w:val="24"/>
        </w:rPr>
        <w:t xml:space="preserve"> were reviewed by the </w:t>
      </w:r>
      <w:r w:rsidR="00D55860">
        <w:rPr>
          <w:color w:val="000000" w:themeColor="text1"/>
          <w:szCs w:val="24"/>
        </w:rPr>
        <w:t>a</w:t>
      </w:r>
      <w:r w:rsidR="00550605">
        <w:rPr>
          <w:color w:val="000000" w:themeColor="text1"/>
          <w:szCs w:val="24"/>
        </w:rPr>
        <w:t xml:space="preserve">ction </w:t>
      </w:r>
      <w:r w:rsidR="00D55860">
        <w:rPr>
          <w:color w:val="000000" w:themeColor="text1"/>
          <w:szCs w:val="24"/>
        </w:rPr>
        <w:t>o</w:t>
      </w:r>
      <w:r w:rsidR="002802BC" w:rsidRPr="001F29F9">
        <w:rPr>
          <w:color w:val="000000" w:themeColor="text1"/>
          <w:szCs w:val="24"/>
        </w:rPr>
        <w:t xml:space="preserve">fficer and considered by the Board.  There was no indication from the record that any of these conditions significantly interfered with satisfactory duty performance.  </w:t>
      </w:r>
      <w:r w:rsidR="00A17701">
        <w:rPr>
          <w:color w:val="000000" w:themeColor="text1"/>
          <w:szCs w:val="24"/>
        </w:rPr>
        <w:t>All evidence considered</w:t>
      </w:r>
      <w:r w:rsidR="00A17701" w:rsidRPr="001F29F9">
        <w:rPr>
          <w:color w:val="000000" w:themeColor="text1"/>
          <w:szCs w:val="24"/>
        </w:rPr>
        <w:t xml:space="preserve"> there is not reasonable doubt in the CI’s favor supporting </w:t>
      </w:r>
      <w:proofErr w:type="spellStart"/>
      <w:r w:rsidR="00A17701" w:rsidRPr="001F29F9">
        <w:rPr>
          <w:color w:val="000000" w:themeColor="text1"/>
          <w:szCs w:val="24"/>
        </w:rPr>
        <w:t>recharacterization</w:t>
      </w:r>
      <w:proofErr w:type="spellEnd"/>
      <w:r w:rsidR="00A17701" w:rsidRPr="001F29F9">
        <w:rPr>
          <w:color w:val="000000" w:themeColor="text1"/>
          <w:szCs w:val="24"/>
        </w:rPr>
        <w:t xml:space="preserve"> of the PEB fitness adjudication for any of the stated conditions.</w:t>
      </w:r>
    </w:p>
    <w:p w:rsidR="00D66A41" w:rsidRPr="00776AD5" w:rsidRDefault="00D66A41" w:rsidP="00776AD5">
      <w:pPr>
        <w:jc w:val="left"/>
        <w:rPr>
          <w:rFonts w:eastAsia="HiddenHorzOCR"/>
          <w:color w:val="000000" w:themeColor="text1"/>
          <w:szCs w:val="24"/>
        </w:rPr>
      </w:pPr>
    </w:p>
    <w:p w:rsidR="00EC337D" w:rsidRPr="001F29F9" w:rsidRDefault="00EC337D" w:rsidP="00C1586F">
      <w:pPr>
        <w:jc w:val="both"/>
        <w:rPr>
          <w:color w:val="000000" w:themeColor="text1"/>
          <w:szCs w:val="24"/>
        </w:rPr>
      </w:pPr>
      <w:proofErr w:type="gramStart"/>
      <w:r w:rsidRPr="001F29F9">
        <w:rPr>
          <w:rFonts w:eastAsia="HiddenHorzOCR"/>
          <w:color w:val="000000" w:themeColor="text1"/>
          <w:szCs w:val="24"/>
          <w:u w:val="single"/>
        </w:rPr>
        <w:t xml:space="preserve">Other Contended </w:t>
      </w:r>
      <w:r w:rsidR="00CC161E">
        <w:rPr>
          <w:rFonts w:eastAsia="HiddenHorzOCR"/>
          <w:color w:val="000000" w:themeColor="text1"/>
          <w:szCs w:val="24"/>
          <w:u w:val="single"/>
        </w:rPr>
        <w:t xml:space="preserve">and Remaining </w:t>
      </w:r>
      <w:r w:rsidRPr="001F29F9">
        <w:rPr>
          <w:rFonts w:eastAsia="HiddenHorzOCR"/>
          <w:color w:val="000000" w:themeColor="text1"/>
          <w:szCs w:val="24"/>
          <w:u w:val="single"/>
        </w:rPr>
        <w:t>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w:t>
      </w:r>
      <w:r w:rsidR="00CC161E">
        <w:rPr>
          <w:rFonts w:eastAsia="HiddenHorzOCR"/>
          <w:color w:val="000000" w:themeColor="text1"/>
          <w:szCs w:val="24"/>
        </w:rPr>
        <w:t>implies</w:t>
      </w:r>
      <w:r w:rsidRPr="001F29F9">
        <w:rPr>
          <w:rFonts w:eastAsia="HiddenHorzOCR"/>
          <w:color w:val="000000" w:themeColor="text1"/>
          <w:szCs w:val="24"/>
        </w:rPr>
        <w:t xml:space="preserve"> that compensable ratings should be considered for </w:t>
      </w:r>
      <w:r w:rsidR="00CC161E">
        <w:rPr>
          <w:rFonts w:eastAsia="HiddenHorzOCR"/>
          <w:color w:val="000000" w:themeColor="text1"/>
          <w:szCs w:val="24"/>
        </w:rPr>
        <w:t>PTSD</w:t>
      </w:r>
      <w:r w:rsidR="00826797">
        <w:rPr>
          <w:rFonts w:eastAsia="HiddenHorzOCR"/>
          <w:color w:val="000000" w:themeColor="text1"/>
          <w:szCs w:val="24"/>
        </w:rPr>
        <w:t xml:space="preserve">, </w:t>
      </w:r>
      <w:r w:rsidR="00CC161E">
        <w:rPr>
          <w:rFonts w:eastAsia="HiddenHorzOCR"/>
          <w:color w:val="000000" w:themeColor="text1"/>
          <w:szCs w:val="24"/>
        </w:rPr>
        <w:t>DJD</w:t>
      </w:r>
      <w:r w:rsidR="00826797">
        <w:rPr>
          <w:rFonts w:eastAsia="HiddenHorzOCR"/>
          <w:color w:val="000000" w:themeColor="text1"/>
          <w:szCs w:val="24"/>
        </w:rPr>
        <w:t xml:space="preserve"> of the right knee, cervical strain, scar of the right long finger, and </w:t>
      </w:r>
      <w:r w:rsidR="00CC161E">
        <w:rPr>
          <w:rFonts w:eastAsia="HiddenHorzOCR"/>
          <w:color w:val="000000" w:themeColor="text1"/>
          <w:szCs w:val="24"/>
        </w:rPr>
        <w:t>“</w:t>
      </w:r>
      <w:r w:rsidR="00826797">
        <w:rPr>
          <w:rFonts w:eastAsia="HiddenHorzOCR"/>
          <w:color w:val="000000" w:themeColor="text1"/>
          <w:szCs w:val="24"/>
        </w:rPr>
        <w:t>arthritis</w:t>
      </w:r>
      <w:r w:rsidR="00CC161E">
        <w:rPr>
          <w:rFonts w:eastAsia="HiddenHorzOCR"/>
          <w:color w:val="000000" w:themeColor="text1"/>
          <w:szCs w:val="24"/>
        </w:rPr>
        <w:t>”</w:t>
      </w:r>
      <w:r w:rsidR="00826797">
        <w:rPr>
          <w:rFonts w:eastAsia="HiddenHorzOCR"/>
          <w:color w:val="000000" w:themeColor="text1"/>
          <w:szCs w:val="24"/>
        </w:rPr>
        <w:t xml:space="preserve"> of the left median nerve.  PTSD was diagnosed by the VA </w:t>
      </w:r>
      <w:r w:rsidR="00CC161E">
        <w:rPr>
          <w:rFonts w:eastAsia="HiddenHorzOCR"/>
          <w:color w:val="000000" w:themeColor="text1"/>
          <w:szCs w:val="24"/>
        </w:rPr>
        <w:t>after</w:t>
      </w:r>
      <w:r w:rsidR="00826797">
        <w:rPr>
          <w:rFonts w:eastAsia="HiddenHorzOCR"/>
          <w:color w:val="000000" w:themeColor="text1"/>
          <w:szCs w:val="24"/>
        </w:rPr>
        <w:t xml:space="preserve"> separation.  </w:t>
      </w:r>
      <w:r w:rsidR="00CC161E">
        <w:rPr>
          <w:rFonts w:eastAsia="HiddenHorzOCR"/>
          <w:color w:val="000000" w:themeColor="text1"/>
          <w:szCs w:val="24"/>
        </w:rPr>
        <w:t>Although t</w:t>
      </w:r>
      <w:r w:rsidR="00544D79">
        <w:rPr>
          <w:rFonts w:eastAsia="HiddenHorzOCR"/>
          <w:color w:val="000000" w:themeColor="text1"/>
          <w:szCs w:val="24"/>
        </w:rPr>
        <w:t xml:space="preserve">he VA </w:t>
      </w:r>
      <w:r w:rsidR="00CC161E">
        <w:rPr>
          <w:rFonts w:eastAsia="HiddenHorzOCR"/>
          <w:color w:val="000000" w:themeColor="text1"/>
          <w:szCs w:val="24"/>
        </w:rPr>
        <w:t xml:space="preserve">examiner documented mental health treatment in service, </w:t>
      </w:r>
      <w:r w:rsidR="00CB5097">
        <w:rPr>
          <w:rFonts w:eastAsia="HiddenHorzOCR"/>
          <w:color w:val="000000" w:themeColor="text1"/>
          <w:szCs w:val="24"/>
        </w:rPr>
        <w:t>a diagnosis</w:t>
      </w:r>
      <w:r w:rsidR="00CC161E">
        <w:rPr>
          <w:rFonts w:eastAsia="HiddenHorzOCR"/>
          <w:color w:val="000000" w:themeColor="text1"/>
          <w:szCs w:val="24"/>
        </w:rPr>
        <w:t xml:space="preserve"> of PTSD was </w:t>
      </w:r>
      <w:r w:rsidR="00461A7C">
        <w:rPr>
          <w:rFonts w:eastAsia="HiddenHorzOCR"/>
          <w:color w:val="000000" w:themeColor="text1"/>
          <w:szCs w:val="24"/>
        </w:rPr>
        <w:t xml:space="preserve">not </w:t>
      </w:r>
      <w:r w:rsidR="00CC161E">
        <w:rPr>
          <w:rFonts w:eastAsia="HiddenHorzOCR"/>
          <w:color w:val="000000" w:themeColor="text1"/>
          <w:szCs w:val="24"/>
        </w:rPr>
        <w:t>establi</w:t>
      </w:r>
      <w:r w:rsidR="00461A7C">
        <w:rPr>
          <w:rFonts w:eastAsia="HiddenHorzOCR"/>
          <w:color w:val="000000" w:themeColor="text1"/>
          <w:szCs w:val="24"/>
        </w:rPr>
        <w:t>shed during that period; and, a</w:t>
      </w:r>
      <w:r w:rsidR="000E345B">
        <w:rPr>
          <w:rFonts w:eastAsia="HiddenHorzOCR"/>
          <w:color w:val="000000" w:themeColor="text1"/>
          <w:szCs w:val="24"/>
        </w:rPr>
        <w:t xml:space="preserve"> mental health history was </w:t>
      </w:r>
      <w:r w:rsidR="00461A7C">
        <w:rPr>
          <w:rFonts w:eastAsia="HiddenHorzOCR"/>
          <w:color w:val="000000" w:themeColor="text1"/>
          <w:szCs w:val="24"/>
        </w:rPr>
        <w:t xml:space="preserve">not </w:t>
      </w:r>
      <w:r w:rsidR="000E345B">
        <w:rPr>
          <w:rFonts w:eastAsia="HiddenHorzOCR"/>
          <w:color w:val="000000" w:themeColor="text1"/>
          <w:szCs w:val="24"/>
        </w:rPr>
        <w:t>documented</w:t>
      </w:r>
      <w:r w:rsidR="003B0584">
        <w:rPr>
          <w:rFonts w:eastAsia="HiddenHorzOCR"/>
          <w:color w:val="000000" w:themeColor="text1"/>
          <w:szCs w:val="24"/>
        </w:rPr>
        <w:t xml:space="preserve"> </w:t>
      </w:r>
      <w:r w:rsidR="00CC161E">
        <w:rPr>
          <w:rFonts w:eastAsia="HiddenHorzOCR"/>
          <w:color w:val="000000" w:themeColor="text1"/>
          <w:szCs w:val="24"/>
        </w:rPr>
        <w:t xml:space="preserve">in the </w:t>
      </w:r>
      <w:r w:rsidR="003B0584">
        <w:rPr>
          <w:rFonts w:eastAsia="HiddenHorzOCR"/>
          <w:color w:val="000000" w:themeColor="text1"/>
          <w:szCs w:val="24"/>
        </w:rPr>
        <w:t>NARSUM</w:t>
      </w:r>
      <w:r w:rsidR="000E345B">
        <w:rPr>
          <w:rFonts w:eastAsia="HiddenHorzOCR"/>
          <w:color w:val="000000" w:themeColor="text1"/>
          <w:szCs w:val="24"/>
        </w:rPr>
        <w:t>.</w:t>
      </w:r>
      <w:r w:rsidR="003B0584">
        <w:rPr>
          <w:rFonts w:eastAsia="HiddenHorzOCR"/>
          <w:color w:val="000000" w:themeColor="text1"/>
          <w:szCs w:val="24"/>
        </w:rPr>
        <w:t xml:space="preserve"> </w:t>
      </w:r>
      <w:r w:rsidR="000E345B">
        <w:rPr>
          <w:rFonts w:eastAsia="HiddenHorzOCR"/>
          <w:color w:val="000000" w:themeColor="text1"/>
          <w:szCs w:val="24"/>
        </w:rPr>
        <w:t xml:space="preserve"> </w:t>
      </w:r>
      <w:r w:rsidR="003B0584">
        <w:rPr>
          <w:rFonts w:eastAsia="HiddenHorzOCR"/>
          <w:color w:val="000000" w:themeColor="text1"/>
          <w:szCs w:val="24"/>
        </w:rPr>
        <w:t>The</w:t>
      </w:r>
      <w:r w:rsidR="00544D79">
        <w:rPr>
          <w:rFonts w:eastAsia="HiddenHorzOCR"/>
          <w:color w:val="000000" w:themeColor="text1"/>
          <w:szCs w:val="24"/>
        </w:rPr>
        <w:t xml:space="preserve"> MEB </w:t>
      </w:r>
      <w:r w:rsidR="00CC161E">
        <w:rPr>
          <w:rFonts w:eastAsia="HiddenHorzOCR"/>
          <w:color w:val="000000" w:themeColor="text1"/>
          <w:szCs w:val="24"/>
        </w:rPr>
        <w:t>physical</w:t>
      </w:r>
      <w:r w:rsidR="00544D79">
        <w:rPr>
          <w:rFonts w:eastAsia="HiddenHorzOCR"/>
          <w:color w:val="000000" w:themeColor="text1"/>
          <w:szCs w:val="24"/>
        </w:rPr>
        <w:t xml:space="preserve"> documented </w:t>
      </w:r>
      <w:r w:rsidR="00CC161E">
        <w:rPr>
          <w:rFonts w:eastAsia="HiddenHorzOCR"/>
          <w:color w:val="000000" w:themeColor="text1"/>
          <w:szCs w:val="24"/>
        </w:rPr>
        <w:t xml:space="preserve">some positive responses </w:t>
      </w:r>
      <w:r w:rsidR="00CB5097">
        <w:rPr>
          <w:rFonts w:eastAsia="HiddenHorzOCR"/>
          <w:color w:val="000000" w:themeColor="text1"/>
          <w:szCs w:val="24"/>
        </w:rPr>
        <w:t>for sleep</w:t>
      </w:r>
      <w:r w:rsidR="00CC161E">
        <w:rPr>
          <w:rFonts w:eastAsia="HiddenHorzOCR"/>
          <w:color w:val="000000" w:themeColor="text1"/>
          <w:szCs w:val="24"/>
        </w:rPr>
        <w:t xml:space="preserve"> disturbance</w:t>
      </w:r>
      <w:r w:rsidR="00BD1AFE">
        <w:rPr>
          <w:rFonts w:eastAsia="HiddenHorzOCR"/>
          <w:color w:val="000000" w:themeColor="text1"/>
          <w:szCs w:val="24"/>
        </w:rPr>
        <w:t xml:space="preserve">, </w:t>
      </w:r>
      <w:r w:rsidR="00CB4981">
        <w:rPr>
          <w:rFonts w:eastAsia="HiddenHorzOCR"/>
          <w:color w:val="000000" w:themeColor="text1"/>
          <w:szCs w:val="24"/>
        </w:rPr>
        <w:t xml:space="preserve">anxiety, and </w:t>
      </w:r>
      <w:r w:rsidR="00BD1AFE">
        <w:rPr>
          <w:rFonts w:eastAsia="HiddenHorzOCR"/>
          <w:color w:val="000000" w:themeColor="text1"/>
          <w:szCs w:val="24"/>
        </w:rPr>
        <w:t>depressio</w:t>
      </w:r>
      <w:r w:rsidR="00CB4981">
        <w:rPr>
          <w:rFonts w:eastAsia="HiddenHorzOCR"/>
          <w:color w:val="000000" w:themeColor="text1"/>
          <w:szCs w:val="24"/>
        </w:rPr>
        <w:t>n; and there were a few p</w:t>
      </w:r>
      <w:r w:rsidR="0072341D">
        <w:rPr>
          <w:rFonts w:eastAsia="HiddenHorzOCR"/>
          <w:color w:val="000000" w:themeColor="text1"/>
          <w:szCs w:val="24"/>
        </w:rPr>
        <w:t>sychotherapy notes in the STR.</w:t>
      </w:r>
      <w:r w:rsidR="00CB4981" w:rsidRPr="006F21F6">
        <w:rPr>
          <w:rFonts w:eastAsia="HiddenHorzOCR"/>
          <w:color w:val="000000" w:themeColor="text1"/>
          <w:szCs w:val="24"/>
        </w:rPr>
        <w:t xml:space="preserve"> </w:t>
      </w:r>
      <w:r w:rsidR="00CB4981">
        <w:rPr>
          <w:rFonts w:eastAsia="HiddenHorzOCR"/>
          <w:color w:val="000000" w:themeColor="text1"/>
          <w:szCs w:val="24"/>
        </w:rPr>
        <w:t>There was no evidence in the STR</w:t>
      </w:r>
      <w:r w:rsidR="00D55860">
        <w:rPr>
          <w:rFonts w:eastAsia="HiddenHorzOCR"/>
          <w:color w:val="000000" w:themeColor="text1"/>
          <w:szCs w:val="24"/>
        </w:rPr>
        <w:t xml:space="preserve">; </w:t>
      </w:r>
      <w:r w:rsidR="00CB4981">
        <w:rPr>
          <w:rFonts w:eastAsia="HiddenHorzOCR"/>
          <w:color w:val="000000" w:themeColor="text1"/>
          <w:szCs w:val="24"/>
        </w:rPr>
        <w:t xml:space="preserve">however, for an acute and active psychiatric condition during the MEB period.  </w:t>
      </w:r>
      <w:r w:rsidR="00461A7C">
        <w:rPr>
          <w:rFonts w:eastAsia="HiddenHorzOCR"/>
          <w:color w:val="000000" w:themeColor="text1"/>
          <w:szCs w:val="24"/>
        </w:rPr>
        <w:t>P</w:t>
      </w:r>
      <w:r w:rsidR="00CB4981">
        <w:rPr>
          <w:rFonts w:eastAsia="HiddenHorzOCR"/>
          <w:color w:val="000000" w:themeColor="text1"/>
          <w:szCs w:val="24"/>
        </w:rPr>
        <w:t>sychiatric impairment</w:t>
      </w:r>
      <w:r w:rsidR="00461A7C">
        <w:rPr>
          <w:rFonts w:eastAsia="HiddenHorzOCR"/>
          <w:color w:val="000000" w:themeColor="text1"/>
          <w:szCs w:val="24"/>
        </w:rPr>
        <w:t>s</w:t>
      </w:r>
      <w:r w:rsidR="00CB4981">
        <w:rPr>
          <w:rFonts w:eastAsia="HiddenHorzOCR"/>
          <w:color w:val="000000" w:themeColor="text1"/>
          <w:szCs w:val="24"/>
        </w:rPr>
        <w:t xml:space="preserve"> w</w:t>
      </w:r>
      <w:r w:rsidR="00461A7C">
        <w:rPr>
          <w:rFonts w:eastAsia="HiddenHorzOCR"/>
          <w:color w:val="000000" w:themeColor="text1"/>
          <w:szCs w:val="24"/>
        </w:rPr>
        <w:t>ere not</w:t>
      </w:r>
      <w:r w:rsidR="00CB4981">
        <w:rPr>
          <w:rFonts w:eastAsia="HiddenHorzOCR"/>
          <w:color w:val="000000" w:themeColor="text1"/>
          <w:szCs w:val="24"/>
        </w:rPr>
        <w:t xml:space="preserve"> implicated in the commander’s statement, and </w:t>
      </w:r>
      <w:r w:rsidR="00461A7C">
        <w:rPr>
          <w:rFonts w:eastAsia="HiddenHorzOCR"/>
          <w:color w:val="000000" w:themeColor="text1"/>
          <w:szCs w:val="24"/>
        </w:rPr>
        <w:t xml:space="preserve">a </w:t>
      </w:r>
      <w:r w:rsidR="00CB4981">
        <w:rPr>
          <w:rFonts w:eastAsia="HiddenHorzOCR"/>
          <w:color w:val="000000" w:themeColor="text1"/>
          <w:szCs w:val="24"/>
        </w:rPr>
        <w:t>psychiatric profile was</w:t>
      </w:r>
      <w:r w:rsidR="00461A7C">
        <w:rPr>
          <w:rFonts w:eastAsia="HiddenHorzOCR"/>
          <w:color w:val="000000" w:themeColor="text1"/>
          <w:szCs w:val="24"/>
        </w:rPr>
        <w:t xml:space="preserve"> not</w:t>
      </w:r>
      <w:r w:rsidR="00CB4981">
        <w:rPr>
          <w:rFonts w:eastAsia="HiddenHorzOCR"/>
          <w:color w:val="000000" w:themeColor="text1"/>
          <w:szCs w:val="24"/>
        </w:rPr>
        <w:t xml:space="preserve"> in effect.</w:t>
      </w:r>
      <w:r w:rsidR="00461A7C">
        <w:rPr>
          <w:rFonts w:eastAsia="HiddenHorzOCR"/>
          <w:color w:val="000000" w:themeColor="text1"/>
          <w:szCs w:val="24"/>
        </w:rPr>
        <w:t xml:space="preserve"> </w:t>
      </w:r>
      <w:r w:rsidR="00BD1AFE">
        <w:rPr>
          <w:rFonts w:eastAsia="HiddenHorzOCR"/>
          <w:color w:val="000000" w:themeColor="text1"/>
          <w:szCs w:val="24"/>
        </w:rPr>
        <w:t xml:space="preserve"> </w:t>
      </w:r>
      <w:r w:rsidR="00FB14A5">
        <w:rPr>
          <w:rFonts w:eastAsia="HiddenHorzOCR"/>
          <w:color w:val="000000" w:themeColor="text1"/>
          <w:szCs w:val="24"/>
        </w:rPr>
        <w:t xml:space="preserve">The CI had </w:t>
      </w:r>
      <w:r w:rsidR="00CB4981">
        <w:rPr>
          <w:rFonts w:eastAsia="HiddenHorzOCR"/>
          <w:color w:val="000000" w:themeColor="text1"/>
          <w:szCs w:val="24"/>
        </w:rPr>
        <w:t xml:space="preserve">remote </w:t>
      </w:r>
      <w:r w:rsidR="00A17701">
        <w:rPr>
          <w:rFonts w:eastAsia="HiddenHorzOCR"/>
          <w:color w:val="000000" w:themeColor="text1"/>
          <w:szCs w:val="24"/>
        </w:rPr>
        <w:t>arthroscopic</w:t>
      </w:r>
      <w:r w:rsidR="00CB4981">
        <w:rPr>
          <w:rFonts w:eastAsia="HiddenHorzOCR"/>
          <w:color w:val="000000" w:themeColor="text1"/>
          <w:szCs w:val="24"/>
        </w:rPr>
        <w:t xml:space="preserve"> surgeries for his right knee, but the condition was not clinically active at separation.  Knee exams on the MEB physical and in the NARSUM are normal.  Any disability </w:t>
      </w:r>
      <w:r w:rsidR="00CB5097">
        <w:rPr>
          <w:rFonts w:eastAsia="HiddenHorzOCR"/>
          <w:color w:val="000000" w:themeColor="text1"/>
          <w:szCs w:val="24"/>
        </w:rPr>
        <w:t>related</w:t>
      </w:r>
      <w:r w:rsidR="00CB4981">
        <w:rPr>
          <w:rFonts w:eastAsia="HiddenHorzOCR"/>
          <w:color w:val="000000" w:themeColor="text1"/>
          <w:szCs w:val="24"/>
        </w:rPr>
        <w:t xml:space="preserve"> to the finger scar would have been subsumed in the hand rating as recommended.  The</w:t>
      </w:r>
      <w:r w:rsidR="006C19F1">
        <w:rPr>
          <w:rFonts w:eastAsia="HiddenHorzOCR"/>
          <w:color w:val="000000" w:themeColor="text1"/>
          <w:szCs w:val="24"/>
        </w:rPr>
        <w:t xml:space="preserve"> cervical</w:t>
      </w:r>
      <w:r w:rsidR="002D43B4">
        <w:rPr>
          <w:rFonts w:eastAsia="HiddenHorzOCR"/>
          <w:color w:val="000000" w:themeColor="text1"/>
          <w:szCs w:val="24"/>
        </w:rPr>
        <w:t xml:space="preserve"> strain</w:t>
      </w:r>
      <w:r w:rsidR="006C19F1">
        <w:rPr>
          <w:rFonts w:eastAsia="HiddenHorzOCR"/>
          <w:color w:val="000000" w:themeColor="text1"/>
          <w:szCs w:val="24"/>
        </w:rPr>
        <w:t xml:space="preserve"> </w:t>
      </w:r>
      <w:r w:rsidR="00CB4981">
        <w:rPr>
          <w:rFonts w:eastAsia="HiddenHorzOCR"/>
          <w:color w:val="000000" w:themeColor="text1"/>
          <w:szCs w:val="24"/>
        </w:rPr>
        <w:t xml:space="preserve">and </w:t>
      </w:r>
      <w:r w:rsidR="000D5C8B">
        <w:rPr>
          <w:rFonts w:eastAsia="HiddenHorzOCR"/>
          <w:color w:val="000000" w:themeColor="text1"/>
          <w:szCs w:val="24"/>
        </w:rPr>
        <w:t xml:space="preserve">left median nerve </w:t>
      </w:r>
      <w:r w:rsidR="00CB4981">
        <w:rPr>
          <w:rFonts w:eastAsia="HiddenHorzOCR"/>
          <w:color w:val="000000" w:themeColor="text1"/>
          <w:szCs w:val="24"/>
        </w:rPr>
        <w:t xml:space="preserve">conditions, although </w:t>
      </w:r>
      <w:r w:rsidR="003D2367">
        <w:rPr>
          <w:rFonts w:eastAsia="HiddenHorzOCR"/>
          <w:color w:val="000000" w:themeColor="text1"/>
          <w:szCs w:val="24"/>
        </w:rPr>
        <w:t>id</w:t>
      </w:r>
      <w:r w:rsidR="00D85273">
        <w:rPr>
          <w:rFonts w:eastAsia="HiddenHorzOCR"/>
          <w:color w:val="000000" w:themeColor="text1"/>
          <w:szCs w:val="24"/>
        </w:rPr>
        <w:t xml:space="preserve">entified </w:t>
      </w:r>
      <w:r w:rsidR="00CB4981">
        <w:rPr>
          <w:rFonts w:eastAsia="HiddenHorzOCR"/>
          <w:color w:val="000000" w:themeColor="text1"/>
          <w:szCs w:val="24"/>
        </w:rPr>
        <w:t xml:space="preserve">by the VA after separation, were not </w:t>
      </w:r>
      <w:r w:rsidR="003D2367">
        <w:rPr>
          <w:rFonts w:eastAsia="HiddenHorzOCR"/>
          <w:color w:val="000000" w:themeColor="text1"/>
          <w:szCs w:val="24"/>
        </w:rPr>
        <w:t xml:space="preserve">documented </w:t>
      </w:r>
      <w:r w:rsidR="006C19F1">
        <w:rPr>
          <w:rFonts w:eastAsia="HiddenHorzOCR"/>
          <w:color w:val="000000" w:themeColor="text1"/>
          <w:szCs w:val="24"/>
        </w:rPr>
        <w:t xml:space="preserve">in the </w:t>
      </w:r>
      <w:r w:rsidR="003D2367">
        <w:rPr>
          <w:rFonts w:eastAsia="HiddenHorzOCR"/>
          <w:color w:val="000000" w:themeColor="text1"/>
          <w:szCs w:val="24"/>
        </w:rPr>
        <w:t>DES</w:t>
      </w:r>
      <w:r w:rsidR="006C19F1">
        <w:rPr>
          <w:rFonts w:eastAsia="HiddenHorzOCR"/>
          <w:color w:val="000000" w:themeColor="text1"/>
          <w:szCs w:val="24"/>
        </w:rPr>
        <w:t xml:space="preserve"> file</w:t>
      </w:r>
      <w:r w:rsidR="003D2367">
        <w:rPr>
          <w:rFonts w:eastAsia="HiddenHorzOCR"/>
          <w:color w:val="000000" w:themeColor="text1"/>
          <w:szCs w:val="24"/>
        </w:rPr>
        <w:t>.</w:t>
      </w:r>
      <w:r w:rsidR="00D55860">
        <w:rPr>
          <w:rFonts w:eastAsia="HiddenHorzOCR"/>
          <w:color w:val="000000" w:themeColor="text1"/>
          <w:szCs w:val="24"/>
        </w:rPr>
        <w:t xml:space="preserve"> </w:t>
      </w:r>
      <w:r w:rsidR="00B05731">
        <w:rPr>
          <w:rFonts w:eastAsia="HiddenHorzOCR"/>
          <w:color w:val="000000" w:themeColor="text1"/>
          <w:szCs w:val="24"/>
        </w:rPr>
        <w:t xml:space="preserve"> </w:t>
      </w:r>
      <w:r w:rsidR="00CB4981">
        <w:rPr>
          <w:rFonts w:eastAsia="HiddenHorzOCR"/>
          <w:color w:val="000000" w:themeColor="text1"/>
          <w:szCs w:val="24"/>
        </w:rPr>
        <w:t xml:space="preserve">The only other condition identified in the DES file, not already addressed, was </w:t>
      </w:r>
      <w:proofErr w:type="spellStart"/>
      <w:r w:rsidR="00CB4981">
        <w:rPr>
          <w:color w:val="000000" w:themeColor="text1"/>
          <w:szCs w:val="24"/>
        </w:rPr>
        <w:t>onychomycosis</w:t>
      </w:r>
      <w:proofErr w:type="spellEnd"/>
      <w:r w:rsidR="00CB4981" w:rsidRPr="001F29F9">
        <w:rPr>
          <w:rFonts w:eastAsia="HiddenHorzOCR"/>
          <w:color w:val="000000" w:themeColor="text1"/>
          <w:szCs w:val="24"/>
        </w:rPr>
        <w:t xml:space="preserve"> </w:t>
      </w:r>
      <w:r w:rsidR="00CB4981">
        <w:rPr>
          <w:rFonts w:eastAsia="HiddenHorzOCR"/>
          <w:color w:val="000000" w:themeColor="text1"/>
          <w:szCs w:val="24"/>
        </w:rPr>
        <w:t xml:space="preserve">(nail fungal infection).  This was not associated with any </w:t>
      </w:r>
      <w:r w:rsidR="00017486">
        <w:rPr>
          <w:rFonts w:eastAsia="HiddenHorzOCR"/>
          <w:color w:val="000000" w:themeColor="text1"/>
          <w:szCs w:val="24"/>
        </w:rPr>
        <w:t>ratable</w:t>
      </w:r>
      <w:r w:rsidR="00CB4981">
        <w:rPr>
          <w:rFonts w:eastAsia="HiddenHorzOCR"/>
          <w:color w:val="000000" w:themeColor="text1"/>
          <w:szCs w:val="24"/>
        </w:rPr>
        <w:t xml:space="preserve"> disability.  </w:t>
      </w:r>
      <w:r w:rsidR="00CB4981">
        <w:rPr>
          <w:color w:val="000000" w:themeColor="text1"/>
          <w:szCs w:val="24"/>
        </w:rPr>
        <w:t>N</w:t>
      </w:r>
      <w:r w:rsidR="00D55860">
        <w:rPr>
          <w:color w:val="000000" w:themeColor="text1"/>
          <w:szCs w:val="24"/>
        </w:rPr>
        <w:t>o other conditions were service-</w:t>
      </w:r>
      <w:r w:rsidR="00CB4981" w:rsidRPr="001F29F9">
        <w:rPr>
          <w:color w:val="000000" w:themeColor="text1"/>
          <w:szCs w:val="24"/>
        </w:rPr>
        <w:t>connected with a compensable rating by the VA within</w:t>
      </w:r>
      <w:r w:rsidR="00D55860">
        <w:rPr>
          <w:color w:val="000000" w:themeColor="text1"/>
          <w:szCs w:val="24"/>
        </w:rPr>
        <w:t xml:space="preserve"> 12 </w:t>
      </w:r>
      <w:r w:rsidR="00CB4981" w:rsidRPr="001F29F9">
        <w:rPr>
          <w:color w:val="000000" w:themeColor="text1"/>
          <w:szCs w:val="24"/>
        </w:rPr>
        <w:t xml:space="preserve">months of separation. </w:t>
      </w:r>
      <w:r w:rsidR="00CB4981">
        <w:rPr>
          <w:color w:val="000000" w:themeColor="text1"/>
          <w:szCs w:val="24"/>
        </w:rPr>
        <w:t xml:space="preserve">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D55860">
        <w:rPr>
          <w:color w:val="000000" w:themeColor="text1"/>
          <w:szCs w:val="24"/>
        </w:rPr>
        <w:t>a</w:t>
      </w:r>
      <w:r w:rsidR="0080588E" w:rsidRPr="001F29F9">
        <w:rPr>
          <w:color w:val="000000" w:themeColor="text1"/>
          <w:szCs w:val="24"/>
        </w:rPr>
        <w:t xml:space="preserve">ction </w:t>
      </w:r>
      <w:r w:rsidR="00D55860">
        <w:rPr>
          <w:color w:val="000000" w:themeColor="text1"/>
          <w:szCs w:val="24"/>
        </w:rPr>
        <w:t>o</w:t>
      </w:r>
      <w:r w:rsidR="0080588E" w:rsidRPr="001F29F9">
        <w:rPr>
          <w:color w:val="000000" w:themeColor="text1"/>
          <w:szCs w:val="24"/>
        </w:rPr>
        <w:t xml:space="preserve">fficer </w:t>
      </w:r>
      <w:r w:rsidRPr="001F29F9">
        <w:rPr>
          <w:color w:val="000000" w:themeColor="text1"/>
          <w:szCs w:val="24"/>
        </w:rPr>
        <w:t xml:space="preserve">and considered by the Board.  There was no evidence for concluding that any of the conditions </w:t>
      </w:r>
      <w:r w:rsidRPr="001F29F9">
        <w:rPr>
          <w:color w:val="000000" w:themeColor="text1"/>
          <w:szCs w:val="24"/>
        </w:rPr>
        <w:lastRenderedPageBreak/>
        <w:t>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771F6D" w:rsidRPr="00771F6D" w:rsidRDefault="00C56FC8" w:rsidP="00771F6D">
      <w:pPr>
        <w:jc w:val="both"/>
        <w:rPr>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3D2367">
        <w:rPr>
          <w:rFonts w:eastAsiaTheme="minorHAnsi"/>
          <w:color w:val="000000" w:themeColor="text1"/>
          <w:szCs w:val="24"/>
        </w:rPr>
        <w:t xml:space="preserve">  </w:t>
      </w:r>
      <w:r w:rsidR="003D2367" w:rsidRPr="003D2367">
        <w:rPr>
          <w:rFonts w:eastAsiaTheme="minorHAnsi"/>
          <w:color w:val="000000" w:themeColor="text1"/>
          <w:szCs w:val="24"/>
        </w:rPr>
        <w:t xml:space="preserve">As discussed above, PEB reliance on the USAPDA pain policy for rating </w:t>
      </w:r>
      <w:r w:rsidR="003D2367">
        <w:rPr>
          <w:rFonts w:eastAsiaTheme="minorHAnsi"/>
          <w:color w:val="000000" w:themeColor="text1"/>
          <w:szCs w:val="24"/>
        </w:rPr>
        <w:t>the bilateral shoulder condition</w:t>
      </w:r>
      <w:r w:rsidR="00CB4981">
        <w:rPr>
          <w:rFonts w:eastAsiaTheme="minorHAnsi"/>
          <w:color w:val="000000" w:themeColor="text1"/>
          <w:szCs w:val="24"/>
        </w:rPr>
        <w:t>s</w:t>
      </w:r>
      <w:r w:rsidR="003D2367">
        <w:rPr>
          <w:rFonts w:eastAsiaTheme="minorHAnsi"/>
          <w:color w:val="000000" w:themeColor="text1"/>
          <w:szCs w:val="24"/>
        </w:rPr>
        <w:t xml:space="preserve"> </w:t>
      </w:r>
      <w:r w:rsidR="003D2367" w:rsidRPr="003D2367">
        <w:rPr>
          <w:rFonts w:eastAsiaTheme="minorHAnsi"/>
          <w:color w:val="000000" w:themeColor="text1"/>
          <w:szCs w:val="24"/>
        </w:rPr>
        <w:t xml:space="preserve">was operant in this case and </w:t>
      </w:r>
      <w:r w:rsidR="003D2367" w:rsidRPr="003C0CF0">
        <w:rPr>
          <w:rFonts w:eastAsiaTheme="minorHAnsi"/>
          <w:color w:val="000000" w:themeColor="text1"/>
          <w:szCs w:val="24"/>
        </w:rPr>
        <w:t>the condition</w:t>
      </w:r>
      <w:r w:rsidR="00CB4981">
        <w:rPr>
          <w:rFonts w:eastAsiaTheme="minorHAnsi"/>
          <w:color w:val="000000" w:themeColor="text1"/>
          <w:szCs w:val="24"/>
        </w:rPr>
        <w:t>s were</w:t>
      </w:r>
      <w:r w:rsidR="003D2367" w:rsidRPr="003C0CF0">
        <w:rPr>
          <w:rFonts w:eastAsiaTheme="minorHAnsi"/>
          <w:color w:val="000000" w:themeColor="text1"/>
          <w:szCs w:val="24"/>
        </w:rPr>
        <w:t xml:space="preserve"> adjudicated </w:t>
      </w:r>
      <w:r w:rsidR="003D2367" w:rsidRPr="0072341D">
        <w:rPr>
          <w:rFonts w:eastAsiaTheme="minorHAnsi"/>
          <w:color w:val="000000" w:themeColor="text1"/>
          <w:szCs w:val="24"/>
        </w:rPr>
        <w:t xml:space="preserve">independently of that policy by the Board.  In the matter of the bilateral shoulder condition, the Board unanimously recommends that each joint be separately adjudicated as follows: an unfitting right shoulder condition coded </w:t>
      </w:r>
      <w:r w:rsidR="003C0CF0" w:rsidRPr="0072341D">
        <w:rPr>
          <w:rFonts w:eastAsiaTheme="minorHAnsi"/>
          <w:color w:val="000000" w:themeColor="text1"/>
          <w:szCs w:val="24"/>
        </w:rPr>
        <w:t>5010</w:t>
      </w:r>
      <w:r w:rsidR="00C1586F" w:rsidRPr="0072341D">
        <w:rPr>
          <w:rFonts w:eastAsiaTheme="minorHAnsi"/>
          <w:color w:val="000000" w:themeColor="text1"/>
          <w:szCs w:val="24"/>
        </w:rPr>
        <w:t xml:space="preserve"> </w:t>
      </w:r>
      <w:r w:rsidR="003D2367" w:rsidRPr="0072341D">
        <w:rPr>
          <w:rFonts w:eastAsiaTheme="minorHAnsi"/>
          <w:color w:val="000000" w:themeColor="text1"/>
          <w:szCs w:val="24"/>
        </w:rPr>
        <w:t xml:space="preserve">and rated </w:t>
      </w:r>
      <w:r w:rsidR="00C1586F" w:rsidRPr="0072341D">
        <w:rPr>
          <w:rFonts w:eastAsiaTheme="minorHAnsi"/>
          <w:color w:val="000000" w:themeColor="text1"/>
          <w:szCs w:val="24"/>
        </w:rPr>
        <w:t>1</w:t>
      </w:r>
      <w:r w:rsidR="003D2367" w:rsidRPr="0072341D">
        <w:rPr>
          <w:rFonts w:eastAsiaTheme="minorHAnsi"/>
          <w:color w:val="000000" w:themeColor="text1"/>
          <w:szCs w:val="24"/>
        </w:rPr>
        <w:t>0%</w:t>
      </w:r>
      <w:r w:rsidR="006C19F1" w:rsidRPr="0072341D">
        <w:rPr>
          <w:rFonts w:eastAsiaTheme="minorHAnsi"/>
          <w:color w:val="000000" w:themeColor="text1"/>
          <w:szCs w:val="24"/>
        </w:rPr>
        <w:t xml:space="preserve"> IAW VASRD §4.71a</w:t>
      </w:r>
      <w:r w:rsidR="003D2367" w:rsidRPr="0072341D">
        <w:rPr>
          <w:rFonts w:eastAsiaTheme="minorHAnsi"/>
          <w:color w:val="000000" w:themeColor="text1"/>
          <w:szCs w:val="24"/>
        </w:rPr>
        <w:t xml:space="preserve">; and, an unfitting left </w:t>
      </w:r>
      <w:r w:rsidR="00C1586F" w:rsidRPr="0072341D">
        <w:rPr>
          <w:rFonts w:eastAsiaTheme="minorHAnsi"/>
          <w:color w:val="000000" w:themeColor="text1"/>
          <w:szCs w:val="24"/>
        </w:rPr>
        <w:t xml:space="preserve">shoulder </w:t>
      </w:r>
      <w:r w:rsidR="003D2367" w:rsidRPr="0072341D">
        <w:rPr>
          <w:rFonts w:eastAsiaTheme="minorHAnsi"/>
          <w:color w:val="000000" w:themeColor="text1"/>
          <w:szCs w:val="24"/>
        </w:rPr>
        <w:t xml:space="preserve">condition coded </w:t>
      </w:r>
      <w:r w:rsidR="00D85273" w:rsidRPr="0072341D">
        <w:rPr>
          <w:rFonts w:eastAsiaTheme="minorHAnsi"/>
          <w:color w:val="000000" w:themeColor="text1"/>
          <w:szCs w:val="24"/>
        </w:rPr>
        <w:t>5</w:t>
      </w:r>
      <w:r w:rsidR="006C19F1" w:rsidRPr="0072341D">
        <w:rPr>
          <w:rFonts w:eastAsiaTheme="minorHAnsi"/>
          <w:color w:val="000000" w:themeColor="text1"/>
          <w:szCs w:val="24"/>
        </w:rPr>
        <w:t>303</w:t>
      </w:r>
      <w:r w:rsidR="00D85273" w:rsidRPr="0072341D">
        <w:rPr>
          <w:rFonts w:eastAsiaTheme="minorHAnsi"/>
          <w:color w:val="000000" w:themeColor="text1"/>
          <w:szCs w:val="24"/>
        </w:rPr>
        <w:t xml:space="preserve"> </w:t>
      </w:r>
      <w:r w:rsidR="003D2367" w:rsidRPr="0072341D">
        <w:rPr>
          <w:rFonts w:eastAsiaTheme="minorHAnsi"/>
          <w:color w:val="000000" w:themeColor="text1"/>
          <w:szCs w:val="24"/>
        </w:rPr>
        <w:t xml:space="preserve">and rated </w:t>
      </w:r>
      <w:r w:rsidR="00C1586F" w:rsidRPr="0072341D">
        <w:rPr>
          <w:rFonts w:eastAsiaTheme="minorHAnsi"/>
          <w:color w:val="000000" w:themeColor="text1"/>
          <w:szCs w:val="24"/>
        </w:rPr>
        <w:t>2</w:t>
      </w:r>
      <w:r w:rsidR="003D2367" w:rsidRPr="0072341D">
        <w:rPr>
          <w:rFonts w:eastAsiaTheme="minorHAnsi"/>
          <w:color w:val="000000" w:themeColor="text1"/>
          <w:szCs w:val="24"/>
        </w:rPr>
        <w:t>0%</w:t>
      </w:r>
      <w:r w:rsidR="00C1586F" w:rsidRPr="0072341D">
        <w:rPr>
          <w:rFonts w:eastAsiaTheme="minorHAnsi"/>
          <w:color w:val="000000" w:themeColor="text1"/>
          <w:szCs w:val="24"/>
        </w:rPr>
        <w:t>, IAW</w:t>
      </w:r>
      <w:r w:rsidR="006C19F1" w:rsidRPr="0072341D">
        <w:rPr>
          <w:rFonts w:asciiTheme="minorHAnsi" w:hAnsiTheme="minorHAnsi"/>
          <w:color w:val="auto"/>
          <w:szCs w:val="24"/>
        </w:rPr>
        <w:t xml:space="preserve"> VASRD </w:t>
      </w:r>
      <w:r w:rsidR="006C19F1" w:rsidRPr="0072341D">
        <w:rPr>
          <w:rFonts w:asciiTheme="minorHAnsi" w:hAnsiTheme="minorHAnsi"/>
          <w:bCs/>
          <w:color w:val="auto"/>
          <w:szCs w:val="24"/>
        </w:rPr>
        <w:t>§4.73</w:t>
      </w:r>
      <w:r w:rsidR="00D85273" w:rsidRPr="0072341D">
        <w:rPr>
          <w:rFonts w:eastAsiaTheme="minorHAnsi"/>
          <w:color w:val="000000" w:themeColor="text1"/>
          <w:szCs w:val="24"/>
        </w:rPr>
        <w:t xml:space="preserve">.  </w:t>
      </w:r>
      <w:r w:rsidR="00C1586F" w:rsidRPr="0072341D">
        <w:rPr>
          <w:rFonts w:eastAsiaTheme="minorHAnsi"/>
          <w:color w:val="000000" w:themeColor="text1"/>
          <w:szCs w:val="24"/>
        </w:rPr>
        <w:t xml:space="preserve">In the matter of the right </w:t>
      </w:r>
      <w:r w:rsidR="006C19F1" w:rsidRPr="0072341D">
        <w:rPr>
          <w:rFonts w:eastAsiaTheme="minorHAnsi"/>
          <w:color w:val="000000" w:themeColor="text1"/>
          <w:szCs w:val="24"/>
        </w:rPr>
        <w:t>hand</w:t>
      </w:r>
      <w:r w:rsidR="00C1586F" w:rsidRPr="0072341D">
        <w:rPr>
          <w:rFonts w:eastAsiaTheme="minorHAnsi"/>
          <w:color w:val="000000" w:themeColor="text1"/>
          <w:szCs w:val="24"/>
        </w:rPr>
        <w:t xml:space="preserve"> condition, the Board unanimously</w:t>
      </w:r>
      <w:r w:rsidR="00C1586F" w:rsidRPr="003C0CF0">
        <w:rPr>
          <w:rFonts w:eastAsiaTheme="minorHAnsi"/>
          <w:color w:val="000000" w:themeColor="text1"/>
          <w:szCs w:val="24"/>
        </w:rPr>
        <w:t xml:space="preserve"> recommends a rating of </w:t>
      </w:r>
      <w:r w:rsidR="006C19F1" w:rsidRPr="003C0CF0">
        <w:rPr>
          <w:rFonts w:eastAsiaTheme="minorHAnsi"/>
          <w:color w:val="000000" w:themeColor="text1"/>
          <w:szCs w:val="24"/>
        </w:rPr>
        <w:t>2</w:t>
      </w:r>
      <w:r w:rsidR="00C1586F" w:rsidRPr="003C0CF0">
        <w:rPr>
          <w:rFonts w:eastAsiaTheme="minorHAnsi"/>
          <w:color w:val="000000" w:themeColor="text1"/>
          <w:szCs w:val="24"/>
        </w:rPr>
        <w:t>0% coded 85</w:t>
      </w:r>
      <w:r w:rsidR="006C19F1" w:rsidRPr="003C0CF0">
        <w:rPr>
          <w:rFonts w:eastAsiaTheme="minorHAnsi"/>
          <w:color w:val="000000" w:themeColor="text1"/>
          <w:szCs w:val="24"/>
        </w:rPr>
        <w:t>99-8512</w:t>
      </w:r>
      <w:r w:rsidR="00C1586F" w:rsidRPr="003C0CF0">
        <w:rPr>
          <w:rFonts w:eastAsiaTheme="minorHAnsi"/>
          <w:color w:val="000000" w:themeColor="text1"/>
          <w:szCs w:val="24"/>
        </w:rPr>
        <w:t xml:space="preserve"> IAW VASRD §4.124a.  In the matter of the </w:t>
      </w:r>
      <w:proofErr w:type="spellStart"/>
      <w:r w:rsidR="00C1586F" w:rsidRPr="003C0CF0">
        <w:rPr>
          <w:color w:val="000000" w:themeColor="text1"/>
          <w:szCs w:val="24"/>
        </w:rPr>
        <w:t>hyperlipidemia</w:t>
      </w:r>
      <w:proofErr w:type="spellEnd"/>
      <w:r w:rsidR="00C1586F" w:rsidRPr="003C0CF0">
        <w:rPr>
          <w:color w:val="000000" w:themeColor="text1"/>
          <w:szCs w:val="24"/>
        </w:rPr>
        <w:t xml:space="preserve">, allergic rhinitis, and left ear </w:t>
      </w:r>
      <w:r w:rsidR="00CB4981">
        <w:rPr>
          <w:rFonts w:eastAsiaTheme="minorHAnsi"/>
          <w:color w:val="000000" w:themeColor="text1"/>
          <w:szCs w:val="24"/>
        </w:rPr>
        <w:t>conditions;</w:t>
      </w:r>
      <w:r w:rsidR="00C1586F" w:rsidRPr="003C0CF0">
        <w:rPr>
          <w:rFonts w:eastAsiaTheme="minorHAnsi"/>
          <w:color w:val="000000" w:themeColor="text1"/>
          <w:szCs w:val="24"/>
        </w:rPr>
        <w:t xml:space="preserve"> the Board unanimously recommends no change from the PEB adjudications as not unfitting.</w:t>
      </w:r>
      <w:r w:rsidR="00776AD5" w:rsidRPr="003C0CF0">
        <w:rPr>
          <w:rFonts w:eastAsiaTheme="minorHAnsi"/>
          <w:color w:val="000000" w:themeColor="text1"/>
          <w:szCs w:val="24"/>
        </w:rPr>
        <w:t xml:space="preserve">  </w:t>
      </w:r>
      <w:r w:rsidR="00776AD5" w:rsidRPr="003C0CF0">
        <w:rPr>
          <w:color w:val="000000" w:themeColor="text1"/>
          <w:szCs w:val="24"/>
        </w:rPr>
        <w:t xml:space="preserve">In the matter of the contended </w:t>
      </w:r>
      <w:r w:rsidR="00EA357E">
        <w:rPr>
          <w:color w:val="000000" w:themeColor="text1"/>
          <w:szCs w:val="24"/>
        </w:rPr>
        <w:t>PTSD</w:t>
      </w:r>
      <w:r w:rsidR="00776AD5" w:rsidRPr="003C0CF0">
        <w:rPr>
          <w:rFonts w:eastAsia="HiddenHorzOCR"/>
          <w:color w:val="000000" w:themeColor="text1"/>
          <w:szCs w:val="24"/>
        </w:rPr>
        <w:t>, right knee</w:t>
      </w:r>
      <w:r w:rsidR="00CB4981">
        <w:rPr>
          <w:rFonts w:eastAsia="HiddenHorzOCR"/>
          <w:color w:val="000000" w:themeColor="text1"/>
          <w:szCs w:val="24"/>
        </w:rPr>
        <w:t xml:space="preserve"> condition</w:t>
      </w:r>
      <w:r w:rsidR="00776AD5" w:rsidRPr="003C0CF0">
        <w:rPr>
          <w:rFonts w:eastAsia="HiddenHorzOCR"/>
          <w:color w:val="000000" w:themeColor="text1"/>
          <w:szCs w:val="24"/>
        </w:rPr>
        <w:t xml:space="preserve">, cervical strain, scar of the right long finger, and left median nerve </w:t>
      </w:r>
      <w:r w:rsidR="00CB4981">
        <w:rPr>
          <w:color w:val="000000" w:themeColor="text1"/>
          <w:szCs w:val="24"/>
        </w:rPr>
        <w:t>condition;</w:t>
      </w:r>
      <w:r w:rsidR="00776AD5" w:rsidRPr="003C0CF0">
        <w:rPr>
          <w:color w:val="000000" w:themeColor="text1"/>
          <w:szCs w:val="24"/>
        </w:rPr>
        <w:t xml:space="preserve"> the Board unanimously agrees that it cannot recommend a</w:t>
      </w:r>
      <w:r w:rsidR="00CB4981">
        <w:rPr>
          <w:color w:val="000000" w:themeColor="text1"/>
          <w:szCs w:val="24"/>
        </w:rPr>
        <w:t>ny</w:t>
      </w:r>
      <w:r w:rsidR="00776AD5" w:rsidRPr="003C0CF0">
        <w:rPr>
          <w:color w:val="000000" w:themeColor="text1"/>
          <w:szCs w:val="24"/>
        </w:rPr>
        <w:t xml:space="preserve"> finding of unfit for additional rating at separation.  </w:t>
      </w:r>
      <w:r w:rsidR="00771F6D" w:rsidRPr="00771F6D">
        <w:rPr>
          <w:color w:val="000000" w:themeColor="text1"/>
          <w:szCs w:val="24"/>
        </w:rPr>
        <w:t>The Board unanimously agrees that there were no other conditions eligible for Board consideration which could be recommended as additionally unfitting for rating at separation.</w:t>
      </w:r>
    </w:p>
    <w:p w:rsidR="00461A7C" w:rsidRPr="001F29F9" w:rsidRDefault="00461A7C" w:rsidP="00461A7C">
      <w:pPr>
        <w:pBdr>
          <w:bottom w:val="single" w:sz="12" w:space="1" w:color="auto"/>
        </w:pBdr>
        <w:tabs>
          <w:tab w:val="left" w:pos="288"/>
          <w:tab w:val="left" w:pos="4752"/>
        </w:tabs>
        <w:jc w:val="both"/>
        <w:rPr>
          <w:color w:val="000000" w:themeColor="text1"/>
        </w:rPr>
      </w:pPr>
    </w:p>
    <w:p w:rsidR="00461A7C" w:rsidRPr="001F29F9" w:rsidRDefault="00461A7C" w:rsidP="00461A7C">
      <w:pPr>
        <w:jc w:val="left"/>
        <w:rPr>
          <w:color w:val="000000" w:themeColor="text1"/>
          <w:szCs w:val="24"/>
        </w:rPr>
      </w:pPr>
    </w:p>
    <w:p w:rsidR="008208C3" w:rsidRPr="00461A7C" w:rsidRDefault="00C56FC8" w:rsidP="00461A7C">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461A7C">
        <w:rPr>
          <w:color w:val="000000" w:themeColor="text1"/>
        </w:rPr>
        <w:t xml:space="preserve">  </w:t>
      </w:r>
      <w:r w:rsidR="008208C3" w:rsidRPr="001F29F9">
        <w:rPr>
          <w:color w:val="000000" w:themeColor="text1"/>
          <w:szCs w:val="24"/>
        </w:rPr>
        <w:t xml:space="preserve">The Board recommends that the CI’s prior determination be modified as follows and that the discharge with severance pay be </w:t>
      </w:r>
      <w:proofErr w:type="spellStart"/>
      <w:r w:rsidR="008208C3" w:rsidRPr="001F29F9">
        <w:rPr>
          <w:color w:val="000000" w:themeColor="text1"/>
          <w:szCs w:val="24"/>
        </w:rPr>
        <w:t>recharacterized</w:t>
      </w:r>
      <w:proofErr w:type="spellEnd"/>
      <w:r w:rsidR="008208C3" w:rsidRPr="001F29F9">
        <w:rPr>
          <w:color w:val="000000" w:themeColor="text1"/>
          <w:szCs w:val="24"/>
        </w:rPr>
        <w:t xml:space="preserve"> to reflect permanent disability retirement, effective as of the date of his</w:t>
      </w:r>
      <w:r w:rsidR="00776AD5">
        <w:rPr>
          <w:color w:val="000000" w:themeColor="text1"/>
          <w:szCs w:val="24"/>
        </w:rPr>
        <w:t xml:space="preserve"> </w:t>
      </w:r>
      <w:r w:rsidR="00911B11" w:rsidRPr="001F29F9">
        <w:rPr>
          <w:color w:val="000000" w:themeColor="text1"/>
          <w:szCs w:val="24"/>
        </w:rPr>
        <w:t>prior medical separation:</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782"/>
        <w:gridCol w:w="1598"/>
        <w:gridCol w:w="1084"/>
      </w:tblGrid>
      <w:tr w:rsidR="004101B2" w:rsidRPr="006F21F6" w:rsidTr="00B14257">
        <w:trPr>
          <w:trHeight w:val="206"/>
          <w:jc w:val="center"/>
        </w:trPr>
        <w:tc>
          <w:tcPr>
            <w:tcW w:w="6588" w:type="dxa"/>
            <w:gridSpan w:val="2"/>
            <w:tcBorders>
              <w:right w:val="single" w:sz="4" w:space="0" w:color="auto"/>
            </w:tcBorders>
            <w:shd w:val="clear" w:color="auto" w:fill="D9D9D9"/>
            <w:vAlign w:val="center"/>
          </w:tcPr>
          <w:p w:rsidR="004101B2" w:rsidRPr="006F21F6" w:rsidRDefault="004101B2" w:rsidP="00BF0E94">
            <w:pPr>
              <w:tabs>
                <w:tab w:val="left" w:pos="288"/>
                <w:tab w:val="left" w:pos="4752"/>
              </w:tabs>
              <w:rPr>
                <w:b/>
                <w:color w:val="000000" w:themeColor="text1"/>
                <w:szCs w:val="24"/>
              </w:rPr>
            </w:pPr>
            <w:r w:rsidRPr="006F21F6">
              <w:rPr>
                <w:b/>
                <w:color w:val="000000" w:themeColor="text1"/>
                <w:szCs w:val="24"/>
              </w:rPr>
              <w:t>UNFITTING CONDITION</w:t>
            </w:r>
          </w:p>
        </w:tc>
        <w:tc>
          <w:tcPr>
            <w:tcW w:w="1598" w:type="dxa"/>
            <w:tcBorders>
              <w:left w:val="single" w:sz="4" w:space="0" w:color="auto"/>
            </w:tcBorders>
            <w:shd w:val="clear" w:color="auto" w:fill="D9D9D9"/>
            <w:vAlign w:val="center"/>
          </w:tcPr>
          <w:p w:rsidR="004101B2" w:rsidRPr="006F21F6" w:rsidRDefault="004101B2" w:rsidP="00BF0E94">
            <w:pPr>
              <w:tabs>
                <w:tab w:val="left" w:pos="288"/>
                <w:tab w:val="left" w:pos="4752"/>
              </w:tabs>
              <w:rPr>
                <w:b/>
                <w:color w:val="000000" w:themeColor="text1"/>
                <w:szCs w:val="24"/>
              </w:rPr>
            </w:pPr>
            <w:r w:rsidRPr="006F21F6">
              <w:rPr>
                <w:b/>
                <w:color w:val="000000" w:themeColor="text1"/>
                <w:szCs w:val="24"/>
              </w:rPr>
              <w:t>VASRD CODE</w:t>
            </w:r>
          </w:p>
        </w:tc>
        <w:tc>
          <w:tcPr>
            <w:tcW w:w="1084" w:type="dxa"/>
            <w:shd w:val="clear" w:color="auto" w:fill="D9D9D9"/>
            <w:vAlign w:val="center"/>
          </w:tcPr>
          <w:p w:rsidR="004101B2" w:rsidRPr="006F21F6" w:rsidRDefault="004101B2" w:rsidP="00BF0E94">
            <w:pPr>
              <w:tabs>
                <w:tab w:val="left" w:pos="288"/>
                <w:tab w:val="left" w:pos="4752"/>
              </w:tabs>
              <w:rPr>
                <w:b/>
                <w:color w:val="000000" w:themeColor="text1"/>
                <w:szCs w:val="24"/>
              </w:rPr>
            </w:pPr>
            <w:r w:rsidRPr="006F21F6">
              <w:rPr>
                <w:b/>
                <w:color w:val="000000" w:themeColor="text1"/>
                <w:szCs w:val="24"/>
              </w:rPr>
              <w:t>RATING</w:t>
            </w:r>
          </w:p>
        </w:tc>
      </w:tr>
      <w:tr w:rsidR="000C203A" w:rsidRPr="006F21F6" w:rsidTr="00B14257">
        <w:trPr>
          <w:jc w:val="center"/>
        </w:trPr>
        <w:tc>
          <w:tcPr>
            <w:tcW w:w="6588" w:type="dxa"/>
            <w:gridSpan w:val="2"/>
            <w:tcBorders>
              <w:right w:val="single" w:sz="4" w:space="0" w:color="auto"/>
            </w:tcBorders>
            <w:vAlign w:val="center"/>
          </w:tcPr>
          <w:p w:rsidR="000C203A" w:rsidRPr="006F21F6" w:rsidRDefault="000C203A" w:rsidP="000C203A">
            <w:pPr>
              <w:tabs>
                <w:tab w:val="left" w:pos="288"/>
                <w:tab w:val="left" w:pos="4752"/>
              </w:tabs>
              <w:jc w:val="left"/>
              <w:rPr>
                <w:color w:val="000000" w:themeColor="text1"/>
                <w:szCs w:val="24"/>
              </w:rPr>
            </w:pPr>
            <w:r>
              <w:rPr>
                <w:color w:val="000000" w:themeColor="text1"/>
                <w:szCs w:val="24"/>
              </w:rPr>
              <w:t>Peripheral Neuropathy and Trauma Residuals, Right Hand</w:t>
            </w:r>
          </w:p>
        </w:tc>
        <w:tc>
          <w:tcPr>
            <w:tcW w:w="1598" w:type="dxa"/>
            <w:tcBorders>
              <w:left w:val="single" w:sz="4" w:space="0" w:color="auto"/>
            </w:tcBorders>
            <w:vAlign w:val="center"/>
          </w:tcPr>
          <w:p w:rsidR="000C203A" w:rsidRPr="006F21F6" w:rsidRDefault="000C203A" w:rsidP="000C203A">
            <w:pPr>
              <w:tabs>
                <w:tab w:val="left" w:pos="288"/>
                <w:tab w:val="left" w:pos="4752"/>
              </w:tabs>
              <w:rPr>
                <w:color w:val="000000" w:themeColor="text1"/>
                <w:szCs w:val="24"/>
              </w:rPr>
            </w:pPr>
            <w:r w:rsidRPr="006F21F6">
              <w:rPr>
                <w:color w:val="000000" w:themeColor="text1"/>
                <w:szCs w:val="24"/>
              </w:rPr>
              <w:t>8599-8512</w:t>
            </w:r>
          </w:p>
        </w:tc>
        <w:tc>
          <w:tcPr>
            <w:tcW w:w="1084" w:type="dxa"/>
            <w:vAlign w:val="center"/>
          </w:tcPr>
          <w:p w:rsidR="000C203A" w:rsidRPr="006F21F6" w:rsidRDefault="000C203A" w:rsidP="000C203A">
            <w:pPr>
              <w:tabs>
                <w:tab w:val="left" w:pos="288"/>
                <w:tab w:val="left" w:pos="4752"/>
              </w:tabs>
              <w:rPr>
                <w:color w:val="000000" w:themeColor="text1"/>
                <w:szCs w:val="24"/>
              </w:rPr>
            </w:pPr>
            <w:r w:rsidRPr="006F21F6">
              <w:rPr>
                <w:color w:val="000000" w:themeColor="text1"/>
                <w:szCs w:val="24"/>
              </w:rPr>
              <w:t>20%</w:t>
            </w:r>
          </w:p>
        </w:tc>
      </w:tr>
      <w:tr w:rsidR="000C203A" w:rsidRPr="006F21F6" w:rsidTr="00B14257">
        <w:trPr>
          <w:jc w:val="center"/>
        </w:trPr>
        <w:tc>
          <w:tcPr>
            <w:tcW w:w="6588" w:type="dxa"/>
            <w:gridSpan w:val="2"/>
            <w:tcBorders>
              <w:right w:val="single" w:sz="4" w:space="0" w:color="auto"/>
            </w:tcBorders>
            <w:vAlign w:val="center"/>
          </w:tcPr>
          <w:p w:rsidR="000C203A" w:rsidRPr="006F21F6" w:rsidRDefault="000C203A" w:rsidP="000C203A">
            <w:pPr>
              <w:tabs>
                <w:tab w:val="left" w:pos="288"/>
                <w:tab w:val="left" w:pos="4752"/>
              </w:tabs>
              <w:jc w:val="left"/>
              <w:rPr>
                <w:color w:val="000000" w:themeColor="text1"/>
                <w:szCs w:val="24"/>
              </w:rPr>
            </w:pPr>
            <w:r>
              <w:rPr>
                <w:color w:val="000000" w:themeColor="text1"/>
                <w:szCs w:val="24"/>
              </w:rPr>
              <w:t xml:space="preserve">Shrapnel Injuries, </w:t>
            </w:r>
            <w:r w:rsidRPr="006F21F6">
              <w:rPr>
                <w:color w:val="000000" w:themeColor="text1"/>
                <w:szCs w:val="24"/>
              </w:rPr>
              <w:t xml:space="preserve">Left Shoulder </w:t>
            </w:r>
            <w:r>
              <w:rPr>
                <w:color w:val="000000" w:themeColor="text1"/>
                <w:szCs w:val="24"/>
              </w:rPr>
              <w:t>and Deltoid</w:t>
            </w:r>
            <w:r w:rsidRPr="006F21F6">
              <w:rPr>
                <w:color w:val="000000" w:themeColor="text1"/>
                <w:szCs w:val="24"/>
              </w:rPr>
              <w:t xml:space="preserve"> </w:t>
            </w:r>
          </w:p>
        </w:tc>
        <w:tc>
          <w:tcPr>
            <w:tcW w:w="1598" w:type="dxa"/>
            <w:tcBorders>
              <w:left w:val="single" w:sz="4" w:space="0" w:color="auto"/>
            </w:tcBorders>
            <w:vAlign w:val="center"/>
          </w:tcPr>
          <w:p w:rsidR="000C203A" w:rsidRPr="006F21F6" w:rsidRDefault="000C203A" w:rsidP="000C203A">
            <w:pPr>
              <w:tabs>
                <w:tab w:val="left" w:pos="288"/>
                <w:tab w:val="left" w:pos="4752"/>
              </w:tabs>
              <w:rPr>
                <w:color w:val="000000" w:themeColor="text1"/>
                <w:szCs w:val="24"/>
              </w:rPr>
            </w:pPr>
            <w:r w:rsidRPr="006F21F6">
              <w:rPr>
                <w:color w:val="000000" w:themeColor="text1"/>
                <w:szCs w:val="24"/>
              </w:rPr>
              <w:t>5303</w:t>
            </w:r>
          </w:p>
        </w:tc>
        <w:tc>
          <w:tcPr>
            <w:tcW w:w="1084" w:type="dxa"/>
            <w:vAlign w:val="center"/>
          </w:tcPr>
          <w:p w:rsidR="000C203A" w:rsidRPr="006F21F6" w:rsidRDefault="000C203A" w:rsidP="000C203A">
            <w:pPr>
              <w:tabs>
                <w:tab w:val="left" w:pos="288"/>
                <w:tab w:val="left" w:pos="4752"/>
              </w:tabs>
              <w:rPr>
                <w:color w:val="000000" w:themeColor="text1"/>
                <w:szCs w:val="24"/>
              </w:rPr>
            </w:pPr>
            <w:r w:rsidRPr="006F21F6">
              <w:rPr>
                <w:color w:val="000000" w:themeColor="text1"/>
                <w:szCs w:val="24"/>
              </w:rPr>
              <w:t>20%</w:t>
            </w:r>
          </w:p>
        </w:tc>
      </w:tr>
      <w:tr w:rsidR="000C203A" w:rsidRPr="006F21F6" w:rsidTr="00B14257">
        <w:trPr>
          <w:jc w:val="center"/>
        </w:trPr>
        <w:tc>
          <w:tcPr>
            <w:tcW w:w="6588" w:type="dxa"/>
            <w:gridSpan w:val="2"/>
            <w:tcBorders>
              <w:right w:val="single" w:sz="4" w:space="0" w:color="auto"/>
            </w:tcBorders>
            <w:vAlign w:val="center"/>
          </w:tcPr>
          <w:p w:rsidR="000C203A" w:rsidRPr="006F21F6" w:rsidRDefault="000C203A" w:rsidP="000C203A">
            <w:pPr>
              <w:tabs>
                <w:tab w:val="left" w:pos="288"/>
                <w:tab w:val="left" w:pos="4752"/>
              </w:tabs>
              <w:jc w:val="left"/>
              <w:rPr>
                <w:color w:val="000000" w:themeColor="text1"/>
                <w:szCs w:val="24"/>
              </w:rPr>
            </w:pPr>
            <w:r>
              <w:rPr>
                <w:color w:val="000000" w:themeColor="text1"/>
                <w:szCs w:val="24"/>
              </w:rPr>
              <w:t xml:space="preserve">Traumatic Arthritis and Surgical Residuals, </w:t>
            </w:r>
            <w:r w:rsidRPr="006F21F6">
              <w:rPr>
                <w:color w:val="000000" w:themeColor="text1"/>
                <w:szCs w:val="24"/>
              </w:rPr>
              <w:t>Right Shoulder</w:t>
            </w:r>
          </w:p>
        </w:tc>
        <w:tc>
          <w:tcPr>
            <w:tcW w:w="1598" w:type="dxa"/>
            <w:tcBorders>
              <w:left w:val="single" w:sz="4" w:space="0" w:color="auto"/>
            </w:tcBorders>
            <w:vAlign w:val="center"/>
          </w:tcPr>
          <w:p w:rsidR="000C203A" w:rsidRPr="006F21F6" w:rsidRDefault="000C203A" w:rsidP="000C203A">
            <w:pPr>
              <w:tabs>
                <w:tab w:val="left" w:pos="288"/>
                <w:tab w:val="left" w:pos="4752"/>
              </w:tabs>
              <w:rPr>
                <w:color w:val="000000" w:themeColor="text1"/>
                <w:szCs w:val="24"/>
              </w:rPr>
            </w:pPr>
            <w:r>
              <w:rPr>
                <w:color w:val="000000" w:themeColor="text1"/>
                <w:szCs w:val="24"/>
              </w:rPr>
              <w:t>5010</w:t>
            </w:r>
          </w:p>
        </w:tc>
        <w:tc>
          <w:tcPr>
            <w:tcW w:w="1084" w:type="dxa"/>
            <w:vAlign w:val="center"/>
          </w:tcPr>
          <w:p w:rsidR="000C203A" w:rsidRPr="006F21F6" w:rsidRDefault="000C203A" w:rsidP="000C203A">
            <w:pPr>
              <w:tabs>
                <w:tab w:val="left" w:pos="288"/>
                <w:tab w:val="left" w:pos="4752"/>
              </w:tabs>
              <w:rPr>
                <w:color w:val="000000" w:themeColor="text1"/>
                <w:szCs w:val="24"/>
              </w:rPr>
            </w:pPr>
            <w:r w:rsidRPr="006F21F6">
              <w:rPr>
                <w:color w:val="000000" w:themeColor="text1"/>
                <w:szCs w:val="24"/>
              </w:rPr>
              <w:t>10%</w:t>
            </w:r>
          </w:p>
        </w:tc>
      </w:tr>
      <w:tr w:rsidR="000C203A"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0C203A" w:rsidRPr="006F21F6" w:rsidRDefault="000C203A" w:rsidP="000C203A">
            <w:pPr>
              <w:tabs>
                <w:tab w:val="left" w:pos="288"/>
                <w:tab w:val="left" w:pos="4752"/>
              </w:tabs>
              <w:rPr>
                <w:b/>
                <w:color w:val="000000" w:themeColor="text1"/>
                <w:szCs w:val="24"/>
              </w:rPr>
            </w:pPr>
            <w:r w:rsidRPr="006F21F6">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0C203A" w:rsidRPr="001F29F9" w:rsidRDefault="00BF50DE" w:rsidP="000C203A">
            <w:pPr>
              <w:tabs>
                <w:tab w:val="left" w:pos="288"/>
                <w:tab w:val="left" w:pos="4752"/>
              </w:tabs>
              <w:rPr>
                <w:b/>
                <w:color w:val="000000" w:themeColor="text1"/>
                <w:szCs w:val="24"/>
              </w:rPr>
            </w:pPr>
            <w:r>
              <w:rPr>
                <w:b/>
                <w:color w:val="000000" w:themeColor="text1"/>
                <w:szCs w:val="24"/>
              </w:rPr>
              <w:t>5</w:t>
            </w:r>
            <w:r w:rsidR="000C203A" w:rsidRPr="006F21F6">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1C19BB">
        <w:rPr>
          <w:color w:val="000000" w:themeColor="text1"/>
          <w:szCs w:val="24"/>
        </w:rPr>
        <w:t>01116</w:t>
      </w:r>
      <w:r w:rsidR="00D55860">
        <w:rPr>
          <w:color w:val="000000" w:themeColor="text1"/>
        </w:rPr>
        <w:t>, w/</w:t>
      </w:r>
      <w:proofErr w:type="spellStart"/>
      <w:r w:rsidR="00D55860">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D55860">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55860">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C3BE0" w:rsidP="00BF0E94">
      <w:pPr>
        <w:tabs>
          <w:tab w:val="left" w:pos="0"/>
          <w:tab w:val="left" w:pos="4320"/>
        </w:tabs>
        <w:jc w:val="both"/>
        <w:rPr>
          <w:color w:val="000000" w:themeColor="text1"/>
          <w:szCs w:val="24"/>
        </w:rPr>
      </w:pPr>
      <w:r>
        <w:rPr>
          <w:color w:val="000000" w:themeColor="text1"/>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C3BE0" w:rsidRDefault="002F195B" w:rsidP="00EF3E89">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C3BE0" w:rsidRDefault="002C3BE0">
      <w:pPr>
        <w:rPr>
          <w:color w:val="000000" w:themeColor="text1"/>
          <w:szCs w:val="24"/>
        </w:rPr>
      </w:pPr>
      <w:r>
        <w:rPr>
          <w:color w:val="000000" w:themeColor="text1"/>
          <w:szCs w:val="24"/>
        </w:rPr>
        <w:br w:type="page"/>
      </w: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lastRenderedPageBreak/>
        <w:t>SFMR-RB</w:t>
      </w:r>
      <w:r w:rsidRPr="002C3BE0">
        <w:rPr>
          <w:color w:val="000000" w:themeColor="text1"/>
          <w:szCs w:val="24"/>
        </w:rPr>
        <w:tab/>
      </w:r>
      <w:r w:rsidRPr="002C3BE0">
        <w:rPr>
          <w:color w:val="000000" w:themeColor="text1"/>
          <w:szCs w:val="24"/>
        </w:rPr>
        <w:tab/>
      </w:r>
      <w:r w:rsidRPr="002C3BE0">
        <w:rPr>
          <w:color w:val="000000" w:themeColor="text1"/>
          <w:szCs w:val="24"/>
        </w:rPr>
        <w:tab/>
      </w:r>
      <w:r w:rsidRPr="002C3BE0">
        <w:rPr>
          <w:color w:val="000000" w:themeColor="text1"/>
          <w:szCs w:val="24"/>
        </w:rPr>
        <w:tab/>
      </w:r>
      <w:r w:rsidRPr="002C3BE0">
        <w:rPr>
          <w:color w:val="000000" w:themeColor="text1"/>
          <w:szCs w:val="24"/>
        </w:rPr>
        <w:tab/>
      </w:r>
      <w:r w:rsidRPr="002C3BE0">
        <w:rPr>
          <w:color w:val="000000" w:themeColor="text1"/>
          <w:szCs w:val="24"/>
        </w:rPr>
        <w:tab/>
      </w:r>
      <w:r w:rsidRPr="002C3BE0">
        <w:rPr>
          <w:color w:val="000000" w:themeColor="text1"/>
          <w:szCs w:val="24"/>
        </w:rPr>
        <w:tab/>
      </w:r>
      <w:r w:rsidRPr="002C3BE0">
        <w:rPr>
          <w:color w:val="000000" w:themeColor="text1"/>
          <w:szCs w:val="24"/>
        </w:rPr>
        <w:tab/>
      </w:r>
      <w:r w:rsidRPr="002C3BE0">
        <w:rPr>
          <w:color w:val="000000" w:themeColor="text1"/>
          <w:szCs w:val="24"/>
        </w:rPr>
        <w:tab/>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 xml:space="preserve">MEMORANDUM FOR Commander, US Army Physical Disability Agency </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 xml:space="preserve">SUBJECT:  Department of Defense Physical Disability Board of Review Recommendation </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1.  Under the authority of Title 10, United States Code, section 1554(a), I approve the enclosed recommendation of the Department of Defense Physical Disability Board of Review (</w:t>
      </w:r>
      <w:proofErr w:type="spellStart"/>
      <w:r w:rsidRPr="002C3BE0">
        <w:rPr>
          <w:color w:val="000000" w:themeColor="text1"/>
          <w:szCs w:val="24"/>
        </w:rPr>
        <w:t>DoD</w:t>
      </w:r>
      <w:proofErr w:type="spellEnd"/>
      <w:r w:rsidRPr="002C3BE0">
        <w:rPr>
          <w:color w:val="000000" w:themeColor="text1"/>
          <w:szCs w:val="24"/>
        </w:rPr>
        <w:t xml:space="preserve"> PDBR) pertaining to the individual named in the subject line above to </w:t>
      </w:r>
      <w:proofErr w:type="spellStart"/>
      <w:r w:rsidRPr="002C3BE0">
        <w:rPr>
          <w:color w:val="000000" w:themeColor="text1"/>
          <w:szCs w:val="24"/>
        </w:rPr>
        <w:t>recharacterize</w:t>
      </w:r>
      <w:proofErr w:type="spellEnd"/>
      <w:r w:rsidRPr="002C3BE0">
        <w:rPr>
          <w:color w:val="000000" w:themeColor="text1"/>
          <w:szCs w:val="24"/>
        </w:rPr>
        <w:t xml:space="preserve"> the individual’s separation as a permanent disability retirement with the combined disability rating of 50% effective the date of the individual’s original medical separation for disability with severance pay.  </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2.  I direct that all the Department of the Army records of the individual concerned be corrected accordingly no later than 120 days from the date of this memorandum:</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1440"/>
        </w:tabs>
        <w:jc w:val="both"/>
        <w:rPr>
          <w:color w:val="000000" w:themeColor="text1"/>
          <w:szCs w:val="24"/>
        </w:rPr>
      </w:pPr>
      <w:r w:rsidRPr="002C3BE0">
        <w:rPr>
          <w:color w:val="000000" w:themeColor="text1"/>
          <w:szCs w:val="24"/>
        </w:rPr>
        <w:tab/>
        <w:t>a.  Providing a correction to the individual’s separation document showing that the individual was separated by reason of permanent disability retirement effective the date of the original medical separation for disability with severance pay.</w:t>
      </w:r>
    </w:p>
    <w:p w:rsidR="002C3BE0" w:rsidRPr="002C3BE0" w:rsidRDefault="002C3BE0" w:rsidP="002C3BE0">
      <w:pPr>
        <w:tabs>
          <w:tab w:val="left" w:pos="0"/>
          <w:tab w:val="left" w:pos="1440"/>
        </w:tabs>
        <w:jc w:val="both"/>
        <w:rPr>
          <w:color w:val="000000" w:themeColor="text1"/>
          <w:szCs w:val="24"/>
        </w:rPr>
      </w:pPr>
    </w:p>
    <w:p w:rsidR="002C3BE0" w:rsidRPr="002C3BE0" w:rsidRDefault="002C3BE0" w:rsidP="002C3BE0">
      <w:pPr>
        <w:tabs>
          <w:tab w:val="left" w:pos="0"/>
          <w:tab w:val="left" w:pos="1440"/>
        </w:tabs>
        <w:jc w:val="both"/>
        <w:rPr>
          <w:color w:val="000000" w:themeColor="text1"/>
          <w:szCs w:val="24"/>
        </w:rPr>
      </w:pPr>
      <w:r w:rsidRPr="002C3BE0">
        <w:rPr>
          <w:color w:val="000000" w:themeColor="text1"/>
          <w:szCs w:val="24"/>
        </w:rPr>
        <w:tab/>
      </w:r>
      <w:proofErr w:type="gramStart"/>
      <w:r w:rsidRPr="002C3BE0">
        <w:rPr>
          <w:color w:val="000000" w:themeColor="text1"/>
          <w:szCs w:val="24"/>
        </w:rPr>
        <w:t>b.  Providing</w:t>
      </w:r>
      <w:proofErr w:type="gramEnd"/>
      <w:r w:rsidRPr="002C3BE0">
        <w:rPr>
          <w:color w:val="000000" w:themeColor="text1"/>
          <w:szCs w:val="24"/>
        </w:rPr>
        <w:t xml:space="preserve"> orders showing that the individual was retired with permanent disability effective the date of the original medical separation for disability with severance pay.</w:t>
      </w:r>
    </w:p>
    <w:p w:rsidR="002C3BE0" w:rsidRPr="002C3BE0" w:rsidRDefault="002C3BE0" w:rsidP="002C3BE0">
      <w:pPr>
        <w:tabs>
          <w:tab w:val="left" w:pos="0"/>
          <w:tab w:val="left" w:pos="1440"/>
        </w:tabs>
        <w:jc w:val="both"/>
        <w:rPr>
          <w:color w:val="000000" w:themeColor="text1"/>
          <w:szCs w:val="24"/>
        </w:rPr>
      </w:pPr>
    </w:p>
    <w:p w:rsidR="002C3BE0" w:rsidRPr="002C3BE0" w:rsidRDefault="002C3BE0" w:rsidP="002C3BE0">
      <w:pPr>
        <w:tabs>
          <w:tab w:val="left" w:pos="0"/>
          <w:tab w:val="left" w:pos="1440"/>
        </w:tabs>
        <w:jc w:val="both"/>
        <w:rPr>
          <w:color w:val="000000" w:themeColor="text1"/>
          <w:szCs w:val="24"/>
        </w:rPr>
      </w:pPr>
      <w:r w:rsidRPr="002C3BE0">
        <w:rPr>
          <w:color w:val="000000" w:themeColor="text1"/>
          <w:szCs w:val="24"/>
        </w:rPr>
        <w:tab/>
      </w:r>
      <w:proofErr w:type="gramStart"/>
      <w:r w:rsidRPr="002C3BE0">
        <w:rPr>
          <w:color w:val="000000" w:themeColor="text1"/>
          <w:szCs w:val="24"/>
        </w:rPr>
        <w:t>c.  Adjusting</w:t>
      </w:r>
      <w:proofErr w:type="gramEnd"/>
      <w:r w:rsidRPr="002C3BE0">
        <w:rPr>
          <w:color w:val="000000" w:themeColor="text1"/>
          <w:szCs w:val="24"/>
        </w:rPr>
        <w:t xml:space="preserve"> pay and allowances accordingly.  Pay and allowance adjustment will account for recoupment of severance pay, and payment of permanent retired pay at 50% effective the date of the original medical separation for disability with severance pay.</w:t>
      </w:r>
    </w:p>
    <w:p w:rsidR="002C3BE0" w:rsidRPr="002C3BE0" w:rsidRDefault="002C3BE0" w:rsidP="002C3BE0">
      <w:pPr>
        <w:tabs>
          <w:tab w:val="left" w:pos="0"/>
          <w:tab w:val="left" w:pos="1440"/>
        </w:tabs>
        <w:jc w:val="both"/>
        <w:rPr>
          <w:color w:val="000000" w:themeColor="text1"/>
          <w:szCs w:val="24"/>
        </w:rPr>
      </w:pPr>
    </w:p>
    <w:p w:rsidR="002C3BE0" w:rsidRPr="002C3BE0" w:rsidRDefault="002C3BE0" w:rsidP="002C3BE0">
      <w:pPr>
        <w:tabs>
          <w:tab w:val="left" w:pos="0"/>
          <w:tab w:val="left" w:pos="1440"/>
        </w:tabs>
        <w:jc w:val="both"/>
        <w:rPr>
          <w:color w:val="000000" w:themeColor="text1"/>
          <w:szCs w:val="24"/>
        </w:rPr>
      </w:pPr>
      <w:r w:rsidRPr="002C3BE0">
        <w:rPr>
          <w:color w:val="000000" w:themeColor="text1"/>
          <w:szCs w:val="24"/>
        </w:rPr>
        <w:tab/>
      </w:r>
      <w:proofErr w:type="gramStart"/>
      <w:r w:rsidRPr="002C3BE0">
        <w:rPr>
          <w:color w:val="000000" w:themeColor="text1"/>
          <w:szCs w:val="24"/>
        </w:rPr>
        <w:t>d.  Affording</w:t>
      </w:r>
      <w:proofErr w:type="gramEnd"/>
      <w:r w:rsidRPr="002C3BE0">
        <w:rPr>
          <w:color w:val="000000" w:themeColor="text1"/>
          <w:szCs w:val="24"/>
        </w:rPr>
        <w:t xml:space="preserve"> the individual the opportunity to elect Survivor Benefit Plan (SBP) and medical TRICARE retiree options.</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BY ORDER OF THE SECRETARY OF THE ARMY:</w:t>
      </w: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p>
    <w:p w:rsidR="002C3BE0" w:rsidRPr="002C3BE0" w:rsidRDefault="002C3BE0" w:rsidP="002C3BE0">
      <w:pPr>
        <w:tabs>
          <w:tab w:val="left" w:pos="0"/>
          <w:tab w:val="left" w:pos="4320"/>
        </w:tabs>
        <w:jc w:val="both"/>
        <w:rPr>
          <w:color w:val="000000" w:themeColor="text1"/>
          <w:szCs w:val="24"/>
        </w:rPr>
      </w:pPr>
      <w:bookmarkStart w:id="0" w:name="OLE_LINK3"/>
      <w:bookmarkStart w:id="1" w:name="OLE_LINK4"/>
      <w:r w:rsidRPr="002C3BE0">
        <w:rPr>
          <w:color w:val="000000" w:themeColor="text1"/>
          <w:szCs w:val="24"/>
        </w:rPr>
        <w:t>Encl</w:t>
      </w:r>
      <w:r w:rsidRPr="002C3BE0">
        <w:rPr>
          <w:color w:val="000000" w:themeColor="text1"/>
          <w:szCs w:val="24"/>
        </w:rPr>
        <w:tab/>
        <w:t xml:space="preserve">     </w:t>
      </w:r>
      <w:r>
        <w:rPr>
          <w:color w:val="000000" w:themeColor="text1"/>
          <w:szCs w:val="24"/>
        </w:rPr>
        <w:t xml:space="preserve"> </w:t>
      </w: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ab/>
        <w:t xml:space="preserve">     Deputy Assistant Secretary</w:t>
      </w:r>
    </w:p>
    <w:p w:rsidR="002C3BE0" w:rsidRPr="002C3BE0" w:rsidRDefault="002C3BE0" w:rsidP="002C3BE0">
      <w:pPr>
        <w:tabs>
          <w:tab w:val="left" w:pos="0"/>
          <w:tab w:val="left" w:pos="4320"/>
        </w:tabs>
        <w:jc w:val="both"/>
        <w:rPr>
          <w:color w:val="000000" w:themeColor="text1"/>
          <w:szCs w:val="24"/>
        </w:rPr>
      </w:pPr>
      <w:r w:rsidRPr="002C3BE0">
        <w:rPr>
          <w:color w:val="000000" w:themeColor="text1"/>
          <w:szCs w:val="24"/>
        </w:rPr>
        <w:tab/>
        <w:t xml:space="preserve">         (Army Review Boards)</w:t>
      </w:r>
      <w:bookmarkEnd w:id="0"/>
      <w:bookmarkEnd w:id="1"/>
    </w:p>
    <w:p w:rsidR="00EF3E89" w:rsidRPr="0072341D" w:rsidRDefault="00EF3E89" w:rsidP="002C3BE0">
      <w:pPr>
        <w:tabs>
          <w:tab w:val="left" w:pos="0"/>
          <w:tab w:val="left" w:pos="4320"/>
        </w:tabs>
        <w:jc w:val="both"/>
        <w:rPr>
          <w:color w:val="000000" w:themeColor="text1"/>
          <w:szCs w:val="24"/>
        </w:rPr>
      </w:pPr>
    </w:p>
    <w:sectPr w:rsidR="00EF3E89" w:rsidRPr="0072341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59" w:rsidRDefault="001B6C59">
      <w:r>
        <w:separator/>
      </w:r>
    </w:p>
  </w:endnote>
  <w:endnote w:type="continuationSeparator" w:id="0">
    <w:p w:rsidR="001B6C59" w:rsidRDefault="001B6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B59EB" w:rsidRPr="00374247" w:rsidRDefault="007B59EB" w:rsidP="00374247">
        <w:pPr>
          <w:pStyle w:val="Footer"/>
          <w:ind w:firstLine="4320"/>
          <w:rPr>
            <w:color w:val="auto"/>
            <w:szCs w:val="24"/>
          </w:rPr>
        </w:pPr>
        <w:r w:rsidRPr="00374247">
          <w:rPr>
            <w:color w:val="auto"/>
            <w:szCs w:val="24"/>
          </w:rPr>
          <w:t xml:space="preserve">   </w:t>
        </w:r>
        <w:r w:rsidR="00D06840" w:rsidRPr="00374247">
          <w:rPr>
            <w:color w:val="auto"/>
            <w:szCs w:val="24"/>
          </w:rPr>
          <w:fldChar w:fldCharType="begin"/>
        </w:r>
        <w:r w:rsidRPr="00374247">
          <w:rPr>
            <w:color w:val="auto"/>
            <w:szCs w:val="24"/>
          </w:rPr>
          <w:instrText xml:space="preserve"> PAGE   \* MERGEFORMAT </w:instrText>
        </w:r>
        <w:r w:rsidR="00D06840" w:rsidRPr="00374247">
          <w:rPr>
            <w:color w:val="auto"/>
            <w:szCs w:val="24"/>
          </w:rPr>
          <w:fldChar w:fldCharType="separate"/>
        </w:r>
        <w:r w:rsidR="002C3BE0" w:rsidRPr="002C3BE0">
          <w:rPr>
            <w:noProof/>
            <w:color w:val="auto"/>
          </w:rPr>
          <w:t>8</w:t>
        </w:r>
        <w:r w:rsidR="00D06840" w:rsidRPr="00374247">
          <w:rPr>
            <w:color w:val="auto"/>
            <w:szCs w:val="24"/>
          </w:rPr>
          <w:fldChar w:fldCharType="end"/>
        </w:r>
        <w:r w:rsidRPr="00374247">
          <w:rPr>
            <w:color w:val="auto"/>
            <w:szCs w:val="24"/>
          </w:rPr>
          <w:t xml:space="preserve">                                                           </w:t>
        </w:r>
        <w:r>
          <w:rPr>
            <w:caps/>
            <w:color w:val="000000" w:themeColor="text1"/>
          </w:rPr>
          <w:t>PD</w:t>
        </w:r>
        <w:r w:rsidRPr="00DC71B8">
          <w:rPr>
            <w:caps/>
            <w:color w:val="000000" w:themeColor="text1"/>
          </w:rPr>
          <w:t>1001256</w:t>
        </w:r>
      </w:p>
    </w:sdtContent>
  </w:sdt>
  <w:p w:rsidR="007B59EB" w:rsidRPr="00684CE6" w:rsidRDefault="007B59E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59" w:rsidRDefault="001B6C59">
      <w:r>
        <w:separator/>
      </w:r>
    </w:p>
  </w:footnote>
  <w:footnote w:type="continuationSeparator" w:id="0">
    <w:p w:rsidR="001B6C59" w:rsidRDefault="001B6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3F5025DB"/>
    <w:multiLevelType w:val="multilevel"/>
    <w:tmpl w:val="17E2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D376F"/>
    <w:multiLevelType w:val="multilevel"/>
    <w:tmpl w:val="D3A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3"/>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4"/>
  </w:hdrShapeDefaults>
  <w:footnotePr>
    <w:numRestart w:val="eachSect"/>
    <w:footnote w:id="-1"/>
    <w:footnote w:id="0"/>
  </w:footnotePr>
  <w:endnotePr>
    <w:endnote w:id="-1"/>
    <w:endnote w:id="0"/>
  </w:endnotePr>
  <w:compat/>
  <w:rsids>
    <w:rsidRoot w:val="001C28D1"/>
    <w:rsid w:val="000024F5"/>
    <w:rsid w:val="00003272"/>
    <w:rsid w:val="000059FA"/>
    <w:rsid w:val="00006186"/>
    <w:rsid w:val="00006A6B"/>
    <w:rsid w:val="00006F87"/>
    <w:rsid w:val="00007107"/>
    <w:rsid w:val="00010ABA"/>
    <w:rsid w:val="00010B0F"/>
    <w:rsid w:val="00012428"/>
    <w:rsid w:val="00012733"/>
    <w:rsid w:val="00013417"/>
    <w:rsid w:val="000145C2"/>
    <w:rsid w:val="0001473F"/>
    <w:rsid w:val="00014A47"/>
    <w:rsid w:val="00014A9E"/>
    <w:rsid w:val="000165A0"/>
    <w:rsid w:val="00017486"/>
    <w:rsid w:val="00017778"/>
    <w:rsid w:val="00021361"/>
    <w:rsid w:val="00022CF3"/>
    <w:rsid w:val="00023913"/>
    <w:rsid w:val="00023D43"/>
    <w:rsid w:val="00024002"/>
    <w:rsid w:val="00024DE7"/>
    <w:rsid w:val="00026092"/>
    <w:rsid w:val="00030451"/>
    <w:rsid w:val="00030776"/>
    <w:rsid w:val="00032E07"/>
    <w:rsid w:val="000332CA"/>
    <w:rsid w:val="0003374E"/>
    <w:rsid w:val="000344D8"/>
    <w:rsid w:val="000344E6"/>
    <w:rsid w:val="00035C3A"/>
    <w:rsid w:val="00036E4B"/>
    <w:rsid w:val="00036F4E"/>
    <w:rsid w:val="00037929"/>
    <w:rsid w:val="000379D0"/>
    <w:rsid w:val="00040FC4"/>
    <w:rsid w:val="000416F8"/>
    <w:rsid w:val="00042C26"/>
    <w:rsid w:val="00043382"/>
    <w:rsid w:val="00044623"/>
    <w:rsid w:val="000452D7"/>
    <w:rsid w:val="00047243"/>
    <w:rsid w:val="00051622"/>
    <w:rsid w:val="00051A11"/>
    <w:rsid w:val="00052234"/>
    <w:rsid w:val="00053D7C"/>
    <w:rsid w:val="00055E77"/>
    <w:rsid w:val="000575C5"/>
    <w:rsid w:val="000577C9"/>
    <w:rsid w:val="00060A5E"/>
    <w:rsid w:val="00060FFD"/>
    <w:rsid w:val="00061D69"/>
    <w:rsid w:val="0006431E"/>
    <w:rsid w:val="000652EA"/>
    <w:rsid w:val="00065E21"/>
    <w:rsid w:val="00066A80"/>
    <w:rsid w:val="00066B0D"/>
    <w:rsid w:val="000673ED"/>
    <w:rsid w:val="00067854"/>
    <w:rsid w:val="000701A3"/>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8C3"/>
    <w:rsid w:val="00084CF2"/>
    <w:rsid w:val="00085D7B"/>
    <w:rsid w:val="0008708B"/>
    <w:rsid w:val="0009140C"/>
    <w:rsid w:val="00092619"/>
    <w:rsid w:val="00092C66"/>
    <w:rsid w:val="000949DD"/>
    <w:rsid w:val="00094E4F"/>
    <w:rsid w:val="000A1605"/>
    <w:rsid w:val="000A2BCE"/>
    <w:rsid w:val="000A31E2"/>
    <w:rsid w:val="000A33C8"/>
    <w:rsid w:val="000A41E3"/>
    <w:rsid w:val="000A4BBA"/>
    <w:rsid w:val="000A5071"/>
    <w:rsid w:val="000B0AD2"/>
    <w:rsid w:val="000B1022"/>
    <w:rsid w:val="000B2FB8"/>
    <w:rsid w:val="000B3F5B"/>
    <w:rsid w:val="000B471C"/>
    <w:rsid w:val="000B4C99"/>
    <w:rsid w:val="000B7D38"/>
    <w:rsid w:val="000C06F6"/>
    <w:rsid w:val="000C15F8"/>
    <w:rsid w:val="000C1D34"/>
    <w:rsid w:val="000C203A"/>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C8B"/>
    <w:rsid w:val="000D6457"/>
    <w:rsid w:val="000D7D55"/>
    <w:rsid w:val="000E0993"/>
    <w:rsid w:val="000E2E50"/>
    <w:rsid w:val="000E345B"/>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45BA"/>
    <w:rsid w:val="0010530E"/>
    <w:rsid w:val="0010568C"/>
    <w:rsid w:val="00105C07"/>
    <w:rsid w:val="00106920"/>
    <w:rsid w:val="00106AD8"/>
    <w:rsid w:val="001078DB"/>
    <w:rsid w:val="001079FA"/>
    <w:rsid w:val="00107EC5"/>
    <w:rsid w:val="001103CD"/>
    <w:rsid w:val="00113D2A"/>
    <w:rsid w:val="00114F20"/>
    <w:rsid w:val="00115377"/>
    <w:rsid w:val="001157ED"/>
    <w:rsid w:val="0011590B"/>
    <w:rsid w:val="001211AF"/>
    <w:rsid w:val="001215DF"/>
    <w:rsid w:val="001219DF"/>
    <w:rsid w:val="0012220B"/>
    <w:rsid w:val="00122ABE"/>
    <w:rsid w:val="00122E4C"/>
    <w:rsid w:val="001231DC"/>
    <w:rsid w:val="0012453A"/>
    <w:rsid w:val="0012489B"/>
    <w:rsid w:val="001272AE"/>
    <w:rsid w:val="00130756"/>
    <w:rsid w:val="001315DD"/>
    <w:rsid w:val="0013525F"/>
    <w:rsid w:val="00135385"/>
    <w:rsid w:val="00136204"/>
    <w:rsid w:val="001364D1"/>
    <w:rsid w:val="001374C7"/>
    <w:rsid w:val="00140FA4"/>
    <w:rsid w:val="00141BC9"/>
    <w:rsid w:val="00141E70"/>
    <w:rsid w:val="001421FD"/>
    <w:rsid w:val="001425C8"/>
    <w:rsid w:val="00142EBA"/>
    <w:rsid w:val="00143B79"/>
    <w:rsid w:val="00145965"/>
    <w:rsid w:val="00145B8C"/>
    <w:rsid w:val="00150B8A"/>
    <w:rsid w:val="00150DCB"/>
    <w:rsid w:val="00151912"/>
    <w:rsid w:val="00153740"/>
    <w:rsid w:val="001537D8"/>
    <w:rsid w:val="00153D88"/>
    <w:rsid w:val="001541C5"/>
    <w:rsid w:val="0015623F"/>
    <w:rsid w:val="00156585"/>
    <w:rsid w:val="00156BA9"/>
    <w:rsid w:val="00161642"/>
    <w:rsid w:val="00161761"/>
    <w:rsid w:val="001629BF"/>
    <w:rsid w:val="00166182"/>
    <w:rsid w:val="001665A7"/>
    <w:rsid w:val="0017038B"/>
    <w:rsid w:val="00170C94"/>
    <w:rsid w:val="0017139A"/>
    <w:rsid w:val="001724C8"/>
    <w:rsid w:val="00172F75"/>
    <w:rsid w:val="001732C4"/>
    <w:rsid w:val="001745DD"/>
    <w:rsid w:val="00174FDE"/>
    <w:rsid w:val="00174FE3"/>
    <w:rsid w:val="00176D63"/>
    <w:rsid w:val="00177659"/>
    <w:rsid w:val="001779E5"/>
    <w:rsid w:val="00177A0A"/>
    <w:rsid w:val="00180826"/>
    <w:rsid w:val="00181240"/>
    <w:rsid w:val="00182072"/>
    <w:rsid w:val="00182A4C"/>
    <w:rsid w:val="00183F77"/>
    <w:rsid w:val="00183FB3"/>
    <w:rsid w:val="001844D8"/>
    <w:rsid w:val="001847F4"/>
    <w:rsid w:val="00185DA8"/>
    <w:rsid w:val="00185ECB"/>
    <w:rsid w:val="001865E0"/>
    <w:rsid w:val="001870F0"/>
    <w:rsid w:val="00190E48"/>
    <w:rsid w:val="0019114B"/>
    <w:rsid w:val="00191E21"/>
    <w:rsid w:val="0019273F"/>
    <w:rsid w:val="00193362"/>
    <w:rsid w:val="00193814"/>
    <w:rsid w:val="00193AAB"/>
    <w:rsid w:val="00193AD5"/>
    <w:rsid w:val="00194930"/>
    <w:rsid w:val="00195AAC"/>
    <w:rsid w:val="00196EB1"/>
    <w:rsid w:val="001A025E"/>
    <w:rsid w:val="001A08CD"/>
    <w:rsid w:val="001A0A1E"/>
    <w:rsid w:val="001A2182"/>
    <w:rsid w:val="001A323E"/>
    <w:rsid w:val="001A5320"/>
    <w:rsid w:val="001A5E62"/>
    <w:rsid w:val="001A6848"/>
    <w:rsid w:val="001A7538"/>
    <w:rsid w:val="001A7B31"/>
    <w:rsid w:val="001B0637"/>
    <w:rsid w:val="001B06FB"/>
    <w:rsid w:val="001B0B1A"/>
    <w:rsid w:val="001B0D45"/>
    <w:rsid w:val="001B20E6"/>
    <w:rsid w:val="001B4C0B"/>
    <w:rsid w:val="001B4D12"/>
    <w:rsid w:val="001B4EC2"/>
    <w:rsid w:val="001B5B59"/>
    <w:rsid w:val="001B60E0"/>
    <w:rsid w:val="001B6C59"/>
    <w:rsid w:val="001B755A"/>
    <w:rsid w:val="001B7C8C"/>
    <w:rsid w:val="001C051D"/>
    <w:rsid w:val="001C0688"/>
    <w:rsid w:val="001C181A"/>
    <w:rsid w:val="001C1877"/>
    <w:rsid w:val="001C19BB"/>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20E"/>
    <w:rsid w:val="001D47D3"/>
    <w:rsid w:val="001D4F88"/>
    <w:rsid w:val="001D64F3"/>
    <w:rsid w:val="001D68CF"/>
    <w:rsid w:val="001D6A8C"/>
    <w:rsid w:val="001D7A56"/>
    <w:rsid w:val="001E15C0"/>
    <w:rsid w:val="001E18E0"/>
    <w:rsid w:val="001E18E2"/>
    <w:rsid w:val="001E19D0"/>
    <w:rsid w:val="001E2A30"/>
    <w:rsid w:val="001E2FF1"/>
    <w:rsid w:val="001E3FE1"/>
    <w:rsid w:val="001E41FE"/>
    <w:rsid w:val="001E508D"/>
    <w:rsid w:val="001E635C"/>
    <w:rsid w:val="001F0297"/>
    <w:rsid w:val="001F06C5"/>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D10"/>
    <w:rsid w:val="00217606"/>
    <w:rsid w:val="00217C09"/>
    <w:rsid w:val="00220F5C"/>
    <w:rsid w:val="00220FA9"/>
    <w:rsid w:val="002216BF"/>
    <w:rsid w:val="00221B9B"/>
    <w:rsid w:val="00222268"/>
    <w:rsid w:val="00225080"/>
    <w:rsid w:val="00225196"/>
    <w:rsid w:val="00225CB4"/>
    <w:rsid w:val="002260C3"/>
    <w:rsid w:val="00226B1A"/>
    <w:rsid w:val="00227F0B"/>
    <w:rsid w:val="0023049F"/>
    <w:rsid w:val="002310C3"/>
    <w:rsid w:val="002316F6"/>
    <w:rsid w:val="00232991"/>
    <w:rsid w:val="00232C9B"/>
    <w:rsid w:val="00232E73"/>
    <w:rsid w:val="00232F09"/>
    <w:rsid w:val="002335D5"/>
    <w:rsid w:val="002338CA"/>
    <w:rsid w:val="00233D21"/>
    <w:rsid w:val="00233FE5"/>
    <w:rsid w:val="00234B3B"/>
    <w:rsid w:val="00234D98"/>
    <w:rsid w:val="00235532"/>
    <w:rsid w:val="00235AD0"/>
    <w:rsid w:val="00236018"/>
    <w:rsid w:val="002374C9"/>
    <w:rsid w:val="0024162D"/>
    <w:rsid w:val="0024174E"/>
    <w:rsid w:val="00242238"/>
    <w:rsid w:val="0024227D"/>
    <w:rsid w:val="00242D14"/>
    <w:rsid w:val="002432F4"/>
    <w:rsid w:val="00243707"/>
    <w:rsid w:val="00246860"/>
    <w:rsid w:val="002468D9"/>
    <w:rsid w:val="00246995"/>
    <w:rsid w:val="00246DFF"/>
    <w:rsid w:val="00246E89"/>
    <w:rsid w:val="0025183C"/>
    <w:rsid w:val="00252351"/>
    <w:rsid w:val="002528EC"/>
    <w:rsid w:val="00253EAA"/>
    <w:rsid w:val="00255049"/>
    <w:rsid w:val="0025667A"/>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87B"/>
    <w:rsid w:val="00274E46"/>
    <w:rsid w:val="002752AE"/>
    <w:rsid w:val="00275AFD"/>
    <w:rsid w:val="002769AF"/>
    <w:rsid w:val="00276C86"/>
    <w:rsid w:val="00276FD0"/>
    <w:rsid w:val="00277217"/>
    <w:rsid w:val="002802BC"/>
    <w:rsid w:val="002810A4"/>
    <w:rsid w:val="0028261C"/>
    <w:rsid w:val="00282DA1"/>
    <w:rsid w:val="00282DB6"/>
    <w:rsid w:val="00283F29"/>
    <w:rsid w:val="00284014"/>
    <w:rsid w:val="0028414F"/>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446"/>
    <w:rsid w:val="002A233F"/>
    <w:rsid w:val="002A3237"/>
    <w:rsid w:val="002A3C2A"/>
    <w:rsid w:val="002A4119"/>
    <w:rsid w:val="002A4D24"/>
    <w:rsid w:val="002A58B7"/>
    <w:rsid w:val="002A5943"/>
    <w:rsid w:val="002A5C3C"/>
    <w:rsid w:val="002A685E"/>
    <w:rsid w:val="002A72C7"/>
    <w:rsid w:val="002B0204"/>
    <w:rsid w:val="002B03B2"/>
    <w:rsid w:val="002B0749"/>
    <w:rsid w:val="002B16A1"/>
    <w:rsid w:val="002B2645"/>
    <w:rsid w:val="002B2E25"/>
    <w:rsid w:val="002B303A"/>
    <w:rsid w:val="002B32E9"/>
    <w:rsid w:val="002B4E22"/>
    <w:rsid w:val="002B6FA0"/>
    <w:rsid w:val="002B7710"/>
    <w:rsid w:val="002C070E"/>
    <w:rsid w:val="002C0DEA"/>
    <w:rsid w:val="002C34F6"/>
    <w:rsid w:val="002C3B6D"/>
    <w:rsid w:val="002C3BE0"/>
    <w:rsid w:val="002C3F59"/>
    <w:rsid w:val="002C5D9D"/>
    <w:rsid w:val="002C5F10"/>
    <w:rsid w:val="002C6E5B"/>
    <w:rsid w:val="002C72D7"/>
    <w:rsid w:val="002D08F3"/>
    <w:rsid w:val="002D18B4"/>
    <w:rsid w:val="002D2058"/>
    <w:rsid w:val="002D231A"/>
    <w:rsid w:val="002D43B4"/>
    <w:rsid w:val="002D44B9"/>
    <w:rsid w:val="002D5330"/>
    <w:rsid w:val="002D5F57"/>
    <w:rsid w:val="002D73D4"/>
    <w:rsid w:val="002D7787"/>
    <w:rsid w:val="002E1877"/>
    <w:rsid w:val="002E1C31"/>
    <w:rsid w:val="002E2E0F"/>
    <w:rsid w:val="002E333A"/>
    <w:rsid w:val="002E345D"/>
    <w:rsid w:val="002E3474"/>
    <w:rsid w:val="002E400C"/>
    <w:rsid w:val="002E49C3"/>
    <w:rsid w:val="002E5114"/>
    <w:rsid w:val="002E5988"/>
    <w:rsid w:val="002E65E6"/>
    <w:rsid w:val="002E7072"/>
    <w:rsid w:val="002E7570"/>
    <w:rsid w:val="002E764B"/>
    <w:rsid w:val="002E7C25"/>
    <w:rsid w:val="002E7CC2"/>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4BA2"/>
    <w:rsid w:val="003155FB"/>
    <w:rsid w:val="003165BD"/>
    <w:rsid w:val="00320169"/>
    <w:rsid w:val="0032136A"/>
    <w:rsid w:val="003224D8"/>
    <w:rsid w:val="00323A90"/>
    <w:rsid w:val="00323E70"/>
    <w:rsid w:val="003258A7"/>
    <w:rsid w:val="00325BA2"/>
    <w:rsid w:val="00325E28"/>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829"/>
    <w:rsid w:val="00336F83"/>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57F87"/>
    <w:rsid w:val="003602A7"/>
    <w:rsid w:val="003604A5"/>
    <w:rsid w:val="0036114B"/>
    <w:rsid w:val="003618B6"/>
    <w:rsid w:val="0036199A"/>
    <w:rsid w:val="003620C8"/>
    <w:rsid w:val="0036319E"/>
    <w:rsid w:val="003632A4"/>
    <w:rsid w:val="00363362"/>
    <w:rsid w:val="0036392A"/>
    <w:rsid w:val="00364CAB"/>
    <w:rsid w:val="00365767"/>
    <w:rsid w:val="003659C0"/>
    <w:rsid w:val="00365ACC"/>
    <w:rsid w:val="003660DF"/>
    <w:rsid w:val="00366757"/>
    <w:rsid w:val="00367D4F"/>
    <w:rsid w:val="00370743"/>
    <w:rsid w:val="00370EF5"/>
    <w:rsid w:val="00370F4C"/>
    <w:rsid w:val="0037135B"/>
    <w:rsid w:val="003718CD"/>
    <w:rsid w:val="00372251"/>
    <w:rsid w:val="00373F64"/>
    <w:rsid w:val="00374247"/>
    <w:rsid w:val="00374638"/>
    <w:rsid w:val="00374BCA"/>
    <w:rsid w:val="00374EA1"/>
    <w:rsid w:val="0037520D"/>
    <w:rsid w:val="00375724"/>
    <w:rsid w:val="00375809"/>
    <w:rsid w:val="00375CF1"/>
    <w:rsid w:val="00375D0A"/>
    <w:rsid w:val="0037628C"/>
    <w:rsid w:val="00376427"/>
    <w:rsid w:val="00376A07"/>
    <w:rsid w:val="00376B81"/>
    <w:rsid w:val="00376E08"/>
    <w:rsid w:val="00377BD2"/>
    <w:rsid w:val="00380FD4"/>
    <w:rsid w:val="00381E16"/>
    <w:rsid w:val="003821E1"/>
    <w:rsid w:val="003840F6"/>
    <w:rsid w:val="0038471A"/>
    <w:rsid w:val="00384866"/>
    <w:rsid w:val="003851BA"/>
    <w:rsid w:val="003857D4"/>
    <w:rsid w:val="00385D6F"/>
    <w:rsid w:val="00386D43"/>
    <w:rsid w:val="00387095"/>
    <w:rsid w:val="00387E95"/>
    <w:rsid w:val="00390092"/>
    <w:rsid w:val="00390CFA"/>
    <w:rsid w:val="00391858"/>
    <w:rsid w:val="00393651"/>
    <w:rsid w:val="0039386E"/>
    <w:rsid w:val="00394926"/>
    <w:rsid w:val="00394FF9"/>
    <w:rsid w:val="00395651"/>
    <w:rsid w:val="00395E12"/>
    <w:rsid w:val="003962A8"/>
    <w:rsid w:val="00396779"/>
    <w:rsid w:val="003978B9"/>
    <w:rsid w:val="00397DB7"/>
    <w:rsid w:val="003A27B2"/>
    <w:rsid w:val="003A40B4"/>
    <w:rsid w:val="003A41BA"/>
    <w:rsid w:val="003A5491"/>
    <w:rsid w:val="003A5958"/>
    <w:rsid w:val="003A6A99"/>
    <w:rsid w:val="003A6E60"/>
    <w:rsid w:val="003A76AB"/>
    <w:rsid w:val="003A7FF8"/>
    <w:rsid w:val="003B0584"/>
    <w:rsid w:val="003B17AC"/>
    <w:rsid w:val="003B2143"/>
    <w:rsid w:val="003B227A"/>
    <w:rsid w:val="003B3A77"/>
    <w:rsid w:val="003B4319"/>
    <w:rsid w:val="003B5854"/>
    <w:rsid w:val="003B6764"/>
    <w:rsid w:val="003B7A8B"/>
    <w:rsid w:val="003C0CF0"/>
    <w:rsid w:val="003C1798"/>
    <w:rsid w:val="003C247E"/>
    <w:rsid w:val="003C294B"/>
    <w:rsid w:val="003C48F9"/>
    <w:rsid w:val="003C5046"/>
    <w:rsid w:val="003C529B"/>
    <w:rsid w:val="003C5B54"/>
    <w:rsid w:val="003C6068"/>
    <w:rsid w:val="003C7AEC"/>
    <w:rsid w:val="003D2332"/>
    <w:rsid w:val="003D2367"/>
    <w:rsid w:val="003D2BA3"/>
    <w:rsid w:val="003D3066"/>
    <w:rsid w:val="003D316B"/>
    <w:rsid w:val="003D3C22"/>
    <w:rsid w:val="003D56A0"/>
    <w:rsid w:val="003D609F"/>
    <w:rsid w:val="003D66D4"/>
    <w:rsid w:val="003D69F5"/>
    <w:rsid w:val="003D7089"/>
    <w:rsid w:val="003D7DDB"/>
    <w:rsid w:val="003E024F"/>
    <w:rsid w:val="003E02C7"/>
    <w:rsid w:val="003E0543"/>
    <w:rsid w:val="003E061D"/>
    <w:rsid w:val="003E0B5A"/>
    <w:rsid w:val="003E1682"/>
    <w:rsid w:val="003E31E3"/>
    <w:rsid w:val="003E372B"/>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4CC2"/>
    <w:rsid w:val="00405BCF"/>
    <w:rsid w:val="004068E0"/>
    <w:rsid w:val="00406CC5"/>
    <w:rsid w:val="00406FCA"/>
    <w:rsid w:val="004074A4"/>
    <w:rsid w:val="004101B2"/>
    <w:rsid w:val="004123D7"/>
    <w:rsid w:val="00412658"/>
    <w:rsid w:val="0041281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A7C"/>
    <w:rsid w:val="00462F68"/>
    <w:rsid w:val="0046369B"/>
    <w:rsid w:val="004637AE"/>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2A7"/>
    <w:rsid w:val="004848C3"/>
    <w:rsid w:val="00484BA9"/>
    <w:rsid w:val="0048599A"/>
    <w:rsid w:val="00485B13"/>
    <w:rsid w:val="00486818"/>
    <w:rsid w:val="0049255F"/>
    <w:rsid w:val="0049445D"/>
    <w:rsid w:val="00494D39"/>
    <w:rsid w:val="00495350"/>
    <w:rsid w:val="00495E3C"/>
    <w:rsid w:val="00496041"/>
    <w:rsid w:val="00497156"/>
    <w:rsid w:val="004A0C79"/>
    <w:rsid w:val="004A1F3B"/>
    <w:rsid w:val="004A24D2"/>
    <w:rsid w:val="004A3214"/>
    <w:rsid w:val="004A4136"/>
    <w:rsid w:val="004A417B"/>
    <w:rsid w:val="004A4378"/>
    <w:rsid w:val="004A712D"/>
    <w:rsid w:val="004A7C03"/>
    <w:rsid w:val="004B03F3"/>
    <w:rsid w:val="004B0CC9"/>
    <w:rsid w:val="004B2536"/>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5F91"/>
    <w:rsid w:val="004C60A3"/>
    <w:rsid w:val="004C6CDA"/>
    <w:rsid w:val="004D10D4"/>
    <w:rsid w:val="004D16BD"/>
    <w:rsid w:val="004D2AAB"/>
    <w:rsid w:val="004D3C7F"/>
    <w:rsid w:val="004D42CB"/>
    <w:rsid w:val="004D6E90"/>
    <w:rsid w:val="004D6F2B"/>
    <w:rsid w:val="004E0248"/>
    <w:rsid w:val="004E21A3"/>
    <w:rsid w:val="004E2775"/>
    <w:rsid w:val="004E32EA"/>
    <w:rsid w:val="004E3517"/>
    <w:rsid w:val="004E6866"/>
    <w:rsid w:val="004E6DB0"/>
    <w:rsid w:val="004F0B39"/>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5D1"/>
    <w:rsid w:val="00510F9C"/>
    <w:rsid w:val="0051146C"/>
    <w:rsid w:val="0051220B"/>
    <w:rsid w:val="00512253"/>
    <w:rsid w:val="00512484"/>
    <w:rsid w:val="00514449"/>
    <w:rsid w:val="00515419"/>
    <w:rsid w:val="005157BD"/>
    <w:rsid w:val="0052078E"/>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1AD"/>
    <w:rsid w:val="00534D42"/>
    <w:rsid w:val="005350A5"/>
    <w:rsid w:val="00536379"/>
    <w:rsid w:val="00537238"/>
    <w:rsid w:val="005400C5"/>
    <w:rsid w:val="005404CD"/>
    <w:rsid w:val="00540BE0"/>
    <w:rsid w:val="00540BEF"/>
    <w:rsid w:val="00541492"/>
    <w:rsid w:val="00542B34"/>
    <w:rsid w:val="00542C9A"/>
    <w:rsid w:val="005436C2"/>
    <w:rsid w:val="005442D4"/>
    <w:rsid w:val="00544D79"/>
    <w:rsid w:val="0054586A"/>
    <w:rsid w:val="0054631F"/>
    <w:rsid w:val="00546C24"/>
    <w:rsid w:val="005471BA"/>
    <w:rsid w:val="00547BDA"/>
    <w:rsid w:val="00547BE6"/>
    <w:rsid w:val="0055034F"/>
    <w:rsid w:val="00550476"/>
    <w:rsid w:val="00550605"/>
    <w:rsid w:val="0055288D"/>
    <w:rsid w:val="00555259"/>
    <w:rsid w:val="00555C66"/>
    <w:rsid w:val="005569EF"/>
    <w:rsid w:val="00556BDE"/>
    <w:rsid w:val="00560D57"/>
    <w:rsid w:val="00562A94"/>
    <w:rsid w:val="00563076"/>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FA8"/>
    <w:rsid w:val="0058039C"/>
    <w:rsid w:val="00580A63"/>
    <w:rsid w:val="00583379"/>
    <w:rsid w:val="0058417C"/>
    <w:rsid w:val="005854F9"/>
    <w:rsid w:val="00586EC6"/>
    <w:rsid w:val="005872BF"/>
    <w:rsid w:val="00587DDE"/>
    <w:rsid w:val="00590A97"/>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6C20"/>
    <w:rsid w:val="005B72DA"/>
    <w:rsid w:val="005C0E87"/>
    <w:rsid w:val="005C1398"/>
    <w:rsid w:val="005C16F3"/>
    <w:rsid w:val="005C3758"/>
    <w:rsid w:val="005C4D72"/>
    <w:rsid w:val="005C50C1"/>
    <w:rsid w:val="005C62C2"/>
    <w:rsid w:val="005D1790"/>
    <w:rsid w:val="005D2306"/>
    <w:rsid w:val="005D2562"/>
    <w:rsid w:val="005D2666"/>
    <w:rsid w:val="005D4548"/>
    <w:rsid w:val="005D4A74"/>
    <w:rsid w:val="005D5E91"/>
    <w:rsid w:val="005D67EF"/>
    <w:rsid w:val="005D6A21"/>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FC9"/>
    <w:rsid w:val="006008F8"/>
    <w:rsid w:val="006036C2"/>
    <w:rsid w:val="00604482"/>
    <w:rsid w:val="00605AAB"/>
    <w:rsid w:val="00605DF9"/>
    <w:rsid w:val="00606BEB"/>
    <w:rsid w:val="0061014A"/>
    <w:rsid w:val="0061054B"/>
    <w:rsid w:val="006110FB"/>
    <w:rsid w:val="00612FB0"/>
    <w:rsid w:val="006133E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4E1C"/>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E0B"/>
    <w:rsid w:val="00657F16"/>
    <w:rsid w:val="006610A4"/>
    <w:rsid w:val="00661BA2"/>
    <w:rsid w:val="0066260C"/>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89D"/>
    <w:rsid w:val="00684CE6"/>
    <w:rsid w:val="00684E2B"/>
    <w:rsid w:val="006857A0"/>
    <w:rsid w:val="00687C7E"/>
    <w:rsid w:val="00687D3D"/>
    <w:rsid w:val="00690569"/>
    <w:rsid w:val="00690FDA"/>
    <w:rsid w:val="00691E61"/>
    <w:rsid w:val="0069220A"/>
    <w:rsid w:val="006937C6"/>
    <w:rsid w:val="00693C5E"/>
    <w:rsid w:val="00693CEE"/>
    <w:rsid w:val="00694EEA"/>
    <w:rsid w:val="006955B4"/>
    <w:rsid w:val="00695DEF"/>
    <w:rsid w:val="00696476"/>
    <w:rsid w:val="00696C74"/>
    <w:rsid w:val="00697AF4"/>
    <w:rsid w:val="00697C9B"/>
    <w:rsid w:val="006A10FA"/>
    <w:rsid w:val="006A12E0"/>
    <w:rsid w:val="006A40E6"/>
    <w:rsid w:val="006A516B"/>
    <w:rsid w:val="006A5362"/>
    <w:rsid w:val="006A543A"/>
    <w:rsid w:val="006A5C07"/>
    <w:rsid w:val="006A75FA"/>
    <w:rsid w:val="006B07D5"/>
    <w:rsid w:val="006B1305"/>
    <w:rsid w:val="006B1309"/>
    <w:rsid w:val="006B31E6"/>
    <w:rsid w:val="006B3923"/>
    <w:rsid w:val="006B3F3E"/>
    <w:rsid w:val="006B4AA2"/>
    <w:rsid w:val="006B4C4D"/>
    <w:rsid w:val="006B53C4"/>
    <w:rsid w:val="006B586B"/>
    <w:rsid w:val="006B5923"/>
    <w:rsid w:val="006B67D9"/>
    <w:rsid w:val="006B6C14"/>
    <w:rsid w:val="006B7159"/>
    <w:rsid w:val="006B715E"/>
    <w:rsid w:val="006C19F1"/>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198"/>
    <w:rsid w:val="006D7854"/>
    <w:rsid w:val="006E06D1"/>
    <w:rsid w:val="006E122E"/>
    <w:rsid w:val="006E1313"/>
    <w:rsid w:val="006E2DC8"/>
    <w:rsid w:val="006E58CB"/>
    <w:rsid w:val="006E6B68"/>
    <w:rsid w:val="006E7356"/>
    <w:rsid w:val="006E77C8"/>
    <w:rsid w:val="006F0F9C"/>
    <w:rsid w:val="006F149D"/>
    <w:rsid w:val="006F1A46"/>
    <w:rsid w:val="006F21F6"/>
    <w:rsid w:val="006F3DCE"/>
    <w:rsid w:val="006F45A0"/>
    <w:rsid w:val="006F4B42"/>
    <w:rsid w:val="006F4F06"/>
    <w:rsid w:val="006F5A4E"/>
    <w:rsid w:val="006F5AE8"/>
    <w:rsid w:val="006F5D37"/>
    <w:rsid w:val="006F6005"/>
    <w:rsid w:val="007005EA"/>
    <w:rsid w:val="00700F61"/>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0FE"/>
    <w:rsid w:val="00714664"/>
    <w:rsid w:val="007165CE"/>
    <w:rsid w:val="00717CEB"/>
    <w:rsid w:val="0072035D"/>
    <w:rsid w:val="00720968"/>
    <w:rsid w:val="00721705"/>
    <w:rsid w:val="00721B7A"/>
    <w:rsid w:val="00721D12"/>
    <w:rsid w:val="00721F8B"/>
    <w:rsid w:val="0072341D"/>
    <w:rsid w:val="007236E0"/>
    <w:rsid w:val="007237CE"/>
    <w:rsid w:val="00724619"/>
    <w:rsid w:val="00724688"/>
    <w:rsid w:val="00725BC5"/>
    <w:rsid w:val="007260A9"/>
    <w:rsid w:val="007262B8"/>
    <w:rsid w:val="00726C1D"/>
    <w:rsid w:val="007272F1"/>
    <w:rsid w:val="00727565"/>
    <w:rsid w:val="00730338"/>
    <w:rsid w:val="0073062D"/>
    <w:rsid w:val="0073093B"/>
    <w:rsid w:val="007318D3"/>
    <w:rsid w:val="0073254D"/>
    <w:rsid w:val="00733C3C"/>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6CFC"/>
    <w:rsid w:val="00747A56"/>
    <w:rsid w:val="00750C82"/>
    <w:rsid w:val="00750E3A"/>
    <w:rsid w:val="00752035"/>
    <w:rsid w:val="0076100C"/>
    <w:rsid w:val="007612A5"/>
    <w:rsid w:val="00761D49"/>
    <w:rsid w:val="007627B5"/>
    <w:rsid w:val="007628FF"/>
    <w:rsid w:val="00763CAE"/>
    <w:rsid w:val="00763F95"/>
    <w:rsid w:val="00764C27"/>
    <w:rsid w:val="007651ED"/>
    <w:rsid w:val="00766C87"/>
    <w:rsid w:val="00771043"/>
    <w:rsid w:val="00771F6D"/>
    <w:rsid w:val="0077272B"/>
    <w:rsid w:val="00773AF7"/>
    <w:rsid w:val="00774FFD"/>
    <w:rsid w:val="00776906"/>
    <w:rsid w:val="00776AD5"/>
    <w:rsid w:val="00780378"/>
    <w:rsid w:val="0078085E"/>
    <w:rsid w:val="00781BD4"/>
    <w:rsid w:val="00782562"/>
    <w:rsid w:val="007828B4"/>
    <w:rsid w:val="00782ACD"/>
    <w:rsid w:val="00782FC4"/>
    <w:rsid w:val="00784832"/>
    <w:rsid w:val="00784EA0"/>
    <w:rsid w:val="00785A9E"/>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182"/>
    <w:rsid w:val="007B1C83"/>
    <w:rsid w:val="007B4181"/>
    <w:rsid w:val="007B5746"/>
    <w:rsid w:val="007B59EB"/>
    <w:rsid w:val="007B5C5C"/>
    <w:rsid w:val="007B6CE0"/>
    <w:rsid w:val="007B7B37"/>
    <w:rsid w:val="007B7C41"/>
    <w:rsid w:val="007C05C5"/>
    <w:rsid w:val="007C0715"/>
    <w:rsid w:val="007C0B04"/>
    <w:rsid w:val="007C11E9"/>
    <w:rsid w:val="007C238B"/>
    <w:rsid w:val="007C2802"/>
    <w:rsid w:val="007C3E5A"/>
    <w:rsid w:val="007C433E"/>
    <w:rsid w:val="007C4452"/>
    <w:rsid w:val="007C4790"/>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DCB"/>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2BF"/>
    <w:rsid w:val="0080064F"/>
    <w:rsid w:val="00801B85"/>
    <w:rsid w:val="00803850"/>
    <w:rsid w:val="008039E8"/>
    <w:rsid w:val="00804385"/>
    <w:rsid w:val="008046A7"/>
    <w:rsid w:val="00804E0E"/>
    <w:rsid w:val="008051EB"/>
    <w:rsid w:val="0080588E"/>
    <w:rsid w:val="00805AFD"/>
    <w:rsid w:val="00806397"/>
    <w:rsid w:val="008078D8"/>
    <w:rsid w:val="0080798E"/>
    <w:rsid w:val="00811BD9"/>
    <w:rsid w:val="00811D5B"/>
    <w:rsid w:val="00813C51"/>
    <w:rsid w:val="00815C55"/>
    <w:rsid w:val="00816CCB"/>
    <w:rsid w:val="00817572"/>
    <w:rsid w:val="00817713"/>
    <w:rsid w:val="008208C3"/>
    <w:rsid w:val="00820950"/>
    <w:rsid w:val="008220F1"/>
    <w:rsid w:val="0082340B"/>
    <w:rsid w:val="00823D6A"/>
    <w:rsid w:val="00825C9A"/>
    <w:rsid w:val="00826797"/>
    <w:rsid w:val="00827B29"/>
    <w:rsid w:val="00827DB6"/>
    <w:rsid w:val="008304B2"/>
    <w:rsid w:val="008307DD"/>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371"/>
    <w:rsid w:val="00860869"/>
    <w:rsid w:val="00860E60"/>
    <w:rsid w:val="0086102A"/>
    <w:rsid w:val="008613DA"/>
    <w:rsid w:val="0086162B"/>
    <w:rsid w:val="00861710"/>
    <w:rsid w:val="00861D5C"/>
    <w:rsid w:val="00861E7C"/>
    <w:rsid w:val="0086429C"/>
    <w:rsid w:val="00865207"/>
    <w:rsid w:val="008656A7"/>
    <w:rsid w:val="00865FA3"/>
    <w:rsid w:val="00866231"/>
    <w:rsid w:val="00866721"/>
    <w:rsid w:val="00867AC2"/>
    <w:rsid w:val="00871262"/>
    <w:rsid w:val="0087170E"/>
    <w:rsid w:val="00871D4E"/>
    <w:rsid w:val="00871E7B"/>
    <w:rsid w:val="008721BB"/>
    <w:rsid w:val="0087566D"/>
    <w:rsid w:val="00875B50"/>
    <w:rsid w:val="00875B51"/>
    <w:rsid w:val="00875F2D"/>
    <w:rsid w:val="008762E7"/>
    <w:rsid w:val="008764DC"/>
    <w:rsid w:val="00880882"/>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28B"/>
    <w:rsid w:val="008A55DE"/>
    <w:rsid w:val="008A5705"/>
    <w:rsid w:val="008A5C34"/>
    <w:rsid w:val="008A63A9"/>
    <w:rsid w:val="008A7073"/>
    <w:rsid w:val="008A72C4"/>
    <w:rsid w:val="008A73EB"/>
    <w:rsid w:val="008A79F0"/>
    <w:rsid w:val="008A7B39"/>
    <w:rsid w:val="008A7F7E"/>
    <w:rsid w:val="008B04DB"/>
    <w:rsid w:val="008B09B4"/>
    <w:rsid w:val="008B1B11"/>
    <w:rsid w:val="008B1B7F"/>
    <w:rsid w:val="008B1DF4"/>
    <w:rsid w:val="008B27FD"/>
    <w:rsid w:val="008B2FDB"/>
    <w:rsid w:val="008B3AF2"/>
    <w:rsid w:val="008B446D"/>
    <w:rsid w:val="008B515D"/>
    <w:rsid w:val="008B5D31"/>
    <w:rsid w:val="008B6705"/>
    <w:rsid w:val="008C088A"/>
    <w:rsid w:val="008C1324"/>
    <w:rsid w:val="008C22F3"/>
    <w:rsid w:val="008C3223"/>
    <w:rsid w:val="008C3FD0"/>
    <w:rsid w:val="008C4F01"/>
    <w:rsid w:val="008C5152"/>
    <w:rsid w:val="008C710E"/>
    <w:rsid w:val="008D1484"/>
    <w:rsid w:val="008D29E7"/>
    <w:rsid w:val="008D3C1D"/>
    <w:rsid w:val="008D424A"/>
    <w:rsid w:val="008D4EF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9DD"/>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4FBA"/>
    <w:rsid w:val="00917182"/>
    <w:rsid w:val="00917CFF"/>
    <w:rsid w:val="00920251"/>
    <w:rsid w:val="00921CFD"/>
    <w:rsid w:val="00923B25"/>
    <w:rsid w:val="0092402E"/>
    <w:rsid w:val="009259BA"/>
    <w:rsid w:val="00926FCB"/>
    <w:rsid w:val="009303BB"/>
    <w:rsid w:val="0093108A"/>
    <w:rsid w:val="00931B6D"/>
    <w:rsid w:val="00931F34"/>
    <w:rsid w:val="0093311A"/>
    <w:rsid w:val="009346D0"/>
    <w:rsid w:val="009369A6"/>
    <w:rsid w:val="00937F57"/>
    <w:rsid w:val="0094031E"/>
    <w:rsid w:val="00940632"/>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5EE"/>
    <w:rsid w:val="00971810"/>
    <w:rsid w:val="00972996"/>
    <w:rsid w:val="009730B4"/>
    <w:rsid w:val="0097320E"/>
    <w:rsid w:val="009732B8"/>
    <w:rsid w:val="00974647"/>
    <w:rsid w:val="00974D28"/>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3FAD"/>
    <w:rsid w:val="0099421F"/>
    <w:rsid w:val="00994FC8"/>
    <w:rsid w:val="009A044F"/>
    <w:rsid w:val="009A0DE3"/>
    <w:rsid w:val="009A1643"/>
    <w:rsid w:val="009A215A"/>
    <w:rsid w:val="009A26B9"/>
    <w:rsid w:val="009A49D3"/>
    <w:rsid w:val="009A4F1B"/>
    <w:rsid w:val="009A66C5"/>
    <w:rsid w:val="009A66E7"/>
    <w:rsid w:val="009A79BA"/>
    <w:rsid w:val="009B10F9"/>
    <w:rsid w:val="009B14D1"/>
    <w:rsid w:val="009B1534"/>
    <w:rsid w:val="009B493C"/>
    <w:rsid w:val="009B4963"/>
    <w:rsid w:val="009B4A3B"/>
    <w:rsid w:val="009B582A"/>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39A6"/>
    <w:rsid w:val="009D4229"/>
    <w:rsid w:val="009D4268"/>
    <w:rsid w:val="009D5DE9"/>
    <w:rsid w:val="009D6168"/>
    <w:rsid w:val="009E09D0"/>
    <w:rsid w:val="009E1181"/>
    <w:rsid w:val="009E1283"/>
    <w:rsid w:val="009E3A7F"/>
    <w:rsid w:val="009E3DB0"/>
    <w:rsid w:val="009E4C9B"/>
    <w:rsid w:val="009E4DFC"/>
    <w:rsid w:val="009E5789"/>
    <w:rsid w:val="009E57B1"/>
    <w:rsid w:val="009E6379"/>
    <w:rsid w:val="009F020F"/>
    <w:rsid w:val="009F3B63"/>
    <w:rsid w:val="009F43E2"/>
    <w:rsid w:val="009F6292"/>
    <w:rsid w:val="009F6E48"/>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C44"/>
    <w:rsid w:val="00A1213C"/>
    <w:rsid w:val="00A130E8"/>
    <w:rsid w:val="00A15B6B"/>
    <w:rsid w:val="00A15EB4"/>
    <w:rsid w:val="00A16172"/>
    <w:rsid w:val="00A16876"/>
    <w:rsid w:val="00A17701"/>
    <w:rsid w:val="00A200AA"/>
    <w:rsid w:val="00A20558"/>
    <w:rsid w:val="00A211DD"/>
    <w:rsid w:val="00A2186F"/>
    <w:rsid w:val="00A2270B"/>
    <w:rsid w:val="00A23B89"/>
    <w:rsid w:val="00A23C4F"/>
    <w:rsid w:val="00A23FE3"/>
    <w:rsid w:val="00A248B0"/>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0E07"/>
    <w:rsid w:val="00A51EE0"/>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2D2"/>
    <w:rsid w:val="00A66A45"/>
    <w:rsid w:val="00A67591"/>
    <w:rsid w:val="00A67911"/>
    <w:rsid w:val="00A67CA6"/>
    <w:rsid w:val="00A67DC7"/>
    <w:rsid w:val="00A70E7B"/>
    <w:rsid w:val="00A717EA"/>
    <w:rsid w:val="00A730B0"/>
    <w:rsid w:val="00A73B84"/>
    <w:rsid w:val="00A7411D"/>
    <w:rsid w:val="00A756C4"/>
    <w:rsid w:val="00A7592B"/>
    <w:rsid w:val="00A75ED7"/>
    <w:rsid w:val="00A76094"/>
    <w:rsid w:val="00A768E2"/>
    <w:rsid w:val="00A81BA8"/>
    <w:rsid w:val="00A82542"/>
    <w:rsid w:val="00A82C52"/>
    <w:rsid w:val="00A838E8"/>
    <w:rsid w:val="00A83C15"/>
    <w:rsid w:val="00A84EC4"/>
    <w:rsid w:val="00A84F15"/>
    <w:rsid w:val="00A86CB6"/>
    <w:rsid w:val="00A90A24"/>
    <w:rsid w:val="00A90D55"/>
    <w:rsid w:val="00A9225E"/>
    <w:rsid w:val="00A944D8"/>
    <w:rsid w:val="00A959E7"/>
    <w:rsid w:val="00A95BBA"/>
    <w:rsid w:val="00A961EE"/>
    <w:rsid w:val="00A96559"/>
    <w:rsid w:val="00A97B11"/>
    <w:rsid w:val="00A97CD9"/>
    <w:rsid w:val="00A97E8F"/>
    <w:rsid w:val="00AA020A"/>
    <w:rsid w:val="00AA04B3"/>
    <w:rsid w:val="00AA1253"/>
    <w:rsid w:val="00AA1ED0"/>
    <w:rsid w:val="00AA1F5B"/>
    <w:rsid w:val="00AA28EF"/>
    <w:rsid w:val="00AA3230"/>
    <w:rsid w:val="00AA3593"/>
    <w:rsid w:val="00AA38CA"/>
    <w:rsid w:val="00AA438B"/>
    <w:rsid w:val="00AA493E"/>
    <w:rsid w:val="00AA4B2C"/>
    <w:rsid w:val="00AA73AF"/>
    <w:rsid w:val="00AB062D"/>
    <w:rsid w:val="00AB0A8A"/>
    <w:rsid w:val="00AB1754"/>
    <w:rsid w:val="00AB1F8D"/>
    <w:rsid w:val="00AB27DD"/>
    <w:rsid w:val="00AB4BA4"/>
    <w:rsid w:val="00AB592E"/>
    <w:rsid w:val="00AC0C1C"/>
    <w:rsid w:val="00AC1305"/>
    <w:rsid w:val="00AC2A8C"/>
    <w:rsid w:val="00AC33D3"/>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CCF"/>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776"/>
    <w:rsid w:val="00AF01B2"/>
    <w:rsid w:val="00AF10E1"/>
    <w:rsid w:val="00AF1103"/>
    <w:rsid w:val="00AF1668"/>
    <w:rsid w:val="00AF25B2"/>
    <w:rsid w:val="00AF28DE"/>
    <w:rsid w:val="00AF3083"/>
    <w:rsid w:val="00AF41EE"/>
    <w:rsid w:val="00AF4FA5"/>
    <w:rsid w:val="00AF5BB4"/>
    <w:rsid w:val="00AF634A"/>
    <w:rsid w:val="00AF6ECC"/>
    <w:rsid w:val="00B014DC"/>
    <w:rsid w:val="00B02145"/>
    <w:rsid w:val="00B022DC"/>
    <w:rsid w:val="00B04562"/>
    <w:rsid w:val="00B0472F"/>
    <w:rsid w:val="00B05731"/>
    <w:rsid w:val="00B06930"/>
    <w:rsid w:val="00B0773A"/>
    <w:rsid w:val="00B07955"/>
    <w:rsid w:val="00B11316"/>
    <w:rsid w:val="00B1176B"/>
    <w:rsid w:val="00B140B8"/>
    <w:rsid w:val="00B14257"/>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F64"/>
    <w:rsid w:val="00B300BD"/>
    <w:rsid w:val="00B30504"/>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FD5"/>
    <w:rsid w:val="00B522CD"/>
    <w:rsid w:val="00B55143"/>
    <w:rsid w:val="00B553B2"/>
    <w:rsid w:val="00B555C8"/>
    <w:rsid w:val="00B55917"/>
    <w:rsid w:val="00B55D87"/>
    <w:rsid w:val="00B5646A"/>
    <w:rsid w:val="00B56F3D"/>
    <w:rsid w:val="00B57921"/>
    <w:rsid w:val="00B57E78"/>
    <w:rsid w:val="00B57EB8"/>
    <w:rsid w:val="00B60055"/>
    <w:rsid w:val="00B609F6"/>
    <w:rsid w:val="00B60E75"/>
    <w:rsid w:val="00B643A6"/>
    <w:rsid w:val="00B64DD6"/>
    <w:rsid w:val="00B66505"/>
    <w:rsid w:val="00B6710C"/>
    <w:rsid w:val="00B67C07"/>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374"/>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0EE0"/>
    <w:rsid w:val="00BB133C"/>
    <w:rsid w:val="00BB1F04"/>
    <w:rsid w:val="00BB45B5"/>
    <w:rsid w:val="00BB4DDE"/>
    <w:rsid w:val="00BB6064"/>
    <w:rsid w:val="00BB65CE"/>
    <w:rsid w:val="00BB7012"/>
    <w:rsid w:val="00BC09D1"/>
    <w:rsid w:val="00BC1CF3"/>
    <w:rsid w:val="00BC2BE0"/>
    <w:rsid w:val="00BC3573"/>
    <w:rsid w:val="00BC529A"/>
    <w:rsid w:val="00BC5860"/>
    <w:rsid w:val="00BC7F82"/>
    <w:rsid w:val="00BD0707"/>
    <w:rsid w:val="00BD1844"/>
    <w:rsid w:val="00BD1AFE"/>
    <w:rsid w:val="00BD2A49"/>
    <w:rsid w:val="00BD3683"/>
    <w:rsid w:val="00BD3B6B"/>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976"/>
    <w:rsid w:val="00BF4F49"/>
    <w:rsid w:val="00BF50DE"/>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963"/>
    <w:rsid w:val="00C13B34"/>
    <w:rsid w:val="00C13F26"/>
    <w:rsid w:val="00C1474E"/>
    <w:rsid w:val="00C14C37"/>
    <w:rsid w:val="00C157AA"/>
    <w:rsid w:val="00C1586F"/>
    <w:rsid w:val="00C162E1"/>
    <w:rsid w:val="00C16BE4"/>
    <w:rsid w:val="00C16E9F"/>
    <w:rsid w:val="00C1713D"/>
    <w:rsid w:val="00C17523"/>
    <w:rsid w:val="00C177F1"/>
    <w:rsid w:val="00C17EE6"/>
    <w:rsid w:val="00C217F7"/>
    <w:rsid w:val="00C2272E"/>
    <w:rsid w:val="00C22D4D"/>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4D52"/>
    <w:rsid w:val="00C36201"/>
    <w:rsid w:val="00C368E8"/>
    <w:rsid w:val="00C36C3D"/>
    <w:rsid w:val="00C372C7"/>
    <w:rsid w:val="00C376A7"/>
    <w:rsid w:val="00C42443"/>
    <w:rsid w:val="00C42CBA"/>
    <w:rsid w:val="00C4338C"/>
    <w:rsid w:val="00C43C2B"/>
    <w:rsid w:val="00C449A4"/>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2F6A"/>
    <w:rsid w:val="00C63431"/>
    <w:rsid w:val="00C64C87"/>
    <w:rsid w:val="00C65414"/>
    <w:rsid w:val="00C665FE"/>
    <w:rsid w:val="00C71BEC"/>
    <w:rsid w:val="00C73942"/>
    <w:rsid w:val="00C73A83"/>
    <w:rsid w:val="00C74D3A"/>
    <w:rsid w:val="00C7552F"/>
    <w:rsid w:val="00C75AA8"/>
    <w:rsid w:val="00C75F3D"/>
    <w:rsid w:val="00C80511"/>
    <w:rsid w:val="00C80655"/>
    <w:rsid w:val="00C81937"/>
    <w:rsid w:val="00C826F5"/>
    <w:rsid w:val="00C83740"/>
    <w:rsid w:val="00C83FAB"/>
    <w:rsid w:val="00C84527"/>
    <w:rsid w:val="00C84AD1"/>
    <w:rsid w:val="00C85579"/>
    <w:rsid w:val="00C8590C"/>
    <w:rsid w:val="00C862F1"/>
    <w:rsid w:val="00C863E5"/>
    <w:rsid w:val="00C86A10"/>
    <w:rsid w:val="00C87BE6"/>
    <w:rsid w:val="00C87F76"/>
    <w:rsid w:val="00C931FC"/>
    <w:rsid w:val="00C932C5"/>
    <w:rsid w:val="00C93C07"/>
    <w:rsid w:val="00C94CB6"/>
    <w:rsid w:val="00C95299"/>
    <w:rsid w:val="00C95A72"/>
    <w:rsid w:val="00C9650E"/>
    <w:rsid w:val="00C97000"/>
    <w:rsid w:val="00C975BD"/>
    <w:rsid w:val="00CA068D"/>
    <w:rsid w:val="00CA08DF"/>
    <w:rsid w:val="00CA1228"/>
    <w:rsid w:val="00CA1C73"/>
    <w:rsid w:val="00CA282D"/>
    <w:rsid w:val="00CA3F73"/>
    <w:rsid w:val="00CA4670"/>
    <w:rsid w:val="00CA59EB"/>
    <w:rsid w:val="00CA5F89"/>
    <w:rsid w:val="00CA6287"/>
    <w:rsid w:val="00CA6B1A"/>
    <w:rsid w:val="00CB1B18"/>
    <w:rsid w:val="00CB20DC"/>
    <w:rsid w:val="00CB23DC"/>
    <w:rsid w:val="00CB2487"/>
    <w:rsid w:val="00CB28E2"/>
    <w:rsid w:val="00CB2F20"/>
    <w:rsid w:val="00CB3395"/>
    <w:rsid w:val="00CB4981"/>
    <w:rsid w:val="00CB5097"/>
    <w:rsid w:val="00CB5801"/>
    <w:rsid w:val="00CB71B4"/>
    <w:rsid w:val="00CB758D"/>
    <w:rsid w:val="00CB7A3E"/>
    <w:rsid w:val="00CB7FF7"/>
    <w:rsid w:val="00CC0D0E"/>
    <w:rsid w:val="00CC1253"/>
    <w:rsid w:val="00CC161E"/>
    <w:rsid w:val="00CC1978"/>
    <w:rsid w:val="00CC19B3"/>
    <w:rsid w:val="00CC2044"/>
    <w:rsid w:val="00CC39D2"/>
    <w:rsid w:val="00CC5E96"/>
    <w:rsid w:val="00CC69EC"/>
    <w:rsid w:val="00CC78A2"/>
    <w:rsid w:val="00CC7DF8"/>
    <w:rsid w:val="00CD0D33"/>
    <w:rsid w:val="00CD15BE"/>
    <w:rsid w:val="00CD1EF2"/>
    <w:rsid w:val="00CD32BD"/>
    <w:rsid w:val="00CD34C7"/>
    <w:rsid w:val="00CD5653"/>
    <w:rsid w:val="00CD5E6D"/>
    <w:rsid w:val="00CD63C8"/>
    <w:rsid w:val="00CD767E"/>
    <w:rsid w:val="00CD76F8"/>
    <w:rsid w:val="00CD78A5"/>
    <w:rsid w:val="00CE02E8"/>
    <w:rsid w:val="00CE069E"/>
    <w:rsid w:val="00CE07E6"/>
    <w:rsid w:val="00CE0DE0"/>
    <w:rsid w:val="00CE2CC2"/>
    <w:rsid w:val="00CE3722"/>
    <w:rsid w:val="00CE7684"/>
    <w:rsid w:val="00CE7754"/>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383"/>
    <w:rsid w:val="00D06840"/>
    <w:rsid w:val="00D06952"/>
    <w:rsid w:val="00D07A72"/>
    <w:rsid w:val="00D10577"/>
    <w:rsid w:val="00D12405"/>
    <w:rsid w:val="00D12A4E"/>
    <w:rsid w:val="00D1323B"/>
    <w:rsid w:val="00D14BAE"/>
    <w:rsid w:val="00D15107"/>
    <w:rsid w:val="00D1648B"/>
    <w:rsid w:val="00D16819"/>
    <w:rsid w:val="00D17DD9"/>
    <w:rsid w:val="00D20AC0"/>
    <w:rsid w:val="00D21892"/>
    <w:rsid w:val="00D229E7"/>
    <w:rsid w:val="00D22B7C"/>
    <w:rsid w:val="00D2321B"/>
    <w:rsid w:val="00D23350"/>
    <w:rsid w:val="00D237E7"/>
    <w:rsid w:val="00D23DE4"/>
    <w:rsid w:val="00D2537E"/>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FFA"/>
    <w:rsid w:val="00D462D7"/>
    <w:rsid w:val="00D46A33"/>
    <w:rsid w:val="00D5062C"/>
    <w:rsid w:val="00D50C8C"/>
    <w:rsid w:val="00D52393"/>
    <w:rsid w:val="00D523E4"/>
    <w:rsid w:val="00D52779"/>
    <w:rsid w:val="00D5279D"/>
    <w:rsid w:val="00D52A1B"/>
    <w:rsid w:val="00D52AA7"/>
    <w:rsid w:val="00D52FCC"/>
    <w:rsid w:val="00D53F14"/>
    <w:rsid w:val="00D5403F"/>
    <w:rsid w:val="00D54BE4"/>
    <w:rsid w:val="00D54DDB"/>
    <w:rsid w:val="00D554BC"/>
    <w:rsid w:val="00D55860"/>
    <w:rsid w:val="00D560DC"/>
    <w:rsid w:val="00D56602"/>
    <w:rsid w:val="00D60483"/>
    <w:rsid w:val="00D61ABB"/>
    <w:rsid w:val="00D62D5C"/>
    <w:rsid w:val="00D63577"/>
    <w:rsid w:val="00D66A41"/>
    <w:rsid w:val="00D67FD7"/>
    <w:rsid w:val="00D704E4"/>
    <w:rsid w:val="00D72410"/>
    <w:rsid w:val="00D73D53"/>
    <w:rsid w:val="00D7402C"/>
    <w:rsid w:val="00D7408A"/>
    <w:rsid w:val="00D74261"/>
    <w:rsid w:val="00D743E5"/>
    <w:rsid w:val="00D7441B"/>
    <w:rsid w:val="00D75589"/>
    <w:rsid w:val="00D76AB2"/>
    <w:rsid w:val="00D80490"/>
    <w:rsid w:val="00D828F9"/>
    <w:rsid w:val="00D829AD"/>
    <w:rsid w:val="00D82EE2"/>
    <w:rsid w:val="00D83D1B"/>
    <w:rsid w:val="00D84133"/>
    <w:rsid w:val="00D84B8D"/>
    <w:rsid w:val="00D85273"/>
    <w:rsid w:val="00D8545C"/>
    <w:rsid w:val="00D86AB5"/>
    <w:rsid w:val="00D86E57"/>
    <w:rsid w:val="00D876AD"/>
    <w:rsid w:val="00D87788"/>
    <w:rsid w:val="00D877C8"/>
    <w:rsid w:val="00D87AE7"/>
    <w:rsid w:val="00D91040"/>
    <w:rsid w:val="00D910C2"/>
    <w:rsid w:val="00D9168C"/>
    <w:rsid w:val="00D9189B"/>
    <w:rsid w:val="00D91DA6"/>
    <w:rsid w:val="00D921A0"/>
    <w:rsid w:val="00D93A41"/>
    <w:rsid w:val="00D93B9A"/>
    <w:rsid w:val="00D95984"/>
    <w:rsid w:val="00D95C64"/>
    <w:rsid w:val="00D9706F"/>
    <w:rsid w:val="00D972D4"/>
    <w:rsid w:val="00D97540"/>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0F3D"/>
    <w:rsid w:val="00DC17F2"/>
    <w:rsid w:val="00DC4001"/>
    <w:rsid w:val="00DC41C3"/>
    <w:rsid w:val="00DC47DC"/>
    <w:rsid w:val="00DC4A3C"/>
    <w:rsid w:val="00DC4FA4"/>
    <w:rsid w:val="00DC5B37"/>
    <w:rsid w:val="00DC71B8"/>
    <w:rsid w:val="00DD0EE4"/>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3F90"/>
    <w:rsid w:val="00DF40FC"/>
    <w:rsid w:val="00DF5C84"/>
    <w:rsid w:val="00DF5EC0"/>
    <w:rsid w:val="00DF6836"/>
    <w:rsid w:val="00DF6EF8"/>
    <w:rsid w:val="00DF6EFE"/>
    <w:rsid w:val="00DF7404"/>
    <w:rsid w:val="00DF7983"/>
    <w:rsid w:val="00E00A69"/>
    <w:rsid w:val="00E017BC"/>
    <w:rsid w:val="00E017F0"/>
    <w:rsid w:val="00E01A0E"/>
    <w:rsid w:val="00E025FE"/>
    <w:rsid w:val="00E0346A"/>
    <w:rsid w:val="00E041E4"/>
    <w:rsid w:val="00E04AEE"/>
    <w:rsid w:val="00E04D69"/>
    <w:rsid w:val="00E06BBD"/>
    <w:rsid w:val="00E100E3"/>
    <w:rsid w:val="00E1012B"/>
    <w:rsid w:val="00E103C8"/>
    <w:rsid w:val="00E1085B"/>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132"/>
    <w:rsid w:val="00E322F7"/>
    <w:rsid w:val="00E3369B"/>
    <w:rsid w:val="00E362D2"/>
    <w:rsid w:val="00E36D76"/>
    <w:rsid w:val="00E40478"/>
    <w:rsid w:val="00E405EA"/>
    <w:rsid w:val="00E408B7"/>
    <w:rsid w:val="00E40B21"/>
    <w:rsid w:val="00E412EB"/>
    <w:rsid w:val="00E41637"/>
    <w:rsid w:val="00E42789"/>
    <w:rsid w:val="00E43F59"/>
    <w:rsid w:val="00E464F0"/>
    <w:rsid w:val="00E46EF3"/>
    <w:rsid w:val="00E47370"/>
    <w:rsid w:val="00E473E9"/>
    <w:rsid w:val="00E47B47"/>
    <w:rsid w:val="00E50BEB"/>
    <w:rsid w:val="00E523E4"/>
    <w:rsid w:val="00E53460"/>
    <w:rsid w:val="00E548FA"/>
    <w:rsid w:val="00E55CD9"/>
    <w:rsid w:val="00E57703"/>
    <w:rsid w:val="00E57ED4"/>
    <w:rsid w:val="00E57FED"/>
    <w:rsid w:val="00E60755"/>
    <w:rsid w:val="00E6092F"/>
    <w:rsid w:val="00E61EE9"/>
    <w:rsid w:val="00E62049"/>
    <w:rsid w:val="00E629DA"/>
    <w:rsid w:val="00E64374"/>
    <w:rsid w:val="00E6451F"/>
    <w:rsid w:val="00E6469F"/>
    <w:rsid w:val="00E6546A"/>
    <w:rsid w:val="00E65B97"/>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BC1"/>
    <w:rsid w:val="00E86C1D"/>
    <w:rsid w:val="00E90703"/>
    <w:rsid w:val="00E90A62"/>
    <w:rsid w:val="00E9265E"/>
    <w:rsid w:val="00E956DB"/>
    <w:rsid w:val="00E9763D"/>
    <w:rsid w:val="00EA1177"/>
    <w:rsid w:val="00EA118B"/>
    <w:rsid w:val="00EA11B6"/>
    <w:rsid w:val="00EA2181"/>
    <w:rsid w:val="00EA2DD8"/>
    <w:rsid w:val="00EA30FC"/>
    <w:rsid w:val="00EA357E"/>
    <w:rsid w:val="00EA4475"/>
    <w:rsid w:val="00EA4C11"/>
    <w:rsid w:val="00EA52FE"/>
    <w:rsid w:val="00EA681F"/>
    <w:rsid w:val="00EB04C6"/>
    <w:rsid w:val="00EB06A6"/>
    <w:rsid w:val="00EB20C6"/>
    <w:rsid w:val="00EB29EA"/>
    <w:rsid w:val="00EB3307"/>
    <w:rsid w:val="00EB3823"/>
    <w:rsid w:val="00EB3CBB"/>
    <w:rsid w:val="00EB45FC"/>
    <w:rsid w:val="00EB47D8"/>
    <w:rsid w:val="00EB57D3"/>
    <w:rsid w:val="00EB5D99"/>
    <w:rsid w:val="00EB5EFD"/>
    <w:rsid w:val="00EB679F"/>
    <w:rsid w:val="00EB76E4"/>
    <w:rsid w:val="00EC0515"/>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A96"/>
    <w:rsid w:val="00EE0B44"/>
    <w:rsid w:val="00EE125D"/>
    <w:rsid w:val="00EE23DE"/>
    <w:rsid w:val="00EE48BB"/>
    <w:rsid w:val="00EE6FE0"/>
    <w:rsid w:val="00EE704A"/>
    <w:rsid w:val="00EE76A1"/>
    <w:rsid w:val="00EE7840"/>
    <w:rsid w:val="00EF2E75"/>
    <w:rsid w:val="00EF2E84"/>
    <w:rsid w:val="00EF3E89"/>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31C"/>
    <w:rsid w:val="00F12BA8"/>
    <w:rsid w:val="00F12D7A"/>
    <w:rsid w:val="00F130D0"/>
    <w:rsid w:val="00F1329D"/>
    <w:rsid w:val="00F13AC6"/>
    <w:rsid w:val="00F14933"/>
    <w:rsid w:val="00F1516A"/>
    <w:rsid w:val="00F15EE5"/>
    <w:rsid w:val="00F16489"/>
    <w:rsid w:val="00F171F9"/>
    <w:rsid w:val="00F1737C"/>
    <w:rsid w:val="00F173AA"/>
    <w:rsid w:val="00F22A26"/>
    <w:rsid w:val="00F24072"/>
    <w:rsid w:val="00F26432"/>
    <w:rsid w:val="00F3197A"/>
    <w:rsid w:val="00F32139"/>
    <w:rsid w:val="00F32228"/>
    <w:rsid w:val="00F33CF0"/>
    <w:rsid w:val="00F33D56"/>
    <w:rsid w:val="00F34E08"/>
    <w:rsid w:val="00F36C39"/>
    <w:rsid w:val="00F41D91"/>
    <w:rsid w:val="00F41F52"/>
    <w:rsid w:val="00F41FA1"/>
    <w:rsid w:val="00F42363"/>
    <w:rsid w:val="00F427C4"/>
    <w:rsid w:val="00F42D06"/>
    <w:rsid w:val="00F43D6C"/>
    <w:rsid w:val="00F46964"/>
    <w:rsid w:val="00F46F9A"/>
    <w:rsid w:val="00F470FD"/>
    <w:rsid w:val="00F5006E"/>
    <w:rsid w:val="00F50F30"/>
    <w:rsid w:val="00F5126A"/>
    <w:rsid w:val="00F5126E"/>
    <w:rsid w:val="00F516EF"/>
    <w:rsid w:val="00F51755"/>
    <w:rsid w:val="00F531D9"/>
    <w:rsid w:val="00F54D8E"/>
    <w:rsid w:val="00F5580D"/>
    <w:rsid w:val="00F56EA1"/>
    <w:rsid w:val="00F5728F"/>
    <w:rsid w:val="00F606D5"/>
    <w:rsid w:val="00F60819"/>
    <w:rsid w:val="00F611B3"/>
    <w:rsid w:val="00F6196E"/>
    <w:rsid w:val="00F61CCC"/>
    <w:rsid w:val="00F624DD"/>
    <w:rsid w:val="00F629C0"/>
    <w:rsid w:val="00F63FC7"/>
    <w:rsid w:val="00F6488A"/>
    <w:rsid w:val="00F65E1F"/>
    <w:rsid w:val="00F65E80"/>
    <w:rsid w:val="00F65ED5"/>
    <w:rsid w:val="00F6608B"/>
    <w:rsid w:val="00F6636A"/>
    <w:rsid w:val="00F667C5"/>
    <w:rsid w:val="00F67C20"/>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5DD"/>
    <w:rsid w:val="00F908D5"/>
    <w:rsid w:val="00F913B9"/>
    <w:rsid w:val="00F93A66"/>
    <w:rsid w:val="00F93C74"/>
    <w:rsid w:val="00F93DCC"/>
    <w:rsid w:val="00F9435D"/>
    <w:rsid w:val="00F95566"/>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4A5"/>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39B"/>
    <w:rsid w:val="00FC78FB"/>
    <w:rsid w:val="00FC7DBC"/>
    <w:rsid w:val="00FD0185"/>
    <w:rsid w:val="00FD076A"/>
    <w:rsid w:val="00FD0AA0"/>
    <w:rsid w:val="00FD1D5A"/>
    <w:rsid w:val="00FD3CCC"/>
    <w:rsid w:val="00FD5059"/>
    <w:rsid w:val="00FD554D"/>
    <w:rsid w:val="00FD5BCC"/>
    <w:rsid w:val="00FD7B23"/>
    <w:rsid w:val="00FE17B6"/>
    <w:rsid w:val="00FE2A48"/>
    <w:rsid w:val="00FE2DEF"/>
    <w:rsid w:val="00FE323C"/>
    <w:rsid w:val="00FE3A27"/>
    <w:rsid w:val="00FE5D0A"/>
    <w:rsid w:val="00FE6469"/>
    <w:rsid w:val="00FE7C6D"/>
    <w:rsid w:val="00FF05D0"/>
    <w:rsid w:val="00FF063A"/>
    <w:rsid w:val="00FF06CE"/>
    <w:rsid w:val="00FF0DC2"/>
    <w:rsid w:val="00FF0FF7"/>
    <w:rsid w:val="00FF1022"/>
    <w:rsid w:val="00FF10A2"/>
    <w:rsid w:val="00FF1438"/>
    <w:rsid w:val="00FF3A38"/>
    <w:rsid w:val="00FF3C25"/>
    <w:rsid w:val="00FF4129"/>
    <w:rsid w:val="00FF44F7"/>
    <w:rsid w:val="00FF4C90"/>
    <w:rsid w:val="00FF5806"/>
    <w:rsid w:val="00FF61BD"/>
    <w:rsid w:val="00FF6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4248911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761220607">
          <w:marLeft w:val="0"/>
          <w:marRight w:val="0"/>
          <w:marTop w:val="0"/>
          <w:marBottom w:val="0"/>
          <w:divBdr>
            <w:top w:val="single" w:sz="6" w:space="0" w:color="AAAAAA"/>
            <w:left w:val="single" w:sz="6" w:space="0" w:color="AAAAAA"/>
            <w:bottom w:val="single" w:sz="6" w:space="0" w:color="AAAAAA"/>
            <w:right w:val="single" w:sz="6" w:space="0" w:color="AAAAAA"/>
          </w:divBdr>
          <w:divsChild>
            <w:div w:id="1803039336">
              <w:marLeft w:val="16"/>
              <w:marRight w:val="16"/>
              <w:marTop w:val="16"/>
              <w:marBottom w:val="16"/>
              <w:divBdr>
                <w:top w:val="none" w:sz="0" w:space="0" w:color="auto"/>
                <w:left w:val="none" w:sz="0" w:space="0" w:color="auto"/>
                <w:bottom w:val="none" w:sz="0" w:space="0" w:color="auto"/>
                <w:right w:val="none" w:sz="0" w:space="0" w:color="auto"/>
              </w:divBdr>
              <w:divsChild>
                <w:div w:id="1308782242">
                  <w:marLeft w:val="3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6857250">
      <w:bodyDiv w:val="1"/>
      <w:marLeft w:val="0"/>
      <w:marRight w:val="0"/>
      <w:marTop w:val="0"/>
      <w:marBottom w:val="0"/>
      <w:divBdr>
        <w:top w:val="none" w:sz="0" w:space="0" w:color="auto"/>
        <w:left w:val="none" w:sz="0" w:space="0" w:color="auto"/>
        <w:bottom w:val="none" w:sz="0" w:space="0" w:color="auto"/>
        <w:right w:val="none" w:sz="0" w:space="0" w:color="auto"/>
      </w:divBdr>
      <w:divsChild>
        <w:div w:id="292829646">
          <w:marLeft w:val="0"/>
          <w:marRight w:val="0"/>
          <w:marTop w:val="0"/>
          <w:marBottom w:val="0"/>
          <w:divBdr>
            <w:top w:val="none" w:sz="0" w:space="0" w:color="auto"/>
            <w:left w:val="none" w:sz="0" w:space="0" w:color="auto"/>
            <w:bottom w:val="none" w:sz="0" w:space="0" w:color="auto"/>
            <w:right w:val="none" w:sz="0" w:space="0" w:color="auto"/>
          </w:divBdr>
          <w:divsChild>
            <w:div w:id="98843239">
              <w:marLeft w:val="0"/>
              <w:marRight w:val="0"/>
              <w:marTop w:val="0"/>
              <w:marBottom w:val="1358"/>
              <w:divBdr>
                <w:top w:val="single" w:sz="2" w:space="7" w:color="1F1A17"/>
                <w:left w:val="single" w:sz="6" w:space="13" w:color="1F1A17"/>
                <w:bottom w:val="single" w:sz="6" w:space="31" w:color="1F1A17"/>
                <w:right w:val="single" w:sz="6" w:space="13" w:color="1F1A17"/>
              </w:divBdr>
              <w:divsChild>
                <w:div w:id="546530254">
                  <w:marLeft w:val="0"/>
                  <w:marRight w:val="0"/>
                  <w:marTop w:val="0"/>
                  <w:marBottom w:val="0"/>
                  <w:divBdr>
                    <w:top w:val="none" w:sz="0" w:space="0" w:color="auto"/>
                    <w:left w:val="none" w:sz="0" w:space="0" w:color="auto"/>
                    <w:bottom w:val="none" w:sz="0" w:space="0" w:color="auto"/>
                    <w:right w:val="none" w:sz="0" w:space="0" w:color="auto"/>
                  </w:divBdr>
                  <w:divsChild>
                    <w:div w:id="8533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090389665">
      <w:bodyDiv w:val="1"/>
      <w:marLeft w:val="162"/>
      <w:marRight w:val="162"/>
      <w:marTop w:val="162"/>
      <w:marBottom w:val="162"/>
      <w:divBdr>
        <w:top w:val="none" w:sz="0" w:space="0" w:color="auto"/>
        <w:left w:val="none" w:sz="0" w:space="0" w:color="auto"/>
        <w:bottom w:val="none" w:sz="0" w:space="0" w:color="auto"/>
        <w:right w:val="none" w:sz="0" w:space="0" w:color="auto"/>
      </w:divBdr>
      <w:divsChild>
        <w:div w:id="988439364">
          <w:marLeft w:val="0"/>
          <w:marRight w:val="0"/>
          <w:marTop w:val="0"/>
          <w:marBottom w:val="0"/>
          <w:divBdr>
            <w:top w:val="single" w:sz="6" w:space="0" w:color="AAAAAA"/>
            <w:left w:val="single" w:sz="6" w:space="0" w:color="AAAAAA"/>
            <w:bottom w:val="single" w:sz="6" w:space="0" w:color="AAAAAA"/>
            <w:right w:val="single" w:sz="6" w:space="0" w:color="AAAAAA"/>
          </w:divBdr>
          <w:divsChild>
            <w:div w:id="58672401">
              <w:marLeft w:val="16"/>
              <w:marRight w:val="16"/>
              <w:marTop w:val="16"/>
              <w:marBottom w:val="16"/>
              <w:divBdr>
                <w:top w:val="none" w:sz="0" w:space="0" w:color="auto"/>
                <w:left w:val="none" w:sz="0" w:space="0" w:color="auto"/>
                <w:bottom w:val="none" w:sz="0" w:space="0" w:color="auto"/>
                <w:right w:val="none" w:sz="0" w:space="0" w:color="auto"/>
              </w:divBdr>
              <w:divsChild>
                <w:div w:id="169298182">
                  <w:marLeft w:val="38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67439834">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7441128">
      <w:bodyDiv w:val="1"/>
      <w:marLeft w:val="0"/>
      <w:marRight w:val="0"/>
      <w:marTop w:val="0"/>
      <w:marBottom w:val="0"/>
      <w:divBdr>
        <w:top w:val="none" w:sz="0" w:space="0" w:color="auto"/>
        <w:left w:val="none" w:sz="0" w:space="0" w:color="auto"/>
        <w:bottom w:val="none" w:sz="0" w:space="0" w:color="auto"/>
        <w:right w:val="none" w:sz="0" w:space="0" w:color="auto"/>
      </w:divBdr>
    </w:div>
    <w:div w:id="1669484237">
      <w:bodyDiv w:val="1"/>
      <w:marLeft w:val="0"/>
      <w:marRight w:val="0"/>
      <w:marTop w:val="0"/>
      <w:marBottom w:val="0"/>
      <w:divBdr>
        <w:top w:val="none" w:sz="0" w:space="0" w:color="auto"/>
        <w:left w:val="none" w:sz="0" w:space="0" w:color="auto"/>
        <w:bottom w:val="none" w:sz="0" w:space="0" w:color="auto"/>
        <w:right w:val="none" w:sz="0" w:space="0" w:color="auto"/>
      </w:divBdr>
      <w:divsChild>
        <w:div w:id="1325235425">
          <w:marLeft w:val="0"/>
          <w:marRight w:val="0"/>
          <w:marTop w:val="0"/>
          <w:marBottom w:val="0"/>
          <w:divBdr>
            <w:top w:val="none" w:sz="0" w:space="0" w:color="auto"/>
            <w:left w:val="none" w:sz="0" w:space="0" w:color="auto"/>
            <w:bottom w:val="none" w:sz="0" w:space="0" w:color="auto"/>
            <w:right w:val="none" w:sz="0" w:space="0" w:color="auto"/>
          </w:divBdr>
          <w:divsChild>
            <w:div w:id="731855594">
              <w:marLeft w:val="0"/>
              <w:marRight w:val="0"/>
              <w:marTop w:val="0"/>
              <w:marBottom w:val="1358"/>
              <w:divBdr>
                <w:top w:val="single" w:sz="2" w:space="7" w:color="1F1A17"/>
                <w:left w:val="single" w:sz="6" w:space="13" w:color="1F1A17"/>
                <w:bottom w:val="single" w:sz="6" w:space="31" w:color="1F1A17"/>
                <w:right w:val="single" w:sz="6" w:space="13" w:color="1F1A17"/>
              </w:divBdr>
              <w:divsChild>
                <w:div w:id="911936984">
                  <w:marLeft w:val="0"/>
                  <w:marRight w:val="0"/>
                  <w:marTop w:val="0"/>
                  <w:marBottom w:val="0"/>
                  <w:divBdr>
                    <w:top w:val="none" w:sz="0" w:space="0" w:color="auto"/>
                    <w:left w:val="none" w:sz="0" w:space="0" w:color="auto"/>
                    <w:bottom w:val="none" w:sz="0" w:space="0" w:color="auto"/>
                    <w:right w:val="none" w:sz="0" w:space="0" w:color="auto"/>
                  </w:divBdr>
                  <w:divsChild>
                    <w:div w:id="84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7552">
      <w:bodyDiv w:val="1"/>
      <w:marLeft w:val="0"/>
      <w:marRight w:val="0"/>
      <w:marTop w:val="0"/>
      <w:marBottom w:val="0"/>
      <w:divBdr>
        <w:top w:val="none" w:sz="0" w:space="0" w:color="auto"/>
        <w:left w:val="none" w:sz="0" w:space="0" w:color="auto"/>
        <w:bottom w:val="none" w:sz="0" w:space="0" w:color="auto"/>
        <w:right w:val="none" w:sz="0" w:space="0" w:color="auto"/>
      </w:divBdr>
      <w:divsChild>
        <w:div w:id="172309747">
          <w:marLeft w:val="0"/>
          <w:marRight w:val="0"/>
          <w:marTop w:val="0"/>
          <w:marBottom w:val="180"/>
          <w:divBdr>
            <w:top w:val="single" w:sz="18" w:space="0" w:color="FF3300"/>
            <w:left w:val="none" w:sz="0" w:space="0" w:color="auto"/>
            <w:bottom w:val="none" w:sz="0" w:space="0" w:color="auto"/>
            <w:right w:val="none" w:sz="0" w:space="0" w:color="auto"/>
          </w:divBdr>
          <w:divsChild>
            <w:div w:id="100271425">
              <w:marLeft w:val="0"/>
              <w:marRight w:val="0"/>
              <w:marTop w:val="0"/>
              <w:marBottom w:val="0"/>
              <w:divBdr>
                <w:top w:val="none" w:sz="0" w:space="0" w:color="auto"/>
                <w:left w:val="none" w:sz="0" w:space="0" w:color="auto"/>
                <w:bottom w:val="none" w:sz="0" w:space="0" w:color="auto"/>
                <w:right w:val="none" w:sz="0" w:space="0" w:color="auto"/>
              </w:divBdr>
              <w:divsChild>
                <w:div w:id="106701927">
                  <w:marLeft w:val="0"/>
                  <w:marRight w:val="0"/>
                  <w:marTop w:val="0"/>
                  <w:marBottom w:val="0"/>
                  <w:divBdr>
                    <w:top w:val="none" w:sz="0" w:space="0" w:color="auto"/>
                    <w:left w:val="none" w:sz="0" w:space="0" w:color="auto"/>
                    <w:bottom w:val="none" w:sz="0" w:space="0" w:color="auto"/>
                    <w:right w:val="none" w:sz="0" w:space="0" w:color="auto"/>
                  </w:divBdr>
                  <w:divsChild>
                    <w:div w:id="1263340969">
                      <w:marLeft w:val="0"/>
                      <w:marRight w:val="-5436"/>
                      <w:marTop w:val="0"/>
                      <w:marBottom w:val="0"/>
                      <w:divBdr>
                        <w:top w:val="none" w:sz="0" w:space="0" w:color="auto"/>
                        <w:left w:val="none" w:sz="0" w:space="0" w:color="auto"/>
                        <w:bottom w:val="none" w:sz="0" w:space="0" w:color="auto"/>
                        <w:right w:val="none" w:sz="0" w:space="0" w:color="auto"/>
                      </w:divBdr>
                      <w:divsChild>
                        <w:div w:id="87310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22845110">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8412705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61372581">
      <w:bodyDiv w:val="1"/>
      <w:marLeft w:val="0"/>
      <w:marRight w:val="0"/>
      <w:marTop w:val="0"/>
      <w:marBottom w:val="0"/>
      <w:divBdr>
        <w:top w:val="none" w:sz="0" w:space="0" w:color="auto"/>
        <w:left w:val="none" w:sz="0" w:space="0" w:color="auto"/>
        <w:bottom w:val="none" w:sz="0" w:space="0" w:color="auto"/>
        <w:right w:val="none" w:sz="0" w:space="0" w:color="auto"/>
      </w:divBdr>
      <w:divsChild>
        <w:div w:id="1366104489">
          <w:marLeft w:val="0"/>
          <w:marRight w:val="0"/>
          <w:marTop w:val="0"/>
          <w:marBottom w:val="180"/>
          <w:divBdr>
            <w:top w:val="single" w:sz="18" w:space="0" w:color="FF3300"/>
            <w:left w:val="none" w:sz="0" w:space="0" w:color="auto"/>
            <w:bottom w:val="none" w:sz="0" w:space="0" w:color="auto"/>
            <w:right w:val="none" w:sz="0" w:space="0" w:color="auto"/>
          </w:divBdr>
          <w:divsChild>
            <w:div w:id="1194076575">
              <w:marLeft w:val="0"/>
              <w:marRight w:val="0"/>
              <w:marTop w:val="0"/>
              <w:marBottom w:val="0"/>
              <w:divBdr>
                <w:top w:val="none" w:sz="0" w:space="0" w:color="auto"/>
                <w:left w:val="none" w:sz="0" w:space="0" w:color="auto"/>
                <w:bottom w:val="none" w:sz="0" w:space="0" w:color="auto"/>
                <w:right w:val="none" w:sz="0" w:space="0" w:color="auto"/>
              </w:divBdr>
              <w:divsChild>
                <w:div w:id="1265961159">
                  <w:marLeft w:val="0"/>
                  <w:marRight w:val="0"/>
                  <w:marTop w:val="0"/>
                  <w:marBottom w:val="0"/>
                  <w:divBdr>
                    <w:top w:val="none" w:sz="0" w:space="0" w:color="auto"/>
                    <w:left w:val="none" w:sz="0" w:space="0" w:color="auto"/>
                    <w:bottom w:val="none" w:sz="0" w:space="0" w:color="auto"/>
                    <w:right w:val="none" w:sz="0" w:space="0" w:color="auto"/>
                  </w:divBdr>
                  <w:divsChild>
                    <w:div w:id="963003439">
                      <w:marLeft w:val="0"/>
                      <w:marRight w:val="-5436"/>
                      <w:marTop w:val="0"/>
                      <w:marBottom w:val="0"/>
                      <w:divBdr>
                        <w:top w:val="none" w:sz="0" w:space="0" w:color="auto"/>
                        <w:left w:val="none" w:sz="0" w:space="0" w:color="auto"/>
                        <w:bottom w:val="none" w:sz="0" w:space="0" w:color="auto"/>
                        <w:right w:val="none" w:sz="0" w:space="0" w:color="auto"/>
                      </w:divBdr>
                      <w:divsChild>
                        <w:div w:id="752469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2730-94F6-49C5-8E1C-A12C7A67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2012-04-10T18:14:00Z</cp:lastPrinted>
  <dcterms:created xsi:type="dcterms:W3CDTF">2012-04-05T17:39:00Z</dcterms:created>
  <dcterms:modified xsi:type="dcterms:W3CDTF">2012-04-30T16:15:00Z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