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971404" w:rsidRDefault="00971404" w:rsidP="00971404">
      <w:pPr>
        <w:tabs>
          <w:tab w:val="left" w:pos="288"/>
          <w:tab w:val="left" w:pos="4752"/>
          <w:tab w:val="left" w:pos="5130"/>
          <w:tab w:val="left" w:pos="6120"/>
          <w:tab w:val="left" w:pos="9270"/>
        </w:tabs>
        <w:jc w:val="lef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E42108">
        <w:rPr>
          <w:rFonts w:asciiTheme="minorHAnsi" w:hAnsiTheme="minorHAnsi"/>
          <w:caps/>
          <w:color w:val="auto"/>
        </w:rPr>
        <w:t>XXXXXXXXXXXXXX</w:t>
      </w:r>
      <w:r>
        <w:rPr>
          <w:rFonts w:asciiTheme="minorHAnsi" w:hAnsiTheme="minorHAnsi"/>
          <w:caps/>
          <w:color w:val="auto"/>
        </w:rPr>
        <w:t xml:space="preserve">                                                      </w:t>
      </w:r>
      <w:r>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Pr>
          <w:rFonts w:asciiTheme="minorHAnsi" w:hAnsiTheme="minorHAnsi"/>
          <w:caps/>
          <w:color w:val="auto"/>
        </w:rPr>
        <w:t xml:space="preserve"> air force</w:t>
      </w:r>
      <w:r w:rsidRPr="004216DA">
        <w:rPr>
          <w:rFonts w:asciiTheme="minorHAnsi" w:hAnsiTheme="minorHAnsi"/>
          <w:caps/>
          <w:color w:val="auto"/>
          <w:highlight w:val="yellow"/>
        </w:rPr>
        <w:t xml:space="preserve"> </w:t>
      </w:r>
    </w:p>
    <w:p w:rsidR="00971404" w:rsidRDefault="00971404" w:rsidP="00971404">
      <w:pPr>
        <w:tabs>
          <w:tab w:val="left" w:pos="288"/>
          <w:tab w:val="left" w:pos="4752"/>
          <w:tab w:val="left" w:pos="5130"/>
          <w:tab w:val="left" w:pos="6120"/>
          <w:tab w:val="left" w:pos="9270"/>
        </w:tabs>
        <w:jc w:val="left"/>
        <w:rPr>
          <w:rFonts w:asciiTheme="minorHAnsi" w:hAnsiTheme="minorHAnsi"/>
          <w:caps/>
          <w:color w:val="auto"/>
        </w:rPr>
      </w:pPr>
      <w:r>
        <w:rPr>
          <w:rFonts w:asciiTheme="minorHAnsi" w:hAnsiTheme="minorHAnsi"/>
          <w:caps/>
          <w:color w:val="auto"/>
        </w:rPr>
        <w:t>C</w:t>
      </w:r>
      <w:r w:rsidRPr="00FD6C41">
        <w:rPr>
          <w:rFonts w:asciiTheme="minorHAnsi" w:hAnsiTheme="minorHAnsi"/>
          <w:caps/>
          <w:color w:val="auto"/>
        </w:rPr>
        <w:t xml:space="preserve">ASE NUMBER: </w:t>
      </w:r>
      <w:r>
        <w:rPr>
          <w:rFonts w:asciiTheme="minorHAnsi" w:hAnsiTheme="minorHAnsi"/>
          <w:caps/>
          <w:color w:val="auto"/>
        </w:rPr>
        <w:t xml:space="preserve"> </w:t>
      </w:r>
      <w:r w:rsidRPr="00FD6C41">
        <w:rPr>
          <w:rFonts w:asciiTheme="minorHAnsi" w:hAnsiTheme="minorHAnsi"/>
          <w:caps/>
          <w:color w:val="auto"/>
        </w:rPr>
        <w:t>PD</w:t>
      </w:r>
      <w:r>
        <w:rPr>
          <w:rFonts w:asciiTheme="minorHAnsi" w:hAnsiTheme="minorHAnsi"/>
          <w:caps/>
          <w:color w:val="auto"/>
        </w:rPr>
        <w:t>1001249</w:t>
      </w:r>
      <w:r>
        <w:rPr>
          <w:rFonts w:asciiTheme="minorHAnsi" w:hAnsiTheme="minorHAnsi"/>
          <w:color w:val="auto"/>
        </w:rPr>
        <w:tab/>
        <w:t xml:space="preserve">              </w:t>
      </w:r>
      <w:r>
        <w:rPr>
          <w:rFonts w:asciiTheme="minorHAnsi" w:hAnsiTheme="minorHAnsi"/>
          <w:color w:val="auto"/>
        </w:rPr>
        <w:tab/>
      </w:r>
      <w:r w:rsidRPr="00DE3AAD">
        <w:rPr>
          <w:rFonts w:asciiTheme="minorHAnsi" w:hAnsiTheme="minorHAnsi"/>
          <w:color w:val="auto"/>
        </w:rPr>
        <w:t>SEPARATION DATE:  200</w:t>
      </w:r>
      <w:r>
        <w:rPr>
          <w:rFonts w:asciiTheme="minorHAnsi" w:hAnsiTheme="minorHAnsi"/>
          <w:color w:val="auto"/>
        </w:rPr>
        <w:t>90130</w:t>
      </w:r>
    </w:p>
    <w:p w:rsidR="00971404" w:rsidRPr="007668F2" w:rsidRDefault="00971404" w:rsidP="00971404">
      <w:pPr>
        <w:tabs>
          <w:tab w:val="left" w:pos="288"/>
          <w:tab w:val="left" w:pos="5130"/>
        </w:tabs>
        <w:jc w:val="lef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AA5745">
        <w:rPr>
          <w:rFonts w:asciiTheme="minorHAnsi" w:hAnsiTheme="minorHAnsi"/>
          <w:caps/>
          <w:color w:val="auto"/>
        </w:rPr>
        <w:t>20120106</w:t>
      </w:r>
      <w:r w:rsidR="00F73ACC">
        <w:rPr>
          <w:rFonts w:asciiTheme="minorHAnsi" w:hAnsiTheme="minorHAnsi"/>
          <w:caps/>
          <w:color w:val="auto"/>
        </w:rPr>
        <w:t xml:space="preserve"> </w:t>
      </w:r>
    </w:p>
    <w:p w:rsidR="00971404" w:rsidRPr="007668F2" w:rsidRDefault="00971404" w:rsidP="00971404">
      <w:pPr>
        <w:pBdr>
          <w:bottom w:val="single" w:sz="12" w:space="1" w:color="auto"/>
        </w:pBdr>
        <w:tabs>
          <w:tab w:val="left" w:pos="288"/>
          <w:tab w:val="left" w:pos="4752"/>
        </w:tabs>
        <w:jc w:val="both"/>
        <w:rPr>
          <w:color w:val="000000" w:themeColor="text1"/>
        </w:rPr>
      </w:pPr>
    </w:p>
    <w:p w:rsidR="00971404" w:rsidRPr="007668F2" w:rsidRDefault="00971404" w:rsidP="00971404">
      <w:pPr>
        <w:tabs>
          <w:tab w:val="left" w:pos="288"/>
          <w:tab w:val="left" w:pos="4752"/>
        </w:tabs>
        <w:jc w:val="both"/>
        <w:rPr>
          <w:color w:val="000000" w:themeColor="text1"/>
        </w:rPr>
      </w:pPr>
    </w:p>
    <w:p w:rsidR="00971404" w:rsidRPr="007668F2" w:rsidRDefault="00FB0E80" w:rsidP="00971404">
      <w:pPr>
        <w:tabs>
          <w:tab w:val="left" w:pos="288"/>
          <w:tab w:val="left" w:pos="4752"/>
        </w:tabs>
        <w:jc w:val="both"/>
        <w:rPr>
          <w:rFonts w:asciiTheme="minorHAnsi" w:hAnsiTheme="minorHAnsi"/>
          <w:color w:val="auto"/>
        </w:rPr>
      </w:pPr>
      <w:r w:rsidRPr="007668F2">
        <w:rPr>
          <w:color w:val="000000" w:themeColor="text1"/>
          <w:u w:val="single"/>
        </w:rPr>
        <w:t>SUMMARY OF CASE</w:t>
      </w:r>
      <w:r w:rsidRPr="007668F2">
        <w:rPr>
          <w:color w:val="000000" w:themeColor="text1"/>
        </w:rPr>
        <w:t xml:space="preserve">:  </w:t>
      </w:r>
      <w:r w:rsidR="00971404" w:rsidRPr="007668F2">
        <w:rPr>
          <w:rFonts w:asciiTheme="minorHAnsi" w:hAnsiTheme="minorHAnsi"/>
          <w:color w:val="auto"/>
        </w:rPr>
        <w:t xml:space="preserve">Data extracted from the available evidence of record reflects that this covered individual (CI) </w:t>
      </w:r>
      <w:r w:rsidR="00971404" w:rsidRPr="007668F2">
        <w:rPr>
          <w:rFonts w:asciiTheme="minorHAnsi" w:hAnsiTheme="minorHAnsi"/>
          <w:color w:val="auto"/>
          <w:szCs w:val="24"/>
        </w:rPr>
        <w:t>w</w:t>
      </w:r>
      <w:r w:rsidR="00AA5745" w:rsidRPr="007668F2">
        <w:rPr>
          <w:rFonts w:asciiTheme="minorHAnsi" w:hAnsiTheme="minorHAnsi"/>
          <w:color w:val="auto"/>
          <w:szCs w:val="24"/>
        </w:rPr>
        <w:t>as an active duty Capt/O-3 (33S</w:t>
      </w:r>
      <w:r w:rsidR="00971404" w:rsidRPr="007668F2">
        <w:rPr>
          <w:rFonts w:asciiTheme="minorHAnsi" w:hAnsiTheme="minorHAnsi"/>
          <w:color w:val="auto"/>
          <w:szCs w:val="24"/>
        </w:rPr>
        <w:t xml:space="preserve">, Communications and Information Officer) medically separated for low back pain.  </w:t>
      </w:r>
      <w:r w:rsidR="00A9449B" w:rsidRPr="007668F2">
        <w:rPr>
          <w:rFonts w:asciiTheme="minorHAnsi" w:hAnsiTheme="minorHAnsi"/>
          <w:color w:val="auto"/>
          <w:szCs w:val="24"/>
        </w:rPr>
        <w:t xml:space="preserve">The CI’s back pain </w:t>
      </w:r>
      <w:r w:rsidR="00BA73F8" w:rsidRPr="007668F2">
        <w:rPr>
          <w:rFonts w:asciiTheme="minorHAnsi" w:hAnsiTheme="minorHAnsi"/>
          <w:color w:val="auto"/>
          <w:szCs w:val="24"/>
        </w:rPr>
        <w:t>began as a strain</w:t>
      </w:r>
      <w:r w:rsidR="00A9449B" w:rsidRPr="007668F2">
        <w:rPr>
          <w:rFonts w:asciiTheme="minorHAnsi" w:hAnsiTheme="minorHAnsi"/>
          <w:color w:val="auto"/>
          <w:szCs w:val="24"/>
        </w:rPr>
        <w:t xml:space="preserve"> injury in 1998 </w:t>
      </w:r>
      <w:r w:rsidR="00A24A50" w:rsidRPr="007668F2">
        <w:rPr>
          <w:rFonts w:asciiTheme="minorHAnsi" w:hAnsiTheme="minorHAnsi"/>
          <w:color w:val="auto"/>
          <w:szCs w:val="24"/>
        </w:rPr>
        <w:t xml:space="preserve">and </w:t>
      </w:r>
      <w:r w:rsidR="00BA73F8" w:rsidRPr="007668F2">
        <w:rPr>
          <w:rFonts w:asciiTheme="minorHAnsi" w:hAnsiTheme="minorHAnsi"/>
          <w:color w:val="auto"/>
          <w:szCs w:val="24"/>
        </w:rPr>
        <w:t xml:space="preserve">did not respond to ongoing conservative management; ultimately resulting </w:t>
      </w:r>
      <w:r w:rsidR="00AA5745" w:rsidRPr="007668F2">
        <w:rPr>
          <w:rFonts w:asciiTheme="minorHAnsi" w:hAnsiTheme="minorHAnsi"/>
          <w:color w:val="auto"/>
          <w:szCs w:val="24"/>
        </w:rPr>
        <w:t xml:space="preserve">in </w:t>
      </w:r>
      <w:r w:rsidR="005B1766">
        <w:rPr>
          <w:rFonts w:asciiTheme="minorHAnsi" w:hAnsiTheme="minorHAnsi"/>
          <w:color w:val="auto"/>
          <w:szCs w:val="24"/>
        </w:rPr>
        <w:t xml:space="preserve">a series of three surgeries.  </w:t>
      </w:r>
      <w:r w:rsidR="00A9449B" w:rsidRPr="007668F2">
        <w:rPr>
          <w:rFonts w:asciiTheme="minorHAnsi" w:hAnsiTheme="minorHAnsi"/>
          <w:color w:val="auto"/>
          <w:szCs w:val="24"/>
        </w:rPr>
        <w:t>Residual symptoms include</w:t>
      </w:r>
      <w:r w:rsidR="00A24A50" w:rsidRPr="007668F2">
        <w:rPr>
          <w:rFonts w:asciiTheme="minorHAnsi" w:hAnsiTheme="minorHAnsi"/>
          <w:color w:val="auto"/>
          <w:szCs w:val="24"/>
        </w:rPr>
        <w:t>d</w:t>
      </w:r>
      <w:r w:rsidR="00A9449B" w:rsidRPr="007668F2">
        <w:rPr>
          <w:rFonts w:asciiTheme="minorHAnsi" w:hAnsiTheme="minorHAnsi"/>
          <w:color w:val="auto"/>
          <w:szCs w:val="24"/>
        </w:rPr>
        <w:t xml:space="preserve"> localized back pain and radicular pain </w:t>
      </w:r>
      <w:r w:rsidR="00BA73F8" w:rsidRPr="007668F2">
        <w:rPr>
          <w:rFonts w:asciiTheme="minorHAnsi" w:hAnsiTheme="minorHAnsi"/>
          <w:color w:val="auto"/>
          <w:szCs w:val="24"/>
        </w:rPr>
        <w:t>with</w:t>
      </w:r>
      <w:r w:rsidR="00A9449B" w:rsidRPr="007668F2">
        <w:rPr>
          <w:rFonts w:asciiTheme="minorHAnsi" w:hAnsiTheme="minorHAnsi"/>
          <w:color w:val="auto"/>
          <w:szCs w:val="24"/>
        </w:rPr>
        <w:t xml:space="preserve"> numbness in the left lower extremity</w:t>
      </w:r>
      <w:r w:rsidR="00BA73F8" w:rsidRPr="007668F2">
        <w:rPr>
          <w:rFonts w:asciiTheme="minorHAnsi" w:hAnsiTheme="minorHAnsi"/>
          <w:color w:val="auto"/>
          <w:szCs w:val="24"/>
        </w:rPr>
        <w:t xml:space="preserve"> (LLE)</w:t>
      </w:r>
      <w:r w:rsidR="00A9449B" w:rsidRPr="007668F2">
        <w:rPr>
          <w:rFonts w:asciiTheme="minorHAnsi" w:hAnsiTheme="minorHAnsi"/>
          <w:color w:val="auto"/>
          <w:szCs w:val="24"/>
        </w:rPr>
        <w:t xml:space="preserve">.  </w:t>
      </w:r>
      <w:r w:rsidR="00971404" w:rsidRPr="007668F2">
        <w:rPr>
          <w:rFonts w:asciiTheme="minorHAnsi" w:hAnsiTheme="minorHAnsi"/>
          <w:color w:val="auto"/>
          <w:szCs w:val="24"/>
        </w:rPr>
        <w:t>He did not respond adequately to treatment and was unable to perform within his</w:t>
      </w:r>
      <w:r w:rsidR="003F7783" w:rsidRPr="007668F2">
        <w:rPr>
          <w:rFonts w:asciiTheme="minorHAnsi" w:hAnsiTheme="minorHAnsi"/>
          <w:color w:val="auto"/>
          <w:szCs w:val="24"/>
        </w:rPr>
        <w:t xml:space="preserve"> Air Force </w:t>
      </w:r>
      <w:r w:rsidR="005B1766">
        <w:rPr>
          <w:rFonts w:asciiTheme="minorHAnsi" w:hAnsiTheme="minorHAnsi"/>
          <w:color w:val="auto"/>
          <w:szCs w:val="24"/>
        </w:rPr>
        <w:t>s</w:t>
      </w:r>
      <w:r w:rsidR="00971404" w:rsidRPr="007668F2">
        <w:rPr>
          <w:rFonts w:asciiTheme="minorHAnsi" w:hAnsiTheme="minorHAnsi"/>
          <w:color w:val="auto"/>
          <w:szCs w:val="24"/>
        </w:rPr>
        <w:t xml:space="preserve">pecialty (AFS) or meet physical fitness standards.  He was issued a </w:t>
      </w:r>
      <w:r w:rsidR="001509A2">
        <w:rPr>
          <w:rFonts w:asciiTheme="minorHAnsi" w:hAnsiTheme="minorHAnsi"/>
          <w:color w:val="auto"/>
          <w:szCs w:val="24"/>
        </w:rPr>
        <w:t>d</w:t>
      </w:r>
      <w:r w:rsidR="00971404" w:rsidRPr="007668F2">
        <w:rPr>
          <w:rFonts w:asciiTheme="minorHAnsi" w:hAnsiTheme="minorHAnsi"/>
          <w:color w:val="auto"/>
          <w:szCs w:val="24"/>
        </w:rPr>
        <w:t xml:space="preserve">uty </w:t>
      </w:r>
      <w:r w:rsidR="001509A2">
        <w:rPr>
          <w:rFonts w:asciiTheme="minorHAnsi" w:hAnsiTheme="minorHAnsi"/>
          <w:color w:val="auto"/>
          <w:szCs w:val="24"/>
        </w:rPr>
        <w:t>limiting c</w:t>
      </w:r>
      <w:r w:rsidR="003F7783" w:rsidRPr="007668F2">
        <w:rPr>
          <w:rFonts w:asciiTheme="minorHAnsi" w:hAnsiTheme="minorHAnsi"/>
          <w:color w:val="auto"/>
          <w:szCs w:val="24"/>
        </w:rPr>
        <w:t>ondition (AF Form 469)</w:t>
      </w:r>
      <w:r w:rsidR="00971404" w:rsidRPr="007668F2">
        <w:rPr>
          <w:rFonts w:asciiTheme="minorHAnsi" w:hAnsiTheme="minorHAnsi"/>
          <w:color w:val="auto"/>
          <w:szCs w:val="24"/>
        </w:rPr>
        <w:t xml:space="preserve"> and underwent a Medical Evaluation Board (MEB).  </w:t>
      </w:r>
      <w:r w:rsidR="00BA73F8" w:rsidRPr="007668F2">
        <w:rPr>
          <w:rFonts w:asciiTheme="minorHAnsi" w:hAnsiTheme="minorHAnsi"/>
          <w:color w:val="auto"/>
          <w:szCs w:val="24"/>
        </w:rPr>
        <w:t>The condition was forwarded to the Phys</w:t>
      </w:r>
      <w:r w:rsidR="001509A2">
        <w:rPr>
          <w:rFonts w:asciiTheme="minorHAnsi" w:hAnsiTheme="minorHAnsi"/>
          <w:color w:val="auto"/>
          <w:szCs w:val="24"/>
        </w:rPr>
        <w:t xml:space="preserve">ical Evaluation Board (PEB) as </w:t>
      </w:r>
      <w:r w:rsidR="00BA73F8" w:rsidRPr="007668F2">
        <w:rPr>
          <w:rFonts w:asciiTheme="minorHAnsi" w:hAnsiTheme="minorHAnsi"/>
          <w:color w:val="auto"/>
          <w:szCs w:val="24"/>
        </w:rPr>
        <w:t>l</w:t>
      </w:r>
      <w:r w:rsidR="00971404" w:rsidRPr="007668F2">
        <w:rPr>
          <w:rFonts w:asciiTheme="minorHAnsi" w:hAnsiTheme="minorHAnsi"/>
          <w:color w:val="auto"/>
          <w:szCs w:val="24"/>
        </w:rPr>
        <w:t xml:space="preserve">ower back pain with </w:t>
      </w:r>
      <w:proofErr w:type="spellStart"/>
      <w:r w:rsidR="00971404" w:rsidRPr="007668F2">
        <w:rPr>
          <w:rFonts w:asciiTheme="minorHAnsi" w:hAnsiTheme="minorHAnsi"/>
          <w:color w:val="auto"/>
          <w:szCs w:val="24"/>
        </w:rPr>
        <w:t>radiculopathy</w:t>
      </w:r>
      <w:proofErr w:type="spellEnd"/>
      <w:r w:rsidR="00BA73F8" w:rsidRPr="007668F2">
        <w:rPr>
          <w:rFonts w:asciiTheme="minorHAnsi" w:hAnsiTheme="minorHAnsi"/>
          <w:color w:val="auto"/>
          <w:szCs w:val="24"/>
        </w:rPr>
        <w:t>, determined to be</w:t>
      </w:r>
      <w:r w:rsidR="00971404" w:rsidRPr="007668F2">
        <w:rPr>
          <w:rFonts w:asciiTheme="minorHAnsi" w:hAnsiTheme="minorHAnsi"/>
          <w:color w:val="auto"/>
          <w:szCs w:val="24"/>
        </w:rPr>
        <w:t xml:space="preserve"> </w:t>
      </w:r>
      <w:r w:rsidR="003F7783" w:rsidRPr="007668F2">
        <w:rPr>
          <w:rFonts w:asciiTheme="minorHAnsi" w:hAnsiTheme="minorHAnsi"/>
          <w:color w:val="auto"/>
          <w:szCs w:val="24"/>
        </w:rPr>
        <w:t xml:space="preserve">medically unacceptable </w:t>
      </w:r>
      <w:r w:rsidR="00971404" w:rsidRPr="007668F2">
        <w:rPr>
          <w:rFonts w:asciiTheme="minorHAnsi" w:hAnsiTheme="minorHAnsi"/>
          <w:color w:val="auto"/>
          <w:szCs w:val="24"/>
        </w:rPr>
        <w:t>IAW AFI</w:t>
      </w:r>
      <w:r w:rsidR="001509A2">
        <w:rPr>
          <w:rFonts w:asciiTheme="minorHAnsi" w:hAnsiTheme="minorHAnsi"/>
          <w:color w:val="auto"/>
          <w:szCs w:val="24"/>
        </w:rPr>
        <w:t> </w:t>
      </w:r>
      <w:r w:rsidR="00971404" w:rsidRPr="007668F2">
        <w:rPr>
          <w:rFonts w:asciiTheme="minorHAnsi" w:hAnsiTheme="minorHAnsi"/>
          <w:color w:val="auto"/>
          <w:szCs w:val="24"/>
        </w:rPr>
        <w:t>48</w:t>
      </w:r>
      <w:r w:rsidR="00C15654" w:rsidRPr="007668F2">
        <w:rPr>
          <w:rFonts w:asciiTheme="minorHAnsi" w:hAnsiTheme="minorHAnsi"/>
          <w:color w:val="auto"/>
          <w:szCs w:val="24"/>
        </w:rPr>
        <w:t>-</w:t>
      </w:r>
      <w:r w:rsidR="00971404" w:rsidRPr="007668F2">
        <w:rPr>
          <w:rFonts w:asciiTheme="minorHAnsi" w:hAnsiTheme="minorHAnsi"/>
          <w:color w:val="auto"/>
          <w:szCs w:val="24"/>
        </w:rPr>
        <w:t>123</w:t>
      </w:r>
      <w:r w:rsidR="00DB4485" w:rsidRPr="007668F2">
        <w:rPr>
          <w:rFonts w:asciiTheme="minorHAnsi" w:hAnsiTheme="minorHAnsi"/>
          <w:color w:val="auto"/>
          <w:szCs w:val="24"/>
        </w:rPr>
        <w:t xml:space="preserve"> and 44-113</w:t>
      </w:r>
      <w:r w:rsidR="00971404" w:rsidRPr="007668F2">
        <w:rPr>
          <w:rFonts w:asciiTheme="minorHAnsi" w:hAnsiTheme="minorHAnsi"/>
          <w:color w:val="auto"/>
          <w:szCs w:val="24"/>
        </w:rPr>
        <w:t xml:space="preserve">.  </w:t>
      </w:r>
      <w:r w:rsidR="00C15654" w:rsidRPr="007668F2">
        <w:rPr>
          <w:color w:val="000000" w:themeColor="text1"/>
          <w:szCs w:val="24"/>
        </w:rPr>
        <w:t xml:space="preserve">No other conditions appeared on the MEB’s </w:t>
      </w:r>
      <w:r w:rsidR="00802314" w:rsidRPr="007668F2">
        <w:rPr>
          <w:color w:val="000000" w:themeColor="text1"/>
          <w:szCs w:val="24"/>
        </w:rPr>
        <w:t xml:space="preserve">AF IMT 618 </w:t>
      </w:r>
      <w:r w:rsidR="00C15654" w:rsidRPr="007668F2">
        <w:rPr>
          <w:color w:val="000000" w:themeColor="text1"/>
          <w:szCs w:val="24"/>
        </w:rPr>
        <w:t xml:space="preserve">submission.  Other conditions included in the Disability Evaluation System (DES) </w:t>
      </w:r>
      <w:r w:rsidR="00BA73F8" w:rsidRPr="007668F2">
        <w:rPr>
          <w:color w:val="000000" w:themeColor="text1"/>
          <w:szCs w:val="24"/>
        </w:rPr>
        <w:t>file</w:t>
      </w:r>
      <w:r w:rsidR="00C15654" w:rsidRPr="007668F2">
        <w:rPr>
          <w:color w:val="000000" w:themeColor="text1"/>
          <w:szCs w:val="24"/>
        </w:rPr>
        <w:t xml:space="preserve"> will be discussed below.  </w:t>
      </w:r>
      <w:r w:rsidR="00BA73F8" w:rsidRPr="007668F2">
        <w:rPr>
          <w:rFonts w:asciiTheme="minorHAnsi" w:hAnsiTheme="minorHAnsi"/>
          <w:color w:val="auto"/>
          <w:szCs w:val="24"/>
        </w:rPr>
        <w:t>An i</w:t>
      </w:r>
      <w:r w:rsidR="00971404" w:rsidRPr="007668F2">
        <w:rPr>
          <w:rFonts w:asciiTheme="minorHAnsi" w:hAnsiTheme="minorHAnsi"/>
          <w:color w:val="auto"/>
          <w:szCs w:val="24"/>
        </w:rPr>
        <w:t xml:space="preserve">nformal PEB adjudicated </w:t>
      </w:r>
      <w:r w:rsidR="00C15654" w:rsidRPr="007668F2">
        <w:rPr>
          <w:rFonts w:asciiTheme="minorHAnsi" w:hAnsiTheme="minorHAnsi"/>
          <w:color w:val="auto"/>
          <w:szCs w:val="24"/>
        </w:rPr>
        <w:t xml:space="preserve">the </w:t>
      </w:r>
      <w:r w:rsidR="00914A6C" w:rsidRPr="007668F2">
        <w:rPr>
          <w:rFonts w:asciiTheme="minorHAnsi" w:hAnsiTheme="minorHAnsi"/>
          <w:color w:val="auto"/>
          <w:szCs w:val="24"/>
        </w:rPr>
        <w:t>lumbar condition</w:t>
      </w:r>
      <w:r w:rsidR="00C15654" w:rsidRPr="007668F2">
        <w:rPr>
          <w:rFonts w:asciiTheme="minorHAnsi" w:hAnsiTheme="minorHAnsi"/>
          <w:color w:val="auto"/>
          <w:szCs w:val="24"/>
        </w:rPr>
        <w:t xml:space="preserve"> as u</w:t>
      </w:r>
      <w:r w:rsidR="00971404" w:rsidRPr="007668F2">
        <w:rPr>
          <w:rFonts w:asciiTheme="minorHAnsi" w:hAnsiTheme="minorHAnsi"/>
          <w:color w:val="auto"/>
          <w:szCs w:val="24"/>
        </w:rPr>
        <w:t>nfit</w:t>
      </w:r>
      <w:r w:rsidR="00C15654" w:rsidRPr="007668F2">
        <w:rPr>
          <w:rFonts w:asciiTheme="minorHAnsi" w:hAnsiTheme="minorHAnsi"/>
          <w:color w:val="auto"/>
          <w:szCs w:val="24"/>
        </w:rPr>
        <w:t>ting</w:t>
      </w:r>
      <w:r w:rsidR="00971404" w:rsidRPr="007668F2">
        <w:rPr>
          <w:rFonts w:asciiTheme="minorHAnsi" w:hAnsiTheme="minorHAnsi"/>
          <w:color w:val="auto"/>
          <w:szCs w:val="24"/>
        </w:rPr>
        <w:t xml:space="preserve">, rated 10%, with application of </w:t>
      </w:r>
      <w:r w:rsidR="009A5B46" w:rsidRPr="007668F2">
        <w:rPr>
          <w:rFonts w:asciiTheme="minorHAnsi" w:hAnsiTheme="minorHAnsi"/>
          <w:color w:val="auto"/>
          <w:szCs w:val="24"/>
        </w:rPr>
        <w:t>Veterans Administration Schedule for Rating Disabilities (VASRD)</w:t>
      </w:r>
      <w:r w:rsidR="00971404" w:rsidRPr="007668F2">
        <w:rPr>
          <w:rFonts w:asciiTheme="minorHAnsi" w:hAnsiTheme="minorHAnsi"/>
          <w:color w:val="auto"/>
          <w:szCs w:val="24"/>
        </w:rPr>
        <w:t xml:space="preserve">. </w:t>
      </w:r>
      <w:r w:rsidR="00C15654" w:rsidRPr="007668F2">
        <w:rPr>
          <w:rFonts w:asciiTheme="minorHAnsi" w:hAnsiTheme="minorHAnsi"/>
          <w:color w:val="auto"/>
          <w:szCs w:val="24"/>
        </w:rPr>
        <w:t xml:space="preserve"> </w:t>
      </w:r>
      <w:r w:rsidR="00971404" w:rsidRPr="007668F2">
        <w:rPr>
          <w:rFonts w:asciiTheme="minorHAnsi" w:hAnsiTheme="minorHAnsi"/>
          <w:color w:val="auto"/>
        </w:rPr>
        <w:t>The CI made no appeals and was medically separated with a 10% disability rating.</w:t>
      </w:r>
    </w:p>
    <w:p w:rsidR="004174F0" w:rsidRPr="007668F2" w:rsidRDefault="004174F0" w:rsidP="00BF0E94">
      <w:pPr>
        <w:pBdr>
          <w:bottom w:val="single" w:sz="12" w:space="1" w:color="auto"/>
        </w:pBdr>
        <w:tabs>
          <w:tab w:val="left" w:pos="288"/>
          <w:tab w:val="left" w:pos="4752"/>
        </w:tabs>
        <w:jc w:val="both"/>
        <w:rPr>
          <w:color w:val="000000" w:themeColor="text1"/>
        </w:rPr>
      </w:pPr>
    </w:p>
    <w:p w:rsidR="004174F0" w:rsidRPr="007668F2" w:rsidRDefault="004174F0" w:rsidP="00BF0E94">
      <w:pPr>
        <w:tabs>
          <w:tab w:val="left" w:pos="288"/>
          <w:tab w:val="left" w:pos="4752"/>
        </w:tabs>
        <w:jc w:val="both"/>
        <w:rPr>
          <w:color w:val="000000" w:themeColor="text1"/>
        </w:rPr>
      </w:pPr>
    </w:p>
    <w:p w:rsidR="00ED5284" w:rsidRPr="007668F2" w:rsidRDefault="002C6E5B" w:rsidP="00BF0E94">
      <w:pPr>
        <w:tabs>
          <w:tab w:val="left" w:pos="288"/>
          <w:tab w:val="left" w:pos="4752"/>
        </w:tabs>
        <w:jc w:val="both"/>
        <w:rPr>
          <w:rFonts w:eastAsiaTheme="minorHAnsi"/>
          <w:color w:val="000000" w:themeColor="text1"/>
          <w:szCs w:val="24"/>
        </w:rPr>
      </w:pPr>
      <w:r w:rsidRPr="007668F2">
        <w:rPr>
          <w:color w:val="000000" w:themeColor="text1"/>
          <w:u w:val="single"/>
        </w:rPr>
        <w:t>CI CONTENTION</w:t>
      </w:r>
      <w:r w:rsidRPr="007668F2">
        <w:rPr>
          <w:color w:val="000000" w:themeColor="text1"/>
        </w:rPr>
        <w:t>:</w:t>
      </w:r>
      <w:r w:rsidR="00C15654" w:rsidRPr="007668F2">
        <w:rPr>
          <w:color w:val="000000" w:themeColor="text1"/>
        </w:rPr>
        <w:t xml:space="preserve">  The CI states: “I have had constant pain/numbness in my left leg and constant lower back pain since my last spine surgery (08').  I cannot perform any physical activity without concern for my back going into spasm and "going out." </w:t>
      </w:r>
      <w:r w:rsidR="00F16965" w:rsidRPr="007668F2">
        <w:rPr>
          <w:color w:val="000000" w:themeColor="text1"/>
        </w:rPr>
        <w:t xml:space="preserve"> </w:t>
      </w:r>
      <w:r w:rsidR="00C15654" w:rsidRPr="007668F2">
        <w:rPr>
          <w:color w:val="000000" w:themeColor="text1"/>
        </w:rPr>
        <w:t xml:space="preserve">I was denied a medical retirement because it wasn't documented that I </w:t>
      </w:r>
      <w:r w:rsidR="00F16965" w:rsidRPr="007668F2">
        <w:rPr>
          <w:color w:val="000000" w:themeColor="text1"/>
        </w:rPr>
        <w:t>ba</w:t>
      </w:r>
      <w:r w:rsidR="00C15654" w:rsidRPr="007668F2">
        <w:rPr>
          <w:color w:val="000000" w:themeColor="text1"/>
        </w:rPr>
        <w:t xml:space="preserve">d [sic] enough days on bed rest before surgery. </w:t>
      </w:r>
      <w:r w:rsidR="00F16965" w:rsidRPr="007668F2">
        <w:rPr>
          <w:color w:val="000000" w:themeColor="text1"/>
        </w:rPr>
        <w:t xml:space="preserve"> </w:t>
      </w:r>
      <w:r w:rsidR="00C15654" w:rsidRPr="007668F2">
        <w:rPr>
          <w:color w:val="000000" w:themeColor="text1"/>
        </w:rPr>
        <w:t xml:space="preserve">Unfortunately, I didn't always to </w:t>
      </w:r>
      <w:r w:rsidR="00F16965" w:rsidRPr="007668F2">
        <w:rPr>
          <w:color w:val="000000" w:themeColor="text1"/>
        </w:rPr>
        <w:t xml:space="preserve">[sic] </w:t>
      </w:r>
      <w:r w:rsidR="00C15654" w:rsidRPr="007668F2">
        <w:rPr>
          <w:color w:val="000000" w:themeColor="text1"/>
        </w:rPr>
        <w:t xml:space="preserve">to the doctor when I was in pain, as I tried my best to complete the mission. </w:t>
      </w:r>
      <w:r w:rsidR="00F16965" w:rsidRPr="007668F2">
        <w:rPr>
          <w:color w:val="000000" w:themeColor="text1"/>
        </w:rPr>
        <w:t xml:space="preserve"> </w:t>
      </w:r>
      <w:r w:rsidR="00F73ACC" w:rsidRPr="007668F2">
        <w:rPr>
          <w:color w:val="000000" w:themeColor="text1"/>
        </w:rPr>
        <w:t xml:space="preserve">… </w:t>
      </w:r>
      <w:r w:rsidR="00C15654" w:rsidRPr="007668F2">
        <w:rPr>
          <w:color w:val="000000" w:themeColor="text1"/>
        </w:rPr>
        <w:t xml:space="preserve">I understand that spine/back issues are difficult to classify, but the life-changing events following my last round of surgeries have had a terrible impact on my life that preclude me from enjoying normal activities. </w:t>
      </w:r>
      <w:r w:rsidR="00F16965" w:rsidRPr="007668F2">
        <w:rPr>
          <w:color w:val="000000" w:themeColor="text1"/>
        </w:rPr>
        <w:t xml:space="preserve"> </w:t>
      </w:r>
      <w:r w:rsidR="00C15654" w:rsidRPr="007668F2">
        <w:rPr>
          <w:color w:val="000000" w:themeColor="text1"/>
        </w:rPr>
        <w:t xml:space="preserve">Please review my history and find that I am indeed eligible for a medical retirement. </w:t>
      </w:r>
      <w:r w:rsidR="00F16965" w:rsidRPr="007668F2">
        <w:rPr>
          <w:color w:val="000000" w:themeColor="text1"/>
        </w:rPr>
        <w:t xml:space="preserve"> </w:t>
      </w:r>
      <w:r w:rsidR="00C15654" w:rsidRPr="007668F2">
        <w:rPr>
          <w:color w:val="000000" w:themeColor="text1"/>
        </w:rPr>
        <w:t xml:space="preserve">Thank you for your time and consideration.” </w:t>
      </w:r>
      <w:r w:rsidR="00F16965" w:rsidRPr="007668F2">
        <w:rPr>
          <w:color w:val="000000" w:themeColor="text1"/>
        </w:rPr>
        <w:t xml:space="preserve"> </w:t>
      </w:r>
      <w:r w:rsidR="00ED5284" w:rsidRPr="007668F2">
        <w:rPr>
          <w:rFonts w:eastAsiaTheme="minorHAnsi"/>
          <w:color w:val="000000" w:themeColor="text1"/>
          <w:szCs w:val="24"/>
        </w:rPr>
        <w:t>He</w:t>
      </w:r>
      <w:r w:rsidR="00F16965" w:rsidRPr="007668F2">
        <w:rPr>
          <w:rFonts w:eastAsiaTheme="minorHAnsi"/>
          <w:color w:val="000000" w:themeColor="text1"/>
          <w:szCs w:val="24"/>
        </w:rPr>
        <w:t xml:space="preserve"> </w:t>
      </w:r>
      <w:r w:rsidR="00ED5284" w:rsidRPr="007668F2">
        <w:rPr>
          <w:rFonts w:eastAsiaTheme="minorHAnsi"/>
          <w:color w:val="000000" w:themeColor="text1"/>
          <w:szCs w:val="24"/>
        </w:rPr>
        <w:t>additionally lists all of his</w:t>
      </w:r>
      <w:r w:rsidR="00F16965" w:rsidRPr="007668F2">
        <w:rPr>
          <w:rFonts w:eastAsiaTheme="minorHAnsi"/>
          <w:color w:val="000000" w:themeColor="text1"/>
          <w:szCs w:val="24"/>
        </w:rPr>
        <w:t xml:space="preserve"> </w:t>
      </w:r>
      <w:r w:rsidR="00ED5284" w:rsidRPr="007668F2">
        <w:rPr>
          <w:rFonts w:eastAsiaTheme="minorHAnsi"/>
          <w:color w:val="000000" w:themeColor="text1"/>
          <w:szCs w:val="24"/>
        </w:rPr>
        <w:t>VA conditions and ratings as per the rating chart below.  A contention for their inclusion in the separation rating is therefore implied.</w:t>
      </w:r>
    </w:p>
    <w:p w:rsidR="004174F0" w:rsidRPr="007668F2" w:rsidRDefault="004174F0" w:rsidP="00BF0E94">
      <w:pPr>
        <w:pBdr>
          <w:bottom w:val="single" w:sz="12" w:space="1" w:color="auto"/>
        </w:pBdr>
        <w:tabs>
          <w:tab w:val="left" w:pos="288"/>
          <w:tab w:val="left" w:pos="4752"/>
        </w:tabs>
        <w:jc w:val="both"/>
        <w:rPr>
          <w:color w:val="000000" w:themeColor="text1"/>
        </w:rPr>
      </w:pPr>
    </w:p>
    <w:p w:rsidR="004174F0" w:rsidRPr="007668F2" w:rsidRDefault="004174F0" w:rsidP="00BF0E94">
      <w:pPr>
        <w:tabs>
          <w:tab w:val="left" w:pos="288"/>
          <w:tab w:val="left" w:pos="4752"/>
        </w:tabs>
        <w:jc w:val="both"/>
        <w:rPr>
          <w:color w:val="000000" w:themeColor="text1"/>
        </w:rPr>
      </w:pPr>
    </w:p>
    <w:p w:rsidR="00C8590C" w:rsidRPr="007668F2" w:rsidRDefault="00DB4485" w:rsidP="00BF0E94">
      <w:pPr>
        <w:jc w:val="left"/>
        <w:rPr>
          <w:color w:val="000000" w:themeColor="text1"/>
          <w:szCs w:val="28"/>
        </w:rPr>
      </w:pPr>
      <w:r w:rsidRPr="007668F2">
        <w:rPr>
          <w:color w:val="000000" w:themeColor="text1"/>
          <w:u w:val="single"/>
        </w:rPr>
        <w:t>R</w:t>
      </w:r>
      <w:r w:rsidR="002C6E5B" w:rsidRPr="007668F2">
        <w:rPr>
          <w:color w:val="000000" w:themeColor="text1"/>
          <w:u w:val="single"/>
        </w:rPr>
        <w:t>ATING COMPARISON</w:t>
      </w:r>
      <w:r w:rsidR="002C6E5B" w:rsidRPr="007668F2">
        <w:rPr>
          <w:color w:val="000000" w:themeColor="text1"/>
        </w:rPr>
        <w:t>:</w:t>
      </w:r>
    </w:p>
    <w:p w:rsidR="002151AB" w:rsidRPr="007668F2" w:rsidRDefault="002151AB" w:rsidP="00BF0E94">
      <w:pPr>
        <w:rPr>
          <w:color w:val="000000" w:themeColor="text1"/>
        </w:rPr>
      </w:pPr>
    </w:p>
    <w:tbl>
      <w:tblPr>
        <w:tblStyle w:val="TableGrid"/>
        <w:tblpPr w:leftFromText="187" w:rightFromText="187" w:vertAnchor="text" w:tblpXSpec="center" w:tblpY="1"/>
        <w:tblOverlap w:val="never"/>
        <w:tblW w:w="9360" w:type="dxa"/>
        <w:tblLayout w:type="fixed"/>
        <w:tblLook w:val="04A0"/>
      </w:tblPr>
      <w:tblGrid>
        <w:gridCol w:w="2896"/>
        <w:gridCol w:w="629"/>
        <w:gridCol w:w="724"/>
        <w:gridCol w:w="2339"/>
        <w:gridCol w:w="1080"/>
        <w:gridCol w:w="702"/>
        <w:gridCol w:w="990"/>
      </w:tblGrid>
      <w:tr w:rsidR="002B4E22" w:rsidRPr="007668F2" w:rsidTr="0012478E">
        <w:trPr>
          <w:trHeight w:val="233"/>
        </w:trPr>
        <w:tc>
          <w:tcPr>
            <w:tcW w:w="4249" w:type="dxa"/>
            <w:gridSpan w:val="3"/>
            <w:tcBorders>
              <w:right w:val="thinThickThinSmallGap" w:sz="24" w:space="0" w:color="auto"/>
            </w:tcBorders>
            <w:shd w:val="clear" w:color="auto" w:fill="D9D9D9" w:themeFill="background1" w:themeFillShade="D9"/>
            <w:vAlign w:val="center"/>
          </w:tcPr>
          <w:p w:rsidR="002B4E22" w:rsidRPr="007668F2" w:rsidRDefault="00B731E4"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Service PEB – Dated 200</w:t>
            </w:r>
            <w:r w:rsidR="00663D4C" w:rsidRPr="007668F2">
              <w:rPr>
                <w:rFonts w:ascii="Calibri" w:hAnsi="Calibri" w:cs="Calibri"/>
                <w:b/>
                <w:color w:val="000000" w:themeColor="text1"/>
                <w:sz w:val="18"/>
                <w:szCs w:val="18"/>
              </w:rPr>
              <w:t>81205</w:t>
            </w:r>
          </w:p>
        </w:tc>
        <w:tc>
          <w:tcPr>
            <w:tcW w:w="5111" w:type="dxa"/>
            <w:gridSpan w:val="4"/>
            <w:tcBorders>
              <w:left w:val="thinThickThinSmallGap" w:sz="24" w:space="0" w:color="auto"/>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VA (</w:t>
            </w:r>
            <w:r w:rsidR="00663D4C" w:rsidRPr="007668F2">
              <w:rPr>
                <w:rFonts w:ascii="Calibri" w:hAnsi="Calibri" w:cs="Calibri"/>
                <w:b/>
                <w:color w:val="000000" w:themeColor="text1"/>
                <w:sz w:val="18"/>
                <w:szCs w:val="18"/>
              </w:rPr>
              <w:t>2</w:t>
            </w:r>
            <w:r w:rsidR="0079154B" w:rsidRPr="007668F2">
              <w:rPr>
                <w:rFonts w:ascii="Calibri" w:hAnsi="Calibri" w:cs="Calibri"/>
                <w:b/>
                <w:color w:val="000000" w:themeColor="text1"/>
                <w:sz w:val="18"/>
                <w:szCs w:val="18"/>
              </w:rPr>
              <w:t xml:space="preserve"> </w:t>
            </w:r>
            <w:r w:rsidRPr="007668F2">
              <w:rPr>
                <w:rFonts w:ascii="Calibri" w:hAnsi="Calibri" w:cs="Calibri"/>
                <w:b/>
                <w:color w:val="000000" w:themeColor="text1"/>
                <w:sz w:val="18"/>
                <w:szCs w:val="18"/>
              </w:rPr>
              <w:t>Mo. Pr</w:t>
            </w:r>
            <w:r w:rsidR="007272F1" w:rsidRPr="007668F2">
              <w:rPr>
                <w:rFonts w:ascii="Calibri" w:hAnsi="Calibri" w:cs="Calibri"/>
                <w:b/>
                <w:color w:val="000000" w:themeColor="text1"/>
                <w:sz w:val="18"/>
                <w:szCs w:val="18"/>
              </w:rPr>
              <w:t>e</w:t>
            </w:r>
            <w:r w:rsidR="00663D4C" w:rsidRPr="007668F2">
              <w:rPr>
                <w:rFonts w:ascii="Calibri" w:hAnsi="Calibri" w:cs="Calibri"/>
                <w:b/>
                <w:color w:val="000000" w:themeColor="text1"/>
                <w:sz w:val="18"/>
                <w:szCs w:val="18"/>
              </w:rPr>
              <w:t>-</w:t>
            </w:r>
            <w:r w:rsidRPr="007668F2">
              <w:rPr>
                <w:rFonts w:ascii="Calibri" w:hAnsi="Calibri" w:cs="Calibri"/>
                <w:b/>
                <w:color w:val="000000" w:themeColor="text1"/>
                <w:sz w:val="18"/>
                <w:szCs w:val="18"/>
              </w:rPr>
              <w:t xml:space="preserve">Separation) – All Effective Date </w:t>
            </w:r>
            <w:r w:rsidR="002D08F3" w:rsidRPr="007668F2">
              <w:rPr>
                <w:rFonts w:ascii="Calibri" w:hAnsi="Calibri" w:cs="Calibri"/>
                <w:b/>
                <w:color w:val="000000" w:themeColor="text1"/>
                <w:sz w:val="18"/>
                <w:szCs w:val="18"/>
              </w:rPr>
              <w:t>200</w:t>
            </w:r>
            <w:r w:rsidR="00663D4C" w:rsidRPr="007668F2">
              <w:rPr>
                <w:rFonts w:ascii="Calibri" w:hAnsi="Calibri" w:cs="Calibri"/>
                <w:b/>
                <w:color w:val="000000" w:themeColor="text1"/>
                <w:sz w:val="18"/>
                <w:szCs w:val="18"/>
              </w:rPr>
              <w:t>90131</w:t>
            </w:r>
          </w:p>
        </w:tc>
      </w:tr>
      <w:tr w:rsidR="00690E65" w:rsidRPr="007668F2" w:rsidTr="0012478E">
        <w:trPr>
          <w:trHeight w:val="66"/>
        </w:trPr>
        <w:tc>
          <w:tcPr>
            <w:tcW w:w="2896" w:type="dxa"/>
            <w:tcBorders>
              <w:bottom w:val="single" w:sz="4" w:space="0" w:color="000000" w:themeColor="text1"/>
              <w:right w:val="single" w:sz="4" w:space="0" w:color="auto"/>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Condition</w:t>
            </w:r>
          </w:p>
        </w:tc>
        <w:tc>
          <w:tcPr>
            <w:tcW w:w="629" w:type="dxa"/>
            <w:tcBorders>
              <w:left w:val="single" w:sz="4" w:space="0" w:color="auto"/>
              <w:bottom w:val="single" w:sz="4" w:space="0" w:color="000000" w:themeColor="text1"/>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Code</w:t>
            </w:r>
          </w:p>
        </w:tc>
        <w:tc>
          <w:tcPr>
            <w:tcW w:w="72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Rating</w:t>
            </w:r>
          </w:p>
        </w:tc>
        <w:tc>
          <w:tcPr>
            <w:tcW w:w="233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668F2" w:rsidRDefault="002B4E22"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Exam</w:t>
            </w:r>
          </w:p>
        </w:tc>
      </w:tr>
      <w:tr w:rsidR="0012478E" w:rsidRPr="007668F2" w:rsidTr="0012478E">
        <w:trPr>
          <w:trHeight w:val="66"/>
        </w:trPr>
        <w:tc>
          <w:tcPr>
            <w:tcW w:w="2896" w:type="dxa"/>
            <w:vMerge w:val="restart"/>
            <w:tcBorders>
              <w:right w:val="single" w:sz="4" w:space="0" w:color="auto"/>
            </w:tcBorders>
            <w:shd w:val="clear" w:color="auto" w:fill="FFFFFF" w:themeFill="background1"/>
            <w:vAlign w:val="center"/>
          </w:tcPr>
          <w:p w:rsidR="0012478E" w:rsidRPr="007668F2" w:rsidRDefault="0012478E" w:rsidP="0012478E">
            <w:pPr>
              <w:spacing w:line="220" w:lineRule="exact"/>
              <w:contextualSpacing/>
              <w:jc w:val="both"/>
              <w:rPr>
                <w:rFonts w:ascii="Calibri" w:eastAsia="Times New Roman" w:hAnsi="Calibri" w:cs="Calibri"/>
                <w:color w:val="000000" w:themeColor="text1"/>
                <w:sz w:val="18"/>
                <w:szCs w:val="18"/>
              </w:rPr>
            </w:pPr>
            <w:r w:rsidRPr="007668F2">
              <w:rPr>
                <w:rFonts w:ascii="Calibri" w:hAnsi="Calibri" w:cs="Calibri"/>
                <w:color w:val="000000" w:themeColor="text1"/>
                <w:sz w:val="18"/>
                <w:szCs w:val="18"/>
              </w:rPr>
              <w:t xml:space="preserve">Low Back Pain s/p </w:t>
            </w:r>
            <w:proofErr w:type="spellStart"/>
            <w:r w:rsidRPr="007668F2">
              <w:rPr>
                <w:rFonts w:ascii="Calibri" w:hAnsi="Calibri" w:cs="Calibri"/>
                <w:color w:val="000000" w:themeColor="text1"/>
                <w:sz w:val="18"/>
                <w:szCs w:val="18"/>
              </w:rPr>
              <w:t>Diskectomies</w:t>
            </w:r>
            <w:proofErr w:type="spellEnd"/>
            <w:r w:rsidRPr="007668F2">
              <w:rPr>
                <w:rFonts w:ascii="Calibri" w:hAnsi="Calibri" w:cs="Calibri"/>
                <w:color w:val="000000" w:themeColor="text1"/>
                <w:sz w:val="18"/>
                <w:szCs w:val="18"/>
              </w:rPr>
              <w:t xml:space="preserve"> X 3</w:t>
            </w:r>
          </w:p>
        </w:tc>
        <w:tc>
          <w:tcPr>
            <w:tcW w:w="629" w:type="dxa"/>
            <w:vMerge w:val="restart"/>
            <w:tcBorders>
              <w:left w:val="single" w:sz="4" w:space="0" w:color="auto"/>
              <w:right w:val="single" w:sz="4" w:space="0" w:color="auto"/>
            </w:tcBorders>
            <w:shd w:val="clear" w:color="auto" w:fill="FFFFFF" w:themeFill="background1"/>
            <w:vAlign w:val="center"/>
          </w:tcPr>
          <w:p w:rsidR="0012478E" w:rsidRPr="007668F2" w:rsidRDefault="0012478E" w:rsidP="0012478E">
            <w:pPr>
              <w:spacing w:line="220" w:lineRule="exact"/>
              <w:contextualSpacing/>
              <w:rPr>
                <w:rFonts w:ascii="Calibri" w:eastAsia="Times New Roman" w:hAnsi="Calibri" w:cs="Calibri"/>
                <w:color w:val="000000" w:themeColor="text1"/>
                <w:sz w:val="18"/>
                <w:szCs w:val="18"/>
              </w:rPr>
            </w:pPr>
            <w:r w:rsidRPr="007668F2">
              <w:rPr>
                <w:rFonts w:ascii="Calibri" w:eastAsia="Times New Roman" w:hAnsi="Calibri" w:cs="Calibri"/>
                <w:color w:val="000000" w:themeColor="text1"/>
                <w:sz w:val="18"/>
                <w:szCs w:val="18"/>
              </w:rPr>
              <w:t>5243</w:t>
            </w:r>
          </w:p>
        </w:tc>
        <w:tc>
          <w:tcPr>
            <w:tcW w:w="724" w:type="dxa"/>
            <w:vMerge w:val="restart"/>
            <w:tcBorders>
              <w:left w:val="single" w:sz="4" w:space="0" w:color="auto"/>
              <w:right w:val="thinThickThinSmallGap" w:sz="24" w:space="0" w:color="auto"/>
            </w:tcBorders>
            <w:shd w:val="clear" w:color="auto" w:fill="FFFFFF" w:themeFill="background1"/>
            <w:vAlign w:val="center"/>
          </w:tcPr>
          <w:p w:rsidR="0012478E" w:rsidRPr="007668F2" w:rsidRDefault="0012478E" w:rsidP="0012478E">
            <w:pPr>
              <w:spacing w:line="220" w:lineRule="exact"/>
              <w:rPr>
                <w:rFonts w:ascii="Calibri" w:eastAsia="Times New Roman" w:hAnsi="Calibri" w:cs="Calibri"/>
                <w:color w:val="000000" w:themeColor="text1"/>
                <w:sz w:val="18"/>
                <w:szCs w:val="18"/>
              </w:rPr>
            </w:pPr>
            <w:r w:rsidRPr="007668F2">
              <w:rPr>
                <w:rFonts w:ascii="Calibri" w:hAnsi="Calibri" w:cs="Calibri"/>
                <w:color w:val="000000" w:themeColor="text1"/>
                <w:sz w:val="18"/>
                <w:szCs w:val="18"/>
              </w:rPr>
              <w:t>10%</w:t>
            </w:r>
          </w:p>
        </w:tc>
        <w:tc>
          <w:tcPr>
            <w:tcW w:w="2339" w:type="dxa"/>
            <w:tcBorders>
              <w:left w:val="thinThickThinSmallGap" w:sz="24" w:space="0" w:color="auto"/>
            </w:tcBorders>
            <w:shd w:val="clear" w:color="auto" w:fill="FFFFFF" w:themeFill="background1"/>
            <w:vAlign w:val="center"/>
          </w:tcPr>
          <w:p w:rsidR="0012478E" w:rsidRPr="007668F2" w:rsidRDefault="0012478E" w:rsidP="0012478E">
            <w:pPr>
              <w:spacing w:line="220" w:lineRule="exact"/>
              <w:contextualSpacing/>
              <w:jc w:val="left"/>
              <w:rPr>
                <w:color w:val="auto"/>
                <w:sz w:val="18"/>
                <w:szCs w:val="18"/>
              </w:rPr>
            </w:pPr>
            <w:r w:rsidRPr="007668F2">
              <w:rPr>
                <w:color w:val="auto"/>
                <w:sz w:val="18"/>
                <w:szCs w:val="18"/>
              </w:rPr>
              <w:t>Lumbar Laminectomy …</w:t>
            </w:r>
          </w:p>
        </w:tc>
        <w:tc>
          <w:tcPr>
            <w:tcW w:w="1080" w:type="dxa"/>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5243</w:t>
            </w:r>
          </w:p>
        </w:tc>
        <w:tc>
          <w:tcPr>
            <w:tcW w:w="702" w:type="dxa"/>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20%</w:t>
            </w:r>
          </w:p>
        </w:tc>
        <w:tc>
          <w:tcPr>
            <w:tcW w:w="990" w:type="dxa"/>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20081209</w:t>
            </w:r>
          </w:p>
        </w:tc>
      </w:tr>
      <w:tr w:rsidR="0012478E" w:rsidRPr="007668F2" w:rsidTr="0012478E">
        <w:trPr>
          <w:trHeight w:val="66"/>
        </w:trPr>
        <w:tc>
          <w:tcPr>
            <w:tcW w:w="2896" w:type="dxa"/>
            <w:vMerge/>
            <w:tcBorders>
              <w:bottom w:val="single" w:sz="4" w:space="0" w:color="auto"/>
              <w:right w:val="single" w:sz="4" w:space="0" w:color="auto"/>
            </w:tcBorders>
            <w:shd w:val="clear" w:color="auto" w:fill="FFFFFF" w:themeFill="background1"/>
          </w:tcPr>
          <w:p w:rsidR="0012478E" w:rsidRPr="007668F2" w:rsidRDefault="0012478E" w:rsidP="0012478E">
            <w:pPr>
              <w:spacing w:line="220" w:lineRule="exact"/>
              <w:contextualSpacing/>
              <w:rPr>
                <w:rFonts w:ascii="Calibri" w:eastAsia="Times New Roman" w:hAnsi="Calibri" w:cs="Calibri"/>
                <w:color w:val="000000" w:themeColor="text1"/>
                <w:sz w:val="18"/>
                <w:szCs w:val="18"/>
              </w:rPr>
            </w:pPr>
          </w:p>
        </w:tc>
        <w:tc>
          <w:tcPr>
            <w:tcW w:w="629" w:type="dxa"/>
            <w:vMerge/>
            <w:tcBorders>
              <w:left w:val="single" w:sz="4" w:space="0" w:color="auto"/>
              <w:bottom w:val="single" w:sz="4" w:space="0" w:color="auto"/>
              <w:right w:val="single" w:sz="4" w:space="0" w:color="auto"/>
            </w:tcBorders>
            <w:shd w:val="clear" w:color="auto" w:fill="FFFFFF" w:themeFill="background1"/>
          </w:tcPr>
          <w:p w:rsidR="0012478E" w:rsidRPr="007668F2" w:rsidRDefault="0012478E" w:rsidP="0012478E">
            <w:pPr>
              <w:spacing w:line="220" w:lineRule="exact"/>
              <w:contextualSpacing/>
              <w:rPr>
                <w:rFonts w:cs="Calibri"/>
                <w:color w:val="000000" w:themeColor="text1"/>
                <w:sz w:val="18"/>
                <w:szCs w:val="18"/>
              </w:rPr>
            </w:pPr>
          </w:p>
        </w:tc>
        <w:tc>
          <w:tcPr>
            <w:tcW w:w="724" w:type="dxa"/>
            <w:vMerge/>
            <w:tcBorders>
              <w:left w:val="single" w:sz="4" w:space="0" w:color="auto"/>
              <w:bottom w:val="single" w:sz="4" w:space="0" w:color="auto"/>
              <w:right w:val="thinThickThinSmallGap" w:sz="24" w:space="0" w:color="auto"/>
            </w:tcBorders>
            <w:shd w:val="clear" w:color="auto" w:fill="FFFFFF" w:themeFill="background1"/>
          </w:tcPr>
          <w:p w:rsidR="0012478E" w:rsidRPr="007668F2" w:rsidRDefault="0012478E" w:rsidP="0012478E">
            <w:pPr>
              <w:spacing w:line="220" w:lineRule="exact"/>
              <w:contextualSpacing/>
              <w:rPr>
                <w:rFonts w:cs="Calibri"/>
                <w:color w:val="000000" w:themeColor="text1"/>
                <w:sz w:val="18"/>
                <w:szCs w:val="18"/>
              </w:rPr>
            </w:pPr>
          </w:p>
        </w:tc>
        <w:tc>
          <w:tcPr>
            <w:tcW w:w="2339" w:type="dxa"/>
            <w:tcBorders>
              <w:left w:val="thinThickThinSmallGap" w:sz="24" w:space="0" w:color="auto"/>
              <w:right w:val="single" w:sz="4" w:space="0" w:color="auto"/>
            </w:tcBorders>
            <w:shd w:val="clear" w:color="auto" w:fill="FFFFFF" w:themeFill="background1"/>
            <w:vAlign w:val="center"/>
          </w:tcPr>
          <w:p w:rsidR="0012478E" w:rsidRPr="007668F2" w:rsidRDefault="0012478E" w:rsidP="0012478E">
            <w:pPr>
              <w:spacing w:line="220" w:lineRule="exact"/>
              <w:contextualSpacing/>
              <w:jc w:val="left"/>
              <w:rPr>
                <w:color w:val="auto"/>
                <w:sz w:val="18"/>
                <w:szCs w:val="18"/>
              </w:rPr>
            </w:pPr>
            <w:r w:rsidRPr="007668F2">
              <w:rPr>
                <w:color w:val="auto"/>
                <w:sz w:val="18"/>
                <w:szCs w:val="18"/>
              </w:rPr>
              <w:t>L Lower Extremity Radiculitis</w:t>
            </w:r>
          </w:p>
        </w:tc>
        <w:tc>
          <w:tcPr>
            <w:tcW w:w="1080" w:type="dxa"/>
            <w:tcBorders>
              <w:left w:val="single" w:sz="4" w:space="0" w:color="auto"/>
            </w:tcBorders>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8520</w:t>
            </w:r>
          </w:p>
        </w:tc>
        <w:tc>
          <w:tcPr>
            <w:tcW w:w="702" w:type="dxa"/>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10%</w:t>
            </w:r>
          </w:p>
        </w:tc>
        <w:tc>
          <w:tcPr>
            <w:tcW w:w="990" w:type="dxa"/>
            <w:shd w:val="clear" w:color="auto" w:fill="FFFFFF" w:themeFill="background1"/>
            <w:vAlign w:val="center"/>
          </w:tcPr>
          <w:p w:rsidR="0012478E" w:rsidRPr="007668F2" w:rsidRDefault="0012478E" w:rsidP="0012478E">
            <w:pPr>
              <w:spacing w:line="220" w:lineRule="exact"/>
              <w:contextualSpacing/>
              <w:rPr>
                <w:color w:val="auto"/>
                <w:sz w:val="18"/>
                <w:szCs w:val="18"/>
              </w:rPr>
            </w:pPr>
            <w:r w:rsidRPr="007668F2">
              <w:rPr>
                <w:color w:val="auto"/>
                <w:sz w:val="18"/>
                <w:szCs w:val="18"/>
              </w:rPr>
              <w:t>20081209</w:t>
            </w:r>
          </w:p>
        </w:tc>
      </w:tr>
      <w:tr w:rsidR="00DB4485" w:rsidRPr="007668F2" w:rsidTr="0012478E">
        <w:trPr>
          <w:trHeight w:val="66"/>
        </w:trPr>
        <w:tc>
          <w:tcPr>
            <w:tcW w:w="4249" w:type="dxa"/>
            <w:gridSpan w:val="3"/>
            <w:vMerge w:val="restart"/>
            <w:tcBorders>
              <w:top w:val="single" w:sz="4" w:space="0" w:color="auto"/>
              <w:right w:val="thinThickThinSmallGap" w:sz="24" w:space="0" w:color="auto"/>
            </w:tcBorders>
            <w:shd w:val="clear" w:color="auto" w:fill="FFFFFF" w:themeFill="background1"/>
          </w:tcPr>
          <w:p w:rsidR="00DB4485" w:rsidRPr="007668F2" w:rsidRDefault="0012478E" w:rsidP="0012478E">
            <w:pPr>
              <w:spacing w:line="220" w:lineRule="exact"/>
              <w:contextualSpacing/>
              <w:rPr>
                <w:rFonts w:ascii="Calibri" w:eastAsia="Times New Roman" w:hAnsi="Calibri" w:cs="Calibri"/>
                <w:color w:val="000000" w:themeColor="text1"/>
                <w:sz w:val="18"/>
                <w:szCs w:val="18"/>
              </w:rPr>
            </w:pPr>
            <w:r w:rsidRPr="007668F2">
              <w:rPr>
                <w:color w:val="auto"/>
                <w:sz w:val="18"/>
                <w:szCs w:val="18"/>
              </w:rPr>
              <w:t>↓No Additional MEB/PEB Entries↓</w:t>
            </w:r>
          </w:p>
        </w:tc>
        <w:tc>
          <w:tcPr>
            <w:tcW w:w="2339" w:type="dxa"/>
            <w:tcBorders>
              <w:left w:val="thinThickThinSmallGap" w:sz="24" w:space="0" w:color="auto"/>
              <w:right w:val="single" w:sz="4" w:space="0" w:color="auto"/>
            </w:tcBorders>
            <w:shd w:val="clear" w:color="auto" w:fill="FFFFFF" w:themeFill="background1"/>
            <w:vAlign w:val="center"/>
          </w:tcPr>
          <w:p w:rsidR="00DB4485" w:rsidRPr="007668F2" w:rsidRDefault="00DB4485" w:rsidP="0012478E">
            <w:pPr>
              <w:spacing w:line="220" w:lineRule="exact"/>
              <w:contextualSpacing/>
              <w:jc w:val="left"/>
              <w:rPr>
                <w:color w:val="auto"/>
                <w:sz w:val="18"/>
                <w:szCs w:val="18"/>
              </w:rPr>
            </w:pPr>
            <w:r w:rsidRPr="007668F2">
              <w:rPr>
                <w:color w:val="auto"/>
                <w:sz w:val="18"/>
                <w:szCs w:val="18"/>
              </w:rPr>
              <w:t xml:space="preserve">R Knee Retropatellar Pain </w:t>
            </w:r>
          </w:p>
        </w:tc>
        <w:tc>
          <w:tcPr>
            <w:tcW w:w="1080" w:type="dxa"/>
            <w:tcBorders>
              <w:left w:val="single" w:sz="4" w:space="0" w:color="auto"/>
            </w:tcBorders>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5260-5024</w:t>
            </w:r>
          </w:p>
        </w:tc>
        <w:tc>
          <w:tcPr>
            <w:tcW w:w="702" w:type="dxa"/>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10%</w:t>
            </w:r>
          </w:p>
        </w:tc>
        <w:tc>
          <w:tcPr>
            <w:tcW w:w="990" w:type="dxa"/>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20081209</w:t>
            </w:r>
          </w:p>
        </w:tc>
      </w:tr>
      <w:tr w:rsidR="00DB4485" w:rsidRPr="007668F2" w:rsidTr="0012478E">
        <w:trPr>
          <w:trHeight w:val="66"/>
        </w:trPr>
        <w:tc>
          <w:tcPr>
            <w:tcW w:w="4249" w:type="dxa"/>
            <w:gridSpan w:val="3"/>
            <w:vMerge/>
            <w:tcBorders>
              <w:right w:val="thinThickThinSmallGap" w:sz="24" w:space="0" w:color="auto"/>
            </w:tcBorders>
            <w:shd w:val="clear" w:color="auto" w:fill="FFFFFF" w:themeFill="background1"/>
            <w:vAlign w:val="center"/>
          </w:tcPr>
          <w:p w:rsidR="00DB4485" w:rsidRPr="007668F2" w:rsidRDefault="00DB4485" w:rsidP="0012478E">
            <w:pPr>
              <w:spacing w:line="220" w:lineRule="exact"/>
              <w:contextualSpacing/>
              <w:rPr>
                <w:rFonts w:ascii="Calibri" w:eastAsia="Times New Roman" w:hAnsi="Calibri" w:cs="Calibri"/>
                <w:color w:val="000000" w:themeColor="text1"/>
                <w:sz w:val="18"/>
                <w:szCs w:val="18"/>
              </w:rPr>
            </w:pPr>
          </w:p>
        </w:tc>
        <w:tc>
          <w:tcPr>
            <w:tcW w:w="2339" w:type="dxa"/>
            <w:tcBorders>
              <w:left w:val="thinThickThinSmallGap" w:sz="24" w:space="0" w:color="auto"/>
              <w:right w:val="single" w:sz="4" w:space="0" w:color="auto"/>
            </w:tcBorders>
            <w:shd w:val="clear" w:color="auto" w:fill="FFFFFF" w:themeFill="background1"/>
            <w:vAlign w:val="center"/>
          </w:tcPr>
          <w:p w:rsidR="00DB4485" w:rsidRPr="007668F2" w:rsidRDefault="00DB4485" w:rsidP="0012478E">
            <w:pPr>
              <w:spacing w:line="220" w:lineRule="exact"/>
              <w:contextualSpacing/>
              <w:jc w:val="left"/>
              <w:rPr>
                <w:color w:val="auto"/>
                <w:sz w:val="18"/>
                <w:szCs w:val="18"/>
              </w:rPr>
            </w:pPr>
            <w:r w:rsidRPr="007668F2">
              <w:rPr>
                <w:color w:val="auto"/>
                <w:sz w:val="18"/>
                <w:szCs w:val="18"/>
              </w:rPr>
              <w:t xml:space="preserve">L Knee Retropatellar Pain </w:t>
            </w:r>
          </w:p>
        </w:tc>
        <w:tc>
          <w:tcPr>
            <w:tcW w:w="1080" w:type="dxa"/>
            <w:tcBorders>
              <w:left w:val="single" w:sz="4" w:space="0" w:color="auto"/>
              <w:right w:val="single" w:sz="4" w:space="0" w:color="auto"/>
            </w:tcBorders>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5260-5024</w:t>
            </w:r>
          </w:p>
        </w:tc>
        <w:tc>
          <w:tcPr>
            <w:tcW w:w="702" w:type="dxa"/>
            <w:tcBorders>
              <w:left w:val="single" w:sz="4" w:space="0" w:color="auto"/>
            </w:tcBorders>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10%</w:t>
            </w:r>
          </w:p>
        </w:tc>
        <w:tc>
          <w:tcPr>
            <w:tcW w:w="990" w:type="dxa"/>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20081209</w:t>
            </w:r>
          </w:p>
        </w:tc>
      </w:tr>
      <w:tr w:rsidR="00DB4485" w:rsidRPr="007668F2" w:rsidTr="0012478E">
        <w:trPr>
          <w:trHeight w:val="66"/>
        </w:trPr>
        <w:tc>
          <w:tcPr>
            <w:tcW w:w="4249" w:type="dxa"/>
            <w:gridSpan w:val="3"/>
            <w:vMerge/>
            <w:tcBorders>
              <w:right w:val="thinThickThinSmallGap" w:sz="24" w:space="0" w:color="auto"/>
            </w:tcBorders>
            <w:shd w:val="clear" w:color="auto" w:fill="FFFFFF" w:themeFill="background1"/>
            <w:vAlign w:val="center"/>
          </w:tcPr>
          <w:p w:rsidR="00DB4485" w:rsidRPr="007668F2" w:rsidRDefault="00DB4485" w:rsidP="0012478E">
            <w:pPr>
              <w:spacing w:line="220" w:lineRule="exact"/>
              <w:contextualSpacing/>
              <w:rPr>
                <w:rFonts w:ascii="Calibri" w:eastAsia="Times New Roman" w:hAnsi="Calibri" w:cs="Calibri"/>
                <w:color w:val="000000" w:themeColor="text1"/>
                <w:sz w:val="18"/>
                <w:szCs w:val="18"/>
              </w:rPr>
            </w:pPr>
          </w:p>
        </w:tc>
        <w:tc>
          <w:tcPr>
            <w:tcW w:w="4121" w:type="dxa"/>
            <w:gridSpan w:val="3"/>
            <w:tcBorders>
              <w:left w:val="thinThickThinSmallGap" w:sz="24" w:space="0" w:color="auto"/>
            </w:tcBorders>
            <w:shd w:val="clear" w:color="auto" w:fill="FFFFFF" w:themeFill="background1"/>
            <w:vAlign w:val="center"/>
          </w:tcPr>
          <w:p w:rsidR="00DB4485" w:rsidRPr="007668F2" w:rsidRDefault="00DB4485" w:rsidP="0012478E">
            <w:pPr>
              <w:spacing w:line="220" w:lineRule="exact"/>
              <w:contextualSpacing/>
              <w:rPr>
                <w:rFonts w:ascii="Calibri" w:eastAsia="Times New Roman" w:hAnsi="Calibri" w:cs="Calibri"/>
                <w:color w:val="000000" w:themeColor="text1"/>
                <w:sz w:val="18"/>
                <w:szCs w:val="18"/>
              </w:rPr>
            </w:pPr>
            <w:r w:rsidRPr="007668F2">
              <w:rPr>
                <w:rFonts w:cs="Times New Roman"/>
                <w:color w:val="auto"/>
                <w:sz w:val="18"/>
                <w:szCs w:val="18"/>
              </w:rPr>
              <w:t>0% x 4/Not Service Connected x 1</w:t>
            </w:r>
          </w:p>
        </w:tc>
        <w:tc>
          <w:tcPr>
            <w:tcW w:w="990" w:type="dxa"/>
            <w:shd w:val="clear" w:color="auto" w:fill="FFFFFF" w:themeFill="background1"/>
            <w:vAlign w:val="center"/>
          </w:tcPr>
          <w:p w:rsidR="00DB4485" w:rsidRPr="007668F2" w:rsidRDefault="00DB4485" w:rsidP="0012478E">
            <w:pPr>
              <w:spacing w:line="220" w:lineRule="exact"/>
              <w:contextualSpacing/>
              <w:rPr>
                <w:color w:val="auto"/>
                <w:sz w:val="18"/>
                <w:szCs w:val="18"/>
              </w:rPr>
            </w:pPr>
            <w:r w:rsidRPr="007668F2">
              <w:rPr>
                <w:color w:val="auto"/>
                <w:sz w:val="18"/>
                <w:szCs w:val="18"/>
              </w:rPr>
              <w:t>20081209</w:t>
            </w:r>
          </w:p>
        </w:tc>
      </w:tr>
      <w:tr w:rsidR="005B0D4B" w:rsidRPr="007668F2" w:rsidTr="0012478E">
        <w:trPr>
          <w:trHeight w:val="66"/>
        </w:trPr>
        <w:tc>
          <w:tcPr>
            <w:tcW w:w="4249" w:type="dxa"/>
            <w:gridSpan w:val="3"/>
            <w:tcBorders>
              <w:right w:val="thinThickThinSmallGap" w:sz="24" w:space="0" w:color="auto"/>
            </w:tcBorders>
            <w:shd w:val="clear" w:color="auto" w:fill="D9D9D9" w:themeFill="background1" w:themeFillShade="D9"/>
          </w:tcPr>
          <w:p w:rsidR="005B0D4B" w:rsidRPr="007668F2" w:rsidRDefault="005B0D4B"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 xml:space="preserve">Combined:  </w:t>
            </w:r>
            <w:r w:rsidR="00DB4485" w:rsidRPr="007668F2">
              <w:rPr>
                <w:rFonts w:ascii="Calibri" w:hAnsi="Calibri" w:cs="Calibri"/>
                <w:b/>
                <w:color w:val="000000" w:themeColor="text1"/>
                <w:sz w:val="18"/>
                <w:szCs w:val="18"/>
              </w:rPr>
              <w:t>10</w:t>
            </w:r>
            <w:r w:rsidRPr="007668F2">
              <w:rPr>
                <w:rFonts w:ascii="Calibri" w:hAnsi="Calibri" w:cs="Calibri"/>
                <w:b/>
                <w:color w:val="000000" w:themeColor="text1"/>
                <w:sz w:val="18"/>
                <w:szCs w:val="18"/>
              </w:rPr>
              <w:t>%</w:t>
            </w:r>
          </w:p>
        </w:tc>
        <w:tc>
          <w:tcPr>
            <w:tcW w:w="5111" w:type="dxa"/>
            <w:gridSpan w:val="4"/>
            <w:tcBorders>
              <w:left w:val="thinThickThinSmallGap" w:sz="24" w:space="0" w:color="auto"/>
            </w:tcBorders>
            <w:shd w:val="clear" w:color="auto" w:fill="D9D9D9" w:themeFill="background1" w:themeFillShade="D9"/>
          </w:tcPr>
          <w:p w:rsidR="005B0D4B" w:rsidRPr="007668F2" w:rsidRDefault="005B0D4B" w:rsidP="0012478E">
            <w:pPr>
              <w:contextualSpacing/>
              <w:rPr>
                <w:rFonts w:ascii="Calibri" w:hAnsi="Calibri" w:cs="Calibri"/>
                <w:b/>
                <w:color w:val="000000" w:themeColor="text1"/>
                <w:sz w:val="18"/>
                <w:szCs w:val="18"/>
              </w:rPr>
            </w:pPr>
            <w:r w:rsidRPr="007668F2">
              <w:rPr>
                <w:rFonts w:ascii="Calibri" w:hAnsi="Calibri" w:cs="Calibri"/>
                <w:b/>
                <w:color w:val="000000" w:themeColor="text1"/>
                <w:sz w:val="18"/>
                <w:szCs w:val="18"/>
              </w:rPr>
              <w:t xml:space="preserve">Combined: </w:t>
            </w:r>
            <w:r w:rsidR="00DB4485" w:rsidRPr="007668F2">
              <w:rPr>
                <w:rFonts w:ascii="Calibri" w:hAnsi="Calibri" w:cs="Calibri"/>
                <w:b/>
                <w:color w:val="000000" w:themeColor="text1"/>
                <w:sz w:val="18"/>
                <w:szCs w:val="18"/>
              </w:rPr>
              <w:t>4</w:t>
            </w:r>
            <w:r w:rsidRPr="007668F2">
              <w:rPr>
                <w:rFonts w:ascii="Calibri" w:hAnsi="Calibri" w:cs="Calibri"/>
                <w:b/>
                <w:color w:val="000000" w:themeColor="text1"/>
                <w:sz w:val="18"/>
                <w:szCs w:val="18"/>
              </w:rPr>
              <w:t>0%</w:t>
            </w:r>
            <w:r w:rsidR="00DB4485" w:rsidRPr="007668F2">
              <w:rPr>
                <w:rFonts w:ascii="Calibri" w:hAnsi="Calibri" w:cs="Calibri"/>
                <w:b/>
                <w:color w:val="000000" w:themeColor="text1"/>
                <w:sz w:val="18"/>
                <w:szCs w:val="18"/>
              </w:rPr>
              <w:t xml:space="preserve"> (Incorporating BLF)</w:t>
            </w:r>
          </w:p>
        </w:tc>
      </w:tr>
    </w:tbl>
    <w:p w:rsidR="00A97CD9" w:rsidRPr="007668F2" w:rsidRDefault="00A97CD9" w:rsidP="00A97CD9">
      <w:pPr>
        <w:pBdr>
          <w:bottom w:val="single" w:sz="12" w:space="1" w:color="auto"/>
        </w:pBdr>
        <w:tabs>
          <w:tab w:val="left" w:pos="288"/>
          <w:tab w:val="left" w:pos="4752"/>
        </w:tabs>
        <w:jc w:val="both"/>
        <w:rPr>
          <w:color w:val="000000" w:themeColor="text1"/>
          <w:szCs w:val="24"/>
        </w:rPr>
      </w:pPr>
    </w:p>
    <w:p w:rsidR="00DB4485" w:rsidRPr="007668F2" w:rsidRDefault="00DB4485" w:rsidP="009369A6">
      <w:pPr>
        <w:jc w:val="left"/>
        <w:rPr>
          <w:color w:val="000000" w:themeColor="text1"/>
          <w:szCs w:val="24"/>
          <w:u w:val="single"/>
        </w:rPr>
      </w:pPr>
    </w:p>
    <w:p w:rsidR="009F234E" w:rsidRPr="007668F2" w:rsidRDefault="002C6E5B" w:rsidP="009F234E">
      <w:pPr>
        <w:jc w:val="both"/>
        <w:rPr>
          <w:color w:val="000000" w:themeColor="text1"/>
          <w:szCs w:val="24"/>
        </w:rPr>
      </w:pPr>
      <w:r w:rsidRPr="007668F2">
        <w:rPr>
          <w:color w:val="000000" w:themeColor="text1"/>
          <w:szCs w:val="24"/>
          <w:u w:val="single"/>
        </w:rPr>
        <w:t>ANALYSIS SUMMARY</w:t>
      </w:r>
      <w:r w:rsidRPr="007668F2">
        <w:rPr>
          <w:color w:val="000000" w:themeColor="text1"/>
          <w:szCs w:val="24"/>
        </w:rPr>
        <w:t>:</w:t>
      </w:r>
      <w:r w:rsidR="009F234E" w:rsidRPr="007668F2">
        <w:rPr>
          <w:color w:val="000000" w:themeColor="text1"/>
          <w:szCs w:val="24"/>
        </w:rPr>
        <w:t xml:space="preserve">  </w:t>
      </w:r>
      <w:r w:rsidR="00BA73F8" w:rsidRPr="007668F2">
        <w:rPr>
          <w:color w:val="000000" w:themeColor="text1"/>
          <w:szCs w:val="24"/>
        </w:rPr>
        <w:t>The Board acknowledges the sentiment expressed in the CI’s application regarding the significant im</w:t>
      </w:r>
      <w:r w:rsidR="005B1766">
        <w:rPr>
          <w:color w:val="000000" w:themeColor="text1"/>
          <w:szCs w:val="24"/>
        </w:rPr>
        <w:t xml:space="preserve">pairment with which his service </w:t>
      </w:r>
      <w:r w:rsidR="00BA73F8" w:rsidRPr="007668F2">
        <w:rPr>
          <w:color w:val="000000" w:themeColor="text1"/>
          <w:szCs w:val="24"/>
        </w:rPr>
        <w:t xml:space="preserve">aggravated condition continues to burden him.  It is a fact, however, that the DES has neither the role nor the authority to </w:t>
      </w:r>
      <w:r w:rsidR="00BA73F8" w:rsidRPr="007668F2">
        <w:rPr>
          <w:color w:val="000000" w:themeColor="text1"/>
          <w:szCs w:val="24"/>
        </w:rPr>
        <w:lastRenderedPageBreak/>
        <w:t xml:space="preserve">compensate service members for anticipated future severity or potential complications of conditions resulting in medical separation.  This role and authority is granted by Congress to the Department </w:t>
      </w:r>
      <w:r w:rsidR="001509A2">
        <w:rPr>
          <w:color w:val="000000" w:themeColor="text1"/>
          <w:szCs w:val="24"/>
        </w:rPr>
        <w:t>of Veteran</w:t>
      </w:r>
      <w:r w:rsidR="000E56E8">
        <w:rPr>
          <w:color w:val="000000" w:themeColor="text1"/>
          <w:szCs w:val="24"/>
        </w:rPr>
        <w:t>s'</w:t>
      </w:r>
      <w:r w:rsidR="001509A2">
        <w:rPr>
          <w:color w:val="000000" w:themeColor="text1"/>
          <w:szCs w:val="24"/>
        </w:rPr>
        <w:t xml:space="preserve"> Affairs (DVA).  The </w:t>
      </w:r>
      <w:r w:rsidR="00BA73F8" w:rsidRPr="007668F2">
        <w:rPr>
          <w:color w:val="000000" w:themeColor="text1"/>
          <w:szCs w:val="24"/>
        </w:rPr>
        <w:t>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  The Board utilizes VA evidence proximal to separation in arriving at its recommendations; and, DoDI 6040.44 defines a 12 month interval for special consideration to post-separation evidence. The Board’s authority as defined in DoDI 6044.40, resides in evaluating the fairness of DES fitness determinations and rating decisions for disability at the time of separation.</w:t>
      </w:r>
      <w:r w:rsidR="001509A2">
        <w:rPr>
          <w:color w:val="000000" w:themeColor="text1"/>
          <w:szCs w:val="24"/>
        </w:rPr>
        <w:t xml:space="preserve"> </w:t>
      </w:r>
      <w:r w:rsidR="00BA73F8" w:rsidRPr="007668F2">
        <w:rPr>
          <w:color w:val="000000" w:themeColor="text1"/>
          <w:szCs w:val="24"/>
        </w:rPr>
        <w:t xml:space="preserve"> Post-separation evidence therefore is probative only to the extent that it reasonably reflects the disability and fitness implications at the time of separation.</w:t>
      </w:r>
    </w:p>
    <w:p w:rsidR="009F234E" w:rsidRPr="007668F2" w:rsidRDefault="009F234E" w:rsidP="009F234E">
      <w:pPr>
        <w:jc w:val="both"/>
        <w:rPr>
          <w:color w:val="000000" w:themeColor="text1"/>
          <w:szCs w:val="24"/>
        </w:rPr>
      </w:pPr>
    </w:p>
    <w:p w:rsidR="009F234E" w:rsidRPr="007668F2" w:rsidRDefault="00914A6C" w:rsidP="001D2807">
      <w:pPr>
        <w:jc w:val="both"/>
        <w:rPr>
          <w:rFonts w:asciiTheme="minorHAnsi" w:hAnsiTheme="minorHAnsi"/>
          <w:color w:val="auto"/>
          <w:szCs w:val="24"/>
        </w:rPr>
      </w:pPr>
      <w:proofErr w:type="gramStart"/>
      <w:r w:rsidRPr="007668F2">
        <w:rPr>
          <w:color w:val="000000" w:themeColor="text1"/>
          <w:szCs w:val="24"/>
          <w:u w:val="single"/>
        </w:rPr>
        <w:t>Lumbar Spine</w:t>
      </w:r>
      <w:r w:rsidR="00DB4485" w:rsidRPr="007668F2">
        <w:rPr>
          <w:color w:val="000000" w:themeColor="text1"/>
          <w:szCs w:val="24"/>
          <w:u w:val="single"/>
        </w:rPr>
        <w:t xml:space="preserve"> Condition</w:t>
      </w:r>
      <w:r w:rsidR="004C60A3" w:rsidRPr="007668F2">
        <w:rPr>
          <w:color w:val="000000" w:themeColor="text1"/>
          <w:szCs w:val="24"/>
        </w:rPr>
        <w:t>.</w:t>
      </w:r>
      <w:proofErr w:type="gramEnd"/>
      <w:r w:rsidR="00857789" w:rsidRPr="007668F2">
        <w:rPr>
          <w:color w:val="000000" w:themeColor="text1"/>
          <w:szCs w:val="24"/>
        </w:rPr>
        <w:t xml:space="preserve">  </w:t>
      </w:r>
      <w:r w:rsidR="00AA5745" w:rsidRPr="007668F2">
        <w:rPr>
          <w:color w:val="000000" w:themeColor="text1"/>
          <w:szCs w:val="24"/>
        </w:rPr>
        <w:t>The CI apparently followed a favorable post-operative course in 1999 and was able to resume his military career for some time.  His</w:t>
      </w:r>
      <w:r w:rsidR="001D2807" w:rsidRPr="007668F2">
        <w:rPr>
          <w:color w:val="000000" w:themeColor="text1"/>
          <w:szCs w:val="24"/>
        </w:rPr>
        <w:t xml:space="preserve"> </w:t>
      </w:r>
      <w:r w:rsidR="001F636C" w:rsidRPr="007668F2">
        <w:rPr>
          <w:color w:val="000000" w:themeColor="text1"/>
          <w:szCs w:val="24"/>
        </w:rPr>
        <w:t>2008</w:t>
      </w:r>
      <w:r w:rsidR="001D2807" w:rsidRPr="007668F2">
        <w:rPr>
          <w:color w:val="000000" w:themeColor="text1"/>
          <w:szCs w:val="24"/>
        </w:rPr>
        <w:t xml:space="preserve"> surgical intervention</w:t>
      </w:r>
      <w:r w:rsidR="001F636C" w:rsidRPr="007668F2">
        <w:rPr>
          <w:color w:val="000000" w:themeColor="text1"/>
          <w:szCs w:val="24"/>
        </w:rPr>
        <w:t>s</w:t>
      </w:r>
      <w:r w:rsidR="001D2807" w:rsidRPr="007668F2">
        <w:rPr>
          <w:color w:val="000000" w:themeColor="text1"/>
          <w:szCs w:val="24"/>
        </w:rPr>
        <w:t xml:space="preserve"> </w:t>
      </w:r>
      <w:r w:rsidR="001F636C" w:rsidRPr="007668F2">
        <w:rPr>
          <w:color w:val="000000" w:themeColor="text1"/>
          <w:szCs w:val="24"/>
        </w:rPr>
        <w:t>were</w:t>
      </w:r>
      <w:r w:rsidR="001D2807" w:rsidRPr="007668F2">
        <w:rPr>
          <w:color w:val="000000" w:themeColor="text1"/>
          <w:szCs w:val="24"/>
        </w:rPr>
        <w:t xml:space="preserve"> an L4/5 left </w:t>
      </w:r>
      <w:proofErr w:type="spellStart"/>
      <w:r w:rsidR="001D2807" w:rsidRPr="007668F2">
        <w:rPr>
          <w:color w:val="000000" w:themeColor="text1"/>
          <w:szCs w:val="24"/>
        </w:rPr>
        <w:t>microdiscectomy</w:t>
      </w:r>
      <w:proofErr w:type="spellEnd"/>
      <w:r w:rsidR="001D2807" w:rsidRPr="007668F2">
        <w:rPr>
          <w:color w:val="000000" w:themeColor="text1"/>
          <w:szCs w:val="24"/>
        </w:rPr>
        <w:t xml:space="preserve"> performed </w:t>
      </w:r>
      <w:r w:rsidR="001F636C" w:rsidRPr="007668F2">
        <w:rPr>
          <w:color w:val="000000" w:themeColor="text1"/>
          <w:szCs w:val="24"/>
        </w:rPr>
        <w:t>February 29</w:t>
      </w:r>
      <w:r w:rsidR="005B1766">
        <w:rPr>
          <w:color w:val="000000" w:themeColor="text1"/>
          <w:szCs w:val="24"/>
        </w:rPr>
        <w:t>,</w:t>
      </w:r>
      <w:r w:rsidR="001F636C" w:rsidRPr="007668F2">
        <w:rPr>
          <w:color w:val="000000" w:themeColor="text1"/>
          <w:szCs w:val="24"/>
        </w:rPr>
        <w:t xml:space="preserve"> </w:t>
      </w:r>
      <w:r w:rsidR="005B1766">
        <w:rPr>
          <w:color w:val="000000" w:themeColor="text1"/>
          <w:szCs w:val="24"/>
        </w:rPr>
        <w:t xml:space="preserve">2008 </w:t>
      </w:r>
      <w:r w:rsidR="001F636C" w:rsidRPr="007668F2">
        <w:rPr>
          <w:color w:val="000000" w:themeColor="text1"/>
          <w:szCs w:val="24"/>
        </w:rPr>
        <w:t xml:space="preserve">and a re-exploration of same on </w:t>
      </w:r>
      <w:r w:rsidR="005B1766">
        <w:rPr>
          <w:color w:val="000000" w:themeColor="text1"/>
          <w:szCs w:val="24"/>
        </w:rPr>
        <w:t xml:space="preserve">  </w:t>
      </w:r>
      <w:r w:rsidR="001F636C" w:rsidRPr="007668F2">
        <w:rPr>
          <w:color w:val="000000" w:themeColor="text1"/>
          <w:szCs w:val="24"/>
        </w:rPr>
        <w:t>May 20</w:t>
      </w:r>
      <w:r w:rsidR="005B1766">
        <w:rPr>
          <w:color w:val="000000" w:themeColor="text1"/>
          <w:szCs w:val="24"/>
        </w:rPr>
        <w:t>, 2008</w:t>
      </w:r>
      <w:r w:rsidR="001D2807" w:rsidRPr="007668F2">
        <w:rPr>
          <w:color w:val="000000" w:themeColor="text1"/>
          <w:szCs w:val="24"/>
        </w:rPr>
        <w:t xml:space="preserve">.  </w:t>
      </w:r>
      <w:r w:rsidR="00E318EF" w:rsidRPr="007668F2">
        <w:rPr>
          <w:color w:val="000000" w:themeColor="text1"/>
          <w:szCs w:val="24"/>
        </w:rPr>
        <w:t xml:space="preserve">The surgeon suggested that fusion surgery should remain a future option.  </w:t>
      </w:r>
      <w:r w:rsidR="001F636C" w:rsidRPr="007668F2">
        <w:rPr>
          <w:color w:val="000000" w:themeColor="text1"/>
          <w:szCs w:val="24"/>
        </w:rPr>
        <w:t>Evidence at the time of separation reflects</w:t>
      </w:r>
      <w:r w:rsidR="001D2807" w:rsidRPr="007668F2">
        <w:rPr>
          <w:color w:val="000000" w:themeColor="text1"/>
          <w:szCs w:val="24"/>
        </w:rPr>
        <w:t xml:space="preserve"> significant functional restrictions, a shortened work day, and </w:t>
      </w:r>
      <w:r w:rsidR="001F636C" w:rsidRPr="007668F2">
        <w:rPr>
          <w:color w:val="000000" w:themeColor="text1"/>
          <w:szCs w:val="24"/>
        </w:rPr>
        <w:t>frequent requirement for</w:t>
      </w:r>
      <w:r w:rsidR="001D2807" w:rsidRPr="007668F2">
        <w:rPr>
          <w:color w:val="000000" w:themeColor="text1"/>
          <w:szCs w:val="24"/>
        </w:rPr>
        <w:t xml:space="preserve"> narcotic analgesics.  </w:t>
      </w:r>
      <w:r w:rsidR="009F234E" w:rsidRPr="007668F2">
        <w:rPr>
          <w:rFonts w:asciiTheme="minorHAnsi" w:hAnsiTheme="minorHAnsi"/>
          <w:color w:val="auto"/>
          <w:szCs w:val="24"/>
        </w:rPr>
        <w:t xml:space="preserve">There were </w:t>
      </w:r>
      <w:r w:rsidR="005F266B" w:rsidRPr="007668F2">
        <w:rPr>
          <w:rFonts w:asciiTheme="minorHAnsi" w:hAnsiTheme="minorHAnsi"/>
          <w:color w:val="auto"/>
          <w:szCs w:val="24"/>
        </w:rPr>
        <w:t xml:space="preserve">two </w:t>
      </w:r>
      <w:r w:rsidR="009F234E" w:rsidRPr="007668F2">
        <w:rPr>
          <w:rFonts w:asciiTheme="minorHAnsi" w:hAnsiTheme="minorHAnsi"/>
          <w:color w:val="auto"/>
          <w:szCs w:val="24"/>
        </w:rPr>
        <w:t xml:space="preserve">goniometric range-of-motion (ROM) evaluations in evidence which the Board weighed in arriving at its rating recommendation.  </w:t>
      </w:r>
      <w:r w:rsidR="005F266B" w:rsidRPr="007668F2">
        <w:rPr>
          <w:rFonts w:asciiTheme="minorHAnsi" w:hAnsiTheme="minorHAnsi"/>
          <w:color w:val="auto"/>
          <w:szCs w:val="24"/>
        </w:rPr>
        <w:t xml:space="preserve">Both are </w:t>
      </w:r>
      <w:proofErr w:type="spellStart"/>
      <w:r w:rsidR="00ED21C6" w:rsidRPr="007668F2">
        <w:rPr>
          <w:rFonts w:asciiTheme="minorHAnsi" w:hAnsiTheme="minorHAnsi"/>
          <w:color w:val="auto"/>
          <w:szCs w:val="24"/>
        </w:rPr>
        <w:t>are</w:t>
      </w:r>
      <w:proofErr w:type="spellEnd"/>
      <w:r w:rsidR="00ED21C6" w:rsidRPr="007668F2">
        <w:rPr>
          <w:rFonts w:asciiTheme="minorHAnsi" w:hAnsiTheme="minorHAnsi"/>
          <w:color w:val="auto"/>
          <w:szCs w:val="24"/>
        </w:rPr>
        <w:t xml:space="preserve"> </w:t>
      </w:r>
      <w:r w:rsidR="009F234E" w:rsidRPr="007668F2">
        <w:rPr>
          <w:rFonts w:asciiTheme="minorHAnsi" w:hAnsiTheme="minorHAnsi"/>
          <w:color w:val="auto"/>
          <w:szCs w:val="24"/>
        </w:rPr>
        <w:t>summarized in the chart below:</w:t>
      </w:r>
    </w:p>
    <w:p w:rsidR="00ED21C6" w:rsidRPr="007668F2" w:rsidRDefault="00ED21C6" w:rsidP="009F234E">
      <w:pPr>
        <w:autoSpaceDE w:val="0"/>
        <w:autoSpaceDN w:val="0"/>
        <w:adjustRightInd w:val="0"/>
        <w:jc w:val="both"/>
        <w:rPr>
          <w:rFonts w:asciiTheme="minorHAnsi" w:hAnsiTheme="minorHAnsi"/>
          <w:color w:val="auto"/>
          <w:szCs w:val="24"/>
        </w:rPr>
      </w:pPr>
    </w:p>
    <w:tbl>
      <w:tblPr>
        <w:tblpPr w:leftFromText="180" w:rightFromText="180" w:vertAnchor="text" w:tblpXSpec="center" w:tblpY="1"/>
        <w:tblOverlap w:val="neve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3474"/>
        <w:gridCol w:w="2880"/>
      </w:tblGrid>
      <w:tr w:rsidR="001D2807" w:rsidRPr="007668F2" w:rsidTr="001D2807">
        <w:tc>
          <w:tcPr>
            <w:tcW w:w="21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8576E" w:rsidRPr="007668F2" w:rsidRDefault="00C8576E" w:rsidP="00C8576E">
            <w:pPr>
              <w:pStyle w:val="ListParagraph"/>
              <w:spacing w:after="0" w:line="220" w:lineRule="exact"/>
              <w:ind w:left="0"/>
              <w:rPr>
                <w:rFonts w:eastAsia="Calibri" w:cstheme="minorHAnsi"/>
                <w:color w:val="000000" w:themeColor="text1"/>
                <w:sz w:val="20"/>
                <w:szCs w:val="20"/>
              </w:rPr>
            </w:pPr>
            <w:r w:rsidRPr="007668F2">
              <w:rPr>
                <w:rFonts w:eastAsia="Calibri" w:cstheme="minorHAnsi"/>
                <w:color w:val="000000" w:themeColor="text1"/>
                <w:sz w:val="20"/>
                <w:szCs w:val="20"/>
              </w:rPr>
              <w:t>Thoracolumbar ROM</w:t>
            </w:r>
          </w:p>
        </w:tc>
        <w:tc>
          <w:tcPr>
            <w:tcW w:w="34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8576E" w:rsidRPr="007668F2" w:rsidRDefault="00C8576E" w:rsidP="00C8576E">
            <w:pPr>
              <w:spacing w:line="220" w:lineRule="exact"/>
              <w:contextualSpacing/>
              <w:rPr>
                <w:rFonts w:asciiTheme="minorHAnsi" w:eastAsia="Calibri" w:hAnsiTheme="minorHAnsi"/>
                <w:color w:val="000000" w:themeColor="text1"/>
                <w:sz w:val="20"/>
              </w:rPr>
            </w:pPr>
            <w:r w:rsidRPr="007668F2">
              <w:rPr>
                <w:rFonts w:asciiTheme="minorHAnsi" w:eastAsia="Calibri" w:hAnsiTheme="minorHAnsi"/>
                <w:color w:val="000000" w:themeColor="text1"/>
                <w:sz w:val="20"/>
              </w:rPr>
              <w:t>NARSUM  ~ 4 Mo. Pre-Sep</w:t>
            </w:r>
          </w:p>
        </w:tc>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8576E" w:rsidRPr="007668F2" w:rsidRDefault="00C8576E" w:rsidP="00C8576E">
            <w:pPr>
              <w:spacing w:line="220" w:lineRule="exact"/>
              <w:contextualSpacing/>
              <w:rPr>
                <w:rFonts w:asciiTheme="minorHAnsi" w:eastAsia="Calibri" w:hAnsiTheme="minorHAnsi"/>
                <w:color w:val="000000" w:themeColor="text1"/>
                <w:sz w:val="20"/>
              </w:rPr>
            </w:pPr>
            <w:r w:rsidRPr="007668F2">
              <w:rPr>
                <w:rFonts w:asciiTheme="minorHAnsi" w:eastAsia="Calibri" w:hAnsiTheme="minorHAnsi"/>
                <w:color w:val="000000" w:themeColor="text1"/>
                <w:sz w:val="20"/>
              </w:rPr>
              <w:t>VA</w:t>
            </w:r>
            <w:r w:rsidRPr="007668F2">
              <w:rPr>
                <w:rFonts w:asciiTheme="minorHAnsi" w:eastAsiaTheme="minorHAnsi" w:hAnsiTheme="minorHAnsi"/>
                <w:color w:val="000000" w:themeColor="text1"/>
                <w:sz w:val="20"/>
              </w:rPr>
              <w:t xml:space="preserve"> C&amp;P </w:t>
            </w:r>
            <w:r w:rsidRPr="007668F2">
              <w:rPr>
                <w:rFonts w:asciiTheme="minorHAnsi" w:eastAsia="Calibri" w:hAnsiTheme="minorHAnsi"/>
                <w:color w:val="000000" w:themeColor="text1"/>
                <w:sz w:val="20"/>
              </w:rPr>
              <w:t>~ 2 Mo. Pre-Sep</w:t>
            </w:r>
          </w:p>
        </w:tc>
      </w:tr>
      <w:tr w:rsidR="001D2807" w:rsidRPr="007668F2" w:rsidTr="001D2807">
        <w:tc>
          <w:tcPr>
            <w:tcW w:w="2124" w:type="dxa"/>
            <w:tcBorders>
              <w:top w:val="single" w:sz="4" w:space="0" w:color="000000"/>
              <w:left w:val="single" w:sz="4" w:space="0" w:color="000000"/>
              <w:bottom w:val="single" w:sz="4" w:space="0" w:color="000000"/>
              <w:right w:val="single" w:sz="4" w:space="0" w:color="000000"/>
            </w:tcBorders>
            <w:vAlign w:val="center"/>
            <w:hideMark/>
          </w:tcPr>
          <w:p w:rsidR="00C8576E" w:rsidRPr="007668F2" w:rsidRDefault="00C8576E" w:rsidP="00C8576E">
            <w:pPr>
              <w:pStyle w:val="ListParagraph"/>
              <w:spacing w:after="0" w:line="220" w:lineRule="exact"/>
              <w:ind w:left="0"/>
              <w:rPr>
                <w:rFonts w:eastAsia="Calibri" w:cstheme="minorHAnsi"/>
                <w:color w:val="000000" w:themeColor="text1"/>
                <w:sz w:val="20"/>
                <w:szCs w:val="20"/>
              </w:rPr>
            </w:pPr>
            <w:r w:rsidRPr="007668F2">
              <w:rPr>
                <w:rFonts w:eastAsia="Calibri" w:cstheme="minorHAnsi"/>
                <w:color w:val="000000" w:themeColor="text1"/>
                <w:sz w:val="20"/>
                <w:szCs w:val="20"/>
              </w:rPr>
              <w:t>Flexion (0-90⁰)</w:t>
            </w:r>
          </w:p>
        </w:tc>
        <w:tc>
          <w:tcPr>
            <w:tcW w:w="3474"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C8576E" w:rsidP="00C8576E">
            <w:pPr>
              <w:spacing w:line="220" w:lineRule="exact"/>
              <w:contextualSpacing/>
              <w:rPr>
                <w:rFonts w:asciiTheme="minorHAnsi" w:eastAsia="Calibri" w:hAnsiTheme="minorHAnsi"/>
                <w:color w:val="000000" w:themeColor="text1"/>
                <w:sz w:val="20"/>
              </w:rPr>
            </w:pPr>
            <w:r w:rsidRPr="007668F2">
              <w:rPr>
                <w:rFonts w:asciiTheme="minorHAnsi" w:eastAsia="Calibri" w:hAnsiTheme="minorHAnsi"/>
                <w:color w:val="000000" w:themeColor="text1"/>
                <w:sz w:val="20"/>
              </w:rPr>
              <w:t>80⁰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C8576E" w:rsidP="00C8576E">
            <w:pPr>
              <w:spacing w:line="220" w:lineRule="exact"/>
              <w:contextualSpacing/>
              <w:rPr>
                <w:rFonts w:asciiTheme="minorHAnsi" w:eastAsia="Calibri" w:hAnsiTheme="minorHAnsi"/>
                <w:color w:val="000000" w:themeColor="text1"/>
                <w:sz w:val="20"/>
              </w:rPr>
            </w:pPr>
            <w:r w:rsidRPr="007668F2">
              <w:rPr>
                <w:rFonts w:asciiTheme="minorHAnsi" w:eastAsia="Calibri" w:hAnsiTheme="minorHAnsi"/>
                <w:color w:val="000000" w:themeColor="text1"/>
                <w:sz w:val="20"/>
              </w:rPr>
              <w:t>65⁰/52⁰ by DeLuca</w:t>
            </w:r>
          </w:p>
        </w:tc>
      </w:tr>
      <w:tr w:rsidR="001D2807" w:rsidRPr="007668F2" w:rsidTr="001D2807">
        <w:tc>
          <w:tcPr>
            <w:tcW w:w="2124" w:type="dxa"/>
            <w:tcBorders>
              <w:top w:val="single" w:sz="4" w:space="0" w:color="000000"/>
              <w:left w:val="single" w:sz="4" w:space="0" w:color="000000"/>
              <w:bottom w:val="single" w:sz="4" w:space="0" w:color="000000"/>
              <w:right w:val="single" w:sz="4" w:space="0" w:color="000000"/>
            </w:tcBorders>
            <w:vAlign w:val="center"/>
            <w:hideMark/>
          </w:tcPr>
          <w:p w:rsidR="00C8576E" w:rsidRPr="007668F2" w:rsidRDefault="00C8576E" w:rsidP="00C8576E">
            <w:pPr>
              <w:pStyle w:val="ListParagraph"/>
              <w:spacing w:after="0" w:line="220" w:lineRule="exact"/>
              <w:ind w:left="0"/>
              <w:rPr>
                <w:rFonts w:eastAsia="Calibri" w:cstheme="minorHAnsi"/>
                <w:color w:val="000000" w:themeColor="text1"/>
                <w:sz w:val="20"/>
                <w:szCs w:val="20"/>
              </w:rPr>
            </w:pPr>
            <w:r w:rsidRPr="007668F2">
              <w:rPr>
                <w:rFonts w:eastAsia="Calibri" w:cstheme="minorHAnsi"/>
                <w:color w:val="000000" w:themeColor="text1"/>
                <w:sz w:val="20"/>
                <w:szCs w:val="20"/>
              </w:rPr>
              <w:t>Combined (240⁰)</w:t>
            </w:r>
          </w:p>
        </w:tc>
        <w:tc>
          <w:tcPr>
            <w:tcW w:w="3474"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C8576E" w:rsidP="00C8576E">
            <w:pPr>
              <w:spacing w:line="220" w:lineRule="exact"/>
              <w:rPr>
                <w:rFonts w:asciiTheme="minorHAnsi" w:hAnsiTheme="minorHAnsi"/>
                <w:color w:val="000000" w:themeColor="text1"/>
                <w:sz w:val="20"/>
              </w:rPr>
            </w:pPr>
            <w:r w:rsidRPr="007668F2">
              <w:rPr>
                <w:rFonts w:asciiTheme="minorHAnsi" w:eastAsia="Calibri" w:hAnsiTheme="minorHAnsi"/>
                <w:color w:val="000000" w:themeColor="text1"/>
                <w:sz w:val="20"/>
              </w:rPr>
              <w:t>180⁰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C8576E" w:rsidP="00C8576E">
            <w:pPr>
              <w:spacing w:line="220" w:lineRule="exact"/>
              <w:rPr>
                <w:rFonts w:asciiTheme="minorHAnsi" w:hAnsiTheme="minorHAnsi"/>
                <w:color w:val="000000" w:themeColor="text1"/>
                <w:sz w:val="20"/>
              </w:rPr>
            </w:pPr>
            <w:r w:rsidRPr="007668F2">
              <w:rPr>
                <w:rFonts w:asciiTheme="minorHAnsi" w:eastAsia="Calibri" w:hAnsiTheme="minorHAnsi"/>
                <w:color w:val="000000" w:themeColor="text1"/>
                <w:sz w:val="20"/>
              </w:rPr>
              <w:t>200⁰ /</w:t>
            </w:r>
            <w:r w:rsidRPr="007668F2">
              <w:rPr>
                <w:rFonts w:asciiTheme="minorHAnsi" w:hAnsiTheme="minorHAnsi"/>
                <w:color w:val="000000" w:themeColor="text1"/>
                <w:sz w:val="20"/>
              </w:rPr>
              <w:t xml:space="preserve"> Indeterminate </w:t>
            </w:r>
            <w:r w:rsidRPr="007668F2">
              <w:rPr>
                <w:rFonts w:asciiTheme="minorHAnsi" w:eastAsia="Calibri" w:hAnsiTheme="minorHAnsi"/>
                <w:color w:val="000000" w:themeColor="text1"/>
                <w:sz w:val="20"/>
              </w:rPr>
              <w:t xml:space="preserve"> by DeLuca</w:t>
            </w:r>
          </w:p>
        </w:tc>
      </w:tr>
      <w:tr w:rsidR="001D2807" w:rsidRPr="007668F2" w:rsidTr="001D2807">
        <w:tc>
          <w:tcPr>
            <w:tcW w:w="2124" w:type="dxa"/>
            <w:tcBorders>
              <w:top w:val="single" w:sz="4" w:space="0" w:color="000000"/>
              <w:left w:val="single" w:sz="4" w:space="0" w:color="000000"/>
              <w:bottom w:val="single" w:sz="4" w:space="0" w:color="000000"/>
              <w:right w:val="single" w:sz="4" w:space="0" w:color="000000"/>
            </w:tcBorders>
            <w:vAlign w:val="center"/>
            <w:hideMark/>
          </w:tcPr>
          <w:p w:rsidR="00C8576E" w:rsidRPr="007668F2" w:rsidRDefault="00C8576E" w:rsidP="00C8576E">
            <w:pPr>
              <w:pStyle w:val="ListParagraph"/>
              <w:spacing w:after="0" w:line="220" w:lineRule="exact"/>
              <w:ind w:left="0"/>
              <w:rPr>
                <w:rFonts w:eastAsia="Calibri" w:cstheme="minorHAnsi"/>
                <w:color w:val="000000" w:themeColor="text1"/>
                <w:sz w:val="20"/>
                <w:szCs w:val="20"/>
              </w:rPr>
            </w:pPr>
            <w:r w:rsidRPr="007668F2">
              <w:rPr>
                <w:rFonts w:eastAsia="Calibri" w:cstheme="minorHAnsi"/>
                <w:color w:val="000000" w:themeColor="text1"/>
                <w:sz w:val="20"/>
                <w:szCs w:val="20"/>
              </w:rPr>
              <w:t>Comment</w:t>
            </w:r>
          </w:p>
        </w:tc>
        <w:tc>
          <w:tcPr>
            <w:tcW w:w="3474"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1D2807" w:rsidP="00C8576E">
            <w:pPr>
              <w:tabs>
                <w:tab w:val="left" w:pos="288"/>
                <w:tab w:val="left" w:pos="4752"/>
              </w:tabs>
              <w:spacing w:line="220" w:lineRule="exact"/>
              <w:rPr>
                <w:rFonts w:asciiTheme="minorHAnsi" w:eastAsiaTheme="minorHAnsi" w:hAnsiTheme="minorHAnsi"/>
                <w:color w:val="000000" w:themeColor="text1"/>
                <w:sz w:val="20"/>
              </w:rPr>
            </w:pPr>
            <w:r w:rsidRPr="007668F2">
              <w:rPr>
                <w:rFonts w:asciiTheme="minorHAnsi" w:eastAsiaTheme="minorHAnsi" w:hAnsiTheme="minorHAnsi"/>
                <w:color w:val="000000" w:themeColor="text1"/>
                <w:sz w:val="20"/>
              </w:rPr>
              <w:t>No comment re: gait, spasm or contour.</w:t>
            </w:r>
          </w:p>
        </w:tc>
        <w:tc>
          <w:tcPr>
            <w:tcW w:w="2880" w:type="dxa"/>
            <w:tcBorders>
              <w:top w:val="single" w:sz="4" w:space="0" w:color="000000"/>
              <w:left w:val="single" w:sz="4" w:space="0" w:color="000000"/>
              <w:bottom w:val="single" w:sz="4" w:space="0" w:color="000000"/>
              <w:right w:val="single" w:sz="4" w:space="0" w:color="000000"/>
            </w:tcBorders>
            <w:vAlign w:val="center"/>
          </w:tcPr>
          <w:p w:rsidR="00C8576E" w:rsidRPr="007668F2" w:rsidRDefault="00C8576E" w:rsidP="00C8576E">
            <w:pPr>
              <w:tabs>
                <w:tab w:val="left" w:pos="288"/>
                <w:tab w:val="left" w:pos="4752"/>
              </w:tabs>
              <w:spacing w:line="220" w:lineRule="exact"/>
              <w:rPr>
                <w:rFonts w:asciiTheme="minorHAnsi" w:eastAsiaTheme="minorHAnsi" w:hAnsiTheme="minorHAnsi"/>
                <w:color w:val="000000" w:themeColor="text1"/>
                <w:sz w:val="20"/>
              </w:rPr>
            </w:pPr>
            <w:r w:rsidRPr="007668F2">
              <w:rPr>
                <w:rFonts w:asciiTheme="minorHAnsi" w:eastAsiaTheme="minorHAnsi" w:hAnsiTheme="minorHAnsi"/>
                <w:color w:val="000000" w:themeColor="text1"/>
                <w:sz w:val="20"/>
              </w:rPr>
              <w:t>Abnormal Contour.</w:t>
            </w:r>
          </w:p>
        </w:tc>
      </w:tr>
      <w:tr w:rsidR="001D2807" w:rsidRPr="00C8576E" w:rsidTr="001D2807">
        <w:tc>
          <w:tcPr>
            <w:tcW w:w="2124" w:type="dxa"/>
            <w:tcBorders>
              <w:top w:val="single" w:sz="4" w:space="0" w:color="000000"/>
              <w:left w:val="single" w:sz="4" w:space="0" w:color="000000"/>
              <w:bottom w:val="single" w:sz="4" w:space="0" w:color="000000"/>
              <w:right w:val="single" w:sz="4" w:space="0" w:color="000000"/>
            </w:tcBorders>
            <w:hideMark/>
          </w:tcPr>
          <w:p w:rsidR="00C8576E" w:rsidRPr="007668F2" w:rsidRDefault="00C8576E" w:rsidP="00C8576E">
            <w:pPr>
              <w:pStyle w:val="ListParagraph"/>
              <w:spacing w:after="0" w:line="220" w:lineRule="exact"/>
              <w:ind w:left="0"/>
              <w:rPr>
                <w:rFonts w:eastAsia="Calibri" w:cstheme="minorHAnsi"/>
                <w:color w:val="000000" w:themeColor="text1"/>
                <w:sz w:val="20"/>
                <w:szCs w:val="20"/>
              </w:rPr>
            </w:pPr>
            <w:r w:rsidRPr="007668F2">
              <w:rPr>
                <w:rFonts w:eastAsia="Calibri" w:cstheme="minorHAnsi"/>
                <w:color w:val="000000" w:themeColor="text1"/>
                <w:sz w:val="20"/>
                <w:szCs w:val="20"/>
              </w:rPr>
              <w:t>§4.71a Rating</w:t>
            </w:r>
          </w:p>
        </w:tc>
        <w:tc>
          <w:tcPr>
            <w:tcW w:w="3474" w:type="dxa"/>
            <w:tcBorders>
              <w:top w:val="single" w:sz="4" w:space="0" w:color="000000"/>
              <w:left w:val="single" w:sz="4" w:space="0" w:color="000000"/>
              <w:bottom w:val="single" w:sz="4" w:space="0" w:color="000000"/>
              <w:right w:val="single" w:sz="4" w:space="0" w:color="000000"/>
            </w:tcBorders>
          </w:tcPr>
          <w:p w:rsidR="00C8576E" w:rsidRPr="007668F2" w:rsidRDefault="00C8576E" w:rsidP="00C8576E">
            <w:pPr>
              <w:tabs>
                <w:tab w:val="left" w:pos="288"/>
                <w:tab w:val="left" w:pos="4752"/>
              </w:tabs>
              <w:spacing w:line="220" w:lineRule="exact"/>
              <w:rPr>
                <w:rFonts w:asciiTheme="minorHAnsi" w:eastAsiaTheme="minorHAnsi" w:hAnsiTheme="minorHAnsi"/>
                <w:color w:val="000000" w:themeColor="text1"/>
                <w:sz w:val="20"/>
              </w:rPr>
            </w:pPr>
            <w:r w:rsidRPr="007668F2">
              <w:rPr>
                <w:rFonts w:asciiTheme="minorHAnsi" w:eastAsiaTheme="minorHAnsi" w:hAnsiTheme="minorHAnsi"/>
                <w:color w:val="000000" w:themeColor="text1"/>
                <w:sz w:val="20"/>
              </w:rPr>
              <w:t>10%</w:t>
            </w:r>
          </w:p>
        </w:tc>
        <w:tc>
          <w:tcPr>
            <w:tcW w:w="2880" w:type="dxa"/>
            <w:tcBorders>
              <w:top w:val="single" w:sz="4" w:space="0" w:color="000000"/>
              <w:left w:val="single" w:sz="4" w:space="0" w:color="000000"/>
              <w:bottom w:val="single" w:sz="4" w:space="0" w:color="000000"/>
              <w:right w:val="single" w:sz="4" w:space="0" w:color="000000"/>
            </w:tcBorders>
          </w:tcPr>
          <w:p w:rsidR="00C8576E" w:rsidRPr="00C8576E" w:rsidRDefault="00C8576E" w:rsidP="00C8576E">
            <w:pPr>
              <w:tabs>
                <w:tab w:val="left" w:pos="288"/>
                <w:tab w:val="left" w:pos="4752"/>
              </w:tabs>
              <w:spacing w:line="220" w:lineRule="exact"/>
              <w:rPr>
                <w:rFonts w:asciiTheme="minorHAnsi" w:eastAsiaTheme="minorHAnsi" w:hAnsiTheme="minorHAnsi"/>
                <w:color w:val="000000" w:themeColor="text1"/>
                <w:sz w:val="20"/>
              </w:rPr>
            </w:pPr>
            <w:r w:rsidRPr="007668F2">
              <w:rPr>
                <w:rFonts w:asciiTheme="minorHAnsi" w:eastAsiaTheme="minorHAnsi" w:hAnsiTheme="minorHAnsi"/>
                <w:color w:val="000000" w:themeColor="text1"/>
                <w:sz w:val="20"/>
              </w:rPr>
              <w:t>20%</w:t>
            </w:r>
          </w:p>
        </w:tc>
      </w:tr>
    </w:tbl>
    <w:p w:rsidR="00ED21C6" w:rsidRDefault="00ED21C6" w:rsidP="009F234E">
      <w:pPr>
        <w:autoSpaceDE w:val="0"/>
        <w:autoSpaceDN w:val="0"/>
        <w:adjustRightInd w:val="0"/>
        <w:jc w:val="both"/>
        <w:rPr>
          <w:rFonts w:asciiTheme="minorHAnsi" w:hAnsiTheme="minorHAnsi"/>
          <w:color w:val="auto"/>
          <w:szCs w:val="24"/>
        </w:rPr>
      </w:pPr>
    </w:p>
    <w:p w:rsidR="002C6D26" w:rsidRPr="007668F2" w:rsidRDefault="001F636C" w:rsidP="00C6518A">
      <w:pPr>
        <w:jc w:val="both"/>
        <w:rPr>
          <w:rFonts w:asciiTheme="minorHAnsi" w:hAnsiTheme="minorHAnsi"/>
          <w:color w:val="auto"/>
          <w:szCs w:val="24"/>
        </w:rPr>
      </w:pPr>
      <w:r>
        <w:rPr>
          <w:rFonts w:asciiTheme="minorHAnsi" w:hAnsiTheme="minorHAnsi"/>
          <w:color w:val="auto"/>
          <w:szCs w:val="24"/>
        </w:rPr>
        <w:t>The Board also</w:t>
      </w:r>
      <w:r w:rsidR="001509A2">
        <w:rPr>
          <w:rFonts w:asciiTheme="minorHAnsi" w:hAnsiTheme="minorHAnsi"/>
          <w:color w:val="auto"/>
          <w:szCs w:val="24"/>
        </w:rPr>
        <w:t xml:space="preserve"> noted ROM evaluations done by physical t</w:t>
      </w:r>
      <w:r>
        <w:rPr>
          <w:rFonts w:asciiTheme="minorHAnsi" w:hAnsiTheme="minorHAnsi"/>
          <w:color w:val="auto"/>
          <w:szCs w:val="24"/>
        </w:rPr>
        <w:t xml:space="preserve">herapy </w:t>
      </w:r>
      <w:r w:rsidR="00E52417">
        <w:rPr>
          <w:rFonts w:asciiTheme="minorHAnsi" w:hAnsiTheme="minorHAnsi"/>
          <w:color w:val="auto"/>
          <w:szCs w:val="24"/>
        </w:rPr>
        <w:t xml:space="preserve">(PT) </w:t>
      </w:r>
      <w:r w:rsidR="001509A2">
        <w:rPr>
          <w:rFonts w:asciiTheme="minorHAnsi" w:hAnsiTheme="minorHAnsi"/>
          <w:color w:val="auto"/>
          <w:szCs w:val="24"/>
        </w:rPr>
        <w:t>nine</w:t>
      </w:r>
      <w:r>
        <w:rPr>
          <w:rFonts w:asciiTheme="minorHAnsi" w:hAnsiTheme="minorHAnsi"/>
          <w:color w:val="auto"/>
          <w:szCs w:val="24"/>
        </w:rPr>
        <w:t xml:space="preserve"> months and </w:t>
      </w:r>
      <w:r w:rsidR="001509A2">
        <w:rPr>
          <w:rFonts w:asciiTheme="minorHAnsi" w:hAnsiTheme="minorHAnsi"/>
          <w:color w:val="auto"/>
          <w:szCs w:val="24"/>
        </w:rPr>
        <w:t>three</w:t>
      </w:r>
      <w:r>
        <w:rPr>
          <w:rFonts w:asciiTheme="minorHAnsi" w:hAnsiTheme="minorHAnsi"/>
          <w:color w:val="auto"/>
          <w:szCs w:val="24"/>
        </w:rPr>
        <w:t xml:space="preserve"> months prior </w:t>
      </w:r>
      <w:r w:rsidRPr="007668F2">
        <w:rPr>
          <w:rFonts w:asciiTheme="minorHAnsi" w:hAnsiTheme="minorHAnsi"/>
          <w:color w:val="auto"/>
          <w:szCs w:val="24"/>
        </w:rPr>
        <w:t xml:space="preserve">to separation that correlated better with the more severe ROM impairment documented by the VA’s pre-separation measurements.  </w:t>
      </w:r>
      <w:r w:rsidR="00E52417" w:rsidRPr="007668F2">
        <w:rPr>
          <w:rFonts w:asciiTheme="minorHAnsi" w:hAnsiTheme="minorHAnsi"/>
          <w:color w:val="auto"/>
          <w:szCs w:val="24"/>
        </w:rPr>
        <w:t xml:space="preserve">Regarding abnormal contour (a §4.71a </w:t>
      </w:r>
      <w:r w:rsidR="002C6D26" w:rsidRPr="007668F2">
        <w:rPr>
          <w:rFonts w:asciiTheme="minorHAnsi" w:hAnsiTheme="minorHAnsi"/>
          <w:color w:val="auto"/>
          <w:szCs w:val="24"/>
        </w:rPr>
        <w:t>criterion</w:t>
      </w:r>
      <w:r w:rsidR="00E52417" w:rsidRPr="007668F2">
        <w:rPr>
          <w:rFonts w:asciiTheme="minorHAnsi" w:hAnsiTheme="minorHAnsi"/>
          <w:color w:val="auto"/>
          <w:szCs w:val="24"/>
        </w:rPr>
        <w:t xml:space="preserve"> for </w:t>
      </w:r>
      <w:r w:rsidR="001509A2">
        <w:rPr>
          <w:rFonts w:asciiTheme="minorHAnsi" w:hAnsiTheme="minorHAnsi"/>
          <w:color w:val="auto"/>
          <w:szCs w:val="24"/>
        </w:rPr>
        <w:t>20%), the VA examiner stated, “</w:t>
      </w:r>
      <w:proofErr w:type="gramStart"/>
      <w:r w:rsidR="001509A2">
        <w:rPr>
          <w:rFonts w:asciiTheme="minorHAnsi" w:hAnsiTheme="minorHAnsi"/>
          <w:color w:val="auto"/>
          <w:szCs w:val="24"/>
        </w:rPr>
        <w:t>m</w:t>
      </w:r>
      <w:r w:rsidR="00E52417" w:rsidRPr="007668F2">
        <w:rPr>
          <w:rFonts w:asciiTheme="minorHAnsi" w:hAnsiTheme="minorHAnsi"/>
          <w:color w:val="auto"/>
          <w:szCs w:val="24"/>
        </w:rPr>
        <w:t>oderate</w:t>
      </w:r>
      <w:proofErr w:type="gramEnd"/>
      <w:r w:rsidR="00E52417" w:rsidRPr="007668F2">
        <w:rPr>
          <w:rFonts w:asciiTheme="minorHAnsi" w:hAnsiTheme="minorHAnsi"/>
          <w:color w:val="auto"/>
          <w:szCs w:val="24"/>
        </w:rPr>
        <w:t xml:space="preserve"> lumbar curve reversal to complete reversal curve was noted.”   As noted above, the MEB examiner was silent regarding this ratable </w:t>
      </w:r>
      <w:r w:rsidR="001509A2">
        <w:rPr>
          <w:rFonts w:asciiTheme="minorHAnsi" w:hAnsiTheme="minorHAnsi"/>
          <w:color w:val="auto"/>
          <w:szCs w:val="24"/>
        </w:rPr>
        <w:t>finding; although, the PT note three</w:t>
      </w:r>
      <w:r w:rsidR="00E52417" w:rsidRPr="007668F2">
        <w:rPr>
          <w:rFonts w:asciiTheme="minorHAnsi" w:hAnsiTheme="minorHAnsi"/>
          <w:color w:val="auto"/>
          <w:szCs w:val="24"/>
        </w:rPr>
        <w:t xml:space="preserve"> months prior to separation </w:t>
      </w:r>
      <w:r w:rsidR="002C6D26" w:rsidRPr="007668F2">
        <w:rPr>
          <w:rFonts w:asciiTheme="minorHAnsi" w:hAnsiTheme="minorHAnsi"/>
          <w:color w:val="auto"/>
          <w:szCs w:val="24"/>
        </w:rPr>
        <w:t xml:space="preserve">also stated “gait and transition movements guarded” (itself a 20% criterion) and “decreased </w:t>
      </w:r>
      <w:proofErr w:type="spellStart"/>
      <w:r w:rsidR="002C6D26" w:rsidRPr="007668F2">
        <w:rPr>
          <w:rFonts w:asciiTheme="minorHAnsi" w:hAnsiTheme="minorHAnsi"/>
          <w:color w:val="auto"/>
          <w:szCs w:val="24"/>
        </w:rPr>
        <w:t>lordosis</w:t>
      </w:r>
      <w:proofErr w:type="spellEnd"/>
      <w:r w:rsidR="002C6D26" w:rsidRPr="007668F2">
        <w:rPr>
          <w:rFonts w:asciiTheme="minorHAnsi" w:hAnsiTheme="minorHAnsi"/>
          <w:color w:val="auto"/>
          <w:szCs w:val="24"/>
        </w:rPr>
        <w:t xml:space="preserve"> noted</w:t>
      </w:r>
      <w:r w:rsidR="005B1766">
        <w:rPr>
          <w:rFonts w:asciiTheme="minorHAnsi" w:hAnsiTheme="minorHAnsi"/>
          <w:color w:val="auto"/>
          <w:szCs w:val="24"/>
        </w:rPr>
        <w:t>.”</w:t>
      </w:r>
      <w:r w:rsidR="002C6D26" w:rsidRPr="007668F2">
        <w:rPr>
          <w:rFonts w:asciiTheme="minorHAnsi" w:hAnsiTheme="minorHAnsi"/>
          <w:color w:val="auto"/>
          <w:szCs w:val="24"/>
        </w:rPr>
        <w:t xml:space="preserve">  </w:t>
      </w:r>
    </w:p>
    <w:p w:rsidR="002C6D26" w:rsidRPr="007668F2" w:rsidRDefault="002C6D26" w:rsidP="00C6518A">
      <w:pPr>
        <w:jc w:val="both"/>
        <w:rPr>
          <w:rFonts w:asciiTheme="minorHAnsi" w:hAnsiTheme="minorHAnsi"/>
          <w:color w:val="auto"/>
          <w:szCs w:val="24"/>
        </w:rPr>
      </w:pPr>
    </w:p>
    <w:p w:rsidR="002C6D26" w:rsidRPr="007668F2" w:rsidRDefault="002C6D26" w:rsidP="00C6518A">
      <w:pPr>
        <w:jc w:val="both"/>
        <w:rPr>
          <w:rFonts w:asciiTheme="minorHAnsi" w:hAnsiTheme="minorHAnsi"/>
          <w:color w:val="auto"/>
          <w:szCs w:val="24"/>
        </w:rPr>
      </w:pPr>
      <w:r w:rsidRPr="007668F2">
        <w:rPr>
          <w:rFonts w:asciiTheme="minorHAnsi" w:hAnsiTheme="minorHAnsi"/>
          <w:color w:val="auto"/>
          <w:szCs w:val="24"/>
        </w:rPr>
        <w:t xml:space="preserve">With this evidence in mind, the Board deliberated its rating recommendation for the lumbar spine condition.  It was agreed that the preponderance of the evidence favored assignment of the greater probative value to </w:t>
      </w:r>
      <w:r w:rsidR="00467DC5" w:rsidRPr="007668F2">
        <w:rPr>
          <w:rFonts w:asciiTheme="minorHAnsi" w:hAnsiTheme="minorHAnsi"/>
          <w:color w:val="auto"/>
          <w:szCs w:val="24"/>
        </w:rPr>
        <w:t xml:space="preserve">the </w:t>
      </w:r>
      <w:r w:rsidRPr="007668F2">
        <w:rPr>
          <w:rFonts w:asciiTheme="minorHAnsi" w:hAnsiTheme="minorHAnsi"/>
          <w:color w:val="auto"/>
          <w:szCs w:val="24"/>
        </w:rPr>
        <w:t>ROMs and evidence</w:t>
      </w:r>
      <w:r w:rsidR="001509A2">
        <w:rPr>
          <w:rFonts w:asciiTheme="minorHAnsi" w:hAnsiTheme="minorHAnsi"/>
          <w:color w:val="auto"/>
          <w:szCs w:val="24"/>
        </w:rPr>
        <w:t xml:space="preserve"> from the pre-separation VA compensation and p</w:t>
      </w:r>
      <w:r w:rsidR="00467DC5" w:rsidRPr="007668F2">
        <w:rPr>
          <w:rFonts w:asciiTheme="minorHAnsi" w:hAnsiTheme="minorHAnsi"/>
          <w:color w:val="auto"/>
          <w:szCs w:val="24"/>
        </w:rPr>
        <w:t>ension (C&amp;P) examination</w:t>
      </w:r>
      <w:r w:rsidRPr="007668F2">
        <w:rPr>
          <w:rFonts w:asciiTheme="minorHAnsi" w:hAnsiTheme="minorHAnsi"/>
          <w:color w:val="auto"/>
          <w:szCs w:val="24"/>
        </w:rPr>
        <w:t xml:space="preserve">.  This correlated better with corroborating evidence and was more consistent with the overall pathology and clinical picture.  The </w:t>
      </w:r>
      <w:proofErr w:type="gramStart"/>
      <w:r w:rsidRPr="007668F2">
        <w:rPr>
          <w:rFonts w:asciiTheme="minorHAnsi" w:hAnsiTheme="minorHAnsi"/>
          <w:color w:val="auto"/>
          <w:szCs w:val="24"/>
        </w:rPr>
        <w:t>VA</w:t>
      </w:r>
      <w:r w:rsidR="00D433D6" w:rsidRPr="007668F2">
        <w:rPr>
          <w:rFonts w:asciiTheme="minorHAnsi" w:hAnsiTheme="minorHAnsi"/>
          <w:color w:val="auto"/>
          <w:szCs w:val="24"/>
        </w:rPr>
        <w:t xml:space="preserve"> </w:t>
      </w:r>
      <w:r w:rsidRPr="007668F2">
        <w:rPr>
          <w:rFonts w:asciiTheme="minorHAnsi" w:hAnsiTheme="minorHAnsi"/>
          <w:color w:val="auto"/>
          <w:szCs w:val="24"/>
        </w:rPr>
        <w:t xml:space="preserve"> </w:t>
      </w:r>
      <w:r w:rsidR="00467DC5" w:rsidRPr="007668F2">
        <w:rPr>
          <w:rFonts w:asciiTheme="minorHAnsi" w:hAnsiTheme="minorHAnsi"/>
          <w:color w:val="auto"/>
          <w:szCs w:val="24"/>
        </w:rPr>
        <w:t>evaluation</w:t>
      </w:r>
      <w:proofErr w:type="gramEnd"/>
      <w:r w:rsidR="00467DC5" w:rsidRPr="007668F2">
        <w:rPr>
          <w:rFonts w:asciiTheme="minorHAnsi" w:hAnsiTheme="minorHAnsi"/>
          <w:color w:val="auto"/>
          <w:szCs w:val="24"/>
        </w:rPr>
        <w:t xml:space="preserve"> </w:t>
      </w:r>
      <w:r w:rsidRPr="007668F2">
        <w:rPr>
          <w:rFonts w:asciiTheme="minorHAnsi" w:hAnsiTheme="minorHAnsi"/>
          <w:color w:val="auto"/>
          <w:szCs w:val="24"/>
        </w:rPr>
        <w:t xml:space="preserve">was additionally more proximate to separation and more compliant with VASRD requirements, specifically the recorded DeLuca deductions. </w:t>
      </w:r>
      <w:r w:rsidR="001509A2">
        <w:rPr>
          <w:rFonts w:asciiTheme="minorHAnsi" w:hAnsiTheme="minorHAnsi"/>
          <w:color w:val="auto"/>
          <w:szCs w:val="24"/>
        </w:rPr>
        <w:t xml:space="preserve"> </w:t>
      </w:r>
      <w:r w:rsidR="004A1642" w:rsidRPr="007668F2">
        <w:rPr>
          <w:rFonts w:asciiTheme="minorHAnsi" w:hAnsiTheme="minorHAnsi"/>
          <w:color w:val="auto"/>
          <w:szCs w:val="24"/>
        </w:rPr>
        <w:t>The Board is mindful of the CI’s opinion that he may have achieved a higher rating by rating for incapacitating epi</w:t>
      </w:r>
      <w:r w:rsidR="000E56E8">
        <w:rPr>
          <w:rFonts w:asciiTheme="minorHAnsi" w:hAnsiTheme="minorHAnsi"/>
          <w:color w:val="auto"/>
          <w:szCs w:val="24"/>
        </w:rPr>
        <w:t>s</w:t>
      </w:r>
      <w:r w:rsidR="004A1642" w:rsidRPr="007668F2">
        <w:rPr>
          <w:rFonts w:asciiTheme="minorHAnsi" w:hAnsiTheme="minorHAnsi"/>
          <w:color w:val="auto"/>
          <w:szCs w:val="24"/>
        </w:rPr>
        <w:t xml:space="preserve">odes had he been knowledgeable of the implications; but, obviously such a concession would be entirely too speculative to serve as a basis for a higher rating recommendation from the Board.  </w:t>
      </w:r>
      <w:r w:rsidRPr="007668F2">
        <w:rPr>
          <w:rFonts w:asciiTheme="minorHAnsi" w:hAnsiTheme="minorHAnsi"/>
          <w:color w:val="auto"/>
          <w:szCs w:val="24"/>
        </w:rPr>
        <w:t xml:space="preserve">After due deliberation, considering all of the evidence and mindful of VASRD §4.3 (reasonable doubt), the Board recommends a separation rating of 20% for the lumbar spine condition.  </w:t>
      </w:r>
      <w:r w:rsidR="001509A2">
        <w:rPr>
          <w:rFonts w:asciiTheme="minorHAnsi" w:hAnsiTheme="minorHAnsi"/>
          <w:color w:val="auto"/>
          <w:szCs w:val="24"/>
        </w:rPr>
        <w:t>The a</w:t>
      </w:r>
      <w:r w:rsidR="004A1642" w:rsidRPr="007668F2">
        <w:rPr>
          <w:rFonts w:asciiTheme="minorHAnsi" w:hAnsiTheme="minorHAnsi"/>
          <w:color w:val="auto"/>
          <w:szCs w:val="24"/>
        </w:rPr>
        <w:t xml:space="preserve">ction </w:t>
      </w:r>
      <w:r w:rsidR="001509A2">
        <w:rPr>
          <w:rFonts w:asciiTheme="minorHAnsi" w:hAnsiTheme="minorHAnsi"/>
          <w:color w:val="auto"/>
          <w:szCs w:val="24"/>
        </w:rPr>
        <w:t>o</w:t>
      </w:r>
      <w:r w:rsidR="004A1642" w:rsidRPr="007668F2">
        <w:rPr>
          <w:rFonts w:asciiTheme="minorHAnsi" w:hAnsiTheme="minorHAnsi"/>
          <w:color w:val="auto"/>
          <w:szCs w:val="24"/>
        </w:rPr>
        <w:t>fficer agrees with the PEB</w:t>
      </w:r>
      <w:r w:rsidR="00E318EF" w:rsidRPr="007668F2">
        <w:rPr>
          <w:rFonts w:asciiTheme="minorHAnsi" w:hAnsiTheme="minorHAnsi"/>
          <w:color w:val="auto"/>
          <w:szCs w:val="24"/>
        </w:rPr>
        <w:t>’s</w:t>
      </w:r>
      <w:r w:rsidR="004A1642" w:rsidRPr="007668F2">
        <w:rPr>
          <w:rFonts w:asciiTheme="minorHAnsi" w:hAnsiTheme="minorHAnsi"/>
          <w:color w:val="auto"/>
          <w:szCs w:val="24"/>
        </w:rPr>
        <w:t xml:space="preserve"> and VA</w:t>
      </w:r>
      <w:r w:rsidR="00E318EF" w:rsidRPr="007668F2">
        <w:rPr>
          <w:rFonts w:asciiTheme="minorHAnsi" w:hAnsiTheme="minorHAnsi"/>
          <w:color w:val="auto"/>
          <w:szCs w:val="24"/>
        </w:rPr>
        <w:t>’s</w:t>
      </w:r>
      <w:r w:rsidR="004A1642" w:rsidRPr="007668F2">
        <w:rPr>
          <w:rFonts w:asciiTheme="minorHAnsi" w:hAnsiTheme="minorHAnsi"/>
          <w:color w:val="auto"/>
          <w:szCs w:val="24"/>
        </w:rPr>
        <w:t xml:space="preserve"> 5243 (intervertebral disc syndrome) code selection.</w:t>
      </w:r>
    </w:p>
    <w:p w:rsidR="002C6D26" w:rsidRPr="007668F2" w:rsidRDefault="002C6D26" w:rsidP="00C6518A">
      <w:pPr>
        <w:jc w:val="both"/>
        <w:rPr>
          <w:rFonts w:asciiTheme="minorHAnsi" w:hAnsiTheme="minorHAnsi"/>
          <w:color w:val="auto"/>
          <w:szCs w:val="24"/>
        </w:rPr>
      </w:pPr>
    </w:p>
    <w:p w:rsidR="00D433D6" w:rsidRDefault="004A1642" w:rsidP="00BE18BC">
      <w:pPr>
        <w:jc w:val="both"/>
        <w:rPr>
          <w:rFonts w:eastAsia="HiddenHorzOCR"/>
          <w:color w:val="000000" w:themeColor="text1"/>
          <w:szCs w:val="24"/>
        </w:rPr>
      </w:pPr>
      <w:proofErr w:type="gramStart"/>
      <w:r w:rsidRPr="007668F2">
        <w:rPr>
          <w:rFonts w:eastAsia="HiddenHorzOCR"/>
          <w:color w:val="000000" w:themeColor="text1"/>
          <w:szCs w:val="24"/>
          <w:u w:val="single"/>
        </w:rPr>
        <w:t>Lumbar Radiculopathy</w:t>
      </w:r>
      <w:r w:rsidRPr="007668F2">
        <w:rPr>
          <w:rFonts w:eastAsia="HiddenHorzOCR"/>
          <w:color w:val="000000" w:themeColor="text1"/>
          <w:szCs w:val="24"/>
        </w:rPr>
        <w:t>.</w:t>
      </w:r>
      <w:proofErr w:type="gramEnd"/>
      <w:r w:rsidRPr="007668F2">
        <w:rPr>
          <w:rFonts w:eastAsia="HiddenHorzOCR"/>
          <w:color w:val="000000" w:themeColor="text1"/>
          <w:szCs w:val="24"/>
        </w:rPr>
        <w:t xml:space="preserve">  The CI’s contention implies that his LLE symptoms should be rated, and the VA conferred a 10% rating for sciatic nerve impairment.  </w:t>
      </w:r>
      <w:r w:rsidR="00364249" w:rsidRPr="007668F2">
        <w:rPr>
          <w:rFonts w:eastAsia="HiddenHorzOCR"/>
          <w:color w:val="000000" w:themeColor="text1"/>
          <w:szCs w:val="24"/>
        </w:rPr>
        <w:t xml:space="preserve">There is no doubt that a left sciatic neuropathy was diagnosed and clinically evident in this case.  It should also be noted that the </w:t>
      </w:r>
      <w:r w:rsidR="003C70B4" w:rsidRPr="007668F2">
        <w:rPr>
          <w:rFonts w:eastAsia="HiddenHorzOCR"/>
          <w:color w:val="000000" w:themeColor="text1"/>
          <w:szCs w:val="24"/>
        </w:rPr>
        <w:t>narrative summary (</w:t>
      </w:r>
      <w:r w:rsidR="00364249" w:rsidRPr="007668F2">
        <w:rPr>
          <w:rFonts w:eastAsia="HiddenHorzOCR"/>
          <w:color w:val="000000" w:themeColor="text1"/>
          <w:szCs w:val="24"/>
        </w:rPr>
        <w:t>NARSUM</w:t>
      </w:r>
      <w:r w:rsidR="003C70B4" w:rsidRPr="007668F2">
        <w:rPr>
          <w:rFonts w:eastAsia="HiddenHorzOCR"/>
          <w:color w:val="000000" w:themeColor="text1"/>
          <w:szCs w:val="24"/>
        </w:rPr>
        <w:t>)</w:t>
      </w:r>
      <w:r w:rsidR="00364249" w:rsidRPr="007668F2">
        <w:rPr>
          <w:rFonts w:eastAsia="HiddenHorzOCR"/>
          <w:color w:val="000000" w:themeColor="text1"/>
          <w:szCs w:val="24"/>
        </w:rPr>
        <w:t xml:space="preserve"> diagnosis was “chronic lower back pain with left leg </w:t>
      </w:r>
      <w:r w:rsidR="00364249" w:rsidRPr="007668F2">
        <w:rPr>
          <w:rFonts w:eastAsia="HiddenHorzOCR"/>
          <w:color w:val="000000" w:themeColor="text1"/>
          <w:szCs w:val="24"/>
        </w:rPr>
        <w:lastRenderedPageBreak/>
        <w:t>radiculopathy despite three lumbar surgeries</w:t>
      </w:r>
      <w:r w:rsidR="005B1766">
        <w:rPr>
          <w:rFonts w:eastAsia="HiddenHorzOCR"/>
          <w:color w:val="000000" w:themeColor="text1"/>
          <w:szCs w:val="24"/>
        </w:rPr>
        <w:t>;”</w:t>
      </w:r>
      <w:r w:rsidR="00364249" w:rsidRPr="007668F2">
        <w:rPr>
          <w:rFonts w:eastAsia="HiddenHorzOCR"/>
          <w:color w:val="000000" w:themeColor="text1"/>
          <w:szCs w:val="24"/>
        </w:rPr>
        <w:t xml:space="preserve"> </w:t>
      </w:r>
      <w:r w:rsidR="00E318EF" w:rsidRPr="007668F2">
        <w:rPr>
          <w:rFonts w:eastAsia="HiddenHorzOCR"/>
          <w:color w:val="000000" w:themeColor="text1"/>
          <w:szCs w:val="24"/>
        </w:rPr>
        <w:t>although,</w:t>
      </w:r>
      <w:r w:rsidR="00364249" w:rsidRPr="007668F2">
        <w:rPr>
          <w:rFonts w:eastAsia="HiddenHorzOCR"/>
          <w:color w:val="000000" w:themeColor="text1"/>
          <w:szCs w:val="24"/>
        </w:rPr>
        <w:t xml:space="preserve"> the PEB adjudication did not incorporate a radiculopathy</w:t>
      </w:r>
      <w:r w:rsidR="00E318EF" w:rsidRPr="007668F2">
        <w:rPr>
          <w:rFonts w:eastAsia="HiddenHorzOCR"/>
          <w:color w:val="000000" w:themeColor="text1"/>
          <w:szCs w:val="24"/>
        </w:rPr>
        <w:t>.  It was presum</w:t>
      </w:r>
      <w:r w:rsidR="000E56E8">
        <w:rPr>
          <w:rFonts w:eastAsia="HiddenHorzOCR"/>
          <w:color w:val="000000" w:themeColor="text1"/>
          <w:szCs w:val="24"/>
        </w:rPr>
        <w:t>a</w:t>
      </w:r>
      <w:r w:rsidR="00E318EF" w:rsidRPr="007668F2">
        <w:rPr>
          <w:rFonts w:eastAsia="HiddenHorzOCR"/>
          <w:color w:val="000000" w:themeColor="text1"/>
          <w:szCs w:val="24"/>
        </w:rPr>
        <w:t xml:space="preserve">bly considered, but the </w:t>
      </w:r>
      <w:r w:rsidR="00432EC0" w:rsidRPr="007668F2">
        <w:rPr>
          <w:rFonts w:eastAsia="HiddenHorzOCR"/>
          <w:color w:val="000000" w:themeColor="text1"/>
          <w:szCs w:val="24"/>
        </w:rPr>
        <w:t>AF Form 356</w:t>
      </w:r>
      <w:r w:rsidR="00E318EF" w:rsidRPr="007668F2">
        <w:rPr>
          <w:rFonts w:eastAsia="HiddenHorzOCR"/>
          <w:color w:val="000000" w:themeColor="text1"/>
          <w:szCs w:val="24"/>
        </w:rPr>
        <w:t xml:space="preserve"> did not provide a rationale for </w:t>
      </w:r>
      <w:r w:rsidR="00432EC0" w:rsidRPr="007668F2">
        <w:rPr>
          <w:rFonts w:eastAsia="HiddenHorzOCR"/>
          <w:color w:val="000000" w:themeColor="text1"/>
          <w:szCs w:val="24"/>
        </w:rPr>
        <w:t>denying an additional rating</w:t>
      </w:r>
      <w:r w:rsidR="00364249" w:rsidRPr="007668F2">
        <w:rPr>
          <w:rFonts w:eastAsia="HiddenHorzOCR"/>
          <w:color w:val="000000" w:themeColor="text1"/>
          <w:szCs w:val="24"/>
        </w:rPr>
        <w:t xml:space="preserve">. </w:t>
      </w:r>
      <w:r w:rsidR="001509A2">
        <w:rPr>
          <w:rFonts w:eastAsia="HiddenHorzOCR"/>
          <w:color w:val="000000" w:themeColor="text1"/>
          <w:szCs w:val="24"/>
        </w:rPr>
        <w:t xml:space="preserve"> </w:t>
      </w:r>
      <w:r w:rsidR="00364249" w:rsidRPr="007668F2">
        <w:rPr>
          <w:rFonts w:eastAsia="HiddenHorzOCR"/>
          <w:color w:val="000000" w:themeColor="text1"/>
          <w:szCs w:val="24"/>
        </w:rPr>
        <w:t xml:space="preserve">Board precedent is that a functional impairment tied to fitness is required to support a recommendation for addition of a peripheral nerve rating at separation.  The pain component of a radiculopathy is subsumed under the general spine rating as specified in §4.71a.  </w:t>
      </w:r>
      <w:r w:rsidR="00A52FE8" w:rsidRPr="007668F2">
        <w:rPr>
          <w:rFonts w:eastAsia="HiddenHorzOCR"/>
          <w:color w:val="000000" w:themeColor="text1"/>
          <w:szCs w:val="24"/>
        </w:rPr>
        <w:t>Also</w:t>
      </w:r>
      <w:r w:rsidR="00364249" w:rsidRPr="007668F2">
        <w:rPr>
          <w:rFonts w:eastAsia="HiddenHorzOCR"/>
          <w:color w:val="000000" w:themeColor="text1"/>
          <w:szCs w:val="24"/>
        </w:rPr>
        <w:t xml:space="preserve"> a mild lower extremity sensory deficit has no </w:t>
      </w:r>
      <w:r w:rsidR="00A52FE8" w:rsidRPr="007668F2">
        <w:rPr>
          <w:rFonts w:eastAsia="HiddenHorzOCR"/>
          <w:color w:val="000000" w:themeColor="text1"/>
          <w:szCs w:val="24"/>
        </w:rPr>
        <w:t xml:space="preserve">relevant </w:t>
      </w:r>
      <w:r w:rsidR="00364249" w:rsidRPr="007668F2">
        <w:rPr>
          <w:rFonts w:eastAsia="HiddenHorzOCR"/>
          <w:color w:val="000000" w:themeColor="text1"/>
          <w:szCs w:val="24"/>
        </w:rPr>
        <w:t>fitness implications</w:t>
      </w:r>
      <w:r w:rsidR="00A52FE8" w:rsidRPr="007668F2">
        <w:rPr>
          <w:rFonts w:eastAsia="HiddenHorzOCR"/>
          <w:color w:val="000000" w:themeColor="text1"/>
          <w:szCs w:val="24"/>
        </w:rPr>
        <w:t>,</w:t>
      </w:r>
      <w:r w:rsidR="00364249" w:rsidRPr="007668F2">
        <w:rPr>
          <w:rFonts w:eastAsia="HiddenHorzOCR"/>
          <w:color w:val="000000" w:themeColor="text1"/>
          <w:szCs w:val="24"/>
        </w:rPr>
        <w:t xml:space="preserve"> assuming </w:t>
      </w:r>
      <w:proofErr w:type="spellStart"/>
      <w:r w:rsidR="00364249" w:rsidRPr="007668F2">
        <w:rPr>
          <w:rFonts w:eastAsia="HiddenHorzOCR"/>
          <w:color w:val="000000" w:themeColor="text1"/>
          <w:szCs w:val="24"/>
        </w:rPr>
        <w:t>propioception</w:t>
      </w:r>
      <w:proofErr w:type="spellEnd"/>
      <w:r w:rsidR="00364249" w:rsidRPr="007668F2">
        <w:rPr>
          <w:rFonts w:eastAsia="HiddenHorzOCR"/>
          <w:color w:val="000000" w:themeColor="text1"/>
          <w:szCs w:val="24"/>
        </w:rPr>
        <w:t xml:space="preserve"> (necessary for balance) is </w:t>
      </w:r>
      <w:r w:rsidR="00A52FE8" w:rsidRPr="007668F2">
        <w:rPr>
          <w:rFonts w:eastAsia="HiddenHorzOCR"/>
          <w:color w:val="000000" w:themeColor="text1"/>
          <w:szCs w:val="24"/>
        </w:rPr>
        <w:t>un</w:t>
      </w:r>
      <w:r w:rsidR="00364249" w:rsidRPr="007668F2">
        <w:rPr>
          <w:rFonts w:eastAsia="HiddenHorzOCR"/>
          <w:color w:val="000000" w:themeColor="text1"/>
          <w:szCs w:val="24"/>
        </w:rPr>
        <w:t>affected</w:t>
      </w:r>
      <w:r w:rsidR="00A52FE8" w:rsidRPr="007668F2">
        <w:rPr>
          <w:rFonts w:eastAsia="HiddenHorzOCR"/>
          <w:color w:val="000000" w:themeColor="text1"/>
          <w:szCs w:val="24"/>
        </w:rPr>
        <w:t xml:space="preserve"> as in this case</w:t>
      </w:r>
      <w:r w:rsidR="00364249" w:rsidRPr="007668F2">
        <w:rPr>
          <w:rFonts w:eastAsia="HiddenHorzOCR"/>
          <w:color w:val="000000" w:themeColor="text1"/>
          <w:szCs w:val="24"/>
        </w:rPr>
        <w:t xml:space="preserve">.  </w:t>
      </w:r>
      <w:r w:rsidR="00A52FE8" w:rsidRPr="007668F2">
        <w:rPr>
          <w:rFonts w:eastAsia="HiddenHorzOCR"/>
          <w:color w:val="000000" w:themeColor="text1"/>
          <w:szCs w:val="24"/>
        </w:rPr>
        <w:t>Motor weakness, however, does have ratable Service disability consequences if it is significant enough to impose functional limitations beyond those intrinsic to the spine condition itself.</w:t>
      </w:r>
      <w:r w:rsidR="003C70B4" w:rsidRPr="007668F2">
        <w:rPr>
          <w:rFonts w:eastAsia="HiddenHorzOCR"/>
          <w:color w:val="000000" w:themeColor="text1"/>
          <w:szCs w:val="24"/>
        </w:rPr>
        <w:t xml:space="preserve">  There were documented motor deficits recorded in the NARSUM: 4/5 hip extension, diminished tendon reflex, “slight abnormal tip-toe with weakened left walk</w:t>
      </w:r>
      <w:r w:rsidR="005B1766">
        <w:rPr>
          <w:rFonts w:eastAsia="HiddenHorzOCR"/>
          <w:color w:val="000000" w:themeColor="text1"/>
          <w:szCs w:val="24"/>
        </w:rPr>
        <w:t>,”</w:t>
      </w:r>
      <w:r w:rsidR="003C70B4" w:rsidRPr="007668F2">
        <w:rPr>
          <w:rFonts w:eastAsia="HiddenHorzOCR"/>
          <w:color w:val="000000" w:themeColor="text1"/>
          <w:szCs w:val="24"/>
        </w:rPr>
        <w:t xml:space="preserve"> and “unable to hop on left foot and normal right foot</w:t>
      </w:r>
      <w:r w:rsidR="005B1766">
        <w:rPr>
          <w:rFonts w:eastAsia="HiddenHorzOCR"/>
          <w:color w:val="000000" w:themeColor="text1"/>
          <w:szCs w:val="24"/>
        </w:rPr>
        <w:t>.</w:t>
      </w:r>
      <w:r w:rsidR="003C70B4" w:rsidRPr="007668F2">
        <w:rPr>
          <w:rFonts w:eastAsia="HiddenHorzOCR"/>
          <w:color w:val="000000" w:themeColor="text1"/>
          <w:szCs w:val="24"/>
        </w:rPr>
        <w:t xml:space="preserve">”  The pre-separation VA examiner recorded a “feeble” ankle jerk and </w:t>
      </w:r>
      <w:r w:rsidR="002D3A5C" w:rsidRPr="007668F2">
        <w:rPr>
          <w:rFonts w:eastAsia="HiddenHorzOCR"/>
          <w:color w:val="000000" w:themeColor="text1"/>
          <w:szCs w:val="24"/>
        </w:rPr>
        <w:t xml:space="preserve">stated that </w:t>
      </w:r>
      <w:r w:rsidR="003C70B4" w:rsidRPr="007668F2">
        <w:rPr>
          <w:rFonts w:eastAsia="HiddenHorzOCR"/>
          <w:color w:val="000000" w:themeColor="text1"/>
          <w:szCs w:val="24"/>
        </w:rPr>
        <w:t>“medial hamstring is also diminished</w:t>
      </w:r>
      <w:r w:rsidR="005B1766">
        <w:rPr>
          <w:rFonts w:eastAsia="HiddenHorzOCR"/>
          <w:color w:val="000000" w:themeColor="text1"/>
          <w:szCs w:val="24"/>
        </w:rPr>
        <w:t>;</w:t>
      </w:r>
      <w:r w:rsidR="003C70B4" w:rsidRPr="007668F2">
        <w:rPr>
          <w:rFonts w:eastAsia="HiddenHorzOCR"/>
          <w:color w:val="000000" w:themeColor="text1"/>
          <w:szCs w:val="24"/>
        </w:rPr>
        <w:t>”</w:t>
      </w:r>
      <w:r w:rsidR="002D3A5C" w:rsidRPr="007668F2">
        <w:rPr>
          <w:rFonts w:eastAsia="HiddenHorzOCR"/>
          <w:color w:val="000000" w:themeColor="text1"/>
          <w:szCs w:val="24"/>
        </w:rPr>
        <w:t xml:space="preserve"> although, he concluded that the diagnostic picture was a “dominant sensory </w:t>
      </w:r>
      <w:proofErr w:type="spellStart"/>
      <w:r w:rsidR="002D3A5C" w:rsidRPr="007668F2">
        <w:rPr>
          <w:rFonts w:eastAsia="HiddenHorzOCR"/>
          <w:color w:val="000000" w:themeColor="text1"/>
          <w:szCs w:val="24"/>
        </w:rPr>
        <w:t>radiculitis</w:t>
      </w:r>
      <w:proofErr w:type="spellEnd"/>
      <w:r w:rsidR="005B1766">
        <w:rPr>
          <w:rFonts w:eastAsia="HiddenHorzOCR"/>
          <w:color w:val="000000" w:themeColor="text1"/>
          <w:szCs w:val="24"/>
        </w:rPr>
        <w:t>.</w:t>
      </w:r>
      <w:r w:rsidR="002D3A5C" w:rsidRPr="007668F2">
        <w:rPr>
          <w:rFonts w:eastAsia="HiddenHorzOCR"/>
          <w:color w:val="000000" w:themeColor="text1"/>
          <w:szCs w:val="24"/>
        </w:rPr>
        <w:t>”</w:t>
      </w:r>
      <w:r w:rsidR="003C70B4" w:rsidRPr="007668F2">
        <w:rPr>
          <w:rFonts w:eastAsia="HiddenHorzOCR"/>
          <w:color w:val="000000" w:themeColor="text1"/>
          <w:szCs w:val="24"/>
        </w:rPr>
        <w:t xml:space="preserve"> </w:t>
      </w:r>
      <w:r w:rsidR="001509A2">
        <w:rPr>
          <w:rFonts w:eastAsia="HiddenHorzOCR"/>
          <w:color w:val="000000" w:themeColor="text1"/>
          <w:szCs w:val="24"/>
        </w:rPr>
        <w:t xml:space="preserve"> </w:t>
      </w:r>
      <w:r w:rsidR="00015547" w:rsidRPr="007668F2">
        <w:rPr>
          <w:rFonts w:eastAsia="HiddenHorzOCR"/>
          <w:color w:val="000000" w:themeColor="text1"/>
          <w:szCs w:val="24"/>
        </w:rPr>
        <w:t>Both examiners made clear that there was no foot drop, atrophy or other gross motor disturbance.  Outpatient notes proximate to separation are somewhat con</w:t>
      </w:r>
      <w:r w:rsidR="001509A2">
        <w:rPr>
          <w:rFonts w:eastAsia="HiddenHorzOCR"/>
          <w:color w:val="000000" w:themeColor="text1"/>
          <w:szCs w:val="24"/>
        </w:rPr>
        <w:t>flicting.  A spine clinic note four</w:t>
      </w:r>
      <w:r w:rsidR="00015547" w:rsidRPr="007668F2">
        <w:rPr>
          <w:rFonts w:eastAsia="HiddenHorzOCR"/>
          <w:color w:val="000000" w:themeColor="text1"/>
          <w:szCs w:val="24"/>
        </w:rPr>
        <w:t xml:space="preserve"> months pre-separation stated “no radicular symptoms and has complete improvement in his lower ex</w:t>
      </w:r>
      <w:r w:rsidR="001509A2">
        <w:rPr>
          <w:rFonts w:eastAsia="HiddenHorzOCR"/>
          <w:color w:val="000000" w:themeColor="text1"/>
          <w:szCs w:val="24"/>
        </w:rPr>
        <w:t>tremity pain</w:t>
      </w:r>
      <w:r w:rsidR="005B1766">
        <w:rPr>
          <w:rFonts w:eastAsia="HiddenHorzOCR"/>
          <w:color w:val="000000" w:themeColor="text1"/>
          <w:szCs w:val="24"/>
        </w:rPr>
        <w:t>.</w:t>
      </w:r>
      <w:r w:rsidR="001509A2">
        <w:rPr>
          <w:rFonts w:eastAsia="HiddenHorzOCR"/>
          <w:color w:val="000000" w:themeColor="text1"/>
          <w:szCs w:val="24"/>
        </w:rPr>
        <w:t>”  A family practice note tw</w:t>
      </w:r>
      <w:r w:rsidR="000E56E8">
        <w:rPr>
          <w:rFonts w:eastAsia="HiddenHorzOCR"/>
          <w:color w:val="000000" w:themeColor="text1"/>
          <w:szCs w:val="24"/>
        </w:rPr>
        <w:t>o</w:t>
      </w:r>
      <w:r w:rsidR="00D433D6" w:rsidRPr="007668F2">
        <w:rPr>
          <w:rFonts w:eastAsia="HiddenHorzOCR"/>
          <w:color w:val="000000" w:themeColor="text1"/>
          <w:szCs w:val="24"/>
        </w:rPr>
        <w:t xml:space="preserve"> weeks later</w:t>
      </w:r>
      <w:r w:rsidR="005B1766">
        <w:rPr>
          <w:rFonts w:eastAsia="HiddenHorzOCR"/>
          <w:color w:val="000000" w:themeColor="text1"/>
          <w:szCs w:val="24"/>
        </w:rPr>
        <w:t xml:space="preserve">, </w:t>
      </w:r>
      <w:r w:rsidR="00D433D6" w:rsidRPr="007668F2">
        <w:rPr>
          <w:rFonts w:eastAsia="HiddenHorzOCR"/>
          <w:color w:val="000000" w:themeColor="text1"/>
          <w:szCs w:val="24"/>
        </w:rPr>
        <w:t>sta</w:t>
      </w:r>
      <w:r w:rsidR="001509A2">
        <w:rPr>
          <w:rFonts w:eastAsia="HiddenHorzOCR"/>
          <w:color w:val="000000" w:themeColor="text1"/>
          <w:szCs w:val="24"/>
        </w:rPr>
        <w:t>ted “still having weakness on L-low</w:t>
      </w:r>
      <w:r w:rsidR="00D433D6" w:rsidRPr="007668F2">
        <w:rPr>
          <w:rFonts w:eastAsia="HiddenHorzOCR"/>
          <w:color w:val="000000" w:themeColor="text1"/>
          <w:szCs w:val="24"/>
        </w:rPr>
        <w:t xml:space="preserve">er leg </w:t>
      </w:r>
      <w:r w:rsidR="00432EC0" w:rsidRPr="007668F2">
        <w:rPr>
          <w:rFonts w:eastAsia="HiddenHorzOCR"/>
          <w:color w:val="000000" w:themeColor="text1"/>
          <w:szCs w:val="24"/>
        </w:rPr>
        <w:t>that he had prior to surgery</w:t>
      </w:r>
      <w:r w:rsidR="005B1766">
        <w:rPr>
          <w:rFonts w:eastAsia="HiddenHorzOCR"/>
          <w:color w:val="000000" w:themeColor="text1"/>
          <w:szCs w:val="24"/>
        </w:rPr>
        <w:t>.”</w:t>
      </w:r>
      <w:r w:rsidR="00432EC0" w:rsidRPr="007668F2">
        <w:rPr>
          <w:rFonts w:eastAsia="HiddenHorzOCR"/>
          <w:color w:val="000000" w:themeColor="text1"/>
          <w:szCs w:val="24"/>
        </w:rPr>
        <w:t xml:space="preserve"> </w:t>
      </w:r>
      <w:r w:rsidR="001509A2">
        <w:rPr>
          <w:rFonts w:eastAsia="HiddenHorzOCR"/>
          <w:color w:val="000000" w:themeColor="text1"/>
          <w:szCs w:val="24"/>
        </w:rPr>
        <w:t xml:space="preserve"> </w:t>
      </w:r>
      <w:r w:rsidR="00432EC0" w:rsidRPr="007668F2">
        <w:rPr>
          <w:rFonts w:eastAsia="HiddenHorzOCR"/>
          <w:color w:val="000000" w:themeColor="text1"/>
          <w:szCs w:val="24"/>
        </w:rPr>
        <w:t>A</w:t>
      </w:r>
      <w:r w:rsidR="00015547" w:rsidRPr="007668F2">
        <w:rPr>
          <w:rFonts w:eastAsia="HiddenHorzOCR"/>
          <w:color w:val="000000" w:themeColor="text1"/>
          <w:szCs w:val="24"/>
        </w:rPr>
        <w:t xml:space="preserve"> </w:t>
      </w:r>
      <w:r w:rsidR="00432EC0" w:rsidRPr="007668F2">
        <w:rPr>
          <w:rFonts w:eastAsia="HiddenHorzOCR"/>
          <w:color w:val="000000" w:themeColor="text1"/>
          <w:szCs w:val="24"/>
        </w:rPr>
        <w:t xml:space="preserve">subsequent pre-separation </w:t>
      </w:r>
      <w:r w:rsidR="00015547" w:rsidRPr="007668F2">
        <w:rPr>
          <w:rFonts w:eastAsia="HiddenHorzOCR"/>
          <w:color w:val="000000" w:themeColor="text1"/>
          <w:szCs w:val="24"/>
        </w:rPr>
        <w:t xml:space="preserve">PT note </w:t>
      </w:r>
      <w:r w:rsidR="00D433D6" w:rsidRPr="007668F2">
        <w:rPr>
          <w:rFonts w:eastAsia="HiddenHorzOCR"/>
          <w:color w:val="000000" w:themeColor="text1"/>
          <w:szCs w:val="24"/>
        </w:rPr>
        <w:t>(</w:t>
      </w:r>
      <w:r w:rsidR="001509A2">
        <w:rPr>
          <w:rFonts w:eastAsia="HiddenHorzOCR"/>
          <w:color w:val="000000" w:themeColor="text1"/>
          <w:szCs w:val="24"/>
        </w:rPr>
        <w:t>two</w:t>
      </w:r>
      <w:r w:rsidR="00D433D6" w:rsidRPr="007668F2">
        <w:rPr>
          <w:rFonts w:eastAsia="HiddenHorzOCR"/>
          <w:color w:val="000000" w:themeColor="text1"/>
          <w:szCs w:val="24"/>
        </w:rPr>
        <w:t xml:space="preserve"> weeks </w:t>
      </w:r>
      <w:r w:rsidR="00432EC0" w:rsidRPr="007668F2">
        <w:rPr>
          <w:rFonts w:eastAsia="HiddenHorzOCR"/>
          <w:color w:val="000000" w:themeColor="text1"/>
          <w:szCs w:val="24"/>
        </w:rPr>
        <w:t>later</w:t>
      </w:r>
      <w:r w:rsidR="00D433D6" w:rsidRPr="007668F2">
        <w:rPr>
          <w:rFonts w:eastAsia="HiddenHorzOCR"/>
          <w:color w:val="000000" w:themeColor="text1"/>
          <w:szCs w:val="24"/>
        </w:rPr>
        <w:t xml:space="preserve"> and </w:t>
      </w:r>
      <w:r w:rsidR="001509A2">
        <w:rPr>
          <w:rFonts w:eastAsia="HiddenHorzOCR"/>
          <w:color w:val="000000" w:themeColor="text1"/>
          <w:szCs w:val="24"/>
        </w:rPr>
        <w:t>three</w:t>
      </w:r>
      <w:r w:rsidR="00015547" w:rsidRPr="007668F2">
        <w:rPr>
          <w:rFonts w:eastAsia="HiddenHorzOCR"/>
          <w:color w:val="000000" w:themeColor="text1"/>
          <w:szCs w:val="24"/>
        </w:rPr>
        <w:t xml:space="preserve"> months pre-sep</w:t>
      </w:r>
      <w:r w:rsidR="000E56E8">
        <w:rPr>
          <w:rFonts w:eastAsia="HiddenHorzOCR"/>
          <w:color w:val="000000" w:themeColor="text1"/>
          <w:szCs w:val="24"/>
        </w:rPr>
        <w:t>a</w:t>
      </w:r>
      <w:r w:rsidR="00015547" w:rsidRPr="007668F2">
        <w:rPr>
          <w:rFonts w:eastAsia="HiddenHorzOCR"/>
          <w:color w:val="000000" w:themeColor="text1"/>
          <w:szCs w:val="24"/>
        </w:rPr>
        <w:t>r</w:t>
      </w:r>
      <w:r w:rsidR="000E56E8">
        <w:rPr>
          <w:rFonts w:eastAsia="HiddenHorzOCR"/>
          <w:color w:val="000000" w:themeColor="text1"/>
          <w:szCs w:val="24"/>
        </w:rPr>
        <w:t>a</w:t>
      </w:r>
      <w:r w:rsidR="00015547" w:rsidRPr="007668F2">
        <w:rPr>
          <w:rFonts w:eastAsia="HiddenHorzOCR"/>
          <w:color w:val="000000" w:themeColor="text1"/>
          <w:szCs w:val="24"/>
        </w:rPr>
        <w:t>tion</w:t>
      </w:r>
      <w:r w:rsidR="00D433D6" w:rsidRPr="007668F2">
        <w:rPr>
          <w:rFonts w:eastAsia="HiddenHorzOCR"/>
          <w:color w:val="000000" w:themeColor="text1"/>
          <w:szCs w:val="24"/>
        </w:rPr>
        <w:t>)</w:t>
      </w:r>
      <w:r w:rsidR="00015547" w:rsidRPr="007668F2">
        <w:rPr>
          <w:rFonts w:eastAsia="HiddenHorzOCR"/>
          <w:color w:val="000000" w:themeColor="text1"/>
          <w:szCs w:val="24"/>
        </w:rPr>
        <w:t xml:space="preserve"> recorded diminished reflexes, but motor weakness only </w:t>
      </w:r>
      <w:r w:rsidR="00D433D6" w:rsidRPr="007668F2">
        <w:rPr>
          <w:rFonts w:eastAsia="HiddenHorzOCR"/>
          <w:color w:val="000000" w:themeColor="text1"/>
          <w:szCs w:val="24"/>
        </w:rPr>
        <w:t>with repetiti</w:t>
      </w:r>
      <w:r w:rsidR="00015547" w:rsidRPr="007668F2">
        <w:rPr>
          <w:rFonts w:eastAsia="HiddenHorzOCR"/>
          <w:color w:val="000000" w:themeColor="text1"/>
          <w:szCs w:val="24"/>
        </w:rPr>
        <w:t xml:space="preserve">ons. </w:t>
      </w:r>
      <w:r w:rsidR="001509A2">
        <w:rPr>
          <w:rFonts w:eastAsia="HiddenHorzOCR"/>
          <w:color w:val="000000" w:themeColor="text1"/>
          <w:szCs w:val="24"/>
        </w:rPr>
        <w:t xml:space="preserve"> </w:t>
      </w:r>
      <w:r w:rsidR="002D3A5C" w:rsidRPr="007668F2">
        <w:rPr>
          <w:rFonts w:eastAsia="HiddenHorzOCR"/>
          <w:color w:val="000000" w:themeColor="text1"/>
          <w:szCs w:val="24"/>
        </w:rPr>
        <w:t xml:space="preserve">The treating neurosurgeon in a follow-up entry </w:t>
      </w:r>
      <w:r w:rsidR="001509A2">
        <w:rPr>
          <w:rFonts w:eastAsia="HiddenHorzOCR"/>
          <w:color w:val="000000" w:themeColor="text1"/>
          <w:szCs w:val="24"/>
        </w:rPr>
        <w:t>six</w:t>
      </w:r>
      <w:r w:rsidR="00295F42" w:rsidRPr="007668F2">
        <w:rPr>
          <w:rFonts w:eastAsia="HiddenHorzOCR"/>
          <w:color w:val="000000" w:themeColor="text1"/>
          <w:szCs w:val="24"/>
        </w:rPr>
        <w:t xml:space="preserve"> months post-separation stated, “</w:t>
      </w:r>
      <w:proofErr w:type="gramStart"/>
      <w:r w:rsidR="001509A2">
        <w:rPr>
          <w:rFonts w:eastAsia="HiddenHorzOCR"/>
          <w:color w:val="000000" w:themeColor="text1"/>
          <w:szCs w:val="24"/>
        </w:rPr>
        <w:t>p</w:t>
      </w:r>
      <w:r w:rsidR="00295F42" w:rsidRPr="007668F2">
        <w:rPr>
          <w:rFonts w:eastAsia="HiddenHorzOCR"/>
          <w:color w:val="000000" w:themeColor="text1"/>
          <w:szCs w:val="24"/>
        </w:rPr>
        <w:t>atient</w:t>
      </w:r>
      <w:proofErr w:type="gramEnd"/>
      <w:r w:rsidR="00295F42" w:rsidRPr="007668F2">
        <w:rPr>
          <w:rFonts w:eastAsia="HiddenHorzOCR"/>
          <w:color w:val="000000" w:themeColor="text1"/>
          <w:szCs w:val="24"/>
        </w:rPr>
        <w:t xml:space="preserve"> has no radicular symptoms and has complete improvement in his lower extremity pain.”</w:t>
      </w:r>
    </w:p>
    <w:p w:rsidR="007668F2" w:rsidRDefault="007668F2" w:rsidP="00BE18BC">
      <w:pPr>
        <w:jc w:val="both"/>
        <w:rPr>
          <w:rFonts w:eastAsia="HiddenHorzOCR"/>
          <w:color w:val="000000" w:themeColor="text1"/>
          <w:szCs w:val="24"/>
        </w:rPr>
      </w:pPr>
    </w:p>
    <w:p w:rsidR="00AF5D8B" w:rsidRPr="00AF5D8B" w:rsidRDefault="007668F2" w:rsidP="00AF5D8B">
      <w:pPr>
        <w:jc w:val="both"/>
        <w:rPr>
          <w:rFonts w:eastAsiaTheme="minorHAnsi" w:cstheme="minorBidi"/>
          <w:color w:val="auto"/>
          <w:szCs w:val="24"/>
        </w:rPr>
      </w:pPr>
      <w:r>
        <w:rPr>
          <w:rFonts w:eastAsia="HiddenHorzOCR"/>
          <w:color w:val="000000" w:themeColor="text1"/>
          <w:szCs w:val="24"/>
        </w:rPr>
        <w:t>In light of the evidence, the Board surmised that the intermittently documented motor deficits, specifically weighed agains</w:t>
      </w:r>
      <w:r w:rsidR="005B1766">
        <w:rPr>
          <w:rFonts w:eastAsia="HiddenHorzOCR"/>
          <w:color w:val="000000" w:themeColor="text1"/>
          <w:szCs w:val="24"/>
        </w:rPr>
        <w:t>t</w:t>
      </w:r>
      <w:r>
        <w:rPr>
          <w:rFonts w:eastAsia="HiddenHorzOCR"/>
          <w:color w:val="000000" w:themeColor="text1"/>
          <w:szCs w:val="24"/>
        </w:rPr>
        <w:t xml:space="preserve"> the CI’</w:t>
      </w:r>
      <w:r w:rsidR="005B1766">
        <w:rPr>
          <w:rFonts w:eastAsia="HiddenHorzOCR"/>
          <w:color w:val="000000" w:themeColor="text1"/>
          <w:szCs w:val="24"/>
        </w:rPr>
        <w:t>s</w:t>
      </w:r>
      <w:r>
        <w:rPr>
          <w:rFonts w:eastAsia="HiddenHorzOCR"/>
          <w:color w:val="000000" w:themeColor="text1"/>
          <w:szCs w:val="24"/>
        </w:rPr>
        <w:t xml:space="preserve"> </w:t>
      </w:r>
      <w:r w:rsidR="00E12322">
        <w:rPr>
          <w:rFonts w:eastAsia="HiddenHorzOCR"/>
          <w:color w:val="000000" w:themeColor="text1"/>
          <w:szCs w:val="24"/>
        </w:rPr>
        <w:t>AFS</w:t>
      </w:r>
      <w:r>
        <w:rPr>
          <w:rFonts w:eastAsia="HiddenHorzOCR"/>
          <w:color w:val="000000" w:themeColor="text1"/>
          <w:szCs w:val="24"/>
        </w:rPr>
        <w:t xml:space="preserve"> demands; and, give a clear trend toward resolution of any significant mot</w:t>
      </w:r>
      <w:r w:rsidR="005B1766">
        <w:rPr>
          <w:rFonts w:eastAsia="HiddenHorzOCR"/>
          <w:color w:val="000000" w:themeColor="text1"/>
          <w:szCs w:val="24"/>
        </w:rPr>
        <w:t>or disability toward separation.</w:t>
      </w:r>
      <w:r>
        <w:rPr>
          <w:rFonts w:eastAsia="HiddenHorzOCR"/>
          <w:color w:val="000000" w:themeColor="text1"/>
          <w:szCs w:val="24"/>
        </w:rPr>
        <w:t xml:space="preserve"> </w:t>
      </w:r>
      <w:r w:rsidR="005B1766">
        <w:rPr>
          <w:rFonts w:eastAsia="HiddenHorzOCR"/>
          <w:color w:val="000000" w:themeColor="text1"/>
          <w:szCs w:val="24"/>
        </w:rPr>
        <w:t>T</w:t>
      </w:r>
      <w:r>
        <w:rPr>
          <w:rFonts w:eastAsia="HiddenHorzOCR"/>
          <w:color w:val="000000" w:themeColor="text1"/>
          <w:szCs w:val="24"/>
        </w:rPr>
        <w:t xml:space="preserve">here was inadequate support for a conclusion that </w:t>
      </w:r>
      <w:r w:rsidR="00AF5D8B">
        <w:rPr>
          <w:rFonts w:eastAsia="HiddenHorzOCR"/>
          <w:color w:val="000000" w:themeColor="text1"/>
          <w:szCs w:val="24"/>
        </w:rPr>
        <w:t xml:space="preserve">the LLE radiculopathy was a significant additional impediment to </w:t>
      </w:r>
      <w:r w:rsidR="00E12322">
        <w:rPr>
          <w:rFonts w:eastAsia="HiddenHorzOCR"/>
          <w:color w:val="000000" w:themeColor="text1"/>
          <w:szCs w:val="24"/>
        </w:rPr>
        <w:t>AFS</w:t>
      </w:r>
      <w:r w:rsidR="00AF5D8B">
        <w:rPr>
          <w:rFonts w:eastAsia="HiddenHorzOCR"/>
          <w:color w:val="000000" w:themeColor="text1"/>
          <w:szCs w:val="24"/>
        </w:rPr>
        <w:t xml:space="preserve"> performance.  </w:t>
      </w:r>
      <w:r w:rsidR="00AF5D8B" w:rsidRPr="00AF5D8B">
        <w:rPr>
          <w:rFonts w:eastAsiaTheme="minorHAnsi" w:cstheme="minorBidi"/>
          <w:color w:val="auto"/>
          <w:szCs w:val="24"/>
        </w:rPr>
        <w:t>All evidence considered</w:t>
      </w:r>
      <w:proofErr w:type="gramStart"/>
      <w:r w:rsidR="00AF5D8B" w:rsidRPr="00AF5D8B">
        <w:rPr>
          <w:rFonts w:eastAsiaTheme="minorHAnsi" w:cstheme="minorBidi"/>
          <w:color w:val="auto"/>
          <w:szCs w:val="24"/>
        </w:rPr>
        <w:t>,</w:t>
      </w:r>
      <w:proofErr w:type="gramEnd"/>
      <w:r w:rsidR="00AF5D8B" w:rsidRPr="00AF5D8B">
        <w:rPr>
          <w:rFonts w:eastAsiaTheme="minorHAnsi" w:cstheme="minorBidi"/>
          <w:color w:val="auto"/>
          <w:szCs w:val="24"/>
        </w:rPr>
        <w:t xml:space="preserve"> there is not reasonable doubt in the CI’s favor supporting addition of </w:t>
      </w:r>
      <w:r w:rsidR="00AF5D8B">
        <w:rPr>
          <w:rFonts w:eastAsiaTheme="minorHAnsi" w:cstheme="minorBidi"/>
          <w:color w:val="auto"/>
          <w:szCs w:val="24"/>
        </w:rPr>
        <w:t xml:space="preserve">a peripheral code rating for sciatic </w:t>
      </w:r>
      <w:proofErr w:type="spellStart"/>
      <w:r w:rsidR="00AF5D8B">
        <w:rPr>
          <w:rFonts w:eastAsiaTheme="minorHAnsi" w:cstheme="minorBidi"/>
          <w:color w:val="auto"/>
          <w:szCs w:val="24"/>
        </w:rPr>
        <w:t>radiculopathy</w:t>
      </w:r>
      <w:proofErr w:type="spellEnd"/>
      <w:r w:rsidR="00AF5D8B">
        <w:rPr>
          <w:rFonts w:eastAsiaTheme="minorHAnsi" w:cstheme="minorBidi"/>
          <w:color w:val="auto"/>
          <w:szCs w:val="24"/>
        </w:rPr>
        <w:t xml:space="preserve"> </w:t>
      </w:r>
      <w:r w:rsidR="00AF5D8B" w:rsidRPr="00AF5D8B">
        <w:rPr>
          <w:rFonts w:eastAsiaTheme="minorHAnsi" w:cstheme="minorBidi"/>
          <w:color w:val="auto"/>
          <w:szCs w:val="24"/>
        </w:rPr>
        <w:t xml:space="preserve">unfitting </w:t>
      </w:r>
      <w:r w:rsidR="00AF5D8B">
        <w:rPr>
          <w:rFonts w:eastAsiaTheme="minorHAnsi" w:cstheme="minorBidi"/>
          <w:color w:val="auto"/>
          <w:szCs w:val="24"/>
        </w:rPr>
        <w:t>and elig</w:t>
      </w:r>
      <w:r w:rsidR="000E56E8">
        <w:rPr>
          <w:rFonts w:eastAsiaTheme="minorHAnsi" w:cstheme="minorBidi"/>
          <w:color w:val="auto"/>
          <w:szCs w:val="24"/>
        </w:rPr>
        <w:t>i</w:t>
      </w:r>
      <w:r w:rsidR="00AF5D8B">
        <w:rPr>
          <w:rFonts w:eastAsiaTheme="minorHAnsi" w:cstheme="minorBidi"/>
          <w:color w:val="auto"/>
          <w:szCs w:val="24"/>
        </w:rPr>
        <w:t>ble for separate Service</w:t>
      </w:r>
      <w:r w:rsidR="00AF5D8B" w:rsidRPr="00AF5D8B">
        <w:rPr>
          <w:rFonts w:eastAsiaTheme="minorHAnsi" w:cstheme="minorBidi"/>
          <w:color w:val="auto"/>
          <w:szCs w:val="24"/>
        </w:rPr>
        <w:t xml:space="preserve"> rating.</w:t>
      </w:r>
    </w:p>
    <w:p w:rsidR="007668F2" w:rsidRPr="007668F2" w:rsidRDefault="007668F2" w:rsidP="00BE18BC">
      <w:pPr>
        <w:jc w:val="both"/>
        <w:rPr>
          <w:rFonts w:eastAsia="HiddenHorzOCR"/>
          <w:color w:val="000000" w:themeColor="text1"/>
          <w:szCs w:val="24"/>
        </w:rPr>
      </w:pPr>
    </w:p>
    <w:p w:rsidR="00BE18BC" w:rsidRPr="007668F2" w:rsidRDefault="00D433D6" w:rsidP="00BE18BC">
      <w:pPr>
        <w:jc w:val="both"/>
        <w:rPr>
          <w:color w:val="000000" w:themeColor="text1"/>
          <w:szCs w:val="24"/>
        </w:rPr>
      </w:pPr>
      <w:proofErr w:type="gramStart"/>
      <w:r w:rsidRPr="007668F2">
        <w:rPr>
          <w:rFonts w:eastAsia="HiddenHorzOCR"/>
          <w:color w:val="000000" w:themeColor="text1"/>
          <w:szCs w:val="24"/>
          <w:u w:val="single"/>
        </w:rPr>
        <w:t>Bilateral Knee</w:t>
      </w:r>
      <w:r w:rsidR="00EC337D" w:rsidRPr="007668F2">
        <w:rPr>
          <w:rFonts w:eastAsia="HiddenHorzOCR"/>
          <w:color w:val="000000" w:themeColor="text1"/>
          <w:szCs w:val="24"/>
          <w:u w:val="single"/>
        </w:rPr>
        <w:t xml:space="preserve"> Condition</w:t>
      </w:r>
      <w:r w:rsidR="00EC337D" w:rsidRPr="007668F2">
        <w:rPr>
          <w:rFonts w:eastAsia="HiddenHorzOCR"/>
          <w:color w:val="000000" w:themeColor="text1"/>
          <w:szCs w:val="24"/>
        </w:rPr>
        <w:t>.</w:t>
      </w:r>
      <w:proofErr w:type="gramEnd"/>
      <w:r w:rsidR="00EC337D" w:rsidRPr="007668F2">
        <w:rPr>
          <w:rFonts w:eastAsia="HiddenHorzOCR"/>
          <w:color w:val="000000" w:themeColor="text1"/>
          <w:szCs w:val="24"/>
        </w:rPr>
        <w:t xml:space="preserve">  </w:t>
      </w:r>
      <w:r w:rsidR="00BE18BC" w:rsidRPr="007668F2">
        <w:rPr>
          <w:rFonts w:eastAsia="HiddenHorzOCR"/>
          <w:color w:val="000000" w:themeColor="text1"/>
          <w:szCs w:val="24"/>
        </w:rPr>
        <w:t xml:space="preserve">The CI’s application </w:t>
      </w:r>
      <w:r w:rsidRPr="007668F2">
        <w:rPr>
          <w:rFonts w:eastAsia="HiddenHorzOCR"/>
          <w:color w:val="000000" w:themeColor="text1"/>
          <w:szCs w:val="24"/>
        </w:rPr>
        <w:t>suggests</w:t>
      </w:r>
      <w:r w:rsidR="00BE18BC" w:rsidRPr="007668F2">
        <w:rPr>
          <w:rFonts w:eastAsia="HiddenHorzOCR"/>
          <w:color w:val="000000" w:themeColor="text1"/>
          <w:szCs w:val="24"/>
        </w:rPr>
        <w:t xml:space="preserve"> that compensable ratings should be considered for bilateral knee </w:t>
      </w:r>
      <w:proofErr w:type="spellStart"/>
      <w:r w:rsidR="00BE18BC" w:rsidRPr="007668F2">
        <w:rPr>
          <w:rFonts w:eastAsia="HiddenHorzOCR"/>
          <w:color w:val="000000" w:themeColor="text1"/>
          <w:szCs w:val="24"/>
        </w:rPr>
        <w:t>retropatellar</w:t>
      </w:r>
      <w:proofErr w:type="spellEnd"/>
      <w:r w:rsidR="00BE18BC" w:rsidRPr="007668F2">
        <w:rPr>
          <w:rFonts w:eastAsia="HiddenHorzOCR"/>
          <w:color w:val="000000" w:themeColor="text1"/>
          <w:szCs w:val="24"/>
        </w:rPr>
        <w:t xml:space="preserve"> pain.  The bilateral knee pain </w:t>
      </w:r>
      <w:r w:rsidR="007E6FD8" w:rsidRPr="007668F2">
        <w:rPr>
          <w:rFonts w:eastAsia="HiddenHorzOCR"/>
          <w:color w:val="000000" w:themeColor="text1"/>
          <w:szCs w:val="24"/>
        </w:rPr>
        <w:t>was first noted in the mid 1990’s</w:t>
      </w:r>
      <w:r w:rsidRPr="007668F2">
        <w:rPr>
          <w:rFonts w:eastAsia="HiddenHorzOCR"/>
          <w:color w:val="000000" w:themeColor="text1"/>
          <w:szCs w:val="24"/>
        </w:rPr>
        <w:t>,</w:t>
      </w:r>
      <w:r w:rsidR="007E6FD8" w:rsidRPr="007668F2">
        <w:rPr>
          <w:rFonts w:eastAsia="HiddenHorzOCR"/>
          <w:color w:val="000000" w:themeColor="text1"/>
          <w:szCs w:val="24"/>
        </w:rPr>
        <w:t xml:space="preserve"> and was diagnosed in 1995 as an overuse syndrome.  There was very little in the service treatment record proximate to the time of separation related to the knees.  </w:t>
      </w:r>
      <w:r w:rsidRPr="007668F2">
        <w:rPr>
          <w:rFonts w:eastAsia="HiddenHorzOCR"/>
          <w:color w:val="000000" w:themeColor="text1"/>
          <w:szCs w:val="24"/>
        </w:rPr>
        <w:t>T</w:t>
      </w:r>
      <w:r w:rsidR="007E6FD8" w:rsidRPr="007668F2">
        <w:rPr>
          <w:rFonts w:eastAsia="HiddenHorzOCR"/>
          <w:color w:val="000000" w:themeColor="text1"/>
          <w:szCs w:val="24"/>
        </w:rPr>
        <w:t xml:space="preserve">he </w:t>
      </w:r>
      <w:r w:rsidR="00467DC5" w:rsidRPr="007668F2">
        <w:rPr>
          <w:rFonts w:eastAsia="HiddenHorzOCR"/>
          <w:color w:val="000000" w:themeColor="text1"/>
          <w:szCs w:val="24"/>
        </w:rPr>
        <w:t xml:space="preserve">pre-separation </w:t>
      </w:r>
      <w:r w:rsidR="007E6FD8" w:rsidRPr="007668F2">
        <w:rPr>
          <w:rFonts w:eastAsia="HiddenHorzOCR"/>
          <w:color w:val="000000" w:themeColor="text1"/>
          <w:szCs w:val="24"/>
        </w:rPr>
        <w:t xml:space="preserve">VA C&amp;P examination </w:t>
      </w:r>
      <w:r w:rsidR="00467DC5" w:rsidRPr="007668F2">
        <w:rPr>
          <w:rFonts w:eastAsia="HiddenHorzOCR"/>
          <w:color w:val="000000" w:themeColor="text1"/>
          <w:szCs w:val="24"/>
        </w:rPr>
        <w:t>documented normal bilateral knee ROMs and physical findings; stating</w:t>
      </w:r>
      <w:r w:rsidR="007E6FD8" w:rsidRPr="007668F2">
        <w:rPr>
          <w:rFonts w:eastAsia="HiddenHorzOCR"/>
          <w:color w:val="000000" w:themeColor="text1"/>
          <w:szCs w:val="24"/>
        </w:rPr>
        <w:t xml:space="preserve"> that the CI could sit, stand, walk and do all activities</w:t>
      </w:r>
      <w:r w:rsidR="00467DC5" w:rsidRPr="007668F2">
        <w:rPr>
          <w:rFonts w:eastAsia="HiddenHorzOCR"/>
          <w:color w:val="000000" w:themeColor="text1"/>
          <w:szCs w:val="24"/>
        </w:rPr>
        <w:t>;</w:t>
      </w:r>
      <w:r w:rsidR="001E6A06" w:rsidRPr="007668F2">
        <w:rPr>
          <w:rFonts w:eastAsia="HiddenHorzOCR"/>
          <w:color w:val="000000" w:themeColor="text1"/>
          <w:szCs w:val="24"/>
        </w:rPr>
        <w:t xml:space="preserve"> but</w:t>
      </w:r>
      <w:r w:rsidR="00467DC5" w:rsidRPr="007668F2">
        <w:rPr>
          <w:rFonts w:eastAsia="HiddenHorzOCR"/>
          <w:color w:val="000000" w:themeColor="text1"/>
          <w:szCs w:val="24"/>
        </w:rPr>
        <w:t>, that he</w:t>
      </w:r>
      <w:r w:rsidR="001E6A06" w:rsidRPr="007668F2">
        <w:rPr>
          <w:rFonts w:eastAsia="HiddenHorzOCR"/>
          <w:color w:val="000000" w:themeColor="text1"/>
          <w:szCs w:val="24"/>
        </w:rPr>
        <w:t xml:space="preserve"> </w:t>
      </w:r>
      <w:r w:rsidR="00467DC5" w:rsidRPr="007668F2">
        <w:rPr>
          <w:rFonts w:eastAsia="HiddenHorzOCR"/>
          <w:color w:val="000000" w:themeColor="text1"/>
          <w:szCs w:val="24"/>
        </w:rPr>
        <w:t>had</w:t>
      </w:r>
      <w:r w:rsidR="001E6A06" w:rsidRPr="007668F2">
        <w:rPr>
          <w:rFonts w:eastAsia="HiddenHorzOCR"/>
          <w:color w:val="000000" w:themeColor="text1"/>
          <w:szCs w:val="24"/>
        </w:rPr>
        <w:t xml:space="preserve"> to </w:t>
      </w:r>
      <w:r w:rsidR="00467DC5" w:rsidRPr="007668F2">
        <w:rPr>
          <w:rFonts w:eastAsia="HiddenHorzOCR"/>
          <w:color w:val="000000" w:themeColor="text1"/>
          <w:szCs w:val="24"/>
        </w:rPr>
        <w:t>guard against overuse of his knees</w:t>
      </w:r>
      <w:r w:rsidR="001E6A06" w:rsidRPr="007668F2">
        <w:rPr>
          <w:rFonts w:eastAsia="HiddenHorzOCR"/>
          <w:color w:val="000000" w:themeColor="text1"/>
          <w:szCs w:val="24"/>
        </w:rPr>
        <w:t>.</w:t>
      </w:r>
      <w:r w:rsidR="00E12322">
        <w:rPr>
          <w:rFonts w:eastAsia="HiddenHorzOCR"/>
          <w:color w:val="000000" w:themeColor="text1"/>
          <w:szCs w:val="24"/>
        </w:rPr>
        <w:t xml:space="preserve"> </w:t>
      </w:r>
      <w:r w:rsidR="001E6A06" w:rsidRPr="007668F2">
        <w:rPr>
          <w:rFonts w:eastAsia="HiddenHorzOCR"/>
          <w:color w:val="000000" w:themeColor="text1"/>
          <w:szCs w:val="24"/>
        </w:rPr>
        <w:t xml:space="preserve"> </w:t>
      </w:r>
      <w:r w:rsidR="00467DC5" w:rsidRPr="007668F2">
        <w:rPr>
          <w:rFonts w:eastAsia="HiddenHorzOCR"/>
          <w:color w:val="000000" w:themeColor="text1"/>
          <w:szCs w:val="24"/>
        </w:rPr>
        <w:t>The knees were not subject to profile li</w:t>
      </w:r>
      <w:r w:rsidR="00E12322">
        <w:rPr>
          <w:rFonts w:eastAsia="HiddenHorzOCR"/>
          <w:color w:val="000000" w:themeColor="text1"/>
          <w:szCs w:val="24"/>
        </w:rPr>
        <w:t>mitations or implicated in the c</w:t>
      </w:r>
      <w:r w:rsidR="00467DC5" w:rsidRPr="007668F2">
        <w:rPr>
          <w:rFonts w:eastAsia="HiddenHorzOCR"/>
          <w:color w:val="000000" w:themeColor="text1"/>
          <w:szCs w:val="24"/>
        </w:rPr>
        <w:t>ommander’s statement.  The condition</w:t>
      </w:r>
      <w:r w:rsidR="00BE18BC" w:rsidRPr="007668F2">
        <w:rPr>
          <w:color w:val="000000" w:themeColor="text1"/>
        </w:rPr>
        <w:t xml:space="preserve"> </w:t>
      </w:r>
      <w:r w:rsidR="00467DC5" w:rsidRPr="007668F2">
        <w:rPr>
          <w:color w:val="000000" w:themeColor="text1"/>
          <w:szCs w:val="24"/>
        </w:rPr>
        <w:t>was</w:t>
      </w:r>
      <w:r w:rsidR="00BE18BC" w:rsidRPr="007668F2">
        <w:rPr>
          <w:color w:val="000000" w:themeColor="text1"/>
          <w:szCs w:val="24"/>
        </w:rPr>
        <w:t xml:space="preserve"> reviewed by the </w:t>
      </w:r>
      <w:r w:rsidR="00E12322">
        <w:rPr>
          <w:color w:val="000000" w:themeColor="text1"/>
          <w:szCs w:val="24"/>
        </w:rPr>
        <w:t>action o</w:t>
      </w:r>
      <w:r w:rsidR="00BE18BC" w:rsidRPr="007668F2">
        <w:rPr>
          <w:color w:val="000000" w:themeColor="text1"/>
          <w:szCs w:val="24"/>
        </w:rPr>
        <w:t xml:space="preserve">fficer and considered by the Board.  There was no evidence for concluding that </w:t>
      </w:r>
      <w:r w:rsidR="00467DC5" w:rsidRPr="007668F2">
        <w:rPr>
          <w:color w:val="000000" w:themeColor="text1"/>
          <w:szCs w:val="24"/>
        </w:rPr>
        <w:t>it</w:t>
      </w:r>
      <w:r w:rsidR="00BE18BC" w:rsidRPr="007668F2">
        <w:rPr>
          <w:color w:val="000000" w:themeColor="text1"/>
          <w:szCs w:val="24"/>
        </w:rPr>
        <w:t xml:space="preserve"> interfered with duty performance to a degree that could be argued as unfitting.  The Board determined therefore that </w:t>
      </w:r>
      <w:r w:rsidR="00467DC5" w:rsidRPr="007668F2">
        <w:rPr>
          <w:color w:val="000000" w:themeColor="text1"/>
          <w:szCs w:val="24"/>
        </w:rPr>
        <w:t>the bilateral knee condition</w:t>
      </w:r>
      <w:r w:rsidR="00BE18BC" w:rsidRPr="007668F2">
        <w:rPr>
          <w:color w:val="000000" w:themeColor="text1"/>
          <w:szCs w:val="24"/>
        </w:rPr>
        <w:t xml:space="preserve"> </w:t>
      </w:r>
      <w:r w:rsidR="00467DC5" w:rsidRPr="007668F2">
        <w:rPr>
          <w:color w:val="000000" w:themeColor="text1"/>
          <w:szCs w:val="24"/>
        </w:rPr>
        <w:t>did not warrant a S</w:t>
      </w:r>
      <w:r w:rsidR="00BE18BC" w:rsidRPr="007668F2">
        <w:rPr>
          <w:color w:val="000000" w:themeColor="text1"/>
          <w:szCs w:val="24"/>
        </w:rPr>
        <w:t>ervice disability rating.</w:t>
      </w:r>
    </w:p>
    <w:p w:rsidR="004C60A3" w:rsidRPr="007668F2" w:rsidRDefault="004C60A3" w:rsidP="00BF0E94">
      <w:pPr>
        <w:jc w:val="left"/>
        <w:rPr>
          <w:rFonts w:eastAsia="HiddenHorzOCR"/>
          <w:i/>
          <w:color w:val="000000" w:themeColor="text1"/>
          <w:szCs w:val="24"/>
        </w:rPr>
      </w:pPr>
    </w:p>
    <w:p w:rsidR="00FA193C" w:rsidRDefault="003C5B54" w:rsidP="00A02AA8">
      <w:pPr>
        <w:jc w:val="both"/>
        <w:rPr>
          <w:rFonts w:asciiTheme="minorHAnsi" w:hAnsiTheme="minorHAnsi"/>
          <w:color w:val="auto"/>
          <w:szCs w:val="24"/>
        </w:rPr>
      </w:pPr>
      <w:proofErr w:type="gramStart"/>
      <w:r w:rsidRPr="007668F2">
        <w:rPr>
          <w:color w:val="000000" w:themeColor="text1"/>
          <w:szCs w:val="24"/>
          <w:u w:val="single"/>
        </w:rPr>
        <w:t>Remaining Conditions</w:t>
      </w:r>
      <w:r w:rsidRPr="007668F2">
        <w:rPr>
          <w:color w:val="000000" w:themeColor="text1"/>
          <w:szCs w:val="24"/>
        </w:rPr>
        <w:t>.</w:t>
      </w:r>
      <w:proofErr w:type="gramEnd"/>
      <w:r w:rsidRPr="007668F2">
        <w:rPr>
          <w:color w:val="000000" w:themeColor="text1"/>
          <w:szCs w:val="24"/>
        </w:rPr>
        <w:t xml:space="preserve">  </w:t>
      </w:r>
      <w:r w:rsidR="001E6A06" w:rsidRPr="007668F2">
        <w:rPr>
          <w:color w:val="000000" w:themeColor="text1"/>
          <w:szCs w:val="24"/>
        </w:rPr>
        <w:t xml:space="preserve">The only other condition </w:t>
      </w:r>
      <w:r w:rsidR="00A02AA8" w:rsidRPr="007668F2">
        <w:rPr>
          <w:color w:val="000000" w:themeColor="text1"/>
          <w:szCs w:val="24"/>
        </w:rPr>
        <w:t xml:space="preserve">identified in the DES file </w:t>
      </w:r>
      <w:r w:rsidR="001E6A06" w:rsidRPr="007668F2">
        <w:rPr>
          <w:color w:val="000000" w:themeColor="text1"/>
          <w:szCs w:val="24"/>
        </w:rPr>
        <w:t xml:space="preserve">was </w:t>
      </w:r>
      <w:proofErr w:type="spellStart"/>
      <w:r w:rsidR="001E6A06" w:rsidRPr="007668F2">
        <w:rPr>
          <w:color w:val="000000" w:themeColor="text1"/>
          <w:szCs w:val="24"/>
        </w:rPr>
        <w:t>peri</w:t>
      </w:r>
      <w:proofErr w:type="spellEnd"/>
      <w:r w:rsidR="001E6A06" w:rsidRPr="007668F2">
        <w:rPr>
          <w:color w:val="000000" w:themeColor="text1"/>
          <w:szCs w:val="24"/>
        </w:rPr>
        <w:t xml:space="preserve">-rectal abscess.  This condition was not of </w:t>
      </w:r>
      <w:r w:rsidR="001E6A06" w:rsidRPr="007668F2">
        <w:rPr>
          <w:rFonts w:asciiTheme="minorHAnsi" w:hAnsiTheme="minorHAnsi"/>
          <w:color w:val="auto"/>
          <w:szCs w:val="24"/>
        </w:rPr>
        <w:t xml:space="preserve">clinical or occupational significance during the MEB period, it </w:t>
      </w:r>
      <w:r w:rsidR="00FA193C" w:rsidRPr="007668F2">
        <w:rPr>
          <w:rFonts w:asciiTheme="minorHAnsi" w:hAnsiTheme="minorHAnsi"/>
          <w:color w:val="auto"/>
          <w:szCs w:val="24"/>
        </w:rPr>
        <w:t xml:space="preserve">did not carry an </w:t>
      </w:r>
      <w:r w:rsidR="001E6A06" w:rsidRPr="007668F2">
        <w:rPr>
          <w:rFonts w:asciiTheme="minorHAnsi" w:hAnsiTheme="minorHAnsi"/>
          <w:color w:val="auto"/>
          <w:szCs w:val="24"/>
        </w:rPr>
        <w:t>attached profile</w:t>
      </w:r>
      <w:r w:rsidR="00FA193C" w:rsidRPr="007668F2">
        <w:rPr>
          <w:rFonts w:asciiTheme="minorHAnsi" w:hAnsiTheme="minorHAnsi"/>
          <w:color w:val="auto"/>
          <w:szCs w:val="24"/>
        </w:rPr>
        <w:t xml:space="preserve">, and it was not </w:t>
      </w:r>
      <w:r w:rsidR="001E6A06" w:rsidRPr="007668F2">
        <w:rPr>
          <w:rFonts w:asciiTheme="minorHAnsi" w:hAnsiTheme="minorHAnsi"/>
          <w:color w:val="auto"/>
          <w:szCs w:val="24"/>
        </w:rPr>
        <w:t xml:space="preserve">implicated in the </w:t>
      </w:r>
      <w:r w:rsidR="00E12322">
        <w:rPr>
          <w:rFonts w:asciiTheme="minorHAnsi" w:hAnsiTheme="minorHAnsi"/>
          <w:color w:val="auto"/>
          <w:szCs w:val="24"/>
        </w:rPr>
        <w:t>c</w:t>
      </w:r>
      <w:r w:rsidR="001E6A06" w:rsidRPr="007668F2">
        <w:rPr>
          <w:rFonts w:asciiTheme="minorHAnsi" w:hAnsiTheme="minorHAnsi"/>
          <w:color w:val="auto"/>
          <w:szCs w:val="24"/>
        </w:rPr>
        <w:t>ommander’s statement</w:t>
      </w:r>
      <w:r w:rsidR="00FA193C" w:rsidRPr="007668F2">
        <w:rPr>
          <w:rFonts w:asciiTheme="minorHAnsi" w:hAnsiTheme="minorHAnsi"/>
          <w:color w:val="auto"/>
          <w:szCs w:val="24"/>
        </w:rPr>
        <w:t>.  This condition</w:t>
      </w:r>
      <w:r w:rsidR="00467DC5" w:rsidRPr="007668F2">
        <w:rPr>
          <w:rFonts w:asciiTheme="minorHAnsi" w:hAnsiTheme="minorHAnsi"/>
          <w:color w:val="auto"/>
          <w:szCs w:val="24"/>
        </w:rPr>
        <w:t>, too,</w:t>
      </w:r>
      <w:r w:rsidR="00FA193C" w:rsidRPr="007668F2">
        <w:rPr>
          <w:rFonts w:asciiTheme="minorHAnsi" w:hAnsiTheme="minorHAnsi"/>
          <w:color w:val="auto"/>
          <w:szCs w:val="24"/>
        </w:rPr>
        <w:t xml:space="preserve"> was </w:t>
      </w:r>
      <w:r w:rsidR="001E6A06" w:rsidRPr="007668F2">
        <w:rPr>
          <w:rFonts w:asciiTheme="minorHAnsi" w:hAnsiTheme="minorHAnsi"/>
          <w:color w:val="auto"/>
          <w:szCs w:val="24"/>
        </w:rPr>
        <w:t xml:space="preserve">reviewed by the </w:t>
      </w:r>
      <w:r w:rsidR="00E12322">
        <w:rPr>
          <w:rFonts w:asciiTheme="minorHAnsi" w:hAnsiTheme="minorHAnsi"/>
          <w:color w:val="auto"/>
          <w:szCs w:val="24"/>
        </w:rPr>
        <w:t>action o</w:t>
      </w:r>
      <w:r w:rsidR="001E6A06" w:rsidRPr="007668F2">
        <w:rPr>
          <w:rFonts w:asciiTheme="minorHAnsi" w:hAnsiTheme="minorHAnsi"/>
          <w:color w:val="auto"/>
          <w:szCs w:val="24"/>
        </w:rPr>
        <w:t xml:space="preserve">fficer and considered by the Board.  It was determined that </w:t>
      </w:r>
      <w:r w:rsidR="00FA193C" w:rsidRPr="007668F2">
        <w:rPr>
          <w:rFonts w:asciiTheme="minorHAnsi" w:hAnsiTheme="minorHAnsi"/>
          <w:color w:val="auto"/>
          <w:szCs w:val="24"/>
        </w:rPr>
        <w:t xml:space="preserve">it could not </w:t>
      </w:r>
      <w:r w:rsidR="001E6A06" w:rsidRPr="007668F2">
        <w:rPr>
          <w:rFonts w:asciiTheme="minorHAnsi" w:hAnsiTheme="minorHAnsi"/>
          <w:color w:val="auto"/>
          <w:szCs w:val="24"/>
        </w:rPr>
        <w:t>be argued as unfitting and subject to separation rating.</w:t>
      </w:r>
      <w:r w:rsidR="00FA193C" w:rsidRPr="007668F2">
        <w:rPr>
          <w:rFonts w:asciiTheme="minorHAnsi" w:hAnsiTheme="minorHAnsi"/>
          <w:color w:val="auto"/>
          <w:szCs w:val="24"/>
        </w:rPr>
        <w:t xml:space="preserve"> </w:t>
      </w:r>
      <w:r w:rsidR="001E6A06" w:rsidRPr="007668F2">
        <w:rPr>
          <w:rFonts w:asciiTheme="minorHAnsi" w:hAnsiTheme="minorHAnsi"/>
          <w:color w:val="auto"/>
          <w:szCs w:val="24"/>
        </w:rPr>
        <w:t xml:space="preserve"> </w:t>
      </w:r>
      <w:r w:rsidR="00FA193C" w:rsidRPr="007668F2">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DD34B3" w:rsidRPr="009C38B9" w:rsidRDefault="00C56FC8" w:rsidP="00DD34B3">
      <w:pPr>
        <w:jc w:val="both"/>
        <w:rPr>
          <w:rFonts w:eastAsiaTheme="minorHAnsi" w:cstheme="minorBidi"/>
          <w:color w:val="auto"/>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F54A42">
        <w:rPr>
          <w:rFonts w:eastAsiaTheme="minorHAnsi"/>
          <w:color w:val="000000" w:themeColor="text1"/>
          <w:szCs w:val="24"/>
        </w:rPr>
        <w:t xml:space="preserve">  </w:t>
      </w:r>
      <w:r w:rsidR="00F54A42" w:rsidRPr="00F54A42">
        <w:rPr>
          <w:rFonts w:eastAsiaTheme="minorHAnsi"/>
          <w:color w:val="000000" w:themeColor="text1"/>
          <w:szCs w:val="24"/>
        </w:rPr>
        <w:t xml:space="preserve">The Board did not surmise from the </w:t>
      </w:r>
      <w:r w:rsidR="00F54A42" w:rsidRPr="00AF5D8B">
        <w:rPr>
          <w:rFonts w:eastAsiaTheme="minorHAnsi"/>
          <w:color w:val="000000" w:themeColor="text1"/>
          <w:szCs w:val="24"/>
        </w:rPr>
        <w:t xml:space="preserve">record or PEB ruling in this case that any prerogatives outside the VASRD were exercised.  In the matter of the </w:t>
      </w:r>
      <w:r w:rsidR="00467DC5" w:rsidRPr="00AF5D8B">
        <w:rPr>
          <w:rFonts w:eastAsiaTheme="minorHAnsi"/>
          <w:color w:val="000000" w:themeColor="text1"/>
          <w:szCs w:val="24"/>
        </w:rPr>
        <w:t>lumbar spine</w:t>
      </w:r>
      <w:r w:rsidR="00F54A42" w:rsidRPr="00AF5D8B">
        <w:rPr>
          <w:rFonts w:eastAsiaTheme="minorHAnsi"/>
          <w:color w:val="000000" w:themeColor="text1"/>
          <w:szCs w:val="24"/>
        </w:rPr>
        <w:t xml:space="preserve"> condition, the Board unanimously recommends a rating of 20% coded 5243 IAW VASRD §4.71a.  </w:t>
      </w:r>
      <w:r w:rsidR="00467DC5" w:rsidRPr="00AF5D8B">
        <w:rPr>
          <w:rFonts w:eastAsiaTheme="minorHAnsi"/>
          <w:color w:val="000000" w:themeColor="text1"/>
          <w:szCs w:val="24"/>
        </w:rPr>
        <w:t xml:space="preserve">In the matter of the </w:t>
      </w:r>
      <w:r w:rsidR="009C38B9" w:rsidRPr="00AF5D8B">
        <w:rPr>
          <w:rFonts w:eastAsiaTheme="minorHAnsi"/>
          <w:color w:val="000000" w:themeColor="text1"/>
          <w:szCs w:val="24"/>
        </w:rPr>
        <w:t xml:space="preserve">left sciatic radiculopathy condition, </w:t>
      </w:r>
      <w:r w:rsidR="009C38B9" w:rsidRPr="00AF5D8B">
        <w:rPr>
          <w:rFonts w:eastAsiaTheme="minorHAnsi" w:cstheme="minorBidi"/>
          <w:color w:val="auto"/>
          <w:szCs w:val="24"/>
        </w:rPr>
        <w:t xml:space="preserve">the Board unanimously agrees that it cannot recommend it for additional rating at separation.  </w:t>
      </w:r>
      <w:r w:rsidR="00F54A42" w:rsidRPr="00AF5D8B">
        <w:rPr>
          <w:rFonts w:asciiTheme="minorHAnsi" w:hAnsiTheme="minorHAnsi"/>
          <w:color w:val="auto"/>
          <w:szCs w:val="24"/>
        </w:rPr>
        <w:t xml:space="preserve">In the matter of the contended </w:t>
      </w:r>
      <w:r w:rsidR="00F54A42" w:rsidRPr="00AF5D8B">
        <w:rPr>
          <w:rFonts w:eastAsia="HiddenHorzOCR"/>
          <w:color w:val="000000" w:themeColor="text1"/>
          <w:szCs w:val="24"/>
        </w:rPr>
        <w:t>bila</w:t>
      </w:r>
      <w:r w:rsidR="00DD34B3" w:rsidRPr="00AF5D8B">
        <w:rPr>
          <w:rFonts w:eastAsia="HiddenHorzOCR"/>
          <w:color w:val="000000" w:themeColor="text1"/>
          <w:szCs w:val="24"/>
        </w:rPr>
        <w:t xml:space="preserve">teral knee </w:t>
      </w:r>
      <w:proofErr w:type="spellStart"/>
      <w:r w:rsidR="00F54A42" w:rsidRPr="00AF5D8B">
        <w:rPr>
          <w:rFonts w:eastAsia="HiddenHorzOCR"/>
          <w:color w:val="000000" w:themeColor="text1"/>
          <w:szCs w:val="24"/>
        </w:rPr>
        <w:t>retropatellar</w:t>
      </w:r>
      <w:proofErr w:type="spellEnd"/>
      <w:r w:rsidR="00F54A42" w:rsidRPr="00AF5D8B">
        <w:rPr>
          <w:rFonts w:eastAsia="HiddenHorzOCR"/>
          <w:color w:val="000000" w:themeColor="text1"/>
          <w:szCs w:val="24"/>
        </w:rPr>
        <w:t xml:space="preserve"> pain</w:t>
      </w:r>
      <w:r w:rsidR="00F54A42" w:rsidRPr="00AF5D8B">
        <w:rPr>
          <w:rFonts w:asciiTheme="minorHAnsi" w:hAnsiTheme="minorHAnsi"/>
          <w:color w:val="auto"/>
          <w:szCs w:val="24"/>
        </w:rPr>
        <w:t xml:space="preserve"> condition, the Board unanimously agrees that it cannot</w:t>
      </w:r>
      <w:r w:rsidR="00F54A42" w:rsidRPr="00AF5D8B">
        <w:rPr>
          <w:rFonts w:asciiTheme="minorHAnsi" w:hAnsiTheme="minorHAnsi"/>
          <w:color w:val="000080"/>
          <w:szCs w:val="24"/>
        </w:rPr>
        <w:t xml:space="preserve"> </w:t>
      </w:r>
      <w:r w:rsidR="00F54A42" w:rsidRPr="00AF5D8B">
        <w:rPr>
          <w:rFonts w:asciiTheme="minorHAnsi" w:hAnsiTheme="minorHAnsi"/>
          <w:color w:val="auto"/>
          <w:szCs w:val="24"/>
        </w:rPr>
        <w:t>recommend a finding of unfit for additional rating at separation.</w:t>
      </w:r>
      <w:r w:rsidR="00DD34B3" w:rsidRPr="00AF5D8B">
        <w:rPr>
          <w:rFonts w:asciiTheme="minorHAnsi" w:hAnsiTheme="minorHAnsi"/>
          <w:color w:val="auto"/>
          <w:szCs w:val="24"/>
        </w:rPr>
        <w:t xml:space="preserve">  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C26B27" w:rsidRPr="001F29F9" w:rsidRDefault="00C26B27" w:rsidP="00BF0E94">
      <w:pPr>
        <w:jc w:val="both"/>
        <w:rPr>
          <w:b/>
          <w:color w:val="000000" w:themeColor="text1"/>
          <w:szCs w:val="24"/>
        </w:rPr>
      </w:pPr>
    </w:p>
    <w:p w:rsidR="00C56FC8" w:rsidRPr="001F29F9" w:rsidRDefault="00C56FC8" w:rsidP="009C38B9">
      <w:pPr>
        <w:jc w:val="both"/>
        <w:rPr>
          <w:color w:val="000000" w:themeColor="text1"/>
          <w:szCs w:val="24"/>
        </w:rPr>
      </w:pPr>
      <w:r w:rsidRPr="001F29F9">
        <w:rPr>
          <w:color w:val="000000" w:themeColor="text1"/>
          <w:szCs w:val="24"/>
        </w:rPr>
        <w:t xml:space="preserve">The Board recommends that the CI’s prior determination be modified as follows, effective as of the date of </w:t>
      </w:r>
      <w:proofErr w:type="gramStart"/>
      <w:r w:rsidRPr="001F29F9">
        <w:rPr>
          <w:color w:val="000000" w:themeColor="text1"/>
          <w:szCs w:val="24"/>
        </w:rPr>
        <w:t>his</w:t>
      </w:r>
      <w:r w:rsidR="00DD34B3">
        <w:rPr>
          <w:color w:val="000000" w:themeColor="text1"/>
          <w:szCs w:val="24"/>
        </w:rPr>
        <w:t xml:space="preserve"> </w:t>
      </w:r>
      <w:r w:rsidR="00911B11" w:rsidRPr="001F29F9">
        <w:rPr>
          <w:color w:val="000000" w:themeColor="text1"/>
          <w:szCs w:val="24"/>
        </w:rPr>
        <w:t xml:space="preserve"> prior</w:t>
      </w:r>
      <w:proofErr w:type="gramEnd"/>
      <w:r w:rsidR="00911B11" w:rsidRPr="001F29F9">
        <w:rPr>
          <w:color w:val="000000" w:themeColor="text1"/>
          <w:szCs w:val="24"/>
        </w:rPr>
        <w:t xml:space="preserve">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530"/>
        <w:gridCol w:w="1152"/>
      </w:tblGrid>
      <w:tr w:rsidR="00A95BBA" w:rsidRPr="001F29F9" w:rsidTr="009C38B9">
        <w:trPr>
          <w:trHeight w:val="233"/>
          <w:jc w:val="center"/>
        </w:trPr>
        <w:tc>
          <w:tcPr>
            <w:tcW w:w="667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5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9C38B9">
        <w:trPr>
          <w:jc w:val="center"/>
        </w:trPr>
        <w:tc>
          <w:tcPr>
            <w:tcW w:w="6678" w:type="dxa"/>
            <w:vAlign w:val="center"/>
          </w:tcPr>
          <w:p w:rsidR="00A95BBA" w:rsidRPr="001F29F9" w:rsidRDefault="009C38B9" w:rsidP="00BF0E94">
            <w:pPr>
              <w:tabs>
                <w:tab w:val="left" w:pos="288"/>
                <w:tab w:val="left" w:pos="4752"/>
              </w:tabs>
              <w:jc w:val="left"/>
              <w:rPr>
                <w:color w:val="000000" w:themeColor="text1"/>
                <w:szCs w:val="24"/>
              </w:rPr>
            </w:pPr>
            <w:r>
              <w:rPr>
                <w:color w:val="000000" w:themeColor="text1"/>
                <w:szCs w:val="24"/>
              </w:rPr>
              <w:t>Lumbar Disc Disease</w:t>
            </w:r>
          </w:p>
        </w:tc>
        <w:tc>
          <w:tcPr>
            <w:tcW w:w="1530" w:type="dxa"/>
            <w:vAlign w:val="center"/>
          </w:tcPr>
          <w:p w:rsidR="00A95BBA" w:rsidRPr="001F29F9" w:rsidRDefault="00DD34B3" w:rsidP="00BF0E94">
            <w:pPr>
              <w:tabs>
                <w:tab w:val="left" w:pos="288"/>
                <w:tab w:val="left" w:pos="4752"/>
              </w:tabs>
              <w:rPr>
                <w:color w:val="000000" w:themeColor="text1"/>
                <w:szCs w:val="24"/>
              </w:rPr>
            </w:pPr>
            <w:r>
              <w:rPr>
                <w:color w:val="000000" w:themeColor="text1"/>
                <w:szCs w:val="24"/>
              </w:rPr>
              <w:t>5243</w:t>
            </w:r>
          </w:p>
        </w:tc>
        <w:tc>
          <w:tcPr>
            <w:tcW w:w="1152" w:type="dxa"/>
            <w:vAlign w:val="center"/>
          </w:tcPr>
          <w:p w:rsidR="00A95BBA" w:rsidRPr="009C38B9" w:rsidRDefault="00DD34B3" w:rsidP="00BF0E94">
            <w:pPr>
              <w:tabs>
                <w:tab w:val="left" w:pos="288"/>
                <w:tab w:val="left" w:pos="4752"/>
              </w:tabs>
              <w:rPr>
                <w:color w:val="000000" w:themeColor="text1"/>
                <w:szCs w:val="24"/>
              </w:rPr>
            </w:pPr>
            <w:r w:rsidRPr="009C38B9">
              <w:rPr>
                <w:color w:val="000000" w:themeColor="text1"/>
                <w:szCs w:val="24"/>
              </w:rPr>
              <w:t>2</w:t>
            </w:r>
            <w:r w:rsidR="00A95BBA" w:rsidRPr="009C38B9">
              <w:rPr>
                <w:color w:val="000000" w:themeColor="text1"/>
                <w:szCs w:val="24"/>
              </w:rPr>
              <w:t>0%</w:t>
            </w:r>
          </w:p>
        </w:tc>
      </w:tr>
      <w:tr w:rsidR="00A95BBA" w:rsidRPr="001F29F9" w:rsidTr="009C38B9">
        <w:tblPrEx>
          <w:tblLook w:val="0000"/>
        </w:tblPrEx>
        <w:trPr>
          <w:gridBefore w:val="1"/>
          <w:wBefore w:w="667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52" w:type="dxa"/>
            <w:tcBorders>
              <w:bottom w:val="single" w:sz="4" w:space="0" w:color="000000"/>
            </w:tcBorders>
            <w:shd w:val="clear" w:color="auto" w:fill="D9D9D9" w:themeFill="background1" w:themeFillShade="D9"/>
            <w:vAlign w:val="center"/>
          </w:tcPr>
          <w:p w:rsidR="00A95BBA" w:rsidRPr="009C38B9" w:rsidRDefault="00DD34B3" w:rsidP="00AF5D8B">
            <w:pPr>
              <w:tabs>
                <w:tab w:val="left" w:pos="288"/>
                <w:tab w:val="left" w:pos="4752"/>
              </w:tabs>
              <w:rPr>
                <w:b/>
                <w:color w:val="000000" w:themeColor="text1"/>
                <w:szCs w:val="24"/>
              </w:rPr>
            </w:pPr>
            <w:r w:rsidRPr="00AF5D8B">
              <w:rPr>
                <w:b/>
                <w:color w:val="000000" w:themeColor="text1"/>
                <w:szCs w:val="24"/>
              </w:rPr>
              <w:t>2</w:t>
            </w:r>
            <w:r w:rsidR="00A95BBA" w:rsidRPr="00AF5D8B">
              <w:rPr>
                <w:b/>
                <w:color w:val="000000" w:themeColor="text1"/>
                <w:szCs w:val="24"/>
              </w:rPr>
              <w:t>0%</w:t>
            </w:r>
            <w:r w:rsidR="009C38B9" w:rsidRPr="009C38B9">
              <w:rPr>
                <w:b/>
                <w:color w:val="000000" w:themeColor="text1"/>
                <w:szCs w:val="24"/>
                <w:highlight w:val="yellow"/>
              </w:rPr>
              <w:t xml:space="preserve"> </w:t>
            </w:r>
          </w:p>
        </w:tc>
      </w:tr>
    </w:tbl>
    <w:p w:rsidR="00963617" w:rsidRPr="001F29F9" w:rsidRDefault="00963617" w:rsidP="00BF0E94">
      <w:pPr>
        <w:pBdr>
          <w:bottom w:val="single" w:sz="12" w:space="1" w:color="auto"/>
        </w:pBdr>
        <w:tabs>
          <w:tab w:val="left" w:pos="288"/>
          <w:tab w:val="left" w:pos="4752"/>
        </w:tabs>
        <w:jc w:val="both"/>
        <w:rPr>
          <w:color w:val="000000" w:themeColor="text1"/>
        </w:rPr>
      </w:pPr>
    </w:p>
    <w:p w:rsidR="007C42FB" w:rsidRDefault="007C42FB" w:rsidP="00BF0E94">
      <w:pPr>
        <w:tabs>
          <w:tab w:val="left" w:pos="288"/>
          <w:tab w:val="left" w:pos="4752"/>
        </w:tabs>
        <w:jc w:val="both"/>
        <w:rPr>
          <w:color w:val="000000" w:themeColor="text1"/>
        </w:rPr>
      </w:pPr>
    </w:p>
    <w:p w:rsidR="00D91DA6" w:rsidRPr="001F29F9" w:rsidRDefault="00FB1725" w:rsidP="00E42108">
      <w:pPr>
        <w:tabs>
          <w:tab w:val="left" w:pos="288"/>
          <w:tab w:val="left" w:pos="4752"/>
        </w:tabs>
        <w:jc w:val="left"/>
        <w:rPr>
          <w:color w:val="000000" w:themeColor="text1"/>
        </w:rPr>
      </w:pPr>
      <w:r w:rsidRPr="001F29F9">
        <w:rPr>
          <w:color w:val="000000" w:themeColor="text1"/>
        </w:rPr>
        <w:t>The following documentary evidence was considered:</w:t>
      </w:r>
    </w:p>
    <w:p w:rsidR="00EB5EFD" w:rsidRPr="001F29F9" w:rsidRDefault="00EB5EFD" w:rsidP="00E42108">
      <w:pPr>
        <w:tabs>
          <w:tab w:val="left" w:pos="288"/>
          <w:tab w:val="left" w:pos="4752"/>
        </w:tabs>
        <w:jc w:val="left"/>
        <w:rPr>
          <w:color w:val="000000" w:themeColor="text1"/>
        </w:rPr>
      </w:pPr>
    </w:p>
    <w:p w:rsidR="00114F20" w:rsidRPr="001F29F9" w:rsidRDefault="00FB1725" w:rsidP="00E42108">
      <w:pPr>
        <w:tabs>
          <w:tab w:val="left" w:pos="288"/>
          <w:tab w:val="left" w:pos="4752"/>
        </w:tabs>
        <w:spacing w:line="440" w:lineRule="exact"/>
        <w:jc w:val="left"/>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71404">
        <w:rPr>
          <w:color w:val="000000" w:themeColor="text1"/>
          <w:szCs w:val="24"/>
        </w:rPr>
        <w:t>01011</w:t>
      </w:r>
      <w:r w:rsidR="00E12322">
        <w:rPr>
          <w:color w:val="000000" w:themeColor="text1"/>
        </w:rPr>
        <w:t>, w/atchs</w:t>
      </w:r>
    </w:p>
    <w:p w:rsidR="00114F20" w:rsidRPr="001F29F9" w:rsidRDefault="00FB1725" w:rsidP="00E42108">
      <w:pPr>
        <w:tabs>
          <w:tab w:val="left" w:pos="288"/>
          <w:tab w:val="left" w:pos="4752"/>
        </w:tabs>
        <w:jc w:val="left"/>
        <w:rPr>
          <w:color w:val="000000" w:themeColor="text1"/>
        </w:rPr>
      </w:pPr>
      <w:r w:rsidRPr="001F29F9">
        <w:rPr>
          <w:color w:val="000000" w:themeColor="text1"/>
        </w:rPr>
        <w:t>Exhib</w:t>
      </w:r>
      <w:r w:rsidR="00E12322">
        <w:rPr>
          <w:color w:val="000000" w:themeColor="text1"/>
        </w:rPr>
        <w:t>it B.  Service Treatment Record</w:t>
      </w:r>
    </w:p>
    <w:p w:rsidR="00114F20" w:rsidRPr="001F29F9" w:rsidRDefault="00FB1725" w:rsidP="00E42108">
      <w:pPr>
        <w:tabs>
          <w:tab w:val="left" w:pos="288"/>
          <w:tab w:val="left" w:pos="4752"/>
        </w:tabs>
        <w:jc w:val="left"/>
        <w:rPr>
          <w:color w:val="000000" w:themeColor="text1"/>
        </w:rPr>
      </w:pPr>
      <w:r w:rsidRPr="001F29F9">
        <w:rPr>
          <w:color w:val="000000" w:themeColor="text1"/>
        </w:rPr>
        <w:t>Exhibit C.  Department of Ve</w:t>
      </w:r>
      <w:r w:rsidR="00E12322">
        <w:rPr>
          <w:color w:val="000000" w:themeColor="text1"/>
        </w:rPr>
        <w:t>terans Affairs Treatment Record</w:t>
      </w:r>
    </w:p>
    <w:p w:rsidR="00D91DA6" w:rsidRPr="001F29F9" w:rsidRDefault="00D91DA6" w:rsidP="00E42108">
      <w:pPr>
        <w:tabs>
          <w:tab w:val="left" w:pos="288"/>
          <w:tab w:val="left" w:pos="4752"/>
        </w:tabs>
        <w:jc w:val="left"/>
        <w:rPr>
          <w:color w:val="000000" w:themeColor="text1"/>
        </w:rPr>
      </w:pPr>
    </w:p>
    <w:p w:rsidR="00114F20" w:rsidRPr="001F29F9" w:rsidRDefault="00114F20" w:rsidP="00E42108">
      <w:pPr>
        <w:tabs>
          <w:tab w:val="left" w:pos="288"/>
          <w:tab w:val="left" w:pos="4752"/>
        </w:tabs>
        <w:jc w:val="left"/>
        <w:rPr>
          <w:color w:val="000000" w:themeColor="text1"/>
        </w:rPr>
      </w:pPr>
    </w:p>
    <w:p w:rsidR="00114F20" w:rsidRPr="001F29F9" w:rsidRDefault="00114F20" w:rsidP="00E42108">
      <w:pPr>
        <w:tabs>
          <w:tab w:val="left" w:pos="288"/>
          <w:tab w:val="left" w:pos="4752"/>
        </w:tabs>
        <w:jc w:val="left"/>
        <w:rPr>
          <w:color w:val="000000" w:themeColor="text1"/>
        </w:rPr>
      </w:pPr>
    </w:p>
    <w:p w:rsidR="00114F20" w:rsidRPr="001F29F9" w:rsidRDefault="00114F20" w:rsidP="00E42108">
      <w:pPr>
        <w:tabs>
          <w:tab w:val="left" w:pos="288"/>
          <w:tab w:val="left" w:pos="4752"/>
        </w:tabs>
        <w:jc w:val="left"/>
        <w:rPr>
          <w:color w:val="000000" w:themeColor="text1"/>
        </w:rPr>
      </w:pPr>
    </w:p>
    <w:p w:rsidR="00E3077F" w:rsidRPr="001F29F9" w:rsidRDefault="00220FA9" w:rsidP="00E42108">
      <w:pPr>
        <w:tabs>
          <w:tab w:val="left" w:pos="0"/>
          <w:tab w:val="left" w:pos="4320"/>
        </w:tabs>
        <w:jc w:val="left"/>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E42108">
        <w:rPr>
          <w:color w:val="000000" w:themeColor="text1"/>
          <w:szCs w:val="24"/>
        </w:rPr>
        <w:t>XXXXXXXXXXXXXXX</w:t>
      </w:r>
    </w:p>
    <w:p w:rsidR="002F195B" w:rsidRPr="001F29F9" w:rsidRDefault="00220FA9" w:rsidP="00E42108">
      <w:pPr>
        <w:tabs>
          <w:tab w:val="left" w:pos="0"/>
          <w:tab w:val="left" w:pos="4320"/>
        </w:tabs>
        <w:jc w:val="left"/>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42108" w:rsidRDefault="002F195B" w:rsidP="00E42108">
      <w:pPr>
        <w:tabs>
          <w:tab w:val="left" w:pos="0"/>
          <w:tab w:val="left" w:pos="4320"/>
        </w:tabs>
        <w:jc w:val="left"/>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E42108" w:rsidRDefault="00E42108">
      <w:pPr>
        <w:rPr>
          <w:color w:val="000000" w:themeColor="text1"/>
          <w:szCs w:val="24"/>
        </w:rPr>
      </w:pPr>
      <w:r>
        <w:rPr>
          <w:color w:val="000000" w:themeColor="text1"/>
          <w:szCs w:val="24"/>
        </w:rPr>
        <w:br w:type="page"/>
      </w:r>
    </w:p>
    <w:p w:rsidR="008E3C90" w:rsidRPr="00963617" w:rsidRDefault="008E3C90" w:rsidP="00E42108">
      <w:pPr>
        <w:tabs>
          <w:tab w:val="left" w:pos="0"/>
          <w:tab w:val="left" w:pos="4320"/>
        </w:tabs>
        <w:jc w:val="left"/>
        <w:rPr>
          <w:color w:val="000000" w:themeColor="text1"/>
          <w:szCs w:val="24"/>
        </w:rPr>
      </w:pPr>
    </w:p>
    <w:p w:rsidR="00E42108" w:rsidRDefault="00E42108" w:rsidP="00E42108">
      <w:pPr>
        <w:tabs>
          <w:tab w:val="left" w:pos="576"/>
        </w:tabs>
        <w:ind w:right="-1080"/>
        <w:jc w:val="left"/>
        <w:rPr>
          <w:rFonts w:ascii="Times New Roman" w:hAnsi="Times New Roman"/>
          <w:color w:val="auto"/>
        </w:rPr>
      </w:pPr>
      <w:r>
        <w:rPr>
          <w:rFonts w:ascii="Times New Roman" w:hAnsi="Times New Roman"/>
          <w:color w:val="auto"/>
        </w:rPr>
        <w:t>SAF/MRB</w:t>
      </w:r>
    </w:p>
    <w:p w:rsidR="00E42108" w:rsidRDefault="00E42108" w:rsidP="00E42108">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E42108" w:rsidRDefault="00E42108" w:rsidP="00E42108">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E42108" w:rsidRDefault="00E42108" w:rsidP="00E42108">
      <w:pPr>
        <w:tabs>
          <w:tab w:val="left" w:pos="720"/>
        </w:tabs>
        <w:ind w:right="-1080"/>
        <w:jc w:val="left"/>
        <w:rPr>
          <w:rFonts w:ascii="Times New Roman" w:hAnsi="Times New Roman"/>
          <w:color w:val="auto"/>
          <w:sz w:val="20"/>
        </w:rPr>
      </w:pPr>
    </w:p>
    <w:p w:rsidR="00E42108" w:rsidRDefault="00E42108" w:rsidP="00E42108">
      <w:pPr>
        <w:tabs>
          <w:tab w:val="left" w:pos="720"/>
        </w:tabs>
        <w:ind w:right="-1080"/>
        <w:jc w:val="left"/>
        <w:rPr>
          <w:rFonts w:ascii="Times New Roman" w:hAnsi="Times New Roman"/>
          <w:color w:val="auto"/>
        </w:rPr>
      </w:pPr>
      <w:r>
        <w:rPr>
          <w:rFonts w:ascii="Times New Roman" w:hAnsi="Times New Roman"/>
          <w:color w:val="auto"/>
        </w:rPr>
        <w:t>Dear XXXXXXXX:</w:t>
      </w:r>
    </w:p>
    <w:p w:rsidR="00E42108" w:rsidRDefault="00E42108" w:rsidP="00E42108">
      <w:pPr>
        <w:tabs>
          <w:tab w:val="left" w:pos="720"/>
        </w:tabs>
        <w:ind w:right="-1080"/>
        <w:jc w:val="left"/>
        <w:rPr>
          <w:rFonts w:ascii="Times New Roman" w:hAnsi="Times New Roman"/>
          <w:color w:val="auto"/>
          <w:sz w:val="20"/>
        </w:rPr>
      </w:pPr>
    </w:p>
    <w:p w:rsidR="00E42108" w:rsidRDefault="00E42108" w:rsidP="00E42108">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PD-2010-01249.</w:t>
      </w:r>
    </w:p>
    <w:p w:rsidR="00E42108" w:rsidRDefault="00E42108" w:rsidP="00E42108">
      <w:pPr>
        <w:tabs>
          <w:tab w:val="left" w:pos="720"/>
        </w:tabs>
        <w:jc w:val="left"/>
        <w:rPr>
          <w:rFonts w:ascii="Times New Roman" w:hAnsi="Times New Roman"/>
          <w:color w:val="auto"/>
        </w:rPr>
      </w:pPr>
    </w:p>
    <w:p w:rsidR="00E42108" w:rsidRDefault="00E42108" w:rsidP="00E42108">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E42108" w:rsidRDefault="00E42108" w:rsidP="00E42108">
      <w:pPr>
        <w:tabs>
          <w:tab w:val="left" w:pos="720"/>
        </w:tabs>
        <w:ind w:right="-1080"/>
        <w:jc w:val="left"/>
        <w:rPr>
          <w:rFonts w:ascii="Times New Roman" w:hAnsi="Times New Roman"/>
          <w:color w:val="auto"/>
        </w:rPr>
      </w:pPr>
    </w:p>
    <w:p w:rsidR="00E42108" w:rsidRDefault="00E42108" w:rsidP="00E42108">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E42108" w:rsidRDefault="00E42108" w:rsidP="00E42108">
      <w:pPr>
        <w:tabs>
          <w:tab w:val="left" w:pos="720"/>
        </w:tabs>
        <w:jc w:val="left"/>
        <w:rPr>
          <w:rFonts w:ascii="Times New Roman" w:hAnsi="Times New Roman"/>
          <w:color w:val="auto"/>
        </w:rPr>
      </w:pPr>
    </w:p>
    <w:p w:rsidR="00E42108" w:rsidRDefault="00E42108" w:rsidP="00E42108">
      <w:pPr>
        <w:pStyle w:val="BodyText2"/>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E42108" w:rsidRDefault="00E42108" w:rsidP="00E42108">
      <w:pPr>
        <w:pStyle w:val="BodyText2"/>
        <w:jc w:val="left"/>
        <w:rPr>
          <w:rFonts w:ascii="Times New Roman" w:hAnsi="Times New Roman"/>
          <w:color w:val="auto"/>
        </w:rPr>
      </w:pPr>
    </w:p>
    <w:p w:rsidR="00E42108" w:rsidRDefault="00E42108" w:rsidP="00E42108">
      <w:pPr>
        <w:tabs>
          <w:tab w:val="left" w:pos="720"/>
        </w:tabs>
        <w:ind w:right="-1080"/>
        <w:jc w:val="left"/>
        <w:rPr>
          <w:rFonts w:ascii="Times New Roman" w:hAnsi="Times New Roman"/>
          <w:color w:val="auto"/>
        </w:rPr>
      </w:pPr>
    </w:p>
    <w:p w:rsidR="00E42108" w:rsidRDefault="00E42108" w:rsidP="00E42108">
      <w:pPr>
        <w:tabs>
          <w:tab w:val="left" w:pos="720"/>
        </w:tabs>
        <w:ind w:right="-1080"/>
        <w:jc w:val="left"/>
        <w:rPr>
          <w:rFonts w:ascii="Times New Roman" w:hAnsi="Times New Roman"/>
          <w:color w:val="auto"/>
        </w:rPr>
      </w:pPr>
    </w:p>
    <w:p w:rsidR="00E42108" w:rsidRDefault="00E42108" w:rsidP="00E42108">
      <w:pPr>
        <w:tabs>
          <w:tab w:val="left" w:pos="720"/>
        </w:tabs>
        <w:ind w:right="-1080"/>
        <w:jc w:val="left"/>
        <w:rPr>
          <w:rFonts w:ascii="Times New Roman" w:hAnsi="Times New Roman"/>
          <w:color w:val="auto"/>
        </w:rPr>
      </w:pPr>
    </w:p>
    <w:p w:rsidR="00E42108" w:rsidRDefault="00E42108" w:rsidP="00E42108">
      <w:pPr>
        <w:tabs>
          <w:tab w:val="left" w:pos="720"/>
        </w:tabs>
        <w:ind w:right="-1080"/>
        <w:jc w:val="left"/>
        <w:rPr>
          <w:rFonts w:ascii="Times New Roman" w:hAnsi="Times New Roman"/>
          <w:color w:val="auto"/>
        </w:rPr>
      </w:pPr>
    </w:p>
    <w:p w:rsidR="00E42108" w:rsidRDefault="00E42108" w:rsidP="00E42108">
      <w:pPr>
        <w:tabs>
          <w:tab w:val="left" w:pos="720"/>
        </w:tabs>
        <w:ind w:left="5040" w:right="-1080"/>
        <w:jc w:val="left"/>
        <w:rPr>
          <w:rFonts w:ascii="Times New Roman" w:hAnsi="Times New Roman"/>
          <w:color w:val="auto"/>
        </w:rPr>
      </w:pPr>
      <w:r>
        <w:rPr>
          <w:rFonts w:ascii="Times New Roman" w:hAnsi="Times New Roman"/>
          <w:color w:val="auto"/>
        </w:rPr>
        <w:t>Director</w:t>
      </w:r>
    </w:p>
    <w:p w:rsidR="00E42108" w:rsidRDefault="00E42108" w:rsidP="00E42108">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E42108" w:rsidRDefault="00E42108">
      <w:pPr>
        <w:rPr>
          <w:rFonts w:ascii="Times New Roman" w:hAnsi="Times New Roman"/>
          <w:color w:val="auto"/>
        </w:rPr>
      </w:pPr>
      <w:r>
        <w:rPr>
          <w:rFonts w:ascii="Times New Roman" w:hAnsi="Times New Roman"/>
          <w:color w:val="auto"/>
        </w:rPr>
        <w:br w:type="page"/>
      </w:r>
    </w:p>
    <w:p w:rsidR="00E42108" w:rsidRDefault="00E42108" w:rsidP="00E42108">
      <w:pPr>
        <w:tabs>
          <w:tab w:val="left" w:pos="720"/>
        </w:tabs>
        <w:ind w:left="5040" w:right="-1080"/>
        <w:jc w:val="left"/>
        <w:rPr>
          <w:rFonts w:ascii="Times New Roman" w:hAnsi="Times New Roman"/>
          <w:color w:val="auto"/>
        </w:rPr>
      </w:pPr>
    </w:p>
    <w:p w:rsidR="00E42108" w:rsidRDefault="00E42108" w:rsidP="00E42108">
      <w:pPr>
        <w:tabs>
          <w:tab w:val="left" w:pos="720"/>
        </w:tabs>
        <w:ind w:right="-360"/>
        <w:jc w:val="left"/>
        <w:outlineLvl w:val="0"/>
        <w:rPr>
          <w:rFonts w:ascii="Times New Roman" w:hAnsi="Times New Roman"/>
          <w:color w:val="000000"/>
        </w:rPr>
      </w:pPr>
      <w:r>
        <w:rPr>
          <w:rFonts w:ascii="Times New Roman" w:hAnsi="Times New Roman"/>
          <w:color w:val="000000"/>
        </w:rPr>
        <w:t>PDBR PD-2010-01249</w:t>
      </w: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outlineLvl w:val="0"/>
        <w:rPr>
          <w:rFonts w:ascii="Times New Roman" w:hAnsi="Times New Roman"/>
          <w:color w:val="000000"/>
        </w:rPr>
      </w:pPr>
      <w:r>
        <w:rPr>
          <w:rFonts w:ascii="Times New Roman" w:hAnsi="Times New Roman"/>
          <w:color w:val="000000"/>
        </w:rPr>
        <w:t>MEMORANDUM FOR THE CHIEF OF STAFF</w:t>
      </w: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XXXXXXXXXXX,</w:t>
      </w:r>
      <w:proofErr w:type="gramEnd"/>
      <w:r>
        <w:rPr>
          <w:rFonts w:ascii="Times New Roman" w:hAnsi="Times New Roman"/>
          <w:color w:val="000000"/>
        </w:rPr>
        <w:t xml:space="preserve"> be corrected to show that the diagnosis in his finding of unfitness was Lumbar Disc Disease, VASRD Code 5243, rated at 20% rather than Low Back Pain s/p </w:t>
      </w:r>
      <w:proofErr w:type="spellStart"/>
      <w:r>
        <w:rPr>
          <w:rFonts w:ascii="Times New Roman" w:hAnsi="Times New Roman"/>
          <w:color w:val="000000"/>
        </w:rPr>
        <w:t>Diskectomies</w:t>
      </w:r>
      <w:proofErr w:type="spellEnd"/>
      <w:r>
        <w:rPr>
          <w:rFonts w:ascii="Times New Roman" w:hAnsi="Times New Roman"/>
          <w:color w:val="000000"/>
        </w:rPr>
        <w:t xml:space="preserve"> X 3, VASRD Code 5243, rated at 10%.</w:t>
      </w: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rPr>
          <w:rFonts w:ascii="Times New Roman" w:hAnsi="Times New Roman"/>
          <w:color w:val="000000"/>
        </w:rPr>
      </w:pPr>
    </w:p>
    <w:p w:rsidR="00E42108" w:rsidRDefault="00E42108" w:rsidP="00E42108">
      <w:pPr>
        <w:tabs>
          <w:tab w:val="left" w:pos="720"/>
        </w:tabs>
        <w:ind w:right="-360"/>
        <w:jc w:val="left"/>
        <w:outlineLvl w:val="0"/>
        <w:rPr>
          <w:rFonts w:ascii="Times New Roman" w:hAnsi="Times New Roman"/>
          <w:color w:val="000000"/>
        </w:rPr>
      </w:pPr>
    </w:p>
    <w:p w:rsidR="00E42108" w:rsidRDefault="00E42108" w:rsidP="00E42108">
      <w:pPr>
        <w:tabs>
          <w:tab w:val="left" w:pos="720"/>
        </w:tabs>
        <w:ind w:right="-360"/>
        <w:jc w:val="left"/>
        <w:outlineLvl w:val="0"/>
        <w:rPr>
          <w:rFonts w:ascii="Times New Roman" w:hAnsi="Times New Roman"/>
          <w:color w:val="000000"/>
        </w:rPr>
      </w:pPr>
    </w:p>
    <w:p w:rsidR="00E42108" w:rsidRDefault="00E42108" w:rsidP="00E42108">
      <w:pPr>
        <w:tabs>
          <w:tab w:val="left" w:pos="720"/>
        </w:tabs>
        <w:ind w:right="-360"/>
        <w:jc w:val="left"/>
        <w:outlineLvl w:val="0"/>
        <w:rPr>
          <w:rFonts w:ascii="Times New Roman" w:hAnsi="Times New Roman"/>
          <w:color w:val="000000"/>
        </w:rPr>
      </w:pPr>
    </w:p>
    <w:p w:rsidR="00E42108" w:rsidRDefault="00E42108" w:rsidP="00E42108">
      <w:pPr>
        <w:tabs>
          <w:tab w:val="left" w:pos="720"/>
        </w:tabs>
        <w:ind w:right="-360"/>
        <w:jc w:val="left"/>
        <w:outlineLvl w:val="0"/>
        <w:rPr>
          <w:rFonts w:ascii="Times New Roman" w:hAnsi="Times New Roman"/>
          <w:color w:val="000000"/>
        </w:rPr>
      </w:pPr>
      <w:r>
        <w:rPr>
          <w:rFonts w:ascii="Times New Roman" w:hAnsi="Times New Roman"/>
          <w:color w:val="000000"/>
        </w:rPr>
        <w:t xml:space="preserve">                                                                            Director</w:t>
      </w:r>
    </w:p>
    <w:p w:rsidR="00E42108" w:rsidRDefault="00E42108" w:rsidP="00E42108">
      <w:pPr>
        <w:tabs>
          <w:tab w:val="left" w:pos="720"/>
        </w:tabs>
        <w:ind w:right="-360"/>
        <w:jc w:val="left"/>
        <w:rPr>
          <w:rFonts w:ascii="Times New Roman" w:hAnsi="Times New Roman"/>
          <w:color w:val="000000"/>
        </w:rPr>
      </w:pPr>
      <w:r>
        <w:rPr>
          <w:rFonts w:ascii="Times New Roman" w:hAnsi="Times New Roman"/>
          <w:color w:val="000000"/>
        </w:rPr>
        <w:t xml:space="preserve">                                                                            Air Force Review Boards Agency</w:t>
      </w:r>
    </w:p>
    <w:p w:rsidR="00432EC0" w:rsidRPr="001F29F9" w:rsidRDefault="00432EC0" w:rsidP="00432EC0">
      <w:pPr>
        <w:tabs>
          <w:tab w:val="left" w:pos="288"/>
          <w:tab w:val="left" w:pos="1710"/>
        </w:tabs>
        <w:jc w:val="both"/>
        <w:rPr>
          <w:color w:val="000000" w:themeColor="text1"/>
          <w:szCs w:val="24"/>
          <w:highlight w:val="yellow"/>
        </w:rPr>
      </w:pPr>
    </w:p>
    <w:sectPr w:rsidR="00432EC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9E" w:rsidRDefault="00073D9E">
      <w:r>
        <w:separator/>
      </w:r>
    </w:p>
  </w:endnote>
  <w:endnote w:type="continuationSeparator" w:id="0">
    <w:p w:rsidR="00073D9E" w:rsidRDefault="00073D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D3A5C" w:rsidRPr="00374247" w:rsidRDefault="002D3A5C" w:rsidP="00374247">
        <w:pPr>
          <w:pStyle w:val="Footer"/>
          <w:ind w:firstLine="4320"/>
          <w:rPr>
            <w:color w:val="auto"/>
            <w:szCs w:val="24"/>
          </w:rPr>
        </w:pPr>
        <w:r w:rsidRPr="00374247">
          <w:rPr>
            <w:color w:val="auto"/>
            <w:szCs w:val="24"/>
          </w:rPr>
          <w:t xml:space="preserve">   </w:t>
        </w:r>
        <w:r w:rsidR="00F73FC8" w:rsidRPr="00374247">
          <w:rPr>
            <w:color w:val="auto"/>
            <w:szCs w:val="24"/>
          </w:rPr>
          <w:fldChar w:fldCharType="begin"/>
        </w:r>
        <w:r w:rsidRPr="00374247">
          <w:rPr>
            <w:color w:val="auto"/>
            <w:szCs w:val="24"/>
          </w:rPr>
          <w:instrText xml:space="preserve"> PAGE   \* MERGEFORMAT </w:instrText>
        </w:r>
        <w:r w:rsidR="00F73FC8" w:rsidRPr="00374247">
          <w:rPr>
            <w:color w:val="auto"/>
            <w:szCs w:val="24"/>
          </w:rPr>
          <w:fldChar w:fldCharType="separate"/>
        </w:r>
        <w:r w:rsidR="00E42108" w:rsidRPr="00E42108">
          <w:rPr>
            <w:noProof/>
            <w:color w:val="auto"/>
          </w:rPr>
          <w:t>5</w:t>
        </w:r>
        <w:r w:rsidR="00F73FC8" w:rsidRPr="00374247">
          <w:rPr>
            <w:color w:val="auto"/>
            <w:szCs w:val="24"/>
          </w:rPr>
          <w:fldChar w:fldCharType="end"/>
        </w:r>
        <w:r w:rsidRPr="00374247">
          <w:rPr>
            <w:color w:val="auto"/>
            <w:szCs w:val="24"/>
          </w:rPr>
          <w:t xml:space="preserve">                                                           </w:t>
        </w:r>
        <w:r w:rsidRPr="00FD6C41">
          <w:rPr>
            <w:rFonts w:asciiTheme="minorHAnsi" w:hAnsiTheme="minorHAnsi"/>
            <w:caps/>
            <w:color w:val="auto"/>
          </w:rPr>
          <w:t>PD</w:t>
        </w:r>
        <w:r>
          <w:rPr>
            <w:rFonts w:asciiTheme="minorHAnsi" w:hAnsiTheme="minorHAnsi"/>
            <w:caps/>
            <w:color w:val="auto"/>
          </w:rPr>
          <w:t>1001249</w:t>
        </w:r>
      </w:p>
    </w:sdtContent>
  </w:sdt>
  <w:p w:rsidR="002D3A5C" w:rsidRPr="00684CE6" w:rsidRDefault="002D3A5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9E" w:rsidRDefault="00073D9E">
      <w:r>
        <w:separator/>
      </w:r>
    </w:p>
  </w:footnote>
  <w:footnote w:type="continuationSeparator" w:id="0">
    <w:p w:rsidR="00073D9E" w:rsidRDefault="00073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24F5"/>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5547"/>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2F17"/>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3D9E"/>
    <w:rsid w:val="0007488B"/>
    <w:rsid w:val="00075702"/>
    <w:rsid w:val="00075A0C"/>
    <w:rsid w:val="000775C2"/>
    <w:rsid w:val="00077835"/>
    <w:rsid w:val="000806AD"/>
    <w:rsid w:val="00080BDF"/>
    <w:rsid w:val="00080C57"/>
    <w:rsid w:val="00081305"/>
    <w:rsid w:val="00082482"/>
    <w:rsid w:val="00082CA0"/>
    <w:rsid w:val="00084AD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B5A"/>
    <w:rsid w:val="000E2E50"/>
    <w:rsid w:val="000E37E0"/>
    <w:rsid w:val="000E3F20"/>
    <w:rsid w:val="000E4C25"/>
    <w:rsid w:val="000E4CBF"/>
    <w:rsid w:val="000E5577"/>
    <w:rsid w:val="000E56E8"/>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78E"/>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9A2"/>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2A1C"/>
    <w:rsid w:val="001C3473"/>
    <w:rsid w:val="001C3700"/>
    <w:rsid w:val="001C5BDA"/>
    <w:rsid w:val="001C5CFC"/>
    <w:rsid w:val="001C7231"/>
    <w:rsid w:val="001C7418"/>
    <w:rsid w:val="001C7EBE"/>
    <w:rsid w:val="001D0051"/>
    <w:rsid w:val="001D150B"/>
    <w:rsid w:val="001D169A"/>
    <w:rsid w:val="001D2224"/>
    <w:rsid w:val="001D2807"/>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6A06"/>
    <w:rsid w:val="001F0297"/>
    <w:rsid w:val="001F29F9"/>
    <w:rsid w:val="001F636C"/>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79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87C39"/>
    <w:rsid w:val="0029030A"/>
    <w:rsid w:val="00292397"/>
    <w:rsid w:val="00292AB2"/>
    <w:rsid w:val="00292B82"/>
    <w:rsid w:val="00293DB6"/>
    <w:rsid w:val="00293FE8"/>
    <w:rsid w:val="00294437"/>
    <w:rsid w:val="00295F42"/>
    <w:rsid w:val="00296686"/>
    <w:rsid w:val="00297A00"/>
    <w:rsid w:val="00297A45"/>
    <w:rsid w:val="00297E20"/>
    <w:rsid w:val="002A233F"/>
    <w:rsid w:val="002A3237"/>
    <w:rsid w:val="002A4119"/>
    <w:rsid w:val="002A58B7"/>
    <w:rsid w:val="002A5943"/>
    <w:rsid w:val="002A5C3C"/>
    <w:rsid w:val="002A685E"/>
    <w:rsid w:val="002A72C7"/>
    <w:rsid w:val="002A77E5"/>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D26"/>
    <w:rsid w:val="002C6E5B"/>
    <w:rsid w:val="002D08F3"/>
    <w:rsid w:val="002D18B4"/>
    <w:rsid w:val="002D2058"/>
    <w:rsid w:val="002D231A"/>
    <w:rsid w:val="002D3A5C"/>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AA1"/>
    <w:rsid w:val="00305856"/>
    <w:rsid w:val="00305867"/>
    <w:rsid w:val="0030678B"/>
    <w:rsid w:val="00306D16"/>
    <w:rsid w:val="00307595"/>
    <w:rsid w:val="00307DA6"/>
    <w:rsid w:val="00310CD7"/>
    <w:rsid w:val="00312FDC"/>
    <w:rsid w:val="003133F4"/>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249"/>
    <w:rsid w:val="00364CAB"/>
    <w:rsid w:val="00365767"/>
    <w:rsid w:val="003659C0"/>
    <w:rsid w:val="003660DF"/>
    <w:rsid w:val="00367D4F"/>
    <w:rsid w:val="00370743"/>
    <w:rsid w:val="00370EF5"/>
    <w:rsid w:val="0037135B"/>
    <w:rsid w:val="003718CD"/>
    <w:rsid w:val="0037224A"/>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4AD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0B4"/>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3F7783"/>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5D1C"/>
    <w:rsid w:val="00426A23"/>
    <w:rsid w:val="00427C7F"/>
    <w:rsid w:val="00427F54"/>
    <w:rsid w:val="004316FD"/>
    <w:rsid w:val="00432EC0"/>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F67"/>
    <w:rsid w:val="00453167"/>
    <w:rsid w:val="0045361D"/>
    <w:rsid w:val="004543BC"/>
    <w:rsid w:val="00454F28"/>
    <w:rsid w:val="0045645D"/>
    <w:rsid w:val="0045707D"/>
    <w:rsid w:val="004574C6"/>
    <w:rsid w:val="00457743"/>
    <w:rsid w:val="00457BCF"/>
    <w:rsid w:val="00457C50"/>
    <w:rsid w:val="00457DCE"/>
    <w:rsid w:val="00460E3F"/>
    <w:rsid w:val="0046111A"/>
    <w:rsid w:val="00462F68"/>
    <w:rsid w:val="0046369B"/>
    <w:rsid w:val="004640E9"/>
    <w:rsid w:val="004647EB"/>
    <w:rsid w:val="00466CED"/>
    <w:rsid w:val="00466EB5"/>
    <w:rsid w:val="00467592"/>
    <w:rsid w:val="00467690"/>
    <w:rsid w:val="00467A14"/>
    <w:rsid w:val="00467DC5"/>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0D54"/>
    <w:rsid w:val="004A1642"/>
    <w:rsid w:val="004A24D2"/>
    <w:rsid w:val="004A3214"/>
    <w:rsid w:val="004A4136"/>
    <w:rsid w:val="004A417B"/>
    <w:rsid w:val="004A4378"/>
    <w:rsid w:val="004A712D"/>
    <w:rsid w:val="004A7C03"/>
    <w:rsid w:val="004B03F3"/>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A0E"/>
    <w:rsid w:val="004F0C58"/>
    <w:rsid w:val="004F3222"/>
    <w:rsid w:val="004F3639"/>
    <w:rsid w:val="004F3BFA"/>
    <w:rsid w:val="004F4E3C"/>
    <w:rsid w:val="004F5A1A"/>
    <w:rsid w:val="004F681C"/>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0A7B"/>
    <w:rsid w:val="005214A3"/>
    <w:rsid w:val="005222E7"/>
    <w:rsid w:val="00523488"/>
    <w:rsid w:val="00523A8B"/>
    <w:rsid w:val="00523E04"/>
    <w:rsid w:val="00525003"/>
    <w:rsid w:val="0052590B"/>
    <w:rsid w:val="0052592B"/>
    <w:rsid w:val="00525F0F"/>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67D"/>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D4B"/>
    <w:rsid w:val="005B1766"/>
    <w:rsid w:val="005B1ADA"/>
    <w:rsid w:val="005B1D09"/>
    <w:rsid w:val="005B1D8F"/>
    <w:rsid w:val="005B1E94"/>
    <w:rsid w:val="005B5B3D"/>
    <w:rsid w:val="005B5E8F"/>
    <w:rsid w:val="005B64CF"/>
    <w:rsid w:val="005B72DA"/>
    <w:rsid w:val="005B762E"/>
    <w:rsid w:val="005C0E87"/>
    <w:rsid w:val="005C1398"/>
    <w:rsid w:val="005C16F3"/>
    <w:rsid w:val="005C3758"/>
    <w:rsid w:val="005C4D72"/>
    <w:rsid w:val="005C50C1"/>
    <w:rsid w:val="005C62C2"/>
    <w:rsid w:val="005C6972"/>
    <w:rsid w:val="005D2306"/>
    <w:rsid w:val="005D2562"/>
    <w:rsid w:val="005D2666"/>
    <w:rsid w:val="005D4548"/>
    <w:rsid w:val="005D4A74"/>
    <w:rsid w:val="005D5E91"/>
    <w:rsid w:val="005D67EF"/>
    <w:rsid w:val="005E3064"/>
    <w:rsid w:val="005E54DC"/>
    <w:rsid w:val="005E65DC"/>
    <w:rsid w:val="005E6AEE"/>
    <w:rsid w:val="005E72B2"/>
    <w:rsid w:val="005E79A0"/>
    <w:rsid w:val="005F01FD"/>
    <w:rsid w:val="005F097E"/>
    <w:rsid w:val="005F1115"/>
    <w:rsid w:val="005F1AB6"/>
    <w:rsid w:val="005F266B"/>
    <w:rsid w:val="005F27F2"/>
    <w:rsid w:val="005F2B27"/>
    <w:rsid w:val="005F3567"/>
    <w:rsid w:val="005F37A5"/>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A1B"/>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BA2"/>
    <w:rsid w:val="00662AD0"/>
    <w:rsid w:val="00662F08"/>
    <w:rsid w:val="00663589"/>
    <w:rsid w:val="00663D4C"/>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E65"/>
    <w:rsid w:val="00690FDA"/>
    <w:rsid w:val="00691E61"/>
    <w:rsid w:val="006937C6"/>
    <w:rsid w:val="00693C5E"/>
    <w:rsid w:val="00693CEE"/>
    <w:rsid w:val="00694EEA"/>
    <w:rsid w:val="006955B4"/>
    <w:rsid w:val="00695DEF"/>
    <w:rsid w:val="00696476"/>
    <w:rsid w:val="00696C74"/>
    <w:rsid w:val="00697C9B"/>
    <w:rsid w:val="006A10FA"/>
    <w:rsid w:val="006A12E0"/>
    <w:rsid w:val="006A14A9"/>
    <w:rsid w:val="006A40E6"/>
    <w:rsid w:val="006A4DBF"/>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06"/>
    <w:rsid w:val="006C6AB1"/>
    <w:rsid w:val="006C6E6B"/>
    <w:rsid w:val="006C73D4"/>
    <w:rsid w:val="006D145F"/>
    <w:rsid w:val="006D2000"/>
    <w:rsid w:val="006D2D39"/>
    <w:rsid w:val="006D2F31"/>
    <w:rsid w:val="006D4250"/>
    <w:rsid w:val="006D4E0E"/>
    <w:rsid w:val="006D5861"/>
    <w:rsid w:val="006D5953"/>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B8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6F2B"/>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41AE"/>
    <w:rsid w:val="0076100C"/>
    <w:rsid w:val="007612A5"/>
    <w:rsid w:val="00763CAE"/>
    <w:rsid w:val="00763F95"/>
    <w:rsid w:val="007651ED"/>
    <w:rsid w:val="007668F2"/>
    <w:rsid w:val="00766C87"/>
    <w:rsid w:val="00771043"/>
    <w:rsid w:val="0077272B"/>
    <w:rsid w:val="00773AF7"/>
    <w:rsid w:val="00774FFD"/>
    <w:rsid w:val="00776FAB"/>
    <w:rsid w:val="00780378"/>
    <w:rsid w:val="0078085E"/>
    <w:rsid w:val="00781BD4"/>
    <w:rsid w:val="00782562"/>
    <w:rsid w:val="007828B4"/>
    <w:rsid w:val="00783B89"/>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2FB"/>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FD8"/>
    <w:rsid w:val="007E71B1"/>
    <w:rsid w:val="007E7B4E"/>
    <w:rsid w:val="007E7F02"/>
    <w:rsid w:val="007F0292"/>
    <w:rsid w:val="007F0722"/>
    <w:rsid w:val="007F0AB7"/>
    <w:rsid w:val="007F0CE2"/>
    <w:rsid w:val="007F0EFF"/>
    <w:rsid w:val="007F1375"/>
    <w:rsid w:val="007F1AFD"/>
    <w:rsid w:val="007F1E7C"/>
    <w:rsid w:val="007F30E4"/>
    <w:rsid w:val="0080064F"/>
    <w:rsid w:val="00801B85"/>
    <w:rsid w:val="00802314"/>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D1"/>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789"/>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93E"/>
    <w:rsid w:val="008C088A"/>
    <w:rsid w:val="008C22F3"/>
    <w:rsid w:val="008C3223"/>
    <w:rsid w:val="008C3F20"/>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BD8"/>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6C"/>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28E4"/>
    <w:rsid w:val="00945F23"/>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617"/>
    <w:rsid w:val="00963A7A"/>
    <w:rsid w:val="00965847"/>
    <w:rsid w:val="009672CD"/>
    <w:rsid w:val="00971404"/>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5B46"/>
    <w:rsid w:val="009A66C5"/>
    <w:rsid w:val="009A66E7"/>
    <w:rsid w:val="009A79BA"/>
    <w:rsid w:val="009B10F9"/>
    <w:rsid w:val="009B14D1"/>
    <w:rsid w:val="009B1534"/>
    <w:rsid w:val="009B1E75"/>
    <w:rsid w:val="009B4963"/>
    <w:rsid w:val="009B4A3B"/>
    <w:rsid w:val="009B6023"/>
    <w:rsid w:val="009B69D3"/>
    <w:rsid w:val="009B721E"/>
    <w:rsid w:val="009B7BA7"/>
    <w:rsid w:val="009B7C01"/>
    <w:rsid w:val="009C0938"/>
    <w:rsid w:val="009C0C22"/>
    <w:rsid w:val="009C15D9"/>
    <w:rsid w:val="009C1A1D"/>
    <w:rsid w:val="009C22C8"/>
    <w:rsid w:val="009C38B9"/>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234E"/>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967"/>
    <w:rsid w:val="00A23A3C"/>
    <w:rsid w:val="00A23B89"/>
    <w:rsid w:val="00A23C4F"/>
    <w:rsid w:val="00A23FE3"/>
    <w:rsid w:val="00A248C3"/>
    <w:rsid w:val="00A2496E"/>
    <w:rsid w:val="00A24A50"/>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2FE8"/>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9B"/>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38B"/>
    <w:rsid w:val="00AA493E"/>
    <w:rsid w:val="00AA5745"/>
    <w:rsid w:val="00AA73AF"/>
    <w:rsid w:val="00AB062D"/>
    <w:rsid w:val="00AB0A8A"/>
    <w:rsid w:val="00AB1754"/>
    <w:rsid w:val="00AB1F8D"/>
    <w:rsid w:val="00AB27DD"/>
    <w:rsid w:val="00AB4BA4"/>
    <w:rsid w:val="00AB592E"/>
    <w:rsid w:val="00AC0C1C"/>
    <w:rsid w:val="00AC1305"/>
    <w:rsid w:val="00AC32A7"/>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5D8B"/>
    <w:rsid w:val="00AF6ECC"/>
    <w:rsid w:val="00B02145"/>
    <w:rsid w:val="00B022DC"/>
    <w:rsid w:val="00B04562"/>
    <w:rsid w:val="00B0472F"/>
    <w:rsid w:val="00B06930"/>
    <w:rsid w:val="00B0773A"/>
    <w:rsid w:val="00B07955"/>
    <w:rsid w:val="00B1176B"/>
    <w:rsid w:val="00B12ABD"/>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D16"/>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3F8"/>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8BC"/>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654"/>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18A"/>
    <w:rsid w:val="00C65414"/>
    <w:rsid w:val="00C665FE"/>
    <w:rsid w:val="00C70145"/>
    <w:rsid w:val="00C71BEC"/>
    <w:rsid w:val="00C73942"/>
    <w:rsid w:val="00C73A83"/>
    <w:rsid w:val="00C74D3A"/>
    <w:rsid w:val="00C75F3D"/>
    <w:rsid w:val="00C80511"/>
    <w:rsid w:val="00C80655"/>
    <w:rsid w:val="00C81937"/>
    <w:rsid w:val="00C826F5"/>
    <w:rsid w:val="00C83740"/>
    <w:rsid w:val="00C84527"/>
    <w:rsid w:val="00C84AD1"/>
    <w:rsid w:val="00C85579"/>
    <w:rsid w:val="00C8576E"/>
    <w:rsid w:val="00C8590C"/>
    <w:rsid w:val="00C862F1"/>
    <w:rsid w:val="00C863E5"/>
    <w:rsid w:val="00C87BE6"/>
    <w:rsid w:val="00C87F76"/>
    <w:rsid w:val="00C931FC"/>
    <w:rsid w:val="00C932C5"/>
    <w:rsid w:val="00C93BA9"/>
    <w:rsid w:val="00C94CB6"/>
    <w:rsid w:val="00C95299"/>
    <w:rsid w:val="00C95877"/>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6349"/>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7E6"/>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3D6"/>
    <w:rsid w:val="00D43978"/>
    <w:rsid w:val="00D43CBD"/>
    <w:rsid w:val="00D449F0"/>
    <w:rsid w:val="00D458BF"/>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56AF"/>
    <w:rsid w:val="00D560DC"/>
    <w:rsid w:val="00D56602"/>
    <w:rsid w:val="00D60483"/>
    <w:rsid w:val="00D61ABB"/>
    <w:rsid w:val="00D62D5C"/>
    <w:rsid w:val="00D62F78"/>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555"/>
    <w:rsid w:val="00D93A41"/>
    <w:rsid w:val="00D93B9A"/>
    <w:rsid w:val="00D95984"/>
    <w:rsid w:val="00D95C64"/>
    <w:rsid w:val="00D9706F"/>
    <w:rsid w:val="00D972D4"/>
    <w:rsid w:val="00D9755E"/>
    <w:rsid w:val="00DA0FE3"/>
    <w:rsid w:val="00DA195B"/>
    <w:rsid w:val="00DA27F3"/>
    <w:rsid w:val="00DA2D1E"/>
    <w:rsid w:val="00DA3EC8"/>
    <w:rsid w:val="00DA40C1"/>
    <w:rsid w:val="00DA5564"/>
    <w:rsid w:val="00DA6556"/>
    <w:rsid w:val="00DA6B55"/>
    <w:rsid w:val="00DA6B97"/>
    <w:rsid w:val="00DA6CEE"/>
    <w:rsid w:val="00DB0015"/>
    <w:rsid w:val="00DB0359"/>
    <w:rsid w:val="00DB0ABB"/>
    <w:rsid w:val="00DB2AAD"/>
    <w:rsid w:val="00DB4485"/>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7BC2"/>
    <w:rsid w:val="00DD286D"/>
    <w:rsid w:val="00DD2CAF"/>
    <w:rsid w:val="00DD34B3"/>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322"/>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8EF"/>
    <w:rsid w:val="00E322F7"/>
    <w:rsid w:val="00E3369B"/>
    <w:rsid w:val="00E362D2"/>
    <w:rsid w:val="00E36D76"/>
    <w:rsid w:val="00E40478"/>
    <w:rsid w:val="00E405EA"/>
    <w:rsid w:val="00E408B7"/>
    <w:rsid w:val="00E412EB"/>
    <w:rsid w:val="00E41637"/>
    <w:rsid w:val="00E42108"/>
    <w:rsid w:val="00E42789"/>
    <w:rsid w:val="00E43F59"/>
    <w:rsid w:val="00E464F0"/>
    <w:rsid w:val="00E46EF3"/>
    <w:rsid w:val="00E47370"/>
    <w:rsid w:val="00E473E9"/>
    <w:rsid w:val="00E47B47"/>
    <w:rsid w:val="00E50BEB"/>
    <w:rsid w:val="00E52417"/>
    <w:rsid w:val="00E53460"/>
    <w:rsid w:val="00E548FA"/>
    <w:rsid w:val="00E55CD9"/>
    <w:rsid w:val="00E572E3"/>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1C6"/>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965"/>
    <w:rsid w:val="00F171F9"/>
    <w:rsid w:val="00F1737C"/>
    <w:rsid w:val="00F173AA"/>
    <w:rsid w:val="00F214A3"/>
    <w:rsid w:val="00F22A26"/>
    <w:rsid w:val="00F24072"/>
    <w:rsid w:val="00F26432"/>
    <w:rsid w:val="00F3197A"/>
    <w:rsid w:val="00F32139"/>
    <w:rsid w:val="00F33CF0"/>
    <w:rsid w:val="00F33D56"/>
    <w:rsid w:val="00F34E08"/>
    <w:rsid w:val="00F41D91"/>
    <w:rsid w:val="00F41F52"/>
    <w:rsid w:val="00F41FA1"/>
    <w:rsid w:val="00F42363"/>
    <w:rsid w:val="00F427C4"/>
    <w:rsid w:val="00F43787"/>
    <w:rsid w:val="00F43D6C"/>
    <w:rsid w:val="00F46964"/>
    <w:rsid w:val="00F46F9A"/>
    <w:rsid w:val="00F470FD"/>
    <w:rsid w:val="00F50F30"/>
    <w:rsid w:val="00F5126A"/>
    <w:rsid w:val="00F5126E"/>
    <w:rsid w:val="00F516EF"/>
    <w:rsid w:val="00F51755"/>
    <w:rsid w:val="00F531D9"/>
    <w:rsid w:val="00F54A42"/>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ACC"/>
    <w:rsid w:val="00F73FC8"/>
    <w:rsid w:val="00F75C12"/>
    <w:rsid w:val="00F76D01"/>
    <w:rsid w:val="00F80B43"/>
    <w:rsid w:val="00F80C97"/>
    <w:rsid w:val="00F81C35"/>
    <w:rsid w:val="00F82981"/>
    <w:rsid w:val="00F8311F"/>
    <w:rsid w:val="00F83248"/>
    <w:rsid w:val="00F83376"/>
    <w:rsid w:val="00F84111"/>
    <w:rsid w:val="00F853AE"/>
    <w:rsid w:val="00F908D5"/>
    <w:rsid w:val="00F913B9"/>
    <w:rsid w:val="00F93C74"/>
    <w:rsid w:val="00F93DCC"/>
    <w:rsid w:val="00F9435D"/>
    <w:rsid w:val="00F966F9"/>
    <w:rsid w:val="00F96F61"/>
    <w:rsid w:val="00F97740"/>
    <w:rsid w:val="00FA0C8F"/>
    <w:rsid w:val="00FA193C"/>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869"/>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9C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E42108"/>
    <w:pPr>
      <w:spacing w:after="120" w:line="480" w:lineRule="auto"/>
    </w:pPr>
  </w:style>
  <w:style w:type="character" w:customStyle="1" w:styleId="BodyText2Char">
    <w:name w:val="Body Text 2 Char"/>
    <w:basedOn w:val="DefaultParagraphFont"/>
    <w:link w:val="BodyText2"/>
    <w:rsid w:val="00E4210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8580543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960479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9362662">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0F29-5F46-475A-9B7D-FE3C18FC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2012-01-09T19:54:00Z</cp:lastPrinted>
  <dcterms:created xsi:type="dcterms:W3CDTF">2012-05-10T14:46:00Z</dcterms:created>
  <dcterms:modified xsi:type="dcterms:W3CDTF">2012-05-10T14:46:00Z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