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CD0E25" w:rsidRPr="00DE77E6" w:rsidRDefault="00CD0E25" w:rsidP="00CD0E25">
      <w:pPr>
        <w:tabs>
          <w:tab w:val="left" w:pos="288"/>
          <w:tab w:val="left" w:pos="4752"/>
          <w:tab w:val="left" w:pos="5130"/>
          <w:tab w:val="left" w:pos="6300"/>
          <w:tab w:val="left" w:pos="9270"/>
        </w:tabs>
        <w:jc w:val="both"/>
        <w:rPr>
          <w:rFonts w:asciiTheme="minorHAnsi" w:hAnsiTheme="minorHAnsi"/>
          <w:caps/>
          <w:color w:val="auto"/>
        </w:rPr>
      </w:pPr>
      <w:r w:rsidRPr="00DE77E6">
        <w:rPr>
          <w:rFonts w:asciiTheme="minorHAnsi" w:hAnsiTheme="minorHAnsi"/>
          <w:caps/>
          <w:color w:val="auto"/>
        </w:rPr>
        <w:t xml:space="preserve">NAME:  </w:t>
      </w:r>
      <w:r w:rsidR="0073661A">
        <w:rPr>
          <w:rFonts w:asciiTheme="minorHAnsi" w:hAnsiTheme="minorHAnsi"/>
          <w:caps/>
          <w:color w:val="auto"/>
        </w:rPr>
        <w:t xml:space="preserve"> </w:t>
      </w:r>
      <w:r w:rsidRPr="00DE77E6">
        <w:rPr>
          <w:rFonts w:asciiTheme="minorHAnsi" w:hAnsiTheme="minorHAnsi"/>
          <w:caps/>
          <w:color w:val="auto"/>
        </w:rPr>
        <w:tab/>
      </w:r>
      <w:r w:rsidRPr="00DE77E6">
        <w:rPr>
          <w:rFonts w:asciiTheme="minorHAnsi" w:hAnsiTheme="minorHAnsi"/>
          <w:caps/>
          <w:color w:val="auto"/>
        </w:rPr>
        <w:tab/>
        <w:t xml:space="preserve">        </w:t>
      </w:r>
      <w:r>
        <w:rPr>
          <w:rFonts w:asciiTheme="minorHAnsi" w:hAnsiTheme="minorHAnsi"/>
          <w:caps/>
          <w:color w:val="auto"/>
        </w:rPr>
        <w:tab/>
      </w:r>
      <w:r w:rsidRPr="00DE77E6">
        <w:rPr>
          <w:rFonts w:asciiTheme="minorHAnsi" w:hAnsiTheme="minorHAnsi"/>
          <w:caps/>
          <w:color w:val="auto"/>
        </w:rPr>
        <w:t>BRANCH OF SERVICE:  Army</w:t>
      </w:r>
    </w:p>
    <w:p w:rsidR="00CD0E25" w:rsidRDefault="00CD0E25" w:rsidP="00CD0E25">
      <w:pPr>
        <w:tabs>
          <w:tab w:val="left" w:pos="288"/>
          <w:tab w:val="left" w:pos="4752"/>
          <w:tab w:val="left" w:pos="5130"/>
          <w:tab w:val="left" w:pos="6300"/>
          <w:tab w:val="left" w:pos="9270"/>
        </w:tabs>
        <w:jc w:val="both"/>
        <w:rPr>
          <w:rFonts w:asciiTheme="minorHAnsi" w:hAnsiTheme="minorHAnsi"/>
          <w:caps/>
          <w:color w:val="auto"/>
        </w:rPr>
      </w:pPr>
      <w:r w:rsidRPr="00DE77E6">
        <w:rPr>
          <w:rFonts w:asciiTheme="minorHAnsi" w:hAnsiTheme="minorHAnsi"/>
          <w:caps/>
          <w:color w:val="auto"/>
        </w:rPr>
        <w:t>CASE NUMBER:  PD1001221</w:t>
      </w:r>
      <w:r w:rsidRPr="00DE77E6">
        <w:rPr>
          <w:rFonts w:asciiTheme="minorHAnsi" w:hAnsiTheme="minorHAnsi"/>
          <w:color w:val="auto"/>
        </w:rPr>
        <w:t xml:space="preserve"> </w:t>
      </w:r>
      <w:r w:rsidRPr="00DE77E6">
        <w:rPr>
          <w:rFonts w:asciiTheme="minorHAnsi" w:hAnsiTheme="minorHAnsi"/>
          <w:color w:val="auto"/>
        </w:rPr>
        <w:tab/>
        <w:t xml:space="preserve">         </w:t>
      </w:r>
      <w:r>
        <w:rPr>
          <w:rFonts w:asciiTheme="minorHAnsi" w:hAnsiTheme="minorHAnsi"/>
          <w:color w:val="auto"/>
        </w:rPr>
        <w:t xml:space="preserve">         </w:t>
      </w:r>
      <w:r>
        <w:rPr>
          <w:rFonts w:asciiTheme="minorHAnsi" w:hAnsiTheme="minorHAnsi"/>
          <w:color w:val="auto"/>
        </w:rPr>
        <w:tab/>
      </w:r>
      <w:r w:rsidRPr="00DE77E6">
        <w:rPr>
          <w:rFonts w:asciiTheme="minorHAnsi" w:hAnsiTheme="minorHAnsi"/>
          <w:color w:val="auto"/>
        </w:rPr>
        <w:t>SEPARATION DATE:  20050125</w:t>
      </w:r>
    </w:p>
    <w:p w:rsidR="00CD0E25" w:rsidRPr="00FD6C41" w:rsidRDefault="00CD0E25" w:rsidP="00CD0E25">
      <w:pPr>
        <w:tabs>
          <w:tab w:val="left" w:pos="288"/>
          <w:tab w:val="left" w:pos="5130"/>
        </w:tabs>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880932">
        <w:rPr>
          <w:rFonts w:asciiTheme="minorHAnsi" w:hAnsiTheme="minorHAnsi"/>
          <w:caps/>
          <w:color w:val="auto"/>
        </w:rPr>
        <w:t>2</w:t>
      </w:r>
      <w:r w:rsidR="0097679A">
        <w:rPr>
          <w:rFonts w:asciiTheme="minorHAnsi" w:hAnsiTheme="minorHAnsi"/>
          <w:caps/>
          <w:color w:val="auto"/>
        </w:rPr>
        <w:t>0207</w:t>
      </w:r>
    </w:p>
    <w:p w:rsidR="00CD0E25" w:rsidRDefault="00CD0E25" w:rsidP="00CD0E25">
      <w:pPr>
        <w:pBdr>
          <w:bottom w:val="single" w:sz="12" w:space="1" w:color="auto"/>
        </w:pBdr>
        <w:tabs>
          <w:tab w:val="left" w:pos="288"/>
          <w:tab w:val="left" w:pos="4752"/>
        </w:tabs>
        <w:jc w:val="both"/>
        <w:rPr>
          <w:rFonts w:asciiTheme="minorHAnsi" w:hAnsiTheme="minorHAnsi"/>
          <w:color w:val="auto"/>
          <w:u w:val="single"/>
        </w:rPr>
      </w:pPr>
    </w:p>
    <w:p w:rsidR="009369A6" w:rsidRPr="001F29F9" w:rsidRDefault="009369A6" w:rsidP="00BF0E94">
      <w:pPr>
        <w:tabs>
          <w:tab w:val="left" w:pos="288"/>
          <w:tab w:val="left" w:pos="4752"/>
        </w:tabs>
        <w:jc w:val="both"/>
        <w:rPr>
          <w:color w:val="000000" w:themeColor="text1"/>
        </w:rPr>
      </w:pPr>
    </w:p>
    <w:p w:rsidR="00CD0E25" w:rsidRDefault="00FB0E80" w:rsidP="00BF0E94">
      <w:pPr>
        <w:tabs>
          <w:tab w:val="left" w:pos="288"/>
          <w:tab w:val="left" w:pos="4752"/>
        </w:tabs>
        <w:jc w:val="both"/>
        <w:rPr>
          <w:color w:val="000000" w:themeColor="text1"/>
        </w:rPr>
      </w:pPr>
      <w:r w:rsidRPr="0097679A">
        <w:rPr>
          <w:color w:val="000000" w:themeColor="text1"/>
          <w:u w:val="single"/>
        </w:rPr>
        <w:t>SUMMARY OF CASE</w:t>
      </w:r>
      <w:r w:rsidRPr="0097679A">
        <w:rPr>
          <w:color w:val="000000" w:themeColor="text1"/>
        </w:rPr>
        <w:t xml:space="preserve">:  </w:t>
      </w:r>
      <w:r w:rsidR="00CD0E25" w:rsidRPr="0097679A">
        <w:rPr>
          <w:rFonts w:asciiTheme="minorHAnsi" w:hAnsiTheme="minorHAnsi"/>
          <w:color w:val="auto"/>
        </w:rPr>
        <w:t xml:space="preserve">Data extracted from the available evidence of record reflects that this covered individual (CI) </w:t>
      </w:r>
      <w:r w:rsidR="00CD0E25" w:rsidRPr="0097679A">
        <w:rPr>
          <w:rFonts w:asciiTheme="minorHAnsi" w:hAnsiTheme="minorHAnsi"/>
          <w:color w:val="auto"/>
          <w:szCs w:val="24"/>
        </w:rPr>
        <w:t>was an active duty SPC/E-4 (91W</w:t>
      </w:r>
      <w:r w:rsidR="00F149DA" w:rsidRPr="0097679A">
        <w:rPr>
          <w:rFonts w:asciiTheme="minorHAnsi" w:hAnsiTheme="minorHAnsi"/>
          <w:color w:val="auto"/>
          <w:szCs w:val="24"/>
        </w:rPr>
        <w:t xml:space="preserve">, Health Care Specialist), </w:t>
      </w:r>
      <w:r w:rsidR="00CD0E25" w:rsidRPr="0097679A">
        <w:rPr>
          <w:rFonts w:asciiTheme="minorHAnsi" w:hAnsiTheme="minorHAnsi"/>
          <w:color w:val="auto"/>
          <w:szCs w:val="24"/>
        </w:rPr>
        <w:t>medically separated for right foot pain, fibromyalgia</w:t>
      </w:r>
      <w:r w:rsidR="00F126D9" w:rsidRPr="0097679A">
        <w:rPr>
          <w:rFonts w:asciiTheme="minorHAnsi" w:hAnsiTheme="minorHAnsi"/>
          <w:color w:val="auto"/>
          <w:szCs w:val="24"/>
        </w:rPr>
        <w:t>,</w:t>
      </w:r>
      <w:r w:rsidR="00CD0E25" w:rsidRPr="0097679A">
        <w:rPr>
          <w:rFonts w:asciiTheme="minorHAnsi" w:hAnsiTheme="minorHAnsi"/>
          <w:color w:val="auto"/>
          <w:szCs w:val="24"/>
        </w:rPr>
        <w:t xml:space="preserve"> and left knee pain.  </w:t>
      </w:r>
      <w:r w:rsidR="00C80ABB" w:rsidRPr="0097679A">
        <w:rPr>
          <w:rFonts w:asciiTheme="minorHAnsi" w:hAnsiTheme="minorHAnsi"/>
          <w:color w:val="auto"/>
          <w:szCs w:val="24"/>
        </w:rPr>
        <w:t>The r</w:t>
      </w:r>
      <w:r w:rsidR="005A070C" w:rsidRPr="0097679A">
        <w:rPr>
          <w:rFonts w:asciiTheme="minorHAnsi" w:hAnsiTheme="minorHAnsi"/>
          <w:color w:val="auto"/>
          <w:szCs w:val="24"/>
        </w:rPr>
        <w:t>ight foot pain began in May 2003</w:t>
      </w:r>
      <w:r w:rsidR="00C80ABB" w:rsidRPr="0097679A">
        <w:rPr>
          <w:rFonts w:asciiTheme="minorHAnsi" w:hAnsiTheme="minorHAnsi"/>
          <w:color w:val="auto"/>
          <w:szCs w:val="24"/>
        </w:rPr>
        <w:t xml:space="preserve"> and persisted d</w:t>
      </w:r>
      <w:r w:rsidR="008453CB" w:rsidRPr="0097679A">
        <w:rPr>
          <w:rFonts w:asciiTheme="minorHAnsi" w:hAnsiTheme="minorHAnsi"/>
          <w:color w:val="auto"/>
          <w:szCs w:val="24"/>
        </w:rPr>
        <w:t>e</w:t>
      </w:r>
      <w:r w:rsidR="00C80ABB" w:rsidRPr="0097679A">
        <w:rPr>
          <w:rFonts w:asciiTheme="minorHAnsi" w:hAnsiTheme="minorHAnsi"/>
          <w:color w:val="auto"/>
          <w:szCs w:val="24"/>
        </w:rPr>
        <w:t xml:space="preserve">spite conservative and surgical treatment.  The fibromyalgia started insidiously as diffuse muscle pains in June 2002 </w:t>
      </w:r>
      <w:r w:rsidR="00B97706" w:rsidRPr="0097679A">
        <w:rPr>
          <w:rFonts w:asciiTheme="minorHAnsi" w:hAnsiTheme="minorHAnsi"/>
          <w:color w:val="auto"/>
          <w:szCs w:val="24"/>
        </w:rPr>
        <w:t xml:space="preserve">and </w:t>
      </w:r>
      <w:r w:rsidR="00C80ABB" w:rsidRPr="0097679A">
        <w:rPr>
          <w:rFonts w:asciiTheme="minorHAnsi" w:hAnsiTheme="minorHAnsi"/>
          <w:color w:val="auto"/>
          <w:szCs w:val="24"/>
        </w:rPr>
        <w:t xml:space="preserve">was </w:t>
      </w:r>
      <w:r w:rsidR="00880932" w:rsidRPr="0097679A">
        <w:rPr>
          <w:rFonts w:asciiTheme="minorHAnsi" w:hAnsiTheme="minorHAnsi"/>
          <w:color w:val="auto"/>
          <w:szCs w:val="24"/>
        </w:rPr>
        <w:t xml:space="preserve">formally </w:t>
      </w:r>
      <w:r w:rsidR="00C80ABB" w:rsidRPr="0097679A">
        <w:rPr>
          <w:rFonts w:asciiTheme="minorHAnsi" w:hAnsiTheme="minorHAnsi"/>
          <w:color w:val="auto"/>
          <w:szCs w:val="24"/>
        </w:rPr>
        <w:t>diagnosed as fibromyalgia in July 2004.</w:t>
      </w:r>
      <w:r w:rsidR="00B97706" w:rsidRPr="0097679A">
        <w:rPr>
          <w:rFonts w:asciiTheme="minorHAnsi" w:hAnsiTheme="minorHAnsi"/>
          <w:color w:val="auto"/>
          <w:szCs w:val="24"/>
        </w:rPr>
        <w:t xml:space="preserve">  In addition to worsening pain, the CI developed associated symptoms to include chronic fatigue and depression.  The left knee pain began in 2002 as the result of an injury and persisted with physical activity.  The CI </w:t>
      </w:r>
      <w:r w:rsidR="00CD0E25" w:rsidRPr="0097679A">
        <w:rPr>
          <w:rFonts w:asciiTheme="minorHAnsi" w:hAnsiTheme="minorHAnsi"/>
          <w:color w:val="auto"/>
          <w:szCs w:val="24"/>
        </w:rPr>
        <w:t xml:space="preserve">did not respond adequately to </w:t>
      </w:r>
      <w:r w:rsidR="00F126D9" w:rsidRPr="0097679A">
        <w:rPr>
          <w:rFonts w:asciiTheme="minorHAnsi" w:hAnsiTheme="minorHAnsi"/>
          <w:color w:val="auto"/>
          <w:szCs w:val="24"/>
        </w:rPr>
        <w:t xml:space="preserve">treatment to </w:t>
      </w:r>
      <w:r w:rsidR="00CD0E25" w:rsidRPr="0097679A">
        <w:rPr>
          <w:rFonts w:asciiTheme="minorHAnsi" w:hAnsiTheme="minorHAnsi"/>
          <w:color w:val="auto"/>
          <w:szCs w:val="24"/>
        </w:rPr>
        <w:t xml:space="preserve">fully perform </w:t>
      </w:r>
      <w:r w:rsidR="00F126D9" w:rsidRPr="0097679A">
        <w:rPr>
          <w:rFonts w:asciiTheme="minorHAnsi" w:hAnsiTheme="minorHAnsi"/>
          <w:color w:val="auto"/>
          <w:szCs w:val="24"/>
        </w:rPr>
        <w:t xml:space="preserve">within her Military Occupational Specialty (MOS) </w:t>
      </w:r>
      <w:r w:rsidR="00CD0E25" w:rsidRPr="0097679A">
        <w:rPr>
          <w:rFonts w:asciiTheme="minorHAnsi" w:hAnsiTheme="minorHAnsi"/>
          <w:color w:val="auto"/>
          <w:szCs w:val="24"/>
        </w:rPr>
        <w:t xml:space="preserve">or meet physical fitness standards. </w:t>
      </w:r>
      <w:r w:rsidR="00F149DA" w:rsidRPr="0097679A">
        <w:rPr>
          <w:rFonts w:asciiTheme="minorHAnsi" w:hAnsiTheme="minorHAnsi"/>
          <w:color w:val="auto"/>
          <w:szCs w:val="24"/>
        </w:rPr>
        <w:t xml:space="preserve"> </w:t>
      </w:r>
      <w:r w:rsidR="00CD0E25" w:rsidRPr="0097679A">
        <w:rPr>
          <w:rFonts w:asciiTheme="minorHAnsi" w:hAnsiTheme="minorHAnsi"/>
          <w:color w:val="auto"/>
          <w:szCs w:val="24"/>
        </w:rPr>
        <w:t>She was issued a permanent P3, U3</w:t>
      </w:r>
      <w:r w:rsidR="00F126D9" w:rsidRPr="0097679A">
        <w:rPr>
          <w:rFonts w:asciiTheme="minorHAnsi" w:hAnsiTheme="minorHAnsi"/>
          <w:color w:val="auto"/>
          <w:szCs w:val="24"/>
        </w:rPr>
        <w:t>,</w:t>
      </w:r>
      <w:r w:rsidR="00CD0E25" w:rsidRPr="0097679A">
        <w:rPr>
          <w:rFonts w:asciiTheme="minorHAnsi" w:hAnsiTheme="minorHAnsi"/>
          <w:color w:val="auto"/>
          <w:szCs w:val="24"/>
        </w:rPr>
        <w:t xml:space="preserve"> and L3 profile and underwent a Medical Evaluation Board (MEB).  </w:t>
      </w:r>
      <w:r w:rsidR="00E730F1" w:rsidRPr="0097679A">
        <w:rPr>
          <w:color w:val="000000" w:themeColor="text1"/>
          <w:szCs w:val="24"/>
        </w:rPr>
        <w:t>Avascular necrosis of the right second metarsal head</w:t>
      </w:r>
      <w:r w:rsidR="00880932" w:rsidRPr="0097679A">
        <w:rPr>
          <w:color w:val="000000" w:themeColor="text1"/>
          <w:szCs w:val="24"/>
        </w:rPr>
        <w:t xml:space="preserve"> (</w:t>
      </w:r>
      <w:r w:rsidR="005A70AB" w:rsidRPr="0097679A">
        <w:rPr>
          <w:color w:val="000000" w:themeColor="text1"/>
          <w:szCs w:val="24"/>
        </w:rPr>
        <w:t xml:space="preserve">right </w:t>
      </w:r>
      <w:r w:rsidR="00880932" w:rsidRPr="0097679A">
        <w:rPr>
          <w:color w:val="000000" w:themeColor="text1"/>
          <w:szCs w:val="24"/>
        </w:rPr>
        <w:t>foot)</w:t>
      </w:r>
      <w:r w:rsidR="00E730F1" w:rsidRPr="0097679A">
        <w:rPr>
          <w:color w:val="000000" w:themeColor="text1"/>
          <w:szCs w:val="24"/>
        </w:rPr>
        <w:t xml:space="preserve">, asthma, </w:t>
      </w:r>
      <w:r w:rsidR="001315D4" w:rsidRPr="0097679A">
        <w:rPr>
          <w:color w:val="000000" w:themeColor="text1"/>
          <w:szCs w:val="24"/>
        </w:rPr>
        <w:t>and l</w:t>
      </w:r>
      <w:r w:rsidR="00E730F1" w:rsidRPr="0097679A">
        <w:rPr>
          <w:color w:val="000000" w:themeColor="text1"/>
          <w:szCs w:val="24"/>
        </w:rPr>
        <w:t>eft knee patellar tendinitis</w:t>
      </w:r>
      <w:r w:rsidR="001315D4" w:rsidRPr="0097679A">
        <w:rPr>
          <w:color w:val="000000" w:themeColor="text1"/>
          <w:szCs w:val="24"/>
        </w:rPr>
        <w:t xml:space="preserve"> w</w:t>
      </w:r>
      <w:r w:rsidR="00E730F1" w:rsidRPr="0097679A">
        <w:rPr>
          <w:color w:val="000000" w:themeColor="text1"/>
          <w:szCs w:val="24"/>
        </w:rPr>
        <w:t xml:space="preserve">ere forwarded to the Physical Evaluation Board (PEB) as medically unacceptable IAW AR 40-501.  </w:t>
      </w:r>
      <w:r w:rsidR="00F126D9" w:rsidRPr="0097679A">
        <w:rPr>
          <w:color w:val="000000" w:themeColor="text1"/>
          <w:szCs w:val="24"/>
        </w:rPr>
        <w:t xml:space="preserve">Other conditions included in the Disability Evaluation System (DES) packet will be discussed below.  </w:t>
      </w:r>
      <w:r w:rsidR="00CD0E25" w:rsidRPr="0097679A">
        <w:rPr>
          <w:rFonts w:asciiTheme="minorHAnsi" w:hAnsiTheme="minorHAnsi"/>
          <w:color w:val="auto"/>
          <w:szCs w:val="24"/>
        </w:rPr>
        <w:t>The PEB adjudicated the right foot and left knee conditions as unfitting, rated 10% and 0% respectively</w:t>
      </w:r>
      <w:r w:rsidR="00F126D9" w:rsidRPr="0097679A">
        <w:rPr>
          <w:rFonts w:asciiTheme="minorHAnsi" w:hAnsiTheme="minorHAnsi"/>
          <w:color w:val="auto"/>
          <w:szCs w:val="24"/>
        </w:rPr>
        <w:t xml:space="preserve"> with application of the </w:t>
      </w:r>
      <w:r w:rsidR="00F126D9" w:rsidRPr="0097679A">
        <w:rPr>
          <w:color w:val="000000" w:themeColor="text1"/>
          <w:szCs w:val="24"/>
        </w:rPr>
        <w:t>Veterans Administration Schedule for Rating Disabilities (VASRD)</w:t>
      </w:r>
      <w:r w:rsidR="00CD0E25" w:rsidRPr="0097679A">
        <w:rPr>
          <w:rFonts w:asciiTheme="minorHAnsi" w:hAnsiTheme="minorHAnsi"/>
          <w:color w:val="auto"/>
          <w:szCs w:val="24"/>
        </w:rPr>
        <w:t>.</w:t>
      </w:r>
      <w:r w:rsidR="00F126D9" w:rsidRPr="0097679A">
        <w:rPr>
          <w:rFonts w:asciiTheme="minorHAnsi" w:hAnsiTheme="minorHAnsi"/>
          <w:color w:val="auto"/>
          <w:szCs w:val="24"/>
        </w:rPr>
        <w:t xml:space="preserve"> </w:t>
      </w:r>
      <w:r w:rsidR="00CD0E25" w:rsidRPr="0097679A">
        <w:rPr>
          <w:rFonts w:asciiTheme="minorHAnsi" w:hAnsiTheme="minorHAnsi"/>
          <w:color w:val="auto"/>
          <w:szCs w:val="24"/>
        </w:rPr>
        <w:t xml:space="preserve"> </w:t>
      </w:r>
      <w:r w:rsidR="001315D4" w:rsidRPr="0097679A">
        <w:rPr>
          <w:color w:val="000000" w:themeColor="text1"/>
          <w:szCs w:val="24"/>
        </w:rPr>
        <w:t xml:space="preserve">The asthma was determined to be not unfitting.  </w:t>
      </w:r>
      <w:r w:rsidR="001315D4" w:rsidRPr="0097679A">
        <w:rPr>
          <w:rFonts w:asciiTheme="minorHAnsi" w:hAnsiTheme="minorHAnsi"/>
          <w:color w:val="auto"/>
          <w:szCs w:val="24"/>
        </w:rPr>
        <w:t>The C</w:t>
      </w:r>
      <w:r w:rsidR="00846611" w:rsidRPr="0097679A">
        <w:rPr>
          <w:rFonts w:asciiTheme="minorHAnsi" w:hAnsiTheme="minorHAnsi"/>
          <w:color w:val="auto"/>
          <w:szCs w:val="24"/>
        </w:rPr>
        <w:t>I</w:t>
      </w:r>
      <w:r w:rsidR="001315D4" w:rsidRPr="0097679A">
        <w:rPr>
          <w:rFonts w:asciiTheme="minorHAnsi" w:hAnsiTheme="minorHAnsi"/>
          <w:color w:val="auto"/>
          <w:szCs w:val="24"/>
        </w:rPr>
        <w:t xml:space="preserve"> appealed to a </w:t>
      </w:r>
      <w:r w:rsidR="00CD0E25" w:rsidRPr="0097679A">
        <w:rPr>
          <w:rFonts w:asciiTheme="minorHAnsi" w:hAnsiTheme="minorHAnsi"/>
          <w:color w:val="auto"/>
          <w:szCs w:val="24"/>
        </w:rPr>
        <w:t>Formal PEB (FPEB)</w:t>
      </w:r>
      <w:r w:rsidR="006D6260" w:rsidRPr="0097679A">
        <w:rPr>
          <w:rFonts w:asciiTheme="minorHAnsi" w:hAnsiTheme="minorHAnsi"/>
          <w:color w:val="auto"/>
          <w:szCs w:val="24"/>
        </w:rPr>
        <w:t xml:space="preserve">.  </w:t>
      </w:r>
      <w:r w:rsidR="005A70AB" w:rsidRPr="0097679A">
        <w:rPr>
          <w:color w:val="000000" w:themeColor="text1"/>
          <w:szCs w:val="24"/>
        </w:rPr>
        <w:t>T</w:t>
      </w:r>
      <w:r w:rsidR="006D6260" w:rsidRPr="0097679A">
        <w:rPr>
          <w:color w:val="000000" w:themeColor="text1"/>
          <w:szCs w:val="24"/>
        </w:rPr>
        <w:t>he MEB’s DA Form 3947 was amended prior to the FPEB and a fourth medically unacceptable condition, chronic pain syndrome</w:t>
      </w:r>
      <w:r w:rsidR="005A70AB" w:rsidRPr="0097679A">
        <w:rPr>
          <w:color w:val="000000" w:themeColor="text1"/>
          <w:szCs w:val="24"/>
        </w:rPr>
        <w:t xml:space="preserve"> (CPS)</w:t>
      </w:r>
      <w:r w:rsidR="006D6260" w:rsidRPr="0097679A">
        <w:rPr>
          <w:color w:val="000000" w:themeColor="text1"/>
          <w:szCs w:val="24"/>
        </w:rPr>
        <w:t xml:space="preserve">, was added for consideration.  </w:t>
      </w:r>
      <w:r w:rsidR="005A70AB" w:rsidRPr="0097679A">
        <w:rPr>
          <w:color w:val="000000" w:themeColor="text1"/>
          <w:szCs w:val="24"/>
        </w:rPr>
        <w:t>The F</w:t>
      </w:r>
      <w:r w:rsidR="0097679A" w:rsidRPr="0097679A">
        <w:rPr>
          <w:color w:val="000000" w:themeColor="text1"/>
          <w:szCs w:val="24"/>
        </w:rPr>
        <w:t>P</w:t>
      </w:r>
      <w:r w:rsidR="005A70AB" w:rsidRPr="0097679A">
        <w:rPr>
          <w:color w:val="000000" w:themeColor="text1"/>
          <w:szCs w:val="24"/>
        </w:rPr>
        <w:t>EB made no rating changes</w:t>
      </w:r>
      <w:r w:rsidR="0097679A" w:rsidRPr="0097679A">
        <w:rPr>
          <w:color w:val="000000" w:themeColor="text1"/>
          <w:szCs w:val="24"/>
        </w:rPr>
        <w:t xml:space="preserve">; </w:t>
      </w:r>
      <w:r w:rsidR="005A70AB" w:rsidRPr="0097679A">
        <w:rPr>
          <w:color w:val="000000" w:themeColor="text1"/>
          <w:szCs w:val="24"/>
        </w:rPr>
        <w:t>however, t</w:t>
      </w:r>
      <w:r w:rsidR="00846611" w:rsidRPr="0097679A">
        <w:rPr>
          <w:color w:val="000000" w:themeColor="text1"/>
          <w:szCs w:val="24"/>
        </w:rPr>
        <w:t xml:space="preserve">he </w:t>
      </w:r>
      <w:r w:rsidR="00CE6060">
        <w:rPr>
          <w:color w:val="000000" w:themeColor="text1"/>
          <w:szCs w:val="24"/>
        </w:rPr>
        <w:t>CI requested a r</w:t>
      </w:r>
      <w:r w:rsidR="005A70AB" w:rsidRPr="0097679A">
        <w:rPr>
          <w:color w:val="000000" w:themeColor="text1"/>
          <w:szCs w:val="24"/>
        </w:rPr>
        <w:t xml:space="preserve">econsideration </w:t>
      </w:r>
      <w:r w:rsidR="00846611" w:rsidRPr="0097679A">
        <w:rPr>
          <w:color w:val="000000" w:themeColor="text1"/>
          <w:szCs w:val="24"/>
        </w:rPr>
        <w:t xml:space="preserve">FPEB </w:t>
      </w:r>
      <w:r w:rsidR="005A70AB" w:rsidRPr="0097679A">
        <w:rPr>
          <w:color w:val="000000" w:themeColor="text1"/>
          <w:szCs w:val="24"/>
        </w:rPr>
        <w:t xml:space="preserve">which </w:t>
      </w:r>
      <w:r w:rsidR="00A50239" w:rsidRPr="0097679A">
        <w:rPr>
          <w:color w:val="000000" w:themeColor="text1"/>
          <w:szCs w:val="24"/>
        </w:rPr>
        <w:t>validated the F</w:t>
      </w:r>
      <w:r w:rsidR="00846611" w:rsidRPr="0097679A">
        <w:rPr>
          <w:color w:val="000000" w:themeColor="text1"/>
          <w:szCs w:val="24"/>
        </w:rPr>
        <w:t xml:space="preserve">PEB </w:t>
      </w:r>
      <w:r w:rsidR="00247FD5" w:rsidRPr="0097679A">
        <w:rPr>
          <w:color w:val="000000" w:themeColor="text1"/>
          <w:szCs w:val="24"/>
        </w:rPr>
        <w:t>adjudication</w:t>
      </w:r>
      <w:r w:rsidR="00880932" w:rsidRPr="0097679A">
        <w:rPr>
          <w:color w:val="000000" w:themeColor="text1"/>
          <w:szCs w:val="24"/>
        </w:rPr>
        <w:t>s</w:t>
      </w:r>
      <w:r w:rsidR="00247FD5" w:rsidRPr="0097679A">
        <w:rPr>
          <w:color w:val="000000" w:themeColor="text1"/>
          <w:szCs w:val="24"/>
        </w:rPr>
        <w:t xml:space="preserve"> of the right foot</w:t>
      </w:r>
      <w:r w:rsidR="00880932" w:rsidRPr="0097679A">
        <w:rPr>
          <w:color w:val="000000" w:themeColor="text1"/>
          <w:szCs w:val="24"/>
        </w:rPr>
        <w:t xml:space="preserve"> (10%)</w:t>
      </w:r>
      <w:r w:rsidR="00247FD5" w:rsidRPr="0097679A">
        <w:rPr>
          <w:color w:val="000000" w:themeColor="text1"/>
          <w:szCs w:val="24"/>
        </w:rPr>
        <w:t>, left knee</w:t>
      </w:r>
      <w:r w:rsidR="00880932" w:rsidRPr="0097679A">
        <w:rPr>
          <w:color w:val="000000" w:themeColor="text1"/>
          <w:szCs w:val="24"/>
        </w:rPr>
        <w:t xml:space="preserve"> (0%)</w:t>
      </w:r>
      <w:r w:rsidR="00247FD5" w:rsidRPr="0097679A">
        <w:rPr>
          <w:color w:val="000000" w:themeColor="text1"/>
          <w:szCs w:val="24"/>
        </w:rPr>
        <w:t xml:space="preserve">, and asthma </w:t>
      </w:r>
      <w:r w:rsidR="00880932" w:rsidRPr="0097679A">
        <w:rPr>
          <w:color w:val="000000" w:themeColor="text1"/>
          <w:szCs w:val="24"/>
        </w:rPr>
        <w:t xml:space="preserve">(not unfitting) </w:t>
      </w:r>
      <w:r w:rsidR="00247FD5" w:rsidRPr="0097679A">
        <w:rPr>
          <w:color w:val="000000" w:themeColor="text1"/>
          <w:szCs w:val="24"/>
        </w:rPr>
        <w:t xml:space="preserve">conditions and adjudicated the </w:t>
      </w:r>
      <w:r w:rsidR="005A70AB" w:rsidRPr="0097679A">
        <w:rPr>
          <w:color w:val="000000" w:themeColor="text1"/>
          <w:szCs w:val="24"/>
        </w:rPr>
        <w:t>CPS</w:t>
      </w:r>
      <w:r w:rsidR="00247FD5" w:rsidRPr="0097679A">
        <w:rPr>
          <w:color w:val="000000" w:themeColor="text1"/>
          <w:szCs w:val="24"/>
        </w:rPr>
        <w:t xml:space="preserve"> as unfitting</w:t>
      </w:r>
      <w:r w:rsidR="00473753">
        <w:rPr>
          <w:color w:val="000000" w:themeColor="text1"/>
          <w:szCs w:val="24"/>
        </w:rPr>
        <w:t xml:space="preserve"> f</w:t>
      </w:r>
      <w:r w:rsidR="005A70AB" w:rsidRPr="0097679A">
        <w:rPr>
          <w:color w:val="000000" w:themeColor="text1"/>
          <w:szCs w:val="24"/>
        </w:rPr>
        <w:t>ibromyalgia</w:t>
      </w:r>
      <w:r w:rsidR="00247FD5" w:rsidRPr="0097679A">
        <w:rPr>
          <w:color w:val="000000" w:themeColor="text1"/>
          <w:szCs w:val="24"/>
        </w:rPr>
        <w:t xml:space="preserve">, rated 10% with application of the VASRD.  </w:t>
      </w:r>
      <w:r w:rsidR="00CD0E25" w:rsidRPr="0097679A">
        <w:rPr>
          <w:rFonts w:asciiTheme="minorHAnsi" w:hAnsiTheme="minorHAnsi"/>
          <w:color w:val="auto"/>
          <w:szCs w:val="24"/>
        </w:rPr>
        <w:t xml:space="preserve">The CI </w:t>
      </w:r>
      <w:r w:rsidR="00880932" w:rsidRPr="0097679A">
        <w:rPr>
          <w:rFonts w:asciiTheme="minorHAnsi" w:hAnsiTheme="minorHAnsi"/>
          <w:color w:val="auto"/>
          <w:szCs w:val="24"/>
        </w:rPr>
        <w:t xml:space="preserve">made no further appeals and </w:t>
      </w:r>
      <w:r w:rsidR="00247FD5" w:rsidRPr="0097679A">
        <w:rPr>
          <w:rFonts w:asciiTheme="minorHAnsi" w:hAnsiTheme="minorHAnsi"/>
          <w:color w:val="auto"/>
          <w:szCs w:val="24"/>
        </w:rPr>
        <w:t>was then medically separated with a 20</w:t>
      </w:r>
      <w:r w:rsidR="00CD0E25" w:rsidRPr="0097679A">
        <w:rPr>
          <w:rFonts w:asciiTheme="minorHAnsi" w:hAnsiTheme="minorHAnsi"/>
          <w:color w:val="auto"/>
          <w:szCs w:val="24"/>
        </w:rPr>
        <w:t>% combined disability rating</w:t>
      </w:r>
      <w:r w:rsidR="00EF4CED" w:rsidRPr="0097679A">
        <w:rPr>
          <w:rFonts w:asciiTheme="minorHAnsi" w:hAnsiTheme="minorHAnsi"/>
          <w:color w:val="auto"/>
          <w:szCs w:val="24"/>
        </w:rPr>
        <w:t>.</w:t>
      </w:r>
      <w:r w:rsidR="00EF4CED">
        <w:rPr>
          <w:rFonts w:asciiTheme="minorHAnsi" w:hAnsiTheme="minorHAnsi"/>
          <w:color w:val="auto"/>
          <w:szCs w:val="24"/>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5754F5" w:rsidRPr="001F29F9" w:rsidRDefault="002C6E5B" w:rsidP="005754F5">
      <w:pPr>
        <w:tabs>
          <w:tab w:val="left" w:pos="288"/>
          <w:tab w:val="left" w:pos="4752"/>
        </w:tabs>
        <w:jc w:val="both"/>
        <w:rPr>
          <w:rFonts w:eastAsiaTheme="minorHAnsi"/>
          <w:color w:val="000000" w:themeColor="text1"/>
          <w:szCs w:val="24"/>
        </w:rPr>
      </w:pPr>
      <w:r w:rsidRPr="0011772D">
        <w:rPr>
          <w:color w:val="000000" w:themeColor="text1"/>
          <w:u w:val="single"/>
        </w:rPr>
        <w:t>CI CONTENTION</w:t>
      </w:r>
      <w:r w:rsidRPr="0011772D">
        <w:rPr>
          <w:color w:val="000000" w:themeColor="text1"/>
        </w:rPr>
        <w:t>:</w:t>
      </w:r>
      <w:r w:rsidR="00AE3FC4" w:rsidRPr="0011772D">
        <w:rPr>
          <w:color w:val="000000" w:themeColor="text1"/>
        </w:rPr>
        <w:t xml:space="preserve">  </w:t>
      </w:r>
      <w:r w:rsidR="00AE3FC4" w:rsidRPr="0011772D">
        <w:rPr>
          <w:rFonts w:asciiTheme="minorHAnsi" w:hAnsiTheme="minorHAnsi"/>
          <w:color w:val="auto"/>
        </w:rPr>
        <w:t>CI states “Please review all addendums from PEB and MEB.</w:t>
      </w:r>
      <w:r w:rsidR="005754F5" w:rsidRPr="0011772D">
        <w:rPr>
          <w:rFonts w:asciiTheme="minorHAnsi" w:hAnsiTheme="minorHAnsi"/>
          <w:color w:val="auto"/>
        </w:rPr>
        <w:t xml:space="preserve">”  She lists 8 exhibits in her contention </w:t>
      </w:r>
      <w:r w:rsidR="00F42C56">
        <w:rPr>
          <w:rFonts w:asciiTheme="minorHAnsi" w:hAnsiTheme="minorHAnsi"/>
          <w:color w:val="auto"/>
        </w:rPr>
        <w:t xml:space="preserve">summarized as </w:t>
      </w:r>
      <w:r w:rsidR="00CE6060">
        <w:rPr>
          <w:rFonts w:asciiTheme="minorHAnsi" w:hAnsiTheme="minorHAnsi"/>
          <w:color w:val="auto"/>
        </w:rPr>
        <w:t>r</w:t>
      </w:r>
      <w:r w:rsidR="00F42C56" w:rsidRPr="00D87C7C">
        <w:rPr>
          <w:rFonts w:asciiTheme="minorHAnsi" w:hAnsiTheme="minorHAnsi"/>
          <w:color w:val="auto"/>
        </w:rPr>
        <w:t xml:space="preserve">ight </w:t>
      </w:r>
      <w:r w:rsidR="00CE6060">
        <w:rPr>
          <w:rFonts w:asciiTheme="minorHAnsi" w:hAnsiTheme="minorHAnsi"/>
          <w:color w:val="auto"/>
        </w:rPr>
        <w:t>f</w:t>
      </w:r>
      <w:r w:rsidR="00F42C56" w:rsidRPr="00D87C7C">
        <w:rPr>
          <w:rFonts w:asciiTheme="minorHAnsi" w:hAnsiTheme="minorHAnsi"/>
          <w:color w:val="auto"/>
        </w:rPr>
        <w:t>oot</w:t>
      </w:r>
      <w:r w:rsidR="00F42C56">
        <w:rPr>
          <w:rFonts w:asciiTheme="minorHAnsi" w:hAnsiTheme="minorHAnsi"/>
          <w:color w:val="auto"/>
        </w:rPr>
        <w:t>,</w:t>
      </w:r>
      <w:r w:rsidR="00F42C56" w:rsidRPr="00D87C7C">
        <w:rPr>
          <w:rFonts w:asciiTheme="minorHAnsi" w:hAnsiTheme="minorHAnsi"/>
          <w:color w:val="auto"/>
        </w:rPr>
        <w:t xml:space="preserve"> </w:t>
      </w:r>
      <w:r w:rsidR="00CE6060">
        <w:rPr>
          <w:rFonts w:asciiTheme="minorHAnsi" w:hAnsiTheme="minorHAnsi"/>
          <w:color w:val="auto"/>
        </w:rPr>
        <w:t>a</w:t>
      </w:r>
      <w:r w:rsidR="00F42C56" w:rsidRPr="00D87C7C">
        <w:rPr>
          <w:rFonts w:asciiTheme="minorHAnsi" w:hAnsiTheme="minorHAnsi"/>
          <w:color w:val="auto"/>
        </w:rPr>
        <w:t>sthma</w:t>
      </w:r>
      <w:r w:rsidR="00F42C56">
        <w:rPr>
          <w:rFonts w:asciiTheme="minorHAnsi" w:hAnsiTheme="minorHAnsi"/>
          <w:color w:val="auto"/>
        </w:rPr>
        <w:t xml:space="preserve">, </w:t>
      </w:r>
      <w:r w:rsidR="00CE6060">
        <w:rPr>
          <w:rFonts w:asciiTheme="minorHAnsi" w:hAnsiTheme="minorHAnsi"/>
          <w:color w:val="auto"/>
        </w:rPr>
        <w:t>left k</w:t>
      </w:r>
      <w:r w:rsidR="00F42C56" w:rsidRPr="00D87C7C">
        <w:rPr>
          <w:rFonts w:asciiTheme="minorHAnsi" w:hAnsiTheme="minorHAnsi"/>
          <w:color w:val="auto"/>
        </w:rPr>
        <w:t>nee</w:t>
      </w:r>
      <w:r w:rsidR="00F42C56">
        <w:rPr>
          <w:rFonts w:asciiTheme="minorHAnsi" w:hAnsiTheme="minorHAnsi"/>
          <w:color w:val="auto"/>
        </w:rPr>
        <w:t xml:space="preserve">, </w:t>
      </w:r>
      <w:r w:rsidR="00CE6060">
        <w:rPr>
          <w:rFonts w:asciiTheme="minorHAnsi" w:hAnsiTheme="minorHAnsi"/>
          <w:color w:val="auto"/>
        </w:rPr>
        <w:t>c</w:t>
      </w:r>
      <w:r w:rsidR="00F42C56" w:rsidRPr="00D87C7C">
        <w:rPr>
          <w:rFonts w:asciiTheme="minorHAnsi" w:hAnsiTheme="minorHAnsi"/>
          <w:color w:val="auto"/>
        </w:rPr>
        <w:t xml:space="preserve">hronic pain syndrome </w:t>
      </w:r>
      <w:r w:rsidR="00F42C56">
        <w:rPr>
          <w:rFonts w:asciiTheme="minorHAnsi" w:hAnsiTheme="minorHAnsi"/>
          <w:color w:val="auto"/>
        </w:rPr>
        <w:t xml:space="preserve">and </w:t>
      </w:r>
      <w:r w:rsidR="00F42C56" w:rsidRPr="00D87C7C">
        <w:rPr>
          <w:rFonts w:asciiTheme="minorHAnsi" w:hAnsiTheme="minorHAnsi"/>
          <w:color w:val="auto"/>
        </w:rPr>
        <w:t>depression and a component of fibromyalgia syndrome</w:t>
      </w:r>
      <w:r w:rsidR="00F42C56">
        <w:rPr>
          <w:rFonts w:asciiTheme="minorHAnsi" w:hAnsiTheme="minorHAnsi"/>
          <w:color w:val="auto"/>
        </w:rPr>
        <w:t xml:space="preserve"> with her VA ratings.  She contends that </w:t>
      </w:r>
      <w:r w:rsidR="00E730F1" w:rsidRPr="0011772D">
        <w:rPr>
          <w:rFonts w:asciiTheme="minorHAnsi" w:hAnsiTheme="minorHAnsi"/>
          <w:color w:val="auto"/>
        </w:rPr>
        <w:t xml:space="preserve">fibromyalgia had been </w:t>
      </w:r>
      <w:r w:rsidR="007642C1" w:rsidRPr="0011772D">
        <w:rPr>
          <w:rFonts w:asciiTheme="minorHAnsi" w:hAnsiTheme="minorHAnsi"/>
          <w:color w:val="auto"/>
        </w:rPr>
        <w:t>mis</w:t>
      </w:r>
      <w:r w:rsidR="00E730F1" w:rsidRPr="0011772D">
        <w:rPr>
          <w:rFonts w:asciiTheme="minorHAnsi" w:hAnsiTheme="minorHAnsi"/>
          <w:color w:val="auto"/>
        </w:rPr>
        <w:t>diagnosed and was actually systemic lupus erythe</w:t>
      </w:r>
      <w:r w:rsidR="007642C1" w:rsidRPr="0011772D">
        <w:rPr>
          <w:rFonts w:asciiTheme="minorHAnsi" w:hAnsiTheme="minorHAnsi"/>
          <w:color w:val="auto"/>
        </w:rPr>
        <w:t>m</w:t>
      </w:r>
      <w:r w:rsidR="00E730F1" w:rsidRPr="0011772D">
        <w:rPr>
          <w:rFonts w:asciiTheme="minorHAnsi" w:hAnsiTheme="minorHAnsi"/>
          <w:color w:val="auto"/>
        </w:rPr>
        <w:t xml:space="preserve">atosus </w:t>
      </w:r>
      <w:r w:rsidR="007642C1" w:rsidRPr="0011772D">
        <w:rPr>
          <w:rFonts w:asciiTheme="minorHAnsi" w:hAnsiTheme="minorHAnsi"/>
          <w:color w:val="auto"/>
        </w:rPr>
        <w:t>(SLE)</w:t>
      </w:r>
      <w:r w:rsidR="00E730F1" w:rsidRPr="0011772D">
        <w:rPr>
          <w:rFonts w:asciiTheme="minorHAnsi" w:hAnsiTheme="minorHAnsi"/>
          <w:color w:val="auto"/>
        </w:rPr>
        <w:t>.</w:t>
      </w:r>
    </w:p>
    <w:p w:rsidR="005754F5" w:rsidRPr="001F29F9" w:rsidRDefault="005754F5" w:rsidP="005754F5">
      <w:pPr>
        <w:pBdr>
          <w:bottom w:val="single" w:sz="12" w:space="1" w:color="auto"/>
        </w:pBdr>
        <w:tabs>
          <w:tab w:val="left" w:pos="288"/>
          <w:tab w:val="left" w:pos="4752"/>
        </w:tabs>
        <w:jc w:val="both"/>
        <w:rPr>
          <w:color w:val="000000" w:themeColor="text1"/>
        </w:rPr>
      </w:pPr>
    </w:p>
    <w:p w:rsidR="00CE6060" w:rsidRDefault="00CE6060" w:rsidP="00CE6060">
      <w:pPr>
        <w:jc w:val="both"/>
        <w:rPr>
          <w:color w:val="000000" w:themeColor="text1"/>
          <w:u w:val="single"/>
        </w:rPr>
      </w:pPr>
    </w:p>
    <w:p w:rsidR="00C8590C" w:rsidRPr="007B64F8" w:rsidRDefault="007F0AB7" w:rsidP="00BF0E94">
      <w:pPr>
        <w:jc w:val="left"/>
        <w:rPr>
          <w:color w:val="auto"/>
          <w:szCs w:val="28"/>
          <w:highlight w:val="magenta"/>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7B64F8" w:rsidRDefault="002151AB" w:rsidP="004A2643">
      <w:pPr>
        <w:jc w:val="both"/>
        <w:rPr>
          <w:color w:val="auto"/>
        </w:rPr>
      </w:pPr>
    </w:p>
    <w:tbl>
      <w:tblPr>
        <w:tblStyle w:val="TableGrid"/>
        <w:tblW w:w="9378" w:type="dxa"/>
        <w:jc w:val="center"/>
        <w:tblLayout w:type="fixed"/>
        <w:tblLook w:val="04A0"/>
      </w:tblPr>
      <w:tblGrid>
        <w:gridCol w:w="2178"/>
        <w:gridCol w:w="1080"/>
        <w:gridCol w:w="900"/>
        <w:gridCol w:w="2322"/>
        <w:gridCol w:w="1080"/>
        <w:gridCol w:w="828"/>
        <w:gridCol w:w="990"/>
      </w:tblGrid>
      <w:tr w:rsidR="002B4E22" w:rsidRPr="007B64F8" w:rsidTr="00AA1387">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7B64F8" w:rsidRDefault="00B731E4" w:rsidP="00AA1387">
            <w:pPr>
              <w:spacing w:line="180" w:lineRule="exact"/>
              <w:contextualSpacing/>
              <w:rPr>
                <w:rFonts w:ascii="Calibri" w:hAnsi="Calibri" w:cs="Calibri"/>
                <w:b/>
                <w:color w:val="auto"/>
                <w:sz w:val="18"/>
                <w:szCs w:val="18"/>
              </w:rPr>
            </w:pPr>
            <w:r w:rsidRPr="007B64F8">
              <w:rPr>
                <w:rFonts w:ascii="Calibri" w:hAnsi="Calibri" w:cs="Calibri"/>
                <w:b/>
                <w:color w:val="auto"/>
                <w:sz w:val="18"/>
                <w:szCs w:val="18"/>
              </w:rPr>
              <w:t xml:space="preserve">Service </w:t>
            </w:r>
            <w:r w:rsidR="00EF4CED" w:rsidRPr="007B64F8">
              <w:rPr>
                <w:rFonts w:ascii="Calibri" w:hAnsi="Calibri" w:cs="Calibri"/>
                <w:b/>
                <w:color w:val="auto"/>
                <w:sz w:val="18"/>
                <w:szCs w:val="18"/>
              </w:rPr>
              <w:t>F</w:t>
            </w:r>
            <w:r w:rsidRPr="007B64F8">
              <w:rPr>
                <w:rFonts w:ascii="Calibri" w:hAnsi="Calibri" w:cs="Calibri"/>
                <w:b/>
                <w:color w:val="auto"/>
                <w:sz w:val="18"/>
                <w:szCs w:val="18"/>
              </w:rPr>
              <w:t>PEB – Dated 200</w:t>
            </w:r>
            <w:r w:rsidR="00F126D9" w:rsidRPr="007B64F8">
              <w:rPr>
                <w:rFonts w:ascii="Calibri" w:hAnsi="Calibri" w:cs="Calibri"/>
                <w:b/>
                <w:color w:val="auto"/>
                <w:sz w:val="18"/>
                <w:szCs w:val="18"/>
              </w:rPr>
              <w:t>412</w:t>
            </w:r>
            <w:r w:rsidR="00EF4CED" w:rsidRPr="007B64F8">
              <w:rPr>
                <w:rFonts w:ascii="Calibri" w:hAnsi="Calibri" w:cs="Calibri"/>
                <w:b/>
                <w:color w:val="auto"/>
                <w:sz w:val="18"/>
                <w:szCs w:val="18"/>
              </w:rPr>
              <w:t>17</w:t>
            </w:r>
          </w:p>
        </w:tc>
        <w:tc>
          <w:tcPr>
            <w:tcW w:w="5220" w:type="dxa"/>
            <w:gridSpan w:val="4"/>
            <w:tcBorders>
              <w:left w:val="thinThickThinSmallGap" w:sz="24" w:space="0" w:color="auto"/>
            </w:tcBorders>
            <w:shd w:val="clear" w:color="auto" w:fill="D9D9D9" w:themeFill="background1" w:themeFillShade="D9"/>
            <w:vAlign w:val="center"/>
          </w:tcPr>
          <w:p w:rsidR="002B4E22" w:rsidRPr="007B64F8" w:rsidRDefault="002B4E22" w:rsidP="00AA1387">
            <w:pPr>
              <w:spacing w:line="180" w:lineRule="exact"/>
              <w:contextualSpacing/>
              <w:rPr>
                <w:rFonts w:ascii="Calibri" w:hAnsi="Calibri" w:cs="Calibri"/>
                <w:b/>
                <w:color w:val="auto"/>
                <w:sz w:val="18"/>
                <w:szCs w:val="18"/>
              </w:rPr>
            </w:pPr>
            <w:r w:rsidRPr="007B64F8">
              <w:rPr>
                <w:rFonts w:ascii="Calibri" w:hAnsi="Calibri" w:cs="Calibri"/>
                <w:b/>
                <w:color w:val="auto"/>
                <w:sz w:val="18"/>
                <w:szCs w:val="18"/>
              </w:rPr>
              <w:t>VA (</w:t>
            </w:r>
            <w:r w:rsidR="001A390F" w:rsidRPr="007B64F8">
              <w:rPr>
                <w:rFonts w:ascii="Calibri" w:hAnsi="Calibri" w:cs="Calibri"/>
                <w:b/>
                <w:color w:val="auto"/>
                <w:sz w:val="18"/>
                <w:szCs w:val="18"/>
              </w:rPr>
              <w:t>2</w:t>
            </w:r>
            <w:r w:rsidR="0079154B" w:rsidRPr="007B64F8">
              <w:rPr>
                <w:rFonts w:ascii="Calibri" w:hAnsi="Calibri" w:cs="Calibri"/>
                <w:b/>
                <w:color w:val="auto"/>
                <w:sz w:val="18"/>
                <w:szCs w:val="18"/>
              </w:rPr>
              <w:t xml:space="preserve"> </w:t>
            </w:r>
            <w:r w:rsidRPr="007B64F8">
              <w:rPr>
                <w:rFonts w:ascii="Calibri" w:hAnsi="Calibri" w:cs="Calibri"/>
                <w:b/>
                <w:color w:val="auto"/>
                <w:sz w:val="18"/>
                <w:szCs w:val="18"/>
              </w:rPr>
              <w:t xml:space="preserve">Mo. After Separation) – All Effective Date </w:t>
            </w:r>
            <w:r w:rsidR="002D08F3" w:rsidRPr="007B64F8">
              <w:rPr>
                <w:rFonts w:ascii="Calibri" w:hAnsi="Calibri" w:cs="Calibri"/>
                <w:b/>
                <w:color w:val="auto"/>
                <w:sz w:val="18"/>
                <w:szCs w:val="18"/>
              </w:rPr>
              <w:t>20</w:t>
            </w:r>
            <w:r w:rsidR="001A390F" w:rsidRPr="007B64F8">
              <w:rPr>
                <w:rFonts w:ascii="Calibri" w:hAnsi="Calibri" w:cs="Calibri"/>
                <w:b/>
                <w:color w:val="auto"/>
                <w:sz w:val="18"/>
                <w:szCs w:val="18"/>
              </w:rPr>
              <w:t>050126</w:t>
            </w:r>
          </w:p>
        </w:tc>
      </w:tr>
      <w:tr w:rsidR="002B4E22" w:rsidRPr="007B64F8" w:rsidTr="00AA1387">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7B64F8" w:rsidRDefault="002B4E22" w:rsidP="00AA1387">
            <w:pPr>
              <w:spacing w:line="180" w:lineRule="exact"/>
              <w:contextualSpacing/>
              <w:rPr>
                <w:rFonts w:ascii="Calibri" w:hAnsi="Calibri" w:cs="Calibri"/>
                <w:b/>
                <w:color w:val="auto"/>
                <w:sz w:val="18"/>
                <w:szCs w:val="18"/>
              </w:rPr>
            </w:pPr>
            <w:r w:rsidRPr="007B64F8">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7B64F8" w:rsidRDefault="002B4E22" w:rsidP="00AA1387">
            <w:pPr>
              <w:spacing w:line="180" w:lineRule="exact"/>
              <w:contextualSpacing/>
              <w:rPr>
                <w:rFonts w:ascii="Calibri" w:hAnsi="Calibri" w:cs="Calibri"/>
                <w:b/>
                <w:color w:val="auto"/>
                <w:sz w:val="18"/>
                <w:szCs w:val="18"/>
              </w:rPr>
            </w:pPr>
            <w:r w:rsidRPr="007B64F8">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7B64F8" w:rsidRDefault="002B4E22" w:rsidP="00AA1387">
            <w:pPr>
              <w:spacing w:line="180" w:lineRule="exact"/>
              <w:contextualSpacing/>
              <w:rPr>
                <w:rFonts w:ascii="Calibri" w:hAnsi="Calibri" w:cs="Calibri"/>
                <w:b/>
                <w:color w:val="auto"/>
                <w:sz w:val="18"/>
                <w:szCs w:val="18"/>
              </w:rPr>
            </w:pPr>
            <w:r w:rsidRPr="007B64F8">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7B64F8" w:rsidRDefault="002B4E22" w:rsidP="00AA1387">
            <w:pPr>
              <w:spacing w:line="180" w:lineRule="exact"/>
              <w:contextualSpacing/>
              <w:rPr>
                <w:rFonts w:ascii="Calibri" w:hAnsi="Calibri" w:cs="Calibri"/>
                <w:b/>
                <w:color w:val="auto"/>
                <w:sz w:val="18"/>
                <w:szCs w:val="18"/>
              </w:rPr>
            </w:pPr>
            <w:r w:rsidRPr="007B64F8">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7B64F8" w:rsidRDefault="002B4E22" w:rsidP="00AA1387">
            <w:pPr>
              <w:spacing w:line="180" w:lineRule="exact"/>
              <w:contextualSpacing/>
              <w:rPr>
                <w:rFonts w:ascii="Calibri" w:hAnsi="Calibri" w:cs="Calibri"/>
                <w:b/>
                <w:color w:val="auto"/>
                <w:sz w:val="18"/>
                <w:szCs w:val="18"/>
              </w:rPr>
            </w:pPr>
            <w:r w:rsidRPr="007B64F8">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7B64F8" w:rsidRDefault="002B4E22" w:rsidP="00AA1387">
            <w:pPr>
              <w:spacing w:line="180" w:lineRule="exact"/>
              <w:contextualSpacing/>
              <w:rPr>
                <w:rFonts w:ascii="Calibri" w:hAnsi="Calibri" w:cs="Calibri"/>
                <w:b/>
                <w:color w:val="auto"/>
                <w:sz w:val="18"/>
                <w:szCs w:val="18"/>
              </w:rPr>
            </w:pPr>
            <w:r w:rsidRPr="007B64F8">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7B64F8" w:rsidRDefault="002B4E22" w:rsidP="00AA1387">
            <w:pPr>
              <w:spacing w:line="180" w:lineRule="exact"/>
              <w:contextualSpacing/>
              <w:rPr>
                <w:rFonts w:ascii="Calibri" w:hAnsi="Calibri" w:cs="Calibri"/>
                <w:b/>
                <w:color w:val="auto"/>
                <w:sz w:val="18"/>
                <w:szCs w:val="18"/>
              </w:rPr>
            </w:pPr>
            <w:r w:rsidRPr="007B64F8">
              <w:rPr>
                <w:rFonts w:ascii="Calibri" w:hAnsi="Calibri" w:cs="Calibri"/>
                <w:b/>
                <w:color w:val="auto"/>
                <w:sz w:val="18"/>
                <w:szCs w:val="18"/>
              </w:rPr>
              <w:t>Exam</w:t>
            </w:r>
          </w:p>
        </w:tc>
      </w:tr>
      <w:tr w:rsidR="00C03C21" w:rsidRPr="007B64F8" w:rsidTr="00AA1387">
        <w:trPr>
          <w:trHeight w:val="287"/>
          <w:jc w:val="center"/>
        </w:trPr>
        <w:tc>
          <w:tcPr>
            <w:tcW w:w="2178" w:type="dxa"/>
            <w:tcBorders>
              <w:right w:val="single" w:sz="4" w:space="0" w:color="auto"/>
            </w:tcBorders>
            <w:shd w:val="clear" w:color="auto" w:fill="FFFFFF" w:themeFill="background1"/>
            <w:vAlign w:val="center"/>
          </w:tcPr>
          <w:p w:rsidR="00BC5860" w:rsidRPr="00111DDB" w:rsidRDefault="00EF4CED" w:rsidP="00AA1387">
            <w:pPr>
              <w:spacing w:line="180" w:lineRule="exact"/>
              <w:contextualSpacing/>
              <w:jc w:val="left"/>
              <w:rPr>
                <w:rFonts w:ascii="Calibri" w:eastAsia="Times New Roman" w:hAnsi="Calibri" w:cs="Calibri"/>
                <w:color w:val="auto"/>
                <w:sz w:val="18"/>
                <w:szCs w:val="18"/>
              </w:rPr>
            </w:pPr>
            <w:r w:rsidRPr="00111DDB">
              <w:rPr>
                <w:rFonts w:ascii="Calibri" w:hAnsi="Calibri" w:cs="Calibri"/>
                <w:color w:val="auto"/>
                <w:sz w:val="18"/>
                <w:szCs w:val="18"/>
              </w:rPr>
              <w:t>Right Foot Pain</w:t>
            </w:r>
          </w:p>
        </w:tc>
        <w:tc>
          <w:tcPr>
            <w:tcW w:w="1080" w:type="dxa"/>
            <w:tcBorders>
              <w:left w:val="single" w:sz="4" w:space="0" w:color="auto"/>
            </w:tcBorders>
            <w:shd w:val="clear" w:color="auto" w:fill="FFFFFF" w:themeFill="background1"/>
            <w:vAlign w:val="center"/>
          </w:tcPr>
          <w:p w:rsidR="00BC5860" w:rsidRPr="00111DDB" w:rsidRDefault="00EF4CED" w:rsidP="00AA1387">
            <w:pPr>
              <w:spacing w:line="180" w:lineRule="exact"/>
              <w:contextualSpacing/>
              <w:rPr>
                <w:rFonts w:ascii="Calibri" w:eastAsia="Times New Roman" w:hAnsi="Calibri" w:cs="Calibri"/>
                <w:color w:val="auto"/>
                <w:sz w:val="18"/>
                <w:szCs w:val="18"/>
              </w:rPr>
            </w:pPr>
            <w:r w:rsidRPr="00111DDB">
              <w:rPr>
                <w:rFonts w:ascii="Calibri" w:hAnsi="Calibri" w:cs="Calibri"/>
                <w:color w:val="auto"/>
                <w:sz w:val="18"/>
                <w:szCs w:val="18"/>
              </w:rPr>
              <w:t>5279</w:t>
            </w:r>
          </w:p>
        </w:tc>
        <w:tc>
          <w:tcPr>
            <w:tcW w:w="900" w:type="dxa"/>
            <w:tcBorders>
              <w:right w:val="thinThickThinSmallGap" w:sz="24" w:space="0" w:color="auto"/>
            </w:tcBorders>
            <w:shd w:val="clear" w:color="auto" w:fill="FFFFFF" w:themeFill="background1"/>
            <w:vAlign w:val="center"/>
          </w:tcPr>
          <w:p w:rsidR="00BC5860" w:rsidRPr="00111DDB" w:rsidRDefault="00EF4CED" w:rsidP="00AA1387">
            <w:pPr>
              <w:spacing w:line="180" w:lineRule="exact"/>
              <w:rPr>
                <w:rFonts w:ascii="Calibri" w:eastAsia="Times New Roman" w:hAnsi="Calibri" w:cs="Calibri"/>
                <w:color w:val="auto"/>
                <w:sz w:val="18"/>
                <w:szCs w:val="18"/>
              </w:rPr>
            </w:pPr>
            <w:r w:rsidRPr="00111DDB">
              <w:rPr>
                <w:rFonts w:ascii="Calibri" w:hAnsi="Calibri" w:cs="Calibri"/>
                <w:color w:val="auto"/>
                <w:sz w:val="18"/>
                <w:szCs w:val="18"/>
              </w:rPr>
              <w:t>10</w:t>
            </w:r>
            <w:r w:rsidR="00C03C21" w:rsidRPr="00111DDB">
              <w:rPr>
                <w:rFonts w:ascii="Calibri" w:hAnsi="Calibri" w:cs="Calibri"/>
                <w:color w:val="auto"/>
                <w:sz w:val="18"/>
                <w:szCs w:val="18"/>
              </w:rPr>
              <w:t>%</w:t>
            </w:r>
          </w:p>
        </w:tc>
        <w:tc>
          <w:tcPr>
            <w:tcW w:w="2322" w:type="dxa"/>
            <w:tcBorders>
              <w:left w:val="thinThickThinSmallGap" w:sz="24" w:space="0" w:color="auto"/>
            </w:tcBorders>
            <w:shd w:val="clear" w:color="auto" w:fill="FFFFFF" w:themeFill="background1"/>
            <w:vAlign w:val="center"/>
          </w:tcPr>
          <w:p w:rsidR="00BC5860" w:rsidRPr="00111DDB" w:rsidRDefault="006E399C" w:rsidP="00AA1387">
            <w:pPr>
              <w:spacing w:line="180" w:lineRule="exact"/>
              <w:contextualSpacing/>
              <w:jc w:val="left"/>
              <w:rPr>
                <w:rFonts w:ascii="Calibri" w:eastAsia="Times New Roman" w:hAnsi="Calibri" w:cs="Calibri"/>
                <w:color w:val="auto"/>
                <w:sz w:val="18"/>
                <w:szCs w:val="18"/>
              </w:rPr>
            </w:pPr>
            <w:r w:rsidRPr="00111DDB">
              <w:rPr>
                <w:rFonts w:ascii="Calibri" w:hAnsi="Calibri" w:cs="Calibri"/>
                <w:color w:val="auto"/>
                <w:sz w:val="18"/>
                <w:szCs w:val="18"/>
              </w:rPr>
              <w:t>Right Foot and Toe Pain</w:t>
            </w:r>
          </w:p>
        </w:tc>
        <w:tc>
          <w:tcPr>
            <w:tcW w:w="1080" w:type="dxa"/>
            <w:shd w:val="clear" w:color="auto" w:fill="FFFFFF" w:themeFill="background1"/>
            <w:vAlign w:val="center"/>
          </w:tcPr>
          <w:p w:rsidR="00BC5860" w:rsidRPr="00111DDB" w:rsidRDefault="006E399C" w:rsidP="00AA1387">
            <w:pPr>
              <w:spacing w:line="180" w:lineRule="exact"/>
              <w:contextualSpacing/>
              <w:rPr>
                <w:rFonts w:ascii="Calibri" w:eastAsia="Times New Roman" w:hAnsi="Calibri" w:cs="Calibri"/>
                <w:color w:val="auto"/>
                <w:sz w:val="18"/>
                <w:szCs w:val="18"/>
              </w:rPr>
            </w:pPr>
            <w:r w:rsidRPr="00111DDB">
              <w:rPr>
                <w:rFonts w:ascii="Calibri" w:eastAsia="Times New Roman" w:hAnsi="Calibri" w:cs="Calibri"/>
                <w:color w:val="auto"/>
                <w:sz w:val="18"/>
                <w:szCs w:val="18"/>
              </w:rPr>
              <w:t>5284</w:t>
            </w:r>
          </w:p>
        </w:tc>
        <w:tc>
          <w:tcPr>
            <w:tcW w:w="828" w:type="dxa"/>
            <w:shd w:val="clear" w:color="auto" w:fill="FFFFFF" w:themeFill="background1"/>
            <w:vAlign w:val="center"/>
          </w:tcPr>
          <w:p w:rsidR="00BC5860" w:rsidRPr="00111DDB" w:rsidRDefault="006E399C" w:rsidP="00AA1387">
            <w:pPr>
              <w:spacing w:line="180" w:lineRule="exact"/>
              <w:contextualSpacing/>
              <w:rPr>
                <w:rFonts w:ascii="Calibri" w:eastAsia="Times New Roman" w:hAnsi="Calibri" w:cs="Calibri"/>
                <w:color w:val="auto"/>
                <w:sz w:val="18"/>
                <w:szCs w:val="18"/>
              </w:rPr>
            </w:pPr>
            <w:r w:rsidRPr="00111DDB">
              <w:rPr>
                <w:rFonts w:ascii="Calibri" w:hAnsi="Calibri" w:cs="Calibri"/>
                <w:color w:val="auto"/>
                <w:sz w:val="18"/>
                <w:szCs w:val="18"/>
              </w:rPr>
              <w:t>0</w:t>
            </w:r>
            <w:r w:rsidR="00C03C21" w:rsidRPr="00111DDB">
              <w:rPr>
                <w:rFonts w:ascii="Calibri" w:hAnsi="Calibri" w:cs="Calibri"/>
                <w:color w:val="auto"/>
                <w:sz w:val="18"/>
                <w:szCs w:val="18"/>
              </w:rPr>
              <w:t>%</w:t>
            </w:r>
          </w:p>
        </w:tc>
        <w:tc>
          <w:tcPr>
            <w:tcW w:w="990" w:type="dxa"/>
            <w:shd w:val="clear" w:color="auto" w:fill="FFFFFF" w:themeFill="background1"/>
            <w:vAlign w:val="center"/>
          </w:tcPr>
          <w:p w:rsidR="00BC5860" w:rsidRPr="00111DDB" w:rsidRDefault="006E399C" w:rsidP="00AA1387">
            <w:pPr>
              <w:spacing w:line="180" w:lineRule="exact"/>
              <w:contextualSpacing/>
              <w:rPr>
                <w:rFonts w:ascii="Calibri" w:eastAsia="Times New Roman" w:hAnsi="Calibri" w:cs="Calibri"/>
                <w:color w:val="auto"/>
                <w:sz w:val="18"/>
                <w:szCs w:val="18"/>
              </w:rPr>
            </w:pPr>
            <w:r w:rsidRPr="00111DDB">
              <w:rPr>
                <w:rFonts w:ascii="Calibri" w:hAnsi="Calibri" w:cs="Calibri"/>
                <w:color w:val="auto"/>
                <w:sz w:val="18"/>
                <w:szCs w:val="18"/>
              </w:rPr>
              <w:t>20050406</w:t>
            </w:r>
          </w:p>
        </w:tc>
      </w:tr>
      <w:tr w:rsidR="00C03C21" w:rsidRPr="007B64F8" w:rsidTr="00AA1387">
        <w:trPr>
          <w:trHeight w:val="287"/>
          <w:jc w:val="center"/>
        </w:trPr>
        <w:tc>
          <w:tcPr>
            <w:tcW w:w="2178" w:type="dxa"/>
            <w:tcBorders>
              <w:right w:val="single" w:sz="4" w:space="0" w:color="auto"/>
            </w:tcBorders>
            <w:shd w:val="clear" w:color="auto" w:fill="FFFFFF" w:themeFill="background1"/>
            <w:vAlign w:val="center"/>
          </w:tcPr>
          <w:p w:rsidR="00BC5860" w:rsidRPr="00111DDB" w:rsidRDefault="00EF4CED" w:rsidP="00AA1387">
            <w:pPr>
              <w:spacing w:line="180" w:lineRule="exact"/>
              <w:contextualSpacing/>
              <w:jc w:val="left"/>
              <w:rPr>
                <w:rFonts w:ascii="Calibri" w:eastAsia="Times New Roman" w:hAnsi="Calibri" w:cs="Calibri"/>
                <w:color w:val="auto"/>
                <w:sz w:val="18"/>
                <w:szCs w:val="18"/>
              </w:rPr>
            </w:pPr>
            <w:r w:rsidRPr="00111DDB">
              <w:rPr>
                <w:rFonts w:ascii="Calibri" w:hAnsi="Calibri" w:cs="Calibri"/>
                <w:color w:val="auto"/>
                <w:sz w:val="18"/>
                <w:szCs w:val="18"/>
              </w:rPr>
              <w:t>Fibromyalgia</w:t>
            </w:r>
            <w:r w:rsidR="005A70AB" w:rsidRPr="00111DDB">
              <w:rPr>
                <w:rFonts w:ascii="Calibri" w:hAnsi="Calibri" w:cs="Calibri"/>
                <w:color w:val="auto"/>
                <w:sz w:val="18"/>
                <w:szCs w:val="18"/>
              </w:rPr>
              <w:t xml:space="preserve"> (MEB CPS)</w:t>
            </w:r>
          </w:p>
        </w:tc>
        <w:tc>
          <w:tcPr>
            <w:tcW w:w="1080" w:type="dxa"/>
            <w:tcBorders>
              <w:left w:val="single" w:sz="4" w:space="0" w:color="auto"/>
            </w:tcBorders>
            <w:shd w:val="clear" w:color="auto" w:fill="FFFFFF" w:themeFill="background1"/>
            <w:vAlign w:val="center"/>
          </w:tcPr>
          <w:p w:rsidR="00BC5860" w:rsidRPr="00111DDB" w:rsidRDefault="00EF4CED" w:rsidP="00AA1387">
            <w:pPr>
              <w:spacing w:line="180" w:lineRule="exact"/>
              <w:contextualSpacing/>
              <w:rPr>
                <w:rFonts w:ascii="Calibri" w:eastAsia="Times New Roman" w:hAnsi="Calibri" w:cs="Calibri"/>
                <w:color w:val="auto"/>
                <w:sz w:val="18"/>
                <w:szCs w:val="18"/>
              </w:rPr>
            </w:pPr>
            <w:r w:rsidRPr="00111DDB">
              <w:rPr>
                <w:rFonts w:ascii="Calibri" w:eastAsia="Times New Roman" w:hAnsi="Calibri" w:cs="Calibri"/>
                <w:color w:val="auto"/>
                <w:sz w:val="18"/>
                <w:szCs w:val="18"/>
              </w:rPr>
              <w:t>5025</w:t>
            </w:r>
          </w:p>
        </w:tc>
        <w:tc>
          <w:tcPr>
            <w:tcW w:w="900" w:type="dxa"/>
            <w:tcBorders>
              <w:right w:val="thinThickThinSmallGap" w:sz="24" w:space="0" w:color="auto"/>
            </w:tcBorders>
            <w:shd w:val="clear" w:color="auto" w:fill="FFFFFF" w:themeFill="background1"/>
            <w:vAlign w:val="center"/>
          </w:tcPr>
          <w:p w:rsidR="00BC5860" w:rsidRPr="00111DDB" w:rsidRDefault="00EF4CED" w:rsidP="00AA1387">
            <w:pPr>
              <w:spacing w:line="180" w:lineRule="exact"/>
              <w:rPr>
                <w:rFonts w:ascii="Calibri" w:eastAsia="Times New Roman" w:hAnsi="Calibri" w:cs="Calibri"/>
                <w:color w:val="auto"/>
                <w:sz w:val="18"/>
                <w:szCs w:val="18"/>
              </w:rPr>
            </w:pPr>
            <w:r w:rsidRPr="00111DDB">
              <w:rPr>
                <w:rFonts w:ascii="Calibri" w:hAnsi="Calibri" w:cs="Calibri"/>
                <w:color w:val="auto"/>
                <w:sz w:val="18"/>
                <w:szCs w:val="18"/>
              </w:rPr>
              <w:t>10</w:t>
            </w:r>
            <w:r w:rsidR="00C03C21" w:rsidRPr="00111DDB">
              <w:rPr>
                <w:rFonts w:ascii="Calibri" w:hAnsi="Calibri" w:cs="Calibri"/>
                <w:color w:val="auto"/>
                <w:sz w:val="18"/>
                <w:szCs w:val="18"/>
              </w:rPr>
              <w:t>%</w:t>
            </w:r>
          </w:p>
        </w:tc>
        <w:tc>
          <w:tcPr>
            <w:tcW w:w="2322" w:type="dxa"/>
            <w:tcBorders>
              <w:left w:val="thinThickThinSmallGap" w:sz="24" w:space="0" w:color="auto"/>
              <w:right w:val="single" w:sz="4" w:space="0" w:color="auto"/>
            </w:tcBorders>
            <w:shd w:val="clear" w:color="auto" w:fill="FFFFFF" w:themeFill="background1"/>
            <w:vAlign w:val="center"/>
          </w:tcPr>
          <w:p w:rsidR="00BC5860" w:rsidRPr="00111DDB" w:rsidRDefault="001A390F" w:rsidP="00AA1387">
            <w:pPr>
              <w:spacing w:line="180" w:lineRule="exact"/>
              <w:contextualSpacing/>
              <w:jc w:val="left"/>
              <w:rPr>
                <w:rFonts w:ascii="Calibri" w:eastAsia="Times New Roman" w:hAnsi="Calibri" w:cs="Calibri"/>
                <w:color w:val="auto"/>
                <w:sz w:val="18"/>
                <w:szCs w:val="18"/>
              </w:rPr>
            </w:pPr>
            <w:r w:rsidRPr="00111DDB">
              <w:rPr>
                <w:rFonts w:ascii="Calibri" w:hAnsi="Calibri" w:cs="Calibri"/>
                <w:color w:val="auto"/>
                <w:sz w:val="18"/>
                <w:szCs w:val="18"/>
              </w:rPr>
              <w:t>Fibromyalgia</w:t>
            </w:r>
            <w:r w:rsidR="006E399C" w:rsidRPr="00111DDB">
              <w:rPr>
                <w:rFonts w:ascii="Calibri" w:hAnsi="Calibri" w:cs="Calibri"/>
                <w:color w:val="auto"/>
                <w:sz w:val="18"/>
                <w:szCs w:val="18"/>
              </w:rPr>
              <w:t>*</w:t>
            </w:r>
          </w:p>
        </w:tc>
        <w:tc>
          <w:tcPr>
            <w:tcW w:w="1080" w:type="dxa"/>
            <w:tcBorders>
              <w:left w:val="single" w:sz="4" w:space="0" w:color="auto"/>
            </w:tcBorders>
            <w:shd w:val="clear" w:color="auto" w:fill="FFFFFF" w:themeFill="background1"/>
            <w:vAlign w:val="center"/>
          </w:tcPr>
          <w:p w:rsidR="00BC5860" w:rsidRPr="00111DDB" w:rsidRDefault="001A390F" w:rsidP="00AA1387">
            <w:pPr>
              <w:spacing w:line="180" w:lineRule="exact"/>
              <w:contextualSpacing/>
              <w:rPr>
                <w:rFonts w:ascii="Calibri" w:eastAsia="Times New Roman" w:hAnsi="Calibri" w:cs="Calibri"/>
                <w:color w:val="auto"/>
                <w:sz w:val="18"/>
                <w:szCs w:val="18"/>
              </w:rPr>
            </w:pPr>
            <w:r w:rsidRPr="00111DDB">
              <w:rPr>
                <w:rFonts w:ascii="Calibri" w:eastAsia="Times New Roman" w:hAnsi="Calibri" w:cs="Calibri"/>
                <w:color w:val="auto"/>
                <w:sz w:val="18"/>
                <w:szCs w:val="18"/>
              </w:rPr>
              <w:t>5025</w:t>
            </w:r>
          </w:p>
        </w:tc>
        <w:tc>
          <w:tcPr>
            <w:tcW w:w="828" w:type="dxa"/>
            <w:shd w:val="clear" w:color="auto" w:fill="FFFFFF" w:themeFill="background1"/>
            <w:vAlign w:val="center"/>
          </w:tcPr>
          <w:p w:rsidR="00BC5860" w:rsidRPr="00111DDB" w:rsidRDefault="001A390F" w:rsidP="00AA1387">
            <w:pPr>
              <w:spacing w:line="180" w:lineRule="exact"/>
              <w:contextualSpacing/>
              <w:rPr>
                <w:rFonts w:ascii="Calibri" w:eastAsia="Times New Roman" w:hAnsi="Calibri" w:cs="Calibri"/>
                <w:color w:val="auto"/>
                <w:sz w:val="18"/>
                <w:szCs w:val="18"/>
              </w:rPr>
            </w:pPr>
            <w:r w:rsidRPr="00111DDB">
              <w:rPr>
                <w:rFonts w:ascii="Calibri" w:hAnsi="Calibri" w:cs="Calibri"/>
                <w:color w:val="auto"/>
                <w:sz w:val="18"/>
                <w:szCs w:val="18"/>
              </w:rPr>
              <w:t>40</w:t>
            </w:r>
            <w:r w:rsidR="00C03C21" w:rsidRPr="00111DDB">
              <w:rPr>
                <w:rFonts w:ascii="Calibri" w:hAnsi="Calibri" w:cs="Calibri"/>
                <w:color w:val="auto"/>
                <w:sz w:val="18"/>
                <w:szCs w:val="18"/>
              </w:rPr>
              <w:t>%</w:t>
            </w:r>
          </w:p>
        </w:tc>
        <w:tc>
          <w:tcPr>
            <w:tcW w:w="990" w:type="dxa"/>
            <w:shd w:val="clear" w:color="auto" w:fill="FFFFFF" w:themeFill="background1"/>
            <w:vAlign w:val="center"/>
          </w:tcPr>
          <w:p w:rsidR="00BC5860" w:rsidRPr="00111DDB" w:rsidRDefault="001A390F" w:rsidP="00AA1387">
            <w:pPr>
              <w:spacing w:line="180" w:lineRule="exact"/>
              <w:contextualSpacing/>
              <w:rPr>
                <w:rFonts w:ascii="Calibri" w:eastAsia="Times New Roman" w:hAnsi="Calibri" w:cs="Calibri"/>
                <w:color w:val="auto"/>
                <w:sz w:val="18"/>
                <w:szCs w:val="18"/>
              </w:rPr>
            </w:pPr>
            <w:r w:rsidRPr="00111DDB">
              <w:rPr>
                <w:rFonts w:ascii="Calibri" w:hAnsi="Calibri" w:cs="Calibri"/>
                <w:color w:val="auto"/>
                <w:sz w:val="18"/>
                <w:szCs w:val="18"/>
              </w:rPr>
              <w:t>20050406</w:t>
            </w:r>
          </w:p>
        </w:tc>
      </w:tr>
      <w:tr w:rsidR="001B20E6" w:rsidRPr="007B64F8" w:rsidTr="00AA1387">
        <w:trPr>
          <w:trHeight w:val="287"/>
          <w:jc w:val="center"/>
        </w:trPr>
        <w:tc>
          <w:tcPr>
            <w:tcW w:w="2178" w:type="dxa"/>
            <w:tcBorders>
              <w:right w:val="single" w:sz="4" w:space="0" w:color="auto"/>
            </w:tcBorders>
            <w:shd w:val="clear" w:color="auto" w:fill="FFFFFF" w:themeFill="background1"/>
            <w:vAlign w:val="center"/>
          </w:tcPr>
          <w:p w:rsidR="00BC5860" w:rsidRPr="00111DDB" w:rsidRDefault="00EF4CED" w:rsidP="00AA1387">
            <w:pPr>
              <w:spacing w:line="180" w:lineRule="exact"/>
              <w:contextualSpacing/>
              <w:jc w:val="left"/>
              <w:rPr>
                <w:rFonts w:ascii="Calibri" w:eastAsia="Times New Roman" w:hAnsi="Calibri" w:cs="Calibri"/>
                <w:color w:val="auto"/>
                <w:sz w:val="18"/>
                <w:szCs w:val="18"/>
              </w:rPr>
            </w:pPr>
            <w:r w:rsidRPr="00111DDB">
              <w:rPr>
                <w:rFonts w:ascii="Calibri" w:eastAsia="Times New Roman" w:hAnsi="Calibri" w:cs="Calibri"/>
                <w:color w:val="auto"/>
                <w:sz w:val="18"/>
                <w:szCs w:val="18"/>
              </w:rPr>
              <w:t>Left Knee Pain</w:t>
            </w:r>
          </w:p>
        </w:tc>
        <w:tc>
          <w:tcPr>
            <w:tcW w:w="1080" w:type="dxa"/>
            <w:tcBorders>
              <w:left w:val="single" w:sz="4" w:space="0" w:color="auto"/>
            </w:tcBorders>
            <w:shd w:val="clear" w:color="auto" w:fill="FFFFFF" w:themeFill="background1"/>
            <w:vAlign w:val="center"/>
          </w:tcPr>
          <w:p w:rsidR="00BC5860" w:rsidRPr="00111DDB" w:rsidRDefault="00EF4CED" w:rsidP="00AA1387">
            <w:pPr>
              <w:spacing w:line="180" w:lineRule="exact"/>
              <w:contextualSpacing/>
              <w:rPr>
                <w:rFonts w:ascii="Calibri" w:eastAsia="Times New Roman" w:hAnsi="Calibri" w:cs="Calibri"/>
                <w:color w:val="auto"/>
                <w:sz w:val="18"/>
                <w:szCs w:val="18"/>
              </w:rPr>
            </w:pPr>
            <w:r w:rsidRPr="00111DDB">
              <w:rPr>
                <w:rFonts w:ascii="Calibri" w:eastAsia="Times New Roman" w:hAnsi="Calibri" w:cs="Calibri"/>
                <w:color w:val="auto"/>
                <w:sz w:val="18"/>
                <w:szCs w:val="18"/>
              </w:rPr>
              <w:t>5099-5003</w:t>
            </w:r>
          </w:p>
        </w:tc>
        <w:tc>
          <w:tcPr>
            <w:tcW w:w="900" w:type="dxa"/>
            <w:tcBorders>
              <w:right w:val="thinThickThinSmallGap" w:sz="24" w:space="0" w:color="auto"/>
            </w:tcBorders>
            <w:shd w:val="clear" w:color="auto" w:fill="FFFFFF" w:themeFill="background1"/>
            <w:vAlign w:val="center"/>
          </w:tcPr>
          <w:p w:rsidR="00BC5860" w:rsidRPr="00111DDB" w:rsidRDefault="00EF4CED" w:rsidP="00AA1387">
            <w:pPr>
              <w:spacing w:line="180" w:lineRule="exact"/>
              <w:contextualSpacing/>
              <w:rPr>
                <w:rFonts w:ascii="Calibri" w:eastAsia="Times New Roman" w:hAnsi="Calibri" w:cs="Calibri"/>
                <w:color w:val="auto"/>
                <w:sz w:val="18"/>
                <w:szCs w:val="18"/>
              </w:rPr>
            </w:pPr>
            <w:r w:rsidRPr="00111DDB">
              <w:rPr>
                <w:rFonts w:ascii="Calibri" w:eastAsia="Times New Roman" w:hAnsi="Calibri" w:cs="Calibri"/>
                <w:color w:val="auto"/>
                <w:sz w:val="18"/>
                <w:szCs w:val="18"/>
              </w:rPr>
              <w:t>0%</w:t>
            </w:r>
          </w:p>
        </w:tc>
        <w:tc>
          <w:tcPr>
            <w:tcW w:w="2322" w:type="dxa"/>
            <w:tcBorders>
              <w:left w:val="thinThickThinSmallGap" w:sz="24" w:space="0" w:color="auto"/>
              <w:right w:val="single" w:sz="4" w:space="0" w:color="auto"/>
            </w:tcBorders>
            <w:shd w:val="clear" w:color="auto" w:fill="FFFFFF" w:themeFill="background1"/>
            <w:vAlign w:val="center"/>
          </w:tcPr>
          <w:p w:rsidR="00BC5860" w:rsidRPr="00111DDB" w:rsidRDefault="001A390F" w:rsidP="00AA1387">
            <w:pPr>
              <w:spacing w:line="180" w:lineRule="exact"/>
              <w:contextualSpacing/>
              <w:jc w:val="left"/>
              <w:rPr>
                <w:rFonts w:ascii="Calibri" w:eastAsia="Times New Roman" w:hAnsi="Calibri" w:cs="Calibri"/>
                <w:color w:val="auto"/>
                <w:sz w:val="18"/>
                <w:szCs w:val="18"/>
              </w:rPr>
            </w:pPr>
            <w:r w:rsidRPr="00111DDB">
              <w:rPr>
                <w:rFonts w:ascii="Calibri" w:eastAsia="Times New Roman" w:hAnsi="Calibri" w:cs="Calibri"/>
                <w:color w:val="auto"/>
                <w:sz w:val="18"/>
                <w:szCs w:val="18"/>
              </w:rPr>
              <w:t>L Patellar Tendonitis w/ Instability</w:t>
            </w:r>
          </w:p>
        </w:tc>
        <w:tc>
          <w:tcPr>
            <w:tcW w:w="1080" w:type="dxa"/>
            <w:tcBorders>
              <w:left w:val="single" w:sz="4" w:space="0" w:color="auto"/>
            </w:tcBorders>
            <w:shd w:val="clear" w:color="auto" w:fill="FFFFFF" w:themeFill="background1"/>
            <w:vAlign w:val="center"/>
          </w:tcPr>
          <w:p w:rsidR="00BC5860" w:rsidRPr="00111DDB" w:rsidRDefault="001A390F" w:rsidP="00AA1387">
            <w:pPr>
              <w:spacing w:line="180" w:lineRule="exact"/>
              <w:contextualSpacing/>
              <w:rPr>
                <w:rFonts w:ascii="Calibri" w:eastAsia="Times New Roman" w:hAnsi="Calibri" w:cs="Calibri"/>
                <w:color w:val="auto"/>
                <w:sz w:val="18"/>
                <w:szCs w:val="18"/>
              </w:rPr>
            </w:pPr>
            <w:r w:rsidRPr="00111DDB">
              <w:rPr>
                <w:rFonts w:ascii="Calibri" w:eastAsia="Times New Roman" w:hAnsi="Calibri" w:cs="Calibri"/>
                <w:color w:val="auto"/>
                <w:sz w:val="18"/>
                <w:szCs w:val="18"/>
              </w:rPr>
              <w:t>5257</w:t>
            </w:r>
          </w:p>
        </w:tc>
        <w:tc>
          <w:tcPr>
            <w:tcW w:w="828" w:type="dxa"/>
            <w:shd w:val="clear" w:color="auto" w:fill="FFFFFF" w:themeFill="background1"/>
            <w:vAlign w:val="center"/>
          </w:tcPr>
          <w:p w:rsidR="00BC5860" w:rsidRPr="00111DDB" w:rsidRDefault="001A390F" w:rsidP="00AA1387">
            <w:pPr>
              <w:spacing w:line="180" w:lineRule="exact"/>
              <w:contextualSpacing/>
              <w:rPr>
                <w:rFonts w:ascii="Calibri" w:eastAsia="Times New Roman" w:hAnsi="Calibri" w:cs="Calibri"/>
                <w:color w:val="auto"/>
                <w:sz w:val="18"/>
                <w:szCs w:val="18"/>
              </w:rPr>
            </w:pPr>
            <w:r w:rsidRPr="00111DDB">
              <w:rPr>
                <w:rFonts w:ascii="Calibri" w:eastAsia="Times New Roman" w:hAnsi="Calibri" w:cs="Calibri"/>
                <w:color w:val="auto"/>
                <w:sz w:val="18"/>
                <w:szCs w:val="18"/>
              </w:rPr>
              <w:t>10%</w:t>
            </w:r>
          </w:p>
        </w:tc>
        <w:tc>
          <w:tcPr>
            <w:tcW w:w="990" w:type="dxa"/>
            <w:shd w:val="clear" w:color="auto" w:fill="FFFFFF" w:themeFill="background1"/>
            <w:vAlign w:val="center"/>
          </w:tcPr>
          <w:p w:rsidR="00BC5860" w:rsidRPr="00111DDB" w:rsidRDefault="001A390F" w:rsidP="00AA1387">
            <w:pPr>
              <w:spacing w:line="180" w:lineRule="exact"/>
              <w:contextualSpacing/>
              <w:rPr>
                <w:rFonts w:ascii="Calibri" w:eastAsia="Times New Roman" w:hAnsi="Calibri" w:cs="Calibri"/>
                <w:color w:val="auto"/>
                <w:sz w:val="18"/>
                <w:szCs w:val="18"/>
              </w:rPr>
            </w:pPr>
            <w:r w:rsidRPr="00111DDB">
              <w:rPr>
                <w:rFonts w:ascii="Calibri" w:hAnsi="Calibri" w:cs="Calibri"/>
                <w:color w:val="auto"/>
                <w:sz w:val="18"/>
                <w:szCs w:val="18"/>
              </w:rPr>
              <w:t>20050406</w:t>
            </w:r>
          </w:p>
        </w:tc>
      </w:tr>
      <w:tr w:rsidR="007A65A9" w:rsidRPr="007B64F8" w:rsidTr="00AA1387">
        <w:trPr>
          <w:trHeight w:val="287"/>
          <w:jc w:val="center"/>
        </w:trPr>
        <w:tc>
          <w:tcPr>
            <w:tcW w:w="2178" w:type="dxa"/>
            <w:tcBorders>
              <w:right w:val="single" w:sz="4" w:space="0" w:color="auto"/>
            </w:tcBorders>
            <w:shd w:val="clear" w:color="auto" w:fill="FFFFFF" w:themeFill="background1"/>
            <w:vAlign w:val="center"/>
          </w:tcPr>
          <w:p w:rsidR="00BC5860" w:rsidRPr="007B64F8" w:rsidRDefault="00EF4CED" w:rsidP="00AA1387">
            <w:pPr>
              <w:spacing w:line="180" w:lineRule="exact"/>
              <w:contextualSpacing/>
              <w:jc w:val="left"/>
              <w:rPr>
                <w:rFonts w:ascii="Calibri" w:eastAsia="Times New Roman" w:hAnsi="Calibri" w:cs="Calibri"/>
                <w:color w:val="auto"/>
                <w:sz w:val="18"/>
                <w:szCs w:val="18"/>
              </w:rPr>
            </w:pPr>
            <w:r w:rsidRPr="007B64F8">
              <w:rPr>
                <w:rFonts w:ascii="Calibri" w:hAnsi="Calibri" w:cs="Calibri"/>
                <w:color w:val="auto"/>
                <w:sz w:val="18"/>
                <w:szCs w:val="18"/>
              </w:rPr>
              <w:t>Asthma</w:t>
            </w:r>
          </w:p>
        </w:tc>
        <w:tc>
          <w:tcPr>
            <w:tcW w:w="1980" w:type="dxa"/>
            <w:gridSpan w:val="2"/>
            <w:tcBorders>
              <w:left w:val="single" w:sz="4" w:space="0" w:color="auto"/>
              <w:right w:val="thinThickThinSmallGap" w:sz="24" w:space="0" w:color="auto"/>
            </w:tcBorders>
            <w:shd w:val="clear" w:color="auto" w:fill="FFFFFF" w:themeFill="background1"/>
            <w:vAlign w:val="center"/>
          </w:tcPr>
          <w:p w:rsidR="00BC5860" w:rsidRPr="007B64F8" w:rsidRDefault="007A65A9" w:rsidP="00AA1387">
            <w:pPr>
              <w:spacing w:line="180" w:lineRule="exact"/>
              <w:contextualSpacing/>
              <w:rPr>
                <w:rFonts w:ascii="Calibri" w:eastAsia="Times New Roman" w:hAnsi="Calibri" w:cs="Calibri"/>
                <w:color w:val="auto"/>
                <w:sz w:val="18"/>
                <w:szCs w:val="18"/>
              </w:rPr>
            </w:pPr>
            <w:r w:rsidRPr="007B64F8">
              <w:rPr>
                <w:rFonts w:ascii="Calibri" w:hAnsi="Calibri" w:cs="Calibri"/>
                <w:color w:val="auto"/>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BC5860" w:rsidRPr="007B64F8" w:rsidRDefault="001A390F" w:rsidP="00AA1387">
            <w:pPr>
              <w:spacing w:line="180" w:lineRule="exact"/>
              <w:contextualSpacing/>
              <w:jc w:val="left"/>
              <w:rPr>
                <w:rFonts w:ascii="Calibri" w:eastAsia="Times New Roman" w:hAnsi="Calibri" w:cs="Calibri"/>
                <w:color w:val="auto"/>
                <w:sz w:val="18"/>
                <w:szCs w:val="18"/>
              </w:rPr>
            </w:pPr>
            <w:r w:rsidRPr="007B64F8">
              <w:rPr>
                <w:rFonts w:ascii="Calibri" w:eastAsia="Times New Roman" w:hAnsi="Calibri" w:cs="Calibri"/>
                <w:color w:val="auto"/>
                <w:sz w:val="18"/>
                <w:szCs w:val="18"/>
              </w:rPr>
              <w:t>Bronchial Asthma</w:t>
            </w:r>
          </w:p>
        </w:tc>
        <w:tc>
          <w:tcPr>
            <w:tcW w:w="1080" w:type="dxa"/>
            <w:tcBorders>
              <w:left w:val="single" w:sz="4" w:space="0" w:color="auto"/>
              <w:right w:val="single" w:sz="4" w:space="0" w:color="auto"/>
            </w:tcBorders>
            <w:shd w:val="clear" w:color="auto" w:fill="FFFFFF" w:themeFill="background1"/>
            <w:vAlign w:val="center"/>
          </w:tcPr>
          <w:p w:rsidR="00BC5860" w:rsidRPr="007B64F8" w:rsidRDefault="001A390F" w:rsidP="00AA1387">
            <w:pPr>
              <w:spacing w:line="180" w:lineRule="exact"/>
              <w:contextualSpacing/>
              <w:rPr>
                <w:rFonts w:ascii="Calibri" w:eastAsia="Times New Roman" w:hAnsi="Calibri" w:cs="Calibri"/>
                <w:color w:val="auto"/>
                <w:sz w:val="18"/>
                <w:szCs w:val="18"/>
              </w:rPr>
            </w:pPr>
            <w:r w:rsidRPr="007B64F8">
              <w:rPr>
                <w:rFonts w:ascii="Calibri" w:eastAsia="Times New Roman" w:hAnsi="Calibri" w:cs="Calibri"/>
                <w:color w:val="auto"/>
                <w:sz w:val="18"/>
                <w:szCs w:val="18"/>
              </w:rPr>
              <w:t>6602</w:t>
            </w:r>
          </w:p>
        </w:tc>
        <w:tc>
          <w:tcPr>
            <w:tcW w:w="828" w:type="dxa"/>
            <w:tcBorders>
              <w:left w:val="single" w:sz="4" w:space="0" w:color="auto"/>
            </w:tcBorders>
            <w:shd w:val="clear" w:color="auto" w:fill="FFFFFF" w:themeFill="background1"/>
            <w:vAlign w:val="center"/>
          </w:tcPr>
          <w:p w:rsidR="00BC5860" w:rsidRPr="007B64F8" w:rsidRDefault="001A390F" w:rsidP="00AA1387">
            <w:pPr>
              <w:spacing w:line="180" w:lineRule="exact"/>
              <w:contextualSpacing/>
              <w:rPr>
                <w:rFonts w:ascii="Calibri" w:eastAsia="Times New Roman" w:hAnsi="Calibri" w:cs="Calibri"/>
                <w:color w:val="auto"/>
                <w:sz w:val="18"/>
                <w:szCs w:val="18"/>
              </w:rPr>
            </w:pPr>
            <w:r w:rsidRPr="007B64F8">
              <w:rPr>
                <w:rFonts w:ascii="Calibri" w:eastAsia="Times New Roman" w:hAnsi="Calibri" w:cs="Calibri"/>
                <w:color w:val="auto"/>
                <w:sz w:val="18"/>
                <w:szCs w:val="18"/>
              </w:rPr>
              <w:t>10%</w:t>
            </w:r>
          </w:p>
        </w:tc>
        <w:tc>
          <w:tcPr>
            <w:tcW w:w="990" w:type="dxa"/>
            <w:shd w:val="clear" w:color="auto" w:fill="FFFFFF" w:themeFill="background1"/>
            <w:vAlign w:val="center"/>
          </w:tcPr>
          <w:p w:rsidR="00BC5860" w:rsidRPr="007B64F8" w:rsidRDefault="006E399C" w:rsidP="00AA1387">
            <w:pPr>
              <w:spacing w:line="180" w:lineRule="exact"/>
              <w:contextualSpacing/>
              <w:rPr>
                <w:rFonts w:ascii="Calibri" w:eastAsia="Times New Roman" w:hAnsi="Calibri" w:cs="Calibri"/>
                <w:color w:val="auto"/>
                <w:sz w:val="18"/>
                <w:szCs w:val="18"/>
                <w:highlight w:val="yellow"/>
              </w:rPr>
            </w:pPr>
            <w:r w:rsidRPr="007B64F8">
              <w:rPr>
                <w:rFonts w:ascii="Calibri" w:hAnsi="Calibri" w:cs="Calibri"/>
                <w:color w:val="auto"/>
                <w:sz w:val="18"/>
                <w:szCs w:val="18"/>
              </w:rPr>
              <w:t>20050406</w:t>
            </w:r>
          </w:p>
        </w:tc>
      </w:tr>
      <w:tr w:rsidR="007A65A9" w:rsidRPr="007B64F8" w:rsidTr="00111DDB">
        <w:trPr>
          <w:trHeight w:val="260"/>
          <w:jc w:val="center"/>
        </w:trPr>
        <w:tc>
          <w:tcPr>
            <w:tcW w:w="4158" w:type="dxa"/>
            <w:gridSpan w:val="3"/>
            <w:tcBorders>
              <w:right w:val="thinThickThinSmallGap" w:sz="24" w:space="0" w:color="auto"/>
            </w:tcBorders>
            <w:shd w:val="clear" w:color="auto" w:fill="FFFFFF" w:themeFill="background1"/>
            <w:vAlign w:val="center"/>
          </w:tcPr>
          <w:p w:rsidR="00BC5860" w:rsidRPr="007B64F8" w:rsidRDefault="006E399C" w:rsidP="00111DDB">
            <w:pPr>
              <w:spacing w:line="180" w:lineRule="exact"/>
              <w:contextualSpacing/>
              <w:rPr>
                <w:rFonts w:ascii="Calibri" w:eastAsia="Times New Roman" w:hAnsi="Calibri" w:cs="Calibri"/>
                <w:color w:val="auto"/>
                <w:sz w:val="18"/>
                <w:szCs w:val="18"/>
              </w:rPr>
            </w:pPr>
            <w:r w:rsidRPr="007B64F8">
              <w:rPr>
                <w:rFonts w:ascii="Calibri" w:hAnsi="Calibri" w:cs="Calibri"/>
                <w:color w:val="auto"/>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BC5860" w:rsidRPr="007B64F8" w:rsidRDefault="007A65A9" w:rsidP="00AA1387">
            <w:pPr>
              <w:spacing w:line="180" w:lineRule="exact"/>
              <w:contextualSpacing/>
              <w:rPr>
                <w:rFonts w:ascii="Calibri" w:eastAsia="Times New Roman" w:hAnsi="Calibri" w:cs="Calibri"/>
                <w:color w:val="auto"/>
                <w:sz w:val="18"/>
                <w:szCs w:val="18"/>
              </w:rPr>
            </w:pPr>
            <w:r w:rsidRPr="007B64F8">
              <w:rPr>
                <w:rFonts w:ascii="Calibri" w:hAnsi="Calibri" w:cs="Calibri"/>
                <w:color w:val="auto"/>
                <w:sz w:val="18"/>
                <w:szCs w:val="18"/>
              </w:rPr>
              <w:t xml:space="preserve">0% </w:t>
            </w:r>
            <w:r w:rsidR="00374EA1" w:rsidRPr="007B64F8">
              <w:rPr>
                <w:rFonts w:ascii="Calibri" w:hAnsi="Calibri" w:cs="Calibri"/>
                <w:color w:val="auto"/>
                <w:sz w:val="18"/>
                <w:szCs w:val="18"/>
              </w:rPr>
              <w:t>x</w:t>
            </w:r>
            <w:r w:rsidRPr="007B64F8">
              <w:rPr>
                <w:rFonts w:ascii="Calibri" w:hAnsi="Calibri" w:cs="Calibri"/>
                <w:color w:val="auto"/>
                <w:sz w:val="18"/>
                <w:szCs w:val="18"/>
              </w:rPr>
              <w:t xml:space="preserve"> </w:t>
            </w:r>
            <w:r w:rsidR="006E399C" w:rsidRPr="007B64F8">
              <w:rPr>
                <w:rFonts w:ascii="Calibri" w:hAnsi="Calibri" w:cs="Calibri"/>
                <w:color w:val="auto"/>
                <w:sz w:val="18"/>
                <w:szCs w:val="18"/>
              </w:rPr>
              <w:t>0</w:t>
            </w:r>
            <w:r w:rsidRPr="007B64F8">
              <w:rPr>
                <w:rFonts w:ascii="Calibri" w:hAnsi="Calibri" w:cs="Calibri"/>
                <w:color w:val="auto"/>
                <w:sz w:val="18"/>
                <w:szCs w:val="18"/>
              </w:rPr>
              <w:t xml:space="preserve">/Not Service Connected </w:t>
            </w:r>
            <w:r w:rsidR="00374EA1" w:rsidRPr="007B64F8">
              <w:rPr>
                <w:rFonts w:ascii="Calibri" w:hAnsi="Calibri" w:cs="Calibri"/>
                <w:color w:val="auto"/>
                <w:sz w:val="18"/>
                <w:szCs w:val="18"/>
              </w:rPr>
              <w:t>x</w:t>
            </w:r>
            <w:r w:rsidRPr="007B64F8">
              <w:rPr>
                <w:rFonts w:ascii="Calibri" w:hAnsi="Calibri" w:cs="Calibri"/>
                <w:color w:val="auto"/>
                <w:sz w:val="18"/>
                <w:szCs w:val="18"/>
              </w:rPr>
              <w:t xml:space="preserve"> </w:t>
            </w:r>
            <w:r w:rsidR="006E399C" w:rsidRPr="007B64F8">
              <w:rPr>
                <w:rFonts w:ascii="Calibri" w:hAnsi="Calibri" w:cs="Calibri"/>
                <w:color w:val="auto"/>
                <w:sz w:val="18"/>
                <w:szCs w:val="18"/>
              </w:rPr>
              <w:t>0</w:t>
            </w:r>
          </w:p>
        </w:tc>
        <w:tc>
          <w:tcPr>
            <w:tcW w:w="990" w:type="dxa"/>
            <w:shd w:val="clear" w:color="auto" w:fill="FFFFFF" w:themeFill="background1"/>
            <w:vAlign w:val="center"/>
          </w:tcPr>
          <w:p w:rsidR="00BC5860" w:rsidRPr="007B64F8" w:rsidRDefault="006E399C" w:rsidP="00AA1387">
            <w:pPr>
              <w:spacing w:line="180" w:lineRule="exact"/>
              <w:contextualSpacing/>
              <w:rPr>
                <w:rFonts w:ascii="Calibri" w:eastAsia="Times New Roman" w:hAnsi="Calibri" w:cs="Calibri"/>
                <w:color w:val="auto"/>
                <w:sz w:val="18"/>
                <w:szCs w:val="18"/>
              </w:rPr>
            </w:pPr>
            <w:r w:rsidRPr="007B64F8">
              <w:rPr>
                <w:rFonts w:ascii="Calibri" w:hAnsi="Calibri" w:cs="Calibri"/>
                <w:color w:val="auto"/>
                <w:sz w:val="18"/>
                <w:szCs w:val="18"/>
              </w:rPr>
              <w:t>20050406</w:t>
            </w:r>
          </w:p>
        </w:tc>
      </w:tr>
      <w:tr w:rsidR="007A65A9" w:rsidRPr="007B64F8" w:rsidTr="00AA1387">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7B64F8" w:rsidRDefault="007A65A9" w:rsidP="00AA1387">
            <w:pPr>
              <w:spacing w:line="180" w:lineRule="exact"/>
              <w:contextualSpacing/>
              <w:rPr>
                <w:rFonts w:ascii="Calibri" w:hAnsi="Calibri" w:cs="Calibri"/>
                <w:b/>
                <w:color w:val="auto"/>
                <w:sz w:val="18"/>
                <w:szCs w:val="18"/>
              </w:rPr>
            </w:pPr>
            <w:r w:rsidRPr="007B64F8">
              <w:rPr>
                <w:rFonts w:ascii="Calibri" w:hAnsi="Calibri" w:cs="Calibri"/>
                <w:b/>
                <w:color w:val="auto"/>
                <w:sz w:val="18"/>
                <w:szCs w:val="18"/>
              </w:rPr>
              <w:t xml:space="preserve">Combined: </w:t>
            </w:r>
            <w:r w:rsidR="006458FD" w:rsidRPr="007B64F8">
              <w:rPr>
                <w:rFonts w:ascii="Calibri" w:hAnsi="Calibri" w:cs="Calibri"/>
                <w:b/>
                <w:color w:val="auto"/>
                <w:sz w:val="18"/>
                <w:szCs w:val="18"/>
              </w:rPr>
              <w:t xml:space="preserve"> </w:t>
            </w:r>
            <w:r w:rsidR="006E399C" w:rsidRPr="007B64F8">
              <w:rPr>
                <w:rFonts w:ascii="Calibri" w:hAnsi="Calibri" w:cs="Calibri"/>
                <w:b/>
                <w:color w:val="auto"/>
                <w:sz w:val="18"/>
                <w:szCs w:val="18"/>
              </w:rPr>
              <w:t>20</w:t>
            </w:r>
            <w:r w:rsidRPr="007B64F8">
              <w:rPr>
                <w:rFonts w:ascii="Calibri" w:hAnsi="Calibri" w:cs="Calibri"/>
                <w:b/>
                <w:color w:val="auto"/>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7B64F8" w:rsidRDefault="007A65A9" w:rsidP="00AA1387">
            <w:pPr>
              <w:spacing w:line="180" w:lineRule="exact"/>
              <w:contextualSpacing/>
              <w:rPr>
                <w:rFonts w:ascii="Calibri" w:hAnsi="Calibri" w:cs="Calibri"/>
                <w:b/>
                <w:color w:val="auto"/>
                <w:sz w:val="18"/>
                <w:szCs w:val="18"/>
              </w:rPr>
            </w:pPr>
            <w:r w:rsidRPr="007B64F8">
              <w:rPr>
                <w:rFonts w:ascii="Calibri" w:hAnsi="Calibri" w:cs="Calibri"/>
                <w:b/>
                <w:color w:val="auto"/>
                <w:sz w:val="18"/>
                <w:szCs w:val="18"/>
              </w:rPr>
              <w:t xml:space="preserve">Combined:  </w:t>
            </w:r>
            <w:r w:rsidR="006E399C" w:rsidRPr="007B64F8">
              <w:rPr>
                <w:rFonts w:ascii="Calibri" w:hAnsi="Calibri" w:cs="Calibri"/>
                <w:b/>
                <w:color w:val="auto"/>
                <w:sz w:val="18"/>
                <w:szCs w:val="18"/>
              </w:rPr>
              <w:t>5</w:t>
            </w:r>
            <w:r w:rsidR="006F0F9C" w:rsidRPr="007B64F8">
              <w:rPr>
                <w:rFonts w:ascii="Calibri" w:hAnsi="Calibri" w:cs="Calibri"/>
                <w:b/>
                <w:color w:val="auto"/>
                <w:sz w:val="18"/>
                <w:szCs w:val="18"/>
              </w:rPr>
              <w:t>0</w:t>
            </w:r>
            <w:r w:rsidRPr="007B64F8">
              <w:rPr>
                <w:rFonts w:ascii="Calibri" w:hAnsi="Calibri" w:cs="Calibri"/>
                <w:b/>
                <w:color w:val="auto"/>
                <w:sz w:val="18"/>
                <w:szCs w:val="18"/>
              </w:rPr>
              <w:t>%</w:t>
            </w:r>
            <w:r w:rsidR="002A58E2">
              <w:rPr>
                <w:rFonts w:ascii="Calibri" w:hAnsi="Calibri" w:cs="Calibri"/>
                <w:b/>
                <w:color w:val="auto"/>
                <w:sz w:val="18"/>
                <w:szCs w:val="18"/>
              </w:rPr>
              <w:t>*</w:t>
            </w:r>
          </w:p>
        </w:tc>
      </w:tr>
    </w:tbl>
    <w:p w:rsidR="001A390F" w:rsidRPr="00CE6060" w:rsidRDefault="001A390F" w:rsidP="00CE6060">
      <w:pPr>
        <w:pBdr>
          <w:bottom w:val="single" w:sz="12" w:space="1" w:color="auto"/>
        </w:pBdr>
        <w:spacing w:line="200" w:lineRule="exact"/>
        <w:jc w:val="both"/>
        <w:rPr>
          <w:rFonts w:asciiTheme="minorHAnsi" w:hAnsiTheme="minorHAnsi"/>
          <w:color w:val="auto"/>
          <w:sz w:val="18"/>
          <w:szCs w:val="18"/>
        </w:rPr>
      </w:pPr>
      <w:r w:rsidRPr="00CE6060">
        <w:rPr>
          <w:rFonts w:asciiTheme="minorHAnsi" w:hAnsiTheme="minorHAnsi"/>
          <w:color w:val="auto"/>
          <w:sz w:val="18"/>
          <w:szCs w:val="18"/>
        </w:rPr>
        <w:t>*</w:t>
      </w:r>
      <w:r w:rsidR="002A58E2" w:rsidRPr="00CE6060">
        <w:rPr>
          <w:rFonts w:asciiTheme="minorHAnsi" w:hAnsiTheme="minorHAnsi"/>
          <w:color w:val="auto"/>
          <w:sz w:val="18"/>
          <w:szCs w:val="18"/>
        </w:rPr>
        <w:t xml:space="preserve"> Added Maj</w:t>
      </w:r>
      <w:r w:rsidR="001A6BC7" w:rsidRPr="00CE6060">
        <w:rPr>
          <w:rFonts w:asciiTheme="minorHAnsi" w:hAnsiTheme="minorHAnsi"/>
          <w:color w:val="auto"/>
          <w:sz w:val="18"/>
          <w:szCs w:val="18"/>
        </w:rPr>
        <w:t>or</w:t>
      </w:r>
      <w:r w:rsidR="002A58E2" w:rsidRPr="00CE6060">
        <w:rPr>
          <w:rFonts w:asciiTheme="minorHAnsi" w:hAnsiTheme="minorHAnsi"/>
          <w:color w:val="auto"/>
          <w:sz w:val="18"/>
          <w:szCs w:val="18"/>
        </w:rPr>
        <w:t xml:space="preserve"> Depress</w:t>
      </w:r>
      <w:r w:rsidR="00473753">
        <w:rPr>
          <w:rFonts w:asciiTheme="minorHAnsi" w:hAnsiTheme="minorHAnsi"/>
          <w:color w:val="auto"/>
          <w:sz w:val="18"/>
          <w:szCs w:val="18"/>
        </w:rPr>
        <w:t>ive Disorder, 9434 at 30%, and s</w:t>
      </w:r>
      <w:r w:rsidR="002A58E2" w:rsidRPr="00CE6060">
        <w:rPr>
          <w:rFonts w:asciiTheme="minorHAnsi" w:hAnsiTheme="minorHAnsi"/>
          <w:color w:val="auto"/>
          <w:sz w:val="18"/>
          <w:szCs w:val="18"/>
        </w:rPr>
        <w:t xml:space="preserve">eizure disorder, 8911 at 10% effective 20071017 (combined 70%); VARD </w:t>
      </w:r>
      <w:r w:rsidR="001A6BC7" w:rsidRPr="00CE6060">
        <w:rPr>
          <w:rFonts w:asciiTheme="minorHAnsi" w:hAnsiTheme="minorHAnsi"/>
          <w:color w:val="auto"/>
          <w:sz w:val="18"/>
          <w:szCs w:val="18"/>
        </w:rPr>
        <w:t>of</w:t>
      </w:r>
      <w:r w:rsidR="002A58E2" w:rsidRPr="00CE6060">
        <w:rPr>
          <w:rFonts w:asciiTheme="minorHAnsi" w:hAnsiTheme="minorHAnsi"/>
          <w:color w:val="auto"/>
          <w:sz w:val="18"/>
          <w:szCs w:val="18"/>
        </w:rPr>
        <w:t xml:space="preserve"> 20090921 </w:t>
      </w:r>
      <w:r w:rsidR="00880932" w:rsidRPr="00CE6060">
        <w:rPr>
          <w:rFonts w:asciiTheme="minorHAnsi" w:hAnsiTheme="minorHAnsi"/>
          <w:color w:val="auto"/>
          <w:sz w:val="18"/>
          <w:szCs w:val="18"/>
        </w:rPr>
        <w:t>c</w:t>
      </w:r>
      <w:r w:rsidR="00473753">
        <w:rPr>
          <w:rFonts w:asciiTheme="minorHAnsi" w:hAnsiTheme="minorHAnsi"/>
          <w:color w:val="auto"/>
          <w:sz w:val="18"/>
          <w:szCs w:val="18"/>
        </w:rPr>
        <w:t>hanged from f</w:t>
      </w:r>
      <w:r w:rsidRPr="00CE6060">
        <w:rPr>
          <w:rFonts w:asciiTheme="minorHAnsi" w:hAnsiTheme="minorHAnsi"/>
          <w:color w:val="auto"/>
          <w:sz w:val="18"/>
          <w:szCs w:val="18"/>
        </w:rPr>
        <w:t xml:space="preserve">ibromyalgia to </w:t>
      </w:r>
      <w:r w:rsidR="002A58E2" w:rsidRPr="00CE6060">
        <w:rPr>
          <w:rFonts w:asciiTheme="minorHAnsi" w:hAnsiTheme="minorHAnsi"/>
          <w:color w:val="auto"/>
          <w:sz w:val="18"/>
          <w:szCs w:val="18"/>
        </w:rPr>
        <w:t>SLE</w:t>
      </w:r>
      <w:r w:rsidR="001A6BC7" w:rsidRPr="00CE6060">
        <w:rPr>
          <w:rFonts w:asciiTheme="minorHAnsi" w:hAnsiTheme="minorHAnsi"/>
          <w:color w:val="auto"/>
          <w:sz w:val="18"/>
          <w:szCs w:val="18"/>
        </w:rPr>
        <w:t>,</w:t>
      </w:r>
      <w:r w:rsidRPr="00CE6060">
        <w:rPr>
          <w:rFonts w:asciiTheme="minorHAnsi" w:hAnsiTheme="minorHAnsi"/>
          <w:color w:val="auto"/>
          <w:sz w:val="18"/>
          <w:szCs w:val="18"/>
        </w:rPr>
        <w:t xml:space="preserve"> </w:t>
      </w:r>
      <w:r w:rsidR="006E399C" w:rsidRPr="00CE6060">
        <w:rPr>
          <w:rFonts w:asciiTheme="minorHAnsi" w:hAnsiTheme="minorHAnsi"/>
          <w:color w:val="auto"/>
          <w:sz w:val="18"/>
          <w:szCs w:val="18"/>
        </w:rPr>
        <w:t xml:space="preserve">coded </w:t>
      </w:r>
      <w:r w:rsidRPr="00CE6060">
        <w:rPr>
          <w:rFonts w:asciiTheme="minorHAnsi" w:hAnsiTheme="minorHAnsi"/>
          <w:color w:val="auto"/>
          <w:sz w:val="18"/>
          <w:szCs w:val="18"/>
        </w:rPr>
        <w:t>6350-5025</w:t>
      </w:r>
      <w:r w:rsidR="002A58E2" w:rsidRPr="00CE6060">
        <w:rPr>
          <w:rFonts w:asciiTheme="minorHAnsi" w:hAnsiTheme="minorHAnsi"/>
          <w:color w:val="auto"/>
          <w:sz w:val="18"/>
          <w:szCs w:val="18"/>
        </w:rPr>
        <w:t>,</w:t>
      </w:r>
      <w:r w:rsidR="001A6BC7" w:rsidRPr="00CE6060">
        <w:rPr>
          <w:rFonts w:asciiTheme="minorHAnsi" w:hAnsiTheme="minorHAnsi"/>
          <w:color w:val="auto"/>
          <w:sz w:val="18"/>
          <w:szCs w:val="18"/>
        </w:rPr>
        <w:t xml:space="preserve"> </w:t>
      </w:r>
      <w:r w:rsidR="002A58E2" w:rsidRPr="00CE6060">
        <w:rPr>
          <w:rFonts w:asciiTheme="minorHAnsi" w:hAnsiTheme="minorHAnsi"/>
          <w:color w:val="auto"/>
          <w:sz w:val="18"/>
          <w:szCs w:val="18"/>
        </w:rPr>
        <w:t>continued</w:t>
      </w:r>
      <w:r w:rsidR="00880932" w:rsidRPr="00CE6060">
        <w:rPr>
          <w:rFonts w:asciiTheme="minorHAnsi" w:hAnsiTheme="minorHAnsi"/>
          <w:color w:val="auto"/>
          <w:sz w:val="18"/>
          <w:szCs w:val="18"/>
        </w:rPr>
        <w:t xml:space="preserve"> </w:t>
      </w:r>
      <w:r w:rsidR="002A58E2" w:rsidRPr="00CE6060">
        <w:rPr>
          <w:rFonts w:asciiTheme="minorHAnsi" w:hAnsiTheme="minorHAnsi"/>
          <w:color w:val="auto"/>
          <w:sz w:val="18"/>
          <w:szCs w:val="18"/>
        </w:rPr>
        <w:t>40% rating</w:t>
      </w:r>
    </w:p>
    <w:p w:rsidR="00BA7EE9" w:rsidRPr="00BA7EE9" w:rsidRDefault="002C6E5B" w:rsidP="00BA7EE9">
      <w:pPr>
        <w:jc w:val="both"/>
        <w:rPr>
          <w:color w:val="000000" w:themeColor="text1"/>
          <w:szCs w:val="24"/>
        </w:rPr>
      </w:pPr>
      <w:r w:rsidRPr="00111DDB">
        <w:rPr>
          <w:color w:val="000000" w:themeColor="text1"/>
          <w:szCs w:val="24"/>
          <w:u w:val="single"/>
        </w:rPr>
        <w:lastRenderedPageBreak/>
        <w:t>ANALYSIS SUMMARY</w:t>
      </w:r>
      <w:r w:rsidRPr="00111DDB">
        <w:rPr>
          <w:color w:val="000000" w:themeColor="text1"/>
          <w:szCs w:val="24"/>
        </w:rPr>
        <w:t>:</w:t>
      </w:r>
      <w:r w:rsidR="00BA7EE9" w:rsidRPr="00111DDB">
        <w:rPr>
          <w:color w:val="000000" w:themeColor="text1"/>
          <w:szCs w:val="24"/>
        </w:rPr>
        <w:t xml:space="preserve">  The Board acknowledges the</w:t>
      </w:r>
      <w:r w:rsidR="003965D1">
        <w:rPr>
          <w:color w:val="000000" w:themeColor="text1"/>
          <w:szCs w:val="24"/>
        </w:rPr>
        <w:t xml:space="preserve"> CI’s contention that suggests s</w:t>
      </w:r>
      <w:r w:rsidR="00BA7EE9" w:rsidRPr="00111DDB">
        <w:rPr>
          <w:color w:val="000000" w:themeColor="text1"/>
          <w:szCs w:val="24"/>
        </w:rPr>
        <w:t>ervice ratings should have been conferred for other conditions documented at or proximate to the time of separation</w:t>
      </w:r>
      <w:r w:rsidR="004A2643" w:rsidRPr="00111DDB">
        <w:rPr>
          <w:color w:val="000000" w:themeColor="text1"/>
          <w:szCs w:val="24"/>
        </w:rPr>
        <w:t xml:space="preserve"> and that a service medical error (incorrect diagnosis) was responsible for incorrect service disability rating.  The Board’s role is confined to the review of medical records and all evidence at hand to assess the fairness of PEB disability ratings and fitness determinations as elaborated above.  </w:t>
      </w:r>
      <w:r w:rsidR="00BA7EE9" w:rsidRPr="00111DDB">
        <w:rPr>
          <w:color w:val="000000" w:themeColor="text1"/>
          <w:szCs w:val="24"/>
        </w:rPr>
        <w:t xml:space="preserve">The Board wishes to clarify that it is subject to the same laws for service disability entitlements as those under which the </w:t>
      </w:r>
      <w:r w:rsidR="00CE6060">
        <w:rPr>
          <w:color w:val="000000" w:themeColor="text1"/>
          <w:szCs w:val="24"/>
        </w:rPr>
        <w:t xml:space="preserve">DES </w:t>
      </w:r>
      <w:r w:rsidR="00BA7EE9" w:rsidRPr="00111DDB">
        <w:rPr>
          <w:color w:val="000000" w:themeColor="text1"/>
          <w:szCs w:val="24"/>
        </w:rPr>
        <w:t>operates.  Whil</w:t>
      </w:r>
      <w:r w:rsidR="003965D1">
        <w:rPr>
          <w:color w:val="000000" w:themeColor="text1"/>
          <w:szCs w:val="24"/>
        </w:rPr>
        <w:t>e the DES considers all of the s</w:t>
      </w:r>
      <w:r w:rsidR="00BA7EE9" w:rsidRPr="00111DDB">
        <w:rPr>
          <w:color w:val="000000" w:themeColor="text1"/>
          <w:szCs w:val="24"/>
        </w:rPr>
        <w:t>ervice member's medical conditions, compensation can only be offered for those medic</w:t>
      </w:r>
      <w:r w:rsidR="003965D1">
        <w:rPr>
          <w:color w:val="000000" w:themeColor="text1"/>
          <w:szCs w:val="24"/>
        </w:rPr>
        <w:t>al conditions that cut short a s</w:t>
      </w:r>
      <w:r w:rsidR="00BA7EE9" w:rsidRPr="00111DDB">
        <w:rPr>
          <w:color w:val="000000" w:themeColor="text1"/>
          <w:szCs w:val="24"/>
        </w:rPr>
        <w:t xml:space="preserve">ervice member’s career, and then only to the degree of severity present at the time of final disposition. </w:t>
      </w:r>
      <w:r w:rsidR="00AA1387" w:rsidRPr="00111DDB">
        <w:rPr>
          <w:color w:val="000000" w:themeColor="text1"/>
          <w:szCs w:val="24"/>
        </w:rPr>
        <w:t xml:space="preserve"> </w:t>
      </w:r>
      <w:r w:rsidR="00BA7EE9" w:rsidRPr="00111DDB">
        <w:rPr>
          <w:color w:val="000000" w:themeColor="text1"/>
          <w:szCs w:val="24"/>
        </w:rPr>
        <w:t>However the Department of Veterans</w:t>
      </w:r>
      <w:r w:rsidR="00CE6060">
        <w:rPr>
          <w:color w:val="000000" w:themeColor="text1"/>
          <w:szCs w:val="24"/>
        </w:rPr>
        <w:t>’</w:t>
      </w:r>
      <w:r w:rsidR="00BA7EE9" w:rsidRPr="00111DDB">
        <w:rPr>
          <w:color w:val="000000" w:themeColor="text1"/>
          <w:szCs w:val="24"/>
        </w:rPr>
        <w:t xml:space="preserve"> Affairs (DVA), operating under a different set of laws (Title 38, United States Code), is empowered to compensate all service</w:t>
      </w:r>
      <w:r w:rsidR="00CE6060">
        <w:rPr>
          <w:color w:val="000000" w:themeColor="text1"/>
          <w:szCs w:val="24"/>
        </w:rPr>
        <w:t>-</w:t>
      </w:r>
      <w:r w:rsidR="00BA7EE9" w:rsidRPr="00111DDB">
        <w:rPr>
          <w:color w:val="000000" w:themeColor="text1"/>
          <w:szCs w:val="24"/>
        </w:rPr>
        <w:t>connected conditions and to periodically reevaluate said conditions fo</w:t>
      </w:r>
      <w:r w:rsidR="00CE6060">
        <w:rPr>
          <w:color w:val="000000" w:themeColor="text1"/>
          <w:szCs w:val="24"/>
        </w:rPr>
        <w:t>r the purpose of adjusting the V</w:t>
      </w:r>
      <w:r w:rsidR="00BA7EE9" w:rsidRPr="00111DDB">
        <w:rPr>
          <w:color w:val="000000" w:themeColor="text1"/>
          <w:szCs w:val="24"/>
        </w:rPr>
        <w:t xml:space="preserve">eteran’s disability rating should </w:t>
      </w:r>
      <w:r w:rsidR="00CE6060">
        <w:rPr>
          <w:color w:val="000000" w:themeColor="text1"/>
          <w:szCs w:val="24"/>
        </w:rPr>
        <w:t>the</w:t>
      </w:r>
      <w:r w:rsidR="00BA7EE9" w:rsidRPr="00111DDB">
        <w:rPr>
          <w:color w:val="000000" w:themeColor="text1"/>
          <w:szCs w:val="24"/>
        </w:rPr>
        <w:t xml:space="preserve"> degree of impairment vary over time.</w:t>
      </w:r>
      <w:r w:rsidR="00BA7EE9" w:rsidRPr="00BA7EE9">
        <w:rPr>
          <w:color w:val="000000" w:themeColor="text1"/>
          <w:szCs w:val="24"/>
        </w:rPr>
        <w:t xml:space="preserve"> </w:t>
      </w:r>
      <w:r w:rsidR="00AA1387">
        <w:rPr>
          <w:color w:val="000000" w:themeColor="text1"/>
          <w:szCs w:val="24"/>
        </w:rPr>
        <w:t xml:space="preserve"> </w:t>
      </w:r>
    </w:p>
    <w:p w:rsidR="004C60A3" w:rsidRPr="001F29F9" w:rsidRDefault="004C60A3" w:rsidP="00BF0E94">
      <w:pPr>
        <w:jc w:val="left"/>
        <w:rPr>
          <w:color w:val="000000" w:themeColor="text1"/>
          <w:szCs w:val="24"/>
        </w:rPr>
      </w:pPr>
    </w:p>
    <w:p w:rsidR="00BA7EE9" w:rsidRDefault="007642C1" w:rsidP="00BA7EE9">
      <w:pPr>
        <w:tabs>
          <w:tab w:val="left" w:pos="288"/>
          <w:tab w:val="left" w:pos="4752"/>
        </w:tabs>
        <w:jc w:val="both"/>
        <w:rPr>
          <w:color w:val="000000" w:themeColor="text1"/>
          <w:szCs w:val="24"/>
        </w:rPr>
      </w:pPr>
      <w:r>
        <w:rPr>
          <w:color w:val="000000" w:themeColor="text1"/>
          <w:szCs w:val="24"/>
          <w:u w:val="single"/>
        </w:rPr>
        <w:t>Right Foot Pain</w:t>
      </w:r>
      <w:r>
        <w:rPr>
          <w:color w:val="000000" w:themeColor="text1"/>
          <w:szCs w:val="24"/>
        </w:rPr>
        <w:t>.</w:t>
      </w:r>
      <w:r w:rsidR="00BA7EE9">
        <w:rPr>
          <w:color w:val="000000" w:themeColor="text1"/>
          <w:szCs w:val="24"/>
        </w:rPr>
        <w:t xml:space="preserve">  The CI’s </w:t>
      </w:r>
      <w:r w:rsidR="004F6B90">
        <w:rPr>
          <w:color w:val="000000" w:themeColor="text1"/>
          <w:szCs w:val="24"/>
        </w:rPr>
        <w:t xml:space="preserve">primary foot complaint was </w:t>
      </w:r>
      <w:r w:rsidR="007D6216">
        <w:rPr>
          <w:color w:val="000000" w:themeColor="text1"/>
          <w:szCs w:val="24"/>
        </w:rPr>
        <w:t xml:space="preserve">persistent </w:t>
      </w:r>
      <w:r w:rsidR="004F6B90">
        <w:rPr>
          <w:color w:val="000000" w:themeColor="text1"/>
          <w:szCs w:val="24"/>
        </w:rPr>
        <w:t xml:space="preserve">pain related to avascular necrosis of the second metatarsal head (damage from </w:t>
      </w:r>
      <w:r w:rsidR="004F6B90" w:rsidRPr="004F6B90">
        <w:rPr>
          <w:color w:val="000000" w:themeColor="text1"/>
          <w:szCs w:val="24"/>
        </w:rPr>
        <w:t xml:space="preserve">focal loss of blood supply </w:t>
      </w:r>
      <w:r w:rsidR="004F6B90">
        <w:rPr>
          <w:color w:val="000000" w:themeColor="text1"/>
          <w:szCs w:val="24"/>
        </w:rPr>
        <w:t>to the bone in the metarsal joint)</w:t>
      </w:r>
      <w:r w:rsidR="007D6216">
        <w:rPr>
          <w:color w:val="000000" w:themeColor="text1"/>
          <w:szCs w:val="24"/>
        </w:rPr>
        <w:t xml:space="preserve"> and to the </w:t>
      </w:r>
      <w:r w:rsidR="00BF3D11">
        <w:rPr>
          <w:color w:val="000000" w:themeColor="text1"/>
          <w:szCs w:val="24"/>
        </w:rPr>
        <w:t>s</w:t>
      </w:r>
      <w:r w:rsidR="004F6B90">
        <w:rPr>
          <w:color w:val="000000" w:themeColor="text1"/>
          <w:szCs w:val="24"/>
        </w:rPr>
        <w:t xml:space="preserve">urgical </w:t>
      </w:r>
      <w:r w:rsidR="00BF3D11">
        <w:rPr>
          <w:color w:val="000000" w:themeColor="text1"/>
          <w:szCs w:val="24"/>
        </w:rPr>
        <w:t xml:space="preserve">procedure that was done to try to relieve the pain.  </w:t>
      </w:r>
      <w:r w:rsidR="004F6B90">
        <w:rPr>
          <w:color w:val="000000" w:themeColor="text1"/>
          <w:szCs w:val="24"/>
        </w:rPr>
        <w:t xml:space="preserve">Physical findings on the MEB examination </w:t>
      </w:r>
      <w:r w:rsidR="0069662A">
        <w:rPr>
          <w:color w:val="000000" w:themeColor="text1"/>
          <w:szCs w:val="24"/>
        </w:rPr>
        <w:t xml:space="preserve">done </w:t>
      </w:r>
      <w:r w:rsidR="00CE6060">
        <w:rPr>
          <w:color w:val="000000" w:themeColor="text1"/>
          <w:szCs w:val="24"/>
        </w:rPr>
        <w:t>five</w:t>
      </w:r>
      <w:r w:rsidR="00271FAD">
        <w:rPr>
          <w:color w:val="000000" w:themeColor="text1"/>
          <w:szCs w:val="24"/>
        </w:rPr>
        <w:t xml:space="preserve"> months prior to separation </w:t>
      </w:r>
      <w:r w:rsidR="004F6B90">
        <w:rPr>
          <w:color w:val="000000" w:themeColor="text1"/>
          <w:szCs w:val="24"/>
        </w:rPr>
        <w:t>included a w</w:t>
      </w:r>
      <w:r w:rsidR="004F6B90" w:rsidRPr="00250B58">
        <w:rPr>
          <w:color w:val="000000" w:themeColor="text1"/>
          <w:szCs w:val="24"/>
        </w:rPr>
        <w:t xml:space="preserve">ell-healed </w:t>
      </w:r>
      <w:r w:rsidR="004F6B90">
        <w:rPr>
          <w:color w:val="000000" w:themeColor="text1"/>
          <w:szCs w:val="24"/>
        </w:rPr>
        <w:t xml:space="preserve">surgical </w:t>
      </w:r>
      <w:r w:rsidR="004F6B90" w:rsidRPr="00250B58">
        <w:rPr>
          <w:color w:val="000000" w:themeColor="text1"/>
          <w:szCs w:val="24"/>
        </w:rPr>
        <w:t>incision</w:t>
      </w:r>
      <w:r w:rsidR="004F6B90">
        <w:rPr>
          <w:color w:val="000000" w:themeColor="text1"/>
          <w:szCs w:val="24"/>
        </w:rPr>
        <w:t xml:space="preserve">; tenderness to palpation over the second metatarsal head; </w:t>
      </w:r>
      <w:r w:rsidR="0069662A">
        <w:rPr>
          <w:color w:val="000000" w:themeColor="text1"/>
          <w:szCs w:val="24"/>
        </w:rPr>
        <w:t xml:space="preserve">normal neurologic and vascular exams; and no ankylosis.  X-ray of the toe showed callus </w:t>
      </w:r>
      <w:r w:rsidR="00271FAD">
        <w:rPr>
          <w:color w:val="000000" w:themeColor="text1"/>
          <w:szCs w:val="24"/>
        </w:rPr>
        <w:t xml:space="preserve">and flattening </w:t>
      </w:r>
      <w:r w:rsidR="0069662A">
        <w:rPr>
          <w:color w:val="000000" w:themeColor="text1"/>
          <w:szCs w:val="24"/>
        </w:rPr>
        <w:t>in the joint</w:t>
      </w:r>
      <w:r w:rsidR="00271FAD">
        <w:rPr>
          <w:color w:val="000000" w:themeColor="text1"/>
          <w:szCs w:val="24"/>
        </w:rPr>
        <w:t xml:space="preserve">.  The VA Compensation and Pension (C&amp;P) </w:t>
      </w:r>
      <w:r w:rsidR="00CE6060">
        <w:rPr>
          <w:color w:val="000000" w:themeColor="text1"/>
          <w:szCs w:val="24"/>
        </w:rPr>
        <w:t>exam done two</w:t>
      </w:r>
      <w:r w:rsidR="004A2643">
        <w:rPr>
          <w:color w:val="000000" w:themeColor="text1"/>
          <w:szCs w:val="24"/>
        </w:rPr>
        <w:t xml:space="preserve"> months post-</w:t>
      </w:r>
      <w:r w:rsidR="00271FAD">
        <w:rPr>
          <w:color w:val="000000" w:themeColor="text1"/>
          <w:szCs w:val="24"/>
        </w:rPr>
        <w:t xml:space="preserve">separation validated the MEB findings and additionally documented no limitation of motion, mild weakness, normal gait, </w:t>
      </w:r>
      <w:r w:rsidR="00BB5B36">
        <w:rPr>
          <w:color w:val="000000" w:themeColor="text1"/>
          <w:szCs w:val="24"/>
        </w:rPr>
        <w:t xml:space="preserve">and </w:t>
      </w:r>
      <w:r w:rsidR="00FD0C0C">
        <w:rPr>
          <w:color w:val="000000" w:themeColor="text1"/>
          <w:szCs w:val="24"/>
        </w:rPr>
        <w:t>no deformity</w:t>
      </w:r>
      <w:r w:rsidR="00BB5B36">
        <w:rPr>
          <w:color w:val="000000" w:themeColor="text1"/>
          <w:szCs w:val="24"/>
        </w:rPr>
        <w:t>.  Functionally, the MEB examiner documented decreased functional capacity especially with impact activities and nonsedentary activities</w:t>
      </w:r>
      <w:r w:rsidR="004A5639">
        <w:rPr>
          <w:color w:val="000000" w:themeColor="text1"/>
          <w:szCs w:val="24"/>
        </w:rPr>
        <w:t xml:space="preserve">; </w:t>
      </w:r>
      <w:r w:rsidR="00BB5B36">
        <w:rPr>
          <w:color w:val="000000" w:themeColor="text1"/>
          <w:szCs w:val="24"/>
        </w:rPr>
        <w:t>and the VA</w:t>
      </w:r>
      <w:r w:rsidR="008453CB">
        <w:rPr>
          <w:color w:val="000000" w:themeColor="text1"/>
          <w:szCs w:val="24"/>
        </w:rPr>
        <w:t>,</w:t>
      </w:r>
      <w:r w:rsidR="00BB5B36">
        <w:rPr>
          <w:color w:val="000000" w:themeColor="text1"/>
          <w:szCs w:val="24"/>
        </w:rPr>
        <w:t xml:space="preserve"> </w:t>
      </w:r>
      <w:r w:rsidR="004A5639">
        <w:rPr>
          <w:color w:val="000000" w:themeColor="text1"/>
          <w:szCs w:val="24"/>
        </w:rPr>
        <w:t>more proximate to separation</w:t>
      </w:r>
      <w:r w:rsidR="008453CB">
        <w:rPr>
          <w:color w:val="000000" w:themeColor="text1"/>
          <w:szCs w:val="24"/>
        </w:rPr>
        <w:t>,</w:t>
      </w:r>
      <w:r w:rsidR="004A5639">
        <w:rPr>
          <w:color w:val="000000" w:themeColor="text1"/>
          <w:szCs w:val="24"/>
        </w:rPr>
        <w:t xml:space="preserve"> </w:t>
      </w:r>
      <w:r w:rsidR="00BB5B36">
        <w:rPr>
          <w:color w:val="000000" w:themeColor="text1"/>
          <w:szCs w:val="24"/>
        </w:rPr>
        <w:t xml:space="preserve">documented </w:t>
      </w:r>
      <w:r w:rsidR="00271FAD">
        <w:rPr>
          <w:color w:val="000000" w:themeColor="text1"/>
          <w:szCs w:val="24"/>
        </w:rPr>
        <w:t>no functional impairment of the right foot.</w:t>
      </w:r>
      <w:r w:rsidR="00AA1387">
        <w:rPr>
          <w:color w:val="000000" w:themeColor="text1"/>
          <w:szCs w:val="24"/>
        </w:rPr>
        <w:t xml:space="preserve">  </w:t>
      </w:r>
    </w:p>
    <w:p w:rsidR="00BA7EE9" w:rsidRDefault="00BA7EE9" w:rsidP="00BA7EE9">
      <w:pPr>
        <w:tabs>
          <w:tab w:val="left" w:pos="288"/>
          <w:tab w:val="left" w:pos="4752"/>
        </w:tabs>
        <w:jc w:val="both"/>
        <w:rPr>
          <w:rFonts w:asciiTheme="minorHAnsi" w:hAnsiTheme="minorHAnsi"/>
          <w:color w:val="auto"/>
          <w:szCs w:val="24"/>
        </w:rPr>
      </w:pPr>
    </w:p>
    <w:p w:rsidR="00F60871" w:rsidRPr="00F60871" w:rsidRDefault="00BA7EE9" w:rsidP="00F60871">
      <w:pPr>
        <w:tabs>
          <w:tab w:val="left" w:pos="288"/>
          <w:tab w:val="left" w:pos="4752"/>
        </w:tabs>
        <w:jc w:val="both"/>
        <w:rPr>
          <w:rFonts w:asciiTheme="minorHAnsi" w:hAnsiTheme="minorHAnsi"/>
          <w:color w:val="auto"/>
          <w:szCs w:val="24"/>
        </w:rPr>
      </w:pPr>
      <w:r w:rsidRPr="001636E4">
        <w:rPr>
          <w:rFonts w:asciiTheme="minorHAnsi" w:hAnsiTheme="minorHAnsi"/>
          <w:color w:val="auto"/>
          <w:szCs w:val="24"/>
        </w:rPr>
        <w:t xml:space="preserve">The Board directs its attention to its rating recommendations based on the evidence just described.  The PEB rated the condition </w:t>
      </w:r>
      <w:r w:rsidR="00271FAD" w:rsidRPr="001636E4">
        <w:rPr>
          <w:rFonts w:asciiTheme="minorHAnsi" w:hAnsiTheme="minorHAnsi"/>
          <w:color w:val="auto"/>
          <w:szCs w:val="24"/>
        </w:rPr>
        <w:t xml:space="preserve">as 10%, </w:t>
      </w:r>
      <w:r w:rsidRPr="001636E4">
        <w:rPr>
          <w:rFonts w:asciiTheme="minorHAnsi" w:hAnsiTheme="minorHAnsi"/>
          <w:color w:val="auto"/>
          <w:szCs w:val="24"/>
        </w:rPr>
        <w:t>code</w:t>
      </w:r>
      <w:r w:rsidR="00271FAD" w:rsidRPr="001636E4">
        <w:rPr>
          <w:rFonts w:asciiTheme="minorHAnsi" w:hAnsiTheme="minorHAnsi"/>
          <w:color w:val="auto"/>
          <w:szCs w:val="24"/>
        </w:rPr>
        <w:t>d VASRD</w:t>
      </w:r>
      <w:r w:rsidRPr="001636E4">
        <w:rPr>
          <w:rFonts w:asciiTheme="minorHAnsi" w:hAnsiTheme="minorHAnsi"/>
          <w:color w:val="auto"/>
          <w:szCs w:val="24"/>
        </w:rPr>
        <w:t xml:space="preserve"> </w:t>
      </w:r>
      <w:r w:rsidR="00CE6060">
        <w:rPr>
          <w:rFonts w:asciiTheme="minorHAnsi" w:hAnsiTheme="minorHAnsi"/>
          <w:color w:val="auto"/>
          <w:szCs w:val="24"/>
        </w:rPr>
        <w:t>5279 (</w:t>
      </w:r>
      <w:proofErr w:type="spellStart"/>
      <w:r w:rsidR="00CE6060">
        <w:rPr>
          <w:rFonts w:asciiTheme="minorHAnsi" w:hAnsiTheme="minorHAnsi"/>
          <w:color w:val="auto"/>
          <w:szCs w:val="24"/>
        </w:rPr>
        <w:t>m</w:t>
      </w:r>
      <w:r w:rsidR="00271FAD" w:rsidRPr="001636E4">
        <w:rPr>
          <w:rFonts w:asciiTheme="minorHAnsi" w:hAnsiTheme="minorHAnsi"/>
          <w:color w:val="auto"/>
          <w:szCs w:val="24"/>
        </w:rPr>
        <w:t>etatarsalgia</w:t>
      </w:r>
      <w:proofErr w:type="spellEnd"/>
      <w:r w:rsidR="00CE6060">
        <w:rPr>
          <w:rFonts w:asciiTheme="minorHAnsi" w:hAnsiTheme="minorHAnsi"/>
          <w:color w:val="auto"/>
          <w:szCs w:val="24"/>
        </w:rPr>
        <w:t>, anterior [Morton’s disease]</w:t>
      </w:r>
      <w:r w:rsidR="004A5639" w:rsidRPr="001636E4">
        <w:rPr>
          <w:rFonts w:asciiTheme="minorHAnsi" w:hAnsiTheme="minorHAnsi"/>
          <w:color w:val="auto"/>
          <w:szCs w:val="24"/>
        </w:rPr>
        <w:t>, unilateral or bilateral</w:t>
      </w:r>
      <w:r w:rsidR="00271FAD" w:rsidRPr="001636E4">
        <w:rPr>
          <w:rFonts w:asciiTheme="minorHAnsi" w:hAnsiTheme="minorHAnsi"/>
          <w:color w:val="auto"/>
          <w:szCs w:val="24"/>
        </w:rPr>
        <w:t xml:space="preserve">).  </w:t>
      </w:r>
      <w:r w:rsidRPr="001636E4">
        <w:rPr>
          <w:rFonts w:asciiTheme="minorHAnsi" w:hAnsiTheme="minorHAnsi"/>
          <w:color w:val="auto"/>
          <w:szCs w:val="24"/>
        </w:rPr>
        <w:t xml:space="preserve">The VA rated the condition </w:t>
      </w:r>
      <w:r w:rsidR="00271FAD" w:rsidRPr="001636E4">
        <w:rPr>
          <w:rFonts w:asciiTheme="minorHAnsi" w:hAnsiTheme="minorHAnsi"/>
          <w:color w:val="auto"/>
          <w:szCs w:val="24"/>
        </w:rPr>
        <w:t xml:space="preserve">as 0%, coded </w:t>
      </w:r>
      <w:r w:rsidRPr="001636E4">
        <w:rPr>
          <w:rFonts w:asciiTheme="minorHAnsi" w:hAnsiTheme="minorHAnsi"/>
          <w:color w:val="auto"/>
          <w:szCs w:val="24"/>
        </w:rPr>
        <w:t>VASRD 52</w:t>
      </w:r>
      <w:r w:rsidR="00271FAD" w:rsidRPr="001636E4">
        <w:rPr>
          <w:rFonts w:asciiTheme="minorHAnsi" w:hAnsiTheme="minorHAnsi"/>
          <w:color w:val="auto"/>
          <w:szCs w:val="24"/>
        </w:rPr>
        <w:t>84</w:t>
      </w:r>
      <w:r w:rsidRPr="001636E4">
        <w:rPr>
          <w:rFonts w:asciiTheme="minorHAnsi" w:hAnsiTheme="minorHAnsi"/>
          <w:color w:val="auto"/>
          <w:szCs w:val="24"/>
        </w:rPr>
        <w:t xml:space="preserve"> (</w:t>
      </w:r>
      <w:r w:rsidR="00CE6060">
        <w:rPr>
          <w:rFonts w:asciiTheme="minorHAnsi" w:hAnsiTheme="minorHAnsi"/>
          <w:color w:val="auto"/>
          <w:szCs w:val="24"/>
        </w:rPr>
        <w:t>f</w:t>
      </w:r>
      <w:r w:rsidR="00271FAD" w:rsidRPr="001636E4">
        <w:rPr>
          <w:rFonts w:asciiTheme="minorHAnsi" w:hAnsiTheme="minorHAnsi"/>
          <w:color w:val="auto"/>
          <w:szCs w:val="24"/>
        </w:rPr>
        <w:t xml:space="preserve">oot injuries), based on less than moderate impairment of the </w:t>
      </w:r>
      <w:r w:rsidR="007D6216" w:rsidRPr="001636E4">
        <w:rPr>
          <w:rFonts w:asciiTheme="minorHAnsi" w:hAnsiTheme="minorHAnsi"/>
          <w:color w:val="auto"/>
          <w:szCs w:val="24"/>
        </w:rPr>
        <w:t>right foot.</w:t>
      </w:r>
      <w:r w:rsidR="00BF3D11" w:rsidRPr="001636E4">
        <w:rPr>
          <w:rFonts w:asciiTheme="minorHAnsi" w:hAnsiTheme="minorHAnsi"/>
          <w:color w:val="auto"/>
          <w:szCs w:val="24"/>
        </w:rPr>
        <w:t xml:space="preserve">  As noted above, pain in the right second metarsal joint is the CI’s primary cause of functional impairment</w:t>
      </w:r>
      <w:r w:rsidR="00FD0C0C" w:rsidRPr="001636E4">
        <w:rPr>
          <w:rFonts w:asciiTheme="minorHAnsi" w:hAnsiTheme="minorHAnsi"/>
          <w:color w:val="auto"/>
          <w:szCs w:val="24"/>
        </w:rPr>
        <w:t xml:space="preserve"> for this condition </w:t>
      </w:r>
      <w:r w:rsidR="005F7A9A" w:rsidRPr="001636E4">
        <w:rPr>
          <w:rFonts w:asciiTheme="minorHAnsi" w:hAnsiTheme="minorHAnsi"/>
          <w:color w:val="auto"/>
          <w:szCs w:val="24"/>
        </w:rPr>
        <w:t xml:space="preserve">and </w:t>
      </w:r>
      <w:r w:rsidR="00FD0C0C" w:rsidRPr="001636E4">
        <w:rPr>
          <w:rFonts w:asciiTheme="minorHAnsi" w:hAnsiTheme="minorHAnsi"/>
          <w:color w:val="auto"/>
          <w:szCs w:val="24"/>
        </w:rPr>
        <w:t xml:space="preserve">is most closely related, both functionally and anatomically, to the metatarsalgia (pain and tenderness in the metatarsal region) </w:t>
      </w:r>
      <w:r w:rsidR="005F7A9A" w:rsidRPr="001636E4">
        <w:rPr>
          <w:rFonts w:asciiTheme="minorHAnsi" w:hAnsiTheme="minorHAnsi"/>
          <w:color w:val="auto"/>
          <w:szCs w:val="24"/>
        </w:rPr>
        <w:t xml:space="preserve">indicated </w:t>
      </w:r>
      <w:r w:rsidR="00FD0C0C" w:rsidRPr="001636E4">
        <w:rPr>
          <w:rFonts w:asciiTheme="minorHAnsi" w:hAnsiTheme="minorHAnsi"/>
          <w:color w:val="auto"/>
          <w:szCs w:val="24"/>
        </w:rPr>
        <w:t>in the PEB’s coding choice of 5279</w:t>
      </w:r>
      <w:r w:rsidR="008453CB" w:rsidRPr="001636E4">
        <w:rPr>
          <w:rFonts w:asciiTheme="minorHAnsi" w:hAnsiTheme="minorHAnsi"/>
          <w:color w:val="auto"/>
          <w:szCs w:val="24"/>
        </w:rPr>
        <w:t xml:space="preserve">.  </w:t>
      </w:r>
      <w:r w:rsidR="008D0A5C" w:rsidRPr="001636E4">
        <w:rPr>
          <w:rFonts w:asciiTheme="minorHAnsi" w:hAnsiTheme="minorHAnsi"/>
          <w:color w:val="auto"/>
          <w:szCs w:val="24"/>
        </w:rPr>
        <w:t xml:space="preserve">A rating of 10% is justified using this code as the </w:t>
      </w:r>
      <w:r w:rsidR="001B225B" w:rsidRPr="001636E4">
        <w:rPr>
          <w:rFonts w:asciiTheme="minorHAnsi" w:hAnsiTheme="minorHAnsi"/>
          <w:color w:val="auto"/>
          <w:szCs w:val="24"/>
        </w:rPr>
        <w:t xml:space="preserve">logical choice </w:t>
      </w:r>
      <w:r w:rsidR="008D0A5C" w:rsidRPr="001636E4">
        <w:rPr>
          <w:rFonts w:asciiTheme="minorHAnsi" w:hAnsiTheme="minorHAnsi"/>
          <w:color w:val="auto"/>
          <w:szCs w:val="24"/>
        </w:rPr>
        <w:t xml:space="preserve">to </w:t>
      </w:r>
      <w:r w:rsidR="00C9304B" w:rsidRPr="001636E4">
        <w:rPr>
          <w:rFonts w:asciiTheme="minorHAnsi" w:hAnsiTheme="minorHAnsi"/>
          <w:color w:val="auto"/>
          <w:szCs w:val="24"/>
        </w:rPr>
        <w:t xml:space="preserve">analogously </w:t>
      </w:r>
      <w:r w:rsidR="004A5639" w:rsidRPr="001636E4">
        <w:rPr>
          <w:rFonts w:asciiTheme="minorHAnsi" w:hAnsiTheme="minorHAnsi"/>
          <w:color w:val="auto"/>
          <w:szCs w:val="24"/>
        </w:rPr>
        <w:t xml:space="preserve">rate this condition.  </w:t>
      </w:r>
      <w:r w:rsidR="005F7A9A" w:rsidRPr="001636E4">
        <w:rPr>
          <w:rFonts w:asciiTheme="minorHAnsi" w:hAnsiTheme="minorHAnsi"/>
          <w:color w:val="auto"/>
          <w:szCs w:val="24"/>
        </w:rPr>
        <w:t>There was no clinical and/or radiologic evidence that suggested deformity, swelling, limited range of motion</w:t>
      </w:r>
      <w:r w:rsidR="00233D14">
        <w:rPr>
          <w:rFonts w:asciiTheme="minorHAnsi" w:hAnsiTheme="minorHAnsi"/>
          <w:color w:val="auto"/>
          <w:szCs w:val="24"/>
        </w:rPr>
        <w:t xml:space="preserve"> (ROM)</w:t>
      </w:r>
      <w:r w:rsidR="005F7A9A" w:rsidRPr="001636E4">
        <w:rPr>
          <w:rFonts w:asciiTheme="minorHAnsi" w:hAnsiTheme="minorHAnsi"/>
          <w:color w:val="auto"/>
          <w:szCs w:val="24"/>
        </w:rPr>
        <w:t xml:space="preserve">, </w:t>
      </w:r>
      <w:proofErr w:type="spellStart"/>
      <w:r w:rsidR="005F7A9A" w:rsidRPr="001636E4">
        <w:rPr>
          <w:rFonts w:asciiTheme="minorHAnsi" w:hAnsiTheme="minorHAnsi"/>
          <w:color w:val="auto"/>
          <w:szCs w:val="24"/>
        </w:rPr>
        <w:t>malunion</w:t>
      </w:r>
      <w:proofErr w:type="spellEnd"/>
      <w:r w:rsidR="005F7A9A" w:rsidRPr="001636E4">
        <w:rPr>
          <w:rFonts w:asciiTheme="minorHAnsi" w:hAnsiTheme="minorHAnsi"/>
          <w:color w:val="auto"/>
          <w:szCs w:val="24"/>
        </w:rPr>
        <w:t xml:space="preserve"> or nonunion of metarsal bones, or moderately severe functional impairment </w:t>
      </w:r>
      <w:r w:rsidR="006949CF" w:rsidRPr="001636E4">
        <w:rPr>
          <w:rFonts w:asciiTheme="minorHAnsi" w:hAnsiTheme="minorHAnsi"/>
          <w:color w:val="auto"/>
          <w:szCs w:val="24"/>
        </w:rPr>
        <w:t xml:space="preserve">that would have justified any alternate </w:t>
      </w:r>
      <w:r w:rsidR="005F7A9A" w:rsidRPr="001636E4">
        <w:rPr>
          <w:rFonts w:asciiTheme="minorHAnsi" w:hAnsiTheme="minorHAnsi"/>
          <w:color w:val="auto"/>
          <w:szCs w:val="24"/>
        </w:rPr>
        <w:t xml:space="preserve">foot </w:t>
      </w:r>
      <w:r w:rsidR="006949CF" w:rsidRPr="001636E4">
        <w:rPr>
          <w:rFonts w:asciiTheme="minorHAnsi" w:hAnsiTheme="minorHAnsi"/>
          <w:color w:val="auto"/>
          <w:szCs w:val="24"/>
        </w:rPr>
        <w:t>code with higher rating potential</w:t>
      </w:r>
      <w:r w:rsidR="00530974" w:rsidRPr="001636E4">
        <w:rPr>
          <w:rFonts w:asciiTheme="minorHAnsi" w:hAnsiTheme="minorHAnsi"/>
          <w:color w:val="auto"/>
          <w:szCs w:val="24"/>
        </w:rPr>
        <w:t xml:space="preserve"> at the time of separation</w:t>
      </w:r>
      <w:r w:rsidR="006949CF" w:rsidRPr="001636E4">
        <w:rPr>
          <w:rFonts w:asciiTheme="minorHAnsi" w:hAnsiTheme="minorHAnsi"/>
          <w:color w:val="auto"/>
          <w:szCs w:val="24"/>
        </w:rPr>
        <w:t>.</w:t>
      </w:r>
      <w:r w:rsidR="005F7A9A" w:rsidRPr="001636E4">
        <w:rPr>
          <w:rFonts w:asciiTheme="minorHAnsi" w:hAnsiTheme="minorHAnsi"/>
          <w:color w:val="auto"/>
          <w:szCs w:val="24"/>
        </w:rPr>
        <w:t xml:space="preserve">  </w:t>
      </w:r>
      <w:r w:rsidR="00F60871" w:rsidRPr="001636E4">
        <w:rPr>
          <w:rFonts w:asciiTheme="minorHAnsi" w:hAnsiTheme="minorHAnsi"/>
          <w:color w:val="auto"/>
          <w:szCs w:val="24"/>
        </w:rPr>
        <w:t>All evidence considered, there is not reasonable doubt in the CI’s favor supporting a change from the PEB’s rating decision for the right foot pain condition.</w:t>
      </w:r>
      <w:r w:rsidR="00CE6060">
        <w:rPr>
          <w:rFonts w:asciiTheme="minorHAnsi" w:hAnsiTheme="minorHAnsi"/>
          <w:color w:val="auto"/>
          <w:szCs w:val="24"/>
        </w:rPr>
        <w:t xml:space="preserve">  The a</w:t>
      </w:r>
      <w:r w:rsidR="00C9304B" w:rsidRPr="001636E4">
        <w:rPr>
          <w:rFonts w:asciiTheme="minorHAnsi" w:hAnsiTheme="minorHAnsi"/>
          <w:color w:val="auto"/>
          <w:szCs w:val="24"/>
        </w:rPr>
        <w:t xml:space="preserve">ction </w:t>
      </w:r>
      <w:r w:rsidR="00CE6060">
        <w:rPr>
          <w:rFonts w:asciiTheme="minorHAnsi" w:hAnsiTheme="minorHAnsi"/>
          <w:color w:val="auto"/>
          <w:szCs w:val="24"/>
        </w:rPr>
        <w:t>o</w:t>
      </w:r>
      <w:r w:rsidR="00C9304B" w:rsidRPr="001636E4">
        <w:rPr>
          <w:rFonts w:asciiTheme="minorHAnsi" w:hAnsiTheme="minorHAnsi"/>
          <w:color w:val="auto"/>
          <w:szCs w:val="24"/>
        </w:rPr>
        <w:t>fficer favors analogous code 5299</w:t>
      </w:r>
      <w:r w:rsidR="00AA1387" w:rsidRPr="001636E4">
        <w:rPr>
          <w:rFonts w:asciiTheme="minorHAnsi" w:hAnsiTheme="minorHAnsi"/>
          <w:color w:val="auto"/>
          <w:szCs w:val="24"/>
        </w:rPr>
        <w:t>-5279 to rate the condition.</w:t>
      </w:r>
      <w:r w:rsidR="00AA1387">
        <w:rPr>
          <w:rFonts w:asciiTheme="minorHAnsi" w:hAnsiTheme="minorHAnsi"/>
          <w:color w:val="auto"/>
          <w:szCs w:val="24"/>
        </w:rPr>
        <w:t xml:space="preserve">  </w:t>
      </w:r>
    </w:p>
    <w:p w:rsidR="002F6AD8" w:rsidRDefault="002F6AD8" w:rsidP="00F60871">
      <w:pPr>
        <w:tabs>
          <w:tab w:val="left" w:pos="288"/>
          <w:tab w:val="left" w:pos="4752"/>
        </w:tabs>
        <w:jc w:val="both"/>
        <w:rPr>
          <w:color w:val="000000" w:themeColor="text1"/>
          <w:szCs w:val="24"/>
          <w:u w:val="single"/>
        </w:rPr>
      </w:pPr>
    </w:p>
    <w:p w:rsidR="00D9174C" w:rsidRDefault="00F60871" w:rsidP="00D9174C">
      <w:pPr>
        <w:tabs>
          <w:tab w:val="left" w:pos="288"/>
          <w:tab w:val="left" w:pos="4752"/>
        </w:tabs>
        <w:jc w:val="both"/>
        <w:rPr>
          <w:rFonts w:asciiTheme="minorHAnsi" w:hAnsiTheme="minorHAnsi"/>
          <w:color w:val="auto"/>
          <w:szCs w:val="24"/>
        </w:rPr>
      </w:pPr>
      <w:r>
        <w:rPr>
          <w:color w:val="000000" w:themeColor="text1"/>
          <w:szCs w:val="24"/>
          <w:u w:val="single"/>
        </w:rPr>
        <w:t>Fibromyalgia</w:t>
      </w:r>
      <w:r>
        <w:rPr>
          <w:color w:val="000000" w:themeColor="text1"/>
          <w:szCs w:val="24"/>
        </w:rPr>
        <w:t>.</w:t>
      </w:r>
      <w:r w:rsidR="00D9174C">
        <w:rPr>
          <w:color w:val="000000" w:themeColor="text1"/>
          <w:szCs w:val="24"/>
        </w:rPr>
        <w:t xml:space="preserve">  </w:t>
      </w:r>
      <w:r w:rsidR="00D9174C" w:rsidRPr="00B629AC">
        <w:rPr>
          <w:rFonts w:asciiTheme="minorHAnsi" w:hAnsiTheme="minorHAnsi"/>
          <w:color w:val="auto"/>
          <w:szCs w:val="24"/>
        </w:rPr>
        <w:t>Fibromyalgia is described in the VASRD as widespread musculoskeletal pain and tender points</w:t>
      </w:r>
      <w:r w:rsidR="00D9174C">
        <w:rPr>
          <w:rFonts w:asciiTheme="minorHAnsi" w:hAnsiTheme="minorHAnsi"/>
          <w:color w:val="auto"/>
          <w:szCs w:val="24"/>
        </w:rPr>
        <w:t>,</w:t>
      </w:r>
      <w:r w:rsidR="00D9174C" w:rsidRPr="00B629AC">
        <w:rPr>
          <w:rFonts w:asciiTheme="minorHAnsi" w:hAnsiTheme="minorHAnsi"/>
          <w:color w:val="auto"/>
          <w:szCs w:val="24"/>
        </w:rPr>
        <w:t xml:space="preserve"> with or without fatigue, sleep disturbance, stiffness, paresthesias, headache, irritable bowel symptoms, depression, anxiety, or Raynaud’s like symptoms.  The rating is based upon the frequency of symptoms</w:t>
      </w:r>
      <w:r w:rsidR="00D9174C">
        <w:rPr>
          <w:rFonts w:asciiTheme="minorHAnsi" w:hAnsiTheme="minorHAnsi"/>
          <w:color w:val="auto"/>
          <w:szCs w:val="24"/>
        </w:rPr>
        <w:t xml:space="preserve"> without regard to severity or impact on function</w:t>
      </w:r>
      <w:r w:rsidR="00D9174C" w:rsidRPr="00B629AC">
        <w:rPr>
          <w:rFonts w:asciiTheme="minorHAnsi" w:hAnsiTheme="minorHAnsi"/>
          <w:color w:val="auto"/>
          <w:szCs w:val="24"/>
        </w:rPr>
        <w:t xml:space="preserve">.  A 10% </w:t>
      </w:r>
      <w:r w:rsidR="00D9174C">
        <w:rPr>
          <w:rFonts w:asciiTheme="minorHAnsi" w:hAnsiTheme="minorHAnsi"/>
          <w:color w:val="auto"/>
          <w:szCs w:val="24"/>
        </w:rPr>
        <w:t xml:space="preserve">rating </w:t>
      </w:r>
      <w:r w:rsidR="00D9174C" w:rsidRPr="00B629AC">
        <w:rPr>
          <w:rFonts w:asciiTheme="minorHAnsi" w:hAnsiTheme="minorHAnsi"/>
          <w:color w:val="auto"/>
          <w:szCs w:val="24"/>
        </w:rPr>
        <w:t xml:space="preserve">applies when the symptoms are controlled by </w:t>
      </w:r>
      <w:r w:rsidR="00D9174C">
        <w:rPr>
          <w:rFonts w:asciiTheme="minorHAnsi" w:hAnsiTheme="minorHAnsi"/>
          <w:color w:val="auto"/>
          <w:szCs w:val="24"/>
        </w:rPr>
        <w:t xml:space="preserve">continuous </w:t>
      </w:r>
      <w:r w:rsidR="00D9174C" w:rsidRPr="00B629AC">
        <w:rPr>
          <w:rFonts w:asciiTheme="minorHAnsi" w:hAnsiTheme="minorHAnsi"/>
          <w:color w:val="auto"/>
          <w:szCs w:val="24"/>
        </w:rPr>
        <w:t>medication; a 20% rating applies when the symptoms are episodic, with exacerbations, present more than one third of the time; a 40% rating applies when symptoms are constant</w:t>
      </w:r>
      <w:r w:rsidR="00D9174C">
        <w:rPr>
          <w:rFonts w:asciiTheme="minorHAnsi" w:hAnsiTheme="minorHAnsi"/>
          <w:color w:val="auto"/>
          <w:szCs w:val="24"/>
        </w:rPr>
        <w:t>, or nearly so,</w:t>
      </w:r>
      <w:r w:rsidR="00D9174C" w:rsidRPr="00B629AC">
        <w:rPr>
          <w:rFonts w:asciiTheme="minorHAnsi" w:hAnsiTheme="minorHAnsi"/>
          <w:color w:val="auto"/>
          <w:szCs w:val="24"/>
        </w:rPr>
        <w:t xml:space="preserve"> and refractory to treatment.  </w:t>
      </w:r>
    </w:p>
    <w:p w:rsidR="00D9174C" w:rsidRDefault="00D9174C" w:rsidP="000C5BCB">
      <w:pPr>
        <w:tabs>
          <w:tab w:val="left" w:pos="288"/>
          <w:tab w:val="left" w:pos="4752"/>
        </w:tabs>
        <w:jc w:val="both"/>
        <w:rPr>
          <w:rFonts w:asciiTheme="minorHAnsi" w:hAnsiTheme="minorHAnsi"/>
          <w:color w:val="auto"/>
          <w:szCs w:val="24"/>
        </w:rPr>
      </w:pPr>
    </w:p>
    <w:p w:rsidR="00935AA4" w:rsidRDefault="00D9174C" w:rsidP="000C5BCB">
      <w:pPr>
        <w:jc w:val="both"/>
        <w:rPr>
          <w:color w:val="000000" w:themeColor="text1"/>
          <w:szCs w:val="24"/>
        </w:rPr>
      </w:pPr>
      <w:r w:rsidRPr="001636E4">
        <w:rPr>
          <w:rFonts w:asciiTheme="minorHAnsi" w:hAnsiTheme="minorHAnsi"/>
          <w:color w:val="auto"/>
          <w:szCs w:val="24"/>
        </w:rPr>
        <w:t xml:space="preserve">At the time of the </w:t>
      </w:r>
      <w:r w:rsidR="00826F80" w:rsidRPr="001636E4">
        <w:rPr>
          <w:rFonts w:asciiTheme="minorHAnsi" w:hAnsiTheme="minorHAnsi"/>
          <w:color w:val="auto"/>
          <w:szCs w:val="24"/>
        </w:rPr>
        <w:t>rheumatology addendum to the NARSUM</w:t>
      </w:r>
      <w:r w:rsidRPr="001636E4">
        <w:rPr>
          <w:rFonts w:asciiTheme="minorHAnsi" w:hAnsiTheme="minorHAnsi"/>
          <w:color w:val="auto"/>
          <w:szCs w:val="24"/>
        </w:rPr>
        <w:t>,</w:t>
      </w:r>
      <w:r w:rsidR="00CE6060">
        <w:rPr>
          <w:rFonts w:asciiTheme="minorHAnsi" w:hAnsiTheme="minorHAnsi"/>
          <w:color w:val="auto"/>
          <w:szCs w:val="24"/>
        </w:rPr>
        <w:t xml:space="preserve"> three</w:t>
      </w:r>
      <w:r w:rsidRPr="001636E4">
        <w:rPr>
          <w:rFonts w:asciiTheme="minorHAnsi" w:hAnsiTheme="minorHAnsi"/>
          <w:color w:val="auto"/>
          <w:szCs w:val="24"/>
        </w:rPr>
        <w:t xml:space="preserve"> months prior to separation, the CI’s symp</w:t>
      </w:r>
      <w:r w:rsidR="00CE6060">
        <w:rPr>
          <w:rFonts w:asciiTheme="minorHAnsi" w:hAnsiTheme="minorHAnsi"/>
          <w:color w:val="auto"/>
          <w:szCs w:val="24"/>
        </w:rPr>
        <w:t>toms had been present for over two</w:t>
      </w:r>
      <w:r w:rsidRPr="001636E4">
        <w:rPr>
          <w:rFonts w:asciiTheme="minorHAnsi" w:hAnsiTheme="minorHAnsi"/>
          <w:color w:val="auto"/>
          <w:szCs w:val="24"/>
        </w:rPr>
        <w:t xml:space="preserve"> years.  The</w:t>
      </w:r>
      <w:r>
        <w:rPr>
          <w:rFonts w:asciiTheme="minorHAnsi" w:hAnsiTheme="minorHAnsi"/>
          <w:color w:val="auto"/>
          <w:szCs w:val="24"/>
        </w:rPr>
        <w:t xml:space="preserve"> symptoms included </w:t>
      </w:r>
      <w:r w:rsidRPr="00B75F16">
        <w:rPr>
          <w:color w:val="000000" w:themeColor="text1"/>
          <w:szCs w:val="24"/>
        </w:rPr>
        <w:t>mu</w:t>
      </w:r>
      <w:r>
        <w:rPr>
          <w:color w:val="000000" w:themeColor="text1"/>
          <w:szCs w:val="24"/>
        </w:rPr>
        <w:t>s</w:t>
      </w:r>
      <w:r w:rsidRPr="00B75F16">
        <w:rPr>
          <w:color w:val="000000" w:themeColor="text1"/>
          <w:szCs w:val="24"/>
        </w:rPr>
        <w:t>cle pain in the neck, shoulders</w:t>
      </w:r>
      <w:r>
        <w:rPr>
          <w:color w:val="000000" w:themeColor="text1"/>
          <w:szCs w:val="24"/>
        </w:rPr>
        <w:t xml:space="preserve">, </w:t>
      </w:r>
      <w:r w:rsidRPr="00B75F16">
        <w:rPr>
          <w:color w:val="000000" w:themeColor="text1"/>
          <w:szCs w:val="24"/>
        </w:rPr>
        <w:t>upper back</w:t>
      </w:r>
      <w:r w:rsidR="00826F80">
        <w:rPr>
          <w:color w:val="000000" w:themeColor="text1"/>
          <w:szCs w:val="24"/>
        </w:rPr>
        <w:t xml:space="preserve">, </w:t>
      </w:r>
      <w:r>
        <w:rPr>
          <w:color w:val="000000" w:themeColor="text1"/>
          <w:szCs w:val="24"/>
        </w:rPr>
        <w:t>arms</w:t>
      </w:r>
      <w:r w:rsidR="00826F80">
        <w:rPr>
          <w:color w:val="000000" w:themeColor="text1"/>
          <w:szCs w:val="24"/>
        </w:rPr>
        <w:t>,</w:t>
      </w:r>
      <w:r>
        <w:rPr>
          <w:color w:val="000000" w:themeColor="text1"/>
          <w:szCs w:val="24"/>
        </w:rPr>
        <w:t xml:space="preserve"> and legs</w:t>
      </w:r>
      <w:r w:rsidR="00826F80">
        <w:rPr>
          <w:color w:val="000000" w:themeColor="text1"/>
          <w:szCs w:val="24"/>
        </w:rPr>
        <w:t xml:space="preserve"> that was first </w:t>
      </w:r>
      <w:r w:rsidRPr="00B75F16">
        <w:rPr>
          <w:color w:val="000000" w:themeColor="text1"/>
          <w:szCs w:val="24"/>
        </w:rPr>
        <w:t>associated with activity</w:t>
      </w:r>
      <w:r w:rsidR="00935AA4">
        <w:rPr>
          <w:color w:val="000000" w:themeColor="text1"/>
          <w:szCs w:val="24"/>
        </w:rPr>
        <w:t>,</w:t>
      </w:r>
      <w:r w:rsidR="00826F80">
        <w:rPr>
          <w:color w:val="000000" w:themeColor="text1"/>
          <w:szCs w:val="24"/>
        </w:rPr>
        <w:t xml:space="preserve"> but </w:t>
      </w:r>
      <w:r w:rsidR="00826F80">
        <w:rPr>
          <w:color w:val="000000" w:themeColor="text1"/>
          <w:szCs w:val="24"/>
        </w:rPr>
        <w:lastRenderedPageBreak/>
        <w:t>w</w:t>
      </w:r>
      <w:r w:rsidRPr="00B75F16">
        <w:rPr>
          <w:color w:val="000000" w:themeColor="text1"/>
          <w:szCs w:val="24"/>
        </w:rPr>
        <w:t>orsen</w:t>
      </w:r>
      <w:r w:rsidR="00826F80">
        <w:rPr>
          <w:color w:val="000000" w:themeColor="text1"/>
          <w:szCs w:val="24"/>
        </w:rPr>
        <w:t>e</w:t>
      </w:r>
      <w:r w:rsidRPr="00B75F16">
        <w:rPr>
          <w:color w:val="000000" w:themeColor="text1"/>
          <w:szCs w:val="24"/>
        </w:rPr>
        <w:t xml:space="preserve">d to the point </w:t>
      </w:r>
      <w:r w:rsidR="00826F80">
        <w:rPr>
          <w:color w:val="000000" w:themeColor="text1"/>
          <w:szCs w:val="24"/>
        </w:rPr>
        <w:t xml:space="preserve">that she </w:t>
      </w:r>
      <w:r w:rsidRPr="00B75F16">
        <w:rPr>
          <w:color w:val="000000" w:themeColor="text1"/>
          <w:szCs w:val="24"/>
        </w:rPr>
        <w:t xml:space="preserve">had chronic daily </w:t>
      </w:r>
      <w:r w:rsidR="00826F80">
        <w:rPr>
          <w:color w:val="000000" w:themeColor="text1"/>
          <w:szCs w:val="24"/>
        </w:rPr>
        <w:t xml:space="preserve">pain </w:t>
      </w:r>
      <w:r w:rsidRPr="00B75F16">
        <w:rPr>
          <w:color w:val="000000" w:themeColor="text1"/>
          <w:szCs w:val="24"/>
        </w:rPr>
        <w:t xml:space="preserve">in </w:t>
      </w:r>
      <w:r w:rsidR="00826F80">
        <w:rPr>
          <w:color w:val="000000" w:themeColor="text1"/>
          <w:szCs w:val="24"/>
        </w:rPr>
        <w:t xml:space="preserve">all the involved areas.  The </w:t>
      </w:r>
      <w:r w:rsidRPr="00B75F16">
        <w:rPr>
          <w:color w:val="000000" w:themeColor="text1"/>
          <w:szCs w:val="24"/>
        </w:rPr>
        <w:t>muscle pain was aggravated by direct pressure</w:t>
      </w:r>
      <w:r w:rsidR="00826F80">
        <w:rPr>
          <w:color w:val="000000" w:themeColor="text1"/>
          <w:szCs w:val="24"/>
        </w:rPr>
        <w:t xml:space="preserve"> such that she was u</w:t>
      </w:r>
      <w:r w:rsidRPr="00B75F16">
        <w:rPr>
          <w:color w:val="000000" w:themeColor="text1"/>
          <w:szCs w:val="24"/>
        </w:rPr>
        <w:t>nable to wear any of her military gea</w:t>
      </w:r>
      <w:r w:rsidR="00826F80">
        <w:rPr>
          <w:color w:val="000000" w:themeColor="text1"/>
          <w:szCs w:val="24"/>
        </w:rPr>
        <w:t xml:space="preserve">r </w:t>
      </w:r>
      <w:r w:rsidRPr="00B75F16">
        <w:rPr>
          <w:color w:val="000000" w:themeColor="text1"/>
          <w:szCs w:val="24"/>
        </w:rPr>
        <w:t xml:space="preserve"> beca</w:t>
      </w:r>
      <w:r w:rsidR="00826F80">
        <w:rPr>
          <w:color w:val="000000" w:themeColor="text1"/>
          <w:szCs w:val="24"/>
        </w:rPr>
        <w:t xml:space="preserve">use </w:t>
      </w:r>
      <w:r w:rsidRPr="00B75F16">
        <w:rPr>
          <w:color w:val="000000" w:themeColor="text1"/>
          <w:szCs w:val="24"/>
        </w:rPr>
        <w:t>the pressure caused intolerable pain.</w:t>
      </w:r>
      <w:r w:rsidR="00826F80">
        <w:rPr>
          <w:color w:val="000000" w:themeColor="text1"/>
          <w:szCs w:val="24"/>
        </w:rPr>
        <w:t xml:space="preserve">  In addition to the pain, the CI reported sever</w:t>
      </w:r>
      <w:r w:rsidR="000C5BCB">
        <w:rPr>
          <w:color w:val="000000" w:themeColor="text1"/>
          <w:szCs w:val="24"/>
        </w:rPr>
        <w:t>e</w:t>
      </w:r>
      <w:r w:rsidR="00826F80">
        <w:rPr>
          <w:color w:val="000000" w:themeColor="text1"/>
          <w:szCs w:val="24"/>
        </w:rPr>
        <w:t xml:space="preserve">, </w:t>
      </w:r>
      <w:r w:rsidRPr="00B75F16">
        <w:rPr>
          <w:color w:val="000000" w:themeColor="text1"/>
          <w:szCs w:val="24"/>
        </w:rPr>
        <w:t>chronic fatigue on a da</w:t>
      </w:r>
      <w:r w:rsidR="00826F80">
        <w:rPr>
          <w:color w:val="000000" w:themeColor="text1"/>
          <w:szCs w:val="24"/>
        </w:rPr>
        <w:t xml:space="preserve">ily </w:t>
      </w:r>
      <w:r w:rsidRPr="00B75F16">
        <w:rPr>
          <w:color w:val="000000" w:themeColor="text1"/>
          <w:szCs w:val="24"/>
        </w:rPr>
        <w:t>basis</w:t>
      </w:r>
      <w:r w:rsidR="00826F80">
        <w:rPr>
          <w:color w:val="000000" w:themeColor="text1"/>
          <w:szCs w:val="24"/>
        </w:rPr>
        <w:t xml:space="preserve"> (u</w:t>
      </w:r>
      <w:r w:rsidRPr="00B75F16">
        <w:rPr>
          <w:color w:val="000000" w:themeColor="text1"/>
          <w:szCs w:val="24"/>
        </w:rPr>
        <w:t xml:space="preserve">nrefreshed after awakening, fatigued </w:t>
      </w:r>
      <w:r w:rsidR="004E6876" w:rsidRPr="00B75F16">
        <w:rPr>
          <w:color w:val="000000" w:themeColor="text1"/>
          <w:szCs w:val="24"/>
        </w:rPr>
        <w:t>throughout</w:t>
      </w:r>
      <w:r w:rsidRPr="00B75F16">
        <w:rPr>
          <w:color w:val="000000" w:themeColor="text1"/>
          <w:szCs w:val="24"/>
        </w:rPr>
        <w:t xml:space="preserve"> the day, and </w:t>
      </w:r>
      <w:r w:rsidR="00826F80">
        <w:rPr>
          <w:color w:val="000000" w:themeColor="text1"/>
          <w:szCs w:val="24"/>
        </w:rPr>
        <w:t>lac</w:t>
      </w:r>
      <w:r w:rsidR="000C5BCB">
        <w:rPr>
          <w:color w:val="000000" w:themeColor="text1"/>
          <w:szCs w:val="24"/>
        </w:rPr>
        <w:t>k</w:t>
      </w:r>
      <w:r w:rsidR="00826F80">
        <w:rPr>
          <w:color w:val="000000" w:themeColor="text1"/>
          <w:szCs w:val="24"/>
        </w:rPr>
        <w:t xml:space="preserve">ing energy </w:t>
      </w:r>
      <w:r w:rsidRPr="00B75F16">
        <w:rPr>
          <w:color w:val="000000" w:themeColor="text1"/>
          <w:szCs w:val="24"/>
        </w:rPr>
        <w:t>to engage in any meaningful activities</w:t>
      </w:r>
      <w:r w:rsidR="00826F80">
        <w:rPr>
          <w:color w:val="000000" w:themeColor="text1"/>
          <w:szCs w:val="24"/>
        </w:rPr>
        <w:t xml:space="preserve"> after work)</w:t>
      </w:r>
      <w:r w:rsidRPr="00B75F16">
        <w:rPr>
          <w:color w:val="000000" w:themeColor="text1"/>
          <w:szCs w:val="24"/>
        </w:rPr>
        <w:t>.</w:t>
      </w:r>
      <w:r w:rsidR="00826F80">
        <w:rPr>
          <w:color w:val="000000" w:themeColor="text1"/>
          <w:szCs w:val="24"/>
        </w:rPr>
        <w:t xml:space="preserve">  Fatigue would become unbearable if she worked more than </w:t>
      </w:r>
      <w:r w:rsidRPr="00B75F16">
        <w:rPr>
          <w:color w:val="000000" w:themeColor="text1"/>
          <w:szCs w:val="24"/>
        </w:rPr>
        <w:t>eight to ten hours in a day</w:t>
      </w:r>
      <w:r w:rsidR="00826F80">
        <w:rPr>
          <w:color w:val="000000" w:themeColor="text1"/>
          <w:szCs w:val="24"/>
        </w:rPr>
        <w:t>.</w:t>
      </w:r>
      <w:r w:rsidR="005A2B31">
        <w:rPr>
          <w:color w:val="000000" w:themeColor="text1"/>
          <w:szCs w:val="24"/>
        </w:rPr>
        <w:t xml:space="preserve">  Her e</w:t>
      </w:r>
      <w:r w:rsidR="005A2B31" w:rsidRPr="00B75F16">
        <w:rPr>
          <w:color w:val="000000" w:themeColor="text1"/>
          <w:szCs w:val="24"/>
        </w:rPr>
        <w:t>xam</w:t>
      </w:r>
      <w:r w:rsidR="005A2B31">
        <w:rPr>
          <w:color w:val="000000" w:themeColor="text1"/>
          <w:szCs w:val="24"/>
        </w:rPr>
        <w:t xml:space="preserve"> was pertinent for n</w:t>
      </w:r>
      <w:r w:rsidR="005A2B31" w:rsidRPr="00B75F16">
        <w:rPr>
          <w:color w:val="000000" w:themeColor="text1"/>
          <w:szCs w:val="24"/>
        </w:rPr>
        <w:t>o tenderness or s</w:t>
      </w:r>
      <w:r w:rsidR="005A2B31">
        <w:rPr>
          <w:color w:val="000000" w:themeColor="text1"/>
          <w:szCs w:val="24"/>
        </w:rPr>
        <w:t>w</w:t>
      </w:r>
      <w:r w:rsidR="005A2B31" w:rsidRPr="00B75F16">
        <w:rPr>
          <w:color w:val="000000" w:themeColor="text1"/>
          <w:szCs w:val="24"/>
        </w:rPr>
        <w:t>elling in the hands, wrists, elbows, knees, or ankles</w:t>
      </w:r>
      <w:r w:rsidR="005A2B31">
        <w:rPr>
          <w:color w:val="000000" w:themeColor="text1"/>
          <w:szCs w:val="24"/>
        </w:rPr>
        <w:t xml:space="preserve">; no </w:t>
      </w:r>
      <w:r w:rsidR="005A2B31" w:rsidRPr="00B75F16">
        <w:rPr>
          <w:color w:val="000000" w:themeColor="text1"/>
          <w:szCs w:val="24"/>
        </w:rPr>
        <w:t xml:space="preserve">deformities or </w:t>
      </w:r>
      <w:r w:rsidR="005A2B31">
        <w:rPr>
          <w:color w:val="000000" w:themeColor="text1"/>
          <w:szCs w:val="24"/>
        </w:rPr>
        <w:t>crepitus in the examined joints; p</w:t>
      </w:r>
      <w:r w:rsidR="005A2B31" w:rsidRPr="00B75F16">
        <w:rPr>
          <w:color w:val="000000" w:themeColor="text1"/>
          <w:szCs w:val="24"/>
        </w:rPr>
        <w:t xml:space="preserve">ositive </w:t>
      </w:r>
      <w:r w:rsidR="005A2B31">
        <w:rPr>
          <w:color w:val="000000" w:themeColor="text1"/>
          <w:szCs w:val="24"/>
        </w:rPr>
        <w:t xml:space="preserve">wincing and pain withdrawal on palpation of </w:t>
      </w:r>
      <w:r w:rsidR="005A2B31" w:rsidRPr="00B75F16">
        <w:rPr>
          <w:color w:val="000000" w:themeColor="text1"/>
          <w:szCs w:val="24"/>
        </w:rPr>
        <w:t>12 out of 18 American College of Rheumatology tender points</w:t>
      </w:r>
      <w:r w:rsidR="005A2B31">
        <w:rPr>
          <w:color w:val="000000" w:themeColor="text1"/>
          <w:szCs w:val="24"/>
        </w:rPr>
        <w:t>; and a positive Patient Health Questionnaire-</w:t>
      </w:r>
      <w:r w:rsidR="000C5BCB">
        <w:rPr>
          <w:color w:val="000000" w:themeColor="text1"/>
          <w:szCs w:val="24"/>
        </w:rPr>
        <w:t xml:space="preserve">self report for moderately severe depression.  </w:t>
      </w:r>
      <w:r w:rsidR="005A2B31">
        <w:rPr>
          <w:color w:val="000000" w:themeColor="text1"/>
          <w:szCs w:val="24"/>
        </w:rPr>
        <w:t xml:space="preserve">The examiner opined that the CI was “not qualified for worldwide duty because she cannot wear load bearing equipment, body armor, and/or rucksack.  She is unable to work more than 8-10 hours shifts due to fatigue.  I wrote a permanent P3 profile for </w:t>
      </w:r>
      <w:r w:rsidR="00935AA4">
        <w:rPr>
          <w:color w:val="000000" w:themeColor="text1"/>
          <w:szCs w:val="24"/>
        </w:rPr>
        <w:t>(CI)</w:t>
      </w:r>
      <w:r w:rsidR="005A2B31">
        <w:rPr>
          <w:color w:val="000000" w:themeColor="text1"/>
          <w:szCs w:val="24"/>
        </w:rPr>
        <w:t>.”</w:t>
      </w:r>
      <w:r w:rsidR="000C5BCB">
        <w:rPr>
          <w:color w:val="000000" w:themeColor="text1"/>
          <w:szCs w:val="24"/>
        </w:rPr>
        <w:t xml:space="preserve">  She was started on daily </w:t>
      </w:r>
      <w:r w:rsidR="00E05295" w:rsidRPr="00E05295">
        <w:rPr>
          <w:color w:val="000000" w:themeColor="text1"/>
          <w:szCs w:val="24"/>
        </w:rPr>
        <w:t>antidepressant medication (Venlafaxine=Effexor)</w:t>
      </w:r>
      <w:r w:rsidR="000C5BCB">
        <w:rPr>
          <w:color w:val="000000" w:themeColor="text1"/>
          <w:szCs w:val="24"/>
        </w:rPr>
        <w:t xml:space="preserve"> to treat her symptoms.  </w:t>
      </w:r>
      <w:r w:rsidR="00CE6060">
        <w:rPr>
          <w:color w:val="000000" w:themeColor="text1"/>
          <w:szCs w:val="24"/>
        </w:rPr>
        <w:t>In the “r</w:t>
      </w:r>
      <w:r w:rsidR="00E05295">
        <w:rPr>
          <w:color w:val="000000" w:themeColor="text1"/>
          <w:szCs w:val="24"/>
        </w:rPr>
        <w:t>ecommendations” section, t</w:t>
      </w:r>
      <w:r w:rsidR="00232B03">
        <w:rPr>
          <w:color w:val="000000" w:themeColor="text1"/>
          <w:szCs w:val="24"/>
        </w:rPr>
        <w:t>he examiner stated that</w:t>
      </w:r>
      <w:r w:rsidR="00CE6060">
        <w:rPr>
          <w:color w:val="000000" w:themeColor="text1"/>
          <w:szCs w:val="24"/>
        </w:rPr>
        <w:t xml:space="preserve"> after being on medication for one</w:t>
      </w:r>
      <w:r w:rsidR="00232B03">
        <w:rPr>
          <w:color w:val="000000" w:themeColor="text1"/>
          <w:szCs w:val="24"/>
        </w:rPr>
        <w:t xml:space="preserve"> month the CI’s </w:t>
      </w:r>
      <w:r w:rsidR="00232B03" w:rsidRPr="00E05295">
        <w:rPr>
          <w:color w:val="000000" w:themeColor="text1"/>
          <w:szCs w:val="24"/>
        </w:rPr>
        <w:t xml:space="preserve">depression and fibromyalgia symptoms were somewhat improved, but still limiting, and that the CI requested and was provided increased </w:t>
      </w:r>
      <w:r w:rsidR="00E05295" w:rsidRPr="00E05295">
        <w:rPr>
          <w:color w:val="000000" w:themeColor="text1"/>
          <w:szCs w:val="24"/>
        </w:rPr>
        <w:t xml:space="preserve">antidepressant </w:t>
      </w:r>
      <w:r w:rsidR="00232B03" w:rsidRPr="00E05295">
        <w:rPr>
          <w:color w:val="000000" w:themeColor="text1"/>
          <w:szCs w:val="24"/>
        </w:rPr>
        <w:t>medication</w:t>
      </w:r>
      <w:r w:rsidR="00C242C6">
        <w:rPr>
          <w:color w:val="000000" w:themeColor="text1"/>
          <w:szCs w:val="24"/>
        </w:rPr>
        <w:t xml:space="preserve"> to try to better control symptoms</w:t>
      </w:r>
      <w:r w:rsidR="00E05295">
        <w:rPr>
          <w:color w:val="000000" w:themeColor="text1"/>
          <w:szCs w:val="24"/>
        </w:rPr>
        <w:t xml:space="preserve">.  </w:t>
      </w:r>
    </w:p>
    <w:p w:rsidR="00935AA4" w:rsidRDefault="00935AA4" w:rsidP="00C242C6">
      <w:pPr>
        <w:jc w:val="both"/>
        <w:rPr>
          <w:color w:val="000000" w:themeColor="text1"/>
          <w:szCs w:val="24"/>
        </w:rPr>
      </w:pPr>
    </w:p>
    <w:p w:rsidR="000C5BCB" w:rsidRDefault="00D9174C" w:rsidP="000C5BCB">
      <w:pPr>
        <w:jc w:val="both"/>
        <w:rPr>
          <w:color w:val="000000" w:themeColor="text1"/>
          <w:szCs w:val="24"/>
        </w:rPr>
      </w:pPr>
      <w:r w:rsidRPr="001636E4">
        <w:rPr>
          <w:rFonts w:asciiTheme="minorHAnsi" w:hAnsiTheme="minorHAnsi"/>
          <w:color w:val="auto"/>
          <w:szCs w:val="24"/>
        </w:rPr>
        <w:t>The V</w:t>
      </w:r>
      <w:r w:rsidR="008D0A5C" w:rsidRPr="001636E4">
        <w:rPr>
          <w:rFonts w:asciiTheme="minorHAnsi" w:hAnsiTheme="minorHAnsi"/>
          <w:color w:val="auto"/>
          <w:szCs w:val="24"/>
        </w:rPr>
        <w:t xml:space="preserve">A </w:t>
      </w:r>
      <w:r w:rsidRPr="001636E4">
        <w:rPr>
          <w:rFonts w:asciiTheme="minorHAnsi" w:hAnsiTheme="minorHAnsi"/>
          <w:color w:val="auto"/>
          <w:szCs w:val="24"/>
        </w:rPr>
        <w:t xml:space="preserve">C&amp;P </w:t>
      </w:r>
      <w:r w:rsidR="000C5BCB" w:rsidRPr="001636E4">
        <w:rPr>
          <w:rFonts w:asciiTheme="minorHAnsi" w:hAnsiTheme="minorHAnsi"/>
          <w:color w:val="auto"/>
          <w:szCs w:val="24"/>
        </w:rPr>
        <w:t>examination</w:t>
      </w:r>
      <w:r w:rsidR="00232B03" w:rsidRPr="001636E4">
        <w:rPr>
          <w:rFonts w:asciiTheme="minorHAnsi" w:hAnsiTheme="minorHAnsi"/>
          <w:color w:val="auto"/>
          <w:szCs w:val="24"/>
        </w:rPr>
        <w:t>,</w:t>
      </w:r>
      <w:r w:rsidR="00CE6060">
        <w:rPr>
          <w:rFonts w:asciiTheme="minorHAnsi" w:hAnsiTheme="minorHAnsi"/>
          <w:color w:val="auto"/>
          <w:szCs w:val="24"/>
        </w:rPr>
        <w:t xml:space="preserve"> two</w:t>
      </w:r>
      <w:r w:rsidR="000C5BCB" w:rsidRPr="001636E4">
        <w:rPr>
          <w:rFonts w:asciiTheme="minorHAnsi" w:hAnsiTheme="minorHAnsi"/>
          <w:color w:val="auto"/>
          <w:szCs w:val="24"/>
        </w:rPr>
        <w:t xml:space="preserve"> months after separation</w:t>
      </w:r>
      <w:r w:rsidR="00232B03" w:rsidRPr="001636E4">
        <w:rPr>
          <w:rFonts w:asciiTheme="minorHAnsi" w:hAnsiTheme="minorHAnsi"/>
          <w:color w:val="auto"/>
          <w:szCs w:val="24"/>
        </w:rPr>
        <w:t>,</w:t>
      </w:r>
      <w:r w:rsidR="000C5BCB" w:rsidRPr="001636E4">
        <w:rPr>
          <w:rFonts w:asciiTheme="minorHAnsi" w:hAnsiTheme="minorHAnsi"/>
          <w:color w:val="auto"/>
          <w:szCs w:val="24"/>
        </w:rPr>
        <w:t xml:space="preserve"> validated the </w:t>
      </w:r>
      <w:r w:rsidR="00232B03" w:rsidRPr="001636E4">
        <w:rPr>
          <w:rFonts w:asciiTheme="minorHAnsi" w:hAnsiTheme="minorHAnsi"/>
          <w:color w:val="auto"/>
          <w:szCs w:val="24"/>
        </w:rPr>
        <w:t xml:space="preserve">history and symptom distribution/exam </w:t>
      </w:r>
      <w:r w:rsidR="000C5BCB" w:rsidRPr="001636E4">
        <w:rPr>
          <w:rFonts w:asciiTheme="minorHAnsi" w:hAnsiTheme="minorHAnsi"/>
          <w:color w:val="auto"/>
          <w:szCs w:val="24"/>
        </w:rPr>
        <w:t>on the rheumatology addendum</w:t>
      </w:r>
      <w:r w:rsidR="00E05295" w:rsidRPr="001636E4">
        <w:rPr>
          <w:rFonts w:asciiTheme="minorHAnsi" w:hAnsiTheme="minorHAnsi"/>
          <w:color w:val="auto"/>
          <w:szCs w:val="24"/>
        </w:rPr>
        <w:t xml:space="preserve"> and confirmed the diagnosis of fibromyalgia</w:t>
      </w:r>
      <w:r w:rsidR="00232B03" w:rsidRPr="001636E4">
        <w:rPr>
          <w:rFonts w:asciiTheme="minorHAnsi" w:hAnsiTheme="minorHAnsi"/>
          <w:color w:val="auto"/>
          <w:szCs w:val="24"/>
        </w:rPr>
        <w:t xml:space="preserve">.  The subjective complaints indicated increased daily pain symptoms and the </w:t>
      </w:r>
      <w:r w:rsidR="000C5BCB" w:rsidRPr="001636E4">
        <w:rPr>
          <w:rFonts w:asciiTheme="minorHAnsi" w:hAnsiTheme="minorHAnsi"/>
          <w:color w:val="auto"/>
          <w:szCs w:val="24"/>
        </w:rPr>
        <w:t xml:space="preserve">addition </w:t>
      </w:r>
      <w:r w:rsidR="00232B03" w:rsidRPr="001636E4">
        <w:rPr>
          <w:rFonts w:asciiTheme="minorHAnsi" w:hAnsiTheme="minorHAnsi"/>
          <w:color w:val="auto"/>
          <w:szCs w:val="24"/>
        </w:rPr>
        <w:t>of</w:t>
      </w:r>
      <w:r w:rsidR="000C5BCB" w:rsidRPr="001636E4">
        <w:rPr>
          <w:rFonts w:asciiTheme="minorHAnsi" w:hAnsiTheme="minorHAnsi"/>
          <w:color w:val="auto"/>
          <w:szCs w:val="24"/>
        </w:rPr>
        <w:t xml:space="preserve"> </w:t>
      </w:r>
      <w:r w:rsidR="000C5BCB" w:rsidRPr="001636E4">
        <w:rPr>
          <w:color w:val="000000" w:themeColor="text1"/>
          <w:szCs w:val="24"/>
        </w:rPr>
        <w:t xml:space="preserve">severe attacks at least twice per month where </w:t>
      </w:r>
      <w:r w:rsidR="00232B03" w:rsidRPr="001636E4">
        <w:rPr>
          <w:color w:val="000000" w:themeColor="text1"/>
          <w:szCs w:val="24"/>
        </w:rPr>
        <w:t>the CI</w:t>
      </w:r>
      <w:r w:rsidR="000C5BCB" w:rsidRPr="001636E4">
        <w:rPr>
          <w:color w:val="000000" w:themeColor="text1"/>
          <w:szCs w:val="24"/>
        </w:rPr>
        <w:t xml:space="preserve"> </w:t>
      </w:r>
      <w:r w:rsidR="00232B03" w:rsidRPr="001636E4">
        <w:rPr>
          <w:color w:val="000000" w:themeColor="text1"/>
          <w:szCs w:val="24"/>
        </w:rPr>
        <w:t>“</w:t>
      </w:r>
      <w:r w:rsidR="000C5BCB" w:rsidRPr="001636E4">
        <w:rPr>
          <w:color w:val="000000" w:themeColor="text1"/>
          <w:szCs w:val="24"/>
        </w:rPr>
        <w:t>would have to stay home almost at bedrest.</w:t>
      </w:r>
      <w:r w:rsidR="00232B03" w:rsidRPr="001636E4">
        <w:rPr>
          <w:color w:val="000000" w:themeColor="text1"/>
          <w:szCs w:val="24"/>
        </w:rPr>
        <w:t>”</w:t>
      </w:r>
      <w:r w:rsidR="000C5BCB" w:rsidRPr="001636E4">
        <w:rPr>
          <w:color w:val="000000" w:themeColor="text1"/>
          <w:szCs w:val="24"/>
        </w:rPr>
        <w:t xml:space="preserve">  The CI was not yet working at the time of the VA C</w:t>
      </w:r>
      <w:r w:rsidR="00C450E6" w:rsidRPr="001636E4">
        <w:rPr>
          <w:color w:val="000000" w:themeColor="text1"/>
          <w:szCs w:val="24"/>
        </w:rPr>
        <w:t>&amp;P examination.</w:t>
      </w:r>
      <w:r w:rsidR="00C450E6">
        <w:rPr>
          <w:color w:val="000000" w:themeColor="text1"/>
          <w:szCs w:val="24"/>
        </w:rPr>
        <w:t xml:space="preserve">  </w:t>
      </w:r>
    </w:p>
    <w:p w:rsidR="000C5BCB" w:rsidRDefault="000C5BCB" w:rsidP="000C5BCB">
      <w:pPr>
        <w:jc w:val="both"/>
        <w:rPr>
          <w:color w:val="000000" w:themeColor="text1"/>
          <w:szCs w:val="24"/>
        </w:rPr>
      </w:pPr>
    </w:p>
    <w:p w:rsidR="009907A3" w:rsidRDefault="000C5BCB" w:rsidP="009907A3">
      <w:pPr>
        <w:tabs>
          <w:tab w:val="left" w:pos="288"/>
          <w:tab w:val="left" w:pos="4752"/>
        </w:tabs>
        <w:jc w:val="both"/>
        <w:rPr>
          <w:rFonts w:asciiTheme="minorHAnsi" w:hAnsiTheme="minorHAnsi"/>
          <w:color w:val="auto"/>
          <w:szCs w:val="24"/>
        </w:rPr>
      </w:pPr>
      <w:r w:rsidRPr="001636E4">
        <w:rPr>
          <w:rFonts w:asciiTheme="minorHAnsi" w:hAnsiTheme="minorHAnsi"/>
          <w:color w:val="auto"/>
          <w:szCs w:val="24"/>
        </w:rPr>
        <w:t xml:space="preserve">The Board directs its attention to its rating recommendations based on the evidence just described.  </w:t>
      </w:r>
      <w:r w:rsidR="00D9174C" w:rsidRPr="001636E4">
        <w:rPr>
          <w:rFonts w:asciiTheme="minorHAnsi" w:hAnsiTheme="minorHAnsi"/>
          <w:color w:val="auto"/>
          <w:szCs w:val="24"/>
        </w:rPr>
        <w:t>The most critical component of the Board’s deliberations to reach a fair and accurate adjudication recommendation in this case is to determine whether the CI’s fibromyalgia symptoms were</w:t>
      </w:r>
      <w:r w:rsidR="00BA788F" w:rsidRPr="001636E4">
        <w:rPr>
          <w:rFonts w:asciiTheme="minorHAnsi" w:hAnsiTheme="minorHAnsi"/>
          <w:color w:val="auto"/>
          <w:szCs w:val="24"/>
        </w:rPr>
        <w:t xml:space="preserve"> </w:t>
      </w:r>
      <w:r w:rsidR="00D9174C" w:rsidRPr="001636E4">
        <w:rPr>
          <w:rFonts w:asciiTheme="minorHAnsi" w:hAnsiTheme="minorHAnsi"/>
          <w:color w:val="auto"/>
          <w:szCs w:val="24"/>
        </w:rPr>
        <w:t xml:space="preserve">“constant, or nearly so, and refractory to therapy” or “episodic, with exacerbations often precipitated by environmental or emotional stress or by overexertion, but that are present more than one-third of the time.”  All Board members agreed that the 10% rating for symptoms </w:t>
      </w:r>
      <w:r w:rsidR="00BA788F" w:rsidRPr="001636E4">
        <w:rPr>
          <w:rFonts w:asciiTheme="minorHAnsi" w:hAnsiTheme="minorHAnsi"/>
          <w:color w:val="auto"/>
          <w:szCs w:val="24"/>
        </w:rPr>
        <w:t xml:space="preserve">“that require continuous medication for control” </w:t>
      </w:r>
      <w:r w:rsidR="00D9174C" w:rsidRPr="001636E4">
        <w:rPr>
          <w:rFonts w:asciiTheme="minorHAnsi" w:hAnsiTheme="minorHAnsi"/>
          <w:color w:val="auto"/>
          <w:szCs w:val="24"/>
        </w:rPr>
        <w:t>was clearly exceeded.</w:t>
      </w:r>
      <w:r w:rsidR="00D9174C">
        <w:rPr>
          <w:rFonts w:asciiTheme="minorHAnsi" w:hAnsiTheme="minorHAnsi"/>
          <w:color w:val="auto"/>
          <w:szCs w:val="24"/>
        </w:rPr>
        <w:t xml:space="preserve">  </w:t>
      </w:r>
      <w:r w:rsidR="001636E4">
        <w:rPr>
          <w:rFonts w:asciiTheme="minorHAnsi" w:hAnsiTheme="minorHAnsi"/>
          <w:color w:val="auto"/>
          <w:szCs w:val="24"/>
        </w:rPr>
        <w:t xml:space="preserve">The Board deliberated on the level of symptoms and the timing and severity of exacerbating episodes including associated </w:t>
      </w:r>
      <w:r w:rsidR="001636E4" w:rsidRPr="00E05295">
        <w:rPr>
          <w:rFonts w:asciiTheme="minorHAnsi" w:hAnsiTheme="minorHAnsi"/>
          <w:color w:val="auto"/>
          <w:szCs w:val="24"/>
        </w:rPr>
        <w:t xml:space="preserve">symptoms of fatigue, sleep disturbance, headache, depression, or anxiety symptoms.  </w:t>
      </w:r>
      <w:r w:rsidR="009907A3">
        <w:rPr>
          <w:rFonts w:asciiTheme="minorHAnsi" w:hAnsiTheme="minorHAnsi"/>
          <w:color w:val="auto"/>
          <w:szCs w:val="24"/>
        </w:rPr>
        <w:t xml:space="preserve">The Board adjudged that the CI’s symptoms were not controlled by </w:t>
      </w:r>
      <w:r w:rsidR="004E6876">
        <w:rPr>
          <w:rFonts w:asciiTheme="minorHAnsi" w:hAnsiTheme="minorHAnsi"/>
          <w:color w:val="auto"/>
          <w:szCs w:val="24"/>
        </w:rPr>
        <w:t>continuous</w:t>
      </w:r>
      <w:r w:rsidR="009907A3">
        <w:rPr>
          <w:rFonts w:asciiTheme="minorHAnsi" w:hAnsiTheme="minorHAnsi"/>
          <w:color w:val="auto"/>
          <w:szCs w:val="24"/>
        </w:rPr>
        <w:t xml:space="preserve"> medications, but did not adjudge that severe symptoms were nearly continuous and refractory to therapy.  The CI’s fibromyalgia at separation presented a disability picture that was closest to that envisioned by the 20% rating criteria.  After due deliberation, considering all of the</w:t>
      </w:r>
      <w:r w:rsidR="009907A3" w:rsidRPr="00AE3316">
        <w:rPr>
          <w:rFonts w:asciiTheme="minorHAnsi" w:hAnsiTheme="minorHAnsi"/>
          <w:color w:val="auto"/>
          <w:szCs w:val="24"/>
        </w:rPr>
        <w:t xml:space="preserve"> </w:t>
      </w:r>
      <w:r w:rsidR="009907A3" w:rsidRPr="00D8113D">
        <w:rPr>
          <w:rFonts w:asciiTheme="minorHAnsi" w:hAnsiTheme="minorHAnsi"/>
          <w:color w:val="auto"/>
          <w:szCs w:val="24"/>
        </w:rPr>
        <w:t>evidence and mindful of VASRD §4.3 (reasonable doubt), the</w:t>
      </w:r>
      <w:r w:rsidR="009907A3">
        <w:rPr>
          <w:rFonts w:asciiTheme="minorHAnsi" w:hAnsiTheme="minorHAnsi"/>
          <w:color w:val="auto"/>
          <w:szCs w:val="24"/>
        </w:rPr>
        <w:t xml:space="preserve"> Board recommends</w:t>
      </w:r>
      <w:r w:rsidR="009907A3" w:rsidRPr="00AE3316">
        <w:rPr>
          <w:rFonts w:asciiTheme="minorHAnsi" w:hAnsiTheme="minorHAnsi"/>
          <w:color w:val="auto"/>
          <w:szCs w:val="24"/>
        </w:rPr>
        <w:t xml:space="preserve"> a separation rating </w:t>
      </w:r>
      <w:r w:rsidR="009907A3" w:rsidRPr="009907A3">
        <w:rPr>
          <w:rFonts w:asciiTheme="minorHAnsi" w:hAnsiTheme="minorHAnsi"/>
          <w:color w:val="auto"/>
          <w:szCs w:val="24"/>
        </w:rPr>
        <w:t>of 20% for</w:t>
      </w:r>
      <w:r w:rsidR="009907A3" w:rsidRPr="00AE3316">
        <w:rPr>
          <w:rFonts w:asciiTheme="minorHAnsi" w:hAnsiTheme="minorHAnsi"/>
          <w:color w:val="auto"/>
          <w:szCs w:val="24"/>
        </w:rPr>
        <w:t xml:space="preserve"> the </w:t>
      </w:r>
      <w:r w:rsidR="009907A3">
        <w:rPr>
          <w:rFonts w:asciiTheme="minorHAnsi" w:hAnsiTheme="minorHAnsi"/>
          <w:color w:val="auto"/>
          <w:szCs w:val="24"/>
        </w:rPr>
        <w:t>fibromyalgia</w:t>
      </w:r>
      <w:r w:rsidR="009907A3" w:rsidRPr="00AE3316">
        <w:rPr>
          <w:rFonts w:asciiTheme="minorHAnsi" w:hAnsiTheme="minorHAnsi"/>
          <w:color w:val="auto"/>
          <w:szCs w:val="24"/>
        </w:rPr>
        <w:t xml:space="preserve"> condition.</w:t>
      </w:r>
    </w:p>
    <w:p w:rsidR="00960275" w:rsidRDefault="00960275" w:rsidP="00960275">
      <w:pPr>
        <w:tabs>
          <w:tab w:val="left" w:pos="288"/>
          <w:tab w:val="left" w:pos="4752"/>
        </w:tabs>
        <w:jc w:val="both"/>
        <w:rPr>
          <w:rFonts w:asciiTheme="minorHAnsi" w:hAnsiTheme="minorHAnsi"/>
          <w:color w:val="auto"/>
          <w:szCs w:val="24"/>
        </w:rPr>
      </w:pPr>
    </w:p>
    <w:p w:rsidR="00FA2711" w:rsidRPr="00C450E6" w:rsidRDefault="00A42A49" w:rsidP="00C450E6">
      <w:pPr>
        <w:tabs>
          <w:tab w:val="left" w:pos="288"/>
          <w:tab w:val="left" w:pos="4752"/>
        </w:tabs>
        <w:jc w:val="both"/>
        <w:rPr>
          <w:rFonts w:asciiTheme="minorHAnsi" w:hAnsiTheme="minorHAnsi"/>
          <w:color w:val="auto"/>
          <w:szCs w:val="24"/>
        </w:rPr>
      </w:pPr>
      <w:r w:rsidRPr="009907A3">
        <w:rPr>
          <w:rFonts w:asciiTheme="minorHAnsi" w:hAnsiTheme="minorHAnsi"/>
          <w:color w:val="auto"/>
          <w:szCs w:val="24"/>
        </w:rPr>
        <w:t xml:space="preserve">The Board acknowledges the CI’s contention that the VA changed the diagnosis of this condition from fibromyalgia to </w:t>
      </w:r>
      <w:r w:rsidR="00C450E6" w:rsidRPr="009907A3">
        <w:rPr>
          <w:rFonts w:asciiTheme="minorHAnsi" w:hAnsiTheme="minorHAnsi"/>
          <w:color w:val="auto"/>
        </w:rPr>
        <w:t>systemic lupus erythematosus (SLE)</w:t>
      </w:r>
      <w:r w:rsidR="00CE6060">
        <w:rPr>
          <w:rFonts w:asciiTheme="minorHAnsi" w:hAnsiTheme="minorHAnsi"/>
          <w:color w:val="auto"/>
          <w:szCs w:val="24"/>
        </w:rPr>
        <w:t xml:space="preserve"> on the VA rating d</w:t>
      </w:r>
      <w:r w:rsidRPr="009907A3">
        <w:rPr>
          <w:rFonts w:asciiTheme="minorHAnsi" w:hAnsiTheme="minorHAnsi"/>
          <w:color w:val="auto"/>
          <w:szCs w:val="24"/>
        </w:rPr>
        <w:t xml:space="preserve">ecision dated </w:t>
      </w:r>
      <w:r w:rsidR="00CE6060">
        <w:rPr>
          <w:rFonts w:asciiTheme="minorHAnsi" w:hAnsiTheme="minorHAnsi"/>
          <w:color w:val="auto"/>
          <w:szCs w:val="24"/>
        </w:rPr>
        <w:t>21</w:t>
      </w:r>
      <w:r w:rsidR="00233D14">
        <w:rPr>
          <w:rFonts w:asciiTheme="minorHAnsi" w:hAnsiTheme="minorHAnsi"/>
          <w:color w:val="auto"/>
          <w:szCs w:val="24"/>
        </w:rPr>
        <w:t> </w:t>
      </w:r>
      <w:r w:rsidR="00CE6060">
        <w:rPr>
          <w:rFonts w:asciiTheme="minorHAnsi" w:hAnsiTheme="minorHAnsi"/>
          <w:color w:val="auto"/>
          <w:szCs w:val="24"/>
        </w:rPr>
        <w:t xml:space="preserve">September </w:t>
      </w:r>
      <w:r w:rsidR="00473753">
        <w:rPr>
          <w:rFonts w:asciiTheme="minorHAnsi" w:hAnsiTheme="minorHAnsi"/>
          <w:color w:val="auto"/>
          <w:szCs w:val="24"/>
        </w:rPr>
        <w:t>2009</w:t>
      </w:r>
      <w:r w:rsidRPr="009907A3">
        <w:rPr>
          <w:rFonts w:asciiTheme="minorHAnsi" w:hAnsiTheme="minorHAnsi"/>
          <w:color w:val="auto"/>
          <w:szCs w:val="24"/>
        </w:rPr>
        <w:t xml:space="preserve"> </w:t>
      </w:r>
      <w:r w:rsidR="00FA2711" w:rsidRPr="009907A3">
        <w:rPr>
          <w:rFonts w:asciiTheme="minorHAnsi" w:hAnsiTheme="minorHAnsi"/>
          <w:color w:val="auto"/>
          <w:szCs w:val="24"/>
        </w:rPr>
        <w:t xml:space="preserve">(56 months post separation) </w:t>
      </w:r>
      <w:r w:rsidRPr="009907A3">
        <w:rPr>
          <w:rFonts w:asciiTheme="minorHAnsi" w:hAnsiTheme="minorHAnsi"/>
          <w:color w:val="auto"/>
          <w:szCs w:val="24"/>
        </w:rPr>
        <w:t>based on symptoms as they evolved after the time of separation.  However, the rheumatologist</w:t>
      </w:r>
      <w:r w:rsidR="005C65C4" w:rsidRPr="009907A3">
        <w:rPr>
          <w:rFonts w:asciiTheme="minorHAnsi" w:hAnsiTheme="minorHAnsi"/>
          <w:color w:val="auto"/>
          <w:szCs w:val="24"/>
        </w:rPr>
        <w:t>,</w:t>
      </w:r>
      <w:r w:rsidRPr="009907A3">
        <w:rPr>
          <w:rFonts w:asciiTheme="minorHAnsi" w:hAnsiTheme="minorHAnsi"/>
          <w:color w:val="auto"/>
          <w:szCs w:val="24"/>
        </w:rPr>
        <w:t xml:space="preserve"> in an evaluation </w:t>
      </w:r>
      <w:r w:rsidR="00233D14">
        <w:rPr>
          <w:rFonts w:asciiTheme="minorHAnsi" w:hAnsiTheme="minorHAnsi"/>
          <w:color w:val="auto"/>
          <w:szCs w:val="24"/>
        </w:rPr>
        <w:t>for SLE done five</w:t>
      </w:r>
      <w:r w:rsidR="005C65C4" w:rsidRPr="009907A3">
        <w:rPr>
          <w:rFonts w:asciiTheme="minorHAnsi" w:hAnsiTheme="minorHAnsi"/>
          <w:color w:val="auto"/>
          <w:szCs w:val="24"/>
        </w:rPr>
        <w:t xml:space="preserve"> months prior to separation, documented that “these nonspecific findings are not diagnostic of systemic lupus erythematosus or any othe</w:t>
      </w:r>
      <w:r w:rsidR="00FA2711" w:rsidRPr="009907A3">
        <w:rPr>
          <w:rFonts w:asciiTheme="minorHAnsi" w:hAnsiTheme="minorHAnsi"/>
          <w:color w:val="auto"/>
          <w:szCs w:val="24"/>
        </w:rPr>
        <w:t>r</w:t>
      </w:r>
      <w:r w:rsidR="005C65C4" w:rsidRPr="009907A3">
        <w:rPr>
          <w:rFonts w:asciiTheme="minorHAnsi" w:hAnsiTheme="minorHAnsi"/>
          <w:color w:val="auto"/>
          <w:szCs w:val="24"/>
        </w:rPr>
        <w:t xml:space="preserve"> connective tissue disorder … therefore, the diagnosis of systemic lupus erythematosus is not appropriate at this time.”  The Board’s authority as defined in DoDI 6040.44 resides in evaluating the fairness of DES fitness determinations and rating decisions for disability at the time of separation.</w:t>
      </w:r>
      <w:r w:rsidR="00FA2711" w:rsidRPr="009907A3">
        <w:rPr>
          <w:rFonts w:asciiTheme="minorHAnsi" w:hAnsiTheme="minorHAnsi"/>
          <w:color w:val="auto"/>
          <w:szCs w:val="24"/>
        </w:rPr>
        <w:t xml:space="preserve">  </w:t>
      </w:r>
      <w:r w:rsidR="005C65C4" w:rsidRPr="009907A3">
        <w:rPr>
          <w:rFonts w:asciiTheme="minorHAnsi" w:hAnsiTheme="minorHAnsi"/>
          <w:color w:val="auto"/>
          <w:szCs w:val="24"/>
        </w:rPr>
        <w:t>It is Board precedent that the Board utilizes VA evidence proximal to separation in arriving at its recommendations; and, DoDI 6040.44 defines a 12-month interval for special consideration to post-separation evidence.</w:t>
      </w:r>
      <w:r w:rsidR="00FA2711" w:rsidRPr="009907A3">
        <w:rPr>
          <w:rFonts w:asciiTheme="minorHAnsi" w:hAnsiTheme="minorHAnsi"/>
          <w:color w:val="auto"/>
          <w:szCs w:val="24"/>
        </w:rPr>
        <w:t xml:space="preserve">  Therefore, the rating in this case is based on the information proximal to the time of separation and not VA information that exceeds this 12-month window.</w:t>
      </w:r>
      <w:r w:rsidR="008D0A5C" w:rsidRPr="009907A3">
        <w:rPr>
          <w:rFonts w:asciiTheme="minorHAnsi" w:hAnsiTheme="minorHAnsi"/>
          <w:color w:val="auto"/>
          <w:szCs w:val="24"/>
        </w:rPr>
        <w:t xml:space="preserve">  </w:t>
      </w:r>
      <w:r w:rsidR="00C450E6" w:rsidRPr="009907A3">
        <w:rPr>
          <w:rFonts w:asciiTheme="minorHAnsi" w:hAnsiTheme="minorHAnsi"/>
          <w:color w:val="auto"/>
          <w:szCs w:val="24"/>
        </w:rPr>
        <w:t xml:space="preserve">The Board also noted that rating for any symptoms proximate to separation potentially attributable to SLE (VA DC 6350 or 7809) would </w:t>
      </w:r>
      <w:r w:rsidR="00C450E6" w:rsidRPr="009907A3">
        <w:rPr>
          <w:rFonts w:asciiTheme="minorHAnsi" w:hAnsiTheme="minorHAnsi"/>
          <w:color w:val="auto"/>
          <w:szCs w:val="24"/>
        </w:rPr>
        <w:lastRenderedPageBreak/>
        <w:t>not have been higher than rating under fibromyalgia (VA DC 5025).  Fibromyalgia and not SLE was the working diagnosis at the time of separation.</w:t>
      </w:r>
      <w:r w:rsidR="00C450E6" w:rsidRPr="00C450E6">
        <w:rPr>
          <w:rFonts w:asciiTheme="minorHAnsi" w:hAnsiTheme="minorHAnsi"/>
          <w:color w:val="auto"/>
          <w:szCs w:val="24"/>
        </w:rPr>
        <w:t xml:space="preserve">  </w:t>
      </w:r>
    </w:p>
    <w:p w:rsidR="00FA2711" w:rsidRDefault="00FA2711" w:rsidP="000C5BCB">
      <w:pPr>
        <w:tabs>
          <w:tab w:val="left" w:pos="288"/>
          <w:tab w:val="left" w:pos="4752"/>
        </w:tabs>
        <w:jc w:val="both"/>
        <w:rPr>
          <w:rFonts w:asciiTheme="minorHAnsi" w:hAnsiTheme="minorHAnsi"/>
          <w:color w:val="auto"/>
          <w:szCs w:val="24"/>
        </w:rPr>
      </w:pPr>
    </w:p>
    <w:p w:rsidR="00780DBA" w:rsidRDefault="00A42A49" w:rsidP="006E07BB">
      <w:pPr>
        <w:jc w:val="both"/>
        <w:rPr>
          <w:color w:val="000000" w:themeColor="text1"/>
          <w:szCs w:val="24"/>
        </w:rPr>
      </w:pPr>
      <w:r w:rsidRPr="009D3113">
        <w:rPr>
          <w:rFonts w:asciiTheme="minorHAnsi" w:hAnsiTheme="minorHAnsi"/>
          <w:color w:val="auto"/>
          <w:szCs w:val="24"/>
          <w:u w:val="single"/>
        </w:rPr>
        <w:t>Left Knee Pain</w:t>
      </w:r>
      <w:r w:rsidRPr="009D3113">
        <w:rPr>
          <w:rFonts w:asciiTheme="minorHAnsi" w:hAnsiTheme="minorHAnsi"/>
          <w:color w:val="auto"/>
          <w:szCs w:val="24"/>
        </w:rPr>
        <w:t>.</w:t>
      </w:r>
      <w:r w:rsidR="00663B91" w:rsidRPr="009D3113">
        <w:rPr>
          <w:rFonts w:asciiTheme="minorHAnsi" w:hAnsiTheme="minorHAnsi"/>
          <w:color w:val="auto"/>
          <w:szCs w:val="24"/>
        </w:rPr>
        <w:t xml:space="preserve">  </w:t>
      </w:r>
      <w:r w:rsidR="00791630" w:rsidRPr="009D3113">
        <w:rPr>
          <w:color w:val="000000" w:themeColor="text1"/>
          <w:szCs w:val="24"/>
        </w:rPr>
        <w:t xml:space="preserve">There were two examinations with goniometric </w:t>
      </w:r>
      <w:r w:rsidR="00233D14">
        <w:rPr>
          <w:color w:val="000000" w:themeColor="text1"/>
          <w:szCs w:val="24"/>
        </w:rPr>
        <w:t xml:space="preserve">ROM </w:t>
      </w:r>
      <w:r w:rsidR="00791630" w:rsidRPr="009D3113">
        <w:rPr>
          <w:color w:val="000000" w:themeColor="text1"/>
          <w:szCs w:val="24"/>
        </w:rPr>
        <w:t xml:space="preserve">evaluations in evidence which the Board weighed in arriving at its rating recommendation.  </w:t>
      </w:r>
    </w:p>
    <w:p w:rsidR="00780DBA" w:rsidRPr="00780DBA" w:rsidRDefault="00780DBA" w:rsidP="00780DBA">
      <w:pPr>
        <w:jc w:val="both"/>
        <w:rPr>
          <w:rFonts w:asciiTheme="minorHAnsi" w:hAnsiTheme="minorHAnsi"/>
          <w:color w:val="auto"/>
          <w:szCs w:val="24"/>
        </w:rPr>
      </w:pPr>
    </w:p>
    <w:tbl>
      <w:tblPr>
        <w:tblW w:w="8567" w:type="dxa"/>
        <w:jc w:val="center"/>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7"/>
        <w:gridCol w:w="3160"/>
        <w:gridCol w:w="3600"/>
      </w:tblGrid>
      <w:tr w:rsidR="00780DBA" w:rsidRPr="00780DBA" w:rsidTr="00780DBA">
        <w:trPr>
          <w:jc w:val="center"/>
        </w:trPr>
        <w:tc>
          <w:tcPr>
            <w:tcW w:w="1807" w:type="dxa"/>
            <w:shd w:val="clear" w:color="auto" w:fill="D9D9D9" w:themeFill="background1" w:themeFillShade="D9"/>
            <w:vAlign w:val="center"/>
          </w:tcPr>
          <w:p w:rsidR="00780DBA" w:rsidRPr="001F29F9" w:rsidRDefault="00780DBA" w:rsidP="00780DBA">
            <w:pPr>
              <w:spacing w:line="180" w:lineRule="exact"/>
              <w:contextualSpacing/>
              <w:rPr>
                <w:rFonts w:eastAsia="Calibri"/>
                <w:color w:val="000000" w:themeColor="text1"/>
                <w:sz w:val="18"/>
                <w:szCs w:val="18"/>
              </w:rPr>
            </w:pPr>
            <w:r w:rsidRPr="001F29F9">
              <w:rPr>
                <w:rFonts w:eastAsia="Calibri"/>
                <w:color w:val="000000" w:themeColor="text1"/>
                <w:sz w:val="18"/>
                <w:szCs w:val="18"/>
              </w:rPr>
              <w:t>Goniometric ROM –</w:t>
            </w:r>
          </w:p>
          <w:p w:rsidR="00780DBA" w:rsidRPr="001F29F9" w:rsidRDefault="00780DBA" w:rsidP="00780DBA">
            <w:pPr>
              <w:spacing w:line="180" w:lineRule="exact"/>
              <w:contextualSpacing/>
              <w:rPr>
                <w:rFonts w:eastAsia="Calibri"/>
                <w:color w:val="000000" w:themeColor="text1"/>
                <w:sz w:val="18"/>
                <w:szCs w:val="18"/>
              </w:rPr>
            </w:pPr>
            <w:r w:rsidRPr="001F29F9">
              <w:rPr>
                <w:rFonts w:eastAsia="Calibri"/>
                <w:color w:val="000000" w:themeColor="text1"/>
                <w:sz w:val="18"/>
                <w:szCs w:val="18"/>
              </w:rPr>
              <w:t>L Knee</w:t>
            </w:r>
          </w:p>
        </w:tc>
        <w:tc>
          <w:tcPr>
            <w:tcW w:w="3160" w:type="dxa"/>
            <w:shd w:val="clear" w:color="auto" w:fill="D9D9D9" w:themeFill="background1" w:themeFillShade="D9"/>
            <w:vAlign w:val="center"/>
          </w:tcPr>
          <w:p w:rsidR="00780DBA" w:rsidRPr="009907A3" w:rsidRDefault="00780DBA" w:rsidP="00780DBA">
            <w:pPr>
              <w:spacing w:line="180" w:lineRule="exact"/>
              <w:contextualSpacing/>
              <w:rPr>
                <w:rFonts w:asciiTheme="minorHAnsi" w:eastAsia="Calibri" w:hAnsiTheme="minorHAnsi"/>
                <w:color w:val="000000" w:themeColor="text1"/>
                <w:sz w:val="18"/>
                <w:szCs w:val="18"/>
              </w:rPr>
            </w:pPr>
            <w:r w:rsidRPr="009907A3">
              <w:rPr>
                <w:rFonts w:eastAsia="Calibri"/>
                <w:color w:val="000000" w:themeColor="text1"/>
                <w:sz w:val="18"/>
                <w:szCs w:val="18"/>
              </w:rPr>
              <w:t>MEB ~ 5 Mo. Pre-Sep</w:t>
            </w:r>
          </w:p>
          <w:p w:rsidR="00780DBA" w:rsidRPr="009907A3" w:rsidRDefault="00780DBA" w:rsidP="00780DBA">
            <w:pPr>
              <w:spacing w:line="180" w:lineRule="exact"/>
              <w:contextualSpacing/>
              <w:rPr>
                <w:rFonts w:eastAsia="Calibri"/>
                <w:color w:val="000000" w:themeColor="text1"/>
                <w:sz w:val="18"/>
                <w:szCs w:val="18"/>
              </w:rPr>
            </w:pPr>
            <w:r w:rsidRPr="009907A3">
              <w:rPr>
                <w:rFonts w:asciiTheme="minorHAnsi" w:eastAsia="Calibri" w:hAnsiTheme="minorHAnsi"/>
                <w:color w:val="000000" w:themeColor="text1"/>
                <w:sz w:val="18"/>
                <w:szCs w:val="18"/>
              </w:rPr>
              <w:t>(20040809)</w:t>
            </w:r>
          </w:p>
        </w:tc>
        <w:tc>
          <w:tcPr>
            <w:tcW w:w="3600" w:type="dxa"/>
            <w:shd w:val="clear" w:color="auto" w:fill="D9D9D9" w:themeFill="background1" w:themeFillShade="D9"/>
            <w:vAlign w:val="center"/>
          </w:tcPr>
          <w:p w:rsidR="00780DBA" w:rsidRPr="009907A3" w:rsidRDefault="00780DBA" w:rsidP="00780DBA">
            <w:pPr>
              <w:spacing w:line="180" w:lineRule="exact"/>
              <w:contextualSpacing/>
              <w:rPr>
                <w:rFonts w:asciiTheme="minorHAnsi" w:eastAsia="Calibri" w:hAnsiTheme="minorHAnsi"/>
                <w:color w:val="auto"/>
                <w:sz w:val="18"/>
                <w:szCs w:val="18"/>
              </w:rPr>
            </w:pPr>
            <w:r w:rsidRPr="009907A3">
              <w:rPr>
                <w:rFonts w:eastAsia="Calibri"/>
                <w:color w:val="auto"/>
                <w:sz w:val="18"/>
                <w:szCs w:val="18"/>
              </w:rPr>
              <w:t>VA</w:t>
            </w:r>
            <w:r w:rsidRPr="009907A3">
              <w:rPr>
                <w:rFonts w:eastAsiaTheme="minorHAnsi"/>
                <w:color w:val="auto"/>
                <w:sz w:val="18"/>
                <w:szCs w:val="18"/>
              </w:rPr>
              <w:t xml:space="preserve"> C&amp;P </w:t>
            </w:r>
            <w:r w:rsidRPr="009907A3">
              <w:rPr>
                <w:rFonts w:eastAsia="Calibri"/>
                <w:color w:val="auto"/>
                <w:sz w:val="18"/>
                <w:szCs w:val="18"/>
              </w:rPr>
              <w:t>~ 2 Mo. After-Sep</w:t>
            </w:r>
          </w:p>
          <w:p w:rsidR="00780DBA" w:rsidRPr="009907A3" w:rsidRDefault="00780DBA" w:rsidP="00780DBA">
            <w:pPr>
              <w:spacing w:line="180" w:lineRule="exact"/>
              <w:contextualSpacing/>
              <w:rPr>
                <w:rFonts w:eastAsiaTheme="minorHAnsi"/>
                <w:color w:val="auto"/>
                <w:sz w:val="18"/>
                <w:szCs w:val="18"/>
              </w:rPr>
            </w:pPr>
            <w:r w:rsidRPr="009907A3">
              <w:rPr>
                <w:rFonts w:asciiTheme="minorHAnsi" w:eastAsia="Calibri" w:hAnsiTheme="minorHAnsi"/>
                <w:color w:val="auto"/>
                <w:sz w:val="18"/>
                <w:szCs w:val="18"/>
              </w:rPr>
              <w:t>(20050406)</w:t>
            </w:r>
          </w:p>
        </w:tc>
      </w:tr>
      <w:tr w:rsidR="00780DBA" w:rsidRPr="00780DBA" w:rsidTr="00780DBA">
        <w:trPr>
          <w:jc w:val="center"/>
        </w:trPr>
        <w:tc>
          <w:tcPr>
            <w:tcW w:w="1807" w:type="dxa"/>
            <w:vAlign w:val="center"/>
          </w:tcPr>
          <w:p w:rsidR="00780DBA" w:rsidRPr="001F29F9" w:rsidRDefault="00780DBA" w:rsidP="00780DBA">
            <w:pPr>
              <w:spacing w:line="180" w:lineRule="exact"/>
              <w:contextualSpacing/>
              <w:rPr>
                <w:rFonts w:eastAsia="Calibri"/>
                <w:color w:val="000000" w:themeColor="text1"/>
                <w:sz w:val="18"/>
                <w:szCs w:val="18"/>
              </w:rPr>
            </w:pPr>
            <w:r w:rsidRPr="001F29F9">
              <w:rPr>
                <w:rFonts w:eastAsia="Calibri"/>
                <w:color w:val="000000" w:themeColor="text1"/>
                <w:sz w:val="18"/>
                <w:szCs w:val="18"/>
              </w:rPr>
              <w:t>Flexion (140⁰ normal)</w:t>
            </w:r>
          </w:p>
        </w:tc>
        <w:tc>
          <w:tcPr>
            <w:tcW w:w="3160" w:type="dxa"/>
            <w:vAlign w:val="center"/>
          </w:tcPr>
          <w:p w:rsidR="00780DBA" w:rsidRPr="009907A3" w:rsidRDefault="00780DBA" w:rsidP="00780DBA">
            <w:pPr>
              <w:spacing w:line="180" w:lineRule="exact"/>
              <w:contextualSpacing/>
              <w:rPr>
                <w:rFonts w:eastAsia="Calibri"/>
                <w:color w:val="000000" w:themeColor="text1"/>
                <w:sz w:val="18"/>
                <w:szCs w:val="18"/>
              </w:rPr>
            </w:pPr>
            <w:r w:rsidRPr="009907A3">
              <w:rPr>
                <w:rFonts w:eastAsia="Calibri"/>
                <w:color w:val="000000" w:themeColor="text1"/>
                <w:sz w:val="18"/>
                <w:szCs w:val="18"/>
              </w:rPr>
              <w:t>135⁰</w:t>
            </w:r>
          </w:p>
        </w:tc>
        <w:tc>
          <w:tcPr>
            <w:tcW w:w="3600" w:type="dxa"/>
            <w:vAlign w:val="center"/>
          </w:tcPr>
          <w:p w:rsidR="00780DBA" w:rsidRPr="009907A3" w:rsidRDefault="00780DBA" w:rsidP="00780DBA">
            <w:pPr>
              <w:spacing w:line="180" w:lineRule="exact"/>
              <w:contextualSpacing/>
              <w:rPr>
                <w:rFonts w:eastAsia="Calibri"/>
                <w:color w:val="auto"/>
                <w:sz w:val="18"/>
                <w:szCs w:val="18"/>
              </w:rPr>
            </w:pPr>
            <w:r w:rsidRPr="009907A3">
              <w:rPr>
                <w:rFonts w:eastAsia="Calibri"/>
                <w:color w:val="auto"/>
                <w:sz w:val="18"/>
                <w:szCs w:val="18"/>
              </w:rPr>
              <w:t>125⁰ / 100 ⁰ on repetitive</w:t>
            </w:r>
          </w:p>
        </w:tc>
      </w:tr>
      <w:tr w:rsidR="00780DBA" w:rsidRPr="00780DBA" w:rsidTr="00780DBA">
        <w:trPr>
          <w:jc w:val="center"/>
        </w:trPr>
        <w:tc>
          <w:tcPr>
            <w:tcW w:w="1807" w:type="dxa"/>
            <w:tcBorders>
              <w:bottom w:val="single" w:sz="4" w:space="0" w:color="auto"/>
            </w:tcBorders>
            <w:vAlign w:val="center"/>
          </w:tcPr>
          <w:p w:rsidR="00780DBA" w:rsidRPr="001F29F9" w:rsidRDefault="00780DBA" w:rsidP="00780DBA">
            <w:pPr>
              <w:spacing w:line="180" w:lineRule="exact"/>
              <w:contextualSpacing/>
              <w:rPr>
                <w:rFonts w:eastAsia="Calibri"/>
                <w:color w:val="000000" w:themeColor="text1"/>
                <w:sz w:val="18"/>
                <w:szCs w:val="18"/>
              </w:rPr>
            </w:pPr>
            <w:r w:rsidRPr="001F29F9">
              <w:rPr>
                <w:rFonts w:eastAsia="Calibri"/>
                <w:color w:val="000000" w:themeColor="text1"/>
                <w:sz w:val="18"/>
                <w:szCs w:val="18"/>
              </w:rPr>
              <w:t>Extension (0⁰ normal)</w:t>
            </w:r>
          </w:p>
        </w:tc>
        <w:tc>
          <w:tcPr>
            <w:tcW w:w="3160" w:type="dxa"/>
            <w:tcBorders>
              <w:bottom w:val="single" w:sz="4" w:space="0" w:color="auto"/>
            </w:tcBorders>
            <w:vAlign w:val="center"/>
          </w:tcPr>
          <w:p w:rsidR="00780DBA" w:rsidRPr="009907A3" w:rsidRDefault="00780DBA" w:rsidP="00780DBA">
            <w:pPr>
              <w:spacing w:line="180" w:lineRule="exact"/>
              <w:contextualSpacing/>
              <w:rPr>
                <w:rFonts w:eastAsia="Calibri"/>
                <w:color w:val="000000" w:themeColor="text1"/>
                <w:sz w:val="18"/>
                <w:szCs w:val="18"/>
              </w:rPr>
            </w:pPr>
            <w:r w:rsidRPr="009907A3">
              <w:rPr>
                <w:rFonts w:eastAsia="Calibri"/>
                <w:color w:val="000000" w:themeColor="text1"/>
                <w:sz w:val="18"/>
                <w:szCs w:val="18"/>
              </w:rPr>
              <w:t>-3⁰</w:t>
            </w:r>
          </w:p>
        </w:tc>
        <w:tc>
          <w:tcPr>
            <w:tcW w:w="3600" w:type="dxa"/>
            <w:tcBorders>
              <w:bottom w:val="single" w:sz="4" w:space="0" w:color="auto"/>
            </w:tcBorders>
            <w:vAlign w:val="center"/>
          </w:tcPr>
          <w:p w:rsidR="00780DBA" w:rsidRPr="009907A3" w:rsidRDefault="00780DBA" w:rsidP="00780DBA">
            <w:pPr>
              <w:spacing w:line="180" w:lineRule="exact"/>
              <w:contextualSpacing/>
              <w:rPr>
                <w:rFonts w:eastAsia="Calibri"/>
                <w:color w:val="auto"/>
                <w:sz w:val="18"/>
                <w:szCs w:val="18"/>
              </w:rPr>
            </w:pPr>
            <w:r w:rsidRPr="009907A3">
              <w:rPr>
                <w:rFonts w:eastAsia="Calibri"/>
                <w:color w:val="auto"/>
                <w:sz w:val="18"/>
                <w:szCs w:val="18"/>
              </w:rPr>
              <w:t>-4⁰ / -2⁰ on repetitive</w:t>
            </w:r>
          </w:p>
        </w:tc>
      </w:tr>
      <w:tr w:rsidR="00780DBA" w:rsidRPr="00780DBA" w:rsidTr="00780DBA">
        <w:trPr>
          <w:jc w:val="center"/>
        </w:trPr>
        <w:tc>
          <w:tcPr>
            <w:tcW w:w="1807" w:type="dxa"/>
            <w:tcBorders>
              <w:top w:val="single" w:sz="4" w:space="0" w:color="auto"/>
              <w:left w:val="single" w:sz="4" w:space="0" w:color="auto"/>
              <w:bottom w:val="single" w:sz="4" w:space="0" w:color="auto"/>
              <w:right w:val="single" w:sz="4" w:space="0" w:color="auto"/>
            </w:tcBorders>
            <w:vAlign w:val="center"/>
          </w:tcPr>
          <w:p w:rsidR="00780DBA" w:rsidRPr="001F29F9" w:rsidRDefault="00780DBA" w:rsidP="00780DBA">
            <w:pPr>
              <w:tabs>
                <w:tab w:val="left" w:pos="288"/>
                <w:tab w:val="left" w:pos="4752"/>
              </w:tabs>
              <w:spacing w:line="180" w:lineRule="exact"/>
              <w:rPr>
                <w:rFonts w:eastAsiaTheme="minorHAnsi"/>
                <w:color w:val="000000" w:themeColor="text1"/>
                <w:sz w:val="18"/>
                <w:szCs w:val="18"/>
              </w:rPr>
            </w:pPr>
            <w:r w:rsidRPr="001F29F9">
              <w:rPr>
                <w:rFonts w:eastAsiaTheme="minorHAnsi"/>
                <w:color w:val="000000" w:themeColor="text1"/>
                <w:sz w:val="18"/>
                <w:szCs w:val="18"/>
              </w:rPr>
              <w:t>Comment</w:t>
            </w:r>
          </w:p>
        </w:tc>
        <w:tc>
          <w:tcPr>
            <w:tcW w:w="3160" w:type="dxa"/>
            <w:tcBorders>
              <w:top w:val="single" w:sz="4" w:space="0" w:color="auto"/>
              <w:left w:val="single" w:sz="4" w:space="0" w:color="auto"/>
              <w:bottom w:val="single" w:sz="4" w:space="0" w:color="auto"/>
              <w:right w:val="single" w:sz="4" w:space="0" w:color="auto"/>
            </w:tcBorders>
            <w:vAlign w:val="center"/>
          </w:tcPr>
          <w:p w:rsidR="00780DBA" w:rsidRPr="009907A3" w:rsidRDefault="00780DBA" w:rsidP="00780DBA">
            <w:pPr>
              <w:tabs>
                <w:tab w:val="left" w:pos="288"/>
                <w:tab w:val="left" w:pos="4752"/>
              </w:tabs>
              <w:spacing w:line="180" w:lineRule="exact"/>
              <w:jc w:val="left"/>
              <w:rPr>
                <w:rFonts w:eastAsiaTheme="minorHAnsi"/>
                <w:color w:val="000000" w:themeColor="text1"/>
                <w:sz w:val="18"/>
                <w:szCs w:val="18"/>
              </w:rPr>
            </w:pPr>
            <w:r w:rsidRPr="009907A3">
              <w:rPr>
                <w:rFonts w:eastAsiaTheme="minorHAnsi"/>
                <w:color w:val="000000" w:themeColor="text1"/>
                <w:sz w:val="18"/>
                <w:szCs w:val="18"/>
              </w:rPr>
              <w:t xml:space="preserve">No laxity; Firm end-point ant drawer/Lachman; ant TTP; no jt line tender; “McMurray’s with pain only”; </w:t>
            </w:r>
            <w:r w:rsidR="00C242C6">
              <w:rPr>
                <w:rFonts w:eastAsiaTheme="minorHAnsi"/>
                <w:color w:val="000000" w:themeColor="text1"/>
                <w:sz w:val="18"/>
                <w:szCs w:val="18"/>
              </w:rPr>
              <w:t>“</w:t>
            </w:r>
            <w:r w:rsidRPr="009907A3">
              <w:rPr>
                <w:rFonts w:eastAsiaTheme="minorHAnsi"/>
                <w:color w:val="000000" w:themeColor="text1"/>
                <w:sz w:val="18"/>
                <w:szCs w:val="18"/>
              </w:rPr>
              <w:t>normal 0-135</w:t>
            </w:r>
            <w:r w:rsidRPr="009907A3">
              <w:rPr>
                <w:rFonts w:eastAsia="Calibri"/>
                <w:color w:val="000000" w:themeColor="text1"/>
                <w:sz w:val="18"/>
                <w:szCs w:val="18"/>
              </w:rPr>
              <w:t>⁰</w:t>
            </w:r>
            <w:r w:rsidR="00C242C6">
              <w:rPr>
                <w:rFonts w:eastAsia="Calibri"/>
                <w:color w:val="000000" w:themeColor="text1"/>
                <w:sz w:val="18"/>
                <w:szCs w:val="18"/>
              </w:rPr>
              <w:t>”</w:t>
            </w:r>
            <w:r w:rsidRPr="009907A3">
              <w:rPr>
                <w:rFonts w:eastAsia="Calibri"/>
                <w:color w:val="000000" w:themeColor="text1"/>
                <w:sz w:val="18"/>
                <w:szCs w:val="18"/>
              </w:rPr>
              <w:t>, equal on right knee;</w:t>
            </w:r>
          </w:p>
        </w:tc>
        <w:tc>
          <w:tcPr>
            <w:tcW w:w="3600" w:type="dxa"/>
            <w:tcBorders>
              <w:top w:val="single" w:sz="4" w:space="0" w:color="auto"/>
              <w:left w:val="single" w:sz="4" w:space="0" w:color="auto"/>
              <w:bottom w:val="single" w:sz="4" w:space="0" w:color="auto"/>
              <w:right w:val="single" w:sz="4" w:space="0" w:color="auto"/>
            </w:tcBorders>
            <w:vAlign w:val="center"/>
          </w:tcPr>
          <w:p w:rsidR="00780DBA" w:rsidRPr="009907A3" w:rsidRDefault="00780DBA" w:rsidP="00780DBA">
            <w:pPr>
              <w:tabs>
                <w:tab w:val="left" w:pos="288"/>
                <w:tab w:val="left" w:pos="4752"/>
              </w:tabs>
              <w:spacing w:line="180" w:lineRule="exact"/>
              <w:jc w:val="left"/>
              <w:rPr>
                <w:rFonts w:eastAsiaTheme="minorHAnsi"/>
                <w:color w:val="auto"/>
                <w:sz w:val="18"/>
                <w:szCs w:val="18"/>
              </w:rPr>
            </w:pPr>
            <w:r w:rsidRPr="009907A3">
              <w:rPr>
                <w:rFonts w:eastAsiaTheme="minorHAnsi"/>
                <w:color w:val="auto"/>
                <w:sz w:val="18"/>
                <w:szCs w:val="18"/>
              </w:rPr>
              <w:t>1+ crepitus; mild quad muscle atrophy; 2+ laxity; some lateral instability; pain on motion; gait normal; sl weightbearing abnormality due to knee laxity</w:t>
            </w:r>
          </w:p>
        </w:tc>
      </w:tr>
      <w:tr w:rsidR="00780DBA" w:rsidRPr="00780DBA" w:rsidTr="00780DBA">
        <w:trPr>
          <w:jc w:val="center"/>
        </w:trPr>
        <w:tc>
          <w:tcPr>
            <w:tcW w:w="1807" w:type="dxa"/>
            <w:tcBorders>
              <w:top w:val="single" w:sz="4" w:space="0" w:color="auto"/>
              <w:left w:val="single" w:sz="4" w:space="0" w:color="auto"/>
              <w:bottom w:val="single" w:sz="4" w:space="0" w:color="auto"/>
              <w:right w:val="single" w:sz="4" w:space="0" w:color="auto"/>
            </w:tcBorders>
            <w:vAlign w:val="center"/>
          </w:tcPr>
          <w:p w:rsidR="00780DBA" w:rsidRPr="001F29F9" w:rsidRDefault="00780DBA" w:rsidP="00780DBA">
            <w:pPr>
              <w:tabs>
                <w:tab w:val="left" w:pos="288"/>
                <w:tab w:val="left" w:pos="4752"/>
              </w:tabs>
              <w:spacing w:line="180" w:lineRule="exact"/>
              <w:rPr>
                <w:rFonts w:eastAsiaTheme="minorHAnsi"/>
                <w:color w:val="000000" w:themeColor="text1"/>
                <w:sz w:val="18"/>
                <w:szCs w:val="18"/>
              </w:rPr>
            </w:pPr>
            <w:r w:rsidRPr="001F29F9">
              <w:rPr>
                <w:rFonts w:eastAsiaTheme="minorHAnsi"/>
                <w:color w:val="000000" w:themeColor="text1"/>
                <w:sz w:val="18"/>
                <w:szCs w:val="18"/>
              </w:rPr>
              <w:t>§4.71a Rating</w:t>
            </w:r>
          </w:p>
        </w:tc>
        <w:tc>
          <w:tcPr>
            <w:tcW w:w="3160" w:type="dxa"/>
            <w:tcBorders>
              <w:top w:val="single" w:sz="4" w:space="0" w:color="auto"/>
              <w:left w:val="single" w:sz="4" w:space="0" w:color="auto"/>
              <w:bottom w:val="single" w:sz="4" w:space="0" w:color="auto"/>
              <w:right w:val="single" w:sz="4" w:space="0" w:color="auto"/>
            </w:tcBorders>
            <w:vAlign w:val="center"/>
          </w:tcPr>
          <w:p w:rsidR="00780DBA" w:rsidRPr="009907A3" w:rsidRDefault="009907A3" w:rsidP="00780DBA">
            <w:pPr>
              <w:tabs>
                <w:tab w:val="left" w:pos="288"/>
                <w:tab w:val="left" w:pos="4752"/>
              </w:tabs>
              <w:spacing w:line="180" w:lineRule="exact"/>
              <w:rPr>
                <w:rFonts w:eastAsiaTheme="minorHAnsi"/>
                <w:color w:val="auto"/>
                <w:sz w:val="18"/>
                <w:szCs w:val="18"/>
              </w:rPr>
            </w:pPr>
            <w:r w:rsidRPr="009907A3">
              <w:rPr>
                <w:rFonts w:eastAsiaTheme="minorHAnsi"/>
                <w:color w:val="auto"/>
                <w:sz w:val="18"/>
                <w:szCs w:val="18"/>
              </w:rPr>
              <w:t>0%</w:t>
            </w:r>
            <w:r w:rsidR="00C242C6">
              <w:rPr>
                <w:rFonts w:eastAsiaTheme="minorHAnsi"/>
                <w:color w:val="auto"/>
                <w:sz w:val="18"/>
                <w:szCs w:val="18"/>
              </w:rPr>
              <w:t>-10% (PEB 0%)</w:t>
            </w:r>
          </w:p>
        </w:tc>
        <w:tc>
          <w:tcPr>
            <w:tcW w:w="3600" w:type="dxa"/>
            <w:tcBorders>
              <w:top w:val="single" w:sz="4" w:space="0" w:color="auto"/>
              <w:left w:val="single" w:sz="4" w:space="0" w:color="auto"/>
              <w:bottom w:val="single" w:sz="4" w:space="0" w:color="auto"/>
              <w:right w:val="single" w:sz="4" w:space="0" w:color="auto"/>
            </w:tcBorders>
            <w:vAlign w:val="center"/>
          </w:tcPr>
          <w:p w:rsidR="00780DBA" w:rsidRPr="009907A3" w:rsidRDefault="00780DBA" w:rsidP="00780DBA">
            <w:pPr>
              <w:tabs>
                <w:tab w:val="left" w:pos="288"/>
                <w:tab w:val="left" w:pos="4752"/>
              </w:tabs>
              <w:spacing w:line="180" w:lineRule="exact"/>
              <w:rPr>
                <w:rFonts w:eastAsiaTheme="minorHAnsi"/>
                <w:color w:val="auto"/>
                <w:sz w:val="18"/>
                <w:szCs w:val="18"/>
              </w:rPr>
            </w:pPr>
            <w:r w:rsidRPr="009907A3">
              <w:rPr>
                <w:rFonts w:eastAsiaTheme="minorHAnsi"/>
                <w:color w:val="auto"/>
                <w:sz w:val="18"/>
                <w:szCs w:val="18"/>
              </w:rPr>
              <w:t>10%</w:t>
            </w:r>
            <w:r w:rsidR="009907A3">
              <w:rPr>
                <w:rFonts w:eastAsiaTheme="minorHAnsi"/>
                <w:color w:val="auto"/>
                <w:sz w:val="18"/>
                <w:szCs w:val="18"/>
              </w:rPr>
              <w:t xml:space="preserve"> (conceding painful motion)</w:t>
            </w:r>
          </w:p>
        </w:tc>
      </w:tr>
    </w:tbl>
    <w:p w:rsidR="00780DBA" w:rsidRDefault="00780DBA" w:rsidP="00780DBA">
      <w:pPr>
        <w:jc w:val="both"/>
        <w:rPr>
          <w:rFonts w:asciiTheme="minorHAnsi" w:hAnsiTheme="minorHAnsi"/>
          <w:color w:val="auto"/>
          <w:szCs w:val="24"/>
        </w:rPr>
      </w:pPr>
    </w:p>
    <w:p w:rsidR="004A2643" w:rsidRDefault="009B2C7D" w:rsidP="006E07BB">
      <w:pPr>
        <w:jc w:val="both"/>
        <w:rPr>
          <w:color w:val="000000" w:themeColor="text1"/>
          <w:szCs w:val="24"/>
        </w:rPr>
      </w:pPr>
      <w:r w:rsidRPr="004E4598">
        <w:rPr>
          <w:color w:val="000000" w:themeColor="text1"/>
          <w:szCs w:val="24"/>
        </w:rPr>
        <w:t xml:space="preserve">Subjective complaints on </w:t>
      </w:r>
      <w:r w:rsidR="00791630" w:rsidRPr="004E4598">
        <w:rPr>
          <w:color w:val="000000" w:themeColor="text1"/>
          <w:szCs w:val="24"/>
        </w:rPr>
        <w:t xml:space="preserve">the MEB </w:t>
      </w:r>
      <w:r w:rsidR="00233D14">
        <w:rPr>
          <w:color w:val="000000" w:themeColor="text1"/>
          <w:szCs w:val="24"/>
        </w:rPr>
        <w:t xml:space="preserve">narrative summary (NARSUM) </w:t>
      </w:r>
      <w:r w:rsidR="00791630" w:rsidRPr="004E4598">
        <w:rPr>
          <w:color w:val="000000" w:themeColor="text1"/>
          <w:szCs w:val="24"/>
        </w:rPr>
        <w:t>ex</w:t>
      </w:r>
      <w:r w:rsidR="00233D14">
        <w:rPr>
          <w:color w:val="000000" w:themeColor="text1"/>
          <w:szCs w:val="24"/>
        </w:rPr>
        <w:t>amination done five</w:t>
      </w:r>
      <w:r w:rsidR="00791630" w:rsidRPr="004E4598">
        <w:rPr>
          <w:color w:val="000000" w:themeColor="text1"/>
          <w:szCs w:val="24"/>
        </w:rPr>
        <w:t xml:space="preserve"> months prior to separation included </w:t>
      </w:r>
      <w:r w:rsidR="00B25B41" w:rsidRPr="004E4598">
        <w:rPr>
          <w:color w:val="000000" w:themeColor="text1"/>
          <w:szCs w:val="24"/>
        </w:rPr>
        <w:t xml:space="preserve">pain </w:t>
      </w:r>
      <w:r w:rsidRPr="004E4598">
        <w:rPr>
          <w:color w:val="000000" w:themeColor="text1"/>
          <w:szCs w:val="24"/>
        </w:rPr>
        <w:t xml:space="preserve">associated with prolonged standing and walking and </w:t>
      </w:r>
      <w:r w:rsidR="004A2643" w:rsidRPr="004E4598">
        <w:rPr>
          <w:color w:val="000000" w:themeColor="text1"/>
          <w:szCs w:val="24"/>
        </w:rPr>
        <w:t xml:space="preserve">reported </w:t>
      </w:r>
      <w:r w:rsidRPr="004E4598">
        <w:rPr>
          <w:color w:val="000000" w:themeColor="text1"/>
          <w:szCs w:val="24"/>
        </w:rPr>
        <w:t xml:space="preserve">buckling of the knee.  Physical findings </w:t>
      </w:r>
      <w:r w:rsidR="00991CEE" w:rsidRPr="004E4598">
        <w:rPr>
          <w:color w:val="000000" w:themeColor="text1"/>
          <w:szCs w:val="24"/>
        </w:rPr>
        <w:t xml:space="preserve">documented in the NARSUM </w:t>
      </w:r>
      <w:r w:rsidRPr="004E4598">
        <w:rPr>
          <w:color w:val="000000" w:themeColor="text1"/>
          <w:szCs w:val="24"/>
        </w:rPr>
        <w:t xml:space="preserve">included </w:t>
      </w:r>
      <w:r w:rsidR="00791630" w:rsidRPr="004E4598">
        <w:rPr>
          <w:color w:val="000000" w:themeColor="text1"/>
          <w:szCs w:val="24"/>
        </w:rPr>
        <w:t>ROM from -3</w:t>
      </w:r>
      <w:r w:rsidR="00791630" w:rsidRPr="004E4598">
        <w:rPr>
          <w:rFonts w:cs="Calibri"/>
          <w:color w:val="000000" w:themeColor="text1"/>
          <w:szCs w:val="24"/>
        </w:rPr>
        <w:t>⁰</w:t>
      </w:r>
      <w:r w:rsidR="004E068C">
        <w:rPr>
          <w:rFonts w:cs="Calibri"/>
          <w:color w:val="000000" w:themeColor="text1"/>
          <w:szCs w:val="24"/>
        </w:rPr>
        <w:t> </w:t>
      </w:r>
      <w:r w:rsidR="00791630" w:rsidRPr="004E4598">
        <w:rPr>
          <w:color w:val="000000" w:themeColor="text1"/>
          <w:szCs w:val="24"/>
        </w:rPr>
        <w:t xml:space="preserve">extension </w:t>
      </w:r>
      <w:r w:rsidR="004A2643" w:rsidRPr="004E4598">
        <w:rPr>
          <w:rFonts w:asciiTheme="minorHAnsi" w:hAnsiTheme="minorHAnsi"/>
          <w:color w:val="auto"/>
          <w:szCs w:val="24"/>
        </w:rPr>
        <w:t xml:space="preserve">(normal </w:t>
      </w:r>
      <w:r w:rsidR="00791630" w:rsidRPr="004E4598">
        <w:rPr>
          <w:rFonts w:asciiTheme="minorHAnsi" w:hAnsiTheme="minorHAnsi"/>
          <w:color w:val="auto"/>
          <w:szCs w:val="24"/>
        </w:rPr>
        <w:t>0⁰</w:t>
      </w:r>
      <w:r w:rsidR="004A2643" w:rsidRPr="004E4598">
        <w:rPr>
          <w:rFonts w:asciiTheme="minorHAnsi" w:hAnsiTheme="minorHAnsi"/>
          <w:color w:val="auto"/>
          <w:szCs w:val="24"/>
        </w:rPr>
        <w:t xml:space="preserve">) </w:t>
      </w:r>
      <w:r w:rsidR="00791630" w:rsidRPr="004E4598">
        <w:rPr>
          <w:color w:val="000000" w:themeColor="text1"/>
          <w:szCs w:val="24"/>
        </w:rPr>
        <w:t>to 135</w:t>
      </w:r>
      <w:r w:rsidR="00791630" w:rsidRPr="004E4598">
        <w:rPr>
          <w:rFonts w:cs="Calibri"/>
          <w:color w:val="000000" w:themeColor="text1"/>
          <w:szCs w:val="24"/>
        </w:rPr>
        <w:t>⁰</w:t>
      </w:r>
      <w:r w:rsidR="00791630" w:rsidRPr="004E4598">
        <w:rPr>
          <w:color w:val="000000" w:themeColor="text1"/>
          <w:szCs w:val="24"/>
        </w:rPr>
        <w:t xml:space="preserve"> flexion </w:t>
      </w:r>
      <w:r w:rsidR="00791630" w:rsidRPr="004E4598">
        <w:rPr>
          <w:rFonts w:asciiTheme="minorHAnsi" w:hAnsiTheme="minorHAnsi"/>
          <w:color w:val="auto"/>
          <w:szCs w:val="24"/>
        </w:rPr>
        <w:t>(</w:t>
      </w:r>
      <w:r w:rsidR="004A2643" w:rsidRPr="004E4598">
        <w:rPr>
          <w:rFonts w:asciiTheme="minorHAnsi" w:hAnsiTheme="minorHAnsi"/>
          <w:color w:val="auto"/>
          <w:szCs w:val="24"/>
        </w:rPr>
        <w:t xml:space="preserve">VA </w:t>
      </w:r>
      <w:r w:rsidR="00791630" w:rsidRPr="004E4598">
        <w:rPr>
          <w:rFonts w:asciiTheme="minorHAnsi" w:hAnsiTheme="minorHAnsi"/>
          <w:color w:val="auto"/>
          <w:szCs w:val="24"/>
        </w:rPr>
        <w:t>normal 140⁰</w:t>
      </w:r>
      <w:r w:rsidR="004A2643" w:rsidRPr="004E4598">
        <w:rPr>
          <w:rFonts w:asciiTheme="minorHAnsi" w:hAnsiTheme="minorHAnsi"/>
          <w:color w:val="auto"/>
          <w:szCs w:val="24"/>
        </w:rPr>
        <w:t>)</w:t>
      </w:r>
      <w:r w:rsidR="00604AF4" w:rsidRPr="004E4598">
        <w:rPr>
          <w:rFonts w:asciiTheme="minorHAnsi" w:hAnsiTheme="minorHAnsi"/>
          <w:color w:val="auto"/>
          <w:szCs w:val="24"/>
        </w:rPr>
        <w:t xml:space="preserve">; </w:t>
      </w:r>
      <w:r w:rsidRPr="004E4598">
        <w:rPr>
          <w:color w:val="000000" w:themeColor="text1"/>
          <w:szCs w:val="24"/>
        </w:rPr>
        <w:t>tenderness on the patellar tendon with no joint line tenderness;</w:t>
      </w:r>
      <w:r w:rsidRPr="004E4598">
        <w:rPr>
          <w:rFonts w:asciiTheme="minorHAnsi" w:hAnsiTheme="minorHAnsi"/>
          <w:color w:val="auto"/>
          <w:szCs w:val="24"/>
        </w:rPr>
        <w:t xml:space="preserve"> </w:t>
      </w:r>
      <w:r w:rsidR="00604AF4" w:rsidRPr="004E4598">
        <w:rPr>
          <w:rFonts w:asciiTheme="minorHAnsi" w:hAnsiTheme="minorHAnsi"/>
          <w:color w:val="auto"/>
          <w:szCs w:val="24"/>
        </w:rPr>
        <w:t>n</w:t>
      </w:r>
      <w:r w:rsidR="00791630" w:rsidRPr="004E4598">
        <w:rPr>
          <w:color w:val="000000" w:themeColor="text1"/>
          <w:szCs w:val="24"/>
        </w:rPr>
        <w:t>o increased varus</w:t>
      </w:r>
      <w:r w:rsidR="00604AF4" w:rsidRPr="004E4598">
        <w:rPr>
          <w:color w:val="000000" w:themeColor="text1"/>
          <w:szCs w:val="24"/>
        </w:rPr>
        <w:t xml:space="preserve"> (medial)</w:t>
      </w:r>
      <w:r w:rsidR="00791630" w:rsidRPr="004E4598">
        <w:rPr>
          <w:color w:val="000000" w:themeColor="text1"/>
          <w:szCs w:val="24"/>
        </w:rPr>
        <w:t xml:space="preserve"> or valgus</w:t>
      </w:r>
      <w:r w:rsidR="00604AF4" w:rsidRPr="004E4598">
        <w:rPr>
          <w:color w:val="000000" w:themeColor="text1"/>
          <w:szCs w:val="24"/>
        </w:rPr>
        <w:t xml:space="preserve"> (lateral)</w:t>
      </w:r>
      <w:r w:rsidR="00791630" w:rsidRPr="004E4598">
        <w:rPr>
          <w:color w:val="000000" w:themeColor="text1"/>
          <w:szCs w:val="24"/>
        </w:rPr>
        <w:t xml:space="preserve"> laxity to the knee</w:t>
      </w:r>
      <w:r w:rsidR="00604AF4" w:rsidRPr="004E4598">
        <w:rPr>
          <w:color w:val="000000" w:themeColor="text1"/>
          <w:szCs w:val="24"/>
        </w:rPr>
        <w:t xml:space="preserve">; </w:t>
      </w:r>
      <w:r w:rsidRPr="004E4598">
        <w:rPr>
          <w:color w:val="000000" w:themeColor="text1"/>
          <w:szCs w:val="24"/>
        </w:rPr>
        <w:t xml:space="preserve">and </w:t>
      </w:r>
      <w:r w:rsidR="00604AF4" w:rsidRPr="004E4598">
        <w:rPr>
          <w:color w:val="000000" w:themeColor="text1"/>
          <w:szCs w:val="24"/>
        </w:rPr>
        <w:t>negative provocative testing for collateral ligament damage</w:t>
      </w:r>
      <w:r w:rsidRPr="004E4598">
        <w:rPr>
          <w:color w:val="000000" w:themeColor="text1"/>
          <w:szCs w:val="24"/>
        </w:rPr>
        <w:t xml:space="preserve"> or for meniscal dysfunction.</w:t>
      </w:r>
      <w:r w:rsidR="00991CEE" w:rsidRPr="004E4598">
        <w:rPr>
          <w:color w:val="000000" w:themeColor="text1"/>
          <w:szCs w:val="24"/>
        </w:rPr>
        <w:t xml:space="preserve">  </w:t>
      </w:r>
      <w:r w:rsidR="00E60913" w:rsidRPr="004E4598">
        <w:rPr>
          <w:color w:val="000000" w:themeColor="text1"/>
          <w:szCs w:val="24"/>
        </w:rPr>
        <w:t>ROM testing indicated a “normal knee ROM of 0-135</w:t>
      </w:r>
      <w:r w:rsidR="00E60913" w:rsidRPr="004E4598">
        <w:rPr>
          <w:rFonts w:cs="Calibri"/>
          <w:color w:val="000000" w:themeColor="text1"/>
          <w:szCs w:val="24"/>
        </w:rPr>
        <w:t>⁰” (versus the VA normal ROM of 0-140⁰) and specified the left knee</w:t>
      </w:r>
      <w:r w:rsidR="009907A3" w:rsidRPr="004E4598">
        <w:rPr>
          <w:rFonts w:cs="Calibri"/>
          <w:color w:val="000000" w:themeColor="text1"/>
          <w:szCs w:val="24"/>
        </w:rPr>
        <w:t>’</w:t>
      </w:r>
      <w:r w:rsidR="00E60913" w:rsidRPr="004E4598">
        <w:rPr>
          <w:rFonts w:cs="Calibri"/>
          <w:color w:val="000000" w:themeColor="text1"/>
          <w:szCs w:val="24"/>
        </w:rPr>
        <w:t>s ROM was equal to the unaffected right knee.  The examiner indicated “McMurray</w:t>
      </w:r>
      <w:r w:rsidR="00673330" w:rsidRPr="004E4598">
        <w:rPr>
          <w:rFonts w:cs="Calibri"/>
          <w:color w:val="000000" w:themeColor="text1"/>
          <w:szCs w:val="24"/>
        </w:rPr>
        <w:t xml:space="preserve">s with pain only” – McMurray test is </w:t>
      </w:r>
      <w:r w:rsidR="004E6876">
        <w:rPr>
          <w:rFonts w:cs="Calibri"/>
          <w:color w:val="000000" w:themeColor="text1"/>
          <w:szCs w:val="24"/>
        </w:rPr>
        <w:t>rotat</w:t>
      </w:r>
      <w:r w:rsidR="004E6876" w:rsidRPr="004E4598">
        <w:rPr>
          <w:rFonts w:cs="Calibri"/>
          <w:color w:val="000000" w:themeColor="text1"/>
          <w:szCs w:val="24"/>
        </w:rPr>
        <w:t>ion</w:t>
      </w:r>
      <w:r w:rsidR="00673330" w:rsidRPr="004E4598">
        <w:rPr>
          <w:rFonts w:cs="Calibri"/>
          <w:color w:val="000000" w:themeColor="text1"/>
          <w:szCs w:val="24"/>
        </w:rPr>
        <w:t xml:space="preserve"> with leg extension (motion).  </w:t>
      </w:r>
      <w:proofErr w:type="gramStart"/>
      <w:r w:rsidR="00991CEE" w:rsidRPr="004E4598">
        <w:rPr>
          <w:color w:val="000000" w:themeColor="text1"/>
          <w:szCs w:val="24"/>
        </w:rPr>
        <w:t xml:space="preserve">The corresponding orthopedic evaluation in the </w:t>
      </w:r>
      <w:r w:rsidR="00233D14">
        <w:rPr>
          <w:color w:val="000000" w:themeColor="text1"/>
          <w:szCs w:val="24"/>
        </w:rPr>
        <w:t>service treatment record</w:t>
      </w:r>
      <w:r w:rsidR="00991CEE" w:rsidRPr="004E4598">
        <w:rPr>
          <w:color w:val="000000" w:themeColor="text1"/>
          <w:szCs w:val="24"/>
        </w:rPr>
        <w:t xml:space="preserve"> </w:t>
      </w:r>
      <w:r w:rsidR="00233D14">
        <w:rPr>
          <w:color w:val="000000" w:themeColor="text1"/>
          <w:szCs w:val="24"/>
        </w:rPr>
        <w:t xml:space="preserve">(STR) </w:t>
      </w:r>
      <w:r w:rsidR="00991CEE" w:rsidRPr="004E4598">
        <w:rPr>
          <w:color w:val="000000" w:themeColor="text1"/>
          <w:szCs w:val="24"/>
        </w:rPr>
        <w:t>from which these findings were extracted additionally documented no muscle weakness; no pain on motion of the knee; and no tenderness on ambulation of the knee.</w:t>
      </w:r>
      <w:proofErr w:type="gramEnd"/>
      <w:r w:rsidR="00991CEE" w:rsidRPr="004E4598">
        <w:rPr>
          <w:color w:val="000000" w:themeColor="text1"/>
          <w:szCs w:val="24"/>
        </w:rPr>
        <w:t xml:space="preserve">  </w:t>
      </w:r>
      <w:r w:rsidR="004A54A6" w:rsidRPr="004E4598">
        <w:rPr>
          <w:color w:val="000000" w:themeColor="text1"/>
          <w:szCs w:val="24"/>
        </w:rPr>
        <w:t xml:space="preserve">Magnetic resonance imaging of the knee showed a torn meniscus, but the NARSUM indicated that the CI’s orthopedic surgeons had made no recommendations for left knee surgery and there was no specific evidence for frequent episodes of locking, </w:t>
      </w:r>
      <w:r w:rsidR="004A54A6" w:rsidRPr="00C242C6">
        <w:rPr>
          <w:color w:val="000000" w:themeColor="text1"/>
          <w:szCs w:val="24"/>
        </w:rPr>
        <w:t>pain, and effusion</w:t>
      </w:r>
      <w:r w:rsidR="004A54A6" w:rsidRPr="004E4598">
        <w:rPr>
          <w:color w:val="000000" w:themeColor="text1"/>
          <w:szCs w:val="24"/>
        </w:rPr>
        <w:t xml:space="preserve"> in the knee.</w:t>
      </w:r>
      <w:r w:rsidR="00602496">
        <w:rPr>
          <w:color w:val="000000" w:themeColor="text1"/>
          <w:szCs w:val="24"/>
        </w:rPr>
        <w:t xml:space="preserve">  </w:t>
      </w:r>
      <w:r w:rsidR="001A6BC7">
        <w:rPr>
          <w:color w:val="000000" w:themeColor="text1"/>
          <w:szCs w:val="24"/>
        </w:rPr>
        <w:t xml:space="preserve">The rheumatology note, two months pre-separation, stated “no joint </w:t>
      </w:r>
      <w:r w:rsidR="001A6BC7" w:rsidRPr="001A6BC7">
        <w:rPr>
          <w:color w:val="000000" w:themeColor="text1"/>
          <w:szCs w:val="24"/>
        </w:rPr>
        <w:t>pathology.”</w:t>
      </w:r>
      <w:r w:rsidR="001A6BC7">
        <w:rPr>
          <w:color w:val="000000" w:themeColor="text1"/>
          <w:szCs w:val="24"/>
        </w:rPr>
        <w:t xml:space="preserve">  </w:t>
      </w:r>
    </w:p>
    <w:p w:rsidR="004A2643" w:rsidRDefault="004A2643" w:rsidP="006E07BB">
      <w:pPr>
        <w:jc w:val="both"/>
        <w:rPr>
          <w:color w:val="000000" w:themeColor="text1"/>
          <w:szCs w:val="24"/>
        </w:rPr>
      </w:pPr>
    </w:p>
    <w:p w:rsidR="00673330" w:rsidRPr="001A6BC7" w:rsidRDefault="00791630" w:rsidP="006E07BB">
      <w:pPr>
        <w:jc w:val="both"/>
        <w:rPr>
          <w:rFonts w:asciiTheme="minorHAnsi" w:hAnsiTheme="minorHAnsi"/>
          <w:color w:val="auto"/>
          <w:szCs w:val="24"/>
        </w:rPr>
      </w:pPr>
      <w:proofErr w:type="gramStart"/>
      <w:r w:rsidRPr="004E4598">
        <w:rPr>
          <w:color w:val="000000" w:themeColor="text1"/>
          <w:szCs w:val="24"/>
        </w:rPr>
        <w:t>The VA C&amp;P</w:t>
      </w:r>
      <w:r w:rsidR="009B2C7D" w:rsidRPr="004E4598">
        <w:rPr>
          <w:color w:val="000000" w:themeColor="text1"/>
          <w:szCs w:val="24"/>
        </w:rPr>
        <w:t xml:space="preserve"> examination</w:t>
      </w:r>
      <w:r w:rsidR="00233D14">
        <w:rPr>
          <w:color w:val="000000" w:themeColor="text1"/>
          <w:szCs w:val="24"/>
        </w:rPr>
        <w:t xml:space="preserve"> done two</w:t>
      </w:r>
      <w:r w:rsidR="00E60913" w:rsidRPr="004E4598">
        <w:rPr>
          <w:color w:val="000000" w:themeColor="text1"/>
          <w:szCs w:val="24"/>
        </w:rPr>
        <w:t xml:space="preserve"> months post-</w:t>
      </w:r>
      <w:r w:rsidRPr="004E4598">
        <w:rPr>
          <w:color w:val="000000" w:themeColor="text1"/>
          <w:szCs w:val="24"/>
        </w:rPr>
        <w:t>separation</w:t>
      </w:r>
      <w:r w:rsidR="009B2C7D" w:rsidRPr="004E4598">
        <w:rPr>
          <w:color w:val="000000" w:themeColor="text1"/>
          <w:szCs w:val="24"/>
        </w:rPr>
        <w:t xml:space="preserve"> documented subjective daily, constant pain in the left knee with no swelling</w:t>
      </w:r>
      <w:r w:rsidR="00E60913" w:rsidRPr="004E4598">
        <w:rPr>
          <w:color w:val="000000" w:themeColor="text1"/>
          <w:szCs w:val="24"/>
        </w:rPr>
        <w:t>,</w:t>
      </w:r>
      <w:r w:rsidR="009B2C7D" w:rsidRPr="004E4598">
        <w:rPr>
          <w:color w:val="000000" w:themeColor="text1"/>
          <w:szCs w:val="24"/>
        </w:rPr>
        <w:t xml:space="preserve"> but intermittent buckling or laxity of the knee.</w:t>
      </w:r>
      <w:proofErr w:type="gramEnd"/>
      <w:r w:rsidR="009B2C7D" w:rsidRPr="004E4598">
        <w:rPr>
          <w:color w:val="000000" w:themeColor="text1"/>
          <w:szCs w:val="24"/>
        </w:rPr>
        <w:t xml:space="preserve">  </w:t>
      </w:r>
      <w:r w:rsidR="003E5F63" w:rsidRPr="004E4598">
        <w:rPr>
          <w:color w:val="000000" w:themeColor="text1"/>
          <w:szCs w:val="24"/>
        </w:rPr>
        <w:t>The physical exam was pertinent for ROM -4</w:t>
      </w:r>
      <w:r w:rsidR="003E5F63" w:rsidRPr="004E4598">
        <w:rPr>
          <w:rFonts w:cs="Calibri"/>
          <w:color w:val="000000" w:themeColor="text1"/>
          <w:szCs w:val="24"/>
        </w:rPr>
        <w:t>⁰</w:t>
      </w:r>
      <w:r w:rsidR="003E5F63" w:rsidRPr="004E4598">
        <w:rPr>
          <w:color w:val="000000" w:themeColor="text1"/>
          <w:szCs w:val="24"/>
        </w:rPr>
        <w:t xml:space="preserve"> to 125</w:t>
      </w:r>
      <w:r w:rsidR="003E5F63" w:rsidRPr="004E4598">
        <w:rPr>
          <w:rFonts w:cs="Calibri"/>
          <w:color w:val="000000" w:themeColor="text1"/>
          <w:szCs w:val="24"/>
        </w:rPr>
        <w:t>⁰</w:t>
      </w:r>
      <w:r w:rsidR="003E5F63" w:rsidRPr="004E4598">
        <w:rPr>
          <w:color w:val="000000" w:themeColor="text1"/>
          <w:szCs w:val="24"/>
        </w:rPr>
        <w:t xml:space="preserve"> </w:t>
      </w:r>
      <w:r w:rsidR="00E60913" w:rsidRPr="004E4598">
        <w:rPr>
          <w:color w:val="000000" w:themeColor="text1"/>
          <w:szCs w:val="24"/>
        </w:rPr>
        <w:t>(normal 0-140</w:t>
      </w:r>
      <w:r w:rsidR="00E60913" w:rsidRPr="004E4598">
        <w:rPr>
          <w:rFonts w:cs="Calibri"/>
          <w:color w:val="000000" w:themeColor="text1"/>
          <w:szCs w:val="24"/>
        </w:rPr>
        <w:t>⁰</w:t>
      </w:r>
      <w:r w:rsidR="00E60913" w:rsidRPr="004E4598">
        <w:rPr>
          <w:color w:val="000000" w:themeColor="text1"/>
          <w:szCs w:val="24"/>
        </w:rPr>
        <w:t>)</w:t>
      </w:r>
      <w:r w:rsidR="003E5F63" w:rsidRPr="004E4598">
        <w:rPr>
          <w:rFonts w:asciiTheme="minorHAnsi" w:hAnsiTheme="minorHAnsi"/>
          <w:color w:val="auto"/>
          <w:szCs w:val="24"/>
        </w:rPr>
        <w:t>; painful motion; mild crepitus; mild varus deformity and mild atropy of the quadriceps muscle; 2+ laxity with some lateral instability of the left knee; normal gait; and n</w:t>
      </w:r>
      <w:r w:rsidR="003E5F63" w:rsidRPr="004E4598">
        <w:rPr>
          <w:color w:val="000000" w:themeColor="text1"/>
          <w:szCs w:val="24"/>
        </w:rPr>
        <w:t>o ankylosis</w:t>
      </w:r>
      <w:r w:rsidR="004E4598" w:rsidRPr="004E4598">
        <w:rPr>
          <w:color w:val="000000" w:themeColor="text1"/>
          <w:szCs w:val="24"/>
        </w:rPr>
        <w:t>.</w:t>
      </w:r>
      <w:r w:rsidR="003E5F63" w:rsidRPr="004E4598">
        <w:rPr>
          <w:color w:val="000000" w:themeColor="text1"/>
          <w:szCs w:val="24"/>
        </w:rPr>
        <w:t xml:space="preserve">  DeLuca testing was positive on repetitive motion.  </w:t>
      </w:r>
      <w:r w:rsidR="00FC0A8B" w:rsidRPr="004E4598">
        <w:rPr>
          <w:color w:val="000000" w:themeColor="text1"/>
          <w:szCs w:val="24"/>
        </w:rPr>
        <w:t>This e</w:t>
      </w:r>
      <w:r w:rsidR="006A425D" w:rsidRPr="004E4598">
        <w:rPr>
          <w:rFonts w:asciiTheme="minorHAnsi" w:hAnsiTheme="minorHAnsi"/>
          <w:color w:val="auto"/>
          <w:szCs w:val="24"/>
        </w:rPr>
        <w:t xml:space="preserve">vidence is probative only to the extent that it reasonably reflects the disability and fitness </w:t>
      </w:r>
      <w:r w:rsidR="006A425D" w:rsidRPr="001A6BC7">
        <w:rPr>
          <w:color w:val="000000" w:themeColor="text1"/>
          <w:szCs w:val="24"/>
        </w:rPr>
        <w:t xml:space="preserve">implications at the </w:t>
      </w:r>
      <w:r w:rsidR="006A425D" w:rsidRPr="001A6BC7">
        <w:rPr>
          <w:rFonts w:asciiTheme="minorHAnsi" w:hAnsiTheme="minorHAnsi"/>
          <w:color w:val="auto"/>
          <w:szCs w:val="24"/>
        </w:rPr>
        <w:t>time of separation.</w:t>
      </w:r>
      <w:r w:rsidR="006B2302" w:rsidRPr="001A6BC7">
        <w:rPr>
          <w:rFonts w:asciiTheme="minorHAnsi" w:hAnsiTheme="minorHAnsi"/>
          <w:color w:val="auto"/>
          <w:szCs w:val="24"/>
        </w:rPr>
        <w:t xml:space="preserve">  </w:t>
      </w:r>
      <w:r w:rsidR="001A6BC7" w:rsidRPr="001A6BC7">
        <w:rPr>
          <w:rFonts w:asciiTheme="minorHAnsi" w:hAnsiTheme="minorHAnsi"/>
          <w:color w:val="auto"/>
          <w:szCs w:val="24"/>
        </w:rPr>
        <w:t xml:space="preserve">VA records remote from separation indicated the CI underwent meniscal surgery.  This was adjudged post-separation worsening and not indicative of the CI’s condition at separation.  </w:t>
      </w:r>
    </w:p>
    <w:p w:rsidR="00780DBA" w:rsidRDefault="00780DBA" w:rsidP="005C71CE">
      <w:pPr>
        <w:jc w:val="both"/>
        <w:rPr>
          <w:rFonts w:asciiTheme="minorHAnsi" w:hAnsiTheme="minorHAnsi"/>
          <w:color w:val="auto"/>
          <w:szCs w:val="24"/>
        </w:rPr>
      </w:pPr>
    </w:p>
    <w:p w:rsidR="004D0FE9" w:rsidRPr="001E0C3C" w:rsidRDefault="00230F6C" w:rsidP="001E0C3C">
      <w:pPr>
        <w:jc w:val="both"/>
        <w:rPr>
          <w:rFonts w:asciiTheme="minorHAnsi" w:hAnsiTheme="minorHAnsi"/>
          <w:color w:val="auto"/>
          <w:szCs w:val="24"/>
        </w:rPr>
      </w:pPr>
      <w:r>
        <w:rPr>
          <w:rFonts w:asciiTheme="minorHAnsi" w:hAnsiTheme="minorHAnsi"/>
          <w:color w:val="auto"/>
          <w:szCs w:val="24"/>
        </w:rPr>
        <w:t xml:space="preserve">The Board directs its attention to its rating recommendations based on the evidence just described.  </w:t>
      </w:r>
      <w:r w:rsidR="005C71CE" w:rsidRPr="005C71CE">
        <w:rPr>
          <w:rFonts w:asciiTheme="minorHAnsi" w:hAnsiTheme="minorHAnsi"/>
          <w:color w:val="auto"/>
          <w:szCs w:val="24"/>
        </w:rPr>
        <w:t>It is</w:t>
      </w:r>
      <w:r w:rsidR="005C71CE">
        <w:rPr>
          <w:rFonts w:asciiTheme="minorHAnsi" w:hAnsiTheme="minorHAnsi"/>
          <w:color w:val="auto"/>
          <w:szCs w:val="24"/>
        </w:rPr>
        <w:t xml:space="preserve"> </w:t>
      </w:r>
      <w:r w:rsidR="005C71CE" w:rsidRPr="005C71CE">
        <w:rPr>
          <w:rFonts w:asciiTheme="minorHAnsi" w:hAnsiTheme="minorHAnsi"/>
          <w:color w:val="auto"/>
          <w:szCs w:val="24"/>
        </w:rPr>
        <w:t>obvious that there is a clear disparity between these examinations</w:t>
      </w:r>
      <w:r w:rsidR="00780DBA">
        <w:rPr>
          <w:rFonts w:asciiTheme="minorHAnsi" w:hAnsiTheme="minorHAnsi"/>
          <w:color w:val="auto"/>
          <w:szCs w:val="24"/>
        </w:rPr>
        <w:t xml:space="preserve">.  </w:t>
      </w:r>
      <w:r w:rsidR="000C3529">
        <w:rPr>
          <w:rFonts w:asciiTheme="minorHAnsi" w:hAnsiTheme="minorHAnsi"/>
          <w:color w:val="auto"/>
          <w:szCs w:val="24"/>
        </w:rPr>
        <w:t xml:space="preserve">The Board carefully considered the probative values of the exams and determined the MEB examination accomplished by an orthopedic specialist to be of higher value, in particularly because there was no intervening trauma or event to account for the more severe VA findings documented on </w:t>
      </w:r>
      <w:r w:rsidR="000C3529" w:rsidRPr="001D6530">
        <w:rPr>
          <w:rFonts w:asciiTheme="minorHAnsi" w:hAnsiTheme="minorHAnsi"/>
          <w:color w:val="auto"/>
          <w:szCs w:val="24"/>
        </w:rPr>
        <w:t xml:space="preserve">the General Medical Examination by a nonspecialist.  </w:t>
      </w:r>
      <w:r w:rsidR="006A425D" w:rsidRPr="001D6530">
        <w:rPr>
          <w:rFonts w:asciiTheme="minorHAnsi" w:hAnsiTheme="minorHAnsi"/>
          <w:color w:val="auto"/>
          <w:szCs w:val="24"/>
        </w:rPr>
        <w:t xml:space="preserve">The Board noted that both the MEB and the VA examiners diagnosed the knee condition as patellar tendinitis, but </w:t>
      </w:r>
      <w:r w:rsidR="003C39C2" w:rsidRPr="001D6530">
        <w:rPr>
          <w:rFonts w:asciiTheme="minorHAnsi" w:hAnsiTheme="minorHAnsi"/>
          <w:color w:val="auto"/>
          <w:szCs w:val="24"/>
        </w:rPr>
        <w:t>the conditions</w:t>
      </w:r>
      <w:r w:rsidR="003C39C2">
        <w:rPr>
          <w:rFonts w:asciiTheme="minorHAnsi" w:hAnsiTheme="minorHAnsi"/>
          <w:color w:val="auto"/>
          <w:szCs w:val="24"/>
        </w:rPr>
        <w:t xml:space="preserve"> were </w:t>
      </w:r>
      <w:r w:rsidR="006A425D">
        <w:rPr>
          <w:rFonts w:asciiTheme="minorHAnsi" w:hAnsiTheme="minorHAnsi"/>
          <w:color w:val="auto"/>
          <w:szCs w:val="24"/>
        </w:rPr>
        <w:t xml:space="preserve">rated utilizing different coding options.  </w:t>
      </w:r>
      <w:r>
        <w:rPr>
          <w:rFonts w:asciiTheme="minorHAnsi" w:hAnsiTheme="minorHAnsi"/>
          <w:color w:val="auto"/>
          <w:szCs w:val="24"/>
        </w:rPr>
        <w:t xml:space="preserve">The </w:t>
      </w:r>
      <w:r w:rsidR="00233D14">
        <w:rPr>
          <w:rFonts w:asciiTheme="minorHAnsi" w:hAnsiTheme="minorHAnsi"/>
          <w:color w:val="auto"/>
          <w:szCs w:val="24"/>
        </w:rPr>
        <w:t>r</w:t>
      </w:r>
      <w:r w:rsidR="005C71CE">
        <w:rPr>
          <w:rFonts w:asciiTheme="minorHAnsi" w:hAnsiTheme="minorHAnsi"/>
          <w:color w:val="auto"/>
          <w:szCs w:val="24"/>
        </w:rPr>
        <w:t>econsideration F</w:t>
      </w:r>
      <w:r>
        <w:rPr>
          <w:rFonts w:asciiTheme="minorHAnsi" w:hAnsiTheme="minorHAnsi"/>
          <w:color w:val="auto"/>
          <w:szCs w:val="24"/>
        </w:rPr>
        <w:t xml:space="preserve">PEB rated the condition as 0%, coded </w:t>
      </w:r>
      <w:r w:rsidR="00A31836">
        <w:rPr>
          <w:rFonts w:asciiTheme="minorHAnsi" w:hAnsiTheme="minorHAnsi"/>
          <w:color w:val="auto"/>
          <w:szCs w:val="24"/>
        </w:rPr>
        <w:t xml:space="preserve">analogously as </w:t>
      </w:r>
      <w:r>
        <w:rPr>
          <w:rFonts w:asciiTheme="minorHAnsi" w:hAnsiTheme="minorHAnsi"/>
          <w:color w:val="auto"/>
          <w:szCs w:val="24"/>
        </w:rPr>
        <w:t xml:space="preserve">VASRD </w:t>
      </w:r>
      <w:r w:rsidR="00233D14">
        <w:rPr>
          <w:rFonts w:asciiTheme="minorHAnsi" w:hAnsiTheme="minorHAnsi"/>
          <w:color w:val="auto"/>
          <w:szCs w:val="24"/>
        </w:rPr>
        <w:t>5099-5003 (a</w:t>
      </w:r>
      <w:r w:rsidR="00A31836">
        <w:rPr>
          <w:rFonts w:asciiTheme="minorHAnsi" w:hAnsiTheme="minorHAnsi"/>
          <w:color w:val="auto"/>
          <w:szCs w:val="24"/>
        </w:rPr>
        <w:t xml:space="preserve">rthritis, degenerative), based on </w:t>
      </w:r>
      <w:r w:rsidR="005C71CE">
        <w:rPr>
          <w:rFonts w:asciiTheme="minorHAnsi" w:hAnsiTheme="minorHAnsi"/>
          <w:color w:val="auto"/>
          <w:szCs w:val="24"/>
        </w:rPr>
        <w:t xml:space="preserve">lateral meniscus tear, </w:t>
      </w:r>
      <w:r w:rsidR="00A31836">
        <w:rPr>
          <w:rFonts w:asciiTheme="minorHAnsi" w:hAnsiTheme="minorHAnsi"/>
          <w:color w:val="auto"/>
          <w:szCs w:val="24"/>
        </w:rPr>
        <w:t xml:space="preserve">full ROM, good stability, normal McMurray sign (provocative test for </w:t>
      </w:r>
      <w:proofErr w:type="spellStart"/>
      <w:r w:rsidR="00A31836">
        <w:rPr>
          <w:rFonts w:asciiTheme="minorHAnsi" w:hAnsiTheme="minorHAnsi"/>
          <w:color w:val="auto"/>
          <w:szCs w:val="24"/>
        </w:rPr>
        <w:t>meniscal</w:t>
      </w:r>
      <w:proofErr w:type="spellEnd"/>
      <w:r w:rsidR="00A31836">
        <w:rPr>
          <w:rFonts w:asciiTheme="minorHAnsi" w:hAnsiTheme="minorHAnsi"/>
          <w:color w:val="auto"/>
          <w:szCs w:val="24"/>
        </w:rPr>
        <w:t xml:space="preserve"> impairment)</w:t>
      </w:r>
      <w:r w:rsidR="005C71CE">
        <w:rPr>
          <w:rFonts w:asciiTheme="minorHAnsi" w:hAnsiTheme="minorHAnsi"/>
          <w:color w:val="auto"/>
          <w:szCs w:val="24"/>
        </w:rPr>
        <w:t xml:space="preserve">, and </w:t>
      </w:r>
      <w:r w:rsidR="00233D14">
        <w:rPr>
          <w:color w:val="000000" w:themeColor="text1"/>
          <w:szCs w:val="24"/>
        </w:rPr>
        <w:t>“k</w:t>
      </w:r>
      <w:r w:rsidR="005C71CE" w:rsidRPr="003C39C2">
        <w:rPr>
          <w:color w:val="000000" w:themeColor="text1"/>
          <w:szCs w:val="24"/>
        </w:rPr>
        <w:t>nee pain with repetitive or strenuous use</w:t>
      </w:r>
      <w:r w:rsidR="004D0FE9">
        <w:rPr>
          <w:color w:val="000000" w:themeColor="text1"/>
          <w:szCs w:val="24"/>
        </w:rPr>
        <w:t xml:space="preserve"> </w:t>
      </w:r>
      <w:r w:rsidR="00CB750F">
        <w:rPr>
          <w:color w:val="000000" w:themeColor="text1"/>
          <w:szCs w:val="24"/>
        </w:rPr>
        <w:t>generates a profile limiting tasks associated with soldiering.</w:t>
      </w:r>
      <w:r w:rsidR="005C71CE">
        <w:rPr>
          <w:color w:val="000000" w:themeColor="text1"/>
          <w:szCs w:val="24"/>
        </w:rPr>
        <w:t>”</w:t>
      </w:r>
      <w:r w:rsidR="00A31836">
        <w:rPr>
          <w:rFonts w:asciiTheme="minorHAnsi" w:hAnsiTheme="minorHAnsi"/>
          <w:color w:val="auto"/>
          <w:szCs w:val="24"/>
        </w:rPr>
        <w:t xml:space="preserve">  </w:t>
      </w:r>
      <w:r>
        <w:rPr>
          <w:rFonts w:asciiTheme="minorHAnsi" w:hAnsiTheme="minorHAnsi"/>
          <w:color w:val="auto"/>
          <w:szCs w:val="24"/>
        </w:rPr>
        <w:t xml:space="preserve">The VA rated the condition as </w:t>
      </w:r>
      <w:r w:rsidR="00A31836">
        <w:rPr>
          <w:rFonts w:asciiTheme="minorHAnsi" w:hAnsiTheme="minorHAnsi"/>
          <w:color w:val="auto"/>
          <w:szCs w:val="24"/>
        </w:rPr>
        <w:t>1</w:t>
      </w:r>
      <w:r>
        <w:rPr>
          <w:rFonts w:asciiTheme="minorHAnsi" w:hAnsiTheme="minorHAnsi"/>
          <w:color w:val="auto"/>
          <w:szCs w:val="24"/>
        </w:rPr>
        <w:t>0%, coded VASRD 52</w:t>
      </w:r>
      <w:r w:rsidR="00A31836">
        <w:rPr>
          <w:rFonts w:asciiTheme="minorHAnsi" w:hAnsiTheme="minorHAnsi"/>
          <w:color w:val="auto"/>
          <w:szCs w:val="24"/>
        </w:rPr>
        <w:t>57</w:t>
      </w:r>
      <w:r>
        <w:rPr>
          <w:rFonts w:asciiTheme="minorHAnsi" w:hAnsiTheme="minorHAnsi"/>
          <w:color w:val="auto"/>
          <w:szCs w:val="24"/>
        </w:rPr>
        <w:t xml:space="preserve"> (</w:t>
      </w:r>
      <w:r w:rsidR="00233D14">
        <w:rPr>
          <w:rFonts w:asciiTheme="minorHAnsi" w:hAnsiTheme="minorHAnsi"/>
          <w:color w:val="auto"/>
          <w:szCs w:val="24"/>
        </w:rPr>
        <w:t>k</w:t>
      </w:r>
      <w:r w:rsidR="00A31836">
        <w:rPr>
          <w:rFonts w:asciiTheme="minorHAnsi" w:hAnsiTheme="minorHAnsi"/>
          <w:color w:val="auto"/>
          <w:szCs w:val="24"/>
        </w:rPr>
        <w:t>nee, other impairment of:  recurrent subluxation or lateral instability</w:t>
      </w:r>
      <w:r w:rsidR="00A31836" w:rsidRPr="001A6BC7">
        <w:rPr>
          <w:rFonts w:asciiTheme="minorHAnsi" w:hAnsiTheme="minorHAnsi"/>
          <w:color w:val="auto"/>
          <w:szCs w:val="24"/>
        </w:rPr>
        <w:t xml:space="preserve">), </w:t>
      </w:r>
      <w:r w:rsidRPr="001A6BC7">
        <w:rPr>
          <w:rFonts w:asciiTheme="minorHAnsi" w:hAnsiTheme="minorHAnsi"/>
          <w:color w:val="auto"/>
          <w:szCs w:val="24"/>
        </w:rPr>
        <w:t xml:space="preserve">based on </w:t>
      </w:r>
      <w:r w:rsidR="005C6F56" w:rsidRPr="001A6BC7">
        <w:rPr>
          <w:rFonts w:asciiTheme="minorHAnsi" w:hAnsiTheme="minorHAnsi"/>
          <w:color w:val="auto"/>
          <w:szCs w:val="24"/>
        </w:rPr>
        <w:t xml:space="preserve">slight </w:t>
      </w:r>
      <w:r w:rsidR="00A31836" w:rsidRPr="001A6BC7">
        <w:rPr>
          <w:rFonts w:asciiTheme="minorHAnsi" w:hAnsiTheme="minorHAnsi"/>
          <w:color w:val="auto"/>
          <w:szCs w:val="24"/>
        </w:rPr>
        <w:t xml:space="preserve">lateral </w:t>
      </w:r>
      <w:r w:rsidR="00A31836" w:rsidRPr="001A6BC7">
        <w:rPr>
          <w:rFonts w:asciiTheme="minorHAnsi" w:hAnsiTheme="minorHAnsi"/>
          <w:color w:val="auto"/>
          <w:szCs w:val="24"/>
        </w:rPr>
        <w:lastRenderedPageBreak/>
        <w:t xml:space="preserve">instability </w:t>
      </w:r>
      <w:r w:rsidR="005C6F56" w:rsidRPr="001A6BC7">
        <w:rPr>
          <w:rFonts w:asciiTheme="minorHAnsi" w:hAnsiTheme="minorHAnsi"/>
          <w:color w:val="auto"/>
          <w:szCs w:val="24"/>
        </w:rPr>
        <w:t>but no gait abnormality.</w:t>
      </w:r>
      <w:r w:rsidR="006A425D" w:rsidRPr="001A6BC7">
        <w:rPr>
          <w:rFonts w:asciiTheme="minorHAnsi" w:hAnsiTheme="minorHAnsi"/>
          <w:color w:val="auto"/>
          <w:szCs w:val="24"/>
        </w:rPr>
        <w:t xml:space="preserve">  </w:t>
      </w:r>
      <w:r w:rsidR="00CB750F" w:rsidRPr="001A6BC7">
        <w:rPr>
          <w:rFonts w:asciiTheme="minorHAnsi" w:hAnsiTheme="minorHAnsi"/>
          <w:color w:val="auto"/>
          <w:szCs w:val="24"/>
        </w:rPr>
        <w:t xml:space="preserve">The Board determined that </w:t>
      </w:r>
      <w:r w:rsidR="001E0C3C" w:rsidRPr="001A6BC7">
        <w:rPr>
          <w:rFonts w:asciiTheme="minorHAnsi" w:hAnsiTheme="minorHAnsi"/>
          <w:color w:val="auto"/>
          <w:szCs w:val="24"/>
        </w:rPr>
        <w:t>the</w:t>
      </w:r>
      <w:r w:rsidR="00C242C6" w:rsidRPr="001A6BC7">
        <w:rPr>
          <w:rFonts w:asciiTheme="minorHAnsi" w:hAnsiTheme="minorHAnsi"/>
          <w:color w:val="auto"/>
          <w:szCs w:val="24"/>
        </w:rPr>
        <w:t xml:space="preserve">re was no </w:t>
      </w:r>
      <w:r w:rsidR="001E0C3C" w:rsidRPr="001A6BC7">
        <w:rPr>
          <w:rFonts w:asciiTheme="minorHAnsi" w:hAnsiTheme="minorHAnsi"/>
          <w:color w:val="auto"/>
          <w:szCs w:val="24"/>
        </w:rPr>
        <w:t xml:space="preserve">limitation of motion </w:t>
      </w:r>
      <w:r w:rsidR="00C242C6" w:rsidRPr="001A6BC7">
        <w:rPr>
          <w:rFonts w:asciiTheme="minorHAnsi" w:hAnsiTheme="minorHAnsi"/>
          <w:color w:val="auto"/>
          <w:szCs w:val="24"/>
        </w:rPr>
        <w:t xml:space="preserve">(comparable to the non-affected side) </w:t>
      </w:r>
      <w:r w:rsidR="001E0C3C" w:rsidRPr="001A6BC7">
        <w:rPr>
          <w:rFonts w:asciiTheme="minorHAnsi" w:hAnsiTheme="minorHAnsi"/>
          <w:color w:val="auto"/>
          <w:szCs w:val="24"/>
        </w:rPr>
        <w:t xml:space="preserve">and that </w:t>
      </w:r>
      <w:r w:rsidR="00602496" w:rsidRPr="001A6BC7">
        <w:rPr>
          <w:rFonts w:asciiTheme="minorHAnsi" w:hAnsiTheme="minorHAnsi"/>
          <w:color w:val="auto"/>
          <w:szCs w:val="24"/>
        </w:rPr>
        <w:t xml:space="preserve">the objective evidence preponderantly </w:t>
      </w:r>
      <w:r w:rsidR="00F44C1B" w:rsidRPr="001A6BC7">
        <w:rPr>
          <w:rFonts w:asciiTheme="minorHAnsi" w:hAnsiTheme="minorHAnsi"/>
          <w:color w:val="auto"/>
          <w:szCs w:val="24"/>
        </w:rPr>
        <w:t xml:space="preserve">indicated </w:t>
      </w:r>
      <w:r w:rsidR="00602496" w:rsidRPr="001A6BC7">
        <w:rPr>
          <w:rFonts w:asciiTheme="minorHAnsi" w:hAnsiTheme="minorHAnsi"/>
          <w:color w:val="auto"/>
          <w:szCs w:val="24"/>
        </w:rPr>
        <w:t>no pain on motion</w:t>
      </w:r>
      <w:r w:rsidR="00F44C1B" w:rsidRPr="001A6BC7">
        <w:rPr>
          <w:rFonts w:asciiTheme="minorHAnsi" w:hAnsiTheme="minorHAnsi"/>
          <w:color w:val="auto"/>
          <w:szCs w:val="24"/>
        </w:rPr>
        <w:t xml:space="preserve"> which is integral to justifying </w:t>
      </w:r>
      <w:r w:rsidR="001E0C3C" w:rsidRPr="001A6BC7">
        <w:rPr>
          <w:rFonts w:asciiTheme="minorHAnsi" w:hAnsiTheme="minorHAnsi"/>
          <w:color w:val="auto"/>
          <w:szCs w:val="24"/>
        </w:rPr>
        <w:t xml:space="preserve">a 10% rating IAW VASRD §4.59.  </w:t>
      </w:r>
      <w:r w:rsidR="00C242C6" w:rsidRPr="001A6BC7">
        <w:rPr>
          <w:rFonts w:asciiTheme="minorHAnsi" w:hAnsiTheme="minorHAnsi"/>
          <w:color w:val="auto"/>
          <w:szCs w:val="24"/>
        </w:rPr>
        <w:t>Although the pain in the knee was adjudged as not being “painful motion</w:t>
      </w:r>
      <w:r w:rsidR="003965D1">
        <w:rPr>
          <w:rFonts w:asciiTheme="minorHAnsi" w:hAnsiTheme="minorHAnsi"/>
          <w:color w:val="auto"/>
          <w:szCs w:val="24"/>
        </w:rPr>
        <w:t>,</w:t>
      </w:r>
      <w:r w:rsidR="00C242C6" w:rsidRPr="001A6BC7">
        <w:rPr>
          <w:rFonts w:asciiTheme="minorHAnsi" w:hAnsiTheme="minorHAnsi"/>
          <w:color w:val="auto"/>
          <w:szCs w:val="24"/>
        </w:rPr>
        <w:t xml:space="preserve">” this was considered as a pain symptom under the CI’s primary unfitting fibromyalgia condition.  </w:t>
      </w:r>
      <w:r w:rsidR="001E0C3C" w:rsidRPr="001A6BC7">
        <w:rPr>
          <w:rFonts w:asciiTheme="minorHAnsi" w:hAnsiTheme="minorHAnsi"/>
          <w:color w:val="auto"/>
          <w:szCs w:val="24"/>
        </w:rPr>
        <w:t>Additionally, t</w:t>
      </w:r>
      <w:r w:rsidR="00EF5035" w:rsidRPr="001A6BC7">
        <w:rPr>
          <w:rFonts w:asciiTheme="minorHAnsi" w:hAnsiTheme="minorHAnsi"/>
          <w:color w:val="auto"/>
          <w:szCs w:val="24"/>
        </w:rPr>
        <w:t xml:space="preserve">here was no clinical and/or radiologic evidence that suggested subluxation or lateral instability; </w:t>
      </w:r>
      <w:r w:rsidR="003C39C2" w:rsidRPr="001A6BC7">
        <w:rPr>
          <w:rFonts w:asciiTheme="minorHAnsi" w:hAnsiTheme="minorHAnsi"/>
          <w:color w:val="auto"/>
          <w:szCs w:val="24"/>
        </w:rPr>
        <w:t xml:space="preserve">dislocated cartilage, semilunar, with </w:t>
      </w:r>
      <w:r w:rsidR="00EF5035" w:rsidRPr="001A6BC7">
        <w:rPr>
          <w:rFonts w:asciiTheme="minorHAnsi" w:hAnsiTheme="minorHAnsi"/>
          <w:color w:val="auto"/>
          <w:szCs w:val="24"/>
        </w:rPr>
        <w:t xml:space="preserve">frequent episodes of locking, </w:t>
      </w:r>
      <w:r w:rsidR="003C39C2" w:rsidRPr="001A6BC7">
        <w:rPr>
          <w:rFonts w:asciiTheme="minorHAnsi" w:hAnsiTheme="minorHAnsi"/>
          <w:color w:val="auto"/>
          <w:szCs w:val="24"/>
        </w:rPr>
        <w:t>pain,</w:t>
      </w:r>
      <w:r w:rsidR="003C39C2" w:rsidRPr="00C242C6">
        <w:rPr>
          <w:rFonts w:asciiTheme="minorHAnsi" w:hAnsiTheme="minorHAnsi"/>
          <w:color w:val="auto"/>
          <w:szCs w:val="24"/>
        </w:rPr>
        <w:t xml:space="preserve"> and </w:t>
      </w:r>
      <w:r w:rsidR="00EF5035" w:rsidRPr="00C242C6">
        <w:rPr>
          <w:rFonts w:asciiTheme="minorHAnsi" w:hAnsiTheme="minorHAnsi"/>
          <w:color w:val="auto"/>
          <w:szCs w:val="24"/>
        </w:rPr>
        <w:t>effusion</w:t>
      </w:r>
      <w:r w:rsidR="00EF5035" w:rsidRPr="001E0C3C">
        <w:rPr>
          <w:rFonts w:asciiTheme="minorHAnsi" w:hAnsiTheme="minorHAnsi"/>
          <w:color w:val="auto"/>
          <w:szCs w:val="24"/>
        </w:rPr>
        <w:t xml:space="preserve">; ankylosis; or nonunion/malunion of the tibia or fibula that would have justified any alternate knee code with higher rating </w:t>
      </w:r>
      <w:r w:rsidR="00FD34E9" w:rsidRPr="001E0C3C">
        <w:rPr>
          <w:rFonts w:asciiTheme="minorHAnsi" w:hAnsiTheme="minorHAnsi"/>
          <w:color w:val="auto"/>
          <w:szCs w:val="24"/>
        </w:rPr>
        <w:t>potential</w:t>
      </w:r>
      <w:r w:rsidR="00981038" w:rsidRPr="001E0C3C">
        <w:rPr>
          <w:rFonts w:asciiTheme="minorHAnsi" w:hAnsiTheme="minorHAnsi"/>
          <w:color w:val="auto"/>
          <w:szCs w:val="24"/>
        </w:rPr>
        <w:t>.</w:t>
      </w:r>
      <w:r w:rsidR="004E559A" w:rsidRPr="001E0C3C">
        <w:rPr>
          <w:rFonts w:asciiTheme="minorHAnsi" w:hAnsiTheme="minorHAnsi"/>
          <w:color w:val="auto"/>
          <w:szCs w:val="24"/>
        </w:rPr>
        <w:t xml:space="preserve"> </w:t>
      </w:r>
      <w:r w:rsidR="001E0C3C" w:rsidRPr="001E0C3C">
        <w:rPr>
          <w:rFonts w:asciiTheme="minorHAnsi" w:hAnsiTheme="minorHAnsi"/>
          <w:color w:val="auto"/>
          <w:szCs w:val="24"/>
        </w:rPr>
        <w:t xml:space="preserve"> All evidence considered, there is not reasonable doubt in the CI’s favor supporting a change from the PEB’s rating decision for the left knee condition.  </w:t>
      </w:r>
    </w:p>
    <w:p w:rsidR="00EF5035" w:rsidRPr="001E0C3C" w:rsidRDefault="00EF5035" w:rsidP="006E07BB">
      <w:pPr>
        <w:jc w:val="both"/>
        <w:rPr>
          <w:rFonts w:asciiTheme="minorHAnsi" w:hAnsiTheme="minorHAnsi"/>
          <w:color w:val="auto"/>
          <w:szCs w:val="24"/>
        </w:rPr>
      </w:pPr>
    </w:p>
    <w:p w:rsidR="009D3113" w:rsidRDefault="004C60A3" w:rsidP="009D3113">
      <w:pPr>
        <w:jc w:val="both"/>
        <w:rPr>
          <w:color w:val="auto"/>
          <w:szCs w:val="24"/>
        </w:rPr>
      </w:pPr>
      <w:r w:rsidRPr="001E0C3C">
        <w:rPr>
          <w:rFonts w:eastAsia="HiddenHorzOCR"/>
          <w:color w:val="000000" w:themeColor="text1"/>
          <w:szCs w:val="24"/>
          <w:u w:val="single"/>
        </w:rPr>
        <w:t>Ot</w:t>
      </w:r>
      <w:r w:rsidR="003604A5" w:rsidRPr="001E0C3C">
        <w:rPr>
          <w:rFonts w:eastAsia="HiddenHorzOCR"/>
          <w:color w:val="000000" w:themeColor="text1"/>
          <w:szCs w:val="24"/>
          <w:u w:val="single"/>
        </w:rPr>
        <w:t xml:space="preserve">her </w:t>
      </w:r>
      <w:r w:rsidR="008F30F4" w:rsidRPr="001E0C3C">
        <w:rPr>
          <w:rFonts w:eastAsia="HiddenHorzOCR"/>
          <w:color w:val="000000" w:themeColor="text1"/>
          <w:szCs w:val="24"/>
          <w:u w:val="single"/>
        </w:rPr>
        <w:t xml:space="preserve">PEB </w:t>
      </w:r>
      <w:r w:rsidR="003604A5" w:rsidRPr="001E0C3C">
        <w:rPr>
          <w:rFonts w:eastAsia="HiddenHorzOCR"/>
          <w:color w:val="000000" w:themeColor="text1"/>
          <w:szCs w:val="24"/>
          <w:u w:val="single"/>
        </w:rPr>
        <w:t>Conditions</w:t>
      </w:r>
      <w:r w:rsidR="003604A5" w:rsidRPr="001E0C3C">
        <w:rPr>
          <w:rFonts w:eastAsia="HiddenHorzOCR"/>
          <w:color w:val="000000" w:themeColor="text1"/>
          <w:szCs w:val="24"/>
        </w:rPr>
        <w:t>.</w:t>
      </w:r>
      <w:r w:rsidR="002F2981" w:rsidRPr="001E0C3C">
        <w:rPr>
          <w:rFonts w:eastAsia="HiddenHorzOCR"/>
          <w:color w:val="000000" w:themeColor="text1"/>
          <w:szCs w:val="24"/>
        </w:rPr>
        <w:t xml:space="preserve"> </w:t>
      </w:r>
      <w:r w:rsidR="003C5B54" w:rsidRPr="001E0C3C">
        <w:rPr>
          <w:rFonts w:eastAsia="HiddenHorzOCR"/>
          <w:color w:val="000000" w:themeColor="text1"/>
          <w:szCs w:val="24"/>
        </w:rPr>
        <w:t xml:space="preserve"> </w:t>
      </w:r>
      <w:r w:rsidR="009D3113" w:rsidRPr="001E0C3C">
        <w:rPr>
          <w:color w:val="000000" w:themeColor="text1"/>
          <w:szCs w:val="24"/>
        </w:rPr>
        <w:t>The other condition forwarded by the MEB and adjudicated as not unfitting by the PEB was asthma</w:t>
      </w:r>
      <w:r w:rsidR="00F519C3" w:rsidRPr="001E0C3C">
        <w:rPr>
          <w:color w:val="000000" w:themeColor="text1"/>
          <w:szCs w:val="24"/>
        </w:rPr>
        <w:t xml:space="preserve"> (mild intermittent)</w:t>
      </w:r>
      <w:r w:rsidR="009D3113" w:rsidRPr="001E0C3C">
        <w:rPr>
          <w:color w:val="000000" w:themeColor="text1"/>
          <w:szCs w:val="24"/>
        </w:rPr>
        <w:t xml:space="preserve">.  </w:t>
      </w:r>
      <w:r w:rsidR="00EC5EDB" w:rsidRPr="001E0C3C">
        <w:rPr>
          <w:rFonts w:asciiTheme="minorHAnsi" w:hAnsiTheme="minorHAnsi"/>
          <w:color w:val="auto"/>
          <w:szCs w:val="24"/>
        </w:rPr>
        <w:t>The Board’s main charge in respect to th</w:t>
      </w:r>
      <w:r w:rsidR="00FD34E9" w:rsidRPr="001E0C3C">
        <w:rPr>
          <w:rFonts w:asciiTheme="minorHAnsi" w:hAnsiTheme="minorHAnsi"/>
          <w:color w:val="auto"/>
          <w:szCs w:val="24"/>
        </w:rPr>
        <w:t xml:space="preserve">is </w:t>
      </w:r>
      <w:r w:rsidR="00EC5EDB" w:rsidRPr="001E0C3C">
        <w:rPr>
          <w:rFonts w:asciiTheme="minorHAnsi" w:hAnsiTheme="minorHAnsi"/>
          <w:color w:val="auto"/>
          <w:szCs w:val="24"/>
        </w:rPr>
        <w:t xml:space="preserve">condition is an assessment of the appropriateness of the PEB’s fitness adjudication.  The Board’s threshold for countering DES fitness determinations is higher than the VASRD §4.3 (reasonable doubt) standard used for its rating recommendations, but remains adherent to the DoDI 6040.44 “fair and equitable” standard.  </w:t>
      </w:r>
      <w:r w:rsidR="00FE0B74" w:rsidRPr="001E0C3C">
        <w:rPr>
          <w:color w:val="000000" w:themeColor="text1"/>
          <w:szCs w:val="24"/>
        </w:rPr>
        <w:t>The CI was seen initially for this condition in June 2003, 19 months prior to separation, when she was noted to wheeze after a diagnostic physical fitness test.</w:t>
      </w:r>
      <w:r w:rsidR="00FC1640" w:rsidRPr="001E0C3C">
        <w:rPr>
          <w:color w:val="000000" w:themeColor="text1"/>
          <w:szCs w:val="24"/>
        </w:rPr>
        <w:t xml:space="preserve">  She had spirometry and methacholine challenge performed which was felt to be consistent with mild reactive airway disease; laryngoscopy which was normal; and a cardiopulmonary exercise test that was normal for exercise tolerance.  Medications at the time of the MEB included an as</w:t>
      </w:r>
      <w:r w:rsidR="00FD34E9" w:rsidRPr="001E0C3C">
        <w:rPr>
          <w:color w:val="000000" w:themeColor="text1"/>
          <w:szCs w:val="24"/>
        </w:rPr>
        <w:t>-</w:t>
      </w:r>
      <w:r w:rsidR="00FC1640" w:rsidRPr="001E0C3C">
        <w:rPr>
          <w:color w:val="000000" w:themeColor="text1"/>
          <w:szCs w:val="24"/>
        </w:rPr>
        <w:t xml:space="preserve">needed inhaled bronchodilator </w:t>
      </w:r>
      <w:r w:rsidR="00FD34E9" w:rsidRPr="001E0C3C">
        <w:rPr>
          <w:color w:val="000000" w:themeColor="text1"/>
          <w:szCs w:val="24"/>
        </w:rPr>
        <w:t xml:space="preserve">medication </w:t>
      </w:r>
      <w:r w:rsidR="00FC1640" w:rsidRPr="001E0C3C">
        <w:rPr>
          <w:color w:val="000000" w:themeColor="text1"/>
          <w:szCs w:val="24"/>
        </w:rPr>
        <w:t xml:space="preserve">(albuterol) and an oral anti-inflammatory </w:t>
      </w:r>
      <w:r w:rsidR="00FD34E9" w:rsidRPr="001E0C3C">
        <w:rPr>
          <w:color w:val="000000" w:themeColor="text1"/>
          <w:szCs w:val="24"/>
        </w:rPr>
        <w:t xml:space="preserve">medication </w:t>
      </w:r>
      <w:r w:rsidR="00FC1640" w:rsidRPr="001E0C3C">
        <w:rPr>
          <w:color w:val="000000" w:themeColor="text1"/>
          <w:szCs w:val="24"/>
        </w:rPr>
        <w:t>(singulaire).</w:t>
      </w:r>
      <w:r w:rsidR="00F519C3" w:rsidRPr="001E0C3C">
        <w:rPr>
          <w:color w:val="000000" w:themeColor="text1"/>
          <w:szCs w:val="24"/>
        </w:rPr>
        <w:t xml:space="preserve">  Attacks were occurring about once per week (primarily with exercise) and would last a few hours.  The CI felt at the time of her MEB exam that if not for her other medical problems, she would be able to pass the run portion of her Army physical fitness test.  </w:t>
      </w:r>
      <w:r w:rsidR="00736F32" w:rsidRPr="001E0C3C">
        <w:rPr>
          <w:color w:val="000000" w:themeColor="text1"/>
          <w:szCs w:val="24"/>
        </w:rPr>
        <w:t xml:space="preserve">Her pulmonologist had recommended her for a P2 profile for her asthma and opined that the condition was ‘stable’ and was “more likely to remain a persistent condition which could be substantially controlled with medications.”  In that the CI was able to wear </w:t>
      </w:r>
      <w:r w:rsidR="00FD34E9" w:rsidRPr="001E0C3C">
        <w:rPr>
          <w:color w:val="000000" w:themeColor="text1"/>
          <w:szCs w:val="24"/>
        </w:rPr>
        <w:t xml:space="preserve">a </w:t>
      </w:r>
      <w:r w:rsidR="00736F32" w:rsidRPr="001E0C3C">
        <w:rPr>
          <w:color w:val="000000" w:themeColor="text1"/>
          <w:szCs w:val="24"/>
        </w:rPr>
        <w:t>protective mask and all chemical defense equipment, there were no limitations on the final permanent profile that could be directly attributed to the asthma</w:t>
      </w:r>
      <w:r w:rsidR="00EC5EDB" w:rsidRPr="001E0C3C">
        <w:rPr>
          <w:color w:val="000000" w:themeColor="text1"/>
          <w:szCs w:val="24"/>
        </w:rPr>
        <w:t xml:space="preserve">; and the condition was not implicated in the commander’s statement.  </w:t>
      </w:r>
      <w:r w:rsidR="00FD34E9" w:rsidRPr="001E0C3C">
        <w:rPr>
          <w:color w:val="000000" w:themeColor="text1"/>
          <w:szCs w:val="24"/>
        </w:rPr>
        <w:t>Additionally, t</w:t>
      </w:r>
      <w:r w:rsidR="009D3113" w:rsidRPr="001E0C3C">
        <w:rPr>
          <w:color w:val="000000" w:themeColor="text1"/>
          <w:szCs w:val="24"/>
        </w:rPr>
        <w:t xml:space="preserve">here was no indication from the record that </w:t>
      </w:r>
      <w:r w:rsidR="00EC5EDB" w:rsidRPr="001E0C3C">
        <w:rPr>
          <w:color w:val="000000" w:themeColor="text1"/>
          <w:szCs w:val="24"/>
        </w:rPr>
        <w:t>this c</w:t>
      </w:r>
      <w:r w:rsidR="009D3113" w:rsidRPr="001E0C3C">
        <w:rPr>
          <w:color w:val="000000" w:themeColor="text1"/>
          <w:szCs w:val="24"/>
        </w:rPr>
        <w:t xml:space="preserve">ondition significantly interfered with satisfactory duty performance.  All </w:t>
      </w:r>
      <w:r w:rsidR="009D3113" w:rsidRPr="001E0C3C">
        <w:rPr>
          <w:color w:val="auto"/>
          <w:szCs w:val="24"/>
        </w:rPr>
        <w:t xml:space="preserve">evidence considered, there is not reasonable doubt in the CI’s favor supporting recharacterization of the PEB fitness adjudication for </w:t>
      </w:r>
      <w:r w:rsidR="00FD34E9" w:rsidRPr="001E0C3C">
        <w:rPr>
          <w:color w:val="auto"/>
          <w:szCs w:val="24"/>
        </w:rPr>
        <w:t xml:space="preserve">the stated asthma </w:t>
      </w:r>
      <w:r w:rsidR="009D3113" w:rsidRPr="001E0C3C">
        <w:rPr>
          <w:color w:val="auto"/>
          <w:szCs w:val="24"/>
        </w:rPr>
        <w:t>condition.</w:t>
      </w:r>
    </w:p>
    <w:p w:rsidR="00921A23" w:rsidRDefault="00921A23" w:rsidP="009D3113">
      <w:pPr>
        <w:jc w:val="both"/>
        <w:rPr>
          <w:color w:val="auto"/>
          <w:szCs w:val="24"/>
        </w:rPr>
      </w:pPr>
    </w:p>
    <w:p w:rsidR="00EC337D" w:rsidRPr="001F29F9" w:rsidRDefault="00EC337D" w:rsidP="00FD34E9">
      <w:pPr>
        <w:jc w:val="both"/>
        <w:rPr>
          <w:color w:val="000000" w:themeColor="text1"/>
          <w:szCs w:val="24"/>
        </w:rPr>
      </w:pPr>
      <w:r w:rsidRPr="001E0C3C">
        <w:rPr>
          <w:rFonts w:eastAsia="HiddenHorzOCR"/>
          <w:color w:val="000000" w:themeColor="text1"/>
          <w:szCs w:val="24"/>
          <w:u w:val="single"/>
        </w:rPr>
        <w:t>Other Contended Conditions</w:t>
      </w:r>
      <w:r w:rsidRPr="001E0C3C">
        <w:rPr>
          <w:rFonts w:eastAsia="HiddenHorzOCR"/>
          <w:color w:val="000000" w:themeColor="text1"/>
          <w:szCs w:val="24"/>
        </w:rPr>
        <w:t xml:space="preserve">.  The CI’s application asserts that compensable ratings should be considered for </w:t>
      </w:r>
      <w:r w:rsidR="00EC5EDB" w:rsidRPr="001E0C3C">
        <w:rPr>
          <w:rFonts w:eastAsia="HiddenHorzOCR"/>
          <w:color w:val="000000" w:themeColor="text1"/>
          <w:szCs w:val="24"/>
        </w:rPr>
        <w:t>depression</w:t>
      </w:r>
      <w:r w:rsidR="00D017C1" w:rsidRPr="001E0C3C">
        <w:rPr>
          <w:rFonts w:eastAsia="HiddenHorzOCR"/>
          <w:color w:val="000000" w:themeColor="text1"/>
          <w:szCs w:val="24"/>
        </w:rPr>
        <w:t xml:space="preserve"> (including </w:t>
      </w:r>
      <w:r w:rsidR="00D017C1" w:rsidRPr="001E0C3C">
        <w:rPr>
          <w:color w:val="000000" w:themeColor="text1"/>
          <w:szCs w:val="24"/>
        </w:rPr>
        <w:t>anxiety and panic attacks)</w:t>
      </w:r>
      <w:r w:rsidR="00EC5EDB" w:rsidRPr="001E0C3C">
        <w:rPr>
          <w:rFonts w:eastAsia="HiddenHorzOCR"/>
          <w:color w:val="000000" w:themeColor="text1"/>
          <w:szCs w:val="24"/>
        </w:rPr>
        <w:t xml:space="preserve">, seizure disorder, migraines, and rhinitis.  </w:t>
      </w:r>
      <w:r w:rsidR="008F033F" w:rsidRPr="001E0C3C">
        <w:rPr>
          <w:rFonts w:eastAsia="HiddenHorzOCR"/>
          <w:color w:val="000000" w:themeColor="text1"/>
          <w:szCs w:val="24"/>
        </w:rPr>
        <w:t>Symptoms of depression were identified by the rheumatologist in his evaluation of the</w:t>
      </w:r>
      <w:r w:rsidR="008F033F">
        <w:rPr>
          <w:rFonts w:eastAsia="HiddenHorzOCR"/>
          <w:color w:val="000000" w:themeColor="text1"/>
          <w:szCs w:val="24"/>
        </w:rPr>
        <w:t xml:space="preserve"> CI’s fibromyalgia condition.  The examiner opined that depression frequently coexists with fibromyalgia syndrome and can exacerbate the chronic pain syndrome or be a m</w:t>
      </w:r>
      <w:r w:rsidR="00C26872">
        <w:rPr>
          <w:rFonts w:eastAsia="HiddenHorzOCR"/>
          <w:color w:val="000000" w:themeColor="text1"/>
          <w:szCs w:val="24"/>
        </w:rPr>
        <w:t>a</w:t>
      </w:r>
      <w:r w:rsidR="008F033F">
        <w:rPr>
          <w:rFonts w:eastAsia="HiddenHorzOCR"/>
          <w:color w:val="000000" w:themeColor="text1"/>
          <w:szCs w:val="24"/>
        </w:rPr>
        <w:t>nif</w:t>
      </w:r>
      <w:r w:rsidR="00C26872">
        <w:rPr>
          <w:rFonts w:eastAsia="HiddenHorzOCR"/>
          <w:color w:val="000000" w:themeColor="text1"/>
          <w:szCs w:val="24"/>
        </w:rPr>
        <w:t>e</w:t>
      </w:r>
      <w:r w:rsidR="008F033F">
        <w:rPr>
          <w:rFonts w:eastAsia="HiddenHorzOCR"/>
          <w:color w:val="000000" w:themeColor="text1"/>
          <w:szCs w:val="24"/>
        </w:rPr>
        <w:t xml:space="preserve">station of someone who is in chronic pain.  </w:t>
      </w:r>
      <w:r w:rsidR="00164DEB">
        <w:rPr>
          <w:rFonts w:eastAsia="HiddenHorzOCR"/>
          <w:color w:val="000000" w:themeColor="text1"/>
          <w:szCs w:val="24"/>
        </w:rPr>
        <w:t xml:space="preserve">In review of the STR, it was noted that the mention of depression in any of the encounters was in context to the CI’s diagnoses of chronic pain.  </w:t>
      </w:r>
      <w:r w:rsidR="00C26872">
        <w:rPr>
          <w:rFonts w:eastAsia="HiddenHorzOCR"/>
          <w:color w:val="000000" w:themeColor="text1"/>
          <w:szCs w:val="24"/>
        </w:rPr>
        <w:t xml:space="preserve">There was nothing in the STR to indicate that the CI was </w:t>
      </w:r>
      <w:r w:rsidR="00164DEB">
        <w:rPr>
          <w:rFonts w:eastAsia="HiddenHorzOCR"/>
          <w:color w:val="000000" w:themeColor="text1"/>
          <w:szCs w:val="24"/>
        </w:rPr>
        <w:t xml:space="preserve">being seen specifically for her diagnosis of depression.  </w:t>
      </w:r>
      <w:r w:rsidR="00C26872">
        <w:rPr>
          <w:rFonts w:eastAsia="HiddenHorzOCR"/>
          <w:color w:val="000000" w:themeColor="text1"/>
          <w:szCs w:val="24"/>
        </w:rPr>
        <w:t>It can be presumed that the PEB considered depression as a comorbid condition of the fibromyalgia and subsumed any rating for this condition under its rating for fibro</w:t>
      </w:r>
      <w:r w:rsidR="00164DEB">
        <w:rPr>
          <w:rFonts w:eastAsia="HiddenHorzOCR"/>
          <w:color w:val="000000" w:themeColor="text1"/>
          <w:szCs w:val="24"/>
        </w:rPr>
        <w:t>m</w:t>
      </w:r>
      <w:r w:rsidR="00C26872">
        <w:rPr>
          <w:rFonts w:eastAsia="HiddenHorzOCR"/>
          <w:color w:val="000000" w:themeColor="text1"/>
          <w:szCs w:val="24"/>
        </w:rPr>
        <w:t xml:space="preserve">yalgia.  A note in the VA C&amp;P examination dated </w:t>
      </w:r>
      <w:r w:rsidR="00233D14">
        <w:rPr>
          <w:rFonts w:eastAsia="HiddenHorzOCR"/>
          <w:color w:val="000000" w:themeColor="text1"/>
          <w:szCs w:val="24"/>
        </w:rPr>
        <w:t xml:space="preserve">23 April </w:t>
      </w:r>
      <w:r w:rsidR="00C26872">
        <w:rPr>
          <w:rFonts w:eastAsia="HiddenHorzOCR"/>
          <w:color w:val="000000" w:themeColor="text1"/>
          <w:szCs w:val="24"/>
        </w:rPr>
        <w:t xml:space="preserve">2008 </w:t>
      </w:r>
      <w:r w:rsidR="0052201E">
        <w:rPr>
          <w:rFonts w:eastAsia="HiddenHorzOCR"/>
          <w:color w:val="000000" w:themeColor="text1"/>
          <w:szCs w:val="24"/>
        </w:rPr>
        <w:t xml:space="preserve">mentioned </w:t>
      </w:r>
      <w:r w:rsidR="00C26872">
        <w:rPr>
          <w:rFonts w:eastAsia="HiddenHorzOCR"/>
          <w:color w:val="000000" w:themeColor="text1"/>
          <w:szCs w:val="24"/>
        </w:rPr>
        <w:t xml:space="preserve">a PEB addendum completed on </w:t>
      </w:r>
      <w:r w:rsidR="00233D14">
        <w:rPr>
          <w:rFonts w:eastAsia="HiddenHorzOCR"/>
          <w:color w:val="000000" w:themeColor="text1"/>
          <w:szCs w:val="24"/>
        </w:rPr>
        <w:t xml:space="preserve">26 August </w:t>
      </w:r>
      <w:r w:rsidR="00C26872">
        <w:rPr>
          <w:rFonts w:eastAsia="HiddenHorzOCR"/>
          <w:color w:val="000000" w:themeColor="text1"/>
          <w:szCs w:val="24"/>
        </w:rPr>
        <w:t xml:space="preserve">2004 that added the diagnosis of ‘atypical depressive disorder’ but </w:t>
      </w:r>
      <w:r w:rsidR="0052201E">
        <w:rPr>
          <w:rFonts w:eastAsia="HiddenHorzOCR"/>
          <w:color w:val="000000" w:themeColor="text1"/>
          <w:szCs w:val="24"/>
        </w:rPr>
        <w:t xml:space="preserve">the only reference seen was the mention of atypical depressive disorder in the past medical history cited by the rheumatologist in his addendum write-ups.  The VA did not recognize depression as a specific condition until April 2008 (39 months post separation) </w:t>
      </w:r>
      <w:r w:rsidR="00164DEB">
        <w:rPr>
          <w:rFonts w:eastAsia="HiddenHorzOCR"/>
          <w:color w:val="000000" w:themeColor="text1"/>
          <w:szCs w:val="24"/>
        </w:rPr>
        <w:t xml:space="preserve">and deemed the effective date of the depression as </w:t>
      </w:r>
      <w:r w:rsidR="00233D14">
        <w:rPr>
          <w:rFonts w:eastAsia="HiddenHorzOCR"/>
          <w:color w:val="000000" w:themeColor="text1"/>
          <w:szCs w:val="24"/>
        </w:rPr>
        <w:t xml:space="preserve">17 October </w:t>
      </w:r>
      <w:r w:rsidR="00164DEB">
        <w:rPr>
          <w:rFonts w:eastAsia="HiddenHorzOCR"/>
          <w:color w:val="000000" w:themeColor="text1"/>
          <w:szCs w:val="24"/>
        </w:rPr>
        <w:t>2007 (32 months post separation).</w:t>
      </w:r>
      <w:r w:rsidR="001D6530">
        <w:rPr>
          <w:rFonts w:eastAsia="HiddenHorzOCR"/>
          <w:color w:val="000000" w:themeColor="text1"/>
          <w:szCs w:val="24"/>
        </w:rPr>
        <w:t xml:space="preserve">  </w:t>
      </w:r>
      <w:r w:rsidR="00C73CC6">
        <w:rPr>
          <w:rFonts w:eastAsia="HiddenHorzOCR"/>
          <w:color w:val="000000" w:themeColor="text1"/>
          <w:szCs w:val="24"/>
        </w:rPr>
        <w:t>As relates to seizures, there was documentation in the STR that the CI was admitted to an Army medical facility for possible seizure</w:t>
      </w:r>
      <w:r w:rsidR="00233D14">
        <w:rPr>
          <w:rFonts w:eastAsia="HiddenHorzOCR"/>
          <w:color w:val="000000" w:themeColor="text1"/>
          <w:szCs w:val="24"/>
        </w:rPr>
        <w:t xml:space="preserve"> disorder in November 2004.  A computerized t</w:t>
      </w:r>
      <w:r w:rsidR="00C73CC6">
        <w:rPr>
          <w:rFonts w:eastAsia="HiddenHorzOCR"/>
          <w:color w:val="000000" w:themeColor="text1"/>
          <w:szCs w:val="24"/>
        </w:rPr>
        <w:t xml:space="preserve">omography imaging study of the brain was normal and an </w:t>
      </w:r>
      <w:r w:rsidR="00F66424">
        <w:rPr>
          <w:rFonts w:eastAsia="HiddenHorzOCR"/>
          <w:color w:val="000000" w:themeColor="text1"/>
          <w:szCs w:val="24"/>
        </w:rPr>
        <w:t>e</w:t>
      </w:r>
      <w:r w:rsidR="00F66424" w:rsidRPr="00F66424">
        <w:rPr>
          <w:rFonts w:eastAsia="HiddenHorzOCR"/>
          <w:color w:val="000000" w:themeColor="text1"/>
          <w:szCs w:val="24"/>
        </w:rPr>
        <w:t>lectroencephalography</w:t>
      </w:r>
      <w:r w:rsidR="00C73CC6">
        <w:rPr>
          <w:rFonts w:eastAsia="HiddenHorzOCR"/>
          <w:color w:val="000000" w:themeColor="text1"/>
          <w:szCs w:val="24"/>
        </w:rPr>
        <w:t xml:space="preserve"> was done that was presumedly normal.  </w:t>
      </w:r>
      <w:r w:rsidR="006972DE">
        <w:rPr>
          <w:rFonts w:eastAsia="HiddenHorzOCR"/>
          <w:color w:val="000000" w:themeColor="text1"/>
          <w:szCs w:val="24"/>
        </w:rPr>
        <w:t xml:space="preserve">She </w:t>
      </w:r>
      <w:r w:rsidR="006972DE">
        <w:rPr>
          <w:rFonts w:eastAsia="HiddenHorzOCR"/>
          <w:color w:val="000000" w:themeColor="text1"/>
          <w:szCs w:val="24"/>
        </w:rPr>
        <w:lastRenderedPageBreak/>
        <w:t xml:space="preserve">reportedly had a second seizure in 2005 that was not medically evaluated.  </w:t>
      </w:r>
      <w:r w:rsidR="003A0A09">
        <w:rPr>
          <w:rFonts w:eastAsia="HiddenHorzOCR"/>
          <w:color w:val="000000" w:themeColor="text1"/>
          <w:szCs w:val="24"/>
        </w:rPr>
        <w:t xml:space="preserve">The VA first identified this as a condition on its C&amp;P examination dated </w:t>
      </w:r>
      <w:r w:rsidR="00233D14">
        <w:rPr>
          <w:rFonts w:eastAsia="HiddenHorzOCR"/>
          <w:color w:val="000000" w:themeColor="text1"/>
          <w:szCs w:val="24"/>
        </w:rPr>
        <w:t xml:space="preserve">21 April </w:t>
      </w:r>
      <w:r w:rsidR="003A0A09">
        <w:rPr>
          <w:rFonts w:eastAsia="HiddenHorzOCR"/>
          <w:color w:val="000000" w:themeColor="text1"/>
          <w:szCs w:val="24"/>
        </w:rPr>
        <w:t>2008 (39 months post separation) and rated it as 10%</w:t>
      </w:r>
      <w:r w:rsidR="006972DE">
        <w:rPr>
          <w:rFonts w:eastAsia="HiddenHorzOCR"/>
          <w:color w:val="000000" w:themeColor="text1"/>
          <w:szCs w:val="24"/>
        </w:rPr>
        <w:t xml:space="preserve"> effective </w:t>
      </w:r>
      <w:r w:rsidR="00233D14">
        <w:rPr>
          <w:rFonts w:eastAsia="HiddenHorzOCR"/>
          <w:color w:val="000000" w:themeColor="text1"/>
          <w:szCs w:val="24"/>
        </w:rPr>
        <w:t xml:space="preserve">17 October </w:t>
      </w:r>
      <w:r w:rsidR="006972DE">
        <w:rPr>
          <w:rFonts w:eastAsia="HiddenHorzOCR"/>
          <w:color w:val="000000" w:themeColor="text1"/>
          <w:szCs w:val="24"/>
        </w:rPr>
        <w:t xml:space="preserve">2007 (32 months post separation). </w:t>
      </w:r>
      <w:r w:rsidR="001D6530">
        <w:rPr>
          <w:rFonts w:eastAsia="HiddenHorzOCR"/>
          <w:color w:val="000000" w:themeColor="text1"/>
          <w:szCs w:val="24"/>
        </w:rPr>
        <w:t xml:space="preserve"> </w:t>
      </w:r>
      <w:r w:rsidR="00092980" w:rsidRPr="001E0C3C">
        <w:rPr>
          <w:rFonts w:eastAsia="HiddenHorzOCR"/>
          <w:color w:val="000000" w:themeColor="text1"/>
          <w:szCs w:val="24"/>
        </w:rPr>
        <w:t xml:space="preserve">References to migraine headaches in the STR were sparse.  The pulmonologist who evaluated her for her asthma in August 2003 indicated that the CI should see her Primary Care Provider to help with her migraine headaches.  There was nothing in the STR to indicate that this </w:t>
      </w:r>
      <w:r w:rsidR="00FD34E9" w:rsidRPr="001E0C3C">
        <w:rPr>
          <w:rFonts w:eastAsia="HiddenHorzOCR"/>
          <w:color w:val="000000" w:themeColor="text1"/>
          <w:szCs w:val="24"/>
        </w:rPr>
        <w:t xml:space="preserve">intervention </w:t>
      </w:r>
      <w:r w:rsidR="00092980" w:rsidRPr="001E0C3C">
        <w:rPr>
          <w:rFonts w:eastAsia="HiddenHorzOCR"/>
          <w:color w:val="000000" w:themeColor="text1"/>
          <w:szCs w:val="24"/>
        </w:rPr>
        <w:t xml:space="preserve">occurred.  </w:t>
      </w:r>
      <w:r w:rsidR="00D017C1" w:rsidRPr="001E0C3C">
        <w:rPr>
          <w:rFonts w:eastAsia="HiddenHorzOCR"/>
          <w:color w:val="000000" w:themeColor="text1"/>
          <w:szCs w:val="24"/>
        </w:rPr>
        <w:t xml:space="preserve">There was no evidence of prostrating headache episodes that interfered with duty performance.  </w:t>
      </w:r>
      <w:r w:rsidR="00092980" w:rsidRPr="001E0C3C">
        <w:rPr>
          <w:rFonts w:eastAsia="HiddenHorzOCR"/>
          <w:color w:val="000000" w:themeColor="text1"/>
          <w:szCs w:val="24"/>
        </w:rPr>
        <w:t xml:space="preserve">The VA first evaluated </w:t>
      </w:r>
      <w:r w:rsidR="00FD34E9" w:rsidRPr="001E0C3C">
        <w:rPr>
          <w:rFonts w:eastAsia="HiddenHorzOCR"/>
          <w:color w:val="000000" w:themeColor="text1"/>
          <w:szCs w:val="24"/>
        </w:rPr>
        <w:t xml:space="preserve">the migraine headache </w:t>
      </w:r>
      <w:r w:rsidR="00092980" w:rsidRPr="001E0C3C">
        <w:rPr>
          <w:rFonts w:eastAsia="HiddenHorzOCR"/>
          <w:color w:val="000000" w:themeColor="text1"/>
          <w:szCs w:val="24"/>
        </w:rPr>
        <w:t>condition 39 months post separation and rated it as 0% due to lack of supporting medical evidence.</w:t>
      </w:r>
      <w:r w:rsidR="001D6530">
        <w:rPr>
          <w:rFonts w:eastAsia="HiddenHorzOCR"/>
          <w:color w:val="000000" w:themeColor="text1"/>
          <w:szCs w:val="24"/>
        </w:rPr>
        <w:t xml:space="preserve">  </w:t>
      </w:r>
      <w:r w:rsidRPr="001D6530">
        <w:rPr>
          <w:rFonts w:eastAsia="HiddenHorzOCR"/>
          <w:color w:val="000000" w:themeColor="text1"/>
          <w:szCs w:val="24"/>
        </w:rPr>
        <w:t>All</w:t>
      </w:r>
      <w:r w:rsidRPr="001D6530">
        <w:rPr>
          <w:color w:val="000000" w:themeColor="text1"/>
        </w:rPr>
        <w:t xml:space="preserve"> </w:t>
      </w:r>
      <w:r w:rsidRPr="001D6530">
        <w:rPr>
          <w:color w:val="000000" w:themeColor="text1"/>
          <w:szCs w:val="24"/>
        </w:rPr>
        <w:t xml:space="preserve">of these conditions were reviewed by the </w:t>
      </w:r>
      <w:r w:rsidR="00F66424">
        <w:rPr>
          <w:color w:val="000000" w:themeColor="text1"/>
          <w:szCs w:val="24"/>
        </w:rPr>
        <w:t>action o</w:t>
      </w:r>
      <w:r w:rsidR="0080588E" w:rsidRPr="001D6530">
        <w:rPr>
          <w:color w:val="000000" w:themeColor="text1"/>
          <w:szCs w:val="24"/>
        </w:rPr>
        <w:t xml:space="preserve">fficer </w:t>
      </w:r>
      <w:r w:rsidRPr="001D6530">
        <w:rPr>
          <w:color w:val="000000" w:themeColor="text1"/>
          <w:szCs w:val="24"/>
        </w:rPr>
        <w:t xml:space="preserve">and considered by the Board.  </w:t>
      </w:r>
      <w:r w:rsidR="00D017C1" w:rsidRPr="001D6530">
        <w:rPr>
          <w:color w:val="000000" w:themeColor="text1"/>
          <w:szCs w:val="24"/>
        </w:rPr>
        <w:t xml:space="preserve">The rating for the CI’s unfitting fibromyalgia (5025) includes consideration of associated </w:t>
      </w:r>
      <w:r w:rsidR="00D017C1" w:rsidRPr="001D6530">
        <w:rPr>
          <w:rFonts w:cs="Calibri"/>
          <w:color w:val="000000"/>
          <w:szCs w:val="24"/>
        </w:rPr>
        <w:t xml:space="preserve">fatigue, sleep disturbance, headache, depression, </w:t>
      </w:r>
      <w:r w:rsidR="00D017C1" w:rsidRPr="001D6530">
        <w:rPr>
          <w:color w:val="000000" w:themeColor="text1"/>
          <w:szCs w:val="24"/>
        </w:rPr>
        <w:t xml:space="preserve">or </w:t>
      </w:r>
      <w:r w:rsidR="00D017C1" w:rsidRPr="001D6530">
        <w:rPr>
          <w:rFonts w:cs="Calibri"/>
          <w:color w:val="000000"/>
          <w:szCs w:val="24"/>
        </w:rPr>
        <w:t>anxiety, symptoms</w:t>
      </w:r>
      <w:r w:rsidR="00D017C1" w:rsidRPr="001D6530">
        <w:rPr>
          <w:color w:val="000000" w:themeColor="text1"/>
          <w:szCs w:val="24"/>
        </w:rPr>
        <w:t>.</w:t>
      </w:r>
      <w:r w:rsidR="001D6530" w:rsidRPr="001D6530">
        <w:rPr>
          <w:color w:val="000000" w:themeColor="text1"/>
          <w:szCs w:val="24"/>
        </w:rPr>
        <w:t xml:space="preserve">  </w:t>
      </w:r>
      <w:r w:rsidRPr="001D6530">
        <w:rPr>
          <w:color w:val="000000" w:themeColor="text1"/>
          <w:szCs w:val="24"/>
        </w:rPr>
        <w:t xml:space="preserve">There was no evidence for concluding that any of the conditions interfered with duty performance to a degree that could be argued as </w:t>
      </w:r>
      <w:r w:rsidR="00D017C1" w:rsidRPr="001D6530">
        <w:rPr>
          <w:color w:val="000000" w:themeColor="text1"/>
          <w:szCs w:val="24"/>
        </w:rPr>
        <w:t xml:space="preserve">separately </w:t>
      </w:r>
      <w:r w:rsidRPr="001D6530">
        <w:rPr>
          <w:color w:val="000000" w:themeColor="text1"/>
          <w:szCs w:val="24"/>
        </w:rPr>
        <w:t>unfitting.  The Board determined therefore that none of the sta</w:t>
      </w:r>
      <w:r w:rsidR="0028261C" w:rsidRPr="001D6530">
        <w:rPr>
          <w:color w:val="000000" w:themeColor="text1"/>
          <w:szCs w:val="24"/>
        </w:rPr>
        <w:t>ted conditions were subject to s</w:t>
      </w:r>
      <w:r w:rsidRPr="001D6530">
        <w:rPr>
          <w:color w:val="000000" w:themeColor="text1"/>
          <w:szCs w:val="24"/>
        </w:rPr>
        <w:t>ervice disability rating.</w:t>
      </w:r>
    </w:p>
    <w:p w:rsidR="00EC337D" w:rsidRPr="001F29F9" w:rsidRDefault="00EC337D" w:rsidP="00BF0E94">
      <w:pPr>
        <w:jc w:val="both"/>
        <w:rPr>
          <w:color w:val="000000" w:themeColor="text1"/>
          <w:szCs w:val="24"/>
        </w:rPr>
      </w:pPr>
    </w:p>
    <w:p w:rsidR="0011772D" w:rsidRPr="001F29F9" w:rsidRDefault="00EC337D" w:rsidP="0011772D">
      <w:pPr>
        <w:jc w:val="both"/>
        <w:rPr>
          <w:color w:val="000000" w:themeColor="text1"/>
          <w:szCs w:val="24"/>
        </w:rPr>
      </w:pPr>
      <w:r w:rsidRPr="001D6530">
        <w:rPr>
          <w:color w:val="000000" w:themeColor="text1"/>
          <w:szCs w:val="24"/>
          <w:u w:val="single"/>
        </w:rPr>
        <w:t>Remaining Conditions</w:t>
      </w:r>
      <w:r w:rsidRPr="001D6530">
        <w:rPr>
          <w:color w:val="000000" w:themeColor="text1"/>
          <w:szCs w:val="24"/>
        </w:rPr>
        <w:t xml:space="preserve">.  </w:t>
      </w:r>
      <w:r w:rsidR="00A02AA8" w:rsidRPr="001D6530">
        <w:rPr>
          <w:color w:val="000000" w:themeColor="text1"/>
          <w:szCs w:val="24"/>
        </w:rPr>
        <w:t xml:space="preserve">Other conditions identified in the DES file were </w:t>
      </w:r>
      <w:r w:rsidR="0011772D" w:rsidRPr="001D6530">
        <w:rPr>
          <w:color w:val="000000" w:themeColor="text1"/>
          <w:szCs w:val="24"/>
        </w:rPr>
        <w:t>anxiety and panic attacks</w:t>
      </w:r>
      <w:r w:rsidR="00D017C1" w:rsidRPr="001D6530">
        <w:rPr>
          <w:color w:val="000000" w:themeColor="text1"/>
          <w:szCs w:val="24"/>
        </w:rPr>
        <w:t xml:space="preserve"> which were included in consideration of depression above</w:t>
      </w:r>
      <w:r w:rsidR="0011772D" w:rsidRPr="001D6530">
        <w:rPr>
          <w:color w:val="000000" w:themeColor="text1"/>
          <w:szCs w:val="24"/>
        </w:rPr>
        <w:t xml:space="preserve">.  </w:t>
      </w:r>
      <w:r w:rsidR="00A02AA8" w:rsidRPr="001D6530">
        <w:rPr>
          <w:color w:val="000000" w:themeColor="text1"/>
          <w:szCs w:val="24"/>
        </w:rPr>
        <w:t xml:space="preserve">Several additional non-acute conditions or medical complaints were also documented.  None of these conditions were </w:t>
      </w:r>
      <w:r w:rsidR="0011772D" w:rsidRPr="001D6530">
        <w:rPr>
          <w:color w:val="000000" w:themeColor="text1"/>
          <w:szCs w:val="24"/>
        </w:rPr>
        <w:t xml:space="preserve">of </w:t>
      </w:r>
      <w:r w:rsidR="0011772D" w:rsidRPr="001D6530">
        <w:rPr>
          <w:rFonts w:asciiTheme="minorHAnsi" w:hAnsiTheme="minorHAnsi"/>
          <w:color w:val="auto"/>
          <w:szCs w:val="24"/>
        </w:rPr>
        <w:t>clinical or occupational significance during the MEB period</w:t>
      </w:r>
      <w:r w:rsidR="0080588E" w:rsidRPr="001D6530">
        <w:rPr>
          <w:color w:val="000000" w:themeColor="text1"/>
          <w:szCs w:val="24"/>
        </w:rPr>
        <w:t>,</w:t>
      </w:r>
      <w:r w:rsidR="00A02AA8" w:rsidRPr="001D6530">
        <w:rPr>
          <w:color w:val="000000" w:themeColor="text1"/>
          <w:szCs w:val="24"/>
        </w:rPr>
        <w:t xml:space="preserve"> none carried attached profiles</w:t>
      </w:r>
      <w:r w:rsidR="0080588E" w:rsidRPr="001D6530">
        <w:rPr>
          <w:color w:val="000000" w:themeColor="text1"/>
          <w:szCs w:val="24"/>
        </w:rPr>
        <w:t>,</w:t>
      </w:r>
      <w:r w:rsidR="00A02AA8" w:rsidRPr="001D6530">
        <w:rPr>
          <w:color w:val="000000" w:themeColor="text1"/>
          <w:szCs w:val="24"/>
        </w:rPr>
        <w:t xml:space="preserve"> and none were implicated in the </w:t>
      </w:r>
      <w:r w:rsidR="0080588E" w:rsidRPr="001D6530">
        <w:rPr>
          <w:color w:val="000000" w:themeColor="text1"/>
          <w:szCs w:val="24"/>
        </w:rPr>
        <w:t>c</w:t>
      </w:r>
      <w:r w:rsidR="00A02AA8" w:rsidRPr="001D6530">
        <w:rPr>
          <w:color w:val="000000" w:themeColor="text1"/>
          <w:szCs w:val="24"/>
        </w:rPr>
        <w:t xml:space="preserve">ommander’s statement.  These conditions were reviewed by the </w:t>
      </w:r>
      <w:r w:rsidR="00F66424">
        <w:rPr>
          <w:color w:val="000000" w:themeColor="text1"/>
          <w:szCs w:val="24"/>
        </w:rPr>
        <w:t>a</w:t>
      </w:r>
      <w:r w:rsidR="0080588E" w:rsidRPr="001D6530">
        <w:rPr>
          <w:color w:val="000000" w:themeColor="text1"/>
          <w:szCs w:val="24"/>
        </w:rPr>
        <w:t xml:space="preserve">ction </w:t>
      </w:r>
      <w:r w:rsidR="00F66424">
        <w:rPr>
          <w:color w:val="000000" w:themeColor="text1"/>
          <w:szCs w:val="24"/>
        </w:rPr>
        <w:t>o</w:t>
      </w:r>
      <w:r w:rsidR="0080588E" w:rsidRPr="001D6530">
        <w:rPr>
          <w:color w:val="000000" w:themeColor="text1"/>
          <w:szCs w:val="24"/>
        </w:rPr>
        <w:t xml:space="preserve">fficer </w:t>
      </w:r>
      <w:r w:rsidR="00A02AA8" w:rsidRPr="001D6530">
        <w:rPr>
          <w:color w:val="000000" w:themeColor="text1"/>
          <w:szCs w:val="24"/>
        </w:rPr>
        <w:t xml:space="preserve">and considered by the Board.  It was determined that none could be argued as unfitting and subject to separation rating.  </w:t>
      </w:r>
      <w:r w:rsidR="0011772D" w:rsidRPr="001D6530">
        <w:rPr>
          <w:rFonts w:asciiTheme="minorHAnsi" w:hAnsiTheme="minorHAnsi"/>
          <w:color w:val="auto"/>
          <w:szCs w:val="24"/>
        </w:rPr>
        <w:t>No other conditions were service connected with a compensable rating by the VA within twelve months of separation or contended by the CI.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216474" w:rsidRPr="00216474" w:rsidRDefault="00C56FC8" w:rsidP="00216474">
      <w:pPr>
        <w:jc w:val="both"/>
        <w:rPr>
          <w:rFonts w:asciiTheme="minorHAnsi" w:hAnsiTheme="minorHAnsi"/>
          <w:color w:val="auto"/>
          <w:szCs w:val="24"/>
        </w:rPr>
      </w:pPr>
      <w:r w:rsidRPr="001D6530">
        <w:rPr>
          <w:color w:val="000000" w:themeColor="text1"/>
          <w:szCs w:val="24"/>
          <w:u w:val="single"/>
        </w:rPr>
        <w:t>BOARD FINDINGS</w:t>
      </w:r>
      <w:r w:rsidRPr="001D6530">
        <w:rPr>
          <w:color w:val="000000" w:themeColor="text1"/>
          <w:szCs w:val="24"/>
        </w:rPr>
        <w:t>:</w:t>
      </w:r>
      <w:r w:rsidRPr="001D6530">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11772D" w:rsidRPr="001D6530">
        <w:rPr>
          <w:rFonts w:eastAsiaTheme="minorHAnsi"/>
          <w:color w:val="000000" w:themeColor="text1"/>
          <w:szCs w:val="24"/>
        </w:rPr>
        <w:t xml:space="preserve">  The Board did not surmise from the record or PEB ruling in this case that any prerogatives outside the VASRD were exercised.  In the matter of </w:t>
      </w:r>
      <w:r w:rsidR="00216474" w:rsidRPr="001D6530">
        <w:rPr>
          <w:rFonts w:eastAsiaTheme="minorHAnsi"/>
          <w:color w:val="000000" w:themeColor="text1"/>
          <w:szCs w:val="24"/>
        </w:rPr>
        <w:t xml:space="preserve">right foot pain </w:t>
      </w:r>
      <w:r w:rsidR="0011772D" w:rsidRPr="001D6530">
        <w:rPr>
          <w:rFonts w:eastAsiaTheme="minorHAnsi"/>
          <w:color w:val="000000" w:themeColor="text1"/>
          <w:szCs w:val="24"/>
        </w:rPr>
        <w:t xml:space="preserve">and IAW VASRD §4.71a, the Board unanimously recommends </w:t>
      </w:r>
      <w:r w:rsidR="00216474" w:rsidRPr="001D6530">
        <w:rPr>
          <w:rFonts w:eastAsiaTheme="minorHAnsi"/>
          <w:color w:val="000000" w:themeColor="text1"/>
          <w:szCs w:val="24"/>
        </w:rPr>
        <w:t>no change in the PEB rating of 1</w:t>
      </w:r>
      <w:r w:rsidR="0011772D" w:rsidRPr="001D6530">
        <w:rPr>
          <w:rFonts w:eastAsiaTheme="minorHAnsi"/>
          <w:color w:val="000000" w:themeColor="text1"/>
          <w:szCs w:val="24"/>
        </w:rPr>
        <w:t>0%</w:t>
      </w:r>
      <w:r w:rsidR="00D017C1" w:rsidRPr="001D6530">
        <w:rPr>
          <w:rFonts w:eastAsiaTheme="minorHAnsi"/>
          <w:color w:val="000000" w:themeColor="text1"/>
          <w:szCs w:val="24"/>
        </w:rPr>
        <w:t>,</w:t>
      </w:r>
      <w:r w:rsidR="0011772D" w:rsidRPr="001D6530">
        <w:rPr>
          <w:rFonts w:eastAsiaTheme="minorHAnsi"/>
          <w:color w:val="000000" w:themeColor="text1"/>
          <w:szCs w:val="24"/>
        </w:rPr>
        <w:t xml:space="preserve"> but a change in VASRD code to </w:t>
      </w:r>
      <w:r w:rsidR="00921A23" w:rsidRPr="001D6530">
        <w:rPr>
          <w:rFonts w:eastAsiaTheme="minorHAnsi"/>
          <w:color w:val="000000" w:themeColor="text1"/>
          <w:szCs w:val="24"/>
        </w:rPr>
        <w:t>5299-</w:t>
      </w:r>
      <w:r w:rsidR="00216474" w:rsidRPr="001D6530">
        <w:rPr>
          <w:rFonts w:eastAsiaTheme="minorHAnsi"/>
          <w:color w:val="000000" w:themeColor="text1"/>
          <w:szCs w:val="24"/>
        </w:rPr>
        <w:t xml:space="preserve">5279.  In the matter of the fibromyalgia condition, the Board unanimously recommends a rating of </w:t>
      </w:r>
      <w:r w:rsidR="001D6530" w:rsidRPr="001D6530">
        <w:rPr>
          <w:rFonts w:eastAsiaTheme="minorHAnsi"/>
          <w:color w:val="000000" w:themeColor="text1"/>
          <w:szCs w:val="24"/>
        </w:rPr>
        <w:t>2</w:t>
      </w:r>
      <w:r w:rsidR="00216474" w:rsidRPr="001D6530">
        <w:rPr>
          <w:rFonts w:eastAsiaTheme="minorHAnsi"/>
          <w:color w:val="000000" w:themeColor="text1"/>
          <w:szCs w:val="24"/>
        </w:rPr>
        <w:t xml:space="preserve">0% coded 5025 IAW VASRD §4.71a. </w:t>
      </w:r>
      <w:r w:rsidR="003A6C9F">
        <w:rPr>
          <w:rFonts w:eastAsiaTheme="minorHAnsi"/>
          <w:color w:val="000000" w:themeColor="text1"/>
          <w:szCs w:val="24"/>
        </w:rPr>
        <w:t xml:space="preserve"> </w:t>
      </w:r>
      <w:r w:rsidR="001D6530" w:rsidRPr="001D6530">
        <w:rPr>
          <w:rFonts w:asciiTheme="minorHAnsi" w:eastAsiaTheme="minorHAnsi" w:hAnsiTheme="minorHAnsi"/>
          <w:color w:val="auto"/>
          <w:szCs w:val="24"/>
        </w:rPr>
        <w:t xml:space="preserve">In the matter of the left knee pain condition and </w:t>
      </w:r>
      <w:r w:rsidR="001D6530" w:rsidRPr="001D6530">
        <w:rPr>
          <w:rFonts w:asciiTheme="minorHAnsi" w:hAnsiTheme="minorHAnsi"/>
          <w:color w:val="auto"/>
          <w:szCs w:val="24"/>
        </w:rPr>
        <w:t>IAW VASRD §4.71a</w:t>
      </w:r>
      <w:r w:rsidR="001D6530" w:rsidRPr="001D6530">
        <w:rPr>
          <w:rFonts w:asciiTheme="minorHAnsi" w:eastAsiaTheme="minorHAnsi" w:hAnsiTheme="minorHAnsi"/>
          <w:color w:val="auto"/>
          <w:szCs w:val="24"/>
        </w:rPr>
        <w:t>, the Board unanimously recommends no change in the PEB adjudication</w:t>
      </w:r>
      <w:r w:rsidR="001D6530" w:rsidRPr="001D6530">
        <w:rPr>
          <w:rFonts w:asciiTheme="minorHAnsi" w:hAnsiTheme="minorHAnsi"/>
          <w:color w:val="auto"/>
          <w:szCs w:val="24"/>
        </w:rPr>
        <w:t xml:space="preserve">.  </w:t>
      </w:r>
      <w:r w:rsidR="00216474" w:rsidRPr="001D6530">
        <w:rPr>
          <w:rFonts w:asciiTheme="minorHAnsi" w:hAnsiTheme="minorHAnsi"/>
          <w:color w:val="auto"/>
          <w:szCs w:val="24"/>
        </w:rPr>
        <w:t xml:space="preserve">In the matter of the asthma condition, the Board unanimously recommends no change from the PEB adjudication as not unfitting.  In the matter of the contended </w:t>
      </w:r>
      <w:r w:rsidR="00216474" w:rsidRPr="001D6530">
        <w:rPr>
          <w:rFonts w:eastAsia="HiddenHorzOCR"/>
          <w:color w:val="000000" w:themeColor="text1"/>
          <w:szCs w:val="24"/>
        </w:rPr>
        <w:t>depression</w:t>
      </w:r>
      <w:r w:rsidR="00D017C1" w:rsidRPr="001D6530">
        <w:rPr>
          <w:rFonts w:eastAsia="HiddenHorzOCR"/>
          <w:color w:val="000000" w:themeColor="text1"/>
          <w:szCs w:val="24"/>
        </w:rPr>
        <w:t xml:space="preserve"> (including </w:t>
      </w:r>
      <w:r w:rsidR="00D017C1" w:rsidRPr="001D6530">
        <w:rPr>
          <w:rFonts w:asciiTheme="minorHAnsi" w:hAnsiTheme="minorHAnsi"/>
          <w:color w:val="auto"/>
          <w:szCs w:val="24"/>
        </w:rPr>
        <w:t>anxiety, panic attacks)</w:t>
      </w:r>
      <w:r w:rsidR="00216474" w:rsidRPr="001D6530">
        <w:rPr>
          <w:rFonts w:eastAsia="HiddenHorzOCR"/>
          <w:color w:val="000000" w:themeColor="text1"/>
          <w:szCs w:val="24"/>
        </w:rPr>
        <w:t>, seizure disorder, migraine headache, and rhinitis</w:t>
      </w:r>
      <w:r w:rsidR="00216474" w:rsidRPr="001D6530">
        <w:rPr>
          <w:rFonts w:asciiTheme="minorHAnsi" w:hAnsiTheme="minorHAnsi"/>
          <w:color w:val="auto"/>
          <w:szCs w:val="24"/>
        </w:rPr>
        <w:t xml:space="preserve"> conditions, the Board unanimously agrees that it cannot recommend a finding of unfit for additional rating at separation.  </w:t>
      </w:r>
      <w:r w:rsidR="00722959" w:rsidRPr="001D6530">
        <w:rPr>
          <w:rFonts w:asciiTheme="minorHAnsi" w:hAnsiTheme="minorHAnsi"/>
          <w:color w:val="auto"/>
          <w:szCs w:val="24"/>
        </w:rPr>
        <w:t>In the matter of any other medical conditions eligible for Board consideration; the Board unanimously agrees that it cannot</w:t>
      </w:r>
      <w:r w:rsidR="00722959" w:rsidRPr="001D6530">
        <w:rPr>
          <w:rFonts w:asciiTheme="minorHAnsi" w:hAnsiTheme="minorHAnsi"/>
          <w:color w:val="000080"/>
          <w:szCs w:val="24"/>
        </w:rPr>
        <w:t xml:space="preserve"> </w:t>
      </w:r>
      <w:r w:rsidR="00722959" w:rsidRPr="001D6530">
        <w:rPr>
          <w:rFonts w:asciiTheme="minorHAnsi" w:hAnsiTheme="minorHAnsi"/>
          <w:color w:val="auto"/>
          <w:szCs w:val="24"/>
        </w:rPr>
        <w:t>recommend any findings of unfit for additional rating at separation.</w:t>
      </w:r>
    </w:p>
    <w:p w:rsidR="00216474" w:rsidRPr="001F29F9" w:rsidRDefault="0021647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1A6BC7" w:rsidRDefault="001A6BC7">
      <w:pPr>
        <w:rPr>
          <w:color w:val="000000" w:themeColor="text1"/>
          <w:szCs w:val="24"/>
          <w:u w:val="single"/>
        </w:rPr>
      </w:pPr>
      <w:r>
        <w:rPr>
          <w:color w:val="000000" w:themeColor="text1"/>
          <w:szCs w:val="24"/>
          <w:u w:val="single"/>
        </w:rPr>
        <w:br w:type="page"/>
      </w:r>
    </w:p>
    <w:p w:rsidR="008208C3" w:rsidRPr="00921A23" w:rsidRDefault="00C56FC8" w:rsidP="00ED64DA">
      <w:pPr>
        <w:jc w:val="both"/>
        <w:rPr>
          <w:color w:val="auto"/>
          <w:szCs w:val="24"/>
        </w:rPr>
      </w:pPr>
      <w:r w:rsidRPr="001F29F9">
        <w:rPr>
          <w:color w:val="000000" w:themeColor="text1"/>
          <w:szCs w:val="24"/>
          <w:u w:val="single"/>
        </w:rPr>
        <w:lastRenderedPageBreak/>
        <w:t>RECOMMENDATION</w:t>
      </w:r>
      <w:r w:rsidRPr="001F29F9">
        <w:rPr>
          <w:color w:val="000000" w:themeColor="text1"/>
          <w:szCs w:val="24"/>
        </w:rPr>
        <w:t>:</w:t>
      </w:r>
      <w:r w:rsidR="00921A23">
        <w:rPr>
          <w:color w:val="000000" w:themeColor="text1"/>
          <w:szCs w:val="24"/>
        </w:rPr>
        <w:t xml:space="preserve">  </w:t>
      </w:r>
      <w:r w:rsidR="008208C3" w:rsidRPr="001F29F9">
        <w:rPr>
          <w:color w:val="000000" w:themeColor="text1"/>
          <w:szCs w:val="24"/>
        </w:rPr>
        <w:t xml:space="preserve">The Board recommends that the CI’s prior determination be modified as follows and that the discharge with severance pay be recharacterized to reflect permanent disability retirement, effective as of the </w:t>
      </w:r>
      <w:r w:rsidR="008208C3" w:rsidRPr="001852FA">
        <w:rPr>
          <w:color w:val="000000" w:themeColor="text1"/>
          <w:szCs w:val="24"/>
        </w:rPr>
        <w:t>date of her</w:t>
      </w:r>
      <w:r w:rsidR="00911B11" w:rsidRPr="001852FA">
        <w:rPr>
          <w:color w:val="000000" w:themeColor="text1"/>
          <w:szCs w:val="24"/>
        </w:rPr>
        <w:t xml:space="preserve"> prior</w:t>
      </w:r>
      <w:r w:rsidR="00911B11" w:rsidRPr="001F29F9">
        <w:rPr>
          <w:color w:val="000000" w:themeColor="text1"/>
          <w:szCs w:val="24"/>
        </w:rPr>
        <w:t xml:space="preserve"> medical separation:</w:t>
      </w:r>
    </w:p>
    <w:p w:rsidR="008208C3" w:rsidRPr="00921A23" w:rsidRDefault="008208C3" w:rsidP="00BF0E94">
      <w:pPr>
        <w:jc w:val="both"/>
        <w:rPr>
          <w:color w:val="auto"/>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18"/>
        <w:gridCol w:w="1674"/>
        <w:gridCol w:w="1170"/>
      </w:tblGrid>
      <w:tr w:rsidR="00A95BBA" w:rsidRPr="001A6BC7" w:rsidTr="001A6BC7">
        <w:trPr>
          <w:trHeight w:val="233"/>
          <w:jc w:val="center"/>
        </w:trPr>
        <w:tc>
          <w:tcPr>
            <w:tcW w:w="6318" w:type="dxa"/>
            <w:shd w:val="clear" w:color="auto" w:fill="D9D9D9"/>
            <w:vAlign w:val="center"/>
          </w:tcPr>
          <w:p w:rsidR="00A95BBA" w:rsidRPr="001A6BC7" w:rsidRDefault="00A95BBA" w:rsidP="00BF0E94">
            <w:pPr>
              <w:tabs>
                <w:tab w:val="left" w:pos="288"/>
                <w:tab w:val="left" w:pos="4752"/>
              </w:tabs>
              <w:rPr>
                <w:b/>
                <w:color w:val="auto"/>
                <w:szCs w:val="24"/>
              </w:rPr>
            </w:pPr>
            <w:r w:rsidRPr="001A6BC7">
              <w:rPr>
                <w:b/>
                <w:color w:val="auto"/>
                <w:szCs w:val="24"/>
              </w:rPr>
              <w:t>UNFITTING CONDITION</w:t>
            </w:r>
          </w:p>
        </w:tc>
        <w:tc>
          <w:tcPr>
            <w:tcW w:w="1674" w:type="dxa"/>
            <w:shd w:val="clear" w:color="auto" w:fill="D9D9D9"/>
            <w:vAlign w:val="center"/>
          </w:tcPr>
          <w:p w:rsidR="00A95BBA" w:rsidRPr="001A6BC7" w:rsidRDefault="00A95BBA" w:rsidP="00BF0E94">
            <w:pPr>
              <w:tabs>
                <w:tab w:val="left" w:pos="288"/>
                <w:tab w:val="left" w:pos="4752"/>
              </w:tabs>
              <w:rPr>
                <w:b/>
                <w:color w:val="auto"/>
                <w:szCs w:val="24"/>
              </w:rPr>
            </w:pPr>
            <w:r w:rsidRPr="001A6BC7">
              <w:rPr>
                <w:b/>
                <w:color w:val="auto"/>
                <w:szCs w:val="24"/>
              </w:rPr>
              <w:t>VASRD CODE</w:t>
            </w:r>
          </w:p>
        </w:tc>
        <w:tc>
          <w:tcPr>
            <w:tcW w:w="1170" w:type="dxa"/>
            <w:shd w:val="clear" w:color="auto" w:fill="D9D9D9"/>
            <w:vAlign w:val="center"/>
          </w:tcPr>
          <w:p w:rsidR="00A95BBA" w:rsidRPr="001A6BC7" w:rsidRDefault="00A95BBA" w:rsidP="00BF0E94">
            <w:pPr>
              <w:tabs>
                <w:tab w:val="left" w:pos="288"/>
                <w:tab w:val="left" w:pos="4752"/>
              </w:tabs>
              <w:rPr>
                <w:b/>
                <w:color w:val="auto"/>
                <w:szCs w:val="24"/>
              </w:rPr>
            </w:pPr>
            <w:r w:rsidRPr="001A6BC7">
              <w:rPr>
                <w:b/>
                <w:color w:val="auto"/>
                <w:szCs w:val="24"/>
              </w:rPr>
              <w:t>RATING</w:t>
            </w:r>
          </w:p>
        </w:tc>
      </w:tr>
      <w:tr w:rsidR="00722959" w:rsidRPr="001A6BC7" w:rsidTr="001A6BC7">
        <w:trPr>
          <w:jc w:val="center"/>
        </w:trPr>
        <w:tc>
          <w:tcPr>
            <w:tcW w:w="6318" w:type="dxa"/>
            <w:vAlign w:val="center"/>
          </w:tcPr>
          <w:p w:rsidR="00722959" w:rsidRPr="001A6BC7" w:rsidRDefault="00722959" w:rsidP="00BF0E94">
            <w:pPr>
              <w:tabs>
                <w:tab w:val="left" w:pos="288"/>
                <w:tab w:val="left" w:pos="4752"/>
              </w:tabs>
              <w:jc w:val="left"/>
              <w:rPr>
                <w:color w:val="auto"/>
                <w:szCs w:val="24"/>
              </w:rPr>
            </w:pPr>
            <w:r w:rsidRPr="001A6BC7">
              <w:rPr>
                <w:color w:val="auto"/>
                <w:szCs w:val="24"/>
              </w:rPr>
              <w:t>Fibromyalgia</w:t>
            </w:r>
          </w:p>
        </w:tc>
        <w:tc>
          <w:tcPr>
            <w:tcW w:w="1674" w:type="dxa"/>
            <w:vAlign w:val="center"/>
          </w:tcPr>
          <w:p w:rsidR="00722959" w:rsidRPr="001A6BC7" w:rsidRDefault="00722959" w:rsidP="00BF0E94">
            <w:pPr>
              <w:tabs>
                <w:tab w:val="left" w:pos="288"/>
                <w:tab w:val="left" w:pos="4752"/>
              </w:tabs>
              <w:rPr>
                <w:color w:val="auto"/>
                <w:szCs w:val="24"/>
              </w:rPr>
            </w:pPr>
            <w:r w:rsidRPr="001A6BC7">
              <w:rPr>
                <w:color w:val="auto"/>
                <w:szCs w:val="24"/>
              </w:rPr>
              <w:t>5025</w:t>
            </w:r>
          </w:p>
        </w:tc>
        <w:tc>
          <w:tcPr>
            <w:tcW w:w="1170" w:type="dxa"/>
            <w:vAlign w:val="center"/>
          </w:tcPr>
          <w:p w:rsidR="00722959" w:rsidRPr="001A6BC7" w:rsidRDefault="001D6530" w:rsidP="00BF0E94">
            <w:pPr>
              <w:tabs>
                <w:tab w:val="left" w:pos="288"/>
                <w:tab w:val="left" w:pos="4752"/>
              </w:tabs>
              <w:rPr>
                <w:color w:val="auto"/>
                <w:szCs w:val="24"/>
              </w:rPr>
            </w:pPr>
            <w:r w:rsidRPr="001A6BC7">
              <w:rPr>
                <w:color w:val="auto"/>
                <w:szCs w:val="24"/>
              </w:rPr>
              <w:t>20%</w:t>
            </w:r>
          </w:p>
        </w:tc>
      </w:tr>
      <w:tr w:rsidR="00722959" w:rsidRPr="001A6BC7" w:rsidTr="001A6BC7">
        <w:trPr>
          <w:jc w:val="center"/>
        </w:trPr>
        <w:tc>
          <w:tcPr>
            <w:tcW w:w="6318" w:type="dxa"/>
            <w:vAlign w:val="center"/>
          </w:tcPr>
          <w:p w:rsidR="00722959" w:rsidRPr="001A6BC7" w:rsidRDefault="00722959" w:rsidP="00BF0E94">
            <w:pPr>
              <w:tabs>
                <w:tab w:val="left" w:pos="288"/>
                <w:tab w:val="left" w:pos="4752"/>
              </w:tabs>
              <w:jc w:val="left"/>
              <w:rPr>
                <w:color w:val="auto"/>
                <w:szCs w:val="24"/>
              </w:rPr>
            </w:pPr>
            <w:r w:rsidRPr="001A6BC7">
              <w:rPr>
                <w:color w:val="auto"/>
                <w:szCs w:val="24"/>
              </w:rPr>
              <w:t>Right Foot Pain</w:t>
            </w:r>
          </w:p>
        </w:tc>
        <w:tc>
          <w:tcPr>
            <w:tcW w:w="1674" w:type="dxa"/>
            <w:vAlign w:val="center"/>
          </w:tcPr>
          <w:p w:rsidR="00722959" w:rsidRPr="001A6BC7" w:rsidRDefault="00921A23" w:rsidP="00BF0E94">
            <w:pPr>
              <w:tabs>
                <w:tab w:val="left" w:pos="288"/>
                <w:tab w:val="left" w:pos="4752"/>
              </w:tabs>
              <w:rPr>
                <w:color w:val="auto"/>
                <w:szCs w:val="24"/>
              </w:rPr>
            </w:pPr>
            <w:r w:rsidRPr="001A6BC7">
              <w:rPr>
                <w:color w:val="auto"/>
                <w:szCs w:val="24"/>
              </w:rPr>
              <w:t>5299-</w:t>
            </w:r>
            <w:r w:rsidR="00722959" w:rsidRPr="001A6BC7">
              <w:rPr>
                <w:color w:val="auto"/>
                <w:szCs w:val="24"/>
              </w:rPr>
              <w:t>5279</w:t>
            </w:r>
          </w:p>
        </w:tc>
        <w:tc>
          <w:tcPr>
            <w:tcW w:w="1170" w:type="dxa"/>
            <w:vAlign w:val="center"/>
          </w:tcPr>
          <w:p w:rsidR="00722959" w:rsidRPr="001A6BC7" w:rsidRDefault="00722959" w:rsidP="00BF0E94">
            <w:pPr>
              <w:tabs>
                <w:tab w:val="left" w:pos="288"/>
                <w:tab w:val="left" w:pos="4752"/>
              </w:tabs>
              <w:rPr>
                <w:color w:val="auto"/>
                <w:szCs w:val="24"/>
              </w:rPr>
            </w:pPr>
            <w:r w:rsidRPr="001A6BC7">
              <w:rPr>
                <w:color w:val="auto"/>
                <w:szCs w:val="24"/>
              </w:rPr>
              <w:t>10%</w:t>
            </w:r>
          </w:p>
        </w:tc>
      </w:tr>
      <w:tr w:rsidR="00722959" w:rsidRPr="001A6BC7" w:rsidTr="001A6BC7">
        <w:trPr>
          <w:jc w:val="center"/>
        </w:trPr>
        <w:tc>
          <w:tcPr>
            <w:tcW w:w="6318" w:type="dxa"/>
            <w:vAlign w:val="center"/>
          </w:tcPr>
          <w:p w:rsidR="00722959" w:rsidRPr="001A6BC7" w:rsidRDefault="00722959" w:rsidP="00BF0E94">
            <w:pPr>
              <w:tabs>
                <w:tab w:val="left" w:pos="288"/>
                <w:tab w:val="left" w:pos="4752"/>
              </w:tabs>
              <w:jc w:val="left"/>
              <w:rPr>
                <w:color w:val="auto"/>
                <w:szCs w:val="24"/>
              </w:rPr>
            </w:pPr>
            <w:r w:rsidRPr="001A6BC7">
              <w:rPr>
                <w:color w:val="auto"/>
                <w:szCs w:val="24"/>
              </w:rPr>
              <w:t>Left Knee Pain</w:t>
            </w:r>
          </w:p>
        </w:tc>
        <w:tc>
          <w:tcPr>
            <w:tcW w:w="1674" w:type="dxa"/>
            <w:vAlign w:val="center"/>
          </w:tcPr>
          <w:p w:rsidR="00722959" w:rsidRPr="001A6BC7" w:rsidRDefault="00CC03F1" w:rsidP="00BF0E94">
            <w:pPr>
              <w:tabs>
                <w:tab w:val="left" w:pos="288"/>
                <w:tab w:val="left" w:pos="4752"/>
              </w:tabs>
              <w:rPr>
                <w:color w:val="auto"/>
                <w:szCs w:val="24"/>
              </w:rPr>
            </w:pPr>
            <w:r w:rsidRPr="001A6BC7">
              <w:rPr>
                <w:rFonts w:cs="Calibri"/>
                <w:color w:val="auto"/>
                <w:szCs w:val="24"/>
              </w:rPr>
              <w:t>5099-5003</w:t>
            </w:r>
          </w:p>
        </w:tc>
        <w:tc>
          <w:tcPr>
            <w:tcW w:w="1170" w:type="dxa"/>
            <w:vAlign w:val="center"/>
          </w:tcPr>
          <w:p w:rsidR="00722959" w:rsidRPr="001A6BC7" w:rsidRDefault="00722959" w:rsidP="001A6BC7">
            <w:pPr>
              <w:tabs>
                <w:tab w:val="left" w:pos="288"/>
                <w:tab w:val="left" w:pos="4752"/>
              </w:tabs>
              <w:rPr>
                <w:color w:val="auto"/>
                <w:szCs w:val="24"/>
              </w:rPr>
            </w:pPr>
            <w:r w:rsidRPr="001A6BC7">
              <w:rPr>
                <w:color w:val="auto"/>
                <w:szCs w:val="24"/>
              </w:rPr>
              <w:t>0%</w:t>
            </w:r>
          </w:p>
        </w:tc>
      </w:tr>
      <w:tr w:rsidR="004D0FE9" w:rsidRPr="001A6BC7" w:rsidTr="001A6BC7">
        <w:tblPrEx>
          <w:tblLook w:val="0000"/>
        </w:tblPrEx>
        <w:trPr>
          <w:gridBefore w:val="1"/>
          <w:wBefore w:w="6318" w:type="dxa"/>
          <w:trHeight w:val="152"/>
          <w:jc w:val="center"/>
        </w:trPr>
        <w:tc>
          <w:tcPr>
            <w:tcW w:w="1674" w:type="dxa"/>
            <w:tcBorders>
              <w:left w:val="single" w:sz="4" w:space="0" w:color="auto"/>
              <w:bottom w:val="single" w:sz="4" w:space="0" w:color="000000"/>
            </w:tcBorders>
            <w:shd w:val="clear" w:color="auto" w:fill="D9D9D9" w:themeFill="background1" w:themeFillShade="D9"/>
            <w:vAlign w:val="center"/>
          </w:tcPr>
          <w:p w:rsidR="004D0FE9" w:rsidRPr="001A6BC7" w:rsidRDefault="004D0FE9" w:rsidP="001A6BC7">
            <w:pPr>
              <w:tabs>
                <w:tab w:val="left" w:pos="288"/>
                <w:tab w:val="left" w:pos="4752"/>
              </w:tabs>
              <w:rPr>
                <w:b/>
                <w:color w:val="auto"/>
                <w:szCs w:val="24"/>
              </w:rPr>
            </w:pPr>
            <w:r w:rsidRPr="001A6BC7">
              <w:rPr>
                <w:b/>
                <w:color w:val="auto"/>
                <w:szCs w:val="24"/>
              </w:rPr>
              <w:t>COMBINED</w:t>
            </w:r>
          </w:p>
        </w:tc>
        <w:tc>
          <w:tcPr>
            <w:tcW w:w="1170" w:type="dxa"/>
            <w:tcBorders>
              <w:bottom w:val="single" w:sz="4" w:space="0" w:color="000000"/>
            </w:tcBorders>
            <w:shd w:val="clear" w:color="auto" w:fill="D9D9D9" w:themeFill="background1" w:themeFillShade="D9"/>
            <w:vAlign w:val="center"/>
          </w:tcPr>
          <w:p w:rsidR="004D0FE9" w:rsidRPr="001A6BC7" w:rsidRDefault="00CC03F1" w:rsidP="00BF0E94">
            <w:pPr>
              <w:tabs>
                <w:tab w:val="left" w:pos="288"/>
                <w:tab w:val="left" w:pos="4752"/>
              </w:tabs>
              <w:rPr>
                <w:b/>
                <w:color w:val="auto"/>
                <w:szCs w:val="24"/>
              </w:rPr>
            </w:pPr>
            <w:r w:rsidRPr="001A6BC7">
              <w:rPr>
                <w:b/>
                <w:color w:val="auto"/>
                <w:szCs w:val="24"/>
              </w:rPr>
              <w:t>3</w:t>
            </w:r>
            <w:r w:rsidR="004D0FE9" w:rsidRPr="001A6BC7">
              <w:rPr>
                <w:b/>
                <w:color w:val="auto"/>
                <w:szCs w:val="24"/>
              </w:rPr>
              <w:t>0%</w:t>
            </w:r>
          </w:p>
        </w:tc>
      </w:tr>
    </w:tbl>
    <w:p w:rsidR="005B1D09" w:rsidRPr="001A6BC7" w:rsidRDefault="005B1D09" w:rsidP="00BF0E94">
      <w:pPr>
        <w:pBdr>
          <w:bottom w:val="single" w:sz="12" w:space="1" w:color="auto"/>
        </w:pBdr>
        <w:tabs>
          <w:tab w:val="left" w:pos="288"/>
          <w:tab w:val="left" w:pos="4752"/>
        </w:tabs>
        <w:jc w:val="both"/>
        <w:rPr>
          <w:color w:val="auto"/>
        </w:rPr>
      </w:pPr>
    </w:p>
    <w:p w:rsidR="005B1D09" w:rsidRPr="001A6BC7" w:rsidRDefault="005B1D09" w:rsidP="00F42C56">
      <w:pPr>
        <w:jc w:val="both"/>
        <w:rPr>
          <w:color w:val="auto"/>
          <w:szCs w:val="24"/>
        </w:rPr>
      </w:pPr>
    </w:p>
    <w:p w:rsidR="00D91DA6" w:rsidRPr="001A6BC7" w:rsidRDefault="00FB1725" w:rsidP="00F42C56">
      <w:pPr>
        <w:tabs>
          <w:tab w:val="left" w:pos="288"/>
          <w:tab w:val="left" w:pos="4752"/>
        </w:tabs>
        <w:jc w:val="both"/>
        <w:rPr>
          <w:color w:val="auto"/>
        </w:rPr>
      </w:pPr>
      <w:r w:rsidRPr="001A6BC7">
        <w:rPr>
          <w:color w:val="auto"/>
        </w:rPr>
        <w:t>The following documentary evidence was considered:</w:t>
      </w:r>
    </w:p>
    <w:p w:rsidR="00EB5EFD" w:rsidRPr="001F29F9" w:rsidRDefault="00EB5EFD" w:rsidP="00F42C56">
      <w:pPr>
        <w:tabs>
          <w:tab w:val="left" w:pos="288"/>
          <w:tab w:val="left" w:pos="4752"/>
        </w:tabs>
        <w:jc w:val="both"/>
        <w:rPr>
          <w:color w:val="000000" w:themeColor="text1"/>
        </w:rPr>
      </w:pPr>
    </w:p>
    <w:p w:rsidR="00114F20" w:rsidRPr="001F29F9" w:rsidRDefault="00FB1725" w:rsidP="00F42C56">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2961DB">
        <w:rPr>
          <w:color w:val="000000" w:themeColor="text1"/>
          <w:szCs w:val="24"/>
        </w:rPr>
        <w:t>01028</w:t>
      </w:r>
      <w:r w:rsidR="00F66424">
        <w:rPr>
          <w:color w:val="000000" w:themeColor="text1"/>
        </w:rPr>
        <w:t>, w/</w:t>
      </w:r>
      <w:proofErr w:type="spellStart"/>
      <w:r w:rsidR="00F66424">
        <w:rPr>
          <w:color w:val="000000" w:themeColor="text1"/>
        </w:rPr>
        <w:t>atchs</w:t>
      </w:r>
      <w:proofErr w:type="spellEnd"/>
    </w:p>
    <w:p w:rsidR="00114F20" w:rsidRPr="001F29F9" w:rsidRDefault="00FB1725" w:rsidP="00F42C56">
      <w:pPr>
        <w:tabs>
          <w:tab w:val="left" w:pos="288"/>
          <w:tab w:val="left" w:pos="4752"/>
        </w:tabs>
        <w:jc w:val="both"/>
        <w:rPr>
          <w:color w:val="000000" w:themeColor="text1"/>
        </w:rPr>
      </w:pPr>
      <w:r w:rsidRPr="001F29F9">
        <w:rPr>
          <w:color w:val="000000" w:themeColor="text1"/>
        </w:rPr>
        <w:t>Exhib</w:t>
      </w:r>
      <w:r w:rsidR="00F66424">
        <w:rPr>
          <w:color w:val="000000" w:themeColor="text1"/>
        </w:rPr>
        <w:t>it B.  Service Treatment Record</w:t>
      </w:r>
    </w:p>
    <w:p w:rsidR="00114F20" w:rsidRPr="001F29F9" w:rsidRDefault="00FB1725" w:rsidP="00F42C56">
      <w:pPr>
        <w:tabs>
          <w:tab w:val="left" w:pos="288"/>
          <w:tab w:val="left" w:pos="4752"/>
        </w:tabs>
        <w:jc w:val="both"/>
        <w:rPr>
          <w:color w:val="000000" w:themeColor="text1"/>
        </w:rPr>
      </w:pPr>
      <w:r w:rsidRPr="001F29F9">
        <w:rPr>
          <w:color w:val="000000" w:themeColor="text1"/>
        </w:rPr>
        <w:t>Exhibit C.  Department of Ve</w:t>
      </w:r>
      <w:r w:rsidR="00F66424">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73661A"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73661A" w:rsidRDefault="0073661A">
      <w:pPr>
        <w:rPr>
          <w:color w:val="000000" w:themeColor="text1"/>
          <w:szCs w:val="24"/>
        </w:rPr>
      </w:pPr>
      <w:r>
        <w:rPr>
          <w:color w:val="000000" w:themeColor="text1"/>
          <w:szCs w:val="24"/>
        </w:rPr>
        <w:br w:type="page"/>
      </w:r>
    </w:p>
    <w:p w:rsidR="0073661A" w:rsidRDefault="0073661A" w:rsidP="0073661A">
      <w:pPr>
        <w:pStyle w:val="Header"/>
        <w:tabs>
          <w:tab w:val="clear" w:pos="4320"/>
          <w:tab w:val="clear" w:pos="8640"/>
        </w:tabs>
        <w:jc w:val="left"/>
      </w:pPr>
      <w:r>
        <w:lastRenderedPageBreak/>
        <w:t>SFMR-RB</w:t>
      </w:r>
      <w:r>
        <w:tab/>
      </w:r>
      <w:r>
        <w:tab/>
      </w:r>
      <w:r>
        <w:tab/>
      </w:r>
      <w:r>
        <w:tab/>
      </w:r>
      <w:r>
        <w:tab/>
      </w:r>
      <w:r>
        <w:tab/>
      </w:r>
      <w:r>
        <w:tab/>
      </w:r>
      <w:r>
        <w:tab/>
      </w:r>
      <w:r>
        <w:tab/>
      </w:r>
    </w:p>
    <w:p w:rsidR="0073661A" w:rsidRDefault="0073661A" w:rsidP="0073661A">
      <w:pPr>
        <w:pStyle w:val="Header"/>
        <w:tabs>
          <w:tab w:val="clear" w:pos="4320"/>
          <w:tab w:val="clear" w:pos="8640"/>
        </w:tabs>
        <w:jc w:val="left"/>
      </w:pPr>
    </w:p>
    <w:p w:rsidR="0073661A" w:rsidRDefault="0073661A" w:rsidP="0073661A">
      <w:pPr>
        <w:jc w:val="left"/>
      </w:pPr>
    </w:p>
    <w:p w:rsidR="0073661A" w:rsidRDefault="0073661A" w:rsidP="0073661A">
      <w:pPr>
        <w:jc w:val="left"/>
      </w:pPr>
      <w:r>
        <w:t xml:space="preserve">MEMORANDUM FOR Commander, US Army Physical Disability Agency </w:t>
      </w:r>
    </w:p>
    <w:p w:rsidR="0073661A" w:rsidRDefault="0073661A" w:rsidP="0073661A">
      <w:pPr>
        <w:jc w:val="left"/>
      </w:pPr>
    </w:p>
    <w:p w:rsidR="0073661A" w:rsidRDefault="0073661A" w:rsidP="0073661A">
      <w:pPr>
        <w:jc w:val="left"/>
      </w:pPr>
    </w:p>
    <w:p w:rsidR="0073661A" w:rsidRDefault="0073661A" w:rsidP="0073661A">
      <w:pPr>
        <w:ind w:right="-180"/>
        <w:jc w:val="left"/>
      </w:pPr>
      <w:r>
        <w:t xml:space="preserve">SUBJECT:  Department of Defense Physical Disability Board of Review Recommendation </w:t>
      </w:r>
    </w:p>
    <w:p w:rsidR="0073661A" w:rsidRDefault="0073661A" w:rsidP="0073661A">
      <w:pPr>
        <w:pStyle w:val="Header"/>
        <w:tabs>
          <w:tab w:val="clear" w:pos="4320"/>
          <w:tab w:val="clear" w:pos="8640"/>
        </w:tabs>
        <w:jc w:val="left"/>
      </w:pPr>
    </w:p>
    <w:p w:rsidR="0073661A" w:rsidRDefault="0073661A" w:rsidP="0073661A">
      <w:pPr>
        <w:jc w:val="left"/>
      </w:pPr>
    </w:p>
    <w:p w:rsidR="0073661A" w:rsidRPr="00B904A2" w:rsidRDefault="0073661A" w:rsidP="0073661A">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w:t>
      </w:r>
      <w:r w:rsidRPr="00B904A2">
        <w:t xml:space="preserve">% effective the date of the individual’s </w:t>
      </w:r>
      <w:r>
        <w:t xml:space="preserve">original medical </w:t>
      </w:r>
      <w:r w:rsidRPr="00B904A2">
        <w:t>separation for disability with</w:t>
      </w:r>
      <w:r>
        <w:t xml:space="preserve"> </w:t>
      </w:r>
      <w:r w:rsidRPr="00B904A2">
        <w:t xml:space="preserve">severance pay.  </w:t>
      </w:r>
    </w:p>
    <w:p w:rsidR="0073661A" w:rsidRPr="00B904A2" w:rsidRDefault="0073661A" w:rsidP="0073661A">
      <w:pPr>
        <w:jc w:val="left"/>
      </w:pPr>
    </w:p>
    <w:p w:rsidR="0073661A" w:rsidRDefault="0073661A" w:rsidP="0073661A">
      <w:pPr>
        <w:jc w:val="left"/>
      </w:pPr>
      <w:r w:rsidRPr="00FF16DA">
        <w:t>2.  I direct that all the Department of the Army records of the individual concerned be corrected accordingly no later than 120 day</w:t>
      </w:r>
      <w:r>
        <w:t>s from the date of this memorandum:</w:t>
      </w:r>
    </w:p>
    <w:p w:rsidR="0073661A" w:rsidRDefault="0073661A" w:rsidP="0073661A">
      <w:pPr>
        <w:jc w:val="left"/>
      </w:pPr>
    </w:p>
    <w:p w:rsidR="0073661A" w:rsidRDefault="0073661A" w:rsidP="0073661A">
      <w:pPr>
        <w:jc w:val="left"/>
      </w:pPr>
      <w:r>
        <w:tab/>
        <w:t>a.  P</w:t>
      </w:r>
      <w:r w:rsidRPr="00FF16DA">
        <w:t xml:space="preserve">roviding a correction to the individual’s separation document showing that the individual was separated by reason of </w:t>
      </w:r>
      <w:r>
        <w:t xml:space="preserve">permanent </w:t>
      </w:r>
      <w:r w:rsidRPr="00FF16DA">
        <w:t xml:space="preserve">disability </w:t>
      </w:r>
      <w:r>
        <w:t xml:space="preserve">retirement </w:t>
      </w:r>
      <w:r w:rsidRPr="00FF16DA">
        <w:t>effective the date of the original medical separation for disability with severance pay</w:t>
      </w:r>
      <w:r>
        <w:t>.</w:t>
      </w:r>
    </w:p>
    <w:p w:rsidR="0073661A" w:rsidRDefault="0073661A" w:rsidP="0073661A">
      <w:pPr>
        <w:jc w:val="left"/>
      </w:pPr>
    </w:p>
    <w:p w:rsidR="0073661A" w:rsidRDefault="0073661A" w:rsidP="0073661A">
      <w:pPr>
        <w:jc w:val="left"/>
      </w:pPr>
      <w:r>
        <w:tab/>
      </w:r>
      <w:proofErr w:type="gramStart"/>
      <w:r>
        <w:t>b.  P</w:t>
      </w:r>
      <w:r w:rsidRPr="00FF16DA">
        <w:t>roviding</w:t>
      </w:r>
      <w:proofErr w:type="gramEnd"/>
      <w:r w:rsidRPr="00FF16DA">
        <w:t xml:space="preserve"> orders showing that the individual was retired with permanent disability effective the date of the original medical separation for disability with severance pay</w:t>
      </w:r>
      <w:r>
        <w:t>.</w:t>
      </w:r>
    </w:p>
    <w:p w:rsidR="0073661A" w:rsidRDefault="0073661A" w:rsidP="0073661A">
      <w:pPr>
        <w:jc w:val="left"/>
      </w:pPr>
    </w:p>
    <w:p w:rsidR="0073661A" w:rsidRDefault="0073661A" w:rsidP="0073661A">
      <w:pPr>
        <w:jc w:val="left"/>
      </w:pPr>
      <w:r>
        <w:tab/>
      </w:r>
      <w:proofErr w:type="gramStart"/>
      <w:r>
        <w:t>c.  A</w:t>
      </w:r>
      <w:r w:rsidRPr="00FF16DA">
        <w:t>djusting</w:t>
      </w:r>
      <w:proofErr w:type="gramEnd"/>
      <w:r w:rsidRPr="00FF16DA">
        <w:t xml:space="preserve"> pay and allowances accordingly.  Pay and allowance adjustment will account for recoupment of severance pay, and payment of permanent retired pay at </w:t>
      </w:r>
      <w:r>
        <w:t>30</w:t>
      </w:r>
      <w:r w:rsidRPr="00FF16DA">
        <w:t>% effective the date of the original medical separation for disability with severance pay</w:t>
      </w:r>
      <w:r>
        <w:t>.</w:t>
      </w:r>
    </w:p>
    <w:p w:rsidR="0073661A" w:rsidRDefault="0073661A" w:rsidP="0073661A">
      <w:pPr>
        <w:jc w:val="left"/>
      </w:pPr>
    </w:p>
    <w:p w:rsidR="0073661A" w:rsidRDefault="0073661A" w:rsidP="0073661A">
      <w:pPr>
        <w:jc w:val="left"/>
      </w:pPr>
      <w:r>
        <w:tab/>
      </w:r>
      <w:proofErr w:type="gramStart"/>
      <w:r>
        <w:t>d.  Affording</w:t>
      </w:r>
      <w:proofErr w:type="gramEnd"/>
      <w:r>
        <w:t xml:space="preserve"> the </w:t>
      </w:r>
      <w:r w:rsidRPr="00FF16DA">
        <w:t>individual the opportunity to elect Survivor Benefit Plan (SBP) and medical TRICARE retiree options.</w:t>
      </w:r>
    </w:p>
    <w:p w:rsidR="0073661A" w:rsidRDefault="0073661A" w:rsidP="0073661A">
      <w:pPr>
        <w:jc w:val="left"/>
      </w:pPr>
    </w:p>
    <w:p w:rsidR="0073661A" w:rsidRDefault="0073661A" w:rsidP="0073661A">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73661A" w:rsidRDefault="0073661A" w:rsidP="0073661A">
      <w:pPr>
        <w:jc w:val="left"/>
      </w:pPr>
    </w:p>
    <w:p w:rsidR="0073661A" w:rsidRDefault="0073661A" w:rsidP="0073661A">
      <w:pPr>
        <w:jc w:val="left"/>
      </w:pPr>
      <w:r>
        <w:t>BY ORDER OF THE SECRETARY OF THE ARMY:</w:t>
      </w:r>
    </w:p>
    <w:p w:rsidR="0073661A" w:rsidRDefault="0073661A" w:rsidP="0073661A">
      <w:pPr>
        <w:jc w:val="left"/>
      </w:pPr>
    </w:p>
    <w:p w:rsidR="0073661A" w:rsidRDefault="0073661A" w:rsidP="0073661A">
      <w:pPr>
        <w:jc w:val="left"/>
      </w:pPr>
    </w:p>
    <w:p w:rsidR="0073661A" w:rsidRDefault="0073661A" w:rsidP="0073661A">
      <w:pPr>
        <w:pStyle w:val="Header"/>
        <w:tabs>
          <w:tab w:val="clear" w:pos="4320"/>
          <w:tab w:val="clear" w:pos="8640"/>
        </w:tabs>
        <w:jc w:val="left"/>
      </w:pPr>
    </w:p>
    <w:p w:rsidR="0073661A" w:rsidRDefault="0073661A" w:rsidP="0073661A">
      <w:pPr>
        <w:jc w:val="left"/>
      </w:pPr>
    </w:p>
    <w:p w:rsidR="0073661A" w:rsidRDefault="0073661A" w:rsidP="0073661A">
      <w:pPr>
        <w:jc w:val="left"/>
      </w:pPr>
      <w:bookmarkStart w:id="0" w:name="OLE_LINK3"/>
      <w:bookmarkStart w:id="1" w:name="OLE_LINK4"/>
      <w:r>
        <w:t>Encl</w:t>
      </w:r>
      <w:r>
        <w:tab/>
      </w:r>
      <w:r>
        <w:tab/>
      </w:r>
      <w:r>
        <w:tab/>
      </w:r>
      <w:r>
        <w:tab/>
      </w:r>
      <w:r>
        <w:tab/>
      </w:r>
      <w:r>
        <w:tab/>
        <w:t xml:space="preserve">    </w:t>
      </w:r>
    </w:p>
    <w:p w:rsidR="0073661A" w:rsidRDefault="0073661A" w:rsidP="0073661A">
      <w:pPr>
        <w:jc w:val="left"/>
      </w:pPr>
      <w:r>
        <w:tab/>
      </w:r>
      <w:r>
        <w:tab/>
      </w:r>
      <w:r>
        <w:tab/>
      </w:r>
      <w:r>
        <w:tab/>
      </w:r>
      <w:r>
        <w:tab/>
      </w:r>
      <w:r>
        <w:tab/>
        <w:t xml:space="preserve">     Deputy Assistant Secretary</w:t>
      </w:r>
    </w:p>
    <w:p w:rsidR="0073661A" w:rsidRDefault="0073661A" w:rsidP="0073661A">
      <w:pPr>
        <w:jc w:val="left"/>
      </w:pPr>
      <w:r>
        <w:tab/>
      </w:r>
      <w:r>
        <w:tab/>
      </w:r>
      <w:r>
        <w:tab/>
      </w:r>
      <w:r>
        <w:tab/>
      </w:r>
      <w:r>
        <w:tab/>
      </w:r>
      <w:r>
        <w:tab/>
        <w:t xml:space="preserve">         (Army Review Boards)</w:t>
      </w:r>
      <w:bookmarkEnd w:id="0"/>
      <w:bookmarkEnd w:id="1"/>
    </w:p>
    <w:p w:rsidR="00E3077F" w:rsidRPr="001F29F9" w:rsidRDefault="00E3077F" w:rsidP="00BF0E94">
      <w:pPr>
        <w:tabs>
          <w:tab w:val="left" w:pos="0"/>
          <w:tab w:val="left" w:pos="4320"/>
        </w:tabs>
        <w:jc w:val="both"/>
        <w:rPr>
          <w:color w:val="000000" w:themeColor="text1"/>
          <w:szCs w:val="24"/>
        </w:rPr>
      </w:pPr>
    </w:p>
    <w:sectPr w:rsidR="00E3077F"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FC3" w:rsidRDefault="001C0FC3">
      <w:r>
        <w:separator/>
      </w:r>
    </w:p>
  </w:endnote>
  <w:endnote w:type="continuationSeparator" w:id="0">
    <w:p w:rsidR="001C0FC3" w:rsidRDefault="001C0F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0C3529" w:rsidRPr="00374247" w:rsidRDefault="000C3529" w:rsidP="00374247">
        <w:pPr>
          <w:pStyle w:val="Footer"/>
          <w:ind w:firstLine="4320"/>
          <w:rPr>
            <w:color w:val="auto"/>
            <w:szCs w:val="24"/>
          </w:rPr>
        </w:pPr>
        <w:r w:rsidRPr="00374247">
          <w:rPr>
            <w:color w:val="auto"/>
            <w:szCs w:val="24"/>
          </w:rPr>
          <w:t xml:space="preserve">   </w:t>
        </w:r>
        <w:r w:rsidR="00D83F41" w:rsidRPr="00374247">
          <w:rPr>
            <w:color w:val="auto"/>
            <w:szCs w:val="24"/>
          </w:rPr>
          <w:fldChar w:fldCharType="begin"/>
        </w:r>
        <w:r w:rsidRPr="00374247">
          <w:rPr>
            <w:color w:val="auto"/>
            <w:szCs w:val="24"/>
          </w:rPr>
          <w:instrText xml:space="preserve"> PAGE   \* MERGEFORMAT </w:instrText>
        </w:r>
        <w:r w:rsidR="00D83F41" w:rsidRPr="00374247">
          <w:rPr>
            <w:color w:val="auto"/>
            <w:szCs w:val="24"/>
          </w:rPr>
          <w:fldChar w:fldCharType="separate"/>
        </w:r>
        <w:r w:rsidR="0073661A" w:rsidRPr="0073661A">
          <w:rPr>
            <w:noProof/>
            <w:color w:val="auto"/>
          </w:rPr>
          <w:t>8</w:t>
        </w:r>
        <w:r w:rsidR="00D83F41" w:rsidRPr="00374247">
          <w:rPr>
            <w:color w:val="auto"/>
            <w:szCs w:val="24"/>
          </w:rPr>
          <w:fldChar w:fldCharType="end"/>
        </w:r>
        <w:r w:rsidRPr="00374247">
          <w:rPr>
            <w:color w:val="auto"/>
            <w:szCs w:val="24"/>
          </w:rPr>
          <w:t xml:space="preserve">                                                           </w:t>
        </w:r>
        <w:r w:rsidRPr="00DE77E6">
          <w:rPr>
            <w:rFonts w:asciiTheme="minorHAnsi" w:hAnsiTheme="minorHAnsi"/>
            <w:caps/>
            <w:color w:val="auto"/>
          </w:rPr>
          <w:t>PD1001221</w:t>
        </w:r>
      </w:p>
    </w:sdtContent>
  </w:sdt>
  <w:p w:rsidR="000C3529" w:rsidRPr="00684CE6" w:rsidRDefault="000C352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FC3" w:rsidRDefault="001C0FC3">
      <w:r>
        <w:separator/>
      </w:r>
    </w:p>
  </w:footnote>
  <w:footnote w:type="continuationSeparator" w:id="0">
    <w:p w:rsidR="001C0FC3" w:rsidRDefault="001C0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D5228"/>
    <w:multiLevelType w:val="multilevel"/>
    <w:tmpl w:val="F950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A37BE9"/>
    <w:multiLevelType w:val="multilevel"/>
    <w:tmpl w:val="DC96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2"/>
  </w:num>
  <w:num w:numId="4">
    <w:abstractNumId w:val="8"/>
  </w:num>
  <w:num w:numId="5">
    <w:abstractNumId w:val="4"/>
  </w:num>
  <w:num w:numId="6">
    <w:abstractNumId w:val="10"/>
  </w:num>
  <w:num w:numId="7">
    <w:abstractNumId w:val="0"/>
  </w:num>
  <w:num w:numId="8">
    <w:abstractNumId w:val="6"/>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3"/>
  </w:num>
  <w:num w:numId="16">
    <w:abstractNumId w:val="1"/>
  </w:num>
  <w:num w:numId="17">
    <w:abstractNumId w:val="21"/>
  </w:num>
  <w:num w:numId="18">
    <w:abstractNumId w:val="11"/>
  </w:num>
  <w:num w:numId="19">
    <w:abstractNumId w:val="14"/>
  </w:num>
  <w:num w:numId="20">
    <w:abstractNumId w:val="20"/>
  </w:num>
  <w:num w:numId="21">
    <w:abstractNumId w:val="16"/>
  </w:num>
  <w:num w:numId="22">
    <w:abstractNumId w:val="2"/>
  </w:num>
  <w:num w:numId="23">
    <w:abstractNumId w:val="7"/>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7586"/>
  </w:hdrShapeDefaults>
  <w:footnotePr>
    <w:numRestart w:val="eachSect"/>
    <w:footnote w:id="-1"/>
    <w:footnote w:id="0"/>
  </w:footnotePr>
  <w:endnotePr>
    <w:endnote w:id="-1"/>
    <w:endnote w:id="0"/>
  </w:endnotePr>
  <w:compat/>
  <w:rsids>
    <w:rsidRoot w:val="001C28D1"/>
    <w:rsid w:val="000024F5"/>
    <w:rsid w:val="000059FA"/>
    <w:rsid w:val="00005E45"/>
    <w:rsid w:val="00006186"/>
    <w:rsid w:val="00006A6B"/>
    <w:rsid w:val="00006F87"/>
    <w:rsid w:val="00007107"/>
    <w:rsid w:val="00010ABA"/>
    <w:rsid w:val="00010B0F"/>
    <w:rsid w:val="00012428"/>
    <w:rsid w:val="00012733"/>
    <w:rsid w:val="000128E6"/>
    <w:rsid w:val="00013417"/>
    <w:rsid w:val="000145C2"/>
    <w:rsid w:val="0001473F"/>
    <w:rsid w:val="00014A47"/>
    <w:rsid w:val="00014A9E"/>
    <w:rsid w:val="00017778"/>
    <w:rsid w:val="00021361"/>
    <w:rsid w:val="000218F9"/>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4E95"/>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980"/>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529"/>
    <w:rsid w:val="000C3C13"/>
    <w:rsid w:val="000C4D5F"/>
    <w:rsid w:val="000C53F9"/>
    <w:rsid w:val="000C5813"/>
    <w:rsid w:val="000C5BCB"/>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694"/>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1DDB"/>
    <w:rsid w:val="00113D2A"/>
    <w:rsid w:val="00114F20"/>
    <w:rsid w:val="0011590B"/>
    <w:rsid w:val="0011772D"/>
    <w:rsid w:val="00117956"/>
    <w:rsid w:val="001211AF"/>
    <w:rsid w:val="001215DF"/>
    <w:rsid w:val="001219DF"/>
    <w:rsid w:val="0012220B"/>
    <w:rsid w:val="00122ABE"/>
    <w:rsid w:val="001231DC"/>
    <w:rsid w:val="0012453A"/>
    <w:rsid w:val="0012489B"/>
    <w:rsid w:val="001272AE"/>
    <w:rsid w:val="00130756"/>
    <w:rsid w:val="001315D4"/>
    <w:rsid w:val="001315DD"/>
    <w:rsid w:val="0013525F"/>
    <w:rsid w:val="00135385"/>
    <w:rsid w:val="00136204"/>
    <w:rsid w:val="001364D1"/>
    <w:rsid w:val="001374C7"/>
    <w:rsid w:val="00140FA4"/>
    <w:rsid w:val="00141BC9"/>
    <w:rsid w:val="001421FD"/>
    <w:rsid w:val="001425C8"/>
    <w:rsid w:val="00142EBA"/>
    <w:rsid w:val="00143B79"/>
    <w:rsid w:val="00145965"/>
    <w:rsid w:val="0014685D"/>
    <w:rsid w:val="00150B8A"/>
    <w:rsid w:val="00150BA9"/>
    <w:rsid w:val="00150DCB"/>
    <w:rsid w:val="00151912"/>
    <w:rsid w:val="00153740"/>
    <w:rsid w:val="001537D8"/>
    <w:rsid w:val="00153D88"/>
    <w:rsid w:val="001541C5"/>
    <w:rsid w:val="0015623F"/>
    <w:rsid w:val="00156585"/>
    <w:rsid w:val="00156BA9"/>
    <w:rsid w:val="00161642"/>
    <w:rsid w:val="00161761"/>
    <w:rsid w:val="001636E4"/>
    <w:rsid w:val="00164DEB"/>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2FA"/>
    <w:rsid w:val="00185DA8"/>
    <w:rsid w:val="00185ECB"/>
    <w:rsid w:val="001865E0"/>
    <w:rsid w:val="001870F0"/>
    <w:rsid w:val="00190E48"/>
    <w:rsid w:val="0019114B"/>
    <w:rsid w:val="00191C44"/>
    <w:rsid w:val="0019273F"/>
    <w:rsid w:val="00193814"/>
    <w:rsid w:val="00193AAB"/>
    <w:rsid w:val="00193AD5"/>
    <w:rsid w:val="00194930"/>
    <w:rsid w:val="00195AAC"/>
    <w:rsid w:val="001A025E"/>
    <w:rsid w:val="001A08CD"/>
    <w:rsid w:val="001A0A1E"/>
    <w:rsid w:val="001A2182"/>
    <w:rsid w:val="001A323E"/>
    <w:rsid w:val="001A390F"/>
    <w:rsid w:val="001A5320"/>
    <w:rsid w:val="001A5E62"/>
    <w:rsid w:val="001A6848"/>
    <w:rsid w:val="001A6BC7"/>
    <w:rsid w:val="001A7538"/>
    <w:rsid w:val="001B06FB"/>
    <w:rsid w:val="001B0B1A"/>
    <w:rsid w:val="001B20E6"/>
    <w:rsid w:val="001B225B"/>
    <w:rsid w:val="001B4C0B"/>
    <w:rsid w:val="001B4D12"/>
    <w:rsid w:val="001B4EC2"/>
    <w:rsid w:val="001B5B59"/>
    <w:rsid w:val="001B60E0"/>
    <w:rsid w:val="001B755A"/>
    <w:rsid w:val="001B7C8C"/>
    <w:rsid w:val="001C051D"/>
    <w:rsid w:val="001C0688"/>
    <w:rsid w:val="001C0FC3"/>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530"/>
    <w:rsid w:val="001D68CF"/>
    <w:rsid w:val="001D6A8C"/>
    <w:rsid w:val="001D7A56"/>
    <w:rsid w:val="001E0C3C"/>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B7D"/>
    <w:rsid w:val="00210EAC"/>
    <w:rsid w:val="00211612"/>
    <w:rsid w:val="002119B6"/>
    <w:rsid w:val="00212389"/>
    <w:rsid w:val="00212B40"/>
    <w:rsid w:val="00213BD0"/>
    <w:rsid w:val="00214DBA"/>
    <w:rsid w:val="002151AB"/>
    <w:rsid w:val="0021548C"/>
    <w:rsid w:val="00215C4C"/>
    <w:rsid w:val="00215ED6"/>
    <w:rsid w:val="00216049"/>
    <w:rsid w:val="002163FA"/>
    <w:rsid w:val="00216474"/>
    <w:rsid w:val="00217606"/>
    <w:rsid w:val="00217C09"/>
    <w:rsid w:val="00220F5C"/>
    <w:rsid w:val="00220FA9"/>
    <w:rsid w:val="002216BF"/>
    <w:rsid w:val="00221B9B"/>
    <w:rsid w:val="00222268"/>
    <w:rsid w:val="00225080"/>
    <w:rsid w:val="00225196"/>
    <w:rsid w:val="00225CB4"/>
    <w:rsid w:val="00226B1A"/>
    <w:rsid w:val="00227F0B"/>
    <w:rsid w:val="0023049F"/>
    <w:rsid w:val="00230F6C"/>
    <w:rsid w:val="002310C3"/>
    <w:rsid w:val="002316F6"/>
    <w:rsid w:val="00232B03"/>
    <w:rsid w:val="00232C9B"/>
    <w:rsid w:val="00232E73"/>
    <w:rsid w:val="00232F09"/>
    <w:rsid w:val="002335D5"/>
    <w:rsid w:val="002338CA"/>
    <w:rsid w:val="00233D14"/>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47FD5"/>
    <w:rsid w:val="00250B58"/>
    <w:rsid w:val="0025183C"/>
    <w:rsid w:val="00252351"/>
    <w:rsid w:val="002528EC"/>
    <w:rsid w:val="00253EAA"/>
    <w:rsid w:val="00255049"/>
    <w:rsid w:val="00257538"/>
    <w:rsid w:val="00257AFF"/>
    <w:rsid w:val="00257DE5"/>
    <w:rsid w:val="00260531"/>
    <w:rsid w:val="00260B9A"/>
    <w:rsid w:val="0026258F"/>
    <w:rsid w:val="00262EA5"/>
    <w:rsid w:val="0026318D"/>
    <w:rsid w:val="00264148"/>
    <w:rsid w:val="002660AF"/>
    <w:rsid w:val="00270864"/>
    <w:rsid w:val="002712F7"/>
    <w:rsid w:val="0027159C"/>
    <w:rsid w:val="00271FAD"/>
    <w:rsid w:val="002722F2"/>
    <w:rsid w:val="00272BD3"/>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1DB"/>
    <w:rsid w:val="00296686"/>
    <w:rsid w:val="00297A00"/>
    <w:rsid w:val="00297A45"/>
    <w:rsid w:val="00297E20"/>
    <w:rsid w:val="002A233F"/>
    <w:rsid w:val="002A3237"/>
    <w:rsid w:val="002A4119"/>
    <w:rsid w:val="002A58B7"/>
    <w:rsid w:val="002A58E2"/>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7AF"/>
    <w:rsid w:val="002C5D9D"/>
    <w:rsid w:val="002C5F10"/>
    <w:rsid w:val="002C6E5B"/>
    <w:rsid w:val="002C6F35"/>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15D9"/>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5CC"/>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11D"/>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5D1"/>
    <w:rsid w:val="00396779"/>
    <w:rsid w:val="00397DB7"/>
    <w:rsid w:val="003A0A09"/>
    <w:rsid w:val="003A27B2"/>
    <w:rsid w:val="003A40B4"/>
    <w:rsid w:val="003A41BA"/>
    <w:rsid w:val="003A5491"/>
    <w:rsid w:val="003A5958"/>
    <w:rsid w:val="003A6A99"/>
    <w:rsid w:val="003A6C9F"/>
    <w:rsid w:val="003A6E60"/>
    <w:rsid w:val="003A76AB"/>
    <w:rsid w:val="003A7FF8"/>
    <w:rsid w:val="003B17AC"/>
    <w:rsid w:val="003B2143"/>
    <w:rsid w:val="003B227A"/>
    <w:rsid w:val="003B3A77"/>
    <w:rsid w:val="003B4319"/>
    <w:rsid w:val="003B5854"/>
    <w:rsid w:val="003B6764"/>
    <w:rsid w:val="003B7A8B"/>
    <w:rsid w:val="003B7E14"/>
    <w:rsid w:val="003C247E"/>
    <w:rsid w:val="003C294B"/>
    <w:rsid w:val="003C32CE"/>
    <w:rsid w:val="003C39C2"/>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5F63"/>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1D42"/>
    <w:rsid w:val="004123D7"/>
    <w:rsid w:val="00412658"/>
    <w:rsid w:val="004129DA"/>
    <w:rsid w:val="00415EA4"/>
    <w:rsid w:val="0041604B"/>
    <w:rsid w:val="004172DB"/>
    <w:rsid w:val="00417477"/>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3753"/>
    <w:rsid w:val="004761CC"/>
    <w:rsid w:val="004766C9"/>
    <w:rsid w:val="00480D4A"/>
    <w:rsid w:val="00481DA1"/>
    <w:rsid w:val="00483A2B"/>
    <w:rsid w:val="00484212"/>
    <w:rsid w:val="004848C3"/>
    <w:rsid w:val="00484BA9"/>
    <w:rsid w:val="0048599A"/>
    <w:rsid w:val="00486818"/>
    <w:rsid w:val="00491F22"/>
    <w:rsid w:val="0049255F"/>
    <w:rsid w:val="0049445D"/>
    <w:rsid w:val="00494D39"/>
    <w:rsid w:val="00495350"/>
    <w:rsid w:val="00495E3C"/>
    <w:rsid w:val="00496041"/>
    <w:rsid w:val="00497156"/>
    <w:rsid w:val="004A0C79"/>
    <w:rsid w:val="004A24D2"/>
    <w:rsid w:val="004A2643"/>
    <w:rsid w:val="004A3214"/>
    <w:rsid w:val="004A4136"/>
    <w:rsid w:val="004A417B"/>
    <w:rsid w:val="004A4378"/>
    <w:rsid w:val="004A54A6"/>
    <w:rsid w:val="004A5639"/>
    <w:rsid w:val="004A712D"/>
    <w:rsid w:val="004A7C03"/>
    <w:rsid w:val="004A7FCC"/>
    <w:rsid w:val="004B03F3"/>
    <w:rsid w:val="004B0CC9"/>
    <w:rsid w:val="004B2536"/>
    <w:rsid w:val="004B46D7"/>
    <w:rsid w:val="004B6703"/>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FE9"/>
    <w:rsid w:val="004D10D4"/>
    <w:rsid w:val="004D16BD"/>
    <w:rsid w:val="004D2AAB"/>
    <w:rsid w:val="004D3C7F"/>
    <w:rsid w:val="004D42CB"/>
    <w:rsid w:val="004D4DD4"/>
    <w:rsid w:val="004D6E90"/>
    <w:rsid w:val="004D6F2B"/>
    <w:rsid w:val="004E0248"/>
    <w:rsid w:val="004E068C"/>
    <w:rsid w:val="004E21A3"/>
    <w:rsid w:val="004E32EA"/>
    <w:rsid w:val="004E3517"/>
    <w:rsid w:val="004E4598"/>
    <w:rsid w:val="004E559A"/>
    <w:rsid w:val="004E6866"/>
    <w:rsid w:val="004E6876"/>
    <w:rsid w:val="004F0C58"/>
    <w:rsid w:val="004F3222"/>
    <w:rsid w:val="004F3639"/>
    <w:rsid w:val="004F3BFA"/>
    <w:rsid w:val="004F4E3C"/>
    <w:rsid w:val="004F5A1A"/>
    <w:rsid w:val="004F6B90"/>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01E"/>
    <w:rsid w:val="005222E7"/>
    <w:rsid w:val="00523488"/>
    <w:rsid w:val="00523A8B"/>
    <w:rsid w:val="00523E04"/>
    <w:rsid w:val="00525003"/>
    <w:rsid w:val="0052590B"/>
    <w:rsid w:val="0052592B"/>
    <w:rsid w:val="00526591"/>
    <w:rsid w:val="00527178"/>
    <w:rsid w:val="00527618"/>
    <w:rsid w:val="005278CB"/>
    <w:rsid w:val="00530388"/>
    <w:rsid w:val="00530974"/>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57584"/>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4F5"/>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70C"/>
    <w:rsid w:val="005A0B1D"/>
    <w:rsid w:val="005A1846"/>
    <w:rsid w:val="005A258C"/>
    <w:rsid w:val="005A2B31"/>
    <w:rsid w:val="005A3560"/>
    <w:rsid w:val="005A464E"/>
    <w:rsid w:val="005A62FC"/>
    <w:rsid w:val="005A6C99"/>
    <w:rsid w:val="005A70AB"/>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C65C4"/>
    <w:rsid w:val="005C6F56"/>
    <w:rsid w:val="005C71CE"/>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5F7A9A"/>
    <w:rsid w:val="006008F8"/>
    <w:rsid w:val="00602496"/>
    <w:rsid w:val="00602A8E"/>
    <w:rsid w:val="006036C2"/>
    <w:rsid w:val="00604AF4"/>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57F16"/>
    <w:rsid w:val="006613B4"/>
    <w:rsid w:val="00661BA2"/>
    <w:rsid w:val="00662AD0"/>
    <w:rsid w:val="00662F08"/>
    <w:rsid w:val="00663589"/>
    <w:rsid w:val="00663B91"/>
    <w:rsid w:val="00664427"/>
    <w:rsid w:val="00664840"/>
    <w:rsid w:val="006649CD"/>
    <w:rsid w:val="00665D75"/>
    <w:rsid w:val="006708E3"/>
    <w:rsid w:val="00670DDC"/>
    <w:rsid w:val="00671389"/>
    <w:rsid w:val="00671EB4"/>
    <w:rsid w:val="00673330"/>
    <w:rsid w:val="00673CDC"/>
    <w:rsid w:val="0067443B"/>
    <w:rsid w:val="006770AA"/>
    <w:rsid w:val="0067787C"/>
    <w:rsid w:val="00680300"/>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9CF"/>
    <w:rsid w:val="00694EEA"/>
    <w:rsid w:val="006955B4"/>
    <w:rsid w:val="00695DEF"/>
    <w:rsid w:val="00696476"/>
    <w:rsid w:val="0069662A"/>
    <w:rsid w:val="00696C74"/>
    <w:rsid w:val="006972DE"/>
    <w:rsid w:val="00697C9B"/>
    <w:rsid w:val="006A004B"/>
    <w:rsid w:val="006A10FA"/>
    <w:rsid w:val="006A12E0"/>
    <w:rsid w:val="006A40E6"/>
    <w:rsid w:val="006A425D"/>
    <w:rsid w:val="006A516B"/>
    <w:rsid w:val="006A5362"/>
    <w:rsid w:val="006A543A"/>
    <w:rsid w:val="006A5C07"/>
    <w:rsid w:val="006A75FA"/>
    <w:rsid w:val="006B07D5"/>
    <w:rsid w:val="006B1309"/>
    <w:rsid w:val="006B2302"/>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6260"/>
    <w:rsid w:val="006D7854"/>
    <w:rsid w:val="006E06D1"/>
    <w:rsid w:val="006E07BB"/>
    <w:rsid w:val="006E122E"/>
    <w:rsid w:val="006E1313"/>
    <w:rsid w:val="006E2DC8"/>
    <w:rsid w:val="006E399C"/>
    <w:rsid w:val="006E58CB"/>
    <w:rsid w:val="006E6B68"/>
    <w:rsid w:val="006E7356"/>
    <w:rsid w:val="006E77C8"/>
    <w:rsid w:val="006F0A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2959"/>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61A"/>
    <w:rsid w:val="00736A49"/>
    <w:rsid w:val="00736F32"/>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42C1"/>
    <w:rsid w:val="007651ED"/>
    <w:rsid w:val="00766C87"/>
    <w:rsid w:val="00771043"/>
    <w:rsid w:val="0077272B"/>
    <w:rsid w:val="00773AF7"/>
    <w:rsid w:val="00774FFD"/>
    <w:rsid w:val="00780378"/>
    <w:rsid w:val="0078085E"/>
    <w:rsid w:val="00780DBA"/>
    <w:rsid w:val="00781BD4"/>
    <w:rsid w:val="00782562"/>
    <w:rsid w:val="007828B4"/>
    <w:rsid w:val="00784832"/>
    <w:rsid w:val="00784EA0"/>
    <w:rsid w:val="00785024"/>
    <w:rsid w:val="00785D77"/>
    <w:rsid w:val="00786111"/>
    <w:rsid w:val="00790963"/>
    <w:rsid w:val="0079150B"/>
    <w:rsid w:val="0079154B"/>
    <w:rsid w:val="00791630"/>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4F8"/>
    <w:rsid w:val="007B6CE0"/>
    <w:rsid w:val="007B6D53"/>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216"/>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0CA"/>
    <w:rsid w:val="007F1375"/>
    <w:rsid w:val="007F1AFD"/>
    <w:rsid w:val="007F30E4"/>
    <w:rsid w:val="0080064F"/>
    <w:rsid w:val="00801B85"/>
    <w:rsid w:val="00803850"/>
    <w:rsid w:val="008039E8"/>
    <w:rsid w:val="00804385"/>
    <w:rsid w:val="00804E0E"/>
    <w:rsid w:val="008051EB"/>
    <w:rsid w:val="0080588E"/>
    <w:rsid w:val="00805AFD"/>
    <w:rsid w:val="00806397"/>
    <w:rsid w:val="00806851"/>
    <w:rsid w:val="008078D8"/>
    <w:rsid w:val="0080798E"/>
    <w:rsid w:val="00811BD9"/>
    <w:rsid w:val="00811D5B"/>
    <w:rsid w:val="00813C51"/>
    <w:rsid w:val="00816CCB"/>
    <w:rsid w:val="00817572"/>
    <w:rsid w:val="00817713"/>
    <w:rsid w:val="008208C3"/>
    <w:rsid w:val="008220F1"/>
    <w:rsid w:val="0082340B"/>
    <w:rsid w:val="00823D6A"/>
    <w:rsid w:val="00826F80"/>
    <w:rsid w:val="00827B29"/>
    <w:rsid w:val="00827DB6"/>
    <w:rsid w:val="008304B2"/>
    <w:rsid w:val="00830908"/>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3CB"/>
    <w:rsid w:val="008455C8"/>
    <w:rsid w:val="00846407"/>
    <w:rsid w:val="00846611"/>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663"/>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0932"/>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088A"/>
    <w:rsid w:val="008C22F3"/>
    <w:rsid w:val="008C3223"/>
    <w:rsid w:val="008C3FD0"/>
    <w:rsid w:val="008C4F01"/>
    <w:rsid w:val="008C5152"/>
    <w:rsid w:val="008C710E"/>
    <w:rsid w:val="008D0A5C"/>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033F"/>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5F9A"/>
    <w:rsid w:val="00906EB7"/>
    <w:rsid w:val="00907FE6"/>
    <w:rsid w:val="009102BF"/>
    <w:rsid w:val="00911490"/>
    <w:rsid w:val="009115F2"/>
    <w:rsid w:val="00911B11"/>
    <w:rsid w:val="00914ADB"/>
    <w:rsid w:val="00917182"/>
    <w:rsid w:val="00920251"/>
    <w:rsid w:val="00921A23"/>
    <w:rsid w:val="00921CFD"/>
    <w:rsid w:val="00921D5E"/>
    <w:rsid w:val="00923B25"/>
    <w:rsid w:val="0092402E"/>
    <w:rsid w:val="009259BA"/>
    <w:rsid w:val="00926FCB"/>
    <w:rsid w:val="009303BB"/>
    <w:rsid w:val="0093108A"/>
    <w:rsid w:val="00931B6D"/>
    <w:rsid w:val="0093311A"/>
    <w:rsid w:val="009346D0"/>
    <w:rsid w:val="00935AA4"/>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275"/>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79A"/>
    <w:rsid w:val="00976869"/>
    <w:rsid w:val="00977740"/>
    <w:rsid w:val="00977CB4"/>
    <w:rsid w:val="009809B8"/>
    <w:rsid w:val="00981038"/>
    <w:rsid w:val="00981086"/>
    <w:rsid w:val="009818AF"/>
    <w:rsid w:val="00981B1C"/>
    <w:rsid w:val="0098222D"/>
    <w:rsid w:val="009842F3"/>
    <w:rsid w:val="00984EBF"/>
    <w:rsid w:val="00985099"/>
    <w:rsid w:val="00985D32"/>
    <w:rsid w:val="00986514"/>
    <w:rsid w:val="00986FCC"/>
    <w:rsid w:val="009907A3"/>
    <w:rsid w:val="00990FD6"/>
    <w:rsid w:val="00991CEE"/>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2C7D"/>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113"/>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5C2A"/>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16DC"/>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836"/>
    <w:rsid w:val="00A31FE2"/>
    <w:rsid w:val="00A32743"/>
    <w:rsid w:val="00A37AC9"/>
    <w:rsid w:val="00A40356"/>
    <w:rsid w:val="00A40FFB"/>
    <w:rsid w:val="00A41468"/>
    <w:rsid w:val="00A414A9"/>
    <w:rsid w:val="00A42A49"/>
    <w:rsid w:val="00A44141"/>
    <w:rsid w:val="00A44CCA"/>
    <w:rsid w:val="00A44D75"/>
    <w:rsid w:val="00A47CF1"/>
    <w:rsid w:val="00A50239"/>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387"/>
    <w:rsid w:val="00AA1ED0"/>
    <w:rsid w:val="00AA1F5B"/>
    <w:rsid w:val="00AA28EF"/>
    <w:rsid w:val="00AA3593"/>
    <w:rsid w:val="00AA38CA"/>
    <w:rsid w:val="00AA438B"/>
    <w:rsid w:val="00AA493E"/>
    <w:rsid w:val="00AA73AF"/>
    <w:rsid w:val="00AB062D"/>
    <w:rsid w:val="00AB0A8A"/>
    <w:rsid w:val="00AB1754"/>
    <w:rsid w:val="00AB1F8D"/>
    <w:rsid w:val="00AB27DD"/>
    <w:rsid w:val="00AB4BA4"/>
    <w:rsid w:val="00AB592E"/>
    <w:rsid w:val="00AB6140"/>
    <w:rsid w:val="00AC0C1C"/>
    <w:rsid w:val="00AC1305"/>
    <w:rsid w:val="00AC37BE"/>
    <w:rsid w:val="00AC439D"/>
    <w:rsid w:val="00AC62CC"/>
    <w:rsid w:val="00AC713F"/>
    <w:rsid w:val="00AC726B"/>
    <w:rsid w:val="00AC7329"/>
    <w:rsid w:val="00AC7D96"/>
    <w:rsid w:val="00AC7E8F"/>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3FC4"/>
    <w:rsid w:val="00AE4624"/>
    <w:rsid w:val="00AE4B3E"/>
    <w:rsid w:val="00AE4B90"/>
    <w:rsid w:val="00AE5E14"/>
    <w:rsid w:val="00AE6115"/>
    <w:rsid w:val="00AE625B"/>
    <w:rsid w:val="00AF01B2"/>
    <w:rsid w:val="00AF0AB7"/>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5B41"/>
    <w:rsid w:val="00B26354"/>
    <w:rsid w:val="00B26CA0"/>
    <w:rsid w:val="00B300BD"/>
    <w:rsid w:val="00B31965"/>
    <w:rsid w:val="00B31C0B"/>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5F16"/>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97706"/>
    <w:rsid w:val="00BA1824"/>
    <w:rsid w:val="00BA22D2"/>
    <w:rsid w:val="00BA2D98"/>
    <w:rsid w:val="00BA2F0C"/>
    <w:rsid w:val="00BA30D1"/>
    <w:rsid w:val="00BA30E1"/>
    <w:rsid w:val="00BA4609"/>
    <w:rsid w:val="00BA5BE2"/>
    <w:rsid w:val="00BA6A9C"/>
    <w:rsid w:val="00BA788F"/>
    <w:rsid w:val="00BA7EE9"/>
    <w:rsid w:val="00BA7F46"/>
    <w:rsid w:val="00BB0388"/>
    <w:rsid w:val="00BB0A0A"/>
    <w:rsid w:val="00BB133C"/>
    <w:rsid w:val="00BB1F04"/>
    <w:rsid w:val="00BB45B5"/>
    <w:rsid w:val="00BB4DDE"/>
    <w:rsid w:val="00BB5B36"/>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D11"/>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173D"/>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2C6"/>
    <w:rsid w:val="00C24AD9"/>
    <w:rsid w:val="00C25978"/>
    <w:rsid w:val="00C261C6"/>
    <w:rsid w:val="00C26621"/>
    <w:rsid w:val="00C26872"/>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0E6"/>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388"/>
    <w:rsid w:val="00C63431"/>
    <w:rsid w:val="00C64C87"/>
    <w:rsid w:val="00C65414"/>
    <w:rsid w:val="00C665FE"/>
    <w:rsid w:val="00C71BEC"/>
    <w:rsid w:val="00C73942"/>
    <w:rsid w:val="00C73A83"/>
    <w:rsid w:val="00C73CC6"/>
    <w:rsid w:val="00C74D3A"/>
    <w:rsid w:val="00C75F3D"/>
    <w:rsid w:val="00C80511"/>
    <w:rsid w:val="00C80655"/>
    <w:rsid w:val="00C80ABB"/>
    <w:rsid w:val="00C81937"/>
    <w:rsid w:val="00C826F5"/>
    <w:rsid w:val="00C83740"/>
    <w:rsid w:val="00C84527"/>
    <w:rsid w:val="00C84AD1"/>
    <w:rsid w:val="00C85579"/>
    <w:rsid w:val="00C8590C"/>
    <w:rsid w:val="00C862F1"/>
    <w:rsid w:val="00C863E5"/>
    <w:rsid w:val="00C87BE6"/>
    <w:rsid w:val="00C87F76"/>
    <w:rsid w:val="00C9304B"/>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0F"/>
    <w:rsid w:val="00CB758D"/>
    <w:rsid w:val="00CB7A3E"/>
    <w:rsid w:val="00CB7FF7"/>
    <w:rsid w:val="00CC03F1"/>
    <w:rsid w:val="00CC0D0E"/>
    <w:rsid w:val="00CC1253"/>
    <w:rsid w:val="00CC19B3"/>
    <w:rsid w:val="00CC2044"/>
    <w:rsid w:val="00CC39D2"/>
    <w:rsid w:val="00CC69EC"/>
    <w:rsid w:val="00CC78A2"/>
    <w:rsid w:val="00CC7DF8"/>
    <w:rsid w:val="00CD0E25"/>
    <w:rsid w:val="00CD15BE"/>
    <w:rsid w:val="00CD1EF2"/>
    <w:rsid w:val="00CD32BD"/>
    <w:rsid w:val="00CD34C7"/>
    <w:rsid w:val="00CD5653"/>
    <w:rsid w:val="00CD5E6D"/>
    <w:rsid w:val="00CD63C8"/>
    <w:rsid w:val="00CD76F8"/>
    <w:rsid w:val="00CD78A5"/>
    <w:rsid w:val="00CE02E8"/>
    <w:rsid w:val="00CE069E"/>
    <w:rsid w:val="00CE07E6"/>
    <w:rsid w:val="00CE0DE0"/>
    <w:rsid w:val="00CE160B"/>
    <w:rsid w:val="00CE2CC2"/>
    <w:rsid w:val="00CE3722"/>
    <w:rsid w:val="00CE6060"/>
    <w:rsid w:val="00CF158D"/>
    <w:rsid w:val="00CF2166"/>
    <w:rsid w:val="00CF4340"/>
    <w:rsid w:val="00CF4394"/>
    <w:rsid w:val="00CF48B4"/>
    <w:rsid w:val="00CF5C12"/>
    <w:rsid w:val="00CF7B72"/>
    <w:rsid w:val="00D000A9"/>
    <w:rsid w:val="00D00384"/>
    <w:rsid w:val="00D005DB"/>
    <w:rsid w:val="00D0064E"/>
    <w:rsid w:val="00D00981"/>
    <w:rsid w:val="00D017C1"/>
    <w:rsid w:val="00D02596"/>
    <w:rsid w:val="00D0280D"/>
    <w:rsid w:val="00D02AEF"/>
    <w:rsid w:val="00D03EC9"/>
    <w:rsid w:val="00D0492D"/>
    <w:rsid w:val="00D05669"/>
    <w:rsid w:val="00D061EB"/>
    <w:rsid w:val="00D06952"/>
    <w:rsid w:val="00D07A72"/>
    <w:rsid w:val="00D10577"/>
    <w:rsid w:val="00D12405"/>
    <w:rsid w:val="00D12A4E"/>
    <w:rsid w:val="00D12FAF"/>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4793B"/>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3F41"/>
    <w:rsid w:val="00D84133"/>
    <w:rsid w:val="00D84B8D"/>
    <w:rsid w:val="00D8545C"/>
    <w:rsid w:val="00D86AB5"/>
    <w:rsid w:val="00D86E57"/>
    <w:rsid w:val="00D876AD"/>
    <w:rsid w:val="00D87788"/>
    <w:rsid w:val="00D877C8"/>
    <w:rsid w:val="00D91040"/>
    <w:rsid w:val="00D910C2"/>
    <w:rsid w:val="00D9168C"/>
    <w:rsid w:val="00D9174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2AC4"/>
    <w:rsid w:val="00DC4001"/>
    <w:rsid w:val="00DC41C3"/>
    <w:rsid w:val="00DC4A3C"/>
    <w:rsid w:val="00DC4FA4"/>
    <w:rsid w:val="00DC5B37"/>
    <w:rsid w:val="00DC6732"/>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5295"/>
    <w:rsid w:val="00E06BBD"/>
    <w:rsid w:val="00E100E3"/>
    <w:rsid w:val="00E1012B"/>
    <w:rsid w:val="00E103C8"/>
    <w:rsid w:val="00E1085B"/>
    <w:rsid w:val="00E1308B"/>
    <w:rsid w:val="00E13516"/>
    <w:rsid w:val="00E14581"/>
    <w:rsid w:val="00E14623"/>
    <w:rsid w:val="00E15539"/>
    <w:rsid w:val="00E15C7A"/>
    <w:rsid w:val="00E16541"/>
    <w:rsid w:val="00E17EC9"/>
    <w:rsid w:val="00E202F4"/>
    <w:rsid w:val="00E207C3"/>
    <w:rsid w:val="00E21016"/>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13"/>
    <w:rsid w:val="00E6092F"/>
    <w:rsid w:val="00E61EE9"/>
    <w:rsid w:val="00E62049"/>
    <w:rsid w:val="00E6240D"/>
    <w:rsid w:val="00E629DA"/>
    <w:rsid w:val="00E64374"/>
    <w:rsid w:val="00E6451F"/>
    <w:rsid w:val="00E6469F"/>
    <w:rsid w:val="00E6546A"/>
    <w:rsid w:val="00E65C05"/>
    <w:rsid w:val="00E65D39"/>
    <w:rsid w:val="00E670F8"/>
    <w:rsid w:val="00E6741B"/>
    <w:rsid w:val="00E67458"/>
    <w:rsid w:val="00E67FAC"/>
    <w:rsid w:val="00E70164"/>
    <w:rsid w:val="00E71485"/>
    <w:rsid w:val="00E7200B"/>
    <w:rsid w:val="00E730F1"/>
    <w:rsid w:val="00E738CB"/>
    <w:rsid w:val="00E73C88"/>
    <w:rsid w:val="00E74437"/>
    <w:rsid w:val="00E7443D"/>
    <w:rsid w:val="00E74A87"/>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86F32"/>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5EDB"/>
    <w:rsid w:val="00EC75AF"/>
    <w:rsid w:val="00ED12F0"/>
    <w:rsid w:val="00ED2874"/>
    <w:rsid w:val="00ED290C"/>
    <w:rsid w:val="00ED2A6C"/>
    <w:rsid w:val="00ED4773"/>
    <w:rsid w:val="00ED5284"/>
    <w:rsid w:val="00ED64DA"/>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4CED"/>
    <w:rsid w:val="00EF5035"/>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6D9"/>
    <w:rsid w:val="00F12BA8"/>
    <w:rsid w:val="00F12D7A"/>
    <w:rsid w:val="00F130D0"/>
    <w:rsid w:val="00F13AC6"/>
    <w:rsid w:val="00F14933"/>
    <w:rsid w:val="00F149DA"/>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2C56"/>
    <w:rsid w:val="00F43D6C"/>
    <w:rsid w:val="00F44C1B"/>
    <w:rsid w:val="00F46964"/>
    <w:rsid w:val="00F46ADA"/>
    <w:rsid w:val="00F46F9A"/>
    <w:rsid w:val="00F470FD"/>
    <w:rsid w:val="00F50F30"/>
    <w:rsid w:val="00F5126A"/>
    <w:rsid w:val="00F5126E"/>
    <w:rsid w:val="00F516EF"/>
    <w:rsid w:val="00F51755"/>
    <w:rsid w:val="00F519C3"/>
    <w:rsid w:val="00F531D9"/>
    <w:rsid w:val="00F54D8E"/>
    <w:rsid w:val="00F5580D"/>
    <w:rsid w:val="00F56EA1"/>
    <w:rsid w:val="00F606D5"/>
    <w:rsid w:val="00F60871"/>
    <w:rsid w:val="00F611B3"/>
    <w:rsid w:val="00F6153A"/>
    <w:rsid w:val="00F6196E"/>
    <w:rsid w:val="00F61CCC"/>
    <w:rsid w:val="00F624DD"/>
    <w:rsid w:val="00F629C0"/>
    <w:rsid w:val="00F63FC7"/>
    <w:rsid w:val="00F65E1F"/>
    <w:rsid w:val="00F65ED5"/>
    <w:rsid w:val="00F6608B"/>
    <w:rsid w:val="00F6636A"/>
    <w:rsid w:val="00F66424"/>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711"/>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0A8B"/>
    <w:rsid w:val="00FC1640"/>
    <w:rsid w:val="00FC1E67"/>
    <w:rsid w:val="00FC2A13"/>
    <w:rsid w:val="00FC4284"/>
    <w:rsid w:val="00FC4576"/>
    <w:rsid w:val="00FC5FF5"/>
    <w:rsid w:val="00FC6285"/>
    <w:rsid w:val="00FC78FB"/>
    <w:rsid w:val="00FC7DBC"/>
    <w:rsid w:val="00FD076A"/>
    <w:rsid w:val="00FD0AA0"/>
    <w:rsid w:val="00FD0C0C"/>
    <w:rsid w:val="00FD1D5A"/>
    <w:rsid w:val="00FD34E9"/>
    <w:rsid w:val="00FD5059"/>
    <w:rsid w:val="00FD554D"/>
    <w:rsid w:val="00FD5BCC"/>
    <w:rsid w:val="00FD7B23"/>
    <w:rsid w:val="00FE0B74"/>
    <w:rsid w:val="00FE19BE"/>
    <w:rsid w:val="00FE2A48"/>
    <w:rsid w:val="00FE2DEF"/>
    <w:rsid w:val="00FE323C"/>
    <w:rsid w:val="00FE3A27"/>
    <w:rsid w:val="00FE5D0A"/>
    <w:rsid w:val="00FE6469"/>
    <w:rsid w:val="00FE7C6D"/>
    <w:rsid w:val="00FF05CA"/>
    <w:rsid w:val="00FF05D0"/>
    <w:rsid w:val="00FF06CE"/>
    <w:rsid w:val="00FF0DC2"/>
    <w:rsid w:val="00FF0FF7"/>
    <w:rsid w:val="00FF1022"/>
    <w:rsid w:val="00FF10A2"/>
    <w:rsid w:val="00FF1438"/>
    <w:rsid w:val="00FF3A38"/>
    <w:rsid w:val="00FF3C25"/>
    <w:rsid w:val="00FF4129"/>
    <w:rsid w:val="00FF44F7"/>
    <w:rsid w:val="00FF4C90"/>
    <w:rsid w:val="00FF5806"/>
    <w:rsid w:val="00FF61BD"/>
    <w:rsid w:val="00FF6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paragraph" w:styleId="Heading1">
    <w:name w:val="heading 1"/>
    <w:basedOn w:val="Normal"/>
    <w:link w:val="Heading1Char"/>
    <w:uiPriority w:val="9"/>
    <w:qFormat/>
    <w:rsid w:val="00117956"/>
    <w:pPr>
      <w:spacing w:before="100" w:beforeAutospacing="1" w:after="100" w:afterAutospacing="1" w:line="240" w:lineRule="auto"/>
      <w:jc w:val="left"/>
      <w:outlineLvl w:val="0"/>
    </w:pPr>
    <w:rPr>
      <w:rFonts w:ascii="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ing1Char">
    <w:name w:val="Heading 1 Char"/>
    <w:basedOn w:val="DefaultParagraphFont"/>
    <w:link w:val="Heading1"/>
    <w:uiPriority w:val="9"/>
    <w:rsid w:val="00117956"/>
    <w:rPr>
      <w:rFonts w:ascii="Times New Roman" w:hAnsi="Times New Roman" w:cs="Times New Roman"/>
      <w:b/>
      <w:bCs/>
      <w:color w:val="auto"/>
      <w:kern w:val="36"/>
      <w:sz w:val="48"/>
      <w:szCs w:val="48"/>
    </w:rPr>
  </w:style>
  <w:style w:type="character" w:styleId="Strong">
    <w:name w:val="Strong"/>
    <w:basedOn w:val="DefaultParagraphFont"/>
    <w:uiPriority w:val="22"/>
    <w:qFormat/>
    <w:rsid w:val="00117956"/>
    <w:rPr>
      <w:b/>
      <w:bCs/>
    </w:rPr>
  </w:style>
  <w:style w:type="paragraph" w:styleId="NormalWeb">
    <w:name w:val="Normal (Web)"/>
    <w:basedOn w:val="Normal"/>
    <w:uiPriority w:val="99"/>
    <w:unhideWhenUsed/>
    <w:rsid w:val="00117956"/>
    <w:pPr>
      <w:spacing w:before="100" w:beforeAutospacing="1" w:after="100" w:afterAutospacing="1" w:line="240" w:lineRule="auto"/>
      <w:jc w:val="left"/>
    </w:pPr>
    <w:rPr>
      <w:rFonts w:ascii="Times New Roman" w:hAnsi="Times New Roman" w:cs="Times New Roman"/>
      <w:color w:val="auto"/>
      <w:szCs w:val="24"/>
    </w:rPr>
  </w:style>
  <w:style w:type="character" w:customStyle="1" w:styleId="HeaderChar">
    <w:name w:val="Header Char"/>
    <w:basedOn w:val="DefaultParagraphFont"/>
    <w:link w:val="Header"/>
    <w:uiPriority w:val="99"/>
    <w:locked/>
    <w:rsid w:val="0073661A"/>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1473279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98195989">
      <w:bodyDiv w:val="1"/>
      <w:marLeft w:val="0"/>
      <w:marRight w:val="0"/>
      <w:marTop w:val="0"/>
      <w:marBottom w:val="0"/>
      <w:divBdr>
        <w:top w:val="none" w:sz="0" w:space="0" w:color="auto"/>
        <w:left w:val="none" w:sz="0" w:space="0" w:color="auto"/>
        <w:bottom w:val="none" w:sz="0" w:space="0" w:color="auto"/>
        <w:right w:val="none" w:sz="0" w:space="0" w:color="auto"/>
      </w:divBdr>
      <w:divsChild>
        <w:div w:id="286863331">
          <w:marLeft w:val="0"/>
          <w:marRight w:val="0"/>
          <w:marTop w:val="189"/>
          <w:marBottom w:val="189"/>
          <w:divBdr>
            <w:top w:val="none" w:sz="0" w:space="0" w:color="auto"/>
            <w:left w:val="none" w:sz="0" w:space="0" w:color="auto"/>
            <w:bottom w:val="none" w:sz="0" w:space="0" w:color="auto"/>
            <w:right w:val="none" w:sz="0" w:space="0" w:color="auto"/>
          </w:divBdr>
          <w:divsChild>
            <w:div w:id="79908327">
              <w:marLeft w:val="0"/>
              <w:marRight w:val="0"/>
              <w:marTop w:val="316"/>
              <w:marBottom w:val="0"/>
              <w:divBdr>
                <w:top w:val="none" w:sz="0" w:space="0" w:color="auto"/>
                <w:left w:val="none" w:sz="0" w:space="0" w:color="auto"/>
                <w:bottom w:val="none" w:sz="0" w:space="0" w:color="auto"/>
                <w:right w:val="none" w:sz="0" w:space="0" w:color="auto"/>
              </w:divBdr>
            </w:div>
            <w:div w:id="1532954445">
              <w:marLeft w:val="0"/>
              <w:marRight w:val="0"/>
              <w:marTop w:val="0"/>
              <w:marBottom w:val="0"/>
              <w:divBdr>
                <w:top w:val="none" w:sz="0" w:space="0" w:color="auto"/>
                <w:left w:val="none" w:sz="0" w:space="0" w:color="auto"/>
                <w:bottom w:val="none" w:sz="0" w:space="0" w:color="auto"/>
                <w:right w:val="none" w:sz="0" w:space="0" w:color="auto"/>
              </w:divBdr>
              <w:divsChild>
                <w:div w:id="1781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5534778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E8E5-6DDB-46C4-950D-E0F7F8F1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8</Pages>
  <Words>4160</Words>
  <Characters>23715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2012-02-14T17:56:00Z</cp:lastPrinted>
  <dcterms:created xsi:type="dcterms:W3CDTF">2012-02-09T20:34:00Z</dcterms:created>
  <dcterms:modified xsi:type="dcterms:W3CDTF">2012-04-02T21:19:00Z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