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A1268A" w:rsidRPr="00660FFB" w:rsidRDefault="00A1268A" w:rsidP="00665E1E">
      <w:pPr>
        <w:tabs>
          <w:tab w:val="right" w:pos="9270"/>
        </w:tabs>
        <w:spacing w:line="240" w:lineRule="exact"/>
        <w:jc w:val="both"/>
        <w:rPr>
          <w:caps/>
          <w:color w:val="auto"/>
        </w:rPr>
      </w:pPr>
      <w:r w:rsidRPr="00660FFB">
        <w:rPr>
          <w:caps/>
          <w:color w:val="auto"/>
        </w:rPr>
        <w:t xml:space="preserve">NAME:  </w:t>
      </w:r>
      <w:r w:rsidR="00397A33">
        <w:rPr>
          <w:caps/>
          <w:color w:val="auto"/>
        </w:rPr>
        <w:t xml:space="preserve"> </w:t>
      </w:r>
      <w:r w:rsidRPr="00660FFB">
        <w:rPr>
          <w:caps/>
          <w:color w:val="auto"/>
        </w:rPr>
        <w:t xml:space="preserve">              </w:t>
      </w:r>
      <w:r>
        <w:rPr>
          <w:caps/>
          <w:color w:val="auto"/>
        </w:rPr>
        <w:t xml:space="preserve">     </w:t>
      </w:r>
      <w:r>
        <w:rPr>
          <w:caps/>
          <w:color w:val="auto"/>
        </w:rPr>
        <w:tab/>
      </w:r>
      <w:r w:rsidRPr="00660FFB">
        <w:rPr>
          <w:caps/>
          <w:color w:val="auto"/>
        </w:rPr>
        <w:t>BRANCH OF SERVICE:  army</w:t>
      </w:r>
    </w:p>
    <w:p w:rsidR="00A1268A" w:rsidRPr="00660FFB" w:rsidRDefault="00A1268A" w:rsidP="00665E1E">
      <w:pPr>
        <w:tabs>
          <w:tab w:val="right" w:pos="9270"/>
        </w:tabs>
        <w:spacing w:line="240" w:lineRule="exact"/>
        <w:jc w:val="both"/>
        <w:rPr>
          <w:caps/>
          <w:color w:val="auto"/>
        </w:rPr>
      </w:pPr>
      <w:r w:rsidRPr="00660FFB">
        <w:rPr>
          <w:caps/>
          <w:color w:val="auto"/>
        </w:rPr>
        <w:t>CASE NUMBER:  PD100</w:t>
      </w:r>
      <w:r>
        <w:rPr>
          <w:caps/>
          <w:color w:val="auto"/>
        </w:rPr>
        <w:t>1218</w:t>
      </w:r>
      <w:r w:rsidRPr="00660FFB">
        <w:rPr>
          <w:color w:val="auto"/>
        </w:rPr>
        <w:t xml:space="preserve">          </w:t>
      </w:r>
      <w:r>
        <w:rPr>
          <w:color w:val="auto"/>
        </w:rPr>
        <w:tab/>
      </w:r>
      <w:r w:rsidRPr="00660FFB">
        <w:rPr>
          <w:color w:val="auto"/>
        </w:rPr>
        <w:t>SEPARATION DATE:  20050408</w:t>
      </w:r>
    </w:p>
    <w:p w:rsidR="00C5556F" w:rsidRPr="00DA56AC" w:rsidRDefault="00DA56AC" w:rsidP="007C6655">
      <w:pPr>
        <w:tabs>
          <w:tab w:val="left" w:pos="288"/>
          <w:tab w:val="left" w:pos="5130"/>
        </w:tabs>
        <w:spacing w:line="240" w:lineRule="exact"/>
        <w:jc w:val="both"/>
        <w:rPr>
          <w:rFonts w:asciiTheme="minorHAnsi" w:eastAsia="HiddenHorzOCR" w:hAnsiTheme="minorHAnsi"/>
          <w:color w:val="auto"/>
          <w:szCs w:val="24"/>
        </w:rPr>
      </w:pPr>
      <w:r>
        <w:rPr>
          <w:caps/>
          <w:color w:val="auto"/>
        </w:rPr>
        <w:t>BOARD DATE:  2012</w:t>
      </w:r>
      <w:r w:rsidR="00E71763">
        <w:rPr>
          <w:caps/>
          <w:color w:val="auto"/>
        </w:rPr>
        <w:t>0112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002356" w:rsidRDefault="00FB0E80" w:rsidP="004B18D6">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A1268A">
        <w:rPr>
          <w:rFonts w:asciiTheme="minorHAnsi" w:hAnsiTheme="minorHAnsi"/>
          <w:color w:val="auto"/>
        </w:rPr>
        <w:t xml:space="preserve"> </w:t>
      </w:r>
      <w:r w:rsidR="00A1268A" w:rsidRPr="00EC337D">
        <w:rPr>
          <w:color w:val="auto"/>
        </w:rPr>
        <w:t xml:space="preserve">Data extracted from the available evidence of record reflects that this covered individual (CI) </w:t>
      </w:r>
      <w:r w:rsidR="00A1268A" w:rsidRPr="00AD7F8F">
        <w:rPr>
          <w:color w:val="auto"/>
          <w:szCs w:val="24"/>
        </w:rPr>
        <w:t>was an active duty</w:t>
      </w:r>
      <w:r w:rsidR="00A1268A">
        <w:rPr>
          <w:color w:val="auto"/>
          <w:szCs w:val="24"/>
        </w:rPr>
        <w:t xml:space="preserve"> SGT/E5</w:t>
      </w:r>
      <w:r w:rsidR="00A1268A" w:rsidRPr="00AD7F8F">
        <w:rPr>
          <w:color w:val="auto"/>
          <w:szCs w:val="24"/>
        </w:rPr>
        <w:t xml:space="preserve"> (</w:t>
      </w:r>
      <w:r w:rsidR="00A1268A">
        <w:rPr>
          <w:color w:val="auto"/>
          <w:szCs w:val="24"/>
        </w:rPr>
        <w:t>92A</w:t>
      </w:r>
      <w:r w:rsidR="00665E1E">
        <w:rPr>
          <w:color w:val="auto"/>
          <w:szCs w:val="24"/>
        </w:rPr>
        <w:t xml:space="preserve">, </w:t>
      </w:r>
      <w:r w:rsidR="00A1268A">
        <w:rPr>
          <w:color w:val="auto"/>
          <w:szCs w:val="24"/>
        </w:rPr>
        <w:t xml:space="preserve">Automated Logistical Specialist), </w:t>
      </w:r>
      <w:r w:rsidR="00A1268A" w:rsidRPr="00AD7F8F">
        <w:rPr>
          <w:color w:val="auto"/>
          <w:szCs w:val="24"/>
        </w:rPr>
        <w:t xml:space="preserve">medically separated </w:t>
      </w:r>
      <w:r w:rsidR="00E71763">
        <w:rPr>
          <w:color w:val="auto"/>
          <w:szCs w:val="24"/>
        </w:rPr>
        <w:t>for</w:t>
      </w:r>
      <w:r w:rsidR="00A1268A">
        <w:rPr>
          <w:color w:val="auto"/>
          <w:szCs w:val="24"/>
        </w:rPr>
        <w:t xml:space="preserve"> </w:t>
      </w:r>
      <w:r w:rsidR="0028086F">
        <w:rPr>
          <w:color w:val="auto"/>
          <w:szCs w:val="24"/>
        </w:rPr>
        <w:t>lumbar spine</w:t>
      </w:r>
      <w:r w:rsidR="00A1268A">
        <w:rPr>
          <w:color w:val="auto"/>
          <w:szCs w:val="24"/>
        </w:rPr>
        <w:t>, bilateral ankle</w:t>
      </w:r>
      <w:r w:rsidR="0028086F">
        <w:rPr>
          <w:color w:val="auto"/>
          <w:szCs w:val="24"/>
        </w:rPr>
        <w:t>, and migraine headache conditions</w:t>
      </w:r>
      <w:r w:rsidR="00A1268A">
        <w:rPr>
          <w:color w:val="auto"/>
          <w:szCs w:val="24"/>
        </w:rPr>
        <w:t xml:space="preserve">.  </w:t>
      </w:r>
      <w:r w:rsidR="00E3128B">
        <w:rPr>
          <w:color w:val="auto"/>
          <w:szCs w:val="24"/>
        </w:rPr>
        <w:t xml:space="preserve">The CI </w:t>
      </w:r>
      <w:r w:rsidR="0028086F">
        <w:rPr>
          <w:color w:val="auto"/>
          <w:szCs w:val="24"/>
        </w:rPr>
        <w:t>suffered</w:t>
      </w:r>
      <w:r w:rsidR="00E3128B">
        <w:rPr>
          <w:color w:val="auto"/>
          <w:szCs w:val="24"/>
        </w:rPr>
        <w:t xml:space="preserve"> a heart attack in June 2004 while </w:t>
      </w:r>
      <w:r w:rsidR="0028086F">
        <w:rPr>
          <w:color w:val="auto"/>
          <w:szCs w:val="24"/>
        </w:rPr>
        <w:t>deployed to</w:t>
      </w:r>
      <w:r w:rsidR="00E3128B">
        <w:rPr>
          <w:color w:val="auto"/>
          <w:szCs w:val="24"/>
        </w:rPr>
        <w:t xml:space="preserve"> Korea.  H</w:t>
      </w:r>
      <w:r w:rsidR="00E3128B">
        <w:rPr>
          <w:rFonts w:asciiTheme="minorHAnsi" w:eastAsia="HiddenHorzOCR" w:hAnsiTheme="minorHAnsi"/>
          <w:color w:val="auto"/>
          <w:szCs w:val="24"/>
        </w:rPr>
        <w:t xml:space="preserve">e was treated in </w:t>
      </w:r>
      <w:r w:rsidR="0028086F">
        <w:rPr>
          <w:rFonts w:asciiTheme="minorHAnsi" w:eastAsia="HiddenHorzOCR" w:hAnsiTheme="minorHAnsi"/>
          <w:color w:val="auto"/>
          <w:szCs w:val="24"/>
        </w:rPr>
        <w:t>theater</w:t>
      </w:r>
      <w:r w:rsidR="00E3128B">
        <w:rPr>
          <w:rFonts w:asciiTheme="minorHAnsi" w:eastAsia="HiddenHorzOCR" w:hAnsiTheme="minorHAnsi"/>
          <w:color w:val="auto"/>
          <w:szCs w:val="24"/>
        </w:rPr>
        <w:t xml:space="preserve"> with co</w:t>
      </w:r>
      <w:r w:rsidR="00B336B6">
        <w:rPr>
          <w:rFonts w:asciiTheme="minorHAnsi" w:eastAsia="HiddenHorzOCR" w:hAnsiTheme="minorHAnsi"/>
          <w:color w:val="auto"/>
          <w:szCs w:val="24"/>
        </w:rPr>
        <w:t>ronary angioplasty and stenting;</w:t>
      </w:r>
      <w:r w:rsidR="00E3128B">
        <w:rPr>
          <w:rFonts w:asciiTheme="minorHAnsi" w:eastAsia="HiddenHorzOCR" w:hAnsiTheme="minorHAnsi"/>
          <w:color w:val="auto"/>
          <w:szCs w:val="24"/>
        </w:rPr>
        <w:t xml:space="preserve"> </w:t>
      </w:r>
      <w:r w:rsidR="00B336B6">
        <w:rPr>
          <w:rFonts w:asciiTheme="minorHAnsi" w:eastAsia="HiddenHorzOCR" w:hAnsiTheme="minorHAnsi"/>
          <w:color w:val="auto"/>
          <w:szCs w:val="24"/>
        </w:rPr>
        <w:t>a</w:t>
      </w:r>
      <w:r w:rsidR="008767B3">
        <w:rPr>
          <w:rFonts w:asciiTheme="minorHAnsi" w:eastAsia="HiddenHorzOCR" w:hAnsiTheme="minorHAnsi"/>
          <w:color w:val="auto"/>
          <w:szCs w:val="24"/>
        </w:rPr>
        <w:t>fter recuperation</w:t>
      </w:r>
      <w:r w:rsidR="0028086F">
        <w:rPr>
          <w:rFonts w:asciiTheme="minorHAnsi" w:eastAsia="HiddenHorzOCR" w:hAnsiTheme="minorHAnsi"/>
          <w:color w:val="auto"/>
          <w:szCs w:val="24"/>
        </w:rPr>
        <w:t>,</w:t>
      </w:r>
      <w:r w:rsidR="008767B3">
        <w:rPr>
          <w:rFonts w:asciiTheme="minorHAnsi" w:eastAsia="HiddenHorzOCR" w:hAnsiTheme="minorHAnsi"/>
          <w:color w:val="auto"/>
          <w:szCs w:val="24"/>
        </w:rPr>
        <w:t xml:space="preserve"> was cleared to </w:t>
      </w:r>
      <w:r w:rsidR="00E71763">
        <w:rPr>
          <w:rFonts w:asciiTheme="minorHAnsi" w:eastAsia="HiddenHorzOCR" w:hAnsiTheme="minorHAnsi"/>
          <w:color w:val="auto"/>
          <w:szCs w:val="24"/>
        </w:rPr>
        <w:t>redeploy</w:t>
      </w:r>
      <w:r w:rsidR="008767B3">
        <w:rPr>
          <w:rFonts w:asciiTheme="minorHAnsi" w:eastAsia="HiddenHorzOCR" w:hAnsiTheme="minorHAnsi"/>
          <w:color w:val="auto"/>
          <w:szCs w:val="24"/>
        </w:rPr>
        <w:t xml:space="preserve"> for a</w:t>
      </w:r>
      <w:r w:rsidR="00E3128B">
        <w:rPr>
          <w:rFonts w:asciiTheme="minorHAnsi" w:eastAsia="HiddenHorzOCR" w:hAnsiTheme="minorHAnsi"/>
          <w:color w:val="auto"/>
          <w:szCs w:val="24"/>
        </w:rPr>
        <w:t xml:space="preserve"> Medical Evaluation Board</w:t>
      </w:r>
      <w:r w:rsidR="003938CC">
        <w:rPr>
          <w:rFonts w:asciiTheme="minorHAnsi" w:eastAsia="HiddenHorzOCR" w:hAnsiTheme="minorHAnsi"/>
          <w:color w:val="auto"/>
          <w:szCs w:val="24"/>
        </w:rPr>
        <w:t xml:space="preserve"> (MEB)</w:t>
      </w:r>
      <w:r w:rsidR="00E3128B">
        <w:rPr>
          <w:rFonts w:asciiTheme="minorHAnsi" w:eastAsia="HiddenHorzOCR" w:hAnsiTheme="minorHAnsi"/>
          <w:color w:val="auto"/>
          <w:szCs w:val="24"/>
        </w:rPr>
        <w:t xml:space="preserve">.  </w:t>
      </w:r>
      <w:r w:rsidR="00E71763">
        <w:rPr>
          <w:rFonts w:asciiTheme="minorHAnsi" w:eastAsia="HiddenHorzOCR" w:hAnsiTheme="minorHAnsi"/>
          <w:color w:val="auto"/>
          <w:szCs w:val="24"/>
        </w:rPr>
        <w:t>He</w:t>
      </w:r>
      <w:r w:rsidR="00E3128B">
        <w:rPr>
          <w:rFonts w:asciiTheme="minorHAnsi" w:eastAsia="HiddenHorzOCR" w:hAnsiTheme="minorHAnsi"/>
          <w:color w:val="auto"/>
          <w:szCs w:val="24"/>
        </w:rPr>
        <w:t xml:space="preserve"> was referred for a 180-day trial of duty fo</w:t>
      </w:r>
      <w:r w:rsidR="008767B3">
        <w:rPr>
          <w:rFonts w:asciiTheme="minorHAnsi" w:eastAsia="HiddenHorzOCR" w:hAnsiTheme="minorHAnsi"/>
          <w:color w:val="auto"/>
          <w:szCs w:val="24"/>
        </w:rPr>
        <w:t>r the coronary artery condition</w:t>
      </w:r>
      <w:r w:rsidR="008767B3" w:rsidRPr="008767B3">
        <w:rPr>
          <w:rFonts w:asciiTheme="minorHAnsi" w:eastAsia="HiddenHorzOCR" w:hAnsiTheme="minorHAnsi"/>
          <w:color w:val="auto"/>
          <w:szCs w:val="24"/>
        </w:rPr>
        <w:t xml:space="preserve"> </w:t>
      </w:r>
      <w:r w:rsidR="00E71763">
        <w:rPr>
          <w:rFonts w:asciiTheme="minorHAnsi" w:eastAsia="HiddenHorzOCR" w:hAnsiTheme="minorHAnsi"/>
          <w:color w:val="auto"/>
          <w:szCs w:val="24"/>
        </w:rPr>
        <w:t>(</w:t>
      </w:r>
      <w:r w:rsidR="008767B3">
        <w:rPr>
          <w:rFonts w:asciiTheme="minorHAnsi" w:eastAsia="HiddenHorzOCR" w:hAnsiTheme="minorHAnsi"/>
          <w:color w:val="auto"/>
          <w:szCs w:val="24"/>
        </w:rPr>
        <w:t>IAW AR 40-150</w:t>
      </w:r>
      <w:r w:rsidR="00E71763">
        <w:rPr>
          <w:rFonts w:asciiTheme="minorHAnsi" w:eastAsia="HiddenHorzOCR" w:hAnsiTheme="minorHAnsi"/>
          <w:color w:val="auto"/>
          <w:szCs w:val="24"/>
        </w:rPr>
        <w:t>)</w:t>
      </w:r>
      <w:r w:rsidR="0028086F">
        <w:rPr>
          <w:rFonts w:asciiTheme="minorHAnsi" w:eastAsia="HiddenHorzOCR" w:hAnsiTheme="minorHAnsi"/>
          <w:color w:val="auto"/>
          <w:szCs w:val="24"/>
        </w:rPr>
        <w:t>;</w:t>
      </w:r>
      <w:r w:rsidR="008767B3">
        <w:rPr>
          <w:rFonts w:asciiTheme="minorHAnsi" w:eastAsia="HiddenHorzOCR" w:hAnsiTheme="minorHAnsi"/>
          <w:color w:val="auto"/>
          <w:szCs w:val="24"/>
        </w:rPr>
        <w:t xml:space="preserve"> but</w:t>
      </w:r>
      <w:r w:rsidR="0028086F">
        <w:rPr>
          <w:rFonts w:asciiTheme="minorHAnsi" w:eastAsia="HiddenHorzOCR" w:hAnsiTheme="minorHAnsi"/>
          <w:color w:val="auto"/>
          <w:szCs w:val="24"/>
        </w:rPr>
        <w:t>,</w:t>
      </w:r>
      <w:r w:rsidR="00E71763">
        <w:rPr>
          <w:rFonts w:asciiTheme="minorHAnsi" w:eastAsia="HiddenHorzOCR" w:hAnsiTheme="minorHAnsi"/>
          <w:color w:val="auto"/>
          <w:szCs w:val="24"/>
        </w:rPr>
        <w:t xml:space="preserve"> </w:t>
      </w:r>
      <w:r w:rsidR="0028086F">
        <w:rPr>
          <w:rFonts w:asciiTheme="minorHAnsi" w:eastAsia="HiddenHorzOCR" w:hAnsiTheme="minorHAnsi"/>
          <w:color w:val="auto"/>
          <w:szCs w:val="24"/>
        </w:rPr>
        <w:t>chronic conditions of</w:t>
      </w:r>
      <w:r w:rsidR="00454858">
        <w:rPr>
          <w:rFonts w:asciiTheme="minorHAnsi" w:eastAsia="HiddenHorzOCR" w:hAnsiTheme="minorHAnsi"/>
          <w:color w:val="auto"/>
          <w:szCs w:val="24"/>
        </w:rPr>
        <w:t xml:space="preserve"> back pain, bilateral ankle </w:t>
      </w:r>
      <w:r w:rsidR="0028086F">
        <w:rPr>
          <w:rFonts w:asciiTheme="minorHAnsi" w:eastAsia="HiddenHorzOCR" w:hAnsiTheme="minorHAnsi"/>
          <w:color w:val="auto"/>
          <w:szCs w:val="24"/>
        </w:rPr>
        <w:t>pain</w:t>
      </w:r>
      <w:r w:rsidR="00454858">
        <w:rPr>
          <w:rFonts w:asciiTheme="minorHAnsi" w:eastAsia="HiddenHorzOCR" w:hAnsiTheme="minorHAnsi"/>
          <w:color w:val="auto"/>
          <w:szCs w:val="24"/>
        </w:rPr>
        <w:t xml:space="preserve">, and migraine headaches surfaced </w:t>
      </w:r>
      <w:r w:rsidR="0028086F">
        <w:rPr>
          <w:rFonts w:asciiTheme="minorHAnsi" w:eastAsia="HiddenHorzOCR" w:hAnsiTheme="minorHAnsi"/>
          <w:color w:val="auto"/>
          <w:szCs w:val="24"/>
        </w:rPr>
        <w:t xml:space="preserve">acutely </w:t>
      </w:r>
      <w:r w:rsidR="00E71763">
        <w:rPr>
          <w:rFonts w:asciiTheme="minorHAnsi" w:eastAsia="HiddenHorzOCR" w:hAnsiTheme="minorHAnsi"/>
          <w:color w:val="auto"/>
          <w:szCs w:val="24"/>
        </w:rPr>
        <w:t xml:space="preserve">during the MEB process </w:t>
      </w:r>
      <w:r w:rsidR="0028086F">
        <w:rPr>
          <w:rFonts w:asciiTheme="minorHAnsi" w:eastAsia="HiddenHorzOCR" w:hAnsiTheme="minorHAnsi"/>
          <w:color w:val="auto"/>
          <w:szCs w:val="24"/>
        </w:rPr>
        <w:t xml:space="preserve">and </w:t>
      </w:r>
      <w:r w:rsidR="00665E1E">
        <w:rPr>
          <w:rFonts w:asciiTheme="minorHAnsi" w:eastAsia="HiddenHorzOCR" w:hAnsiTheme="minorHAnsi"/>
          <w:color w:val="auto"/>
          <w:szCs w:val="24"/>
        </w:rPr>
        <w:t xml:space="preserve">he </w:t>
      </w:r>
      <w:r w:rsidR="00A1268A" w:rsidRPr="00611971">
        <w:rPr>
          <w:color w:val="auto"/>
          <w:szCs w:val="24"/>
        </w:rPr>
        <w:t>respond</w:t>
      </w:r>
      <w:r w:rsidR="00454858">
        <w:rPr>
          <w:color w:val="auto"/>
          <w:szCs w:val="24"/>
        </w:rPr>
        <w:t>ed</w:t>
      </w:r>
      <w:r w:rsidR="00A1268A" w:rsidRPr="00611971">
        <w:rPr>
          <w:color w:val="auto"/>
          <w:szCs w:val="24"/>
        </w:rPr>
        <w:t xml:space="preserve"> </w:t>
      </w:r>
      <w:r w:rsidR="0028086F">
        <w:rPr>
          <w:color w:val="auto"/>
          <w:szCs w:val="24"/>
        </w:rPr>
        <w:t>in</w:t>
      </w:r>
      <w:r w:rsidR="00A1268A" w:rsidRPr="00611971">
        <w:rPr>
          <w:color w:val="auto"/>
          <w:szCs w:val="24"/>
        </w:rPr>
        <w:t>adequately to treatment</w:t>
      </w:r>
      <w:r w:rsidR="003938CC">
        <w:rPr>
          <w:color w:val="auto"/>
          <w:szCs w:val="24"/>
        </w:rPr>
        <w:t xml:space="preserve">.  </w:t>
      </w:r>
      <w:r w:rsidR="0028086F">
        <w:rPr>
          <w:color w:val="auto"/>
          <w:szCs w:val="24"/>
        </w:rPr>
        <w:t>He</w:t>
      </w:r>
      <w:r w:rsidR="003938CC">
        <w:rPr>
          <w:color w:val="auto"/>
          <w:szCs w:val="24"/>
        </w:rPr>
        <w:t xml:space="preserve"> was unable</w:t>
      </w:r>
      <w:r w:rsidR="00454858">
        <w:rPr>
          <w:color w:val="auto"/>
          <w:szCs w:val="24"/>
        </w:rPr>
        <w:t xml:space="preserve"> </w:t>
      </w:r>
      <w:r w:rsidR="00A1268A" w:rsidRPr="00611971">
        <w:rPr>
          <w:color w:val="auto"/>
          <w:szCs w:val="24"/>
        </w:rPr>
        <w:t xml:space="preserve">to </w:t>
      </w:r>
      <w:r w:rsidR="003938CC">
        <w:rPr>
          <w:color w:val="auto"/>
          <w:szCs w:val="24"/>
        </w:rPr>
        <w:t>fulfill the physical demands of his M</w:t>
      </w:r>
      <w:r w:rsidR="00A1268A">
        <w:rPr>
          <w:color w:val="auto"/>
          <w:szCs w:val="24"/>
        </w:rPr>
        <w:t xml:space="preserve">ilitary </w:t>
      </w:r>
      <w:r w:rsidR="003938CC">
        <w:rPr>
          <w:color w:val="auto"/>
          <w:szCs w:val="24"/>
        </w:rPr>
        <w:t>O</w:t>
      </w:r>
      <w:r w:rsidR="00A1268A" w:rsidRPr="00611971">
        <w:rPr>
          <w:color w:val="auto"/>
          <w:szCs w:val="24"/>
        </w:rPr>
        <w:t xml:space="preserve">ccupational </w:t>
      </w:r>
      <w:r w:rsidR="003938CC">
        <w:rPr>
          <w:color w:val="auto"/>
          <w:szCs w:val="24"/>
        </w:rPr>
        <w:t>S</w:t>
      </w:r>
      <w:r w:rsidR="00A1268A" w:rsidRPr="00611971">
        <w:rPr>
          <w:color w:val="auto"/>
          <w:szCs w:val="24"/>
        </w:rPr>
        <w:t>pecialty (MOS) or meet physical fitness standards</w:t>
      </w:r>
      <w:r w:rsidR="00665E1E">
        <w:rPr>
          <w:color w:val="auto"/>
          <w:szCs w:val="24"/>
        </w:rPr>
        <w:t xml:space="preserve"> and </w:t>
      </w:r>
      <w:r w:rsidR="00A1268A" w:rsidRPr="00611971">
        <w:rPr>
          <w:color w:val="auto"/>
          <w:szCs w:val="24"/>
        </w:rPr>
        <w:t xml:space="preserve">was issued </w:t>
      </w:r>
      <w:r w:rsidR="0028086F">
        <w:rPr>
          <w:color w:val="auto"/>
          <w:szCs w:val="24"/>
        </w:rPr>
        <w:t>permanent P3 and</w:t>
      </w:r>
      <w:r w:rsidR="00A1268A" w:rsidRPr="00611971">
        <w:rPr>
          <w:color w:val="auto"/>
          <w:szCs w:val="24"/>
        </w:rPr>
        <w:t xml:space="preserve"> L3 profile</w:t>
      </w:r>
      <w:r w:rsidR="001B337B">
        <w:rPr>
          <w:color w:val="auto"/>
          <w:szCs w:val="24"/>
        </w:rPr>
        <w:t>s.</w:t>
      </w:r>
      <w:r w:rsidR="0028086F">
        <w:rPr>
          <w:color w:val="auto"/>
          <w:szCs w:val="24"/>
        </w:rPr>
        <w:t xml:space="preserve"> </w:t>
      </w:r>
      <w:r w:rsidR="001B337B">
        <w:rPr>
          <w:color w:val="auto"/>
          <w:szCs w:val="24"/>
        </w:rPr>
        <w:t xml:space="preserve"> </w:t>
      </w:r>
      <w:r w:rsidR="00664D5F">
        <w:rPr>
          <w:color w:val="auto"/>
          <w:szCs w:val="24"/>
        </w:rPr>
        <w:t xml:space="preserve">Coronary artery disease, migraine headaches, mechanical low back pain, compression fractures of T11 and T12, </w:t>
      </w:r>
      <w:r w:rsidR="00B336B6">
        <w:rPr>
          <w:color w:val="auto"/>
          <w:szCs w:val="24"/>
        </w:rPr>
        <w:t xml:space="preserve">bilateral ankle </w:t>
      </w:r>
      <w:r w:rsidR="00664D5F">
        <w:rPr>
          <w:color w:val="auto"/>
          <w:szCs w:val="24"/>
        </w:rPr>
        <w:t>osteoarthritis</w:t>
      </w:r>
      <w:r w:rsidR="00C501DD">
        <w:rPr>
          <w:color w:val="auto"/>
          <w:szCs w:val="24"/>
        </w:rPr>
        <w:t xml:space="preserve">, </w:t>
      </w:r>
      <w:r w:rsidR="00664D5F">
        <w:rPr>
          <w:color w:val="auto"/>
          <w:szCs w:val="24"/>
        </w:rPr>
        <w:t>and right ankle instability w</w:t>
      </w:r>
      <w:r w:rsidR="00A1268A">
        <w:rPr>
          <w:color w:val="auto"/>
          <w:szCs w:val="24"/>
        </w:rPr>
        <w:t>ere</w:t>
      </w:r>
      <w:r w:rsidR="00A1268A" w:rsidRPr="00297511">
        <w:rPr>
          <w:color w:val="auto"/>
          <w:szCs w:val="24"/>
        </w:rPr>
        <w:t xml:space="preserve"> </w:t>
      </w:r>
      <w:r w:rsidR="00A1268A" w:rsidRPr="00611971">
        <w:rPr>
          <w:color w:val="auto"/>
          <w:szCs w:val="24"/>
        </w:rPr>
        <w:t xml:space="preserve">forwarded to the </w:t>
      </w:r>
      <w:r w:rsidR="00243C2D">
        <w:rPr>
          <w:color w:val="auto"/>
          <w:szCs w:val="24"/>
        </w:rPr>
        <w:t xml:space="preserve">Informal </w:t>
      </w:r>
      <w:r w:rsidR="00A1268A" w:rsidRPr="00611971">
        <w:rPr>
          <w:color w:val="auto"/>
          <w:szCs w:val="24"/>
        </w:rPr>
        <w:t>Physical Evaluation Board (</w:t>
      </w:r>
      <w:r w:rsidR="00243C2D">
        <w:rPr>
          <w:color w:val="auto"/>
          <w:szCs w:val="24"/>
        </w:rPr>
        <w:t>I</w:t>
      </w:r>
      <w:r w:rsidR="00A1268A" w:rsidRPr="00611971">
        <w:rPr>
          <w:color w:val="auto"/>
          <w:szCs w:val="24"/>
        </w:rPr>
        <w:t xml:space="preserve">PEB) as </w:t>
      </w:r>
      <w:r w:rsidR="001B337B">
        <w:rPr>
          <w:color w:val="auto"/>
          <w:szCs w:val="24"/>
        </w:rPr>
        <w:t xml:space="preserve">six separate </w:t>
      </w:r>
      <w:r w:rsidR="00A1268A" w:rsidRPr="00611971">
        <w:rPr>
          <w:color w:val="auto"/>
          <w:szCs w:val="24"/>
        </w:rPr>
        <w:t xml:space="preserve">medically unacceptable </w:t>
      </w:r>
      <w:r w:rsidR="001B337B">
        <w:rPr>
          <w:color w:val="auto"/>
          <w:szCs w:val="24"/>
        </w:rPr>
        <w:t xml:space="preserve">conditions </w:t>
      </w:r>
      <w:r w:rsidR="00A1268A" w:rsidRPr="00611971">
        <w:rPr>
          <w:color w:val="auto"/>
          <w:szCs w:val="24"/>
        </w:rPr>
        <w:t>IAW AR 40-501.</w:t>
      </w:r>
      <w:r w:rsidR="00A1268A">
        <w:rPr>
          <w:color w:val="auto"/>
          <w:szCs w:val="24"/>
        </w:rPr>
        <w:t xml:space="preserve"> </w:t>
      </w:r>
      <w:r w:rsidR="00454858">
        <w:rPr>
          <w:color w:val="auto"/>
          <w:szCs w:val="24"/>
        </w:rPr>
        <w:t xml:space="preserve"> </w:t>
      </w:r>
      <w:r w:rsidR="002C5118">
        <w:rPr>
          <w:color w:val="auto"/>
          <w:szCs w:val="24"/>
        </w:rPr>
        <w:t>Additionally, hypertension</w:t>
      </w:r>
      <w:r w:rsidR="00664D5F">
        <w:rPr>
          <w:color w:val="auto"/>
          <w:szCs w:val="24"/>
        </w:rPr>
        <w:t xml:space="preserve"> and </w:t>
      </w:r>
      <w:r w:rsidR="00A1268A">
        <w:rPr>
          <w:color w:val="auto"/>
          <w:szCs w:val="24"/>
        </w:rPr>
        <w:t>hyperlipidemia</w:t>
      </w:r>
      <w:r w:rsidR="00664D5F">
        <w:rPr>
          <w:color w:val="auto"/>
          <w:szCs w:val="24"/>
        </w:rPr>
        <w:t xml:space="preserve"> </w:t>
      </w:r>
      <w:r w:rsidR="00A1268A">
        <w:rPr>
          <w:color w:val="auto"/>
          <w:szCs w:val="24"/>
        </w:rPr>
        <w:t>were</w:t>
      </w:r>
      <w:r w:rsidR="00A1268A" w:rsidRPr="00611971">
        <w:rPr>
          <w:color w:val="auto"/>
          <w:szCs w:val="24"/>
        </w:rPr>
        <w:t xml:space="preserve"> forwarded as medically acceptable conditions.</w:t>
      </w:r>
      <w:r w:rsidR="00A1268A">
        <w:rPr>
          <w:color w:val="auto"/>
          <w:szCs w:val="24"/>
        </w:rPr>
        <w:t xml:space="preserve"> </w:t>
      </w:r>
      <w:r w:rsidR="00C501DD">
        <w:rPr>
          <w:color w:val="auto"/>
          <w:szCs w:val="24"/>
        </w:rPr>
        <w:t xml:space="preserve"> </w:t>
      </w:r>
      <w:r w:rsidR="00664D5F" w:rsidRPr="00C472C7">
        <w:rPr>
          <w:rFonts w:asciiTheme="minorHAnsi" w:hAnsiTheme="minorHAnsi"/>
          <w:color w:val="auto"/>
          <w:szCs w:val="24"/>
        </w:rPr>
        <w:t>Other conditions included in the</w:t>
      </w:r>
      <w:r w:rsidR="00664D5F">
        <w:rPr>
          <w:rFonts w:asciiTheme="minorHAnsi" w:hAnsiTheme="minorHAnsi"/>
          <w:color w:val="auto"/>
          <w:szCs w:val="24"/>
        </w:rPr>
        <w:t xml:space="preserve"> </w:t>
      </w:r>
      <w:r w:rsidR="00664D5F" w:rsidRPr="00D93A41">
        <w:rPr>
          <w:rFonts w:asciiTheme="minorHAnsi" w:hAnsiTheme="minorHAnsi"/>
          <w:color w:val="auto"/>
          <w:szCs w:val="24"/>
        </w:rPr>
        <w:t>Disability Evaluation System (DES)</w:t>
      </w:r>
      <w:r w:rsidR="00664D5F" w:rsidRPr="00555C66">
        <w:rPr>
          <w:rFonts w:asciiTheme="minorHAnsi" w:hAnsiTheme="minorHAnsi"/>
          <w:color w:val="auto"/>
          <w:szCs w:val="24"/>
        </w:rPr>
        <w:t xml:space="preserve"> </w:t>
      </w:r>
      <w:r w:rsidR="00664D5F">
        <w:rPr>
          <w:rFonts w:asciiTheme="minorHAnsi" w:hAnsiTheme="minorHAnsi"/>
          <w:color w:val="auto"/>
          <w:szCs w:val="24"/>
        </w:rPr>
        <w:t xml:space="preserve">file </w:t>
      </w:r>
      <w:r w:rsidR="00664D5F" w:rsidRPr="00C472C7">
        <w:rPr>
          <w:rFonts w:asciiTheme="minorHAnsi" w:hAnsiTheme="minorHAnsi"/>
          <w:color w:val="auto"/>
          <w:szCs w:val="24"/>
        </w:rPr>
        <w:t>will be discussed below</w:t>
      </w:r>
      <w:r w:rsidR="00664D5F">
        <w:rPr>
          <w:rFonts w:asciiTheme="minorHAnsi" w:hAnsiTheme="minorHAnsi"/>
          <w:color w:val="auto"/>
          <w:szCs w:val="24"/>
        </w:rPr>
        <w:t xml:space="preserve">.  </w:t>
      </w:r>
      <w:r w:rsidR="00A1268A" w:rsidRPr="00611971">
        <w:rPr>
          <w:color w:val="auto"/>
          <w:szCs w:val="24"/>
        </w:rPr>
        <w:t xml:space="preserve">The IPEB </w:t>
      </w:r>
      <w:r w:rsidR="001B337B">
        <w:rPr>
          <w:color w:val="auto"/>
          <w:szCs w:val="24"/>
        </w:rPr>
        <w:t>combined</w:t>
      </w:r>
      <w:r w:rsidR="00A1268A" w:rsidRPr="00611971">
        <w:rPr>
          <w:color w:val="auto"/>
          <w:szCs w:val="24"/>
        </w:rPr>
        <w:t xml:space="preserve"> the chronic low back</w:t>
      </w:r>
      <w:r w:rsidR="009D1AEE">
        <w:rPr>
          <w:color w:val="auto"/>
          <w:szCs w:val="24"/>
        </w:rPr>
        <w:t xml:space="preserve"> pain</w:t>
      </w:r>
      <w:r w:rsidR="00E65846">
        <w:rPr>
          <w:color w:val="auto"/>
          <w:szCs w:val="24"/>
        </w:rPr>
        <w:t xml:space="preserve"> and T11</w:t>
      </w:r>
      <w:r w:rsidR="00C501DD">
        <w:rPr>
          <w:color w:val="auto"/>
          <w:szCs w:val="24"/>
        </w:rPr>
        <w:t>/</w:t>
      </w:r>
      <w:r w:rsidR="00E65846">
        <w:rPr>
          <w:color w:val="auto"/>
          <w:szCs w:val="24"/>
        </w:rPr>
        <w:t>T12 compression fractures as one unfitting condition, rated 10%</w:t>
      </w:r>
      <w:r w:rsidR="00C501DD">
        <w:rPr>
          <w:color w:val="auto"/>
          <w:szCs w:val="24"/>
        </w:rPr>
        <w:t xml:space="preserve">; </w:t>
      </w:r>
      <w:r w:rsidR="001B337B">
        <w:rPr>
          <w:color w:val="auto"/>
          <w:szCs w:val="24"/>
        </w:rPr>
        <w:t xml:space="preserve">combined </w:t>
      </w:r>
      <w:r w:rsidR="00C501DD">
        <w:rPr>
          <w:color w:val="auto"/>
          <w:szCs w:val="24"/>
        </w:rPr>
        <w:t xml:space="preserve">the bilateral ankle osteoarthritis and right ankle instability as </w:t>
      </w:r>
      <w:r w:rsidR="00C501DD" w:rsidRPr="00424408">
        <w:rPr>
          <w:color w:val="auto"/>
          <w:szCs w:val="24"/>
        </w:rPr>
        <w:t>one unfitting condition, rated 10%; and</w:t>
      </w:r>
      <w:r w:rsidR="001B337B">
        <w:rPr>
          <w:color w:val="auto"/>
          <w:szCs w:val="24"/>
        </w:rPr>
        <w:t>,</w:t>
      </w:r>
      <w:r w:rsidR="00C501DD" w:rsidRPr="00424408">
        <w:rPr>
          <w:color w:val="auto"/>
          <w:szCs w:val="24"/>
        </w:rPr>
        <w:t xml:space="preserve"> </w:t>
      </w:r>
      <w:r w:rsidR="001B337B">
        <w:rPr>
          <w:color w:val="auto"/>
          <w:szCs w:val="24"/>
        </w:rPr>
        <w:t xml:space="preserve">adjudicated </w:t>
      </w:r>
      <w:r w:rsidR="00C501DD" w:rsidRPr="00424408">
        <w:rPr>
          <w:color w:val="auto"/>
          <w:szCs w:val="24"/>
        </w:rPr>
        <w:t>migraine headaches as unfitting, rated 0%</w:t>
      </w:r>
      <w:r w:rsidR="001B337B">
        <w:rPr>
          <w:color w:val="auto"/>
          <w:szCs w:val="24"/>
        </w:rPr>
        <w:t xml:space="preserve">.  All ratings cited criteria from </w:t>
      </w:r>
      <w:r w:rsidR="00C501DD" w:rsidRPr="00424408">
        <w:rPr>
          <w:color w:val="auto"/>
          <w:szCs w:val="24"/>
        </w:rPr>
        <w:t xml:space="preserve">the </w:t>
      </w:r>
      <w:r w:rsidR="00E65846" w:rsidRPr="00424408">
        <w:rPr>
          <w:rFonts w:asciiTheme="minorHAnsi" w:hAnsiTheme="minorHAnsi"/>
          <w:color w:val="auto"/>
          <w:szCs w:val="24"/>
        </w:rPr>
        <w:t>Veterans Administration Schedule for Rating Disabilities (VASRD)</w:t>
      </w:r>
      <w:r w:rsidR="00424408" w:rsidRPr="00424408">
        <w:rPr>
          <w:rFonts w:asciiTheme="minorHAnsi" w:hAnsiTheme="minorHAnsi"/>
          <w:color w:val="auto"/>
          <w:szCs w:val="24"/>
        </w:rPr>
        <w:t>.</w:t>
      </w:r>
      <w:r w:rsidR="00424408">
        <w:rPr>
          <w:rFonts w:asciiTheme="minorHAnsi" w:hAnsiTheme="minorHAnsi"/>
          <w:color w:val="auto"/>
          <w:szCs w:val="24"/>
        </w:rPr>
        <w:t xml:space="preserve">  </w:t>
      </w:r>
      <w:r w:rsidR="009D1AEE">
        <w:rPr>
          <w:rFonts w:asciiTheme="minorHAnsi" w:hAnsiTheme="minorHAnsi"/>
          <w:color w:val="auto"/>
          <w:szCs w:val="24"/>
        </w:rPr>
        <w:t xml:space="preserve">The coronary artery disease, hypertension, and hyperlipidemia </w:t>
      </w:r>
      <w:r w:rsidR="001B337B">
        <w:rPr>
          <w:rFonts w:asciiTheme="minorHAnsi" w:hAnsiTheme="minorHAnsi"/>
          <w:color w:val="auto"/>
          <w:szCs w:val="24"/>
        </w:rPr>
        <w:t xml:space="preserve">conditions </w:t>
      </w:r>
      <w:r w:rsidR="009D1AEE">
        <w:rPr>
          <w:rFonts w:asciiTheme="minorHAnsi" w:hAnsiTheme="minorHAnsi"/>
          <w:color w:val="auto"/>
          <w:szCs w:val="24"/>
        </w:rPr>
        <w:t xml:space="preserve">were determined to be not unfitting.  </w:t>
      </w:r>
      <w:r w:rsidR="00A1268A" w:rsidRPr="00611971">
        <w:rPr>
          <w:color w:val="auto"/>
        </w:rPr>
        <w:t>The CI appealed to the F</w:t>
      </w:r>
      <w:r w:rsidR="00A1268A">
        <w:rPr>
          <w:color w:val="auto"/>
        </w:rPr>
        <w:t xml:space="preserve">ormal </w:t>
      </w:r>
      <w:r w:rsidR="00A1268A" w:rsidRPr="00611971">
        <w:rPr>
          <w:color w:val="auto"/>
        </w:rPr>
        <w:t>PEB</w:t>
      </w:r>
      <w:r w:rsidR="004B18D6">
        <w:rPr>
          <w:color w:val="auto"/>
        </w:rPr>
        <w:t xml:space="preserve"> </w:t>
      </w:r>
      <w:r w:rsidR="001B337B">
        <w:rPr>
          <w:color w:val="auto"/>
        </w:rPr>
        <w:t>(FPEB), which</w:t>
      </w:r>
      <w:r w:rsidR="004B18D6">
        <w:rPr>
          <w:color w:val="auto"/>
        </w:rPr>
        <w:t xml:space="preserve"> affirmed the findings o</w:t>
      </w:r>
      <w:r w:rsidR="00E9565E">
        <w:rPr>
          <w:color w:val="auto"/>
        </w:rPr>
        <w:t>f the IPEB; and</w:t>
      </w:r>
      <w:r w:rsidR="001B337B">
        <w:rPr>
          <w:color w:val="auto"/>
        </w:rPr>
        <w:t>,</w:t>
      </w:r>
      <w:r w:rsidR="00E9565E">
        <w:rPr>
          <w:color w:val="auto"/>
        </w:rPr>
        <w:t xml:space="preserve"> t</w:t>
      </w:r>
      <w:r w:rsidR="004B18D6">
        <w:rPr>
          <w:color w:val="auto"/>
        </w:rPr>
        <w:t xml:space="preserve">he CI </w:t>
      </w:r>
      <w:r w:rsidR="00A1268A" w:rsidRPr="00611971">
        <w:rPr>
          <w:color w:val="auto"/>
        </w:rPr>
        <w:t>was medically separated with a 20% combined disability</w:t>
      </w:r>
      <w:r w:rsidR="00A1268A" w:rsidRPr="00C472C7">
        <w:rPr>
          <w:color w:val="auto"/>
        </w:rPr>
        <w:t xml:space="preserve"> rating.</w:t>
      </w:r>
      <w:r w:rsidRPr="00EC337D">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4B18D6" w:rsidRPr="00B720DE" w:rsidRDefault="002C6E5B" w:rsidP="004B18D6">
      <w:pPr>
        <w:tabs>
          <w:tab w:val="left" w:pos="288"/>
          <w:tab w:val="left" w:pos="4752"/>
        </w:tabs>
        <w:spacing w:line="240" w:lineRule="exact"/>
        <w:jc w:val="both"/>
        <w:rPr>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4B18D6">
        <w:rPr>
          <w:rFonts w:asciiTheme="minorHAnsi" w:hAnsiTheme="minorHAnsi"/>
          <w:color w:val="auto"/>
        </w:rPr>
        <w:t xml:space="preserve"> </w:t>
      </w:r>
      <w:r w:rsidR="004B18D6">
        <w:rPr>
          <w:color w:val="auto"/>
        </w:rPr>
        <w:t>“Was rated at 10% for back, 10% for ankles, 0% for migraines, and nothing for heart attack with stent and asthma.  Had permanent profiles for heart attack and migraines, but did not receive proper ratings for either.  Went to Washington State to appeal initial rating and my legal representative did nothing to help my</w:t>
      </w:r>
      <w:r w:rsidR="00103D6B">
        <w:rPr>
          <w:color w:val="auto"/>
        </w:rPr>
        <w:t xml:space="preserve"> appeal.  Asthma was listed as b</w:t>
      </w:r>
      <w:r w:rsidR="004B18D6">
        <w:rPr>
          <w:color w:val="auto"/>
        </w:rPr>
        <w:t>ronchial spasms so I could deplo</w:t>
      </w:r>
      <w:r w:rsidR="00103D6B">
        <w:rPr>
          <w:color w:val="auto"/>
        </w:rPr>
        <w:t>y but later rated by the VA as a</w:t>
      </w:r>
      <w:r w:rsidR="004B18D6">
        <w:rPr>
          <w:color w:val="auto"/>
        </w:rPr>
        <w:t xml:space="preserve">sthma.  I had 14 years, 7 months of active duty when separated.  Was granted tax exempt for combat related injuries.  Also new law expands severance pay to 19 years.  I was calculated at 12 years.” </w:t>
      </w:r>
      <w:r w:rsidR="0028086F">
        <w:rPr>
          <w:rFonts w:eastAsia="Calibri"/>
          <w:color w:val="auto"/>
          <w:szCs w:val="24"/>
        </w:rPr>
        <w:t>The CI</w:t>
      </w:r>
      <w:r w:rsidR="004B18D6" w:rsidRPr="00B5709B">
        <w:rPr>
          <w:rFonts w:eastAsia="Calibri"/>
          <w:color w:val="auto"/>
          <w:szCs w:val="24"/>
        </w:rPr>
        <w:t xml:space="preserve"> additionally</w:t>
      </w:r>
      <w:r w:rsidR="004B18D6" w:rsidRPr="005C4D72">
        <w:rPr>
          <w:rFonts w:eastAsia="Calibri"/>
          <w:color w:val="auto"/>
          <w:szCs w:val="24"/>
        </w:rPr>
        <w:t xml:space="preserve"> lists all of his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103D6B" w:rsidRDefault="00103D6B">
      <w:pPr>
        <w:rPr>
          <w:rFonts w:asciiTheme="minorHAnsi" w:hAnsiTheme="minorHAnsi"/>
          <w:color w:val="auto"/>
          <w:u w:val="single"/>
        </w:rPr>
      </w:pPr>
      <w:r>
        <w:rPr>
          <w:rFonts w:asciiTheme="minorHAnsi" w:hAnsiTheme="minorHAnsi"/>
          <w:color w:val="auto"/>
          <w:u w:val="single"/>
        </w:rPr>
        <w:br w:type="page"/>
      </w:r>
    </w:p>
    <w:p w:rsidR="00665E1E" w:rsidRPr="00E71763" w:rsidRDefault="00665E1E" w:rsidP="00665E1E">
      <w:pPr>
        <w:rPr>
          <w:rFonts w:asciiTheme="minorHAnsi" w:hAnsiTheme="minorHAnsi"/>
          <w:color w:val="auto"/>
        </w:rPr>
      </w:pPr>
      <w:r>
        <w:rPr>
          <w:rFonts w:asciiTheme="minorHAnsi" w:hAnsiTheme="minorHAnsi"/>
          <w:color w:val="auto"/>
          <w:u w:val="single"/>
        </w:rPr>
        <w:lastRenderedPageBreak/>
        <w:t>RATING COMPARISON</w:t>
      </w:r>
      <w:r>
        <w:rPr>
          <w:rFonts w:asciiTheme="minorHAnsi" w:hAnsiTheme="minorHAnsi"/>
          <w:color w:val="auto"/>
        </w:rPr>
        <w:t>:</w:t>
      </w:r>
    </w:p>
    <w:tbl>
      <w:tblPr>
        <w:tblpPr w:leftFromText="180" w:rightFromText="180" w:vertAnchor="text" w:horzAnchor="margin" w:tblpY="229"/>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720"/>
        <w:gridCol w:w="774"/>
        <w:gridCol w:w="2532"/>
        <w:gridCol w:w="6"/>
        <w:gridCol w:w="1062"/>
        <w:gridCol w:w="828"/>
        <w:gridCol w:w="972"/>
      </w:tblGrid>
      <w:tr w:rsidR="00103D6B" w:rsidRPr="002A4119" w:rsidTr="00103D6B">
        <w:trPr>
          <w:trHeight w:val="233"/>
        </w:trPr>
        <w:tc>
          <w:tcPr>
            <w:tcW w:w="4032" w:type="dxa"/>
            <w:gridSpan w:val="3"/>
            <w:tcBorders>
              <w:right w:val="thinThickThinSmallGap" w:sz="24" w:space="0" w:color="auto"/>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Service FPEB – Dated 20050119</w:t>
            </w:r>
          </w:p>
        </w:tc>
        <w:tc>
          <w:tcPr>
            <w:tcW w:w="5400" w:type="dxa"/>
            <w:gridSpan w:val="5"/>
            <w:tcBorders>
              <w:left w:val="thinThickThinSmallGap" w:sz="24" w:space="0" w:color="auto"/>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 xml:space="preserve">VA (1 Mo. </w:t>
            </w:r>
            <w:r>
              <w:rPr>
                <w:rFonts w:eastAsia="Calibri"/>
                <w:b/>
                <w:color w:val="auto"/>
                <w:sz w:val="20"/>
              </w:rPr>
              <w:t xml:space="preserve">Pre </w:t>
            </w:r>
            <w:r w:rsidRPr="001C399E">
              <w:rPr>
                <w:rFonts w:eastAsia="Calibri"/>
                <w:b/>
                <w:color w:val="auto"/>
                <w:sz w:val="20"/>
              </w:rPr>
              <w:t>Separation) – All Effective Date 20050409</w:t>
            </w:r>
          </w:p>
        </w:tc>
      </w:tr>
      <w:tr w:rsidR="00103D6B" w:rsidRPr="002A4119" w:rsidTr="00103D6B">
        <w:trPr>
          <w:trHeight w:val="187"/>
        </w:trPr>
        <w:tc>
          <w:tcPr>
            <w:tcW w:w="2538" w:type="dxa"/>
            <w:tcBorders>
              <w:bottom w:val="single" w:sz="4" w:space="0" w:color="000000"/>
              <w:right w:val="single" w:sz="4" w:space="0" w:color="auto"/>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Condition</w:t>
            </w:r>
          </w:p>
        </w:tc>
        <w:tc>
          <w:tcPr>
            <w:tcW w:w="720" w:type="dxa"/>
            <w:tcBorders>
              <w:left w:val="single" w:sz="4" w:space="0" w:color="auto"/>
              <w:bottom w:val="single" w:sz="4" w:space="0" w:color="000000"/>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Code</w:t>
            </w:r>
          </w:p>
        </w:tc>
        <w:tc>
          <w:tcPr>
            <w:tcW w:w="774" w:type="dxa"/>
            <w:tcBorders>
              <w:bottom w:val="single" w:sz="4" w:space="0" w:color="000000"/>
              <w:right w:val="thinThickThinSmallGap" w:sz="24" w:space="0" w:color="auto"/>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Rating</w:t>
            </w:r>
          </w:p>
        </w:tc>
        <w:tc>
          <w:tcPr>
            <w:tcW w:w="2538" w:type="dxa"/>
            <w:gridSpan w:val="2"/>
            <w:tcBorders>
              <w:left w:val="thinThickThinSmallGap" w:sz="24" w:space="0" w:color="auto"/>
              <w:bottom w:val="single" w:sz="4" w:space="0" w:color="000000"/>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Condition</w:t>
            </w:r>
          </w:p>
        </w:tc>
        <w:tc>
          <w:tcPr>
            <w:tcW w:w="1062" w:type="dxa"/>
            <w:tcBorders>
              <w:bottom w:val="single" w:sz="4" w:space="0" w:color="000000"/>
            </w:tcBorders>
            <w:shd w:val="clear" w:color="auto" w:fill="D9D9D9"/>
            <w:vAlign w:val="center"/>
          </w:tcPr>
          <w:p w:rsidR="00103D6B" w:rsidRPr="0056669B" w:rsidRDefault="00103D6B" w:rsidP="00103D6B">
            <w:pPr>
              <w:spacing w:line="240" w:lineRule="exact"/>
              <w:contextualSpacing/>
              <w:jc w:val="center"/>
              <w:rPr>
                <w:rFonts w:eastAsia="Calibri"/>
                <w:b/>
                <w:color w:val="auto"/>
                <w:sz w:val="20"/>
              </w:rPr>
            </w:pPr>
            <w:r w:rsidRPr="0056669B">
              <w:rPr>
                <w:rFonts w:eastAsia="Calibri"/>
                <w:b/>
                <w:color w:val="auto"/>
                <w:sz w:val="20"/>
              </w:rPr>
              <w:t>Code</w:t>
            </w:r>
          </w:p>
        </w:tc>
        <w:tc>
          <w:tcPr>
            <w:tcW w:w="828" w:type="dxa"/>
            <w:tcBorders>
              <w:bottom w:val="single" w:sz="4" w:space="0" w:color="000000"/>
            </w:tcBorders>
            <w:shd w:val="clear" w:color="auto" w:fill="D9D9D9"/>
            <w:vAlign w:val="center"/>
          </w:tcPr>
          <w:p w:rsidR="00103D6B" w:rsidRPr="0056669B" w:rsidRDefault="00103D6B" w:rsidP="00103D6B">
            <w:pPr>
              <w:spacing w:line="240" w:lineRule="exact"/>
              <w:contextualSpacing/>
              <w:jc w:val="center"/>
              <w:rPr>
                <w:rFonts w:eastAsia="Calibri"/>
                <w:b/>
                <w:color w:val="auto"/>
                <w:sz w:val="20"/>
              </w:rPr>
            </w:pPr>
            <w:r w:rsidRPr="0056669B">
              <w:rPr>
                <w:rFonts w:eastAsia="Calibri"/>
                <w:b/>
                <w:color w:val="auto"/>
                <w:sz w:val="20"/>
              </w:rPr>
              <w:t>Rating</w:t>
            </w:r>
          </w:p>
        </w:tc>
        <w:tc>
          <w:tcPr>
            <w:tcW w:w="972" w:type="dxa"/>
            <w:tcBorders>
              <w:bottom w:val="single" w:sz="4" w:space="0" w:color="000000"/>
            </w:tcBorders>
            <w:shd w:val="clear" w:color="auto" w:fill="D9D9D9"/>
            <w:vAlign w:val="center"/>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Exam</w:t>
            </w:r>
          </w:p>
        </w:tc>
      </w:tr>
      <w:tr w:rsidR="00103D6B" w:rsidRPr="002A4119" w:rsidTr="00103D6B">
        <w:trPr>
          <w:trHeight w:val="133"/>
        </w:trPr>
        <w:tc>
          <w:tcPr>
            <w:tcW w:w="2538" w:type="dxa"/>
            <w:vMerge w:val="restart"/>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Chronic Low Back Pain</w:t>
            </w:r>
          </w:p>
        </w:tc>
        <w:tc>
          <w:tcPr>
            <w:tcW w:w="720" w:type="dxa"/>
            <w:vMerge w:val="restart"/>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5299-5237</w:t>
            </w:r>
          </w:p>
        </w:tc>
        <w:tc>
          <w:tcPr>
            <w:tcW w:w="774" w:type="dxa"/>
            <w:vMerge w:val="restart"/>
            <w:tcBorders>
              <w:right w:val="thinThickThinSmallGap" w:sz="2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2538" w:type="dxa"/>
            <w:gridSpan w:val="2"/>
            <w:tcBorders>
              <w:left w:val="thinThickThinSmallGap" w:sz="2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Lumbar Strain</w:t>
            </w:r>
          </w:p>
        </w:tc>
        <w:tc>
          <w:tcPr>
            <w:tcW w:w="1062"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5020-5237</w:t>
            </w:r>
          </w:p>
        </w:tc>
        <w:tc>
          <w:tcPr>
            <w:tcW w:w="828"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70"/>
        </w:trPr>
        <w:tc>
          <w:tcPr>
            <w:tcW w:w="2538" w:type="dxa"/>
            <w:vMerge/>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p>
        </w:tc>
        <w:tc>
          <w:tcPr>
            <w:tcW w:w="720" w:type="dxa"/>
            <w:vMerge/>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p>
        </w:tc>
        <w:tc>
          <w:tcPr>
            <w:tcW w:w="774" w:type="dxa"/>
            <w:vMerge/>
            <w:tcBorders>
              <w:right w:val="thinThickThinSmallGap" w:sz="2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p>
        </w:tc>
        <w:tc>
          <w:tcPr>
            <w:tcW w:w="2538" w:type="dxa"/>
            <w:gridSpan w:val="2"/>
            <w:tcBorders>
              <w:left w:val="thinThickThinSmallGap" w:sz="2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proofErr w:type="spellStart"/>
            <w:r w:rsidRPr="001C399E">
              <w:rPr>
                <w:rFonts w:eastAsia="Calibri"/>
                <w:color w:val="auto"/>
                <w:sz w:val="18"/>
                <w:szCs w:val="18"/>
              </w:rPr>
              <w:t>Radiculopathy</w:t>
            </w:r>
            <w:proofErr w:type="spellEnd"/>
            <w:r w:rsidRPr="001C399E">
              <w:rPr>
                <w:rFonts w:eastAsia="Calibri"/>
                <w:color w:val="auto"/>
                <w:sz w:val="18"/>
                <w:szCs w:val="18"/>
              </w:rPr>
              <w:t>, LLE</w:t>
            </w:r>
          </w:p>
        </w:tc>
        <w:tc>
          <w:tcPr>
            <w:tcW w:w="1062"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8599-8520</w:t>
            </w:r>
          </w:p>
        </w:tc>
        <w:tc>
          <w:tcPr>
            <w:tcW w:w="828"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66"/>
        </w:trPr>
        <w:tc>
          <w:tcPr>
            <w:tcW w:w="2538" w:type="dxa"/>
            <w:vMerge w:val="restart"/>
            <w:tcBorders>
              <w:right w:val="single" w:sz="4" w:space="0" w:color="auto"/>
            </w:tcBorders>
            <w:shd w:val="clear" w:color="auto" w:fill="FFFFFF"/>
            <w:vAlign w:val="center"/>
          </w:tcPr>
          <w:p w:rsidR="00103D6B" w:rsidRPr="001C399E" w:rsidRDefault="00103D6B" w:rsidP="00103D6B">
            <w:pPr>
              <w:spacing w:line="180" w:lineRule="exact"/>
              <w:contextualSpacing/>
              <w:rPr>
                <w:rFonts w:eastAsia="Calibri"/>
                <w:color w:val="auto"/>
                <w:sz w:val="18"/>
                <w:szCs w:val="18"/>
              </w:rPr>
            </w:pPr>
            <w:r w:rsidRPr="001C399E">
              <w:rPr>
                <w:rFonts w:eastAsia="Calibri"/>
                <w:color w:val="auto"/>
                <w:sz w:val="18"/>
                <w:szCs w:val="18"/>
              </w:rPr>
              <w:t>Bilateral Ankle Pain and Instability</w:t>
            </w:r>
          </w:p>
        </w:tc>
        <w:tc>
          <w:tcPr>
            <w:tcW w:w="720" w:type="dxa"/>
            <w:vMerge w:val="restart"/>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5003</w:t>
            </w:r>
          </w:p>
        </w:tc>
        <w:tc>
          <w:tcPr>
            <w:tcW w:w="774" w:type="dxa"/>
            <w:vMerge w:val="restart"/>
            <w:tcBorders>
              <w:right w:val="thinThickThinSmallGap" w:sz="2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2538" w:type="dxa"/>
            <w:gridSpan w:val="2"/>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Pr>
                <w:rFonts w:eastAsia="Calibri"/>
                <w:color w:val="auto"/>
                <w:sz w:val="18"/>
                <w:szCs w:val="18"/>
              </w:rPr>
              <w:t>Residuals of Left Ankle Sprain</w:t>
            </w:r>
          </w:p>
        </w:tc>
        <w:tc>
          <w:tcPr>
            <w:tcW w:w="1062" w:type="dxa"/>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5299-5271</w:t>
            </w:r>
          </w:p>
        </w:tc>
        <w:tc>
          <w:tcPr>
            <w:tcW w:w="828"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20050311</w:t>
            </w:r>
          </w:p>
        </w:tc>
      </w:tr>
      <w:tr w:rsidR="00103D6B" w:rsidRPr="002A4119" w:rsidTr="00103D6B">
        <w:trPr>
          <w:trHeight w:val="66"/>
        </w:trPr>
        <w:tc>
          <w:tcPr>
            <w:tcW w:w="2538" w:type="dxa"/>
            <w:vMerge/>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p>
        </w:tc>
        <w:tc>
          <w:tcPr>
            <w:tcW w:w="720" w:type="dxa"/>
            <w:vMerge/>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p>
        </w:tc>
        <w:tc>
          <w:tcPr>
            <w:tcW w:w="774" w:type="dxa"/>
            <w:vMerge/>
            <w:tcBorders>
              <w:right w:val="thinThickThinSmallGap" w:sz="2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p>
        </w:tc>
        <w:tc>
          <w:tcPr>
            <w:tcW w:w="2538" w:type="dxa"/>
            <w:gridSpan w:val="2"/>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Residual</w:t>
            </w:r>
            <w:r>
              <w:rPr>
                <w:rFonts w:eastAsia="Calibri"/>
                <w:color w:val="auto"/>
                <w:sz w:val="18"/>
                <w:szCs w:val="18"/>
              </w:rPr>
              <w:t>s of</w:t>
            </w:r>
            <w:r w:rsidRPr="001C399E">
              <w:rPr>
                <w:rFonts w:eastAsia="Calibri"/>
                <w:color w:val="auto"/>
                <w:sz w:val="18"/>
                <w:szCs w:val="18"/>
              </w:rPr>
              <w:t xml:space="preserve"> R</w:t>
            </w:r>
            <w:r>
              <w:rPr>
                <w:rFonts w:eastAsia="Calibri"/>
                <w:color w:val="auto"/>
                <w:sz w:val="18"/>
                <w:szCs w:val="18"/>
              </w:rPr>
              <w:t xml:space="preserve">ight </w:t>
            </w:r>
            <w:r w:rsidRPr="001C399E">
              <w:rPr>
                <w:rFonts w:eastAsia="Calibri"/>
                <w:color w:val="auto"/>
                <w:sz w:val="18"/>
                <w:szCs w:val="18"/>
              </w:rPr>
              <w:t xml:space="preserve">Ankle </w:t>
            </w:r>
            <w:r>
              <w:rPr>
                <w:rFonts w:eastAsia="Calibri"/>
                <w:color w:val="auto"/>
                <w:sz w:val="18"/>
                <w:szCs w:val="18"/>
              </w:rPr>
              <w:t>Spr</w:t>
            </w:r>
            <w:r w:rsidRPr="001C399E">
              <w:rPr>
                <w:rFonts w:eastAsia="Calibri"/>
                <w:color w:val="auto"/>
                <w:sz w:val="18"/>
                <w:szCs w:val="18"/>
              </w:rPr>
              <w:t>ain</w:t>
            </w:r>
          </w:p>
        </w:tc>
        <w:tc>
          <w:tcPr>
            <w:tcW w:w="1062" w:type="dxa"/>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5299-5271</w:t>
            </w:r>
          </w:p>
        </w:tc>
        <w:tc>
          <w:tcPr>
            <w:tcW w:w="828" w:type="dxa"/>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66"/>
        </w:trPr>
        <w:tc>
          <w:tcPr>
            <w:tcW w:w="2538" w:type="dxa"/>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Migraine Headaches</w:t>
            </w:r>
          </w:p>
        </w:tc>
        <w:tc>
          <w:tcPr>
            <w:tcW w:w="720" w:type="dxa"/>
            <w:tcBorders>
              <w:left w:val="single" w:sz="4" w:space="0" w:color="auto"/>
              <w:righ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8100</w:t>
            </w:r>
          </w:p>
        </w:tc>
        <w:tc>
          <w:tcPr>
            <w:tcW w:w="774" w:type="dxa"/>
            <w:tcBorders>
              <w:left w:val="single" w:sz="4" w:space="0" w:color="auto"/>
              <w:right w:val="thinThickThinSmallGap" w:sz="2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0%</w:t>
            </w:r>
          </w:p>
        </w:tc>
        <w:tc>
          <w:tcPr>
            <w:tcW w:w="2538" w:type="dxa"/>
            <w:gridSpan w:val="2"/>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Migraine Headaches</w:t>
            </w:r>
          </w:p>
        </w:tc>
        <w:tc>
          <w:tcPr>
            <w:tcW w:w="1062" w:type="dxa"/>
            <w:tcBorders>
              <w:left w:val="single" w:sz="4" w:space="0" w:color="auto"/>
              <w:righ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8100</w:t>
            </w:r>
          </w:p>
        </w:tc>
        <w:tc>
          <w:tcPr>
            <w:tcW w:w="828" w:type="dxa"/>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66"/>
        </w:trPr>
        <w:tc>
          <w:tcPr>
            <w:tcW w:w="2538" w:type="dxa"/>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Pr>
                <w:rFonts w:eastAsia="Calibri"/>
                <w:color w:val="auto"/>
                <w:sz w:val="18"/>
                <w:szCs w:val="18"/>
              </w:rPr>
              <w:t>Coronary Artery Disease</w:t>
            </w:r>
          </w:p>
        </w:tc>
        <w:tc>
          <w:tcPr>
            <w:tcW w:w="1494" w:type="dxa"/>
            <w:gridSpan w:val="2"/>
            <w:tcBorders>
              <w:left w:val="single" w:sz="4" w:space="0" w:color="auto"/>
              <w:righ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Not Unfitting</w:t>
            </w:r>
          </w:p>
        </w:tc>
        <w:tc>
          <w:tcPr>
            <w:tcW w:w="2532" w:type="dxa"/>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Coronary Artery Disease</w:t>
            </w:r>
          </w:p>
        </w:tc>
        <w:tc>
          <w:tcPr>
            <w:tcW w:w="1068" w:type="dxa"/>
            <w:gridSpan w:val="2"/>
            <w:tcBorders>
              <w:left w:val="single" w:sz="4" w:space="0" w:color="auto"/>
              <w:righ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7006-7005</w:t>
            </w:r>
          </w:p>
        </w:tc>
        <w:tc>
          <w:tcPr>
            <w:tcW w:w="828" w:type="dxa"/>
            <w:tcBorders>
              <w:left w:val="single" w:sz="4" w:space="0" w:color="auto"/>
            </w:tcBorders>
            <w:shd w:val="clear" w:color="auto" w:fill="FFFFFF"/>
            <w:vAlign w:val="center"/>
          </w:tcPr>
          <w:p w:rsidR="00103D6B" w:rsidRPr="0056669B" w:rsidRDefault="00103D6B" w:rsidP="00103D6B">
            <w:pPr>
              <w:spacing w:line="220" w:lineRule="exact"/>
              <w:contextualSpacing/>
              <w:jc w:val="center"/>
              <w:rPr>
                <w:rFonts w:eastAsia="Calibri"/>
                <w:color w:val="auto"/>
                <w:sz w:val="18"/>
                <w:szCs w:val="18"/>
              </w:rPr>
            </w:pPr>
            <w:r w:rsidRPr="0056669B">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97"/>
        </w:trPr>
        <w:tc>
          <w:tcPr>
            <w:tcW w:w="2538" w:type="dxa"/>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Pr>
                <w:rFonts w:eastAsia="Calibri"/>
                <w:color w:val="auto"/>
                <w:sz w:val="18"/>
                <w:szCs w:val="18"/>
              </w:rPr>
              <w:t>Hypertension</w:t>
            </w:r>
          </w:p>
        </w:tc>
        <w:tc>
          <w:tcPr>
            <w:tcW w:w="1494" w:type="dxa"/>
            <w:gridSpan w:val="2"/>
            <w:tcBorders>
              <w:left w:val="single" w:sz="4" w:space="0" w:color="auto"/>
              <w:righ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Not Unfitting</w:t>
            </w:r>
          </w:p>
        </w:tc>
        <w:tc>
          <w:tcPr>
            <w:tcW w:w="2532" w:type="dxa"/>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Hypertension</w:t>
            </w:r>
          </w:p>
        </w:tc>
        <w:tc>
          <w:tcPr>
            <w:tcW w:w="1068" w:type="dxa"/>
            <w:gridSpan w:val="2"/>
            <w:tcBorders>
              <w:left w:val="single" w:sz="4" w:space="0" w:color="auto"/>
              <w:right w:val="single" w:sz="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7101</w:t>
            </w:r>
          </w:p>
        </w:tc>
        <w:tc>
          <w:tcPr>
            <w:tcW w:w="828" w:type="dxa"/>
            <w:tcBorders>
              <w:left w:val="single" w:sz="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133"/>
        </w:trPr>
        <w:tc>
          <w:tcPr>
            <w:tcW w:w="2538" w:type="dxa"/>
            <w:tcBorders>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proofErr w:type="spellStart"/>
            <w:r>
              <w:rPr>
                <w:rFonts w:eastAsia="Calibri"/>
                <w:color w:val="auto"/>
                <w:sz w:val="18"/>
                <w:szCs w:val="18"/>
              </w:rPr>
              <w:t>Hyperlipidemia</w:t>
            </w:r>
            <w:proofErr w:type="spellEnd"/>
          </w:p>
        </w:tc>
        <w:tc>
          <w:tcPr>
            <w:tcW w:w="1494" w:type="dxa"/>
            <w:gridSpan w:val="2"/>
            <w:tcBorders>
              <w:left w:val="single" w:sz="4" w:space="0" w:color="auto"/>
              <w:righ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Not Unfitting</w:t>
            </w:r>
          </w:p>
        </w:tc>
        <w:tc>
          <w:tcPr>
            <w:tcW w:w="4428" w:type="dxa"/>
            <w:gridSpan w:val="4"/>
            <w:tcBorders>
              <w:lef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No VA Entry</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Pr>
                <w:rFonts w:eastAsia="Calibri"/>
                <w:color w:val="auto"/>
                <w:sz w:val="18"/>
                <w:szCs w:val="18"/>
              </w:rPr>
              <w:t>20050311</w:t>
            </w:r>
          </w:p>
        </w:tc>
      </w:tr>
      <w:tr w:rsidR="00103D6B" w:rsidRPr="002A4119" w:rsidTr="00103D6B">
        <w:trPr>
          <w:trHeight w:val="66"/>
        </w:trPr>
        <w:tc>
          <w:tcPr>
            <w:tcW w:w="4032" w:type="dxa"/>
            <w:gridSpan w:val="3"/>
            <w:vMerge w:val="restart"/>
            <w:tcBorders>
              <w:right w:val="thinThickThinSmallGap" w:sz="24" w:space="0" w:color="auto"/>
            </w:tcBorders>
            <w:shd w:val="clear" w:color="auto" w:fill="FFFFFF"/>
          </w:tcPr>
          <w:p w:rsidR="00103D6B" w:rsidRPr="001C399E" w:rsidRDefault="00103D6B" w:rsidP="00103D6B">
            <w:pPr>
              <w:spacing w:line="220" w:lineRule="exact"/>
              <w:contextualSpacing/>
              <w:jc w:val="center"/>
              <w:rPr>
                <w:rFonts w:eastAsia="Calibri"/>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2" w:type="dxa"/>
            <w:tcBorders>
              <w:left w:val="thinThickThinSmallGap" w:sz="24" w:space="0" w:color="auto"/>
              <w:right w:val="single" w:sz="4" w:space="0" w:color="auto"/>
            </w:tcBorders>
            <w:shd w:val="clear" w:color="auto" w:fill="FFFFFF"/>
            <w:vAlign w:val="center"/>
          </w:tcPr>
          <w:p w:rsidR="00103D6B" w:rsidRPr="001C399E" w:rsidRDefault="00103D6B" w:rsidP="00103D6B">
            <w:pPr>
              <w:spacing w:line="220" w:lineRule="exact"/>
              <w:contextualSpacing/>
              <w:rPr>
                <w:rFonts w:eastAsia="Calibri"/>
                <w:color w:val="auto"/>
                <w:sz w:val="18"/>
                <w:szCs w:val="18"/>
              </w:rPr>
            </w:pPr>
            <w:r w:rsidRPr="001C399E">
              <w:rPr>
                <w:rFonts w:eastAsia="Calibri"/>
                <w:color w:val="auto"/>
                <w:sz w:val="18"/>
                <w:szCs w:val="18"/>
              </w:rPr>
              <w:t>Reactive Airway Disease</w:t>
            </w:r>
          </w:p>
        </w:tc>
        <w:tc>
          <w:tcPr>
            <w:tcW w:w="1068" w:type="dxa"/>
            <w:gridSpan w:val="2"/>
            <w:tcBorders>
              <w:left w:val="single" w:sz="4" w:space="0" w:color="auto"/>
              <w:right w:val="single" w:sz="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6699-6602</w:t>
            </w:r>
          </w:p>
        </w:tc>
        <w:tc>
          <w:tcPr>
            <w:tcW w:w="828" w:type="dxa"/>
            <w:tcBorders>
              <w:left w:val="single" w:sz="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10%</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115"/>
        </w:trPr>
        <w:tc>
          <w:tcPr>
            <w:tcW w:w="4032" w:type="dxa"/>
            <w:gridSpan w:val="3"/>
            <w:vMerge/>
            <w:tcBorders>
              <w:righ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p>
        </w:tc>
        <w:tc>
          <w:tcPr>
            <w:tcW w:w="4428" w:type="dxa"/>
            <w:gridSpan w:val="4"/>
            <w:tcBorders>
              <w:left w:val="thinThickThinSmallGap" w:sz="24" w:space="0" w:color="auto"/>
            </w:tcBorders>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 xml:space="preserve">0% x </w:t>
            </w:r>
            <w:r>
              <w:rPr>
                <w:rFonts w:eastAsia="Calibri"/>
                <w:color w:val="auto"/>
                <w:sz w:val="18"/>
                <w:szCs w:val="18"/>
              </w:rPr>
              <w:t>3</w:t>
            </w:r>
            <w:r w:rsidRPr="001C399E">
              <w:rPr>
                <w:rFonts w:eastAsia="Calibri"/>
                <w:color w:val="auto"/>
                <w:sz w:val="18"/>
                <w:szCs w:val="18"/>
              </w:rPr>
              <w:t>/Not Service Connected x 1</w:t>
            </w:r>
          </w:p>
        </w:tc>
        <w:tc>
          <w:tcPr>
            <w:tcW w:w="972" w:type="dxa"/>
            <w:shd w:val="clear" w:color="auto" w:fill="FFFFFF"/>
            <w:vAlign w:val="center"/>
          </w:tcPr>
          <w:p w:rsidR="00103D6B" w:rsidRPr="001C399E" w:rsidRDefault="00103D6B" w:rsidP="00103D6B">
            <w:pPr>
              <w:spacing w:line="220" w:lineRule="exact"/>
              <w:contextualSpacing/>
              <w:jc w:val="center"/>
              <w:rPr>
                <w:rFonts w:eastAsia="Calibri"/>
                <w:color w:val="auto"/>
                <w:sz w:val="18"/>
                <w:szCs w:val="18"/>
              </w:rPr>
            </w:pPr>
            <w:r w:rsidRPr="001C399E">
              <w:rPr>
                <w:rFonts w:eastAsia="Calibri"/>
                <w:color w:val="auto"/>
                <w:sz w:val="18"/>
                <w:szCs w:val="18"/>
              </w:rPr>
              <w:t>20050311</w:t>
            </w:r>
          </w:p>
        </w:tc>
      </w:tr>
      <w:tr w:rsidR="00103D6B" w:rsidRPr="002A4119" w:rsidTr="00103D6B">
        <w:trPr>
          <w:trHeight w:val="242"/>
        </w:trPr>
        <w:tc>
          <w:tcPr>
            <w:tcW w:w="4032" w:type="dxa"/>
            <w:gridSpan w:val="3"/>
            <w:tcBorders>
              <w:right w:val="thinThickThinSmallGap" w:sz="24" w:space="0" w:color="auto"/>
            </w:tcBorders>
            <w:shd w:val="clear" w:color="auto" w:fill="D9D9D9"/>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Combined:  20%</w:t>
            </w:r>
          </w:p>
        </w:tc>
        <w:tc>
          <w:tcPr>
            <w:tcW w:w="5400" w:type="dxa"/>
            <w:gridSpan w:val="5"/>
            <w:tcBorders>
              <w:left w:val="thinThickThinSmallGap" w:sz="24" w:space="0" w:color="auto"/>
            </w:tcBorders>
            <w:shd w:val="clear" w:color="auto" w:fill="D9D9D9"/>
          </w:tcPr>
          <w:p w:rsidR="00103D6B" w:rsidRPr="001C399E" w:rsidRDefault="00103D6B" w:rsidP="00103D6B">
            <w:pPr>
              <w:spacing w:line="240" w:lineRule="exact"/>
              <w:contextualSpacing/>
              <w:jc w:val="center"/>
              <w:rPr>
                <w:rFonts w:eastAsia="Calibri"/>
                <w:b/>
                <w:color w:val="auto"/>
                <w:sz w:val="20"/>
              </w:rPr>
            </w:pPr>
            <w:r w:rsidRPr="001C399E">
              <w:rPr>
                <w:rFonts w:eastAsia="Calibri"/>
                <w:b/>
                <w:color w:val="auto"/>
                <w:sz w:val="20"/>
              </w:rPr>
              <w:t>Combined:  50%</w:t>
            </w:r>
            <w:r>
              <w:rPr>
                <w:rFonts w:eastAsia="Calibri"/>
                <w:b/>
                <w:color w:val="auto"/>
                <w:sz w:val="20"/>
              </w:rPr>
              <w:t xml:space="preserve"> (Incorporating BLF)</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5D6268" w:rsidRPr="00866767" w:rsidRDefault="002C6E5B" w:rsidP="00103D6B">
      <w:pPr>
        <w:spacing w:line="240" w:lineRule="exact"/>
        <w:jc w:val="both"/>
        <w:rPr>
          <w:rFonts w:asciiTheme="minorHAnsi" w:hAnsiTheme="minorHAnsi"/>
          <w:iCs/>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6268FD">
        <w:rPr>
          <w:rFonts w:asciiTheme="minorHAnsi" w:hAnsiTheme="minorHAnsi"/>
          <w:color w:val="auto"/>
          <w:szCs w:val="24"/>
        </w:rPr>
        <w:t xml:space="preserve"> </w:t>
      </w:r>
      <w:r w:rsidR="006268FD">
        <w:rPr>
          <w:sz w:val="23"/>
          <w:szCs w:val="23"/>
        </w:rPr>
        <w:t xml:space="preserve"> </w:t>
      </w:r>
      <w:r w:rsidR="006268FD" w:rsidRPr="006268FD">
        <w:rPr>
          <w:color w:val="auto"/>
          <w:szCs w:val="24"/>
        </w:rPr>
        <w:t>The Board acknowledges</w:t>
      </w:r>
      <w:r w:rsidR="008767B3" w:rsidRPr="007D4D5B">
        <w:rPr>
          <w:rFonts w:asciiTheme="minorHAnsi" w:hAnsiTheme="minorHAnsi"/>
          <w:color w:val="auto"/>
          <w:szCs w:val="24"/>
        </w:rPr>
        <w:t xml:space="preserve"> the CI’s contention that suggests Service ratings should have been conferred for other conditions documented at the time of separation.</w:t>
      </w:r>
      <w:r w:rsidR="006268FD" w:rsidRPr="006268FD">
        <w:rPr>
          <w:color w:val="auto"/>
          <w:szCs w:val="24"/>
        </w:rPr>
        <w:t xml:space="preserve"> </w:t>
      </w:r>
      <w:r w:rsidR="008767B3">
        <w:rPr>
          <w:color w:val="auto"/>
          <w:szCs w:val="24"/>
        </w:rPr>
        <w:t xml:space="preserve"> </w:t>
      </w:r>
      <w:r w:rsidR="00B3276F" w:rsidRPr="007D4D5B">
        <w:rPr>
          <w:rFonts w:asciiTheme="minorHAnsi" w:hAnsiTheme="minorHAnsi"/>
          <w:color w:val="auto"/>
          <w:szCs w:val="24"/>
        </w:rPr>
        <w:t>The Board wishes to clarify that it is subject to the same laws for Service disability entitlements as those under whi</w:t>
      </w:r>
      <w:r w:rsidR="00103D6B">
        <w:rPr>
          <w:rFonts w:asciiTheme="minorHAnsi" w:hAnsiTheme="minorHAnsi"/>
          <w:color w:val="auto"/>
          <w:szCs w:val="24"/>
        </w:rPr>
        <w:t>ch the m</w:t>
      </w:r>
      <w:r w:rsidR="00B3276F" w:rsidRPr="007D4D5B">
        <w:rPr>
          <w:rFonts w:asciiTheme="minorHAnsi" w:hAnsiTheme="minorHAnsi"/>
          <w:color w:val="auto"/>
          <w:szCs w:val="24"/>
        </w:rPr>
        <w:t xml:space="preserve">ilitary </w:t>
      </w:r>
      <w:r w:rsidR="00103D6B">
        <w:rPr>
          <w:rFonts w:asciiTheme="minorHAnsi" w:hAnsiTheme="minorHAnsi"/>
          <w:color w:val="auto"/>
          <w:szCs w:val="24"/>
        </w:rPr>
        <w:t xml:space="preserve">DES </w:t>
      </w:r>
      <w:r w:rsidR="00B3276F" w:rsidRPr="007D4D5B">
        <w:rPr>
          <w:rFonts w:asciiTheme="minorHAnsi" w:hAnsiTheme="minorHAnsi"/>
          <w:color w:val="auto"/>
          <w:szCs w:val="24"/>
        </w:rPr>
        <w:t xml:space="preserve">operates.  </w:t>
      </w:r>
      <w:r w:rsidR="00103D6B">
        <w:rPr>
          <w:rFonts w:asciiTheme="minorHAnsi" w:hAnsiTheme="minorHAnsi"/>
          <w:iCs/>
          <w:color w:val="auto"/>
          <w:szCs w:val="24"/>
        </w:rPr>
        <w:t xml:space="preserve">While the </w:t>
      </w:r>
      <w:r w:rsidR="00B3276F" w:rsidRPr="007D4D5B">
        <w:rPr>
          <w:rFonts w:asciiTheme="minorHAnsi" w:hAnsiTheme="minorHAnsi"/>
          <w:iCs/>
          <w:color w:val="auto"/>
          <w:szCs w:val="24"/>
        </w:rPr>
        <w:t>DES considers all of the service member's medical conditions, compensation can only be offered for tho</w:t>
      </w:r>
      <w:r w:rsidR="00B3276F">
        <w:rPr>
          <w:rFonts w:asciiTheme="minorHAnsi" w:hAnsiTheme="minorHAnsi"/>
          <w:iCs/>
          <w:color w:val="auto"/>
          <w:szCs w:val="24"/>
        </w:rPr>
        <w:t xml:space="preserve">se medical conditions that cut </w:t>
      </w:r>
      <w:r w:rsidR="00B3276F" w:rsidRPr="007D4D5B">
        <w:rPr>
          <w:rFonts w:asciiTheme="minorHAnsi" w:hAnsiTheme="minorHAnsi"/>
          <w:iCs/>
          <w:color w:val="auto"/>
          <w:szCs w:val="24"/>
        </w:rPr>
        <w:t>short a service member’s career, and then only to the degree of severity present at the time of final disposition.  However the Department of Veteran</w:t>
      </w:r>
      <w:r w:rsidR="00B3276F">
        <w:rPr>
          <w:rFonts w:asciiTheme="minorHAnsi" w:hAnsiTheme="minorHAnsi"/>
          <w:iCs/>
          <w:color w:val="auto"/>
          <w:szCs w:val="24"/>
        </w:rPr>
        <w:t>s</w:t>
      </w:r>
      <w:r w:rsidR="00103D6B">
        <w:rPr>
          <w:rFonts w:asciiTheme="minorHAnsi" w:hAnsiTheme="minorHAnsi"/>
          <w:iCs/>
          <w:color w:val="auto"/>
          <w:szCs w:val="24"/>
        </w:rPr>
        <w:t>’</w:t>
      </w:r>
      <w:r w:rsidR="00B3276F" w:rsidRPr="007D4D5B">
        <w:rPr>
          <w:rFonts w:asciiTheme="minorHAnsi" w:hAnsiTheme="minorHAnsi"/>
          <w:iCs/>
          <w:color w:val="auto"/>
          <w:szCs w:val="24"/>
        </w:rPr>
        <w:t xml:space="preserve"> Affairs (DVA), operating under a different set of laws (Title 38, United States Code), is empowered to compensate </w:t>
      </w:r>
      <w:r w:rsidR="00B3276F">
        <w:rPr>
          <w:rFonts w:asciiTheme="minorHAnsi" w:hAnsiTheme="minorHAnsi"/>
          <w:iCs/>
          <w:color w:val="auto"/>
          <w:szCs w:val="24"/>
        </w:rPr>
        <w:t xml:space="preserve">all </w:t>
      </w:r>
      <w:r w:rsidR="00B3276F" w:rsidRPr="007D4D5B">
        <w:rPr>
          <w:rFonts w:asciiTheme="minorHAnsi" w:hAnsiTheme="minorHAnsi"/>
          <w:iCs/>
          <w:color w:val="auto"/>
          <w:szCs w:val="24"/>
        </w:rPr>
        <w:t>service connected conditions</w:t>
      </w:r>
      <w:r w:rsidR="00B3276F">
        <w:rPr>
          <w:rFonts w:asciiTheme="minorHAnsi" w:hAnsiTheme="minorHAnsi"/>
          <w:iCs/>
          <w:color w:val="auto"/>
          <w:szCs w:val="24"/>
        </w:rPr>
        <w:t xml:space="preserve"> without regard to fitness</w:t>
      </w:r>
      <w:r w:rsidR="00B3276F" w:rsidRPr="007D4D5B">
        <w:rPr>
          <w:rFonts w:asciiTheme="minorHAnsi" w:hAnsiTheme="minorHAnsi"/>
          <w:iCs/>
          <w:color w:val="auto"/>
          <w:szCs w:val="24"/>
        </w:rPr>
        <w:t xml:space="preserve"> and to periodically re-evaluate said conditions for the purpose of adjusting the veteran’s disability rating should his degree of impairment vary over </w:t>
      </w:r>
      <w:r w:rsidR="00B3276F" w:rsidRPr="006268FD">
        <w:rPr>
          <w:rFonts w:asciiTheme="minorHAnsi" w:hAnsiTheme="minorHAnsi"/>
          <w:iCs/>
          <w:color w:val="auto"/>
          <w:szCs w:val="24"/>
        </w:rPr>
        <w:t xml:space="preserve">time.  </w:t>
      </w:r>
      <w:r w:rsidR="006268FD" w:rsidRPr="007D4D5B">
        <w:rPr>
          <w:rFonts w:asciiTheme="minorHAnsi" w:hAnsiTheme="minorHAnsi"/>
          <w:iCs/>
          <w:color w:val="auto"/>
          <w:szCs w:val="24"/>
        </w:rPr>
        <w:t xml:space="preserve">Additionally, the Board </w:t>
      </w:r>
      <w:r w:rsidR="00B3276F">
        <w:rPr>
          <w:rFonts w:asciiTheme="minorHAnsi" w:hAnsiTheme="minorHAnsi"/>
          <w:iCs/>
          <w:color w:val="auto"/>
          <w:szCs w:val="24"/>
        </w:rPr>
        <w:t>acknowledges the CI’s assertion</w:t>
      </w:r>
      <w:r w:rsidR="006268FD" w:rsidRPr="007D4D5B">
        <w:rPr>
          <w:rFonts w:asciiTheme="minorHAnsi" w:hAnsiTheme="minorHAnsi"/>
          <w:iCs/>
          <w:color w:val="auto"/>
          <w:szCs w:val="24"/>
        </w:rPr>
        <w:t xml:space="preserve"> that his </w:t>
      </w:r>
      <w:r w:rsidR="00B3276F">
        <w:rPr>
          <w:rFonts w:asciiTheme="minorHAnsi" w:hAnsiTheme="minorHAnsi"/>
          <w:iCs/>
          <w:color w:val="auto"/>
          <w:szCs w:val="24"/>
        </w:rPr>
        <w:t>legal representation was inadequate; but,</w:t>
      </w:r>
      <w:r w:rsidR="006268FD" w:rsidRPr="007D4D5B">
        <w:rPr>
          <w:rFonts w:asciiTheme="minorHAnsi" w:hAnsiTheme="minorHAnsi"/>
          <w:iCs/>
          <w:color w:val="auto"/>
          <w:szCs w:val="24"/>
        </w:rPr>
        <w:t xml:space="preserve"> </w:t>
      </w:r>
      <w:r w:rsidR="00B3276F">
        <w:rPr>
          <w:rFonts w:asciiTheme="minorHAnsi" w:hAnsiTheme="minorHAnsi"/>
          <w:iCs/>
          <w:color w:val="auto"/>
          <w:szCs w:val="24"/>
        </w:rPr>
        <w:t>i</w:t>
      </w:r>
      <w:r w:rsidR="006268FD" w:rsidRPr="007D4D5B">
        <w:rPr>
          <w:rFonts w:asciiTheme="minorHAnsi" w:hAnsiTheme="minorHAnsi"/>
          <w:iCs/>
          <w:color w:val="auto"/>
          <w:szCs w:val="24"/>
        </w:rPr>
        <w:t xml:space="preserve">t is noted for the record that the Board has neither the jurisdiction nor authority to scrutinize or render opinions in reference to asserted Service improprieties in the disposition of a case. </w:t>
      </w:r>
      <w:r w:rsidR="006268FD">
        <w:rPr>
          <w:rFonts w:asciiTheme="minorHAnsi" w:hAnsiTheme="minorHAnsi"/>
          <w:iCs/>
          <w:color w:val="auto"/>
          <w:szCs w:val="24"/>
        </w:rPr>
        <w:t xml:space="preserve"> </w:t>
      </w:r>
      <w:r w:rsidR="0028086F">
        <w:rPr>
          <w:rFonts w:asciiTheme="minorHAnsi" w:hAnsiTheme="minorHAnsi"/>
          <w:iCs/>
          <w:color w:val="auto"/>
          <w:szCs w:val="24"/>
        </w:rPr>
        <w:t>The Board further acknowledges</w:t>
      </w:r>
      <w:r w:rsidR="00B3276F">
        <w:rPr>
          <w:rFonts w:asciiTheme="minorHAnsi" w:hAnsiTheme="minorHAnsi"/>
          <w:iCs/>
          <w:color w:val="auto"/>
          <w:szCs w:val="24"/>
        </w:rPr>
        <w:t xml:space="preserve"> the CI’s assertion that revised laws related to severance pay may not have been applied to his case</w:t>
      </w:r>
      <w:r w:rsidR="0028086F">
        <w:rPr>
          <w:rFonts w:asciiTheme="minorHAnsi" w:hAnsiTheme="minorHAnsi"/>
          <w:iCs/>
          <w:color w:val="auto"/>
          <w:szCs w:val="24"/>
        </w:rPr>
        <w:t xml:space="preserve">. </w:t>
      </w:r>
      <w:r w:rsidR="00B3276F">
        <w:rPr>
          <w:rFonts w:asciiTheme="minorHAnsi" w:hAnsiTheme="minorHAnsi"/>
          <w:iCs/>
          <w:color w:val="auto"/>
          <w:szCs w:val="24"/>
        </w:rPr>
        <w:t xml:space="preserve"> </w:t>
      </w:r>
      <w:r w:rsidR="0028086F">
        <w:rPr>
          <w:rFonts w:asciiTheme="minorHAnsi" w:hAnsiTheme="minorHAnsi"/>
          <w:iCs/>
          <w:color w:val="auto"/>
          <w:szCs w:val="24"/>
        </w:rPr>
        <w:t>B</w:t>
      </w:r>
      <w:r w:rsidR="00B3276F" w:rsidRPr="00B3276F">
        <w:rPr>
          <w:rFonts w:asciiTheme="minorHAnsi" w:hAnsiTheme="minorHAnsi"/>
          <w:iCs/>
          <w:color w:val="auto"/>
          <w:szCs w:val="24"/>
        </w:rPr>
        <w:t>y law</w:t>
      </w:r>
      <w:r w:rsidR="00B3276F">
        <w:rPr>
          <w:rFonts w:asciiTheme="minorHAnsi" w:hAnsiTheme="minorHAnsi"/>
          <w:iCs/>
          <w:color w:val="auto"/>
          <w:szCs w:val="24"/>
        </w:rPr>
        <w:t>,</w:t>
      </w:r>
      <w:r w:rsidR="00B3276F" w:rsidRPr="00B3276F">
        <w:rPr>
          <w:rFonts w:asciiTheme="minorHAnsi" w:hAnsiTheme="minorHAnsi"/>
          <w:iCs/>
          <w:color w:val="auto"/>
          <w:szCs w:val="24"/>
        </w:rPr>
        <w:t xml:space="preserve"> Board authority is limited to making recommendation on correcting disability determinations.</w:t>
      </w:r>
      <w:r w:rsidR="0028086F">
        <w:rPr>
          <w:rFonts w:asciiTheme="minorHAnsi" w:hAnsiTheme="minorHAnsi"/>
          <w:iCs/>
          <w:color w:val="auto"/>
          <w:szCs w:val="24"/>
        </w:rPr>
        <w:t xml:space="preserve"> </w:t>
      </w:r>
      <w:r w:rsidR="00B3276F" w:rsidRPr="00B3276F">
        <w:rPr>
          <w:rFonts w:asciiTheme="minorHAnsi" w:hAnsiTheme="minorHAnsi"/>
          <w:iCs/>
          <w:color w:val="auto"/>
          <w:szCs w:val="24"/>
        </w:rPr>
        <w:t xml:space="preserve"> </w:t>
      </w:r>
      <w:r w:rsidR="00B3276F" w:rsidRPr="00B3276F">
        <w:rPr>
          <w:rFonts w:eastAsiaTheme="minorHAnsi" w:cstheme="minorBidi"/>
          <w:color w:val="auto"/>
          <w:szCs w:val="24"/>
        </w:rPr>
        <w:t xml:space="preserve">The actual correction of records and consequential entitlement determinations is the responsibility of the applicable Secretary and Accounting service.  The applicant's request will of course remain with the application as it is processed.  </w:t>
      </w:r>
      <w:r w:rsidR="006268FD" w:rsidRPr="007D4D5B">
        <w:rPr>
          <w:rFonts w:asciiTheme="minorHAnsi" w:hAnsiTheme="minorHAnsi"/>
          <w:iCs/>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6268FD">
        <w:rPr>
          <w:rFonts w:asciiTheme="minorHAnsi" w:hAnsiTheme="minorHAnsi"/>
          <w:iCs/>
          <w:color w:val="auto"/>
          <w:szCs w:val="24"/>
        </w:rPr>
        <w:t xml:space="preserve"> </w:t>
      </w:r>
      <w:r w:rsidR="006268FD" w:rsidRPr="007D4D5B">
        <w:rPr>
          <w:rFonts w:asciiTheme="minorHAnsi" w:hAnsiTheme="minorHAnsi"/>
          <w:iCs/>
          <w:color w:val="auto"/>
          <w:szCs w:val="24"/>
        </w:rPr>
        <w:t>It must also judge the fairness of PEB fitness adjudications based on the fitness consequences of conditions as they existed at the time of separation.</w:t>
      </w:r>
    </w:p>
    <w:p w:rsidR="005D6268" w:rsidRDefault="005D6268" w:rsidP="00664296">
      <w:pPr>
        <w:tabs>
          <w:tab w:val="left" w:pos="288"/>
          <w:tab w:val="left" w:pos="4752"/>
        </w:tabs>
        <w:spacing w:line="240" w:lineRule="exact"/>
        <w:rPr>
          <w:rFonts w:asciiTheme="minorHAnsi" w:hAnsiTheme="minorHAnsi"/>
          <w:color w:val="auto"/>
          <w:szCs w:val="24"/>
          <w:highlight w:val="yellow"/>
        </w:rPr>
      </w:pPr>
    </w:p>
    <w:p w:rsidR="00F9141D" w:rsidRDefault="0028086F" w:rsidP="00085CBD">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u w:val="single"/>
        </w:rPr>
        <w:t>Lumbar Spine</w:t>
      </w:r>
      <w:r w:rsidR="00E9565E" w:rsidRPr="000F6AFF">
        <w:rPr>
          <w:rFonts w:asciiTheme="minorHAnsi" w:hAnsiTheme="minorHAnsi"/>
          <w:color w:val="auto"/>
          <w:szCs w:val="24"/>
          <w:u w:val="single"/>
        </w:rPr>
        <w:t xml:space="preserve"> Condition</w:t>
      </w:r>
      <w:r w:rsidR="00E9565E" w:rsidRPr="000F6AFF">
        <w:rPr>
          <w:rFonts w:asciiTheme="minorHAnsi" w:hAnsiTheme="minorHAnsi"/>
          <w:color w:val="auto"/>
          <w:szCs w:val="24"/>
        </w:rPr>
        <w:t xml:space="preserve">.  </w:t>
      </w:r>
      <w:r w:rsidR="00A665F0" w:rsidRPr="000F6AFF">
        <w:rPr>
          <w:rFonts w:asciiTheme="minorHAnsi" w:hAnsiTheme="minorHAnsi"/>
          <w:color w:val="auto"/>
          <w:szCs w:val="24"/>
        </w:rPr>
        <w:t xml:space="preserve">The CI’s </w:t>
      </w:r>
      <w:r w:rsidR="00E7323B">
        <w:rPr>
          <w:rFonts w:asciiTheme="minorHAnsi" w:hAnsiTheme="minorHAnsi"/>
          <w:color w:val="auto"/>
          <w:szCs w:val="24"/>
        </w:rPr>
        <w:t>injured</w:t>
      </w:r>
      <w:r w:rsidR="00A665F0" w:rsidRPr="000F6AFF">
        <w:rPr>
          <w:rFonts w:asciiTheme="minorHAnsi" w:hAnsiTheme="minorHAnsi"/>
          <w:color w:val="auto"/>
          <w:szCs w:val="24"/>
        </w:rPr>
        <w:t xml:space="preserve"> his back and</w:t>
      </w:r>
      <w:r w:rsidR="00E7323B">
        <w:rPr>
          <w:rFonts w:asciiTheme="minorHAnsi" w:hAnsiTheme="minorHAnsi"/>
          <w:color w:val="auto"/>
          <w:szCs w:val="24"/>
        </w:rPr>
        <w:t xml:space="preserve"> </w:t>
      </w:r>
      <w:r w:rsidR="00B21D0B">
        <w:rPr>
          <w:rFonts w:asciiTheme="minorHAnsi" w:hAnsiTheme="minorHAnsi"/>
          <w:color w:val="auto"/>
          <w:szCs w:val="24"/>
        </w:rPr>
        <w:t>sacrum</w:t>
      </w:r>
      <w:r w:rsidR="00E7323B">
        <w:rPr>
          <w:rFonts w:asciiTheme="minorHAnsi" w:hAnsiTheme="minorHAnsi"/>
          <w:color w:val="auto"/>
          <w:szCs w:val="24"/>
        </w:rPr>
        <w:t xml:space="preserve"> in a jumping exercise in 1994 </w:t>
      </w:r>
      <w:r w:rsidR="00B21D0B">
        <w:rPr>
          <w:rFonts w:asciiTheme="minorHAnsi" w:hAnsiTheme="minorHAnsi"/>
          <w:color w:val="auto"/>
          <w:szCs w:val="24"/>
        </w:rPr>
        <w:t>and</w:t>
      </w:r>
      <w:r w:rsidR="00E7323B">
        <w:rPr>
          <w:rFonts w:asciiTheme="minorHAnsi" w:hAnsiTheme="minorHAnsi"/>
          <w:color w:val="auto"/>
          <w:szCs w:val="24"/>
        </w:rPr>
        <w:t xml:space="preserve"> was treated conservatively.</w:t>
      </w:r>
      <w:r w:rsidR="00E27ADE">
        <w:rPr>
          <w:rFonts w:asciiTheme="minorHAnsi" w:hAnsiTheme="minorHAnsi"/>
          <w:color w:val="auto"/>
          <w:szCs w:val="24"/>
        </w:rPr>
        <w:t xml:space="preserve">  He was on jump status for five years and </w:t>
      </w:r>
      <w:r w:rsidR="00B336B6">
        <w:rPr>
          <w:rFonts w:asciiTheme="minorHAnsi" w:hAnsiTheme="minorHAnsi"/>
          <w:color w:val="auto"/>
          <w:szCs w:val="24"/>
        </w:rPr>
        <w:t>incurred repetitive re-injuries to</w:t>
      </w:r>
      <w:r w:rsidR="00E27ADE">
        <w:rPr>
          <w:rFonts w:asciiTheme="minorHAnsi" w:hAnsiTheme="minorHAnsi"/>
          <w:color w:val="auto"/>
          <w:szCs w:val="24"/>
        </w:rPr>
        <w:t xml:space="preserve"> his back </w:t>
      </w:r>
      <w:r w:rsidR="00454858" w:rsidRPr="000F6AFF">
        <w:rPr>
          <w:rFonts w:asciiTheme="minorHAnsi" w:hAnsiTheme="minorHAnsi"/>
          <w:color w:val="auto"/>
          <w:szCs w:val="24"/>
        </w:rPr>
        <w:t>such that</w:t>
      </w:r>
      <w:r w:rsidR="00423FAC">
        <w:rPr>
          <w:rFonts w:asciiTheme="minorHAnsi" w:hAnsiTheme="minorHAnsi"/>
          <w:color w:val="auto"/>
          <w:szCs w:val="24"/>
        </w:rPr>
        <w:t>,</w:t>
      </w:r>
      <w:r w:rsidR="00454858" w:rsidRPr="000F6AFF">
        <w:rPr>
          <w:rFonts w:asciiTheme="minorHAnsi" w:hAnsiTheme="minorHAnsi"/>
          <w:color w:val="auto"/>
          <w:szCs w:val="24"/>
        </w:rPr>
        <w:t xml:space="preserve"> </w:t>
      </w:r>
      <w:r w:rsidR="00423FAC">
        <w:rPr>
          <w:rFonts w:asciiTheme="minorHAnsi" w:hAnsiTheme="minorHAnsi"/>
          <w:color w:val="auto"/>
          <w:szCs w:val="24"/>
        </w:rPr>
        <w:t xml:space="preserve">at the time of separation, </w:t>
      </w:r>
      <w:r w:rsidR="00454858" w:rsidRPr="000F6AFF">
        <w:rPr>
          <w:rFonts w:asciiTheme="minorHAnsi" w:hAnsiTheme="minorHAnsi"/>
          <w:color w:val="auto"/>
          <w:szCs w:val="24"/>
        </w:rPr>
        <w:t xml:space="preserve">he </w:t>
      </w:r>
      <w:r w:rsidR="00085CBD">
        <w:rPr>
          <w:rFonts w:asciiTheme="minorHAnsi" w:hAnsiTheme="minorHAnsi"/>
          <w:color w:val="auto"/>
          <w:szCs w:val="24"/>
        </w:rPr>
        <w:t xml:space="preserve">was </w:t>
      </w:r>
      <w:r w:rsidR="00454858" w:rsidRPr="000F6AFF">
        <w:rPr>
          <w:rFonts w:asciiTheme="minorHAnsi" w:hAnsiTheme="minorHAnsi"/>
          <w:color w:val="auto"/>
          <w:szCs w:val="24"/>
        </w:rPr>
        <w:t>experienc</w:t>
      </w:r>
      <w:r w:rsidR="00085CBD">
        <w:rPr>
          <w:rFonts w:asciiTheme="minorHAnsi" w:hAnsiTheme="minorHAnsi"/>
          <w:color w:val="auto"/>
          <w:szCs w:val="24"/>
        </w:rPr>
        <w:t xml:space="preserve">ing </w:t>
      </w:r>
      <w:r w:rsidR="00454858" w:rsidRPr="000F6AFF">
        <w:rPr>
          <w:rFonts w:asciiTheme="minorHAnsi" w:hAnsiTheme="minorHAnsi"/>
          <w:color w:val="auto"/>
          <w:szCs w:val="24"/>
        </w:rPr>
        <w:t xml:space="preserve">daily pain and stiffness in the back </w:t>
      </w:r>
      <w:r w:rsidR="00B336B6">
        <w:rPr>
          <w:rFonts w:asciiTheme="minorHAnsi" w:hAnsiTheme="minorHAnsi"/>
          <w:color w:val="auto"/>
          <w:szCs w:val="24"/>
        </w:rPr>
        <w:t xml:space="preserve">which was </w:t>
      </w:r>
      <w:r w:rsidR="00B21D0B">
        <w:rPr>
          <w:rFonts w:asciiTheme="minorHAnsi" w:hAnsiTheme="minorHAnsi"/>
          <w:color w:val="auto"/>
          <w:szCs w:val="24"/>
        </w:rPr>
        <w:t>limiting</w:t>
      </w:r>
      <w:r w:rsidR="00085CBD">
        <w:rPr>
          <w:rFonts w:asciiTheme="minorHAnsi" w:hAnsiTheme="minorHAnsi"/>
          <w:color w:val="auto"/>
          <w:szCs w:val="24"/>
        </w:rPr>
        <w:t xml:space="preserve"> </w:t>
      </w:r>
      <w:r w:rsidR="00B21D0B">
        <w:rPr>
          <w:rFonts w:asciiTheme="minorHAnsi" w:hAnsiTheme="minorHAnsi"/>
          <w:color w:val="auto"/>
          <w:szCs w:val="24"/>
        </w:rPr>
        <w:t>activities</w:t>
      </w:r>
      <w:r w:rsidR="00BC3DBB">
        <w:rPr>
          <w:rFonts w:asciiTheme="minorHAnsi" w:hAnsiTheme="minorHAnsi"/>
          <w:color w:val="auto"/>
          <w:szCs w:val="24"/>
        </w:rPr>
        <w:t>;</w:t>
      </w:r>
      <w:r w:rsidR="00454858" w:rsidRPr="000F6AFF">
        <w:rPr>
          <w:rFonts w:asciiTheme="minorHAnsi" w:hAnsiTheme="minorHAnsi"/>
          <w:color w:val="auto"/>
          <w:szCs w:val="24"/>
        </w:rPr>
        <w:t xml:space="preserve"> </w:t>
      </w:r>
      <w:r w:rsidR="00B21D0B">
        <w:rPr>
          <w:rFonts w:asciiTheme="minorHAnsi" w:hAnsiTheme="minorHAnsi"/>
          <w:color w:val="auto"/>
          <w:szCs w:val="24"/>
        </w:rPr>
        <w:t>and, also reported</w:t>
      </w:r>
      <w:r w:rsidR="00454858">
        <w:rPr>
          <w:rFonts w:asciiTheme="minorHAnsi" w:hAnsiTheme="minorHAnsi"/>
          <w:color w:val="auto"/>
          <w:szCs w:val="24"/>
        </w:rPr>
        <w:t xml:space="preserve"> </w:t>
      </w:r>
      <w:r w:rsidR="0069431F">
        <w:rPr>
          <w:rFonts w:asciiTheme="minorHAnsi" w:hAnsiTheme="minorHAnsi"/>
          <w:color w:val="auto"/>
          <w:szCs w:val="24"/>
        </w:rPr>
        <w:t xml:space="preserve">occasional pain and tingling </w:t>
      </w:r>
      <w:r w:rsidR="00B21D0B">
        <w:rPr>
          <w:rFonts w:asciiTheme="minorHAnsi" w:hAnsiTheme="minorHAnsi"/>
          <w:color w:val="auto"/>
          <w:szCs w:val="24"/>
        </w:rPr>
        <w:t>of</w:t>
      </w:r>
      <w:r w:rsidR="0069431F">
        <w:rPr>
          <w:rFonts w:asciiTheme="minorHAnsi" w:hAnsiTheme="minorHAnsi"/>
          <w:color w:val="auto"/>
          <w:szCs w:val="24"/>
        </w:rPr>
        <w:t xml:space="preserve"> the left leg.  </w:t>
      </w:r>
      <w:r w:rsidR="00547F9E">
        <w:rPr>
          <w:rFonts w:asciiTheme="minorHAnsi" w:hAnsiTheme="minorHAnsi"/>
          <w:color w:val="auto"/>
          <w:szCs w:val="24"/>
        </w:rPr>
        <w:t>T</w:t>
      </w:r>
      <w:r w:rsidR="0069431F">
        <w:rPr>
          <w:rFonts w:asciiTheme="minorHAnsi" w:hAnsiTheme="minorHAnsi"/>
          <w:color w:val="auto"/>
          <w:szCs w:val="24"/>
        </w:rPr>
        <w:t xml:space="preserve">he orthopedic addendum to the </w:t>
      </w:r>
      <w:r w:rsidR="00B21D0B">
        <w:rPr>
          <w:rFonts w:asciiTheme="minorHAnsi" w:hAnsiTheme="minorHAnsi"/>
          <w:color w:val="auto"/>
          <w:szCs w:val="24"/>
        </w:rPr>
        <w:t xml:space="preserve">narrative summary </w:t>
      </w:r>
      <w:r w:rsidR="0069431F">
        <w:rPr>
          <w:rFonts w:asciiTheme="minorHAnsi" w:hAnsiTheme="minorHAnsi"/>
          <w:color w:val="auto"/>
          <w:szCs w:val="24"/>
        </w:rPr>
        <w:t>(NARSUM) documented muscle s</w:t>
      </w:r>
      <w:r w:rsidR="00BC3DBB">
        <w:rPr>
          <w:rFonts w:asciiTheme="minorHAnsi" w:hAnsiTheme="minorHAnsi"/>
          <w:color w:val="auto"/>
          <w:szCs w:val="24"/>
        </w:rPr>
        <w:t>pasm in the paraspinous muscles,</w:t>
      </w:r>
      <w:r w:rsidR="0069431F">
        <w:rPr>
          <w:rFonts w:asciiTheme="minorHAnsi" w:hAnsiTheme="minorHAnsi"/>
          <w:color w:val="auto"/>
          <w:szCs w:val="24"/>
        </w:rPr>
        <w:t xml:space="preserve"> </w:t>
      </w:r>
      <w:r w:rsidR="00085CBD">
        <w:rPr>
          <w:rFonts w:asciiTheme="minorHAnsi" w:hAnsiTheme="minorHAnsi"/>
          <w:color w:val="auto"/>
          <w:szCs w:val="24"/>
        </w:rPr>
        <w:t xml:space="preserve">a </w:t>
      </w:r>
      <w:r w:rsidR="0069431F">
        <w:rPr>
          <w:rFonts w:asciiTheme="minorHAnsi" w:hAnsiTheme="minorHAnsi"/>
          <w:color w:val="auto"/>
          <w:szCs w:val="24"/>
        </w:rPr>
        <w:t>normal distal neurological examin</w:t>
      </w:r>
      <w:r w:rsidR="00BC3DBB">
        <w:rPr>
          <w:rFonts w:asciiTheme="minorHAnsi" w:hAnsiTheme="minorHAnsi"/>
          <w:color w:val="auto"/>
          <w:szCs w:val="24"/>
        </w:rPr>
        <w:t>ation to both lower extremities,</w:t>
      </w:r>
      <w:r w:rsidR="0069431F">
        <w:rPr>
          <w:rFonts w:asciiTheme="minorHAnsi" w:hAnsiTheme="minorHAnsi"/>
          <w:color w:val="auto"/>
          <w:szCs w:val="24"/>
        </w:rPr>
        <w:t xml:space="preserve"> </w:t>
      </w:r>
      <w:r w:rsidR="00691958">
        <w:rPr>
          <w:rFonts w:asciiTheme="minorHAnsi" w:hAnsiTheme="minorHAnsi"/>
          <w:color w:val="auto"/>
          <w:szCs w:val="24"/>
        </w:rPr>
        <w:t>and range</w:t>
      </w:r>
      <w:r w:rsidR="00866767">
        <w:rPr>
          <w:rFonts w:asciiTheme="minorHAnsi" w:hAnsiTheme="minorHAnsi"/>
          <w:color w:val="auto"/>
          <w:szCs w:val="24"/>
        </w:rPr>
        <w:t>-</w:t>
      </w:r>
      <w:r w:rsidR="00691958">
        <w:rPr>
          <w:rFonts w:asciiTheme="minorHAnsi" w:hAnsiTheme="minorHAnsi"/>
          <w:color w:val="auto"/>
          <w:szCs w:val="24"/>
        </w:rPr>
        <w:t>of</w:t>
      </w:r>
      <w:r w:rsidR="00866767">
        <w:rPr>
          <w:rFonts w:asciiTheme="minorHAnsi" w:hAnsiTheme="minorHAnsi"/>
          <w:color w:val="auto"/>
          <w:szCs w:val="24"/>
        </w:rPr>
        <w:t>-</w:t>
      </w:r>
      <w:r w:rsidR="00691958">
        <w:rPr>
          <w:rFonts w:asciiTheme="minorHAnsi" w:hAnsiTheme="minorHAnsi"/>
          <w:color w:val="auto"/>
          <w:szCs w:val="24"/>
        </w:rPr>
        <w:t>motion (ROM) as shown in the goniometric table below.</w:t>
      </w:r>
      <w:r w:rsidR="00547F9E" w:rsidRPr="00547F9E">
        <w:rPr>
          <w:rFonts w:asciiTheme="minorHAnsi" w:hAnsiTheme="minorHAnsi"/>
          <w:color w:val="auto"/>
          <w:szCs w:val="24"/>
        </w:rPr>
        <w:t xml:space="preserve"> </w:t>
      </w:r>
      <w:r w:rsidR="00866767">
        <w:rPr>
          <w:rFonts w:asciiTheme="minorHAnsi" w:hAnsiTheme="minorHAnsi"/>
          <w:color w:val="auto"/>
          <w:szCs w:val="24"/>
        </w:rPr>
        <w:t xml:space="preserve"> </w:t>
      </w:r>
      <w:r w:rsidR="00547F9E">
        <w:rPr>
          <w:rFonts w:asciiTheme="minorHAnsi" w:hAnsiTheme="minorHAnsi"/>
          <w:color w:val="auto"/>
          <w:szCs w:val="24"/>
        </w:rPr>
        <w:t xml:space="preserve">The orthopedic surgeon opined that the CI </w:t>
      </w:r>
      <w:r w:rsidR="00BC3DBB">
        <w:rPr>
          <w:rFonts w:asciiTheme="minorHAnsi" w:hAnsiTheme="minorHAnsi"/>
          <w:color w:val="auto"/>
          <w:szCs w:val="24"/>
        </w:rPr>
        <w:t>“</w:t>
      </w:r>
      <w:r w:rsidR="00547F9E" w:rsidRPr="007F3A22">
        <w:rPr>
          <w:rFonts w:asciiTheme="minorHAnsi" w:hAnsiTheme="minorHAnsi"/>
          <w:color w:val="auto"/>
          <w:szCs w:val="24"/>
        </w:rPr>
        <w:t>is not a surgical candidate at this time.”</w:t>
      </w:r>
      <w:r w:rsidR="00691958">
        <w:rPr>
          <w:rFonts w:asciiTheme="minorHAnsi" w:hAnsiTheme="minorHAnsi"/>
          <w:color w:val="auto"/>
          <w:szCs w:val="24"/>
        </w:rPr>
        <w:t xml:space="preserve">  The </w:t>
      </w:r>
      <w:r w:rsidR="00BC3DBB">
        <w:rPr>
          <w:rFonts w:asciiTheme="minorHAnsi" w:hAnsiTheme="minorHAnsi"/>
          <w:color w:val="auto"/>
          <w:szCs w:val="24"/>
        </w:rPr>
        <w:t xml:space="preserve">pre-separation </w:t>
      </w:r>
      <w:r w:rsidR="00691958">
        <w:rPr>
          <w:rFonts w:asciiTheme="minorHAnsi" w:hAnsiTheme="minorHAnsi"/>
          <w:color w:val="auto"/>
          <w:szCs w:val="24"/>
        </w:rPr>
        <w:t xml:space="preserve">VA Compensation and </w:t>
      </w:r>
      <w:r w:rsidR="00DE4FC0">
        <w:rPr>
          <w:rFonts w:asciiTheme="minorHAnsi" w:hAnsiTheme="minorHAnsi"/>
          <w:color w:val="auto"/>
          <w:szCs w:val="24"/>
        </w:rPr>
        <w:t>P</w:t>
      </w:r>
      <w:r w:rsidR="00547F9E">
        <w:rPr>
          <w:rFonts w:asciiTheme="minorHAnsi" w:hAnsiTheme="minorHAnsi"/>
          <w:color w:val="auto"/>
          <w:szCs w:val="24"/>
        </w:rPr>
        <w:t xml:space="preserve">ension (C&amp;P) examination </w:t>
      </w:r>
      <w:r w:rsidR="00CB1C2E">
        <w:rPr>
          <w:rFonts w:asciiTheme="minorHAnsi" w:hAnsiTheme="minorHAnsi"/>
          <w:color w:val="auto"/>
          <w:szCs w:val="24"/>
        </w:rPr>
        <w:t>noted daily pain with occasional radiation to the left foot</w:t>
      </w:r>
      <w:r w:rsidR="00B21D0B">
        <w:rPr>
          <w:rFonts w:asciiTheme="minorHAnsi" w:hAnsiTheme="minorHAnsi"/>
          <w:color w:val="auto"/>
          <w:szCs w:val="24"/>
        </w:rPr>
        <w:t>,</w:t>
      </w:r>
      <w:r w:rsidR="00BC3DBB">
        <w:rPr>
          <w:rFonts w:asciiTheme="minorHAnsi" w:hAnsiTheme="minorHAnsi"/>
          <w:color w:val="auto"/>
          <w:szCs w:val="24"/>
        </w:rPr>
        <w:t xml:space="preserve"> which was</w:t>
      </w:r>
      <w:r w:rsidR="00CB1C2E">
        <w:rPr>
          <w:rFonts w:asciiTheme="minorHAnsi" w:hAnsiTheme="minorHAnsi"/>
          <w:color w:val="auto"/>
          <w:szCs w:val="24"/>
        </w:rPr>
        <w:t xml:space="preserve"> worse with lifting, running and physical training exercises.</w:t>
      </w:r>
      <w:r w:rsidR="00B21D0B">
        <w:rPr>
          <w:rFonts w:asciiTheme="minorHAnsi" w:hAnsiTheme="minorHAnsi"/>
          <w:color w:val="auto"/>
          <w:szCs w:val="24"/>
        </w:rPr>
        <w:t xml:space="preserve"> </w:t>
      </w:r>
      <w:r w:rsidR="00691958">
        <w:rPr>
          <w:rFonts w:asciiTheme="minorHAnsi" w:hAnsiTheme="minorHAnsi"/>
          <w:color w:val="auto"/>
          <w:szCs w:val="24"/>
        </w:rPr>
        <w:t xml:space="preserve"> </w:t>
      </w:r>
      <w:r w:rsidR="00CB1C2E">
        <w:rPr>
          <w:rFonts w:asciiTheme="minorHAnsi" w:hAnsiTheme="minorHAnsi"/>
          <w:color w:val="auto"/>
          <w:szCs w:val="24"/>
        </w:rPr>
        <w:t xml:space="preserve">The </w:t>
      </w:r>
      <w:r w:rsidR="00BC3DBB">
        <w:rPr>
          <w:rFonts w:asciiTheme="minorHAnsi" w:hAnsiTheme="minorHAnsi"/>
          <w:color w:val="auto"/>
          <w:szCs w:val="24"/>
        </w:rPr>
        <w:t xml:space="preserve">VA </w:t>
      </w:r>
      <w:r w:rsidR="00CB1C2E">
        <w:rPr>
          <w:rFonts w:asciiTheme="minorHAnsi" w:hAnsiTheme="minorHAnsi"/>
          <w:color w:val="auto"/>
          <w:szCs w:val="24"/>
        </w:rPr>
        <w:t>exam</w:t>
      </w:r>
      <w:r w:rsidR="00BC3DBB">
        <w:rPr>
          <w:rFonts w:asciiTheme="minorHAnsi" w:hAnsiTheme="minorHAnsi"/>
          <w:color w:val="auto"/>
          <w:szCs w:val="24"/>
        </w:rPr>
        <w:t>iner</w:t>
      </w:r>
      <w:r w:rsidR="00CB1C2E">
        <w:rPr>
          <w:rFonts w:asciiTheme="minorHAnsi" w:hAnsiTheme="minorHAnsi"/>
          <w:color w:val="auto"/>
          <w:szCs w:val="24"/>
        </w:rPr>
        <w:t xml:space="preserve"> </w:t>
      </w:r>
      <w:r w:rsidR="00BC3DBB">
        <w:rPr>
          <w:rFonts w:asciiTheme="minorHAnsi" w:hAnsiTheme="minorHAnsi"/>
          <w:color w:val="auto"/>
          <w:szCs w:val="24"/>
        </w:rPr>
        <w:t>documented</w:t>
      </w:r>
      <w:r w:rsidR="00CB1C2E">
        <w:rPr>
          <w:rFonts w:asciiTheme="minorHAnsi" w:hAnsiTheme="minorHAnsi"/>
          <w:color w:val="auto"/>
          <w:szCs w:val="24"/>
        </w:rPr>
        <w:t xml:space="preserve"> </w:t>
      </w:r>
      <w:r w:rsidR="00691958">
        <w:rPr>
          <w:rFonts w:asciiTheme="minorHAnsi" w:hAnsiTheme="minorHAnsi"/>
          <w:color w:val="auto"/>
          <w:szCs w:val="24"/>
        </w:rPr>
        <w:t xml:space="preserve">tenderness over the L3 to L5 vertebrae, paraspinous spasm, negative straight leg raise, and normal gait.  </w:t>
      </w:r>
      <w:r w:rsidR="000550A3">
        <w:rPr>
          <w:rFonts w:asciiTheme="minorHAnsi" w:hAnsiTheme="minorHAnsi"/>
          <w:color w:val="auto"/>
          <w:szCs w:val="24"/>
        </w:rPr>
        <w:t xml:space="preserve">Lumbar spine x-rays showed mild </w:t>
      </w:r>
      <w:r w:rsidR="00B336B6">
        <w:rPr>
          <w:rFonts w:asciiTheme="minorHAnsi" w:hAnsiTheme="minorHAnsi"/>
          <w:color w:val="auto"/>
          <w:szCs w:val="24"/>
        </w:rPr>
        <w:t xml:space="preserve">(&lt; 50% loss of </w:t>
      </w:r>
      <w:r w:rsidR="00B336B6">
        <w:rPr>
          <w:rFonts w:asciiTheme="minorHAnsi" w:hAnsiTheme="minorHAnsi"/>
          <w:color w:val="auto"/>
          <w:szCs w:val="24"/>
        </w:rPr>
        <w:lastRenderedPageBreak/>
        <w:t xml:space="preserve">height) </w:t>
      </w:r>
      <w:r w:rsidR="000550A3">
        <w:rPr>
          <w:rFonts w:asciiTheme="minorHAnsi" w:hAnsiTheme="minorHAnsi"/>
          <w:color w:val="auto"/>
          <w:szCs w:val="24"/>
        </w:rPr>
        <w:t xml:space="preserve">compression deformities at T11 and T12 and multiple osteophytes (indicative of degenerative </w:t>
      </w:r>
      <w:r w:rsidR="00B21D0B">
        <w:rPr>
          <w:rFonts w:asciiTheme="minorHAnsi" w:hAnsiTheme="minorHAnsi"/>
          <w:color w:val="auto"/>
          <w:szCs w:val="24"/>
        </w:rPr>
        <w:t xml:space="preserve">spine </w:t>
      </w:r>
      <w:r w:rsidR="000550A3">
        <w:rPr>
          <w:rFonts w:asciiTheme="minorHAnsi" w:hAnsiTheme="minorHAnsi"/>
          <w:color w:val="auto"/>
          <w:szCs w:val="24"/>
        </w:rPr>
        <w:t xml:space="preserve">disease). </w:t>
      </w:r>
    </w:p>
    <w:p w:rsidR="00A665F0" w:rsidRDefault="00A665F0" w:rsidP="00664296">
      <w:pPr>
        <w:tabs>
          <w:tab w:val="left" w:pos="288"/>
          <w:tab w:val="left" w:pos="4752"/>
        </w:tabs>
        <w:spacing w:line="240" w:lineRule="exact"/>
        <w:rPr>
          <w:rFonts w:asciiTheme="minorHAnsi" w:hAnsiTheme="minorHAnsi"/>
          <w:color w:val="auto"/>
          <w:szCs w:val="24"/>
        </w:rPr>
      </w:pPr>
    </w:p>
    <w:p w:rsidR="00B21D0B" w:rsidRPr="00B21D0B" w:rsidRDefault="00B21D0B" w:rsidP="00B21D0B">
      <w:pPr>
        <w:spacing w:line="240" w:lineRule="exact"/>
        <w:jc w:val="both"/>
        <w:rPr>
          <w:rFonts w:eastAsiaTheme="minorHAnsi" w:cstheme="minorBidi"/>
          <w:color w:val="auto"/>
          <w:szCs w:val="24"/>
        </w:rPr>
      </w:pPr>
      <w:r>
        <w:rPr>
          <w:rFonts w:eastAsiaTheme="minorHAnsi" w:cstheme="minorBidi"/>
          <w:color w:val="auto"/>
          <w:szCs w:val="24"/>
        </w:rPr>
        <w:t>There were two</w:t>
      </w:r>
      <w:r w:rsidRPr="00B21D0B">
        <w:rPr>
          <w:rFonts w:eastAsiaTheme="minorHAnsi" w:cstheme="minorBidi"/>
          <w:color w:val="auto"/>
          <w:szCs w:val="24"/>
        </w:rPr>
        <w:t xml:space="preserve"> goniometric </w:t>
      </w:r>
      <w:r w:rsidR="00866767">
        <w:rPr>
          <w:rFonts w:eastAsiaTheme="minorHAnsi" w:cstheme="minorBidi"/>
          <w:color w:val="auto"/>
          <w:szCs w:val="24"/>
        </w:rPr>
        <w:t xml:space="preserve">ROM </w:t>
      </w:r>
      <w:r w:rsidRPr="00B21D0B">
        <w:rPr>
          <w:rFonts w:eastAsiaTheme="minorHAnsi" w:cstheme="minorBidi"/>
          <w:color w:val="auto"/>
          <w:szCs w:val="24"/>
        </w:rPr>
        <w:t>evaluations in evidence, with documentation of all ratable criteria, which the Board weighed in arriving at its rating recommendation.</w:t>
      </w:r>
    </w:p>
    <w:p w:rsidR="007D3945" w:rsidRDefault="007D3945" w:rsidP="00664296">
      <w:pPr>
        <w:tabs>
          <w:tab w:val="left" w:pos="288"/>
          <w:tab w:val="left" w:pos="4752"/>
        </w:tabs>
        <w:spacing w:line="240" w:lineRule="exact"/>
        <w:rPr>
          <w:rFonts w:asciiTheme="minorHAnsi" w:hAnsiTheme="minorHAnsi"/>
          <w:color w:val="auto"/>
          <w:szCs w:val="24"/>
        </w:rPr>
      </w:pPr>
    </w:p>
    <w:tbl>
      <w:tblPr>
        <w:tblW w:w="7497" w:type="dxa"/>
        <w:jc w:val="center"/>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3"/>
        <w:gridCol w:w="2110"/>
        <w:gridCol w:w="2494"/>
      </w:tblGrid>
      <w:tr w:rsidR="00021D4B" w:rsidRPr="00DA56AC" w:rsidTr="00DA56AC">
        <w:trPr>
          <w:trHeight w:val="270"/>
          <w:jc w:val="center"/>
        </w:trPr>
        <w:tc>
          <w:tcPr>
            <w:tcW w:w="28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21D4B" w:rsidRPr="00DA56AC" w:rsidRDefault="00021D4B" w:rsidP="00DA56AC">
            <w:pPr>
              <w:spacing w:line="240" w:lineRule="exact"/>
              <w:jc w:val="center"/>
              <w:rPr>
                <w:rFonts w:asciiTheme="minorHAnsi" w:eastAsia="Calibri" w:hAnsiTheme="minorHAnsi"/>
                <w:color w:val="auto"/>
                <w:sz w:val="22"/>
                <w:szCs w:val="22"/>
              </w:rPr>
            </w:pPr>
            <w:r w:rsidRPr="00DA56AC">
              <w:rPr>
                <w:rFonts w:asciiTheme="minorHAnsi" w:eastAsia="Calibri" w:hAnsiTheme="minorHAnsi"/>
                <w:color w:val="auto"/>
                <w:sz w:val="22"/>
                <w:szCs w:val="22"/>
              </w:rPr>
              <w:t>ROM – Thoracolumbar Spine</w:t>
            </w:r>
          </w:p>
        </w:tc>
        <w:tc>
          <w:tcPr>
            <w:tcW w:w="21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rsidR="00021D4B" w:rsidRPr="00DA56AC" w:rsidRDefault="00021D4B" w:rsidP="00DA56AC">
            <w:pPr>
              <w:spacing w:line="240" w:lineRule="exact"/>
              <w:jc w:val="center"/>
              <w:rPr>
                <w:rFonts w:asciiTheme="minorHAnsi" w:eastAsia="Calibri" w:hAnsiTheme="minorHAnsi"/>
                <w:color w:val="auto"/>
                <w:sz w:val="22"/>
                <w:szCs w:val="22"/>
              </w:rPr>
            </w:pPr>
            <w:r w:rsidRPr="00DA56AC">
              <w:rPr>
                <w:rFonts w:asciiTheme="minorHAnsi" w:eastAsia="Calibri" w:hAnsiTheme="minorHAnsi"/>
                <w:color w:val="auto"/>
                <w:sz w:val="22"/>
                <w:szCs w:val="22"/>
              </w:rPr>
              <w:t>MEB (</w:t>
            </w:r>
            <w:r w:rsidR="009B218E" w:rsidRPr="00DA56AC">
              <w:rPr>
                <w:rFonts w:asciiTheme="minorHAnsi" w:eastAsia="Calibri" w:hAnsiTheme="minorHAnsi"/>
                <w:color w:val="auto"/>
                <w:sz w:val="22"/>
                <w:szCs w:val="22"/>
              </w:rPr>
              <w:t>5</w:t>
            </w:r>
            <w:r w:rsidRPr="00DA56AC">
              <w:rPr>
                <w:rFonts w:asciiTheme="minorHAnsi" w:eastAsia="Calibri" w:hAnsiTheme="minorHAnsi"/>
                <w:color w:val="auto"/>
                <w:sz w:val="22"/>
                <w:szCs w:val="22"/>
              </w:rPr>
              <w:t xml:space="preserve"> Mo. Pre-Sep)</w:t>
            </w:r>
          </w:p>
        </w:tc>
        <w:tc>
          <w:tcPr>
            <w:tcW w:w="249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rsidR="00021D4B" w:rsidRPr="00DA56AC" w:rsidRDefault="00021D4B" w:rsidP="00DA56AC">
            <w:pPr>
              <w:spacing w:line="240" w:lineRule="exact"/>
              <w:jc w:val="center"/>
              <w:rPr>
                <w:rFonts w:asciiTheme="minorHAnsi" w:eastAsiaTheme="minorHAnsi" w:hAnsiTheme="minorHAnsi" w:cstheme="minorBidi"/>
                <w:color w:val="auto"/>
                <w:sz w:val="22"/>
                <w:szCs w:val="22"/>
              </w:rPr>
            </w:pPr>
            <w:r w:rsidRPr="00DA56AC">
              <w:rPr>
                <w:rFonts w:asciiTheme="minorHAnsi" w:eastAsia="Calibri" w:hAnsiTheme="minorHAnsi"/>
                <w:color w:val="auto"/>
                <w:sz w:val="22"/>
                <w:szCs w:val="22"/>
              </w:rPr>
              <w:t>VA</w:t>
            </w:r>
            <w:r w:rsidR="009B218E" w:rsidRPr="00DA56AC">
              <w:rPr>
                <w:rFonts w:asciiTheme="minorHAnsi" w:eastAsiaTheme="minorHAnsi" w:hAnsiTheme="minorHAnsi" w:cstheme="minorBidi"/>
                <w:color w:val="auto"/>
                <w:sz w:val="22"/>
                <w:szCs w:val="22"/>
              </w:rPr>
              <w:t xml:space="preserve"> C&amp;P (1</w:t>
            </w:r>
            <w:r w:rsidRPr="00DA56AC">
              <w:rPr>
                <w:rFonts w:asciiTheme="minorHAnsi" w:eastAsiaTheme="minorHAnsi" w:hAnsiTheme="minorHAnsi" w:cstheme="minorBidi"/>
                <w:color w:val="auto"/>
                <w:sz w:val="22"/>
                <w:szCs w:val="22"/>
              </w:rPr>
              <w:t xml:space="preserve"> </w:t>
            </w:r>
            <w:r w:rsidRPr="00DA56AC">
              <w:rPr>
                <w:rFonts w:asciiTheme="minorHAnsi" w:eastAsia="Calibri" w:hAnsiTheme="minorHAnsi"/>
                <w:color w:val="auto"/>
                <w:sz w:val="22"/>
                <w:szCs w:val="22"/>
              </w:rPr>
              <w:t>Mo. Post-Sep)</w:t>
            </w:r>
          </w:p>
        </w:tc>
      </w:tr>
      <w:tr w:rsidR="00021D4B" w:rsidRPr="00DA56AC" w:rsidTr="00DA56AC">
        <w:trPr>
          <w:trHeight w:val="245"/>
          <w:jc w:val="center"/>
        </w:trPr>
        <w:tc>
          <w:tcPr>
            <w:tcW w:w="2893" w:type="dxa"/>
            <w:tcBorders>
              <w:top w:val="single" w:sz="4" w:space="0" w:color="000000"/>
              <w:left w:val="single" w:sz="4" w:space="0" w:color="000000"/>
              <w:bottom w:val="single" w:sz="4" w:space="0" w:color="000000"/>
              <w:right w:val="single" w:sz="4" w:space="0" w:color="000000"/>
            </w:tcBorders>
            <w:hideMark/>
          </w:tcPr>
          <w:p w:rsidR="00021D4B" w:rsidRPr="00DA56AC" w:rsidRDefault="00021D4B" w:rsidP="00DA56AC">
            <w:pPr>
              <w:spacing w:line="240" w:lineRule="exact"/>
              <w:contextualSpacing/>
              <w:jc w:val="center"/>
              <w:rPr>
                <w:rFonts w:eastAsia="Calibri"/>
                <w:color w:val="auto"/>
                <w:sz w:val="22"/>
                <w:szCs w:val="22"/>
              </w:rPr>
            </w:pPr>
            <w:r w:rsidRPr="00DA56AC">
              <w:rPr>
                <w:rFonts w:eastAsia="Calibri"/>
                <w:color w:val="auto"/>
                <w:sz w:val="22"/>
                <w:szCs w:val="22"/>
              </w:rPr>
              <w:t xml:space="preserve">Flexion (Normal 90⁰) </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spacing w:line="240" w:lineRule="exact"/>
              <w:jc w:val="center"/>
              <w:rPr>
                <w:rFonts w:asciiTheme="minorHAnsi" w:eastAsia="Calibri" w:hAnsiTheme="minorHAnsi"/>
                <w:color w:val="auto"/>
                <w:sz w:val="22"/>
                <w:szCs w:val="22"/>
              </w:rPr>
            </w:pPr>
            <w:r w:rsidRPr="00DA56AC">
              <w:rPr>
                <w:rFonts w:asciiTheme="minorHAnsi" w:eastAsia="Calibri" w:hAnsiTheme="minorHAnsi"/>
                <w:color w:val="auto"/>
                <w:sz w:val="22"/>
                <w:szCs w:val="22"/>
              </w:rPr>
              <w:t>75</w:t>
            </w:r>
            <w:r w:rsidRPr="00DA56AC">
              <w:rPr>
                <w:rFonts w:asciiTheme="minorHAnsi" w:eastAsia="Calibri" w:hAnsiTheme="minorHAnsi" w:cstheme="minorHAnsi"/>
                <w:color w:val="auto"/>
                <w:sz w:val="22"/>
                <w:szCs w:val="22"/>
              </w:rPr>
              <w:t>⁰</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spacing w:line="240" w:lineRule="exact"/>
              <w:jc w:val="center"/>
              <w:rPr>
                <w:rFonts w:asciiTheme="minorHAnsi" w:eastAsia="Calibri" w:hAnsiTheme="minorHAnsi"/>
                <w:color w:val="auto"/>
                <w:sz w:val="22"/>
                <w:szCs w:val="22"/>
              </w:rPr>
            </w:pPr>
            <w:r w:rsidRPr="00DA56AC">
              <w:rPr>
                <w:rFonts w:asciiTheme="minorHAnsi" w:eastAsia="Calibri" w:hAnsiTheme="minorHAnsi"/>
                <w:color w:val="auto"/>
                <w:sz w:val="22"/>
                <w:szCs w:val="22"/>
              </w:rPr>
              <w:t>80</w:t>
            </w:r>
            <w:r w:rsidRPr="00DA56AC">
              <w:rPr>
                <w:rFonts w:asciiTheme="minorHAnsi" w:eastAsia="Calibri" w:hAnsiTheme="minorHAnsi" w:cstheme="minorHAnsi"/>
                <w:color w:val="auto"/>
                <w:sz w:val="22"/>
                <w:szCs w:val="22"/>
              </w:rPr>
              <w:t>⁰</w:t>
            </w:r>
          </w:p>
        </w:tc>
      </w:tr>
      <w:tr w:rsidR="00021D4B" w:rsidRPr="00DA56AC" w:rsidTr="00DA56AC">
        <w:trPr>
          <w:trHeight w:val="242"/>
          <w:jc w:val="center"/>
        </w:trPr>
        <w:tc>
          <w:tcPr>
            <w:tcW w:w="2893" w:type="dxa"/>
            <w:tcBorders>
              <w:top w:val="single" w:sz="4" w:space="0" w:color="000000"/>
              <w:left w:val="single" w:sz="4" w:space="0" w:color="000000"/>
              <w:bottom w:val="single" w:sz="4" w:space="0" w:color="000000"/>
              <w:right w:val="single" w:sz="4" w:space="0" w:color="000000"/>
            </w:tcBorders>
            <w:hideMark/>
          </w:tcPr>
          <w:p w:rsidR="00021D4B" w:rsidRPr="00DA56AC" w:rsidRDefault="00021D4B" w:rsidP="00DA56AC">
            <w:pPr>
              <w:spacing w:line="240" w:lineRule="exact"/>
              <w:contextualSpacing/>
              <w:jc w:val="center"/>
              <w:rPr>
                <w:rFonts w:eastAsia="Calibri"/>
                <w:color w:val="auto"/>
                <w:sz w:val="22"/>
                <w:szCs w:val="22"/>
              </w:rPr>
            </w:pPr>
            <w:r w:rsidRPr="00DA56AC">
              <w:rPr>
                <w:rFonts w:eastAsia="Calibri"/>
                <w:color w:val="auto"/>
                <w:sz w:val="22"/>
                <w:szCs w:val="22"/>
              </w:rPr>
              <w:t>Combined (Normal 240⁰)</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DA56AC" w:rsidP="00DA56AC">
            <w:pPr>
              <w:spacing w:line="240" w:lineRule="exact"/>
              <w:jc w:val="center"/>
              <w:rPr>
                <w:rFonts w:asciiTheme="minorHAnsi" w:eastAsia="Calibri" w:hAnsiTheme="minorHAnsi"/>
                <w:color w:val="auto"/>
                <w:sz w:val="22"/>
                <w:szCs w:val="22"/>
              </w:rPr>
            </w:pPr>
            <w:r>
              <w:rPr>
                <w:rFonts w:asciiTheme="minorHAnsi" w:eastAsia="Calibri" w:hAnsiTheme="minorHAnsi"/>
                <w:color w:val="auto"/>
                <w:sz w:val="22"/>
                <w:szCs w:val="22"/>
              </w:rPr>
              <w:t>Incomplete</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spacing w:line="240" w:lineRule="exact"/>
              <w:jc w:val="center"/>
              <w:rPr>
                <w:rFonts w:asciiTheme="minorHAnsi" w:eastAsia="Calibri" w:hAnsiTheme="minorHAnsi"/>
                <w:color w:val="auto"/>
                <w:sz w:val="22"/>
                <w:szCs w:val="22"/>
              </w:rPr>
            </w:pPr>
            <w:r w:rsidRPr="00DA56AC">
              <w:rPr>
                <w:rFonts w:asciiTheme="minorHAnsi" w:eastAsia="Calibri" w:hAnsiTheme="minorHAnsi"/>
                <w:color w:val="auto"/>
                <w:sz w:val="22"/>
                <w:szCs w:val="22"/>
              </w:rPr>
              <w:t>185</w:t>
            </w:r>
            <w:r w:rsidRPr="00DA56AC">
              <w:rPr>
                <w:rFonts w:asciiTheme="minorHAnsi" w:eastAsia="Calibri" w:hAnsiTheme="minorHAnsi" w:cstheme="minorHAnsi"/>
                <w:color w:val="auto"/>
                <w:sz w:val="22"/>
                <w:szCs w:val="22"/>
              </w:rPr>
              <w:t>⁰</w:t>
            </w:r>
          </w:p>
        </w:tc>
      </w:tr>
      <w:tr w:rsidR="00021D4B" w:rsidRPr="00DA56AC" w:rsidTr="00DA56AC">
        <w:trPr>
          <w:trHeight w:val="233"/>
          <w:jc w:val="center"/>
        </w:trPr>
        <w:tc>
          <w:tcPr>
            <w:tcW w:w="2893" w:type="dxa"/>
            <w:tcBorders>
              <w:top w:val="single" w:sz="4" w:space="0" w:color="000000"/>
              <w:left w:val="single" w:sz="4" w:space="0" w:color="000000"/>
              <w:bottom w:val="single" w:sz="4" w:space="0" w:color="000000"/>
              <w:right w:val="single" w:sz="4" w:space="0" w:color="000000"/>
            </w:tcBorders>
            <w:hideMark/>
          </w:tcPr>
          <w:p w:rsidR="00021D4B" w:rsidRPr="00DA56AC" w:rsidRDefault="00021D4B"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Comments</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Spasm</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Spasm; normal gait</w:t>
            </w:r>
            <w:r w:rsidR="00DA56AC">
              <w:rPr>
                <w:rFonts w:asciiTheme="minorHAnsi" w:eastAsiaTheme="minorHAnsi" w:hAnsiTheme="minorHAnsi"/>
                <w:color w:val="auto"/>
                <w:sz w:val="22"/>
                <w:szCs w:val="22"/>
              </w:rPr>
              <w:t>.</w:t>
            </w:r>
          </w:p>
        </w:tc>
      </w:tr>
      <w:tr w:rsidR="00021D4B" w:rsidRPr="00DA56AC" w:rsidTr="00DA56AC">
        <w:trPr>
          <w:trHeight w:val="233"/>
          <w:jc w:val="center"/>
        </w:trPr>
        <w:tc>
          <w:tcPr>
            <w:tcW w:w="2893" w:type="dxa"/>
            <w:tcBorders>
              <w:top w:val="single" w:sz="4" w:space="0" w:color="000000"/>
              <w:left w:val="single" w:sz="4" w:space="0" w:color="000000"/>
              <w:bottom w:val="single" w:sz="4" w:space="0" w:color="000000"/>
              <w:right w:val="single" w:sz="4" w:space="0" w:color="000000"/>
            </w:tcBorders>
            <w:hideMark/>
          </w:tcPr>
          <w:p w:rsidR="00021D4B" w:rsidRPr="00DA56AC" w:rsidRDefault="00021D4B"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§4.71a Rating</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10%</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021D4B" w:rsidRPr="00DA56AC" w:rsidRDefault="009B218E" w:rsidP="00DA56AC">
            <w:pPr>
              <w:tabs>
                <w:tab w:val="left" w:pos="288"/>
                <w:tab w:val="left" w:pos="4752"/>
              </w:tabs>
              <w:spacing w:line="240" w:lineRule="exact"/>
              <w:jc w:val="center"/>
              <w:rPr>
                <w:rFonts w:asciiTheme="minorHAnsi" w:eastAsiaTheme="minorHAnsi" w:hAnsiTheme="minorHAnsi"/>
                <w:color w:val="auto"/>
                <w:sz w:val="22"/>
                <w:szCs w:val="22"/>
              </w:rPr>
            </w:pPr>
            <w:r w:rsidRPr="00DA56AC">
              <w:rPr>
                <w:rFonts w:asciiTheme="minorHAnsi" w:eastAsiaTheme="minorHAnsi" w:hAnsiTheme="minorHAnsi"/>
                <w:color w:val="auto"/>
                <w:sz w:val="22"/>
                <w:szCs w:val="22"/>
              </w:rPr>
              <w:t>10%</w:t>
            </w:r>
          </w:p>
        </w:tc>
      </w:tr>
    </w:tbl>
    <w:p w:rsidR="00021D4B" w:rsidRDefault="00021D4B" w:rsidP="00664296">
      <w:pPr>
        <w:tabs>
          <w:tab w:val="left" w:pos="288"/>
          <w:tab w:val="left" w:pos="4752"/>
        </w:tabs>
        <w:spacing w:line="240" w:lineRule="exact"/>
        <w:rPr>
          <w:rFonts w:asciiTheme="minorHAnsi" w:hAnsiTheme="minorHAnsi"/>
          <w:color w:val="auto"/>
          <w:szCs w:val="24"/>
        </w:rPr>
      </w:pPr>
    </w:p>
    <w:p w:rsidR="00655CD1" w:rsidRPr="00655CD1" w:rsidRDefault="00BC3DBB" w:rsidP="00655CD1">
      <w:pPr>
        <w:spacing w:line="240" w:lineRule="exact"/>
        <w:jc w:val="both"/>
        <w:rPr>
          <w:rFonts w:eastAsiaTheme="minorHAnsi" w:cstheme="minorBidi"/>
          <w:color w:val="auto"/>
          <w:szCs w:val="24"/>
        </w:rPr>
      </w:pPr>
      <w:r>
        <w:rPr>
          <w:rFonts w:asciiTheme="minorHAnsi" w:hAnsiTheme="minorHAnsi"/>
          <w:color w:val="auto"/>
          <w:szCs w:val="24"/>
        </w:rPr>
        <w:t>Both evaluations</w:t>
      </w:r>
      <w:r w:rsidR="00CB1C2E">
        <w:rPr>
          <w:rFonts w:asciiTheme="minorHAnsi" w:hAnsiTheme="minorHAnsi"/>
          <w:color w:val="auto"/>
          <w:szCs w:val="24"/>
        </w:rPr>
        <w:t xml:space="preserve"> </w:t>
      </w:r>
      <w:r>
        <w:rPr>
          <w:rFonts w:asciiTheme="minorHAnsi" w:hAnsiTheme="minorHAnsi"/>
          <w:color w:val="auto"/>
          <w:szCs w:val="24"/>
        </w:rPr>
        <w:t>are</w:t>
      </w:r>
      <w:r w:rsidR="00CB1C2E">
        <w:rPr>
          <w:rFonts w:asciiTheme="minorHAnsi" w:hAnsiTheme="minorHAnsi"/>
          <w:color w:val="auto"/>
          <w:szCs w:val="24"/>
        </w:rPr>
        <w:t xml:space="preserve"> consistent with </w:t>
      </w:r>
      <w:r w:rsidR="00CB1C2E" w:rsidRPr="0006727D">
        <w:rPr>
          <w:rFonts w:asciiTheme="minorHAnsi" w:hAnsiTheme="minorHAnsi"/>
          <w:color w:val="auto"/>
          <w:szCs w:val="24"/>
        </w:rPr>
        <w:t xml:space="preserve">a rating of 10% IAW </w:t>
      </w:r>
      <w:r w:rsidR="00CB1C2E" w:rsidRPr="001238B0">
        <w:rPr>
          <w:rFonts w:asciiTheme="minorHAnsi" w:hAnsiTheme="minorHAnsi"/>
          <w:color w:val="auto"/>
          <w:szCs w:val="24"/>
        </w:rPr>
        <w:t xml:space="preserve">VASRD </w:t>
      </w:r>
      <w:r w:rsidR="00CB1C2E">
        <w:rPr>
          <w:rFonts w:asciiTheme="minorHAnsi" w:hAnsiTheme="minorHAnsi"/>
          <w:color w:val="auto"/>
          <w:szCs w:val="24"/>
        </w:rPr>
        <w:t>§4.71a</w:t>
      </w:r>
      <w:r w:rsidR="00B21D0B">
        <w:rPr>
          <w:rFonts w:asciiTheme="minorHAnsi" w:hAnsiTheme="minorHAnsi"/>
          <w:color w:val="auto"/>
          <w:szCs w:val="24"/>
        </w:rPr>
        <w:t>;</w:t>
      </w:r>
      <w:r>
        <w:rPr>
          <w:rFonts w:asciiTheme="minorHAnsi" w:hAnsiTheme="minorHAnsi"/>
          <w:color w:val="auto"/>
          <w:szCs w:val="24"/>
        </w:rPr>
        <w:t xml:space="preserve"> although</w:t>
      </w:r>
      <w:r w:rsidR="00B21D0B">
        <w:rPr>
          <w:rFonts w:asciiTheme="minorHAnsi" w:hAnsiTheme="minorHAnsi"/>
          <w:color w:val="auto"/>
          <w:szCs w:val="24"/>
        </w:rPr>
        <w:t>,</w:t>
      </w:r>
      <w:r>
        <w:rPr>
          <w:rFonts w:asciiTheme="minorHAnsi" w:hAnsiTheme="minorHAnsi"/>
          <w:color w:val="auto"/>
          <w:szCs w:val="24"/>
        </w:rPr>
        <w:t xml:space="preserve"> only the VA evaluation is fully compliant with </w:t>
      </w:r>
      <w:r w:rsidR="00655CD1" w:rsidRPr="00655CD1">
        <w:rPr>
          <w:rFonts w:asciiTheme="minorHAnsi" w:hAnsiTheme="minorHAnsi"/>
          <w:color w:val="auto"/>
          <w:szCs w:val="24"/>
        </w:rPr>
        <w:t>VASRD §4.46 (accurate measurement)</w:t>
      </w:r>
      <w:r w:rsidR="00B336B6">
        <w:rPr>
          <w:rFonts w:asciiTheme="minorHAnsi" w:hAnsiTheme="minorHAnsi"/>
          <w:color w:val="auto"/>
          <w:szCs w:val="24"/>
        </w:rPr>
        <w:t xml:space="preserve"> given that </w:t>
      </w:r>
      <w:r w:rsidR="00655CD1">
        <w:rPr>
          <w:rFonts w:asciiTheme="minorHAnsi" w:hAnsiTheme="minorHAnsi"/>
          <w:color w:val="auto"/>
          <w:szCs w:val="24"/>
        </w:rPr>
        <w:t xml:space="preserve">a full set of </w:t>
      </w:r>
      <w:r w:rsidR="00B336B6">
        <w:rPr>
          <w:rFonts w:asciiTheme="minorHAnsi" w:hAnsiTheme="minorHAnsi"/>
          <w:color w:val="auto"/>
          <w:szCs w:val="24"/>
        </w:rPr>
        <w:t xml:space="preserve">combined </w:t>
      </w:r>
      <w:r w:rsidR="00655CD1">
        <w:rPr>
          <w:rFonts w:asciiTheme="minorHAnsi" w:hAnsiTheme="minorHAnsi"/>
          <w:color w:val="auto"/>
          <w:szCs w:val="24"/>
        </w:rPr>
        <w:t>measurements was not provided by the MEB</w:t>
      </w:r>
      <w:r w:rsidR="00CB1C2E">
        <w:rPr>
          <w:rFonts w:asciiTheme="minorHAnsi" w:hAnsiTheme="minorHAnsi"/>
          <w:color w:val="auto"/>
          <w:szCs w:val="24"/>
        </w:rPr>
        <w:t xml:space="preserve">.  </w:t>
      </w:r>
      <w:r w:rsidR="00C05840" w:rsidRPr="00877A3B">
        <w:rPr>
          <w:rFonts w:asciiTheme="minorHAnsi" w:hAnsiTheme="minorHAnsi"/>
          <w:color w:val="auto"/>
          <w:szCs w:val="24"/>
        </w:rPr>
        <w:t>T</w:t>
      </w:r>
      <w:r w:rsidR="00C05840" w:rsidRPr="0006727D">
        <w:rPr>
          <w:rFonts w:asciiTheme="minorHAnsi" w:hAnsiTheme="minorHAnsi"/>
          <w:color w:val="auto"/>
          <w:szCs w:val="24"/>
        </w:rPr>
        <w:t xml:space="preserve">here was no </w:t>
      </w:r>
      <w:r w:rsidR="00C05840">
        <w:rPr>
          <w:rFonts w:asciiTheme="minorHAnsi" w:hAnsiTheme="minorHAnsi"/>
          <w:color w:val="auto"/>
          <w:szCs w:val="24"/>
        </w:rPr>
        <w:t>documentation by either examiner of abnormal gait or</w:t>
      </w:r>
      <w:r w:rsidR="00C05840" w:rsidRPr="0006727D">
        <w:rPr>
          <w:rFonts w:asciiTheme="minorHAnsi" w:hAnsiTheme="minorHAnsi"/>
          <w:color w:val="auto"/>
          <w:szCs w:val="24"/>
        </w:rPr>
        <w:t xml:space="preserve"> spinal contour which</w:t>
      </w:r>
      <w:r w:rsidR="00C05840">
        <w:rPr>
          <w:rFonts w:asciiTheme="minorHAnsi" w:hAnsiTheme="minorHAnsi"/>
          <w:color w:val="auto"/>
          <w:szCs w:val="24"/>
        </w:rPr>
        <w:t xml:space="preserve"> would meet 20% criteria independently of ROM </w:t>
      </w:r>
      <w:r w:rsidR="00B21D0B">
        <w:rPr>
          <w:rFonts w:asciiTheme="minorHAnsi" w:hAnsiTheme="minorHAnsi"/>
          <w:color w:val="auto"/>
          <w:szCs w:val="24"/>
        </w:rPr>
        <w:t>measurements</w:t>
      </w:r>
      <w:r w:rsidR="00C05840" w:rsidRPr="0006727D">
        <w:rPr>
          <w:rFonts w:asciiTheme="minorHAnsi" w:hAnsiTheme="minorHAnsi"/>
          <w:color w:val="auto"/>
          <w:szCs w:val="24"/>
        </w:rPr>
        <w:t xml:space="preserve">.  </w:t>
      </w:r>
      <w:r w:rsidR="00655CD1">
        <w:rPr>
          <w:rFonts w:asciiTheme="minorHAnsi" w:hAnsiTheme="minorHAnsi"/>
          <w:color w:val="auto"/>
          <w:szCs w:val="24"/>
        </w:rPr>
        <w:t>Although radicular symptoms were in evidence</w:t>
      </w:r>
      <w:r w:rsidR="00086FF6">
        <w:rPr>
          <w:rFonts w:asciiTheme="minorHAnsi" w:hAnsiTheme="minorHAnsi"/>
          <w:color w:val="auto"/>
          <w:szCs w:val="24"/>
        </w:rPr>
        <w:t>,</w:t>
      </w:r>
      <w:r w:rsidR="00655CD1">
        <w:rPr>
          <w:rFonts w:asciiTheme="minorHAnsi" w:hAnsiTheme="minorHAnsi"/>
          <w:color w:val="auto"/>
          <w:szCs w:val="24"/>
        </w:rPr>
        <w:t xml:space="preserve"> and a sciatic peripheral nerve rating was conferred by the VA, the symptoms were confined to intermittent radiating pain and subjective paresthesias.  </w:t>
      </w:r>
      <w:r w:rsidR="00655CD1" w:rsidRPr="00655CD1">
        <w:rPr>
          <w:rFonts w:asciiTheme="minorHAnsi" w:hAnsiTheme="minorHAnsi"/>
          <w:color w:val="auto"/>
          <w:szCs w:val="24"/>
        </w:rPr>
        <w:t>Board precedent is that a functional impairment tied to fitness is required to support a recommendation for addition of a peripheral nerve rating at separation.  The pain component of a radiculopathy is subsumed under the general spine rating as specified in §4.71a.  The sensory component in this case has no functional implications</w:t>
      </w:r>
      <w:r w:rsidR="00655CD1">
        <w:rPr>
          <w:rFonts w:asciiTheme="minorHAnsi" w:hAnsiTheme="minorHAnsi"/>
          <w:color w:val="auto"/>
          <w:szCs w:val="24"/>
        </w:rPr>
        <w:t xml:space="preserve"> and there is no documentation of objective weakness.  </w:t>
      </w:r>
      <w:r w:rsidR="00655CD1" w:rsidRPr="00655CD1">
        <w:rPr>
          <w:rFonts w:eastAsiaTheme="minorHAnsi" w:cstheme="minorBidi"/>
          <w:color w:val="auto"/>
          <w:szCs w:val="24"/>
        </w:rPr>
        <w:t xml:space="preserve">All evidence considered, there is not reasonable doubt in the CI’s favor supporting a change from the PEB’s </w:t>
      </w:r>
      <w:r w:rsidR="00655CD1">
        <w:rPr>
          <w:rFonts w:eastAsiaTheme="minorHAnsi" w:cstheme="minorBidi"/>
          <w:color w:val="auto"/>
          <w:szCs w:val="24"/>
        </w:rPr>
        <w:t xml:space="preserve">adjudication of </w:t>
      </w:r>
      <w:r w:rsidR="00655CD1" w:rsidRPr="00655CD1">
        <w:rPr>
          <w:rFonts w:eastAsiaTheme="minorHAnsi" w:cstheme="minorBidi"/>
          <w:color w:val="auto"/>
          <w:szCs w:val="24"/>
        </w:rPr>
        <w:t xml:space="preserve">the </w:t>
      </w:r>
      <w:r w:rsidR="00655CD1">
        <w:rPr>
          <w:rFonts w:eastAsiaTheme="minorHAnsi" w:cstheme="minorBidi"/>
          <w:color w:val="auto"/>
          <w:szCs w:val="24"/>
        </w:rPr>
        <w:t>lumbar spine</w:t>
      </w:r>
      <w:r w:rsidR="00655CD1" w:rsidRPr="00655CD1">
        <w:rPr>
          <w:rFonts w:eastAsiaTheme="minorHAnsi" w:cstheme="minorBidi"/>
          <w:color w:val="auto"/>
          <w:szCs w:val="24"/>
        </w:rPr>
        <w:t xml:space="preserve"> condition.</w:t>
      </w:r>
    </w:p>
    <w:p w:rsidR="009B218E" w:rsidRDefault="009B218E" w:rsidP="00655CD1">
      <w:pPr>
        <w:tabs>
          <w:tab w:val="left" w:pos="288"/>
          <w:tab w:val="left" w:pos="4752"/>
        </w:tabs>
        <w:spacing w:line="240" w:lineRule="exact"/>
        <w:jc w:val="both"/>
        <w:rPr>
          <w:rFonts w:asciiTheme="minorHAnsi" w:hAnsiTheme="minorHAnsi"/>
          <w:color w:val="auto"/>
          <w:szCs w:val="24"/>
        </w:rPr>
      </w:pPr>
    </w:p>
    <w:p w:rsidR="00DE4FC0" w:rsidRDefault="00E9565E" w:rsidP="00885840">
      <w:pPr>
        <w:tabs>
          <w:tab w:val="left" w:pos="288"/>
          <w:tab w:val="left" w:pos="4752"/>
        </w:tabs>
        <w:spacing w:line="240" w:lineRule="exact"/>
        <w:jc w:val="both"/>
        <w:rPr>
          <w:rFonts w:asciiTheme="minorHAnsi" w:hAnsiTheme="minorHAnsi"/>
          <w:color w:val="auto"/>
          <w:szCs w:val="24"/>
        </w:rPr>
      </w:pPr>
      <w:r w:rsidRPr="00E9565E">
        <w:rPr>
          <w:rFonts w:asciiTheme="minorHAnsi" w:hAnsiTheme="minorHAnsi"/>
          <w:color w:val="auto"/>
          <w:szCs w:val="24"/>
          <w:u w:val="single"/>
        </w:rPr>
        <w:t xml:space="preserve">Bilateral Ankle </w:t>
      </w:r>
      <w:r w:rsidR="00053D75">
        <w:rPr>
          <w:rFonts w:asciiTheme="minorHAnsi" w:hAnsiTheme="minorHAnsi"/>
          <w:color w:val="auto"/>
          <w:szCs w:val="24"/>
          <w:u w:val="single"/>
        </w:rPr>
        <w:t>Condition</w:t>
      </w:r>
      <w:r>
        <w:rPr>
          <w:rFonts w:asciiTheme="minorHAnsi" w:hAnsiTheme="minorHAnsi"/>
          <w:color w:val="auto"/>
          <w:szCs w:val="24"/>
        </w:rPr>
        <w:t>.</w:t>
      </w:r>
      <w:r w:rsidR="008B66E9">
        <w:rPr>
          <w:rFonts w:asciiTheme="minorHAnsi" w:hAnsiTheme="minorHAnsi"/>
          <w:color w:val="auto"/>
          <w:szCs w:val="24"/>
        </w:rPr>
        <w:t xml:space="preserve">  The CI’s ankle conditions were the result of recurrent ankle</w:t>
      </w:r>
      <w:r w:rsidR="00C869C0">
        <w:rPr>
          <w:rFonts w:asciiTheme="minorHAnsi" w:hAnsiTheme="minorHAnsi"/>
          <w:color w:val="auto"/>
          <w:szCs w:val="24"/>
        </w:rPr>
        <w:t xml:space="preserve"> sprains while in the service.  T</w:t>
      </w:r>
      <w:r w:rsidR="008B66E9">
        <w:rPr>
          <w:rFonts w:asciiTheme="minorHAnsi" w:hAnsiTheme="minorHAnsi"/>
          <w:color w:val="auto"/>
          <w:szCs w:val="24"/>
        </w:rPr>
        <w:t xml:space="preserve">he orthopedic addendum </w:t>
      </w:r>
      <w:r w:rsidR="00B755B2">
        <w:rPr>
          <w:rFonts w:asciiTheme="minorHAnsi" w:hAnsiTheme="minorHAnsi"/>
          <w:color w:val="auto"/>
          <w:szCs w:val="24"/>
        </w:rPr>
        <w:t>noted that the CI had diff</w:t>
      </w:r>
      <w:r w:rsidR="00655CD1">
        <w:rPr>
          <w:rFonts w:asciiTheme="minorHAnsi" w:hAnsiTheme="minorHAnsi"/>
          <w:color w:val="auto"/>
          <w:szCs w:val="24"/>
        </w:rPr>
        <w:t>iculty walking on uneven ground;</w:t>
      </w:r>
      <w:r w:rsidR="00B755B2">
        <w:rPr>
          <w:rFonts w:asciiTheme="minorHAnsi" w:hAnsiTheme="minorHAnsi"/>
          <w:color w:val="auto"/>
          <w:szCs w:val="24"/>
        </w:rPr>
        <w:t xml:space="preserve"> and</w:t>
      </w:r>
      <w:r w:rsidR="00655CD1">
        <w:rPr>
          <w:rFonts w:asciiTheme="minorHAnsi" w:hAnsiTheme="minorHAnsi"/>
          <w:color w:val="auto"/>
          <w:szCs w:val="24"/>
        </w:rPr>
        <w:t>,</w:t>
      </w:r>
      <w:r w:rsidR="00B755B2">
        <w:rPr>
          <w:rFonts w:asciiTheme="minorHAnsi" w:hAnsiTheme="minorHAnsi"/>
          <w:color w:val="auto"/>
          <w:szCs w:val="24"/>
        </w:rPr>
        <w:t xml:space="preserve"> had frequent sprains </w:t>
      </w:r>
      <w:r w:rsidR="00655CD1">
        <w:rPr>
          <w:rFonts w:asciiTheme="minorHAnsi" w:hAnsiTheme="minorHAnsi"/>
          <w:color w:val="auto"/>
          <w:szCs w:val="24"/>
        </w:rPr>
        <w:t>(</w:t>
      </w:r>
      <w:r w:rsidR="00B755B2">
        <w:rPr>
          <w:rFonts w:asciiTheme="minorHAnsi" w:hAnsiTheme="minorHAnsi"/>
          <w:color w:val="auto"/>
          <w:szCs w:val="24"/>
        </w:rPr>
        <w:t xml:space="preserve">right </w:t>
      </w:r>
      <w:r w:rsidR="00925DBC">
        <w:rPr>
          <w:rFonts w:asciiTheme="minorHAnsi" w:hAnsiTheme="minorHAnsi"/>
          <w:color w:val="auto"/>
          <w:szCs w:val="24"/>
        </w:rPr>
        <w:t>more so</w:t>
      </w:r>
      <w:r w:rsidR="00B755B2">
        <w:rPr>
          <w:rFonts w:asciiTheme="minorHAnsi" w:hAnsiTheme="minorHAnsi"/>
          <w:color w:val="auto"/>
          <w:szCs w:val="24"/>
        </w:rPr>
        <w:t xml:space="preserve"> than left</w:t>
      </w:r>
      <w:r w:rsidR="00655CD1">
        <w:rPr>
          <w:rFonts w:asciiTheme="minorHAnsi" w:hAnsiTheme="minorHAnsi"/>
          <w:color w:val="auto"/>
          <w:szCs w:val="24"/>
        </w:rPr>
        <w:t>)</w:t>
      </w:r>
      <w:r w:rsidR="00B755B2">
        <w:rPr>
          <w:rFonts w:asciiTheme="minorHAnsi" w:hAnsiTheme="minorHAnsi"/>
          <w:color w:val="auto"/>
          <w:szCs w:val="24"/>
        </w:rPr>
        <w:t xml:space="preserve"> requiring </w:t>
      </w:r>
      <w:r w:rsidR="00655CD1">
        <w:rPr>
          <w:rFonts w:asciiTheme="minorHAnsi" w:hAnsiTheme="minorHAnsi"/>
          <w:color w:val="auto"/>
          <w:szCs w:val="24"/>
        </w:rPr>
        <w:t xml:space="preserve">him </w:t>
      </w:r>
      <w:r w:rsidR="00B755B2">
        <w:rPr>
          <w:rFonts w:asciiTheme="minorHAnsi" w:hAnsiTheme="minorHAnsi"/>
          <w:color w:val="auto"/>
          <w:szCs w:val="24"/>
        </w:rPr>
        <w:t xml:space="preserve">to wear a tightly laced boot or shoe.  The exam </w:t>
      </w:r>
      <w:r w:rsidR="008B66E9">
        <w:rPr>
          <w:rFonts w:asciiTheme="minorHAnsi" w:hAnsiTheme="minorHAnsi"/>
          <w:color w:val="auto"/>
          <w:szCs w:val="24"/>
        </w:rPr>
        <w:t>d</w:t>
      </w:r>
      <w:r w:rsidR="00B755B2">
        <w:rPr>
          <w:rFonts w:asciiTheme="minorHAnsi" w:hAnsiTheme="minorHAnsi"/>
          <w:color w:val="auto"/>
          <w:szCs w:val="24"/>
        </w:rPr>
        <w:t>emonstrated</w:t>
      </w:r>
      <w:r w:rsidR="008B66E9">
        <w:rPr>
          <w:rFonts w:asciiTheme="minorHAnsi" w:hAnsiTheme="minorHAnsi"/>
          <w:color w:val="auto"/>
          <w:szCs w:val="24"/>
        </w:rPr>
        <w:t xml:space="preserve"> an “extremely loose” right ankle with a 2+ anteri</w:t>
      </w:r>
      <w:r w:rsidR="00655CD1">
        <w:rPr>
          <w:rFonts w:asciiTheme="minorHAnsi" w:hAnsiTheme="minorHAnsi"/>
          <w:color w:val="auto"/>
          <w:szCs w:val="24"/>
        </w:rPr>
        <w:t>or drawer and a 1+ lateral tilt,</w:t>
      </w:r>
      <w:r w:rsidR="008B66E9">
        <w:rPr>
          <w:rFonts w:asciiTheme="minorHAnsi" w:hAnsiTheme="minorHAnsi"/>
          <w:color w:val="auto"/>
          <w:szCs w:val="24"/>
        </w:rPr>
        <w:t xml:space="preserve"> mild </w:t>
      </w:r>
      <w:r w:rsidR="00655CD1">
        <w:rPr>
          <w:rFonts w:asciiTheme="minorHAnsi" w:hAnsiTheme="minorHAnsi"/>
          <w:color w:val="auto"/>
          <w:szCs w:val="24"/>
        </w:rPr>
        <w:t>swelling,</w:t>
      </w:r>
      <w:r w:rsidR="008B66E9">
        <w:rPr>
          <w:rFonts w:asciiTheme="minorHAnsi" w:hAnsiTheme="minorHAnsi"/>
          <w:color w:val="auto"/>
          <w:szCs w:val="24"/>
        </w:rPr>
        <w:t xml:space="preserve"> and decreased (3/5) peroneal strength.  The left ankle </w:t>
      </w:r>
      <w:r w:rsidR="007259DB">
        <w:rPr>
          <w:rFonts w:asciiTheme="minorHAnsi" w:hAnsiTheme="minorHAnsi"/>
          <w:color w:val="auto"/>
          <w:szCs w:val="24"/>
        </w:rPr>
        <w:t xml:space="preserve">demonstrated equivalent findings, except for </w:t>
      </w:r>
      <w:r w:rsidR="009C4C58">
        <w:rPr>
          <w:rFonts w:asciiTheme="minorHAnsi" w:hAnsiTheme="minorHAnsi"/>
          <w:color w:val="auto"/>
          <w:szCs w:val="24"/>
        </w:rPr>
        <w:t>in</w:t>
      </w:r>
      <w:r w:rsidR="007259DB">
        <w:rPr>
          <w:rFonts w:asciiTheme="minorHAnsi" w:hAnsiTheme="minorHAnsi"/>
          <w:color w:val="auto"/>
          <w:szCs w:val="24"/>
        </w:rPr>
        <w:t>significant instability</w:t>
      </w:r>
      <w:r w:rsidR="000F6FFC">
        <w:rPr>
          <w:rFonts w:asciiTheme="minorHAnsi" w:hAnsiTheme="minorHAnsi"/>
          <w:color w:val="auto"/>
          <w:szCs w:val="24"/>
        </w:rPr>
        <w:t xml:space="preserve">. </w:t>
      </w:r>
      <w:r w:rsidR="000F6FFC" w:rsidRPr="000F6FFC">
        <w:rPr>
          <w:rFonts w:asciiTheme="minorHAnsi" w:hAnsiTheme="minorHAnsi"/>
          <w:color w:val="auto"/>
          <w:szCs w:val="24"/>
        </w:rPr>
        <w:t xml:space="preserve"> </w:t>
      </w:r>
      <w:r w:rsidR="000F6FFC">
        <w:rPr>
          <w:rFonts w:asciiTheme="minorHAnsi" w:hAnsiTheme="minorHAnsi"/>
          <w:color w:val="auto"/>
          <w:szCs w:val="24"/>
        </w:rPr>
        <w:t xml:space="preserve">Ankle X-rays </w:t>
      </w:r>
      <w:r w:rsidR="007259DB">
        <w:rPr>
          <w:rFonts w:asciiTheme="minorHAnsi" w:hAnsiTheme="minorHAnsi"/>
          <w:color w:val="auto"/>
          <w:szCs w:val="24"/>
        </w:rPr>
        <w:t>demonstrated bilateral degenerative changes</w:t>
      </w:r>
      <w:r w:rsidR="00C869C0">
        <w:rPr>
          <w:rFonts w:asciiTheme="minorHAnsi" w:hAnsiTheme="minorHAnsi"/>
          <w:color w:val="auto"/>
          <w:szCs w:val="24"/>
        </w:rPr>
        <w:t>.</w:t>
      </w:r>
      <w:r w:rsidR="00866767">
        <w:rPr>
          <w:rFonts w:asciiTheme="minorHAnsi" w:hAnsiTheme="minorHAnsi"/>
          <w:color w:val="auto"/>
          <w:szCs w:val="24"/>
        </w:rPr>
        <w:t xml:space="preserve"> </w:t>
      </w:r>
      <w:r w:rsidR="00C869C0" w:rsidRPr="00C869C0">
        <w:rPr>
          <w:rFonts w:asciiTheme="minorHAnsi" w:hAnsiTheme="minorHAnsi"/>
          <w:color w:val="auto"/>
          <w:szCs w:val="24"/>
        </w:rPr>
        <w:t xml:space="preserve"> </w:t>
      </w:r>
      <w:r w:rsidR="008767B3">
        <w:rPr>
          <w:rFonts w:asciiTheme="minorHAnsi" w:hAnsiTheme="minorHAnsi"/>
          <w:color w:val="auto"/>
          <w:szCs w:val="24"/>
        </w:rPr>
        <w:t>The</w:t>
      </w:r>
      <w:r w:rsidR="00925DBC">
        <w:rPr>
          <w:rFonts w:asciiTheme="minorHAnsi" w:hAnsiTheme="minorHAnsi"/>
          <w:color w:val="auto"/>
          <w:szCs w:val="24"/>
        </w:rPr>
        <w:t xml:space="preserve"> orthopedist</w:t>
      </w:r>
      <w:r w:rsidR="00C869C0">
        <w:rPr>
          <w:rFonts w:asciiTheme="minorHAnsi" w:hAnsiTheme="minorHAnsi"/>
          <w:color w:val="auto"/>
          <w:szCs w:val="24"/>
        </w:rPr>
        <w:t xml:space="preserve"> </w:t>
      </w:r>
      <w:r w:rsidR="007259DB">
        <w:rPr>
          <w:rFonts w:asciiTheme="minorHAnsi" w:hAnsiTheme="minorHAnsi"/>
          <w:color w:val="auto"/>
          <w:szCs w:val="24"/>
        </w:rPr>
        <w:t>made</w:t>
      </w:r>
      <w:r w:rsidR="00C869C0">
        <w:rPr>
          <w:rFonts w:asciiTheme="minorHAnsi" w:hAnsiTheme="minorHAnsi"/>
          <w:color w:val="auto"/>
          <w:szCs w:val="24"/>
        </w:rPr>
        <w:t xml:space="preserve"> diagnoses </w:t>
      </w:r>
      <w:r w:rsidR="007259DB">
        <w:rPr>
          <w:rFonts w:asciiTheme="minorHAnsi" w:hAnsiTheme="minorHAnsi"/>
          <w:color w:val="auto"/>
          <w:szCs w:val="24"/>
        </w:rPr>
        <w:t>of</w:t>
      </w:r>
      <w:r w:rsidR="00C869C0">
        <w:rPr>
          <w:rFonts w:asciiTheme="minorHAnsi" w:hAnsiTheme="minorHAnsi"/>
          <w:color w:val="auto"/>
          <w:szCs w:val="24"/>
        </w:rPr>
        <w:t xml:space="preserve"> </w:t>
      </w:r>
      <w:r w:rsidR="00925DBC">
        <w:rPr>
          <w:rFonts w:asciiTheme="minorHAnsi" w:hAnsiTheme="minorHAnsi"/>
          <w:color w:val="auto"/>
          <w:szCs w:val="24"/>
        </w:rPr>
        <w:t>bilateral ankle</w:t>
      </w:r>
      <w:r w:rsidR="007259DB">
        <w:rPr>
          <w:rFonts w:asciiTheme="minorHAnsi" w:hAnsiTheme="minorHAnsi"/>
          <w:color w:val="auto"/>
          <w:szCs w:val="24"/>
        </w:rPr>
        <w:t xml:space="preserve"> </w:t>
      </w:r>
      <w:r w:rsidR="00C869C0">
        <w:rPr>
          <w:rFonts w:asciiTheme="minorHAnsi" w:hAnsiTheme="minorHAnsi"/>
          <w:color w:val="auto"/>
          <w:szCs w:val="24"/>
        </w:rPr>
        <w:t xml:space="preserve">osteoarthritis and significant right ankle instability.  </w:t>
      </w:r>
      <w:r w:rsidR="00DE4FC0">
        <w:rPr>
          <w:rFonts w:asciiTheme="minorHAnsi" w:hAnsiTheme="minorHAnsi"/>
          <w:color w:val="auto"/>
          <w:szCs w:val="24"/>
        </w:rPr>
        <w:t xml:space="preserve">The </w:t>
      </w:r>
      <w:r w:rsidR="00925DBC">
        <w:rPr>
          <w:rFonts w:asciiTheme="minorHAnsi" w:hAnsiTheme="minorHAnsi"/>
          <w:color w:val="auto"/>
          <w:szCs w:val="24"/>
        </w:rPr>
        <w:t xml:space="preserve">pre-separation </w:t>
      </w:r>
      <w:r w:rsidR="00DE4FC0">
        <w:rPr>
          <w:rFonts w:asciiTheme="minorHAnsi" w:hAnsiTheme="minorHAnsi"/>
          <w:color w:val="auto"/>
          <w:szCs w:val="24"/>
        </w:rPr>
        <w:t xml:space="preserve">VA C&amp;P examination </w:t>
      </w:r>
      <w:r w:rsidR="00925DBC">
        <w:rPr>
          <w:rFonts w:asciiTheme="minorHAnsi" w:hAnsiTheme="minorHAnsi"/>
          <w:color w:val="auto"/>
          <w:szCs w:val="24"/>
        </w:rPr>
        <w:t xml:space="preserve">likewise </w:t>
      </w:r>
      <w:r w:rsidR="00B755B2">
        <w:rPr>
          <w:rFonts w:asciiTheme="minorHAnsi" w:hAnsiTheme="minorHAnsi"/>
          <w:color w:val="auto"/>
          <w:szCs w:val="24"/>
        </w:rPr>
        <w:t xml:space="preserve">noted increased pain with </w:t>
      </w:r>
      <w:r w:rsidR="00925DBC">
        <w:rPr>
          <w:rFonts w:asciiTheme="minorHAnsi" w:hAnsiTheme="minorHAnsi"/>
          <w:color w:val="auto"/>
          <w:szCs w:val="24"/>
        </w:rPr>
        <w:t>negotiating</w:t>
      </w:r>
      <w:r w:rsidR="00B755B2">
        <w:rPr>
          <w:rFonts w:asciiTheme="minorHAnsi" w:hAnsiTheme="minorHAnsi"/>
          <w:color w:val="auto"/>
          <w:szCs w:val="24"/>
        </w:rPr>
        <w:t xml:space="preserve"> uneven terrain.  </w:t>
      </w:r>
      <w:r w:rsidR="00925DBC">
        <w:rPr>
          <w:rFonts w:asciiTheme="minorHAnsi" w:hAnsiTheme="minorHAnsi"/>
          <w:color w:val="auto"/>
          <w:szCs w:val="24"/>
        </w:rPr>
        <w:t>E</w:t>
      </w:r>
      <w:r w:rsidR="00B755B2">
        <w:rPr>
          <w:rFonts w:asciiTheme="minorHAnsi" w:hAnsiTheme="minorHAnsi"/>
          <w:color w:val="auto"/>
          <w:szCs w:val="24"/>
        </w:rPr>
        <w:t xml:space="preserve">xam </w:t>
      </w:r>
      <w:r w:rsidR="00925DBC">
        <w:rPr>
          <w:rFonts w:asciiTheme="minorHAnsi" w:hAnsiTheme="minorHAnsi"/>
          <w:color w:val="auto"/>
          <w:szCs w:val="24"/>
        </w:rPr>
        <w:t>findings were</w:t>
      </w:r>
      <w:r w:rsidR="00DE4FC0">
        <w:rPr>
          <w:rFonts w:asciiTheme="minorHAnsi" w:hAnsiTheme="minorHAnsi"/>
          <w:color w:val="auto"/>
          <w:szCs w:val="24"/>
        </w:rPr>
        <w:t xml:space="preserve"> tenderness over </w:t>
      </w:r>
      <w:r w:rsidR="00925DBC">
        <w:rPr>
          <w:rFonts w:asciiTheme="minorHAnsi" w:hAnsiTheme="minorHAnsi"/>
          <w:color w:val="auto"/>
          <w:szCs w:val="24"/>
        </w:rPr>
        <w:t>both</w:t>
      </w:r>
      <w:r w:rsidR="00DE4FC0">
        <w:rPr>
          <w:rFonts w:asciiTheme="minorHAnsi" w:hAnsiTheme="minorHAnsi"/>
          <w:color w:val="auto"/>
          <w:szCs w:val="24"/>
        </w:rPr>
        <w:t xml:space="preserve"> lateral malleoli </w:t>
      </w:r>
      <w:r w:rsidR="00925DBC">
        <w:rPr>
          <w:rFonts w:asciiTheme="minorHAnsi" w:hAnsiTheme="minorHAnsi"/>
          <w:color w:val="auto"/>
          <w:szCs w:val="24"/>
        </w:rPr>
        <w:t>with no crepitance in either ankle; and, the diagnosis</w:t>
      </w:r>
      <w:r w:rsidR="000F6FFC">
        <w:rPr>
          <w:rFonts w:asciiTheme="minorHAnsi" w:hAnsiTheme="minorHAnsi"/>
          <w:color w:val="auto"/>
          <w:szCs w:val="24"/>
        </w:rPr>
        <w:t xml:space="preserve"> </w:t>
      </w:r>
      <w:r w:rsidR="00925DBC">
        <w:rPr>
          <w:rFonts w:asciiTheme="minorHAnsi" w:hAnsiTheme="minorHAnsi"/>
          <w:color w:val="auto"/>
          <w:szCs w:val="24"/>
        </w:rPr>
        <w:t xml:space="preserve">was </w:t>
      </w:r>
      <w:r w:rsidR="000F6FFC">
        <w:rPr>
          <w:rFonts w:asciiTheme="minorHAnsi" w:hAnsiTheme="minorHAnsi"/>
          <w:color w:val="auto"/>
          <w:szCs w:val="24"/>
        </w:rPr>
        <w:t>bilateral ankle sprain, status post avulsion fracture of the right ankle.</w:t>
      </w:r>
      <w:r w:rsidR="00DE4FC0" w:rsidRPr="007F3A22">
        <w:rPr>
          <w:rFonts w:asciiTheme="minorHAnsi" w:hAnsiTheme="minorHAnsi"/>
          <w:color w:val="auto"/>
          <w:szCs w:val="24"/>
        </w:rPr>
        <w:t xml:space="preserve">  </w:t>
      </w:r>
      <w:r w:rsidR="007259DB">
        <w:rPr>
          <w:rFonts w:asciiTheme="minorHAnsi" w:hAnsiTheme="minorHAnsi"/>
          <w:color w:val="auto"/>
          <w:szCs w:val="24"/>
        </w:rPr>
        <w:t xml:space="preserve">The ROM and exam findings from the Service and pre-separation VA evaluations are summarized </w:t>
      </w:r>
      <w:r w:rsidR="007259DB" w:rsidRPr="00453A67">
        <w:rPr>
          <w:rFonts w:asciiTheme="minorHAnsi" w:hAnsiTheme="minorHAnsi"/>
          <w:color w:val="auto"/>
          <w:szCs w:val="24"/>
        </w:rPr>
        <w:t>in the chart below.</w:t>
      </w:r>
    </w:p>
    <w:p w:rsidR="0084264E" w:rsidRDefault="0084264E" w:rsidP="00DE4FC0">
      <w:pPr>
        <w:tabs>
          <w:tab w:val="left" w:pos="288"/>
          <w:tab w:val="left" w:pos="4752"/>
        </w:tabs>
        <w:spacing w:line="240" w:lineRule="exact"/>
        <w:rPr>
          <w:rFonts w:asciiTheme="minorHAnsi" w:hAnsiTheme="minorHAnsi"/>
          <w:color w:val="auto"/>
          <w:szCs w:val="24"/>
        </w:rPr>
      </w:pPr>
    </w:p>
    <w:tbl>
      <w:tblPr>
        <w:tblW w:w="8064" w:type="dxa"/>
        <w:jc w:val="center"/>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1350"/>
        <w:gridCol w:w="1241"/>
        <w:gridCol w:w="1369"/>
        <w:gridCol w:w="1314"/>
      </w:tblGrid>
      <w:tr w:rsidR="00A64C6F" w:rsidTr="00BF1B12">
        <w:trPr>
          <w:trHeight w:val="238"/>
          <w:jc w:val="center"/>
        </w:trPr>
        <w:tc>
          <w:tcPr>
            <w:tcW w:w="279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ROM – L/R Ankle</w:t>
            </w:r>
          </w:p>
        </w:tc>
        <w:tc>
          <w:tcPr>
            <w:tcW w:w="2591"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MEB (5 Mo. Pre-Sep)</w:t>
            </w:r>
          </w:p>
        </w:tc>
        <w:tc>
          <w:tcPr>
            <w:tcW w:w="2683"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rsidR="00A64C6F" w:rsidRP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VA</w:t>
            </w:r>
            <w:r>
              <w:rPr>
                <w:rFonts w:asciiTheme="minorHAnsi" w:eastAsiaTheme="minorHAnsi" w:hAnsiTheme="minorHAnsi" w:cstheme="minorBidi"/>
                <w:color w:val="auto"/>
                <w:szCs w:val="24"/>
              </w:rPr>
              <w:t xml:space="preserve"> C&amp;P (1 </w:t>
            </w:r>
            <w:r>
              <w:rPr>
                <w:rFonts w:asciiTheme="minorHAnsi" w:eastAsia="Calibri" w:hAnsiTheme="minorHAnsi"/>
                <w:color w:val="auto"/>
                <w:szCs w:val="24"/>
              </w:rPr>
              <w:t>Mo. Post-Sep)</w:t>
            </w:r>
          </w:p>
        </w:tc>
      </w:tr>
      <w:tr w:rsidR="00A64C6F" w:rsidTr="00BF1B12">
        <w:trPr>
          <w:trHeight w:val="148"/>
          <w:jc w:val="center"/>
        </w:trPr>
        <w:tc>
          <w:tcPr>
            <w:tcW w:w="2790"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A64C6F" w:rsidRDefault="00A64C6F" w:rsidP="00A64C6F">
            <w:pPr>
              <w:spacing w:line="240" w:lineRule="exact"/>
              <w:jc w:val="center"/>
              <w:rPr>
                <w:rFonts w:asciiTheme="minorHAnsi" w:eastAsia="Calibri" w:hAnsiTheme="minorHAnsi"/>
                <w:color w:val="auto"/>
                <w:szCs w:val="24"/>
              </w:rPr>
            </w:pPr>
          </w:p>
        </w:tc>
        <w:tc>
          <w:tcPr>
            <w:tcW w:w="135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w:t>
            </w:r>
          </w:p>
        </w:tc>
        <w:tc>
          <w:tcPr>
            <w:tcW w:w="124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Left</w:t>
            </w:r>
          </w:p>
        </w:tc>
        <w:tc>
          <w:tcPr>
            <w:tcW w:w="1369"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Right</w:t>
            </w:r>
          </w:p>
        </w:tc>
        <w:tc>
          <w:tcPr>
            <w:tcW w:w="131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Left</w:t>
            </w:r>
          </w:p>
        </w:tc>
      </w:tr>
      <w:tr w:rsidR="00A64C6F" w:rsidTr="00BF1B12">
        <w:trPr>
          <w:trHeight w:val="245"/>
          <w:jc w:val="center"/>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A64C6F" w:rsidRPr="00664296" w:rsidRDefault="00A64C6F" w:rsidP="00A64C6F">
            <w:pPr>
              <w:spacing w:line="240" w:lineRule="exact"/>
              <w:contextualSpacing/>
              <w:jc w:val="center"/>
              <w:rPr>
                <w:rFonts w:eastAsia="Calibri"/>
                <w:color w:val="auto"/>
                <w:sz w:val="22"/>
                <w:szCs w:val="22"/>
              </w:rPr>
            </w:pPr>
            <w:r>
              <w:rPr>
                <w:rFonts w:eastAsia="Calibri"/>
                <w:color w:val="auto"/>
                <w:sz w:val="22"/>
                <w:szCs w:val="22"/>
              </w:rPr>
              <w:t>Dorsif</w:t>
            </w:r>
            <w:r w:rsidRPr="00664296">
              <w:rPr>
                <w:rFonts w:eastAsia="Calibri"/>
                <w:color w:val="auto"/>
                <w:sz w:val="22"/>
                <w:szCs w:val="22"/>
              </w:rPr>
              <w:t xml:space="preserve">lexion </w:t>
            </w:r>
            <w:r>
              <w:rPr>
                <w:rFonts w:eastAsia="Calibri"/>
                <w:color w:val="auto"/>
                <w:sz w:val="22"/>
                <w:szCs w:val="22"/>
              </w:rPr>
              <w:t>(Normal 2</w:t>
            </w:r>
            <w:r w:rsidRPr="00664296">
              <w:rPr>
                <w:rFonts w:eastAsia="Calibri"/>
                <w:color w:val="auto"/>
                <w:sz w:val="22"/>
                <w:szCs w:val="22"/>
              </w:rPr>
              <w:t>0⁰</w:t>
            </w:r>
            <w:r>
              <w:rPr>
                <w:rFonts w:eastAsia="Calibri"/>
                <w:color w:val="auto"/>
                <w:sz w:val="22"/>
                <w:szCs w:val="22"/>
              </w:rPr>
              <w:t>)</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stheme="minorHAnsi"/>
                <w:color w:val="auto"/>
                <w:szCs w:val="24"/>
              </w:rPr>
              <w:t>30⁰</w:t>
            </w:r>
          </w:p>
        </w:tc>
        <w:tc>
          <w:tcPr>
            <w:tcW w:w="1241" w:type="dxa"/>
            <w:tcBorders>
              <w:top w:val="single" w:sz="4" w:space="0" w:color="000000"/>
              <w:left w:val="single" w:sz="4" w:space="0" w:color="auto"/>
              <w:bottom w:val="single" w:sz="4" w:space="0" w:color="000000"/>
              <w:right w:val="single" w:sz="4" w:space="0" w:color="000000"/>
            </w:tcBorders>
            <w:vAlign w:val="center"/>
          </w:tcPr>
          <w:p w:rsidR="00A64C6F" w:rsidRDefault="00A64C6F" w:rsidP="00A64C6F">
            <w:pPr>
              <w:tabs>
                <w:tab w:val="left" w:pos="288"/>
                <w:tab w:val="left" w:pos="4752"/>
              </w:tabs>
              <w:spacing w:line="240" w:lineRule="exact"/>
              <w:jc w:val="center"/>
              <w:rPr>
                <w:rFonts w:asciiTheme="minorHAnsi" w:eastAsiaTheme="minorHAnsi" w:hAnsiTheme="minorHAnsi"/>
                <w:color w:val="auto"/>
                <w:szCs w:val="24"/>
              </w:rPr>
            </w:pPr>
            <w:r>
              <w:rPr>
                <w:rFonts w:asciiTheme="minorHAnsi" w:eastAsia="Calibri" w:hAnsiTheme="minorHAnsi" w:cstheme="minorHAnsi"/>
                <w:color w:val="auto"/>
                <w:szCs w:val="24"/>
              </w:rPr>
              <w:t>30⁰</w:t>
            </w:r>
          </w:p>
        </w:tc>
        <w:tc>
          <w:tcPr>
            <w:tcW w:w="1369" w:type="dxa"/>
            <w:tcBorders>
              <w:top w:val="single" w:sz="4" w:space="0" w:color="000000"/>
              <w:left w:val="single" w:sz="4" w:space="0" w:color="000000"/>
              <w:bottom w:val="single" w:sz="4" w:space="0" w:color="000000"/>
              <w:right w:val="single" w:sz="4" w:space="0" w:color="auto"/>
            </w:tcBorders>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10</w:t>
            </w:r>
            <w:r>
              <w:rPr>
                <w:rFonts w:asciiTheme="minorHAnsi" w:eastAsia="Calibri" w:hAnsiTheme="minorHAnsi" w:cstheme="minorHAnsi"/>
                <w:color w:val="auto"/>
                <w:szCs w:val="24"/>
              </w:rPr>
              <w:t>⁰</w:t>
            </w:r>
          </w:p>
        </w:tc>
        <w:tc>
          <w:tcPr>
            <w:tcW w:w="1314" w:type="dxa"/>
            <w:tcBorders>
              <w:top w:val="single" w:sz="4" w:space="0" w:color="000000"/>
              <w:left w:val="single" w:sz="4" w:space="0" w:color="auto"/>
              <w:bottom w:val="single" w:sz="4" w:space="0" w:color="000000"/>
              <w:right w:val="single" w:sz="4" w:space="0" w:color="000000"/>
            </w:tcBorders>
            <w:vAlign w:val="center"/>
          </w:tcPr>
          <w:p w:rsidR="00A64C6F" w:rsidRDefault="00A64C6F" w:rsidP="00A64C6F">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10</w:t>
            </w:r>
            <w:r>
              <w:rPr>
                <w:rFonts w:asciiTheme="minorHAnsi" w:eastAsiaTheme="minorHAnsi" w:hAnsiTheme="minorHAnsi" w:cstheme="minorHAnsi"/>
                <w:color w:val="auto"/>
                <w:szCs w:val="24"/>
              </w:rPr>
              <w:t>⁰</w:t>
            </w:r>
          </w:p>
        </w:tc>
      </w:tr>
      <w:tr w:rsidR="00A64C6F" w:rsidTr="00BF1B12">
        <w:trPr>
          <w:trHeight w:val="242"/>
          <w:jc w:val="center"/>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A64C6F" w:rsidRPr="00664296" w:rsidRDefault="00A64C6F" w:rsidP="00A64C6F">
            <w:pPr>
              <w:spacing w:line="240" w:lineRule="exact"/>
              <w:contextualSpacing/>
              <w:jc w:val="center"/>
              <w:rPr>
                <w:rFonts w:eastAsia="Calibri"/>
                <w:color w:val="auto"/>
                <w:sz w:val="22"/>
                <w:szCs w:val="22"/>
              </w:rPr>
            </w:pPr>
            <w:r>
              <w:rPr>
                <w:rFonts w:eastAsia="Calibri"/>
                <w:color w:val="auto"/>
                <w:sz w:val="22"/>
                <w:szCs w:val="22"/>
              </w:rPr>
              <w:t>Plantar Flexion (Normal 45</w:t>
            </w:r>
            <w:r w:rsidRPr="00664296">
              <w:rPr>
                <w:rFonts w:eastAsia="Calibri"/>
                <w:color w:val="auto"/>
                <w:sz w:val="22"/>
                <w:szCs w:val="22"/>
              </w:rPr>
              <w:t>⁰</w:t>
            </w:r>
            <w:r>
              <w:rPr>
                <w:rFonts w:eastAsia="Calibri"/>
                <w:color w:val="auto"/>
                <w:sz w:val="22"/>
                <w:szCs w:val="22"/>
              </w:rPr>
              <w:t>)</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olor w:val="auto"/>
                <w:szCs w:val="24"/>
              </w:rPr>
              <w:t>30</w:t>
            </w:r>
            <w:r>
              <w:rPr>
                <w:rFonts w:asciiTheme="minorHAnsi" w:eastAsia="Calibri" w:hAnsiTheme="minorHAnsi" w:cstheme="minorHAnsi"/>
                <w:color w:val="auto"/>
                <w:szCs w:val="24"/>
              </w:rPr>
              <w:t>⁰</w:t>
            </w:r>
          </w:p>
        </w:tc>
        <w:tc>
          <w:tcPr>
            <w:tcW w:w="1241" w:type="dxa"/>
            <w:tcBorders>
              <w:top w:val="single" w:sz="4" w:space="0" w:color="000000"/>
              <w:left w:val="single" w:sz="4" w:space="0" w:color="auto"/>
              <w:bottom w:val="single" w:sz="4" w:space="0" w:color="000000"/>
              <w:right w:val="single" w:sz="4" w:space="0" w:color="000000"/>
            </w:tcBorders>
            <w:vAlign w:val="center"/>
          </w:tcPr>
          <w:p w:rsidR="00A64C6F" w:rsidRDefault="00A64C6F" w:rsidP="00A64C6F">
            <w:pPr>
              <w:tabs>
                <w:tab w:val="left" w:pos="288"/>
                <w:tab w:val="left" w:pos="4752"/>
              </w:tabs>
              <w:spacing w:line="240" w:lineRule="exact"/>
              <w:jc w:val="center"/>
              <w:rPr>
                <w:rFonts w:asciiTheme="minorHAnsi" w:eastAsiaTheme="minorHAnsi" w:hAnsiTheme="minorHAnsi"/>
                <w:color w:val="auto"/>
                <w:szCs w:val="24"/>
              </w:rPr>
            </w:pPr>
            <w:r>
              <w:rPr>
                <w:rFonts w:asciiTheme="minorHAnsi" w:eastAsia="Calibri" w:hAnsiTheme="minorHAnsi" w:cstheme="minorHAnsi"/>
                <w:color w:val="auto"/>
                <w:szCs w:val="24"/>
              </w:rPr>
              <w:t>30⁰</w:t>
            </w:r>
          </w:p>
        </w:tc>
        <w:tc>
          <w:tcPr>
            <w:tcW w:w="1369" w:type="dxa"/>
            <w:tcBorders>
              <w:top w:val="single" w:sz="4" w:space="0" w:color="000000"/>
              <w:left w:val="single" w:sz="4" w:space="0" w:color="000000"/>
              <w:bottom w:val="single" w:sz="4" w:space="0" w:color="000000"/>
              <w:right w:val="single" w:sz="4" w:space="0" w:color="auto"/>
            </w:tcBorders>
            <w:vAlign w:val="center"/>
            <w:hideMark/>
          </w:tcPr>
          <w:p w:rsidR="00A64C6F" w:rsidRDefault="00A64C6F" w:rsidP="00A64C6F">
            <w:pPr>
              <w:spacing w:line="240" w:lineRule="exact"/>
              <w:jc w:val="center"/>
              <w:rPr>
                <w:rFonts w:asciiTheme="minorHAnsi" w:eastAsia="Calibri" w:hAnsiTheme="minorHAnsi"/>
                <w:color w:val="auto"/>
                <w:szCs w:val="24"/>
              </w:rPr>
            </w:pPr>
            <w:r>
              <w:rPr>
                <w:rFonts w:asciiTheme="minorHAnsi" w:eastAsia="Calibri" w:hAnsiTheme="minorHAnsi" w:cstheme="minorHAnsi"/>
                <w:color w:val="auto"/>
                <w:szCs w:val="24"/>
              </w:rPr>
              <w:t>45⁰</w:t>
            </w:r>
          </w:p>
        </w:tc>
        <w:tc>
          <w:tcPr>
            <w:tcW w:w="1314" w:type="dxa"/>
            <w:tcBorders>
              <w:top w:val="single" w:sz="4" w:space="0" w:color="000000"/>
              <w:left w:val="single" w:sz="4" w:space="0" w:color="auto"/>
              <w:bottom w:val="single" w:sz="4" w:space="0" w:color="000000"/>
              <w:right w:val="single" w:sz="4" w:space="0" w:color="000000"/>
            </w:tcBorders>
            <w:vAlign w:val="center"/>
          </w:tcPr>
          <w:p w:rsidR="00A64C6F" w:rsidRDefault="00A64C6F" w:rsidP="00A64C6F">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45</w:t>
            </w:r>
            <w:r>
              <w:rPr>
                <w:rFonts w:asciiTheme="minorHAnsi" w:eastAsiaTheme="minorHAnsi" w:hAnsiTheme="minorHAnsi" w:cstheme="minorHAnsi"/>
                <w:color w:val="auto"/>
                <w:szCs w:val="24"/>
              </w:rPr>
              <w:t>⁰</w:t>
            </w:r>
          </w:p>
        </w:tc>
      </w:tr>
      <w:tr w:rsidR="00BF1B12" w:rsidTr="00BF1B12">
        <w:trPr>
          <w:trHeight w:val="66"/>
          <w:jc w:val="center"/>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BF1B12" w:rsidRPr="00664296" w:rsidRDefault="00BF1B12" w:rsidP="00977F9D">
            <w:pPr>
              <w:tabs>
                <w:tab w:val="left" w:pos="288"/>
                <w:tab w:val="left" w:pos="4752"/>
              </w:tabs>
              <w:spacing w:line="240" w:lineRule="exact"/>
              <w:jc w:val="center"/>
              <w:rPr>
                <w:rFonts w:asciiTheme="minorHAnsi" w:eastAsiaTheme="minorHAnsi" w:hAnsiTheme="minorHAnsi"/>
                <w:color w:val="auto"/>
                <w:sz w:val="22"/>
                <w:szCs w:val="22"/>
              </w:rPr>
            </w:pPr>
            <w:r w:rsidRPr="00664296">
              <w:rPr>
                <w:rFonts w:asciiTheme="minorHAnsi" w:eastAsiaTheme="minorHAnsi" w:hAnsiTheme="minorHAnsi"/>
                <w:color w:val="auto"/>
                <w:sz w:val="22"/>
                <w:szCs w:val="22"/>
              </w:rPr>
              <w:t>Comments</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BF1B12" w:rsidRDefault="00BF1B12" w:rsidP="00BF1B12">
            <w:pPr>
              <w:spacing w:line="240" w:lineRule="exact"/>
              <w:jc w:val="center"/>
              <w:rPr>
                <w:rFonts w:asciiTheme="minorHAnsi" w:eastAsia="Calibri" w:hAnsiTheme="minorHAnsi"/>
                <w:color w:val="auto"/>
                <w:szCs w:val="24"/>
              </w:rPr>
            </w:pPr>
            <w:r>
              <w:rPr>
                <w:rFonts w:asciiTheme="minorHAnsi" w:eastAsia="Calibri" w:hAnsiTheme="minorHAnsi" w:cstheme="minorHAnsi"/>
                <w:color w:val="auto"/>
                <w:szCs w:val="24"/>
              </w:rPr>
              <w:t>Instability</w:t>
            </w:r>
            <w:r>
              <w:rPr>
                <w:rFonts w:asciiTheme="minorHAnsi" w:eastAsia="Calibri" w:hAnsiTheme="minorHAnsi"/>
                <w:color w:val="auto"/>
                <w:szCs w:val="24"/>
              </w:rPr>
              <w:t xml:space="preserve"> </w:t>
            </w:r>
          </w:p>
        </w:tc>
        <w:tc>
          <w:tcPr>
            <w:tcW w:w="1241" w:type="dxa"/>
            <w:tcBorders>
              <w:top w:val="single" w:sz="4" w:space="0" w:color="000000"/>
              <w:left w:val="single" w:sz="4" w:space="0" w:color="auto"/>
              <w:bottom w:val="single" w:sz="4" w:space="0" w:color="000000"/>
              <w:right w:val="single" w:sz="4" w:space="0" w:color="000000"/>
            </w:tcBorders>
            <w:vAlign w:val="center"/>
          </w:tcPr>
          <w:p w:rsidR="00BF1B12" w:rsidRDefault="00BF1B12" w:rsidP="00A64C6F">
            <w:pPr>
              <w:tabs>
                <w:tab w:val="left" w:pos="288"/>
                <w:tab w:val="left" w:pos="4752"/>
              </w:tabs>
              <w:spacing w:line="240" w:lineRule="exact"/>
              <w:jc w:val="center"/>
              <w:rPr>
                <w:rFonts w:asciiTheme="minorHAnsi" w:eastAsia="Calibri" w:hAnsiTheme="minorHAnsi" w:cstheme="minorHAnsi"/>
                <w:color w:val="auto"/>
                <w:szCs w:val="24"/>
              </w:rPr>
            </w:pPr>
            <w:r>
              <w:rPr>
                <w:rFonts w:asciiTheme="minorHAnsi" w:eastAsia="Calibri" w:hAnsiTheme="minorHAnsi"/>
                <w:color w:val="auto"/>
                <w:szCs w:val="24"/>
              </w:rPr>
              <w:t>No painful motion.</w:t>
            </w:r>
          </w:p>
        </w:tc>
        <w:tc>
          <w:tcPr>
            <w:tcW w:w="2683" w:type="dxa"/>
            <w:gridSpan w:val="2"/>
            <w:tcBorders>
              <w:top w:val="single" w:sz="4" w:space="0" w:color="000000"/>
              <w:left w:val="single" w:sz="4" w:space="0" w:color="000000"/>
              <w:bottom w:val="single" w:sz="4" w:space="0" w:color="000000"/>
              <w:right w:val="single" w:sz="4" w:space="0" w:color="000000"/>
            </w:tcBorders>
            <w:vAlign w:val="center"/>
            <w:hideMark/>
          </w:tcPr>
          <w:p w:rsidR="00BF1B12" w:rsidRDefault="00BF1B12" w:rsidP="00A64C6F">
            <w:pPr>
              <w:tabs>
                <w:tab w:val="left" w:pos="288"/>
                <w:tab w:val="left" w:pos="4752"/>
              </w:tabs>
              <w:spacing w:line="240" w:lineRule="exact"/>
              <w:jc w:val="center"/>
              <w:rPr>
                <w:rFonts w:asciiTheme="minorHAnsi" w:eastAsiaTheme="minorHAnsi" w:hAnsiTheme="minorHAnsi"/>
                <w:color w:val="auto"/>
                <w:szCs w:val="24"/>
              </w:rPr>
            </w:pPr>
            <w:r>
              <w:rPr>
                <w:rFonts w:asciiTheme="minorHAnsi" w:eastAsiaTheme="minorHAnsi" w:hAnsiTheme="minorHAnsi"/>
                <w:color w:val="auto"/>
                <w:szCs w:val="24"/>
              </w:rPr>
              <w:t>No painful motion or instability documented.</w:t>
            </w:r>
          </w:p>
        </w:tc>
      </w:tr>
    </w:tbl>
    <w:p w:rsidR="0084264E" w:rsidRDefault="0084264E" w:rsidP="00885840">
      <w:pPr>
        <w:spacing w:line="240" w:lineRule="exact"/>
        <w:jc w:val="both"/>
        <w:rPr>
          <w:rFonts w:asciiTheme="minorHAnsi" w:hAnsiTheme="minorHAnsi"/>
          <w:color w:val="auto"/>
          <w:szCs w:val="24"/>
        </w:rPr>
      </w:pPr>
    </w:p>
    <w:p w:rsidR="00C80142" w:rsidRDefault="007259DB" w:rsidP="00885840">
      <w:pPr>
        <w:spacing w:line="240" w:lineRule="exact"/>
        <w:jc w:val="both"/>
        <w:rPr>
          <w:rFonts w:asciiTheme="minorHAnsi" w:hAnsiTheme="minorHAnsi"/>
          <w:color w:val="auto"/>
          <w:szCs w:val="24"/>
        </w:rPr>
      </w:pPr>
      <w:r>
        <w:rPr>
          <w:rFonts w:asciiTheme="minorHAnsi" w:hAnsiTheme="minorHAnsi"/>
          <w:color w:val="auto"/>
          <w:szCs w:val="24"/>
        </w:rPr>
        <w:t xml:space="preserve">The Board directs its attention to its rating recommendation(s) based on the evidence presented above.  </w:t>
      </w:r>
      <w:r w:rsidR="00EC2140" w:rsidRPr="00EC2140">
        <w:rPr>
          <w:rFonts w:asciiTheme="minorHAnsi" w:hAnsiTheme="minorHAnsi"/>
          <w:color w:val="auto"/>
          <w:szCs w:val="24"/>
        </w:rPr>
        <w:t>It is obvious that there is a clear disparity b</w:t>
      </w:r>
      <w:r w:rsidR="00B755B2">
        <w:rPr>
          <w:rFonts w:asciiTheme="minorHAnsi" w:hAnsiTheme="minorHAnsi"/>
          <w:color w:val="auto"/>
          <w:szCs w:val="24"/>
        </w:rPr>
        <w:t xml:space="preserve">etween </w:t>
      </w:r>
      <w:r w:rsidR="00BA7D7D">
        <w:rPr>
          <w:rFonts w:asciiTheme="minorHAnsi" w:hAnsiTheme="minorHAnsi"/>
          <w:color w:val="auto"/>
          <w:szCs w:val="24"/>
        </w:rPr>
        <w:t>the</w:t>
      </w:r>
      <w:r w:rsidR="00B755B2">
        <w:rPr>
          <w:rFonts w:asciiTheme="minorHAnsi" w:hAnsiTheme="minorHAnsi"/>
          <w:color w:val="auto"/>
          <w:szCs w:val="24"/>
        </w:rPr>
        <w:t xml:space="preserve"> ROM examinations.</w:t>
      </w:r>
      <w:r w:rsidR="00EC2140" w:rsidRPr="00EC2140">
        <w:rPr>
          <w:rFonts w:asciiTheme="minorHAnsi" w:hAnsiTheme="minorHAnsi"/>
          <w:color w:val="auto"/>
          <w:szCs w:val="24"/>
        </w:rPr>
        <w:t xml:space="preserve"> </w:t>
      </w:r>
      <w:r w:rsidR="00B755B2">
        <w:rPr>
          <w:rFonts w:asciiTheme="minorHAnsi" w:hAnsiTheme="minorHAnsi"/>
          <w:color w:val="auto"/>
          <w:szCs w:val="24"/>
        </w:rPr>
        <w:t xml:space="preserve"> A</w:t>
      </w:r>
      <w:r w:rsidR="00EC2140">
        <w:rPr>
          <w:rFonts w:asciiTheme="minorHAnsi" w:hAnsiTheme="minorHAnsi"/>
          <w:color w:val="auto"/>
          <w:szCs w:val="24"/>
        </w:rPr>
        <w:t xml:space="preserve">t the time of the MEB there is </w:t>
      </w:r>
      <w:r w:rsidR="00AF63CE">
        <w:rPr>
          <w:rFonts w:asciiTheme="minorHAnsi" w:hAnsiTheme="minorHAnsi"/>
          <w:color w:val="auto"/>
          <w:szCs w:val="24"/>
        </w:rPr>
        <w:t>normal</w:t>
      </w:r>
      <w:r w:rsidR="00EC2140">
        <w:rPr>
          <w:rFonts w:asciiTheme="minorHAnsi" w:hAnsiTheme="minorHAnsi"/>
          <w:color w:val="auto"/>
          <w:szCs w:val="24"/>
        </w:rPr>
        <w:t xml:space="preserve"> </w:t>
      </w:r>
      <w:r w:rsidR="00AF63CE" w:rsidRPr="00BA7D7D">
        <w:rPr>
          <w:rFonts w:asciiTheme="minorHAnsi" w:hAnsiTheme="minorHAnsi"/>
          <w:i/>
          <w:color w:val="auto"/>
          <w:szCs w:val="24"/>
        </w:rPr>
        <w:t>dorsiflexion</w:t>
      </w:r>
      <w:r>
        <w:rPr>
          <w:rFonts w:asciiTheme="minorHAnsi" w:hAnsiTheme="minorHAnsi"/>
          <w:color w:val="auto"/>
          <w:szCs w:val="24"/>
        </w:rPr>
        <w:t>,</w:t>
      </w:r>
      <w:r w:rsidR="00EC2140">
        <w:rPr>
          <w:rFonts w:asciiTheme="minorHAnsi" w:hAnsiTheme="minorHAnsi"/>
          <w:color w:val="auto"/>
          <w:szCs w:val="24"/>
        </w:rPr>
        <w:t xml:space="preserve"> and at the time of the VA C&amp;P exam there is </w:t>
      </w:r>
      <w:r w:rsidR="00AF63CE">
        <w:rPr>
          <w:rFonts w:asciiTheme="minorHAnsi" w:hAnsiTheme="minorHAnsi"/>
          <w:color w:val="auto"/>
          <w:szCs w:val="24"/>
        </w:rPr>
        <w:t xml:space="preserve">normal </w:t>
      </w:r>
      <w:r w:rsidR="00AF63CE" w:rsidRPr="00BA7D7D">
        <w:rPr>
          <w:rFonts w:asciiTheme="minorHAnsi" w:hAnsiTheme="minorHAnsi"/>
          <w:i/>
          <w:color w:val="auto"/>
          <w:szCs w:val="24"/>
        </w:rPr>
        <w:t>plantar</w:t>
      </w:r>
      <w:r w:rsidR="00AF63CE">
        <w:rPr>
          <w:rFonts w:asciiTheme="minorHAnsi" w:hAnsiTheme="minorHAnsi"/>
          <w:color w:val="auto"/>
          <w:szCs w:val="24"/>
        </w:rPr>
        <w:t xml:space="preserve"> </w:t>
      </w:r>
      <w:r w:rsidR="00AF63CE" w:rsidRPr="00BA7D7D">
        <w:rPr>
          <w:rFonts w:asciiTheme="minorHAnsi" w:hAnsiTheme="minorHAnsi"/>
          <w:i/>
          <w:color w:val="auto"/>
          <w:szCs w:val="24"/>
        </w:rPr>
        <w:t>flexion</w:t>
      </w:r>
      <w:r w:rsidR="00AF63CE">
        <w:rPr>
          <w:rFonts w:asciiTheme="minorHAnsi" w:hAnsiTheme="minorHAnsi"/>
          <w:color w:val="auto"/>
          <w:szCs w:val="24"/>
        </w:rPr>
        <w:t>; and, t</w:t>
      </w:r>
      <w:r>
        <w:rPr>
          <w:rFonts w:asciiTheme="minorHAnsi" w:hAnsiTheme="minorHAnsi"/>
          <w:color w:val="auto"/>
          <w:szCs w:val="24"/>
        </w:rPr>
        <w:t>here is no documentation of re-injury or other exacerbating event in the four month interval between these evaluations</w:t>
      </w:r>
      <w:r w:rsidR="00AF63CE">
        <w:rPr>
          <w:rFonts w:asciiTheme="minorHAnsi" w:hAnsiTheme="minorHAnsi"/>
          <w:color w:val="auto"/>
          <w:szCs w:val="24"/>
        </w:rPr>
        <w:t xml:space="preserve"> accounting for the conflicting ROM impairments in the opposite planes noted by the different examiners</w:t>
      </w:r>
      <w:r>
        <w:rPr>
          <w:rFonts w:asciiTheme="minorHAnsi" w:hAnsiTheme="minorHAnsi"/>
          <w:color w:val="auto"/>
          <w:szCs w:val="24"/>
        </w:rPr>
        <w:t xml:space="preserve">.  </w:t>
      </w:r>
      <w:r w:rsidR="00AF63CE">
        <w:rPr>
          <w:rFonts w:asciiTheme="minorHAnsi" w:hAnsiTheme="minorHAnsi"/>
          <w:color w:val="auto"/>
          <w:szCs w:val="24"/>
        </w:rPr>
        <w:t>Furthermore, t</w:t>
      </w:r>
      <w:r w:rsidR="00BA7D7D">
        <w:rPr>
          <w:rFonts w:asciiTheme="minorHAnsi" w:hAnsiTheme="minorHAnsi"/>
          <w:color w:val="auto"/>
          <w:szCs w:val="24"/>
        </w:rPr>
        <w:t xml:space="preserve">here were </w:t>
      </w:r>
      <w:r w:rsidR="00BA7D7D">
        <w:rPr>
          <w:rFonts w:asciiTheme="minorHAnsi" w:hAnsiTheme="minorHAnsi"/>
          <w:color w:val="auto"/>
          <w:szCs w:val="24"/>
        </w:rPr>
        <w:lastRenderedPageBreak/>
        <w:t xml:space="preserve">no </w:t>
      </w:r>
      <w:r w:rsidR="00AF63CE">
        <w:rPr>
          <w:rFonts w:asciiTheme="minorHAnsi" w:hAnsiTheme="minorHAnsi"/>
          <w:color w:val="auto"/>
          <w:szCs w:val="24"/>
        </w:rPr>
        <w:t xml:space="preserve">outpatient </w:t>
      </w:r>
      <w:r w:rsidR="00BA7D7D">
        <w:rPr>
          <w:rFonts w:asciiTheme="minorHAnsi" w:hAnsiTheme="minorHAnsi"/>
          <w:color w:val="auto"/>
          <w:szCs w:val="24"/>
        </w:rPr>
        <w:t>entries in the Service file</w:t>
      </w:r>
      <w:r w:rsidR="00EC2140" w:rsidRPr="00EC2140">
        <w:rPr>
          <w:rFonts w:asciiTheme="minorHAnsi" w:hAnsiTheme="minorHAnsi"/>
          <w:color w:val="auto"/>
          <w:szCs w:val="24"/>
        </w:rPr>
        <w:t xml:space="preserve"> </w:t>
      </w:r>
      <w:r w:rsidR="00BA7D7D">
        <w:rPr>
          <w:rFonts w:asciiTheme="minorHAnsi" w:hAnsiTheme="minorHAnsi"/>
          <w:color w:val="auto"/>
          <w:szCs w:val="24"/>
        </w:rPr>
        <w:t>for</w:t>
      </w:r>
      <w:r w:rsidR="00EC2140" w:rsidRPr="00EC2140">
        <w:rPr>
          <w:rFonts w:asciiTheme="minorHAnsi" w:hAnsiTheme="minorHAnsi"/>
          <w:color w:val="auto"/>
          <w:szCs w:val="24"/>
        </w:rPr>
        <w:t xml:space="preserve"> the 12-mo</w:t>
      </w:r>
      <w:r w:rsidR="00EC2140">
        <w:rPr>
          <w:rFonts w:asciiTheme="minorHAnsi" w:hAnsiTheme="minorHAnsi"/>
          <w:color w:val="auto"/>
          <w:szCs w:val="24"/>
        </w:rPr>
        <w:t>nth period prior to separation</w:t>
      </w:r>
      <w:r w:rsidR="00BA7D7D">
        <w:rPr>
          <w:rFonts w:asciiTheme="minorHAnsi" w:hAnsiTheme="minorHAnsi"/>
          <w:color w:val="auto"/>
          <w:szCs w:val="24"/>
        </w:rPr>
        <w:t xml:space="preserve"> for </w:t>
      </w:r>
      <w:r w:rsidR="00BA7D7D" w:rsidRPr="00EC2140">
        <w:rPr>
          <w:rFonts w:asciiTheme="minorHAnsi" w:hAnsiTheme="minorHAnsi"/>
          <w:color w:val="auto"/>
          <w:szCs w:val="24"/>
        </w:rPr>
        <w:t xml:space="preserve">corroborating </w:t>
      </w:r>
      <w:r w:rsidR="00BA7D7D">
        <w:rPr>
          <w:rFonts w:asciiTheme="minorHAnsi" w:hAnsiTheme="minorHAnsi"/>
          <w:color w:val="auto"/>
          <w:szCs w:val="24"/>
        </w:rPr>
        <w:t>either set of findings.</w:t>
      </w:r>
      <w:r w:rsidR="00BA7D7D" w:rsidRPr="00EC2140">
        <w:rPr>
          <w:rFonts w:asciiTheme="minorHAnsi" w:hAnsiTheme="minorHAnsi"/>
          <w:color w:val="auto"/>
          <w:szCs w:val="24"/>
        </w:rPr>
        <w:t xml:space="preserve"> </w:t>
      </w:r>
      <w:r w:rsidR="00866767">
        <w:rPr>
          <w:rFonts w:asciiTheme="minorHAnsi" w:hAnsiTheme="minorHAnsi"/>
          <w:color w:val="auto"/>
          <w:szCs w:val="24"/>
        </w:rPr>
        <w:t xml:space="preserve"> </w:t>
      </w:r>
      <w:r w:rsidR="00AF63CE">
        <w:rPr>
          <w:rFonts w:asciiTheme="minorHAnsi" w:hAnsiTheme="minorHAnsi"/>
          <w:color w:val="auto"/>
          <w:szCs w:val="24"/>
        </w:rPr>
        <w:t>It was concluded</w:t>
      </w:r>
      <w:r w:rsidR="00C80142">
        <w:rPr>
          <w:rFonts w:asciiTheme="minorHAnsi" w:hAnsiTheme="minorHAnsi"/>
          <w:color w:val="auto"/>
          <w:szCs w:val="24"/>
        </w:rPr>
        <w:t xml:space="preserve"> that the more focused and comprehensive specialty examination provided in the MEB’s orthopedic addendum </w:t>
      </w:r>
      <w:r w:rsidR="00086FF6">
        <w:rPr>
          <w:rFonts w:asciiTheme="minorHAnsi" w:hAnsiTheme="minorHAnsi"/>
          <w:color w:val="auto"/>
          <w:szCs w:val="24"/>
        </w:rPr>
        <w:t>should be assigned the preponderance of probative value for purposes of the rating recommendation</w:t>
      </w:r>
      <w:r w:rsidR="00C80142">
        <w:rPr>
          <w:rFonts w:asciiTheme="minorHAnsi" w:hAnsiTheme="minorHAnsi"/>
          <w:color w:val="auto"/>
          <w:szCs w:val="24"/>
        </w:rPr>
        <w:t xml:space="preserve">.  </w:t>
      </w:r>
    </w:p>
    <w:p w:rsidR="00C80142" w:rsidRDefault="00C80142" w:rsidP="00885840">
      <w:pPr>
        <w:spacing w:line="240" w:lineRule="exact"/>
        <w:jc w:val="both"/>
        <w:rPr>
          <w:rFonts w:asciiTheme="minorHAnsi" w:hAnsiTheme="minorHAnsi"/>
          <w:color w:val="auto"/>
          <w:szCs w:val="24"/>
        </w:rPr>
      </w:pPr>
    </w:p>
    <w:p w:rsidR="003D5C3D" w:rsidRDefault="003D5C3D" w:rsidP="00885840">
      <w:pPr>
        <w:spacing w:line="240" w:lineRule="exact"/>
        <w:jc w:val="both"/>
        <w:rPr>
          <w:rFonts w:asciiTheme="minorHAnsi" w:hAnsiTheme="minorHAnsi"/>
          <w:color w:val="auto"/>
          <w:szCs w:val="24"/>
        </w:rPr>
      </w:pPr>
      <w:r>
        <w:rPr>
          <w:rFonts w:asciiTheme="minorHAnsi" w:hAnsiTheme="minorHAnsi" w:cstheme="minorHAnsi"/>
          <w:color w:val="auto"/>
          <w:szCs w:val="24"/>
        </w:rPr>
        <w:t xml:space="preserve">With the above evidence and </w:t>
      </w:r>
      <w:r w:rsidR="009C41BE">
        <w:rPr>
          <w:rFonts w:asciiTheme="minorHAnsi" w:hAnsiTheme="minorHAnsi" w:cstheme="minorHAnsi"/>
          <w:color w:val="auto"/>
          <w:szCs w:val="24"/>
        </w:rPr>
        <w:t xml:space="preserve">probative value </w:t>
      </w:r>
      <w:r>
        <w:rPr>
          <w:rFonts w:asciiTheme="minorHAnsi" w:hAnsiTheme="minorHAnsi" w:cstheme="minorHAnsi"/>
          <w:color w:val="auto"/>
          <w:szCs w:val="24"/>
        </w:rPr>
        <w:t xml:space="preserve">conclusion in mind, the Board directed its attention to its rating recommendation(s) for the ankle condition(s). </w:t>
      </w:r>
      <w:r w:rsidR="00866767">
        <w:rPr>
          <w:rFonts w:asciiTheme="minorHAnsi" w:hAnsiTheme="minorHAnsi" w:cstheme="minorHAnsi"/>
          <w:color w:val="auto"/>
          <w:szCs w:val="24"/>
        </w:rPr>
        <w:t xml:space="preserve"> </w:t>
      </w:r>
      <w:r w:rsidR="009837A7" w:rsidRPr="009837A7">
        <w:rPr>
          <w:rFonts w:asciiTheme="minorHAnsi" w:hAnsiTheme="minorHAnsi" w:cstheme="minorHAnsi"/>
          <w:color w:val="auto"/>
          <w:szCs w:val="24"/>
        </w:rPr>
        <w:t xml:space="preserve">The PEB combined </w:t>
      </w:r>
      <w:r w:rsidR="003952C8">
        <w:rPr>
          <w:rFonts w:asciiTheme="minorHAnsi" w:hAnsiTheme="minorHAnsi" w:cstheme="minorHAnsi"/>
          <w:color w:val="auto"/>
          <w:szCs w:val="24"/>
        </w:rPr>
        <w:t xml:space="preserve">the </w:t>
      </w:r>
      <w:r w:rsidR="009837A7" w:rsidRPr="009837A7">
        <w:rPr>
          <w:rFonts w:asciiTheme="minorHAnsi" w:hAnsiTheme="minorHAnsi" w:cstheme="minorHAnsi"/>
          <w:color w:val="auto"/>
          <w:szCs w:val="24"/>
        </w:rPr>
        <w:t xml:space="preserve">bilateral ankle </w:t>
      </w:r>
      <w:r w:rsidR="003952C8">
        <w:rPr>
          <w:rFonts w:asciiTheme="minorHAnsi" w:hAnsiTheme="minorHAnsi" w:cstheme="minorHAnsi"/>
          <w:color w:val="auto"/>
          <w:szCs w:val="24"/>
        </w:rPr>
        <w:t>pathology</w:t>
      </w:r>
      <w:r w:rsidR="009837A7" w:rsidRPr="009837A7">
        <w:rPr>
          <w:rFonts w:asciiTheme="minorHAnsi" w:hAnsiTheme="minorHAnsi" w:cstheme="minorHAnsi"/>
          <w:color w:val="auto"/>
          <w:szCs w:val="24"/>
        </w:rPr>
        <w:t xml:space="preserve"> as a single unfitting condition, coded analogously to 5003 </w:t>
      </w:r>
      <w:r w:rsidR="003952C8">
        <w:rPr>
          <w:rFonts w:asciiTheme="minorHAnsi" w:hAnsiTheme="minorHAnsi" w:cstheme="minorHAnsi"/>
          <w:color w:val="auto"/>
          <w:szCs w:val="24"/>
        </w:rPr>
        <w:t xml:space="preserve">(supported by </w:t>
      </w:r>
      <w:r w:rsidR="003952C8">
        <w:rPr>
          <w:rFonts w:asciiTheme="minorHAnsi" w:hAnsiTheme="minorHAnsi"/>
          <w:color w:val="auto"/>
          <w:szCs w:val="24"/>
        </w:rPr>
        <w:t>x-ray evidence for degenerative arthritis</w:t>
      </w:r>
      <w:r w:rsidR="003952C8" w:rsidRPr="009837A7">
        <w:rPr>
          <w:rFonts w:asciiTheme="minorHAnsi" w:hAnsiTheme="minorHAnsi" w:cstheme="minorHAnsi"/>
          <w:color w:val="auto"/>
          <w:szCs w:val="24"/>
        </w:rPr>
        <w:t xml:space="preserve"> </w:t>
      </w:r>
      <w:r w:rsidR="003952C8">
        <w:rPr>
          <w:rFonts w:asciiTheme="minorHAnsi" w:hAnsiTheme="minorHAnsi" w:cstheme="minorHAnsi"/>
          <w:color w:val="auto"/>
          <w:szCs w:val="24"/>
        </w:rPr>
        <w:t>in both joints)</w:t>
      </w:r>
      <w:r w:rsidR="001E15C6">
        <w:rPr>
          <w:rFonts w:asciiTheme="minorHAnsi" w:hAnsiTheme="minorHAnsi" w:cstheme="minorHAnsi"/>
          <w:color w:val="auto"/>
          <w:szCs w:val="24"/>
        </w:rPr>
        <w:t xml:space="preserve"> </w:t>
      </w:r>
      <w:r w:rsidR="009837A7" w:rsidRPr="009837A7">
        <w:rPr>
          <w:rFonts w:asciiTheme="minorHAnsi" w:hAnsiTheme="minorHAnsi" w:cstheme="minorHAnsi"/>
          <w:color w:val="auto"/>
          <w:szCs w:val="24"/>
        </w:rPr>
        <w:t>and rated 10%</w:t>
      </w:r>
      <w:r w:rsidR="00EF27B4">
        <w:rPr>
          <w:rFonts w:asciiTheme="minorHAnsi" w:hAnsiTheme="minorHAnsi"/>
          <w:color w:val="auto"/>
          <w:szCs w:val="24"/>
        </w:rPr>
        <w:t xml:space="preserve"> </w:t>
      </w:r>
      <w:r w:rsidR="001E15C6">
        <w:rPr>
          <w:rFonts w:asciiTheme="minorHAnsi" w:hAnsiTheme="minorHAnsi"/>
          <w:color w:val="auto"/>
          <w:szCs w:val="24"/>
        </w:rPr>
        <w:t>for two major joints (appropriate to 5003)</w:t>
      </w:r>
      <w:r w:rsidR="005C5168">
        <w:rPr>
          <w:rFonts w:asciiTheme="minorHAnsi" w:hAnsiTheme="minorHAnsi"/>
          <w:color w:val="auto"/>
          <w:szCs w:val="24"/>
        </w:rPr>
        <w:t xml:space="preserve">.  The </w:t>
      </w:r>
      <w:r w:rsidR="009852C4">
        <w:rPr>
          <w:rFonts w:asciiTheme="minorHAnsi" w:hAnsiTheme="minorHAnsi"/>
          <w:color w:val="auto"/>
          <w:szCs w:val="24"/>
        </w:rPr>
        <w:t>F</w:t>
      </w:r>
      <w:r w:rsidR="005C5168">
        <w:rPr>
          <w:rFonts w:asciiTheme="minorHAnsi" w:hAnsiTheme="minorHAnsi"/>
          <w:color w:val="auto"/>
          <w:szCs w:val="24"/>
        </w:rPr>
        <w:t>PEB</w:t>
      </w:r>
      <w:r w:rsidR="009852C4">
        <w:rPr>
          <w:rFonts w:asciiTheme="minorHAnsi" w:hAnsiTheme="minorHAnsi"/>
          <w:color w:val="auto"/>
          <w:szCs w:val="24"/>
        </w:rPr>
        <w:t>’s DA Form 199 cited “full range of motion</w:t>
      </w:r>
      <w:r w:rsidR="00866767">
        <w:rPr>
          <w:rFonts w:asciiTheme="minorHAnsi" w:hAnsiTheme="minorHAnsi"/>
          <w:color w:val="auto"/>
          <w:szCs w:val="24"/>
        </w:rPr>
        <w:t>,</w:t>
      </w:r>
      <w:r w:rsidR="009852C4">
        <w:rPr>
          <w:rFonts w:asciiTheme="minorHAnsi" w:hAnsiTheme="minorHAnsi"/>
          <w:color w:val="auto"/>
          <w:szCs w:val="24"/>
        </w:rPr>
        <w:t xml:space="preserve">” although plantar flexion was reduced by </w:t>
      </w:r>
      <w:r w:rsidR="001E15C6">
        <w:rPr>
          <w:rFonts w:asciiTheme="minorHAnsi" w:hAnsiTheme="minorHAnsi"/>
          <w:color w:val="auto"/>
          <w:szCs w:val="24"/>
        </w:rPr>
        <w:t>33%</w:t>
      </w:r>
      <w:r w:rsidR="009852C4">
        <w:rPr>
          <w:rFonts w:asciiTheme="minorHAnsi" w:hAnsiTheme="minorHAnsi"/>
          <w:color w:val="auto"/>
          <w:szCs w:val="24"/>
        </w:rPr>
        <w:t>; and, cited “slight instability</w:t>
      </w:r>
      <w:r w:rsidR="00866767">
        <w:rPr>
          <w:rFonts w:asciiTheme="minorHAnsi" w:hAnsiTheme="minorHAnsi"/>
          <w:color w:val="auto"/>
          <w:szCs w:val="24"/>
        </w:rPr>
        <w:t>,</w:t>
      </w:r>
      <w:r w:rsidR="009852C4">
        <w:rPr>
          <w:rFonts w:asciiTheme="minorHAnsi" w:hAnsiTheme="minorHAnsi"/>
          <w:color w:val="auto"/>
          <w:szCs w:val="24"/>
        </w:rPr>
        <w:t xml:space="preserve">” although the description in the orthopedic addendum (elaborated above) challenges that characterization.  </w:t>
      </w:r>
      <w:r w:rsidR="00962009">
        <w:rPr>
          <w:rFonts w:asciiTheme="minorHAnsi" w:hAnsiTheme="minorHAnsi"/>
          <w:color w:val="auto"/>
          <w:szCs w:val="24"/>
        </w:rPr>
        <w:t>The VA rated the right and left ankle conditions separately, c</w:t>
      </w:r>
      <w:r w:rsidR="009852C4">
        <w:rPr>
          <w:rFonts w:asciiTheme="minorHAnsi" w:hAnsiTheme="minorHAnsi"/>
          <w:color w:val="auto"/>
          <w:szCs w:val="24"/>
        </w:rPr>
        <w:t>oded analogously as 5299-5271 (ankle, limited motion</w:t>
      </w:r>
      <w:r w:rsidR="00962009">
        <w:rPr>
          <w:rFonts w:asciiTheme="minorHAnsi" w:hAnsiTheme="minorHAnsi"/>
          <w:color w:val="auto"/>
          <w:szCs w:val="24"/>
        </w:rPr>
        <w:t>), each rated at 10%</w:t>
      </w:r>
      <w:r w:rsidR="00C62017">
        <w:rPr>
          <w:rFonts w:asciiTheme="minorHAnsi" w:hAnsiTheme="minorHAnsi"/>
          <w:color w:val="auto"/>
          <w:szCs w:val="24"/>
        </w:rPr>
        <w:t xml:space="preserve">.  </w:t>
      </w:r>
      <w:r w:rsidR="009852C4">
        <w:rPr>
          <w:rFonts w:asciiTheme="minorHAnsi" w:hAnsiTheme="minorHAnsi"/>
          <w:color w:val="auto"/>
          <w:szCs w:val="24"/>
        </w:rPr>
        <w:t xml:space="preserve">It must be noted that there is no </w:t>
      </w:r>
      <w:r w:rsidR="003952C8">
        <w:rPr>
          <w:rFonts w:asciiTheme="minorHAnsi" w:hAnsiTheme="minorHAnsi"/>
          <w:color w:val="auto"/>
          <w:szCs w:val="24"/>
        </w:rPr>
        <w:t xml:space="preserve">VASRD </w:t>
      </w:r>
      <w:r w:rsidR="009852C4">
        <w:rPr>
          <w:rFonts w:asciiTheme="minorHAnsi" w:hAnsiTheme="minorHAnsi"/>
          <w:color w:val="auto"/>
          <w:szCs w:val="24"/>
        </w:rPr>
        <w:t xml:space="preserve">defined </w:t>
      </w:r>
      <w:r w:rsidR="00925DBC">
        <w:rPr>
          <w:rFonts w:asciiTheme="minorHAnsi" w:hAnsiTheme="minorHAnsi"/>
          <w:color w:val="auto"/>
          <w:szCs w:val="24"/>
        </w:rPr>
        <w:t xml:space="preserve">ROM </w:t>
      </w:r>
      <w:r w:rsidR="009852C4">
        <w:rPr>
          <w:rFonts w:asciiTheme="minorHAnsi" w:hAnsiTheme="minorHAnsi"/>
          <w:color w:val="auto"/>
          <w:szCs w:val="24"/>
        </w:rPr>
        <w:t xml:space="preserve">threshold for compensable loss of motion </w:t>
      </w:r>
      <w:r w:rsidR="003952C8">
        <w:rPr>
          <w:rFonts w:asciiTheme="minorHAnsi" w:hAnsiTheme="minorHAnsi"/>
          <w:color w:val="auto"/>
          <w:szCs w:val="24"/>
        </w:rPr>
        <w:t xml:space="preserve">for the ankle.  Code 5271 (the only ROM-based code for the ankle) cites 10% for ‘moderate’ and 20% for ‘marked’ limitation of motion.  </w:t>
      </w:r>
      <w:r w:rsidR="001E15C6">
        <w:rPr>
          <w:rFonts w:asciiTheme="minorHAnsi" w:hAnsiTheme="minorHAnsi"/>
          <w:color w:val="auto"/>
          <w:szCs w:val="24"/>
        </w:rPr>
        <w:t xml:space="preserve">The VA </w:t>
      </w:r>
      <w:r w:rsidR="00925DBC">
        <w:rPr>
          <w:rFonts w:asciiTheme="minorHAnsi" w:hAnsiTheme="minorHAnsi"/>
          <w:color w:val="auto"/>
          <w:szCs w:val="24"/>
        </w:rPr>
        <w:t>obviously</w:t>
      </w:r>
      <w:r w:rsidR="001E15C6">
        <w:rPr>
          <w:rFonts w:asciiTheme="minorHAnsi" w:hAnsiTheme="minorHAnsi"/>
          <w:color w:val="auto"/>
          <w:szCs w:val="24"/>
        </w:rPr>
        <w:t xml:space="preserve"> judged the 50% reduction in dorsiflexion (per the C&amp;P measurements) to constitute ‘moderate’ limitation of motion; and, had no C&amp;P evidence for the right ankle instability to consider.  If the Board recommends </w:t>
      </w:r>
      <w:r w:rsidR="000B3261">
        <w:rPr>
          <w:rFonts w:asciiTheme="minorHAnsi" w:hAnsiTheme="minorHAnsi"/>
          <w:color w:val="auto"/>
          <w:szCs w:val="24"/>
        </w:rPr>
        <w:t>the 5271 code</w:t>
      </w:r>
      <w:r w:rsidR="001E15C6">
        <w:rPr>
          <w:rFonts w:asciiTheme="minorHAnsi" w:hAnsiTheme="minorHAnsi"/>
          <w:color w:val="auto"/>
          <w:szCs w:val="24"/>
        </w:rPr>
        <w:t>, it must consider whether the 33% reduction in plantar flexion (via the probative MEB exam as previously established) constitutes a ‘moderate’ limitation of motion; or, if this degree of ROM impairment is slight or less significant, i.e., non-compensable</w:t>
      </w:r>
      <w:r w:rsidR="009C41BE">
        <w:rPr>
          <w:rFonts w:asciiTheme="minorHAnsi" w:hAnsiTheme="minorHAnsi"/>
          <w:color w:val="auto"/>
          <w:szCs w:val="24"/>
        </w:rPr>
        <w:t>,</w:t>
      </w:r>
      <w:r w:rsidR="001E15C6">
        <w:rPr>
          <w:rFonts w:asciiTheme="minorHAnsi" w:hAnsiTheme="minorHAnsi"/>
          <w:color w:val="auto"/>
          <w:szCs w:val="24"/>
        </w:rPr>
        <w:t xml:space="preserve"> based on ROM’s.  </w:t>
      </w:r>
    </w:p>
    <w:p w:rsidR="003D5C3D" w:rsidRDefault="003D5C3D" w:rsidP="00885840">
      <w:pPr>
        <w:spacing w:line="240" w:lineRule="exact"/>
        <w:jc w:val="both"/>
        <w:rPr>
          <w:rFonts w:asciiTheme="minorHAnsi" w:hAnsiTheme="minorHAnsi"/>
          <w:color w:val="auto"/>
          <w:szCs w:val="24"/>
        </w:rPr>
      </w:pPr>
    </w:p>
    <w:p w:rsidR="002521B9" w:rsidRDefault="00086FF6" w:rsidP="00885840">
      <w:pPr>
        <w:spacing w:line="240" w:lineRule="exact"/>
        <w:jc w:val="both"/>
        <w:rPr>
          <w:rFonts w:asciiTheme="minorHAnsi" w:hAnsiTheme="minorHAnsi"/>
          <w:color w:val="auto"/>
          <w:szCs w:val="24"/>
        </w:rPr>
      </w:pPr>
      <w:r>
        <w:rPr>
          <w:rFonts w:asciiTheme="minorHAnsi" w:hAnsiTheme="minorHAnsi"/>
          <w:color w:val="auto"/>
          <w:szCs w:val="24"/>
        </w:rPr>
        <w:t xml:space="preserve">The Board first considered </w:t>
      </w:r>
      <w:r w:rsidR="003D5C3D">
        <w:rPr>
          <w:rFonts w:asciiTheme="minorHAnsi" w:hAnsiTheme="minorHAnsi"/>
          <w:color w:val="auto"/>
          <w:szCs w:val="24"/>
        </w:rPr>
        <w:t>the applicability of</w:t>
      </w:r>
      <w:r>
        <w:rPr>
          <w:rFonts w:asciiTheme="minorHAnsi" w:hAnsiTheme="minorHAnsi"/>
          <w:color w:val="auto"/>
          <w:szCs w:val="24"/>
        </w:rPr>
        <w:t xml:space="preserve"> </w:t>
      </w:r>
      <w:r w:rsidR="009C41BE">
        <w:rPr>
          <w:rFonts w:asciiTheme="minorHAnsi" w:hAnsiTheme="minorHAnsi"/>
          <w:color w:val="auto"/>
          <w:szCs w:val="24"/>
        </w:rPr>
        <w:t xml:space="preserve">the </w:t>
      </w:r>
      <w:r>
        <w:rPr>
          <w:rFonts w:asciiTheme="minorHAnsi" w:hAnsiTheme="minorHAnsi"/>
          <w:color w:val="auto"/>
          <w:szCs w:val="24"/>
        </w:rPr>
        <w:t>PEB</w:t>
      </w:r>
      <w:r w:rsidR="003D5C3D">
        <w:rPr>
          <w:rFonts w:asciiTheme="minorHAnsi" w:hAnsiTheme="minorHAnsi"/>
          <w:color w:val="auto"/>
          <w:szCs w:val="24"/>
        </w:rPr>
        <w:t>’s bilateral</w:t>
      </w:r>
      <w:r>
        <w:rPr>
          <w:rFonts w:asciiTheme="minorHAnsi" w:hAnsiTheme="minorHAnsi"/>
          <w:color w:val="auto"/>
          <w:szCs w:val="24"/>
        </w:rPr>
        <w:t xml:space="preserve"> rating under 5003.  </w:t>
      </w:r>
      <w:r w:rsidR="000C4AEF">
        <w:rPr>
          <w:rFonts w:asciiTheme="minorHAnsi" w:hAnsiTheme="minorHAnsi"/>
          <w:color w:val="auto"/>
          <w:szCs w:val="24"/>
        </w:rPr>
        <w:t xml:space="preserve">While the </w:t>
      </w:r>
      <w:r>
        <w:rPr>
          <w:rFonts w:asciiTheme="minorHAnsi" w:hAnsiTheme="minorHAnsi"/>
          <w:color w:val="auto"/>
          <w:szCs w:val="24"/>
        </w:rPr>
        <w:t>radiographic findings demonstrated bilateral</w:t>
      </w:r>
      <w:r w:rsidR="000C4AEF">
        <w:rPr>
          <w:rFonts w:asciiTheme="minorHAnsi" w:hAnsiTheme="minorHAnsi"/>
          <w:color w:val="auto"/>
          <w:szCs w:val="24"/>
        </w:rPr>
        <w:t xml:space="preserve"> degenerative </w:t>
      </w:r>
      <w:r w:rsidR="006726E6">
        <w:rPr>
          <w:rFonts w:asciiTheme="minorHAnsi" w:hAnsiTheme="minorHAnsi"/>
          <w:color w:val="auto"/>
          <w:szCs w:val="24"/>
        </w:rPr>
        <w:t>changes for</w:t>
      </w:r>
      <w:r w:rsidR="000C4AEF">
        <w:rPr>
          <w:rFonts w:asciiTheme="minorHAnsi" w:hAnsiTheme="minorHAnsi"/>
          <w:color w:val="auto"/>
          <w:szCs w:val="24"/>
        </w:rPr>
        <w:t xml:space="preserve"> both ankles</w:t>
      </w:r>
      <w:r>
        <w:rPr>
          <w:rFonts w:asciiTheme="minorHAnsi" w:hAnsiTheme="minorHAnsi"/>
          <w:color w:val="auto"/>
          <w:szCs w:val="24"/>
        </w:rPr>
        <w:t>,</w:t>
      </w:r>
      <w:r w:rsidR="000C4AEF">
        <w:rPr>
          <w:rFonts w:asciiTheme="minorHAnsi" w:hAnsiTheme="minorHAnsi"/>
          <w:color w:val="auto"/>
          <w:szCs w:val="24"/>
        </w:rPr>
        <w:t xml:space="preserve"> the Board </w:t>
      </w:r>
      <w:r>
        <w:rPr>
          <w:rFonts w:asciiTheme="minorHAnsi" w:hAnsiTheme="minorHAnsi"/>
          <w:color w:val="auto"/>
          <w:szCs w:val="24"/>
        </w:rPr>
        <w:t>concluded that</w:t>
      </w:r>
      <w:r w:rsidR="000C4AEF">
        <w:rPr>
          <w:rFonts w:asciiTheme="minorHAnsi" w:hAnsiTheme="minorHAnsi"/>
          <w:color w:val="auto"/>
          <w:szCs w:val="24"/>
        </w:rPr>
        <w:t xml:space="preserve"> that the unfitting disability in thi</w:t>
      </w:r>
      <w:r w:rsidR="00696877">
        <w:rPr>
          <w:rFonts w:asciiTheme="minorHAnsi" w:hAnsiTheme="minorHAnsi"/>
          <w:color w:val="auto"/>
          <w:szCs w:val="24"/>
        </w:rPr>
        <w:t xml:space="preserve">s case was </w:t>
      </w:r>
      <w:r w:rsidR="006726E6">
        <w:rPr>
          <w:rFonts w:asciiTheme="minorHAnsi" w:hAnsiTheme="minorHAnsi"/>
          <w:color w:val="auto"/>
          <w:szCs w:val="24"/>
        </w:rPr>
        <w:t>clearly the ligamental pathology (</w:t>
      </w:r>
      <w:r w:rsidR="002521B9">
        <w:rPr>
          <w:rFonts w:asciiTheme="minorHAnsi" w:hAnsiTheme="minorHAnsi"/>
          <w:color w:val="auto"/>
          <w:szCs w:val="24"/>
        </w:rPr>
        <w:t>especially</w:t>
      </w:r>
      <w:r w:rsidR="006726E6">
        <w:rPr>
          <w:rFonts w:asciiTheme="minorHAnsi" w:hAnsiTheme="minorHAnsi"/>
          <w:color w:val="auto"/>
          <w:szCs w:val="24"/>
        </w:rPr>
        <w:t xml:space="preserve"> the joint instability of the right ankle)</w:t>
      </w:r>
      <w:r w:rsidR="002521B9">
        <w:rPr>
          <w:rFonts w:asciiTheme="minorHAnsi" w:hAnsiTheme="minorHAnsi"/>
          <w:color w:val="auto"/>
          <w:szCs w:val="24"/>
        </w:rPr>
        <w:t xml:space="preserve"> and not degenerative arthritis</w:t>
      </w:r>
      <w:r w:rsidR="000C4AEF">
        <w:rPr>
          <w:rFonts w:asciiTheme="minorHAnsi" w:hAnsiTheme="minorHAnsi"/>
          <w:color w:val="auto"/>
          <w:szCs w:val="24"/>
        </w:rPr>
        <w:t xml:space="preserve">.  </w:t>
      </w:r>
      <w:r w:rsidR="002521B9">
        <w:rPr>
          <w:rFonts w:asciiTheme="minorHAnsi" w:hAnsiTheme="minorHAnsi"/>
          <w:color w:val="auto"/>
          <w:szCs w:val="24"/>
        </w:rPr>
        <w:t xml:space="preserve">The Board next considered the VA’s approach of separate compensable ratings under 5271 for limitation of motion.  It was agreed, however, that the modest ROM limitation evidenced in the more probative MEB orthopedic evaluation would constitute at most ‘slight’ (i.e., non-compensable) limitation of motion.  </w:t>
      </w:r>
      <w:r w:rsidR="006726E6">
        <w:rPr>
          <w:rFonts w:asciiTheme="minorHAnsi" w:hAnsiTheme="minorHAnsi"/>
          <w:color w:val="auto"/>
          <w:szCs w:val="24"/>
        </w:rPr>
        <w:t xml:space="preserve">All members ultimately agreed that the most reasonable approach to rating Service disability was separate ankle ratings which encompassed the </w:t>
      </w:r>
      <w:r w:rsidR="002521B9">
        <w:rPr>
          <w:rFonts w:asciiTheme="minorHAnsi" w:hAnsiTheme="minorHAnsi"/>
          <w:color w:val="auto"/>
          <w:szCs w:val="24"/>
        </w:rPr>
        <w:t xml:space="preserve">right </w:t>
      </w:r>
      <w:r w:rsidR="006726E6">
        <w:rPr>
          <w:rFonts w:asciiTheme="minorHAnsi" w:hAnsiTheme="minorHAnsi"/>
          <w:color w:val="auto"/>
          <w:szCs w:val="24"/>
        </w:rPr>
        <w:t xml:space="preserve">ligamental </w:t>
      </w:r>
      <w:r w:rsidR="009C41BE">
        <w:rPr>
          <w:rFonts w:asciiTheme="minorHAnsi" w:hAnsiTheme="minorHAnsi"/>
          <w:color w:val="auto"/>
          <w:szCs w:val="24"/>
        </w:rPr>
        <w:t>instability</w:t>
      </w:r>
      <w:r w:rsidR="006726E6">
        <w:rPr>
          <w:rFonts w:asciiTheme="minorHAnsi" w:hAnsiTheme="minorHAnsi"/>
          <w:color w:val="auto"/>
          <w:szCs w:val="24"/>
        </w:rPr>
        <w:t xml:space="preserve"> and </w:t>
      </w:r>
      <w:r w:rsidR="002521B9">
        <w:rPr>
          <w:rFonts w:asciiTheme="minorHAnsi" w:hAnsiTheme="minorHAnsi"/>
          <w:color w:val="auto"/>
          <w:szCs w:val="24"/>
        </w:rPr>
        <w:t xml:space="preserve">bilateral </w:t>
      </w:r>
      <w:r w:rsidR="006726E6">
        <w:rPr>
          <w:rFonts w:asciiTheme="minorHAnsi" w:hAnsiTheme="minorHAnsi"/>
          <w:color w:val="auto"/>
          <w:szCs w:val="24"/>
        </w:rPr>
        <w:t>modest ROM limitation</w:t>
      </w:r>
      <w:r w:rsidR="002521B9">
        <w:rPr>
          <w:rFonts w:asciiTheme="minorHAnsi" w:hAnsiTheme="minorHAnsi"/>
          <w:color w:val="auto"/>
          <w:szCs w:val="24"/>
        </w:rPr>
        <w:t>s</w:t>
      </w:r>
      <w:r w:rsidR="006726E6">
        <w:rPr>
          <w:rFonts w:asciiTheme="minorHAnsi" w:hAnsiTheme="minorHAnsi"/>
          <w:color w:val="auto"/>
          <w:szCs w:val="24"/>
        </w:rPr>
        <w:t xml:space="preserve"> </w:t>
      </w:r>
      <w:r w:rsidR="002521B9">
        <w:rPr>
          <w:rFonts w:asciiTheme="minorHAnsi" w:hAnsiTheme="minorHAnsi"/>
          <w:color w:val="auto"/>
          <w:szCs w:val="24"/>
        </w:rPr>
        <w:t>constituting</w:t>
      </w:r>
      <w:r w:rsidR="006726E6">
        <w:rPr>
          <w:rFonts w:asciiTheme="minorHAnsi" w:hAnsiTheme="minorHAnsi"/>
          <w:color w:val="auto"/>
          <w:szCs w:val="24"/>
        </w:rPr>
        <w:t xml:space="preserve"> the functional </w:t>
      </w:r>
      <w:r w:rsidR="002521B9">
        <w:rPr>
          <w:rFonts w:asciiTheme="minorHAnsi" w:hAnsiTheme="minorHAnsi"/>
          <w:color w:val="auto"/>
          <w:szCs w:val="24"/>
        </w:rPr>
        <w:t>impairment in evidence</w:t>
      </w:r>
      <w:r w:rsidR="006726E6">
        <w:rPr>
          <w:rFonts w:asciiTheme="minorHAnsi" w:hAnsiTheme="minorHAnsi"/>
          <w:color w:val="auto"/>
          <w:szCs w:val="24"/>
        </w:rPr>
        <w:t>.  The Board notes</w:t>
      </w:r>
      <w:r w:rsidR="00F455E8">
        <w:rPr>
          <w:rFonts w:asciiTheme="minorHAnsi" w:hAnsiTheme="minorHAnsi"/>
          <w:color w:val="auto"/>
          <w:szCs w:val="24"/>
        </w:rPr>
        <w:t xml:space="preserve"> there </w:t>
      </w:r>
      <w:r w:rsidR="006726E6">
        <w:rPr>
          <w:rFonts w:asciiTheme="minorHAnsi" w:hAnsiTheme="minorHAnsi"/>
          <w:color w:val="auto"/>
          <w:szCs w:val="24"/>
        </w:rPr>
        <w:t>is</w:t>
      </w:r>
      <w:r w:rsidR="00F455E8">
        <w:rPr>
          <w:rFonts w:asciiTheme="minorHAnsi" w:hAnsiTheme="minorHAnsi"/>
          <w:color w:val="auto"/>
          <w:szCs w:val="24"/>
        </w:rPr>
        <w:t xml:space="preserve"> no </w:t>
      </w:r>
      <w:r w:rsidR="006726E6">
        <w:rPr>
          <w:rFonts w:asciiTheme="minorHAnsi" w:hAnsiTheme="minorHAnsi"/>
          <w:color w:val="auto"/>
          <w:szCs w:val="24"/>
        </w:rPr>
        <w:t xml:space="preserve">precise </w:t>
      </w:r>
      <w:r w:rsidR="006726E6">
        <w:rPr>
          <w:rFonts w:asciiTheme="minorHAnsi" w:hAnsiTheme="minorHAnsi" w:cstheme="minorHAnsi"/>
          <w:color w:val="auto"/>
          <w:szCs w:val="24"/>
        </w:rPr>
        <w:t>§</w:t>
      </w:r>
      <w:r w:rsidR="006726E6">
        <w:rPr>
          <w:rFonts w:asciiTheme="minorHAnsi" w:hAnsiTheme="minorHAnsi"/>
          <w:color w:val="auto"/>
          <w:szCs w:val="24"/>
        </w:rPr>
        <w:t xml:space="preserve">4.71a code for </w:t>
      </w:r>
      <w:r w:rsidR="00F455E8">
        <w:rPr>
          <w:rFonts w:asciiTheme="minorHAnsi" w:hAnsiTheme="minorHAnsi"/>
          <w:color w:val="auto"/>
          <w:szCs w:val="24"/>
        </w:rPr>
        <w:t>ankle instability</w:t>
      </w:r>
      <w:r w:rsidR="00CB3247">
        <w:rPr>
          <w:rFonts w:asciiTheme="minorHAnsi" w:hAnsiTheme="minorHAnsi"/>
          <w:color w:val="auto"/>
          <w:szCs w:val="24"/>
        </w:rPr>
        <w:t>; but, agreed with the action o</w:t>
      </w:r>
      <w:r w:rsidR="006726E6">
        <w:rPr>
          <w:rFonts w:asciiTheme="minorHAnsi" w:hAnsiTheme="minorHAnsi"/>
          <w:color w:val="auto"/>
          <w:szCs w:val="24"/>
        </w:rPr>
        <w:t>fficer’s assessment</w:t>
      </w:r>
      <w:r w:rsidR="00F455E8">
        <w:rPr>
          <w:rFonts w:asciiTheme="minorHAnsi" w:hAnsiTheme="minorHAnsi"/>
          <w:color w:val="auto"/>
          <w:szCs w:val="24"/>
        </w:rPr>
        <w:t xml:space="preserve"> </w:t>
      </w:r>
      <w:r w:rsidR="006726E6">
        <w:rPr>
          <w:rFonts w:asciiTheme="minorHAnsi" w:hAnsiTheme="minorHAnsi"/>
          <w:color w:val="auto"/>
          <w:szCs w:val="24"/>
        </w:rPr>
        <w:t>that</w:t>
      </w:r>
      <w:r w:rsidR="00F455E8">
        <w:rPr>
          <w:rFonts w:asciiTheme="minorHAnsi" w:hAnsiTheme="minorHAnsi"/>
          <w:color w:val="auto"/>
          <w:szCs w:val="24"/>
        </w:rPr>
        <w:t xml:space="preserve"> </w:t>
      </w:r>
      <w:r w:rsidR="006726E6" w:rsidRPr="00280034">
        <w:rPr>
          <w:rFonts w:asciiTheme="minorHAnsi" w:hAnsiTheme="minorHAnsi"/>
          <w:i/>
          <w:color w:val="auto"/>
          <w:szCs w:val="24"/>
        </w:rPr>
        <w:t>analogous</w:t>
      </w:r>
      <w:r w:rsidR="006726E6">
        <w:rPr>
          <w:rFonts w:asciiTheme="minorHAnsi" w:hAnsiTheme="minorHAnsi"/>
          <w:color w:val="auto"/>
          <w:szCs w:val="24"/>
        </w:rPr>
        <w:t xml:space="preserve"> </w:t>
      </w:r>
      <w:r w:rsidR="00280034">
        <w:rPr>
          <w:rFonts w:asciiTheme="minorHAnsi" w:hAnsiTheme="minorHAnsi"/>
          <w:color w:val="auto"/>
          <w:szCs w:val="24"/>
        </w:rPr>
        <w:t xml:space="preserve">coding under </w:t>
      </w:r>
      <w:r w:rsidR="00F455E8">
        <w:rPr>
          <w:rFonts w:asciiTheme="minorHAnsi" w:hAnsiTheme="minorHAnsi"/>
          <w:color w:val="auto"/>
          <w:szCs w:val="24"/>
        </w:rPr>
        <w:t>5262 (tibia and fibula, impairmen</w:t>
      </w:r>
      <w:r w:rsidR="000C4AEF">
        <w:rPr>
          <w:rFonts w:asciiTheme="minorHAnsi" w:hAnsiTheme="minorHAnsi"/>
          <w:color w:val="auto"/>
          <w:szCs w:val="24"/>
        </w:rPr>
        <w:t>t of)</w:t>
      </w:r>
      <w:r w:rsidR="00280034">
        <w:rPr>
          <w:rFonts w:asciiTheme="minorHAnsi" w:hAnsiTheme="minorHAnsi"/>
          <w:color w:val="auto"/>
          <w:szCs w:val="24"/>
        </w:rPr>
        <w:t>, which encompasses contiguous knee or ankle ‘disability’,</w:t>
      </w:r>
      <w:r w:rsidR="000C4AEF">
        <w:rPr>
          <w:rFonts w:asciiTheme="minorHAnsi" w:hAnsiTheme="minorHAnsi"/>
          <w:color w:val="auto"/>
          <w:szCs w:val="24"/>
        </w:rPr>
        <w:t xml:space="preserve"> </w:t>
      </w:r>
      <w:r w:rsidR="00280034">
        <w:rPr>
          <w:rFonts w:asciiTheme="minorHAnsi" w:hAnsiTheme="minorHAnsi"/>
          <w:color w:val="auto"/>
          <w:szCs w:val="24"/>
        </w:rPr>
        <w:t>captures the right ankle instability in evidence</w:t>
      </w:r>
      <w:r w:rsidR="00F455E8">
        <w:rPr>
          <w:rFonts w:asciiTheme="minorHAnsi" w:hAnsiTheme="minorHAnsi"/>
          <w:color w:val="auto"/>
          <w:szCs w:val="24"/>
        </w:rPr>
        <w:t xml:space="preserve">.  </w:t>
      </w:r>
      <w:r w:rsidR="00280034">
        <w:rPr>
          <w:rFonts w:asciiTheme="minorHAnsi" w:hAnsiTheme="minorHAnsi"/>
          <w:color w:val="auto"/>
          <w:szCs w:val="24"/>
        </w:rPr>
        <w:t xml:space="preserve">This yields a compensable 10% rating for the right ankle coded </w:t>
      </w:r>
      <w:r w:rsidR="00280034" w:rsidRPr="005B4953">
        <w:rPr>
          <w:rFonts w:asciiTheme="minorHAnsi" w:hAnsiTheme="minorHAnsi"/>
          <w:color w:val="auto"/>
          <w:szCs w:val="24"/>
        </w:rPr>
        <w:t>5299-5262</w:t>
      </w:r>
      <w:r w:rsidR="00280034">
        <w:rPr>
          <w:rFonts w:asciiTheme="minorHAnsi" w:hAnsiTheme="minorHAnsi"/>
          <w:color w:val="auto"/>
          <w:szCs w:val="24"/>
        </w:rPr>
        <w:t xml:space="preserve">.  </w:t>
      </w:r>
    </w:p>
    <w:p w:rsidR="002521B9" w:rsidRDefault="002521B9" w:rsidP="00885840">
      <w:pPr>
        <w:spacing w:line="240" w:lineRule="exact"/>
        <w:jc w:val="both"/>
        <w:rPr>
          <w:rFonts w:asciiTheme="minorHAnsi" w:hAnsiTheme="minorHAnsi"/>
          <w:color w:val="auto"/>
          <w:szCs w:val="24"/>
        </w:rPr>
      </w:pPr>
    </w:p>
    <w:p w:rsidR="003D5C3D" w:rsidRDefault="003D5C3D" w:rsidP="00885840">
      <w:pPr>
        <w:spacing w:line="240" w:lineRule="exact"/>
        <w:jc w:val="both"/>
        <w:rPr>
          <w:rFonts w:asciiTheme="minorHAnsi" w:hAnsiTheme="minorHAnsi"/>
          <w:color w:val="auto"/>
          <w:szCs w:val="24"/>
        </w:rPr>
      </w:pPr>
      <w:r>
        <w:rPr>
          <w:rFonts w:asciiTheme="minorHAnsi" w:hAnsiTheme="minorHAnsi"/>
          <w:color w:val="auto"/>
          <w:szCs w:val="24"/>
        </w:rPr>
        <w:t>The Board next considered appropriate coding and rating for the left ankle.  A consensus of members believed that the left ankle was not, in fact, independently unfitting; but, it was concurred that the PEB adjudication, as a VASRD-derived bilateral rating, imposed a separately unfitting Service determination in this case; and, by policy and firm precedent, the Board does not counter a Service fitness adjudication favorable to the member.</w:t>
      </w:r>
      <w:r w:rsidR="002521B9">
        <w:rPr>
          <w:rFonts w:asciiTheme="minorHAnsi" w:hAnsiTheme="minorHAnsi"/>
          <w:color w:val="auto"/>
          <w:szCs w:val="24"/>
        </w:rPr>
        <w:t xml:space="preserve">  </w:t>
      </w:r>
      <w:r w:rsidR="009C41BE">
        <w:rPr>
          <w:rFonts w:asciiTheme="minorHAnsi" w:hAnsiTheme="minorHAnsi"/>
          <w:color w:val="auto"/>
          <w:szCs w:val="24"/>
        </w:rPr>
        <w:t xml:space="preserve">Since the objective instability of the left ankle was insignificant, it was agreed that the 5299-5262 approach as elaborated for the right ankle could not be supported for the left ankle.  </w:t>
      </w:r>
      <w:r w:rsidR="002521B9">
        <w:rPr>
          <w:rFonts w:asciiTheme="minorHAnsi" w:hAnsiTheme="minorHAnsi"/>
          <w:color w:val="auto"/>
          <w:szCs w:val="24"/>
        </w:rPr>
        <w:t xml:space="preserve">A separate compensable rating under a 5003 based code, 5024 (tenosynovitis) in this case, was discussed and rejected on the same basis as that discussed above for not applying the PEB’s 5003 approach.  It was </w:t>
      </w:r>
      <w:r w:rsidR="00A14D3B">
        <w:rPr>
          <w:rFonts w:asciiTheme="minorHAnsi" w:hAnsiTheme="minorHAnsi"/>
          <w:color w:val="auto"/>
          <w:szCs w:val="24"/>
        </w:rPr>
        <w:t xml:space="preserve">thus </w:t>
      </w:r>
      <w:r w:rsidR="002521B9">
        <w:rPr>
          <w:rFonts w:asciiTheme="minorHAnsi" w:hAnsiTheme="minorHAnsi"/>
          <w:color w:val="auto"/>
          <w:szCs w:val="24"/>
        </w:rPr>
        <w:t xml:space="preserve">concluded that the only appropriate code for rating the left ankle was analogously to 5271 (limitation of motion).  As previously </w:t>
      </w:r>
      <w:r w:rsidR="00A14D3B">
        <w:rPr>
          <w:rFonts w:asciiTheme="minorHAnsi" w:hAnsiTheme="minorHAnsi"/>
          <w:color w:val="auto"/>
          <w:szCs w:val="24"/>
        </w:rPr>
        <w:t>elaborated</w:t>
      </w:r>
      <w:r w:rsidR="002521B9">
        <w:rPr>
          <w:rFonts w:asciiTheme="minorHAnsi" w:hAnsiTheme="minorHAnsi"/>
          <w:color w:val="auto"/>
          <w:szCs w:val="24"/>
        </w:rPr>
        <w:t xml:space="preserve">, it was agreed that the ROM impairment itself is not compensable.  It was agreed that application of </w:t>
      </w:r>
      <w:r w:rsidR="002521B9" w:rsidRPr="000C4AEF">
        <w:rPr>
          <w:rFonts w:asciiTheme="minorHAnsi" w:hAnsiTheme="minorHAnsi"/>
          <w:color w:val="auto"/>
          <w:szCs w:val="24"/>
        </w:rPr>
        <w:t>§4.59</w:t>
      </w:r>
      <w:r w:rsidR="002521B9">
        <w:rPr>
          <w:rFonts w:asciiTheme="minorHAnsi" w:hAnsiTheme="minorHAnsi"/>
          <w:color w:val="auto"/>
          <w:szCs w:val="24"/>
        </w:rPr>
        <w:t xml:space="preserve"> (painful motion) was specifically excluded by both the MEB and VA examinations; and, further agreed that application of §4.40 (functional loss) could not be supported by the clinical histories in evidence (especially in light of the skepticism that there was unfitting impairment based solely </w:t>
      </w:r>
      <w:r w:rsidR="002521B9">
        <w:rPr>
          <w:rFonts w:asciiTheme="minorHAnsi" w:hAnsiTheme="minorHAnsi"/>
          <w:color w:val="auto"/>
          <w:szCs w:val="24"/>
        </w:rPr>
        <w:lastRenderedPageBreak/>
        <w:t xml:space="preserve">on the left ankle as elaborated above).  All members agreed, therefore, that there was inadequate support for any §4.71a pathway to a separately compensable Service disability rating for the left ankle.  </w:t>
      </w:r>
      <w:r w:rsidR="009C41BE" w:rsidRPr="009C41BE">
        <w:rPr>
          <w:rFonts w:asciiTheme="minorHAnsi" w:hAnsiTheme="minorHAnsi"/>
          <w:color w:val="auto"/>
          <w:szCs w:val="24"/>
        </w:rPr>
        <w:t>After due deliberation, considering all of the evidence and mindful of VASRD §4.3 (reasonable doubt), the Board</w:t>
      </w:r>
      <w:r w:rsidR="009C41BE">
        <w:rPr>
          <w:rFonts w:asciiTheme="minorHAnsi" w:hAnsiTheme="minorHAnsi"/>
          <w:color w:val="auto"/>
          <w:szCs w:val="24"/>
        </w:rPr>
        <w:t xml:space="preserve"> recommends a 10% Service disability rating for the right ankle condition, coded </w:t>
      </w:r>
      <w:r w:rsidR="009C41BE" w:rsidRPr="005B4953">
        <w:rPr>
          <w:rFonts w:asciiTheme="minorHAnsi" w:hAnsiTheme="minorHAnsi"/>
          <w:color w:val="auto"/>
          <w:szCs w:val="24"/>
        </w:rPr>
        <w:t>5299-5262</w:t>
      </w:r>
      <w:r w:rsidR="009C41BE">
        <w:rPr>
          <w:rFonts w:asciiTheme="minorHAnsi" w:hAnsiTheme="minorHAnsi"/>
          <w:color w:val="auto"/>
          <w:szCs w:val="24"/>
        </w:rPr>
        <w:t xml:space="preserve">; and, a 0% Service disability rating for the left ankle condition, coded </w:t>
      </w:r>
      <w:r w:rsidR="009C41BE" w:rsidRPr="005B4953">
        <w:rPr>
          <w:rFonts w:asciiTheme="minorHAnsi" w:hAnsiTheme="minorHAnsi"/>
          <w:color w:val="auto"/>
          <w:szCs w:val="24"/>
        </w:rPr>
        <w:t>5299-52</w:t>
      </w:r>
      <w:r w:rsidR="009C41BE">
        <w:rPr>
          <w:rFonts w:asciiTheme="minorHAnsi" w:hAnsiTheme="minorHAnsi"/>
          <w:color w:val="auto"/>
          <w:szCs w:val="24"/>
        </w:rPr>
        <w:t>71.</w:t>
      </w:r>
    </w:p>
    <w:p w:rsidR="00615D55" w:rsidRPr="00696877" w:rsidRDefault="00615D55" w:rsidP="00885840">
      <w:pPr>
        <w:spacing w:line="240" w:lineRule="exact"/>
        <w:jc w:val="both"/>
        <w:rPr>
          <w:rFonts w:asciiTheme="minorHAnsi" w:hAnsiTheme="minorHAnsi"/>
          <w:color w:val="auto"/>
          <w:szCs w:val="24"/>
        </w:rPr>
      </w:pPr>
    </w:p>
    <w:p w:rsidR="00BD3DFB" w:rsidRDefault="00E9565E" w:rsidP="00437C0B">
      <w:pPr>
        <w:tabs>
          <w:tab w:val="left" w:pos="288"/>
          <w:tab w:val="left" w:pos="4752"/>
        </w:tabs>
        <w:spacing w:line="240" w:lineRule="exact"/>
        <w:jc w:val="both"/>
        <w:rPr>
          <w:rFonts w:asciiTheme="minorHAnsi" w:hAnsiTheme="minorHAnsi"/>
          <w:color w:val="auto"/>
          <w:szCs w:val="24"/>
        </w:rPr>
      </w:pPr>
      <w:r w:rsidRPr="00CB3247">
        <w:rPr>
          <w:rFonts w:asciiTheme="minorHAnsi" w:hAnsiTheme="minorHAnsi"/>
          <w:color w:val="auto"/>
          <w:szCs w:val="24"/>
          <w:u w:val="single"/>
        </w:rPr>
        <w:t>Migraine Headaches</w:t>
      </w:r>
      <w:r w:rsidRPr="00CB3247">
        <w:rPr>
          <w:rFonts w:asciiTheme="minorHAnsi" w:hAnsiTheme="minorHAnsi"/>
          <w:color w:val="auto"/>
          <w:szCs w:val="24"/>
        </w:rPr>
        <w:t xml:space="preserve">.  </w:t>
      </w:r>
      <w:r w:rsidR="00437C0B" w:rsidRPr="00CB3247">
        <w:rPr>
          <w:rFonts w:asciiTheme="minorHAnsi" w:hAnsiTheme="minorHAnsi"/>
          <w:color w:val="auto"/>
          <w:szCs w:val="24"/>
        </w:rPr>
        <w:t xml:space="preserve">The </w:t>
      </w:r>
      <w:r w:rsidR="00DD337C" w:rsidRPr="00CB3247">
        <w:rPr>
          <w:rFonts w:asciiTheme="minorHAnsi" w:hAnsiTheme="minorHAnsi"/>
          <w:color w:val="auto"/>
          <w:szCs w:val="24"/>
        </w:rPr>
        <w:t xml:space="preserve">neurologic </w:t>
      </w:r>
      <w:r w:rsidR="00437C0B" w:rsidRPr="00CB3247">
        <w:rPr>
          <w:rFonts w:asciiTheme="minorHAnsi" w:hAnsiTheme="minorHAnsi"/>
          <w:color w:val="auto"/>
          <w:szCs w:val="24"/>
        </w:rPr>
        <w:t xml:space="preserve">addendum </w:t>
      </w:r>
      <w:r w:rsidR="00DD337C" w:rsidRPr="00CB3247">
        <w:rPr>
          <w:rFonts w:asciiTheme="minorHAnsi" w:hAnsiTheme="minorHAnsi"/>
          <w:color w:val="auto"/>
          <w:szCs w:val="24"/>
        </w:rPr>
        <w:t>to the NARSUM do</w:t>
      </w:r>
      <w:r w:rsidR="00DD337C">
        <w:rPr>
          <w:rFonts w:asciiTheme="minorHAnsi" w:hAnsiTheme="minorHAnsi"/>
          <w:color w:val="auto"/>
          <w:szCs w:val="24"/>
        </w:rPr>
        <w:t xml:space="preserve">cumented </w:t>
      </w:r>
      <w:r w:rsidR="000756CF">
        <w:rPr>
          <w:rFonts w:asciiTheme="minorHAnsi" w:hAnsiTheme="minorHAnsi"/>
          <w:color w:val="auto"/>
          <w:szCs w:val="24"/>
        </w:rPr>
        <w:t>that the CI “since 1996, has had a continuous non-changing headache pattern</w:t>
      </w:r>
      <w:r w:rsidR="00CB3247">
        <w:rPr>
          <w:rFonts w:asciiTheme="minorHAnsi" w:hAnsiTheme="minorHAnsi"/>
          <w:color w:val="auto"/>
          <w:szCs w:val="24"/>
        </w:rPr>
        <w:t>;</w:t>
      </w:r>
      <w:r w:rsidR="000756CF">
        <w:rPr>
          <w:rFonts w:asciiTheme="minorHAnsi" w:hAnsiTheme="minorHAnsi"/>
          <w:color w:val="auto"/>
          <w:szCs w:val="24"/>
        </w:rPr>
        <w:t xml:space="preserve">” and, </w:t>
      </w:r>
      <w:r w:rsidR="00BD3DFB">
        <w:rPr>
          <w:rFonts w:asciiTheme="minorHAnsi" w:hAnsiTheme="minorHAnsi"/>
          <w:color w:val="auto"/>
          <w:szCs w:val="24"/>
        </w:rPr>
        <w:t>continued with the following excerpts.</w:t>
      </w:r>
    </w:p>
    <w:p w:rsidR="00BD3DFB" w:rsidRDefault="00BD3DFB" w:rsidP="00437C0B">
      <w:pPr>
        <w:tabs>
          <w:tab w:val="left" w:pos="288"/>
          <w:tab w:val="left" w:pos="4752"/>
        </w:tabs>
        <w:spacing w:line="240" w:lineRule="exact"/>
        <w:jc w:val="both"/>
        <w:rPr>
          <w:rFonts w:asciiTheme="minorHAnsi" w:hAnsiTheme="minorHAnsi"/>
          <w:color w:val="auto"/>
          <w:szCs w:val="24"/>
        </w:rPr>
      </w:pPr>
    </w:p>
    <w:p w:rsidR="00BD3DFB" w:rsidRPr="00CB3247" w:rsidRDefault="000756CF" w:rsidP="00BD3DFB">
      <w:pPr>
        <w:tabs>
          <w:tab w:val="left" w:pos="288"/>
          <w:tab w:val="left" w:pos="4752"/>
        </w:tabs>
        <w:spacing w:line="200" w:lineRule="exact"/>
        <w:ind w:left="720" w:right="720"/>
        <w:jc w:val="both"/>
        <w:rPr>
          <w:rFonts w:asciiTheme="minorHAnsi" w:hAnsiTheme="minorHAnsi"/>
          <w:color w:val="auto"/>
          <w:sz w:val="22"/>
          <w:szCs w:val="22"/>
        </w:rPr>
      </w:pPr>
      <w:r w:rsidRPr="00CB3247">
        <w:rPr>
          <w:rFonts w:asciiTheme="minorHAnsi" w:hAnsiTheme="minorHAnsi"/>
          <w:color w:val="auto"/>
          <w:sz w:val="22"/>
          <w:szCs w:val="22"/>
        </w:rPr>
        <w:t xml:space="preserve">During service-member’s one visit to the Neurology Service on 29 September 2004, he noted a slightly less frequency recently ... notes previous significant MOS interference where he has actually had to leave work due to severe prostration one to two times per week.  For his current headache pattern he uses Excedrin Migraine, which can fully resolve the headache if taken at onset.  He notes six to seven recent Emergency Department visits.  </w:t>
      </w:r>
    </w:p>
    <w:p w:rsidR="00BD3DFB" w:rsidRDefault="00BD3DFB" w:rsidP="00437C0B">
      <w:pPr>
        <w:tabs>
          <w:tab w:val="left" w:pos="288"/>
          <w:tab w:val="left" w:pos="4752"/>
        </w:tabs>
        <w:spacing w:line="240" w:lineRule="exact"/>
        <w:jc w:val="both"/>
        <w:rPr>
          <w:rFonts w:asciiTheme="minorHAnsi" w:hAnsiTheme="minorHAnsi"/>
          <w:color w:val="auto"/>
          <w:szCs w:val="24"/>
        </w:rPr>
      </w:pPr>
    </w:p>
    <w:p w:rsidR="00225441" w:rsidRDefault="00BD3DFB" w:rsidP="0022544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It is difficult to reconcile a now-improved headache pattern</w:t>
      </w:r>
      <w:r w:rsidR="00225441">
        <w:rPr>
          <w:rFonts w:asciiTheme="minorHAnsi" w:hAnsiTheme="minorHAnsi"/>
          <w:color w:val="auto"/>
          <w:szCs w:val="24"/>
        </w:rPr>
        <w:t xml:space="preserve">, with the current </w:t>
      </w:r>
      <w:r>
        <w:rPr>
          <w:rFonts w:asciiTheme="minorHAnsi" w:hAnsiTheme="minorHAnsi"/>
          <w:color w:val="auto"/>
          <w:szCs w:val="24"/>
        </w:rPr>
        <w:t xml:space="preserve">degree of occupational interference </w:t>
      </w:r>
      <w:r w:rsidR="00225441">
        <w:rPr>
          <w:rFonts w:asciiTheme="minorHAnsi" w:hAnsiTheme="minorHAnsi"/>
          <w:color w:val="auto"/>
          <w:szCs w:val="24"/>
        </w:rPr>
        <w:t xml:space="preserve">as stated, </w:t>
      </w:r>
      <w:r>
        <w:rPr>
          <w:rFonts w:asciiTheme="minorHAnsi" w:hAnsiTheme="minorHAnsi"/>
          <w:color w:val="auto"/>
          <w:szCs w:val="24"/>
        </w:rPr>
        <w:t xml:space="preserve">with satisfactory completion of years of preceding active duty </w:t>
      </w:r>
      <w:r w:rsidR="00225441">
        <w:rPr>
          <w:rFonts w:asciiTheme="minorHAnsi" w:hAnsiTheme="minorHAnsi"/>
          <w:color w:val="auto"/>
          <w:szCs w:val="24"/>
        </w:rPr>
        <w:t xml:space="preserve">when the severity was </w:t>
      </w:r>
      <w:r w:rsidR="00A14D3B">
        <w:rPr>
          <w:rFonts w:asciiTheme="minorHAnsi" w:hAnsiTheme="minorHAnsi"/>
          <w:color w:val="auto"/>
          <w:szCs w:val="24"/>
        </w:rPr>
        <w:t xml:space="preserve">continuously </w:t>
      </w:r>
      <w:r w:rsidR="00225441">
        <w:rPr>
          <w:rFonts w:asciiTheme="minorHAnsi" w:hAnsiTheme="minorHAnsi"/>
          <w:color w:val="auto"/>
          <w:szCs w:val="24"/>
        </w:rPr>
        <w:t>even worse</w:t>
      </w:r>
      <w:r>
        <w:rPr>
          <w:rFonts w:asciiTheme="minorHAnsi" w:hAnsiTheme="minorHAnsi"/>
          <w:color w:val="auto"/>
          <w:szCs w:val="24"/>
        </w:rPr>
        <w:t xml:space="preserve">.  No rationale </w:t>
      </w:r>
      <w:r w:rsidR="00225441">
        <w:rPr>
          <w:rFonts w:asciiTheme="minorHAnsi" w:hAnsiTheme="minorHAnsi"/>
          <w:color w:val="auto"/>
          <w:szCs w:val="24"/>
        </w:rPr>
        <w:t xml:space="preserve">for this incongruity </w:t>
      </w:r>
      <w:r>
        <w:rPr>
          <w:rFonts w:asciiTheme="minorHAnsi" w:hAnsiTheme="minorHAnsi"/>
          <w:color w:val="auto"/>
          <w:szCs w:val="24"/>
        </w:rPr>
        <w:t xml:space="preserve">is provided in the neurologic addendum or elsewhere in the </w:t>
      </w:r>
      <w:r w:rsidR="00CB3247">
        <w:rPr>
          <w:rFonts w:asciiTheme="minorHAnsi" w:hAnsiTheme="minorHAnsi"/>
          <w:color w:val="auto"/>
          <w:szCs w:val="24"/>
        </w:rPr>
        <w:t>s</w:t>
      </w:r>
      <w:r w:rsidR="00225441">
        <w:rPr>
          <w:rFonts w:asciiTheme="minorHAnsi" w:hAnsiTheme="minorHAnsi"/>
          <w:color w:val="auto"/>
          <w:szCs w:val="24"/>
        </w:rPr>
        <w:t xml:space="preserve">ervice </w:t>
      </w:r>
      <w:r>
        <w:rPr>
          <w:rFonts w:asciiTheme="minorHAnsi" w:hAnsiTheme="minorHAnsi"/>
          <w:color w:val="auto"/>
          <w:szCs w:val="24"/>
        </w:rPr>
        <w:t>treatme</w:t>
      </w:r>
      <w:r w:rsidRPr="00CB3247">
        <w:rPr>
          <w:rFonts w:asciiTheme="minorHAnsi" w:hAnsiTheme="minorHAnsi"/>
          <w:color w:val="auto"/>
          <w:szCs w:val="24"/>
        </w:rPr>
        <w:t>nt record</w:t>
      </w:r>
      <w:r w:rsidR="00225441" w:rsidRPr="00CB3247">
        <w:rPr>
          <w:rFonts w:asciiTheme="minorHAnsi" w:hAnsiTheme="minorHAnsi"/>
          <w:color w:val="auto"/>
          <w:szCs w:val="24"/>
        </w:rPr>
        <w:t xml:space="preserve"> (STR)</w:t>
      </w:r>
      <w:r w:rsidRPr="00CB3247">
        <w:rPr>
          <w:rFonts w:asciiTheme="minorHAnsi" w:hAnsiTheme="minorHAnsi"/>
          <w:color w:val="auto"/>
          <w:szCs w:val="24"/>
        </w:rPr>
        <w:t>.</w:t>
      </w:r>
      <w:r>
        <w:rPr>
          <w:rFonts w:asciiTheme="minorHAnsi" w:hAnsiTheme="minorHAnsi"/>
          <w:color w:val="auto"/>
          <w:szCs w:val="24"/>
        </w:rPr>
        <w:t xml:space="preserve">  Other than the one referenced MEB clinic visit (not itself in evidence), there is no evidence </w:t>
      </w:r>
      <w:r w:rsidR="00225441">
        <w:rPr>
          <w:rFonts w:asciiTheme="minorHAnsi" w:hAnsiTheme="minorHAnsi"/>
          <w:color w:val="auto"/>
          <w:szCs w:val="24"/>
        </w:rPr>
        <w:t xml:space="preserve">in the STR </w:t>
      </w:r>
      <w:r w:rsidR="00A14D3B">
        <w:rPr>
          <w:rFonts w:asciiTheme="minorHAnsi" w:hAnsiTheme="minorHAnsi"/>
          <w:color w:val="auto"/>
          <w:szCs w:val="24"/>
        </w:rPr>
        <w:t>for</w:t>
      </w:r>
      <w:r>
        <w:rPr>
          <w:rFonts w:asciiTheme="minorHAnsi" w:hAnsiTheme="minorHAnsi"/>
          <w:color w:val="auto"/>
          <w:szCs w:val="24"/>
        </w:rPr>
        <w:t xml:space="preserve"> a clinically active migraine </w:t>
      </w:r>
      <w:r w:rsidR="00225441">
        <w:rPr>
          <w:rFonts w:asciiTheme="minorHAnsi" w:hAnsiTheme="minorHAnsi"/>
          <w:color w:val="auto"/>
          <w:szCs w:val="24"/>
        </w:rPr>
        <w:t xml:space="preserve">condition or </w:t>
      </w:r>
      <w:r w:rsidR="00A14D3B">
        <w:rPr>
          <w:rFonts w:asciiTheme="minorHAnsi" w:hAnsiTheme="minorHAnsi"/>
          <w:color w:val="auto"/>
          <w:szCs w:val="24"/>
        </w:rPr>
        <w:t xml:space="preserve">for </w:t>
      </w:r>
      <w:r w:rsidR="00225441">
        <w:rPr>
          <w:rFonts w:asciiTheme="minorHAnsi" w:hAnsiTheme="minorHAnsi"/>
          <w:color w:val="auto"/>
          <w:szCs w:val="24"/>
        </w:rPr>
        <w:t xml:space="preserve">outpatient management of a headache condition during the 12 months preceding separation.  There are, in fact, only three entries in the STR documenting rescue treatment of migraine: two in 2002 and one in 2000.  </w:t>
      </w:r>
      <w:r w:rsidR="00284A84">
        <w:rPr>
          <w:rFonts w:asciiTheme="minorHAnsi" w:hAnsiTheme="minorHAnsi"/>
          <w:color w:val="auto"/>
          <w:szCs w:val="24"/>
        </w:rPr>
        <w:t xml:space="preserve">None of these are probative to the VASRD </w:t>
      </w:r>
      <w:r w:rsidR="00284A84">
        <w:rPr>
          <w:rFonts w:asciiTheme="minorHAnsi" w:eastAsiaTheme="minorHAnsi" w:hAnsiTheme="minorHAnsi"/>
          <w:color w:val="auto"/>
          <w:szCs w:val="24"/>
        </w:rPr>
        <w:t>4.124a</w:t>
      </w:r>
      <w:r w:rsidR="00284A84">
        <w:rPr>
          <w:rFonts w:asciiTheme="minorHAnsi" w:hAnsiTheme="minorHAnsi"/>
          <w:color w:val="auto"/>
          <w:szCs w:val="24"/>
        </w:rPr>
        <w:t xml:space="preserve"> defined rating interval.  </w:t>
      </w:r>
      <w:r w:rsidR="00225441">
        <w:rPr>
          <w:rFonts w:asciiTheme="minorHAnsi" w:hAnsiTheme="minorHAnsi"/>
          <w:color w:val="auto"/>
          <w:szCs w:val="24"/>
        </w:rPr>
        <w:t xml:space="preserve">The CI’s profile did specifically direct that during a prostrating headache, </w:t>
      </w:r>
      <w:r w:rsidR="00DD74A9">
        <w:rPr>
          <w:rFonts w:asciiTheme="minorHAnsi" w:hAnsiTheme="minorHAnsi"/>
          <w:color w:val="auto"/>
          <w:szCs w:val="24"/>
        </w:rPr>
        <w:t>he</w:t>
      </w:r>
      <w:r w:rsidR="00225441">
        <w:rPr>
          <w:rFonts w:asciiTheme="minorHAnsi" w:hAnsiTheme="minorHAnsi"/>
          <w:color w:val="auto"/>
          <w:szCs w:val="24"/>
        </w:rPr>
        <w:t xml:space="preserve"> be allowed to</w:t>
      </w:r>
      <w:r w:rsidR="00284A84">
        <w:rPr>
          <w:rFonts w:asciiTheme="minorHAnsi" w:hAnsiTheme="minorHAnsi"/>
          <w:color w:val="auto"/>
          <w:szCs w:val="24"/>
        </w:rPr>
        <w:t xml:space="preserve"> rest or seek medical attention;</w:t>
      </w:r>
      <w:r w:rsidR="00225441">
        <w:rPr>
          <w:rFonts w:asciiTheme="minorHAnsi" w:hAnsiTheme="minorHAnsi"/>
          <w:color w:val="auto"/>
          <w:szCs w:val="24"/>
        </w:rPr>
        <w:t xml:space="preserve"> so it </w:t>
      </w:r>
      <w:r w:rsidR="00DD74A9">
        <w:rPr>
          <w:rFonts w:asciiTheme="minorHAnsi" w:hAnsiTheme="minorHAnsi"/>
          <w:color w:val="auto"/>
          <w:szCs w:val="24"/>
        </w:rPr>
        <w:t>could be speculated</w:t>
      </w:r>
      <w:r w:rsidR="00225441">
        <w:rPr>
          <w:rFonts w:asciiTheme="minorHAnsi" w:hAnsiTheme="minorHAnsi"/>
          <w:color w:val="auto"/>
          <w:szCs w:val="24"/>
        </w:rPr>
        <w:t xml:space="preserve"> that the CI may </w:t>
      </w:r>
      <w:r w:rsidR="00284A84">
        <w:rPr>
          <w:rFonts w:asciiTheme="minorHAnsi" w:hAnsiTheme="minorHAnsi"/>
          <w:color w:val="auto"/>
          <w:szCs w:val="24"/>
        </w:rPr>
        <w:t xml:space="preserve">not </w:t>
      </w:r>
      <w:r w:rsidR="00225441">
        <w:rPr>
          <w:rFonts w:asciiTheme="minorHAnsi" w:hAnsiTheme="minorHAnsi"/>
          <w:color w:val="auto"/>
          <w:szCs w:val="24"/>
        </w:rPr>
        <w:t xml:space="preserve">have </w:t>
      </w:r>
      <w:r w:rsidR="00284A84">
        <w:rPr>
          <w:rFonts w:asciiTheme="minorHAnsi" w:hAnsiTheme="minorHAnsi"/>
          <w:color w:val="auto"/>
          <w:szCs w:val="24"/>
        </w:rPr>
        <w:t>sought</w:t>
      </w:r>
      <w:r w:rsidR="00225441">
        <w:rPr>
          <w:rFonts w:asciiTheme="minorHAnsi" w:hAnsiTheme="minorHAnsi"/>
          <w:color w:val="auto"/>
          <w:szCs w:val="24"/>
        </w:rPr>
        <w:t xml:space="preserve"> medical care for treatment of his headaches</w:t>
      </w:r>
      <w:r w:rsidR="00284A84">
        <w:rPr>
          <w:rFonts w:asciiTheme="minorHAnsi" w:hAnsiTheme="minorHAnsi"/>
          <w:color w:val="auto"/>
          <w:szCs w:val="24"/>
        </w:rPr>
        <w:t xml:space="preserve">, but rather exercised his profile option of </w:t>
      </w:r>
      <w:r w:rsidR="00225441">
        <w:rPr>
          <w:rFonts w:asciiTheme="minorHAnsi" w:hAnsiTheme="minorHAnsi"/>
          <w:color w:val="auto"/>
          <w:szCs w:val="24"/>
        </w:rPr>
        <w:t>rest</w:t>
      </w:r>
      <w:r w:rsidR="00284A84">
        <w:rPr>
          <w:rFonts w:asciiTheme="minorHAnsi" w:hAnsiTheme="minorHAnsi"/>
          <w:color w:val="auto"/>
          <w:szCs w:val="24"/>
        </w:rPr>
        <w:t>ing only</w:t>
      </w:r>
      <w:r w:rsidR="00225441">
        <w:rPr>
          <w:rFonts w:asciiTheme="minorHAnsi" w:hAnsiTheme="minorHAnsi"/>
          <w:color w:val="auto"/>
          <w:szCs w:val="24"/>
        </w:rPr>
        <w:t xml:space="preserve">.  </w:t>
      </w:r>
      <w:r w:rsidR="00DD74A9">
        <w:rPr>
          <w:rFonts w:asciiTheme="minorHAnsi" w:hAnsiTheme="minorHAnsi"/>
          <w:color w:val="auto"/>
          <w:szCs w:val="24"/>
        </w:rPr>
        <w:t xml:space="preserve">It would be atypical </w:t>
      </w:r>
      <w:r w:rsidR="00284A84">
        <w:rPr>
          <w:rFonts w:asciiTheme="minorHAnsi" w:hAnsiTheme="minorHAnsi"/>
          <w:color w:val="auto"/>
          <w:szCs w:val="24"/>
        </w:rPr>
        <w:t xml:space="preserve">however </w:t>
      </w:r>
      <w:r w:rsidR="00DD74A9">
        <w:rPr>
          <w:rFonts w:asciiTheme="minorHAnsi" w:hAnsiTheme="minorHAnsi"/>
          <w:color w:val="auto"/>
          <w:szCs w:val="24"/>
        </w:rPr>
        <w:t>for a headache pattern of such severity</w:t>
      </w:r>
      <w:r w:rsidR="00284A84">
        <w:rPr>
          <w:rFonts w:asciiTheme="minorHAnsi" w:hAnsiTheme="minorHAnsi"/>
          <w:color w:val="auto"/>
          <w:szCs w:val="24"/>
        </w:rPr>
        <w:t>,</w:t>
      </w:r>
      <w:r w:rsidR="00DD74A9">
        <w:rPr>
          <w:rFonts w:asciiTheme="minorHAnsi" w:hAnsiTheme="minorHAnsi"/>
          <w:color w:val="auto"/>
          <w:szCs w:val="24"/>
        </w:rPr>
        <w:t xml:space="preserve"> and associated with such frequent duty loss</w:t>
      </w:r>
      <w:r w:rsidR="00284A84">
        <w:rPr>
          <w:rFonts w:asciiTheme="minorHAnsi" w:hAnsiTheme="minorHAnsi"/>
          <w:color w:val="auto"/>
          <w:szCs w:val="24"/>
        </w:rPr>
        <w:t>,</w:t>
      </w:r>
      <w:r w:rsidR="00DD74A9">
        <w:rPr>
          <w:rFonts w:asciiTheme="minorHAnsi" w:hAnsiTheme="minorHAnsi"/>
          <w:color w:val="auto"/>
          <w:szCs w:val="24"/>
        </w:rPr>
        <w:t xml:space="preserve"> to continue without medical consul</w:t>
      </w:r>
      <w:r w:rsidR="00284A84">
        <w:rPr>
          <w:rFonts w:asciiTheme="minorHAnsi" w:hAnsiTheme="minorHAnsi"/>
          <w:color w:val="auto"/>
          <w:szCs w:val="24"/>
        </w:rPr>
        <w:t>tation or supervision.</w:t>
      </w:r>
      <w:r w:rsidR="00CB3247">
        <w:rPr>
          <w:rFonts w:asciiTheme="minorHAnsi" w:hAnsiTheme="minorHAnsi"/>
          <w:color w:val="auto"/>
          <w:szCs w:val="24"/>
        </w:rPr>
        <w:t xml:space="preserve">  The c</w:t>
      </w:r>
      <w:r w:rsidR="00DD74A9">
        <w:rPr>
          <w:rFonts w:asciiTheme="minorHAnsi" w:hAnsiTheme="minorHAnsi"/>
          <w:color w:val="auto"/>
          <w:szCs w:val="24"/>
        </w:rPr>
        <w:t xml:space="preserve">ommander’s statement did not document either migraine headaches or work loss; noting only the physical MOS limitations inherent to the orthopedic conditions.  </w:t>
      </w:r>
      <w:r w:rsidR="00225441">
        <w:rPr>
          <w:rFonts w:asciiTheme="minorHAnsi" w:hAnsiTheme="minorHAnsi"/>
          <w:color w:val="auto"/>
          <w:szCs w:val="24"/>
        </w:rPr>
        <w:t xml:space="preserve">The </w:t>
      </w:r>
      <w:r w:rsidR="00284A84">
        <w:rPr>
          <w:rFonts w:asciiTheme="minorHAnsi" w:hAnsiTheme="minorHAnsi"/>
          <w:color w:val="auto"/>
          <w:szCs w:val="24"/>
        </w:rPr>
        <w:t xml:space="preserve">pre-separation </w:t>
      </w:r>
      <w:r w:rsidR="00225441">
        <w:rPr>
          <w:rFonts w:asciiTheme="minorHAnsi" w:hAnsiTheme="minorHAnsi"/>
          <w:color w:val="auto"/>
          <w:szCs w:val="24"/>
        </w:rPr>
        <w:t>VA C&amp;P examination added no additional information.</w:t>
      </w:r>
    </w:p>
    <w:p w:rsidR="00DD74A9" w:rsidRDefault="00DD74A9" w:rsidP="007C04EB">
      <w:pPr>
        <w:tabs>
          <w:tab w:val="left" w:pos="288"/>
          <w:tab w:val="left" w:pos="4752"/>
        </w:tabs>
        <w:spacing w:line="240" w:lineRule="exact"/>
        <w:jc w:val="both"/>
        <w:rPr>
          <w:rFonts w:asciiTheme="minorHAnsi" w:hAnsiTheme="minorHAnsi"/>
          <w:color w:val="auto"/>
          <w:szCs w:val="24"/>
        </w:rPr>
      </w:pPr>
    </w:p>
    <w:p w:rsidR="00852520" w:rsidRPr="007C04EB" w:rsidRDefault="00885840" w:rsidP="007C04EB">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olor w:val="auto"/>
          <w:szCs w:val="24"/>
        </w:rPr>
        <w:t>B</w:t>
      </w:r>
      <w:r w:rsidRPr="00AF1D2B">
        <w:rPr>
          <w:rFonts w:asciiTheme="minorHAnsi" w:hAnsiTheme="minorHAnsi"/>
          <w:color w:val="auto"/>
          <w:szCs w:val="24"/>
        </w:rPr>
        <w:t xml:space="preserve">ased on the </w:t>
      </w:r>
      <w:r>
        <w:rPr>
          <w:rFonts w:asciiTheme="minorHAnsi" w:hAnsiTheme="minorHAnsi"/>
          <w:color w:val="auto"/>
          <w:szCs w:val="24"/>
        </w:rPr>
        <w:t>above evidence</w:t>
      </w:r>
      <w:r w:rsidR="00FE6F40">
        <w:rPr>
          <w:rFonts w:asciiTheme="minorHAnsi" w:hAnsiTheme="minorHAnsi"/>
          <w:color w:val="auto"/>
          <w:szCs w:val="24"/>
        </w:rPr>
        <w:t xml:space="preserve">, </w:t>
      </w:r>
      <w:r>
        <w:rPr>
          <w:rFonts w:asciiTheme="minorHAnsi" w:hAnsiTheme="minorHAnsi"/>
          <w:color w:val="auto"/>
          <w:szCs w:val="24"/>
        </w:rPr>
        <w:t>t</w:t>
      </w:r>
      <w:r w:rsidRPr="00AF1D2B">
        <w:rPr>
          <w:rFonts w:asciiTheme="minorHAnsi" w:hAnsiTheme="minorHAnsi"/>
          <w:color w:val="auto"/>
          <w:szCs w:val="24"/>
        </w:rPr>
        <w:t xml:space="preserve">he Board directs its attention to </w:t>
      </w:r>
      <w:r>
        <w:rPr>
          <w:rFonts w:asciiTheme="minorHAnsi" w:hAnsiTheme="minorHAnsi"/>
          <w:color w:val="auto"/>
          <w:szCs w:val="24"/>
        </w:rPr>
        <w:t xml:space="preserve">a rating recommendation for the </w:t>
      </w:r>
      <w:r w:rsidR="00FE6F40">
        <w:rPr>
          <w:rFonts w:asciiTheme="minorHAnsi" w:hAnsiTheme="minorHAnsi"/>
          <w:color w:val="auto"/>
          <w:szCs w:val="24"/>
        </w:rPr>
        <w:t xml:space="preserve">migraine </w:t>
      </w:r>
      <w:r w:rsidR="00E61287">
        <w:rPr>
          <w:rFonts w:asciiTheme="minorHAnsi" w:hAnsiTheme="minorHAnsi"/>
          <w:color w:val="auto"/>
          <w:szCs w:val="24"/>
        </w:rPr>
        <w:t>h</w:t>
      </w:r>
      <w:r>
        <w:rPr>
          <w:rFonts w:asciiTheme="minorHAnsi" w:hAnsiTheme="minorHAnsi"/>
          <w:color w:val="auto"/>
          <w:szCs w:val="24"/>
        </w:rPr>
        <w:t xml:space="preserve">eadache condition.  </w:t>
      </w:r>
      <w:r w:rsidR="00FE6F40">
        <w:rPr>
          <w:rFonts w:asciiTheme="minorHAnsi" w:hAnsiTheme="minorHAnsi"/>
          <w:color w:val="auto"/>
          <w:szCs w:val="24"/>
        </w:rPr>
        <w:t>Migrai</w:t>
      </w:r>
      <w:r w:rsidR="00B24AC5">
        <w:rPr>
          <w:rFonts w:asciiTheme="minorHAnsi" w:hAnsiTheme="minorHAnsi"/>
          <w:color w:val="auto"/>
          <w:szCs w:val="24"/>
        </w:rPr>
        <w:t>ne headaches are</w:t>
      </w:r>
      <w:r>
        <w:rPr>
          <w:rFonts w:asciiTheme="minorHAnsi" w:hAnsiTheme="minorHAnsi"/>
          <w:color w:val="auto"/>
          <w:szCs w:val="24"/>
        </w:rPr>
        <w:t xml:space="preserve"> rated under code 8100 which </w:t>
      </w:r>
      <w:r w:rsidRPr="002A634A">
        <w:rPr>
          <w:rFonts w:asciiTheme="minorHAnsi" w:hAnsiTheme="minorHAnsi"/>
          <w:color w:val="auto"/>
          <w:szCs w:val="24"/>
        </w:rPr>
        <w:t>hinges on the frequency of ‘prostrating’ attacks; and, it is incumbent on the Board to apply DoDI 6040.44-compliant and uniform criteria which would define a recurrent migraine episode as ‘prostrating’ and ratable.  Under DoDI 6040.44, the Board is directe</w:t>
      </w:r>
      <w:r w:rsidR="00CB3247">
        <w:rPr>
          <w:rFonts w:asciiTheme="minorHAnsi" w:hAnsiTheme="minorHAnsi"/>
          <w:color w:val="auto"/>
          <w:szCs w:val="24"/>
        </w:rPr>
        <w:t>d to: “u</w:t>
      </w:r>
      <w:r w:rsidRPr="002A634A">
        <w:rPr>
          <w:rFonts w:asciiTheme="minorHAnsi" w:hAnsiTheme="minorHAnsi"/>
          <w:color w:val="auto"/>
          <w:szCs w:val="24"/>
        </w:rPr>
        <w:t xml:space="preserve">se the VASRD in arriving at its recommendations, along with all applicable statutes, and any directives in effect at the time of the contested separation (to the extent they do not conflict with the VASRD in effect at the time of the contested separation).”  Since the VASRD does not provide a definition of ‘prostrating’, it can be argued that the Board is directed to apply the DoDI 1332.39 definition </w:t>
      </w:r>
      <w:r>
        <w:rPr>
          <w:rFonts w:asciiTheme="minorHAnsi" w:hAnsiTheme="minorHAnsi"/>
          <w:color w:val="auto"/>
          <w:szCs w:val="24"/>
        </w:rPr>
        <w:t xml:space="preserve">(i.e., </w:t>
      </w:r>
      <w:r w:rsidRPr="0002303C">
        <w:rPr>
          <w:rFonts w:asciiTheme="minorHAnsi" w:hAnsiTheme="minorHAnsi"/>
          <w:color w:val="auto"/>
          <w:szCs w:val="24"/>
        </w:rPr>
        <w:t>the Service</w:t>
      </w:r>
      <w:r>
        <w:rPr>
          <w:rFonts w:asciiTheme="minorHAnsi" w:hAnsiTheme="minorHAnsi"/>
          <w:color w:val="auto"/>
          <w:szCs w:val="24"/>
        </w:rPr>
        <w:t xml:space="preserve"> </w:t>
      </w:r>
      <w:r w:rsidRPr="0002303C">
        <w:rPr>
          <w:rFonts w:asciiTheme="minorHAnsi" w:hAnsiTheme="minorHAnsi"/>
          <w:color w:val="auto"/>
          <w:szCs w:val="24"/>
        </w:rPr>
        <w:t>member must stop what he is doing and seek medical attention</w:t>
      </w:r>
      <w:r>
        <w:rPr>
          <w:rFonts w:asciiTheme="minorHAnsi" w:hAnsiTheme="minorHAnsi"/>
          <w:color w:val="auto"/>
          <w:szCs w:val="24"/>
        </w:rPr>
        <w:t xml:space="preserve">).  </w:t>
      </w:r>
      <w:r w:rsidRPr="002A634A">
        <w:rPr>
          <w:rFonts w:asciiTheme="minorHAnsi" w:hAnsiTheme="minorHAnsi"/>
          <w:color w:val="auto"/>
          <w:szCs w:val="24"/>
        </w:rPr>
        <w:t xml:space="preserve">The Board, by precedence, has not required rigid proof of medical attention for each and every episode to characterize it as prostrating; but, does require reasonably convincing evidence that rated attacks force the abandonment of work </w:t>
      </w:r>
      <w:r w:rsidR="00A14D3B">
        <w:rPr>
          <w:rFonts w:asciiTheme="minorHAnsi" w:hAnsiTheme="minorHAnsi"/>
          <w:color w:val="auto"/>
          <w:szCs w:val="24"/>
        </w:rPr>
        <w:t>(</w:t>
      </w:r>
      <w:r w:rsidRPr="002A634A">
        <w:rPr>
          <w:rFonts w:asciiTheme="minorHAnsi" w:hAnsiTheme="minorHAnsi"/>
          <w:color w:val="auto"/>
          <w:szCs w:val="24"/>
        </w:rPr>
        <w:t>or current activity</w:t>
      </w:r>
      <w:r w:rsidR="00A14D3B">
        <w:rPr>
          <w:rFonts w:asciiTheme="minorHAnsi" w:hAnsiTheme="minorHAnsi"/>
          <w:color w:val="auto"/>
          <w:szCs w:val="24"/>
        </w:rPr>
        <w:t>)</w:t>
      </w:r>
      <w:r w:rsidRPr="002A634A">
        <w:rPr>
          <w:rFonts w:asciiTheme="minorHAnsi" w:hAnsiTheme="minorHAnsi"/>
          <w:color w:val="auto"/>
          <w:szCs w:val="24"/>
        </w:rPr>
        <w:t xml:space="preserve"> to treat the migraine</w:t>
      </w:r>
      <w:r>
        <w:rPr>
          <w:rFonts w:asciiTheme="minorHAnsi" w:hAnsiTheme="minorHAnsi"/>
          <w:color w:val="auto"/>
          <w:szCs w:val="24"/>
        </w:rPr>
        <w:t xml:space="preserve">, although allowing for </w:t>
      </w:r>
      <w:r w:rsidRPr="002A634A">
        <w:rPr>
          <w:rFonts w:asciiTheme="minorHAnsi" w:hAnsiTheme="minorHAnsi"/>
          <w:color w:val="auto"/>
          <w:szCs w:val="24"/>
        </w:rPr>
        <w:t>self-management</w:t>
      </w:r>
      <w:r>
        <w:rPr>
          <w:rFonts w:asciiTheme="minorHAnsi" w:hAnsiTheme="minorHAnsi"/>
          <w:color w:val="auto"/>
          <w:szCs w:val="24"/>
        </w:rPr>
        <w:t xml:space="preserve"> under medical supervision</w:t>
      </w:r>
      <w:r w:rsidRPr="002A634A">
        <w:rPr>
          <w:rFonts w:asciiTheme="minorHAnsi" w:hAnsiTheme="minorHAnsi"/>
          <w:color w:val="auto"/>
          <w:szCs w:val="24"/>
        </w:rPr>
        <w:t>.</w:t>
      </w:r>
      <w:r w:rsidR="000167F7">
        <w:rPr>
          <w:rFonts w:asciiTheme="minorHAnsi" w:hAnsiTheme="minorHAnsi" w:cstheme="minorHAnsi"/>
          <w:color w:val="auto"/>
          <w:szCs w:val="24"/>
        </w:rPr>
        <w:t xml:space="preserve">  </w:t>
      </w:r>
      <w:r w:rsidR="00B24AC5" w:rsidRPr="00F10FEE">
        <w:rPr>
          <w:rFonts w:asciiTheme="minorHAnsi" w:eastAsiaTheme="minorHAnsi" w:hAnsiTheme="minorHAnsi" w:cstheme="minorBidi"/>
          <w:color w:val="auto"/>
          <w:szCs w:val="24"/>
        </w:rPr>
        <w:t xml:space="preserve">The Board carefully considered the historical and subjective data presented, but was ultimately confronted by the </w:t>
      </w:r>
      <w:r w:rsidR="00B24AC5">
        <w:rPr>
          <w:rFonts w:asciiTheme="minorHAnsi" w:eastAsiaTheme="minorHAnsi" w:hAnsiTheme="minorHAnsi" w:cstheme="minorBidi"/>
          <w:color w:val="auto"/>
          <w:szCs w:val="24"/>
        </w:rPr>
        <w:t>paucity</w:t>
      </w:r>
      <w:r w:rsidR="00B24AC5" w:rsidRPr="00F10FEE">
        <w:rPr>
          <w:rFonts w:asciiTheme="minorHAnsi" w:eastAsiaTheme="minorHAnsi" w:hAnsiTheme="minorHAnsi" w:cstheme="minorBidi"/>
          <w:color w:val="auto"/>
          <w:szCs w:val="24"/>
        </w:rPr>
        <w:t xml:space="preserve"> of objective eviden</w:t>
      </w:r>
      <w:r w:rsidR="00087255">
        <w:rPr>
          <w:rFonts w:asciiTheme="minorHAnsi" w:eastAsiaTheme="minorHAnsi" w:hAnsiTheme="minorHAnsi" w:cstheme="minorBidi"/>
          <w:color w:val="auto"/>
          <w:szCs w:val="24"/>
        </w:rPr>
        <w:t xml:space="preserve">ce </w:t>
      </w:r>
      <w:r w:rsidR="00B24AC5" w:rsidRPr="00F10FEE">
        <w:rPr>
          <w:rFonts w:asciiTheme="minorHAnsi" w:eastAsiaTheme="minorHAnsi" w:hAnsiTheme="minorHAnsi" w:cstheme="minorBidi"/>
          <w:color w:val="auto"/>
          <w:szCs w:val="24"/>
        </w:rPr>
        <w:t xml:space="preserve">or </w:t>
      </w:r>
      <w:r w:rsidR="00DD74A9">
        <w:rPr>
          <w:rFonts w:asciiTheme="minorHAnsi" w:eastAsiaTheme="minorHAnsi" w:hAnsiTheme="minorHAnsi" w:cstheme="minorBidi"/>
          <w:color w:val="auto"/>
          <w:szCs w:val="24"/>
        </w:rPr>
        <w:t xml:space="preserve">even </w:t>
      </w:r>
      <w:r w:rsidR="00DD74A9" w:rsidRPr="00F10FEE">
        <w:rPr>
          <w:rFonts w:asciiTheme="minorHAnsi" w:eastAsiaTheme="minorHAnsi" w:hAnsiTheme="minorHAnsi" w:cstheme="minorBidi"/>
          <w:color w:val="auto"/>
          <w:szCs w:val="24"/>
        </w:rPr>
        <w:t>corroborati</w:t>
      </w:r>
      <w:r w:rsidR="00DD74A9">
        <w:rPr>
          <w:rFonts w:asciiTheme="minorHAnsi" w:eastAsiaTheme="minorHAnsi" w:hAnsiTheme="minorHAnsi" w:cstheme="minorBidi"/>
          <w:color w:val="auto"/>
          <w:szCs w:val="24"/>
        </w:rPr>
        <w:t xml:space="preserve">ng </w:t>
      </w:r>
      <w:r w:rsidR="00B24AC5">
        <w:rPr>
          <w:rFonts w:asciiTheme="minorHAnsi" w:eastAsiaTheme="minorHAnsi" w:hAnsiTheme="minorHAnsi" w:cstheme="minorBidi"/>
          <w:color w:val="auto"/>
          <w:szCs w:val="24"/>
        </w:rPr>
        <w:t xml:space="preserve">subjective evidence that </w:t>
      </w:r>
      <w:r w:rsidR="00DD74A9">
        <w:rPr>
          <w:rFonts w:asciiTheme="minorHAnsi" w:eastAsiaTheme="minorHAnsi" w:hAnsiTheme="minorHAnsi" w:cstheme="minorBidi"/>
          <w:color w:val="auto"/>
          <w:szCs w:val="24"/>
        </w:rPr>
        <w:t>a reasonable</w:t>
      </w:r>
      <w:r w:rsidR="00B24AC5">
        <w:rPr>
          <w:rFonts w:asciiTheme="minorHAnsi" w:eastAsiaTheme="minorHAnsi" w:hAnsiTheme="minorHAnsi" w:cstheme="minorBidi"/>
          <w:color w:val="auto"/>
          <w:szCs w:val="24"/>
        </w:rPr>
        <w:t xml:space="preserve"> </w:t>
      </w:r>
      <w:r w:rsidR="00087255">
        <w:rPr>
          <w:rFonts w:asciiTheme="minorHAnsi" w:eastAsiaTheme="minorHAnsi" w:hAnsiTheme="minorHAnsi" w:cstheme="minorBidi"/>
          <w:color w:val="auto"/>
          <w:szCs w:val="24"/>
        </w:rPr>
        <w:t xml:space="preserve">threshold </w:t>
      </w:r>
      <w:r w:rsidR="00DD74A9">
        <w:rPr>
          <w:rFonts w:asciiTheme="minorHAnsi" w:eastAsiaTheme="minorHAnsi" w:hAnsiTheme="minorHAnsi" w:cstheme="minorBidi"/>
          <w:color w:val="auto"/>
          <w:szCs w:val="24"/>
        </w:rPr>
        <w:t xml:space="preserve">for supporting any </w:t>
      </w:r>
      <w:r w:rsidR="00087255">
        <w:rPr>
          <w:rFonts w:asciiTheme="minorHAnsi" w:eastAsiaTheme="minorHAnsi" w:hAnsiTheme="minorHAnsi" w:cstheme="minorBidi"/>
          <w:color w:val="auto"/>
          <w:szCs w:val="24"/>
        </w:rPr>
        <w:t xml:space="preserve">prostrating attacks was </w:t>
      </w:r>
      <w:r w:rsidR="00B24AC5" w:rsidRPr="00F10FEE">
        <w:rPr>
          <w:rFonts w:asciiTheme="minorHAnsi" w:eastAsiaTheme="minorHAnsi" w:hAnsiTheme="minorHAnsi" w:cstheme="minorBidi"/>
          <w:color w:val="auto"/>
          <w:szCs w:val="24"/>
        </w:rPr>
        <w:t>met</w:t>
      </w:r>
      <w:r w:rsidR="00087255">
        <w:rPr>
          <w:rFonts w:asciiTheme="minorHAnsi" w:eastAsiaTheme="minorHAnsi" w:hAnsiTheme="minorHAnsi" w:cstheme="minorBidi"/>
          <w:color w:val="auto"/>
          <w:szCs w:val="24"/>
        </w:rPr>
        <w:t xml:space="preserve"> </w:t>
      </w:r>
      <w:r w:rsidR="00AA0C0B">
        <w:rPr>
          <w:rFonts w:asciiTheme="minorHAnsi" w:eastAsiaTheme="minorHAnsi" w:hAnsiTheme="minorHAnsi" w:cstheme="minorBidi"/>
          <w:color w:val="auto"/>
          <w:szCs w:val="24"/>
        </w:rPr>
        <w:t>in this case</w:t>
      </w:r>
      <w:r w:rsidR="00087255">
        <w:rPr>
          <w:rFonts w:asciiTheme="minorHAnsi" w:eastAsiaTheme="minorHAnsi" w:hAnsiTheme="minorHAnsi" w:cstheme="minorBidi"/>
          <w:color w:val="auto"/>
          <w:szCs w:val="24"/>
        </w:rPr>
        <w:t xml:space="preserve">. </w:t>
      </w:r>
      <w:r w:rsidR="00B24AC5" w:rsidRPr="00F10FEE">
        <w:rPr>
          <w:rFonts w:asciiTheme="minorHAnsi" w:eastAsiaTheme="minorHAnsi" w:hAnsiTheme="minorHAnsi" w:cstheme="minorBidi"/>
          <w:color w:val="auto"/>
          <w:szCs w:val="24"/>
        </w:rPr>
        <w:t xml:space="preserve"> </w:t>
      </w:r>
      <w:r w:rsidR="00AA0C0B">
        <w:rPr>
          <w:rFonts w:asciiTheme="minorHAnsi" w:eastAsiaTheme="minorHAnsi" w:hAnsiTheme="minorHAnsi" w:cstheme="minorBidi"/>
          <w:color w:val="auto"/>
          <w:szCs w:val="24"/>
        </w:rPr>
        <w:t xml:space="preserve">The lowest compensable rating under 8100 requires </w:t>
      </w:r>
      <w:r w:rsidR="00CB3247">
        <w:rPr>
          <w:rFonts w:asciiTheme="minorHAnsi" w:eastAsiaTheme="minorHAnsi" w:hAnsiTheme="minorHAnsi" w:cstheme="minorBidi"/>
          <w:color w:val="auto"/>
          <w:szCs w:val="24"/>
        </w:rPr>
        <w:t>at least infrequent (one every two</w:t>
      </w:r>
      <w:r w:rsidR="00AA0C0B">
        <w:rPr>
          <w:rFonts w:asciiTheme="minorHAnsi" w:eastAsiaTheme="minorHAnsi" w:hAnsiTheme="minorHAnsi" w:cstheme="minorBidi"/>
          <w:color w:val="auto"/>
          <w:szCs w:val="24"/>
        </w:rPr>
        <w:t xml:space="preserve"> months) prostrating attacks.  </w:t>
      </w:r>
      <w:r w:rsidR="007C04EB">
        <w:rPr>
          <w:rFonts w:asciiTheme="minorHAnsi" w:hAnsiTheme="minorHAnsi"/>
          <w:color w:val="auto"/>
          <w:szCs w:val="24"/>
        </w:rPr>
        <w:t xml:space="preserve">The Board concluded </w:t>
      </w:r>
      <w:r w:rsidR="00AA0C0B">
        <w:rPr>
          <w:rFonts w:asciiTheme="minorHAnsi" w:hAnsiTheme="minorHAnsi"/>
          <w:color w:val="auto"/>
          <w:szCs w:val="24"/>
        </w:rPr>
        <w:t>that</w:t>
      </w:r>
      <w:r w:rsidR="00546569">
        <w:rPr>
          <w:rFonts w:asciiTheme="minorHAnsi" w:hAnsiTheme="minorHAnsi"/>
          <w:color w:val="auto"/>
          <w:szCs w:val="24"/>
        </w:rPr>
        <w:t>,</w:t>
      </w:r>
      <w:r w:rsidR="00AA0C0B">
        <w:rPr>
          <w:rFonts w:asciiTheme="minorHAnsi" w:hAnsiTheme="minorHAnsi"/>
          <w:color w:val="auto"/>
          <w:szCs w:val="24"/>
        </w:rPr>
        <w:t xml:space="preserve"> </w:t>
      </w:r>
      <w:r w:rsidR="007C04EB">
        <w:rPr>
          <w:rFonts w:asciiTheme="minorHAnsi" w:hAnsiTheme="minorHAnsi"/>
          <w:color w:val="auto"/>
          <w:szCs w:val="24"/>
        </w:rPr>
        <w:t>while</w:t>
      </w:r>
      <w:r>
        <w:rPr>
          <w:rFonts w:asciiTheme="minorHAnsi" w:hAnsiTheme="minorHAnsi"/>
          <w:color w:val="auto"/>
          <w:szCs w:val="24"/>
        </w:rPr>
        <w:t xml:space="preserve"> </w:t>
      </w:r>
      <w:r w:rsidR="007C04EB">
        <w:rPr>
          <w:rFonts w:asciiTheme="minorHAnsi" w:hAnsiTheme="minorHAnsi"/>
          <w:color w:val="auto"/>
          <w:szCs w:val="24"/>
        </w:rPr>
        <w:t xml:space="preserve">the evidence supported </w:t>
      </w:r>
      <w:r w:rsidR="00AA0C0B">
        <w:rPr>
          <w:rFonts w:asciiTheme="minorHAnsi" w:hAnsiTheme="minorHAnsi"/>
          <w:color w:val="auto"/>
          <w:szCs w:val="24"/>
        </w:rPr>
        <w:t xml:space="preserve">frequent occurrence of headaches, it did not </w:t>
      </w:r>
      <w:r w:rsidR="00AA0C0B">
        <w:rPr>
          <w:rFonts w:asciiTheme="minorHAnsi" w:hAnsiTheme="minorHAnsi"/>
          <w:color w:val="auto"/>
          <w:szCs w:val="24"/>
        </w:rPr>
        <w:lastRenderedPageBreak/>
        <w:t>support the lowest compensable rating under 8100</w:t>
      </w:r>
      <w:r w:rsidR="007C04EB">
        <w:rPr>
          <w:rFonts w:asciiTheme="minorHAnsi" w:hAnsiTheme="minorHAnsi"/>
          <w:color w:val="auto"/>
          <w:szCs w:val="24"/>
        </w:rPr>
        <w:t xml:space="preserve">.  </w:t>
      </w:r>
      <w:r w:rsidR="00AA0C0B">
        <w:rPr>
          <w:rFonts w:asciiTheme="minorHAnsi" w:hAnsiTheme="minorHAnsi"/>
          <w:color w:val="auto"/>
          <w:szCs w:val="24"/>
        </w:rPr>
        <w:t xml:space="preserve">This is the same conclusion reached by the PEB and the VA.  </w:t>
      </w:r>
      <w:r w:rsidR="00852520" w:rsidRPr="00664296">
        <w:rPr>
          <w:rFonts w:asciiTheme="minorHAnsi" w:hAnsiTheme="minorHAnsi"/>
          <w:color w:val="auto"/>
          <w:szCs w:val="24"/>
        </w:rPr>
        <w:t xml:space="preserve">All evidence considered, there is not reasonable doubt in the CI’s favor supporting a change from the PEB’s </w:t>
      </w:r>
      <w:r w:rsidR="00AA0C0B">
        <w:rPr>
          <w:rFonts w:asciiTheme="minorHAnsi" w:hAnsiTheme="minorHAnsi"/>
          <w:color w:val="auto"/>
          <w:szCs w:val="24"/>
        </w:rPr>
        <w:t>adjudication of</w:t>
      </w:r>
      <w:r w:rsidR="00852520" w:rsidRPr="00664296">
        <w:rPr>
          <w:rFonts w:asciiTheme="minorHAnsi" w:hAnsiTheme="minorHAnsi"/>
          <w:color w:val="auto"/>
          <w:szCs w:val="24"/>
        </w:rPr>
        <w:t xml:space="preserve"> the </w:t>
      </w:r>
      <w:r w:rsidR="00852520">
        <w:rPr>
          <w:rFonts w:asciiTheme="minorHAnsi" w:hAnsiTheme="minorHAnsi"/>
          <w:color w:val="auto"/>
          <w:szCs w:val="24"/>
        </w:rPr>
        <w:t xml:space="preserve">migraine headache </w:t>
      </w:r>
      <w:r w:rsidR="00852520" w:rsidRPr="00664296">
        <w:rPr>
          <w:rFonts w:asciiTheme="minorHAnsi" w:hAnsiTheme="minorHAnsi"/>
          <w:color w:val="auto"/>
          <w:szCs w:val="24"/>
        </w:rPr>
        <w:t>condition.</w:t>
      </w:r>
    </w:p>
    <w:p w:rsidR="00885840" w:rsidRDefault="00885840" w:rsidP="00885840">
      <w:pPr>
        <w:spacing w:line="240" w:lineRule="exact"/>
        <w:jc w:val="both"/>
        <w:rPr>
          <w:rFonts w:asciiTheme="minorHAnsi" w:hAnsiTheme="minorHAnsi"/>
          <w:color w:val="auto"/>
          <w:szCs w:val="24"/>
        </w:rPr>
      </w:pPr>
    </w:p>
    <w:p w:rsidR="00A14D3B" w:rsidRDefault="00664296" w:rsidP="005630FC">
      <w:pPr>
        <w:spacing w:line="240" w:lineRule="exact"/>
        <w:jc w:val="both"/>
        <w:rPr>
          <w:rFonts w:asciiTheme="minorHAnsi" w:eastAsia="HiddenHorzOCR" w:hAnsiTheme="minorHAnsi"/>
          <w:color w:val="auto"/>
          <w:szCs w:val="24"/>
        </w:rPr>
      </w:pPr>
      <w:r w:rsidRPr="005630FC">
        <w:rPr>
          <w:rFonts w:asciiTheme="minorHAnsi" w:eastAsia="HiddenHorzOCR" w:hAnsiTheme="minorHAnsi"/>
          <w:color w:val="auto"/>
          <w:szCs w:val="24"/>
          <w:u w:val="single"/>
        </w:rPr>
        <w:t>Other PEB Conditions</w:t>
      </w:r>
      <w:r w:rsidRPr="005630FC">
        <w:rPr>
          <w:rFonts w:asciiTheme="minorHAnsi" w:eastAsia="HiddenHorzOCR" w:hAnsiTheme="minorHAnsi"/>
          <w:color w:val="auto"/>
          <w:szCs w:val="24"/>
        </w:rPr>
        <w:t xml:space="preserve">. </w:t>
      </w:r>
      <w:r w:rsidR="0069613F">
        <w:rPr>
          <w:rFonts w:asciiTheme="minorHAnsi" w:eastAsia="HiddenHorzOCR" w:hAnsiTheme="minorHAnsi"/>
          <w:color w:val="auto"/>
          <w:szCs w:val="24"/>
        </w:rPr>
        <w:t xml:space="preserve"> </w:t>
      </w:r>
      <w:r w:rsidRPr="005630FC">
        <w:rPr>
          <w:rFonts w:asciiTheme="minorHAnsi" w:eastAsia="HiddenHorzOCR" w:hAnsiTheme="minorHAnsi"/>
          <w:color w:val="auto"/>
          <w:szCs w:val="24"/>
        </w:rPr>
        <w:t xml:space="preserve">The other conditions forwarded by the MEB and adjudicated as not unfitting by the PEB were </w:t>
      </w:r>
      <w:r w:rsidR="007D4D5B" w:rsidRPr="005630FC">
        <w:rPr>
          <w:rFonts w:asciiTheme="minorHAnsi" w:eastAsia="HiddenHorzOCR" w:hAnsiTheme="minorHAnsi"/>
          <w:color w:val="auto"/>
          <w:szCs w:val="24"/>
        </w:rPr>
        <w:t>coronary artery disease, hypertension, and hyperlipidemia</w:t>
      </w:r>
      <w:r w:rsidRPr="005630FC">
        <w:rPr>
          <w:rFonts w:asciiTheme="minorHAnsi" w:eastAsia="HiddenHorzOCR" w:hAnsiTheme="minorHAnsi"/>
          <w:color w:val="auto"/>
          <w:szCs w:val="24"/>
        </w:rPr>
        <w:t>.</w:t>
      </w:r>
      <w:r w:rsidR="00852520" w:rsidRPr="005630FC">
        <w:rPr>
          <w:rFonts w:asciiTheme="minorHAnsi" w:eastAsia="HiddenHorzOCR" w:hAnsiTheme="minorHAnsi"/>
          <w:color w:val="auto"/>
          <w:szCs w:val="24"/>
        </w:rPr>
        <w:t xml:space="preserve">  </w:t>
      </w:r>
      <w:r w:rsidR="00235B05" w:rsidRPr="00235B05">
        <w:rPr>
          <w:rFonts w:asciiTheme="minorHAnsi" w:eastAsia="HiddenHorzOCR" w:hAnsiTheme="minorHAnsi"/>
          <w:color w:val="auto"/>
          <w:szCs w:val="24"/>
        </w:rPr>
        <w:t>The Board’</w:t>
      </w:r>
      <w:r w:rsidR="00235B05">
        <w:rPr>
          <w:rFonts w:asciiTheme="minorHAnsi" w:eastAsia="HiddenHorzOCR" w:hAnsiTheme="minorHAnsi"/>
          <w:color w:val="auto"/>
          <w:szCs w:val="24"/>
        </w:rPr>
        <w:t>s main charge in respect to these</w:t>
      </w:r>
      <w:r w:rsidR="00235B05" w:rsidRPr="00235B05">
        <w:rPr>
          <w:rFonts w:asciiTheme="minorHAnsi" w:eastAsia="HiddenHorzOCR" w:hAnsiTheme="minorHAnsi"/>
          <w:color w:val="auto"/>
          <w:szCs w:val="24"/>
        </w:rPr>
        <w:t xml:space="preserve"> condition</w:t>
      </w:r>
      <w:r w:rsidR="00235B05">
        <w:rPr>
          <w:rFonts w:asciiTheme="minorHAnsi" w:eastAsia="HiddenHorzOCR" w:hAnsiTheme="minorHAnsi"/>
          <w:color w:val="auto"/>
          <w:szCs w:val="24"/>
        </w:rPr>
        <w:t>s</w:t>
      </w:r>
      <w:r w:rsidR="00235B05" w:rsidRPr="00235B05">
        <w:rPr>
          <w:rFonts w:asciiTheme="minorHAnsi" w:eastAsia="HiddenHorzOCR" w:hAnsiTheme="minorHAnsi"/>
          <w:color w:val="auto"/>
          <w:szCs w:val="24"/>
        </w:rPr>
        <w:t xml:space="preserve"> is an assessment of the appropriateness of the PEB’s fitness adjudication</w:t>
      </w:r>
      <w:r w:rsidR="00235B05">
        <w:rPr>
          <w:rFonts w:asciiTheme="minorHAnsi" w:eastAsia="HiddenHorzOCR" w:hAnsiTheme="minorHAnsi"/>
          <w:color w:val="auto"/>
          <w:szCs w:val="24"/>
        </w:rPr>
        <w:t>s</w:t>
      </w:r>
      <w:r w:rsidR="00235B05" w:rsidRPr="00235B05">
        <w:rPr>
          <w:rFonts w:asciiTheme="minorHAnsi" w:eastAsia="HiddenHorzOCR"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  </w:t>
      </w:r>
      <w:r w:rsidR="00546569" w:rsidRPr="005630FC">
        <w:rPr>
          <w:rFonts w:asciiTheme="minorHAnsi" w:eastAsia="HiddenHorzOCR" w:hAnsiTheme="minorHAnsi"/>
          <w:color w:val="auto"/>
          <w:szCs w:val="24"/>
        </w:rPr>
        <w:t xml:space="preserve">The MEB was initiated because of </w:t>
      </w:r>
      <w:r w:rsidR="00546569">
        <w:rPr>
          <w:rFonts w:asciiTheme="minorHAnsi" w:eastAsia="HiddenHorzOCR" w:hAnsiTheme="minorHAnsi"/>
          <w:color w:val="auto"/>
          <w:szCs w:val="24"/>
        </w:rPr>
        <w:t>the</w:t>
      </w:r>
      <w:r w:rsidR="00546569" w:rsidRPr="005630FC">
        <w:rPr>
          <w:rFonts w:asciiTheme="minorHAnsi" w:eastAsia="HiddenHorzOCR" w:hAnsiTheme="minorHAnsi"/>
          <w:color w:val="auto"/>
          <w:szCs w:val="24"/>
        </w:rPr>
        <w:t xml:space="preserve"> heart attack </w:t>
      </w:r>
      <w:r w:rsidR="00546569">
        <w:rPr>
          <w:rFonts w:asciiTheme="minorHAnsi" w:eastAsia="HiddenHorzOCR" w:hAnsiTheme="minorHAnsi"/>
          <w:color w:val="auto"/>
          <w:szCs w:val="24"/>
        </w:rPr>
        <w:t xml:space="preserve">from coronary disease.  </w:t>
      </w:r>
      <w:r w:rsidR="00AA0C0B">
        <w:rPr>
          <w:rFonts w:asciiTheme="minorHAnsi" w:eastAsia="HiddenHorzOCR" w:hAnsiTheme="minorHAnsi"/>
          <w:color w:val="auto"/>
          <w:szCs w:val="24"/>
        </w:rPr>
        <w:t>The</w:t>
      </w:r>
      <w:r w:rsidR="00852520" w:rsidRPr="005630FC">
        <w:rPr>
          <w:rFonts w:asciiTheme="minorHAnsi" w:eastAsia="HiddenHorzOCR" w:hAnsiTheme="minorHAnsi"/>
          <w:color w:val="auto"/>
          <w:szCs w:val="24"/>
        </w:rPr>
        <w:t xml:space="preserve"> </w:t>
      </w:r>
      <w:r w:rsidR="00AA0C0B">
        <w:rPr>
          <w:rFonts w:asciiTheme="minorHAnsi" w:eastAsia="HiddenHorzOCR" w:hAnsiTheme="minorHAnsi"/>
          <w:color w:val="auto"/>
          <w:szCs w:val="24"/>
        </w:rPr>
        <w:t xml:space="preserve">CI </w:t>
      </w:r>
      <w:r w:rsidR="00852520" w:rsidRPr="005630FC">
        <w:rPr>
          <w:rFonts w:asciiTheme="minorHAnsi" w:eastAsia="HiddenHorzOCR" w:hAnsiTheme="minorHAnsi"/>
          <w:color w:val="auto"/>
          <w:szCs w:val="24"/>
        </w:rPr>
        <w:t xml:space="preserve">was treated appropriately and </w:t>
      </w:r>
      <w:r w:rsidR="00235B05">
        <w:rPr>
          <w:rFonts w:asciiTheme="minorHAnsi" w:eastAsia="HiddenHorzOCR" w:hAnsiTheme="minorHAnsi"/>
          <w:color w:val="auto"/>
          <w:szCs w:val="24"/>
        </w:rPr>
        <w:t xml:space="preserve">was </w:t>
      </w:r>
      <w:r w:rsidR="00AA0C0B">
        <w:rPr>
          <w:rFonts w:asciiTheme="minorHAnsi" w:eastAsia="HiddenHorzOCR" w:hAnsiTheme="minorHAnsi"/>
          <w:color w:val="auto"/>
          <w:szCs w:val="24"/>
        </w:rPr>
        <w:t>stable</w:t>
      </w:r>
      <w:r w:rsidR="00852520" w:rsidRPr="005630FC">
        <w:rPr>
          <w:rFonts w:asciiTheme="minorHAnsi" w:eastAsia="HiddenHorzOCR" w:hAnsiTheme="minorHAnsi"/>
          <w:color w:val="auto"/>
          <w:szCs w:val="24"/>
        </w:rPr>
        <w:t xml:space="preserve"> on cardioprotective medications </w:t>
      </w:r>
      <w:r w:rsidR="00AC06FA" w:rsidRPr="005630FC">
        <w:rPr>
          <w:rFonts w:asciiTheme="minorHAnsi" w:eastAsia="HiddenHorzOCR" w:hAnsiTheme="minorHAnsi"/>
          <w:color w:val="auto"/>
          <w:szCs w:val="24"/>
        </w:rPr>
        <w:t xml:space="preserve">at the time of separation.  Follow-up studies to include an electrocardiogram, </w:t>
      </w:r>
      <w:r w:rsidR="00852520" w:rsidRPr="005630FC">
        <w:rPr>
          <w:rFonts w:asciiTheme="minorHAnsi" w:eastAsia="HiddenHorzOCR" w:hAnsiTheme="minorHAnsi"/>
          <w:color w:val="auto"/>
          <w:szCs w:val="24"/>
        </w:rPr>
        <w:t>graded exercise tolerance test (full Bruce protocol)</w:t>
      </w:r>
      <w:r w:rsidR="00AC06FA" w:rsidRPr="005630FC">
        <w:rPr>
          <w:rFonts w:asciiTheme="minorHAnsi" w:eastAsia="HiddenHorzOCR" w:hAnsiTheme="minorHAnsi"/>
          <w:color w:val="auto"/>
          <w:szCs w:val="24"/>
        </w:rPr>
        <w:t xml:space="preserve">, and a </w:t>
      </w:r>
      <w:r w:rsidR="00852520" w:rsidRPr="005630FC">
        <w:rPr>
          <w:rFonts w:asciiTheme="minorHAnsi" w:eastAsia="HiddenHorzOCR" w:hAnsiTheme="minorHAnsi"/>
          <w:color w:val="auto"/>
          <w:szCs w:val="24"/>
        </w:rPr>
        <w:t xml:space="preserve">transthoracic echocardiogram </w:t>
      </w:r>
      <w:r w:rsidR="00AC06FA" w:rsidRPr="005630FC">
        <w:rPr>
          <w:rFonts w:asciiTheme="minorHAnsi" w:eastAsia="HiddenHorzOCR" w:hAnsiTheme="minorHAnsi"/>
          <w:color w:val="auto"/>
          <w:szCs w:val="24"/>
        </w:rPr>
        <w:t>were normal and revealed n</w:t>
      </w:r>
      <w:r w:rsidR="00AA0C0B">
        <w:rPr>
          <w:rFonts w:asciiTheme="minorHAnsi" w:eastAsia="HiddenHorzOCR" w:hAnsiTheme="minorHAnsi"/>
          <w:color w:val="auto"/>
          <w:szCs w:val="24"/>
        </w:rPr>
        <w:t>o evidence of residual cardiac dysfunction</w:t>
      </w:r>
      <w:r w:rsidR="00852520" w:rsidRPr="005630FC">
        <w:rPr>
          <w:rFonts w:asciiTheme="minorHAnsi" w:eastAsia="HiddenHorzOCR" w:hAnsiTheme="minorHAnsi"/>
          <w:color w:val="auto"/>
          <w:szCs w:val="24"/>
        </w:rPr>
        <w:t>.</w:t>
      </w:r>
      <w:r w:rsidR="00AC06FA" w:rsidRPr="005630FC">
        <w:rPr>
          <w:rFonts w:asciiTheme="minorHAnsi" w:eastAsia="HiddenHorzOCR" w:hAnsiTheme="minorHAnsi"/>
          <w:color w:val="auto"/>
          <w:szCs w:val="24"/>
        </w:rPr>
        <w:t xml:space="preserve">  </w:t>
      </w:r>
      <w:r w:rsidR="00AA0C0B">
        <w:rPr>
          <w:rFonts w:asciiTheme="minorHAnsi" w:eastAsia="HiddenHorzOCR" w:hAnsiTheme="minorHAnsi"/>
          <w:color w:val="auto"/>
          <w:szCs w:val="24"/>
        </w:rPr>
        <w:t>T</w:t>
      </w:r>
      <w:r w:rsidR="00AC06FA" w:rsidRPr="005630FC">
        <w:rPr>
          <w:rFonts w:asciiTheme="minorHAnsi" w:eastAsia="HiddenHorzOCR" w:hAnsiTheme="minorHAnsi"/>
          <w:color w:val="auto"/>
          <w:szCs w:val="24"/>
        </w:rPr>
        <w:t>he CI</w:t>
      </w:r>
      <w:r w:rsidR="0069613F">
        <w:rPr>
          <w:rFonts w:asciiTheme="minorHAnsi" w:eastAsia="HiddenHorzOCR" w:hAnsiTheme="minorHAnsi"/>
          <w:color w:val="auto"/>
          <w:szCs w:val="24"/>
        </w:rPr>
        <w:t xml:space="preserve"> was placed on a trial of duty </w:t>
      </w:r>
      <w:r w:rsidR="00AA0C0B">
        <w:rPr>
          <w:rFonts w:asciiTheme="minorHAnsi" w:eastAsia="HiddenHorzOCR" w:hAnsiTheme="minorHAnsi"/>
          <w:color w:val="auto"/>
          <w:szCs w:val="24"/>
        </w:rPr>
        <w:t xml:space="preserve">as authorized by regulation; </w:t>
      </w:r>
      <w:r w:rsidR="0069613F">
        <w:rPr>
          <w:rFonts w:asciiTheme="minorHAnsi" w:eastAsia="HiddenHorzOCR" w:hAnsiTheme="minorHAnsi"/>
          <w:color w:val="auto"/>
          <w:szCs w:val="24"/>
        </w:rPr>
        <w:t>and</w:t>
      </w:r>
      <w:r w:rsidR="00AA0C0B">
        <w:rPr>
          <w:rFonts w:asciiTheme="minorHAnsi" w:eastAsia="HiddenHorzOCR" w:hAnsiTheme="minorHAnsi"/>
          <w:color w:val="auto"/>
          <w:szCs w:val="24"/>
        </w:rPr>
        <w:t>,</w:t>
      </w:r>
      <w:r w:rsidR="0069613F">
        <w:rPr>
          <w:rFonts w:asciiTheme="minorHAnsi" w:eastAsia="HiddenHorzOCR" w:hAnsiTheme="minorHAnsi"/>
          <w:color w:val="auto"/>
          <w:szCs w:val="24"/>
        </w:rPr>
        <w:t xml:space="preserve"> based on the </w:t>
      </w:r>
      <w:r w:rsidR="005A3B69">
        <w:rPr>
          <w:rFonts w:asciiTheme="minorHAnsi" w:eastAsia="HiddenHorzOCR" w:hAnsiTheme="minorHAnsi"/>
          <w:color w:val="auto"/>
          <w:szCs w:val="24"/>
        </w:rPr>
        <w:t xml:space="preserve">above </w:t>
      </w:r>
      <w:r w:rsidR="00AA0C0B">
        <w:rPr>
          <w:rFonts w:asciiTheme="minorHAnsi" w:eastAsia="HiddenHorzOCR" w:hAnsiTheme="minorHAnsi"/>
          <w:color w:val="auto"/>
          <w:szCs w:val="24"/>
        </w:rPr>
        <w:t>evidence,</w:t>
      </w:r>
      <w:r w:rsidR="0069613F">
        <w:rPr>
          <w:rFonts w:asciiTheme="minorHAnsi" w:eastAsia="HiddenHorzOCR" w:hAnsiTheme="minorHAnsi"/>
          <w:color w:val="auto"/>
          <w:szCs w:val="24"/>
        </w:rPr>
        <w:t xml:space="preserve"> t</w:t>
      </w:r>
      <w:r w:rsidR="00AC06FA" w:rsidRPr="005630FC">
        <w:rPr>
          <w:rFonts w:asciiTheme="minorHAnsi" w:eastAsia="HiddenHorzOCR" w:hAnsiTheme="minorHAnsi"/>
          <w:color w:val="auto"/>
          <w:szCs w:val="24"/>
        </w:rPr>
        <w:t xml:space="preserve">he formal PEB determined that the coronary artery condition was not </w:t>
      </w:r>
      <w:r w:rsidR="00AA0C0B">
        <w:rPr>
          <w:rFonts w:asciiTheme="minorHAnsi" w:eastAsia="HiddenHorzOCR" w:hAnsiTheme="minorHAnsi"/>
          <w:color w:val="auto"/>
          <w:szCs w:val="24"/>
        </w:rPr>
        <w:t xml:space="preserve">itself </w:t>
      </w:r>
      <w:r w:rsidR="00AC06FA" w:rsidRPr="005630FC">
        <w:rPr>
          <w:rFonts w:asciiTheme="minorHAnsi" w:eastAsia="HiddenHorzOCR" w:hAnsiTheme="minorHAnsi"/>
          <w:color w:val="auto"/>
          <w:szCs w:val="24"/>
        </w:rPr>
        <w:t xml:space="preserve">unfitting at the time of separation.  </w:t>
      </w:r>
      <w:r w:rsidR="00A14D3B">
        <w:rPr>
          <w:rFonts w:asciiTheme="minorHAnsi" w:eastAsia="HiddenHorzOCR" w:hAnsiTheme="minorHAnsi"/>
          <w:color w:val="auto"/>
          <w:szCs w:val="24"/>
        </w:rPr>
        <w:t xml:space="preserve">All Board members agreed with that conclusion.  </w:t>
      </w:r>
    </w:p>
    <w:p w:rsidR="00A14D3B" w:rsidRDefault="00A14D3B" w:rsidP="005630FC">
      <w:pPr>
        <w:spacing w:line="240" w:lineRule="exact"/>
        <w:jc w:val="both"/>
        <w:rPr>
          <w:rFonts w:asciiTheme="minorHAnsi" w:eastAsia="HiddenHorzOCR" w:hAnsiTheme="minorHAnsi"/>
          <w:color w:val="auto"/>
          <w:szCs w:val="24"/>
        </w:rPr>
      </w:pPr>
    </w:p>
    <w:p w:rsidR="00664296" w:rsidRPr="005630FC" w:rsidRDefault="00AC06FA" w:rsidP="005630FC">
      <w:pPr>
        <w:spacing w:line="240" w:lineRule="exact"/>
        <w:jc w:val="both"/>
        <w:rPr>
          <w:rFonts w:asciiTheme="minorHAnsi" w:eastAsia="HiddenHorzOCR" w:hAnsiTheme="minorHAnsi"/>
          <w:color w:val="auto"/>
          <w:szCs w:val="24"/>
        </w:rPr>
      </w:pPr>
      <w:r w:rsidRPr="005630FC">
        <w:rPr>
          <w:rFonts w:asciiTheme="minorHAnsi" w:eastAsia="HiddenHorzOCR" w:hAnsiTheme="minorHAnsi"/>
          <w:color w:val="auto"/>
          <w:szCs w:val="24"/>
        </w:rPr>
        <w:t>T</w:t>
      </w:r>
      <w:r w:rsidR="00E7665D" w:rsidRPr="005630FC">
        <w:rPr>
          <w:rFonts w:asciiTheme="minorHAnsi" w:eastAsia="HiddenHorzOCR" w:hAnsiTheme="minorHAnsi"/>
          <w:color w:val="auto"/>
          <w:szCs w:val="24"/>
        </w:rPr>
        <w:t>he CI had be</w:t>
      </w:r>
      <w:r w:rsidR="005A3B69">
        <w:rPr>
          <w:rFonts w:asciiTheme="minorHAnsi" w:eastAsia="HiddenHorzOCR" w:hAnsiTheme="minorHAnsi"/>
          <w:color w:val="auto"/>
          <w:szCs w:val="24"/>
        </w:rPr>
        <w:t>en diagnosed with hypertension six</w:t>
      </w:r>
      <w:r w:rsidR="00E7665D" w:rsidRPr="005630FC">
        <w:rPr>
          <w:rFonts w:asciiTheme="minorHAnsi" w:eastAsia="HiddenHorzOCR" w:hAnsiTheme="minorHAnsi"/>
          <w:color w:val="auto"/>
          <w:szCs w:val="24"/>
        </w:rPr>
        <w:t xml:space="preserve"> years</w:t>
      </w:r>
      <w:r w:rsidRPr="005630FC">
        <w:rPr>
          <w:rFonts w:asciiTheme="minorHAnsi" w:eastAsia="HiddenHorzOCR" w:hAnsiTheme="minorHAnsi"/>
          <w:color w:val="auto"/>
          <w:szCs w:val="24"/>
        </w:rPr>
        <w:t xml:space="preserve"> prior to separation</w:t>
      </w:r>
      <w:r w:rsidR="00ED1863">
        <w:rPr>
          <w:rFonts w:asciiTheme="minorHAnsi" w:eastAsia="HiddenHorzOCR" w:hAnsiTheme="minorHAnsi"/>
          <w:color w:val="auto"/>
          <w:szCs w:val="24"/>
        </w:rPr>
        <w:t xml:space="preserve"> and </w:t>
      </w:r>
      <w:r w:rsidR="00546569">
        <w:rPr>
          <w:rFonts w:asciiTheme="minorHAnsi" w:eastAsia="HiddenHorzOCR" w:hAnsiTheme="minorHAnsi"/>
          <w:color w:val="auto"/>
          <w:szCs w:val="24"/>
        </w:rPr>
        <w:t>was</w:t>
      </w:r>
      <w:r w:rsidRPr="005630FC">
        <w:rPr>
          <w:rFonts w:asciiTheme="minorHAnsi" w:eastAsia="HiddenHorzOCR" w:hAnsiTheme="minorHAnsi"/>
          <w:color w:val="auto"/>
          <w:szCs w:val="24"/>
        </w:rPr>
        <w:t xml:space="preserve"> started on medication</w:t>
      </w:r>
      <w:r w:rsidR="00ED1863">
        <w:rPr>
          <w:rFonts w:asciiTheme="minorHAnsi" w:eastAsia="HiddenHorzOCR" w:hAnsiTheme="minorHAnsi"/>
          <w:color w:val="auto"/>
          <w:szCs w:val="24"/>
        </w:rPr>
        <w:t xml:space="preserve">.  </w:t>
      </w:r>
      <w:r w:rsidRPr="005630FC">
        <w:rPr>
          <w:rFonts w:asciiTheme="minorHAnsi" w:eastAsia="HiddenHorzOCR" w:hAnsiTheme="minorHAnsi"/>
          <w:color w:val="auto"/>
          <w:szCs w:val="24"/>
        </w:rPr>
        <w:t xml:space="preserve">Normal blood pressures on </w:t>
      </w:r>
      <w:r w:rsidR="00235B05">
        <w:rPr>
          <w:rFonts w:asciiTheme="minorHAnsi" w:eastAsia="HiddenHorzOCR" w:hAnsiTheme="minorHAnsi"/>
          <w:color w:val="auto"/>
          <w:szCs w:val="24"/>
        </w:rPr>
        <w:t>the</w:t>
      </w:r>
      <w:r w:rsidRPr="005630FC">
        <w:rPr>
          <w:rFonts w:asciiTheme="minorHAnsi" w:eastAsia="HiddenHorzOCR" w:hAnsiTheme="minorHAnsi"/>
          <w:color w:val="auto"/>
          <w:szCs w:val="24"/>
        </w:rPr>
        <w:t xml:space="preserve"> MEB </w:t>
      </w:r>
      <w:r w:rsidR="000D5F93">
        <w:rPr>
          <w:rFonts w:asciiTheme="minorHAnsi" w:eastAsia="HiddenHorzOCR" w:hAnsiTheme="minorHAnsi"/>
          <w:color w:val="auto"/>
          <w:szCs w:val="24"/>
        </w:rPr>
        <w:t xml:space="preserve">physical </w:t>
      </w:r>
      <w:r w:rsidRPr="005630FC">
        <w:rPr>
          <w:rFonts w:asciiTheme="minorHAnsi" w:eastAsia="HiddenHorzOCR" w:hAnsiTheme="minorHAnsi"/>
          <w:color w:val="auto"/>
          <w:szCs w:val="24"/>
        </w:rPr>
        <w:t xml:space="preserve">and </w:t>
      </w:r>
      <w:r w:rsidR="00754FBC" w:rsidRPr="005630FC">
        <w:rPr>
          <w:rFonts w:asciiTheme="minorHAnsi" w:eastAsia="HiddenHorzOCR" w:hAnsiTheme="minorHAnsi"/>
          <w:color w:val="auto"/>
          <w:szCs w:val="24"/>
        </w:rPr>
        <w:t>VA examination</w:t>
      </w:r>
      <w:r w:rsidR="00235B05">
        <w:rPr>
          <w:rFonts w:asciiTheme="minorHAnsi" w:eastAsia="HiddenHorzOCR" w:hAnsiTheme="minorHAnsi"/>
          <w:color w:val="auto"/>
          <w:szCs w:val="24"/>
        </w:rPr>
        <w:t>s</w:t>
      </w:r>
      <w:r w:rsidR="00754FBC" w:rsidRPr="005630FC">
        <w:rPr>
          <w:rFonts w:asciiTheme="minorHAnsi" w:eastAsia="HiddenHorzOCR" w:hAnsiTheme="minorHAnsi"/>
          <w:color w:val="auto"/>
          <w:szCs w:val="24"/>
        </w:rPr>
        <w:t xml:space="preserve"> </w:t>
      </w:r>
      <w:r w:rsidRPr="005630FC">
        <w:rPr>
          <w:rFonts w:asciiTheme="minorHAnsi" w:eastAsia="HiddenHorzOCR" w:hAnsiTheme="minorHAnsi"/>
          <w:color w:val="auto"/>
          <w:szCs w:val="24"/>
        </w:rPr>
        <w:t>validated that his blood pressure was in good control</w:t>
      </w:r>
      <w:r w:rsidR="00ED1863">
        <w:rPr>
          <w:rFonts w:asciiTheme="minorHAnsi" w:eastAsia="HiddenHorzOCR" w:hAnsiTheme="minorHAnsi"/>
          <w:color w:val="auto"/>
          <w:szCs w:val="24"/>
        </w:rPr>
        <w:t xml:space="preserve"> at the time of separation</w:t>
      </w:r>
      <w:r w:rsidRPr="005630FC">
        <w:rPr>
          <w:rFonts w:asciiTheme="minorHAnsi" w:eastAsia="HiddenHorzOCR" w:hAnsiTheme="minorHAnsi"/>
          <w:color w:val="auto"/>
          <w:szCs w:val="24"/>
        </w:rPr>
        <w:t xml:space="preserve">.  </w:t>
      </w:r>
      <w:r w:rsidR="00235B05">
        <w:rPr>
          <w:rFonts w:asciiTheme="minorHAnsi" w:eastAsia="HiddenHorzOCR" w:hAnsiTheme="minorHAnsi"/>
          <w:color w:val="auto"/>
          <w:szCs w:val="24"/>
        </w:rPr>
        <w:t>T</w:t>
      </w:r>
      <w:r w:rsidR="005630FC" w:rsidRPr="005630FC">
        <w:rPr>
          <w:rFonts w:asciiTheme="minorHAnsi" w:eastAsia="HiddenHorzOCR" w:hAnsiTheme="minorHAnsi"/>
          <w:color w:val="auto"/>
          <w:szCs w:val="24"/>
        </w:rPr>
        <w:t xml:space="preserve">he hyperlipidemia </w:t>
      </w:r>
      <w:r w:rsidR="00235B05">
        <w:rPr>
          <w:rFonts w:asciiTheme="minorHAnsi" w:eastAsia="HiddenHorzOCR" w:hAnsiTheme="minorHAnsi"/>
          <w:color w:val="auto"/>
          <w:szCs w:val="24"/>
        </w:rPr>
        <w:t>was stable on medic</w:t>
      </w:r>
      <w:r w:rsidR="00546569">
        <w:rPr>
          <w:rFonts w:asciiTheme="minorHAnsi" w:eastAsia="HiddenHorzOCR" w:hAnsiTheme="minorHAnsi"/>
          <w:color w:val="auto"/>
          <w:szCs w:val="24"/>
        </w:rPr>
        <w:t>ation, and the condition in it</w:t>
      </w:r>
      <w:r w:rsidR="00235B05">
        <w:rPr>
          <w:rFonts w:asciiTheme="minorHAnsi" w:eastAsia="HiddenHorzOCR" w:hAnsiTheme="minorHAnsi"/>
          <w:color w:val="auto"/>
          <w:szCs w:val="24"/>
        </w:rPr>
        <w:t xml:space="preserve">self does not constitute a disability (as per the VA decision).  </w:t>
      </w:r>
      <w:r w:rsidR="00664296" w:rsidRPr="005630FC">
        <w:rPr>
          <w:rFonts w:asciiTheme="minorHAnsi" w:eastAsia="HiddenHorzOCR" w:hAnsiTheme="minorHAnsi"/>
          <w:color w:val="auto"/>
          <w:szCs w:val="24"/>
        </w:rPr>
        <w:t xml:space="preserve">None of these conditions were profiled, implicated in the </w:t>
      </w:r>
      <w:r w:rsidR="00CB3247">
        <w:rPr>
          <w:rFonts w:asciiTheme="minorHAnsi" w:eastAsia="HiddenHorzOCR" w:hAnsiTheme="minorHAnsi"/>
          <w:color w:val="auto"/>
          <w:szCs w:val="24"/>
        </w:rPr>
        <w:t>c</w:t>
      </w:r>
      <w:r w:rsidR="00664296" w:rsidRPr="005630FC">
        <w:rPr>
          <w:rFonts w:asciiTheme="minorHAnsi" w:eastAsia="HiddenHorzOCR" w:hAnsiTheme="minorHAnsi"/>
          <w:color w:val="auto"/>
          <w:szCs w:val="24"/>
        </w:rPr>
        <w:t>ommander’s statement or noted as failing retention standa</w:t>
      </w:r>
      <w:r w:rsidR="00CB3247">
        <w:rPr>
          <w:rFonts w:asciiTheme="minorHAnsi" w:eastAsia="HiddenHorzOCR" w:hAnsiTheme="minorHAnsi"/>
          <w:color w:val="auto"/>
          <w:szCs w:val="24"/>
        </w:rPr>
        <w:t>rds.  All were reviewed by the action o</w:t>
      </w:r>
      <w:r w:rsidR="00664296" w:rsidRPr="005630FC">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5630FC" w:rsidRPr="005630FC">
        <w:rPr>
          <w:rFonts w:asciiTheme="minorHAnsi" w:eastAsia="HiddenHorzOCR" w:hAnsiTheme="minorHAnsi"/>
          <w:color w:val="auto"/>
          <w:szCs w:val="24"/>
        </w:rPr>
        <w:t xml:space="preserve"> </w:t>
      </w:r>
      <w:r w:rsidR="00664296" w:rsidRPr="005630FC">
        <w:rPr>
          <w:rFonts w:asciiTheme="minorHAnsi" w:eastAsia="HiddenHorzOCR" w:hAnsiTheme="minorHAnsi"/>
          <w:color w:val="auto"/>
          <w:szCs w:val="24"/>
        </w:rPr>
        <w:t>duty requirements.  All evidence considered, there is not reasonable doubt in the CI’s favor supporting recharacterization of the PEB fitness adjudication for any of the stated conditions.</w:t>
      </w:r>
    </w:p>
    <w:p w:rsidR="00664296" w:rsidRPr="00664296" w:rsidRDefault="00664296" w:rsidP="00664296">
      <w:pPr>
        <w:spacing w:line="240" w:lineRule="exact"/>
        <w:jc w:val="both"/>
        <w:rPr>
          <w:rFonts w:asciiTheme="minorHAnsi" w:eastAsia="HiddenHorzOCR" w:hAnsiTheme="minorHAnsi"/>
          <w:color w:val="auto"/>
          <w:szCs w:val="24"/>
        </w:rPr>
      </w:pPr>
    </w:p>
    <w:p w:rsidR="005630FC" w:rsidRDefault="00664296" w:rsidP="00805CE7">
      <w:pPr>
        <w:spacing w:line="240" w:lineRule="exact"/>
        <w:jc w:val="both"/>
        <w:rPr>
          <w:rFonts w:asciiTheme="minorHAnsi" w:hAnsiTheme="minorHAnsi"/>
          <w:color w:val="auto"/>
          <w:szCs w:val="24"/>
        </w:rPr>
      </w:pPr>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 xml:space="preserve">.  The CI’s application asserts that </w:t>
      </w:r>
      <w:r w:rsidR="00ED1863">
        <w:rPr>
          <w:rFonts w:asciiTheme="minorHAnsi" w:eastAsia="HiddenHorzOCR" w:hAnsiTheme="minorHAnsi"/>
          <w:color w:val="auto"/>
          <w:szCs w:val="24"/>
        </w:rPr>
        <w:t xml:space="preserve">a </w:t>
      </w:r>
      <w:r w:rsidRPr="00664296">
        <w:rPr>
          <w:rFonts w:asciiTheme="minorHAnsi" w:eastAsia="HiddenHorzOCR" w:hAnsiTheme="minorHAnsi"/>
          <w:color w:val="auto"/>
          <w:szCs w:val="24"/>
        </w:rPr>
        <w:t xml:space="preserve">compensable rating should be considered for </w:t>
      </w:r>
      <w:r w:rsidR="007D4D5B" w:rsidRPr="00ED1863">
        <w:rPr>
          <w:rFonts w:asciiTheme="minorHAnsi" w:eastAsia="HiddenHorzOCR" w:hAnsiTheme="minorHAnsi"/>
          <w:color w:val="auto"/>
          <w:szCs w:val="24"/>
        </w:rPr>
        <w:t>asthma.</w:t>
      </w:r>
      <w:r w:rsidR="005630FC" w:rsidRPr="00ED1863">
        <w:rPr>
          <w:rFonts w:asciiTheme="minorHAnsi" w:eastAsia="HiddenHorzOCR" w:hAnsiTheme="minorHAnsi"/>
          <w:color w:val="auto"/>
          <w:szCs w:val="24"/>
        </w:rPr>
        <w:t xml:space="preserve"> </w:t>
      </w:r>
      <w:r w:rsidR="00651BFF" w:rsidRPr="00ED1863">
        <w:rPr>
          <w:rFonts w:asciiTheme="minorHAnsi" w:eastAsia="HiddenHorzOCR" w:hAnsiTheme="minorHAnsi"/>
          <w:color w:val="auto"/>
          <w:szCs w:val="24"/>
        </w:rPr>
        <w:t xml:space="preserve"> </w:t>
      </w:r>
      <w:r w:rsidR="00570D8D" w:rsidRPr="00ED1863">
        <w:rPr>
          <w:rFonts w:asciiTheme="minorHAnsi" w:eastAsia="HiddenHorzOCR" w:hAnsiTheme="minorHAnsi"/>
          <w:color w:val="auto"/>
          <w:szCs w:val="24"/>
        </w:rPr>
        <w:t>The</w:t>
      </w:r>
      <w:r w:rsidR="00570D8D">
        <w:rPr>
          <w:rFonts w:asciiTheme="minorHAnsi" w:eastAsia="HiddenHorzOCR" w:hAnsiTheme="minorHAnsi"/>
          <w:color w:val="auto"/>
          <w:szCs w:val="24"/>
        </w:rPr>
        <w:t xml:space="preserve"> CI first developed </w:t>
      </w:r>
      <w:r w:rsidR="00546569">
        <w:rPr>
          <w:rFonts w:asciiTheme="minorHAnsi" w:eastAsia="HiddenHorzOCR" w:hAnsiTheme="minorHAnsi"/>
          <w:color w:val="auto"/>
          <w:szCs w:val="24"/>
        </w:rPr>
        <w:t xml:space="preserve">respiratory </w:t>
      </w:r>
      <w:r w:rsidR="00570D8D">
        <w:rPr>
          <w:rFonts w:asciiTheme="minorHAnsi" w:eastAsia="HiddenHorzOCR" w:hAnsiTheme="minorHAnsi"/>
          <w:color w:val="auto"/>
          <w:szCs w:val="24"/>
        </w:rPr>
        <w:t>symptoms</w:t>
      </w:r>
      <w:r w:rsidR="00ED1863">
        <w:rPr>
          <w:rFonts w:asciiTheme="minorHAnsi" w:eastAsia="HiddenHorzOCR" w:hAnsiTheme="minorHAnsi"/>
          <w:color w:val="auto"/>
          <w:szCs w:val="24"/>
        </w:rPr>
        <w:t>,</w:t>
      </w:r>
      <w:r w:rsidR="00570D8D">
        <w:rPr>
          <w:rFonts w:asciiTheme="minorHAnsi" w:eastAsia="HiddenHorzOCR" w:hAnsiTheme="minorHAnsi"/>
          <w:color w:val="auto"/>
          <w:szCs w:val="24"/>
        </w:rPr>
        <w:t xml:space="preserve"> </w:t>
      </w:r>
      <w:r w:rsidR="00546569">
        <w:rPr>
          <w:rFonts w:asciiTheme="minorHAnsi" w:eastAsia="HiddenHorzOCR" w:hAnsiTheme="minorHAnsi"/>
          <w:color w:val="auto"/>
          <w:szCs w:val="24"/>
        </w:rPr>
        <w:t>attributed to</w:t>
      </w:r>
      <w:r w:rsidR="00570D8D">
        <w:rPr>
          <w:rFonts w:asciiTheme="minorHAnsi" w:eastAsia="HiddenHorzOCR" w:hAnsiTheme="minorHAnsi"/>
          <w:color w:val="auto"/>
          <w:szCs w:val="24"/>
        </w:rPr>
        <w:t xml:space="preserve"> reactive airway disease</w:t>
      </w:r>
      <w:r w:rsidR="00ED1863">
        <w:rPr>
          <w:rFonts w:asciiTheme="minorHAnsi" w:eastAsia="HiddenHorzOCR" w:hAnsiTheme="minorHAnsi"/>
          <w:color w:val="auto"/>
          <w:szCs w:val="24"/>
        </w:rPr>
        <w:t>,</w:t>
      </w:r>
      <w:r w:rsidR="00570D8D">
        <w:rPr>
          <w:rFonts w:asciiTheme="minorHAnsi" w:eastAsia="HiddenHorzOCR" w:hAnsiTheme="minorHAnsi"/>
          <w:color w:val="auto"/>
          <w:szCs w:val="24"/>
        </w:rPr>
        <w:t xml:space="preserve"> in 1993</w:t>
      </w:r>
      <w:r w:rsidR="00ED1863">
        <w:rPr>
          <w:rFonts w:asciiTheme="minorHAnsi" w:eastAsia="HiddenHorzOCR" w:hAnsiTheme="minorHAnsi"/>
          <w:color w:val="auto"/>
          <w:szCs w:val="24"/>
        </w:rPr>
        <w:t xml:space="preserve">.  </w:t>
      </w:r>
      <w:r w:rsidR="00235B05">
        <w:rPr>
          <w:rFonts w:asciiTheme="minorHAnsi" w:eastAsia="HiddenHorzOCR" w:hAnsiTheme="minorHAnsi"/>
          <w:color w:val="auto"/>
          <w:szCs w:val="24"/>
        </w:rPr>
        <w:t>P</w:t>
      </w:r>
      <w:r w:rsidR="000D5F93">
        <w:rPr>
          <w:rFonts w:asciiTheme="minorHAnsi" w:eastAsia="HiddenHorzOCR" w:hAnsiTheme="minorHAnsi"/>
          <w:color w:val="auto"/>
          <w:szCs w:val="24"/>
        </w:rPr>
        <w:t>ulmonary function t</w:t>
      </w:r>
      <w:r w:rsidR="00544FAB">
        <w:rPr>
          <w:rFonts w:asciiTheme="minorHAnsi" w:eastAsia="HiddenHorzOCR" w:hAnsiTheme="minorHAnsi"/>
          <w:color w:val="auto"/>
          <w:szCs w:val="24"/>
        </w:rPr>
        <w:t xml:space="preserve">ests </w:t>
      </w:r>
      <w:r w:rsidR="00FA35ED">
        <w:rPr>
          <w:rFonts w:asciiTheme="minorHAnsi" w:eastAsia="HiddenHorzOCR" w:hAnsiTheme="minorHAnsi"/>
          <w:color w:val="auto"/>
          <w:szCs w:val="24"/>
        </w:rPr>
        <w:t xml:space="preserve">(PFT) </w:t>
      </w:r>
      <w:r w:rsidR="00544FAB">
        <w:rPr>
          <w:rFonts w:asciiTheme="minorHAnsi" w:eastAsia="HiddenHorzOCR" w:hAnsiTheme="minorHAnsi"/>
          <w:color w:val="auto"/>
          <w:szCs w:val="24"/>
        </w:rPr>
        <w:t xml:space="preserve">were reported as being borderline for obstructive airway disease.  In 1996, the CI was </w:t>
      </w:r>
      <w:r w:rsidR="00546569">
        <w:rPr>
          <w:rFonts w:asciiTheme="minorHAnsi" w:eastAsia="HiddenHorzOCR" w:hAnsiTheme="minorHAnsi"/>
          <w:color w:val="auto"/>
          <w:szCs w:val="24"/>
        </w:rPr>
        <w:t>precluded from</w:t>
      </w:r>
      <w:r w:rsidR="00544FAB">
        <w:rPr>
          <w:rFonts w:asciiTheme="minorHAnsi" w:eastAsia="HiddenHorzOCR" w:hAnsiTheme="minorHAnsi"/>
          <w:color w:val="auto"/>
          <w:szCs w:val="24"/>
        </w:rPr>
        <w:t xml:space="preserve"> specialized </w:t>
      </w:r>
      <w:r w:rsidR="00ED1863">
        <w:rPr>
          <w:rFonts w:asciiTheme="minorHAnsi" w:eastAsia="HiddenHorzOCR" w:hAnsiTheme="minorHAnsi"/>
          <w:color w:val="auto"/>
          <w:szCs w:val="24"/>
        </w:rPr>
        <w:t xml:space="preserve">flight </w:t>
      </w:r>
      <w:r w:rsidR="00544FAB">
        <w:rPr>
          <w:rFonts w:asciiTheme="minorHAnsi" w:eastAsia="HiddenHorzOCR" w:hAnsiTheme="minorHAnsi"/>
          <w:color w:val="auto"/>
          <w:szCs w:val="24"/>
        </w:rPr>
        <w:t xml:space="preserve">duty because </w:t>
      </w:r>
      <w:r w:rsidR="00FA35ED">
        <w:rPr>
          <w:rFonts w:asciiTheme="minorHAnsi" w:eastAsia="HiddenHorzOCR" w:hAnsiTheme="minorHAnsi"/>
          <w:color w:val="auto"/>
          <w:szCs w:val="24"/>
        </w:rPr>
        <w:t xml:space="preserve">of the </w:t>
      </w:r>
      <w:r w:rsidR="00544FAB">
        <w:rPr>
          <w:rFonts w:asciiTheme="minorHAnsi" w:hAnsiTheme="minorHAnsi"/>
          <w:color w:val="auto"/>
          <w:szCs w:val="24"/>
        </w:rPr>
        <w:t xml:space="preserve">borderline </w:t>
      </w:r>
      <w:r w:rsidR="00FA35ED">
        <w:rPr>
          <w:rFonts w:asciiTheme="minorHAnsi" w:hAnsiTheme="minorHAnsi"/>
          <w:color w:val="auto"/>
          <w:szCs w:val="24"/>
        </w:rPr>
        <w:t>PFT;</w:t>
      </w:r>
      <w:r w:rsidR="00ED1863">
        <w:rPr>
          <w:rFonts w:asciiTheme="minorHAnsi" w:hAnsiTheme="minorHAnsi"/>
          <w:color w:val="auto"/>
          <w:szCs w:val="24"/>
        </w:rPr>
        <w:t xml:space="preserve"> but</w:t>
      </w:r>
      <w:r w:rsidR="00FA35ED">
        <w:rPr>
          <w:rFonts w:asciiTheme="minorHAnsi" w:hAnsiTheme="minorHAnsi"/>
          <w:color w:val="auto"/>
          <w:szCs w:val="24"/>
        </w:rPr>
        <w:t>, that evaluation showed</w:t>
      </w:r>
      <w:r w:rsidR="00ED1863">
        <w:rPr>
          <w:rFonts w:asciiTheme="minorHAnsi" w:hAnsiTheme="minorHAnsi"/>
          <w:color w:val="auto"/>
          <w:szCs w:val="24"/>
        </w:rPr>
        <w:t xml:space="preserve"> n</w:t>
      </w:r>
      <w:r w:rsidR="00544FAB">
        <w:rPr>
          <w:rFonts w:asciiTheme="minorHAnsi" w:hAnsiTheme="minorHAnsi"/>
          <w:color w:val="auto"/>
          <w:szCs w:val="24"/>
        </w:rPr>
        <w:t>o signif</w:t>
      </w:r>
      <w:r w:rsidR="00FA35ED">
        <w:rPr>
          <w:rFonts w:asciiTheme="minorHAnsi" w:hAnsiTheme="minorHAnsi"/>
          <w:color w:val="auto"/>
          <w:szCs w:val="24"/>
        </w:rPr>
        <w:t>icant decrease in lung function</w:t>
      </w:r>
      <w:r w:rsidR="00544FAB">
        <w:rPr>
          <w:rFonts w:asciiTheme="minorHAnsi" w:hAnsiTheme="minorHAnsi"/>
          <w:color w:val="auto"/>
          <w:szCs w:val="24"/>
        </w:rPr>
        <w:t xml:space="preserve"> </w:t>
      </w:r>
      <w:r w:rsidR="00FA35ED">
        <w:rPr>
          <w:rFonts w:asciiTheme="minorHAnsi" w:hAnsiTheme="minorHAnsi"/>
          <w:color w:val="auto"/>
          <w:szCs w:val="24"/>
        </w:rPr>
        <w:t>with</w:t>
      </w:r>
      <w:r w:rsidR="00544FAB">
        <w:rPr>
          <w:rFonts w:asciiTheme="minorHAnsi" w:hAnsiTheme="minorHAnsi"/>
          <w:color w:val="auto"/>
          <w:szCs w:val="24"/>
        </w:rPr>
        <w:t xml:space="preserve"> exercise.  </w:t>
      </w:r>
      <w:r w:rsidR="00FA35ED">
        <w:rPr>
          <w:rFonts w:asciiTheme="minorHAnsi" w:hAnsiTheme="minorHAnsi"/>
          <w:color w:val="auto"/>
          <w:szCs w:val="24"/>
        </w:rPr>
        <w:t>A r</w:t>
      </w:r>
      <w:r w:rsidR="000D5F93">
        <w:rPr>
          <w:rFonts w:asciiTheme="minorHAnsi" w:hAnsiTheme="minorHAnsi"/>
          <w:color w:val="auto"/>
          <w:szCs w:val="24"/>
        </w:rPr>
        <w:t xml:space="preserve">epeat </w:t>
      </w:r>
      <w:r w:rsidR="00FA35ED">
        <w:rPr>
          <w:rFonts w:asciiTheme="minorHAnsi" w:hAnsiTheme="minorHAnsi"/>
          <w:color w:val="auto"/>
          <w:szCs w:val="24"/>
        </w:rPr>
        <w:t>PFT</w:t>
      </w:r>
      <w:r w:rsidR="000D5F93">
        <w:rPr>
          <w:rFonts w:asciiTheme="minorHAnsi" w:hAnsiTheme="minorHAnsi"/>
          <w:color w:val="auto"/>
          <w:szCs w:val="24"/>
        </w:rPr>
        <w:t xml:space="preserve">, </w:t>
      </w:r>
      <w:r w:rsidR="00ED1863">
        <w:rPr>
          <w:rFonts w:asciiTheme="minorHAnsi" w:hAnsiTheme="minorHAnsi"/>
          <w:color w:val="auto"/>
          <w:szCs w:val="24"/>
        </w:rPr>
        <w:t>to include a methacholine challenge test</w:t>
      </w:r>
      <w:r w:rsidR="000D5F93">
        <w:rPr>
          <w:rFonts w:asciiTheme="minorHAnsi" w:hAnsiTheme="minorHAnsi"/>
          <w:color w:val="auto"/>
          <w:szCs w:val="24"/>
        </w:rPr>
        <w:t>,</w:t>
      </w:r>
      <w:r w:rsidR="00544FAB">
        <w:rPr>
          <w:rFonts w:asciiTheme="minorHAnsi" w:hAnsiTheme="minorHAnsi"/>
          <w:color w:val="auto"/>
          <w:szCs w:val="24"/>
        </w:rPr>
        <w:t xml:space="preserve"> was </w:t>
      </w:r>
      <w:r w:rsidR="00805CE7">
        <w:rPr>
          <w:rFonts w:asciiTheme="minorHAnsi" w:hAnsiTheme="minorHAnsi"/>
          <w:color w:val="auto"/>
          <w:szCs w:val="24"/>
        </w:rPr>
        <w:t>completed</w:t>
      </w:r>
      <w:r w:rsidR="00544FAB">
        <w:rPr>
          <w:rFonts w:asciiTheme="minorHAnsi" w:hAnsiTheme="minorHAnsi"/>
          <w:color w:val="auto"/>
          <w:szCs w:val="24"/>
        </w:rPr>
        <w:t xml:space="preserve"> </w:t>
      </w:r>
      <w:r w:rsidR="00ED1863">
        <w:rPr>
          <w:rFonts w:asciiTheme="minorHAnsi" w:hAnsiTheme="minorHAnsi"/>
          <w:color w:val="auto"/>
          <w:szCs w:val="24"/>
        </w:rPr>
        <w:t xml:space="preserve">in </w:t>
      </w:r>
      <w:r w:rsidR="00544FAB">
        <w:rPr>
          <w:rFonts w:asciiTheme="minorHAnsi" w:hAnsiTheme="minorHAnsi"/>
          <w:color w:val="auto"/>
          <w:szCs w:val="24"/>
        </w:rPr>
        <w:t xml:space="preserve">2003 and </w:t>
      </w:r>
      <w:r w:rsidR="00805CE7">
        <w:rPr>
          <w:rFonts w:asciiTheme="minorHAnsi" w:hAnsiTheme="minorHAnsi"/>
          <w:color w:val="auto"/>
          <w:szCs w:val="24"/>
        </w:rPr>
        <w:t>reported</w:t>
      </w:r>
      <w:r w:rsidR="00544FAB">
        <w:rPr>
          <w:rFonts w:asciiTheme="minorHAnsi" w:hAnsiTheme="minorHAnsi"/>
          <w:color w:val="auto"/>
          <w:szCs w:val="24"/>
        </w:rPr>
        <w:t xml:space="preserve"> as </w:t>
      </w:r>
      <w:r w:rsidR="00FA35ED">
        <w:rPr>
          <w:rFonts w:asciiTheme="minorHAnsi" w:hAnsiTheme="minorHAnsi"/>
          <w:color w:val="auto"/>
          <w:szCs w:val="24"/>
        </w:rPr>
        <w:t>normal; and,</w:t>
      </w:r>
      <w:r w:rsidR="00544FAB">
        <w:rPr>
          <w:rFonts w:asciiTheme="minorHAnsi" w:hAnsiTheme="minorHAnsi"/>
          <w:color w:val="auto"/>
          <w:szCs w:val="24"/>
        </w:rPr>
        <w:t xml:space="preserve"> a cardiopulmonary stress test </w:t>
      </w:r>
      <w:r w:rsidR="00FA35ED">
        <w:rPr>
          <w:rFonts w:asciiTheme="minorHAnsi" w:hAnsiTheme="minorHAnsi"/>
          <w:color w:val="auto"/>
          <w:szCs w:val="24"/>
        </w:rPr>
        <w:t>later that same year</w:t>
      </w:r>
      <w:r w:rsidR="00544FAB">
        <w:rPr>
          <w:rFonts w:asciiTheme="minorHAnsi" w:hAnsiTheme="minorHAnsi"/>
          <w:color w:val="auto"/>
          <w:szCs w:val="24"/>
        </w:rPr>
        <w:t xml:space="preserve"> was negative for exercise </w:t>
      </w:r>
      <w:r w:rsidR="00FA35ED">
        <w:rPr>
          <w:rFonts w:asciiTheme="minorHAnsi" w:hAnsiTheme="minorHAnsi"/>
          <w:color w:val="auto"/>
          <w:szCs w:val="24"/>
        </w:rPr>
        <w:t xml:space="preserve">induced </w:t>
      </w:r>
      <w:r w:rsidR="00544FAB">
        <w:rPr>
          <w:rFonts w:asciiTheme="minorHAnsi" w:hAnsiTheme="minorHAnsi"/>
          <w:color w:val="auto"/>
          <w:szCs w:val="24"/>
        </w:rPr>
        <w:t xml:space="preserve">asthma.  </w:t>
      </w:r>
      <w:r w:rsidR="00FA35ED">
        <w:rPr>
          <w:rFonts w:asciiTheme="minorHAnsi" w:hAnsiTheme="minorHAnsi"/>
          <w:color w:val="auto"/>
          <w:szCs w:val="24"/>
        </w:rPr>
        <w:t>T</w:t>
      </w:r>
      <w:r w:rsidR="00544FAB">
        <w:rPr>
          <w:rFonts w:asciiTheme="minorHAnsi" w:hAnsiTheme="minorHAnsi"/>
          <w:color w:val="auto"/>
          <w:szCs w:val="24"/>
        </w:rPr>
        <w:t xml:space="preserve">he CI’s </w:t>
      </w:r>
      <w:r w:rsidR="00FA35ED">
        <w:rPr>
          <w:rFonts w:asciiTheme="minorHAnsi" w:hAnsiTheme="minorHAnsi"/>
          <w:color w:val="auto"/>
          <w:szCs w:val="24"/>
        </w:rPr>
        <w:t>Internist</w:t>
      </w:r>
      <w:r w:rsidR="000D5F93">
        <w:rPr>
          <w:rFonts w:asciiTheme="minorHAnsi" w:hAnsiTheme="minorHAnsi"/>
          <w:color w:val="auto"/>
          <w:szCs w:val="24"/>
        </w:rPr>
        <w:t xml:space="preserve"> </w:t>
      </w:r>
      <w:r w:rsidR="00544FAB">
        <w:rPr>
          <w:rFonts w:asciiTheme="minorHAnsi" w:hAnsiTheme="minorHAnsi"/>
          <w:color w:val="auto"/>
          <w:szCs w:val="24"/>
        </w:rPr>
        <w:t>in Korea</w:t>
      </w:r>
      <w:r w:rsidR="00FA35ED">
        <w:rPr>
          <w:rFonts w:asciiTheme="minorHAnsi" w:hAnsiTheme="minorHAnsi"/>
          <w:color w:val="auto"/>
          <w:szCs w:val="24"/>
        </w:rPr>
        <w:t xml:space="preserve">, </w:t>
      </w:r>
      <w:r w:rsidR="00546569">
        <w:rPr>
          <w:rFonts w:asciiTheme="minorHAnsi" w:hAnsiTheme="minorHAnsi"/>
          <w:color w:val="auto"/>
          <w:szCs w:val="24"/>
        </w:rPr>
        <w:t>who initiated</w:t>
      </w:r>
      <w:r w:rsidR="00FA35ED">
        <w:rPr>
          <w:rFonts w:asciiTheme="minorHAnsi" w:hAnsiTheme="minorHAnsi"/>
          <w:color w:val="auto"/>
          <w:szCs w:val="24"/>
        </w:rPr>
        <w:t xml:space="preserve"> the MEB,</w:t>
      </w:r>
      <w:r w:rsidR="00544FAB">
        <w:rPr>
          <w:rFonts w:asciiTheme="minorHAnsi" w:hAnsiTheme="minorHAnsi"/>
          <w:color w:val="auto"/>
          <w:szCs w:val="24"/>
        </w:rPr>
        <w:t xml:space="preserve"> </w:t>
      </w:r>
      <w:r w:rsidR="00E77B7A">
        <w:rPr>
          <w:rFonts w:asciiTheme="minorHAnsi" w:hAnsiTheme="minorHAnsi"/>
          <w:color w:val="auto"/>
          <w:szCs w:val="24"/>
        </w:rPr>
        <w:t>documented</w:t>
      </w:r>
      <w:r w:rsidR="0084264E">
        <w:rPr>
          <w:rFonts w:asciiTheme="minorHAnsi" w:hAnsiTheme="minorHAnsi"/>
          <w:color w:val="auto"/>
          <w:szCs w:val="24"/>
        </w:rPr>
        <w:t xml:space="preserve"> </w:t>
      </w:r>
      <w:r w:rsidR="00FA35ED">
        <w:rPr>
          <w:rFonts w:asciiTheme="minorHAnsi" w:hAnsiTheme="minorHAnsi"/>
          <w:color w:val="auto"/>
          <w:szCs w:val="24"/>
        </w:rPr>
        <w:t>the</w:t>
      </w:r>
      <w:r w:rsidR="007408D7">
        <w:rPr>
          <w:rFonts w:asciiTheme="minorHAnsi" w:hAnsiTheme="minorHAnsi"/>
          <w:color w:val="auto"/>
          <w:szCs w:val="24"/>
        </w:rPr>
        <w:t xml:space="preserve"> extensive </w:t>
      </w:r>
      <w:r w:rsidR="00FA35ED">
        <w:rPr>
          <w:rFonts w:asciiTheme="minorHAnsi" w:hAnsiTheme="minorHAnsi"/>
          <w:color w:val="auto"/>
          <w:szCs w:val="24"/>
        </w:rPr>
        <w:t xml:space="preserve">asthma </w:t>
      </w:r>
      <w:r w:rsidR="007408D7">
        <w:rPr>
          <w:rFonts w:asciiTheme="minorHAnsi" w:hAnsiTheme="minorHAnsi"/>
          <w:color w:val="auto"/>
          <w:szCs w:val="24"/>
        </w:rPr>
        <w:t>workup</w:t>
      </w:r>
      <w:r w:rsidR="00614DF4">
        <w:rPr>
          <w:rFonts w:asciiTheme="minorHAnsi" w:hAnsiTheme="minorHAnsi"/>
          <w:color w:val="auto"/>
          <w:szCs w:val="24"/>
        </w:rPr>
        <w:t xml:space="preserve"> </w:t>
      </w:r>
      <w:r w:rsidR="00FA35ED">
        <w:rPr>
          <w:rFonts w:asciiTheme="minorHAnsi" w:hAnsiTheme="minorHAnsi"/>
          <w:color w:val="auto"/>
          <w:szCs w:val="24"/>
        </w:rPr>
        <w:t xml:space="preserve">noted above; and, </w:t>
      </w:r>
      <w:r w:rsidR="007408D7">
        <w:rPr>
          <w:rFonts w:asciiTheme="minorHAnsi" w:hAnsiTheme="minorHAnsi"/>
          <w:color w:val="auto"/>
          <w:szCs w:val="24"/>
        </w:rPr>
        <w:t xml:space="preserve">concluded </w:t>
      </w:r>
      <w:r w:rsidR="00614DF4">
        <w:rPr>
          <w:rFonts w:asciiTheme="minorHAnsi" w:hAnsiTheme="minorHAnsi"/>
          <w:color w:val="auto"/>
          <w:szCs w:val="24"/>
        </w:rPr>
        <w:t xml:space="preserve">that </w:t>
      </w:r>
      <w:r w:rsidR="007408D7">
        <w:rPr>
          <w:rFonts w:asciiTheme="minorHAnsi" w:hAnsiTheme="minorHAnsi"/>
          <w:color w:val="auto"/>
          <w:szCs w:val="24"/>
        </w:rPr>
        <w:t xml:space="preserve">there was </w:t>
      </w:r>
      <w:r w:rsidR="00614DF4">
        <w:rPr>
          <w:rFonts w:asciiTheme="minorHAnsi" w:hAnsiTheme="minorHAnsi"/>
          <w:color w:val="auto"/>
          <w:szCs w:val="24"/>
        </w:rPr>
        <w:t>“</w:t>
      </w:r>
      <w:r w:rsidR="007408D7">
        <w:rPr>
          <w:rFonts w:asciiTheme="minorHAnsi" w:hAnsiTheme="minorHAnsi"/>
          <w:color w:val="auto"/>
          <w:szCs w:val="24"/>
        </w:rPr>
        <w:t>no evidence of chronic obstructive pulmonary disease</w:t>
      </w:r>
      <w:r w:rsidR="00CB3247">
        <w:rPr>
          <w:rFonts w:asciiTheme="minorHAnsi" w:hAnsiTheme="minorHAnsi"/>
          <w:color w:val="auto"/>
          <w:szCs w:val="24"/>
        </w:rPr>
        <w:t>.</w:t>
      </w:r>
      <w:r w:rsidR="00614DF4">
        <w:rPr>
          <w:rFonts w:asciiTheme="minorHAnsi" w:hAnsiTheme="minorHAnsi"/>
          <w:color w:val="auto"/>
          <w:szCs w:val="24"/>
        </w:rPr>
        <w:t>”</w:t>
      </w:r>
      <w:r w:rsidR="00E77B7A" w:rsidRPr="00E77B7A">
        <w:rPr>
          <w:rFonts w:asciiTheme="minorHAnsi" w:hAnsiTheme="minorHAnsi"/>
          <w:color w:val="auto"/>
          <w:szCs w:val="24"/>
        </w:rPr>
        <w:t xml:space="preserve"> </w:t>
      </w:r>
      <w:r w:rsidR="00696877">
        <w:rPr>
          <w:rFonts w:asciiTheme="minorHAnsi" w:hAnsiTheme="minorHAnsi"/>
          <w:color w:val="auto"/>
          <w:szCs w:val="24"/>
        </w:rPr>
        <w:t xml:space="preserve"> </w:t>
      </w:r>
      <w:r w:rsidR="00805CE7" w:rsidRPr="00664296">
        <w:rPr>
          <w:rFonts w:asciiTheme="minorHAnsi" w:hAnsiTheme="minorHAnsi"/>
          <w:color w:val="auto"/>
          <w:szCs w:val="24"/>
        </w:rPr>
        <w:t xml:space="preserve">All evidence considered, there is not reasonable doubt in the CI’s favor supporting addition of </w:t>
      </w:r>
      <w:r w:rsidR="00805CE7">
        <w:rPr>
          <w:rFonts w:asciiTheme="minorHAnsi" w:hAnsiTheme="minorHAnsi"/>
          <w:color w:val="auto"/>
          <w:szCs w:val="24"/>
        </w:rPr>
        <w:t>asthma</w:t>
      </w:r>
      <w:r w:rsidR="00805CE7" w:rsidRPr="00664296">
        <w:rPr>
          <w:rFonts w:asciiTheme="minorHAnsi" w:hAnsiTheme="minorHAnsi"/>
          <w:color w:val="auto"/>
          <w:szCs w:val="24"/>
        </w:rPr>
        <w:t xml:space="preserve"> as an unfitting condition for separation rating.</w:t>
      </w:r>
    </w:p>
    <w:p w:rsidR="003236C6" w:rsidRPr="003236C6" w:rsidRDefault="003236C6" w:rsidP="00664296">
      <w:pPr>
        <w:spacing w:line="240" w:lineRule="exact"/>
        <w:rPr>
          <w:rFonts w:asciiTheme="minorHAnsi" w:hAnsiTheme="minorHAnsi"/>
          <w:color w:val="auto"/>
          <w:szCs w:val="24"/>
        </w:rPr>
      </w:pPr>
    </w:p>
    <w:p w:rsidR="00FF0E49" w:rsidRDefault="00664296" w:rsidP="00FF0E49">
      <w:pPr>
        <w:spacing w:line="240" w:lineRule="exact"/>
        <w:jc w:val="both"/>
        <w:rPr>
          <w:rFonts w:asciiTheme="minorHAnsi" w:hAnsiTheme="minorHAnsi"/>
          <w:color w:val="auto"/>
          <w:szCs w:val="24"/>
        </w:rPr>
      </w:pPr>
      <w:r w:rsidRPr="000D5F93">
        <w:rPr>
          <w:rFonts w:asciiTheme="minorHAnsi" w:hAnsiTheme="minorHAnsi"/>
          <w:color w:val="auto"/>
          <w:szCs w:val="24"/>
          <w:u w:val="single"/>
        </w:rPr>
        <w:t>Remaining Conditions</w:t>
      </w:r>
      <w:r w:rsidRPr="000D5F93">
        <w:rPr>
          <w:rFonts w:asciiTheme="minorHAnsi" w:hAnsiTheme="minorHAnsi"/>
          <w:color w:val="auto"/>
          <w:szCs w:val="24"/>
        </w:rPr>
        <w:t xml:space="preserve">.  Other conditions identified in the DES file were </w:t>
      </w:r>
      <w:r w:rsidR="00E7665D" w:rsidRPr="000D5F93">
        <w:rPr>
          <w:rFonts w:asciiTheme="minorHAnsi" w:hAnsiTheme="minorHAnsi"/>
          <w:color w:val="auto"/>
          <w:szCs w:val="24"/>
        </w:rPr>
        <w:t>gastroesophageal reflux disease, umbilical hernia</w:t>
      </w:r>
      <w:r w:rsidR="007F3A22" w:rsidRPr="000D5F93">
        <w:rPr>
          <w:rFonts w:asciiTheme="minorHAnsi" w:hAnsiTheme="minorHAnsi"/>
          <w:color w:val="auto"/>
          <w:szCs w:val="24"/>
        </w:rPr>
        <w:t xml:space="preserve">, bronchitis, </w:t>
      </w:r>
      <w:r w:rsidR="00796C19" w:rsidRPr="000D5F93">
        <w:rPr>
          <w:rFonts w:asciiTheme="minorHAnsi" w:hAnsiTheme="minorHAnsi"/>
          <w:color w:val="auto"/>
          <w:szCs w:val="24"/>
        </w:rPr>
        <w:t xml:space="preserve">and depression.  </w:t>
      </w:r>
      <w:r w:rsidRPr="000D5F93">
        <w:rPr>
          <w:rFonts w:asciiTheme="minorHAnsi" w:hAnsiTheme="minorHAnsi"/>
          <w:color w:val="auto"/>
          <w:szCs w:val="24"/>
        </w:rPr>
        <w:t xml:space="preserve">Several additional non-acute conditions or medical complaints were also documented.  None of these conditions were </w:t>
      </w:r>
      <w:r w:rsidR="00A03D73" w:rsidRPr="000D5F93">
        <w:rPr>
          <w:rFonts w:asciiTheme="minorHAnsi" w:hAnsiTheme="minorHAnsi"/>
          <w:color w:val="auto"/>
          <w:szCs w:val="24"/>
        </w:rPr>
        <w:t xml:space="preserve">of clinical or occupational significance </w:t>
      </w:r>
      <w:r w:rsidR="00614DF4">
        <w:rPr>
          <w:rFonts w:asciiTheme="minorHAnsi" w:hAnsiTheme="minorHAnsi"/>
          <w:color w:val="auto"/>
          <w:szCs w:val="24"/>
        </w:rPr>
        <w:t>during the MEB period;</w:t>
      </w:r>
      <w:r w:rsidRPr="000D5F93">
        <w:rPr>
          <w:rFonts w:asciiTheme="minorHAnsi" w:hAnsiTheme="minorHAnsi"/>
          <w:color w:val="auto"/>
          <w:szCs w:val="24"/>
        </w:rPr>
        <w:t xml:space="preserve"> none carried attached profiles</w:t>
      </w:r>
      <w:r w:rsidR="00614DF4">
        <w:rPr>
          <w:rFonts w:asciiTheme="minorHAnsi" w:hAnsiTheme="minorHAnsi"/>
          <w:color w:val="auto"/>
          <w:szCs w:val="24"/>
        </w:rPr>
        <w:t>;</w:t>
      </w:r>
      <w:r w:rsidR="00ED1863" w:rsidRPr="000D5F93">
        <w:rPr>
          <w:rFonts w:asciiTheme="minorHAnsi" w:hAnsiTheme="minorHAnsi"/>
          <w:color w:val="auto"/>
          <w:szCs w:val="24"/>
        </w:rPr>
        <w:t xml:space="preserve"> </w:t>
      </w:r>
      <w:r w:rsidRPr="000D5F93">
        <w:rPr>
          <w:rFonts w:asciiTheme="minorHAnsi" w:hAnsiTheme="minorHAnsi"/>
          <w:color w:val="auto"/>
          <w:szCs w:val="24"/>
        </w:rPr>
        <w:t>and</w:t>
      </w:r>
      <w:r w:rsidR="00614DF4">
        <w:rPr>
          <w:rFonts w:asciiTheme="minorHAnsi" w:hAnsiTheme="minorHAnsi"/>
          <w:color w:val="auto"/>
          <w:szCs w:val="24"/>
        </w:rPr>
        <w:t>,</w:t>
      </w:r>
      <w:r w:rsidRPr="000D5F93">
        <w:rPr>
          <w:rFonts w:asciiTheme="minorHAnsi" w:hAnsiTheme="minorHAnsi"/>
          <w:color w:val="auto"/>
          <w:szCs w:val="24"/>
        </w:rPr>
        <w:t xml:space="preserve"> none were implicated in the </w:t>
      </w:r>
      <w:r w:rsidR="00CB3247">
        <w:rPr>
          <w:rFonts w:asciiTheme="minorHAnsi" w:hAnsiTheme="minorHAnsi"/>
          <w:color w:val="auto"/>
          <w:szCs w:val="24"/>
        </w:rPr>
        <w:t>c</w:t>
      </w:r>
      <w:r w:rsidRPr="000D5F93">
        <w:rPr>
          <w:rFonts w:asciiTheme="minorHAnsi" w:hAnsiTheme="minorHAnsi"/>
          <w:color w:val="auto"/>
          <w:szCs w:val="24"/>
        </w:rPr>
        <w:t>ommander’s statement.  These c</w:t>
      </w:r>
      <w:r w:rsidR="00CB3247">
        <w:rPr>
          <w:rFonts w:asciiTheme="minorHAnsi" w:hAnsiTheme="minorHAnsi"/>
          <w:color w:val="auto"/>
          <w:szCs w:val="24"/>
        </w:rPr>
        <w:t>onditions were reviewed by the action o</w:t>
      </w:r>
      <w:r w:rsidRPr="000D5F93">
        <w:rPr>
          <w:rFonts w:asciiTheme="minorHAnsi" w:hAnsiTheme="minorHAnsi"/>
          <w:color w:val="auto"/>
          <w:szCs w:val="24"/>
        </w:rPr>
        <w:t xml:space="preserve">fficer and considered by the Board.  It was determined that none could be argued as unfitting and subject to separation rating.  </w:t>
      </w:r>
      <w:r w:rsidR="00FF0E49" w:rsidRPr="000D5F93">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Pr="00664296" w:rsidRDefault="00C56FC8" w:rsidP="00FD16BE">
      <w:pPr>
        <w:spacing w:line="240" w:lineRule="exact"/>
        <w:jc w:val="both"/>
        <w:rPr>
          <w:rFonts w:asciiTheme="minorHAnsi" w:hAnsiTheme="minorHAnsi"/>
          <w:color w:val="FF0000"/>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0D5F93">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The Board did not surmise from the record or PEB ruling in this case that any prerogatives outside the VASRD were exercised.</w:t>
      </w:r>
      <w:r w:rsidR="000D5F93">
        <w:rPr>
          <w:rFonts w:asciiTheme="minorHAnsi" w:eastAsiaTheme="minorHAnsi" w:hAnsiTheme="minorHAnsi"/>
          <w:color w:val="auto"/>
          <w:szCs w:val="24"/>
        </w:rPr>
        <w:t xml:space="preserve">  In the matter of the </w:t>
      </w:r>
      <w:r w:rsidR="00A429AD">
        <w:rPr>
          <w:rFonts w:asciiTheme="minorHAnsi" w:eastAsiaTheme="minorHAnsi" w:hAnsiTheme="minorHAnsi"/>
          <w:color w:val="auto"/>
          <w:szCs w:val="24"/>
        </w:rPr>
        <w:t>lumbar spine</w:t>
      </w:r>
      <w:r w:rsidR="000D5F93">
        <w:rPr>
          <w:rFonts w:asciiTheme="minorHAnsi" w:eastAsiaTheme="minorHAnsi" w:hAnsiTheme="minorHAnsi"/>
          <w:color w:val="auto"/>
          <w:szCs w:val="24"/>
        </w:rPr>
        <w:t xml:space="preserve"> condition and IAW VASRD </w:t>
      </w:r>
      <w:r w:rsidR="000D5F93">
        <w:rPr>
          <w:rFonts w:asciiTheme="minorHAnsi" w:eastAsiaTheme="minorHAnsi" w:hAnsiTheme="minorHAnsi" w:cstheme="minorHAnsi"/>
          <w:color w:val="auto"/>
          <w:szCs w:val="24"/>
        </w:rPr>
        <w:t>§</w:t>
      </w:r>
      <w:r w:rsidR="000D5F93">
        <w:rPr>
          <w:rFonts w:asciiTheme="minorHAnsi" w:eastAsiaTheme="minorHAnsi" w:hAnsiTheme="minorHAnsi"/>
          <w:color w:val="auto"/>
          <w:szCs w:val="24"/>
        </w:rPr>
        <w:t xml:space="preserve">4.71a, the Board </w:t>
      </w:r>
      <w:r w:rsidR="000D5F93" w:rsidRPr="00696877">
        <w:rPr>
          <w:rFonts w:asciiTheme="minorHAnsi" w:eastAsiaTheme="minorHAnsi" w:hAnsiTheme="minorHAnsi"/>
          <w:color w:val="auto"/>
          <w:szCs w:val="24"/>
        </w:rPr>
        <w:t>unanimously</w:t>
      </w:r>
      <w:r w:rsidR="000D5F93">
        <w:rPr>
          <w:rFonts w:asciiTheme="minorHAnsi" w:eastAsiaTheme="minorHAnsi" w:hAnsiTheme="minorHAnsi"/>
          <w:color w:val="auto"/>
          <w:szCs w:val="24"/>
        </w:rPr>
        <w:t xml:space="preserve"> recommends no change in the PEB adjudication.  </w:t>
      </w:r>
      <w:r w:rsidR="005B4953" w:rsidRPr="00664296">
        <w:rPr>
          <w:rFonts w:asciiTheme="minorHAnsi" w:eastAsiaTheme="minorHAnsi" w:hAnsiTheme="minorHAnsi"/>
          <w:color w:val="auto"/>
          <w:szCs w:val="24"/>
        </w:rPr>
        <w:t xml:space="preserve">In the matter of the </w:t>
      </w:r>
      <w:r w:rsidR="005B4953">
        <w:rPr>
          <w:rFonts w:asciiTheme="minorHAnsi" w:eastAsiaTheme="minorHAnsi" w:hAnsiTheme="minorHAnsi"/>
          <w:color w:val="auto"/>
          <w:szCs w:val="24"/>
        </w:rPr>
        <w:t>bilateral ankle condition</w:t>
      </w:r>
      <w:r w:rsidR="005B4953" w:rsidRPr="00664296">
        <w:rPr>
          <w:rFonts w:asciiTheme="minorHAnsi" w:eastAsiaTheme="minorHAnsi" w:hAnsiTheme="minorHAnsi"/>
          <w:color w:val="auto"/>
          <w:szCs w:val="24"/>
        </w:rPr>
        <w:t xml:space="preserve"> the Board </w:t>
      </w:r>
      <w:r w:rsidR="005B4953" w:rsidRPr="005B4953">
        <w:rPr>
          <w:rFonts w:asciiTheme="minorHAnsi" w:eastAsiaTheme="minorHAnsi" w:hAnsiTheme="minorHAnsi"/>
          <w:color w:val="auto"/>
          <w:szCs w:val="24"/>
        </w:rPr>
        <w:t>unanimously</w:t>
      </w:r>
      <w:r w:rsidR="005B4953" w:rsidRPr="00664296">
        <w:rPr>
          <w:rFonts w:asciiTheme="minorHAnsi" w:eastAsiaTheme="minorHAnsi" w:hAnsiTheme="minorHAnsi"/>
          <w:color w:val="auto"/>
          <w:szCs w:val="24"/>
        </w:rPr>
        <w:t xml:space="preserve"> recommends that it be rated for two separate unfitting conditions as follows: </w:t>
      </w:r>
      <w:r w:rsidR="00A14D3B" w:rsidRPr="005B4953">
        <w:rPr>
          <w:rFonts w:asciiTheme="minorHAnsi" w:eastAsiaTheme="minorHAnsi" w:hAnsiTheme="minorHAnsi"/>
          <w:color w:val="auto"/>
          <w:szCs w:val="24"/>
        </w:rPr>
        <w:t>c</w:t>
      </w:r>
      <w:r w:rsidR="00A14D3B">
        <w:rPr>
          <w:rFonts w:asciiTheme="minorHAnsi" w:eastAsiaTheme="minorHAnsi" w:hAnsiTheme="minorHAnsi"/>
          <w:color w:val="auto"/>
          <w:szCs w:val="24"/>
        </w:rPr>
        <w:t>hronic right ankle sprain with i</w:t>
      </w:r>
      <w:r w:rsidR="00A14D3B" w:rsidRPr="005B4953">
        <w:rPr>
          <w:rFonts w:asciiTheme="minorHAnsi" w:eastAsiaTheme="minorHAnsi" w:hAnsiTheme="minorHAnsi"/>
          <w:color w:val="auto"/>
          <w:szCs w:val="24"/>
        </w:rPr>
        <w:t>nstability coded 5299-5262 and rated 10%</w:t>
      </w:r>
      <w:r w:rsidR="00A14D3B">
        <w:rPr>
          <w:rFonts w:asciiTheme="minorHAnsi" w:eastAsiaTheme="minorHAnsi" w:hAnsiTheme="minorHAnsi"/>
          <w:color w:val="auto"/>
          <w:szCs w:val="24"/>
        </w:rPr>
        <w:t xml:space="preserve">, and </w:t>
      </w:r>
      <w:r w:rsidR="005B4953">
        <w:rPr>
          <w:rFonts w:asciiTheme="minorHAnsi" w:eastAsiaTheme="minorHAnsi" w:hAnsiTheme="minorHAnsi"/>
          <w:color w:val="auto"/>
          <w:szCs w:val="24"/>
        </w:rPr>
        <w:t>chronic left ankle sprain</w:t>
      </w:r>
      <w:r w:rsidR="005B4953" w:rsidRPr="00664296">
        <w:rPr>
          <w:rFonts w:asciiTheme="minorHAnsi" w:eastAsiaTheme="minorHAnsi" w:hAnsiTheme="minorHAnsi"/>
          <w:color w:val="auto"/>
          <w:szCs w:val="24"/>
        </w:rPr>
        <w:t xml:space="preserve"> coded </w:t>
      </w:r>
      <w:r w:rsidR="005B4953">
        <w:rPr>
          <w:rFonts w:asciiTheme="minorHAnsi" w:eastAsiaTheme="minorHAnsi" w:hAnsiTheme="minorHAnsi"/>
          <w:color w:val="auto"/>
          <w:szCs w:val="24"/>
        </w:rPr>
        <w:t>5299-5271</w:t>
      </w:r>
      <w:r w:rsidR="005B4953" w:rsidRPr="00664296">
        <w:rPr>
          <w:rFonts w:asciiTheme="minorHAnsi" w:eastAsiaTheme="minorHAnsi" w:hAnsiTheme="minorHAnsi"/>
          <w:color w:val="auto"/>
          <w:szCs w:val="24"/>
        </w:rPr>
        <w:t xml:space="preserve"> and rated 0</w:t>
      </w:r>
      <w:r w:rsidR="00A14D3B">
        <w:rPr>
          <w:rFonts w:asciiTheme="minorHAnsi" w:eastAsiaTheme="minorHAnsi" w:hAnsiTheme="minorHAnsi"/>
          <w:color w:val="auto"/>
          <w:szCs w:val="24"/>
        </w:rPr>
        <w:t>%</w:t>
      </w:r>
      <w:r w:rsidR="005B4953" w:rsidRPr="005B4953">
        <w:rPr>
          <w:rFonts w:asciiTheme="minorHAnsi" w:eastAsiaTheme="minorHAnsi" w:hAnsiTheme="minorHAnsi"/>
          <w:color w:val="auto"/>
          <w:szCs w:val="24"/>
        </w:rPr>
        <w:t xml:space="preserve">; both </w:t>
      </w:r>
      <w:r w:rsidR="005B4953" w:rsidRPr="005B4953">
        <w:rPr>
          <w:rFonts w:asciiTheme="minorHAnsi" w:hAnsiTheme="minorHAnsi"/>
          <w:color w:val="auto"/>
          <w:szCs w:val="24"/>
        </w:rPr>
        <w:t xml:space="preserve">IAW VASRD §4.71a. </w:t>
      </w:r>
      <w:r w:rsidR="00FD16BE" w:rsidRPr="005B4953">
        <w:rPr>
          <w:rFonts w:asciiTheme="minorHAnsi" w:hAnsiTheme="minorHAnsi" w:cstheme="minorHAnsi"/>
          <w:color w:val="auto"/>
          <w:szCs w:val="24"/>
        </w:rPr>
        <w:t xml:space="preserve"> </w:t>
      </w:r>
      <w:r w:rsidR="000D5F93" w:rsidRPr="005B4953">
        <w:rPr>
          <w:rFonts w:asciiTheme="minorHAnsi" w:eastAsiaTheme="minorHAnsi" w:hAnsiTheme="minorHAnsi"/>
          <w:color w:val="auto"/>
          <w:szCs w:val="24"/>
        </w:rPr>
        <w:t xml:space="preserve">In the matter of the migraine headache condition and IAW VASRD 4.124a, the Board unanimously recommends no change in the PEB adjudication.  </w:t>
      </w:r>
      <w:r w:rsidR="000D5F93" w:rsidRPr="005B4953">
        <w:rPr>
          <w:rFonts w:asciiTheme="minorHAnsi" w:hAnsiTheme="minorHAnsi"/>
          <w:color w:val="auto"/>
          <w:szCs w:val="24"/>
        </w:rPr>
        <w:t xml:space="preserve">In the matter of the </w:t>
      </w:r>
      <w:r w:rsidR="000D5F93" w:rsidRPr="005B4953">
        <w:rPr>
          <w:rFonts w:asciiTheme="minorHAnsi" w:eastAsia="HiddenHorzOCR" w:hAnsiTheme="minorHAnsi"/>
          <w:color w:val="auto"/>
          <w:szCs w:val="24"/>
        </w:rPr>
        <w:t>coronary artery disease, hypertension, and hyperlipidemia</w:t>
      </w:r>
      <w:r w:rsidR="000D5F93" w:rsidRPr="005B4953">
        <w:rPr>
          <w:rFonts w:asciiTheme="minorHAnsi" w:hAnsiTheme="minorHAnsi"/>
          <w:color w:val="auto"/>
          <w:szCs w:val="24"/>
        </w:rPr>
        <w:t xml:space="preserve"> conditions, the Board unanimously recommends no change from the PEB adjudications as not unfitting.  In the matter of the contended asthma condition, the Board unanimously agrees that it cannot</w:t>
      </w:r>
      <w:r w:rsidR="000D5F93" w:rsidRPr="005B4953">
        <w:rPr>
          <w:rFonts w:asciiTheme="minorHAnsi" w:hAnsiTheme="minorHAnsi"/>
          <w:color w:val="000080"/>
          <w:szCs w:val="24"/>
        </w:rPr>
        <w:t xml:space="preserve"> </w:t>
      </w:r>
      <w:r w:rsidR="000D5F93" w:rsidRPr="005B4953">
        <w:rPr>
          <w:rFonts w:asciiTheme="minorHAnsi" w:hAnsiTheme="minorHAnsi"/>
          <w:color w:val="auto"/>
          <w:szCs w:val="24"/>
        </w:rPr>
        <w:t>recommend a finding of unfit for additional rating at separation.  In the matter of the gastroesophageal reflux disease, umbilical hernia, bronchitis, and depression</w:t>
      </w:r>
      <w:r w:rsidR="000D5F93" w:rsidRPr="005B4953">
        <w:rPr>
          <w:rFonts w:asciiTheme="minorHAnsi" w:eastAsiaTheme="minorHAnsi" w:hAnsiTheme="minorHAnsi"/>
          <w:color w:val="auto"/>
          <w:szCs w:val="24"/>
        </w:rPr>
        <w:t xml:space="preserve"> conditions</w:t>
      </w:r>
      <w:r w:rsidR="00A429AD" w:rsidRPr="005B4953">
        <w:rPr>
          <w:rFonts w:asciiTheme="minorHAnsi" w:eastAsiaTheme="minorHAnsi" w:hAnsiTheme="minorHAnsi"/>
          <w:color w:val="auto"/>
          <w:szCs w:val="24"/>
        </w:rPr>
        <w:t>,</w:t>
      </w:r>
      <w:r w:rsidR="000D5F93" w:rsidRPr="005B4953">
        <w:rPr>
          <w:rFonts w:asciiTheme="minorHAnsi" w:hAnsiTheme="minorHAnsi"/>
          <w:color w:val="auto"/>
          <w:szCs w:val="24"/>
        </w:rPr>
        <w:t xml:space="preserve"> or any other medical conditions eligible for Board consideration; the Board unanimously agrees</w:t>
      </w:r>
      <w:r w:rsidR="000D5F93" w:rsidRPr="00664296">
        <w:rPr>
          <w:rFonts w:asciiTheme="minorHAnsi" w:hAnsiTheme="minorHAnsi"/>
          <w:color w:val="auto"/>
          <w:szCs w:val="24"/>
        </w:rPr>
        <w:t xml:space="preserve"> that it cannot</w:t>
      </w:r>
      <w:r w:rsidR="000D5F93" w:rsidRPr="00664296">
        <w:rPr>
          <w:rFonts w:asciiTheme="minorHAnsi" w:hAnsiTheme="minorHAnsi"/>
          <w:color w:val="000080"/>
          <w:szCs w:val="24"/>
        </w:rPr>
        <w:t xml:space="preserve"> </w:t>
      </w:r>
      <w:r w:rsidR="000D5F93" w:rsidRPr="00664296">
        <w:rPr>
          <w:rFonts w:asciiTheme="minorHAnsi" w:hAnsiTheme="minorHAnsi"/>
          <w:color w:val="auto"/>
          <w:szCs w:val="24"/>
        </w:rPr>
        <w:t>recommend any findings of unfit for additional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6B4AA2" w:rsidRPr="005B4953" w:rsidRDefault="00C56FC8" w:rsidP="00DF0888">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B4953">
        <w:rPr>
          <w:rFonts w:asciiTheme="minorHAnsi" w:hAnsiTheme="minorHAnsi"/>
          <w:color w:val="auto"/>
        </w:rPr>
        <w:t xml:space="preserve"> </w:t>
      </w:r>
      <w:r w:rsidR="00753DD6" w:rsidRPr="005B4953">
        <w:rPr>
          <w:rFonts w:asciiTheme="minorHAnsi" w:hAnsiTheme="minorHAnsi"/>
          <w:color w:val="auto"/>
          <w:szCs w:val="24"/>
        </w:rPr>
        <w:t>The Board recommends that the CI’s prior determination be modified as follows, effective as of the date of his prior medical separation:</w:t>
      </w:r>
    </w:p>
    <w:p w:rsidR="004101B2" w:rsidRPr="00AF01B2" w:rsidRDefault="004101B2" w:rsidP="00DF0888">
      <w:pPr>
        <w:tabs>
          <w:tab w:val="left" w:pos="288"/>
          <w:tab w:val="left" w:pos="4752"/>
        </w:tabs>
        <w:spacing w:line="240" w:lineRule="exact"/>
        <w:jc w:val="both"/>
        <w:rPr>
          <w:rFonts w:asciiTheme="minorHAnsi" w:hAnsiTheme="minorHAnsi"/>
          <w:color w:val="auto"/>
        </w:rPr>
      </w:pPr>
    </w:p>
    <w:tbl>
      <w:tblPr>
        <w:tblW w:w="0" w:type="auto"/>
        <w:jc w:val="center"/>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5"/>
        <w:gridCol w:w="1523"/>
        <w:gridCol w:w="991"/>
      </w:tblGrid>
      <w:tr w:rsidR="004101B2" w:rsidRPr="00AF01B2" w:rsidTr="00DF0888">
        <w:trPr>
          <w:trHeight w:val="206"/>
          <w:jc w:val="center"/>
        </w:trPr>
        <w:tc>
          <w:tcPr>
            <w:tcW w:w="6835" w:type="dxa"/>
            <w:tcBorders>
              <w:right w:val="single" w:sz="4" w:space="0" w:color="auto"/>
            </w:tcBorders>
            <w:shd w:val="clear" w:color="auto" w:fill="D9D9D9"/>
            <w:vAlign w:val="center"/>
          </w:tcPr>
          <w:p w:rsidR="004101B2" w:rsidRPr="005B4953" w:rsidRDefault="004101B2" w:rsidP="00103948">
            <w:pPr>
              <w:tabs>
                <w:tab w:val="left" w:pos="288"/>
                <w:tab w:val="left" w:pos="4752"/>
              </w:tabs>
              <w:spacing w:line="240" w:lineRule="exact"/>
              <w:jc w:val="center"/>
              <w:rPr>
                <w:rFonts w:asciiTheme="minorHAnsi" w:hAnsiTheme="minorHAnsi"/>
                <w:b/>
                <w:color w:val="auto"/>
                <w:szCs w:val="24"/>
              </w:rPr>
            </w:pPr>
            <w:r w:rsidRPr="005B4953">
              <w:rPr>
                <w:rFonts w:asciiTheme="minorHAnsi" w:hAnsiTheme="minorHAnsi"/>
                <w:b/>
                <w:color w:val="auto"/>
                <w:szCs w:val="24"/>
              </w:rPr>
              <w:t>UNFITTING CONDITION</w:t>
            </w:r>
          </w:p>
        </w:tc>
        <w:tc>
          <w:tcPr>
            <w:tcW w:w="1523" w:type="dxa"/>
            <w:tcBorders>
              <w:left w:val="single" w:sz="4" w:space="0" w:color="auto"/>
            </w:tcBorders>
            <w:shd w:val="clear" w:color="auto" w:fill="D9D9D9"/>
            <w:vAlign w:val="center"/>
          </w:tcPr>
          <w:p w:rsidR="004101B2" w:rsidRPr="005B4953" w:rsidRDefault="004101B2" w:rsidP="00103948">
            <w:pPr>
              <w:tabs>
                <w:tab w:val="left" w:pos="288"/>
                <w:tab w:val="left" w:pos="4752"/>
              </w:tabs>
              <w:spacing w:line="240" w:lineRule="exact"/>
              <w:jc w:val="center"/>
              <w:rPr>
                <w:rFonts w:asciiTheme="minorHAnsi" w:hAnsiTheme="minorHAnsi"/>
                <w:b/>
                <w:color w:val="auto"/>
                <w:szCs w:val="24"/>
              </w:rPr>
            </w:pPr>
            <w:r w:rsidRPr="005B4953">
              <w:rPr>
                <w:rFonts w:asciiTheme="minorHAnsi" w:hAnsiTheme="minorHAnsi"/>
                <w:b/>
                <w:color w:val="auto"/>
                <w:szCs w:val="24"/>
              </w:rPr>
              <w:t>VASRD CODE</w:t>
            </w:r>
          </w:p>
        </w:tc>
        <w:tc>
          <w:tcPr>
            <w:tcW w:w="991" w:type="dxa"/>
            <w:shd w:val="clear" w:color="auto" w:fill="D9D9D9"/>
            <w:vAlign w:val="center"/>
          </w:tcPr>
          <w:p w:rsidR="004101B2" w:rsidRPr="005B4953" w:rsidRDefault="004101B2" w:rsidP="00103948">
            <w:pPr>
              <w:tabs>
                <w:tab w:val="left" w:pos="288"/>
                <w:tab w:val="left" w:pos="4752"/>
              </w:tabs>
              <w:spacing w:line="240" w:lineRule="exact"/>
              <w:jc w:val="center"/>
              <w:rPr>
                <w:rFonts w:asciiTheme="minorHAnsi" w:hAnsiTheme="minorHAnsi"/>
                <w:b/>
                <w:color w:val="auto"/>
                <w:szCs w:val="24"/>
              </w:rPr>
            </w:pPr>
            <w:r w:rsidRPr="005B4953">
              <w:rPr>
                <w:rFonts w:asciiTheme="minorHAnsi" w:hAnsiTheme="minorHAnsi"/>
                <w:b/>
                <w:color w:val="auto"/>
                <w:szCs w:val="24"/>
              </w:rPr>
              <w:t>RATING</w:t>
            </w:r>
          </w:p>
        </w:tc>
      </w:tr>
      <w:tr w:rsidR="00CB0752" w:rsidRPr="00AF01B2" w:rsidTr="00DF0888">
        <w:trPr>
          <w:jc w:val="center"/>
        </w:trPr>
        <w:tc>
          <w:tcPr>
            <w:tcW w:w="6835" w:type="dxa"/>
            <w:tcBorders>
              <w:right w:val="single" w:sz="4" w:space="0" w:color="auto"/>
            </w:tcBorders>
            <w:vAlign w:val="center"/>
          </w:tcPr>
          <w:p w:rsidR="00CB0752" w:rsidRPr="005B4953" w:rsidRDefault="00CB0752" w:rsidP="00103948">
            <w:pPr>
              <w:tabs>
                <w:tab w:val="left" w:pos="288"/>
                <w:tab w:val="left" w:pos="4752"/>
              </w:tabs>
              <w:spacing w:line="240" w:lineRule="exact"/>
              <w:rPr>
                <w:rFonts w:asciiTheme="minorHAnsi" w:hAnsiTheme="minorHAnsi"/>
                <w:color w:val="auto"/>
                <w:szCs w:val="24"/>
              </w:rPr>
            </w:pPr>
            <w:r w:rsidRPr="005B4953">
              <w:rPr>
                <w:rFonts w:asciiTheme="minorHAnsi" w:hAnsiTheme="minorHAnsi"/>
                <w:color w:val="auto"/>
                <w:szCs w:val="24"/>
              </w:rPr>
              <w:t>Chronic Low Back Pain</w:t>
            </w:r>
          </w:p>
        </w:tc>
        <w:tc>
          <w:tcPr>
            <w:tcW w:w="1523" w:type="dxa"/>
            <w:tcBorders>
              <w:left w:val="single" w:sz="4" w:space="0" w:color="auto"/>
            </w:tcBorders>
            <w:vAlign w:val="center"/>
          </w:tcPr>
          <w:p w:rsidR="00CB0752" w:rsidRPr="005B4953" w:rsidRDefault="00CB0752" w:rsidP="0010394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5299-5237</w:t>
            </w:r>
          </w:p>
        </w:tc>
        <w:tc>
          <w:tcPr>
            <w:tcW w:w="991" w:type="dxa"/>
            <w:vAlign w:val="center"/>
          </w:tcPr>
          <w:p w:rsidR="00CB0752" w:rsidRPr="005B4953" w:rsidRDefault="00CB0752" w:rsidP="0010394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10%</w:t>
            </w:r>
          </w:p>
        </w:tc>
      </w:tr>
      <w:tr w:rsidR="00DF0888" w:rsidRPr="00AF01B2" w:rsidTr="00DF0888">
        <w:trPr>
          <w:jc w:val="center"/>
        </w:trPr>
        <w:tc>
          <w:tcPr>
            <w:tcW w:w="6835" w:type="dxa"/>
            <w:tcBorders>
              <w:right w:val="single" w:sz="4" w:space="0" w:color="auto"/>
            </w:tcBorders>
            <w:vAlign w:val="center"/>
          </w:tcPr>
          <w:p w:rsidR="00DF0888" w:rsidRPr="005B4953" w:rsidRDefault="00DF0888" w:rsidP="00615A38">
            <w:pPr>
              <w:tabs>
                <w:tab w:val="left" w:pos="288"/>
                <w:tab w:val="left" w:pos="4752"/>
              </w:tabs>
              <w:spacing w:line="240" w:lineRule="exact"/>
              <w:rPr>
                <w:rFonts w:asciiTheme="minorHAnsi" w:hAnsiTheme="minorHAnsi"/>
                <w:color w:val="auto"/>
                <w:szCs w:val="24"/>
              </w:rPr>
            </w:pPr>
            <w:r w:rsidRPr="005B4953">
              <w:rPr>
                <w:rFonts w:asciiTheme="minorHAnsi" w:hAnsiTheme="minorHAnsi"/>
                <w:color w:val="auto"/>
                <w:szCs w:val="24"/>
              </w:rPr>
              <w:t>Chronic Right Ankle Sprain with Instability</w:t>
            </w:r>
          </w:p>
        </w:tc>
        <w:tc>
          <w:tcPr>
            <w:tcW w:w="1523" w:type="dxa"/>
            <w:tcBorders>
              <w:left w:val="single" w:sz="4" w:space="0" w:color="auto"/>
            </w:tcBorders>
            <w:vAlign w:val="center"/>
          </w:tcPr>
          <w:p w:rsidR="00DF0888" w:rsidRPr="005B4953" w:rsidRDefault="00DF0888" w:rsidP="00615A3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5299-5262</w:t>
            </w:r>
          </w:p>
        </w:tc>
        <w:tc>
          <w:tcPr>
            <w:tcW w:w="991" w:type="dxa"/>
            <w:vAlign w:val="center"/>
          </w:tcPr>
          <w:p w:rsidR="00DF0888" w:rsidRPr="005B4953" w:rsidRDefault="00DF0888" w:rsidP="00615A3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10%</w:t>
            </w:r>
          </w:p>
        </w:tc>
      </w:tr>
      <w:tr w:rsidR="00DF0888" w:rsidRPr="00AF01B2" w:rsidTr="00DF0888">
        <w:trPr>
          <w:jc w:val="center"/>
        </w:trPr>
        <w:tc>
          <w:tcPr>
            <w:tcW w:w="6835" w:type="dxa"/>
            <w:tcBorders>
              <w:right w:val="single" w:sz="4" w:space="0" w:color="auto"/>
            </w:tcBorders>
            <w:vAlign w:val="center"/>
          </w:tcPr>
          <w:p w:rsidR="00DF0888" w:rsidRPr="005B4953" w:rsidRDefault="00DF0888" w:rsidP="00103948">
            <w:pPr>
              <w:tabs>
                <w:tab w:val="left" w:pos="288"/>
                <w:tab w:val="left" w:pos="4752"/>
              </w:tabs>
              <w:spacing w:line="240" w:lineRule="exact"/>
              <w:rPr>
                <w:rFonts w:asciiTheme="minorHAnsi" w:hAnsiTheme="minorHAnsi"/>
                <w:color w:val="auto"/>
                <w:szCs w:val="24"/>
              </w:rPr>
            </w:pPr>
            <w:r w:rsidRPr="005B4953">
              <w:rPr>
                <w:rFonts w:asciiTheme="minorHAnsi" w:hAnsiTheme="minorHAnsi"/>
                <w:color w:val="auto"/>
                <w:szCs w:val="24"/>
              </w:rPr>
              <w:t>Chronic Left Ankle Sprain</w:t>
            </w:r>
          </w:p>
        </w:tc>
        <w:tc>
          <w:tcPr>
            <w:tcW w:w="1523" w:type="dxa"/>
            <w:tcBorders>
              <w:left w:val="single" w:sz="4" w:space="0" w:color="auto"/>
            </w:tcBorders>
            <w:vAlign w:val="center"/>
          </w:tcPr>
          <w:p w:rsidR="00DF0888" w:rsidRPr="005B4953" w:rsidRDefault="00DF0888" w:rsidP="0010394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5299-5271</w:t>
            </w:r>
          </w:p>
        </w:tc>
        <w:tc>
          <w:tcPr>
            <w:tcW w:w="991" w:type="dxa"/>
            <w:vAlign w:val="center"/>
          </w:tcPr>
          <w:p w:rsidR="00DF0888" w:rsidRPr="005B4953" w:rsidRDefault="00DF0888" w:rsidP="005B4953">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 xml:space="preserve">0% </w:t>
            </w:r>
          </w:p>
        </w:tc>
      </w:tr>
      <w:tr w:rsidR="00DF0888" w:rsidRPr="00AF01B2" w:rsidTr="00DF0888">
        <w:trPr>
          <w:jc w:val="center"/>
        </w:trPr>
        <w:tc>
          <w:tcPr>
            <w:tcW w:w="6835" w:type="dxa"/>
            <w:tcBorders>
              <w:right w:val="single" w:sz="4" w:space="0" w:color="auto"/>
            </w:tcBorders>
            <w:vAlign w:val="center"/>
          </w:tcPr>
          <w:p w:rsidR="00DF0888" w:rsidRPr="005B4953" w:rsidRDefault="00DF0888" w:rsidP="00CB0752">
            <w:pPr>
              <w:tabs>
                <w:tab w:val="left" w:pos="288"/>
                <w:tab w:val="left" w:pos="4752"/>
              </w:tabs>
              <w:spacing w:line="240" w:lineRule="exact"/>
              <w:rPr>
                <w:rFonts w:asciiTheme="minorHAnsi" w:hAnsiTheme="minorHAnsi"/>
                <w:color w:val="auto"/>
                <w:szCs w:val="24"/>
              </w:rPr>
            </w:pPr>
            <w:r w:rsidRPr="005B4953">
              <w:rPr>
                <w:rFonts w:asciiTheme="minorHAnsi" w:hAnsiTheme="minorHAnsi"/>
                <w:color w:val="auto"/>
                <w:szCs w:val="24"/>
              </w:rPr>
              <w:t>Migraine Headaches</w:t>
            </w:r>
          </w:p>
        </w:tc>
        <w:tc>
          <w:tcPr>
            <w:tcW w:w="1523" w:type="dxa"/>
            <w:tcBorders>
              <w:left w:val="single" w:sz="4" w:space="0" w:color="auto"/>
            </w:tcBorders>
            <w:vAlign w:val="center"/>
          </w:tcPr>
          <w:p w:rsidR="00DF0888" w:rsidRPr="005B4953" w:rsidRDefault="00DF0888" w:rsidP="00FD16BE">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8100</w:t>
            </w:r>
          </w:p>
        </w:tc>
        <w:tc>
          <w:tcPr>
            <w:tcW w:w="991" w:type="dxa"/>
            <w:vAlign w:val="center"/>
          </w:tcPr>
          <w:p w:rsidR="00DF0888" w:rsidRPr="005B4953" w:rsidRDefault="00DF0888" w:rsidP="00103948">
            <w:pPr>
              <w:tabs>
                <w:tab w:val="left" w:pos="288"/>
                <w:tab w:val="left" w:pos="4752"/>
              </w:tabs>
              <w:spacing w:line="240" w:lineRule="exact"/>
              <w:jc w:val="center"/>
              <w:rPr>
                <w:rFonts w:asciiTheme="minorHAnsi" w:hAnsiTheme="minorHAnsi"/>
                <w:color w:val="auto"/>
                <w:szCs w:val="24"/>
              </w:rPr>
            </w:pPr>
            <w:r w:rsidRPr="005B4953">
              <w:rPr>
                <w:rFonts w:asciiTheme="minorHAnsi" w:hAnsiTheme="minorHAnsi"/>
                <w:color w:val="auto"/>
                <w:szCs w:val="24"/>
              </w:rPr>
              <w:t>0%</w:t>
            </w:r>
          </w:p>
        </w:tc>
      </w:tr>
      <w:tr w:rsidR="00DF0888" w:rsidRPr="00AF01B2" w:rsidTr="00DF0888">
        <w:tblPrEx>
          <w:tblLook w:val="0000"/>
        </w:tblPrEx>
        <w:trPr>
          <w:gridBefore w:val="1"/>
          <w:wBefore w:w="6835" w:type="dxa"/>
          <w:trHeight w:val="143"/>
          <w:jc w:val="center"/>
        </w:trPr>
        <w:tc>
          <w:tcPr>
            <w:tcW w:w="1523" w:type="dxa"/>
            <w:tcBorders>
              <w:left w:val="single" w:sz="4" w:space="0" w:color="auto"/>
              <w:bottom w:val="single" w:sz="4" w:space="0" w:color="auto"/>
            </w:tcBorders>
            <w:shd w:val="clear" w:color="auto" w:fill="D9D9D9" w:themeFill="background1" w:themeFillShade="D9"/>
            <w:vAlign w:val="center"/>
          </w:tcPr>
          <w:p w:rsidR="00DF0888" w:rsidRPr="005B4953" w:rsidRDefault="00DF0888" w:rsidP="00DF0888">
            <w:pPr>
              <w:tabs>
                <w:tab w:val="left" w:pos="288"/>
                <w:tab w:val="left" w:pos="4752"/>
              </w:tabs>
              <w:spacing w:line="240" w:lineRule="exact"/>
              <w:jc w:val="center"/>
              <w:rPr>
                <w:rFonts w:asciiTheme="minorHAnsi" w:hAnsiTheme="minorHAnsi"/>
                <w:b/>
                <w:color w:val="auto"/>
                <w:szCs w:val="24"/>
              </w:rPr>
            </w:pPr>
            <w:r w:rsidRPr="005B4953">
              <w:rPr>
                <w:rFonts w:asciiTheme="minorHAnsi" w:hAnsiTheme="minorHAnsi"/>
                <w:b/>
                <w:color w:val="auto"/>
                <w:szCs w:val="24"/>
              </w:rPr>
              <w:t>COMBINED</w:t>
            </w:r>
          </w:p>
        </w:tc>
        <w:tc>
          <w:tcPr>
            <w:tcW w:w="991" w:type="dxa"/>
            <w:tcBorders>
              <w:bottom w:val="single" w:sz="4" w:space="0" w:color="000000"/>
            </w:tcBorders>
            <w:shd w:val="clear" w:color="auto" w:fill="D9D9D9" w:themeFill="background1" w:themeFillShade="D9"/>
            <w:vAlign w:val="center"/>
          </w:tcPr>
          <w:p w:rsidR="00DF0888" w:rsidRPr="005B4953" w:rsidRDefault="00DF0888" w:rsidP="005B4953">
            <w:pPr>
              <w:tabs>
                <w:tab w:val="left" w:pos="288"/>
                <w:tab w:val="left" w:pos="4752"/>
              </w:tabs>
              <w:spacing w:line="240" w:lineRule="exact"/>
              <w:jc w:val="center"/>
              <w:rPr>
                <w:rFonts w:asciiTheme="minorHAnsi" w:hAnsiTheme="minorHAnsi"/>
                <w:b/>
                <w:color w:val="auto"/>
                <w:szCs w:val="24"/>
              </w:rPr>
            </w:pPr>
            <w:r w:rsidRPr="005B4953">
              <w:rPr>
                <w:rFonts w:asciiTheme="minorHAnsi" w:hAnsiTheme="minorHAnsi"/>
                <w:b/>
                <w:color w:val="auto"/>
                <w:szCs w:val="24"/>
              </w:rPr>
              <w:t>20%</w:t>
            </w:r>
          </w:p>
        </w:tc>
      </w:tr>
    </w:tbl>
    <w:p w:rsidR="00DF0888" w:rsidRPr="00391858" w:rsidRDefault="00DF0888" w:rsidP="00DF0888">
      <w:pPr>
        <w:pBdr>
          <w:bottom w:val="single" w:sz="12" w:space="1" w:color="auto"/>
        </w:pBdr>
        <w:tabs>
          <w:tab w:val="left" w:pos="288"/>
          <w:tab w:val="left" w:pos="4752"/>
        </w:tabs>
        <w:spacing w:line="240" w:lineRule="exact"/>
        <w:jc w:val="both"/>
        <w:rPr>
          <w:rFonts w:asciiTheme="minorHAnsi" w:hAnsiTheme="minorHAnsi"/>
          <w:b/>
          <w:color w:val="auto"/>
          <w:u w:val="single"/>
        </w:rPr>
      </w:pPr>
    </w:p>
    <w:p w:rsidR="00DF0888" w:rsidRDefault="00DF0888" w:rsidP="00DF0888">
      <w:pPr>
        <w:spacing w:line="240" w:lineRule="exact"/>
        <w:rPr>
          <w:rFonts w:asciiTheme="minorHAnsi" w:hAnsiTheme="minorHAnsi"/>
          <w:b/>
          <w:color w:val="auto"/>
          <w:szCs w:val="24"/>
          <w:u w:val="single"/>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D4D5B">
        <w:rPr>
          <w:rFonts w:asciiTheme="minorHAnsi" w:hAnsiTheme="minorHAnsi"/>
          <w:color w:val="auto"/>
        </w:rPr>
        <w:t>1</w:t>
      </w:r>
      <w:r w:rsidR="007E59E3">
        <w:rPr>
          <w:rFonts w:asciiTheme="minorHAnsi" w:hAnsiTheme="minorHAnsi"/>
          <w:color w:val="auto"/>
        </w:rPr>
        <w:t>0</w:t>
      </w:r>
      <w:r w:rsidR="007D4D5B">
        <w:rPr>
          <w:rFonts w:asciiTheme="minorHAnsi" w:hAnsiTheme="minorHAnsi"/>
          <w:color w:val="auto"/>
        </w:rPr>
        <w:t>1103</w:t>
      </w:r>
      <w:r w:rsidR="00CB3247">
        <w:rPr>
          <w:rFonts w:asciiTheme="minorHAnsi" w:hAnsiTheme="minorHAnsi"/>
          <w:color w:val="auto"/>
        </w:rPr>
        <w:t>, w/</w:t>
      </w:r>
      <w:proofErr w:type="spellStart"/>
      <w:r w:rsidR="00CB3247">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w:t>
      </w:r>
      <w:r w:rsidR="00CB3247">
        <w:rPr>
          <w:rFonts w:asciiTheme="minorHAnsi" w:hAnsiTheme="minorHAnsi"/>
          <w:color w:val="auto"/>
        </w:rPr>
        <w:t>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CB3247">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397A33" w:rsidRDefault="00397A33">
      <w:pPr>
        <w:rPr>
          <w:rFonts w:asciiTheme="minorHAnsi" w:hAnsiTheme="minorHAnsi"/>
          <w:color w:val="auto"/>
          <w:szCs w:val="24"/>
          <w:u w:val="single"/>
        </w:rPr>
      </w:pPr>
      <w:r>
        <w:rPr>
          <w:rFonts w:asciiTheme="minorHAnsi" w:hAnsiTheme="minorHAnsi"/>
          <w:color w:val="auto"/>
          <w:szCs w:val="24"/>
          <w:u w:val="single"/>
        </w:rPr>
        <w:br w:type="page"/>
      </w:r>
    </w:p>
    <w:p w:rsidR="00397A33" w:rsidRPr="00A756A3" w:rsidRDefault="00397A33" w:rsidP="00397A33">
      <w:pPr>
        <w:pStyle w:val="Header"/>
        <w:tabs>
          <w:tab w:val="clear" w:pos="4320"/>
          <w:tab w:val="clear" w:pos="8640"/>
        </w:tabs>
        <w:rPr>
          <w:color w:val="auto"/>
        </w:rPr>
      </w:pPr>
      <w:r w:rsidRPr="00A756A3">
        <w:rPr>
          <w:color w:val="auto"/>
        </w:rPr>
        <w:lastRenderedPageBreak/>
        <w:t>SFMR-RB</w:t>
      </w:r>
      <w:r w:rsidRPr="00A756A3">
        <w:rPr>
          <w:color w:val="auto"/>
        </w:rPr>
        <w:tab/>
      </w:r>
      <w:r w:rsidRPr="00A756A3">
        <w:rPr>
          <w:color w:val="auto"/>
        </w:rPr>
        <w:tab/>
      </w:r>
      <w:r w:rsidRPr="00A756A3">
        <w:rPr>
          <w:color w:val="auto"/>
        </w:rPr>
        <w:tab/>
      </w:r>
      <w:r w:rsidRPr="00A756A3">
        <w:rPr>
          <w:color w:val="auto"/>
        </w:rPr>
        <w:tab/>
      </w:r>
      <w:r w:rsidRPr="00A756A3">
        <w:rPr>
          <w:color w:val="auto"/>
        </w:rPr>
        <w:tab/>
      </w:r>
      <w:r w:rsidRPr="00A756A3">
        <w:rPr>
          <w:color w:val="auto"/>
        </w:rPr>
        <w:tab/>
      </w:r>
      <w:r w:rsidRPr="00A756A3">
        <w:rPr>
          <w:color w:val="auto"/>
        </w:rPr>
        <w:tab/>
      </w:r>
      <w:r w:rsidRPr="00A756A3">
        <w:rPr>
          <w:color w:val="auto"/>
        </w:rPr>
        <w:tab/>
      </w:r>
      <w:r w:rsidRPr="00A756A3">
        <w:rPr>
          <w:color w:val="auto"/>
        </w:rPr>
        <w:tab/>
      </w:r>
    </w:p>
    <w:p w:rsidR="00397A33" w:rsidRPr="00A756A3" w:rsidRDefault="00397A33" w:rsidP="00397A33">
      <w:pPr>
        <w:pStyle w:val="Header"/>
        <w:tabs>
          <w:tab w:val="clear" w:pos="4320"/>
          <w:tab w:val="clear" w:pos="8640"/>
        </w:tabs>
        <w:rPr>
          <w:color w:val="auto"/>
        </w:rPr>
      </w:pPr>
    </w:p>
    <w:p w:rsidR="00397A33" w:rsidRPr="00A756A3" w:rsidRDefault="00397A33" w:rsidP="00397A33">
      <w:pPr>
        <w:rPr>
          <w:color w:val="auto"/>
        </w:rPr>
      </w:pPr>
    </w:p>
    <w:p w:rsidR="00397A33" w:rsidRPr="00A756A3" w:rsidRDefault="00397A33" w:rsidP="00397A33">
      <w:pPr>
        <w:rPr>
          <w:color w:val="auto"/>
        </w:rPr>
      </w:pPr>
      <w:r w:rsidRPr="00A756A3">
        <w:rPr>
          <w:color w:val="auto"/>
        </w:rPr>
        <w:t xml:space="preserve">MEMORANDUM FOR Commander, US Army Physical Disability Agency </w:t>
      </w:r>
    </w:p>
    <w:p w:rsidR="00397A33" w:rsidRPr="00A756A3" w:rsidRDefault="00397A33" w:rsidP="00397A33">
      <w:pPr>
        <w:rPr>
          <w:color w:val="auto"/>
        </w:rPr>
      </w:pPr>
      <w:r w:rsidRPr="00A756A3">
        <w:rPr>
          <w:color w:val="auto"/>
        </w:rPr>
        <w:t>Crystal Drive, Suite 300, Arlington, VA 22202</w:t>
      </w:r>
    </w:p>
    <w:p w:rsidR="00397A33" w:rsidRPr="00A756A3" w:rsidRDefault="00397A33" w:rsidP="00397A33">
      <w:pPr>
        <w:rPr>
          <w:color w:val="auto"/>
        </w:rPr>
      </w:pPr>
    </w:p>
    <w:p w:rsidR="00397A33" w:rsidRPr="00A756A3" w:rsidRDefault="00397A33" w:rsidP="00397A33">
      <w:pPr>
        <w:ind w:right="-180"/>
        <w:rPr>
          <w:color w:val="auto"/>
        </w:rPr>
      </w:pPr>
      <w:r w:rsidRPr="00A756A3">
        <w:rPr>
          <w:color w:val="auto"/>
        </w:rPr>
        <w:t xml:space="preserve">SUBJECT:  Department of Defense Physical Disability Board of Review Recommendation </w:t>
      </w:r>
    </w:p>
    <w:p w:rsidR="00397A33" w:rsidRPr="00A756A3" w:rsidRDefault="00397A33" w:rsidP="00397A33">
      <w:pPr>
        <w:pStyle w:val="Header"/>
        <w:tabs>
          <w:tab w:val="left" w:pos="720"/>
        </w:tabs>
        <w:rPr>
          <w:color w:val="auto"/>
        </w:rPr>
      </w:pPr>
      <w:proofErr w:type="gramStart"/>
      <w:r w:rsidRPr="00A756A3">
        <w:rPr>
          <w:color w:val="auto"/>
        </w:rPr>
        <w:t>for</w:t>
      </w:r>
      <w:proofErr w:type="gramEnd"/>
      <w:r w:rsidRPr="00A756A3">
        <w:rPr>
          <w:color w:val="auto"/>
        </w:rPr>
        <w:t xml:space="preserve"> (PD201001218)</w:t>
      </w:r>
    </w:p>
    <w:p w:rsidR="00397A33" w:rsidRPr="00A756A3" w:rsidRDefault="00397A33" w:rsidP="00397A33">
      <w:pPr>
        <w:pStyle w:val="Header"/>
        <w:tabs>
          <w:tab w:val="left" w:pos="720"/>
        </w:tabs>
        <w:rPr>
          <w:color w:val="auto"/>
        </w:rPr>
      </w:pPr>
    </w:p>
    <w:p w:rsidR="00397A33" w:rsidRPr="00A756A3" w:rsidRDefault="00397A33" w:rsidP="00397A33">
      <w:pPr>
        <w:rPr>
          <w:color w:val="auto"/>
        </w:rPr>
      </w:pPr>
    </w:p>
    <w:p w:rsidR="00397A33" w:rsidRPr="00A756A3" w:rsidRDefault="00397A33" w:rsidP="00397A33">
      <w:pPr>
        <w:rPr>
          <w:color w:val="auto"/>
        </w:rPr>
      </w:pPr>
      <w:r w:rsidRPr="00A756A3">
        <w:rPr>
          <w:color w:val="auto"/>
        </w:rPr>
        <w:t>1.  I have reviewed the enclosed Department of Defense Physical Disability Board of Review (</w:t>
      </w:r>
      <w:proofErr w:type="spellStart"/>
      <w:r w:rsidRPr="00A756A3">
        <w:rPr>
          <w:color w:val="auto"/>
        </w:rPr>
        <w:t>DoD</w:t>
      </w:r>
      <w:proofErr w:type="spellEnd"/>
      <w:r w:rsidRPr="00A756A3">
        <w:rPr>
          <w:color w:val="auto"/>
        </w:rP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rsidRPr="00A756A3">
        <w:rPr>
          <w:color w:val="auto"/>
        </w:rPr>
        <w:t>recharacterization</w:t>
      </w:r>
      <w:proofErr w:type="spellEnd"/>
      <w:r w:rsidRPr="00A756A3">
        <w:rPr>
          <w:color w:val="auto"/>
        </w:rPr>
        <w:t xml:space="preserve"> of the individual’s separation.  This decision is final.  </w:t>
      </w:r>
    </w:p>
    <w:p w:rsidR="00397A33" w:rsidRPr="00A756A3" w:rsidRDefault="00397A33" w:rsidP="00397A33">
      <w:pPr>
        <w:rPr>
          <w:color w:val="auto"/>
        </w:rPr>
      </w:pPr>
    </w:p>
    <w:p w:rsidR="00397A33" w:rsidRPr="00A756A3" w:rsidRDefault="00397A33" w:rsidP="00397A33">
      <w:pPr>
        <w:rPr>
          <w:color w:val="auto"/>
        </w:rPr>
      </w:pPr>
      <w:r w:rsidRPr="00A756A3">
        <w:rPr>
          <w:color w:val="auto"/>
        </w:rPr>
        <w:t xml:space="preserve">2.  I direct that all the Department of the Army records of the individual concerned be corrected accordingly no later than 120 days from the date of this memorandum.   </w:t>
      </w:r>
    </w:p>
    <w:p w:rsidR="00397A33" w:rsidRPr="00A756A3" w:rsidRDefault="00397A33" w:rsidP="00397A33">
      <w:pPr>
        <w:rPr>
          <w:color w:val="auto"/>
        </w:rPr>
      </w:pPr>
    </w:p>
    <w:p w:rsidR="00397A33" w:rsidRPr="00A756A3" w:rsidRDefault="00397A33" w:rsidP="00397A33">
      <w:pPr>
        <w:rPr>
          <w:color w:val="auto"/>
        </w:rPr>
      </w:pPr>
      <w:r w:rsidRPr="00A756A3">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97A33" w:rsidRPr="00A756A3" w:rsidRDefault="00397A33" w:rsidP="00397A33">
      <w:pPr>
        <w:rPr>
          <w:color w:val="auto"/>
        </w:rPr>
      </w:pPr>
    </w:p>
    <w:p w:rsidR="00397A33" w:rsidRPr="00A756A3" w:rsidRDefault="00397A33" w:rsidP="00397A33">
      <w:pPr>
        <w:rPr>
          <w:color w:val="auto"/>
        </w:rPr>
      </w:pPr>
      <w:r w:rsidRPr="00A756A3">
        <w:rPr>
          <w:color w:val="auto"/>
        </w:rPr>
        <w:t xml:space="preserve"> BY ORDER OF THE SECRETARY OF THE ARMY:</w:t>
      </w:r>
    </w:p>
    <w:p w:rsidR="00397A33" w:rsidRPr="00A756A3" w:rsidRDefault="00397A33" w:rsidP="00397A33">
      <w:pPr>
        <w:rPr>
          <w:color w:val="auto"/>
        </w:rPr>
      </w:pPr>
    </w:p>
    <w:p w:rsidR="00397A33" w:rsidRPr="00A756A3" w:rsidRDefault="00397A33" w:rsidP="00397A33">
      <w:pPr>
        <w:rPr>
          <w:color w:val="auto"/>
        </w:rPr>
      </w:pPr>
    </w:p>
    <w:p w:rsidR="00397A33" w:rsidRPr="00A756A3" w:rsidRDefault="00397A33" w:rsidP="00397A33">
      <w:pPr>
        <w:pStyle w:val="Header"/>
        <w:tabs>
          <w:tab w:val="clear" w:pos="4320"/>
          <w:tab w:val="clear" w:pos="8640"/>
        </w:tabs>
        <w:rPr>
          <w:color w:val="auto"/>
        </w:rPr>
      </w:pPr>
    </w:p>
    <w:p w:rsidR="00397A33" w:rsidRPr="00A756A3" w:rsidRDefault="00397A33" w:rsidP="00397A33">
      <w:pPr>
        <w:rPr>
          <w:color w:val="auto"/>
        </w:rPr>
      </w:pPr>
    </w:p>
    <w:p w:rsidR="00397A33" w:rsidRPr="00A756A3" w:rsidRDefault="00397A33" w:rsidP="00397A33">
      <w:pPr>
        <w:rPr>
          <w:color w:val="auto"/>
        </w:rPr>
      </w:pPr>
      <w:bookmarkStart w:id="0" w:name="OLE_LINK3"/>
      <w:bookmarkStart w:id="1" w:name="OLE_LINK4"/>
      <w:r w:rsidRPr="00A756A3">
        <w:rPr>
          <w:color w:val="auto"/>
        </w:rPr>
        <w:t>Encl</w:t>
      </w:r>
      <w:r w:rsidRPr="00A756A3">
        <w:rPr>
          <w:color w:val="auto"/>
        </w:rPr>
        <w:tab/>
      </w:r>
      <w:r w:rsidRPr="00A756A3">
        <w:rPr>
          <w:color w:val="auto"/>
        </w:rPr>
        <w:tab/>
      </w:r>
      <w:r w:rsidRPr="00A756A3">
        <w:rPr>
          <w:color w:val="auto"/>
        </w:rPr>
        <w:tab/>
      </w:r>
      <w:r w:rsidRPr="00A756A3">
        <w:rPr>
          <w:color w:val="auto"/>
        </w:rPr>
        <w:tab/>
      </w:r>
      <w:r w:rsidRPr="00A756A3">
        <w:rPr>
          <w:color w:val="auto"/>
        </w:rPr>
        <w:tab/>
      </w:r>
      <w:r w:rsidRPr="00A756A3">
        <w:rPr>
          <w:color w:val="auto"/>
        </w:rPr>
        <w:tab/>
      </w:r>
      <w:bookmarkEnd w:id="0"/>
      <w:bookmarkEnd w:id="1"/>
    </w:p>
    <w:p w:rsidR="00397A33" w:rsidRPr="00A756A3" w:rsidRDefault="00397A33" w:rsidP="00397A33">
      <w:pPr>
        <w:rPr>
          <w:color w:val="auto"/>
        </w:rPr>
      </w:pPr>
    </w:p>
    <w:p w:rsidR="00397A33" w:rsidRPr="00A756A3" w:rsidRDefault="00397A33" w:rsidP="00397A33">
      <w:pPr>
        <w:rPr>
          <w:color w:val="auto"/>
        </w:rPr>
      </w:pPr>
      <w:r w:rsidRPr="00A756A3">
        <w:rPr>
          <w:color w:val="auto"/>
        </w:rPr>
        <w:t xml:space="preserve">CF: </w:t>
      </w:r>
    </w:p>
    <w:p w:rsidR="00397A33" w:rsidRPr="00A756A3" w:rsidRDefault="00397A33" w:rsidP="00397A33">
      <w:pPr>
        <w:rPr>
          <w:color w:val="auto"/>
        </w:rPr>
      </w:pPr>
      <w:r w:rsidRPr="00A756A3">
        <w:rPr>
          <w:color w:val="auto"/>
        </w:rPr>
        <w:t xml:space="preserve">(  ) </w:t>
      </w:r>
      <w:proofErr w:type="spellStart"/>
      <w:proofErr w:type="gramStart"/>
      <w:r w:rsidRPr="00A756A3">
        <w:rPr>
          <w:color w:val="auto"/>
        </w:rPr>
        <w:t>DoD</w:t>
      </w:r>
      <w:proofErr w:type="spellEnd"/>
      <w:proofErr w:type="gramEnd"/>
      <w:r w:rsidRPr="00A756A3">
        <w:rPr>
          <w:color w:val="auto"/>
        </w:rPr>
        <w:t xml:space="preserve"> PDBR</w:t>
      </w:r>
    </w:p>
    <w:p w:rsidR="00397A33" w:rsidRPr="00A756A3" w:rsidRDefault="00397A33" w:rsidP="00397A33">
      <w:pPr>
        <w:rPr>
          <w:color w:val="auto"/>
        </w:rPr>
      </w:pPr>
      <w:r w:rsidRPr="00A756A3">
        <w:rPr>
          <w:color w:val="auto"/>
        </w:rPr>
        <w:t>(  ) DVA</w:t>
      </w:r>
    </w:p>
    <w:p w:rsidR="00C357CA" w:rsidRPr="00A756A3" w:rsidRDefault="00C357CA" w:rsidP="00057019">
      <w:pPr>
        <w:tabs>
          <w:tab w:val="left" w:pos="288"/>
          <w:tab w:val="left" w:pos="4752"/>
        </w:tabs>
        <w:spacing w:line="240" w:lineRule="exact"/>
        <w:jc w:val="both"/>
        <w:rPr>
          <w:rFonts w:asciiTheme="minorHAnsi" w:hAnsiTheme="minorHAnsi"/>
          <w:color w:val="auto"/>
          <w:szCs w:val="24"/>
          <w:u w:val="single"/>
        </w:rPr>
      </w:pPr>
    </w:p>
    <w:sectPr w:rsidR="00C357CA" w:rsidRPr="00A756A3"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B8" w:rsidRDefault="007C39B8">
      <w:r>
        <w:separator/>
      </w:r>
    </w:p>
  </w:endnote>
  <w:endnote w:type="continuationSeparator" w:id="0">
    <w:p w:rsidR="007C39B8" w:rsidRDefault="007C3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521B9" w:rsidRPr="00684CE6" w:rsidRDefault="00DF2767" w:rsidP="00F65ED5">
        <w:pPr>
          <w:pStyle w:val="Footer"/>
          <w:jc w:val="right"/>
          <w:rPr>
            <w:color w:val="auto"/>
          </w:rPr>
        </w:pPr>
        <w:r w:rsidRPr="00684CE6">
          <w:rPr>
            <w:color w:val="auto"/>
          </w:rPr>
          <w:fldChar w:fldCharType="begin"/>
        </w:r>
        <w:r w:rsidR="002521B9" w:rsidRPr="00684CE6">
          <w:rPr>
            <w:color w:val="auto"/>
          </w:rPr>
          <w:instrText xml:space="preserve"> PAGE   \* MERGEFORMAT </w:instrText>
        </w:r>
        <w:r w:rsidRPr="00684CE6">
          <w:rPr>
            <w:color w:val="auto"/>
          </w:rPr>
          <w:fldChar w:fldCharType="separate"/>
        </w:r>
        <w:r w:rsidR="00A756A3">
          <w:rPr>
            <w:noProof/>
            <w:color w:val="auto"/>
          </w:rPr>
          <w:t>7</w:t>
        </w:r>
        <w:r w:rsidRPr="00684CE6">
          <w:rPr>
            <w:color w:val="auto"/>
          </w:rPr>
          <w:fldChar w:fldCharType="end"/>
        </w:r>
        <w:r w:rsidR="002521B9" w:rsidRPr="00684CE6">
          <w:rPr>
            <w:color w:val="auto"/>
          </w:rPr>
          <w:t xml:space="preserve">                                                           </w:t>
        </w:r>
        <w:r w:rsidR="002521B9" w:rsidRPr="00660FFB">
          <w:rPr>
            <w:caps/>
            <w:color w:val="auto"/>
          </w:rPr>
          <w:t>PD100</w:t>
        </w:r>
        <w:r w:rsidR="002521B9">
          <w:rPr>
            <w:caps/>
            <w:color w:val="auto"/>
          </w:rPr>
          <w:t>1218</w:t>
        </w:r>
      </w:p>
    </w:sdtContent>
  </w:sdt>
  <w:p w:rsidR="002521B9" w:rsidRPr="00684CE6" w:rsidRDefault="002521B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B8" w:rsidRDefault="007C39B8">
      <w:r>
        <w:separator/>
      </w:r>
    </w:p>
  </w:footnote>
  <w:footnote w:type="continuationSeparator" w:id="0">
    <w:p w:rsidR="007C39B8" w:rsidRDefault="007C3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1121"/>
  </w:hdrShapeDefaults>
  <w:footnotePr>
    <w:numRestart w:val="eachSect"/>
    <w:footnote w:id="-1"/>
    <w:footnote w:id="0"/>
  </w:footnotePr>
  <w:endnotePr>
    <w:endnote w:id="-1"/>
    <w:endnote w:id="0"/>
  </w:endnotePr>
  <w:compat/>
  <w:rsids>
    <w:rsidRoot w:val="001C28D1"/>
    <w:rsid w:val="000008B0"/>
    <w:rsid w:val="00002356"/>
    <w:rsid w:val="000024F5"/>
    <w:rsid w:val="000042F2"/>
    <w:rsid w:val="000059FA"/>
    <w:rsid w:val="00006186"/>
    <w:rsid w:val="00006F87"/>
    <w:rsid w:val="00007107"/>
    <w:rsid w:val="00010ABA"/>
    <w:rsid w:val="00010B0F"/>
    <w:rsid w:val="00010CAA"/>
    <w:rsid w:val="000120B6"/>
    <w:rsid w:val="00012428"/>
    <w:rsid w:val="00012733"/>
    <w:rsid w:val="00013417"/>
    <w:rsid w:val="000145C2"/>
    <w:rsid w:val="0001473F"/>
    <w:rsid w:val="00014A9E"/>
    <w:rsid w:val="000167F7"/>
    <w:rsid w:val="00020784"/>
    <w:rsid w:val="00021361"/>
    <w:rsid w:val="00021D4B"/>
    <w:rsid w:val="00022CF3"/>
    <w:rsid w:val="00023913"/>
    <w:rsid w:val="00023D43"/>
    <w:rsid w:val="00024DE7"/>
    <w:rsid w:val="00026092"/>
    <w:rsid w:val="00030776"/>
    <w:rsid w:val="00032E07"/>
    <w:rsid w:val="000332CA"/>
    <w:rsid w:val="0003374E"/>
    <w:rsid w:val="000344D8"/>
    <w:rsid w:val="000344E6"/>
    <w:rsid w:val="00035C3A"/>
    <w:rsid w:val="0003606E"/>
    <w:rsid w:val="00036E4B"/>
    <w:rsid w:val="00037929"/>
    <w:rsid w:val="000379D0"/>
    <w:rsid w:val="00040FC4"/>
    <w:rsid w:val="000416F8"/>
    <w:rsid w:val="00041E64"/>
    <w:rsid w:val="0004272C"/>
    <w:rsid w:val="00042C26"/>
    <w:rsid w:val="00043382"/>
    <w:rsid w:val="00044623"/>
    <w:rsid w:val="000452D7"/>
    <w:rsid w:val="00051622"/>
    <w:rsid w:val="00051A11"/>
    <w:rsid w:val="00052234"/>
    <w:rsid w:val="000539F0"/>
    <w:rsid w:val="00053D75"/>
    <w:rsid w:val="00053D7C"/>
    <w:rsid w:val="000550A3"/>
    <w:rsid w:val="00057019"/>
    <w:rsid w:val="000575C5"/>
    <w:rsid w:val="000577C9"/>
    <w:rsid w:val="00060FFD"/>
    <w:rsid w:val="0006431E"/>
    <w:rsid w:val="000652EA"/>
    <w:rsid w:val="00065E21"/>
    <w:rsid w:val="000673ED"/>
    <w:rsid w:val="00070DED"/>
    <w:rsid w:val="0007109F"/>
    <w:rsid w:val="00072433"/>
    <w:rsid w:val="000729D1"/>
    <w:rsid w:val="0007488B"/>
    <w:rsid w:val="000756CF"/>
    <w:rsid w:val="00075702"/>
    <w:rsid w:val="00075A0C"/>
    <w:rsid w:val="000775C2"/>
    <w:rsid w:val="000806AD"/>
    <w:rsid w:val="00080BDF"/>
    <w:rsid w:val="00082482"/>
    <w:rsid w:val="00084CF2"/>
    <w:rsid w:val="00085CBD"/>
    <w:rsid w:val="00085D7B"/>
    <w:rsid w:val="0008618C"/>
    <w:rsid w:val="00086FF6"/>
    <w:rsid w:val="0008708B"/>
    <w:rsid w:val="00087255"/>
    <w:rsid w:val="00090F68"/>
    <w:rsid w:val="00092619"/>
    <w:rsid w:val="00092C66"/>
    <w:rsid w:val="000949DD"/>
    <w:rsid w:val="00094E4F"/>
    <w:rsid w:val="000962E2"/>
    <w:rsid w:val="000A2BCE"/>
    <w:rsid w:val="000A33C8"/>
    <w:rsid w:val="000A41E3"/>
    <w:rsid w:val="000A4BBA"/>
    <w:rsid w:val="000A5071"/>
    <w:rsid w:val="000B0AD2"/>
    <w:rsid w:val="000B1020"/>
    <w:rsid w:val="000B1022"/>
    <w:rsid w:val="000B2FB8"/>
    <w:rsid w:val="000B3261"/>
    <w:rsid w:val="000B4C99"/>
    <w:rsid w:val="000B5051"/>
    <w:rsid w:val="000B7364"/>
    <w:rsid w:val="000C06F6"/>
    <w:rsid w:val="000C1D34"/>
    <w:rsid w:val="000C2362"/>
    <w:rsid w:val="000C2FA8"/>
    <w:rsid w:val="000C3C13"/>
    <w:rsid w:val="000C4AEF"/>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45B"/>
    <w:rsid w:val="000D5F93"/>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6AFF"/>
    <w:rsid w:val="000F6FFC"/>
    <w:rsid w:val="000F7181"/>
    <w:rsid w:val="001007CE"/>
    <w:rsid w:val="001008C1"/>
    <w:rsid w:val="001023DB"/>
    <w:rsid w:val="00102B8D"/>
    <w:rsid w:val="00103948"/>
    <w:rsid w:val="00103CCF"/>
    <w:rsid w:val="00103D6B"/>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3EC"/>
    <w:rsid w:val="001364D1"/>
    <w:rsid w:val="001374C7"/>
    <w:rsid w:val="001421FD"/>
    <w:rsid w:val="001425C8"/>
    <w:rsid w:val="00142EBA"/>
    <w:rsid w:val="00143B79"/>
    <w:rsid w:val="00145965"/>
    <w:rsid w:val="00150B8A"/>
    <w:rsid w:val="00150DCB"/>
    <w:rsid w:val="00151912"/>
    <w:rsid w:val="00153313"/>
    <w:rsid w:val="00153740"/>
    <w:rsid w:val="00153D88"/>
    <w:rsid w:val="001541C5"/>
    <w:rsid w:val="0015623F"/>
    <w:rsid w:val="00156585"/>
    <w:rsid w:val="00156BA9"/>
    <w:rsid w:val="00161642"/>
    <w:rsid w:val="00161761"/>
    <w:rsid w:val="00166182"/>
    <w:rsid w:val="001702F0"/>
    <w:rsid w:val="00170813"/>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9FE"/>
    <w:rsid w:val="001A025E"/>
    <w:rsid w:val="001A08CD"/>
    <w:rsid w:val="001A0A1E"/>
    <w:rsid w:val="001A2182"/>
    <w:rsid w:val="001A323E"/>
    <w:rsid w:val="001A5320"/>
    <w:rsid w:val="001A5E62"/>
    <w:rsid w:val="001A6848"/>
    <w:rsid w:val="001A7538"/>
    <w:rsid w:val="001B06FB"/>
    <w:rsid w:val="001B0B1A"/>
    <w:rsid w:val="001B337B"/>
    <w:rsid w:val="001B4C0B"/>
    <w:rsid w:val="001B4EC2"/>
    <w:rsid w:val="001B5B59"/>
    <w:rsid w:val="001B60E0"/>
    <w:rsid w:val="001B622E"/>
    <w:rsid w:val="001B627C"/>
    <w:rsid w:val="001B663C"/>
    <w:rsid w:val="001B755A"/>
    <w:rsid w:val="001B7C8C"/>
    <w:rsid w:val="001C0688"/>
    <w:rsid w:val="001C181A"/>
    <w:rsid w:val="001C1877"/>
    <w:rsid w:val="001C2053"/>
    <w:rsid w:val="001C252F"/>
    <w:rsid w:val="001C28D1"/>
    <w:rsid w:val="001C3473"/>
    <w:rsid w:val="001C40B1"/>
    <w:rsid w:val="001C5BDA"/>
    <w:rsid w:val="001C5CFC"/>
    <w:rsid w:val="001C7231"/>
    <w:rsid w:val="001C7418"/>
    <w:rsid w:val="001C7EBE"/>
    <w:rsid w:val="001D0051"/>
    <w:rsid w:val="001D169A"/>
    <w:rsid w:val="001D1C5C"/>
    <w:rsid w:val="001D2224"/>
    <w:rsid w:val="001D31AA"/>
    <w:rsid w:val="001D3DC0"/>
    <w:rsid w:val="001D48BA"/>
    <w:rsid w:val="001D4F88"/>
    <w:rsid w:val="001D68CF"/>
    <w:rsid w:val="001D6A8C"/>
    <w:rsid w:val="001D7A56"/>
    <w:rsid w:val="001E15C0"/>
    <w:rsid w:val="001E15C6"/>
    <w:rsid w:val="001E18E0"/>
    <w:rsid w:val="001E18E2"/>
    <w:rsid w:val="001E19D0"/>
    <w:rsid w:val="001E2A30"/>
    <w:rsid w:val="001E2FF1"/>
    <w:rsid w:val="001E41FE"/>
    <w:rsid w:val="001E45B0"/>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441"/>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B05"/>
    <w:rsid w:val="00236018"/>
    <w:rsid w:val="002374C9"/>
    <w:rsid w:val="0024174E"/>
    <w:rsid w:val="00242238"/>
    <w:rsid w:val="0024227D"/>
    <w:rsid w:val="00242D14"/>
    <w:rsid w:val="002432F4"/>
    <w:rsid w:val="00243C2D"/>
    <w:rsid w:val="00246860"/>
    <w:rsid w:val="002468D9"/>
    <w:rsid w:val="00246DFF"/>
    <w:rsid w:val="00246E89"/>
    <w:rsid w:val="0025023E"/>
    <w:rsid w:val="0025183C"/>
    <w:rsid w:val="002521B9"/>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77A05"/>
    <w:rsid w:val="00280034"/>
    <w:rsid w:val="0028086F"/>
    <w:rsid w:val="002810A4"/>
    <w:rsid w:val="002829A7"/>
    <w:rsid w:val="00282DB6"/>
    <w:rsid w:val="00284A26"/>
    <w:rsid w:val="00284A84"/>
    <w:rsid w:val="00285095"/>
    <w:rsid w:val="00286A85"/>
    <w:rsid w:val="00287006"/>
    <w:rsid w:val="00290AE7"/>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118"/>
    <w:rsid w:val="002C5865"/>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31E7"/>
    <w:rsid w:val="00305856"/>
    <w:rsid w:val="0030678B"/>
    <w:rsid w:val="00306D16"/>
    <w:rsid w:val="00307595"/>
    <w:rsid w:val="00310B96"/>
    <w:rsid w:val="00310CD7"/>
    <w:rsid w:val="00313CA1"/>
    <w:rsid w:val="00313D7A"/>
    <w:rsid w:val="0032136A"/>
    <w:rsid w:val="003236C6"/>
    <w:rsid w:val="00323A90"/>
    <w:rsid w:val="00323E70"/>
    <w:rsid w:val="003258A7"/>
    <w:rsid w:val="00325BA2"/>
    <w:rsid w:val="003262BD"/>
    <w:rsid w:val="00326B1C"/>
    <w:rsid w:val="00326C08"/>
    <w:rsid w:val="00326F7F"/>
    <w:rsid w:val="00330311"/>
    <w:rsid w:val="00330D55"/>
    <w:rsid w:val="003320E8"/>
    <w:rsid w:val="003328FD"/>
    <w:rsid w:val="00332DE3"/>
    <w:rsid w:val="0033332A"/>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0FC8"/>
    <w:rsid w:val="0036319E"/>
    <w:rsid w:val="003632A4"/>
    <w:rsid w:val="00363362"/>
    <w:rsid w:val="00365767"/>
    <w:rsid w:val="003659C0"/>
    <w:rsid w:val="003660DF"/>
    <w:rsid w:val="00367D4F"/>
    <w:rsid w:val="00370743"/>
    <w:rsid w:val="00370EF5"/>
    <w:rsid w:val="0037135B"/>
    <w:rsid w:val="00372251"/>
    <w:rsid w:val="00373F64"/>
    <w:rsid w:val="00374EA1"/>
    <w:rsid w:val="0037503C"/>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89C"/>
    <w:rsid w:val="00391858"/>
    <w:rsid w:val="00393651"/>
    <w:rsid w:val="003938CC"/>
    <w:rsid w:val="00394926"/>
    <w:rsid w:val="00394FF9"/>
    <w:rsid w:val="003952C8"/>
    <w:rsid w:val="00395651"/>
    <w:rsid w:val="00395E12"/>
    <w:rsid w:val="003962A8"/>
    <w:rsid w:val="00396779"/>
    <w:rsid w:val="00397A33"/>
    <w:rsid w:val="00397DB7"/>
    <w:rsid w:val="003A2630"/>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B7B41"/>
    <w:rsid w:val="003C294B"/>
    <w:rsid w:val="003C4AC6"/>
    <w:rsid w:val="003C5046"/>
    <w:rsid w:val="003C6068"/>
    <w:rsid w:val="003C74CC"/>
    <w:rsid w:val="003C7AEC"/>
    <w:rsid w:val="003D09F2"/>
    <w:rsid w:val="003D2BA3"/>
    <w:rsid w:val="003D316B"/>
    <w:rsid w:val="003D3C22"/>
    <w:rsid w:val="003D56A0"/>
    <w:rsid w:val="003D5C3D"/>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18E"/>
    <w:rsid w:val="00403BFB"/>
    <w:rsid w:val="00404B45"/>
    <w:rsid w:val="00405134"/>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FAC"/>
    <w:rsid w:val="00424408"/>
    <w:rsid w:val="00424612"/>
    <w:rsid w:val="0042528C"/>
    <w:rsid w:val="00425672"/>
    <w:rsid w:val="00425A6A"/>
    <w:rsid w:val="00427F54"/>
    <w:rsid w:val="004316FD"/>
    <w:rsid w:val="00433F36"/>
    <w:rsid w:val="00434860"/>
    <w:rsid w:val="0043503A"/>
    <w:rsid w:val="00437B8A"/>
    <w:rsid w:val="00437C0B"/>
    <w:rsid w:val="00437D18"/>
    <w:rsid w:val="00437D77"/>
    <w:rsid w:val="00442145"/>
    <w:rsid w:val="004428F1"/>
    <w:rsid w:val="004435BE"/>
    <w:rsid w:val="0044384F"/>
    <w:rsid w:val="0044411E"/>
    <w:rsid w:val="00444472"/>
    <w:rsid w:val="00444F80"/>
    <w:rsid w:val="00445599"/>
    <w:rsid w:val="00446018"/>
    <w:rsid w:val="0045027B"/>
    <w:rsid w:val="004504E7"/>
    <w:rsid w:val="00451F9D"/>
    <w:rsid w:val="00453167"/>
    <w:rsid w:val="00453A67"/>
    <w:rsid w:val="004543BC"/>
    <w:rsid w:val="00454858"/>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398A"/>
    <w:rsid w:val="004761CC"/>
    <w:rsid w:val="004766C9"/>
    <w:rsid w:val="00480D4A"/>
    <w:rsid w:val="00481DA1"/>
    <w:rsid w:val="00483A2B"/>
    <w:rsid w:val="00484212"/>
    <w:rsid w:val="00484BA9"/>
    <w:rsid w:val="0048599A"/>
    <w:rsid w:val="00486818"/>
    <w:rsid w:val="00487553"/>
    <w:rsid w:val="0049255F"/>
    <w:rsid w:val="0049445D"/>
    <w:rsid w:val="004952CF"/>
    <w:rsid w:val="00495350"/>
    <w:rsid w:val="00495E3C"/>
    <w:rsid w:val="00497156"/>
    <w:rsid w:val="004A0C79"/>
    <w:rsid w:val="004A24D2"/>
    <w:rsid w:val="004A3214"/>
    <w:rsid w:val="004A4136"/>
    <w:rsid w:val="004A417B"/>
    <w:rsid w:val="004A4378"/>
    <w:rsid w:val="004A712D"/>
    <w:rsid w:val="004B03F3"/>
    <w:rsid w:val="004B0CC9"/>
    <w:rsid w:val="004B18D6"/>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4E1F"/>
    <w:rsid w:val="004C5D27"/>
    <w:rsid w:val="004C5E33"/>
    <w:rsid w:val="004C60A3"/>
    <w:rsid w:val="004C6CDA"/>
    <w:rsid w:val="004D10D4"/>
    <w:rsid w:val="004D16BD"/>
    <w:rsid w:val="004D2AAB"/>
    <w:rsid w:val="004D6E90"/>
    <w:rsid w:val="004D6F2B"/>
    <w:rsid w:val="004D7B6F"/>
    <w:rsid w:val="004E0248"/>
    <w:rsid w:val="004E21A3"/>
    <w:rsid w:val="004E32EA"/>
    <w:rsid w:val="004E6866"/>
    <w:rsid w:val="004F0C58"/>
    <w:rsid w:val="004F3222"/>
    <w:rsid w:val="004F3639"/>
    <w:rsid w:val="004F3BFA"/>
    <w:rsid w:val="004F4E3C"/>
    <w:rsid w:val="004F5A1A"/>
    <w:rsid w:val="004F77A3"/>
    <w:rsid w:val="004F7F72"/>
    <w:rsid w:val="005000AB"/>
    <w:rsid w:val="00500F3C"/>
    <w:rsid w:val="005025EE"/>
    <w:rsid w:val="00502A26"/>
    <w:rsid w:val="00503DDF"/>
    <w:rsid w:val="00505524"/>
    <w:rsid w:val="00506688"/>
    <w:rsid w:val="00510588"/>
    <w:rsid w:val="00510F9C"/>
    <w:rsid w:val="0051146C"/>
    <w:rsid w:val="00511BFA"/>
    <w:rsid w:val="0051220B"/>
    <w:rsid w:val="00512253"/>
    <w:rsid w:val="00512484"/>
    <w:rsid w:val="00514449"/>
    <w:rsid w:val="00515419"/>
    <w:rsid w:val="00515628"/>
    <w:rsid w:val="005157BD"/>
    <w:rsid w:val="005214A3"/>
    <w:rsid w:val="00521CEA"/>
    <w:rsid w:val="005222E7"/>
    <w:rsid w:val="0052352E"/>
    <w:rsid w:val="00523A8B"/>
    <w:rsid w:val="00523E04"/>
    <w:rsid w:val="00525003"/>
    <w:rsid w:val="0052590B"/>
    <w:rsid w:val="00525DD7"/>
    <w:rsid w:val="00526591"/>
    <w:rsid w:val="00527178"/>
    <w:rsid w:val="005278CB"/>
    <w:rsid w:val="005307F4"/>
    <w:rsid w:val="00532826"/>
    <w:rsid w:val="00534D42"/>
    <w:rsid w:val="005350A5"/>
    <w:rsid w:val="00536379"/>
    <w:rsid w:val="00537238"/>
    <w:rsid w:val="005400C5"/>
    <w:rsid w:val="005404CD"/>
    <w:rsid w:val="00540BE0"/>
    <w:rsid w:val="00540BEF"/>
    <w:rsid w:val="00542C9A"/>
    <w:rsid w:val="005436C2"/>
    <w:rsid w:val="005442D4"/>
    <w:rsid w:val="00544B66"/>
    <w:rsid w:val="00544FAB"/>
    <w:rsid w:val="005450D0"/>
    <w:rsid w:val="0054586A"/>
    <w:rsid w:val="0054631F"/>
    <w:rsid w:val="00546569"/>
    <w:rsid w:val="00546C24"/>
    <w:rsid w:val="005471BA"/>
    <w:rsid w:val="00547BE6"/>
    <w:rsid w:val="00547F9E"/>
    <w:rsid w:val="0055034F"/>
    <w:rsid w:val="0055288D"/>
    <w:rsid w:val="00555259"/>
    <w:rsid w:val="00555C66"/>
    <w:rsid w:val="005569EF"/>
    <w:rsid w:val="00556BDE"/>
    <w:rsid w:val="00557873"/>
    <w:rsid w:val="00560D57"/>
    <w:rsid w:val="00562A94"/>
    <w:rsid w:val="005630FC"/>
    <w:rsid w:val="00563FAD"/>
    <w:rsid w:val="0056669B"/>
    <w:rsid w:val="00567619"/>
    <w:rsid w:val="005701C1"/>
    <w:rsid w:val="005703BF"/>
    <w:rsid w:val="00570754"/>
    <w:rsid w:val="005709F7"/>
    <w:rsid w:val="00570D8D"/>
    <w:rsid w:val="005710A9"/>
    <w:rsid w:val="00571B11"/>
    <w:rsid w:val="00571D1B"/>
    <w:rsid w:val="00571DA3"/>
    <w:rsid w:val="005738F5"/>
    <w:rsid w:val="00573D34"/>
    <w:rsid w:val="00575963"/>
    <w:rsid w:val="00575EBE"/>
    <w:rsid w:val="00580259"/>
    <w:rsid w:val="0058039C"/>
    <w:rsid w:val="00580A63"/>
    <w:rsid w:val="00583379"/>
    <w:rsid w:val="0058417C"/>
    <w:rsid w:val="00585F1C"/>
    <w:rsid w:val="00586EC6"/>
    <w:rsid w:val="00587DDE"/>
    <w:rsid w:val="00593043"/>
    <w:rsid w:val="0059347E"/>
    <w:rsid w:val="00595B60"/>
    <w:rsid w:val="00595BF0"/>
    <w:rsid w:val="00597069"/>
    <w:rsid w:val="00597E16"/>
    <w:rsid w:val="005A0B1D"/>
    <w:rsid w:val="005A1846"/>
    <w:rsid w:val="005A258C"/>
    <w:rsid w:val="005A3560"/>
    <w:rsid w:val="005A3B69"/>
    <w:rsid w:val="005A464E"/>
    <w:rsid w:val="005A62FC"/>
    <w:rsid w:val="005A6C99"/>
    <w:rsid w:val="005A7D5D"/>
    <w:rsid w:val="005B0040"/>
    <w:rsid w:val="005B011A"/>
    <w:rsid w:val="005B0283"/>
    <w:rsid w:val="005B1ADA"/>
    <w:rsid w:val="005B1D8F"/>
    <w:rsid w:val="005B1E94"/>
    <w:rsid w:val="005B30AA"/>
    <w:rsid w:val="005B4953"/>
    <w:rsid w:val="005B4A56"/>
    <w:rsid w:val="005B5B3D"/>
    <w:rsid w:val="005B64CF"/>
    <w:rsid w:val="005C0E87"/>
    <w:rsid w:val="005C16F3"/>
    <w:rsid w:val="005C3758"/>
    <w:rsid w:val="005C4D72"/>
    <w:rsid w:val="005C50C1"/>
    <w:rsid w:val="005C5168"/>
    <w:rsid w:val="005C62C2"/>
    <w:rsid w:val="005D0448"/>
    <w:rsid w:val="005D22F6"/>
    <w:rsid w:val="005D2306"/>
    <w:rsid w:val="005D4A74"/>
    <w:rsid w:val="005D5E91"/>
    <w:rsid w:val="005D6268"/>
    <w:rsid w:val="005D67EF"/>
    <w:rsid w:val="005E3064"/>
    <w:rsid w:val="005E6AEE"/>
    <w:rsid w:val="005E72B2"/>
    <w:rsid w:val="005F1115"/>
    <w:rsid w:val="005F1AB6"/>
    <w:rsid w:val="005F27F2"/>
    <w:rsid w:val="005F2B27"/>
    <w:rsid w:val="005F3567"/>
    <w:rsid w:val="005F3AFE"/>
    <w:rsid w:val="005F424D"/>
    <w:rsid w:val="005F55F5"/>
    <w:rsid w:val="005F5AA8"/>
    <w:rsid w:val="005F5EC1"/>
    <w:rsid w:val="005F67A9"/>
    <w:rsid w:val="005F6B6D"/>
    <w:rsid w:val="006008F8"/>
    <w:rsid w:val="00603DF3"/>
    <w:rsid w:val="00605AAB"/>
    <w:rsid w:val="00606BEB"/>
    <w:rsid w:val="0061014A"/>
    <w:rsid w:val="0061054B"/>
    <w:rsid w:val="006105CC"/>
    <w:rsid w:val="00610C23"/>
    <w:rsid w:val="00612FB0"/>
    <w:rsid w:val="0061356D"/>
    <w:rsid w:val="00613E26"/>
    <w:rsid w:val="00614DF4"/>
    <w:rsid w:val="00615641"/>
    <w:rsid w:val="00615D55"/>
    <w:rsid w:val="00616959"/>
    <w:rsid w:val="0062036E"/>
    <w:rsid w:val="006211D0"/>
    <w:rsid w:val="00621595"/>
    <w:rsid w:val="0062359D"/>
    <w:rsid w:val="00623634"/>
    <w:rsid w:val="00624D0C"/>
    <w:rsid w:val="006268FD"/>
    <w:rsid w:val="006274B4"/>
    <w:rsid w:val="006307BA"/>
    <w:rsid w:val="006315BA"/>
    <w:rsid w:val="006335E2"/>
    <w:rsid w:val="00634C4A"/>
    <w:rsid w:val="0063532E"/>
    <w:rsid w:val="00637063"/>
    <w:rsid w:val="0063737C"/>
    <w:rsid w:val="00637BDC"/>
    <w:rsid w:val="00640622"/>
    <w:rsid w:val="006418C9"/>
    <w:rsid w:val="00642BD6"/>
    <w:rsid w:val="00645046"/>
    <w:rsid w:val="0064527A"/>
    <w:rsid w:val="006458FD"/>
    <w:rsid w:val="00645EA2"/>
    <w:rsid w:val="00651BFF"/>
    <w:rsid w:val="00651E6D"/>
    <w:rsid w:val="00653D2D"/>
    <w:rsid w:val="006555E7"/>
    <w:rsid w:val="00655CD1"/>
    <w:rsid w:val="006560B6"/>
    <w:rsid w:val="006573F2"/>
    <w:rsid w:val="00662AD0"/>
    <w:rsid w:val="00662F08"/>
    <w:rsid w:val="00663589"/>
    <w:rsid w:val="00664296"/>
    <w:rsid w:val="006649CD"/>
    <w:rsid w:val="00664D5F"/>
    <w:rsid w:val="00665D75"/>
    <w:rsid w:val="00665E1E"/>
    <w:rsid w:val="006708E3"/>
    <w:rsid w:val="00670DDC"/>
    <w:rsid w:val="0067123E"/>
    <w:rsid w:val="00671389"/>
    <w:rsid w:val="00671EB4"/>
    <w:rsid w:val="006726E6"/>
    <w:rsid w:val="00673CDC"/>
    <w:rsid w:val="0067443B"/>
    <w:rsid w:val="006770AA"/>
    <w:rsid w:val="00682486"/>
    <w:rsid w:val="006840ED"/>
    <w:rsid w:val="00684CE6"/>
    <w:rsid w:val="00684E2B"/>
    <w:rsid w:val="00687C7E"/>
    <w:rsid w:val="00690569"/>
    <w:rsid w:val="00690FDA"/>
    <w:rsid w:val="00691958"/>
    <w:rsid w:val="00691E61"/>
    <w:rsid w:val="006937C6"/>
    <w:rsid w:val="00693C5E"/>
    <w:rsid w:val="00693CEE"/>
    <w:rsid w:val="0069431F"/>
    <w:rsid w:val="00694EEA"/>
    <w:rsid w:val="006955B4"/>
    <w:rsid w:val="00695DEF"/>
    <w:rsid w:val="00695F91"/>
    <w:rsid w:val="0069613F"/>
    <w:rsid w:val="00696476"/>
    <w:rsid w:val="00696877"/>
    <w:rsid w:val="00696C74"/>
    <w:rsid w:val="006A10FA"/>
    <w:rsid w:val="006A1E3C"/>
    <w:rsid w:val="006A2BBD"/>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5E96"/>
    <w:rsid w:val="006B67D9"/>
    <w:rsid w:val="006B6C14"/>
    <w:rsid w:val="006B715E"/>
    <w:rsid w:val="006C1D6E"/>
    <w:rsid w:val="006C2D1C"/>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CC4"/>
    <w:rsid w:val="006F0F9C"/>
    <w:rsid w:val="006F149D"/>
    <w:rsid w:val="006F1A46"/>
    <w:rsid w:val="006F4F06"/>
    <w:rsid w:val="006F5A4E"/>
    <w:rsid w:val="006F5D37"/>
    <w:rsid w:val="006F6005"/>
    <w:rsid w:val="006F6BA8"/>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4B73"/>
    <w:rsid w:val="007259DB"/>
    <w:rsid w:val="007272F1"/>
    <w:rsid w:val="0073062D"/>
    <w:rsid w:val="0073093B"/>
    <w:rsid w:val="00730CF6"/>
    <w:rsid w:val="0073254D"/>
    <w:rsid w:val="007340F3"/>
    <w:rsid w:val="00735704"/>
    <w:rsid w:val="00736A49"/>
    <w:rsid w:val="007408D7"/>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DD6"/>
    <w:rsid w:val="00754FBC"/>
    <w:rsid w:val="0076100C"/>
    <w:rsid w:val="00761217"/>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65AD"/>
    <w:rsid w:val="00787198"/>
    <w:rsid w:val="00790963"/>
    <w:rsid w:val="0079154B"/>
    <w:rsid w:val="00791F1E"/>
    <w:rsid w:val="007927BE"/>
    <w:rsid w:val="007935B8"/>
    <w:rsid w:val="00794ADE"/>
    <w:rsid w:val="00794F3D"/>
    <w:rsid w:val="00795CE9"/>
    <w:rsid w:val="00796045"/>
    <w:rsid w:val="007968AC"/>
    <w:rsid w:val="007969AB"/>
    <w:rsid w:val="00796C19"/>
    <w:rsid w:val="007973D8"/>
    <w:rsid w:val="00797801"/>
    <w:rsid w:val="007A0B39"/>
    <w:rsid w:val="007A14A4"/>
    <w:rsid w:val="007A168F"/>
    <w:rsid w:val="007A2346"/>
    <w:rsid w:val="007A28E4"/>
    <w:rsid w:val="007A3BB3"/>
    <w:rsid w:val="007A3F91"/>
    <w:rsid w:val="007A5AD1"/>
    <w:rsid w:val="007A5B7B"/>
    <w:rsid w:val="007A65A9"/>
    <w:rsid w:val="007A79B1"/>
    <w:rsid w:val="007B0128"/>
    <w:rsid w:val="007B0A06"/>
    <w:rsid w:val="007B0B24"/>
    <w:rsid w:val="007B1C83"/>
    <w:rsid w:val="007B4181"/>
    <w:rsid w:val="007B5178"/>
    <w:rsid w:val="007B5C5C"/>
    <w:rsid w:val="007B6CE0"/>
    <w:rsid w:val="007B7B37"/>
    <w:rsid w:val="007B7C41"/>
    <w:rsid w:val="007C04EB"/>
    <w:rsid w:val="007C05C5"/>
    <w:rsid w:val="007C11E9"/>
    <w:rsid w:val="007C39B8"/>
    <w:rsid w:val="007C433E"/>
    <w:rsid w:val="007C4452"/>
    <w:rsid w:val="007C4B3C"/>
    <w:rsid w:val="007C4DB1"/>
    <w:rsid w:val="007C6046"/>
    <w:rsid w:val="007C6655"/>
    <w:rsid w:val="007C6F0C"/>
    <w:rsid w:val="007D0292"/>
    <w:rsid w:val="007D136C"/>
    <w:rsid w:val="007D21AC"/>
    <w:rsid w:val="007D24B0"/>
    <w:rsid w:val="007D3882"/>
    <w:rsid w:val="007D3945"/>
    <w:rsid w:val="007D39E4"/>
    <w:rsid w:val="007D3FE7"/>
    <w:rsid w:val="007D4D5B"/>
    <w:rsid w:val="007D568A"/>
    <w:rsid w:val="007D574E"/>
    <w:rsid w:val="007D57C0"/>
    <w:rsid w:val="007D67CB"/>
    <w:rsid w:val="007D6BFE"/>
    <w:rsid w:val="007E2046"/>
    <w:rsid w:val="007E3883"/>
    <w:rsid w:val="007E3E68"/>
    <w:rsid w:val="007E4457"/>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A22"/>
    <w:rsid w:val="0080064F"/>
    <w:rsid w:val="00801AF0"/>
    <w:rsid w:val="00801B85"/>
    <w:rsid w:val="00803850"/>
    <w:rsid w:val="008039E8"/>
    <w:rsid w:val="00804385"/>
    <w:rsid w:val="00804E0E"/>
    <w:rsid w:val="0080558D"/>
    <w:rsid w:val="00805760"/>
    <w:rsid w:val="00805AFD"/>
    <w:rsid w:val="00805CE7"/>
    <w:rsid w:val="008078D8"/>
    <w:rsid w:val="0080798E"/>
    <w:rsid w:val="00811D5B"/>
    <w:rsid w:val="00813C51"/>
    <w:rsid w:val="00816CCB"/>
    <w:rsid w:val="00817572"/>
    <w:rsid w:val="00817713"/>
    <w:rsid w:val="008208C3"/>
    <w:rsid w:val="008220F1"/>
    <w:rsid w:val="0082340B"/>
    <w:rsid w:val="00823D6A"/>
    <w:rsid w:val="00826442"/>
    <w:rsid w:val="0082661E"/>
    <w:rsid w:val="008275C3"/>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64E"/>
    <w:rsid w:val="0084374E"/>
    <w:rsid w:val="00844675"/>
    <w:rsid w:val="00844842"/>
    <w:rsid w:val="00844A53"/>
    <w:rsid w:val="00844B99"/>
    <w:rsid w:val="00844DD0"/>
    <w:rsid w:val="008455C8"/>
    <w:rsid w:val="00846407"/>
    <w:rsid w:val="0085006A"/>
    <w:rsid w:val="0085089F"/>
    <w:rsid w:val="0085206E"/>
    <w:rsid w:val="00852273"/>
    <w:rsid w:val="00852520"/>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6767"/>
    <w:rsid w:val="00871262"/>
    <w:rsid w:val="0087170E"/>
    <w:rsid w:val="00871D4E"/>
    <w:rsid w:val="00871E7B"/>
    <w:rsid w:val="008721BB"/>
    <w:rsid w:val="0087566D"/>
    <w:rsid w:val="00875B50"/>
    <w:rsid w:val="00875B51"/>
    <w:rsid w:val="00875F2D"/>
    <w:rsid w:val="008764DC"/>
    <w:rsid w:val="008767B3"/>
    <w:rsid w:val="00882CC2"/>
    <w:rsid w:val="0088325A"/>
    <w:rsid w:val="00883930"/>
    <w:rsid w:val="00884535"/>
    <w:rsid w:val="00885840"/>
    <w:rsid w:val="008866A4"/>
    <w:rsid w:val="008902BE"/>
    <w:rsid w:val="0089038F"/>
    <w:rsid w:val="00890CDA"/>
    <w:rsid w:val="00891BBA"/>
    <w:rsid w:val="00892079"/>
    <w:rsid w:val="00892B90"/>
    <w:rsid w:val="008935DF"/>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072"/>
    <w:rsid w:val="008B3AF2"/>
    <w:rsid w:val="008B446D"/>
    <w:rsid w:val="008B515D"/>
    <w:rsid w:val="008B5D31"/>
    <w:rsid w:val="008B66E9"/>
    <w:rsid w:val="008B6705"/>
    <w:rsid w:val="008C133E"/>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48"/>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57F"/>
    <w:rsid w:val="00914ADB"/>
    <w:rsid w:val="00917182"/>
    <w:rsid w:val="00921C97"/>
    <w:rsid w:val="00923B25"/>
    <w:rsid w:val="0092402E"/>
    <w:rsid w:val="009259BA"/>
    <w:rsid w:val="00925DBC"/>
    <w:rsid w:val="00926FCB"/>
    <w:rsid w:val="009303BB"/>
    <w:rsid w:val="0093108A"/>
    <w:rsid w:val="0093311A"/>
    <w:rsid w:val="009334A4"/>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1A50"/>
    <w:rsid w:val="00962009"/>
    <w:rsid w:val="009625E3"/>
    <w:rsid w:val="00962F2D"/>
    <w:rsid w:val="00963A7A"/>
    <w:rsid w:val="009672CD"/>
    <w:rsid w:val="00972996"/>
    <w:rsid w:val="009732B8"/>
    <w:rsid w:val="00974647"/>
    <w:rsid w:val="0097514A"/>
    <w:rsid w:val="009759C2"/>
    <w:rsid w:val="00975C72"/>
    <w:rsid w:val="00976869"/>
    <w:rsid w:val="00977740"/>
    <w:rsid w:val="00977CB4"/>
    <w:rsid w:val="00977F9D"/>
    <w:rsid w:val="009809B8"/>
    <w:rsid w:val="00981086"/>
    <w:rsid w:val="009818AF"/>
    <w:rsid w:val="00981B1C"/>
    <w:rsid w:val="0098222D"/>
    <w:rsid w:val="009837A7"/>
    <w:rsid w:val="00984364"/>
    <w:rsid w:val="00985099"/>
    <w:rsid w:val="009852C4"/>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A7B97"/>
    <w:rsid w:val="009B14D1"/>
    <w:rsid w:val="009B1534"/>
    <w:rsid w:val="009B218E"/>
    <w:rsid w:val="009B21B2"/>
    <w:rsid w:val="009B4963"/>
    <w:rsid w:val="009B4A3B"/>
    <w:rsid w:val="009B69D3"/>
    <w:rsid w:val="009B6C60"/>
    <w:rsid w:val="009B7BA7"/>
    <w:rsid w:val="009B7C01"/>
    <w:rsid w:val="009C0938"/>
    <w:rsid w:val="009C0C22"/>
    <w:rsid w:val="009C15D9"/>
    <w:rsid w:val="009C22C8"/>
    <w:rsid w:val="009C3F82"/>
    <w:rsid w:val="009C41BE"/>
    <w:rsid w:val="009C4C58"/>
    <w:rsid w:val="009C582A"/>
    <w:rsid w:val="009C5C56"/>
    <w:rsid w:val="009C72DD"/>
    <w:rsid w:val="009C78FD"/>
    <w:rsid w:val="009C7DF5"/>
    <w:rsid w:val="009D056C"/>
    <w:rsid w:val="009D060F"/>
    <w:rsid w:val="009D1ADE"/>
    <w:rsid w:val="009D1AEE"/>
    <w:rsid w:val="009D3652"/>
    <w:rsid w:val="009D37CA"/>
    <w:rsid w:val="009D4229"/>
    <w:rsid w:val="009D4268"/>
    <w:rsid w:val="009D5FF7"/>
    <w:rsid w:val="009E09D0"/>
    <w:rsid w:val="009E1283"/>
    <w:rsid w:val="009E3A7F"/>
    <w:rsid w:val="009E4C9B"/>
    <w:rsid w:val="009E4DFC"/>
    <w:rsid w:val="009E5789"/>
    <w:rsid w:val="009E57B1"/>
    <w:rsid w:val="009E6379"/>
    <w:rsid w:val="009F020F"/>
    <w:rsid w:val="009F3B63"/>
    <w:rsid w:val="009F43E2"/>
    <w:rsid w:val="009F6292"/>
    <w:rsid w:val="009F6950"/>
    <w:rsid w:val="009F7809"/>
    <w:rsid w:val="009F7AF5"/>
    <w:rsid w:val="00A006F1"/>
    <w:rsid w:val="00A007A7"/>
    <w:rsid w:val="00A00D14"/>
    <w:rsid w:val="00A01408"/>
    <w:rsid w:val="00A02457"/>
    <w:rsid w:val="00A03190"/>
    <w:rsid w:val="00A03D73"/>
    <w:rsid w:val="00A0404B"/>
    <w:rsid w:val="00A06F66"/>
    <w:rsid w:val="00A0798C"/>
    <w:rsid w:val="00A07BDD"/>
    <w:rsid w:val="00A07F12"/>
    <w:rsid w:val="00A11047"/>
    <w:rsid w:val="00A1105B"/>
    <w:rsid w:val="00A1213C"/>
    <w:rsid w:val="00A1268A"/>
    <w:rsid w:val="00A130E8"/>
    <w:rsid w:val="00A14D3B"/>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56D"/>
    <w:rsid w:val="00A40FFB"/>
    <w:rsid w:val="00A41468"/>
    <w:rsid w:val="00A414A9"/>
    <w:rsid w:val="00A429AD"/>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4C6F"/>
    <w:rsid w:val="00A65C78"/>
    <w:rsid w:val="00A660A8"/>
    <w:rsid w:val="00A665F0"/>
    <w:rsid w:val="00A66A45"/>
    <w:rsid w:val="00A67591"/>
    <w:rsid w:val="00A67CA6"/>
    <w:rsid w:val="00A70E7B"/>
    <w:rsid w:val="00A717EA"/>
    <w:rsid w:val="00A73B84"/>
    <w:rsid w:val="00A7411D"/>
    <w:rsid w:val="00A756A3"/>
    <w:rsid w:val="00A756C4"/>
    <w:rsid w:val="00A7592B"/>
    <w:rsid w:val="00A76094"/>
    <w:rsid w:val="00A7629C"/>
    <w:rsid w:val="00A768E2"/>
    <w:rsid w:val="00A82C52"/>
    <w:rsid w:val="00A838E8"/>
    <w:rsid w:val="00A83C15"/>
    <w:rsid w:val="00A84EC4"/>
    <w:rsid w:val="00A86CB6"/>
    <w:rsid w:val="00A86E80"/>
    <w:rsid w:val="00A90D55"/>
    <w:rsid w:val="00A944D8"/>
    <w:rsid w:val="00A959E7"/>
    <w:rsid w:val="00A95BBA"/>
    <w:rsid w:val="00A95EE9"/>
    <w:rsid w:val="00A961EE"/>
    <w:rsid w:val="00AA04B3"/>
    <w:rsid w:val="00AA0C0B"/>
    <w:rsid w:val="00AA1253"/>
    <w:rsid w:val="00AA192E"/>
    <w:rsid w:val="00AA1ED0"/>
    <w:rsid w:val="00AA1F5B"/>
    <w:rsid w:val="00AA28EF"/>
    <w:rsid w:val="00AA3593"/>
    <w:rsid w:val="00AA38CA"/>
    <w:rsid w:val="00AA493E"/>
    <w:rsid w:val="00AA73AF"/>
    <w:rsid w:val="00AA7FC0"/>
    <w:rsid w:val="00AB0A8A"/>
    <w:rsid w:val="00AB1754"/>
    <w:rsid w:val="00AB1F8D"/>
    <w:rsid w:val="00AB27DD"/>
    <w:rsid w:val="00AB592E"/>
    <w:rsid w:val="00AC0120"/>
    <w:rsid w:val="00AC06FA"/>
    <w:rsid w:val="00AC37BE"/>
    <w:rsid w:val="00AC3BDD"/>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57D"/>
    <w:rsid w:val="00AE18C5"/>
    <w:rsid w:val="00AE2CF4"/>
    <w:rsid w:val="00AE2D29"/>
    <w:rsid w:val="00AE2F15"/>
    <w:rsid w:val="00AE4624"/>
    <w:rsid w:val="00AE4B3E"/>
    <w:rsid w:val="00AE5E14"/>
    <w:rsid w:val="00AE6115"/>
    <w:rsid w:val="00AE625B"/>
    <w:rsid w:val="00AE7664"/>
    <w:rsid w:val="00AE7E97"/>
    <w:rsid w:val="00AF01B2"/>
    <w:rsid w:val="00AF1103"/>
    <w:rsid w:val="00AF1668"/>
    <w:rsid w:val="00AF28DE"/>
    <w:rsid w:val="00AF2CD1"/>
    <w:rsid w:val="00AF4FA5"/>
    <w:rsid w:val="00AF63CE"/>
    <w:rsid w:val="00AF6BBA"/>
    <w:rsid w:val="00AF6ECC"/>
    <w:rsid w:val="00B022DC"/>
    <w:rsid w:val="00B04562"/>
    <w:rsid w:val="00B0472F"/>
    <w:rsid w:val="00B0668A"/>
    <w:rsid w:val="00B06930"/>
    <w:rsid w:val="00B0773A"/>
    <w:rsid w:val="00B07955"/>
    <w:rsid w:val="00B1176B"/>
    <w:rsid w:val="00B140B8"/>
    <w:rsid w:val="00B14FAA"/>
    <w:rsid w:val="00B15BED"/>
    <w:rsid w:val="00B15D30"/>
    <w:rsid w:val="00B16D18"/>
    <w:rsid w:val="00B177DE"/>
    <w:rsid w:val="00B20624"/>
    <w:rsid w:val="00B21D0B"/>
    <w:rsid w:val="00B23436"/>
    <w:rsid w:val="00B237F1"/>
    <w:rsid w:val="00B23F10"/>
    <w:rsid w:val="00B24328"/>
    <w:rsid w:val="00B24AC5"/>
    <w:rsid w:val="00B24ED4"/>
    <w:rsid w:val="00B24F33"/>
    <w:rsid w:val="00B26354"/>
    <w:rsid w:val="00B26CA0"/>
    <w:rsid w:val="00B31965"/>
    <w:rsid w:val="00B32179"/>
    <w:rsid w:val="00B32341"/>
    <w:rsid w:val="00B3276F"/>
    <w:rsid w:val="00B32C2B"/>
    <w:rsid w:val="00B33007"/>
    <w:rsid w:val="00B331A9"/>
    <w:rsid w:val="00B33498"/>
    <w:rsid w:val="00B33598"/>
    <w:rsid w:val="00B336B6"/>
    <w:rsid w:val="00B36569"/>
    <w:rsid w:val="00B37345"/>
    <w:rsid w:val="00B37791"/>
    <w:rsid w:val="00B37F53"/>
    <w:rsid w:val="00B40A05"/>
    <w:rsid w:val="00B40A3E"/>
    <w:rsid w:val="00B427BB"/>
    <w:rsid w:val="00B43BA2"/>
    <w:rsid w:val="00B449EE"/>
    <w:rsid w:val="00B454AE"/>
    <w:rsid w:val="00B50227"/>
    <w:rsid w:val="00B50510"/>
    <w:rsid w:val="00B51878"/>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5B2"/>
    <w:rsid w:val="00B756D9"/>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6D5E"/>
    <w:rsid w:val="00BA7D7D"/>
    <w:rsid w:val="00BA7F46"/>
    <w:rsid w:val="00BB0A0A"/>
    <w:rsid w:val="00BB133C"/>
    <w:rsid w:val="00BB1F04"/>
    <w:rsid w:val="00BB45B5"/>
    <w:rsid w:val="00BB4DDE"/>
    <w:rsid w:val="00BB6064"/>
    <w:rsid w:val="00BB65CE"/>
    <w:rsid w:val="00BB6B90"/>
    <w:rsid w:val="00BB7012"/>
    <w:rsid w:val="00BC09D1"/>
    <w:rsid w:val="00BC1CF3"/>
    <w:rsid w:val="00BC1DBD"/>
    <w:rsid w:val="00BC2BE0"/>
    <w:rsid w:val="00BC3573"/>
    <w:rsid w:val="00BC3DBB"/>
    <w:rsid w:val="00BC4229"/>
    <w:rsid w:val="00BC785C"/>
    <w:rsid w:val="00BC7F82"/>
    <w:rsid w:val="00BD09B9"/>
    <w:rsid w:val="00BD2A49"/>
    <w:rsid w:val="00BD3683"/>
    <w:rsid w:val="00BD3DFB"/>
    <w:rsid w:val="00BD40AB"/>
    <w:rsid w:val="00BD6297"/>
    <w:rsid w:val="00BD6806"/>
    <w:rsid w:val="00BD7433"/>
    <w:rsid w:val="00BD7831"/>
    <w:rsid w:val="00BD7C10"/>
    <w:rsid w:val="00BE0195"/>
    <w:rsid w:val="00BE046F"/>
    <w:rsid w:val="00BE0DEB"/>
    <w:rsid w:val="00BE2AB8"/>
    <w:rsid w:val="00BE2FC1"/>
    <w:rsid w:val="00BE3142"/>
    <w:rsid w:val="00BE4039"/>
    <w:rsid w:val="00BE6365"/>
    <w:rsid w:val="00BF01B7"/>
    <w:rsid w:val="00BF0B7F"/>
    <w:rsid w:val="00BF0E77"/>
    <w:rsid w:val="00BF1B12"/>
    <w:rsid w:val="00BF282D"/>
    <w:rsid w:val="00BF2988"/>
    <w:rsid w:val="00BF389B"/>
    <w:rsid w:val="00BF4720"/>
    <w:rsid w:val="00BF4F49"/>
    <w:rsid w:val="00BF6759"/>
    <w:rsid w:val="00BF70A6"/>
    <w:rsid w:val="00BF7B4F"/>
    <w:rsid w:val="00BF7B63"/>
    <w:rsid w:val="00C0359D"/>
    <w:rsid w:val="00C038EC"/>
    <w:rsid w:val="00C05840"/>
    <w:rsid w:val="00C05C6D"/>
    <w:rsid w:val="00C05E4E"/>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7CA"/>
    <w:rsid w:val="00C36201"/>
    <w:rsid w:val="00C368E8"/>
    <w:rsid w:val="00C36C3D"/>
    <w:rsid w:val="00C372C7"/>
    <w:rsid w:val="00C42443"/>
    <w:rsid w:val="00C42CBA"/>
    <w:rsid w:val="00C4338C"/>
    <w:rsid w:val="00C43C2B"/>
    <w:rsid w:val="00C45B27"/>
    <w:rsid w:val="00C45DE7"/>
    <w:rsid w:val="00C472C7"/>
    <w:rsid w:val="00C5019E"/>
    <w:rsid w:val="00C501DD"/>
    <w:rsid w:val="00C51962"/>
    <w:rsid w:val="00C5377C"/>
    <w:rsid w:val="00C53E8A"/>
    <w:rsid w:val="00C54DF3"/>
    <w:rsid w:val="00C5556F"/>
    <w:rsid w:val="00C560A7"/>
    <w:rsid w:val="00C56FC8"/>
    <w:rsid w:val="00C60F23"/>
    <w:rsid w:val="00C6170B"/>
    <w:rsid w:val="00C62017"/>
    <w:rsid w:val="00C62EB2"/>
    <w:rsid w:val="00C64C87"/>
    <w:rsid w:val="00C662D1"/>
    <w:rsid w:val="00C665FE"/>
    <w:rsid w:val="00C71BEC"/>
    <w:rsid w:val="00C74D3A"/>
    <w:rsid w:val="00C75F3D"/>
    <w:rsid w:val="00C80142"/>
    <w:rsid w:val="00C80511"/>
    <w:rsid w:val="00C826F5"/>
    <w:rsid w:val="00C83740"/>
    <w:rsid w:val="00C84AD1"/>
    <w:rsid w:val="00C85579"/>
    <w:rsid w:val="00C862F1"/>
    <w:rsid w:val="00C863E5"/>
    <w:rsid w:val="00C86887"/>
    <w:rsid w:val="00C869C0"/>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C1D"/>
    <w:rsid w:val="00CA5F89"/>
    <w:rsid w:val="00CA6B1A"/>
    <w:rsid w:val="00CA79AB"/>
    <w:rsid w:val="00CB0308"/>
    <w:rsid w:val="00CB0752"/>
    <w:rsid w:val="00CB1B18"/>
    <w:rsid w:val="00CB1C2E"/>
    <w:rsid w:val="00CB20DC"/>
    <w:rsid w:val="00CB23DC"/>
    <w:rsid w:val="00CB2487"/>
    <w:rsid w:val="00CB28E2"/>
    <w:rsid w:val="00CB2F20"/>
    <w:rsid w:val="00CB3247"/>
    <w:rsid w:val="00CB4556"/>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03E8"/>
    <w:rsid w:val="00CF158D"/>
    <w:rsid w:val="00CF2166"/>
    <w:rsid w:val="00CF3252"/>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0FD7"/>
    <w:rsid w:val="00D11640"/>
    <w:rsid w:val="00D12405"/>
    <w:rsid w:val="00D12A4E"/>
    <w:rsid w:val="00D1323B"/>
    <w:rsid w:val="00D14755"/>
    <w:rsid w:val="00D14BAE"/>
    <w:rsid w:val="00D1648B"/>
    <w:rsid w:val="00D16819"/>
    <w:rsid w:val="00D17DD9"/>
    <w:rsid w:val="00D20AC0"/>
    <w:rsid w:val="00D2321B"/>
    <w:rsid w:val="00D23350"/>
    <w:rsid w:val="00D237E7"/>
    <w:rsid w:val="00D23DE4"/>
    <w:rsid w:val="00D25A5C"/>
    <w:rsid w:val="00D26873"/>
    <w:rsid w:val="00D31683"/>
    <w:rsid w:val="00D32103"/>
    <w:rsid w:val="00D336C8"/>
    <w:rsid w:val="00D339E8"/>
    <w:rsid w:val="00D363D7"/>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049"/>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6AC"/>
    <w:rsid w:val="00DA6B55"/>
    <w:rsid w:val="00DA6B97"/>
    <w:rsid w:val="00DA6CEE"/>
    <w:rsid w:val="00DB0015"/>
    <w:rsid w:val="00DB0359"/>
    <w:rsid w:val="00DB0ABB"/>
    <w:rsid w:val="00DB2AAD"/>
    <w:rsid w:val="00DB44E2"/>
    <w:rsid w:val="00DB4A6D"/>
    <w:rsid w:val="00DB5941"/>
    <w:rsid w:val="00DB5B0B"/>
    <w:rsid w:val="00DB626D"/>
    <w:rsid w:val="00DB6365"/>
    <w:rsid w:val="00DC07B7"/>
    <w:rsid w:val="00DC0BF1"/>
    <w:rsid w:val="00DC17F2"/>
    <w:rsid w:val="00DC41C3"/>
    <w:rsid w:val="00DC4A3C"/>
    <w:rsid w:val="00DC4FA4"/>
    <w:rsid w:val="00DC5B37"/>
    <w:rsid w:val="00DD286D"/>
    <w:rsid w:val="00DD2CAF"/>
    <w:rsid w:val="00DD337C"/>
    <w:rsid w:val="00DD3593"/>
    <w:rsid w:val="00DD64E0"/>
    <w:rsid w:val="00DD74A9"/>
    <w:rsid w:val="00DD7BE0"/>
    <w:rsid w:val="00DE0C67"/>
    <w:rsid w:val="00DE3AAD"/>
    <w:rsid w:val="00DE4FC0"/>
    <w:rsid w:val="00DE598A"/>
    <w:rsid w:val="00DE6952"/>
    <w:rsid w:val="00DE7E74"/>
    <w:rsid w:val="00DF071B"/>
    <w:rsid w:val="00DF0888"/>
    <w:rsid w:val="00DF2767"/>
    <w:rsid w:val="00DF5C84"/>
    <w:rsid w:val="00DF6EF8"/>
    <w:rsid w:val="00DF7263"/>
    <w:rsid w:val="00E00A69"/>
    <w:rsid w:val="00E017BC"/>
    <w:rsid w:val="00E017F0"/>
    <w:rsid w:val="00E01A0E"/>
    <w:rsid w:val="00E0346A"/>
    <w:rsid w:val="00E041E4"/>
    <w:rsid w:val="00E04AEE"/>
    <w:rsid w:val="00E1012B"/>
    <w:rsid w:val="00E103C8"/>
    <w:rsid w:val="00E1085B"/>
    <w:rsid w:val="00E109BA"/>
    <w:rsid w:val="00E1308B"/>
    <w:rsid w:val="00E14581"/>
    <w:rsid w:val="00E14623"/>
    <w:rsid w:val="00E15539"/>
    <w:rsid w:val="00E16541"/>
    <w:rsid w:val="00E17EC9"/>
    <w:rsid w:val="00E202F4"/>
    <w:rsid w:val="00E207C3"/>
    <w:rsid w:val="00E21386"/>
    <w:rsid w:val="00E242AF"/>
    <w:rsid w:val="00E24849"/>
    <w:rsid w:val="00E24CB6"/>
    <w:rsid w:val="00E2536E"/>
    <w:rsid w:val="00E25B8A"/>
    <w:rsid w:val="00E25EF8"/>
    <w:rsid w:val="00E2632B"/>
    <w:rsid w:val="00E26F75"/>
    <w:rsid w:val="00E27423"/>
    <w:rsid w:val="00E27ADE"/>
    <w:rsid w:val="00E3128B"/>
    <w:rsid w:val="00E322F7"/>
    <w:rsid w:val="00E3369B"/>
    <w:rsid w:val="00E362D2"/>
    <w:rsid w:val="00E36D76"/>
    <w:rsid w:val="00E40478"/>
    <w:rsid w:val="00E405EA"/>
    <w:rsid w:val="00E408B7"/>
    <w:rsid w:val="00E41637"/>
    <w:rsid w:val="00E42789"/>
    <w:rsid w:val="00E43F59"/>
    <w:rsid w:val="00E464F0"/>
    <w:rsid w:val="00E46EF3"/>
    <w:rsid w:val="00E47013"/>
    <w:rsid w:val="00E47370"/>
    <w:rsid w:val="00E473E9"/>
    <w:rsid w:val="00E47B47"/>
    <w:rsid w:val="00E50BEB"/>
    <w:rsid w:val="00E548FA"/>
    <w:rsid w:val="00E5674A"/>
    <w:rsid w:val="00E57703"/>
    <w:rsid w:val="00E57ED4"/>
    <w:rsid w:val="00E57FED"/>
    <w:rsid w:val="00E6092F"/>
    <w:rsid w:val="00E60BD0"/>
    <w:rsid w:val="00E61287"/>
    <w:rsid w:val="00E62049"/>
    <w:rsid w:val="00E629DA"/>
    <w:rsid w:val="00E64374"/>
    <w:rsid w:val="00E6469F"/>
    <w:rsid w:val="00E65846"/>
    <w:rsid w:val="00E65D39"/>
    <w:rsid w:val="00E670F8"/>
    <w:rsid w:val="00E6741B"/>
    <w:rsid w:val="00E67FAC"/>
    <w:rsid w:val="00E71763"/>
    <w:rsid w:val="00E7200B"/>
    <w:rsid w:val="00E7323B"/>
    <w:rsid w:val="00E738CB"/>
    <w:rsid w:val="00E73C88"/>
    <w:rsid w:val="00E74437"/>
    <w:rsid w:val="00E7443D"/>
    <w:rsid w:val="00E75ACE"/>
    <w:rsid w:val="00E7665D"/>
    <w:rsid w:val="00E771AF"/>
    <w:rsid w:val="00E77B7A"/>
    <w:rsid w:val="00E80386"/>
    <w:rsid w:val="00E809C3"/>
    <w:rsid w:val="00E80B45"/>
    <w:rsid w:val="00E81A1A"/>
    <w:rsid w:val="00E81C3E"/>
    <w:rsid w:val="00E82359"/>
    <w:rsid w:val="00E82B6D"/>
    <w:rsid w:val="00E83187"/>
    <w:rsid w:val="00E831E9"/>
    <w:rsid w:val="00E8608F"/>
    <w:rsid w:val="00E86C1D"/>
    <w:rsid w:val="00E9565E"/>
    <w:rsid w:val="00E9763D"/>
    <w:rsid w:val="00EA1177"/>
    <w:rsid w:val="00EA118B"/>
    <w:rsid w:val="00EA11B6"/>
    <w:rsid w:val="00EA2181"/>
    <w:rsid w:val="00EA2DD8"/>
    <w:rsid w:val="00EA4475"/>
    <w:rsid w:val="00EA52FE"/>
    <w:rsid w:val="00EA681F"/>
    <w:rsid w:val="00EB04C6"/>
    <w:rsid w:val="00EB06A6"/>
    <w:rsid w:val="00EB3307"/>
    <w:rsid w:val="00EB3823"/>
    <w:rsid w:val="00EB466D"/>
    <w:rsid w:val="00EB47D8"/>
    <w:rsid w:val="00EB57D3"/>
    <w:rsid w:val="00EB5EFD"/>
    <w:rsid w:val="00EB679F"/>
    <w:rsid w:val="00EB76E4"/>
    <w:rsid w:val="00EC0E65"/>
    <w:rsid w:val="00EC1251"/>
    <w:rsid w:val="00EC2140"/>
    <w:rsid w:val="00EC2938"/>
    <w:rsid w:val="00EC337D"/>
    <w:rsid w:val="00EC38EF"/>
    <w:rsid w:val="00EC50C9"/>
    <w:rsid w:val="00EC58B4"/>
    <w:rsid w:val="00EC5BB2"/>
    <w:rsid w:val="00ED12F0"/>
    <w:rsid w:val="00ED1863"/>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7B4"/>
    <w:rsid w:val="00EF2E75"/>
    <w:rsid w:val="00EF4C74"/>
    <w:rsid w:val="00EF5268"/>
    <w:rsid w:val="00EF608E"/>
    <w:rsid w:val="00EF6C4A"/>
    <w:rsid w:val="00F00449"/>
    <w:rsid w:val="00F0044B"/>
    <w:rsid w:val="00F03525"/>
    <w:rsid w:val="00F0424D"/>
    <w:rsid w:val="00F04957"/>
    <w:rsid w:val="00F05807"/>
    <w:rsid w:val="00F05DBC"/>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55E8"/>
    <w:rsid w:val="00F46964"/>
    <w:rsid w:val="00F46CAD"/>
    <w:rsid w:val="00F46F9A"/>
    <w:rsid w:val="00F470FD"/>
    <w:rsid w:val="00F50F30"/>
    <w:rsid w:val="00F5126A"/>
    <w:rsid w:val="00F5126E"/>
    <w:rsid w:val="00F516EF"/>
    <w:rsid w:val="00F51755"/>
    <w:rsid w:val="00F5580D"/>
    <w:rsid w:val="00F5645E"/>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3945"/>
    <w:rsid w:val="00F853AE"/>
    <w:rsid w:val="00F908D5"/>
    <w:rsid w:val="00F913B9"/>
    <w:rsid w:val="00F9141D"/>
    <w:rsid w:val="00F93C74"/>
    <w:rsid w:val="00F93DCC"/>
    <w:rsid w:val="00F9435D"/>
    <w:rsid w:val="00F966F9"/>
    <w:rsid w:val="00F96F61"/>
    <w:rsid w:val="00F97740"/>
    <w:rsid w:val="00FA0C8F"/>
    <w:rsid w:val="00FA1969"/>
    <w:rsid w:val="00FA2DEF"/>
    <w:rsid w:val="00FA2F7B"/>
    <w:rsid w:val="00FA35ED"/>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0EC"/>
    <w:rsid w:val="00FC1E67"/>
    <w:rsid w:val="00FC2A13"/>
    <w:rsid w:val="00FC4079"/>
    <w:rsid w:val="00FC4284"/>
    <w:rsid w:val="00FC4576"/>
    <w:rsid w:val="00FC5FF5"/>
    <w:rsid w:val="00FC6285"/>
    <w:rsid w:val="00FC78FB"/>
    <w:rsid w:val="00FC7DBC"/>
    <w:rsid w:val="00FD076A"/>
    <w:rsid w:val="00FD0AA0"/>
    <w:rsid w:val="00FD1665"/>
    <w:rsid w:val="00FD16BE"/>
    <w:rsid w:val="00FD1D5A"/>
    <w:rsid w:val="00FD5059"/>
    <w:rsid w:val="00FD554D"/>
    <w:rsid w:val="00FD5BCC"/>
    <w:rsid w:val="00FD7B23"/>
    <w:rsid w:val="00FE2A48"/>
    <w:rsid w:val="00FE5D0A"/>
    <w:rsid w:val="00FE6469"/>
    <w:rsid w:val="00FE6F40"/>
    <w:rsid w:val="00FF05D0"/>
    <w:rsid w:val="00FF06CE"/>
    <w:rsid w:val="00FF0E49"/>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0318E"/>
    <w:pPr>
      <w:autoSpaceDE w:val="0"/>
      <w:autoSpaceDN w:val="0"/>
      <w:adjustRightInd w:val="0"/>
    </w:pPr>
    <w:rPr>
      <w:rFonts w:ascii="Arial" w:hAnsi="Arial" w:cs="Arial"/>
      <w:color w:val="000000"/>
      <w:szCs w:val="24"/>
    </w:rPr>
  </w:style>
  <w:style w:type="character" w:customStyle="1" w:styleId="HeaderChar">
    <w:name w:val="Header Char"/>
    <w:basedOn w:val="DefaultParagraphFont"/>
    <w:link w:val="Header"/>
    <w:uiPriority w:val="99"/>
    <w:locked/>
    <w:rsid w:val="00397A3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319578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9190-AF44-41C1-A49B-7AC583F9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4116</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10</cp:revision>
  <cp:lastPrinted>2012-01-18T13:30:00Z</cp:lastPrinted>
  <dcterms:created xsi:type="dcterms:W3CDTF">2012-01-12T19:58:00Z</dcterms:created>
  <dcterms:modified xsi:type="dcterms:W3CDTF">2012-03-02T13:27:00Z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