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68209C" w:rsidRDefault="00F629C0" w:rsidP="0068209C">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5B36BE">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68209C">
        <w:rPr>
          <w:caps/>
          <w:color w:val="000000" w:themeColor="text1"/>
        </w:rPr>
        <w:t xml:space="preserve">                                        </w:t>
      </w:r>
      <w:r w:rsidR="00300276">
        <w:rPr>
          <w:caps/>
          <w:color w:val="000000" w:themeColor="text1"/>
        </w:rPr>
        <w:t xml:space="preserve">           </w:t>
      </w:r>
      <w:r w:rsidR="0068209C">
        <w:rPr>
          <w:caps/>
          <w:color w:val="000000" w:themeColor="text1"/>
        </w:rPr>
        <w:t xml:space="preserve"> </w:t>
      </w:r>
      <w:r w:rsidR="005B36BE">
        <w:rPr>
          <w:caps/>
          <w:color w:val="000000" w:themeColor="text1"/>
        </w:rPr>
        <w:tab/>
      </w:r>
      <w:r w:rsidR="005B36BE">
        <w:rPr>
          <w:caps/>
          <w:color w:val="000000" w:themeColor="text1"/>
        </w:rPr>
        <w:tab/>
      </w:r>
      <w:r w:rsidRPr="001F29F9">
        <w:rPr>
          <w:caps/>
          <w:color w:val="000000" w:themeColor="text1"/>
        </w:rPr>
        <w:t xml:space="preserve">BRANCH OF </w:t>
      </w:r>
      <w:r w:rsidRPr="0068209C">
        <w:rPr>
          <w:caps/>
          <w:color w:val="000000" w:themeColor="text1"/>
        </w:rPr>
        <w:t xml:space="preserve">SERVICE: </w:t>
      </w:r>
      <w:r w:rsidR="004C24C5" w:rsidRPr="0068209C">
        <w:rPr>
          <w:caps/>
          <w:color w:val="000000" w:themeColor="text1"/>
        </w:rPr>
        <w:t xml:space="preserve"> </w:t>
      </w:r>
      <w:r w:rsidR="00332DE3" w:rsidRPr="0068209C">
        <w:rPr>
          <w:caps/>
          <w:color w:val="000000" w:themeColor="text1"/>
        </w:rPr>
        <w:t xml:space="preserve">Army </w:t>
      </w:r>
    </w:p>
    <w:p w:rsidR="00DE3AAD" w:rsidRPr="001F29F9" w:rsidRDefault="00012733" w:rsidP="0068209C">
      <w:pPr>
        <w:tabs>
          <w:tab w:val="left" w:pos="288"/>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w:t>
      </w:r>
      <w:r w:rsidR="00DE3AAD" w:rsidRPr="0068209C">
        <w:rPr>
          <w:caps/>
          <w:color w:val="000000" w:themeColor="text1"/>
        </w:rPr>
        <w:t>:  PD</w:t>
      </w:r>
      <w:r w:rsidR="008F58E1" w:rsidRPr="0068209C">
        <w:rPr>
          <w:caps/>
          <w:color w:val="000000" w:themeColor="text1"/>
        </w:rPr>
        <w:t>1</w:t>
      </w:r>
      <w:r w:rsidR="0068209C" w:rsidRPr="0068209C">
        <w:rPr>
          <w:caps/>
          <w:color w:val="000000" w:themeColor="text1"/>
        </w:rPr>
        <w:t>0</w:t>
      </w:r>
      <w:r w:rsidR="00DE3AAD" w:rsidRPr="0068209C">
        <w:rPr>
          <w:caps/>
          <w:color w:val="000000" w:themeColor="text1"/>
        </w:rPr>
        <w:t>0</w:t>
      </w:r>
      <w:r w:rsidR="0068209C" w:rsidRPr="0068209C">
        <w:rPr>
          <w:caps/>
          <w:color w:val="000000" w:themeColor="text1"/>
        </w:rPr>
        <w:t>1210</w:t>
      </w:r>
      <w:r w:rsidR="00DE3AAD" w:rsidRPr="001F29F9">
        <w:rPr>
          <w:color w:val="000000" w:themeColor="text1"/>
        </w:rPr>
        <w:t xml:space="preserve"> </w:t>
      </w:r>
      <w:r w:rsidR="00DE3AAD" w:rsidRPr="001F29F9">
        <w:rPr>
          <w:color w:val="000000" w:themeColor="text1"/>
        </w:rPr>
        <w:tab/>
      </w:r>
      <w:r w:rsidR="00C71F27">
        <w:rPr>
          <w:color w:val="000000" w:themeColor="text1"/>
        </w:rPr>
        <w:t xml:space="preserve">  </w:t>
      </w:r>
      <w:r w:rsidR="00E0346A" w:rsidRPr="001F29F9">
        <w:rPr>
          <w:color w:val="000000" w:themeColor="text1"/>
        </w:rPr>
        <w:t xml:space="preserve">    </w:t>
      </w:r>
      <w:r w:rsidR="00C71F27" w:rsidRPr="001F29F9">
        <w:rPr>
          <w:rFonts w:cs="Times New Roman"/>
          <w:color w:val="000000" w:themeColor="text1"/>
          <w:szCs w:val="24"/>
        </w:rPr>
        <w:t xml:space="preserve">DATE OF PLACEMENT ON TDRL:  </w:t>
      </w:r>
      <w:r w:rsidR="00C71F27" w:rsidRPr="001F29F9">
        <w:rPr>
          <w:color w:val="000000" w:themeColor="text1"/>
        </w:rPr>
        <w:t>200</w:t>
      </w:r>
      <w:r w:rsidR="00C71F27">
        <w:rPr>
          <w:color w:val="000000" w:themeColor="text1"/>
        </w:rPr>
        <w:t>50911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AA5FD0">
        <w:rPr>
          <w:caps/>
          <w:color w:val="000000" w:themeColor="text1"/>
        </w:rPr>
        <w:t>20321</w:t>
      </w:r>
      <w:r w:rsidR="00C71F27">
        <w:rPr>
          <w:caps/>
          <w:color w:val="000000" w:themeColor="text1"/>
        </w:rPr>
        <w:t xml:space="preserve">                                          </w:t>
      </w:r>
      <w:r w:rsidR="00C71F27" w:rsidRPr="001F29F9">
        <w:rPr>
          <w:rFonts w:cs="Times New Roman"/>
          <w:caps/>
          <w:color w:val="000000" w:themeColor="text1"/>
          <w:szCs w:val="24"/>
        </w:rPr>
        <w:t xml:space="preserve">Date of Permanent </w:t>
      </w:r>
      <w:r w:rsidR="00C71F27" w:rsidRPr="001F29F9">
        <w:rPr>
          <w:rFonts w:cs="Times New Roman"/>
          <w:color w:val="000000" w:themeColor="text1"/>
          <w:szCs w:val="24"/>
        </w:rPr>
        <w:t xml:space="preserve">SEPARATION:  </w:t>
      </w:r>
      <w:r w:rsidR="00C71F27" w:rsidRPr="001F29F9">
        <w:rPr>
          <w:color w:val="000000" w:themeColor="text1"/>
        </w:rPr>
        <w:t>200</w:t>
      </w:r>
      <w:r w:rsidR="00C71F27">
        <w:rPr>
          <w:color w:val="000000" w:themeColor="text1"/>
        </w:rPr>
        <w:t>70709</w:t>
      </w:r>
      <w:r w:rsidR="00C71F27">
        <w:rPr>
          <w:caps/>
          <w:color w:val="000000" w:themeColor="text1"/>
        </w:rPr>
        <w:t xml:space="preserve">              </w:t>
      </w:r>
    </w:p>
    <w:p w:rsidR="002B0E19" w:rsidRPr="001F29F9" w:rsidRDefault="002B0E19" w:rsidP="002B0E19">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Default="00FB0E80" w:rsidP="00BF0E94">
      <w:pPr>
        <w:tabs>
          <w:tab w:val="left" w:pos="288"/>
          <w:tab w:val="left" w:pos="4752"/>
        </w:tabs>
        <w:jc w:val="both"/>
        <w:rPr>
          <w:color w:val="000000" w:themeColor="text1"/>
        </w:rPr>
      </w:pPr>
      <w:r w:rsidRPr="001F29F9">
        <w:rPr>
          <w:color w:val="000000" w:themeColor="text1"/>
          <w:u w:val="single"/>
        </w:rPr>
        <w:t xml:space="preserve">SUMMARY OF </w:t>
      </w:r>
      <w:r w:rsidRPr="008C1FEE">
        <w:rPr>
          <w:color w:val="000000" w:themeColor="text1"/>
          <w:u w:val="single"/>
        </w:rPr>
        <w:t>CASE</w:t>
      </w:r>
      <w:r w:rsidRPr="008C1FEE">
        <w:rPr>
          <w:color w:val="000000" w:themeColor="text1"/>
        </w:rPr>
        <w:t xml:space="preserve">:  </w:t>
      </w:r>
      <w:r w:rsidR="009759C2" w:rsidRPr="008C1FEE">
        <w:rPr>
          <w:color w:val="000000" w:themeColor="text1"/>
        </w:rPr>
        <w:t>Data extracted from the available evidence of record reflects that this covered individual (CI)</w:t>
      </w:r>
      <w:r w:rsidR="00570754" w:rsidRPr="008C1FEE">
        <w:rPr>
          <w:color w:val="000000" w:themeColor="text1"/>
        </w:rPr>
        <w:t xml:space="preserve"> </w:t>
      </w:r>
      <w:r w:rsidR="002C6E5B" w:rsidRPr="008C1FEE">
        <w:rPr>
          <w:color w:val="000000" w:themeColor="text1"/>
          <w:szCs w:val="24"/>
        </w:rPr>
        <w:t xml:space="preserve">was </w:t>
      </w:r>
      <w:r w:rsidR="00817595">
        <w:rPr>
          <w:color w:val="000000" w:themeColor="text1"/>
          <w:szCs w:val="24"/>
        </w:rPr>
        <w:t>a</w:t>
      </w:r>
      <w:r w:rsidR="00E322F7" w:rsidRPr="008C1FEE">
        <w:rPr>
          <w:color w:val="000000" w:themeColor="text1"/>
          <w:szCs w:val="24"/>
        </w:rPr>
        <w:t xml:space="preserve"> </w:t>
      </w:r>
      <w:r w:rsidR="006D4E0E" w:rsidRPr="008C1FEE">
        <w:rPr>
          <w:color w:val="000000" w:themeColor="text1"/>
          <w:szCs w:val="24"/>
        </w:rPr>
        <w:t xml:space="preserve">National Guard </w:t>
      </w:r>
      <w:r w:rsidR="003E4346" w:rsidRPr="008C1FEE">
        <w:rPr>
          <w:color w:val="000000" w:themeColor="text1"/>
          <w:szCs w:val="24"/>
        </w:rPr>
        <w:t xml:space="preserve">Soldier, </w:t>
      </w:r>
      <w:r w:rsidR="00661BA2" w:rsidRPr="008C1FEE">
        <w:rPr>
          <w:color w:val="000000" w:themeColor="text1"/>
          <w:szCs w:val="24"/>
        </w:rPr>
        <w:t>S</w:t>
      </w:r>
      <w:r w:rsidR="0068209C" w:rsidRPr="008C1FEE">
        <w:rPr>
          <w:color w:val="000000" w:themeColor="text1"/>
          <w:szCs w:val="24"/>
        </w:rPr>
        <w:t xml:space="preserve">SG/E6, 88M, Motor Transport Operator, </w:t>
      </w:r>
      <w:r w:rsidR="00C75F3D" w:rsidRPr="008C1FEE">
        <w:rPr>
          <w:color w:val="000000" w:themeColor="text1"/>
          <w:szCs w:val="24"/>
        </w:rPr>
        <w:t xml:space="preserve"> </w:t>
      </w:r>
      <w:r w:rsidR="002C6E5B" w:rsidRPr="008C1FEE">
        <w:rPr>
          <w:color w:val="000000" w:themeColor="text1"/>
          <w:szCs w:val="24"/>
        </w:rPr>
        <w:t xml:space="preserve">medically separated for </w:t>
      </w:r>
      <w:r w:rsidR="0068209C" w:rsidRPr="008C1FEE">
        <w:rPr>
          <w:color w:val="000000" w:themeColor="text1"/>
          <w:szCs w:val="24"/>
        </w:rPr>
        <w:t xml:space="preserve">chronic </w:t>
      </w:r>
      <w:r w:rsidR="009D2DB9">
        <w:rPr>
          <w:color w:val="000000" w:themeColor="text1"/>
          <w:szCs w:val="24"/>
        </w:rPr>
        <w:t>low</w:t>
      </w:r>
      <w:r w:rsidR="0068209C" w:rsidRPr="008C1FEE">
        <w:rPr>
          <w:color w:val="000000" w:themeColor="text1"/>
          <w:szCs w:val="24"/>
        </w:rPr>
        <w:t xml:space="preserve"> back pain</w:t>
      </w:r>
      <w:r w:rsidR="00817595">
        <w:rPr>
          <w:color w:val="000000" w:themeColor="text1"/>
          <w:szCs w:val="24"/>
        </w:rPr>
        <w:t>,</w:t>
      </w:r>
      <w:r w:rsidR="009D2DB9">
        <w:rPr>
          <w:color w:val="000000" w:themeColor="text1"/>
          <w:szCs w:val="24"/>
        </w:rPr>
        <w:t xml:space="preserve"> status post lumbar fusion and </w:t>
      </w:r>
      <w:r w:rsidR="00530FF3">
        <w:rPr>
          <w:color w:val="000000" w:themeColor="text1"/>
          <w:szCs w:val="24"/>
        </w:rPr>
        <w:t xml:space="preserve">cervical spine </w:t>
      </w:r>
      <w:r w:rsidR="009D2DB9">
        <w:rPr>
          <w:color w:val="000000" w:themeColor="text1"/>
          <w:szCs w:val="24"/>
        </w:rPr>
        <w:t xml:space="preserve">degenerative disc disease </w:t>
      </w:r>
      <w:r w:rsidR="00C71F27">
        <w:rPr>
          <w:color w:val="000000" w:themeColor="text1"/>
          <w:szCs w:val="24"/>
        </w:rPr>
        <w:t>(DDD)</w:t>
      </w:r>
      <w:r w:rsidR="00530FF3">
        <w:rPr>
          <w:color w:val="000000" w:themeColor="text1"/>
          <w:szCs w:val="24"/>
        </w:rPr>
        <w:t xml:space="preserve"> </w:t>
      </w:r>
      <w:r w:rsidR="009D2DB9">
        <w:rPr>
          <w:color w:val="000000" w:themeColor="text1"/>
          <w:szCs w:val="24"/>
        </w:rPr>
        <w:t>with chronic neck pain</w:t>
      </w:r>
      <w:r w:rsidR="0068209C" w:rsidRPr="008C1FEE">
        <w:rPr>
          <w:color w:val="000000" w:themeColor="text1"/>
          <w:szCs w:val="24"/>
        </w:rPr>
        <w:t>.</w:t>
      </w:r>
      <w:r w:rsidR="00530FF3">
        <w:rPr>
          <w:color w:val="000000" w:themeColor="text1"/>
          <w:szCs w:val="24"/>
        </w:rPr>
        <w:t xml:space="preserve">  </w:t>
      </w:r>
      <w:r w:rsidR="009D2DB9">
        <w:rPr>
          <w:color w:val="000000" w:themeColor="text1"/>
          <w:szCs w:val="24"/>
        </w:rPr>
        <w:t>Despite surgical treatment and physical therapy he</w:t>
      </w:r>
      <w:r w:rsidR="00643C8F" w:rsidRPr="008C1FEE">
        <w:rPr>
          <w:color w:val="000000" w:themeColor="text1"/>
          <w:szCs w:val="24"/>
        </w:rPr>
        <w:t xml:space="preserve"> did not respond adequately to treatment and was unable to perform within his </w:t>
      </w:r>
      <w:r w:rsidR="007E76BD">
        <w:rPr>
          <w:color w:val="000000" w:themeColor="text1"/>
          <w:szCs w:val="24"/>
        </w:rPr>
        <w:t>M</w:t>
      </w:r>
      <w:r w:rsidR="00643C8F" w:rsidRPr="008C1FEE">
        <w:rPr>
          <w:color w:val="000000" w:themeColor="text1"/>
          <w:szCs w:val="24"/>
        </w:rPr>
        <w:t xml:space="preserve">ilitary </w:t>
      </w:r>
      <w:r w:rsidR="007E76BD">
        <w:rPr>
          <w:color w:val="000000" w:themeColor="text1"/>
          <w:szCs w:val="24"/>
        </w:rPr>
        <w:t>O</w:t>
      </w:r>
      <w:r w:rsidR="00643C8F" w:rsidRPr="008C1FEE">
        <w:rPr>
          <w:color w:val="000000" w:themeColor="text1"/>
          <w:szCs w:val="24"/>
        </w:rPr>
        <w:t xml:space="preserve">ccupational </w:t>
      </w:r>
      <w:r w:rsidR="007E76BD">
        <w:rPr>
          <w:color w:val="000000" w:themeColor="text1"/>
          <w:szCs w:val="24"/>
        </w:rPr>
        <w:t>S</w:t>
      </w:r>
      <w:r w:rsidR="00643C8F" w:rsidRPr="008C1FEE">
        <w:rPr>
          <w:color w:val="000000" w:themeColor="text1"/>
          <w:szCs w:val="24"/>
        </w:rPr>
        <w:t xml:space="preserve">pecialty (MOS) </w:t>
      </w:r>
      <w:r w:rsidR="00F0064E" w:rsidRPr="008C1FEE">
        <w:rPr>
          <w:color w:val="000000" w:themeColor="text1"/>
          <w:szCs w:val="24"/>
        </w:rPr>
        <w:t>or</w:t>
      </w:r>
      <w:r w:rsidR="00643C8F" w:rsidRPr="008C1FEE">
        <w:rPr>
          <w:color w:val="000000" w:themeColor="text1"/>
          <w:szCs w:val="24"/>
        </w:rPr>
        <w:t xml:space="preserve"> meet physical fitness standards</w:t>
      </w:r>
      <w:r w:rsidR="00643C8F" w:rsidRPr="00C71F27">
        <w:rPr>
          <w:color w:val="000000" w:themeColor="text1"/>
          <w:szCs w:val="24"/>
        </w:rPr>
        <w:t>.  He was issued a permanent</w:t>
      </w:r>
      <w:r w:rsidR="00643C8F" w:rsidRPr="008C1FEE">
        <w:rPr>
          <w:color w:val="000000" w:themeColor="text1"/>
          <w:szCs w:val="24"/>
        </w:rPr>
        <w:t xml:space="preserve"> </w:t>
      </w:r>
      <w:r w:rsidR="00F0064E" w:rsidRPr="008C1FEE">
        <w:rPr>
          <w:color w:val="000000" w:themeColor="text1"/>
          <w:szCs w:val="24"/>
        </w:rPr>
        <w:t>U3L3S3</w:t>
      </w:r>
      <w:r w:rsidR="00C71F27">
        <w:rPr>
          <w:color w:val="000000" w:themeColor="text1"/>
          <w:szCs w:val="24"/>
        </w:rPr>
        <w:t xml:space="preserve"> profile</w:t>
      </w:r>
      <w:r w:rsidR="00643C8F" w:rsidRPr="008C1FEE">
        <w:rPr>
          <w:color w:val="000000" w:themeColor="text1"/>
          <w:szCs w:val="24"/>
        </w:rPr>
        <w:t xml:space="preserve"> and underwent a Medical Evaluation Board (MEB).</w:t>
      </w:r>
      <w:r w:rsidR="00DA0704" w:rsidRPr="008C1FEE">
        <w:rPr>
          <w:color w:val="000000" w:themeColor="text1"/>
          <w:szCs w:val="24"/>
        </w:rPr>
        <w:t xml:space="preserve"> </w:t>
      </w:r>
      <w:r w:rsidR="00817595">
        <w:rPr>
          <w:color w:val="000000" w:themeColor="text1"/>
          <w:szCs w:val="24"/>
        </w:rPr>
        <w:t xml:space="preserve"> </w:t>
      </w:r>
      <w:r w:rsidR="00F0064E" w:rsidRPr="008C1FEE">
        <w:rPr>
          <w:color w:val="000000" w:themeColor="text1"/>
          <w:szCs w:val="24"/>
        </w:rPr>
        <w:t xml:space="preserve">Lumbar </w:t>
      </w:r>
      <w:proofErr w:type="spellStart"/>
      <w:r w:rsidR="00F0064E" w:rsidRPr="008C1FEE">
        <w:rPr>
          <w:color w:val="000000" w:themeColor="text1"/>
          <w:szCs w:val="24"/>
        </w:rPr>
        <w:t>laminectomy</w:t>
      </w:r>
      <w:proofErr w:type="spellEnd"/>
      <w:r w:rsidR="00F0064E" w:rsidRPr="008C1FEE">
        <w:rPr>
          <w:color w:val="000000" w:themeColor="text1"/>
          <w:szCs w:val="24"/>
        </w:rPr>
        <w:t xml:space="preserve"> and fusion with persistent symptom</w:t>
      </w:r>
      <w:r w:rsidR="00FB65D6" w:rsidRPr="008C1FEE">
        <w:rPr>
          <w:color w:val="000000" w:themeColor="text1"/>
          <w:szCs w:val="24"/>
        </w:rPr>
        <w:t xml:space="preserve">s, </w:t>
      </w:r>
      <w:r w:rsidR="00C71F27" w:rsidRPr="008C1FEE">
        <w:rPr>
          <w:color w:val="000000" w:themeColor="text1"/>
          <w:szCs w:val="24"/>
        </w:rPr>
        <w:t xml:space="preserve">cervical </w:t>
      </w:r>
      <w:proofErr w:type="spellStart"/>
      <w:r w:rsidR="00C71F27" w:rsidRPr="008C1FEE">
        <w:rPr>
          <w:color w:val="000000" w:themeColor="text1"/>
          <w:szCs w:val="24"/>
        </w:rPr>
        <w:t>spondylosis</w:t>
      </w:r>
      <w:proofErr w:type="spellEnd"/>
      <w:r w:rsidR="00C71F27" w:rsidRPr="008C1FEE">
        <w:rPr>
          <w:color w:val="000000" w:themeColor="text1"/>
          <w:szCs w:val="24"/>
        </w:rPr>
        <w:t xml:space="preserve"> </w:t>
      </w:r>
      <w:r w:rsidR="00FB65D6" w:rsidRPr="008C1FEE">
        <w:rPr>
          <w:color w:val="000000" w:themeColor="text1"/>
          <w:szCs w:val="24"/>
        </w:rPr>
        <w:t>and posttraumatic stress disorder (PTSD)</w:t>
      </w:r>
      <w:r w:rsidR="00F0064E" w:rsidRPr="008C1FEE">
        <w:rPr>
          <w:color w:val="000000" w:themeColor="text1"/>
          <w:szCs w:val="24"/>
        </w:rPr>
        <w:t xml:space="preserve"> </w:t>
      </w:r>
      <w:r w:rsidR="000A33C8" w:rsidRPr="008C1FEE">
        <w:rPr>
          <w:color w:val="000000" w:themeColor="text1"/>
          <w:szCs w:val="24"/>
        </w:rPr>
        <w:t xml:space="preserve">were forwarded to the Physical Evaluation Board (PEB) as medically unacceptable IAW </w:t>
      </w:r>
      <w:r w:rsidR="00C71F27">
        <w:rPr>
          <w:color w:val="000000" w:themeColor="text1"/>
          <w:szCs w:val="24"/>
        </w:rPr>
        <w:t>A</w:t>
      </w:r>
      <w:r w:rsidR="000A33C8" w:rsidRPr="008C1FEE">
        <w:rPr>
          <w:color w:val="000000" w:themeColor="text1"/>
          <w:szCs w:val="24"/>
        </w:rPr>
        <w:t>R 40-501</w:t>
      </w:r>
      <w:r w:rsidR="00376E08" w:rsidRPr="008C1FEE">
        <w:rPr>
          <w:color w:val="000000" w:themeColor="text1"/>
          <w:szCs w:val="24"/>
        </w:rPr>
        <w:t>.</w:t>
      </w:r>
      <w:r w:rsidR="00DA0704" w:rsidRPr="008C1FEE">
        <w:rPr>
          <w:color w:val="000000" w:themeColor="text1"/>
          <w:szCs w:val="24"/>
        </w:rPr>
        <w:t xml:space="preserve"> </w:t>
      </w:r>
      <w:r w:rsidR="00817595">
        <w:rPr>
          <w:color w:val="000000" w:themeColor="text1"/>
          <w:szCs w:val="24"/>
        </w:rPr>
        <w:t xml:space="preserve"> </w:t>
      </w:r>
      <w:r w:rsidR="00F41560" w:rsidRPr="008C1FEE">
        <w:rPr>
          <w:color w:val="000000" w:themeColor="text1"/>
          <w:szCs w:val="24"/>
        </w:rPr>
        <w:t xml:space="preserve">Right </w:t>
      </w:r>
      <w:proofErr w:type="spellStart"/>
      <w:r w:rsidR="00F41560" w:rsidRPr="008C1FEE">
        <w:rPr>
          <w:color w:val="000000" w:themeColor="text1"/>
          <w:szCs w:val="24"/>
        </w:rPr>
        <w:t>supraspinatus</w:t>
      </w:r>
      <w:proofErr w:type="spellEnd"/>
      <w:r w:rsidR="00F41560" w:rsidRPr="008C1FEE">
        <w:rPr>
          <w:color w:val="000000" w:themeColor="text1"/>
          <w:szCs w:val="24"/>
        </w:rPr>
        <w:t xml:space="preserve"> tendonitis</w:t>
      </w:r>
      <w:r w:rsidR="00954E5B" w:rsidRPr="008C1FEE">
        <w:rPr>
          <w:color w:val="000000" w:themeColor="text1"/>
          <w:szCs w:val="24"/>
        </w:rPr>
        <w:t>,</w:t>
      </w:r>
      <w:r w:rsidR="00F41560" w:rsidRPr="008C1FEE">
        <w:rPr>
          <w:color w:val="000000" w:themeColor="text1"/>
          <w:szCs w:val="24"/>
        </w:rPr>
        <w:t xml:space="preserve"> bilateral foot fractures, dyspepsia, headache and alcohol abuse </w:t>
      </w:r>
      <w:r w:rsidR="00954E5B" w:rsidRPr="008C1FEE">
        <w:rPr>
          <w:color w:val="000000" w:themeColor="text1"/>
          <w:szCs w:val="24"/>
        </w:rPr>
        <w:t>as identified</w:t>
      </w:r>
      <w:r w:rsidR="00954E5B" w:rsidRPr="00F0064E">
        <w:rPr>
          <w:color w:val="000000" w:themeColor="text1"/>
          <w:szCs w:val="24"/>
        </w:rPr>
        <w:t xml:space="preserve"> in the rating chart below, were forwarded on the </w:t>
      </w:r>
      <w:r w:rsidR="00F41560">
        <w:rPr>
          <w:color w:val="000000" w:themeColor="text1"/>
          <w:szCs w:val="24"/>
        </w:rPr>
        <w:t xml:space="preserve">initial </w:t>
      </w:r>
      <w:r w:rsidR="00B04562" w:rsidRPr="00F0064E">
        <w:rPr>
          <w:color w:val="000000" w:themeColor="text1"/>
          <w:szCs w:val="24"/>
        </w:rPr>
        <w:t xml:space="preserve">MEB submission </w:t>
      </w:r>
      <w:r w:rsidR="00954E5B" w:rsidRPr="00F0064E">
        <w:rPr>
          <w:color w:val="000000" w:themeColor="text1"/>
          <w:szCs w:val="24"/>
        </w:rPr>
        <w:t>as medically acceptable conditions</w:t>
      </w:r>
      <w:r w:rsidR="00B04562" w:rsidRPr="00F0064E">
        <w:rPr>
          <w:color w:val="000000" w:themeColor="text1"/>
          <w:szCs w:val="24"/>
        </w:rPr>
        <w:t>.</w:t>
      </w:r>
      <w:r w:rsidR="00817595">
        <w:rPr>
          <w:color w:val="000000" w:themeColor="text1"/>
          <w:szCs w:val="24"/>
        </w:rPr>
        <w:t xml:space="preserve"> </w:t>
      </w:r>
      <w:r w:rsidR="00DA0704">
        <w:rPr>
          <w:color w:val="000000" w:themeColor="text1"/>
          <w:szCs w:val="24"/>
        </w:rPr>
        <w:t xml:space="preserve"> </w:t>
      </w:r>
      <w:r w:rsidR="00842BAA" w:rsidRPr="00300276">
        <w:rPr>
          <w:color w:val="000000" w:themeColor="text1"/>
          <w:szCs w:val="24"/>
        </w:rPr>
        <w:t xml:space="preserve">The </w:t>
      </w:r>
      <w:r w:rsidR="00582B9B">
        <w:rPr>
          <w:color w:val="000000" w:themeColor="text1"/>
          <w:szCs w:val="24"/>
        </w:rPr>
        <w:t xml:space="preserve">PEB </w:t>
      </w:r>
      <w:r w:rsidR="00842BAA" w:rsidRPr="00300276">
        <w:rPr>
          <w:color w:val="000000" w:themeColor="text1"/>
          <w:szCs w:val="24"/>
        </w:rPr>
        <w:t xml:space="preserve">adjudicated the </w:t>
      </w:r>
      <w:r w:rsidR="00F0064E" w:rsidRPr="00300276">
        <w:rPr>
          <w:color w:val="000000" w:themeColor="text1"/>
          <w:szCs w:val="24"/>
        </w:rPr>
        <w:t>lumbar, neck and PTSD c</w:t>
      </w:r>
      <w:r w:rsidR="00842BAA" w:rsidRPr="00300276">
        <w:rPr>
          <w:color w:val="000000" w:themeColor="text1"/>
          <w:szCs w:val="24"/>
        </w:rPr>
        <w:t>ondition</w:t>
      </w:r>
      <w:r w:rsidR="00F0064E" w:rsidRPr="00300276">
        <w:rPr>
          <w:color w:val="000000" w:themeColor="text1"/>
          <w:szCs w:val="24"/>
        </w:rPr>
        <w:t xml:space="preserve">s </w:t>
      </w:r>
      <w:r w:rsidR="00842BAA" w:rsidRPr="00300276">
        <w:rPr>
          <w:color w:val="000000" w:themeColor="text1"/>
          <w:szCs w:val="24"/>
        </w:rPr>
        <w:t xml:space="preserve">as unfitting, rated </w:t>
      </w:r>
      <w:r w:rsidR="00F0064E" w:rsidRPr="00300276">
        <w:rPr>
          <w:color w:val="000000" w:themeColor="text1"/>
          <w:szCs w:val="24"/>
        </w:rPr>
        <w:t xml:space="preserve">10%, 10% and 10% </w:t>
      </w:r>
      <w:r w:rsidR="00842BAA" w:rsidRPr="00300276">
        <w:rPr>
          <w:color w:val="000000" w:themeColor="text1"/>
          <w:szCs w:val="24"/>
        </w:rPr>
        <w:t>respectively</w:t>
      </w:r>
      <w:r w:rsidR="00530FF3">
        <w:rPr>
          <w:color w:val="000000" w:themeColor="text1"/>
          <w:szCs w:val="24"/>
        </w:rPr>
        <w:t xml:space="preserve">, </w:t>
      </w:r>
      <w:r w:rsidR="00817595">
        <w:rPr>
          <w:color w:val="000000" w:themeColor="text1"/>
          <w:szCs w:val="24"/>
        </w:rPr>
        <w:t xml:space="preserve">with application of the US Army </w:t>
      </w:r>
      <w:r w:rsidR="00842BAA" w:rsidRPr="00300276">
        <w:rPr>
          <w:color w:val="000000" w:themeColor="text1"/>
          <w:szCs w:val="24"/>
        </w:rPr>
        <w:t>Physical Disabil</w:t>
      </w:r>
      <w:r w:rsidR="00C71F27">
        <w:rPr>
          <w:color w:val="000000" w:themeColor="text1"/>
          <w:szCs w:val="24"/>
        </w:rPr>
        <w:t xml:space="preserve">ity Agency (USAPDA) pain policy, </w:t>
      </w:r>
      <w:proofErr w:type="spellStart"/>
      <w:r w:rsidR="00842BAA" w:rsidRPr="00300276">
        <w:rPr>
          <w:color w:val="000000" w:themeColor="text1"/>
          <w:szCs w:val="24"/>
        </w:rPr>
        <w:t>DoDI</w:t>
      </w:r>
      <w:proofErr w:type="spellEnd"/>
      <w:r w:rsidR="00842BAA" w:rsidRPr="00300276">
        <w:rPr>
          <w:color w:val="000000" w:themeColor="text1"/>
          <w:szCs w:val="24"/>
        </w:rPr>
        <w:t xml:space="preserve"> 1332.39</w:t>
      </w:r>
      <w:r w:rsidR="00530FF3">
        <w:rPr>
          <w:color w:val="000000" w:themeColor="text1"/>
          <w:szCs w:val="24"/>
        </w:rPr>
        <w:t>,</w:t>
      </w:r>
      <w:r w:rsidR="00842BAA" w:rsidRPr="00300276">
        <w:rPr>
          <w:color w:val="000000" w:themeColor="text1"/>
          <w:szCs w:val="24"/>
        </w:rPr>
        <w:t xml:space="preserve"> and Veterans Administration Schedule for Rating Disabilities (VASRD).</w:t>
      </w:r>
      <w:r w:rsidR="00DA0704">
        <w:rPr>
          <w:color w:val="000000" w:themeColor="text1"/>
          <w:szCs w:val="24"/>
        </w:rPr>
        <w:t xml:space="preserve"> </w:t>
      </w:r>
      <w:r w:rsidR="00817595">
        <w:rPr>
          <w:color w:val="000000" w:themeColor="text1"/>
          <w:szCs w:val="24"/>
        </w:rPr>
        <w:t xml:space="preserve"> In June 2005 he </w:t>
      </w:r>
      <w:r w:rsidR="008B04DB" w:rsidRPr="001F29F9">
        <w:rPr>
          <w:color w:val="000000" w:themeColor="text1"/>
          <w:szCs w:val="24"/>
        </w:rPr>
        <w:t xml:space="preserve">was placed on </w:t>
      </w:r>
      <w:r w:rsidR="00705C40" w:rsidRPr="001F29F9">
        <w:rPr>
          <w:color w:val="000000" w:themeColor="text1"/>
          <w:szCs w:val="24"/>
        </w:rPr>
        <w:t>Temporary Disability Retired List (</w:t>
      </w:r>
      <w:r w:rsidR="008B04DB" w:rsidRPr="001F29F9">
        <w:rPr>
          <w:color w:val="000000" w:themeColor="text1"/>
          <w:szCs w:val="24"/>
        </w:rPr>
        <w:t>TDRL</w:t>
      </w:r>
      <w:r w:rsidR="00705C40" w:rsidRPr="001F29F9">
        <w:rPr>
          <w:color w:val="000000" w:themeColor="text1"/>
          <w:szCs w:val="24"/>
        </w:rPr>
        <w:t>)</w:t>
      </w:r>
      <w:r w:rsidR="002F2981" w:rsidRPr="001F29F9">
        <w:rPr>
          <w:color w:val="000000" w:themeColor="text1"/>
          <w:szCs w:val="24"/>
        </w:rPr>
        <w:t xml:space="preserve"> </w:t>
      </w:r>
      <w:r w:rsidR="008B04DB" w:rsidRPr="001F29F9">
        <w:rPr>
          <w:color w:val="000000" w:themeColor="text1"/>
          <w:szCs w:val="24"/>
        </w:rPr>
        <w:t>with ratings as reflected in the chart below.</w:t>
      </w:r>
      <w:r w:rsidR="00DA0704">
        <w:rPr>
          <w:color w:val="000000" w:themeColor="text1"/>
          <w:szCs w:val="24"/>
        </w:rPr>
        <w:t xml:space="preserve"> </w:t>
      </w:r>
      <w:r w:rsidR="00530FF3">
        <w:rPr>
          <w:color w:val="000000" w:themeColor="text1"/>
          <w:szCs w:val="24"/>
        </w:rPr>
        <w:t xml:space="preserve"> </w:t>
      </w:r>
      <w:r w:rsidR="00817595" w:rsidRPr="00817595">
        <w:rPr>
          <w:color w:val="000000" w:themeColor="text1"/>
          <w:szCs w:val="24"/>
        </w:rPr>
        <w:t xml:space="preserve">After </w:t>
      </w:r>
      <w:r w:rsidR="00817595">
        <w:rPr>
          <w:color w:val="000000" w:themeColor="text1"/>
          <w:szCs w:val="24"/>
        </w:rPr>
        <w:t>two years on TDRL</w:t>
      </w:r>
      <w:r w:rsidR="00582B9B">
        <w:rPr>
          <w:color w:val="000000" w:themeColor="text1"/>
          <w:szCs w:val="24"/>
        </w:rPr>
        <w:t xml:space="preserve">, the </w:t>
      </w:r>
      <w:r w:rsidR="00C71F27">
        <w:rPr>
          <w:color w:val="000000" w:themeColor="text1"/>
          <w:szCs w:val="24"/>
        </w:rPr>
        <w:t>PEB found the CI’s PTSD condition no longer unfitting and adjudicated a permanent disability rating of 10% for low back pain and 10% for DDD with chronic neck pain.</w:t>
      </w:r>
      <w:r w:rsidR="00530FF3">
        <w:rPr>
          <w:color w:val="000000" w:themeColor="text1"/>
          <w:szCs w:val="24"/>
        </w:rPr>
        <w:t xml:space="preserve">  </w:t>
      </w:r>
      <w:r w:rsidR="00B20624" w:rsidRPr="001F29F9">
        <w:rPr>
          <w:color w:val="000000" w:themeColor="text1"/>
        </w:rPr>
        <w:t xml:space="preserve">The CI </w:t>
      </w:r>
      <w:r w:rsidR="00300276">
        <w:rPr>
          <w:color w:val="000000" w:themeColor="text1"/>
        </w:rPr>
        <w:t xml:space="preserve">failed to make an election </w:t>
      </w:r>
      <w:r w:rsidR="00817595">
        <w:rPr>
          <w:color w:val="000000" w:themeColor="text1"/>
        </w:rPr>
        <w:t xml:space="preserve">within the prescribed time limits </w:t>
      </w:r>
      <w:r w:rsidR="00582B9B">
        <w:rPr>
          <w:color w:val="000000" w:themeColor="text1"/>
        </w:rPr>
        <w:t xml:space="preserve">of the </w:t>
      </w:r>
      <w:r w:rsidR="00300276">
        <w:rPr>
          <w:color w:val="000000" w:themeColor="text1"/>
        </w:rPr>
        <w:t>P</w:t>
      </w:r>
      <w:r w:rsidR="00817595">
        <w:rPr>
          <w:color w:val="000000" w:themeColor="text1"/>
        </w:rPr>
        <w:t xml:space="preserve">EB findings </w:t>
      </w:r>
      <w:r w:rsidR="00B20624" w:rsidRPr="001F29F9">
        <w:rPr>
          <w:color w:val="000000" w:themeColor="text1"/>
        </w:rPr>
        <w:t xml:space="preserve">and was </w:t>
      </w:r>
      <w:r w:rsidR="00817595">
        <w:rPr>
          <w:color w:val="000000" w:themeColor="text1"/>
        </w:rPr>
        <w:t xml:space="preserve">then </w:t>
      </w:r>
      <w:r w:rsidR="00B20624" w:rsidRPr="001F29F9">
        <w:rPr>
          <w:color w:val="000000" w:themeColor="text1"/>
        </w:rPr>
        <w:t xml:space="preserve">medically separated with a </w:t>
      </w:r>
      <w:r w:rsidR="00300276">
        <w:rPr>
          <w:color w:val="000000" w:themeColor="text1"/>
        </w:rPr>
        <w:t>20</w:t>
      </w:r>
      <w:r w:rsidR="00B20624" w:rsidRPr="001F29F9">
        <w:rPr>
          <w:color w:val="000000" w:themeColor="text1"/>
        </w:rPr>
        <w:t>% combined disability rating.</w:t>
      </w:r>
    </w:p>
    <w:p w:rsidR="00C71F27" w:rsidRPr="001F29F9" w:rsidRDefault="00C71F27"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9D2DB9" w:rsidRDefault="002C6E5B" w:rsidP="009D2DB9">
      <w:pPr>
        <w:autoSpaceDE w:val="0"/>
        <w:autoSpaceDN w:val="0"/>
        <w:adjustRightInd w:val="0"/>
        <w:jc w:val="both"/>
        <w:rPr>
          <w:color w:val="000000" w:themeColor="text1"/>
        </w:rPr>
      </w:pPr>
      <w:r w:rsidRPr="001F29F9">
        <w:rPr>
          <w:color w:val="000000" w:themeColor="text1"/>
          <w:u w:val="single"/>
        </w:rPr>
        <w:t>CI CONTENTION</w:t>
      </w:r>
      <w:r w:rsidRPr="001F29F9">
        <w:rPr>
          <w:color w:val="000000" w:themeColor="text1"/>
        </w:rPr>
        <w:t>:</w:t>
      </w:r>
      <w:r w:rsidR="00F0064E">
        <w:rPr>
          <w:color w:val="000000" w:themeColor="text1"/>
        </w:rPr>
        <w:t xml:space="preserve">  </w:t>
      </w:r>
      <w:r w:rsidR="00F0064E" w:rsidRPr="00F0064E">
        <w:rPr>
          <w:rFonts w:asciiTheme="minorHAnsi" w:hAnsiTheme="minorHAnsi" w:cs="Arial"/>
          <w:color w:val="000000" w:themeColor="text1"/>
          <w:szCs w:val="24"/>
        </w:rPr>
        <w:t xml:space="preserve">I was assigned less than </w:t>
      </w:r>
      <w:r w:rsidR="00F0064E" w:rsidRPr="00F0064E">
        <w:rPr>
          <w:rFonts w:asciiTheme="minorHAnsi" w:hAnsiTheme="minorHAnsi" w:cs="Times New Roman"/>
          <w:color w:val="000000" w:themeColor="text1"/>
          <w:szCs w:val="24"/>
        </w:rPr>
        <w:t xml:space="preserve">50% </w:t>
      </w:r>
      <w:r w:rsidR="00F0064E" w:rsidRPr="00F0064E">
        <w:rPr>
          <w:rFonts w:asciiTheme="minorHAnsi" w:hAnsiTheme="minorHAnsi" w:cs="Arial"/>
          <w:color w:val="000000" w:themeColor="text1"/>
          <w:szCs w:val="24"/>
        </w:rPr>
        <w:t xml:space="preserve">disability rating by the military for my unfitting PTSD upon discharge from active duty. In accordance with </w:t>
      </w:r>
      <w:r w:rsidR="00F0064E" w:rsidRPr="00F0064E">
        <w:rPr>
          <w:rFonts w:asciiTheme="minorHAnsi" w:hAnsiTheme="minorHAnsi" w:cs="Times New Roman"/>
          <w:color w:val="000000" w:themeColor="text1"/>
          <w:szCs w:val="24"/>
        </w:rPr>
        <w:t xml:space="preserve">the </w:t>
      </w:r>
      <w:r w:rsidR="00F0064E" w:rsidRPr="00F0064E">
        <w:rPr>
          <w:rFonts w:asciiTheme="minorHAnsi" w:hAnsiTheme="minorHAnsi" w:cs="Arial"/>
          <w:color w:val="000000" w:themeColor="text1"/>
          <w:szCs w:val="24"/>
        </w:rPr>
        <w:t>class</w:t>
      </w:r>
      <w:r w:rsidR="00F0064E">
        <w:rPr>
          <w:rFonts w:asciiTheme="minorHAnsi" w:hAnsiTheme="minorHAnsi" w:cs="Arial"/>
          <w:color w:val="000000" w:themeColor="text1"/>
          <w:szCs w:val="24"/>
        </w:rPr>
        <w:t xml:space="preserve"> </w:t>
      </w:r>
      <w:r w:rsidR="00F0064E" w:rsidRPr="00F0064E">
        <w:rPr>
          <w:rFonts w:asciiTheme="minorHAnsi" w:hAnsiTheme="minorHAnsi" w:cs="Arial"/>
          <w:color w:val="000000" w:themeColor="text1"/>
          <w:szCs w:val="24"/>
        </w:rPr>
        <w:t>action no</w:t>
      </w:r>
      <w:r w:rsidR="00F0064E">
        <w:rPr>
          <w:rFonts w:asciiTheme="minorHAnsi" w:hAnsiTheme="minorHAnsi" w:cs="Arial"/>
          <w:color w:val="000000" w:themeColor="text1"/>
          <w:szCs w:val="24"/>
        </w:rPr>
        <w:t>t</w:t>
      </w:r>
      <w:r w:rsidR="00F0064E" w:rsidRPr="00F0064E">
        <w:rPr>
          <w:rFonts w:asciiTheme="minorHAnsi" w:hAnsiTheme="minorHAnsi" w:cs="Arial"/>
          <w:color w:val="000000" w:themeColor="text1"/>
          <w:szCs w:val="24"/>
        </w:rPr>
        <w:t>ice, assign the highes</w:t>
      </w:r>
      <w:r w:rsidR="00300276">
        <w:rPr>
          <w:rFonts w:asciiTheme="minorHAnsi" w:hAnsiTheme="minorHAnsi" w:cs="Arial"/>
          <w:color w:val="000000" w:themeColor="text1"/>
          <w:szCs w:val="24"/>
        </w:rPr>
        <w:t>t</w:t>
      </w:r>
      <w:r w:rsidR="00F0064E" w:rsidRPr="00F0064E">
        <w:rPr>
          <w:rFonts w:asciiTheme="minorHAnsi" w:hAnsiTheme="minorHAnsi" w:cs="Arial"/>
          <w:color w:val="000000" w:themeColor="text1"/>
          <w:szCs w:val="24"/>
        </w:rPr>
        <w:t xml:space="preserve"> final disability rating applicable consistent with </w:t>
      </w:r>
      <w:r w:rsidR="00F0064E" w:rsidRPr="00F0064E">
        <w:rPr>
          <w:rFonts w:asciiTheme="minorHAnsi" w:hAnsiTheme="minorHAnsi" w:cs="Times New Roman"/>
          <w:color w:val="000000" w:themeColor="text1"/>
          <w:szCs w:val="24"/>
        </w:rPr>
        <w:t xml:space="preserve">38 </w:t>
      </w:r>
      <w:r w:rsidR="00F0064E" w:rsidRPr="00F0064E">
        <w:rPr>
          <w:rFonts w:asciiTheme="minorHAnsi" w:hAnsiTheme="minorHAnsi" w:cs="Arial"/>
          <w:color w:val="000000" w:themeColor="text1"/>
          <w:szCs w:val="24"/>
        </w:rPr>
        <w:t xml:space="preserve">CFR </w:t>
      </w:r>
      <w:r w:rsidR="00F0064E" w:rsidRPr="00F0064E">
        <w:rPr>
          <w:rFonts w:asciiTheme="minorHAnsi" w:hAnsiTheme="minorHAnsi" w:cs="Times New Roman"/>
          <w:color w:val="000000" w:themeColor="text1"/>
          <w:szCs w:val="24"/>
        </w:rPr>
        <w:t xml:space="preserve">4.129 </w:t>
      </w:r>
      <w:r w:rsidR="00F0064E" w:rsidRPr="00F0064E">
        <w:rPr>
          <w:rFonts w:asciiTheme="minorHAnsi" w:hAnsiTheme="minorHAnsi" w:cs="Arial"/>
          <w:color w:val="000000" w:themeColor="text1"/>
          <w:szCs w:val="24"/>
        </w:rPr>
        <w:t xml:space="preserve">and </w:t>
      </w:r>
      <w:proofErr w:type="spellStart"/>
      <w:proofErr w:type="gramStart"/>
      <w:r w:rsidR="00F0064E" w:rsidRPr="00F0064E">
        <w:rPr>
          <w:rFonts w:asciiTheme="minorHAnsi" w:hAnsiTheme="minorHAnsi" w:cs="Arial"/>
          <w:color w:val="000000" w:themeColor="text1"/>
          <w:szCs w:val="24"/>
        </w:rPr>
        <w:t>DoD</w:t>
      </w:r>
      <w:proofErr w:type="spellEnd"/>
      <w:proofErr w:type="gramEnd"/>
      <w:r w:rsidR="00F0064E" w:rsidRPr="00F0064E">
        <w:rPr>
          <w:rFonts w:asciiTheme="minorHAnsi" w:hAnsiTheme="minorHAnsi" w:cs="Arial"/>
          <w:color w:val="000000" w:themeColor="text1"/>
          <w:szCs w:val="24"/>
        </w:rPr>
        <w:t xml:space="preserve"> policy, </w:t>
      </w:r>
      <w:r w:rsidR="00F0064E" w:rsidRPr="00F0064E">
        <w:rPr>
          <w:rFonts w:asciiTheme="minorHAnsi" w:hAnsiTheme="minorHAnsi" w:cs="Times New Roman"/>
          <w:color w:val="000000" w:themeColor="text1"/>
          <w:szCs w:val="24"/>
        </w:rPr>
        <w:t xml:space="preserve">to </w:t>
      </w:r>
      <w:r w:rsidR="00F0064E" w:rsidRPr="00F0064E">
        <w:rPr>
          <w:rFonts w:asciiTheme="minorHAnsi" w:hAnsiTheme="minorHAnsi" w:cs="Arial"/>
          <w:color w:val="000000" w:themeColor="text1"/>
          <w:szCs w:val="24"/>
        </w:rPr>
        <w:t xml:space="preserve">the extent </w:t>
      </w:r>
      <w:r w:rsidR="00F0064E" w:rsidRPr="00F0064E">
        <w:rPr>
          <w:rFonts w:asciiTheme="minorHAnsi" w:hAnsiTheme="minorHAnsi" w:cs="Times New Roman"/>
          <w:color w:val="000000" w:themeColor="text1"/>
          <w:szCs w:val="24"/>
        </w:rPr>
        <w:t xml:space="preserve">such </w:t>
      </w:r>
      <w:r w:rsidR="00F0064E" w:rsidRPr="00F0064E">
        <w:rPr>
          <w:rFonts w:asciiTheme="minorHAnsi" w:hAnsiTheme="minorHAnsi" w:cs="Arial"/>
          <w:color w:val="000000" w:themeColor="text1"/>
          <w:szCs w:val="24"/>
        </w:rPr>
        <w:t xml:space="preserve">increase </w:t>
      </w:r>
      <w:r w:rsidR="00F0064E" w:rsidRPr="00F0064E">
        <w:rPr>
          <w:rFonts w:asciiTheme="minorHAnsi" w:hAnsiTheme="minorHAnsi" w:cs="Times New Roman"/>
          <w:color w:val="000000" w:themeColor="text1"/>
          <w:szCs w:val="24"/>
        </w:rPr>
        <w:t xml:space="preserve">will </w:t>
      </w:r>
      <w:r w:rsidR="00F0064E">
        <w:rPr>
          <w:rFonts w:asciiTheme="minorHAnsi" w:hAnsiTheme="minorHAnsi" w:cs="Arial"/>
          <w:color w:val="000000" w:themeColor="text1"/>
          <w:szCs w:val="24"/>
        </w:rPr>
        <w:t xml:space="preserve">not </w:t>
      </w:r>
      <w:r w:rsidR="00F0064E" w:rsidRPr="00F0064E">
        <w:rPr>
          <w:rFonts w:asciiTheme="minorHAnsi" w:hAnsiTheme="minorHAnsi" w:cs="Arial"/>
          <w:color w:val="000000" w:themeColor="text1"/>
          <w:szCs w:val="24"/>
        </w:rPr>
        <w:t>adversely affect my total compensation, including but no</w:t>
      </w:r>
      <w:r w:rsidR="00F0064E">
        <w:rPr>
          <w:rFonts w:asciiTheme="minorHAnsi" w:hAnsiTheme="minorHAnsi" w:cs="Arial"/>
          <w:color w:val="000000" w:themeColor="text1"/>
          <w:szCs w:val="24"/>
        </w:rPr>
        <w:t>t</w:t>
      </w:r>
      <w:r w:rsidR="00F0064E" w:rsidRPr="00F0064E">
        <w:rPr>
          <w:rFonts w:asciiTheme="minorHAnsi" w:hAnsiTheme="minorHAnsi" w:cs="Arial"/>
          <w:color w:val="000000" w:themeColor="text1"/>
          <w:szCs w:val="24"/>
        </w:rPr>
        <w:t xml:space="preserve"> limited to compensation pursuant to CRSC.</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E57703" w:rsidRPr="001F29F9" w:rsidRDefault="00E57703" w:rsidP="00BF0E94">
      <w:pPr>
        <w:tabs>
          <w:tab w:val="left" w:pos="288"/>
          <w:tab w:val="left" w:pos="4752"/>
        </w:tabs>
        <w:jc w:val="both"/>
        <w:rPr>
          <w:b/>
          <w:color w:val="000000" w:themeColor="text1"/>
          <w:sz w:val="18"/>
          <w:szCs w:val="18"/>
          <w:u w:val="single"/>
        </w:rPr>
      </w:pPr>
    </w:p>
    <w:tbl>
      <w:tblPr>
        <w:tblStyle w:val="TableGrid"/>
        <w:tblpPr w:leftFromText="187" w:rightFromText="187" w:vertAnchor="text" w:tblpXSpec="center" w:tblpY="1"/>
        <w:tblOverlap w:val="never"/>
        <w:tblW w:w="9378" w:type="dxa"/>
        <w:jc w:val="center"/>
        <w:tblLayout w:type="fixed"/>
        <w:tblLook w:val="04A0"/>
      </w:tblPr>
      <w:tblGrid>
        <w:gridCol w:w="1818"/>
        <w:gridCol w:w="1080"/>
        <w:gridCol w:w="630"/>
        <w:gridCol w:w="900"/>
        <w:gridCol w:w="2160"/>
        <w:gridCol w:w="1080"/>
        <w:gridCol w:w="720"/>
        <w:gridCol w:w="990"/>
      </w:tblGrid>
      <w:tr w:rsidR="00BF70A6" w:rsidRPr="001F29F9" w:rsidTr="001F3754">
        <w:trPr>
          <w:trHeight w:val="233"/>
          <w:jc w:val="center"/>
        </w:trPr>
        <w:tc>
          <w:tcPr>
            <w:tcW w:w="4428" w:type="dxa"/>
            <w:gridSpan w:val="4"/>
            <w:tcBorders>
              <w:right w:val="thinThickThinSmallGap" w:sz="24" w:space="0" w:color="auto"/>
            </w:tcBorders>
            <w:shd w:val="clear" w:color="auto" w:fill="D9D9D9" w:themeFill="background1" w:themeFillShade="D9"/>
            <w:vAlign w:val="center"/>
          </w:tcPr>
          <w:p w:rsidR="00BF70A6" w:rsidRPr="001F29F9" w:rsidRDefault="00A57C35" w:rsidP="00F0064E">
            <w:pPr>
              <w:contextualSpacing/>
              <w:rPr>
                <w:rFonts w:ascii="Calibri" w:hAnsi="Calibri" w:cstheme="minorHAnsi"/>
                <w:b/>
                <w:color w:val="000000" w:themeColor="text1"/>
                <w:sz w:val="18"/>
                <w:szCs w:val="18"/>
              </w:rPr>
            </w:pPr>
            <w:r w:rsidRPr="001F29F9">
              <w:rPr>
                <w:b/>
                <w:color w:val="000000" w:themeColor="text1"/>
                <w:sz w:val="18"/>
                <w:szCs w:val="18"/>
              </w:rPr>
              <w:t>Final Service PEB – Dated 200</w:t>
            </w:r>
            <w:r w:rsidR="00A52694">
              <w:rPr>
                <w:b/>
                <w:color w:val="000000" w:themeColor="text1"/>
                <w:sz w:val="18"/>
                <w:szCs w:val="18"/>
              </w:rPr>
              <w:t>705</w:t>
            </w:r>
            <w:r w:rsidR="00F0064E">
              <w:rPr>
                <w:b/>
                <w:color w:val="000000" w:themeColor="text1"/>
                <w:sz w:val="18"/>
                <w:szCs w:val="18"/>
              </w:rPr>
              <w:t>1</w:t>
            </w:r>
            <w:r w:rsidR="00A52694">
              <w:rPr>
                <w:b/>
                <w:color w:val="000000" w:themeColor="text1"/>
                <w:sz w:val="18"/>
                <w:szCs w:val="18"/>
              </w:rPr>
              <w:t>0</w:t>
            </w:r>
          </w:p>
        </w:tc>
        <w:tc>
          <w:tcPr>
            <w:tcW w:w="4950" w:type="dxa"/>
            <w:gridSpan w:val="4"/>
            <w:tcBorders>
              <w:left w:val="thinThickThinSmallGap" w:sz="24" w:space="0" w:color="auto"/>
            </w:tcBorders>
            <w:shd w:val="clear" w:color="auto" w:fill="D9D9D9" w:themeFill="background1" w:themeFillShade="D9"/>
            <w:vAlign w:val="center"/>
          </w:tcPr>
          <w:p w:rsidR="00BF70A6" w:rsidRPr="001F29F9" w:rsidRDefault="00A57C35" w:rsidP="00E04A1A">
            <w:pPr>
              <w:contextualSpacing/>
              <w:rPr>
                <w:rFonts w:ascii="Calibri" w:hAnsi="Calibri" w:cstheme="minorHAnsi"/>
                <w:b/>
                <w:color w:val="000000" w:themeColor="text1"/>
                <w:sz w:val="18"/>
                <w:szCs w:val="18"/>
              </w:rPr>
            </w:pPr>
            <w:r w:rsidRPr="001F29F9">
              <w:rPr>
                <w:b/>
                <w:color w:val="000000" w:themeColor="text1"/>
                <w:sz w:val="18"/>
                <w:szCs w:val="18"/>
              </w:rPr>
              <w:t>VA* – All Effective Date 200</w:t>
            </w:r>
            <w:r w:rsidR="00E04A1A">
              <w:rPr>
                <w:b/>
                <w:color w:val="000000" w:themeColor="text1"/>
                <w:sz w:val="18"/>
                <w:szCs w:val="18"/>
              </w:rPr>
              <w:t>50911</w:t>
            </w:r>
          </w:p>
        </w:tc>
      </w:tr>
      <w:tr w:rsidR="008902BE" w:rsidRPr="001F29F9" w:rsidTr="003750C2">
        <w:trPr>
          <w:trHeight w:val="233"/>
          <w:jc w:val="center"/>
        </w:trPr>
        <w:tc>
          <w:tcPr>
            <w:tcW w:w="1818" w:type="dxa"/>
            <w:tcBorders>
              <w:bottom w:val="single" w:sz="4" w:space="0" w:color="000000" w:themeColor="text1"/>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Code</w:t>
            </w:r>
          </w:p>
        </w:tc>
        <w:tc>
          <w:tcPr>
            <w:tcW w:w="153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Rating</w:t>
            </w:r>
          </w:p>
        </w:tc>
        <w:tc>
          <w:tcPr>
            <w:tcW w:w="2160" w:type="dxa"/>
            <w:vMerge w:val="restart"/>
            <w:tcBorders>
              <w:left w:val="thinThickThinSmallGap" w:sz="24" w:space="0" w:color="auto"/>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Condition</w:t>
            </w:r>
          </w:p>
        </w:tc>
        <w:tc>
          <w:tcPr>
            <w:tcW w:w="1080" w:type="dxa"/>
            <w:vMerge w:val="restart"/>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Code</w:t>
            </w:r>
          </w:p>
        </w:tc>
        <w:tc>
          <w:tcPr>
            <w:tcW w:w="720" w:type="dxa"/>
            <w:vMerge w:val="restart"/>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Rating</w:t>
            </w:r>
          </w:p>
        </w:tc>
        <w:tc>
          <w:tcPr>
            <w:tcW w:w="990" w:type="dxa"/>
            <w:vMerge w:val="restart"/>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Exam</w:t>
            </w:r>
          </w:p>
        </w:tc>
      </w:tr>
      <w:tr w:rsidR="008902BE" w:rsidRPr="001F29F9" w:rsidTr="003750C2">
        <w:trPr>
          <w:trHeight w:val="152"/>
          <w:jc w:val="center"/>
        </w:trPr>
        <w:tc>
          <w:tcPr>
            <w:tcW w:w="1818" w:type="dxa"/>
            <w:shd w:val="clear" w:color="auto" w:fill="D9D9D9" w:themeFill="background1" w:themeFillShade="D9"/>
            <w:vAlign w:val="center"/>
          </w:tcPr>
          <w:p w:rsidR="008902BE" w:rsidRPr="001F29F9" w:rsidRDefault="00A57C35" w:rsidP="00F0064E">
            <w:pPr>
              <w:contextualSpacing/>
              <w:rPr>
                <w:rFonts w:ascii="Calibri" w:hAnsi="Calibri" w:cstheme="minorHAnsi"/>
                <w:b/>
                <w:color w:val="000000" w:themeColor="text1"/>
                <w:sz w:val="18"/>
                <w:szCs w:val="18"/>
              </w:rPr>
            </w:pPr>
            <w:r w:rsidRPr="001F29F9">
              <w:rPr>
                <w:b/>
                <w:color w:val="000000" w:themeColor="text1"/>
                <w:sz w:val="18"/>
                <w:szCs w:val="18"/>
              </w:rPr>
              <w:t>On TDRL – 200</w:t>
            </w:r>
            <w:r w:rsidR="00F0064E">
              <w:rPr>
                <w:b/>
                <w:color w:val="000000" w:themeColor="text1"/>
                <w:sz w:val="18"/>
                <w:szCs w:val="18"/>
              </w:rPr>
              <w:t>50911</w:t>
            </w:r>
          </w:p>
        </w:tc>
        <w:tc>
          <w:tcPr>
            <w:tcW w:w="1080" w:type="dxa"/>
            <w:shd w:val="clear" w:color="auto" w:fill="D9D9D9" w:themeFill="background1" w:themeFillShade="D9"/>
            <w:vAlign w:val="center"/>
          </w:tcPr>
          <w:p w:rsidR="008902BE" w:rsidRPr="001F29F9" w:rsidRDefault="008902BE" w:rsidP="00BF0E94">
            <w:pPr>
              <w:contextualSpacing/>
              <w:rPr>
                <w:rFonts w:ascii="Calibri" w:hAnsi="Calibri" w:cstheme="minorHAnsi"/>
                <w:b/>
                <w:color w:val="000000" w:themeColor="text1"/>
                <w:sz w:val="18"/>
                <w:szCs w:val="18"/>
              </w:rPr>
            </w:pPr>
          </w:p>
        </w:tc>
        <w:tc>
          <w:tcPr>
            <w:tcW w:w="630" w:type="dxa"/>
            <w:tcBorders>
              <w:right w:val="single" w:sz="4" w:space="0" w:color="auto"/>
            </w:tcBorders>
            <w:shd w:val="clear" w:color="auto" w:fill="D9D9D9" w:themeFill="background1" w:themeFillShade="D9"/>
            <w:vAlign w:val="center"/>
          </w:tcPr>
          <w:p w:rsidR="008902BE" w:rsidRPr="001F29F9" w:rsidRDefault="00A57C35" w:rsidP="00BF0E94">
            <w:pPr>
              <w:contextualSpacing/>
              <w:rPr>
                <w:rFonts w:ascii="Calibri" w:hAnsi="Calibri" w:cstheme="minorHAnsi"/>
                <w:b/>
                <w:color w:val="000000" w:themeColor="text1"/>
                <w:sz w:val="18"/>
                <w:szCs w:val="18"/>
              </w:rPr>
            </w:pPr>
            <w:r w:rsidRPr="001F29F9">
              <w:rPr>
                <w:b/>
                <w:color w:val="000000" w:themeColor="text1"/>
                <w:sz w:val="18"/>
                <w:szCs w:val="18"/>
              </w:rPr>
              <w:t>TDRL</w:t>
            </w:r>
          </w:p>
        </w:tc>
        <w:tc>
          <w:tcPr>
            <w:tcW w:w="900" w:type="dxa"/>
            <w:tcBorders>
              <w:left w:val="single" w:sz="4" w:space="0" w:color="auto"/>
              <w:right w:val="thinThickThinSmallGap" w:sz="24" w:space="0" w:color="auto"/>
            </w:tcBorders>
            <w:shd w:val="clear" w:color="auto" w:fill="D9D9D9" w:themeFill="background1" w:themeFillShade="D9"/>
            <w:vAlign w:val="center"/>
          </w:tcPr>
          <w:p w:rsidR="008902BE" w:rsidRPr="001F29F9" w:rsidRDefault="00A57C35" w:rsidP="00BF0E94">
            <w:pPr>
              <w:tabs>
                <w:tab w:val="left" w:pos="206"/>
                <w:tab w:val="center" w:pos="387"/>
              </w:tabs>
              <w:contextualSpacing/>
              <w:rPr>
                <w:rFonts w:ascii="Calibri" w:hAnsi="Calibri" w:cstheme="minorHAnsi"/>
                <w:b/>
                <w:color w:val="000000" w:themeColor="text1"/>
                <w:sz w:val="18"/>
                <w:szCs w:val="18"/>
              </w:rPr>
            </w:pPr>
            <w:r w:rsidRPr="001F29F9">
              <w:rPr>
                <w:b/>
                <w:color w:val="000000" w:themeColor="text1"/>
                <w:sz w:val="18"/>
                <w:szCs w:val="18"/>
              </w:rPr>
              <w:t>Sep.</w:t>
            </w:r>
          </w:p>
        </w:tc>
        <w:tc>
          <w:tcPr>
            <w:tcW w:w="2160" w:type="dxa"/>
            <w:vMerge/>
            <w:tcBorders>
              <w:left w:val="thinThickThinSmallGap" w:sz="24" w:space="0" w:color="auto"/>
            </w:tcBorders>
            <w:shd w:val="clear" w:color="auto" w:fill="D9D9D9" w:themeFill="background1" w:themeFillShade="D9"/>
            <w:vAlign w:val="center"/>
          </w:tcPr>
          <w:p w:rsidR="008902BE" w:rsidRPr="001F29F9" w:rsidRDefault="008902BE" w:rsidP="00BF0E94">
            <w:pPr>
              <w:contextualSpacing/>
              <w:rPr>
                <w:rFonts w:ascii="Calibri" w:hAnsi="Calibri" w:cstheme="minorHAnsi"/>
                <w:b/>
                <w:color w:val="000000" w:themeColor="text1"/>
                <w:sz w:val="18"/>
                <w:szCs w:val="18"/>
              </w:rPr>
            </w:pPr>
          </w:p>
        </w:tc>
        <w:tc>
          <w:tcPr>
            <w:tcW w:w="1080" w:type="dxa"/>
            <w:vMerge/>
            <w:shd w:val="clear" w:color="auto" w:fill="C6D9F1" w:themeFill="text2" w:themeFillTint="33"/>
          </w:tcPr>
          <w:p w:rsidR="008902BE" w:rsidRPr="001F29F9" w:rsidRDefault="008902BE" w:rsidP="00BF0E94">
            <w:pPr>
              <w:contextualSpacing/>
              <w:rPr>
                <w:rFonts w:ascii="Calibri" w:hAnsi="Calibri" w:cstheme="minorHAnsi"/>
                <w:b/>
                <w:color w:val="000000" w:themeColor="text1"/>
                <w:sz w:val="18"/>
                <w:szCs w:val="18"/>
              </w:rPr>
            </w:pPr>
          </w:p>
        </w:tc>
        <w:tc>
          <w:tcPr>
            <w:tcW w:w="720" w:type="dxa"/>
            <w:vMerge/>
            <w:shd w:val="clear" w:color="auto" w:fill="C6D9F1" w:themeFill="text2" w:themeFillTint="33"/>
          </w:tcPr>
          <w:p w:rsidR="008902BE" w:rsidRPr="001F29F9" w:rsidRDefault="008902BE" w:rsidP="00BF0E94">
            <w:pPr>
              <w:contextualSpacing/>
              <w:rPr>
                <w:rFonts w:ascii="Calibri" w:hAnsi="Calibri" w:cstheme="minorHAnsi"/>
                <w:b/>
                <w:color w:val="000000" w:themeColor="text1"/>
                <w:sz w:val="18"/>
                <w:szCs w:val="18"/>
              </w:rPr>
            </w:pPr>
          </w:p>
        </w:tc>
        <w:tc>
          <w:tcPr>
            <w:tcW w:w="990" w:type="dxa"/>
            <w:vMerge/>
            <w:shd w:val="clear" w:color="auto" w:fill="C6D9F1" w:themeFill="text2" w:themeFillTint="33"/>
          </w:tcPr>
          <w:p w:rsidR="008902BE" w:rsidRPr="001F29F9" w:rsidRDefault="008902BE" w:rsidP="00BF0E94">
            <w:pPr>
              <w:contextualSpacing/>
              <w:rPr>
                <w:rFonts w:ascii="Calibri" w:hAnsi="Calibri" w:cstheme="minorHAnsi"/>
                <w:b/>
                <w:color w:val="000000" w:themeColor="text1"/>
                <w:sz w:val="18"/>
                <w:szCs w:val="18"/>
              </w:rPr>
            </w:pPr>
          </w:p>
        </w:tc>
      </w:tr>
      <w:tr w:rsidR="000D2CFD" w:rsidRPr="001F29F9" w:rsidTr="003750C2">
        <w:trPr>
          <w:trHeight w:val="125"/>
          <w:jc w:val="center"/>
        </w:trPr>
        <w:tc>
          <w:tcPr>
            <w:tcW w:w="1818" w:type="dxa"/>
            <w:tcBorders>
              <w:right w:val="single" w:sz="4" w:space="0" w:color="auto"/>
            </w:tcBorders>
            <w:shd w:val="clear" w:color="auto" w:fill="FFFFFF" w:themeFill="background1"/>
          </w:tcPr>
          <w:p w:rsidR="00BC5860" w:rsidRPr="001F29F9" w:rsidRDefault="00DA0704" w:rsidP="00C82CC3">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Lumbar</w:t>
            </w:r>
            <w:r w:rsidR="00C82CC3">
              <w:rPr>
                <w:rFonts w:ascii="Calibri" w:hAnsi="Calibri" w:cstheme="minorHAnsi"/>
                <w:color w:val="000000" w:themeColor="text1"/>
                <w:sz w:val="18"/>
                <w:szCs w:val="18"/>
              </w:rPr>
              <w:t xml:space="preserve"> </w:t>
            </w:r>
            <w:r>
              <w:rPr>
                <w:rFonts w:ascii="Calibri" w:hAnsi="Calibri" w:cstheme="minorHAnsi"/>
                <w:color w:val="000000" w:themeColor="text1"/>
                <w:sz w:val="18"/>
                <w:szCs w:val="18"/>
              </w:rPr>
              <w:t>Fusion</w:t>
            </w:r>
            <w:r w:rsidR="00C82CC3">
              <w:rPr>
                <w:rFonts w:ascii="Calibri" w:hAnsi="Calibri" w:cstheme="minorHAnsi"/>
                <w:color w:val="000000" w:themeColor="text1"/>
                <w:sz w:val="18"/>
                <w:szCs w:val="18"/>
              </w:rPr>
              <w:t xml:space="preserve"> </w:t>
            </w:r>
            <w:r>
              <w:rPr>
                <w:rFonts w:ascii="Calibri" w:hAnsi="Calibri" w:cstheme="minorHAnsi"/>
                <w:color w:val="000000" w:themeColor="text1"/>
                <w:sz w:val="18"/>
                <w:szCs w:val="18"/>
              </w:rPr>
              <w:t xml:space="preserve">L4-5 </w:t>
            </w:r>
            <w:r w:rsidR="00F0064E">
              <w:rPr>
                <w:rFonts w:ascii="Calibri" w:hAnsi="Calibri" w:cstheme="minorHAnsi"/>
                <w:color w:val="000000" w:themeColor="text1"/>
                <w:sz w:val="18"/>
                <w:szCs w:val="18"/>
              </w:rPr>
              <w:t>Low Back Pain</w:t>
            </w:r>
          </w:p>
        </w:tc>
        <w:tc>
          <w:tcPr>
            <w:tcW w:w="1080" w:type="dxa"/>
            <w:tcBorders>
              <w:left w:val="single" w:sz="4" w:space="0" w:color="auto"/>
            </w:tcBorders>
            <w:shd w:val="clear" w:color="auto" w:fill="FFFFFF" w:themeFill="background1"/>
            <w:vAlign w:val="center"/>
          </w:tcPr>
          <w:p w:rsidR="00BC5860" w:rsidRPr="001F29F9" w:rsidRDefault="00F0064E" w:rsidP="00F0064E">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5241</w:t>
            </w:r>
          </w:p>
        </w:tc>
        <w:tc>
          <w:tcPr>
            <w:tcW w:w="630" w:type="dxa"/>
            <w:tcBorders>
              <w:right w:val="single" w:sz="4" w:space="0" w:color="auto"/>
            </w:tcBorders>
            <w:shd w:val="clear" w:color="auto" w:fill="FFFFFF" w:themeFill="background1"/>
            <w:vAlign w:val="center"/>
          </w:tcPr>
          <w:p w:rsidR="00BC5860" w:rsidRPr="001F29F9" w:rsidRDefault="00F0064E" w:rsidP="00F0064E">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p>
        </w:tc>
        <w:tc>
          <w:tcPr>
            <w:tcW w:w="900" w:type="dxa"/>
            <w:tcBorders>
              <w:left w:val="single" w:sz="4" w:space="0" w:color="auto"/>
              <w:right w:val="thinThickThinSmallGap" w:sz="24" w:space="0" w:color="auto"/>
            </w:tcBorders>
            <w:shd w:val="clear" w:color="auto" w:fill="FFFFFF" w:themeFill="background1"/>
            <w:vAlign w:val="center"/>
          </w:tcPr>
          <w:p w:rsidR="00BC5860" w:rsidRPr="001F29F9" w:rsidRDefault="00F0064E">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p>
        </w:tc>
        <w:tc>
          <w:tcPr>
            <w:tcW w:w="2160" w:type="dxa"/>
            <w:tcBorders>
              <w:left w:val="thinThickThinSmallGap" w:sz="24" w:space="0" w:color="auto"/>
            </w:tcBorders>
            <w:shd w:val="clear" w:color="auto" w:fill="FFFFFF" w:themeFill="background1"/>
          </w:tcPr>
          <w:p w:rsidR="00BC5860" w:rsidRPr="001F29F9" w:rsidRDefault="00E04A1A" w:rsidP="00E04A1A">
            <w:pPr>
              <w:spacing w:line="180" w:lineRule="exact"/>
              <w:contextualSpacing/>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Lumbar Spine DDD</w:t>
            </w:r>
          </w:p>
        </w:tc>
        <w:tc>
          <w:tcPr>
            <w:tcW w:w="1080" w:type="dxa"/>
            <w:shd w:val="clear" w:color="auto" w:fill="FFFFFF" w:themeFill="background1"/>
            <w:vAlign w:val="center"/>
          </w:tcPr>
          <w:p w:rsidR="00BC5860" w:rsidRPr="001F29F9" w:rsidRDefault="00E04A1A">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5243</w:t>
            </w:r>
          </w:p>
        </w:tc>
        <w:tc>
          <w:tcPr>
            <w:tcW w:w="720" w:type="dxa"/>
            <w:shd w:val="clear" w:color="auto" w:fill="FFFFFF" w:themeFill="background1"/>
            <w:vAlign w:val="center"/>
          </w:tcPr>
          <w:p w:rsidR="00BC5860" w:rsidRPr="001F29F9" w:rsidRDefault="00E04A1A" w:rsidP="00E04A1A">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40%</w:t>
            </w:r>
          </w:p>
        </w:tc>
        <w:tc>
          <w:tcPr>
            <w:tcW w:w="990" w:type="dxa"/>
            <w:shd w:val="clear" w:color="auto" w:fill="FFFFFF" w:themeFill="background1"/>
            <w:vAlign w:val="center"/>
          </w:tcPr>
          <w:p w:rsidR="00BC5860" w:rsidRPr="001F29F9" w:rsidRDefault="000D2CFD" w:rsidP="007274DE">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200</w:t>
            </w:r>
            <w:r w:rsidR="007274DE">
              <w:rPr>
                <w:rFonts w:ascii="Calibri" w:hAnsi="Calibri" w:cstheme="minorHAnsi"/>
                <w:color w:val="000000" w:themeColor="text1"/>
                <w:sz w:val="18"/>
                <w:szCs w:val="18"/>
              </w:rPr>
              <w:t>51115</w:t>
            </w:r>
          </w:p>
        </w:tc>
      </w:tr>
      <w:tr w:rsidR="000D2CFD" w:rsidRPr="001F29F9" w:rsidTr="003750C2">
        <w:trPr>
          <w:trHeight w:val="125"/>
          <w:jc w:val="center"/>
        </w:trPr>
        <w:tc>
          <w:tcPr>
            <w:tcW w:w="1818" w:type="dxa"/>
            <w:tcBorders>
              <w:right w:val="single" w:sz="4" w:space="0" w:color="auto"/>
            </w:tcBorders>
            <w:shd w:val="clear" w:color="auto" w:fill="FFFFFF" w:themeFill="background1"/>
          </w:tcPr>
          <w:p w:rsidR="00BC5860" w:rsidRPr="001F29F9" w:rsidRDefault="00F0064E">
            <w:pPr>
              <w:spacing w:line="180" w:lineRule="exact"/>
              <w:contextualSpacing/>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Neck Pain</w:t>
            </w:r>
          </w:p>
        </w:tc>
        <w:tc>
          <w:tcPr>
            <w:tcW w:w="1080" w:type="dxa"/>
            <w:tcBorders>
              <w:left w:val="single" w:sz="4" w:space="0" w:color="auto"/>
            </w:tcBorders>
            <w:shd w:val="clear" w:color="auto" w:fill="FFFFFF" w:themeFill="background1"/>
            <w:vAlign w:val="center"/>
          </w:tcPr>
          <w:p w:rsidR="00BC5860" w:rsidRPr="001F29F9" w:rsidRDefault="00F0064E" w:rsidP="00F0064E">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5299-5237</w:t>
            </w:r>
          </w:p>
        </w:tc>
        <w:tc>
          <w:tcPr>
            <w:tcW w:w="630" w:type="dxa"/>
            <w:tcBorders>
              <w:right w:val="single" w:sz="4" w:space="0" w:color="auto"/>
            </w:tcBorders>
            <w:shd w:val="clear" w:color="auto" w:fill="FFFFFF" w:themeFill="background1"/>
            <w:vAlign w:val="center"/>
          </w:tcPr>
          <w:p w:rsidR="00BC5860" w:rsidRPr="001F29F9" w:rsidRDefault="00F0064E" w:rsidP="00F0064E">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p>
        </w:tc>
        <w:tc>
          <w:tcPr>
            <w:tcW w:w="900" w:type="dxa"/>
            <w:tcBorders>
              <w:left w:val="single" w:sz="4" w:space="0" w:color="auto"/>
              <w:right w:val="thinThickThinSmallGap" w:sz="24" w:space="0" w:color="auto"/>
            </w:tcBorders>
            <w:shd w:val="clear" w:color="auto" w:fill="FFFFFF" w:themeFill="background1"/>
            <w:vAlign w:val="center"/>
          </w:tcPr>
          <w:p w:rsidR="00BC5860" w:rsidRPr="001F29F9" w:rsidRDefault="00F0064E">
            <w:pPr>
              <w:spacing w:line="180" w:lineRule="exac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p>
        </w:tc>
        <w:tc>
          <w:tcPr>
            <w:tcW w:w="2160" w:type="dxa"/>
            <w:tcBorders>
              <w:left w:val="thinThickThinSmallGap" w:sz="24" w:space="0" w:color="auto"/>
            </w:tcBorders>
            <w:shd w:val="clear" w:color="auto" w:fill="FFFFFF" w:themeFill="background1"/>
          </w:tcPr>
          <w:p w:rsidR="00BC5860" w:rsidRPr="001F29F9" w:rsidRDefault="00E04A1A" w:rsidP="00E04A1A">
            <w:pPr>
              <w:spacing w:line="180" w:lineRule="exact"/>
              <w:contextualSpacing/>
              <w:jc w:val="both"/>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 xml:space="preserve">Cervical Spine </w:t>
            </w:r>
            <w:proofErr w:type="spellStart"/>
            <w:r>
              <w:rPr>
                <w:rFonts w:ascii="Calibri" w:hAnsi="Calibri" w:cstheme="minorHAnsi"/>
                <w:color w:val="000000" w:themeColor="text1"/>
                <w:sz w:val="18"/>
                <w:szCs w:val="18"/>
              </w:rPr>
              <w:t>Spondylosis</w:t>
            </w:r>
            <w:proofErr w:type="spellEnd"/>
          </w:p>
        </w:tc>
        <w:tc>
          <w:tcPr>
            <w:tcW w:w="1080" w:type="dxa"/>
            <w:shd w:val="clear" w:color="auto" w:fill="FFFFFF" w:themeFill="background1"/>
            <w:vAlign w:val="center"/>
          </w:tcPr>
          <w:p w:rsidR="00BC5860" w:rsidRPr="001F29F9" w:rsidRDefault="00E04A1A">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5243</w:t>
            </w:r>
          </w:p>
        </w:tc>
        <w:tc>
          <w:tcPr>
            <w:tcW w:w="720" w:type="dxa"/>
            <w:shd w:val="clear" w:color="auto" w:fill="FFFFFF" w:themeFill="background1"/>
            <w:vAlign w:val="center"/>
          </w:tcPr>
          <w:p w:rsidR="00BC5860" w:rsidRPr="001F29F9" w:rsidRDefault="00E04A1A" w:rsidP="00E04A1A">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30%</w:t>
            </w:r>
          </w:p>
        </w:tc>
        <w:tc>
          <w:tcPr>
            <w:tcW w:w="990" w:type="dxa"/>
            <w:shd w:val="clear" w:color="auto" w:fill="FFFFFF" w:themeFill="background1"/>
            <w:vAlign w:val="center"/>
          </w:tcPr>
          <w:p w:rsidR="00BC5860" w:rsidRPr="001F29F9" w:rsidRDefault="000D2CFD" w:rsidP="007274DE">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200</w:t>
            </w:r>
            <w:r w:rsidR="007274DE">
              <w:rPr>
                <w:rFonts w:ascii="Calibri" w:hAnsi="Calibri" w:cstheme="minorHAnsi"/>
                <w:color w:val="000000" w:themeColor="text1"/>
                <w:sz w:val="18"/>
                <w:szCs w:val="18"/>
              </w:rPr>
              <w:t>51115</w:t>
            </w:r>
          </w:p>
        </w:tc>
      </w:tr>
      <w:tr w:rsidR="00F0064E" w:rsidRPr="001F29F9" w:rsidTr="003750C2">
        <w:trPr>
          <w:trHeight w:val="125"/>
          <w:jc w:val="center"/>
        </w:trPr>
        <w:tc>
          <w:tcPr>
            <w:tcW w:w="1818" w:type="dxa"/>
            <w:tcBorders>
              <w:right w:val="single" w:sz="4" w:space="0" w:color="auto"/>
            </w:tcBorders>
            <w:shd w:val="clear" w:color="auto" w:fill="FFFFFF" w:themeFill="background1"/>
          </w:tcPr>
          <w:p w:rsidR="00F0064E" w:rsidRPr="001F29F9" w:rsidRDefault="00F0064E">
            <w:pPr>
              <w:spacing w:line="180" w:lineRule="exact"/>
              <w:contextualSpacing/>
              <w:jc w:val="both"/>
              <w:rPr>
                <w:color w:val="000000" w:themeColor="text1"/>
                <w:sz w:val="18"/>
                <w:szCs w:val="18"/>
              </w:rPr>
            </w:pPr>
            <w:r>
              <w:rPr>
                <w:color w:val="000000" w:themeColor="text1"/>
                <w:sz w:val="18"/>
                <w:szCs w:val="18"/>
              </w:rPr>
              <w:t>PTSD</w:t>
            </w:r>
          </w:p>
        </w:tc>
        <w:tc>
          <w:tcPr>
            <w:tcW w:w="1080" w:type="dxa"/>
            <w:tcBorders>
              <w:left w:val="single" w:sz="4" w:space="0" w:color="auto"/>
            </w:tcBorders>
            <w:shd w:val="clear" w:color="auto" w:fill="FFFFFF" w:themeFill="background1"/>
            <w:vAlign w:val="center"/>
          </w:tcPr>
          <w:p w:rsidR="00F0064E" w:rsidRPr="001F29F9" w:rsidRDefault="00F0064E">
            <w:pPr>
              <w:spacing w:line="180" w:lineRule="exact"/>
              <w:contextualSpacing/>
              <w:rPr>
                <w:color w:val="000000" w:themeColor="text1"/>
                <w:sz w:val="18"/>
                <w:szCs w:val="18"/>
              </w:rPr>
            </w:pPr>
            <w:r>
              <w:rPr>
                <w:color w:val="000000" w:themeColor="text1"/>
                <w:sz w:val="18"/>
                <w:szCs w:val="18"/>
              </w:rPr>
              <w:t>9411</w:t>
            </w:r>
          </w:p>
        </w:tc>
        <w:tc>
          <w:tcPr>
            <w:tcW w:w="630" w:type="dxa"/>
            <w:tcBorders>
              <w:right w:val="single" w:sz="4" w:space="0" w:color="auto"/>
            </w:tcBorders>
            <w:shd w:val="clear" w:color="auto" w:fill="FFFFFF" w:themeFill="background1"/>
            <w:vAlign w:val="center"/>
          </w:tcPr>
          <w:p w:rsidR="00F0064E" w:rsidRDefault="00F0064E" w:rsidP="00F0064E">
            <w:pPr>
              <w:spacing w:line="180" w:lineRule="exact"/>
              <w:rPr>
                <w:color w:val="000000" w:themeColor="text1"/>
                <w:sz w:val="18"/>
                <w:szCs w:val="18"/>
              </w:rPr>
            </w:pPr>
            <w:r>
              <w:rPr>
                <w:color w:val="000000" w:themeColor="text1"/>
                <w:sz w:val="18"/>
                <w:szCs w:val="18"/>
              </w:rPr>
              <w:t>10%</w:t>
            </w:r>
          </w:p>
        </w:tc>
        <w:tc>
          <w:tcPr>
            <w:tcW w:w="900" w:type="dxa"/>
            <w:tcBorders>
              <w:left w:val="single" w:sz="4" w:space="0" w:color="auto"/>
              <w:right w:val="thinThickThinSmallGap" w:sz="24" w:space="0" w:color="auto"/>
            </w:tcBorders>
            <w:shd w:val="clear" w:color="auto" w:fill="FFFFFF" w:themeFill="background1"/>
            <w:vAlign w:val="center"/>
          </w:tcPr>
          <w:p w:rsidR="00F0064E" w:rsidRDefault="00E04A1A">
            <w:pPr>
              <w:spacing w:line="180" w:lineRule="exact"/>
              <w:rPr>
                <w:color w:val="000000" w:themeColor="text1"/>
                <w:sz w:val="18"/>
                <w:szCs w:val="18"/>
              </w:rPr>
            </w:pPr>
            <w:r>
              <w:rPr>
                <w:color w:val="000000" w:themeColor="text1"/>
                <w:sz w:val="18"/>
                <w:szCs w:val="18"/>
              </w:rPr>
              <w:t>Not unfit</w:t>
            </w:r>
          </w:p>
        </w:tc>
        <w:tc>
          <w:tcPr>
            <w:tcW w:w="2160" w:type="dxa"/>
            <w:tcBorders>
              <w:left w:val="thinThickThinSmallGap" w:sz="24" w:space="0" w:color="auto"/>
            </w:tcBorders>
            <w:shd w:val="clear" w:color="auto" w:fill="FFFFFF" w:themeFill="background1"/>
          </w:tcPr>
          <w:p w:rsidR="00F0064E" w:rsidRPr="00E843B3" w:rsidRDefault="00E843B3">
            <w:pPr>
              <w:spacing w:line="180" w:lineRule="exact"/>
              <w:contextualSpacing/>
              <w:jc w:val="both"/>
              <w:rPr>
                <w:rFonts w:ascii="Calibri" w:hAnsi="Calibri"/>
                <w:color w:val="000000" w:themeColor="text1"/>
                <w:sz w:val="18"/>
                <w:szCs w:val="18"/>
              </w:rPr>
            </w:pPr>
            <w:r w:rsidRPr="00E843B3">
              <w:rPr>
                <w:rFonts w:ascii="Calibri" w:hAnsi="Calibri"/>
                <w:color w:val="000000" w:themeColor="text1"/>
                <w:sz w:val="18"/>
                <w:szCs w:val="18"/>
              </w:rPr>
              <w:t>PTSD</w:t>
            </w:r>
          </w:p>
        </w:tc>
        <w:tc>
          <w:tcPr>
            <w:tcW w:w="1080" w:type="dxa"/>
            <w:shd w:val="clear" w:color="auto" w:fill="FFFFFF" w:themeFill="background1"/>
            <w:vAlign w:val="center"/>
          </w:tcPr>
          <w:p w:rsidR="00F0064E" w:rsidRPr="00E843B3" w:rsidRDefault="00E843B3">
            <w:pPr>
              <w:spacing w:line="180" w:lineRule="exact"/>
              <w:contextualSpacing/>
              <w:rPr>
                <w:rFonts w:ascii="Calibri" w:hAnsi="Calibri"/>
                <w:color w:val="000000" w:themeColor="text1"/>
                <w:sz w:val="18"/>
                <w:szCs w:val="18"/>
              </w:rPr>
            </w:pPr>
            <w:r w:rsidRPr="00E843B3">
              <w:rPr>
                <w:rFonts w:ascii="Calibri" w:hAnsi="Calibri"/>
                <w:color w:val="000000" w:themeColor="text1"/>
                <w:sz w:val="18"/>
                <w:szCs w:val="18"/>
              </w:rPr>
              <w:t>9411</w:t>
            </w:r>
          </w:p>
        </w:tc>
        <w:tc>
          <w:tcPr>
            <w:tcW w:w="720" w:type="dxa"/>
            <w:shd w:val="clear" w:color="auto" w:fill="FFFFFF" w:themeFill="background1"/>
            <w:vAlign w:val="center"/>
          </w:tcPr>
          <w:p w:rsidR="00F0064E" w:rsidRPr="00E843B3" w:rsidRDefault="00E843B3">
            <w:pPr>
              <w:spacing w:line="180" w:lineRule="exact"/>
              <w:contextualSpacing/>
              <w:rPr>
                <w:rFonts w:ascii="Calibri" w:hAnsi="Calibri"/>
                <w:color w:val="000000" w:themeColor="text1"/>
                <w:sz w:val="18"/>
                <w:szCs w:val="18"/>
              </w:rPr>
            </w:pPr>
            <w:r w:rsidRPr="00E843B3">
              <w:rPr>
                <w:rFonts w:ascii="Calibri" w:hAnsi="Calibri"/>
                <w:color w:val="000000" w:themeColor="text1"/>
                <w:sz w:val="18"/>
                <w:szCs w:val="18"/>
              </w:rPr>
              <w:t>30%</w:t>
            </w:r>
          </w:p>
        </w:tc>
        <w:tc>
          <w:tcPr>
            <w:tcW w:w="990" w:type="dxa"/>
            <w:shd w:val="clear" w:color="auto" w:fill="FFFFFF" w:themeFill="background1"/>
            <w:vAlign w:val="center"/>
          </w:tcPr>
          <w:p w:rsidR="00F0064E" w:rsidRPr="00E843B3" w:rsidRDefault="00E843B3">
            <w:pPr>
              <w:spacing w:line="180" w:lineRule="exact"/>
              <w:contextualSpacing/>
              <w:rPr>
                <w:rFonts w:ascii="Calibri" w:hAnsi="Calibri"/>
                <w:color w:val="000000" w:themeColor="text1"/>
                <w:sz w:val="18"/>
                <w:szCs w:val="18"/>
              </w:rPr>
            </w:pPr>
            <w:r w:rsidRPr="00E843B3">
              <w:rPr>
                <w:rFonts w:ascii="Calibri" w:hAnsi="Calibri"/>
                <w:color w:val="000000" w:themeColor="text1"/>
                <w:sz w:val="18"/>
                <w:szCs w:val="18"/>
              </w:rPr>
              <w:t>20051210</w:t>
            </w:r>
          </w:p>
        </w:tc>
      </w:tr>
      <w:tr w:rsidR="000E2E50" w:rsidRPr="001F29F9" w:rsidTr="003750C2">
        <w:trPr>
          <w:trHeight w:val="188"/>
          <w:jc w:val="center"/>
        </w:trPr>
        <w:tc>
          <w:tcPr>
            <w:tcW w:w="2898" w:type="dxa"/>
            <w:gridSpan w:val="2"/>
            <w:tcBorders>
              <w:right w:val="single" w:sz="4" w:space="0" w:color="auto"/>
            </w:tcBorders>
            <w:shd w:val="clear" w:color="auto" w:fill="FFFFFF" w:themeFill="background1"/>
          </w:tcPr>
          <w:p w:rsidR="00BC5860" w:rsidRPr="001F29F9" w:rsidRDefault="00300276" w:rsidP="009D2DB9">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R</w:t>
            </w:r>
            <w:r w:rsidR="009D2DB9">
              <w:rPr>
                <w:rFonts w:ascii="Calibri" w:hAnsi="Calibri" w:cstheme="minorHAnsi"/>
                <w:color w:val="000000" w:themeColor="text1"/>
                <w:sz w:val="18"/>
                <w:szCs w:val="18"/>
              </w:rPr>
              <w:t>ight</w:t>
            </w:r>
            <w:r>
              <w:rPr>
                <w:rFonts w:ascii="Calibri" w:hAnsi="Calibri" w:cstheme="minorHAnsi"/>
                <w:color w:val="000000" w:themeColor="text1"/>
                <w:sz w:val="18"/>
                <w:szCs w:val="18"/>
              </w:rPr>
              <w:t xml:space="preserve"> </w:t>
            </w:r>
            <w:proofErr w:type="spellStart"/>
            <w:r>
              <w:rPr>
                <w:rFonts w:ascii="Calibri" w:hAnsi="Calibri" w:cstheme="minorHAnsi"/>
                <w:color w:val="000000" w:themeColor="text1"/>
                <w:sz w:val="18"/>
                <w:szCs w:val="18"/>
              </w:rPr>
              <w:t>Supraspinatus</w:t>
            </w:r>
            <w:proofErr w:type="spellEnd"/>
            <w:r w:rsidR="009D2DB9">
              <w:rPr>
                <w:rFonts w:ascii="Calibri" w:hAnsi="Calibri" w:cstheme="minorHAnsi"/>
                <w:color w:val="000000" w:themeColor="text1"/>
                <w:sz w:val="18"/>
                <w:szCs w:val="18"/>
              </w:rPr>
              <w:t xml:space="preserve"> T</w:t>
            </w:r>
            <w:r>
              <w:rPr>
                <w:rFonts w:ascii="Calibri" w:hAnsi="Calibri" w:cstheme="minorHAnsi"/>
                <w:color w:val="000000" w:themeColor="text1"/>
                <w:sz w:val="18"/>
                <w:szCs w:val="18"/>
              </w:rPr>
              <w:t>endonitis</w:t>
            </w:r>
          </w:p>
        </w:tc>
        <w:tc>
          <w:tcPr>
            <w:tcW w:w="1530" w:type="dxa"/>
            <w:gridSpan w:val="2"/>
            <w:tcBorders>
              <w:right w:val="thinThickThinSmallGap" w:sz="24" w:space="0" w:color="auto"/>
            </w:tcBorders>
            <w:shd w:val="clear" w:color="auto" w:fill="FFFFFF" w:themeFill="background1"/>
          </w:tcPr>
          <w:p w:rsidR="00BC5860" w:rsidRPr="001F29F9" w:rsidRDefault="00394FF9" w:rsidP="00E04A1A">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Not Unfitting</w:t>
            </w:r>
          </w:p>
        </w:tc>
        <w:tc>
          <w:tcPr>
            <w:tcW w:w="2160" w:type="dxa"/>
            <w:tcBorders>
              <w:left w:val="thinThickThinSmallGap" w:sz="24" w:space="0" w:color="auto"/>
              <w:right w:val="single" w:sz="4" w:space="0" w:color="auto"/>
            </w:tcBorders>
            <w:shd w:val="clear" w:color="auto" w:fill="FFFFFF" w:themeFill="background1"/>
            <w:vAlign w:val="center"/>
          </w:tcPr>
          <w:p w:rsidR="00BC5860" w:rsidRPr="001F29F9" w:rsidRDefault="00E04A1A" w:rsidP="00E04A1A">
            <w:pPr>
              <w:spacing w:line="180" w:lineRule="exact"/>
              <w:contextualSpacing/>
              <w:jc w:val="left"/>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R</w:t>
            </w:r>
            <w:r w:rsidR="009D2DB9">
              <w:rPr>
                <w:rFonts w:ascii="Calibri" w:hAnsi="Calibri" w:cstheme="minorHAnsi"/>
                <w:color w:val="000000" w:themeColor="text1"/>
                <w:sz w:val="18"/>
                <w:szCs w:val="18"/>
              </w:rPr>
              <w:t>ight S</w:t>
            </w:r>
            <w:r>
              <w:rPr>
                <w:rFonts w:ascii="Calibri" w:hAnsi="Calibri" w:cstheme="minorHAnsi"/>
                <w:color w:val="000000" w:themeColor="text1"/>
                <w:sz w:val="18"/>
                <w:szCs w:val="18"/>
              </w:rPr>
              <w:t>houlder</w:t>
            </w:r>
          </w:p>
        </w:tc>
        <w:tc>
          <w:tcPr>
            <w:tcW w:w="1080" w:type="dxa"/>
            <w:tcBorders>
              <w:left w:val="single" w:sz="4" w:space="0" w:color="auto"/>
              <w:right w:val="single" w:sz="4" w:space="0" w:color="auto"/>
            </w:tcBorders>
            <w:shd w:val="clear" w:color="auto" w:fill="FFFFFF" w:themeFill="background1"/>
          </w:tcPr>
          <w:p w:rsidR="00BC5860" w:rsidRPr="001F29F9" w:rsidRDefault="00E04A1A">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5099-5019</w:t>
            </w:r>
          </w:p>
        </w:tc>
        <w:tc>
          <w:tcPr>
            <w:tcW w:w="720" w:type="dxa"/>
            <w:tcBorders>
              <w:left w:val="single" w:sz="4" w:space="0" w:color="auto"/>
            </w:tcBorders>
            <w:shd w:val="clear" w:color="auto" w:fill="FFFFFF" w:themeFill="background1"/>
          </w:tcPr>
          <w:p w:rsidR="00BC5860" w:rsidRPr="001F29F9" w:rsidRDefault="00E04A1A">
            <w:pPr>
              <w:spacing w:line="180" w:lineRule="exact"/>
              <w:contextualSpacing/>
              <w:rPr>
                <w:rFonts w:ascii="Calibri" w:eastAsia="Times New Roman" w:hAnsi="Calibri" w:cstheme="minorHAnsi"/>
                <w:color w:val="000000" w:themeColor="text1"/>
                <w:sz w:val="18"/>
                <w:szCs w:val="18"/>
              </w:rPr>
            </w:pPr>
            <w:r>
              <w:rPr>
                <w:rFonts w:ascii="Calibri" w:hAnsi="Calibri" w:cstheme="minorHAnsi"/>
                <w:color w:val="000000" w:themeColor="text1"/>
                <w:sz w:val="18"/>
                <w:szCs w:val="18"/>
              </w:rPr>
              <w:t>10%</w:t>
            </w:r>
          </w:p>
        </w:tc>
        <w:tc>
          <w:tcPr>
            <w:tcW w:w="990" w:type="dxa"/>
            <w:shd w:val="clear" w:color="auto" w:fill="FFFFFF" w:themeFill="background1"/>
            <w:vAlign w:val="center"/>
          </w:tcPr>
          <w:p w:rsidR="00BC5860" w:rsidRPr="001F29F9" w:rsidRDefault="00394FF9" w:rsidP="007274DE">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200</w:t>
            </w:r>
            <w:r w:rsidR="007274DE">
              <w:rPr>
                <w:rFonts w:ascii="Calibri" w:hAnsi="Calibri" w:cstheme="minorHAnsi"/>
                <w:color w:val="000000" w:themeColor="text1"/>
                <w:sz w:val="18"/>
                <w:szCs w:val="18"/>
              </w:rPr>
              <w:t>51126</w:t>
            </w:r>
          </w:p>
        </w:tc>
      </w:tr>
      <w:tr w:rsidR="00F0064E" w:rsidRPr="001F29F9" w:rsidTr="003750C2">
        <w:trPr>
          <w:trHeight w:val="188"/>
          <w:jc w:val="center"/>
        </w:trPr>
        <w:tc>
          <w:tcPr>
            <w:tcW w:w="2898" w:type="dxa"/>
            <w:gridSpan w:val="2"/>
            <w:tcBorders>
              <w:right w:val="single" w:sz="4" w:space="0" w:color="auto"/>
            </w:tcBorders>
            <w:shd w:val="clear" w:color="auto" w:fill="FFFFFF" w:themeFill="background1"/>
          </w:tcPr>
          <w:p w:rsidR="00F0064E" w:rsidRPr="001F29F9" w:rsidRDefault="00300276">
            <w:pPr>
              <w:spacing w:line="180" w:lineRule="exact"/>
              <w:contextualSpacing/>
              <w:jc w:val="both"/>
              <w:rPr>
                <w:color w:val="000000" w:themeColor="text1"/>
                <w:sz w:val="18"/>
                <w:szCs w:val="18"/>
              </w:rPr>
            </w:pPr>
            <w:r>
              <w:rPr>
                <w:color w:val="000000" w:themeColor="text1"/>
                <w:sz w:val="18"/>
                <w:szCs w:val="18"/>
              </w:rPr>
              <w:t xml:space="preserve">Bilateral </w:t>
            </w:r>
            <w:r w:rsidR="009D2DB9">
              <w:rPr>
                <w:color w:val="000000" w:themeColor="text1"/>
                <w:sz w:val="18"/>
                <w:szCs w:val="18"/>
              </w:rPr>
              <w:t>Foot Fractures</w:t>
            </w:r>
          </w:p>
        </w:tc>
        <w:tc>
          <w:tcPr>
            <w:tcW w:w="1530" w:type="dxa"/>
            <w:gridSpan w:val="2"/>
            <w:tcBorders>
              <w:right w:val="thinThickThinSmallGap" w:sz="24" w:space="0" w:color="auto"/>
            </w:tcBorders>
            <w:shd w:val="clear" w:color="auto" w:fill="FFFFFF" w:themeFill="background1"/>
          </w:tcPr>
          <w:p w:rsidR="00F0064E" w:rsidRPr="001F29F9" w:rsidRDefault="00300276" w:rsidP="00E04A1A">
            <w:pPr>
              <w:spacing w:line="180" w:lineRule="exact"/>
              <w:contextualSpacing/>
              <w:rPr>
                <w:color w:val="000000" w:themeColor="text1"/>
                <w:sz w:val="18"/>
                <w:szCs w:val="18"/>
              </w:rPr>
            </w:pPr>
            <w:r>
              <w:rPr>
                <w:color w:val="000000" w:themeColor="text1"/>
                <w:sz w:val="18"/>
                <w:szCs w:val="18"/>
              </w:rPr>
              <w:t>Not Unfitting</w:t>
            </w:r>
          </w:p>
        </w:tc>
        <w:tc>
          <w:tcPr>
            <w:tcW w:w="2160" w:type="dxa"/>
            <w:tcBorders>
              <w:left w:val="thinThickThinSmallGap" w:sz="24" w:space="0" w:color="auto"/>
              <w:right w:val="single" w:sz="4" w:space="0" w:color="auto"/>
            </w:tcBorders>
            <w:shd w:val="clear" w:color="auto" w:fill="FFFFFF" w:themeFill="background1"/>
            <w:vAlign w:val="center"/>
          </w:tcPr>
          <w:p w:rsidR="00F0064E" w:rsidRPr="001F29F9" w:rsidRDefault="00E843B3" w:rsidP="00A03A9E">
            <w:pPr>
              <w:spacing w:line="180" w:lineRule="exact"/>
              <w:contextualSpacing/>
              <w:jc w:val="left"/>
              <w:rPr>
                <w:color w:val="000000" w:themeColor="text1"/>
                <w:sz w:val="18"/>
                <w:szCs w:val="18"/>
              </w:rPr>
            </w:pPr>
            <w:r>
              <w:rPr>
                <w:color w:val="000000" w:themeColor="text1"/>
                <w:sz w:val="18"/>
                <w:szCs w:val="18"/>
              </w:rPr>
              <w:t>L</w:t>
            </w:r>
            <w:r w:rsidR="009D2DB9">
              <w:rPr>
                <w:color w:val="000000" w:themeColor="text1"/>
                <w:sz w:val="18"/>
                <w:szCs w:val="18"/>
              </w:rPr>
              <w:t>eft</w:t>
            </w:r>
            <w:r>
              <w:rPr>
                <w:color w:val="000000" w:themeColor="text1"/>
                <w:sz w:val="18"/>
                <w:szCs w:val="18"/>
              </w:rPr>
              <w:t xml:space="preserve"> Foot 5</w:t>
            </w:r>
            <w:r w:rsidRPr="00E843B3">
              <w:rPr>
                <w:color w:val="000000" w:themeColor="text1"/>
                <w:sz w:val="18"/>
                <w:szCs w:val="18"/>
                <w:vertAlign w:val="superscript"/>
              </w:rPr>
              <w:t>th</w:t>
            </w:r>
            <w:r w:rsidR="009D2DB9">
              <w:rPr>
                <w:color w:val="000000" w:themeColor="text1"/>
                <w:sz w:val="18"/>
                <w:szCs w:val="18"/>
              </w:rPr>
              <w:t xml:space="preserve"> Metatarsal </w:t>
            </w:r>
            <w:proofErr w:type="spellStart"/>
            <w:r w:rsidR="009D2DB9">
              <w:rPr>
                <w:color w:val="000000" w:themeColor="text1"/>
                <w:sz w:val="18"/>
                <w:szCs w:val="18"/>
              </w:rPr>
              <w:t>F</w:t>
            </w:r>
            <w:r>
              <w:rPr>
                <w:color w:val="000000" w:themeColor="text1"/>
                <w:sz w:val="18"/>
                <w:szCs w:val="18"/>
              </w:rPr>
              <w:t>x</w:t>
            </w:r>
            <w:proofErr w:type="spellEnd"/>
          </w:p>
        </w:tc>
        <w:tc>
          <w:tcPr>
            <w:tcW w:w="1080" w:type="dxa"/>
            <w:tcBorders>
              <w:left w:val="single" w:sz="4" w:space="0" w:color="auto"/>
              <w:right w:val="single" w:sz="4" w:space="0" w:color="auto"/>
            </w:tcBorders>
            <w:shd w:val="clear" w:color="auto" w:fill="FFFFFF" w:themeFill="background1"/>
          </w:tcPr>
          <w:p w:rsidR="00F0064E" w:rsidRPr="001F29F9" w:rsidRDefault="00E843B3">
            <w:pPr>
              <w:spacing w:line="180" w:lineRule="exact"/>
              <w:contextualSpacing/>
              <w:rPr>
                <w:color w:val="000000" w:themeColor="text1"/>
                <w:sz w:val="18"/>
                <w:szCs w:val="18"/>
              </w:rPr>
            </w:pPr>
            <w:r>
              <w:rPr>
                <w:color w:val="000000" w:themeColor="text1"/>
                <w:sz w:val="18"/>
                <w:szCs w:val="18"/>
              </w:rPr>
              <w:t>5299-5284</w:t>
            </w:r>
          </w:p>
        </w:tc>
        <w:tc>
          <w:tcPr>
            <w:tcW w:w="720" w:type="dxa"/>
            <w:tcBorders>
              <w:left w:val="single" w:sz="4" w:space="0" w:color="auto"/>
            </w:tcBorders>
            <w:shd w:val="clear" w:color="auto" w:fill="FFFFFF" w:themeFill="background1"/>
          </w:tcPr>
          <w:p w:rsidR="00F0064E" w:rsidRPr="001F29F9" w:rsidRDefault="00E843B3">
            <w:pPr>
              <w:spacing w:line="180" w:lineRule="exact"/>
              <w:contextualSpacing/>
              <w:rPr>
                <w:color w:val="000000" w:themeColor="text1"/>
                <w:sz w:val="18"/>
                <w:szCs w:val="18"/>
              </w:rPr>
            </w:pPr>
            <w:r>
              <w:rPr>
                <w:color w:val="000000" w:themeColor="text1"/>
                <w:sz w:val="18"/>
                <w:szCs w:val="18"/>
              </w:rPr>
              <w:t>0%</w:t>
            </w:r>
          </w:p>
        </w:tc>
        <w:tc>
          <w:tcPr>
            <w:tcW w:w="990" w:type="dxa"/>
            <w:shd w:val="clear" w:color="auto" w:fill="FFFFFF" w:themeFill="background1"/>
            <w:vAlign w:val="center"/>
          </w:tcPr>
          <w:p w:rsidR="00F0064E" w:rsidRPr="001F29F9" w:rsidRDefault="007274DE">
            <w:pPr>
              <w:spacing w:line="180" w:lineRule="exact"/>
              <w:contextualSpacing/>
              <w:rPr>
                <w:color w:val="000000" w:themeColor="text1"/>
                <w:sz w:val="18"/>
                <w:szCs w:val="18"/>
              </w:rPr>
            </w:pPr>
            <w:r>
              <w:rPr>
                <w:color w:val="000000" w:themeColor="text1"/>
                <w:sz w:val="18"/>
                <w:szCs w:val="18"/>
              </w:rPr>
              <w:t>STR</w:t>
            </w:r>
          </w:p>
        </w:tc>
      </w:tr>
      <w:tr w:rsidR="00F0064E" w:rsidRPr="001F29F9" w:rsidTr="003750C2">
        <w:trPr>
          <w:trHeight w:val="188"/>
          <w:jc w:val="center"/>
        </w:trPr>
        <w:tc>
          <w:tcPr>
            <w:tcW w:w="2898" w:type="dxa"/>
            <w:gridSpan w:val="2"/>
            <w:tcBorders>
              <w:right w:val="single" w:sz="4" w:space="0" w:color="auto"/>
            </w:tcBorders>
            <w:shd w:val="clear" w:color="auto" w:fill="FFFFFF" w:themeFill="background1"/>
          </w:tcPr>
          <w:p w:rsidR="00F0064E" w:rsidRPr="001F29F9" w:rsidRDefault="00E04A1A">
            <w:pPr>
              <w:spacing w:line="180" w:lineRule="exact"/>
              <w:contextualSpacing/>
              <w:jc w:val="both"/>
              <w:rPr>
                <w:color w:val="000000" w:themeColor="text1"/>
                <w:sz w:val="18"/>
                <w:szCs w:val="18"/>
              </w:rPr>
            </w:pPr>
            <w:r>
              <w:rPr>
                <w:color w:val="000000" w:themeColor="text1"/>
                <w:sz w:val="18"/>
                <w:szCs w:val="18"/>
              </w:rPr>
              <w:t>Dyspepsia</w:t>
            </w:r>
          </w:p>
        </w:tc>
        <w:tc>
          <w:tcPr>
            <w:tcW w:w="1530" w:type="dxa"/>
            <w:gridSpan w:val="2"/>
            <w:tcBorders>
              <w:right w:val="thinThickThinSmallGap" w:sz="24" w:space="0" w:color="auto"/>
            </w:tcBorders>
            <w:shd w:val="clear" w:color="auto" w:fill="FFFFFF" w:themeFill="background1"/>
          </w:tcPr>
          <w:p w:rsidR="00F0064E" w:rsidRPr="001F29F9" w:rsidRDefault="00E04A1A" w:rsidP="00E04A1A">
            <w:pPr>
              <w:spacing w:line="180" w:lineRule="exact"/>
              <w:contextualSpacing/>
              <w:rPr>
                <w:color w:val="000000" w:themeColor="text1"/>
                <w:sz w:val="18"/>
                <w:szCs w:val="18"/>
              </w:rPr>
            </w:pPr>
            <w:r>
              <w:rPr>
                <w:color w:val="000000" w:themeColor="text1"/>
                <w:sz w:val="18"/>
                <w:szCs w:val="18"/>
              </w:rPr>
              <w:t>Not Unfitting</w:t>
            </w:r>
          </w:p>
        </w:tc>
        <w:tc>
          <w:tcPr>
            <w:tcW w:w="2160" w:type="dxa"/>
            <w:tcBorders>
              <w:left w:val="thinThickThinSmallGap" w:sz="24" w:space="0" w:color="auto"/>
              <w:right w:val="single" w:sz="4" w:space="0" w:color="auto"/>
            </w:tcBorders>
            <w:shd w:val="clear" w:color="auto" w:fill="FFFFFF" w:themeFill="background1"/>
            <w:vAlign w:val="center"/>
          </w:tcPr>
          <w:p w:rsidR="00F0064E" w:rsidRPr="001F29F9" w:rsidRDefault="00F0064E" w:rsidP="00A03A9E">
            <w:pPr>
              <w:spacing w:line="180" w:lineRule="exact"/>
              <w:contextualSpacing/>
              <w:jc w:val="left"/>
              <w:rPr>
                <w:color w:val="000000" w:themeColor="text1"/>
                <w:sz w:val="18"/>
                <w:szCs w:val="18"/>
              </w:rPr>
            </w:pPr>
          </w:p>
        </w:tc>
        <w:tc>
          <w:tcPr>
            <w:tcW w:w="1080" w:type="dxa"/>
            <w:tcBorders>
              <w:left w:val="single" w:sz="4" w:space="0" w:color="auto"/>
              <w:right w:val="single" w:sz="4" w:space="0" w:color="auto"/>
            </w:tcBorders>
            <w:shd w:val="clear" w:color="auto" w:fill="FFFFFF" w:themeFill="background1"/>
          </w:tcPr>
          <w:p w:rsidR="00F0064E" w:rsidRPr="001F29F9" w:rsidRDefault="00F0064E">
            <w:pPr>
              <w:spacing w:line="180" w:lineRule="exact"/>
              <w:contextualSpacing/>
              <w:rPr>
                <w:color w:val="000000" w:themeColor="text1"/>
                <w:sz w:val="18"/>
                <w:szCs w:val="18"/>
              </w:rPr>
            </w:pPr>
          </w:p>
        </w:tc>
        <w:tc>
          <w:tcPr>
            <w:tcW w:w="720" w:type="dxa"/>
            <w:tcBorders>
              <w:left w:val="single" w:sz="4" w:space="0" w:color="auto"/>
            </w:tcBorders>
            <w:shd w:val="clear" w:color="auto" w:fill="FFFFFF" w:themeFill="background1"/>
          </w:tcPr>
          <w:p w:rsidR="00F0064E" w:rsidRPr="001F29F9" w:rsidRDefault="00F0064E">
            <w:pPr>
              <w:spacing w:line="180" w:lineRule="exact"/>
              <w:contextualSpacing/>
              <w:rPr>
                <w:color w:val="000000" w:themeColor="text1"/>
                <w:sz w:val="18"/>
                <w:szCs w:val="18"/>
              </w:rPr>
            </w:pPr>
          </w:p>
        </w:tc>
        <w:tc>
          <w:tcPr>
            <w:tcW w:w="990" w:type="dxa"/>
            <w:shd w:val="clear" w:color="auto" w:fill="FFFFFF" w:themeFill="background1"/>
            <w:vAlign w:val="center"/>
          </w:tcPr>
          <w:p w:rsidR="00F0064E" w:rsidRPr="001F29F9" w:rsidRDefault="00F0064E">
            <w:pPr>
              <w:spacing w:line="180" w:lineRule="exact"/>
              <w:contextualSpacing/>
              <w:rPr>
                <w:color w:val="000000" w:themeColor="text1"/>
                <w:sz w:val="18"/>
                <w:szCs w:val="18"/>
              </w:rPr>
            </w:pPr>
          </w:p>
        </w:tc>
      </w:tr>
      <w:tr w:rsidR="00E843B3" w:rsidRPr="001F29F9" w:rsidTr="003750C2">
        <w:trPr>
          <w:trHeight w:val="188"/>
          <w:jc w:val="center"/>
        </w:trPr>
        <w:tc>
          <w:tcPr>
            <w:tcW w:w="2898" w:type="dxa"/>
            <w:gridSpan w:val="2"/>
            <w:tcBorders>
              <w:right w:val="single" w:sz="4" w:space="0" w:color="auto"/>
            </w:tcBorders>
            <w:shd w:val="clear" w:color="auto" w:fill="FFFFFF" w:themeFill="background1"/>
          </w:tcPr>
          <w:p w:rsidR="00E843B3" w:rsidRDefault="00E843B3">
            <w:pPr>
              <w:spacing w:line="180" w:lineRule="exact"/>
              <w:contextualSpacing/>
              <w:jc w:val="both"/>
              <w:rPr>
                <w:color w:val="000000" w:themeColor="text1"/>
                <w:sz w:val="18"/>
                <w:szCs w:val="18"/>
              </w:rPr>
            </w:pPr>
            <w:r>
              <w:rPr>
                <w:rFonts w:ascii="Calibri" w:hAnsi="Calibri" w:cstheme="minorHAnsi"/>
                <w:color w:val="000000" w:themeColor="text1"/>
                <w:sz w:val="18"/>
                <w:szCs w:val="18"/>
              </w:rPr>
              <w:t>Headaches</w:t>
            </w:r>
          </w:p>
        </w:tc>
        <w:tc>
          <w:tcPr>
            <w:tcW w:w="1530" w:type="dxa"/>
            <w:gridSpan w:val="2"/>
            <w:tcBorders>
              <w:right w:val="thinThickThinSmallGap" w:sz="24" w:space="0" w:color="auto"/>
            </w:tcBorders>
            <w:shd w:val="clear" w:color="auto" w:fill="FFFFFF" w:themeFill="background1"/>
          </w:tcPr>
          <w:p w:rsidR="00E843B3" w:rsidRDefault="00E843B3" w:rsidP="00E04A1A">
            <w:pPr>
              <w:spacing w:line="180" w:lineRule="exact"/>
              <w:contextualSpacing/>
              <w:rPr>
                <w:color w:val="000000" w:themeColor="text1"/>
                <w:sz w:val="18"/>
                <w:szCs w:val="18"/>
              </w:rPr>
            </w:pPr>
            <w:r w:rsidRPr="001F29F9">
              <w:rPr>
                <w:rFonts w:ascii="Calibri" w:hAnsi="Calibri" w:cstheme="minorHAnsi"/>
                <w:color w:val="000000" w:themeColor="text1"/>
                <w:sz w:val="18"/>
                <w:szCs w:val="18"/>
              </w:rPr>
              <w:t>Not Unfitting</w:t>
            </w:r>
          </w:p>
        </w:tc>
        <w:tc>
          <w:tcPr>
            <w:tcW w:w="2160" w:type="dxa"/>
            <w:tcBorders>
              <w:left w:val="thinThickThinSmallGap" w:sz="24" w:space="0" w:color="auto"/>
              <w:right w:val="single" w:sz="4" w:space="0" w:color="auto"/>
            </w:tcBorders>
            <w:shd w:val="clear" w:color="auto" w:fill="FFFFFF" w:themeFill="background1"/>
            <w:vAlign w:val="center"/>
          </w:tcPr>
          <w:p w:rsidR="00E843B3" w:rsidRPr="001F29F9" w:rsidRDefault="00E843B3" w:rsidP="00A03A9E">
            <w:pPr>
              <w:spacing w:line="180" w:lineRule="exact"/>
              <w:contextualSpacing/>
              <w:jc w:val="left"/>
              <w:rPr>
                <w:color w:val="000000" w:themeColor="text1"/>
                <w:sz w:val="18"/>
                <w:szCs w:val="18"/>
              </w:rPr>
            </w:pPr>
            <w:r>
              <w:rPr>
                <w:color w:val="000000" w:themeColor="text1"/>
                <w:sz w:val="18"/>
                <w:szCs w:val="18"/>
              </w:rPr>
              <w:t>Headaches</w:t>
            </w:r>
          </w:p>
        </w:tc>
        <w:tc>
          <w:tcPr>
            <w:tcW w:w="1080" w:type="dxa"/>
            <w:tcBorders>
              <w:left w:val="single" w:sz="4" w:space="0" w:color="auto"/>
              <w:right w:val="single" w:sz="4" w:space="0" w:color="auto"/>
            </w:tcBorders>
            <w:shd w:val="clear" w:color="auto" w:fill="FFFFFF" w:themeFill="background1"/>
          </w:tcPr>
          <w:p w:rsidR="00E843B3" w:rsidRPr="001F29F9" w:rsidRDefault="00E843B3">
            <w:pPr>
              <w:spacing w:line="180" w:lineRule="exact"/>
              <w:contextualSpacing/>
              <w:rPr>
                <w:color w:val="000000" w:themeColor="text1"/>
                <w:sz w:val="18"/>
                <w:szCs w:val="18"/>
              </w:rPr>
            </w:pPr>
            <w:r>
              <w:rPr>
                <w:color w:val="000000" w:themeColor="text1"/>
                <w:sz w:val="18"/>
                <w:szCs w:val="18"/>
              </w:rPr>
              <w:t>8100</w:t>
            </w:r>
          </w:p>
        </w:tc>
        <w:tc>
          <w:tcPr>
            <w:tcW w:w="720" w:type="dxa"/>
            <w:tcBorders>
              <w:left w:val="single" w:sz="4" w:space="0" w:color="auto"/>
            </w:tcBorders>
            <w:shd w:val="clear" w:color="auto" w:fill="FFFFFF" w:themeFill="background1"/>
          </w:tcPr>
          <w:p w:rsidR="00E843B3" w:rsidRPr="001F29F9" w:rsidRDefault="00E843B3">
            <w:pPr>
              <w:spacing w:line="180" w:lineRule="exact"/>
              <w:contextualSpacing/>
              <w:rPr>
                <w:color w:val="000000" w:themeColor="text1"/>
                <w:sz w:val="18"/>
                <w:szCs w:val="18"/>
              </w:rPr>
            </w:pPr>
            <w:r>
              <w:rPr>
                <w:color w:val="000000" w:themeColor="text1"/>
                <w:sz w:val="18"/>
                <w:szCs w:val="18"/>
              </w:rPr>
              <w:t>NSC</w:t>
            </w:r>
          </w:p>
        </w:tc>
        <w:tc>
          <w:tcPr>
            <w:tcW w:w="990" w:type="dxa"/>
            <w:shd w:val="clear" w:color="auto" w:fill="FFFFFF" w:themeFill="background1"/>
            <w:vAlign w:val="center"/>
          </w:tcPr>
          <w:p w:rsidR="00E843B3" w:rsidRPr="001F29F9" w:rsidRDefault="005F5C5C">
            <w:pPr>
              <w:spacing w:line="180" w:lineRule="exact"/>
              <w:contextualSpacing/>
              <w:rPr>
                <w:color w:val="000000" w:themeColor="text1"/>
                <w:sz w:val="18"/>
                <w:szCs w:val="18"/>
              </w:rPr>
            </w:pPr>
            <w:r>
              <w:rPr>
                <w:color w:val="000000" w:themeColor="text1"/>
                <w:sz w:val="18"/>
                <w:szCs w:val="18"/>
              </w:rPr>
              <w:t>STR</w:t>
            </w:r>
          </w:p>
        </w:tc>
      </w:tr>
      <w:tr w:rsidR="000E2E50" w:rsidRPr="001F29F9" w:rsidTr="003750C2">
        <w:trPr>
          <w:trHeight w:val="188"/>
          <w:jc w:val="center"/>
        </w:trPr>
        <w:tc>
          <w:tcPr>
            <w:tcW w:w="4428" w:type="dxa"/>
            <w:gridSpan w:val="4"/>
            <w:vMerge w:val="restart"/>
            <w:tcBorders>
              <w:right w:val="thinThickThinSmallGap" w:sz="24" w:space="0" w:color="auto"/>
            </w:tcBorders>
            <w:shd w:val="clear" w:color="auto" w:fill="FFFFFF" w:themeFill="background1"/>
            <w:vAlign w:val="center"/>
          </w:tcPr>
          <w:p w:rsidR="00BC5860" w:rsidRPr="001F29F9" w:rsidRDefault="006D4250">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↓No Additional MEB</w:t>
            </w:r>
            <w:r w:rsidR="00FB4484" w:rsidRPr="001F29F9">
              <w:rPr>
                <w:rFonts w:ascii="Calibri" w:hAnsi="Calibri" w:cstheme="minorHAnsi"/>
                <w:color w:val="000000" w:themeColor="text1"/>
                <w:sz w:val="18"/>
                <w:szCs w:val="18"/>
              </w:rPr>
              <w:t>/PEB</w:t>
            </w:r>
            <w:r w:rsidRPr="001F29F9">
              <w:rPr>
                <w:rFonts w:ascii="Calibri" w:hAnsi="Calibri" w:cstheme="minorHAnsi"/>
                <w:color w:val="000000" w:themeColor="text1"/>
                <w:sz w:val="18"/>
                <w:szCs w:val="18"/>
              </w:rPr>
              <w:t xml:space="preserve"> E</w:t>
            </w:r>
            <w:r w:rsidR="007D136C" w:rsidRPr="001F29F9">
              <w:rPr>
                <w:rFonts w:ascii="Calibri" w:hAnsi="Calibri" w:cstheme="minorHAnsi"/>
                <w:color w:val="000000" w:themeColor="text1"/>
                <w:sz w:val="18"/>
                <w:szCs w:val="18"/>
              </w:rPr>
              <w:t>ntries</w:t>
            </w:r>
            <w:r w:rsidRPr="001F29F9">
              <w:rPr>
                <w:rFonts w:ascii="Calibri" w:hAnsi="Calibri" w:cstheme="minorHAnsi"/>
                <w:color w:val="000000" w:themeColor="text1"/>
                <w:sz w:val="18"/>
                <w:szCs w:val="18"/>
              </w:rPr>
              <w:t>↓</w:t>
            </w:r>
          </w:p>
        </w:tc>
        <w:tc>
          <w:tcPr>
            <w:tcW w:w="2160" w:type="dxa"/>
            <w:tcBorders>
              <w:left w:val="thinThickThinSmallGap" w:sz="24" w:space="0" w:color="auto"/>
            </w:tcBorders>
            <w:shd w:val="clear" w:color="auto" w:fill="FFFFFF" w:themeFill="background1"/>
          </w:tcPr>
          <w:p w:rsidR="00BC5860" w:rsidRPr="001F29F9" w:rsidRDefault="00BC5860">
            <w:pPr>
              <w:spacing w:line="180" w:lineRule="exact"/>
              <w:jc w:val="both"/>
              <w:rPr>
                <w:rFonts w:ascii="Calibri" w:eastAsia="Times New Roman" w:hAnsi="Calibri" w:cstheme="minorHAnsi"/>
                <w:color w:val="000000" w:themeColor="text1"/>
                <w:sz w:val="18"/>
                <w:szCs w:val="18"/>
              </w:rPr>
            </w:pPr>
          </w:p>
        </w:tc>
        <w:tc>
          <w:tcPr>
            <w:tcW w:w="1080" w:type="dxa"/>
            <w:shd w:val="clear" w:color="auto" w:fill="FFFFFF" w:themeFill="background1"/>
            <w:vAlign w:val="center"/>
          </w:tcPr>
          <w:p w:rsidR="00BC5860" w:rsidRPr="001F29F9" w:rsidRDefault="00BC5860">
            <w:pPr>
              <w:spacing w:line="180" w:lineRule="exact"/>
              <w:contextualSpacing/>
              <w:rPr>
                <w:rFonts w:ascii="Calibri" w:eastAsia="Times New Roman" w:hAnsi="Calibri" w:cstheme="minorHAnsi"/>
                <w:color w:val="000000" w:themeColor="text1"/>
                <w:sz w:val="18"/>
                <w:szCs w:val="18"/>
              </w:rPr>
            </w:pPr>
          </w:p>
        </w:tc>
        <w:tc>
          <w:tcPr>
            <w:tcW w:w="720" w:type="dxa"/>
            <w:shd w:val="clear" w:color="auto" w:fill="FFFFFF" w:themeFill="background1"/>
            <w:vAlign w:val="center"/>
          </w:tcPr>
          <w:p w:rsidR="00BC5860" w:rsidRPr="001F29F9" w:rsidRDefault="00BC5860">
            <w:pPr>
              <w:spacing w:line="180" w:lineRule="exact"/>
              <w:contextualSpacing/>
              <w:rPr>
                <w:rFonts w:ascii="Calibri" w:eastAsia="Times New Roman" w:hAnsi="Calibri" w:cstheme="minorHAnsi"/>
                <w:color w:val="000000" w:themeColor="text1"/>
                <w:sz w:val="18"/>
                <w:szCs w:val="18"/>
              </w:rPr>
            </w:pPr>
          </w:p>
        </w:tc>
        <w:tc>
          <w:tcPr>
            <w:tcW w:w="990" w:type="dxa"/>
            <w:shd w:val="clear" w:color="auto" w:fill="FFFFFF" w:themeFill="background1"/>
            <w:vAlign w:val="center"/>
          </w:tcPr>
          <w:p w:rsidR="00BC5860" w:rsidRPr="001F29F9" w:rsidRDefault="00BC5860">
            <w:pPr>
              <w:spacing w:line="180" w:lineRule="exact"/>
              <w:contextualSpacing/>
              <w:rPr>
                <w:rFonts w:ascii="Calibri" w:eastAsia="Times New Roman" w:hAnsi="Calibri" w:cstheme="minorHAnsi"/>
                <w:color w:val="000000" w:themeColor="text1"/>
                <w:sz w:val="18"/>
                <w:szCs w:val="18"/>
              </w:rPr>
            </w:pPr>
          </w:p>
        </w:tc>
      </w:tr>
      <w:tr w:rsidR="006D4250" w:rsidRPr="001F29F9" w:rsidTr="003750C2">
        <w:trPr>
          <w:trHeight w:val="188"/>
          <w:jc w:val="center"/>
        </w:trPr>
        <w:tc>
          <w:tcPr>
            <w:tcW w:w="4428" w:type="dxa"/>
            <w:gridSpan w:val="4"/>
            <w:vMerge/>
            <w:tcBorders>
              <w:bottom w:val="single" w:sz="4" w:space="0" w:color="000000" w:themeColor="text1"/>
              <w:right w:val="thinThickThinSmallGap" w:sz="24" w:space="0" w:color="auto"/>
            </w:tcBorders>
            <w:shd w:val="clear" w:color="auto" w:fill="FFFFFF" w:themeFill="background1"/>
          </w:tcPr>
          <w:p w:rsidR="00BC5860" w:rsidRPr="001F29F9" w:rsidRDefault="00BC5860">
            <w:pPr>
              <w:spacing w:line="180" w:lineRule="exact"/>
              <w:contextualSpacing/>
              <w:jc w:val="both"/>
              <w:rPr>
                <w:rFonts w:ascii="Calibri" w:eastAsia="Times New Roman" w:hAnsi="Calibri" w:cstheme="minorHAnsi"/>
                <w:color w:val="000000" w:themeColor="text1"/>
                <w:sz w:val="18"/>
                <w:szCs w:val="18"/>
              </w:rPr>
            </w:pPr>
          </w:p>
        </w:tc>
        <w:tc>
          <w:tcPr>
            <w:tcW w:w="3960" w:type="dxa"/>
            <w:gridSpan w:val="3"/>
            <w:tcBorders>
              <w:left w:val="thinThickThinSmallGap" w:sz="24" w:space="0" w:color="auto"/>
              <w:bottom w:val="single" w:sz="4" w:space="0" w:color="000000" w:themeColor="text1"/>
            </w:tcBorders>
            <w:shd w:val="clear" w:color="auto" w:fill="FFFFFF" w:themeFill="background1"/>
            <w:vAlign w:val="center"/>
          </w:tcPr>
          <w:p w:rsidR="00BC5860" w:rsidRPr="001F29F9" w:rsidRDefault="00374EA1" w:rsidP="00E04A1A">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 xml:space="preserve">0% x </w:t>
            </w:r>
            <w:r w:rsidR="00E04A1A">
              <w:rPr>
                <w:rFonts w:ascii="Calibri" w:hAnsi="Calibri" w:cstheme="minorHAnsi"/>
                <w:color w:val="000000" w:themeColor="text1"/>
                <w:sz w:val="18"/>
                <w:szCs w:val="18"/>
              </w:rPr>
              <w:t>2</w:t>
            </w:r>
            <w:r w:rsidR="00FD7B23" w:rsidRPr="001F29F9">
              <w:rPr>
                <w:rFonts w:ascii="Calibri" w:hAnsi="Calibri" w:cstheme="minorHAnsi"/>
                <w:color w:val="000000" w:themeColor="text1"/>
                <w:sz w:val="18"/>
                <w:szCs w:val="18"/>
              </w:rPr>
              <w:t>/</w:t>
            </w:r>
            <w:r w:rsidRPr="001F29F9">
              <w:rPr>
                <w:rFonts w:ascii="Calibri" w:hAnsi="Calibri" w:cstheme="minorHAnsi"/>
                <w:color w:val="000000" w:themeColor="text1"/>
                <w:sz w:val="18"/>
                <w:szCs w:val="18"/>
              </w:rPr>
              <w:t xml:space="preserve">Not Service Connected x </w:t>
            </w:r>
            <w:r w:rsidR="00E04A1A">
              <w:rPr>
                <w:rFonts w:ascii="Calibri" w:hAnsi="Calibri" w:cstheme="minorHAnsi"/>
                <w:color w:val="000000" w:themeColor="text1"/>
                <w:sz w:val="18"/>
                <w:szCs w:val="18"/>
              </w:rPr>
              <w:t>2</w:t>
            </w:r>
          </w:p>
        </w:tc>
        <w:tc>
          <w:tcPr>
            <w:tcW w:w="990" w:type="dxa"/>
            <w:tcBorders>
              <w:bottom w:val="single" w:sz="4" w:space="0" w:color="000000" w:themeColor="text1"/>
            </w:tcBorders>
            <w:shd w:val="clear" w:color="auto" w:fill="FFFFFF" w:themeFill="background1"/>
            <w:vAlign w:val="center"/>
          </w:tcPr>
          <w:p w:rsidR="00BC5860" w:rsidRPr="001F29F9" w:rsidRDefault="00BE3142" w:rsidP="005F5C5C">
            <w:pPr>
              <w:spacing w:line="180" w:lineRule="exact"/>
              <w:contextualSpacing/>
              <w:rPr>
                <w:rFonts w:ascii="Calibri" w:eastAsia="Times New Roman" w:hAnsi="Calibri" w:cstheme="minorHAnsi"/>
                <w:color w:val="000000" w:themeColor="text1"/>
                <w:sz w:val="18"/>
                <w:szCs w:val="18"/>
              </w:rPr>
            </w:pPr>
            <w:r w:rsidRPr="001F29F9">
              <w:rPr>
                <w:rFonts w:ascii="Calibri" w:hAnsi="Calibri" w:cstheme="minorHAnsi"/>
                <w:color w:val="000000" w:themeColor="text1"/>
                <w:sz w:val="18"/>
                <w:szCs w:val="18"/>
              </w:rPr>
              <w:t>200</w:t>
            </w:r>
            <w:r w:rsidR="005F5C5C">
              <w:rPr>
                <w:rFonts w:ascii="Calibri" w:hAnsi="Calibri" w:cstheme="minorHAnsi"/>
                <w:color w:val="000000" w:themeColor="text1"/>
                <w:sz w:val="18"/>
                <w:szCs w:val="18"/>
              </w:rPr>
              <w:t>51109</w:t>
            </w:r>
          </w:p>
        </w:tc>
      </w:tr>
      <w:tr w:rsidR="006D4250" w:rsidRPr="001F29F9" w:rsidTr="001F3754">
        <w:trPr>
          <w:trHeight w:val="242"/>
          <w:jc w:val="center"/>
        </w:trPr>
        <w:tc>
          <w:tcPr>
            <w:tcW w:w="4428" w:type="dxa"/>
            <w:gridSpan w:val="4"/>
            <w:tcBorders>
              <w:right w:val="thinThickThinSmallGap" w:sz="24" w:space="0" w:color="auto"/>
            </w:tcBorders>
            <w:shd w:val="clear" w:color="auto" w:fill="D9D9D9" w:themeFill="background1" w:themeFillShade="D9"/>
            <w:vAlign w:val="center"/>
          </w:tcPr>
          <w:p w:rsidR="006D4250" w:rsidRPr="001F29F9" w:rsidRDefault="006D4250" w:rsidP="00F0064E">
            <w:pPr>
              <w:contextualSpacing/>
              <w:rPr>
                <w:rFonts w:ascii="Calibri" w:hAnsi="Calibri" w:cstheme="minorHAnsi"/>
                <w:color w:val="000000" w:themeColor="text1"/>
                <w:sz w:val="18"/>
                <w:szCs w:val="18"/>
              </w:rPr>
            </w:pPr>
            <w:r w:rsidRPr="001F29F9">
              <w:rPr>
                <w:rFonts w:ascii="Calibri" w:hAnsi="Calibri" w:cstheme="minorHAnsi"/>
                <w:color w:val="000000" w:themeColor="text1"/>
                <w:sz w:val="18"/>
                <w:szCs w:val="18"/>
              </w:rPr>
              <w:t xml:space="preserve">Combined:  </w:t>
            </w:r>
            <w:r w:rsidR="00F0064E">
              <w:rPr>
                <w:rFonts w:ascii="Calibri" w:hAnsi="Calibri" w:cstheme="minorHAnsi"/>
                <w:color w:val="000000" w:themeColor="text1"/>
                <w:sz w:val="18"/>
                <w:szCs w:val="18"/>
              </w:rPr>
              <w:t>20</w:t>
            </w:r>
            <w:r w:rsidRPr="001F29F9">
              <w:rPr>
                <w:rFonts w:ascii="Calibri" w:hAnsi="Calibri" w:cstheme="minorHAnsi"/>
                <w:color w:val="000000" w:themeColor="text1"/>
                <w:sz w:val="18"/>
                <w:szCs w:val="18"/>
              </w:rPr>
              <w:t>%</w:t>
            </w:r>
          </w:p>
        </w:tc>
        <w:tc>
          <w:tcPr>
            <w:tcW w:w="4950" w:type="dxa"/>
            <w:gridSpan w:val="4"/>
            <w:tcBorders>
              <w:left w:val="thinThickThinSmallGap" w:sz="24" w:space="0" w:color="auto"/>
            </w:tcBorders>
            <w:shd w:val="clear" w:color="auto" w:fill="D9D9D9" w:themeFill="background1" w:themeFillShade="D9"/>
            <w:vAlign w:val="center"/>
          </w:tcPr>
          <w:p w:rsidR="006D4250" w:rsidRPr="001F29F9" w:rsidRDefault="006D4250" w:rsidP="00E843B3">
            <w:pPr>
              <w:contextualSpacing/>
              <w:rPr>
                <w:rFonts w:ascii="Calibri" w:hAnsi="Calibri" w:cstheme="minorHAnsi"/>
                <w:color w:val="000000" w:themeColor="text1"/>
                <w:sz w:val="18"/>
                <w:szCs w:val="18"/>
              </w:rPr>
            </w:pPr>
            <w:r w:rsidRPr="001F29F9">
              <w:rPr>
                <w:rFonts w:ascii="Calibri" w:hAnsi="Calibri" w:cstheme="minorHAnsi"/>
                <w:color w:val="000000" w:themeColor="text1"/>
                <w:sz w:val="18"/>
                <w:szCs w:val="18"/>
              </w:rPr>
              <w:t xml:space="preserve">Combined: </w:t>
            </w:r>
            <w:r w:rsidR="00E57FED" w:rsidRPr="001F29F9">
              <w:rPr>
                <w:rFonts w:ascii="Calibri" w:hAnsi="Calibri" w:cstheme="minorHAnsi"/>
                <w:color w:val="000000" w:themeColor="text1"/>
                <w:sz w:val="18"/>
                <w:szCs w:val="18"/>
              </w:rPr>
              <w:t xml:space="preserve"> </w:t>
            </w:r>
            <w:r w:rsidR="00E843B3">
              <w:rPr>
                <w:rFonts w:ascii="Calibri" w:hAnsi="Calibri" w:cstheme="minorHAnsi"/>
                <w:color w:val="000000" w:themeColor="text1"/>
                <w:sz w:val="18"/>
                <w:szCs w:val="18"/>
              </w:rPr>
              <w:t>7</w:t>
            </w:r>
            <w:r w:rsidR="00E04A1A">
              <w:rPr>
                <w:rFonts w:ascii="Calibri" w:hAnsi="Calibri" w:cstheme="minorHAnsi"/>
                <w:color w:val="000000" w:themeColor="text1"/>
                <w:sz w:val="18"/>
                <w:szCs w:val="18"/>
              </w:rPr>
              <w:t>0</w:t>
            </w:r>
            <w:r w:rsidRPr="001F29F9">
              <w:rPr>
                <w:rFonts w:ascii="Calibri" w:hAnsi="Calibri" w:cstheme="minorHAnsi"/>
                <w:color w:val="000000" w:themeColor="text1"/>
                <w:sz w:val="18"/>
                <w:szCs w:val="18"/>
              </w:rPr>
              <w:t>%</w:t>
            </w:r>
          </w:p>
        </w:tc>
      </w:tr>
    </w:tbl>
    <w:p w:rsidR="00FF4928" w:rsidRDefault="00A57C35" w:rsidP="00FF4928">
      <w:pPr>
        <w:pBdr>
          <w:bottom w:val="single" w:sz="12" w:space="1" w:color="auto"/>
        </w:pBdr>
        <w:tabs>
          <w:tab w:val="left" w:pos="288"/>
          <w:tab w:val="left" w:pos="4752"/>
        </w:tabs>
        <w:jc w:val="both"/>
        <w:rPr>
          <w:color w:val="000000" w:themeColor="text1"/>
          <w:sz w:val="20"/>
        </w:rPr>
      </w:pPr>
      <w:r w:rsidRPr="00A52694">
        <w:rPr>
          <w:color w:val="000000" w:themeColor="text1"/>
          <w:sz w:val="20"/>
        </w:rPr>
        <w:t>* VA rating based on exam most proximate to date of permanent separation.</w:t>
      </w:r>
    </w:p>
    <w:p w:rsidR="00CF3463" w:rsidRDefault="00DA0704" w:rsidP="00FF4928">
      <w:pPr>
        <w:pBdr>
          <w:bottom w:val="single" w:sz="12" w:space="1" w:color="auto"/>
        </w:pBdr>
        <w:tabs>
          <w:tab w:val="left" w:pos="288"/>
          <w:tab w:val="left" w:pos="4752"/>
        </w:tabs>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2D3D3B">
        <w:rPr>
          <w:rFonts w:asciiTheme="minorHAnsi" w:hAnsiTheme="minorHAnsi"/>
          <w:color w:val="auto"/>
          <w:szCs w:val="24"/>
        </w:rPr>
        <w:t>:</w:t>
      </w:r>
      <w:r w:rsidR="00605F1B">
        <w:rPr>
          <w:rFonts w:asciiTheme="minorHAnsi" w:hAnsiTheme="minorHAnsi"/>
          <w:color w:val="auto"/>
          <w:szCs w:val="24"/>
        </w:rPr>
        <w:t xml:space="preserve">  </w:t>
      </w:r>
      <w:r w:rsidR="00E74857">
        <w:rPr>
          <w:rFonts w:asciiTheme="minorHAnsi" w:hAnsiTheme="minorHAnsi"/>
          <w:color w:val="auto"/>
          <w:szCs w:val="24"/>
        </w:rPr>
        <w:t xml:space="preserve">The PEB rating, as described above, was derived from </w:t>
      </w:r>
      <w:proofErr w:type="spellStart"/>
      <w:r w:rsidR="00E74857">
        <w:rPr>
          <w:rFonts w:asciiTheme="minorHAnsi" w:hAnsiTheme="minorHAnsi"/>
          <w:color w:val="auto"/>
          <w:szCs w:val="24"/>
        </w:rPr>
        <w:t>DoD</w:t>
      </w:r>
      <w:r w:rsidR="00605F1B">
        <w:rPr>
          <w:rFonts w:asciiTheme="minorHAnsi" w:hAnsiTheme="minorHAnsi"/>
          <w:color w:val="auto"/>
          <w:szCs w:val="24"/>
        </w:rPr>
        <w:t>I</w:t>
      </w:r>
      <w:proofErr w:type="spellEnd"/>
      <w:r w:rsidR="00E74857">
        <w:rPr>
          <w:rFonts w:asciiTheme="minorHAnsi" w:hAnsiTheme="minorHAnsi"/>
          <w:color w:val="auto"/>
          <w:szCs w:val="24"/>
        </w:rPr>
        <w:t xml:space="preserve"> 1332.39 and preceded the promulgation of the National Defense Authorization Act (NDAA) 2008 mandate for Department of Defense adherence to VASRD </w:t>
      </w:r>
      <w:r w:rsidR="00605F1B">
        <w:rPr>
          <w:rFonts w:asciiTheme="minorHAnsi" w:hAnsiTheme="minorHAnsi"/>
          <w:color w:val="auto"/>
          <w:szCs w:val="24"/>
        </w:rPr>
        <w:t>§</w:t>
      </w:r>
      <w:r w:rsidR="00E74857">
        <w:rPr>
          <w:rFonts w:asciiTheme="minorHAnsi" w:hAnsiTheme="minorHAnsi"/>
          <w:color w:val="auto"/>
          <w:szCs w:val="24"/>
        </w:rPr>
        <w:t xml:space="preserve">4.129. IAW </w:t>
      </w:r>
      <w:proofErr w:type="spellStart"/>
      <w:r w:rsidR="00E74857">
        <w:rPr>
          <w:rFonts w:asciiTheme="minorHAnsi" w:hAnsiTheme="minorHAnsi"/>
          <w:color w:val="auto"/>
          <w:szCs w:val="24"/>
        </w:rPr>
        <w:t>DoDI</w:t>
      </w:r>
      <w:proofErr w:type="spellEnd"/>
      <w:r w:rsidR="00E74857">
        <w:rPr>
          <w:rFonts w:asciiTheme="minorHAnsi" w:hAnsiTheme="minorHAnsi"/>
          <w:color w:val="auto"/>
          <w:szCs w:val="24"/>
        </w:rPr>
        <w:t xml:space="preserve"> 6040.44 and </w:t>
      </w:r>
      <w:proofErr w:type="spellStart"/>
      <w:proofErr w:type="gramStart"/>
      <w:r w:rsidR="00E74857">
        <w:rPr>
          <w:rFonts w:asciiTheme="minorHAnsi" w:hAnsiTheme="minorHAnsi"/>
          <w:color w:val="auto"/>
          <w:szCs w:val="24"/>
        </w:rPr>
        <w:t>DoD</w:t>
      </w:r>
      <w:proofErr w:type="spellEnd"/>
      <w:proofErr w:type="gramEnd"/>
      <w:r w:rsidR="00E74857">
        <w:rPr>
          <w:rFonts w:asciiTheme="minorHAnsi" w:hAnsiTheme="minorHAnsi"/>
          <w:color w:val="auto"/>
          <w:szCs w:val="24"/>
        </w:rPr>
        <w:t xml:space="preserve"> guidance (which applies VASRD </w:t>
      </w:r>
      <w:r w:rsidR="00605F1B">
        <w:rPr>
          <w:rFonts w:asciiTheme="minorHAnsi" w:hAnsiTheme="minorHAnsi"/>
          <w:color w:val="auto"/>
          <w:szCs w:val="24"/>
        </w:rPr>
        <w:t>§</w:t>
      </w:r>
      <w:r w:rsidR="00E74857">
        <w:rPr>
          <w:rFonts w:asciiTheme="minorHAnsi" w:hAnsiTheme="minorHAnsi"/>
          <w:color w:val="auto"/>
          <w:szCs w:val="24"/>
        </w:rPr>
        <w:t xml:space="preserve">4.129 to all Board cases). </w:t>
      </w:r>
      <w:r w:rsidR="007E76BD">
        <w:rPr>
          <w:rFonts w:asciiTheme="minorHAnsi" w:hAnsiTheme="minorHAnsi"/>
          <w:color w:val="auto"/>
          <w:szCs w:val="24"/>
        </w:rPr>
        <w:t xml:space="preserve"> </w:t>
      </w:r>
      <w:r w:rsidR="00E74857">
        <w:rPr>
          <w:rFonts w:asciiTheme="minorHAnsi" w:hAnsiTheme="minorHAnsi"/>
          <w:color w:val="auto"/>
          <w:szCs w:val="24"/>
        </w:rPr>
        <w:t xml:space="preserve">The Board is obligated to recommend a minimum 50% PTSD rating for a retroactive </w:t>
      </w:r>
      <w:r w:rsidR="00FF4928">
        <w:rPr>
          <w:rFonts w:asciiTheme="minorHAnsi" w:hAnsiTheme="minorHAnsi"/>
          <w:color w:val="auto"/>
          <w:szCs w:val="24"/>
        </w:rPr>
        <w:t xml:space="preserve">6 </w:t>
      </w:r>
      <w:r w:rsidR="00E74857">
        <w:rPr>
          <w:rFonts w:asciiTheme="minorHAnsi" w:hAnsiTheme="minorHAnsi"/>
          <w:color w:val="auto"/>
          <w:szCs w:val="24"/>
        </w:rPr>
        <w:t xml:space="preserve">month period on the Temporary Disability Retired List (TDRL).  Since the service was in compliance with the </w:t>
      </w:r>
      <w:r w:rsidR="00605F1B">
        <w:rPr>
          <w:rFonts w:asciiTheme="minorHAnsi" w:hAnsiTheme="minorHAnsi"/>
          <w:color w:val="auto"/>
          <w:szCs w:val="24"/>
        </w:rPr>
        <w:t>§</w:t>
      </w:r>
      <w:r w:rsidR="00E74857">
        <w:rPr>
          <w:rFonts w:asciiTheme="minorHAnsi" w:hAnsiTheme="minorHAnsi"/>
          <w:color w:val="auto"/>
          <w:szCs w:val="24"/>
        </w:rPr>
        <w:t>4.129 TDRL requirement, the Board need not apply a constructive TDRL rating interval in this case; although, the 50% minimum TDRL rating remains applicable</w:t>
      </w:r>
      <w:r w:rsidR="007E76BD">
        <w:rPr>
          <w:rFonts w:asciiTheme="minorHAnsi" w:hAnsiTheme="minorHAnsi"/>
          <w:color w:val="auto"/>
          <w:szCs w:val="24"/>
        </w:rPr>
        <w:t xml:space="preserve"> as held by the Federal court in the Sabo vs. United States class action settlement</w:t>
      </w:r>
      <w:r w:rsidR="00E74857">
        <w:rPr>
          <w:rFonts w:asciiTheme="minorHAnsi" w:hAnsiTheme="minorHAnsi"/>
          <w:color w:val="auto"/>
          <w:szCs w:val="24"/>
        </w:rPr>
        <w:t xml:space="preserve">.  </w:t>
      </w:r>
      <w:r w:rsidR="00CF3463">
        <w:rPr>
          <w:rFonts w:asciiTheme="minorHAnsi" w:hAnsiTheme="minorHAnsi"/>
          <w:color w:val="auto"/>
          <w:szCs w:val="24"/>
        </w:rPr>
        <w:t xml:space="preserve">In this case, the PEB determined the PTSD had improved sufficiently such that it was no longer unfitting for continued military service and therefore not ratable.  The Board must first consider the fitness determination made by the PEB.  </w:t>
      </w:r>
      <w:proofErr w:type="gramStart"/>
      <w:r w:rsidR="00CF3463">
        <w:rPr>
          <w:rFonts w:asciiTheme="minorHAnsi" w:hAnsiTheme="minorHAnsi"/>
          <w:color w:val="auto"/>
          <w:szCs w:val="24"/>
        </w:rPr>
        <w:t>If the Board does not agree with the PEB, t</w:t>
      </w:r>
      <w:r w:rsidR="00E74857">
        <w:rPr>
          <w:rFonts w:asciiTheme="minorHAnsi" w:hAnsiTheme="minorHAnsi"/>
          <w:color w:val="auto"/>
          <w:szCs w:val="24"/>
        </w:rPr>
        <w:t>he Board must then determinate the most appropriate fit with VASRD</w:t>
      </w:r>
      <w:r w:rsidR="00605F1B">
        <w:rPr>
          <w:rFonts w:asciiTheme="minorHAnsi" w:hAnsiTheme="minorHAnsi"/>
          <w:color w:val="auto"/>
          <w:szCs w:val="24"/>
        </w:rPr>
        <w:t xml:space="preserve"> §</w:t>
      </w:r>
      <w:r w:rsidR="00E74857">
        <w:rPr>
          <w:rFonts w:asciiTheme="minorHAnsi" w:hAnsiTheme="minorHAnsi"/>
          <w:color w:val="auto"/>
          <w:szCs w:val="24"/>
        </w:rPr>
        <w:t>4.130 criteria at the conclusion of the TDRL interval for its permanent rating recommendation.</w:t>
      </w:r>
      <w:proofErr w:type="gramEnd"/>
      <w:r w:rsidR="00E74857">
        <w:rPr>
          <w:rFonts w:asciiTheme="minorHAnsi" w:hAnsiTheme="minorHAnsi"/>
          <w:color w:val="auto"/>
          <w:szCs w:val="24"/>
        </w:rPr>
        <w:t xml:space="preserve">  </w:t>
      </w:r>
    </w:p>
    <w:p w:rsidR="007E76BD" w:rsidRPr="00FF4928" w:rsidRDefault="007E76BD" w:rsidP="00FF4928">
      <w:pPr>
        <w:pBdr>
          <w:bottom w:val="single" w:sz="12" w:space="1" w:color="auto"/>
        </w:pBdr>
        <w:tabs>
          <w:tab w:val="left" w:pos="288"/>
          <w:tab w:val="left" w:pos="4752"/>
        </w:tabs>
        <w:jc w:val="both"/>
        <w:rPr>
          <w:color w:val="000000" w:themeColor="text1"/>
          <w:sz w:val="20"/>
        </w:rPr>
      </w:pPr>
    </w:p>
    <w:p w:rsidR="00530FF3" w:rsidRDefault="00530FF3" w:rsidP="00BF0E94">
      <w:pPr>
        <w:jc w:val="left"/>
        <w:rPr>
          <w:color w:val="000000" w:themeColor="text1"/>
          <w:szCs w:val="24"/>
          <w:u w:val="single"/>
        </w:rPr>
      </w:pPr>
    </w:p>
    <w:p w:rsidR="005743D9" w:rsidRDefault="00FB65D6" w:rsidP="00963E09">
      <w:pPr>
        <w:jc w:val="both"/>
        <w:rPr>
          <w:rFonts w:eastAsiaTheme="minorHAnsi"/>
          <w:color w:val="000000" w:themeColor="text1"/>
          <w:szCs w:val="24"/>
        </w:rPr>
      </w:pPr>
      <w:proofErr w:type="gramStart"/>
      <w:r w:rsidRPr="00FB65D6">
        <w:rPr>
          <w:color w:val="000000" w:themeColor="text1"/>
          <w:szCs w:val="24"/>
          <w:u w:val="single"/>
        </w:rPr>
        <w:t>Lumbar Condition</w:t>
      </w:r>
      <w:r w:rsidRPr="0068368B">
        <w:rPr>
          <w:color w:val="000000" w:themeColor="text1"/>
          <w:szCs w:val="24"/>
        </w:rPr>
        <w:t>.</w:t>
      </w:r>
      <w:proofErr w:type="gramEnd"/>
      <w:r w:rsidR="0068368B" w:rsidRPr="0068368B">
        <w:rPr>
          <w:color w:val="000000" w:themeColor="text1"/>
          <w:szCs w:val="24"/>
        </w:rPr>
        <w:t xml:space="preserve">  </w:t>
      </w:r>
      <w:r w:rsidR="00530FF3">
        <w:rPr>
          <w:color w:val="000000" w:themeColor="text1"/>
          <w:szCs w:val="24"/>
        </w:rPr>
        <w:t xml:space="preserve">In November 2000, </w:t>
      </w:r>
      <w:r w:rsidR="00582B9B">
        <w:rPr>
          <w:color w:val="000000" w:themeColor="text1"/>
          <w:szCs w:val="24"/>
        </w:rPr>
        <w:t>2</w:t>
      </w:r>
      <w:r w:rsidR="00530FF3">
        <w:rPr>
          <w:color w:val="000000" w:themeColor="text1"/>
          <w:szCs w:val="24"/>
        </w:rPr>
        <w:t xml:space="preserve"> years p</w:t>
      </w:r>
      <w:r w:rsidR="005C28AE">
        <w:rPr>
          <w:color w:val="000000" w:themeColor="text1"/>
          <w:szCs w:val="24"/>
        </w:rPr>
        <w:t>rior to mobilization, the CI had surgery for a herniated disc (</w:t>
      </w:r>
      <w:r w:rsidR="005C28AE" w:rsidRPr="003503FB">
        <w:rPr>
          <w:color w:val="000000" w:themeColor="text1"/>
          <w:szCs w:val="24"/>
        </w:rPr>
        <w:t xml:space="preserve">L4-L5 </w:t>
      </w:r>
      <w:proofErr w:type="spellStart"/>
      <w:r w:rsidR="005C28AE" w:rsidRPr="003503FB">
        <w:rPr>
          <w:color w:val="000000" w:themeColor="text1"/>
          <w:szCs w:val="24"/>
        </w:rPr>
        <w:t>laminectomy</w:t>
      </w:r>
      <w:proofErr w:type="spellEnd"/>
      <w:r w:rsidR="005C28AE">
        <w:rPr>
          <w:color w:val="000000" w:themeColor="text1"/>
          <w:szCs w:val="24"/>
        </w:rPr>
        <w:t>)</w:t>
      </w:r>
      <w:r w:rsidR="00530FF3">
        <w:rPr>
          <w:color w:val="000000" w:themeColor="text1"/>
          <w:szCs w:val="24"/>
        </w:rPr>
        <w:t xml:space="preserve">.  </w:t>
      </w:r>
      <w:r w:rsidR="005C28AE">
        <w:rPr>
          <w:color w:val="000000" w:themeColor="text1"/>
          <w:szCs w:val="24"/>
        </w:rPr>
        <w:t xml:space="preserve">He did well after that surgery and returned to work.  </w:t>
      </w:r>
      <w:r w:rsidR="00530FF3">
        <w:rPr>
          <w:color w:val="000000" w:themeColor="text1"/>
          <w:szCs w:val="24"/>
        </w:rPr>
        <w:t xml:space="preserve">He mobilized with his unit in February 2003 and deployed to Iraq.  </w:t>
      </w:r>
      <w:r w:rsidR="005C28AE">
        <w:rPr>
          <w:color w:val="000000" w:themeColor="text1"/>
          <w:szCs w:val="24"/>
        </w:rPr>
        <w:t xml:space="preserve">While he was deployed to Iraq he developed recurrent back pain with radiation into his legs associated with the strenuous duties as </w:t>
      </w:r>
      <w:r w:rsidR="008072FB">
        <w:rPr>
          <w:color w:val="000000" w:themeColor="text1"/>
          <w:szCs w:val="24"/>
        </w:rPr>
        <w:t xml:space="preserve">a </w:t>
      </w:r>
      <w:r w:rsidR="005C28AE">
        <w:rPr>
          <w:color w:val="000000" w:themeColor="text1"/>
          <w:szCs w:val="24"/>
        </w:rPr>
        <w:t xml:space="preserve">truck driver.  Magnetic resonance imaging </w:t>
      </w:r>
      <w:r w:rsidR="00582B9B">
        <w:rPr>
          <w:color w:val="000000" w:themeColor="text1"/>
          <w:szCs w:val="24"/>
        </w:rPr>
        <w:t xml:space="preserve">(MRI) </w:t>
      </w:r>
      <w:r w:rsidR="005C28AE">
        <w:rPr>
          <w:color w:val="000000" w:themeColor="text1"/>
          <w:szCs w:val="24"/>
        </w:rPr>
        <w:t xml:space="preserve">confirmed recurrent herniated </w:t>
      </w:r>
      <w:proofErr w:type="spellStart"/>
      <w:r w:rsidR="005C28AE">
        <w:rPr>
          <w:color w:val="000000" w:themeColor="text1"/>
          <w:szCs w:val="24"/>
        </w:rPr>
        <w:t>intervertebral</w:t>
      </w:r>
      <w:proofErr w:type="spellEnd"/>
      <w:r w:rsidR="005C28AE">
        <w:rPr>
          <w:color w:val="000000" w:themeColor="text1"/>
          <w:szCs w:val="24"/>
        </w:rPr>
        <w:t xml:space="preserve"> disc and he was medically evacuated.  He underwent surgery in October 2003</w:t>
      </w:r>
      <w:r w:rsidR="00234483">
        <w:rPr>
          <w:color w:val="000000" w:themeColor="text1"/>
          <w:szCs w:val="24"/>
        </w:rPr>
        <w:t xml:space="preserve"> with good result but recurrent symptoms in February 2004 necessitated a more extensive spinal surgery with spinal fusion (L4-5 vertebra).  He did not recover sufficiently to return to duty.  The MEB </w:t>
      </w:r>
      <w:r w:rsidR="00582B9B">
        <w:rPr>
          <w:color w:val="000000" w:themeColor="text1"/>
          <w:szCs w:val="24"/>
        </w:rPr>
        <w:t>narrative summary (</w:t>
      </w:r>
      <w:r w:rsidR="00234483">
        <w:rPr>
          <w:color w:val="000000" w:themeColor="text1"/>
          <w:szCs w:val="24"/>
        </w:rPr>
        <w:t>NARSUM</w:t>
      </w:r>
      <w:r w:rsidR="00582B9B">
        <w:rPr>
          <w:color w:val="000000" w:themeColor="text1"/>
          <w:szCs w:val="24"/>
        </w:rPr>
        <w:t>)</w:t>
      </w:r>
      <w:r w:rsidR="00234483">
        <w:rPr>
          <w:color w:val="000000" w:themeColor="text1"/>
          <w:szCs w:val="24"/>
        </w:rPr>
        <w:t xml:space="preserve"> examination</w:t>
      </w:r>
      <w:r w:rsidR="007E76BD">
        <w:rPr>
          <w:color w:val="000000" w:themeColor="text1"/>
          <w:szCs w:val="24"/>
        </w:rPr>
        <w:t xml:space="preserve"> dated</w:t>
      </w:r>
      <w:r w:rsidR="00234483">
        <w:rPr>
          <w:color w:val="000000" w:themeColor="text1"/>
          <w:szCs w:val="24"/>
        </w:rPr>
        <w:t xml:space="preserve"> 3 March 2005, recorded </w:t>
      </w:r>
      <w:r w:rsidR="00440E33">
        <w:rPr>
          <w:color w:val="000000" w:themeColor="text1"/>
          <w:szCs w:val="24"/>
        </w:rPr>
        <w:t xml:space="preserve">persistent back pain with some </w:t>
      </w:r>
      <w:proofErr w:type="spellStart"/>
      <w:r w:rsidR="00440E33">
        <w:rPr>
          <w:color w:val="000000" w:themeColor="text1"/>
          <w:szCs w:val="24"/>
        </w:rPr>
        <w:t>radicular</w:t>
      </w:r>
      <w:proofErr w:type="spellEnd"/>
      <w:r w:rsidR="00440E33">
        <w:rPr>
          <w:color w:val="000000" w:themeColor="text1"/>
          <w:szCs w:val="24"/>
        </w:rPr>
        <w:t xml:space="preserve"> symptoms.  On examination, </w:t>
      </w:r>
      <w:proofErr w:type="spellStart"/>
      <w:r w:rsidR="00440E33">
        <w:rPr>
          <w:color w:val="000000" w:themeColor="text1"/>
          <w:szCs w:val="24"/>
        </w:rPr>
        <w:t>t</w:t>
      </w:r>
      <w:r w:rsidR="00234483">
        <w:rPr>
          <w:color w:val="000000" w:themeColor="text1"/>
          <w:szCs w:val="24"/>
        </w:rPr>
        <w:t>horacolumbar</w:t>
      </w:r>
      <w:proofErr w:type="spellEnd"/>
      <w:r w:rsidR="00234483">
        <w:rPr>
          <w:color w:val="000000" w:themeColor="text1"/>
          <w:szCs w:val="24"/>
        </w:rPr>
        <w:t xml:space="preserve"> flexion </w:t>
      </w:r>
      <w:r w:rsidR="00440E33">
        <w:rPr>
          <w:color w:val="000000" w:themeColor="text1"/>
          <w:szCs w:val="24"/>
        </w:rPr>
        <w:t xml:space="preserve">was </w:t>
      </w:r>
      <w:r w:rsidR="00234483">
        <w:rPr>
          <w:color w:val="000000" w:themeColor="text1"/>
          <w:szCs w:val="24"/>
        </w:rPr>
        <w:t>70 degrees with</w:t>
      </w:r>
      <w:r w:rsidR="00582B9B">
        <w:rPr>
          <w:color w:val="000000" w:themeColor="text1"/>
          <w:szCs w:val="24"/>
        </w:rPr>
        <w:t xml:space="preserve"> a combined </w:t>
      </w:r>
      <w:proofErr w:type="spellStart"/>
      <w:r w:rsidR="00582B9B">
        <w:rPr>
          <w:color w:val="000000" w:themeColor="text1"/>
          <w:szCs w:val="24"/>
        </w:rPr>
        <w:t>thoracolumbar</w:t>
      </w:r>
      <w:proofErr w:type="spellEnd"/>
      <w:r w:rsidR="00582B9B">
        <w:rPr>
          <w:color w:val="000000" w:themeColor="text1"/>
          <w:szCs w:val="24"/>
        </w:rPr>
        <w:t xml:space="preserve"> range-of-</w:t>
      </w:r>
      <w:r w:rsidR="00234483">
        <w:rPr>
          <w:color w:val="000000" w:themeColor="text1"/>
          <w:szCs w:val="24"/>
        </w:rPr>
        <w:t xml:space="preserve">motion </w:t>
      </w:r>
      <w:r w:rsidR="00582B9B">
        <w:rPr>
          <w:color w:val="000000" w:themeColor="text1"/>
          <w:szCs w:val="24"/>
        </w:rPr>
        <w:t xml:space="preserve">(ROM) </w:t>
      </w:r>
      <w:r w:rsidR="00234483">
        <w:rPr>
          <w:color w:val="000000" w:themeColor="text1"/>
          <w:szCs w:val="24"/>
        </w:rPr>
        <w:t>of 200 degrees.</w:t>
      </w:r>
      <w:r w:rsidR="0068368B">
        <w:rPr>
          <w:color w:val="000000" w:themeColor="text1"/>
          <w:szCs w:val="24"/>
        </w:rPr>
        <w:t xml:space="preserve">  Contemporaneous clinic encounters including </w:t>
      </w:r>
      <w:r w:rsidR="0068368B">
        <w:rPr>
          <w:rFonts w:eastAsiaTheme="minorHAnsi"/>
          <w:color w:val="000000" w:themeColor="text1"/>
          <w:szCs w:val="24"/>
        </w:rPr>
        <w:t xml:space="preserve">neurosurgery document normal gait and intact strength.  </w:t>
      </w:r>
      <w:proofErr w:type="spellStart"/>
      <w:r w:rsidR="0068368B">
        <w:rPr>
          <w:rFonts w:eastAsiaTheme="minorHAnsi"/>
          <w:color w:val="000000" w:themeColor="text1"/>
          <w:szCs w:val="24"/>
        </w:rPr>
        <w:t>Electrodiagnostic</w:t>
      </w:r>
      <w:proofErr w:type="spellEnd"/>
      <w:r w:rsidR="0068368B">
        <w:rPr>
          <w:rFonts w:eastAsiaTheme="minorHAnsi"/>
          <w:color w:val="000000" w:themeColor="text1"/>
          <w:szCs w:val="24"/>
        </w:rPr>
        <w:t xml:space="preserve"> study (EMG, NCV)</w:t>
      </w:r>
      <w:r w:rsidR="007E76BD">
        <w:rPr>
          <w:rFonts w:eastAsiaTheme="minorHAnsi"/>
          <w:color w:val="000000" w:themeColor="text1"/>
          <w:szCs w:val="24"/>
        </w:rPr>
        <w:t xml:space="preserve"> on</w:t>
      </w:r>
      <w:r w:rsidR="0068368B">
        <w:rPr>
          <w:rFonts w:eastAsiaTheme="minorHAnsi"/>
          <w:color w:val="000000" w:themeColor="text1"/>
          <w:szCs w:val="24"/>
        </w:rPr>
        <w:t xml:space="preserve"> 4 March 2005 was negative for signs of</w:t>
      </w:r>
      <w:r w:rsidR="00AB69D7">
        <w:rPr>
          <w:rFonts w:eastAsiaTheme="minorHAnsi"/>
          <w:color w:val="000000" w:themeColor="text1"/>
          <w:szCs w:val="24"/>
        </w:rPr>
        <w:t xml:space="preserve"> lumbar </w:t>
      </w:r>
      <w:proofErr w:type="spellStart"/>
      <w:r w:rsidR="0068368B">
        <w:rPr>
          <w:rFonts w:eastAsiaTheme="minorHAnsi"/>
          <w:color w:val="000000" w:themeColor="text1"/>
          <w:szCs w:val="24"/>
        </w:rPr>
        <w:t>radiculopathy</w:t>
      </w:r>
      <w:proofErr w:type="spellEnd"/>
      <w:r w:rsidR="0068368B">
        <w:rPr>
          <w:rFonts w:eastAsiaTheme="minorHAnsi"/>
          <w:color w:val="000000" w:themeColor="text1"/>
          <w:szCs w:val="24"/>
        </w:rPr>
        <w:t xml:space="preserve">.  The PEB rated the low back pain condition, status post lumbar </w:t>
      </w:r>
      <w:proofErr w:type="spellStart"/>
      <w:r w:rsidR="0068368B">
        <w:rPr>
          <w:rFonts w:eastAsiaTheme="minorHAnsi"/>
          <w:color w:val="000000" w:themeColor="text1"/>
          <w:szCs w:val="24"/>
        </w:rPr>
        <w:t>laminectomy</w:t>
      </w:r>
      <w:proofErr w:type="spellEnd"/>
      <w:r w:rsidR="0068368B">
        <w:rPr>
          <w:rFonts w:eastAsiaTheme="minorHAnsi"/>
          <w:color w:val="000000" w:themeColor="text1"/>
          <w:szCs w:val="24"/>
        </w:rPr>
        <w:t xml:space="preserve"> and fusi</w:t>
      </w:r>
      <w:r w:rsidR="00B374B6">
        <w:rPr>
          <w:rFonts w:eastAsiaTheme="minorHAnsi"/>
          <w:color w:val="000000" w:themeColor="text1"/>
          <w:szCs w:val="24"/>
        </w:rPr>
        <w:t xml:space="preserve">on </w:t>
      </w:r>
      <w:r w:rsidR="007E76BD">
        <w:rPr>
          <w:rFonts w:eastAsiaTheme="minorHAnsi"/>
          <w:color w:val="000000" w:themeColor="text1"/>
          <w:szCs w:val="24"/>
        </w:rPr>
        <w:t xml:space="preserve">at </w:t>
      </w:r>
      <w:r w:rsidR="00B374B6">
        <w:rPr>
          <w:rFonts w:eastAsiaTheme="minorHAnsi"/>
          <w:color w:val="000000" w:themeColor="text1"/>
          <w:szCs w:val="24"/>
        </w:rPr>
        <w:t xml:space="preserve">10% based on </w:t>
      </w:r>
      <w:r w:rsidR="00582B9B">
        <w:rPr>
          <w:rFonts w:eastAsiaTheme="minorHAnsi"/>
          <w:color w:val="000000" w:themeColor="text1"/>
          <w:szCs w:val="24"/>
        </w:rPr>
        <w:t>ROM</w:t>
      </w:r>
      <w:r w:rsidR="00B374B6">
        <w:rPr>
          <w:rFonts w:eastAsiaTheme="minorHAnsi"/>
          <w:color w:val="000000" w:themeColor="text1"/>
          <w:szCs w:val="24"/>
        </w:rPr>
        <w:t xml:space="preserve"> at the time of placement on the TDRL.</w:t>
      </w:r>
      <w:r w:rsidR="00963E09">
        <w:rPr>
          <w:rFonts w:eastAsiaTheme="minorHAnsi"/>
          <w:color w:val="000000" w:themeColor="text1"/>
          <w:szCs w:val="24"/>
        </w:rPr>
        <w:t xml:space="preserve">  </w:t>
      </w:r>
      <w:r w:rsidR="0068368B">
        <w:rPr>
          <w:rFonts w:eastAsiaTheme="minorHAnsi"/>
          <w:color w:val="000000" w:themeColor="text1"/>
          <w:szCs w:val="24"/>
        </w:rPr>
        <w:t xml:space="preserve">The PEB noted the normal EMG and absence of “significant neurologic abnormality” signaling </w:t>
      </w:r>
      <w:r w:rsidR="00A91092">
        <w:rPr>
          <w:rFonts w:eastAsiaTheme="minorHAnsi"/>
          <w:color w:val="000000" w:themeColor="text1"/>
          <w:szCs w:val="24"/>
        </w:rPr>
        <w:t>its</w:t>
      </w:r>
      <w:r w:rsidR="0068368B">
        <w:rPr>
          <w:rFonts w:eastAsiaTheme="minorHAnsi"/>
          <w:color w:val="000000" w:themeColor="text1"/>
          <w:szCs w:val="24"/>
        </w:rPr>
        <w:t xml:space="preserve"> conclusion there was not a separately unfitting </w:t>
      </w:r>
      <w:proofErr w:type="spellStart"/>
      <w:r w:rsidR="0068368B">
        <w:rPr>
          <w:rFonts w:eastAsiaTheme="minorHAnsi"/>
          <w:color w:val="000000" w:themeColor="text1"/>
          <w:szCs w:val="24"/>
        </w:rPr>
        <w:t>radiculopathy</w:t>
      </w:r>
      <w:proofErr w:type="spellEnd"/>
      <w:r w:rsidR="0068368B">
        <w:rPr>
          <w:rFonts w:eastAsiaTheme="minorHAnsi"/>
          <w:color w:val="000000" w:themeColor="text1"/>
          <w:szCs w:val="24"/>
        </w:rPr>
        <w:t>.</w:t>
      </w:r>
      <w:r w:rsidR="00390EE2">
        <w:rPr>
          <w:rFonts w:eastAsiaTheme="minorHAnsi"/>
          <w:color w:val="000000" w:themeColor="text1"/>
          <w:szCs w:val="24"/>
        </w:rPr>
        <w:t xml:space="preserve">  The </w:t>
      </w:r>
      <w:r w:rsidR="00AC042B">
        <w:rPr>
          <w:rFonts w:eastAsiaTheme="minorHAnsi"/>
          <w:color w:val="000000" w:themeColor="text1"/>
          <w:szCs w:val="24"/>
        </w:rPr>
        <w:t>V</w:t>
      </w:r>
      <w:r w:rsidR="007E76BD">
        <w:rPr>
          <w:rFonts w:eastAsiaTheme="minorHAnsi"/>
          <w:color w:val="000000" w:themeColor="text1"/>
          <w:szCs w:val="24"/>
        </w:rPr>
        <w:t>A</w:t>
      </w:r>
      <w:r w:rsidR="00390EE2">
        <w:rPr>
          <w:rFonts w:eastAsiaTheme="minorHAnsi"/>
          <w:color w:val="000000" w:themeColor="text1"/>
          <w:szCs w:val="24"/>
        </w:rPr>
        <w:t xml:space="preserve"> </w:t>
      </w:r>
      <w:r w:rsidR="00582B9B">
        <w:rPr>
          <w:rFonts w:eastAsiaTheme="minorHAnsi"/>
          <w:color w:val="000000" w:themeColor="text1"/>
          <w:szCs w:val="24"/>
        </w:rPr>
        <w:t>C</w:t>
      </w:r>
      <w:r w:rsidR="00390EE2">
        <w:rPr>
          <w:rFonts w:eastAsiaTheme="minorHAnsi"/>
          <w:color w:val="000000" w:themeColor="text1"/>
          <w:szCs w:val="24"/>
        </w:rPr>
        <w:t xml:space="preserve">ompensation and </w:t>
      </w:r>
      <w:r w:rsidR="00582B9B">
        <w:rPr>
          <w:rFonts w:eastAsiaTheme="minorHAnsi"/>
          <w:color w:val="000000" w:themeColor="text1"/>
          <w:szCs w:val="24"/>
        </w:rPr>
        <w:t>P</w:t>
      </w:r>
      <w:r w:rsidR="00390EE2">
        <w:rPr>
          <w:rFonts w:eastAsiaTheme="minorHAnsi"/>
          <w:color w:val="000000" w:themeColor="text1"/>
          <w:szCs w:val="24"/>
        </w:rPr>
        <w:t xml:space="preserve">ension (C&amp;P) examination, </w:t>
      </w:r>
      <w:r w:rsidR="007E76BD">
        <w:rPr>
          <w:rFonts w:eastAsiaTheme="minorHAnsi"/>
          <w:color w:val="000000" w:themeColor="text1"/>
          <w:szCs w:val="24"/>
        </w:rPr>
        <w:t>two</w:t>
      </w:r>
      <w:r w:rsidR="00390EE2">
        <w:rPr>
          <w:rFonts w:eastAsiaTheme="minorHAnsi"/>
          <w:color w:val="000000" w:themeColor="text1"/>
          <w:szCs w:val="24"/>
        </w:rPr>
        <w:t xml:space="preserve"> months after separation </w:t>
      </w:r>
      <w:r w:rsidR="00440E33">
        <w:rPr>
          <w:rFonts w:eastAsiaTheme="minorHAnsi"/>
          <w:color w:val="000000" w:themeColor="text1"/>
          <w:szCs w:val="24"/>
        </w:rPr>
        <w:t xml:space="preserve">and placement on TDRL </w:t>
      </w:r>
      <w:r w:rsidR="00390EE2">
        <w:rPr>
          <w:rFonts w:eastAsiaTheme="minorHAnsi"/>
          <w:color w:val="000000" w:themeColor="text1"/>
          <w:szCs w:val="24"/>
        </w:rPr>
        <w:t xml:space="preserve">documented a dramatically worsened </w:t>
      </w:r>
      <w:proofErr w:type="spellStart"/>
      <w:r w:rsidR="00963E09">
        <w:rPr>
          <w:rFonts w:eastAsiaTheme="minorHAnsi"/>
          <w:color w:val="000000" w:themeColor="text1"/>
          <w:szCs w:val="24"/>
        </w:rPr>
        <w:t>t</w:t>
      </w:r>
      <w:r w:rsidR="00390EE2">
        <w:rPr>
          <w:rFonts w:eastAsiaTheme="minorHAnsi"/>
          <w:color w:val="000000" w:themeColor="text1"/>
          <w:szCs w:val="24"/>
        </w:rPr>
        <w:t>horacolumbar</w:t>
      </w:r>
      <w:proofErr w:type="spellEnd"/>
      <w:r w:rsidR="00390EE2">
        <w:rPr>
          <w:rFonts w:eastAsiaTheme="minorHAnsi"/>
          <w:color w:val="000000" w:themeColor="text1"/>
          <w:szCs w:val="24"/>
        </w:rPr>
        <w:t xml:space="preserve"> </w:t>
      </w:r>
      <w:r w:rsidR="00582B9B">
        <w:rPr>
          <w:rFonts w:eastAsiaTheme="minorHAnsi"/>
          <w:color w:val="000000" w:themeColor="text1"/>
          <w:szCs w:val="24"/>
        </w:rPr>
        <w:t>ROM</w:t>
      </w:r>
      <w:r w:rsidR="00390EE2">
        <w:rPr>
          <w:rFonts w:eastAsiaTheme="minorHAnsi"/>
          <w:color w:val="000000" w:themeColor="text1"/>
          <w:szCs w:val="24"/>
        </w:rPr>
        <w:t xml:space="preserve"> (30 degrees flexion, 75 degrees combined </w:t>
      </w:r>
      <w:r w:rsidR="00FF4928">
        <w:rPr>
          <w:rFonts w:eastAsiaTheme="minorHAnsi"/>
          <w:color w:val="000000" w:themeColor="text1"/>
          <w:szCs w:val="24"/>
        </w:rPr>
        <w:t>ROM</w:t>
      </w:r>
      <w:r w:rsidR="00390EE2">
        <w:rPr>
          <w:rFonts w:eastAsiaTheme="minorHAnsi"/>
          <w:color w:val="000000" w:themeColor="text1"/>
          <w:szCs w:val="24"/>
        </w:rPr>
        <w:t xml:space="preserve">) upon which the VA based </w:t>
      </w:r>
      <w:r w:rsidR="00A91092">
        <w:rPr>
          <w:rFonts w:eastAsiaTheme="minorHAnsi"/>
          <w:color w:val="000000" w:themeColor="text1"/>
          <w:szCs w:val="24"/>
        </w:rPr>
        <w:t>its</w:t>
      </w:r>
      <w:r w:rsidR="00390EE2">
        <w:rPr>
          <w:rFonts w:eastAsiaTheme="minorHAnsi"/>
          <w:color w:val="000000" w:themeColor="text1"/>
          <w:szCs w:val="24"/>
        </w:rPr>
        <w:t xml:space="preserve"> 40% rating</w:t>
      </w:r>
      <w:r w:rsidR="00963E09">
        <w:rPr>
          <w:rFonts w:eastAsiaTheme="minorHAnsi"/>
          <w:color w:val="000000" w:themeColor="text1"/>
          <w:szCs w:val="24"/>
        </w:rPr>
        <w:t xml:space="preserve">.  </w:t>
      </w:r>
      <w:proofErr w:type="gramStart"/>
      <w:r w:rsidR="00390EE2">
        <w:rPr>
          <w:rFonts w:eastAsiaTheme="minorHAnsi"/>
          <w:color w:val="000000" w:themeColor="text1"/>
          <w:szCs w:val="24"/>
        </w:rPr>
        <w:t>A pain clinic encounter</w:t>
      </w:r>
      <w:proofErr w:type="gramEnd"/>
      <w:r w:rsidR="00390EE2">
        <w:rPr>
          <w:rFonts w:eastAsiaTheme="minorHAnsi"/>
          <w:color w:val="000000" w:themeColor="text1"/>
          <w:szCs w:val="24"/>
        </w:rPr>
        <w:t xml:space="preserve"> </w:t>
      </w:r>
      <w:r w:rsidR="007E76BD">
        <w:rPr>
          <w:rFonts w:eastAsiaTheme="minorHAnsi"/>
          <w:color w:val="000000" w:themeColor="text1"/>
          <w:szCs w:val="24"/>
        </w:rPr>
        <w:t>two m</w:t>
      </w:r>
      <w:r w:rsidR="00390EE2">
        <w:rPr>
          <w:rFonts w:eastAsiaTheme="minorHAnsi"/>
          <w:color w:val="000000" w:themeColor="text1"/>
          <w:szCs w:val="24"/>
        </w:rPr>
        <w:t>onths after the C&amp;P examination recorded a flexion of 60 degrees.</w:t>
      </w:r>
      <w:r w:rsidR="005743D9">
        <w:rPr>
          <w:rFonts w:eastAsiaTheme="minorHAnsi"/>
          <w:color w:val="000000" w:themeColor="text1"/>
          <w:szCs w:val="24"/>
        </w:rPr>
        <w:t xml:space="preserve">  Board members agreed that the MEB examination supported the 10% rating adjudicated by the PEB at the time of placement on the TDRL.  </w:t>
      </w:r>
    </w:p>
    <w:p w:rsidR="00390EE2" w:rsidRDefault="00390EE2" w:rsidP="00963E09">
      <w:pPr>
        <w:jc w:val="both"/>
        <w:rPr>
          <w:rFonts w:eastAsiaTheme="minorHAnsi"/>
          <w:color w:val="000000" w:themeColor="text1"/>
          <w:szCs w:val="24"/>
        </w:rPr>
      </w:pPr>
    </w:p>
    <w:p w:rsidR="005743D9" w:rsidRPr="000F2CC3" w:rsidRDefault="00390EE2" w:rsidP="00963E09">
      <w:pPr>
        <w:jc w:val="both"/>
        <w:rPr>
          <w:rFonts w:asciiTheme="minorHAnsi" w:hAnsiTheme="minorHAnsi"/>
          <w:color w:val="auto"/>
          <w:szCs w:val="24"/>
        </w:rPr>
      </w:pPr>
      <w:r>
        <w:rPr>
          <w:rFonts w:eastAsiaTheme="minorHAnsi"/>
          <w:color w:val="000000" w:themeColor="text1"/>
          <w:szCs w:val="24"/>
        </w:rPr>
        <w:t xml:space="preserve">The CI underwent TDRL </w:t>
      </w:r>
      <w:r w:rsidR="00A91092">
        <w:rPr>
          <w:rFonts w:eastAsiaTheme="minorHAnsi"/>
          <w:color w:val="000000" w:themeColor="text1"/>
          <w:szCs w:val="24"/>
        </w:rPr>
        <w:t>reevaluation</w:t>
      </w:r>
      <w:r>
        <w:rPr>
          <w:rFonts w:eastAsiaTheme="minorHAnsi"/>
          <w:color w:val="000000" w:themeColor="text1"/>
          <w:szCs w:val="24"/>
        </w:rPr>
        <w:t xml:space="preserve"> 20 March 2007 by orthopedics and physical therapy.</w:t>
      </w:r>
      <w:r w:rsidR="006B72CB">
        <w:rPr>
          <w:rFonts w:eastAsiaTheme="minorHAnsi"/>
          <w:color w:val="000000" w:themeColor="text1"/>
          <w:szCs w:val="24"/>
        </w:rPr>
        <w:t xml:space="preserve">  </w:t>
      </w:r>
      <w:r w:rsidR="00E86811">
        <w:rPr>
          <w:rFonts w:eastAsiaTheme="minorHAnsi"/>
          <w:color w:val="000000" w:themeColor="text1"/>
          <w:szCs w:val="24"/>
        </w:rPr>
        <w:t xml:space="preserve">The orthopedic examiner recorded CI complaint of </w:t>
      </w:r>
      <w:proofErr w:type="spellStart"/>
      <w:r w:rsidR="00E86811">
        <w:rPr>
          <w:rFonts w:eastAsiaTheme="minorHAnsi"/>
          <w:color w:val="000000" w:themeColor="text1"/>
          <w:szCs w:val="24"/>
        </w:rPr>
        <w:t>radicular</w:t>
      </w:r>
      <w:proofErr w:type="spellEnd"/>
      <w:r w:rsidR="00E86811">
        <w:rPr>
          <w:rFonts w:eastAsiaTheme="minorHAnsi"/>
          <w:color w:val="000000" w:themeColor="text1"/>
          <w:szCs w:val="24"/>
        </w:rPr>
        <w:t xml:space="preserve"> pain into both legs </w:t>
      </w:r>
      <w:r w:rsidR="00A91092">
        <w:rPr>
          <w:rFonts w:eastAsiaTheme="minorHAnsi"/>
          <w:color w:val="000000" w:themeColor="text1"/>
          <w:szCs w:val="24"/>
        </w:rPr>
        <w:t>with occasional</w:t>
      </w:r>
      <w:r w:rsidR="00E86811">
        <w:rPr>
          <w:rFonts w:eastAsiaTheme="minorHAnsi"/>
          <w:color w:val="000000" w:themeColor="text1"/>
          <w:szCs w:val="24"/>
        </w:rPr>
        <w:t xml:space="preserve"> numbness and tingling into both calves.  The orthopedist recorded an </w:t>
      </w:r>
      <w:proofErr w:type="spellStart"/>
      <w:r w:rsidR="00E86811">
        <w:rPr>
          <w:rFonts w:eastAsiaTheme="minorHAnsi"/>
          <w:color w:val="000000" w:themeColor="text1"/>
          <w:szCs w:val="24"/>
        </w:rPr>
        <w:t>antalgic</w:t>
      </w:r>
      <w:proofErr w:type="spellEnd"/>
      <w:r w:rsidR="00E86811">
        <w:rPr>
          <w:rFonts w:eastAsiaTheme="minorHAnsi"/>
          <w:color w:val="000000" w:themeColor="text1"/>
          <w:szCs w:val="24"/>
        </w:rPr>
        <w:t xml:space="preserve"> gait.  Muscle strength sensation and reflexes of the lower extremities were intact.  </w:t>
      </w:r>
      <w:r w:rsidR="006B72CB">
        <w:rPr>
          <w:rFonts w:eastAsiaTheme="minorHAnsi"/>
          <w:color w:val="000000" w:themeColor="text1"/>
          <w:szCs w:val="24"/>
        </w:rPr>
        <w:t xml:space="preserve">The physical therapy </w:t>
      </w:r>
      <w:proofErr w:type="spellStart"/>
      <w:r w:rsidR="006B72CB">
        <w:rPr>
          <w:rFonts w:eastAsiaTheme="minorHAnsi"/>
          <w:color w:val="000000" w:themeColor="text1"/>
          <w:szCs w:val="24"/>
        </w:rPr>
        <w:t>thoracolumbar</w:t>
      </w:r>
      <w:proofErr w:type="spellEnd"/>
      <w:r w:rsidR="006B72CB">
        <w:rPr>
          <w:rFonts w:eastAsiaTheme="minorHAnsi"/>
          <w:color w:val="000000" w:themeColor="text1"/>
          <w:szCs w:val="24"/>
        </w:rPr>
        <w:t xml:space="preserve"> </w:t>
      </w:r>
      <w:r w:rsidR="00582B9B">
        <w:rPr>
          <w:rFonts w:eastAsiaTheme="minorHAnsi"/>
          <w:color w:val="000000" w:themeColor="text1"/>
          <w:szCs w:val="24"/>
        </w:rPr>
        <w:t>ROM</w:t>
      </w:r>
      <w:r w:rsidR="006B72CB">
        <w:rPr>
          <w:rFonts w:eastAsiaTheme="minorHAnsi"/>
          <w:color w:val="000000" w:themeColor="text1"/>
          <w:szCs w:val="24"/>
        </w:rPr>
        <w:t xml:space="preserve"> was flexion of 45 degrees with a combined </w:t>
      </w:r>
      <w:r w:rsidR="00582B9B">
        <w:rPr>
          <w:rFonts w:eastAsiaTheme="minorHAnsi"/>
          <w:color w:val="000000" w:themeColor="text1"/>
          <w:szCs w:val="24"/>
        </w:rPr>
        <w:t>ROM of 170 degrees; however, it was limited by pain.</w:t>
      </w:r>
      <w:r w:rsidR="006B72CB">
        <w:rPr>
          <w:rFonts w:eastAsiaTheme="minorHAnsi"/>
          <w:color w:val="000000" w:themeColor="text1"/>
          <w:szCs w:val="24"/>
        </w:rPr>
        <w:t xml:space="preserve">  The gait was indicated to be normal.</w:t>
      </w:r>
      <w:r w:rsidR="00EE05CE">
        <w:rPr>
          <w:rFonts w:eastAsiaTheme="minorHAnsi"/>
          <w:color w:val="000000" w:themeColor="text1"/>
          <w:szCs w:val="24"/>
        </w:rPr>
        <w:t xml:space="preserve">  </w:t>
      </w:r>
      <w:r w:rsidR="00FF4928">
        <w:rPr>
          <w:rFonts w:eastAsiaTheme="minorHAnsi"/>
          <w:color w:val="000000" w:themeColor="text1"/>
          <w:szCs w:val="24"/>
        </w:rPr>
        <w:t>6</w:t>
      </w:r>
      <w:r w:rsidR="006B72CB">
        <w:rPr>
          <w:rFonts w:eastAsiaTheme="minorHAnsi"/>
          <w:color w:val="000000" w:themeColor="text1"/>
          <w:szCs w:val="24"/>
        </w:rPr>
        <w:t xml:space="preserve"> months previously, a VA C&amp;P examination, 7 October 2006, recorded a </w:t>
      </w:r>
      <w:proofErr w:type="spellStart"/>
      <w:r w:rsidR="006B72CB">
        <w:rPr>
          <w:rFonts w:eastAsiaTheme="minorHAnsi"/>
          <w:color w:val="000000" w:themeColor="text1"/>
          <w:szCs w:val="24"/>
        </w:rPr>
        <w:t>thoracolumbar</w:t>
      </w:r>
      <w:proofErr w:type="spellEnd"/>
      <w:r w:rsidR="006B72CB">
        <w:rPr>
          <w:rFonts w:eastAsiaTheme="minorHAnsi"/>
          <w:color w:val="000000" w:themeColor="text1"/>
          <w:szCs w:val="24"/>
        </w:rPr>
        <w:t xml:space="preserve"> flexion of 60 degrees with a combined </w:t>
      </w:r>
      <w:r w:rsidR="00FF4928">
        <w:rPr>
          <w:rFonts w:eastAsiaTheme="minorHAnsi"/>
          <w:color w:val="000000" w:themeColor="text1"/>
          <w:szCs w:val="24"/>
        </w:rPr>
        <w:t>ROM</w:t>
      </w:r>
      <w:r w:rsidR="006B72CB">
        <w:rPr>
          <w:rFonts w:eastAsiaTheme="minorHAnsi"/>
          <w:color w:val="000000" w:themeColor="text1"/>
          <w:szCs w:val="24"/>
        </w:rPr>
        <w:t xml:space="preserve"> of 190 degrees and a normal gait.  The PEB adjudicated a 10% rating with apparent applica</w:t>
      </w:r>
      <w:r w:rsidR="005743D9">
        <w:rPr>
          <w:rFonts w:eastAsiaTheme="minorHAnsi"/>
          <w:color w:val="000000" w:themeColor="text1"/>
          <w:szCs w:val="24"/>
        </w:rPr>
        <w:t>t</w:t>
      </w:r>
      <w:r w:rsidR="006B72CB">
        <w:rPr>
          <w:rFonts w:eastAsiaTheme="minorHAnsi"/>
          <w:color w:val="000000" w:themeColor="text1"/>
          <w:szCs w:val="24"/>
        </w:rPr>
        <w:t xml:space="preserve">ion of the USAPDA Pain </w:t>
      </w:r>
      <w:r w:rsidR="005743D9">
        <w:rPr>
          <w:rFonts w:eastAsiaTheme="minorHAnsi"/>
          <w:color w:val="000000" w:themeColor="text1"/>
          <w:szCs w:val="24"/>
        </w:rPr>
        <w:t>P</w:t>
      </w:r>
      <w:r w:rsidR="006B72CB">
        <w:rPr>
          <w:rFonts w:eastAsiaTheme="minorHAnsi"/>
          <w:color w:val="000000" w:themeColor="text1"/>
          <w:szCs w:val="24"/>
        </w:rPr>
        <w:t>olicy.</w:t>
      </w:r>
      <w:r w:rsidR="005743D9">
        <w:rPr>
          <w:rFonts w:eastAsiaTheme="minorHAnsi"/>
          <w:color w:val="000000" w:themeColor="text1"/>
          <w:szCs w:val="24"/>
        </w:rPr>
        <w:t xml:space="preserve">  With regard to the permanent rating for the lumbar spine condi</w:t>
      </w:r>
      <w:r w:rsidR="008072FB">
        <w:rPr>
          <w:rFonts w:eastAsiaTheme="minorHAnsi"/>
          <w:color w:val="000000" w:themeColor="text1"/>
          <w:szCs w:val="24"/>
        </w:rPr>
        <w:t xml:space="preserve">tion </w:t>
      </w:r>
      <w:r w:rsidR="005743D9">
        <w:rPr>
          <w:rFonts w:eastAsiaTheme="minorHAnsi"/>
          <w:color w:val="000000" w:themeColor="text1"/>
          <w:szCs w:val="24"/>
        </w:rPr>
        <w:t xml:space="preserve">at the time of removal from the TDRL, the Board noted that the </w:t>
      </w:r>
      <w:r w:rsidR="00FF4928">
        <w:rPr>
          <w:rFonts w:eastAsiaTheme="minorHAnsi"/>
          <w:color w:val="000000" w:themeColor="text1"/>
          <w:szCs w:val="24"/>
        </w:rPr>
        <w:t xml:space="preserve">ROM </w:t>
      </w:r>
      <w:r w:rsidR="005743D9">
        <w:rPr>
          <w:rFonts w:eastAsiaTheme="minorHAnsi"/>
          <w:color w:val="000000" w:themeColor="text1"/>
          <w:szCs w:val="24"/>
        </w:rPr>
        <w:t>recorded by the physical therapist supports a 20% rating.  The C&amp;P examination just prior to the TDRL examination also supports a 20% rating.</w:t>
      </w:r>
      <w:r w:rsidR="00440E33">
        <w:rPr>
          <w:rFonts w:eastAsiaTheme="minorHAnsi"/>
          <w:color w:val="000000" w:themeColor="text1"/>
          <w:szCs w:val="24"/>
        </w:rPr>
        <w:t xml:space="preserve">  </w:t>
      </w:r>
      <w:r w:rsidR="00440E33" w:rsidRPr="00872D93">
        <w:rPr>
          <w:rFonts w:asciiTheme="minorHAnsi" w:hAnsiTheme="minorHAnsi"/>
          <w:color w:val="auto"/>
          <w:szCs w:val="24"/>
        </w:rPr>
        <w:t xml:space="preserve">The Board also considered rating </w:t>
      </w:r>
      <w:proofErr w:type="spellStart"/>
      <w:r w:rsidR="00440E33" w:rsidRPr="00872D93">
        <w:rPr>
          <w:rFonts w:asciiTheme="minorHAnsi" w:hAnsiTheme="minorHAnsi"/>
          <w:color w:val="auto"/>
          <w:szCs w:val="24"/>
        </w:rPr>
        <w:t>intervertebral</w:t>
      </w:r>
      <w:proofErr w:type="spellEnd"/>
      <w:r w:rsidR="00440E33" w:rsidRPr="00872D93">
        <w:rPr>
          <w:rFonts w:asciiTheme="minorHAnsi" w:hAnsiTheme="minorHAnsi"/>
          <w:color w:val="auto"/>
          <w:szCs w:val="24"/>
        </w:rPr>
        <w:t xml:space="preserve"> disc disease under the alternative formula for incapacitating episodes, but could not find sufficient evidence which would meet even 10% criteria under that formula</w:t>
      </w:r>
      <w:r w:rsidR="00440E33">
        <w:rPr>
          <w:rFonts w:asciiTheme="minorHAnsi" w:hAnsiTheme="minorHAnsi"/>
          <w:color w:val="auto"/>
          <w:szCs w:val="24"/>
        </w:rPr>
        <w:t xml:space="preserve">.  </w:t>
      </w:r>
      <w:r w:rsidR="005743D9" w:rsidRPr="00DE4A17">
        <w:rPr>
          <w:rFonts w:asciiTheme="minorHAnsi" w:hAnsiTheme="minorHAnsi"/>
          <w:color w:val="auto"/>
          <w:szCs w:val="24"/>
        </w:rPr>
        <w:t xml:space="preserve">The Board </w:t>
      </w:r>
      <w:r w:rsidR="005743D9">
        <w:rPr>
          <w:rFonts w:asciiTheme="minorHAnsi" w:hAnsiTheme="minorHAnsi"/>
          <w:color w:val="auto"/>
          <w:szCs w:val="24"/>
        </w:rPr>
        <w:t>also considered</w:t>
      </w:r>
      <w:r w:rsidR="005743D9" w:rsidRPr="00DE4A17">
        <w:rPr>
          <w:rFonts w:asciiTheme="minorHAnsi" w:hAnsiTheme="minorHAnsi"/>
          <w:color w:val="auto"/>
          <w:szCs w:val="24"/>
        </w:rPr>
        <w:t xml:space="preserve"> if </w:t>
      </w:r>
      <w:r w:rsidR="005743D9" w:rsidRPr="00DE4A17">
        <w:rPr>
          <w:rFonts w:asciiTheme="minorHAnsi" w:hAnsiTheme="minorHAnsi"/>
          <w:color w:val="auto"/>
          <w:szCs w:val="24"/>
        </w:rPr>
        <w:lastRenderedPageBreak/>
        <w:t>additional disability rating was justified for peripheral nerve impairment</w:t>
      </w:r>
      <w:r w:rsidR="005743D9">
        <w:rPr>
          <w:rFonts w:asciiTheme="minorHAnsi" w:hAnsiTheme="minorHAnsi"/>
          <w:color w:val="auto"/>
          <w:szCs w:val="24"/>
        </w:rPr>
        <w:t xml:space="preserve"> due to </w:t>
      </w:r>
      <w:proofErr w:type="spellStart"/>
      <w:r w:rsidR="005743D9">
        <w:rPr>
          <w:rFonts w:asciiTheme="minorHAnsi" w:hAnsiTheme="minorHAnsi"/>
          <w:color w:val="auto"/>
          <w:szCs w:val="24"/>
        </w:rPr>
        <w:t>radiculopathy</w:t>
      </w:r>
      <w:proofErr w:type="spellEnd"/>
      <w:r w:rsidR="00440E33">
        <w:rPr>
          <w:rFonts w:asciiTheme="minorHAnsi" w:hAnsiTheme="minorHAnsi"/>
          <w:color w:val="auto"/>
          <w:szCs w:val="24"/>
        </w:rPr>
        <w:t xml:space="preserve"> at the time of placement </w:t>
      </w:r>
      <w:r w:rsidR="00E86811">
        <w:rPr>
          <w:rFonts w:asciiTheme="minorHAnsi" w:hAnsiTheme="minorHAnsi"/>
          <w:color w:val="auto"/>
          <w:szCs w:val="24"/>
        </w:rPr>
        <w:t xml:space="preserve">on or removal from </w:t>
      </w:r>
      <w:r w:rsidR="00440E33">
        <w:rPr>
          <w:rFonts w:asciiTheme="minorHAnsi" w:hAnsiTheme="minorHAnsi"/>
          <w:color w:val="auto"/>
          <w:szCs w:val="24"/>
        </w:rPr>
        <w:t>the TDRL</w:t>
      </w:r>
      <w:r w:rsidR="00E86811">
        <w:rPr>
          <w:rFonts w:asciiTheme="minorHAnsi" w:hAnsiTheme="minorHAnsi"/>
          <w:color w:val="auto"/>
          <w:szCs w:val="24"/>
        </w:rPr>
        <w:t>.</w:t>
      </w:r>
      <w:r w:rsidR="00EE05CE">
        <w:rPr>
          <w:rFonts w:asciiTheme="minorHAnsi" w:hAnsiTheme="minorHAnsi"/>
          <w:color w:val="auto"/>
          <w:szCs w:val="24"/>
        </w:rPr>
        <w:t xml:space="preserve">  </w:t>
      </w:r>
      <w:r w:rsidR="005743D9" w:rsidRPr="000F2CC3">
        <w:rPr>
          <w:rFonts w:asciiTheme="minorHAnsi" w:hAnsiTheme="minorHAnsi"/>
          <w:color w:val="auto"/>
          <w:szCs w:val="24"/>
        </w:rPr>
        <w:t xml:space="preserve">Board precedent is that a functional impairment tied to fitness is required to support a recommendation for addition of a peripheral nerve rating at separation.  The pain component of a </w:t>
      </w:r>
      <w:proofErr w:type="spellStart"/>
      <w:r w:rsidR="005743D9" w:rsidRPr="000F2CC3">
        <w:rPr>
          <w:rFonts w:asciiTheme="minorHAnsi" w:hAnsiTheme="minorHAnsi"/>
          <w:color w:val="auto"/>
          <w:szCs w:val="24"/>
        </w:rPr>
        <w:t>radiculopathy</w:t>
      </w:r>
      <w:proofErr w:type="spellEnd"/>
      <w:r w:rsidR="005743D9" w:rsidRPr="000F2CC3">
        <w:rPr>
          <w:rFonts w:asciiTheme="minorHAnsi" w:hAnsiTheme="minorHAnsi"/>
          <w:color w:val="auto"/>
          <w:szCs w:val="24"/>
        </w:rPr>
        <w:t xml:space="preserve"> is subsumed under the general spine rating as specified in §4.71a.  The sensory component in this case has no functional implications and no motor impairment noted.  Since no evidence of functional impairment exists in this case, the Board cannot support a recommendation for additional rating based on peripheral nerve impairment.</w:t>
      </w:r>
      <w:r w:rsidR="00440E33">
        <w:rPr>
          <w:rFonts w:asciiTheme="minorHAnsi" w:hAnsiTheme="minorHAnsi"/>
          <w:color w:val="auto"/>
          <w:szCs w:val="24"/>
        </w:rPr>
        <w:t xml:space="preserve">  </w:t>
      </w:r>
      <w:r w:rsidR="005743D9" w:rsidRPr="000F2CC3">
        <w:rPr>
          <w:rFonts w:asciiTheme="minorHAnsi" w:hAnsiTheme="minorHAnsi"/>
          <w:color w:val="auto"/>
          <w:szCs w:val="24"/>
        </w:rPr>
        <w:t xml:space="preserve">After due deliberation, in consideration of the totality of the evidence, and </w:t>
      </w:r>
      <w:r w:rsidR="005743D9" w:rsidRPr="00CB4B94">
        <w:rPr>
          <w:rFonts w:asciiTheme="minorHAnsi" w:hAnsiTheme="minorHAnsi"/>
          <w:color w:val="auto"/>
          <w:szCs w:val="24"/>
        </w:rPr>
        <w:t xml:space="preserve">IAW §4.3 (reasonable doubt), </w:t>
      </w:r>
      <w:r w:rsidR="005743D9" w:rsidRPr="000F2CC3">
        <w:rPr>
          <w:rFonts w:asciiTheme="minorHAnsi" w:hAnsiTheme="minorHAnsi"/>
          <w:color w:val="auto"/>
          <w:szCs w:val="24"/>
        </w:rPr>
        <w:t xml:space="preserve">the Board concluded that there was sufficient cause to recommend a </w:t>
      </w:r>
      <w:r w:rsidR="00440E33">
        <w:rPr>
          <w:rFonts w:asciiTheme="minorHAnsi" w:hAnsiTheme="minorHAnsi"/>
          <w:color w:val="auto"/>
          <w:szCs w:val="24"/>
        </w:rPr>
        <w:t xml:space="preserve">permanent rating of 20% </w:t>
      </w:r>
      <w:r w:rsidR="005743D9" w:rsidRPr="000F2CC3">
        <w:rPr>
          <w:rFonts w:asciiTheme="minorHAnsi" w:hAnsiTheme="minorHAnsi"/>
          <w:color w:val="auto"/>
          <w:szCs w:val="24"/>
        </w:rPr>
        <w:t>for the back condition</w:t>
      </w:r>
      <w:r w:rsidR="00440E33">
        <w:rPr>
          <w:rFonts w:asciiTheme="minorHAnsi" w:hAnsiTheme="minorHAnsi"/>
          <w:color w:val="auto"/>
          <w:szCs w:val="24"/>
        </w:rPr>
        <w:t xml:space="preserve"> at the time of removal from the TDRL</w:t>
      </w:r>
      <w:r w:rsidR="005743D9" w:rsidRPr="000F2CC3">
        <w:rPr>
          <w:rFonts w:asciiTheme="minorHAnsi" w:hAnsiTheme="minorHAnsi"/>
          <w:color w:val="auto"/>
          <w:szCs w:val="24"/>
        </w:rPr>
        <w:t xml:space="preserve">. </w:t>
      </w:r>
    </w:p>
    <w:p w:rsidR="00D5602A" w:rsidRDefault="00D5602A" w:rsidP="008B2C86">
      <w:pPr>
        <w:jc w:val="both"/>
        <w:rPr>
          <w:color w:val="000000" w:themeColor="text1"/>
          <w:szCs w:val="24"/>
        </w:rPr>
      </w:pPr>
    </w:p>
    <w:p w:rsidR="00440F63" w:rsidRDefault="00FA5238" w:rsidP="008B2C86">
      <w:pPr>
        <w:jc w:val="both"/>
        <w:rPr>
          <w:rFonts w:eastAsiaTheme="minorHAnsi"/>
          <w:color w:val="000000" w:themeColor="text1"/>
          <w:szCs w:val="24"/>
        </w:rPr>
      </w:pPr>
      <w:proofErr w:type="gramStart"/>
      <w:r w:rsidRPr="001B0D5B">
        <w:rPr>
          <w:color w:val="000000" w:themeColor="text1"/>
          <w:szCs w:val="24"/>
          <w:u w:val="single"/>
        </w:rPr>
        <w:t>Cervical Condition</w:t>
      </w:r>
      <w:r w:rsidR="00FB65D6" w:rsidRPr="00440E33">
        <w:rPr>
          <w:color w:val="000000" w:themeColor="text1"/>
          <w:szCs w:val="24"/>
        </w:rPr>
        <w:t>.</w:t>
      </w:r>
      <w:proofErr w:type="gramEnd"/>
      <w:r w:rsidR="00440E33" w:rsidRPr="00440E33">
        <w:rPr>
          <w:color w:val="000000" w:themeColor="text1"/>
          <w:szCs w:val="24"/>
        </w:rPr>
        <w:t xml:space="preserve"> </w:t>
      </w:r>
      <w:r w:rsidR="008B2C86">
        <w:rPr>
          <w:color w:val="000000" w:themeColor="text1"/>
          <w:szCs w:val="24"/>
        </w:rPr>
        <w:t xml:space="preserve"> </w:t>
      </w:r>
      <w:r w:rsidR="00AB69D7">
        <w:rPr>
          <w:rFonts w:eastAsiaTheme="minorHAnsi"/>
          <w:color w:val="000000" w:themeColor="text1"/>
          <w:szCs w:val="24"/>
        </w:rPr>
        <w:t>In January 2005, the CI was diagnosed with multilevel degenerative disc disease associated with pain and numbness radiating into the right arm.  Evaluation by neurosurgery documented intact strength and reflexes but decr</w:t>
      </w:r>
      <w:r w:rsidR="00B374B6">
        <w:rPr>
          <w:rFonts w:eastAsiaTheme="minorHAnsi"/>
          <w:color w:val="000000" w:themeColor="text1"/>
          <w:szCs w:val="24"/>
        </w:rPr>
        <w:t>e</w:t>
      </w:r>
      <w:r w:rsidR="00AB69D7">
        <w:rPr>
          <w:rFonts w:eastAsiaTheme="minorHAnsi"/>
          <w:color w:val="000000" w:themeColor="text1"/>
          <w:szCs w:val="24"/>
        </w:rPr>
        <w:t>ased sensation of the right C6 root distribution</w:t>
      </w:r>
      <w:r w:rsidR="00E86811">
        <w:rPr>
          <w:rFonts w:eastAsiaTheme="minorHAnsi"/>
          <w:color w:val="000000" w:themeColor="text1"/>
          <w:szCs w:val="24"/>
        </w:rPr>
        <w:t xml:space="preserve"> (thought to be due to </w:t>
      </w:r>
      <w:proofErr w:type="spellStart"/>
      <w:r w:rsidR="00E86811">
        <w:rPr>
          <w:rFonts w:eastAsiaTheme="minorHAnsi"/>
          <w:color w:val="000000" w:themeColor="text1"/>
          <w:szCs w:val="24"/>
        </w:rPr>
        <w:t>ulnar</w:t>
      </w:r>
      <w:proofErr w:type="spellEnd"/>
      <w:r w:rsidR="00E86811">
        <w:rPr>
          <w:rFonts w:eastAsiaTheme="minorHAnsi"/>
          <w:color w:val="000000" w:themeColor="text1"/>
          <w:szCs w:val="24"/>
        </w:rPr>
        <w:t xml:space="preserve"> nerve irritation rather than the C6 spinal root by a different neurosurgeon)</w:t>
      </w:r>
      <w:r w:rsidR="00AB69D7">
        <w:rPr>
          <w:rFonts w:eastAsiaTheme="minorHAnsi"/>
          <w:color w:val="000000" w:themeColor="text1"/>
          <w:szCs w:val="24"/>
        </w:rPr>
        <w:t xml:space="preserve">.  </w:t>
      </w:r>
      <w:proofErr w:type="spellStart"/>
      <w:r w:rsidR="00AB69D7">
        <w:rPr>
          <w:rFonts w:eastAsiaTheme="minorHAnsi"/>
          <w:color w:val="000000" w:themeColor="text1"/>
          <w:szCs w:val="24"/>
        </w:rPr>
        <w:t>Electrodiagnostic</w:t>
      </w:r>
      <w:proofErr w:type="spellEnd"/>
      <w:r w:rsidR="00AB69D7">
        <w:rPr>
          <w:rFonts w:eastAsiaTheme="minorHAnsi"/>
          <w:color w:val="000000" w:themeColor="text1"/>
          <w:szCs w:val="24"/>
        </w:rPr>
        <w:t xml:space="preserve"> study (EMG, NCV), 4 March 2005 was negative for signs of cervical </w:t>
      </w:r>
      <w:proofErr w:type="spellStart"/>
      <w:r w:rsidR="00AB69D7">
        <w:rPr>
          <w:rFonts w:eastAsiaTheme="minorHAnsi"/>
          <w:color w:val="000000" w:themeColor="text1"/>
          <w:szCs w:val="24"/>
        </w:rPr>
        <w:t>radiculopathy</w:t>
      </w:r>
      <w:proofErr w:type="spellEnd"/>
      <w:r w:rsidR="00AB69D7">
        <w:rPr>
          <w:rFonts w:eastAsiaTheme="minorHAnsi"/>
          <w:color w:val="000000" w:themeColor="text1"/>
          <w:szCs w:val="24"/>
        </w:rPr>
        <w:t>.</w:t>
      </w:r>
      <w:r w:rsidR="00EE05CE">
        <w:rPr>
          <w:rFonts w:eastAsiaTheme="minorHAnsi"/>
          <w:color w:val="000000" w:themeColor="text1"/>
          <w:szCs w:val="24"/>
        </w:rPr>
        <w:t xml:space="preserve">  </w:t>
      </w:r>
      <w:proofErr w:type="gramStart"/>
      <w:r w:rsidR="00AB69D7">
        <w:rPr>
          <w:color w:val="000000" w:themeColor="text1"/>
          <w:szCs w:val="24"/>
        </w:rPr>
        <w:t xml:space="preserve">The MEB NARSUM examination, 3 March 2005, recorded cervical spine flexion of 40 degrees, and a combined cervical </w:t>
      </w:r>
      <w:r w:rsidR="00FF4928">
        <w:rPr>
          <w:color w:val="000000" w:themeColor="text1"/>
          <w:szCs w:val="24"/>
        </w:rPr>
        <w:t>ROM</w:t>
      </w:r>
      <w:r w:rsidR="00AB69D7">
        <w:rPr>
          <w:color w:val="000000" w:themeColor="text1"/>
          <w:szCs w:val="24"/>
        </w:rPr>
        <w:t xml:space="preserve"> of 285 degrees.</w:t>
      </w:r>
      <w:proofErr w:type="gramEnd"/>
      <w:r w:rsidR="00AB69D7">
        <w:rPr>
          <w:color w:val="000000" w:themeColor="text1"/>
          <w:szCs w:val="24"/>
        </w:rPr>
        <w:t xml:space="preserve">  </w:t>
      </w:r>
      <w:r w:rsidR="00AB69D7">
        <w:rPr>
          <w:rFonts w:eastAsiaTheme="minorHAnsi"/>
          <w:color w:val="000000" w:themeColor="text1"/>
          <w:szCs w:val="24"/>
        </w:rPr>
        <w:t xml:space="preserve">The PEB rated the cervical spine condition 10% based on </w:t>
      </w:r>
      <w:r w:rsidR="00FF4928">
        <w:rPr>
          <w:rFonts w:eastAsiaTheme="minorHAnsi"/>
          <w:color w:val="000000" w:themeColor="text1"/>
          <w:szCs w:val="24"/>
        </w:rPr>
        <w:t>ROM</w:t>
      </w:r>
      <w:r w:rsidR="00B374B6">
        <w:rPr>
          <w:rFonts w:eastAsiaTheme="minorHAnsi"/>
          <w:color w:val="000000" w:themeColor="text1"/>
          <w:szCs w:val="24"/>
        </w:rPr>
        <w:t xml:space="preserve"> at the time of placement on the TDRL</w:t>
      </w:r>
      <w:r w:rsidR="00AB69D7">
        <w:rPr>
          <w:rFonts w:eastAsiaTheme="minorHAnsi"/>
          <w:color w:val="000000" w:themeColor="text1"/>
          <w:szCs w:val="24"/>
        </w:rPr>
        <w:t>.</w:t>
      </w:r>
      <w:r w:rsidR="00B374B6">
        <w:rPr>
          <w:rFonts w:eastAsiaTheme="minorHAnsi"/>
          <w:color w:val="000000" w:themeColor="text1"/>
          <w:szCs w:val="24"/>
        </w:rPr>
        <w:t xml:space="preserve"> </w:t>
      </w:r>
      <w:r w:rsidR="00AB69D7">
        <w:rPr>
          <w:rFonts w:eastAsiaTheme="minorHAnsi"/>
          <w:color w:val="000000" w:themeColor="text1"/>
          <w:szCs w:val="24"/>
        </w:rPr>
        <w:t xml:space="preserve"> The PEB noted the normal EMG and absence of “significant neurologic abnormality” signaling </w:t>
      </w:r>
      <w:r w:rsidR="00A91092">
        <w:rPr>
          <w:rFonts w:eastAsiaTheme="minorHAnsi"/>
          <w:color w:val="000000" w:themeColor="text1"/>
          <w:szCs w:val="24"/>
        </w:rPr>
        <w:t>its</w:t>
      </w:r>
      <w:r w:rsidR="00AB69D7">
        <w:rPr>
          <w:rFonts w:eastAsiaTheme="minorHAnsi"/>
          <w:color w:val="000000" w:themeColor="text1"/>
          <w:szCs w:val="24"/>
        </w:rPr>
        <w:t xml:space="preserve"> conclusion there was not a separately unfitting </w:t>
      </w:r>
      <w:proofErr w:type="spellStart"/>
      <w:r w:rsidR="00AB69D7">
        <w:rPr>
          <w:rFonts w:eastAsiaTheme="minorHAnsi"/>
          <w:color w:val="000000" w:themeColor="text1"/>
          <w:szCs w:val="24"/>
        </w:rPr>
        <w:t>radiculopathy</w:t>
      </w:r>
      <w:proofErr w:type="spellEnd"/>
      <w:r w:rsidR="00AB69D7">
        <w:rPr>
          <w:rFonts w:eastAsiaTheme="minorHAnsi"/>
          <w:color w:val="000000" w:themeColor="text1"/>
          <w:szCs w:val="24"/>
        </w:rPr>
        <w:t>.</w:t>
      </w:r>
      <w:r w:rsidR="008B2C86">
        <w:rPr>
          <w:rFonts w:eastAsiaTheme="minorHAnsi"/>
          <w:color w:val="000000" w:themeColor="text1"/>
          <w:szCs w:val="24"/>
        </w:rPr>
        <w:t xml:space="preserve">  A 5 April 2005 neurosurgery examination record cervical spine </w:t>
      </w:r>
      <w:r w:rsidR="00FF4928">
        <w:rPr>
          <w:rFonts w:eastAsiaTheme="minorHAnsi"/>
          <w:color w:val="000000" w:themeColor="text1"/>
          <w:szCs w:val="24"/>
        </w:rPr>
        <w:t>ROM</w:t>
      </w:r>
      <w:r w:rsidR="008B2C86">
        <w:rPr>
          <w:rFonts w:eastAsiaTheme="minorHAnsi"/>
          <w:color w:val="000000" w:themeColor="text1"/>
          <w:szCs w:val="24"/>
        </w:rPr>
        <w:t xml:space="preserve"> of flexion 45 degrees, extension 60 degrees, lateral flexion of 40 degrees bilaterally, and rotation of 60 degrees bilaterally (combined 230 degrees).  A 10 May 2005 neurosurgery evaluation recorded that there was full </w:t>
      </w:r>
      <w:r w:rsidR="00FF4928">
        <w:rPr>
          <w:rFonts w:eastAsiaTheme="minorHAnsi"/>
          <w:color w:val="000000" w:themeColor="text1"/>
          <w:szCs w:val="24"/>
        </w:rPr>
        <w:t>ROM</w:t>
      </w:r>
      <w:r w:rsidR="008B2C86">
        <w:rPr>
          <w:rFonts w:eastAsiaTheme="minorHAnsi"/>
          <w:color w:val="000000" w:themeColor="text1"/>
          <w:szCs w:val="24"/>
        </w:rPr>
        <w:t xml:space="preserve"> of the cervical spine.  </w:t>
      </w:r>
      <w:r w:rsidR="00AB69D7">
        <w:rPr>
          <w:rFonts w:eastAsiaTheme="minorHAnsi"/>
          <w:color w:val="000000" w:themeColor="text1"/>
          <w:szCs w:val="24"/>
        </w:rPr>
        <w:t xml:space="preserve">The VA </w:t>
      </w:r>
      <w:r w:rsidR="00FF4928">
        <w:rPr>
          <w:rFonts w:eastAsiaTheme="minorHAnsi"/>
          <w:color w:val="000000" w:themeColor="text1"/>
          <w:szCs w:val="24"/>
        </w:rPr>
        <w:t>C&amp;P</w:t>
      </w:r>
      <w:r w:rsidR="00AB69D7">
        <w:rPr>
          <w:rFonts w:eastAsiaTheme="minorHAnsi"/>
          <w:color w:val="000000" w:themeColor="text1"/>
          <w:szCs w:val="24"/>
        </w:rPr>
        <w:t xml:space="preserve"> examination, </w:t>
      </w:r>
      <w:r w:rsidR="00FF4928">
        <w:rPr>
          <w:rFonts w:eastAsiaTheme="minorHAnsi"/>
          <w:color w:val="000000" w:themeColor="text1"/>
          <w:szCs w:val="24"/>
        </w:rPr>
        <w:t>2</w:t>
      </w:r>
      <w:r w:rsidR="00AB69D7">
        <w:rPr>
          <w:rFonts w:eastAsiaTheme="minorHAnsi"/>
          <w:color w:val="000000" w:themeColor="text1"/>
          <w:szCs w:val="24"/>
        </w:rPr>
        <w:t xml:space="preserve"> months after separation and placement on TDRL documented a dramatically worsened cervical spine </w:t>
      </w:r>
      <w:r w:rsidR="00FF4928">
        <w:rPr>
          <w:rFonts w:eastAsiaTheme="minorHAnsi"/>
          <w:color w:val="000000" w:themeColor="text1"/>
          <w:szCs w:val="24"/>
        </w:rPr>
        <w:t>ROM</w:t>
      </w:r>
      <w:r w:rsidR="008B2C86">
        <w:rPr>
          <w:rFonts w:eastAsiaTheme="minorHAnsi"/>
          <w:color w:val="000000" w:themeColor="text1"/>
          <w:szCs w:val="24"/>
        </w:rPr>
        <w:t xml:space="preserve"> </w:t>
      </w:r>
      <w:r w:rsidR="00AB69D7">
        <w:rPr>
          <w:rFonts w:eastAsiaTheme="minorHAnsi"/>
          <w:color w:val="000000" w:themeColor="text1"/>
          <w:szCs w:val="24"/>
        </w:rPr>
        <w:t>(</w:t>
      </w:r>
      <w:r w:rsidR="008B2C86">
        <w:rPr>
          <w:rFonts w:eastAsiaTheme="minorHAnsi"/>
          <w:color w:val="000000" w:themeColor="text1"/>
          <w:szCs w:val="24"/>
        </w:rPr>
        <w:t>1</w:t>
      </w:r>
      <w:r w:rsidR="00AB69D7">
        <w:rPr>
          <w:rFonts w:eastAsiaTheme="minorHAnsi"/>
          <w:color w:val="000000" w:themeColor="text1"/>
          <w:szCs w:val="24"/>
        </w:rPr>
        <w:t xml:space="preserve">0 degrees flexion, </w:t>
      </w:r>
      <w:r w:rsidR="008B2C86">
        <w:rPr>
          <w:rFonts w:eastAsiaTheme="minorHAnsi"/>
          <w:color w:val="000000" w:themeColor="text1"/>
          <w:szCs w:val="24"/>
        </w:rPr>
        <w:t>160</w:t>
      </w:r>
      <w:r w:rsidR="00AB69D7">
        <w:rPr>
          <w:rFonts w:eastAsiaTheme="minorHAnsi"/>
          <w:color w:val="000000" w:themeColor="text1"/>
          <w:szCs w:val="24"/>
        </w:rPr>
        <w:t xml:space="preserve"> degrees combined </w:t>
      </w:r>
      <w:r w:rsidR="00FF4928">
        <w:rPr>
          <w:rFonts w:eastAsiaTheme="minorHAnsi"/>
          <w:color w:val="000000" w:themeColor="text1"/>
          <w:szCs w:val="24"/>
        </w:rPr>
        <w:t>ROM</w:t>
      </w:r>
      <w:r w:rsidR="00AB69D7">
        <w:rPr>
          <w:rFonts w:eastAsiaTheme="minorHAnsi"/>
          <w:color w:val="000000" w:themeColor="text1"/>
          <w:szCs w:val="24"/>
        </w:rPr>
        <w:t xml:space="preserve">) upon which the VA based </w:t>
      </w:r>
      <w:r w:rsidR="00A91092">
        <w:rPr>
          <w:rFonts w:eastAsiaTheme="minorHAnsi"/>
          <w:color w:val="000000" w:themeColor="text1"/>
          <w:szCs w:val="24"/>
        </w:rPr>
        <w:t>its</w:t>
      </w:r>
      <w:r w:rsidR="00AB69D7">
        <w:rPr>
          <w:rFonts w:eastAsiaTheme="minorHAnsi"/>
          <w:color w:val="000000" w:themeColor="text1"/>
          <w:szCs w:val="24"/>
        </w:rPr>
        <w:t xml:space="preserve"> </w:t>
      </w:r>
      <w:r w:rsidR="008B2C86">
        <w:rPr>
          <w:rFonts w:eastAsiaTheme="minorHAnsi"/>
          <w:color w:val="000000" w:themeColor="text1"/>
          <w:szCs w:val="24"/>
        </w:rPr>
        <w:t>3</w:t>
      </w:r>
      <w:r w:rsidR="00AB69D7">
        <w:rPr>
          <w:rFonts w:eastAsiaTheme="minorHAnsi"/>
          <w:color w:val="000000" w:themeColor="text1"/>
          <w:szCs w:val="24"/>
        </w:rPr>
        <w:t>0% rating.</w:t>
      </w:r>
      <w:r w:rsidR="008B2C86">
        <w:rPr>
          <w:rFonts w:eastAsiaTheme="minorHAnsi"/>
          <w:color w:val="000000" w:themeColor="text1"/>
          <w:szCs w:val="24"/>
        </w:rPr>
        <w:t xml:space="preserve">  </w:t>
      </w:r>
      <w:r w:rsidR="00AB69D7">
        <w:rPr>
          <w:rFonts w:eastAsiaTheme="minorHAnsi"/>
          <w:color w:val="000000" w:themeColor="text1"/>
          <w:szCs w:val="24"/>
        </w:rPr>
        <w:t xml:space="preserve">Board members agreed that the MEB examination </w:t>
      </w:r>
      <w:r w:rsidR="008B2C86">
        <w:rPr>
          <w:rFonts w:eastAsiaTheme="minorHAnsi"/>
          <w:color w:val="000000" w:themeColor="text1"/>
          <w:szCs w:val="24"/>
        </w:rPr>
        <w:t xml:space="preserve">and the neurosurgery examinations </w:t>
      </w:r>
      <w:r w:rsidR="00AB69D7">
        <w:rPr>
          <w:rFonts w:eastAsiaTheme="minorHAnsi"/>
          <w:color w:val="000000" w:themeColor="text1"/>
          <w:szCs w:val="24"/>
        </w:rPr>
        <w:t>supported the 10% rating adjudicated by the PEB at the time of placement on the TDRL</w:t>
      </w:r>
      <w:r w:rsidR="00440F63">
        <w:rPr>
          <w:rFonts w:eastAsiaTheme="minorHAnsi"/>
          <w:color w:val="000000" w:themeColor="text1"/>
          <w:szCs w:val="24"/>
        </w:rPr>
        <w:t>.</w:t>
      </w:r>
    </w:p>
    <w:p w:rsidR="00440F63" w:rsidRDefault="00440F63" w:rsidP="008B2C86">
      <w:pPr>
        <w:jc w:val="both"/>
        <w:rPr>
          <w:rFonts w:asciiTheme="minorHAnsi" w:hAnsiTheme="minorHAnsi"/>
          <w:color w:val="auto"/>
          <w:szCs w:val="24"/>
        </w:rPr>
      </w:pPr>
    </w:p>
    <w:p w:rsidR="00357792" w:rsidRDefault="008B2C86" w:rsidP="00357792">
      <w:pPr>
        <w:jc w:val="both"/>
        <w:rPr>
          <w:rFonts w:asciiTheme="minorHAnsi" w:hAnsiTheme="minorHAnsi"/>
          <w:color w:val="000000"/>
          <w:szCs w:val="24"/>
        </w:rPr>
      </w:pPr>
      <w:r>
        <w:rPr>
          <w:rFonts w:eastAsiaTheme="minorHAnsi"/>
          <w:color w:val="000000" w:themeColor="text1"/>
          <w:szCs w:val="24"/>
        </w:rPr>
        <w:t xml:space="preserve">The CI underwent TDRL </w:t>
      </w:r>
      <w:r w:rsidR="00A91092">
        <w:rPr>
          <w:rFonts w:eastAsiaTheme="minorHAnsi"/>
          <w:color w:val="000000" w:themeColor="text1"/>
          <w:szCs w:val="24"/>
        </w:rPr>
        <w:t>reevaluation</w:t>
      </w:r>
      <w:r>
        <w:rPr>
          <w:rFonts w:eastAsiaTheme="minorHAnsi"/>
          <w:color w:val="000000" w:themeColor="text1"/>
          <w:szCs w:val="24"/>
        </w:rPr>
        <w:t xml:space="preserve"> 20 March 2007 by orthopedics and physical therapy.</w:t>
      </w:r>
      <w:r w:rsidR="00E86811">
        <w:rPr>
          <w:rFonts w:eastAsiaTheme="minorHAnsi"/>
          <w:color w:val="000000" w:themeColor="text1"/>
          <w:szCs w:val="24"/>
        </w:rPr>
        <w:t xml:space="preserve">  The orthopedic examiner recorded CI complaint of neck pain going into both arms, right more than left.  Muscle strength, sensation, and reflexes of the upper extremities were intact.  </w:t>
      </w:r>
      <w:r>
        <w:rPr>
          <w:rFonts w:eastAsiaTheme="minorHAnsi"/>
          <w:color w:val="000000" w:themeColor="text1"/>
          <w:szCs w:val="24"/>
        </w:rPr>
        <w:t xml:space="preserve">The physical therapy cervical spine </w:t>
      </w:r>
      <w:r w:rsidR="00FF4928">
        <w:rPr>
          <w:rFonts w:eastAsiaTheme="minorHAnsi"/>
          <w:color w:val="000000" w:themeColor="text1"/>
          <w:szCs w:val="24"/>
        </w:rPr>
        <w:t>ROM</w:t>
      </w:r>
      <w:r>
        <w:rPr>
          <w:rFonts w:eastAsiaTheme="minorHAnsi"/>
          <w:color w:val="000000" w:themeColor="text1"/>
          <w:szCs w:val="24"/>
        </w:rPr>
        <w:t xml:space="preserve"> was flexion of 35 degrees with a combined </w:t>
      </w:r>
      <w:r w:rsidR="00FF4928">
        <w:rPr>
          <w:rFonts w:eastAsiaTheme="minorHAnsi"/>
          <w:color w:val="000000" w:themeColor="text1"/>
          <w:szCs w:val="24"/>
        </w:rPr>
        <w:t>ROM</w:t>
      </w:r>
      <w:r>
        <w:rPr>
          <w:rFonts w:eastAsiaTheme="minorHAnsi"/>
          <w:color w:val="000000" w:themeColor="text1"/>
          <w:szCs w:val="24"/>
        </w:rPr>
        <w:t xml:space="preserve"> of 235 degrees.  The </w:t>
      </w:r>
      <w:r w:rsidR="00FF4928">
        <w:rPr>
          <w:rFonts w:eastAsiaTheme="minorHAnsi"/>
          <w:color w:val="000000" w:themeColor="text1"/>
          <w:szCs w:val="24"/>
        </w:rPr>
        <w:t>ROM</w:t>
      </w:r>
      <w:r>
        <w:rPr>
          <w:rFonts w:eastAsiaTheme="minorHAnsi"/>
          <w:color w:val="000000" w:themeColor="text1"/>
          <w:szCs w:val="24"/>
        </w:rPr>
        <w:t xml:space="preserve"> was </w:t>
      </w:r>
      <w:r w:rsidR="00A91092">
        <w:rPr>
          <w:rFonts w:eastAsiaTheme="minorHAnsi"/>
          <w:color w:val="000000" w:themeColor="text1"/>
          <w:szCs w:val="24"/>
        </w:rPr>
        <w:t>limited</w:t>
      </w:r>
      <w:r>
        <w:rPr>
          <w:rFonts w:eastAsiaTheme="minorHAnsi"/>
          <w:color w:val="000000" w:themeColor="text1"/>
          <w:szCs w:val="24"/>
        </w:rPr>
        <w:t xml:space="preserve"> by pain.  </w:t>
      </w:r>
      <w:r w:rsidR="00FF4928">
        <w:rPr>
          <w:rFonts w:eastAsiaTheme="minorHAnsi"/>
          <w:color w:val="000000" w:themeColor="text1"/>
          <w:szCs w:val="24"/>
        </w:rPr>
        <w:t>6</w:t>
      </w:r>
      <w:r>
        <w:rPr>
          <w:rFonts w:eastAsiaTheme="minorHAnsi"/>
          <w:color w:val="000000" w:themeColor="text1"/>
          <w:szCs w:val="24"/>
        </w:rPr>
        <w:t xml:space="preserve"> months previously, a VA C&amp;P examination, </w:t>
      </w:r>
      <w:r w:rsidR="00FF4928">
        <w:rPr>
          <w:rFonts w:eastAsiaTheme="minorHAnsi"/>
          <w:color w:val="000000" w:themeColor="text1"/>
          <w:szCs w:val="24"/>
        </w:rPr>
        <w:t xml:space="preserve">                  </w:t>
      </w:r>
      <w:r>
        <w:rPr>
          <w:rFonts w:eastAsiaTheme="minorHAnsi"/>
          <w:color w:val="000000" w:themeColor="text1"/>
          <w:szCs w:val="24"/>
        </w:rPr>
        <w:t xml:space="preserve">7 October 2006, recorded a cervical spine flexion of 30 degrees with a combined </w:t>
      </w:r>
      <w:r w:rsidR="00FF4928">
        <w:rPr>
          <w:rFonts w:eastAsiaTheme="minorHAnsi"/>
          <w:color w:val="000000" w:themeColor="text1"/>
          <w:szCs w:val="24"/>
        </w:rPr>
        <w:t>ROM</w:t>
      </w:r>
      <w:r>
        <w:rPr>
          <w:rFonts w:eastAsiaTheme="minorHAnsi"/>
          <w:color w:val="000000" w:themeColor="text1"/>
          <w:szCs w:val="24"/>
        </w:rPr>
        <w:t xml:space="preserve"> of 215 degrees.</w:t>
      </w:r>
      <w:r w:rsidR="00FA55CA">
        <w:rPr>
          <w:rFonts w:eastAsiaTheme="minorHAnsi"/>
          <w:color w:val="000000" w:themeColor="text1"/>
          <w:szCs w:val="24"/>
        </w:rPr>
        <w:t xml:space="preserve">  </w:t>
      </w:r>
      <w:r>
        <w:rPr>
          <w:rFonts w:eastAsiaTheme="minorHAnsi"/>
          <w:color w:val="000000" w:themeColor="text1"/>
          <w:szCs w:val="24"/>
        </w:rPr>
        <w:t>The PEB adjudicated a 10% rating with apparent application of the USAPDA Pain Policy.</w:t>
      </w:r>
      <w:r w:rsidR="00FA55CA">
        <w:rPr>
          <w:rFonts w:eastAsiaTheme="minorHAnsi"/>
          <w:color w:val="000000" w:themeColor="text1"/>
          <w:szCs w:val="24"/>
        </w:rPr>
        <w:t xml:space="preserve">  </w:t>
      </w:r>
      <w:r>
        <w:rPr>
          <w:rFonts w:eastAsiaTheme="minorHAnsi"/>
          <w:color w:val="000000" w:themeColor="text1"/>
          <w:szCs w:val="24"/>
        </w:rPr>
        <w:t xml:space="preserve">With regard to the permanent rating for the </w:t>
      </w:r>
      <w:r w:rsidR="00FA55CA">
        <w:rPr>
          <w:rFonts w:eastAsiaTheme="minorHAnsi"/>
          <w:color w:val="000000" w:themeColor="text1"/>
          <w:szCs w:val="24"/>
        </w:rPr>
        <w:t xml:space="preserve">cervical </w:t>
      </w:r>
      <w:r>
        <w:rPr>
          <w:rFonts w:eastAsiaTheme="minorHAnsi"/>
          <w:color w:val="000000" w:themeColor="text1"/>
          <w:szCs w:val="24"/>
        </w:rPr>
        <w:t>spine condi</w:t>
      </w:r>
      <w:r w:rsidR="008072FB">
        <w:rPr>
          <w:rFonts w:eastAsiaTheme="minorHAnsi"/>
          <w:color w:val="000000" w:themeColor="text1"/>
          <w:szCs w:val="24"/>
        </w:rPr>
        <w:t xml:space="preserve">tion </w:t>
      </w:r>
      <w:r>
        <w:rPr>
          <w:rFonts w:eastAsiaTheme="minorHAnsi"/>
          <w:color w:val="000000" w:themeColor="text1"/>
          <w:szCs w:val="24"/>
        </w:rPr>
        <w:t xml:space="preserve">at the time of removal from the TDRL, the Board noted that the </w:t>
      </w:r>
      <w:r w:rsidR="00FF4928">
        <w:rPr>
          <w:rFonts w:eastAsiaTheme="minorHAnsi"/>
          <w:color w:val="000000" w:themeColor="text1"/>
          <w:szCs w:val="24"/>
        </w:rPr>
        <w:t>ROM</w:t>
      </w:r>
      <w:r>
        <w:rPr>
          <w:rFonts w:eastAsiaTheme="minorHAnsi"/>
          <w:color w:val="000000" w:themeColor="text1"/>
          <w:szCs w:val="24"/>
        </w:rPr>
        <w:t xml:space="preserve"> recorded by the physical therapist supports a </w:t>
      </w:r>
      <w:r w:rsidR="00FA55CA">
        <w:rPr>
          <w:rFonts w:eastAsiaTheme="minorHAnsi"/>
          <w:color w:val="000000" w:themeColor="text1"/>
          <w:szCs w:val="24"/>
        </w:rPr>
        <w:t>1</w:t>
      </w:r>
      <w:r>
        <w:rPr>
          <w:rFonts w:eastAsiaTheme="minorHAnsi"/>
          <w:color w:val="000000" w:themeColor="text1"/>
          <w:szCs w:val="24"/>
        </w:rPr>
        <w:t xml:space="preserve">0% rating.  The C&amp;P examination just prior to the TDRL examination </w:t>
      </w:r>
      <w:r w:rsidR="00B07089">
        <w:rPr>
          <w:rFonts w:eastAsiaTheme="minorHAnsi"/>
          <w:color w:val="000000" w:themeColor="text1"/>
          <w:szCs w:val="24"/>
        </w:rPr>
        <w:t xml:space="preserve">documented a cervical flexion that just attained the threshold (30 degrees) for the </w:t>
      </w:r>
      <w:r>
        <w:rPr>
          <w:rFonts w:eastAsiaTheme="minorHAnsi"/>
          <w:color w:val="000000" w:themeColor="text1"/>
          <w:szCs w:val="24"/>
        </w:rPr>
        <w:t>20% rating</w:t>
      </w:r>
      <w:r w:rsidR="00B07089">
        <w:rPr>
          <w:rFonts w:eastAsiaTheme="minorHAnsi"/>
          <w:color w:val="000000" w:themeColor="text1"/>
          <w:szCs w:val="24"/>
        </w:rPr>
        <w:t xml:space="preserve"> while the combined </w:t>
      </w:r>
      <w:r w:rsidR="00FF4928">
        <w:rPr>
          <w:rFonts w:eastAsiaTheme="minorHAnsi"/>
          <w:color w:val="000000" w:themeColor="text1"/>
          <w:szCs w:val="24"/>
        </w:rPr>
        <w:t>ROM</w:t>
      </w:r>
      <w:r w:rsidR="00B07089">
        <w:rPr>
          <w:rFonts w:eastAsiaTheme="minorHAnsi"/>
          <w:color w:val="000000" w:themeColor="text1"/>
          <w:szCs w:val="24"/>
        </w:rPr>
        <w:t xml:space="preserve"> was consistent with the 10% rating.  The TDRL examination was more proximal to permanent disposition and Board members agreed the 10% rating was appropriate.</w:t>
      </w:r>
      <w:r w:rsidR="00EE05CE">
        <w:rPr>
          <w:rFonts w:eastAsiaTheme="minorHAnsi"/>
          <w:color w:val="000000" w:themeColor="text1"/>
          <w:szCs w:val="24"/>
        </w:rPr>
        <w:t xml:space="preserve">  </w:t>
      </w:r>
      <w:r w:rsidRPr="00872D93">
        <w:rPr>
          <w:rFonts w:asciiTheme="minorHAnsi" w:hAnsiTheme="minorHAnsi"/>
          <w:color w:val="auto"/>
          <w:szCs w:val="24"/>
        </w:rPr>
        <w:t xml:space="preserve">The Board also considered rating </w:t>
      </w:r>
      <w:proofErr w:type="spellStart"/>
      <w:r w:rsidRPr="00872D93">
        <w:rPr>
          <w:rFonts w:asciiTheme="minorHAnsi" w:hAnsiTheme="minorHAnsi"/>
          <w:color w:val="auto"/>
          <w:szCs w:val="24"/>
        </w:rPr>
        <w:t>intervertebral</w:t>
      </w:r>
      <w:proofErr w:type="spellEnd"/>
      <w:r w:rsidRPr="00872D93">
        <w:rPr>
          <w:rFonts w:asciiTheme="minorHAnsi" w:hAnsiTheme="minorHAnsi"/>
          <w:color w:val="auto"/>
          <w:szCs w:val="24"/>
        </w:rPr>
        <w:t xml:space="preserve"> disc disease under the alternative formula for incapacitating episodes, but could not find sufficient evidence which would meet even 10% criteria under that formula</w:t>
      </w:r>
      <w:r>
        <w:rPr>
          <w:rFonts w:asciiTheme="minorHAnsi" w:hAnsiTheme="minorHAnsi"/>
          <w:color w:val="auto"/>
          <w:szCs w:val="24"/>
        </w:rPr>
        <w:t xml:space="preserve">.  </w:t>
      </w:r>
      <w:r w:rsidRPr="00DE4A17">
        <w:rPr>
          <w:rFonts w:asciiTheme="minorHAnsi" w:hAnsiTheme="minorHAnsi"/>
          <w:color w:val="auto"/>
          <w:szCs w:val="24"/>
        </w:rPr>
        <w:t xml:space="preserve">The Board </w:t>
      </w:r>
      <w:r>
        <w:rPr>
          <w:rFonts w:asciiTheme="minorHAnsi" w:hAnsiTheme="minorHAnsi"/>
          <w:color w:val="auto"/>
          <w:szCs w:val="24"/>
        </w:rPr>
        <w:t>also considered</w:t>
      </w:r>
      <w:r w:rsidRPr="00DE4A17">
        <w:rPr>
          <w:rFonts w:asciiTheme="minorHAnsi" w:hAnsiTheme="minorHAnsi"/>
          <w:color w:val="auto"/>
          <w:szCs w:val="24"/>
        </w:rPr>
        <w:t xml:space="preserve"> if additional disability rating was justified for peripheral nerve impairment</w:t>
      </w:r>
      <w:r>
        <w:rPr>
          <w:rFonts w:asciiTheme="minorHAnsi" w:hAnsiTheme="minorHAnsi"/>
          <w:color w:val="auto"/>
          <w:szCs w:val="24"/>
        </w:rPr>
        <w:t xml:space="preserve"> due to </w:t>
      </w:r>
      <w:proofErr w:type="spellStart"/>
      <w:r>
        <w:rPr>
          <w:rFonts w:asciiTheme="minorHAnsi" w:hAnsiTheme="minorHAnsi"/>
          <w:color w:val="auto"/>
          <w:szCs w:val="24"/>
        </w:rPr>
        <w:t>radiculopathy</w:t>
      </w:r>
      <w:proofErr w:type="spellEnd"/>
      <w:r>
        <w:rPr>
          <w:rFonts w:asciiTheme="minorHAnsi" w:hAnsiTheme="minorHAnsi"/>
          <w:color w:val="auto"/>
          <w:szCs w:val="24"/>
        </w:rPr>
        <w:t xml:space="preserve"> at the time of placement on </w:t>
      </w:r>
      <w:r w:rsidR="00440F63">
        <w:rPr>
          <w:rFonts w:asciiTheme="minorHAnsi" w:hAnsiTheme="minorHAnsi"/>
          <w:color w:val="auto"/>
          <w:szCs w:val="24"/>
        </w:rPr>
        <w:t xml:space="preserve">and removal from </w:t>
      </w:r>
      <w:r>
        <w:rPr>
          <w:rFonts w:asciiTheme="minorHAnsi" w:hAnsiTheme="minorHAnsi"/>
          <w:color w:val="auto"/>
          <w:szCs w:val="24"/>
        </w:rPr>
        <w:t>the TDRL</w:t>
      </w:r>
      <w:r w:rsidRPr="00DE4A17">
        <w:rPr>
          <w:rFonts w:asciiTheme="minorHAnsi" w:hAnsiTheme="minorHAnsi"/>
          <w:color w:val="auto"/>
          <w:szCs w:val="24"/>
        </w:rPr>
        <w:t>.</w:t>
      </w:r>
      <w:r w:rsidR="00EE05CE">
        <w:rPr>
          <w:rFonts w:asciiTheme="minorHAnsi" w:hAnsiTheme="minorHAnsi"/>
          <w:color w:val="auto"/>
          <w:szCs w:val="24"/>
        </w:rPr>
        <w:t xml:space="preserve">  </w:t>
      </w:r>
      <w:r w:rsidRPr="000F2CC3">
        <w:rPr>
          <w:rFonts w:asciiTheme="minorHAnsi" w:hAnsiTheme="minorHAnsi"/>
          <w:color w:val="auto"/>
          <w:szCs w:val="24"/>
        </w:rPr>
        <w:t xml:space="preserve">Board precedent is that a functional impairment tied to fitness is required to support a recommendation for addition of a peripheral nerve rating at separation.  The pain component of a </w:t>
      </w:r>
      <w:proofErr w:type="spellStart"/>
      <w:r w:rsidRPr="000F2CC3">
        <w:rPr>
          <w:rFonts w:asciiTheme="minorHAnsi" w:hAnsiTheme="minorHAnsi"/>
          <w:color w:val="auto"/>
          <w:szCs w:val="24"/>
        </w:rPr>
        <w:t>radiculopathy</w:t>
      </w:r>
      <w:proofErr w:type="spellEnd"/>
      <w:r w:rsidRPr="000F2CC3">
        <w:rPr>
          <w:rFonts w:asciiTheme="minorHAnsi" w:hAnsiTheme="minorHAnsi"/>
          <w:color w:val="auto"/>
          <w:szCs w:val="24"/>
        </w:rPr>
        <w:t xml:space="preserve"> is subsumed under the general spine rating as specified in §4.71a.  The sensory component in this case has no functional implications and no motor impairment noted.  Since no evidence of functional impairment exists in this case, the Board cannot support a recommendation for additional rating based on peripheral nerve impairment.</w:t>
      </w:r>
      <w:r w:rsidR="00357792">
        <w:rPr>
          <w:rFonts w:asciiTheme="minorHAnsi" w:hAnsiTheme="minorHAnsi"/>
          <w:color w:val="auto"/>
          <w:szCs w:val="24"/>
        </w:rPr>
        <w:t xml:space="preserve">  </w:t>
      </w:r>
      <w:r w:rsidR="00357792" w:rsidRPr="00735113">
        <w:rPr>
          <w:rFonts w:asciiTheme="minorHAnsi" w:hAnsiTheme="minorHAnsi"/>
          <w:color w:val="auto"/>
          <w:szCs w:val="24"/>
        </w:rPr>
        <w:lastRenderedPageBreak/>
        <w:t>After due deliberation in consideration</w:t>
      </w:r>
      <w:r w:rsidR="00357792" w:rsidRPr="004D43F4">
        <w:rPr>
          <w:rFonts w:asciiTheme="minorHAnsi" w:hAnsiTheme="minorHAnsi"/>
          <w:color w:val="000000"/>
          <w:szCs w:val="24"/>
        </w:rPr>
        <w:t xml:space="preserve"> of the totality of the evidence, the Board concluded that there was insufficient cause to recommend a change from the PEB</w:t>
      </w:r>
      <w:r w:rsidR="00357792">
        <w:rPr>
          <w:rFonts w:asciiTheme="minorHAnsi" w:hAnsiTheme="minorHAnsi"/>
          <w:color w:val="000000"/>
          <w:szCs w:val="24"/>
        </w:rPr>
        <w:t>’s</w:t>
      </w:r>
      <w:r w:rsidR="00357792" w:rsidRPr="004D43F4">
        <w:rPr>
          <w:rFonts w:asciiTheme="minorHAnsi" w:hAnsiTheme="minorHAnsi"/>
          <w:color w:val="000000"/>
          <w:szCs w:val="24"/>
        </w:rPr>
        <w:t xml:space="preserve"> </w:t>
      </w:r>
      <w:r w:rsidR="00357792">
        <w:rPr>
          <w:rFonts w:asciiTheme="minorHAnsi" w:hAnsiTheme="minorHAnsi"/>
          <w:color w:val="000000"/>
          <w:szCs w:val="24"/>
        </w:rPr>
        <w:t xml:space="preserve">permanent rating </w:t>
      </w:r>
      <w:r w:rsidR="00357792" w:rsidRPr="004D43F4">
        <w:rPr>
          <w:rFonts w:asciiTheme="minorHAnsi" w:hAnsiTheme="minorHAnsi"/>
          <w:color w:val="000000"/>
          <w:szCs w:val="24"/>
        </w:rPr>
        <w:t xml:space="preserve">for the </w:t>
      </w:r>
      <w:r w:rsidR="00357792">
        <w:rPr>
          <w:rFonts w:asciiTheme="minorHAnsi" w:hAnsiTheme="minorHAnsi"/>
          <w:color w:val="000000"/>
          <w:szCs w:val="24"/>
        </w:rPr>
        <w:t>cervical spine condition at the time of removal from TDRL.</w:t>
      </w:r>
    </w:p>
    <w:p w:rsidR="00D5602A" w:rsidRDefault="00D5602A" w:rsidP="00BF0E94">
      <w:pPr>
        <w:jc w:val="left"/>
        <w:rPr>
          <w:rFonts w:eastAsia="HiddenHorzOCR"/>
          <w:color w:val="000000" w:themeColor="text1"/>
          <w:szCs w:val="24"/>
          <w:u w:val="single"/>
        </w:rPr>
      </w:pPr>
    </w:p>
    <w:p w:rsidR="00364769" w:rsidRDefault="00FB1A7F" w:rsidP="006E7CCE">
      <w:pPr>
        <w:tabs>
          <w:tab w:val="left" w:pos="288"/>
          <w:tab w:val="left" w:pos="4752"/>
        </w:tabs>
        <w:jc w:val="both"/>
        <w:rPr>
          <w:rFonts w:asciiTheme="minorHAnsi" w:hAnsiTheme="minorHAnsi"/>
          <w:color w:val="auto"/>
          <w:szCs w:val="24"/>
        </w:rPr>
      </w:pPr>
      <w:r w:rsidRPr="00C46C5D">
        <w:rPr>
          <w:color w:val="auto"/>
          <w:szCs w:val="24"/>
          <w:u w:val="single"/>
        </w:rPr>
        <w:t>Posttrau</w:t>
      </w:r>
      <w:r w:rsidR="0040212A">
        <w:rPr>
          <w:color w:val="auto"/>
          <w:szCs w:val="24"/>
          <w:u w:val="single"/>
        </w:rPr>
        <w:t>matic Stress Disorder Condition</w:t>
      </w:r>
      <w:r w:rsidR="00FF4928">
        <w:rPr>
          <w:color w:val="auto"/>
          <w:szCs w:val="24"/>
          <w:u w:val="single"/>
        </w:rPr>
        <w:t xml:space="preserve"> (PTSD)</w:t>
      </w:r>
      <w:r w:rsidR="0040212A" w:rsidRPr="0040212A">
        <w:rPr>
          <w:color w:val="auto"/>
          <w:szCs w:val="24"/>
        </w:rPr>
        <w:t>.</w:t>
      </w:r>
      <w:r w:rsidR="0040212A">
        <w:rPr>
          <w:color w:val="auto"/>
          <w:szCs w:val="24"/>
        </w:rPr>
        <w:t xml:space="preserve">  At the time of placement on the TDRL, PTSD was adjudicated as an unfitting condition rated 10% by the PEB.  </w:t>
      </w:r>
      <w:r w:rsidR="0094087E">
        <w:rPr>
          <w:rFonts w:asciiTheme="minorHAnsi" w:hAnsiTheme="minorHAnsi"/>
          <w:color w:val="auto"/>
          <w:szCs w:val="24"/>
        </w:rPr>
        <w:t>A</w:t>
      </w:r>
      <w:r w:rsidR="0094087E">
        <w:rPr>
          <w:color w:val="auto"/>
          <w:szCs w:val="24"/>
        </w:rPr>
        <w:t xml:space="preserve">t the time of removal from the TDRL, the PEB concluded the PTSD condition had improved sufficiently such that it was no longer separately unfitting for continued military service </w:t>
      </w:r>
      <w:r w:rsidR="006E7CCE">
        <w:rPr>
          <w:rFonts w:asciiTheme="minorHAnsi" w:hAnsiTheme="minorHAnsi"/>
          <w:color w:val="auto"/>
          <w:szCs w:val="24"/>
        </w:rPr>
        <w:t>and therefore not ratable.</w:t>
      </w:r>
      <w:r w:rsidR="00EE05CE">
        <w:rPr>
          <w:rFonts w:asciiTheme="minorHAnsi" w:hAnsiTheme="minorHAnsi"/>
          <w:color w:val="auto"/>
          <w:szCs w:val="24"/>
        </w:rPr>
        <w:t xml:space="preserve">  </w:t>
      </w:r>
      <w:r w:rsidR="0094087E">
        <w:rPr>
          <w:rFonts w:asciiTheme="minorHAnsi" w:hAnsiTheme="minorHAnsi"/>
          <w:color w:val="auto"/>
          <w:szCs w:val="24"/>
        </w:rPr>
        <w:t xml:space="preserve">First, the Board considered whether a rating higher than 50% was warranted at the time of placement on the TDRL.  </w:t>
      </w:r>
      <w:r w:rsidR="00C90310">
        <w:rPr>
          <w:rFonts w:asciiTheme="minorHAnsi" w:hAnsiTheme="minorHAnsi"/>
          <w:color w:val="auto"/>
          <w:szCs w:val="24"/>
        </w:rPr>
        <w:t>The CI was diagnosed with PTSD in April 2004 following return from deployment.</w:t>
      </w:r>
      <w:r w:rsidR="00D94505">
        <w:rPr>
          <w:rFonts w:asciiTheme="minorHAnsi" w:hAnsiTheme="minorHAnsi"/>
          <w:color w:val="auto"/>
          <w:szCs w:val="24"/>
        </w:rPr>
        <w:t xml:space="preserve">  </w:t>
      </w:r>
      <w:r w:rsidR="00C90310">
        <w:rPr>
          <w:rFonts w:asciiTheme="minorHAnsi" w:hAnsiTheme="minorHAnsi"/>
          <w:color w:val="auto"/>
          <w:szCs w:val="24"/>
        </w:rPr>
        <w:t xml:space="preserve">Symptoms included depressed mood, difficulty sleeping, </w:t>
      </w:r>
      <w:r w:rsidR="00A91092">
        <w:rPr>
          <w:rFonts w:asciiTheme="minorHAnsi" w:hAnsiTheme="minorHAnsi"/>
          <w:color w:val="auto"/>
          <w:szCs w:val="24"/>
        </w:rPr>
        <w:t>nightmares</w:t>
      </w:r>
      <w:r w:rsidR="00C90310">
        <w:rPr>
          <w:rFonts w:asciiTheme="minorHAnsi" w:hAnsiTheme="minorHAnsi"/>
          <w:color w:val="auto"/>
          <w:szCs w:val="24"/>
        </w:rPr>
        <w:t xml:space="preserve">, irritability, </w:t>
      </w:r>
      <w:r w:rsidR="00D94505">
        <w:rPr>
          <w:rFonts w:asciiTheme="minorHAnsi" w:hAnsiTheme="minorHAnsi"/>
          <w:color w:val="auto"/>
          <w:szCs w:val="24"/>
        </w:rPr>
        <w:t xml:space="preserve">quick temper, </w:t>
      </w:r>
      <w:r w:rsidR="00C90310">
        <w:rPr>
          <w:rFonts w:asciiTheme="minorHAnsi" w:hAnsiTheme="minorHAnsi"/>
          <w:color w:val="auto"/>
          <w:szCs w:val="24"/>
        </w:rPr>
        <w:t xml:space="preserve">anxiety, </w:t>
      </w:r>
      <w:r w:rsidR="00D94505">
        <w:rPr>
          <w:rFonts w:asciiTheme="minorHAnsi" w:hAnsiTheme="minorHAnsi"/>
          <w:color w:val="auto"/>
          <w:szCs w:val="24"/>
        </w:rPr>
        <w:t xml:space="preserve">and </w:t>
      </w:r>
      <w:r w:rsidR="00C90310">
        <w:rPr>
          <w:rFonts w:asciiTheme="minorHAnsi" w:hAnsiTheme="minorHAnsi"/>
          <w:color w:val="auto"/>
          <w:szCs w:val="24"/>
        </w:rPr>
        <w:t>intrusive recollections / flashbacks</w:t>
      </w:r>
      <w:r w:rsidR="00D94505">
        <w:rPr>
          <w:rFonts w:asciiTheme="minorHAnsi" w:hAnsiTheme="minorHAnsi"/>
          <w:color w:val="auto"/>
          <w:szCs w:val="24"/>
        </w:rPr>
        <w:t>.  He also reported increased alcohol intake.</w:t>
      </w:r>
      <w:r w:rsidR="00EE05CE">
        <w:rPr>
          <w:rFonts w:asciiTheme="minorHAnsi" w:hAnsiTheme="minorHAnsi"/>
          <w:color w:val="auto"/>
          <w:szCs w:val="24"/>
        </w:rPr>
        <w:t xml:space="preserve">  </w:t>
      </w:r>
      <w:r w:rsidR="00D94505">
        <w:rPr>
          <w:rFonts w:asciiTheme="minorHAnsi" w:hAnsiTheme="minorHAnsi"/>
          <w:color w:val="auto"/>
          <w:szCs w:val="24"/>
        </w:rPr>
        <w:t xml:space="preserve">He was treated with medication and psychotherapy with some improvement.  At the time of the psychiatry NARSUM, 1 March 2005, the examiner noted that medication was helping him sleep, to be less irritable and to concentrate.  Insomnia was partially controlled with medication, and nightmares were “significantly controlled” with medication.  Episodes of anxiety were also controlled with medication.  He was in a stable marriage and his wife was supportive.  He continued to work at the National Guard Armory.  </w:t>
      </w:r>
      <w:r w:rsidR="00C90310">
        <w:rPr>
          <w:rFonts w:asciiTheme="minorHAnsi" w:hAnsiTheme="minorHAnsi"/>
          <w:color w:val="auto"/>
          <w:szCs w:val="24"/>
        </w:rPr>
        <w:t xml:space="preserve">On mental status examination, his mood was </w:t>
      </w:r>
      <w:proofErr w:type="spellStart"/>
      <w:r w:rsidR="00C90310">
        <w:rPr>
          <w:rFonts w:asciiTheme="minorHAnsi" w:hAnsiTheme="minorHAnsi"/>
          <w:color w:val="auto"/>
          <w:szCs w:val="24"/>
        </w:rPr>
        <w:t>dysphoric</w:t>
      </w:r>
      <w:proofErr w:type="spellEnd"/>
      <w:r w:rsidR="00C90310">
        <w:rPr>
          <w:rFonts w:asciiTheme="minorHAnsi" w:hAnsiTheme="minorHAnsi"/>
          <w:color w:val="auto"/>
          <w:szCs w:val="24"/>
        </w:rPr>
        <w:t xml:space="preserve"> </w:t>
      </w:r>
      <w:r w:rsidR="00D94505">
        <w:rPr>
          <w:rFonts w:asciiTheme="minorHAnsi" w:hAnsiTheme="minorHAnsi"/>
          <w:color w:val="auto"/>
          <w:szCs w:val="24"/>
        </w:rPr>
        <w:t>w</w:t>
      </w:r>
      <w:r w:rsidR="00C90310">
        <w:rPr>
          <w:rFonts w:asciiTheme="minorHAnsi" w:hAnsiTheme="minorHAnsi"/>
          <w:color w:val="auto"/>
          <w:szCs w:val="24"/>
        </w:rPr>
        <w:t>ith constricted affect.</w:t>
      </w:r>
      <w:r w:rsidR="00D94505">
        <w:rPr>
          <w:rFonts w:asciiTheme="minorHAnsi" w:hAnsiTheme="minorHAnsi"/>
          <w:color w:val="auto"/>
          <w:szCs w:val="24"/>
        </w:rPr>
        <w:t xml:space="preserve">  </w:t>
      </w:r>
      <w:r w:rsidR="00C90310">
        <w:rPr>
          <w:rFonts w:asciiTheme="minorHAnsi" w:hAnsiTheme="minorHAnsi"/>
          <w:color w:val="auto"/>
          <w:szCs w:val="24"/>
        </w:rPr>
        <w:t>There was no suicidal or homicidal ideation</w:t>
      </w:r>
      <w:r w:rsidR="00D94505">
        <w:rPr>
          <w:rFonts w:asciiTheme="minorHAnsi" w:hAnsiTheme="minorHAnsi"/>
          <w:color w:val="auto"/>
          <w:szCs w:val="24"/>
        </w:rPr>
        <w:t xml:space="preserve">.  </w:t>
      </w:r>
      <w:r w:rsidR="00C90310">
        <w:rPr>
          <w:rFonts w:asciiTheme="minorHAnsi" w:hAnsiTheme="minorHAnsi"/>
          <w:color w:val="auto"/>
          <w:szCs w:val="24"/>
        </w:rPr>
        <w:t>Memory was intact with linear, logical goal directed thought processes</w:t>
      </w:r>
      <w:r w:rsidR="00D94505">
        <w:rPr>
          <w:rFonts w:asciiTheme="minorHAnsi" w:hAnsiTheme="minorHAnsi"/>
          <w:color w:val="auto"/>
          <w:szCs w:val="24"/>
        </w:rPr>
        <w:t>, without hallucination or delusion.</w:t>
      </w:r>
      <w:r w:rsidR="00364769">
        <w:rPr>
          <w:rFonts w:asciiTheme="minorHAnsi" w:hAnsiTheme="minorHAnsi"/>
          <w:color w:val="auto"/>
          <w:szCs w:val="24"/>
        </w:rPr>
        <w:t xml:space="preserve">  </w:t>
      </w:r>
      <w:r w:rsidR="00D94505">
        <w:rPr>
          <w:rFonts w:asciiTheme="minorHAnsi" w:hAnsiTheme="minorHAnsi"/>
          <w:color w:val="auto"/>
          <w:szCs w:val="24"/>
        </w:rPr>
        <w:t xml:space="preserve">The examining psychiatrist concluded the PTSD condition did not meet Army retention standards and estimated the </w:t>
      </w:r>
      <w:r w:rsidR="00440F63">
        <w:rPr>
          <w:rFonts w:asciiTheme="minorHAnsi" w:hAnsiTheme="minorHAnsi"/>
          <w:color w:val="auto"/>
          <w:szCs w:val="24"/>
        </w:rPr>
        <w:t xml:space="preserve">impairment in </w:t>
      </w:r>
      <w:r w:rsidR="00364769">
        <w:rPr>
          <w:rFonts w:asciiTheme="minorHAnsi" w:hAnsiTheme="minorHAnsi"/>
          <w:color w:val="auto"/>
          <w:szCs w:val="24"/>
        </w:rPr>
        <w:t xml:space="preserve">civilian social and </w:t>
      </w:r>
      <w:r w:rsidR="00440F63">
        <w:rPr>
          <w:rFonts w:asciiTheme="minorHAnsi" w:hAnsiTheme="minorHAnsi"/>
          <w:color w:val="auto"/>
          <w:szCs w:val="24"/>
        </w:rPr>
        <w:t xml:space="preserve">industrial adaptability </w:t>
      </w:r>
      <w:r w:rsidR="00364769">
        <w:rPr>
          <w:rFonts w:asciiTheme="minorHAnsi" w:hAnsiTheme="minorHAnsi"/>
          <w:color w:val="auto"/>
          <w:szCs w:val="24"/>
        </w:rPr>
        <w:t>as definite.  The commander’s statement</w:t>
      </w:r>
      <w:r w:rsidR="007E76BD">
        <w:rPr>
          <w:rFonts w:asciiTheme="minorHAnsi" w:hAnsiTheme="minorHAnsi"/>
          <w:color w:val="auto"/>
          <w:szCs w:val="24"/>
        </w:rPr>
        <w:t xml:space="preserve"> dated</w:t>
      </w:r>
      <w:r w:rsidR="00364769">
        <w:rPr>
          <w:rFonts w:asciiTheme="minorHAnsi" w:hAnsiTheme="minorHAnsi"/>
          <w:color w:val="auto"/>
          <w:szCs w:val="24"/>
        </w:rPr>
        <w:t xml:space="preserve"> 18 March 2005, mentioned only the physical limitations and noted that the CI was other</w:t>
      </w:r>
      <w:r w:rsidR="00730E9E">
        <w:rPr>
          <w:rFonts w:asciiTheme="minorHAnsi" w:hAnsiTheme="minorHAnsi"/>
          <w:color w:val="auto"/>
          <w:szCs w:val="24"/>
        </w:rPr>
        <w:t xml:space="preserve">wise </w:t>
      </w:r>
      <w:r w:rsidR="00364769">
        <w:rPr>
          <w:rFonts w:asciiTheme="minorHAnsi" w:hAnsiTheme="minorHAnsi"/>
          <w:color w:val="auto"/>
          <w:szCs w:val="24"/>
        </w:rPr>
        <w:t>performing administrative duties.  The NCO Eval</w:t>
      </w:r>
      <w:r w:rsidR="00440F63">
        <w:rPr>
          <w:rFonts w:asciiTheme="minorHAnsi" w:hAnsiTheme="minorHAnsi"/>
          <w:color w:val="auto"/>
          <w:szCs w:val="24"/>
        </w:rPr>
        <w:t>u</w:t>
      </w:r>
      <w:r w:rsidR="00364769">
        <w:rPr>
          <w:rFonts w:asciiTheme="minorHAnsi" w:hAnsiTheme="minorHAnsi"/>
          <w:color w:val="auto"/>
          <w:szCs w:val="24"/>
        </w:rPr>
        <w:t>ation Report ending October 2004 reflected physical limitations but otherwise noted good duty performance.  The VA PTSD C&amp;P examination</w:t>
      </w:r>
      <w:r w:rsidR="007E76BD">
        <w:rPr>
          <w:rFonts w:asciiTheme="minorHAnsi" w:hAnsiTheme="minorHAnsi"/>
          <w:color w:val="auto"/>
          <w:szCs w:val="24"/>
        </w:rPr>
        <w:t xml:space="preserve"> dated</w:t>
      </w:r>
      <w:r w:rsidR="00FF4928">
        <w:rPr>
          <w:rFonts w:asciiTheme="minorHAnsi" w:hAnsiTheme="minorHAnsi"/>
          <w:color w:val="auto"/>
          <w:szCs w:val="24"/>
        </w:rPr>
        <w:t xml:space="preserve"> </w:t>
      </w:r>
      <w:r w:rsidR="00364769">
        <w:rPr>
          <w:rFonts w:asciiTheme="minorHAnsi" w:hAnsiTheme="minorHAnsi"/>
          <w:color w:val="auto"/>
          <w:szCs w:val="24"/>
        </w:rPr>
        <w:t xml:space="preserve">10 December 2005, </w:t>
      </w:r>
      <w:r w:rsidR="007E76BD">
        <w:rPr>
          <w:rFonts w:asciiTheme="minorHAnsi" w:hAnsiTheme="minorHAnsi"/>
          <w:color w:val="auto"/>
          <w:szCs w:val="24"/>
        </w:rPr>
        <w:t>three</w:t>
      </w:r>
      <w:r w:rsidR="00364769">
        <w:rPr>
          <w:rFonts w:asciiTheme="minorHAnsi" w:hAnsiTheme="minorHAnsi"/>
          <w:color w:val="auto"/>
          <w:szCs w:val="24"/>
        </w:rPr>
        <w:t xml:space="preserve"> months after separation, documented similar symptoms and mental status examination findings.  The VA rated the PTSD condition </w:t>
      </w:r>
      <w:r w:rsidR="007E76BD">
        <w:rPr>
          <w:rFonts w:asciiTheme="minorHAnsi" w:hAnsiTheme="minorHAnsi"/>
          <w:color w:val="auto"/>
          <w:szCs w:val="24"/>
        </w:rPr>
        <w:t xml:space="preserve">at </w:t>
      </w:r>
      <w:r w:rsidR="00364769">
        <w:rPr>
          <w:rFonts w:asciiTheme="minorHAnsi" w:hAnsiTheme="minorHAnsi"/>
          <w:color w:val="auto"/>
          <w:szCs w:val="24"/>
        </w:rPr>
        <w:t xml:space="preserve">30% based on the C&amp;P examination.  </w:t>
      </w:r>
      <w:r w:rsidR="00364769" w:rsidRPr="000B23F0">
        <w:rPr>
          <w:rFonts w:asciiTheme="minorHAnsi" w:hAnsiTheme="minorHAnsi"/>
          <w:color w:val="auto"/>
          <w:szCs w:val="24"/>
        </w:rPr>
        <w:t xml:space="preserve">All </w:t>
      </w:r>
      <w:r w:rsidR="00364769">
        <w:rPr>
          <w:rFonts w:asciiTheme="minorHAnsi" w:hAnsiTheme="minorHAnsi"/>
          <w:color w:val="auto"/>
          <w:szCs w:val="24"/>
        </w:rPr>
        <w:t xml:space="preserve">Board </w:t>
      </w:r>
      <w:r w:rsidR="00364769" w:rsidRPr="000B23F0">
        <w:rPr>
          <w:rFonts w:asciiTheme="minorHAnsi" w:hAnsiTheme="minorHAnsi"/>
          <w:color w:val="auto"/>
          <w:szCs w:val="24"/>
        </w:rPr>
        <w:t xml:space="preserve">members agreed that the §4.130 criteria for a rating higher than 50% were not met at the time of separation, and therefore the minimum 50% TDRL rating (as explained above) is applicable. </w:t>
      </w:r>
      <w:r w:rsidR="00364769">
        <w:rPr>
          <w:rFonts w:asciiTheme="minorHAnsi" w:hAnsiTheme="minorHAnsi"/>
          <w:color w:val="auto"/>
          <w:szCs w:val="24"/>
        </w:rPr>
        <w:t xml:space="preserve"> </w:t>
      </w:r>
    </w:p>
    <w:p w:rsidR="0094087E" w:rsidRDefault="00FF4928" w:rsidP="006E7CCE">
      <w:pPr>
        <w:tabs>
          <w:tab w:val="left" w:pos="288"/>
          <w:tab w:val="left" w:pos="4752"/>
        </w:tabs>
        <w:jc w:val="both"/>
        <w:rPr>
          <w:rFonts w:asciiTheme="minorHAnsi" w:hAnsiTheme="minorHAnsi"/>
          <w:color w:val="auto"/>
          <w:szCs w:val="24"/>
        </w:rPr>
      </w:pPr>
      <w:r>
        <w:rPr>
          <w:rFonts w:asciiTheme="minorHAnsi" w:hAnsiTheme="minorHAnsi"/>
          <w:color w:val="auto"/>
          <w:szCs w:val="24"/>
        </w:rPr>
        <w:t xml:space="preserve">      </w:t>
      </w:r>
    </w:p>
    <w:p w:rsidR="000D576B" w:rsidRDefault="006E7CCE" w:rsidP="000D576B">
      <w:pPr>
        <w:tabs>
          <w:tab w:val="left" w:pos="288"/>
          <w:tab w:val="left" w:pos="4752"/>
        </w:tabs>
        <w:jc w:val="both"/>
        <w:rPr>
          <w:rFonts w:asciiTheme="minorHAnsi" w:hAnsiTheme="minorHAnsi"/>
          <w:color w:val="auto"/>
          <w:szCs w:val="24"/>
        </w:rPr>
      </w:pPr>
      <w:r>
        <w:rPr>
          <w:rFonts w:asciiTheme="minorHAnsi" w:hAnsiTheme="minorHAnsi"/>
          <w:color w:val="auto"/>
          <w:szCs w:val="24"/>
        </w:rPr>
        <w:t xml:space="preserve">The Board </w:t>
      </w:r>
      <w:r w:rsidR="0094087E">
        <w:rPr>
          <w:rFonts w:asciiTheme="minorHAnsi" w:hAnsiTheme="minorHAnsi"/>
          <w:color w:val="auto"/>
          <w:szCs w:val="24"/>
        </w:rPr>
        <w:t xml:space="preserve">next </w:t>
      </w:r>
      <w:r>
        <w:rPr>
          <w:rFonts w:asciiTheme="minorHAnsi" w:hAnsiTheme="minorHAnsi"/>
          <w:color w:val="auto"/>
          <w:szCs w:val="24"/>
        </w:rPr>
        <w:t>consider</w:t>
      </w:r>
      <w:r w:rsidR="0094087E">
        <w:rPr>
          <w:rFonts w:asciiTheme="minorHAnsi" w:hAnsiTheme="minorHAnsi"/>
          <w:color w:val="auto"/>
          <w:szCs w:val="24"/>
        </w:rPr>
        <w:t>ed</w:t>
      </w:r>
      <w:r>
        <w:rPr>
          <w:rFonts w:asciiTheme="minorHAnsi" w:hAnsiTheme="minorHAnsi"/>
          <w:color w:val="auto"/>
          <w:szCs w:val="24"/>
        </w:rPr>
        <w:t xml:space="preserve"> the fitness determination made by the PEB</w:t>
      </w:r>
      <w:r w:rsidR="0094087E">
        <w:rPr>
          <w:rFonts w:asciiTheme="minorHAnsi" w:hAnsiTheme="minorHAnsi"/>
          <w:color w:val="auto"/>
          <w:szCs w:val="24"/>
        </w:rPr>
        <w:t xml:space="preserve"> at the time of removal from the TDRL</w:t>
      </w:r>
      <w:r>
        <w:rPr>
          <w:rFonts w:asciiTheme="minorHAnsi" w:hAnsiTheme="minorHAnsi"/>
          <w:color w:val="auto"/>
          <w:szCs w:val="24"/>
        </w:rPr>
        <w:t>.  If the Board does not agree with the PEB</w:t>
      </w:r>
      <w:r w:rsidR="00EC0574">
        <w:rPr>
          <w:rFonts w:asciiTheme="minorHAnsi" w:hAnsiTheme="minorHAnsi"/>
          <w:color w:val="auto"/>
          <w:szCs w:val="24"/>
        </w:rPr>
        <w:t xml:space="preserve"> and concludes that the PTSD condition remained unfitting for military service, </w:t>
      </w:r>
      <w:r>
        <w:rPr>
          <w:rFonts w:asciiTheme="minorHAnsi" w:hAnsiTheme="minorHAnsi"/>
          <w:color w:val="auto"/>
          <w:szCs w:val="24"/>
        </w:rPr>
        <w:t>the Board must determinate the most appropriate fit with VASRD 4.130 criteria at the conclusion of the TDRL interval for its permanent rating recommendation.</w:t>
      </w:r>
      <w:r w:rsidR="00581C16">
        <w:rPr>
          <w:rFonts w:asciiTheme="minorHAnsi" w:hAnsiTheme="minorHAnsi"/>
          <w:color w:val="auto"/>
          <w:szCs w:val="24"/>
        </w:rPr>
        <w:t xml:space="preserve">  The only evidence available proximate to the time of removal from the TDRL was the </w:t>
      </w:r>
      <w:r w:rsidR="00ED6A40">
        <w:rPr>
          <w:rFonts w:asciiTheme="minorHAnsi" w:hAnsiTheme="minorHAnsi"/>
          <w:color w:val="auto"/>
          <w:szCs w:val="24"/>
        </w:rPr>
        <w:t>TDRL psychiatry evaluation</w:t>
      </w:r>
      <w:r w:rsidR="007E76BD">
        <w:rPr>
          <w:rFonts w:asciiTheme="minorHAnsi" w:hAnsiTheme="minorHAnsi"/>
          <w:color w:val="auto"/>
          <w:szCs w:val="24"/>
        </w:rPr>
        <w:t xml:space="preserve"> dated</w:t>
      </w:r>
      <w:r w:rsidR="00ED6A40">
        <w:rPr>
          <w:rFonts w:asciiTheme="minorHAnsi" w:hAnsiTheme="minorHAnsi"/>
          <w:color w:val="auto"/>
          <w:szCs w:val="24"/>
        </w:rPr>
        <w:t xml:space="preserve"> 20 March 2007</w:t>
      </w:r>
      <w:r w:rsidR="00581C16">
        <w:rPr>
          <w:rFonts w:asciiTheme="minorHAnsi" w:hAnsiTheme="minorHAnsi"/>
          <w:color w:val="auto"/>
          <w:szCs w:val="24"/>
        </w:rPr>
        <w:t xml:space="preserve">.  The TDRL examiner </w:t>
      </w:r>
      <w:r w:rsidR="00ED6A40">
        <w:rPr>
          <w:rFonts w:asciiTheme="minorHAnsi" w:hAnsiTheme="minorHAnsi"/>
          <w:color w:val="auto"/>
          <w:szCs w:val="24"/>
        </w:rPr>
        <w:t xml:space="preserve">recorded that </w:t>
      </w:r>
      <w:r w:rsidR="00F16DCD">
        <w:rPr>
          <w:rFonts w:asciiTheme="minorHAnsi" w:hAnsiTheme="minorHAnsi"/>
          <w:color w:val="auto"/>
          <w:szCs w:val="24"/>
        </w:rPr>
        <w:t>after se</w:t>
      </w:r>
      <w:r w:rsidR="00EC0574">
        <w:rPr>
          <w:rFonts w:asciiTheme="minorHAnsi" w:hAnsiTheme="minorHAnsi"/>
          <w:color w:val="auto"/>
          <w:szCs w:val="24"/>
        </w:rPr>
        <w:t>pa</w:t>
      </w:r>
      <w:r w:rsidR="00F16DCD">
        <w:rPr>
          <w:rFonts w:asciiTheme="minorHAnsi" w:hAnsiTheme="minorHAnsi"/>
          <w:color w:val="auto"/>
          <w:szCs w:val="24"/>
        </w:rPr>
        <w:t>ration and placement on the TDRL</w:t>
      </w:r>
      <w:r w:rsidR="00EC0574">
        <w:rPr>
          <w:rFonts w:asciiTheme="minorHAnsi" w:hAnsiTheme="minorHAnsi"/>
          <w:color w:val="auto"/>
          <w:szCs w:val="24"/>
        </w:rPr>
        <w:t xml:space="preserve"> (September 2005)</w:t>
      </w:r>
      <w:r w:rsidR="00F16DCD">
        <w:rPr>
          <w:rFonts w:asciiTheme="minorHAnsi" w:hAnsiTheme="minorHAnsi"/>
          <w:color w:val="auto"/>
          <w:szCs w:val="24"/>
        </w:rPr>
        <w:t xml:space="preserve">, </w:t>
      </w:r>
      <w:r w:rsidR="00ED6A40">
        <w:rPr>
          <w:rFonts w:asciiTheme="minorHAnsi" w:hAnsiTheme="minorHAnsi"/>
          <w:color w:val="auto"/>
          <w:szCs w:val="24"/>
        </w:rPr>
        <w:t xml:space="preserve">the CI returned to his civilian occupation but was unable to continue to work </w:t>
      </w:r>
      <w:r w:rsidR="00EC0574">
        <w:rPr>
          <w:rFonts w:asciiTheme="minorHAnsi" w:hAnsiTheme="minorHAnsi"/>
          <w:color w:val="auto"/>
          <w:szCs w:val="24"/>
        </w:rPr>
        <w:t xml:space="preserve">(July 2006) </w:t>
      </w:r>
      <w:r w:rsidR="00ED6A40">
        <w:rPr>
          <w:rFonts w:asciiTheme="minorHAnsi" w:hAnsiTheme="minorHAnsi"/>
          <w:color w:val="auto"/>
          <w:szCs w:val="24"/>
        </w:rPr>
        <w:t xml:space="preserve">due to his back and neck conditions.  At </w:t>
      </w:r>
      <w:r w:rsidR="00F16DCD">
        <w:rPr>
          <w:rFonts w:asciiTheme="minorHAnsi" w:hAnsiTheme="minorHAnsi"/>
          <w:color w:val="auto"/>
          <w:szCs w:val="24"/>
        </w:rPr>
        <w:t>the time of the examination</w:t>
      </w:r>
      <w:r w:rsidR="00ED6A40">
        <w:rPr>
          <w:rFonts w:asciiTheme="minorHAnsi" w:hAnsiTheme="minorHAnsi"/>
          <w:color w:val="auto"/>
          <w:szCs w:val="24"/>
        </w:rPr>
        <w:t xml:space="preserve">, he reported symptoms of being moody, irritable with difficulty with anger, experiencing </w:t>
      </w:r>
      <w:r w:rsidR="00581C16">
        <w:rPr>
          <w:rFonts w:asciiTheme="minorHAnsi" w:hAnsiTheme="minorHAnsi"/>
          <w:color w:val="auto"/>
          <w:szCs w:val="24"/>
        </w:rPr>
        <w:t xml:space="preserve">nightmares and </w:t>
      </w:r>
      <w:r w:rsidR="00ED6A40">
        <w:rPr>
          <w:rFonts w:asciiTheme="minorHAnsi" w:hAnsiTheme="minorHAnsi"/>
          <w:color w:val="auto"/>
          <w:szCs w:val="24"/>
        </w:rPr>
        <w:t>dreams about friends who died</w:t>
      </w:r>
      <w:r w:rsidR="00581C16">
        <w:rPr>
          <w:rFonts w:asciiTheme="minorHAnsi" w:hAnsiTheme="minorHAnsi"/>
          <w:color w:val="auto"/>
          <w:szCs w:val="24"/>
        </w:rPr>
        <w:t xml:space="preserve">, and insomnia (although not taking a sleeping aid).  He avoided </w:t>
      </w:r>
      <w:r w:rsidR="00ED6A40">
        <w:rPr>
          <w:rFonts w:asciiTheme="minorHAnsi" w:hAnsiTheme="minorHAnsi"/>
          <w:color w:val="auto"/>
          <w:szCs w:val="24"/>
        </w:rPr>
        <w:t>news broadcast</w:t>
      </w:r>
      <w:r w:rsidR="00581C16">
        <w:rPr>
          <w:rFonts w:asciiTheme="minorHAnsi" w:hAnsiTheme="minorHAnsi"/>
          <w:color w:val="auto"/>
          <w:szCs w:val="24"/>
        </w:rPr>
        <w:t xml:space="preserve">s, did not like crowds, and </w:t>
      </w:r>
      <w:r w:rsidR="00887D45">
        <w:rPr>
          <w:rFonts w:asciiTheme="minorHAnsi" w:hAnsiTheme="minorHAnsi"/>
          <w:color w:val="auto"/>
          <w:szCs w:val="24"/>
        </w:rPr>
        <w:t xml:space="preserve">generally stayed at home.  </w:t>
      </w:r>
      <w:r w:rsidR="00581C16">
        <w:rPr>
          <w:rFonts w:asciiTheme="minorHAnsi" w:hAnsiTheme="minorHAnsi"/>
          <w:color w:val="auto"/>
          <w:szCs w:val="24"/>
        </w:rPr>
        <w:t>He c</w:t>
      </w:r>
      <w:r w:rsidR="00ED6A40">
        <w:rPr>
          <w:rFonts w:asciiTheme="minorHAnsi" w:hAnsiTheme="minorHAnsi"/>
          <w:color w:val="auto"/>
          <w:szCs w:val="24"/>
        </w:rPr>
        <w:t xml:space="preserve">ontinued to </w:t>
      </w:r>
      <w:r w:rsidR="000C6534">
        <w:rPr>
          <w:rFonts w:asciiTheme="minorHAnsi" w:hAnsiTheme="minorHAnsi"/>
          <w:color w:val="auto"/>
          <w:szCs w:val="24"/>
        </w:rPr>
        <w:t xml:space="preserve">be prescribed </w:t>
      </w:r>
      <w:r w:rsidR="00ED6A40">
        <w:rPr>
          <w:rFonts w:asciiTheme="minorHAnsi" w:hAnsiTheme="minorHAnsi"/>
          <w:color w:val="auto"/>
          <w:szCs w:val="24"/>
        </w:rPr>
        <w:t>medication and receive psychotherapy.</w:t>
      </w:r>
      <w:r w:rsidR="00581C16">
        <w:rPr>
          <w:rFonts w:asciiTheme="minorHAnsi" w:hAnsiTheme="minorHAnsi"/>
          <w:color w:val="auto"/>
          <w:szCs w:val="24"/>
        </w:rPr>
        <w:t xml:space="preserve">  </w:t>
      </w:r>
      <w:r w:rsidR="00ED6A40">
        <w:rPr>
          <w:rFonts w:asciiTheme="minorHAnsi" w:hAnsiTheme="minorHAnsi"/>
          <w:color w:val="auto"/>
          <w:szCs w:val="24"/>
        </w:rPr>
        <w:t>Medication helped him feel not as stressed around crowds or family</w:t>
      </w:r>
      <w:r w:rsidR="00581C16">
        <w:rPr>
          <w:rFonts w:asciiTheme="minorHAnsi" w:hAnsiTheme="minorHAnsi"/>
          <w:color w:val="auto"/>
          <w:szCs w:val="24"/>
        </w:rPr>
        <w:t>.  He attended his children</w:t>
      </w:r>
      <w:r w:rsidR="007E76BD">
        <w:rPr>
          <w:rFonts w:asciiTheme="minorHAnsi" w:hAnsiTheme="minorHAnsi"/>
          <w:color w:val="auto"/>
          <w:szCs w:val="24"/>
        </w:rPr>
        <w:t>’</w:t>
      </w:r>
      <w:r w:rsidR="00581C16">
        <w:rPr>
          <w:rFonts w:asciiTheme="minorHAnsi" w:hAnsiTheme="minorHAnsi"/>
          <w:color w:val="auto"/>
          <w:szCs w:val="24"/>
        </w:rPr>
        <w:t xml:space="preserve">s athletic events, and went to </w:t>
      </w:r>
      <w:r w:rsidR="00887D45">
        <w:rPr>
          <w:rFonts w:asciiTheme="minorHAnsi" w:hAnsiTheme="minorHAnsi"/>
          <w:color w:val="auto"/>
          <w:szCs w:val="24"/>
        </w:rPr>
        <w:t xml:space="preserve">a </w:t>
      </w:r>
      <w:r w:rsidR="00581C16">
        <w:rPr>
          <w:rFonts w:asciiTheme="minorHAnsi" w:hAnsiTheme="minorHAnsi"/>
          <w:color w:val="auto"/>
          <w:szCs w:val="24"/>
        </w:rPr>
        <w:t>friend</w:t>
      </w:r>
      <w:r w:rsidR="00887D45">
        <w:rPr>
          <w:rFonts w:asciiTheme="minorHAnsi" w:hAnsiTheme="minorHAnsi"/>
          <w:color w:val="auto"/>
          <w:szCs w:val="24"/>
        </w:rPr>
        <w:t>’</w:t>
      </w:r>
      <w:r w:rsidR="00581C16">
        <w:rPr>
          <w:rFonts w:asciiTheme="minorHAnsi" w:hAnsiTheme="minorHAnsi"/>
          <w:color w:val="auto"/>
          <w:szCs w:val="24"/>
        </w:rPr>
        <w:t xml:space="preserve">s </w:t>
      </w:r>
      <w:r w:rsidR="00581C16" w:rsidRPr="009C7E18">
        <w:rPr>
          <w:color w:val="000000" w:themeColor="text1"/>
          <w:szCs w:val="24"/>
        </w:rPr>
        <w:t>house to watch sports and drink.</w:t>
      </w:r>
      <w:r w:rsidR="00581C16">
        <w:rPr>
          <w:color w:val="000000" w:themeColor="text1"/>
          <w:szCs w:val="24"/>
        </w:rPr>
        <w:t xml:space="preserve">  He liked </w:t>
      </w:r>
      <w:r w:rsidR="00581C16" w:rsidRPr="009C7E18">
        <w:rPr>
          <w:color w:val="000000" w:themeColor="text1"/>
          <w:szCs w:val="24"/>
        </w:rPr>
        <w:t xml:space="preserve">to play video games </w:t>
      </w:r>
      <w:r w:rsidR="00581C16">
        <w:rPr>
          <w:color w:val="000000" w:themeColor="text1"/>
          <w:szCs w:val="24"/>
        </w:rPr>
        <w:t xml:space="preserve">including </w:t>
      </w:r>
      <w:r w:rsidR="00581C16" w:rsidRPr="009C7E18">
        <w:rPr>
          <w:color w:val="000000" w:themeColor="text1"/>
          <w:szCs w:val="24"/>
        </w:rPr>
        <w:t>sho</w:t>
      </w:r>
      <w:r w:rsidR="00581C16">
        <w:rPr>
          <w:color w:val="000000" w:themeColor="text1"/>
          <w:szCs w:val="24"/>
        </w:rPr>
        <w:t>o</w:t>
      </w:r>
      <w:r w:rsidR="00581C16" w:rsidRPr="009C7E18">
        <w:rPr>
          <w:color w:val="000000" w:themeColor="text1"/>
          <w:szCs w:val="24"/>
        </w:rPr>
        <w:t>ting and war games</w:t>
      </w:r>
      <w:r w:rsidR="00581C16">
        <w:rPr>
          <w:color w:val="000000" w:themeColor="text1"/>
          <w:szCs w:val="24"/>
        </w:rPr>
        <w:t xml:space="preserve">; </w:t>
      </w:r>
      <w:r w:rsidR="00581C16" w:rsidRPr="009C7E18">
        <w:rPr>
          <w:color w:val="000000" w:themeColor="text1"/>
          <w:szCs w:val="24"/>
        </w:rPr>
        <w:t xml:space="preserve">his favorite game </w:t>
      </w:r>
      <w:r w:rsidR="00581C16">
        <w:rPr>
          <w:color w:val="000000" w:themeColor="text1"/>
          <w:szCs w:val="24"/>
        </w:rPr>
        <w:t xml:space="preserve">was </w:t>
      </w:r>
      <w:r w:rsidR="007E76BD">
        <w:rPr>
          <w:color w:val="000000" w:themeColor="text1"/>
          <w:szCs w:val="24"/>
        </w:rPr>
        <w:t>G</w:t>
      </w:r>
      <w:r w:rsidR="00581C16" w:rsidRPr="009C7E18">
        <w:rPr>
          <w:color w:val="000000" w:themeColor="text1"/>
          <w:szCs w:val="24"/>
        </w:rPr>
        <w:t xml:space="preserve">ears of </w:t>
      </w:r>
      <w:r w:rsidR="007E76BD">
        <w:rPr>
          <w:color w:val="000000" w:themeColor="text1"/>
          <w:szCs w:val="24"/>
        </w:rPr>
        <w:t>W</w:t>
      </w:r>
      <w:r w:rsidR="00581C16" w:rsidRPr="009C7E18">
        <w:rPr>
          <w:color w:val="000000" w:themeColor="text1"/>
          <w:szCs w:val="24"/>
        </w:rPr>
        <w:t>ar, which simulates a combat environment.</w:t>
      </w:r>
      <w:r w:rsidR="00887D45">
        <w:rPr>
          <w:color w:val="000000" w:themeColor="text1"/>
          <w:szCs w:val="24"/>
        </w:rPr>
        <w:t xml:space="preserve">  On mental status examination</w:t>
      </w:r>
      <w:r w:rsidR="00A233A7">
        <w:rPr>
          <w:color w:val="000000" w:themeColor="text1"/>
          <w:szCs w:val="24"/>
        </w:rPr>
        <w:t xml:space="preserve"> (MSE)</w:t>
      </w:r>
      <w:r w:rsidR="00887D45">
        <w:rPr>
          <w:color w:val="000000" w:themeColor="text1"/>
          <w:szCs w:val="24"/>
        </w:rPr>
        <w:t xml:space="preserve"> mood was “okay” with full affect.  There was no impairment in memory, attention or concentration.  Thought processes were normal without suicidal or homicidal ideation, hallucination, or delusions.  Judgment and impulse control were considered good.  The psychiatrist concluded the PTSD condition was improved but did not meet Army retention standards.  Impairment for social and industrial adaptability was considered mild.</w:t>
      </w:r>
      <w:r w:rsidR="00F16DCD">
        <w:rPr>
          <w:color w:val="000000" w:themeColor="text1"/>
          <w:szCs w:val="24"/>
        </w:rPr>
        <w:t xml:space="preserve">  In </w:t>
      </w:r>
      <w:r w:rsidR="00A91092">
        <w:rPr>
          <w:color w:val="000000" w:themeColor="text1"/>
          <w:szCs w:val="24"/>
        </w:rPr>
        <w:t>its</w:t>
      </w:r>
      <w:r w:rsidR="00F16DCD">
        <w:rPr>
          <w:color w:val="000000" w:themeColor="text1"/>
          <w:szCs w:val="24"/>
        </w:rPr>
        <w:t xml:space="preserve"> not unfit determination, the PEB cited the fact that the CI worked in his civilian job from September 2005 and July 2006 </w:t>
      </w:r>
      <w:r w:rsidR="000C6534" w:rsidRPr="00EE05CE">
        <w:rPr>
          <w:color w:val="000000" w:themeColor="text1"/>
          <w:szCs w:val="24"/>
        </w:rPr>
        <w:t xml:space="preserve">(when the </w:t>
      </w:r>
      <w:r w:rsidR="00EE05CE" w:rsidRPr="00EE05CE">
        <w:rPr>
          <w:color w:val="000000" w:themeColor="text1"/>
          <w:szCs w:val="24"/>
        </w:rPr>
        <w:t xml:space="preserve">PTSD symptoms were more </w:t>
      </w:r>
      <w:r w:rsidR="000C6534" w:rsidRPr="00EE05CE">
        <w:rPr>
          <w:color w:val="000000" w:themeColor="text1"/>
          <w:szCs w:val="24"/>
        </w:rPr>
        <w:t>severe</w:t>
      </w:r>
      <w:r w:rsidR="00EE05CE" w:rsidRPr="00EE05CE">
        <w:rPr>
          <w:color w:val="000000" w:themeColor="text1"/>
          <w:szCs w:val="24"/>
        </w:rPr>
        <w:t xml:space="preserve"> that at the time of TDRL evaluation</w:t>
      </w:r>
      <w:r w:rsidR="00A91092" w:rsidRPr="00EE05CE">
        <w:rPr>
          <w:color w:val="000000" w:themeColor="text1"/>
          <w:szCs w:val="24"/>
        </w:rPr>
        <w:t>)</w:t>
      </w:r>
      <w:r w:rsidR="00A91092">
        <w:rPr>
          <w:color w:val="000000" w:themeColor="text1"/>
          <w:szCs w:val="24"/>
        </w:rPr>
        <w:t xml:space="preserve"> and</w:t>
      </w:r>
      <w:r w:rsidR="00F16DCD">
        <w:rPr>
          <w:color w:val="000000" w:themeColor="text1"/>
          <w:szCs w:val="24"/>
        </w:rPr>
        <w:t xml:space="preserve"> enjoyed playing </w:t>
      </w:r>
      <w:r w:rsidR="00F16DCD">
        <w:rPr>
          <w:color w:val="000000" w:themeColor="text1"/>
          <w:szCs w:val="24"/>
        </w:rPr>
        <w:lastRenderedPageBreak/>
        <w:t>video games that simulated combat.</w:t>
      </w:r>
      <w:r w:rsidR="00EE05CE">
        <w:rPr>
          <w:color w:val="000000" w:themeColor="text1"/>
          <w:szCs w:val="24"/>
        </w:rPr>
        <w:t xml:space="preserve">  </w:t>
      </w:r>
      <w:r w:rsidR="00F16DCD" w:rsidRPr="007B5D59">
        <w:rPr>
          <w:rFonts w:asciiTheme="minorHAnsi" w:hAnsiTheme="minorHAnsi"/>
          <w:color w:val="auto"/>
          <w:szCs w:val="24"/>
        </w:rPr>
        <w:t xml:space="preserve">The Board’s threshold for countering DES fitness determinations is higher than the VASRD §4.3 reasonable doubt standard used for its rating recommendations; but, remains adherent to the </w:t>
      </w:r>
      <w:proofErr w:type="spellStart"/>
      <w:r w:rsidR="00F16DCD" w:rsidRPr="007B5D59">
        <w:rPr>
          <w:rFonts w:asciiTheme="minorHAnsi" w:hAnsiTheme="minorHAnsi"/>
          <w:color w:val="auto"/>
          <w:szCs w:val="24"/>
        </w:rPr>
        <w:t>DoDI</w:t>
      </w:r>
      <w:proofErr w:type="spellEnd"/>
      <w:r w:rsidR="00F16DCD" w:rsidRPr="007B5D59">
        <w:rPr>
          <w:rFonts w:asciiTheme="minorHAnsi" w:hAnsiTheme="minorHAnsi"/>
          <w:color w:val="auto"/>
          <w:szCs w:val="24"/>
        </w:rPr>
        <w:t xml:space="preserve"> 6040.44 “fair and equitable” standard.</w:t>
      </w:r>
      <w:r w:rsidR="00F16DCD">
        <w:rPr>
          <w:rFonts w:asciiTheme="minorHAnsi" w:hAnsiTheme="minorHAnsi"/>
          <w:color w:val="auto"/>
          <w:szCs w:val="24"/>
        </w:rPr>
        <w:t xml:space="preserve">  The Board considered that the CI’s occupational impairment was due to his back and neck condition</w:t>
      </w:r>
      <w:r w:rsidR="00357792">
        <w:rPr>
          <w:rFonts w:asciiTheme="minorHAnsi" w:hAnsiTheme="minorHAnsi"/>
          <w:color w:val="auto"/>
          <w:szCs w:val="24"/>
        </w:rPr>
        <w:t xml:space="preserve">, </w:t>
      </w:r>
      <w:r w:rsidR="00F16DCD">
        <w:rPr>
          <w:rFonts w:asciiTheme="minorHAnsi" w:hAnsiTheme="minorHAnsi"/>
          <w:color w:val="auto"/>
          <w:szCs w:val="24"/>
        </w:rPr>
        <w:t>that there was no evidence that his PTSD symptoms significantly interfere</w:t>
      </w:r>
      <w:r w:rsidR="00357792">
        <w:rPr>
          <w:rFonts w:asciiTheme="minorHAnsi" w:hAnsiTheme="minorHAnsi"/>
          <w:color w:val="auto"/>
          <w:szCs w:val="24"/>
        </w:rPr>
        <w:t xml:space="preserve">d with occupational functioning, and the CI enjoyed video games simulating combat.  </w:t>
      </w:r>
      <w:r w:rsidR="000D576B" w:rsidRPr="00AE3316">
        <w:rPr>
          <w:rFonts w:asciiTheme="minorHAnsi" w:hAnsiTheme="minorHAnsi"/>
          <w:color w:val="auto"/>
          <w:szCs w:val="24"/>
        </w:rPr>
        <w:t>All evidence considered, there is not reasonable doubt</w:t>
      </w:r>
      <w:r w:rsidR="00EC0574">
        <w:rPr>
          <w:rFonts w:asciiTheme="minorHAnsi" w:hAnsiTheme="minorHAnsi"/>
          <w:color w:val="auto"/>
          <w:szCs w:val="24"/>
        </w:rPr>
        <w:t xml:space="preserve"> </w:t>
      </w:r>
      <w:r w:rsidR="000D576B" w:rsidRPr="00AE3316">
        <w:rPr>
          <w:rFonts w:asciiTheme="minorHAnsi" w:hAnsiTheme="minorHAnsi"/>
          <w:color w:val="auto"/>
          <w:szCs w:val="24"/>
        </w:rPr>
        <w:t>supporting</w:t>
      </w:r>
      <w:r w:rsidR="000D576B">
        <w:rPr>
          <w:rFonts w:asciiTheme="minorHAnsi" w:hAnsiTheme="minorHAnsi"/>
          <w:color w:val="auto"/>
          <w:szCs w:val="24"/>
        </w:rPr>
        <w:t xml:space="preserve"> overcoming the PEB’s adjudication of the PTSD condition as not unfitting at the time of permanent disability disposition.</w:t>
      </w:r>
    </w:p>
    <w:p w:rsidR="0040212A" w:rsidRDefault="00F16DCD" w:rsidP="00357792">
      <w:pPr>
        <w:tabs>
          <w:tab w:val="left" w:pos="288"/>
          <w:tab w:val="left" w:pos="4752"/>
        </w:tabs>
        <w:jc w:val="both"/>
        <w:rPr>
          <w:rFonts w:asciiTheme="minorHAnsi" w:hAnsiTheme="minorHAnsi"/>
          <w:color w:val="auto"/>
          <w:szCs w:val="24"/>
        </w:rPr>
      </w:pPr>
      <w:r>
        <w:rPr>
          <w:rFonts w:asciiTheme="minorHAnsi" w:hAnsiTheme="minorHAnsi"/>
          <w:color w:val="auto"/>
          <w:szCs w:val="24"/>
        </w:rPr>
        <w:t xml:space="preserve">  </w:t>
      </w:r>
    </w:p>
    <w:p w:rsidR="0040212A" w:rsidRPr="001F29F9" w:rsidRDefault="0040212A" w:rsidP="000D576B">
      <w:pPr>
        <w:jc w:val="both"/>
        <w:rPr>
          <w:color w:val="000000" w:themeColor="text1"/>
          <w:szCs w:val="24"/>
        </w:rPr>
      </w:pPr>
      <w:proofErr w:type="gramStart"/>
      <w:r w:rsidRPr="00E81A8A">
        <w:rPr>
          <w:rFonts w:eastAsia="HiddenHorzOCR"/>
          <w:color w:val="000000" w:themeColor="text1"/>
          <w:szCs w:val="24"/>
          <w:u w:val="single"/>
        </w:rPr>
        <w:t>Other PEB Conditions</w:t>
      </w:r>
      <w:r w:rsidRPr="00E81A8A">
        <w:rPr>
          <w:rFonts w:eastAsia="HiddenHorzOCR"/>
          <w:color w:val="000000" w:themeColor="text1"/>
          <w:szCs w:val="24"/>
        </w:rPr>
        <w:t>.</w:t>
      </w:r>
      <w:proofErr w:type="gramEnd"/>
      <w:r w:rsidRPr="00E81A8A">
        <w:rPr>
          <w:rFonts w:eastAsia="HiddenHorzOCR"/>
          <w:color w:val="000000" w:themeColor="text1"/>
          <w:szCs w:val="24"/>
        </w:rPr>
        <w:t xml:space="preserve">  </w:t>
      </w:r>
      <w:r w:rsidRPr="00E81A8A">
        <w:rPr>
          <w:color w:val="000000" w:themeColor="text1"/>
          <w:szCs w:val="24"/>
        </w:rPr>
        <w:t xml:space="preserve">The other conditions forwarded by the MEB and adjudicated as not unfitting by the PEB were, right </w:t>
      </w:r>
      <w:proofErr w:type="spellStart"/>
      <w:r w:rsidRPr="00E81A8A">
        <w:rPr>
          <w:color w:val="000000" w:themeColor="text1"/>
          <w:szCs w:val="24"/>
        </w:rPr>
        <w:t>supraspinatus</w:t>
      </w:r>
      <w:proofErr w:type="spellEnd"/>
      <w:r w:rsidRPr="00E81A8A">
        <w:rPr>
          <w:color w:val="000000" w:themeColor="text1"/>
          <w:szCs w:val="24"/>
        </w:rPr>
        <w:t xml:space="preserve"> tendonitis, bilateral foot fractures</w:t>
      </w:r>
      <w:r w:rsidR="000D576B">
        <w:rPr>
          <w:color w:val="000000" w:themeColor="text1"/>
          <w:szCs w:val="24"/>
        </w:rPr>
        <w:t xml:space="preserve"> (</w:t>
      </w:r>
      <w:r w:rsidR="00EC0574">
        <w:rPr>
          <w:color w:val="000000" w:themeColor="text1"/>
          <w:szCs w:val="24"/>
        </w:rPr>
        <w:t xml:space="preserve">in </w:t>
      </w:r>
      <w:r w:rsidR="000D576B">
        <w:rPr>
          <w:color w:val="000000" w:themeColor="text1"/>
          <w:szCs w:val="24"/>
        </w:rPr>
        <w:t>1987)</w:t>
      </w:r>
      <w:r w:rsidRPr="00E81A8A">
        <w:rPr>
          <w:color w:val="000000" w:themeColor="text1"/>
          <w:szCs w:val="24"/>
        </w:rPr>
        <w:t>, dyspepsia, headache</w:t>
      </w:r>
      <w:r w:rsidR="000D576B">
        <w:rPr>
          <w:color w:val="000000" w:themeColor="text1"/>
          <w:szCs w:val="24"/>
        </w:rPr>
        <w:t xml:space="preserve"> (related to neck pain)</w:t>
      </w:r>
      <w:r w:rsidRPr="00E81A8A">
        <w:rPr>
          <w:color w:val="000000" w:themeColor="text1"/>
          <w:szCs w:val="24"/>
        </w:rPr>
        <w:t>, and alcohol abuse.  None of these conditions were profiled, implicated in the commander’s statement or noted as failing retention standards.  All were reviewed by the action officer and considered by the Board.  There was no indication from the record that any of these conditions significantly interfered with satisfactory duty performance.  All evidence considered</w:t>
      </w:r>
      <w:proofErr w:type="gramStart"/>
      <w:r w:rsidRPr="00E81A8A">
        <w:rPr>
          <w:color w:val="000000" w:themeColor="text1"/>
          <w:szCs w:val="24"/>
        </w:rPr>
        <w:t>,</w:t>
      </w:r>
      <w:proofErr w:type="gramEnd"/>
      <w:r w:rsidRPr="00E81A8A">
        <w:rPr>
          <w:color w:val="000000" w:themeColor="text1"/>
          <w:szCs w:val="24"/>
        </w:rPr>
        <w:t xml:space="preserve"> there is not reasonable doubt in the CI’s favor supporting </w:t>
      </w:r>
      <w:proofErr w:type="spellStart"/>
      <w:r w:rsidRPr="00E81A8A">
        <w:rPr>
          <w:color w:val="000000" w:themeColor="text1"/>
          <w:szCs w:val="24"/>
        </w:rPr>
        <w:t>recharacterization</w:t>
      </w:r>
      <w:proofErr w:type="spellEnd"/>
      <w:r w:rsidRPr="00E81A8A">
        <w:rPr>
          <w:color w:val="000000" w:themeColor="text1"/>
          <w:szCs w:val="24"/>
        </w:rPr>
        <w:t xml:space="preserve"> of the PEB fitness adjudication for any of the stated conditions.</w:t>
      </w:r>
    </w:p>
    <w:p w:rsidR="00F6196E" w:rsidRPr="001F29F9" w:rsidRDefault="00F6196E" w:rsidP="000D576B">
      <w:pPr>
        <w:jc w:val="both"/>
        <w:rPr>
          <w:rFonts w:eastAsia="HiddenHorzOCR"/>
          <w:color w:val="000000" w:themeColor="text1"/>
          <w:szCs w:val="24"/>
        </w:rPr>
      </w:pPr>
    </w:p>
    <w:p w:rsidR="00EB572B" w:rsidRDefault="003C5B54" w:rsidP="000D576B">
      <w:pPr>
        <w:jc w:val="both"/>
        <w:rPr>
          <w:color w:val="000000" w:themeColor="text1"/>
          <w:szCs w:val="24"/>
        </w:rPr>
      </w:pPr>
      <w:proofErr w:type="gramStart"/>
      <w:r w:rsidRPr="00357792">
        <w:rPr>
          <w:color w:val="000000" w:themeColor="text1"/>
          <w:szCs w:val="24"/>
          <w:u w:val="single"/>
        </w:rPr>
        <w:t>Remaining Conditions.</w:t>
      </w:r>
      <w:proofErr w:type="gramEnd"/>
      <w:r w:rsidRPr="00357792">
        <w:rPr>
          <w:color w:val="000000" w:themeColor="text1"/>
          <w:szCs w:val="24"/>
        </w:rPr>
        <w:t xml:space="preserve">  </w:t>
      </w:r>
      <w:r w:rsidR="00357792" w:rsidRPr="00357792">
        <w:rPr>
          <w:color w:val="000000" w:themeColor="text1"/>
          <w:szCs w:val="24"/>
        </w:rPr>
        <w:t>Adjustment disorder and s</w:t>
      </w:r>
      <w:r w:rsidR="00A02AA8" w:rsidRPr="00357792">
        <w:rPr>
          <w:color w:val="000000" w:themeColor="text1"/>
          <w:szCs w:val="24"/>
        </w:rPr>
        <w:t>everal additional non-acute conditions or medical complaints were also documented</w:t>
      </w:r>
      <w:r w:rsidR="00357792" w:rsidRPr="00357792">
        <w:rPr>
          <w:color w:val="000000" w:themeColor="text1"/>
          <w:szCs w:val="24"/>
        </w:rPr>
        <w:t xml:space="preserve"> in the DES file.  Adjustment disorder was subsumed in the consideration of PTSD.</w:t>
      </w:r>
      <w:r w:rsidR="00A02AA8" w:rsidRPr="00357792">
        <w:rPr>
          <w:color w:val="000000" w:themeColor="text1"/>
          <w:szCs w:val="24"/>
        </w:rPr>
        <w:t xml:space="preserve">  None of these </w:t>
      </w:r>
      <w:r w:rsidR="00357792" w:rsidRPr="00357792">
        <w:rPr>
          <w:color w:val="000000" w:themeColor="text1"/>
          <w:szCs w:val="24"/>
        </w:rPr>
        <w:t xml:space="preserve">other </w:t>
      </w:r>
      <w:r w:rsidR="00A02AA8" w:rsidRPr="00357792">
        <w:rPr>
          <w:color w:val="000000" w:themeColor="text1"/>
          <w:szCs w:val="24"/>
        </w:rPr>
        <w:t>conditions were significantly clinically or occupationally active during the MEB period</w:t>
      </w:r>
      <w:r w:rsidR="0080588E" w:rsidRPr="00357792">
        <w:rPr>
          <w:color w:val="000000" w:themeColor="text1"/>
          <w:szCs w:val="24"/>
        </w:rPr>
        <w:t>,</w:t>
      </w:r>
      <w:r w:rsidR="00A02AA8" w:rsidRPr="00357792">
        <w:rPr>
          <w:color w:val="000000" w:themeColor="text1"/>
          <w:szCs w:val="24"/>
        </w:rPr>
        <w:t xml:space="preserve"> none carried attached profiles</w:t>
      </w:r>
      <w:r w:rsidR="0080588E" w:rsidRPr="00357792">
        <w:rPr>
          <w:color w:val="000000" w:themeColor="text1"/>
          <w:szCs w:val="24"/>
        </w:rPr>
        <w:t>,</w:t>
      </w:r>
      <w:r w:rsidR="004628FA" w:rsidRPr="00357792">
        <w:rPr>
          <w:color w:val="000000" w:themeColor="text1"/>
          <w:szCs w:val="24"/>
        </w:rPr>
        <w:t xml:space="preserve"> and none </w:t>
      </w:r>
      <w:r w:rsidR="00A02AA8" w:rsidRPr="00357792">
        <w:rPr>
          <w:color w:val="000000" w:themeColor="text1"/>
          <w:szCs w:val="24"/>
        </w:rPr>
        <w:t xml:space="preserve">were implicated in the </w:t>
      </w:r>
      <w:r w:rsidR="0080588E" w:rsidRPr="00357792">
        <w:rPr>
          <w:color w:val="000000" w:themeColor="text1"/>
          <w:szCs w:val="24"/>
        </w:rPr>
        <w:t>c</w:t>
      </w:r>
      <w:r w:rsidR="00A02AA8" w:rsidRPr="00357792">
        <w:rPr>
          <w:color w:val="000000" w:themeColor="text1"/>
          <w:szCs w:val="24"/>
        </w:rPr>
        <w:t xml:space="preserve">ommander’s statement.  These conditions were reviewed by the </w:t>
      </w:r>
      <w:r w:rsidR="0080588E" w:rsidRPr="00357792">
        <w:rPr>
          <w:color w:val="000000" w:themeColor="text1"/>
          <w:szCs w:val="24"/>
        </w:rPr>
        <w:t xml:space="preserve">action officer </w:t>
      </w:r>
      <w:r w:rsidR="00A02AA8" w:rsidRPr="00357792">
        <w:rPr>
          <w:color w:val="000000" w:themeColor="text1"/>
          <w:szCs w:val="24"/>
        </w:rPr>
        <w:t>and considered by the Board.  It was determined that none could be argued as unfitting and subject to separation rating.</w:t>
      </w:r>
      <w:r w:rsidR="00A02AA8" w:rsidRPr="004628FA">
        <w:rPr>
          <w:color w:val="000000" w:themeColor="text1"/>
          <w:szCs w:val="24"/>
        </w:rPr>
        <w:t xml:space="preserve"> </w:t>
      </w:r>
    </w:p>
    <w:p w:rsidR="000D576B" w:rsidRPr="001F29F9" w:rsidRDefault="000D576B" w:rsidP="000D576B">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D576B" w:rsidRPr="00B45319"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EE05CE">
        <w:rPr>
          <w:rFonts w:eastAsiaTheme="minorHAnsi"/>
          <w:color w:val="000000" w:themeColor="text1"/>
          <w:szCs w:val="24"/>
        </w:rPr>
        <w:t xml:space="preserve">  </w:t>
      </w:r>
      <w:r w:rsidR="00B45319" w:rsidRPr="00B45319">
        <w:rPr>
          <w:rFonts w:eastAsiaTheme="minorHAnsi"/>
          <w:color w:val="000000" w:themeColor="text1"/>
          <w:szCs w:val="24"/>
        </w:rPr>
        <w:t xml:space="preserve">In the matter of the </w:t>
      </w:r>
      <w:r w:rsidR="00B45319">
        <w:rPr>
          <w:rFonts w:eastAsiaTheme="minorHAnsi"/>
          <w:color w:val="000000" w:themeColor="text1"/>
          <w:szCs w:val="24"/>
        </w:rPr>
        <w:t xml:space="preserve">lumbar spine condition </w:t>
      </w:r>
      <w:r w:rsidR="00B45319" w:rsidRPr="00B45319">
        <w:rPr>
          <w:rFonts w:eastAsiaTheme="minorHAnsi"/>
          <w:color w:val="000000" w:themeColor="text1"/>
          <w:szCs w:val="24"/>
        </w:rPr>
        <w:t xml:space="preserve">the Board unanimously recommends no change in the rating at the time of initial placement on the TDRL and a permanent rating after removal from the TDRL of </w:t>
      </w:r>
      <w:r w:rsidR="00B45319" w:rsidRPr="00EE05CE">
        <w:rPr>
          <w:rFonts w:eastAsiaTheme="minorHAnsi"/>
          <w:color w:val="000000" w:themeColor="text1"/>
          <w:szCs w:val="24"/>
        </w:rPr>
        <w:t>20%,</w:t>
      </w:r>
      <w:r w:rsidR="00B45319" w:rsidRPr="00B45319">
        <w:rPr>
          <w:rFonts w:eastAsiaTheme="minorHAnsi"/>
          <w:color w:val="000000" w:themeColor="text1"/>
          <w:szCs w:val="24"/>
        </w:rPr>
        <w:t xml:space="preserve"> coded </w:t>
      </w:r>
      <w:r w:rsidR="00B45319">
        <w:rPr>
          <w:rFonts w:eastAsiaTheme="minorHAnsi"/>
          <w:color w:val="000000" w:themeColor="text1"/>
          <w:szCs w:val="24"/>
        </w:rPr>
        <w:t xml:space="preserve">5241 </w:t>
      </w:r>
      <w:r w:rsidR="00B45319" w:rsidRPr="00B45319">
        <w:rPr>
          <w:rFonts w:eastAsiaTheme="minorHAnsi"/>
          <w:color w:val="000000" w:themeColor="text1"/>
          <w:szCs w:val="24"/>
        </w:rPr>
        <w:t xml:space="preserve">IAW VASRD §4.71a.  In the matter of the </w:t>
      </w:r>
      <w:r w:rsidR="00B45319">
        <w:rPr>
          <w:rFonts w:eastAsiaTheme="minorHAnsi"/>
          <w:color w:val="000000" w:themeColor="text1"/>
          <w:szCs w:val="24"/>
        </w:rPr>
        <w:t>cervical</w:t>
      </w:r>
      <w:r w:rsidR="00EB572B">
        <w:rPr>
          <w:rFonts w:eastAsiaTheme="minorHAnsi"/>
          <w:color w:val="000000" w:themeColor="text1"/>
          <w:szCs w:val="24"/>
        </w:rPr>
        <w:t xml:space="preserve"> </w:t>
      </w:r>
      <w:r w:rsidR="00B45319">
        <w:rPr>
          <w:rFonts w:eastAsiaTheme="minorHAnsi"/>
          <w:color w:val="000000" w:themeColor="text1"/>
          <w:szCs w:val="24"/>
        </w:rPr>
        <w:t xml:space="preserve">spine </w:t>
      </w:r>
      <w:r w:rsidR="00B45319" w:rsidRPr="00B45319">
        <w:rPr>
          <w:rFonts w:eastAsiaTheme="minorHAnsi"/>
          <w:color w:val="000000" w:themeColor="text1"/>
          <w:szCs w:val="24"/>
        </w:rPr>
        <w:t>condition and IAW VASRD §4.71a, the Board unanimously recommends no change in the PEB adjudication at separation or permanently.</w:t>
      </w:r>
      <w:r w:rsidR="00EE05CE">
        <w:rPr>
          <w:rFonts w:eastAsiaTheme="minorHAnsi"/>
          <w:color w:val="000000" w:themeColor="text1"/>
          <w:szCs w:val="24"/>
        </w:rPr>
        <w:t xml:space="preserve">  </w:t>
      </w:r>
      <w:r w:rsidR="00EB572B">
        <w:rPr>
          <w:rFonts w:eastAsiaTheme="minorHAnsi"/>
          <w:color w:val="000000" w:themeColor="text1"/>
          <w:szCs w:val="24"/>
        </w:rPr>
        <w:t xml:space="preserve">In the matter of the PTSD condition at the time of </w:t>
      </w:r>
      <w:r w:rsidR="00EB572B">
        <w:rPr>
          <w:rFonts w:asciiTheme="minorHAnsi" w:hAnsiTheme="minorHAnsi"/>
          <w:color w:val="auto"/>
          <w:szCs w:val="24"/>
        </w:rPr>
        <w:t xml:space="preserve">placement on the TDRL, the Board </w:t>
      </w:r>
      <w:r w:rsidR="00EB572B" w:rsidRPr="00061790">
        <w:rPr>
          <w:rFonts w:asciiTheme="minorHAnsi" w:hAnsiTheme="minorHAnsi"/>
          <w:color w:val="auto"/>
          <w:szCs w:val="24"/>
        </w:rPr>
        <w:t>unanimously</w:t>
      </w:r>
      <w:r w:rsidR="00EB572B">
        <w:rPr>
          <w:rFonts w:asciiTheme="minorHAnsi" w:hAnsiTheme="minorHAnsi"/>
          <w:color w:val="auto"/>
          <w:szCs w:val="24"/>
        </w:rPr>
        <w:t xml:space="preserve"> recommends </w:t>
      </w:r>
      <w:r w:rsidR="00EB572B" w:rsidRPr="00061790">
        <w:rPr>
          <w:rFonts w:asciiTheme="minorHAnsi" w:hAnsiTheme="minorHAnsi"/>
          <w:color w:val="auto"/>
          <w:szCs w:val="24"/>
        </w:rPr>
        <w:t xml:space="preserve">an initial rating of </w:t>
      </w:r>
      <w:r w:rsidR="00EB572B">
        <w:rPr>
          <w:rFonts w:asciiTheme="minorHAnsi" w:hAnsiTheme="minorHAnsi"/>
          <w:color w:val="auto"/>
          <w:szCs w:val="24"/>
        </w:rPr>
        <w:t>5</w:t>
      </w:r>
      <w:r w:rsidR="00EB572B" w:rsidRPr="00061790">
        <w:rPr>
          <w:rFonts w:asciiTheme="minorHAnsi" w:hAnsiTheme="minorHAnsi"/>
          <w:color w:val="auto"/>
          <w:szCs w:val="24"/>
        </w:rPr>
        <w:t>0%</w:t>
      </w:r>
      <w:r w:rsidR="00EB572B">
        <w:rPr>
          <w:rFonts w:asciiTheme="minorHAnsi" w:hAnsiTheme="minorHAnsi"/>
          <w:color w:val="auto"/>
          <w:szCs w:val="24"/>
        </w:rPr>
        <w:t xml:space="preserve"> IAW §4.129.  In the matter of the PTSD condition at the time of removal from the TDRL, </w:t>
      </w:r>
      <w:r w:rsidR="00EB572B" w:rsidRPr="00B45319">
        <w:rPr>
          <w:rFonts w:eastAsiaTheme="minorHAnsi"/>
          <w:color w:val="000000" w:themeColor="text1"/>
          <w:szCs w:val="24"/>
        </w:rPr>
        <w:t xml:space="preserve">the Board unanimously recommends no change in the PEB adjudication </w:t>
      </w:r>
      <w:r w:rsidR="00EB572B">
        <w:rPr>
          <w:rFonts w:eastAsiaTheme="minorHAnsi"/>
          <w:color w:val="000000" w:themeColor="text1"/>
          <w:szCs w:val="24"/>
        </w:rPr>
        <w:t>as not unfit.</w:t>
      </w:r>
      <w:r w:rsidR="00EE05CE">
        <w:rPr>
          <w:rFonts w:eastAsiaTheme="minorHAnsi"/>
          <w:color w:val="000000" w:themeColor="text1"/>
          <w:szCs w:val="24"/>
        </w:rPr>
        <w:t xml:space="preserve">  </w:t>
      </w:r>
      <w:r w:rsidR="00EB572B" w:rsidRPr="00EB572B">
        <w:rPr>
          <w:rFonts w:eastAsiaTheme="minorHAnsi"/>
          <w:color w:val="000000" w:themeColor="text1"/>
          <w:szCs w:val="24"/>
        </w:rPr>
        <w:t xml:space="preserve">In the matter of </w:t>
      </w:r>
      <w:r w:rsidR="00EB572B" w:rsidRPr="00E81A8A">
        <w:rPr>
          <w:color w:val="000000" w:themeColor="text1"/>
          <w:szCs w:val="24"/>
        </w:rPr>
        <w:t xml:space="preserve">right </w:t>
      </w:r>
      <w:proofErr w:type="spellStart"/>
      <w:r w:rsidR="00EB572B" w:rsidRPr="00E81A8A">
        <w:rPr>
          <w:color w:val="000000" w:themeColor="text1"/>
          <w:szCs w:val="24"/>
        </w:rPr>
        <w:t>supraspinatus</w:t>
      </w:r>
      <w:proofErr w:type="spellEnd"/>
      <w:r w:rsidR="00EB572B" w:rsidRPr="00E81A8A">
        <w:rPr>
          <w:color w:val="000000" w:themeColor="text1"/>
          <w:szCs w:val="24"/>
        </w:rPr>
        <w:t xml:space="preserve"> tendonitis, </w:t>
      </w:r>
      <w:r w:rsidR="00EB572B">
        <w:rPr>
          <w:color w:val="000000" w:themeColor="text1"/>
          <w:szCs w:val="24"/>
        </w:rPr>
        <w:t xml:space="preserve">history of </w:t>
      </w:r>
      <w:r w:rsidR="00EB572B" w:rsidRPr="00E81A8A">
        <w:rPr>
          <w:color w:val="000000" w:themeColor="text1"/>
          <w:szCs w:val="24"/>
        </w:rPr>
        <w:t>bilateral foot fractures</w:t>
      </w:r>
      <w:r w:rsidR="00EB572B">
        <w:rPr>
          <w:color w:val="000000" w:themeColor="text1"/>
          <w:szCs w:val="24"/>
        </w:rPr>
        <w:t>)</w:t>
      </w:r>
      <w:r w:rsidR="00EB572B" w:rsidRPr="00E81A8A">
        <w:rPr>
          <w:color w:val="000000" w:themeColor="text1"/>
          <w:szCs w:val="24"/>
        </w:rPr>
        <w:t>, dyspepsia, headache, alcohol abuse</w:t>
      </w:r>
      <w:r w:rsidR="00EB572B">
        <w:rPr>
          <w:color w:val="000000" w:themeColor="text1"/>
          <w:szCs w:val="24"/>
        </w:rPr>
        <w:t xml:space="preserve">, </w:t>
      </w:r>
      <w:r w:rsidR="00EB572B" w:rsidRPr="00EB572B">
        <w:rPr>
          <w:rFonts w:eastAsiaTheme="minorHAnsi"/>
          <w:color w:val="000000" w:themeColor="text1"/>
          <w:szCs w:val="24"/>
        </w:rPr>
        <w:t>or any other medical conditions eligible for Board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EC0574" w:rsidRPr="001F29F9" w:rsidRDefault="00EC0574" w:rsidP="006364ED">
      <w:pPr>
        <w:jc w:val="left"/>
        <w:rPr>
          <w:color w:val="000000" w:themeColor="text1"/>
          <w:szCs w:val="24"/>
        </w:rPr>
      </w:pPr>
    </w:p>
    <w:p w:rsidR="008208C3" w:rsidRPr="001F29F9" w:rsidRDefault="00C56FC8" w:rsidP="00216BED">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610358">
        <w:rPr>
          <w:color w:val="000000" w:themeColor="text1"/>
          <w:szCs w:val="24"/>
        </w:rPr>
        <w:t xml:space="preserve">  </w:t>
      </w:r>
      <w:r w:rsidR="008208C3" w:rsidRPr="001F29F9">
        <w:rPr>
          <w:color w:val="000000" w:themeColor="text1"/>
          <w:szCs w:val="24"/>
        </w:rPr>
        <w:t xml:space="preserve">The Board recommends that the CI’s prior determination be modified as follows and that the discharge with severance pay be </w:t>
      </w:r>
      <w:proofErr w:type="spellStart"/>
      <w:r w:rsidR="008208C3" w:rsidRPr="001F29F9">
        <w:rPr>
          <w:color w:val="000000" w:themeColor="text1"/>
          <w:szCs w:val="24"/>
        </w:rPr>
        <w:t>recharacterized</w:t>
      </w:r>
      <w:proofErr w:type="spellEnd"/>
      <w:r w:rsidR="008208C3" w:rsidRPr="001F29F9">
        <w:rPr>
          <w:color w:val="000000" w:themeColor="text1"/>
          <w:szCs w:val="24"/>
        </w:rPr>
        <w:t xml:space="preserve"> to reflect permanent disability retirement, effective as of the date of his</w:t>
      </w:r>
      <w:r w:rsidR="00911B11" w:rsidRPr="001F29F9">
        <w:rPr>
          <w:color w:val="000000" w:themeColor="text1"/>
          <w:szCs w:val="24"/>
        </w:rPr>
        <w:t xml:space="preserve"> prior medical separation:</w:t>
      </w:r>
    </w:p>
    <w:p w:rsidR="00610358" w:rsidRPr="001F29F9" w:rsidRDefault="00610358" w:rsidP="00610358">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6C06CA" w:rsidRPr="001F29F9" w:rsidTr="00857A3E">
        <w:trPr>
          <w:jc w:val="center"/>
        </w:trPr>
        <w:tc>
          <w:tcPr>
            <w:tcW w:w="4950" w:type="dxa"/>
            <w:shd w:val="clear" w:color="auto" w:fill="D9D9D9"/>
            <w:vAlign w:val="center"/>
          </w:tcPr>
          <w:p w:rsidR="006C06CA" w:rsidRPr="001F29F9" w:rsidRDefault="006C06CA" w:rsidP="00857A3E">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6C06CA" w:rsidRPr="001F29F9" w:rsidRDefault="006C06CA" w:rsidP="00857A3E">
            <w:pPr>
              <w:tabs>
                <w:tab w:val="left" w:pos="288"/>
                <w:tab w:val="left" w:pos="4752"/>
              </w:tabs>
              <w:rPr>
                <w:b/>
                <w:color w:val="000000" w:themeColor="text1"/>
                <w:szCs w:val="24"/>
              </w:rPr>
            </w:pPr>
            <w:r w:rsidRPr="001F29F9">
              <w:rPr>
                <w:b/>
                <w:color w:val="000000" w:themeColor="text1"/>
                <w:szCs w:val="24"/>
              </w:rPr>
              <w:t>VASRD CODE</w:t>
            </w:r>
          </w:p>
        </w:tc>
        <w:tc>
          <w:tcPr>
            <w:tcW w:w="1530" w:type="dxa"/>
            <w:shd w:val="pct15" w:color="auto" w:fill="auto"/>
            <w:vAlign w:val="center"/>
          </w:tcPr>
          <w:p w:rsidR="006C06CA" w:rsidRPr="001F29F9" w:rsidRDefault="006C06CA" w:rsidP="00857A3E">
            <w:pPr>
              <w:tabs>
                <w:tab w:val="left" w:pos="288"/>
                <w:tab w:val="left" w:pos="4752"/>
              </w:tabs>
              <w:rPr>
                <w:b/>
                <w:color w:val="000000" w:themeColor="text1"/>
                <w:szCs w:val="24"/>
              </w:rPr>
            </w:pPr>
            <w:r w:rsidRPr="001F29F9">
              <w:rPr>
                <w:b/>
                <w:color w:val="000000" w:themeColor="text1"/>
                <w:szCs w:val="24"/>
              </w:rPr>
              <w:t>PERMANENT</w:t>
            </w:r>
          </w:p>
          <w:p w:rsidR="006C06CA" w:rsidRPr="001F29F9" w:rsidRDefault="006C06CA" w:rsidP="00857A3E">
            <w:pPr>
              <w:tabs>
                <w:tab w:val="left" w:pos="288"/>
                <w:tab w:val="left" w:pos="4752"/>
              </w:tabs>
              <w:rPr>
                <w:b/>
                <w:color w:val="000000" w:themeColor="text1"/>
                <w:szCs w:val="24"/>
              </w:rPr>
            </w:pPr>
            <w:r w:rsidRPr="001F29F9">
              <w:rPr>
                <w:b/>
                <w:color w:val="000000" w:themeColor="text1"/>
                <w:szCs w:val="24"/>
              </w:rPr>
              <w:t>RATING</w:t>
            </w:r>
          </w:p>
        </w:tc>
      </w:tr>
      <w:tr w:rsidR="006C06CA" w:rsidRPr="001F29F9" w:rsidTr="00857A3E">
        <w:trPr>
          <w:trHeight w:val="188"/>
          <w:jc w:val="center"/>
        </w:trPr>
        <w:tc>
          <w:tcPr>
            <w:tcW w:w="4950" w:type="dxa"/>
            <w:vAlign w:val="center"/>
          </w:tcPr>
          <w:p w:rsidR="006C06CA" w:rsidRPr="001F29F9" w:rsidRDefault="006C06CA" w:rsidP="00857A3E">
            <w:pPr>
              <w:tabs>
                <w:tab w:val="left" w:pos="288"/>
                <w:tab w:val="left" w:pos="3538"/>
              </w:tabs>
              <w:jc w:val="both"/>
              <w:rPr>
                <w:color w:val="000000" w:themeColor="text1"/>
                <w:szCs w:val="24"/>
              </w:rPr>
            </w:pPr>
            <w:r w:rsidRPr="001F29F9">
              <w:rPr>
                <w:color w:val="000000" w:themeColor="text1"/>
                <w:szCs w:val="24"/>
              </w:rPr>
              <w:t>Posttraumatic Stress Disorder</w:t>
            </w:r>
          </w:p>
        </w:tc>
        <w:tc>
          <w:tcPr>
            <w:tcW w:w="1710" w:type="dxa"/>
            <w:tcBorders>
              <w:bottom w:val="single" w:sz="4" w:space="0" w:color="000000"/>
            </w:tcBorders>
            <w:vAlign w:val="center"/>
          </w:tcPr>
          <w:p w:rsidR="006C06CA" w:rsidRPr="001F29F9" w:rsidRDefault="006C06CA" w:rsidP="00857A3E">
            <w:pPr>
              <w:tabs>
                <w:tab w:val="left" w:pos="288"/>
                <w:tab w:val="left" w:pos="4752"/>
              </w:tabs>
              <w:rPr>
                <w:color w:val="000000" w:themeColor="text1"/>
                <w:szCs w:val="24"/>
              </w:rPr>
            </w:pPr>
            <w:r w:rsidRPr="001F29F9">
              <w:rPr>
                <w:color w:val="000000" w:themeColor="text1"/>
                <w:szCs w:val="24"/>
              </w:rPr>
              <w:t>9411</w:t>
            </w:r>
          </w:p>
        </w:tc>
        <w:tc>
          <w:tcPr>
            <w:tcW w:w="1530" w:type="dxa"/>
            <w:tcBorders>
              <w:bottom w:val="single" w:sz="4" w:space="0" w:color="000000"/>
            </w:tcBorders>
            <w:vAlign w:val="center"/>
          </w:tcPr>
          <w:p w:rsidR="006C06CA" w:rsidRPr="00EE05CE" w:rsidRDefault="006C06CA" w:rsidP="00610358">
            <w:pPr>
              <w:tabs>
                <w:tab w:val="left" w:pos="288"/>
                <w:tab w:val="left" w:pos="4752"/>
              </w:tabs>
              <w:rPr>
                <w:color w:val="000000" w:themeColor="text1"/>
                <w:szCs w:val="24"/>
              </w:rPr>
            </w:pPr>
            <w:r w:rsidRPr="00EE05CE">
              <w:rPr>
                <w:color w:val="000000" w:themeColor="text1"/>
                <w:szCs w:val="24"/>
              </w:rPr>
              <w:t>Not Unfit</w:t>
            </w:r>
          </w:p>
        </w:tc>
      </w:tr>
      <w:tr w:rsidR="006C06CA" w:rsidRPr="001F29F9" w:rsidTr="00857A3E">
        <w:trPr>
          <w:trHeight w:val="188"/>
          <w:jc w:val="center"/>
        </w:trPr>
        <w:tc>
          <w:tcPr>
            <w:tcW w:w="4950" w:type="dxa"/>
            <w:vAlign w:val="center"/>
          </w:tcPr>
          <w:p w:rsidR="006C06CA" w:rsidRPr="001F29F9" w:rsidRDefault="006C06CA" w:rsidP="00857A3E">
            <w:pPr>
              <w:tabs>
                <w:tab w:val="left" w:pos="288"/>
                <w:tab w:val="left" w:pos="3538"/>
              </w:tabs>
              <w:jc w:val="left"/>
              <w:rPr>
                <w:color w:val="000000" w:themeColor="text1"/>
                <w:szCs w:val="24"/>
              </w:rPr>
            </w:pPr>
            <w:r>
              <w:rPr>
                <w:color w:val="000000" w:themeColor="text1"/>
                <w:szCs w:val="24"/>
              </w:rPr>
              <w:t>Lumbar Fusion with Chronic Low Back Pain</w:t>
            </w:r>
          </w:p>
        </w:tc>
        <w:tc>
          <w:tcPr>
            <w:tcW w:w="1710" w:type="dxa"/>
            <w:tcBorders>
              <w:bottom w:val="single" w:sz="4" w:space="0" w:color="000000"/>
            </w:tcBorders>
            <w:vAlign w:val="center"/>
          </w:tcPr>
          <w:p w:rsidR="006C06CA" w:rsidRPr="001F29F9" w:rsidRDefault="006C06CA" w:rsidP="00857A3E">
            <w:pPr>
              <w:tabs>
                <w:tab w:val="left" w:pos="288"/>
                <w:tab w:val="left" w:pos="4752"/>
              </w:tabs>
              <w:rPr>
                <w:color w:val="000000" w:themeColor="text1"/>
                <w:szCs w:val="24"/>
              </w:rPr>
            </w:pPr>
            <w:r>
              <w:rPr>
                <w:color w:val="000000" w:themeColor="text1"/>
                <w:szCs w:val="24"/>
              </w:rPr>
              <w:t>5241</w:t>
            </w:r>
          </w:p>
        </w:tc>
        <w:tc>
          <w:tcPr>
            <w:tcW w:w="1530" w:type="dxa"/>
            <w:tcBorders>
              <w:bottom w:val="single" w:sz="4" w:space="0" w:color="000000"/>
            </w:tcBorders>
            <w:vAlign w:val="center"/>
          </w:tcPr>
          <w:p w:rsidR="006C06CA" w:rsidRPr="00EE05CE" w:rsidRDefault="006C06CA" w:rsidP="00857A3E">
            <w:pPr>
              <w:tabs>
                <w:tab w:val="left" w:pos="288"/>
                <w:tab w:val="left" w:pos="4752"/>
              </w:tabs>
              <w:rPr>
                <w:color w:val="000000" w:themeColor="text1"/>
                <w:szCs w:val="24"/>
              </w:rPr>
            </w:pPr>
            <w:r w:rsidRPr="00EE05CE">
              <w:rPr>
                <w:color w:val="000000" w:themeColor="text1"/>
                <w:szCs w:val="24"/>
              </w:rPr>
              <w:t>20%</w:t>
            </w:r>
          </w:p>
        </w:tc>
      </w:tr>
      <w:tr w:rsidR="006C06CA" w:rsidRPr="001F29F9" w:rsidTr="00857A3E">
        <w:trPr>
          <w:trHeight w:val="188"/>
          <w:jc w:val="center"/>
        </w:trPr>
        <w:tc>
          <w:tcPr>
            <w:tcW w:w="4950" w:type="dxa"/>
            <w:vAlign w:val="center"/>
          </w:tcPr>
          <w:p w:rsidR="006C06CA" w:rsidRPr="001F29F9" w:rsidRDefault="006C06CA" w:rsidP="00857A3E">
            <w:pPr>
              <w:tabs>
                <w:tab w:val="left" w:pos="288"/>
                <w:tab w:val="left" w:pos="3538"/>
              </w:tabs>
              <w:jc w:val="left"/>
              <w:rPr>
                <w:color w:val="000000" w:themeColor="text1"/>
                <w:szCs w:val="24"/>
              </w:rPr>
            </w:pPr>
            <w:r>
              <w:rPr>
                <w:color w:val="000000" w:themeColor="text1"/>
                <w:szCs w:val="24"/>
              </w:rPr>
              <w:t>Cervical Spine Degenerative Disc Disease</w:t>
            </w:r>
          </w:p>
        </w:tc>
        <w:tc>
          <w:tcPr>
            <w:tcW w:w="1710" w:type="dxa"/>
            <w:tcBorders>
              <w:bottom w:val="single" w:sz="4" w:space="0" w:color="000000"/>
            </w:tcBorders>
            <w:vAlign w:val="center"/>
          </w:tcPr>
          <w:p w:rsidR="006C06CA" w:rsidRPr="00EE05CE" w:rsidRDefault="006C06CA" w:rsidP="00857A3E">
            <w:pPr>
              <w:tabs>
                <w:tab w:val="left" w:pos="288"/>
                <w:tab w:val="left" w:pos="4752"/>
              </w:tabs>
              <w:rPr>
                <w:color w:val="000000" w:themeColor="text1"/>
                <w:szCs w:val="24"/>
              </w:rPr>
            </w:pPr>
            <w:r w:rsidRPr="00EE05CE">
              <w:rPr>
                <w:color w:val="000000" w:themeColor="text1"/>
                <w:szCs w:val="24"/>
              </w:rPr>
              <w:t>5243</w:t>
            </w:r>
          </w:p>
        </w:tc>
        <w:tc>
          <w:tcPr>
            <w:tcW w:w="1530" w:type="dxa"/>
            <w:tcBorders>
              <w:bottom w:val="single" w:sz="4" w:space="0" w:color="000000"/>
            </w:tcBorders>
            <w:vAlign w:val="center"/>
          </w:tcPr>
          <w:p w:rsidR="006C06CA" w:rsidRPr="00EE05CE" w:rsidRDefault="006C06CA" w:rsidP="00610358">
            <w:pPr>
              <w:tabs>
                <w:tab w:val="left" w:pos="288"/>
                <w:tab w:val="left" w:pos="4752"/>
              </w:tabs>
              <w:rPr>
                <w:color w:val="000000" w:themeColor="text1"/>
                <w:szCs w:val="24"/>
              </w:rPr>
            </w:pPr>
            <w:r w:rsidRPr="00EE05CE">
              <w:rPr>
                <w:color w:val="000000" w:themeColor="text1"/>
                <w:szCs w:val="24"/>
              </w:rPr>
              <w:t>10%</w:t>
            </w:r>
          </w:p>
        </w:tc>
      </w:tr>
      <w:tr w:rsidR="006C06CA" w:rsidRPr="001F29F9" w:rsidTr="00857A3E">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6C06CA" w:rsidRPr="001F29F9" w:rsidRDefault="006C06CA" w:rsidP="00857A3E">
            <w:pPr>
              <w:tabs>
                <w:tab w:val="left" w:pos="288"/>
                <w:tab w:val="left" w:pos="4752"/>
              </w:tabs>
              <w:rPr>
                <w:b/>
                <w:color w:val="000000" w:themeColor="text1"/>
                <w:szCs w:val="24"/>
              </w:rPr>
            </w:pPr>
            <w:r w:rsidRPr="001F29F9">
              <w:rPr>
                <w:b/>
                <w:color w:val="000000" w:themeColor="text1"/>
                <w:szCs w:val="24"/>
              </w:rPr>
              <w:t>COMBINED</w:t>
            </w:r>
          </w:p>
        </w:tc>
        <w:tc>
          <w:tcPr>
            <w:tcW w:w="1530" w:type="dxa"/>
            <w:shd w:val="pct15" w:color="auto" w:fill="auto"/>
            <w:vAlign w:val="center"/>
          </w:tcPr>
          <w:p w:rsidR="006C06CA" w:rsidRPr="00EE05CE" w:rsidRDefault="006C06CA" w:rsidP="00857A3E">
            <w:pPr>
              <w:tabs>
                <w:tab w:val="left" w:pos="288"/>
                <w:tab w:val="left" w:pos="4752"/>
              </w:tabs>
              <w:rPr>
                <w:b/>
                <w:color w:val="000000" w:themeColor="text1"/>
                <w:szCs w:val="24"/>
              </w:rPr>
            </w:pPr>
            <w:r w:rsidRPr="00EE05CE">
              <w:rPr>
                <w:b/>
                <w:color w:val="000000" w:themeColor="text1"/>
                <w:szCs w:val="24"/>
              </w:rPr>
              <w:t>30%</w:t>
            </w:r>
          </w:p>
        </w:tc>
      </w:tr>
    </w:tbl>
    <w:p w:rsidR="006C06CA" w:rsidRDefault="006C06CA" w:rsidP="00BF0E94">
      <w:pPr>
        <w:rPr>
          <w:color w:val="000000" w:themeColor="text1"/>
          <w:szCs w:val="24"/>
        </w:rPr>
      </w:pPr>
    </w:p>
    <w:p w:rsidR="006C06CA" w:rsidRDefault="006C06CA">
      <w:pPr>
        <w:rPr>
          <w:color w:val="000000" w:themeColor="text1"/>
          <w:szCs w:val="24"/>
        </w:rPr>
      </w:pPr>
      <w:r>
        <w:rPr>
          <w:color w:val="000000" w:themeColor="text1"/>
          <w:szCs w:val="24"/>
        </w:rPr>
        <w:br w:type="page"/>
      </w:r>
    </w:p>
    <w:p w:rsidR="00D91DA6" w:rsidRPr="001F29F9" w:rsidRDefault="006C06CA" w:rsidP="00BF0E94">
      <w:pPr>
        <w:tabs>
          <w:tab w:val="left" w:pos="288"/>
          <w:tab w:val="left" w:pos="4752"/>
        </w:tabs>
        <w:jc w:val="both"/>
        <w:rPr>
          <w:color w:val="000000" w:themeColor="text1"/>
        </w:rPr>
      </w:pPr>
      <w:r>
        <w:rPr>
          <w:color w:val="000000" w:themeColor="text1"/>
        </w:rPr>
        <w:lastRenderedPageBreak/>
        <w:t xml:space="preserve">The </w:t>
      </w:r>
      <w:r w:rsidR="00FB1725" w:rsidRPr="001F29F9">
        <w:rPr>
          <w:color w:val="000000" w:themeColor="text1"/>
        </w:rPr>
        <w:t>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68209C">
        <w:rPr>
          <w:color w:val="000000" w:themeColor="text1"/>
          <w:szCs w:val="24"/>
        </w:rPr>
        <w:t>dated 20</w:t>
      </w:r>
      <w:r w:rsidR="001215DF" w:rsidRPr="0068209C">
        <w:rPr>
          <w:color w:val="000000" w:themeColor="text1"/>
          <w:szCs w:val="24"/>
        </w:rPr>
        <w:t>1</w:t>
      </w:r>
      <w:r w:rsidR="0068209C" w:rsidRPr="0068209C">
        <w:rPr>
          <w:color w:val="000000" w:themeColor="text1"/>
          <w:szCs w:val="24"/>
        </w:rPr>
        <w:t>01013</w:t>
      </w:r>
      <w:r w:rsidR="00AC042B">
        <w:rPr>
          <w:color w:val="000000" w:themeColor="text1"/>
        </w:rPr>
        <w:t>, w/</w:t>
      </w:r>
      <w:proofErr w:type="spellStart"/>
      <w:r w:rsidR="00AC042B">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AC042B">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AC042B">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5B36B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5B36BE" w:rsidRDefault="005B36BE">
      <w:pPr>
        <w:rPr>
          <w:color w:val="000000" w:themeColor="text1"/>
          <w:szCs w:val="24"/>
        </w:rPr>
      </w:pPr>
      <w:r>
        <w:rPr>
          <w:color w:val="000000" w:themeColor="text1"/>
          <w:szCs w:val="24"/>
        </w:rPr>
        <w:br w:type="page"/>
      </w:r>
    </w:p>
    <w:p w:rsidR="005B36BE" w:rsidRDefault="005B36BE" w:rsidP="005B36BE">
      <w:pPr>
        <w:pStyle w:val="Header"/>
        <w:tabs>
          <w:tab w:val="clear" w:pos="4320"/>
          <w:tab w:val="clear" w:pos="8640"/>
        </w:tabs>
        <w:jc w:val="left"/>
      </w:pPr>
      <w:r>
        <w:lastRenderedPageBreak/>
        <w:t>SFMR-RB</w:t>
      </w:r>
      <w:r>
        <w:tab/>
      </w:r>
      <w:r>
        <w:tab/>
      </w:r>
      <w:r>
        <w:tab/>
      </w:r>
      <w:r>
        <w:tab/>
      </w:r>
      <w:r>
        <w:tab/>
      </w:r>
      <w:r>
        <w:tab/>
      </w:r>
      <w:r>
        <w:tab/>
      </w:r>
      <w:r>
        <w:tab/>
      </w:r>
      <w:r>
        <w:tab/>
      </w:r>
    </w:p>
    <w:p w:rsidR="005B36BE" w:rsidRDefault="005B36BE" w:rsidP="005B36BE">
      <w:pPr>
        <w:pStyle w:val="Header"/>
        <w:tabs>
          <w:tab w:val="clear" w:pos="4320"/>
          <w:tab w:val="clear" w:pos="8640"/>
        </w:tabs>
        <w:jc w:val="left"/>
      </w:pPr>
    </w:p>
    <w:p w:rsidR="005B36BE" w:rsidRDefault="005B36BE" w:rsidP="005B36BE">
      <w:pPr>
        <w:jc w:val="left"/>
      </w:pPr>
    </w:p>
    <w:p w:rsidR="005B36BE" w:rsidRDefault="005B36BE" w:rsidP="005B36BE">
      <w:pPr>
        <w:jc w:val="left"/>
      </w:pPr>
      <w:r>
        <w:t xml:space="preserve">MEMORANDUM FOR Commander, US Army Physical Disability Agency </w:t>
      </w:r>
    </w:p>
    <w:p w:rsidR="005B36BE" w:rsidRDefault="005B36BE" w:rsidP="005B36BE">
      <w:pPr>
        <w:jc w:val="left"/>
      </w:pPr>
      <w:r>
        <w:t xml:space="preserve"> </w:t>
      </w:r>
    </w:p>
    <w:p w:rsidR="005B36BE" w:rsidRDefault="005B36BE" w:rsidP="005B36BE">
      <w:pPr>
        <w:jc w:val="left"/>
      </w:pPr>
    </w:p>
    <w:p w:rsidR="005B36BE" w:rsidRDefault="005B36BE" w:rsidP="005B36BE">
      <w:pPr>
        <w:ind w:right="-180"/>
        <w:jc w:val="left"/>
      </w:pPr>
      <w:r>
        <w:t xml:space="preserve">SUBJECT:  Department of Defense Physical Disability Board of Review Recommendation </w:t>
      </w:r>
    </w:p>
    <w:p w:rsidR="005B36BE" w:rsidRDefault="005B36BE" w:rsidP="005B36BE">
      <w:pPr>
        <w:pStyle w:val="Header"/>
        <w:tabs>
          <w:tab w:val="clear" w:pos="4320"/>
          <w:tab w:val="clear" w:pos="8640"/>
        </w:tabs>
        <w:jc w:val="left"/>
      </w:pPr>
      <w:r>
        <w:t xml:space="preserve"> </w:t>
      </w:r>
    </w:p>
    <w:p w:rsidR="005B36BE" w:rsidRDefault="005B36BE" w:rsidP="005B36BE">
      <w:pPr>
        <w:pStyle w:val="Header"/>
        <w:tabs>
          <w:tab w:val="clear" w:pos="4320"/>
          <w:tab w:val="clear" w:pos="8640"/>
        </w:tabs>
        <w:jc w:val="left"/>
      </w:pPr>
    </w:p>
    <w:p w:rsidR="005B36BE" w:rsidRDefault="005B36BE" w:rsidP="005B36BE">
      <w:pPr>
        <w:jc w:val="left"/>
      </w:pPr>
    </w:p>
    <w:p w:rsidR="005B36BE" w:rsidRPr="00B904A2" w:rsidRDefault="005B36BE" w:rsidP="005B36BE">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5B36BE" w:rsidRPr="00B904A2" w:rsidRDefault="005B36BE" w:rsidP="005B36BE">
      <w:pPr>
        <w:jc w:val="left"/>
      </w:pPr>
    </w:p>
    <w:p w:rsidR="005B36BE" w:rsidRDefault="005B36BE" w:rsidP="005B36BE">
      <w:pPr>
        <w:jc w:val="left"/>
      </w:pPr>
      <w:r w:rsidRPr="00FF16DA">
        <w:t>2.  I direct that all the Department of the Army records of the individual concerned be corr</w:t>
      </w:r>
      <w:r>
        <w:t xml:space="preserve">ected accordingly no later than </w:t>
      </w:r>
      <w:r w:rsidRPr="00FF16DA">
        <w:t>120 day</w:t>
      </w:r>
      <w:r>
        <w:t>s from the date of this memorandum:</w:t>
      </w:r>
    </w:p>
    <w:p w:rsidR="005B36BE" w:rsidRDefault="005B36BE" w:rsidP="005B36BE">
      <w:pPr>
        <w:jc w:val="left"/>
      </w:pPr>
    </w:p>
    <w:p w:rsidR="005B36BE" w:rsidRDefault="005B36BE" w:rsidP="005B36BE">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5B36BE" w:rsidRDefault="005B36BE" w:rsidP="005B36BE">
      <w:pPr>
        <w:jc w:val="left"/>
      </w:pPr>
    </w:p>
    <w:p w:rsidR="005B36BE" w:rsidRDefault="005B36BE" w:rsidP="005B36BE">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5B36BE" w:rsidRDefault="005B36BE" w:rsidP="005B36BE">
      <w:pPr>
        <w:jc w:val="left"/>
      </w:pPr>
    </w:p>
    <w:p w:rsidR="005B36BE" w:rsidRDefault="005B36BE" w:rsidP="005B36BE">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5B36BE" w:rsidRDefault="005B36BE" w:rsidP="005B36BE">
      <w:pPr>
        <w:jc w:val="left"/>
      </w:pPr>
    </w:p>
    <w:p w:rsidR="005B36BE" w:rsidRDefault="005B36BE" w:rsidP="005B36BE">
      <w:pPr>
        <w:jc w:val="left"/>
      </w:pPr>
      <w:r>
        <w:tab/>
      </w:r>
      <w:proofErr w:type="gramStart"/>
      <w:r>
        <w:t>d.  Affording</w:t>
      </w:r>
      <w:proofErr w:type="gramEnd"/>
      <w:r>
        <w:t xml:space="preserve"> the </w:t>
      </w:r>
      <w:r w:rsidRPr="00FF16DA">
        <w:t>individual the opportunity to elect Survivor Benefit Plan (SBP) and medical TRICARE retiree options.</w:t>
      </w:r>
    </w:p>
    <w:p w:rsidR="005B36BE" w:rsidRDefault="005B36BE" w:rsidP="005B36BE">
      <w:pPr>
        <w:jc w:val="left"/>
      </w:pPr>
    </w:p>
    <w:p w:rsidR="005B36BE" w:rsidRDefault="005B36BE" w:rsidP="005B36BE">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B36BE" w:rsidRDefault="005B36BE" w:rsidP="005B36BE">
      <w:pPr>
        <w:jc w:val="left"/>
      </w:pPr>
    </w:p>
    <w:p w:rsidR="005B36BE" w:rsidRDefault="005B36BE" w:rsidP="005B36BE">
      <w:pPr>
        <w:jc w:val="left"/>
      </w:pPr>
      <w:r>
        <w:t>BY ORDER OF THE SECRETARY OF THE ARMY:</w:t>
      </w:r>
    </w:p>
    <w:p w:rsidR="005B36BE" w:rsidRDefault="005B36BE" w:rsidP="005B36BE">
      <w:pPr>
        <w:jc w:val="left"/>
      </w:pPr>
    </w:p>
    <w:p w:rsidR="005B36BE" w:rsidRDefault="005B36BE" w:rsidP="005B36BE">
      <w:pPr>
        <w:jc w:val="left"/>
      </w:pPr>
    </w:p>
    <w:p w:rsidR="005B36BE" w:rsidRDefault="005B36BE" w:rsidP="005B36BE">
      <w:pPr>
        <w:pStyle w:val="Header"/>
        <w:tabs>
          <w:tab w:val="clear" w:pos="4320"/>
          <w:tab w:val="clear" w:pos="8640"/>
        </w:tabs>
        <w:jc w:val="left"/>
      </w:pPr>
    </w:p>
    <w:p w:rsidR="005B36BE" w:rsidRDefault="005B36BE" w:rsidP="005B36BE">
      <w:pPr>
        <w:jc w:val="left"/>
      </w:pPr>
    </w:p>
    <w:p w:rsidR="005B36BE" w:rsidRDefault="005B36BE" w:rsidP="005B36BE">
      <w:pPr>
        <w:jc w:val="left"/>
      </w:pPr>
      <w:bookmarkStart w:id="0" w:name="OLE_LINK3"/>
      <w:bookmarkStart w:id="1" w:name="OLE_LINK4"/>
      <w:r>
        <w:t>Encl</w:t>
      </w:r>
      <w:r>
        <w:tab/>
      </w:r>
      <w:r>
        <w:tab/>
      </w:r>
      <w:r>
        <w:tab/>
      </w:r>
      <w:r>
        <w:tab/>
      </w:r>
      <w:r>
        <w:tab/>
      </w:r>
      <w:r>
        <w:tab/>
        <w:t xml:space="preserve">    </w:t>
      </w:r>
    </w:p>
    <w:p w:rsidR="005B36BE" w:rsidRDefault="005B36BE" w:rsidP="005B36BE">
      <w:pPr>
        <w:jc w:val="left"/>
      </w:pPr>
      <w:r>
        <w:tab/>
      </w:r>
      <w:r>
        <w:tab/>
      </w:r>
      <w:r>
        <w:tab/>
      </w:r>
      <w:r>
        <w:tab/>
      </w:r>
      <w:r>
        <w:tab/>
      </w:r>
      <w:r>
        <w:tab/>
        <w:t xml:space="preserve">     Deputy Assistant Secretary</w:t>
      </w:r>
    </w:p>
    <w:p w:rsidR="005B36BE" w:rsidRDefault="005B36BE" w:rsidP="005B36BE">
      <w:pPr>
        <w:jc w:val="left"/>
      </w:pPr>
      <w:r>
        <w:tab/>
      </w:r>
      <w:r>
        <w:tab/>
      </w:r>
      <w:r>
        <w:tab/>
      </w:r>
      <w:r>
        <w:tab/>
      </w:r>
      <w:r>
        <w:tab/>
      </w:r>
      <w:r>
        <w:tab/>
        <w:t xml:space="preserve">         (Army Review Boards)</w:t>
      </w:r>
      <w:bookmarkEnd w:id="0"/>
      <w:bookmarkEnd w:id="1"/>
    </w:p>
    <w:p w:rsidR="00E3077F" w:rsidRPr="001F29F9" w:rsidRDefault="00E3077F" w:rsidP="005B36BE">
      <w:pPr>
        <w:tabs>
          <w:tab w:val="left" w:pos="0"/>
          <w:tab w:val="left" w:pos="4320"/>
        </w:tabs>
        <w:jc w:val="left"/>
        <w:rPr>
          <w:color w:val="000000" w:themeColor="text1"/>
          <w:szCs w:val="24"/>
        </w:rPr>
      </w:pPr>
    </w:p>
    <w:p w:rsidR="00C8590C" w:rsidRPr="001F29F9" w:rsidRDefault="00C8590C" w:rsidP="00BF0E94">
      <w:pPr>
        <w:jc w:val="left"/>
        <w:rPr>
          <w:color w:val="000000" w:themeColor="text1"/>
          <w:szCs w:val="28"/>
          <w:highlight w:val="magenta"/>
        </w:rPr>
      </w:pPr>
    </w:p>
    <w:p w:rsidR="002B0E19" w:rsidRDefault="002B0E19" w:rsidP="002B0E19">
      <w:pPr>
        <w:jc w:val="left"/>
        <w:rPr>
          <w:color w:val="000000" w:themeColor="text1"/>
        </w:rPr>
      </w:pPr>
    </w:p>
    <w:sectPr w:rsidR="002B0E1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24C" w:rsidRDefault="0089224C">
      <w:r>
        <w:separator/>
      </w:r>
    </w:p>
  </w:endnote>
  <w:endnote w:type="continuationSeparator" w:id="0">
    <w:p w:rsidR="0089224C" w:rsidRDefault="00892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AA5FD0" w:rsidRPr="00374247" w:rsidRDefault="00AA5FD0" w:rsidP="00374247">
        <w:pPr>
          <w:pStyle w:val="Footer"/>
          <w:ind w:firstLine="4320"/>
          <w:rPr>
            <w:color w:val="auto"/>
            <w:szCs w:val="24"/>
          </w:rPr>
        </w:pPr>
        <w:r w:rsidRPr="0068209C">
          <w:rPr>
            <w:color w:val="auto"/>
            <w:szCs w:val="24"/>
          </w:rPr>
          <w:t xml:space="preserve">   </w:t>
        </w:r>
        <w:r w:rsidR="002272E7" w:rsidRPr="0068209C">
          <w:rPr>
            <w:color w:val="auto"/>
            <w:szCs w:val="24"/>
          </w:rPr>
          <w:fldChar w:fldCharType="begin"/>
        </w:r>
        <w:r w:rsidRPr="0068209C">
          <w:rPr>
            <w:color w:val="auto"/>
            <w:szCs w:val="24"/>
          </w:rPr>
          <w:instrText xml:space="preserve"> PAGE   \* MERGEFORMAT </w:instrText>
        </w:r>
        <w:r w:rsidR="002272E7" w:rsidRPr="0068209C">
          <w:rPr>
            <w:color w:val="auto"/>
            <w:szCs w:val="24"/>
          </w:rPr>
          <w:fldChar w:fldCharType="separate"/>
        </w:r>
        <w:r w:rsidR="005B36BE" w:rsidRPr="005B36BE">
          <w:rPr>
            <w:noProof/>
            <w:color w:val="auto"/>
          </w:rPr>
          <w:t>7</w:t>
        </w:r>
        <w:r w:rsidR="002272E7" w:rsidRPr="0068209C">
          <w:rPr>
            <w:color w:val="auto"/>
            <w:szCs w:val="24"/>
          </w:rPr>
          <w:fldChar w:fldCharType="end"/>
        </w:r>
        <w:r w:rsidRPr="0068209C">
          <w:rPr>
            <w:color w:val="auto"/>
            <w:szCs w:val="24"/>
          </w:rPr>
          <w:t xml:space="preserve">                                                           PD1001210</w:t>
        </w:r>
      </w:p>
    </w:sdtContent>
  </w:sdt>
  <w:p w:rsidR="00AA5FD0" w:rsidRPr="00684CE6" w:rsidRDefault="00AA5FD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24C" w:rsidRDefault="0089224C">
      <w:r>
        <w:separator/>
      </w:r>
    </w:p>
  </w:footnote>
  <w:footnote w:type="continuationSeparator" w:id="0">
    <w:p w:rsidR="0089224C" w:rsidRDefault="00892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21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17CEA"/>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15D"/>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4EB"/>
    <w:rsid w:val="000C6534"/>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76B"/>
    <w:rsid w:val="000D6457"/>
    <w:rsid w:val="000D7D55"/>
    <w:rsid w:val="000E0993"/>
    <w:rsid w:val="000E2E50"/>
    <w:rsid w:val="000E37E0"/>
    <w:rsid w:val="000E3F20"/>
    <w:rsid w:val="000E4C25"/>
    <w:rsid w:val="000E4CBF"/>
    <w:rsid w:val="000E5577"/>
    <w:rsid w:val="000E7034"/>
    <w:rsid w:val="000F02BE"/>
    <w:rsid w:val="000F0928"/>
    <w:rsid w:val="000F09B4"/>
    <w:rsid w:val="000F0B3D"/>
    <w:rsid w:val="000F1E65"/>
    <w:rsid w:val="000F427B"/>
    <w:rsid w:val="000F43D0"/>
    <w:rsid w:val="000F4F18"/>
    <w:rsid w:val="000F688E"/>
    <w:rsid w:val="000F7181"/>
    <w:rsid w:val="000F7581"/>
    <w:rsid w:val="001007CE"/>
    <w:rsid w:val="001008C1"/>
    <w:rsid w:val="00101BCA"/>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5FB9"/>
    <w:rsid w:val="001272AE"/>
    <w:rsid w:val="00130756"/>
    <w:rsid w:val="001315DD"/>
    <w:rsid w:val="0013525F"/>
    <w:rsid w:val="00135385"/>
    <w:rsid w:val="00135C54"/>
    <w:rsid w:val="00136204"/>
    <w:rsid w:val="001364D1"/>
    <w:rsid w:val="001374C7"/>
    <w:rsid w:val="00140FA4"/>
    <w:rsid w:val="00141BC9"/>
    <w:rsid w:val="001421FD"/>
    <w:rsid w:val="001425C8"/>
    <w:rsid w:val="00142EBA"/>
    <w:rsid w:val="00143B79"/>
    <w:rsid w:val="00145965"/>
    <w:rsid w:val="0014702D"/>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D5B"/>
    <w:rsid w:val="001B20E6"/>
    <w:rsid w:val="001B4C0B"/>
    <w:rsid w:val="001B4D12"/>
    <w:rsid w:val="001B4EC2"/>
    <w:rsid w:val="001B5B59"/>
    <w:rsid w:val="001B60E0"/>
    <w:rsid w:val="001B755A"/>
    <w:rsid w:val="001B7C8C"/>
    <w:rsid w:val="001C051D"/>
    <w:rsid w:val="001C0688"/>
    <w:rsid w:val="001C181A"/>
    <w:rsid w:val="001C1877"/>
    <w:rsid w:val="001C2053"/>
    <w:rsid w:val="001C211B"/>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3754"/>
    <w:rsid w:val="001F50CA"/>
    <w:rsid w:val="001F6E0B"/>
    <w:rsid w:val="00200AA0"/>
    <w:rsid w:val="00201925"/>
    <w:rsid w:val="00202325"/>
    <w:rsid w:val="00202736"/>
    <w:rsid w:val="00203652"/>
    <w:rsid w:val="00204562"/>
    <w:rsid w:val="00205B4F"/>
    <w:rsid w:val="002060B6"/>
    <w:rsid w:val="002066B5"/>
    <w:rsid w:val="00210EAC"/>
    <w:rsid w:val="00211612"/>
    <w:rsid w:val="002119B6"/>
    <w:rsid w:val="00212389"/>
    <w:rsid w:val="00212B40"/>
    <w:rsid w:val="00213631"/>
    <w:rsid w:val="00213BD0"/>
    <w:rsid w:val="00214DBA"/>
    <w:rsid w:val="002151AB"/>
    <w:rsid w:val="0021548C"/>
    <w:rsid w:val="00215C4C"/>
    <w:rsid w:val="00215ED6"/>
    <w:rsid w:val="00216049"/>
    <w:rsid w:val="002163FA"/>
    <w:rsid w:val="00216BED"/>
    <w:rsid w:val="00217606"/>
    <w:rsid w:val="00217C09"/>
    <w:rsid w:val="00220F5C"/>
    <w:rsid w:val="00220FA9"/>
    <w:rsid w:val="002216BF"/>
    <w:rsid w:val="00221B9B"/>
    <w:rsid w:val="00222268"/>
    <w:rsid w:val="00225080"/>
    <w:rsid w:val="00225196"/>
    <w:rsid w:val="00225CB4"/>
    <w:rsid w:val="00226B1A"/>
    <w:rsid w:val="002272E7"/>
    <w:rsid w:val="00227F0B"/>
    <w:rsid w:val="0023049F"/>
    <w:rsid w:val="002310C3"/>
    <w:rsid w:val="002316F6"/>
    <w:rsid w:val="002319B9"/>
    <w:rsid w:val="00232C9B"/>
    <w:rsid w:val="00232E73"/>
    <w:rsid w:val="00232F09"/>
    <w:rsid w:val="002335D5"/>
    <w:rsid w:val="002338CA"/>
    <w:rsid w:val="00233FE5"/>
    <w:rsid w:val="00234483"/>
    <w:rsid w:val="00234A2B"/>
    <w:rsid w:val="00234B3B"/>
    <w:rsid w:val="00234D98"/>
    <w:rsid w:val="00235AD0"/>
    <w:rsid w:val="00236018"/>
    <w:rsid w:val="00236E64"/>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2B"/>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6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3FA"/>
    <w:rsid w:val="002B0749"/>
    <w:rsid w:val="002B0E1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276"/>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2BE"/>
    <w:rsid w:val="0033334F"/>
    <w:rsid w:val="0033414F"/>
    <w:rsid w:val="00334514"/>
    <w:rsid w:val="0033555E"/>
    <w:rsid w:val="0033601F"/>
    <w:rsid w:val="00336805"/>
    <w:rsid w:val="00337351"/>
    <w:rsid w:val="00341A54"/>
    <w:rsid w:val="00341D90"/>
    <w:rsid w:val="00344A4F"/>
    <w:rsid w:val="00344D17"/>
    <w:rsid w:val="0034669F"/>
    <w:rsid w:val="003470C4"/>
    <w:rsid w:val="003503FB"/>
    <w:rsid w:val="00351498"/>
    <w:rsid w:val="00352B22"/>
    <w:rsid w:val="00352CBF"/>
    <w:rsid w:val="00354547"/>
    <w:rsid w:val="003549F5"/>
    <w:rsid w:val="00355ACB"/>
    <w:rsid w:val="003567DE"/>
    <w:rsid w:val="003574F3"/>
    <w:rsid w:val="00357792"/>
    <w:rsid w:val="00357831"/>
    <w:rsid w:val="003604A5"/>
    <w:rsid w:val="0036114B"/>
    <w:rsid w:val="003618B6"/>
    <w:rsid w:val="0036199A"/>
    <w:rsid w:val="003620C8"/>
    <w:rsid w:val="0036319E"/>
    <w:rsid w:val="003632A4"/>
    <w:rsid w:val="00363362"/>
    <w:rsid w:val="0036392A"/>
    <w:rsid w:val="00364769"/>
    <w:rsid w:val="00364CAB"/>
    <w:rsid w:val="00365767"/>
    <w:rsid w:val="003659C0"/>
    <w:rsid w:val="00365A13"/>
    <w:rsid w:val="003660DF"/>
    <w:rsid w:val="00366E0C"/>
    <w:rsid w:val="00367D4F"/>
    <w:rsid w:val="00370743"/>
    <w:rsid w:val="00370EF5"/>
    <w:rsid w:val="0037135B"/>
    <w:rsid w:val="003718CD"/>
    <w:rsid w:val="00372251"/>
    <w:rsid w:val="00373F64"/>
    <w:rsid w:val="00374247"/>
    <w:rsid w:val="00374EA1"/>
    <w:rsid w:val="003750C2"/>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0EE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B68"/>
    <w:rsid w:val="003C247E"/>
    <w:rsid w:val="003C294B"/>
    <w:rsid w:val="003C5046"/>
    <w:rsid w:val="003C5B54"/>
    <w:rsid w:val="003C6068"/>
    <w:rsid w:val="003C7AEC"/>
    <w:rsid w:val="003C7DDF"/>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346"/>
    <w:rsid w:val="003E46D1"/>
    <w:rsid w:val="003E6214"/>
    <w:rsid w:val="003F070E"/>
    <w:rsid w:val="003F1206"/>
    <w:rsid w:val="003F2418"/>
    <w:rsid w:val="003F28DB"/>
    <w:rsid w:val="003F2EEE"/>
    <w:rsid w:val="003F58B0"/>
    <w:rsid w:val="003F776F"/>
    <w:rsid w:val="004007E9"/>
    <w:rsid w:val="00400810"/>
    <w:rsid w:val="00401825"/>
    <w:rsid w:val="00401BBC"/>
    <w:rsid w:val="0040212A"/>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B04"/>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0E33"/>
    <w:rsid w:val="00440F63"/>
    <w:rsid w:val="00441D99"/>
    <w:rsid w:val="004435BE"/>
    <w:rsid w:val="0044384F"/>
    <w:rsid w:val="0044411E"/>
    <w:rsid w:val="00444472"/>
    <w:rsid w:val="00444B93"/>
    <w:rsid w:val="00444F80"/>
    <w:rsid w:val="00445599"/>
    <w:rsid w:val="00446018"/>
    <w:rsid w:val="0044769D"/>
    <w:rsid w:val="0045027B"/>
    <w:rsid w:val="004504E7"/>
    <w:rsid w:val="00451C02"/>
    <w:rsid w:val="00451F9D"/>
    <w:rsid w:val="00453167"/>
    <w:rsid w:val="0045361D"/>
    <w:rsid w:val="004543BC"/>
    <w:rsid w:val="00454F28"/>
    <w:rsid w:val="0045645D"/>
    <w:rsid w:val="0045707D"/>
    <w:rsid w:val="004574C6"/>
    <w:rsid w:val="00457743"/>
    <w:rsid w:val="00457BCF"/>
    <w:rsid w:val="00457DCE"/>
    <w:rsid w:val="00460E3F"/>
    <w:rsid w:val="0046111A"/>
    <w:rsid w:val="004628F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3B4"/>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0982"/>
    <w:rsid w:val="004C1EF8"/>
    <w:rsid w:val="004C2063"/>
    <w:rsid w:val="004C24C5"/>
    <w:rsid w:val="004C2645"/>
    <w:rsid w:val="004C47D5"/>
    <w:rsid w:val="004C4CAF"/>
    <w:rsid w:val="004C5E33"/>
    <w:rsid w:val="004C60A3"/>
    <w:rsid w:val="004C64B5"/>
    <w:rsid w:val="004C6CDA"/>
    <w:rsid w:val="004D10D4"/>
    <w:rsid w:val="004D16BD"/>
    <w:rsid w:val="004D2AAB"/>
    <w:rsid w:val="004D3C7F"/>
    <w:rsid w:val="004D42CB"/>
    <w:rsid w:val="004D6E90"/>
    <w:rsid w:val="004D6F2B"/>
    <w:rsid w:val="004E0248"/>
    <w:rsid w:val="004E21A3"/>
    <w:rsid w:val="004E32EA"/>
    <w:rsid w:val="004E3517"/>
    <w:rsid w:val="004E6866"/>
    <w:rsid w:val="004F0257"/>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C89"/>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6BF"/>
    <w:rsid w:val="005278CB"/>
    <w:rsid w:val="00530388"/>
    <w:rsid w:val="00530FF3"/>
    <w:rsid w:val="00531DA0"/>
    <w:rsid w:val="00532E9D"/>
    <w:rsid w:val="00533075"/>
    <w:rsid w:val="00534D42"/>
    <w:rsid w:val="005350A5"/>
    <w:rsid w:val="00536379"/>
    <w:rsid w:val="00537238"/>
    <w:rsid w:val="005400C5"/>
    <w:rsid w:val="005404CD"/>
    <w:rsid w:val="00540BE0"/>
    <w:rsid w:val="00540BEF"/>
    <w:rsid w:val="00542B34"/>
    <w:rsid w:val="00542C11"/>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70F"/>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3D9"/>
    <w:rsid w:val="00574A1B"/>
    <w:rsid w:val="00575963"/>
    <w:rsid w:val="00575EBE"/>
    <w:rsid w:val="0058039C"/>
    <w:rsid w:val="00580A63"/>
    <w:rsid w:val="00581C16"/>
    <w:rsid w:val="00582B9B"/>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6BE"/>
    <w:rsid w:val="005B5B3D"/>
    <w:rsid w:val="005B5E8F"/>
    <w:rsid w:val="005B64CF"/>
    <w:rsid w:val="005B72DA"/>
    <w:rsid w:val="005C0E87"/>
    <w:rsid w:val="005C1398"/>
    <w:rsid w:val="005C16F3"/>
    <w:rsid w:val="005C28AE"/>
    <w:rsid w:val="005C3758"/>
    <w:rsid w:val="005C4D72"/>
    <w:rsid w:val="005C50C1"/>
    <w:rsid w:val="005C62C2"/>
    <w:rsid w:val="005D2306"/>
    <w:rsid w:val="005D2562"/>
    <w:rsid w:val="005D2666"/>
    <w:rsid w:val="005D4548"/>
    <w:rsid w:val="005D4A74"/>
    <w:rsid w:val="005D5E91"/>
    <w:rsid w:val="005D67EF"/>
    <w:rsid w:val="005D70F5"/>
    <w:rsid w:val="005E06BA"/>
    <w:rsid w:val="005E3064"/>
    <w:rsid w:val="005E52B7"/>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C5C"/>
    <w:rsid w:val="005F5EC1"/>
    <w:rsid w:val="005F67A9"/>
    <w:rsid w:val="005F6B6D"/>
    <w:rsid w:val="005F73CA"/>
    <w:rsid w:val="006008F8"/>
    <w:rsid w:val="006036C2"/>
    <w:rsid w:val="00605AAB"/>
    <w:rsid w:val="00605F1B"/>
    <w:rsid w:val="00606BEB"/>
    <w:rsid w:val="0061014A"/>
    <w:rsid w:val="00610358"/>
    <w:rsid w:val="0061054B"/>
    <w:rsid w:val="006110FB"/>
    <w:rsid w:val="0061183C"/>
    <w:rsid w:val="00612FB0"/>
    <w:rsid w:val="0061356D"/>
    <w:rsid w:val="00613E26"/>
    <w:rsid w:val="00615641"/>
    <w:rsid w:val="00615A66"/>
    <w:rsid w:val="00616959"/>
    <w:rsid w:val="0062036E"/>
    <w:rsid w:val="006211D0"/>
    <w:rsid w:val="00621595"/>
    <w:rsid w:val="0062359D"/>
    <w:rsid w:val="00623634"/>
    <w:rsid w:val="00624D0C"/>
    <w:rsid w:val="006268DD"/>
    <w:rsid w:val="00626A0F"/>
    <w:rsid w:val="006274B4"/>
    <w:rsid w:val="006307BA"/>
    <w:rsid w:val="006315BA"/>
    <w:rsid w:val="00634C4A"/>
    <w:rsid w:val="00634F14"/>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C7B"/>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6111"/>
    <w:rsid w:val="006770AA"/>
    <w:rsid w:val="0068098E"/>
    <w:rsid w:val="006810BD"/>
    <w:rsid w:val="0068209C"/>
    <w:rsid w:val="00682486"/>
    <w:rsid w:val="006833A7"/>
    <w:rsid w:val="0068368B"/>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2CB"/>
    <w:rsid w:val="006C06CA"/>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E7CCE"/>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698"/>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36E"/>
    <w:rsid w:val="007274DE"/>
    <w:rsid w:val="00727565"/>
    <w:rsid w:val="0073062D"/>
    <w:rsid w:val="0073093B"/>
    <w:rsid w:val="00730E9E"/>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64F7"/>
    <w:rsid w:val="0076100C"/>
    <w:rsid w:val="007612A5"/>
    <w:rsid w:val="00763CAE"/>
    <w:rsid w:val="00763F95"/>
    <w:rsid w:val="007651ED"/>
    <w:rsid w:val="00766C87"/>
    <w:rsid w:val="00771043"/>
    <w:rsid w:val="0077272B"/>
    <w:rsid w:val="00773AF7"/>
    <w:rsid w:val="00774FFD"/>
    <w:rsid w:val="00775C7B"/>
    <w:rsid w:val="00776A3F"/>
    <w:rsid w:val="00780378"/>
    <w:rsid w:val="0078085E"/>
    <w:rsid w:val="00781BD4"/>
    <w:rsid w:val="00782562"/>
    <w:rsid w:val="007828B4"/>
    <w:rsid w:val="00782D20"/>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58F4"/>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B01"/>
    <w:rsid w:val="007E176C"/>
    <w:rsid w:val="007E2046"/>
    <w:rsid w:val="007E3883"/>
    <w:rsid w:val="007E4876"/>
    <w:rsid w:val="007E48CD"/>
    <w:rsid w:val="007E4ACB"/>
    <w:rsid w:val="007E4FBB"/>
    <w:rsid w:val="007E55BF"/>
    <w:rsid w:val="007E59E3"/>
    <w:rsid w:val="007E5E39"/>
    <w:rsid w:val="007E71B1"/>
    <w:rsid w:val="007E76BD"/>
    <w:rsid w:val="007E7B4E"/>
    <w:rsid w:val="007E7F02"/>
    <w:rsid w:val="007F0292"/>
    <w:rsid w:val="007F04F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2FB"/>
    <w:rsid w:val="0080732C"/>
    <w:rsid w:val="008078D8"/>
    <w:rsid w:val="0080798E"/>
    <w:rsid w:val="00811BD9"/>
    <w:rsid w:val="00811D5B"/>
    <w:rsid w:val="00813C51"/>
    <w:rsid w:val="00816CCB"/>
    <w:rsid w:val="00817572"/>
    <w:rsid w:val="00817595"/>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A3E"/>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1D3"/>
    <w:rsid w:val="00887D45"/>
    <w:rsid w:val="008902BE"/>
    <w:rsid w:val="0089038F"/>
    <w:rsid w:val="00890CDA"/>
    <w:rsid w:val="00891BBA"/>
    <w:rsid w:val="00892079"/>
    <w:rsid w:val="0089224C"/>
    <w:rsid w:val="00892B90"/>
    <w:rsid w:val="00896535"/>
    <w:rsid w:val="00896683"/>
    <w:rsid w:val="00896E71"/>
    <w:rsid w:val="0089750B"/>
    <w:rsid w:val="00897589"/>
    <w:rsid w:val="008A0C99"/>
    <w:rsid w:val="008A0D4F"/>
    <w:rsid w:val="008A1CC3"/>
    <w:rsid w:val="008A39D7"/>
    <w:rsid w:val="008A55DE"/>
    <w:rsid w:val="008A566C"/>
    <w:rsid w:val="008A5705"/>
    <w:rsid w:val="008A5C34"/>
    <w:rsid w:val="008A63A9"/>
    <w:rsid w:val="008A7073"/>
    <w:rsid w:val="008A79F0"/>
    <w:rsid w:val="008A7F7E"/>
    <w:rsid w:val="008B04DB"/>
    <w:rsid w:val="008B09B4"/>
    <w:rsid w:val="008B1B11"/>
    <w:rsid w:val="008B1DF4"/>
    <w:rsid w:val="008B24D3"/>
    <w:rsid w:val="008B27FD"/>
    <w:rsid w:val="008B2C86"/>
    <w:rsid w:val="008B2FDB"/>
    <w:rsid w:val="008B3AF2"/>
    <w:rsid w:val="008B446D"/>
    <w:rsid w:val="008B515D"/>
    <w:rsid w:val="008B5D31"/>
    <w:rsid w:val="008B6705"/>
    <w:rsid w:val="008C1FEE"/>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87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09"/>
    <w:rsid w:val="009672CD"/>
    <w:rsid w:val="00971810"/>
    <w:rsid w:val="00972996"/>
    <w:rsid w:val="009730B4"/>
    <w:rsid w:val="0097320E"/>
    <w:rsid w:val="009732B8"/>
    <w:rsid w:val="00974647"/>
    <w:rsid w:val="0097514A"/>
    <w:rsid w:val="009759C2"/>
    <w:rsid w:val="00975C72"/>
    <w:rsid w:val="00976869"/>
    <w:rsid w:val="00977604"/>
    <w:rsid w:val="00977740"/>
    <w:rsid w:val="00977CB4"/>
    <w:rsid w:val="009809B8"/>
    <w:rsid w:val="00981086"/>
    <w:rsid w:val="009818AF"/>
    <w:rsid w:val="00981B1C"/>
    <w:rsid w:val="0098222D"/>
    <w:rsid w:val="009842F3"/>
    <w:rsid w:val="00984EBF"/>
    <w:rsid w:val="00985099"/>
    <w:rsid w:val="00985D32"/>
    <w:rsid w:val="009864A0"/>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53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2DB9"/>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5103"/>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3A7"/>
    <w:rsid w:val="00A23B89"/>
    <w:rsid w:val="00A23C4F"/>
    <w:rsid w:val="00A23FE3"/>
    <w:rsid w:val="00A248C3"/>
    <w:rsid w:val="00A2496E"/>
    <w:rsid w:val="00A2515A"/>
    <w:rsid w:val="00A253E8"/>
    <w:rsid w:val="00A258B7"/>
    <w:rsid w:val="00A25A0C"/>
    <w:rsid w:val="00A25A83"/>
    <w:rsid w:val="00A262B6"/>
    <w:rsid w:val="00A305AD"/>
    <w:rsid w:val="00A30CCA"/>
    <w:rsid w:val="00A31FE2"/>
    <w:rsid w:val="00A32570"/>
    <w:rsid w:val="00A32743"/>
    <w:rsid w:val="00A40356"/>
    <w:rsid w:val="00A40FFB"/>
    <w:rsid w:val="00A41468"/>
    <w:rsid w:val="00A414A9"/>
    <w:rsid w:val="00A44141"/>
    <w:rsid w:val="00A44CCA"/>
    <w:rsid w:val="00A44D75"/>
    <w:rsid w:val="00A47CF1"/>
    <w:rsid w:val="00A50418"/>
    <w:rsid w:val="00A50B17"/>
    <w:rsid w:val="00A52694"/>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76B"/>
    <w:rsid w:val="00A768E2"/>
    <w:rsid w:val="00A80628"/>
    <w:rsid w:val="00A82C52"/>
    <w:rsid w:val="00A838E8"/>
    <w:rsid w:val="00A83C15"/>
    <w:rsid w:val="00A84EC4"/>
    <w:rsid w:val="00A86CB6"/>
    <w:rsid w:val="00A90D55"/>
    <w:rsid w:val="00A91092"/>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FD0"/>
    <w:rsid w:val="00AA73AF"/>
    <w:rsid w:val="00AB062D"/>
    <w:rsid w:val="00AB0A8A"/>
    <w:rsid w:val="00AB1754"/>
    <w:rsid w:val="00AB1F8D"/>
    <w:rsid w:val="00AB27DD"/>
    <w:rsid w:val="00AB4BA4"/>
    <w:rsid w:val="00AB592E"/>
    <w:rsid w:val="00AB69D7"/>
    <w:rsid w:val="00AC042B"/>
    <w:rsid w:val="00AC0A2D"/>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31A"/>
    <w:rsid w:val="00AE4624"/>
    <w:rsid w:val="00AE4B3E"/>
    <w:rsid w:val="00AE4B90"/>
    <w:rsid w:val="00AE5E14"/>
    <w:rsid w:val="00AE5FE8"/>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089"/>
    <w:rsid w:val="00B0773A"/>
    <w:rsid w:val="00B07955"/>
    <w:rsid w:val="00B1176B"/>
    <w:rsid w:val="00B140B8"/>
    <w:rsid w:val="00B14FAA"/>
    <w:rsid w:val="00B158F3"/>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5C1"/>
    <w:rsid w:val="00B31965"/>
    <w:rsid w:val="00B32179"/>
    <w:rsid w:val="00B32341"/>
    <w:rsid w:val="00B32685"/>
    <w:rsid w:val="00B32C2B"/>
    <w:rsid w:val="00B33007"/>
    <w:rsid w:val="00B331A9"/>
    <w:rsid w:val="00B33498"/>
    <w:rsid w:val="00B33598"/>
    <w:rsid w:val="00B33F5F"/>
    <w:rsid w:val="00B3575C"/>
    <w:rsid w:val="00B36569"/>
    <w:rsid w:val="00B37345"/>
    <w:rsid w:val="00B374B6"/>
    <w:rsid w:val="00B37F53"/>
    <w:rsid w:val="00B40A05"/>
    <w:rsid w:val="00B40A3E"/>
    <w:rsid w:val="00B427BB"/>
    <w:rsid w:val="00B43BA2"/>
    <w:rsid w:val="00B449EE"/>
    <w:rsid w:val="00B45319"/>
    <w:rsid w:val="00B454AE"/>
    <w:rsid w:val="00B50227"/>
    <w:rsid w:val="00B50510"/>
    <w:rsid w:val="00B522CD"/>
    <w:rsid w:val="00B52ED1"/>
    <w:rsid w:val="00B55143"/>
    <w:rsid w:val="00B553B2"/>
    <w:rsid w:val="00B555C8"/>
    <w:rsid w:val="00B55917"/>
    <w:rsid w:val="00B55D87"/>
    <w:rsid w:val="00B55F22"/>
    <w:rsid w:val="00B5646A"/>
    <w:rsid w:val="00B56F3D"/>
    <w:rsid w:val="00B57921"/>
    <w:rsid w:val="00B57E78"/>
    <w:rsid w:val="00B57EB8"/>
    <w:rsid w:val="00B609F6"/>
    <w:rsid w:val="00B60E75"/>
    <w:rsid w:val="00B643A6"/>
    <w:rsid w:val="00B64DD6"/>
    <w:rsid w:val="00B66505"/>
    <w:rsid w:val="00B66680"/>
    <w:rsid w:val="00B6710C"/>
    <w:rsid w:val="00B67E84"/>
    <w:rsid w:val="00B715C1"/>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470"/>
    <w:rsid w:val="00BA7F46"/>
    <w:rsid w:val="00BB0388"/>
    <w:rsid w:val="00BB0A0A"/>
    <w:rsid w:val="00BB133C"/>
    <w:rsid w:val="00BB1F04"/>
    <w:rsid w:val="00BB3BE5"/>
    <w:rsid w:val="00BB45B5"/>
    <w:rsid w:val="00BB4DDE"/>
    <w:rsid w:val="00BB6064"/>
    <w:rsid w:val="00BB65CE"/>
    <w:rsid w:val="00BB7012"/>
    <w:rsid w:val="00BC09D1"/>
    <w:rsid w:val="00BC1CF3"/>
    <w:rsid w:val="00BC2BE0"/>
    <w:rsid w:val="00BC3573"/>
    <w:rsid w:val="00BC5860"/>
    <w:rsid w:val="00BC7F82"/>
    <w:rsid w:val="00BD1070"/>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3F9A"/>
    <w:rsid w:val="00C45B27"/>
    <w:rsid w:val="00C4652E"/>
    <w:rsid w:val="00C4696D"/>
    <w:rsid w:val="00C472C7"/>
    <w:rsid w:val="00C5019E"/>
    <w:rsid w:val="00C50C8C"/>
    <w:rsid w:val="00C51962"/>
    <w:rsid w:val="00C5377C"/>
    <w:rsid w:val="00C53E8A"/>
    <w:rsid w:val="00C54DF3"/>
    <w:rsid w:val="00C560A7"/>
    <w:rsid w:val="00C56FC8"/>
    <w:rsid w:val="00C57479"/>
    <w:rsid w:val="00C60F23"/>
    <w:rsid w:val="00C6170B"/>
    <w:rsid w:val="00C62EB2"/>
    <w:rsid w:val="00C63431"/>
    <w:rsid w:val="00C64C87"/>
    <w:rsid w:val="00C65414"/>
    <w:rsid w:val="00C66461"/>
    <w:rsid w:val="00C665FE"/>
    <w:rsid w:val="00C71BEC"/>
    <w:rsid w:val="00C71F27"/>
    <w:rsid w:val="00C73942"/>
    <w:rsid w:val="00C73A83"/>
    <w:rsid w:val="00C74D3A"/>
    <w:rsid w:val="00C75F3D"/>
    <w:rsid w:val="00C80511"/>
    <w:rsid w:val="00C80655"/>
    <w:rsid w:val="00C81937"/>
    <w:rsid w:val="00C826F5"/>
    <w:rsid w:val="00C82CC3"/>
    <w:rsid w:val="00C83740"/>
    <w:rsid w:val="00C84527"/>
    <w:rsid w:val="00C84AD1"/>
    <w:rsid w:val="00C85579"/>
    <w:rsid w:val="00C8590C"/>
    <w:rsid w:val="00C862F1"/>
    <w:rsid w:val="00C863E5"/>
    <w:rsid w:val="00C87BE6"/>
    <w:rsid w:val="00C87F76"/>
    <w:rsid w:val="00C90310"/>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3463"/>
    <w:rsid w:val="00CF4340"/>
    <w:rsid w:val="00CF4394"/>
    <w:rsid w:val="00CF48B4"/>
    <w:rsid w:val="00CF5C12"/>
    <w:rsid w:val="00CF7B72"/>
    <w:rsid w:val="00D000A9"/>
    <w:rsid w:val="00D00384"/>
    <w:rsid w:val="00D005DB"/>
    <w:rsid w:val="00D0064E"/>
    <w:rsid w:val="00D00981"/>
    <w:rsid w:val="00D02596"/>
    <w:rsid w:val="00D0280D"/>
    <w:rsid w:val="00D02AEF"/>
    <w:rsid w:val="00D031BD"/>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1962"/>
    <w:rsid w:val="00D32C63"/>
    <w:rsid w:val="00D33452"/>
    <w:rsid w:val="00D336C8"/>
    <w:rsid w:val="00D339E8"/>
    <w:rsid w:val="00D33FDD"/>
    <w:rsid w:val="00D363BC"/>
    <w:rsid w:val="00D3654A"/>
    <w:rsid w:val="00D3662E"/>
    <w:rsid w:val="00D373F1"/>
    <w:rsid w:val="00D37567"/>
    <w:rsid w:val="00D40B1F"/>
    <w:rsid w:val="00D40D75"/>
    <w:rsid w:val="00D43978"/>
    <w:rsid w:val="00D43CBD"/>
    <w:rsid w:val="00D449F0"/>
    <w:rsid w:val="00D45048"/>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2A"/>
    <w:rsid w:val="00D560DC"/>
    <w:rsid w:val="00D56602"/>
    <w:rsid w:val="00D60483"/>
    <w:rsid w:val="00D61ABB"/>
    <w:rsid w:val="00D62D5C"/>
    <w:rsid w:val="00D63577"/>
    <w:rsid w:val="00D67FD7"/>
    <w:rsid w:val="00D704E4"/>
    <w:rsid w:val="00D721BE"/>
    <w:rsid w:val="00D72410"/>
    <w:rsid w:val="00D73D53"/>
    <w:rsid w:val="00D7402C"/>
    <w:rsid w:val="00D7408A"/>
    <w:rsid w:val="00D74261"/>
    <w:rsid w:val="00D7441B"/>
    <w:rsid w:val="00D75589"/>
    <w:rsid w:val="00D76AB2"/>
    <w:rsid w:val="00D80490"/>
    <w:rsid w:val="00D8167D"/>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505"/>
    <w:rsid w:val="00D95984"/>
    <w:rsid w:val="00D95C64"/>
    <w:rsid w:val="00D9706F"/>
    <w:rsid w:val="00D972D4"/>
    <w:rsid w:val="00DA0704"/>
    <w:rsid w:val="00DA0FE3"/>
    <w:rsid w:val="00DA195B"/>
    <w:rsid w:val="00DA27F3"/>
    <w:rsid w:val="00DA2D1E"/>
    <w:rsid w:val="00DA390F"/>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35D3"/>
    <w:rsid w:val="00DD64E0"/>
    <w:rsid w:val="00DD6EFC"/>
    <w:rsid w:val="00DD775C"/>
    <w:rsid w:val="00DD7BE0"/>
    <w:rsid w:val="00DE0C67"/>
    <w:rsid w:val="00DE3AAD"/>
    <w:rsid w:val="00DE42FB"/>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1A"/>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39E0"/>
    <w:rsid w:val="00E548FA"/>
    <w:rsid w:val="00E55CD9"/>
    <w:rsid w:val="00E574DD"/>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686"/>
    <w:rsid w:val="00E7200B"/>
    <w:rsid w:val="00E738CB"/>
    <w:rsid w:val="00E73C88"/>
    <w:rsid w:val="00E74437"/>
    <w:rsid w:val="00E7443D"/>
    <w:rsid w:val="00E74857"/>
    <w:rsid w:val="00E75ACE"/>
    <w:rsid w:val="00E771AF"/>
    <w:rsid w:val="00E80386"/>
    <w:rsid w:val="00E809C3"/>
    <w:rsid w:val="00E814D4"/>
    <w:rsid w:val="00E81A1A"/>
    <w:rsid w:val="00E81A8A"/>
    <w:rsid w:val="00E81C3E"/>
    <w:rsid w:val="00E82359"/>
    <w:rsid w:val="00E82B6D"/>
    <w:rsid w:val="00E83187"/>
    <w:rsid w:val="00E831E9"/>
    <w:rsid w:val="00E83614"/>
    <w:rsid w:val="00E843B3"/>
    <w:rsid w:val="00E84DDA"/>
    <w:rsid w:val="00E8608F"/>
    <w:rsid w:val="00E86811"/>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2B"/>
    <w:rsid w:val="00EB57D3"/>
    <w:rsid w:val="00EB5EFD"/>
    <w:rsid w:val="00EB679F"/>
    <w:rsid w:val="00EB76E4"/>
    <w:rsid w:val="00EC057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40"/>
    <w:rsid w:val="00ED6A61"/>
    <w:rsid w:val="00ED768E"/>
    <w:rsid w:val="00ED7DA4"/>
    <w:rsid w:val="00EE03BB"/>
    <w:rsid w:val="00EE0552"/>
    <w:rsid w:val="00EE05CE"/>
    <w:rsid w:val="00EE0B44"/>
    <w:rsid w:val="00EE125D"/>
    <w:rsid w:val="00EE23DE"/>
    <w:rsid w:val="00EE48BB"/>
    <w:rsid w:val="00EE6FE0"/>
    <w:rsid w:val="00EE704A"/>
    <w:rsid w:val="00EE7840"/>
    <w:rsid w:val="00EF2E75"/>
    <w:rsid w:val="00EF4C74"/>
    <w:rsid w:val="00EF5268"/>
    <w:rsid w:val="00EF608E"/>
    <w:rsid w:val="00EF6C4A"/>
    <w:rsid w:val="00F0044B"/>
    <w:rsid w:val="00F0064E"/>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DDB"/>
    <w:rsid w:val="00F14933"/>
    <w:rsid w:val="00F1516A"/>
    <w:rsid w:val="00F15EE5"/>
    <w:rsid w:val="00F16DCD"/>
    <w:rsid w:val="00F171F9"/>
    <w:rsid w:val="00F1737C"/>
    <w:rsid w:val="00F173AA"/>
    <w:rsid w:val="00F227AD"/>
    <w:rsid w:val="00F22A26"/>
    <w:rsid w:val="00F24072"/>
    <w:rsid w:val="00F26432"/>
    <w:rsid w:val="00F3197A"/>
    <w:rsid w:val="00F32139"/>
    <w:rsid w:val="00F33CF0"/>
    <w:rsid w:val="00F33D56"/>
    <w:rsid w:val="00F34E08"/>
    <w:rsid w:val="00F41560"/>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4"/>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1A30"/>
    <w:rsid w:val="00F93C74"/>
    <w:rsid w:val="00F93DCC"/>
    <w:rsid w:val="00F9435D"/>
    <w:rsid w:val="00F966F9"/>
    <w:rsid w:val="00F96F61"/>
    <w:rsid w:val="00F97740"/>
    <w:rsid w:val="00FA0C8F"/>
    <w:rsid w:val="00FA2DEF"/>
    <w:rsid w:val="00FA2F7B"/>
    <w:rsid w:val="00FA3C90"/>
    <w:rsid w:val="00FA3C97"/>
    <w:rsid w:val="00FA3D30"/>
    <w:rsid w:val="00FA4B49"/>
    <w:rsid w:val="00FA5238"/>
    <w:rsid w:val="00FA54F8"/>
    <w:rsid w:val="00FA55CA"/>
    <w:rsid w:val="00FA78C8"/>
    <w:rsid w:val="00FA7A2F"/>
    <w:rsid w:val="00FB09FE"/>
    <w:rsid w:val="00FB0E80"/>
    <w:rsid w:val="00FB101D"/>
    <w:rsid w:val="00FB1725"/>
    <w:rsid w:val="00FB1A7F"/>
    <w:rsid w:val="00FB2493"/>
    <w:rsid w:val="00FB42B7"/>
    <w:rsid w:val="00FB4484"/>
    <w:rsid w:val="00FB593A"/>
    <w:rsid w:val="00FB6410"/>
    <w:rsid w:val="00FB65D6"/>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5FE"/>
    <w:rsid w:val="00FF3A38"/>
    <w:rsid w:val="00FF3C25"/>
    <w:rsid w:val="00FF4129"/>
    <w:rsid w:val="00FF44F7"/>
    <w:rsid w:val="00FF4928"/>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Spacing">
    <w:name w:val="No Spacing"/>
    <w:uiPriority w:val="1"/>
    <w:qFormat/>
    <w:rsid w:val="00C90310"/>
    <w:pPr>
      <w:spacing w:line="240" w:lineRule="auto"/>
      <w:jc w:val="left"/>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locked/>
    <w:rsid w:val="005B36B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4CC32-4B69-4E52-9A79-39B3E16B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2011-04-08T11:41:00Z</cp:lastPrinted>
  <dcterms:created xsi:type="dcterms:W3CDTF">2012-03-21T14:32:00Z</dcterms:created>
  <dcterms:modified xsi:type="dcterms:W3CDTF">2012-04-09T16:19:00Z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