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A40263" w:rsidRPr="0082171F" w:rsidRDefault="00A40263" w:rsidP="007F3947">
      <w:pPr>
        <w:tabs>
          <w:tab w:val="right" w:pos="9270"/>
        </w:tabs>
        <w:spacing w:line="240" w:lineRule="exact"/>
        <w:jc w:val="both"/>
        <w:rPr>
          <w:rFonts w:asciiTheme="minorHAnsi" w:hAnsiTheme="minorHAnsi"/>
          <w:caps/>
          <w:color w:val="auto"/>
        </w:rPr>
      </w:pPr>
      <w:r w:rsidRPr="0082171F">
        <w:rPr>
          <w:rFonts w:asciiTheme="minorHAnsi" w:hAnsiTheme="minorHAnsi"/>
          <w:caps/>
          <w:color w:val="auto"/>
        </w:rPr>
        <w:t xml:space="preserve">NAME:  </w:t>
      </w:r>
      <w:r w:rsidRPr="0082171F">
        <w:rPr>
          <w:rFonts w:asciiTheme="minorHAnsi" w:hAnsiTheme="minorHAnsi"/>
          <w:caps/>
          <w:color w:val="auto"/>
        </w:rPr>
        <w:tab/>
        <w:t xml:space="preserve">BRANCH OF SERVICE: </w:t>
      </w:r>
      <w:r w:rsidR="007F3947">
        <w:rPr>
          <w:rFonts w:asciiTheme="minorHAnsi" w:hAnsiTheme="minorHAnsi"/>
          <w:caps/>
          <w:color w:val="auto"/>
        </w:rPr>
        <w:t xml:space="preserve"> </w:t>
      </w:r>
      <w:r w:rsidRPr="00687104">
        <w:rPr>
          <w:rFonts w:asciiTheme="minorHAnsi" w:hAnsiTheme="minorHAnsi"/>
          <w:caps/>
          <w:color w:val="auto"/>
        </w:rPr>
        <w:t>ARMY</w:t>
      </w:r>
    </w:p>
    <w:p w:rsidR="00A40263" w:rsidRPr="0082171F" w:rsidRDefault="00A40263" w:rsidP="007F3947">
      <w:pPr>
        <w:tabs>
          <w:tab w:val="right" w:pos="9270"/>
        </w:tabs>
        <w:spacing w:line="240" w:lineRule="exact"/>
        <w:jc w:val="both"/>
        <w:rPr>
          <w:rFonts w:asciiTheme="minorHAnsi" w:hAnsiTheme="minorHAnsi"/>
          <w:caps/>
          <w:color w:val="auto"/>
        </w:rPr>
      </w:pPr>
      <w:r w:rsidRPr="0082171F">
        <w:rPr>
          <w:rFonts w:asciiTheme="minorHAnsi" w:hAnsiTheme="minorHAnsi"/>
          <w:caps/>
          <w:color w:val="auto"/>
        </w:rPr>
        <w:t xml:space="preserve">CASE NUMBER:  </w:t>
      </w:r>
      <w:r w:rsidRPr="00337BFF">
        <w:rPr>
          <w:rFonts w:asciiTheme="minorHAnsi" w:hAnsiTheme="minorHAnsi"/>
          <w:caps/>
          <w:color w:val="auto"/>
        </w:rPr>
        <w:t>PD1001207</w:t>
      </w:r>
      <w:r>
        <w:rPr>
          <w:rFonts w:asciiTheme="minorHAnsi" w:hAnsiTheme="minorHAnsi"/>
          <w:color w:val="auto"/>
        </w:rPr>
        <w:tab/>
      </w:r>
      <w:r w:rsidR="009B6039">
        <w:rPr>
          <w:rFonts w:asciiTheme="minorHAnsi" w:hAnsiTheme="minorHAnsi"/>
          <w:color w:val="auto"/>
        </w:rPr>
        <w:t>TDRL ENTRY DATE:  2007070</w:t>
      </w:r>
      <w:r w:rsidR="003B60D2">
        <w:rPr>
          <w:rFonts w:asciiTheme="minorHAnsi" w:hAnsiTheme="minorHAnsi"/>
          <w:color w:val="auto"/>
        </w:rPr>
        <w:t>9</w:t>
      </w:r>
    </w:p>
    <w:p w:rsidR="00A40263" w:rsidRPr="0082171F" w:rsidRDefault="00A40263" w:rsidP="007F3947">
      <w:pPr>
        <w:tabs>
          <w:tab w:val="right" w:pos="9270"/>
        </w:tabs>
        <w:spacing w:line="240" w:lineRule="exact"/>
        <w:jc w:val="both"/>
        <w:rPr>
          <w:rFonts w:asciiTheme="minorHAnsi" w:hAnsiTheme="minorHAnsi"/>
          <w:color w:val="auto"/>
        </w:rPr>
      </w:pPr>
      <w:r w:rsidRPr="0082171F">
        <w:rPr>
          <w:rFonts w:asciiTheme="minorHAnsi" w:hAnsiTheme="minorHAnsi"/>
          <w:caps/>
          <w:color w:val="auto"/>
        </w:rPr>
        <w:t>BOARD DATE:  2011</w:t>
      </w:r>
      <w:r w:rsidR="00DA3C0F">
        <w:rPr>
          <w:rFonts w:asciiTheme="minorHAnsi" w:hAnsiTheme="minorHAnsi"/>
          <w:caps/>
          <w:color w:val="auto"/>
        </w:rPr>
        <w:t>0113</w:t>
      </w:r>
      <w:r w:rsidR="009B6039">
        <w:rPr>
          <w:rFonts w:asciiTheme="minorHAnsi" w:hAnsiTheme="minorHAnsi"/>
          <w:caps/>
          <w:color w:val="auto"/>
        </w:rPr>
        <w:tab/>
      </w:r>
      <w:r w:rsidR="009B6039" w:rsidRPr="0082171F">
        <w:rPr>
          <w:rFonts w:asciiTheme="minorHAnsi" w:hAnsiTheme="minorHAnsi"/>
          <w:color w:val="auto"/>
        </w:rPr>
        <w:t xml:space="preserve">SEPARATION DATE:  </w:t>
      </w:r>
      <w:r w:rsidR="009B6039" w:rsidRPr="00337BFF">
        <w:rPr>
          <w:rFonts w:asciiTheme="minorHAnsi" w:hAnsiTheme="minorHAnsi"/>
          <w:color w:val="auto"/>
        </w:rPr>
        <w:t>20090210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DF29D0" w:rsidRDefault="00CB1F56" w:rsidP="005B5C2F">
      <w:pPr>
        <w:tabs>
          <w:tab w:val="left" w:pos="288"/>
          <w:tab w:val="left" w:pos="4752"/>
        </w:tabs>
        <w:spacing w:line="240" w:lineRule="exact"/>
        <w:jc w:val="both"/>
        <w:rPr>
          <w:rFonts w:asciiTheme="minorHAnsi" w:hAnsiTheme="minorHAnsi"/>
          <w:color w:val="auto"/>
          <w:szCs w:val="24"/>
        </w:rPr>
      </w:pPr>
      <w:r w:rsidRPr="00B51FB2">
        <w:rPr>
          <w:rFonts w:asciiTheme="minorHAnsi" w:hAnsiTheme="minorHAnsi"/>
          <w:color w:val="auto"/>
          <w:u w:val="single"/>
        </w:rPr>
        <w:t>SUMMARY OF CASE</w:t>
      </w:r>
      <w:r w:rsidRPr="00B51FB2">
        <w:rPr>
          <w:rFonts w:asciiTheme="minorHAnsi" w:hAnsiTheme="minorHAnsi"/>
          <w:color w:val="auto"/>
        </w:rPr>
        <w:t xml:space="preserve">:  Data extracted from the available evidence of record reflects that this covered individual (CI) </w:t>
      </w:r>
      <w:r w:rsidRPr="00B51FB2">
        <w:rPr>
          <w:rFonts w:asciiTheme="minorHAnsi" w:hAnsiTheme="minorHAnsi"/>
          <w:color w:val="auto"/>
          <w:szCs w:val="24"/>
        </w:rPr>
        <w:t>was a</w:t>
      </w:r>
      <w:r>
        <w:rPr>
          <w:rFonts w:asciiTheme="minorHAnsi" w:hAnsiTheme="minorHAnsi"/>
          <w:color w:val="auto"/>
          <w:szCs w:val="24"/>
        </w:rPr>
        <w:t>n active</w:t>
      </w:r>
      <w:r w:rsidRPr="00B51FB2">
        <w:rPr>
          <w:rFonts w:asciiTheme="minorHAnsi" w:hAnsiTheme="minorHAnsi"/>
          <w:color w:val="auto"/>
          <w:szCs w:val="24"/>
        </w:rPr>
        <w:t xml:space="preserve"> </w:t>
      </w:r>
      <w:r w:rsidRPr="00337BFF">
        <w:rPr>
          <w:rFonts w:asciiTheme="minorHAnsi" w:hAnsiTheme="minorHAnsi"/>
          <w:color w:val="auto"/>
          <w:szCs w:val="24"/>
        </w:rPr>
        <w:t>duty</w:t>
      </w:r>
      <w:r>
        <w:rPr>
          <w:rFonts w:asciiTheme="minorHAnsi" w:hAnsiTheme="minorHAnsi"/>
          <w:color w:val="auto"/>
          <w:szCs w:val="24"/>
        </w:rPr>
        <w:t xml:space="preserve"> Army SGT</w:t>
      </w:r>
      <w:r w:rsidRPr="00337BFF">
        <w:rPr>
          <w:rFonts w:asciiTheme="minorHAnsi" w:hAnsiTheme="minorHAnsi"/>
          <w:color w:val="auto"/>
          <w:szCs w:val="24"/>
        </w:rPr>
        <w:t>/E-5</w:t>
      </w:r>
      <w:r>
        <w:rPr>
          <w:rFonts w:asciiTheme="minorHAnsi" w:hAnsiTheme="minorHAnsi"/>
          <w:color w:val="auto"/>
          <w:szCs w:val="24"/>
        </w:rPr>
        <w:t xml:space="preserve"> </w:t>
      </w:r>
      <w:r w:rsidRPr="00337BFF">
        <w:rPr>
          <w:rFonts w:asciiTheme="minorHAnsi" w:hAnsiTheme="minorHAnsi"/>
          <w:color w:val="auto"/>
          <w:szCs w:val="24"/>
        </w:rPr>
        <w:t xml:space="preserve">(11B, Infantryman) </w:t>
      </w:r>
      <w:r w:rsidR="00BC3ABC" w:rsidRPr="00263319">
        <w:rPr>
          <w:color w:val="auto"/>
          <w:szCs w:val="24"/>
        </w:rPr>
        <w:t>medically separa</w:t>
      </w:r>
      <w:r w:rsidR="00BC3ABC">
        <w:rPr>
          <w:color w:val="auto"/>
          <w:szCs w:val="24"/>
        </w:rPr>
        <w:t xml:space="preserve">ted </w:t>
      </w:r>
      <w:r w:rsidR="007F3947">
        <w:rPr>
          <w:color w:val="auto"/>
          <w:szCs w:val="24"/>
        </w:rPr>
        <w:t>for</w:t>
      </w:r>
      <w:r w:rsidR="00BC3ABC" w:rsidRPr="00AE3316">
        <w:rPr>
          <w:color w:val="auto"/>
          <w:szCs w:val="24"/>
        </w:rPr>
        <w:t xml:space="preserve"> </w:t>
      </w:r>
      <w:r w:rsidR="007F3947">
        <w:rPr>
          <w:color w:val="auto"/>
          <w:szCs w:val="24"/>
        </w:rPr>
        <w:t xml:space="preserve">posttraumatic stress disorder </w:t>
      </w:r>
      <w:r w:rsidR="00BC3ABC">
        <w:rPr>
          <w:color w:val="auto"/>
          <w:szCs w:val="24"/>
        </w:rPr>
        <w:t>(PTSD) related to combat experiences while deployed to Iraq in 2006</w:t>
      </w:r>
      <w:r w:rsidR="00BC3ABC" w:rsidRPr="00920063">
        <w:rPr>
          <w:color w:val="auto"/>
          <w:szCs w:val="24"/>
        </w:rPr>
        <w:t>.</w:t>
      </w:r>
      <w:r w:rsidR="00BC3ABC">
        <w:rPr>
          <w:color w:val="auto"/>
          <w:szCs w:val="24"/>
        </w:rPr>
        <w:t xml:space="preserve">  Symptoms included insomnia, nightmares, flashbacks, irritability, aggression, depressed mood and emotional detachment.  </w:t>
      </w:r>
      <w:r w:rsidR="00BC3ABC" w:rsidRPr="00B05D5F">
        <w:rPr>
          <w:color w:val="auto"/>
          <w:szCs w:val="24"/>
        </w:rPr>
        <w:t>Criterion A combat stressors were documented and the Diagnostic and Statistical Manual of Mental Disorders (DSM IV) criteria for an Axis</w:t>
      </w:r>
      <w:r w:rsidR="00BC3ABC">
        <w:rPr>
          <w:color w:val="auto"/>
          <w:szCs w:val="24"/>
        </w:rPr>
        <w:t xml:space="preserve"> I diagnosis of PTSD were met.  The CI did not respond adequately to treatmen</w:t>
      </w:r>
      <w:r w:rsidR="00B26D7D">
        <w:rPr>
          <w:color w:val="auto"/>
          <w:szCs w:val="24"/>
        </w:rPr>
        <w:t>t</w:t>
      </w:r>
      <w:r w:rsidR="00BC3ABC">
        <w:rPr>
          <w:color w:val="auto"/>
          <w:szCs w:val="24"/>
        </w:rPr>
        <w:t xml:space="preserve">.  </w:t>
      </w:r>
      <w:r w:rsidR="00BC3ABC" w:rsidRPr="00B05D5F">
        <w:rPr>
          <w:color w:val="auto"/>
          <w:szCs w:val="24"/>
        </w:rPr>
        <w:t>He was not deployable and could not meet the operational requirements of his Military Occupational Specialty (MOS).</w:t>
      </w:r>
      <w:r w:rsidR="00BC3ABC">
        <w:rPr>
          <w:color w:val="auto"/>
          <w:szCs w:val="24"/>
        </w:rPr>
        <w:t xml:space="preserve">  The CI was issued</w:t>
      </w:r>
      <w:r w:rsidR="00BC3ABC" w:rsidRPr="006736D5">
        <w:rPr>
          <w:color w:val="auto"/>
          <w:szCs w:val="24"/>
        </w:rPr>
        <w:t xml:space="preserve"> a permanent S-3 pr</w:t>
      </w:r>
      <w:r w:rsidR="00BC3ABC">
        <w:rPr>
          <w:color w:val="auto"/>
          <w:szCs w:val="24"/>
        </w:rPr>
        <w:t xml:space="preserve">ofile resulting in a Medical Evaluation Board (MEB).  PTSD was addressed in the narrative summary (NARSUM) </w:t>
      </w:r>
      <w:r w:rsidR="00BC3ABC" w:rsidRPr="00DA51D1">
        <w:rPr>
          <w:color w:val="auto"/>
          <w:szCs w:val="24"/>
        </w:rPr>
        <w:t>and forwarded to the Physical Evaluation Board (PEB) on the DA Form 3947 as medically unacceptable IAW AR 40-501</w:t>
      </w:r>
      <w:r w:rsidR="00BC3ABC">
        <w:rPr>
          <w:color w:val="auto"/>
          <w:szCs w:val="24"/>
        </w:rPr>
        <w:t>.</w:t>
      </w:r>
      <w:r>
        <w:rPr>
          <w:rFonts w:asciiTheme="minorHAnsi" w:hAnsiTheme="minorHAnsi"/>
          <w:color w:val="auto"/>
          <w:szCs w:val="24"/>
        </w:rPr>
        <w:t xml:space="preserve">  </w:t>
      </w:r>
      <w:r w:rsidRPr="00337BFF">
        <w:rPr>
          <w:rFonts w:asciiTheme="minorHAnsi" w:hAnsiTheme="minorHAnsi"/>
          <w:color w:val="auto"/>
          <w:szCs w:val="24"/>
        </w:rPr>
        <w:t>Six other conditions, as identified in the rating chart below, were forwarded on the DA</w:t>
      </w:r>
      <w:r w:rsidR="007F3947">
        <w:rPr>
          <w:rFonts w:asciiTheme="minorHAnsi" w:hAnsiTheme="minorHAnsi"/>
          <w:color w:val="auto"/>
          <w:szCs w:val="24"/>
        </w:rPr>
        <w:t> </w:t>
      </w:r>
      <w:r w:rsidRPr="00337BFF">
        <w:rPr>
          <w:rFonts w:asciiTheme="minorHAnsi" w:hAnsiTheme="minorHAnsi"/>
          <w:color w:val="auto"/>
          <w:szCs w:val="24"/>
        </w:rPr>
        <w:t xml:space="preserve">Form 3947 as medically acceptable conditions IAW AR 40-501.  </w:t>
      </w:r>
      <w:r w:rsidR="00B20624" w:rsidRPr="00C472C7">
        <w:rPr>
          <w:rFonts w:asciiTheme="minorHAnsi" w:hAnsiTheme="minorHAnsi"/>
          <w:color w:val="auto"/>
          <w:szCs w:val="24"/>
        </w:rPr>
        <w:t xml:space="preserve">The </w:t>
      </w:r>
      <w:r w:rsidR="007F3947">
        <w:rPr>
          <w:rFonts w:asciiTheme="minorHAnsi" w:hAnsiTheme="minorHAnsi"/>
          <w:color w:val="auto"/>
          <w:szCs w:val="24"/>
        </w:rPr>
        <w:t>PEB</w:t>
      </w:r>
      <w:r w:rsidR="00B20624" w:rsidRPr="00C472C7">
        <w:rPr>
          <w:rFonts w:asciiTheme="minorHAnsi" w:hAnsiTheme="minorHAnsi"/>
          <w:color w:val="auto"/>
          <w:szCs w:val="24"/>
        </w:rPr>
        <w:t xml:space="preserve"> adjudicated the </w:t>
      </w:r>
      <w:r w:rsidR="00DF29D0">
        <w:rPr>
          <w:rFonts w:asciiTheme="minorHAnsi" w:hAnsiTheme="minorHAnsi"/>
          <w:color w:val="auto"/>
          <w:szCs w:val="24"/>
        </w:rPr>
        <w:t xml:space="preserve">PTSD condition </w:t>
      </w:r>
      <w:r w:rsidR="00B20624" w:rsidRPr="00C472C7">
        <w:rPr>
          <w:rFonts w:asciiTheme="minorHAnsi" w:hAnsiTheme="minorHAnsi"/>
          <w:color w:val="auto"/>
          <w:szCs w:val="24"/>
        </w:rPr>
        <w:t xml:space="preserve">as unfitting, rated </w:t>
      </w:r>
      <w:r w:rsidR="00DF29D0">
        <w:rPr>
          <w:rFonts w:asciiTheme="minorHAnsi" w:hAnsiTheme="minorHAnsi"/>
          <w:color w:val="auto"/>
          <w:szCs w:val="24"/>
        </w:rPr>
        <w:t>30% with application of</w:t>
      </w:r>
      <w:r w:rsidR="003A5958" w:rsidRPr="00DF29D0">
        <w:rPr>
          <w:rFonts w:asciiTheme="minorHAnsi" w:hAnsiTheme="minorHAnsi"/>
          <w:color w:val="auto"/>
          <w:szCs w:val="24"/>
        </w:rPr>
        <w:t xml:space="preserve"> </w:t>
      </w:r>
      <w:r w:rsidR="00763CAE" w:rsidRPr="00DF29D0">
        <w:rPr>
          <w:rFonts w:asciiTheme="minorHAnsi" w:hAnsiTheme="minorHAnsi"/>
          <w:color w:val="auto"/>
          <w:szCs w:val="24"/>
        </w:rPr>
        <w:t>Department of Defense Instruction (</w:t>
      </w:r>
      <w:r w:rsidR="00B20624" w:rsidRPr="00DF29D0">
        <w:rPr>
          <w:rFonts w:asciiTheme="minorHAnsi" w:hAnsiTheme="minorHAnsi"/>
          <w:color w:val="auto"/>
          <w:szCs w:val="24"/>
        </w:rPr>
        <w:t>DoDI</w:t>
      </w:r>
      <w:r w:rsidR="00763CAE" w:rsidRPr="00DF29D0">
        <w:rPr>
          <w:rFonts w:asciiTheme="minorHAnsi" w:hAnsiTheme="minorHAnsi"/>
          <w:color w:val="auto"/>
          <w:szCs w:val="24"/>
        </w:rPr>
        <w:t>)</w:t>
      </w:r>
      <w:r w:rsidR="00B20624" w:rsidRPr="00DF29D0">
        <w:rPr>
          <w:rFonts w:asciiTheme="minorHAnsi" w:hAnsiTheme="minorHAnsi"/>
          <w:color w:val="auto"/>
          <w:szCs w:val="24"/>
        </w:rPr>
        <w:t xml:space="preserve"> 1332.39</w:t>
      </w:r>
      <w:r w:rsidR="00DF29D0" w:rsidRPr="00DF29D0">
        <w:rPr>
          <w:rFonts w:asciiTheme="minorHAnsi" w:hAnsiTheme="minorHAnsi"/>
          <w:color w:val="auto"/>
          <w:szCs w:val="24"/>
        </w:rPr>
        <w:t xml:space="preserve"> </w:t>
      </w:r>
      <w:r w:rsidR="002B0204" w:rsidRPr="00DF29D0">
        <w:rPr>
          <w:rFonts w:asciiTheme="minorHAnsi" w:hAnsiTheme="minorHAnsi"/>
          <w:color w:val="auto"/>
          <w:szCs w:val="24"/>
        </w:rPr>
        <w:t xml:space="preserve">and </w:t>
      </w:r>
      <w:r w:rsidR="00DF29D0">
        <w:rPr>
          <w:rFonts w:asciiTheme="minorHAnsi" w:hAnsiTheme="minorHAnsi"/>
          <w:color w:val="auto"/>
          <w:szCs w:val="24"/>
        </w:rPr>
        <w:t xml:space="preserve">the </w:t>
      </w:r>
      <w:r w:rsidR="00852BD4">
        <w:rPr>
          <w:rFonts w:asciiTheme="minorHAnsi" w:hAnsiTheme="minorHAnsi"/>
          <w:color w:val="auto"/>
          <w:szCs w:val="24"/>
        </w:rPr>
        <w:t>Veterans</w:t>
      </w:r>
      <w:r w:rsidR="002B0204" w:rsidRPr="00DF29D0">
        <w:rPr>
          <w:rFonts w:asciiTheme="minorHAnsi" w:hAnsiTheme="minorHAnsi"/>
          <w:color w:val="auto"/>
          <w:szCs w:val="24"/>
        </w:rPr>
        <w:t xml:space="preserve"> Administration Schedule for Rating Disabilities (VASRD)</w:t>
      </w:r>
      <w:r w:rsidR="00A37A28">
        <w:rPr>
          <w:rFonts w:asciiTheme="minorHAnsi" w:hAnsiTheme="minorHAnsi"/>
          <w:color w:val="auto"/>
          <w:szCs w:val="24"/>
        </w:rPr>
        <w:t xml:space="preserve"> and t</w:t>
      </w:r>
      <w:r w:rsidR="00DF29D0">
        <w:rPr>
          <w:rFonts w:asciiTheme="minorHAnsi" w:hAnsiTheme="minorHAnsi"/>
          <w:color w:val="auto"/>
          <w:szCs w:val="24"/>
        </w:rPr>
        <w:t xml:space="preserve">he </w:t>
      </w:r>
      <w:r w:rsidR="00AD7F8F" w:rsidRPr="00C472C7">
        <w:rPr>
          <w:rFonts w:asciiTheme="minorHAnsi" w:hAnsiTheme="minorHAnsi"/>
          <w:color w:val="auto"/>
          <w:szCs w:val="24"/>
        </w:rPr>
        <w:t xml:space="preserve">CI </w:t>
      </w:r>
      <w:r w:rsidR="008B04DB" w:rsidRPr="00C472C7">
        <w:rPr>
          <w:rFonts w:asciiTheme="minorHAnsi" w:hAnsiTheme="minorHAnsi"/>
          <w:color w:val="auto"/>
          <w:szCs w:val="24"/>
        </w:rPr>
        <w:t xml:space="preserve">was placed on </w:t>
      </w:r>
      <w:r w:rsidR="00705C40" w:rsidRPr="00C472C7">
        <w:rPr>
          <w:rFonts w:asciiTheme="minorHAnsi" w:hAnsiTheme="minorHAnsi"/>
          <w:color w:val="auto"/>
          <w:szCs w:val="24"/>
        </w:rPr>
        <w:t>Temporary Disability Retired List (</w:t>
      </w:r>
      <w:r w:rsidR="008B04DB" w:rsidRPr="00C472C7">
        <w:rPr>
          <w:rFonts w:asciiTheme="minorHAnsi" w:hAnsiTheme="minorHAnsi"/>
          <w:color w:val="auto"/>
          <w:szCs w:val="24"/>
        </w:rPr>
        <w:t>TDRL</w:t>
      </w:r>
      <w:r w:rsidR="00705C40" w:rsidRPr="00C472C7">
        <w:rPr>
          <w:rFonts w:asciiTheme="minorHAnsi" w:hAnsiTheme="minorHAnsi"/>
          <w:color w:val="auto"/>
          <w:szCs w:val="24"/>
        </w:rPr>
        <w:t>)</w:t>
      </w:r>
      <w:r w:rsidR="008B04DB" w:rsidRPr="00C472C7">
        <w:rPr>
          <w:rFonts w:asciiTheme="minorHAnsi" w:hAnsiTheme="minorHAnsi"/>
          <w:color w:val="auto"/>
          <w:szCs w:val="24"/>
        </w:rPr>
        <w:t>.</w:t>
      </w:r>
      <w:r w:rsidR="00DF29D0">
        <w:rPr>
          <w:rFonts w:asciiTheme="minorHAnsi" w:hAnsiTheme="minorHAnsi"/>
          <w:color w:val="auto"/>
          <w:szCs w:val="24"/>
        </w:rPr>
        <w:t xml:space="preserve">  Subsequent evaluation determined that the PTSD condition had stabilized and assigned a 10% permanent disability rating.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DF29D0">
        <w:rPr>
          <w:rFonts w:asciiTheme="minorHAnsi" w:hAnsiTheme="minorHAnsi"/>
          <w:color w:val="auto"/>
        </w:rPr>
        <w:t>10% permanent</w:t>
      </w:r>
      <w:r w:rsidR="00B20624" w:rsidRPr="00C472C7">
        <w:rPr>
          <w:rFonts w:asciiTheme="minorHAnsi" w:hAnsiTheme="minorHAnsi"/>
          <w:color w:val="auto"/>
        </w:rPr>
        <w:t xml:space="preserve">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085D7B" w:rsidRDefault="00085D7B" w:rsidP="00510F9C">
      <w:pPr>
        <w:tabs>
          <w:tab w:val="left" w:pos="288"/>
          <w:tab w:val="left" w:pos="4752"/>
        </w:tabs>
        <w:spacing w:line="240" w:lineRule="exact"/>
        <w:jc w:val="both"/>
        <w:rPr>
          <w:rFonts w:asciiTheme="minorHAnsi" w:hAnsiTheme="minorHAnsi"/>
          <w:color w:val="auto"/>
        </w:rPr>
      </w:pPr>
    </w:p>
    <w:p w:rsidR="007A2346" w:rsidRPr="00C472C7" w:rsidRDefault="00A37A28" w:rsidP="00A37A28">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 xml:space="preserve">The CI states: </w:t>
      </w:r>
      <w:r>
        <w:rPr>
          <w:rFonts w:asciiTheme="minorHAnsi" w:hAnsiTheme="minorHAnsi"/>
          <w:color w:val="auto"/>
          <w:szCs w:val="24"/>
        </w:rPr>
        <w:t xml:space="preserve"> “</w:t>
      </w:r>
      <w:r w:rsidRPr="00396779">
        <w:rPr>
          <w:rFonts w:asciiTheme="minorHAnsi" w:hAnsiTheme="minorHAnsi"/>
          <w:color w:val="auto"/>
          <w:szCs w:val="24"/>
        </w:rPr>
        <w:t>I was assigned less than 50% disability rating by the military for my unfitting PTSD upon discharge from active duty.</w:t>
      </w:r>
      <w:r>
        <w:rPr>
          <w:rFonts w:asciiTheme="minorHAnsi" w:hAnsiTheme="minorHAnsi"/>
          <w:color w:val="auto"/>
          <w:szCs w:val="24"/>
        </w:rPr>
        <w:t xml:space="preserve"> </w:t>
      </w:r>
      <w:r w:rsidRPr="00396779">
        <w:rPr>
          <w:rFonts w:asciiTheme="minorHAnsi" w:hAnsiTheme="minorHAnsi"/>
          <w:color w:val="auto"/>
          <w:szCs w:val="24"/>
        </w:rPr>
        <w:t xml:space="preserve"> In accordance with the class action notice, assign the highest final disability rating applicable consistent with 38 CFR4.I29 and DOD policy to the extent such increase will not adversely affect my total compensation, including but not limited to compensation pursuant to CRSC.  Please see attached list of </w:t>
      </w:r>
      <w:r w:rsidRPr="00326C08">
        <w:rPr>
          <w:rFonts w:asciiTheme="minorHAnsi" w:hAnsiTheme="minorHAnsi"/>
          <w:color w:val="auto"/>
          <w:szCs w:val="24"/>
        </w:rPr>
        <w:t>contentions regarding why the PDBR should make the changes request in Item 3.”</w:t>
      </w:r>
      <w:r>
        <w:rPr>
          <w:rFonts w:asciiTheme="minorHAnsi" w:hAnsiTheme="minorHAnsi"/>
          <w:color w:val="auto"/>
          <w:szCs w:val="24"/>
        </w:rPr>
        <w:t xml:space="preserve"> </w:t>
      </w:r>
      <w:r w:rsidR="00662FB8">
        <w:rPr>
          <w:rFonts w:asciiTheme="minorHAnsi" w:hAnsiTheme="minorHAnsi"/>
          <w:color w:val="auto"/>
          <w:szCs w:val="24"/>
        </w:rPr>
        <w:t xml:space="preserve">No list of contentions was present in the record available for review. The CI was contacted and he confirmed he did not submit a separate list of contentions. </w:t>
      </w:r>
      <w:r w:rsidRPr="00326C08">
        <w:rPr>
          <w:rFonts w:asciiTheme="minorHAnsi" w:hAnsiTheme="minorHAnsi"/>
          <w:color w:val="auto"/>
          <w:szCs w:val="24"/>
        </w:rPr>
        <w:t xml:space="preserve">He additionally lists all of his VA conditions and ratings as per the rating chart below.  A contention for their inclusion in the separation rating is therefore implied.  </w:t>
      </w:r>
    </w:p>
    <w:p w:rsidR="003E1682" w:rsidRDefault="003E1682" w:rsidP="00510F9C">
      <w:pPr>
        <w:pBdr>
          <w:bottom w:val="single" w:sz="12" w:space="1" w:color="auto"/>
        </w:pBdr>
        <w:spacing w:line="240" w:lineRule="exact"/>
        <w:rPr>
          <w:rFonts w:asciiTheme="minorHAnsi" w:hAnsiTheme="minorHAnsi"/>
          <w:color w:val="auto"/>
          <w:u w:val="single"/>
        </w:rPr>
      </w:pPr>
    </w:p>
    <w:p w:rsidR="00A700DC" w:rsidRDefault="00A700DC">
      <w:pPr>
        <w:rPr>
          <w:rFonts w:asciiTheme="minorHAnsi" w:hAnsiTheme="minorHAnsi"/>
          <w:color w:val="auto"/>
          <w:u w:val="single"/>
        </w:rPr>
      </w:pPr>
      <w:r>
        <w:rPr>
          <w:rFonts w:asciiTheme="minorHAnsi" w:hAnsiTheme="minorHAnsi"/>
          <w:color w:val="auto"/>
          <w:u w:val="single"/>
        </w:rPr>
        <w:br w:type="page"/>
      </w:r>
    </w:p>
    <w:p w:rsidR="00A37A28" w:rsidRPr="004D0099" w:rsidRDefault="007F0AB7" w:rsidP="004D0099">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A37A28" w:rsidRDefault="00A37A28" w:rsidP="00A37A28">
      <w:pPr>
        <w:rPr>
          <w:rFonts w:asciiTheme="minorHAnsi" w:hAnsiTheme="minorHAnsi"/>
          <w:color w:val="auto"/>
        </w:rPr>
      </w:pPr>
    </w:p>
    <w:tbl>
      <w:tblPr>
        <w:tblStyle w:val="TableGrid"/>
        <w:tblW w:w="9659" w:type="dxa"/>
        <w:jc w:val="center"/>
        <w:tblInd w:w="604" w:type="dxa"/>
        <w:tblLayout w:type="fixed"/>
        <w:tblLook w:val="04A0"/>
      </w:tblPr>
      <w:tblGrid>
        <w:gridCol w:w="1983"/>
        <w:gridCol w:w="720"/>
        <w:gridCol w:w="670"/>
        <w:gridCol w:w="791"/>
        <w:gridCol w:w="2639"/>
        <w:gridCol w:w="990"/>
        <w:gridCol w:w="837"/>
        <w:gridCol w:w="1029"/>
      </w:tblGrid>
      <w:tr w:rsidR="00A37A28" w:rsidRPr="00337BFF" w:rsidTr="004A0E22">
        <w:trPr>
          <w:trHeight w:val="233"/>
          <w:jc w:val="center"/>
        </w:trPr>
        <w:tc>
          <w:tcPr>
            <w:tcW w:w="4164" w:type="dxa"/>
            <w:gridSpan w:val="4"/>
            <w:tcBorders>
              <w:righ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Final Service PEB – Dated 200</w:t>
            </w:r>
            <w:r>
              <w:rPr>
                <w:b/>
                <w:color w:val="auto"/>
                <w:sz w:val="20"/>
                <w:szCs w:val="20"/>
              </w:rPr>
              <w:t>90130</w:t>
            </w:r>
          </w:p>
        </w:tc>
        <w:tc>
          <w:tcPr>
            <w:tcW w:w="5495" w:type="dxa"/>
            <w:gridSpan w:val="4"/>
            <w:tcBorders>
              <w:lef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VA* – All Effective Date 20</w:t>
            </w:r>
            <w:r>
              <w:rPr>
                <w:b/>
                <w:color w:val="auto"/>
                <w:sz w:val="20"/>
                <w:szCs w:val="20"/>
              </w:rPr>
              <w:t>070709</w:t>
            </w:r>
          </w:p>
        </w:tc>
      </w:tr>
      <w:tr w:rsidR="00A37A28" w:rsidRPr="00337BFF" w:rsidTr="004A0E22">
        <w:trPr>
          <w:trHeight w:val="233"/>
          <w:jc w:val="center"/>
        </w:trPr>
        <w:tc>
          <w:tcPr>
            <w:tcW w:w="1983" w:type="dxa"/>
            <w:tcBorders>
              <w:bottom w:val="single" w:sz="4" w:space="0" w:color="000000" w:themeColor="text1"/>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Code</w:t>
            </w:r>
          </w:p>
        </w:tc>
        <w:tc>
          <w:tcPr>
            <w:tcW w:w="146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Rating</w:t>
            </w:r>
          </w:p>
        </w:tc>
        <w:tc>
          <w:tcPr>
            <w:tcW w:w="2639" w:type="dxa"/>
            <w:vMerge w:val="restart"/>
            <w:tcBorders>
              <w:lef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Condition</w:t>
            </w:r>
          </w:p>
        </w:tc>
        <w:tc>
          <w:tcPr>
            <w:tcW w:w="990" w:type="dxa"/>
            <w:vMerge w:val="restart"/>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Code</w:t>
            </w:r>
          </w:p>
        </w:tc>
        <w:tc>
          <w:tcPr>
            <w:tcW w:w="837" w:type="dxa"/>
            <w:vMerge w:val="restart"/>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Rating</w:t>
            </w:r>
          </w:p>
        </w:tc>
        <w:tc>
          <w:tcPr>
            <w:tcW w:w="1029" w:type="dxa"/>
            <w:vMerge w:val="restart"/>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Exam</w:t>
            </w:r>
          </w:p>
        </w:tc>
      </w:tr>
      <w:tr w:rsidR="00A37A28" w:rsidRPr="00337BFF" w:rsidTr="004A0E22">
        <w:trPr>
          <w:trHeight w:val="152"/>
          <w:jc w:val="center"/>
        </w:trPr>
        <w:tc>
          <w:tcPr>
            <w:tcW w:w="1983" w:type="dxa"/>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On TDRL – 200</w:t>
            </w:r>
            <w:r>
              <w:rPr>
                <w:b/>
                <w:color w:val="auto"/>
                <w:sz w:val="20"/>
                <w:szCs w:val="20"/>
              </w:rPr>
              <w:t>70529</w:t>
            </w:r>
          </w:p>
        </w:tc>
        <w:tc>
          <w:tcPr>
            <w:tcW w:w="720" w:type="dxa"/>
            <w:shd w:val="clear" w:color="auto" w:fill="D9D9D9" w:themeFill="background1" w:themeFillShade="D9"/>
            <w:vAlign w:val="center"/>
          </w:tcPr>
          <w:p w:rsidR="00A37A28" w:rsidRPr="00337BFF" w:rsidRDefault="00A37A28" w:rsidP="006411B1">
            <w:pPr>
              <w:spacing w:line="200" w:lineRule="exact"/>
              <w:contextualSpacing/>
              <w:jc w:val="center"/>
              <w:rPr>
                <w:color w:val="auto"/>
                <w:sz w:val="20"/>
                <w:szCs w:val="20"/>
              </w:rPr>
            </w:pPr>
          </w:p>
        </w:tc>
        <w:tc>
          <w:tcPr>
            <w:tcW w:w="670" w:type="dxa"/>
            <w:tcBorders>
              <w:right w:val="single" w:sz="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A37A28" w:rsidRPr="00337BFF" w:rsidRDefault="00A37A28" w:rsidP="006411B1">
            <w:pPr>
              <w:tabs>
                <w:tab w:val="left" w:pos="206"/>
                <w:tab w:val="center" w:pos="387"/>
              </w:tabs>
              <w:spacing w:line="200" w:lineRule="exact"/>
              <w:contextualSpacing/>
              <w:jc w:val="center"/>
              <w:rPr>
                <w:b/>
                <w:color w:val="auto"/>
                <w:sz w:val="20"/>
                <w:szCs w:val="20"/>
              </w:rPr>
            </w:pPr>
            <w:r w:rsidRPr="00337BFF">
              <w:rPr>
                <w:b/>
                <w:color w:val="auto"/>
                <w:sz w:val="20"/>
                <w:szCs w:val="20"/>
              </w:rPr>
              <w:t>Sep.</w:t>
            </w:r>
          </w:p>
        </w:tc>
        <w:tc>
          <w:tcPr>
            <w:tcW w:w="2639" w:type="dxa"/>
            <w:vMerge/>
            <w:tcBorders>
              <w:lef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rPr>
                <w:b/>
                <w:color w:val="auto"/>
                <w:sz w:val="20"/>
                <w:szCs w:val="20"/>
              </w:rPr>
            </w:pPr>
          </w:p>
        </w:tc>
        <w:tc>
          <w:tcPr>
            <w:tcW w:w="990" w:type="dxa"/>
            <w:vMerge/>
            <w:shd w:val="clear" w:color="auto" w:fill="C6D9F1" w:themeFill="text2" w:themeFillTint="33"/>
          </w:tcPr>
          <w:p w:rsidR="00A37A28" w:rsidRPr="00337BFF" w:rsidRDefault="00A37A28" w:rsidP="006411B1">
            <w:pPr>
              <w:spacing w:line="200" w:lineRule="exact"/>
              <w:contextualSpacing/>
              <w:jc w:val="center"/>
              <w:rPr>
                <w:color w:val="auto"/>
                <w:sz w:val="20"/>
                <w:szCs w:val="20"/>
              </w:rPr>
            </w:pPr>
          </w:p>
        </w:tc>
        <w:tc>
          <w:tcPr>
            <w:tcW w:w="837" w:type="dxa"/>
            <w:vMerge/>
            <w:shd w:val="clear" w:color="auto" w:fill="C6D9F1" w:themeFill="text2" w:themeFillTint="33"/>
          </w:tcPr>
          <w:p w:rsidR="00A37A28" w:rsidRPr="00337BFF" w:rsidRDefault="00A37A28" w:rsidP="006411B1">
            <w:pPr>
              <w:spacing w:line="200" w:lineRule="exact"/>
              <w:contextualSpacing/>
              <w:jc w:val="center"/>
              <w:rPr>
                <w:color w:val="auto"/>
                <w:sz w:val="20"/>
                <w:szCs w:val="20"/>
              </w:rPr>
            </w:pPr>
          </w:p>
        </w:tc>
        <w:tc>
          <w:tcPr>
            <w:tcW w:w="1029" w:type="dxa"/>
            <w:vMerge/>
            <w:shd w:val="clear" w:color="auto" w:fill="C6D9F1" w:themeFill="text2" w:themeFillTint="33"/>
          </w:tcPr>
          <w:p w:rsidR="00A37A28" w:rsidRPr="00337BFF" w:rsidRDefault="00A37A28" w:rsidP="006411B1">
            <w:pPr>
              <w:spacing w:line="200" w:lineRule="exact"/>
              <w:contextualSpacing/>
              <w:jc w:val="center"/>
              <w:rPr>
                <w:color w:val="auto"/>
                <w:sz w:val="20"/>
                <w:szCs w:val="20"/>
              </w:rPr>
            </w:pPr>
          </w:p>
        </w:tc>
      </w:tr>
      <w:tr w:rsidR="00A37A28" w:rsidRPr="00337BFF" w:rsidTr="004A0E22">
        <w:trPr>
          <w:trHeight w:val="187"/>
          <w:jc w:val="center"/>
        </w:trPr>
        <w:tc>
          <w:tcPr>
            <w:tcW w:w="1983" w:type="dxa"/>
            <w:tcBorders>
              <w:right w:val="single" w:sz="4" w:space="0" w:color="auto"/>
            </w:tcBorders>
            <w:shd w:val="clear" w:color="auto" w:fill="FFFFFF" w:themeFill="background1"/>
            <w:vAlign w:val="center"/>
          </w:tcPr>
          <w:p w:rsidR="00A37A28" w:rsidRPr="00337BFF" w:rsidRDefault="00A37A28" w:rsidP="006411B1">
            <w:pPr>
              <w:spacing w:line="180" w:lineRule="exact"/>
              <w:contextualSpacing/>
              <w:rPr>
                <w:color w:val="auto"/>
                <w:sz w:val="18"/>
                <w:szCs w:val="18"/>
                <w:highlight w:val="yellow"/>
              </w:rPr>
            </w:pPr>
            <w:r w:rsidRPr="00337BFF">
              <w:rPr>
                <w:color w:val="auto"/>
                <w:sz w:val="18"/>
                <w:szCs w:val="18"/>
              </w:rPr>
              <w:t>PTSD</w:t>
            </w:r>
          </w:p>
        </w:tc>
        <w:tc>
          <w:tcPr>
            <w:tcW w:w="720" w:type="dxa"/>
            <w:tcBorders>
              <w:left w:val="single" w:sz="4" w:space="0" w:color="auto"/>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Pr>
                <w:color w:val="auto"/>
                <w:sz w:val="18"/>
                <w:szCs w:val="18"/>
              </w:rPr>
              <w:t>9411</w:t>
            </w:r>
          </w:p>
        </w:tc>
        <w:tc>
          <w:tcPr>
            <w:tcW w:w="670" w:type="dxa"/>
            <w:tcBorders>
              <w:right w:val="single" w:sz="4" w:space="0" w:color="auto"/>
            </w:tcBorders>
            <w:shd w:val="clear" w:color="auto" w:fill="FFFFFF" w:themeFill="background1"/>
            <w:vAlign w:val="center"/>
          </w:tcPr>
          <w:p w:rsidR="00A37A28" w:rsidRPr="004D0099" w:rsidRDefault="00A37A28" w:rsidP="006411B1">
            <w:pPr>
              <w:jc w:val="center"/>
              <w:rPr>
                <w:color w:val="auto"/>
                <w:sz w:val="18"/>
                <w:szCs w:val="18"/>
              </w:rPr>
            </w:pPr>
            <w:r w:rsidRPr="004D0099">
              <w:rPr>
                <w:color w:val="auto"/>
                <w:sz w:val="18"/>
                <w:szCs w:val="18"/>
              </w:rPr>
              <w:t>30%</w:t>
            </w:r>
          </w:p>
        </w:tc>
        <w:tc>
          <w:tcPr>
            <w:tcW w:w="791" w:type="dxa"/>
            <w:tcBorders>
              <w:left w:val="single" w:sz="4" w:space="0" w:color="auto"/>
              <w:right w:val="thinThickThinSmallGap" w:sz="24" w:space="0" w:color="auto"/>
            </w:tcBorders>
            <w:shd w:val="clear" w:color="auto" w:fill="FFFFFF" w:themeFill="background1"/>
            <w:vAlign w:val="center"/>
          </w:tcPr>
          <w:p w:rsidR="00A37A28" w:rsidRPr="004D0099" w:rsidRDefault="00A37A28" w:rsidP="006411B1">
            <w:pPr>
              <w:jc w:val="center"/>
              <w:rPr>
                <w:color w:val="auto"/>
                <w:sz w:val="18"/>
                <w:szCs w:val="18"/>
              </w:rPr>
            </w:pPr>
            <w:r w:rsidRPr="004D0099">
              <w:rPr>
                <w:color w:val="auto"/>
                <w:sz w:val="18"/>
                <w:szCs w:val="18"/>
              </w:rPr>
              <w:t>10%</w:t>
            </w:r>
          </w:p>
        </w:tc>
        <w:tc>
          <w:tcPr>
            <w:tcW w:w="2639" w:type="dxa"/>
            <w:tcBorders>
              <w:left w:val="thinThickThinSmallGap" w:sz="24" w:space="0" w:color="auto"/>
            </w:tcBorders>
            <w:shd w:val="clear" w:color="auto" w:fill="FFFFFF" w:themeFill="background1"/>
            <w:vAlign w:val="center"/>
          </w:tcPr>
          <w:p w:rsidR="00A37A28" w:rsidRPr="00337BFF" w:rsidRDefault="00A37A28" w:rsidP="006411B1">
            <w:pPr>
              <w:spacing w:line="180" w:lineRule="exact"/>
              <w:contextualSpacing/>
              <w:rPr>
                <w:color w:val="auto"/>
                <w:sz w:val="18"/>
                <w:szCs w:val="18"/>
              </w:rPr>
            </w:pPr>
            <w:r w:rsidRPr="00003ACB">
              <w:rPr>
                <w:color w:val="auto"/>
                <w:sz w:val="18"/>
                <w:szCs w:val="18"/>
              </w:rPr>
              <w:t>PTSD</w:t>
            </w:r>
          </w:p>
        </w:tc>
        <w:tc>
          <w:tcPr>
            <w:tcW w:w="990" w:type="dxa"/>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sidRPr="00003ACB">
              <w:rPr>
                <w:color w:val="auto"/>
                <w:sz w:val="18"/>
                <w:szCs w:val="18"/>
              </w:rPr>
              <w:t>9434 9411</w:t>
            </w:r>
          </w:p>
        </w:tc>
        <w:tc>
          <w:tcPr>
            <w:tcW w:w="837" w:type="dxa"/>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sidRPr="00003ACB">
              <w:rPr>
                <w:color w:val="auto"/>
                <w:sz w:val="18"/>
                <w:szCs w:val="18"/>
              </w:rPr>
              <w:t>50%</w:t>
            </w:r>
          </w:p>
        </w:tc>
        <w:tc>
          <w:tcPr>
            <w:tcW w:w="1029" w:type="dxa"/>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sidRPr="00003ACB">
              <w:rPr>
                <w:color w:val="auto"/>
                <w:sz w:val="18"/>
                <w:szCs w:val="18"/>
              </w:rPr>
              <w:t>20080114</w:t>
            </w:r>
          </w:p>
        </w:tc>
      </w:tr>
      <w:tr w:rsidR="00A37A28" w:rsidRPr="00337BFF" w:rsidTr="004A0E22">
        <w:trPr>
          <w:trHeight w:val="188"/>
          <w:jc w:val="center"/>
        </w:trPr>
        <w:tc>
          <w:tcPr>
            <w:tcW w:w="2703" w:type="dxa"/>
            <w:gridSpan w:val="2"/>
            <w:tcBorders>
              <w:right w:val="single" w:sz="4" w:space="0" w:color="auto"/>
            </w:tcBorders>
            <w:shd w:val="clear" w:color="auto" w:fill="FFFFFF" w:themeFill="background1"/>
            <w:vAlign w:val="center"/>
          </w:tcPr>
          <w:p w:rsidR="00A37A28" w:rsidRPr="00337BFF" w:rsidRDefault="00A37A28" w:rsidP="006411B1">
            <w:pPr>
              <w:spacing w:line="180" w:lineRule="exact"/>
              <w:contextualSpacing/>
              <w:rPr>
                <w:color w:val="auto"/>
                <w:sz w:val="18"/>
                <w:szCs w:val="18"/>
              </w:rPr>
            </w:pPr>
            <w:r w:rsidRPr="00337BFF">
              <w:rPr>
                <w:color w:val="auto"/>
                <w:sz w:val="18"/>
                <w:szCs w:val="18"/>
              </w:rPr>
              <w:t>Chron</w:t>
            </w:r>
            <w:r>
              <w:rPr>
                <w:color w:val="auto"/>
                <w:sz w:val="18"/>
                <w:szCs w:val="18"/>
              </w:rPr>
              <w:t>ic Right Shoulder Pain</w:t>
            </w:r>
          </w:p>
        </w:tc>
        <w:tc>
          <w:tcPr>
            <w:tcW w:w="1461" w:type="dxa"/>
            <w:gridSpan w:val="2"/>
            <w:tcBorders>
              <w:right w:val="thinThickThinSmallGap" w:sz="24" w:space="0" w:color="auto"/>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sidRPr="00AC39CF">
              <w:rPr>
                <w:color w:val="auto"/>
                <w:sz w:val="18"/>
                <w:szCs w:val="18"/>
              </w:rPr>
              <w:t>Not Unfitting</w:t>
            </w:r>
          </w:p>
        </w:tc>
        <w:tc>
          <w:tcPr>
            <w:tcW w:w="2639" w:type="dxa"/>
            <w:tcBorders>
              <w:left w:val="thinThickThinSmallGap" w:sz="24" w:space="0" w:color="auto"/>
              <w:right w:val="single" w:sz="4" w:space="0" w:color="auto"/>
            </w:tcBorders>
            <w:shd w:val="clear" w:color="auto" w:fill="FFFFFF" w:themeFill="background1"/>
            <w:vAlign w:val="center"/>
          </w:tcPr>
          <w:p w:rsidR="00A37A28" w:rsidRPr="00337BFF" w:rsidRDefault="00A37A28" w:rsidP="006411B1">
            <w:pPr>
              <w:spacing w:line="180" w:lineRule="exact"/>
              <w:contextualSpacing/>
              <w:rPr>
                <w:color w:val="auto"/>
                <w:sz w:val="18"/>
                <w:szCs w:val="18"/>
              </w:rPr>
            </w:pPr>
            <w:r>
              <w:rPr>
                <w:color w:val="auto"/>
                <w:sz w:val="18"/>
                <w:szCs w:val="18"/>
              </w:rPr>
              <w:t>Right Biceps Tendonitis</w:t>
            </w:r>
          </w:p>
        </w:tc>
        <w:tc>
          <w:tcPr>
            <w:tcW w:w="990" w:type="dxa"/>
            <w:tcBorders>
              <w:left w:val="single" w:sz="4" w:space="0" w:color="auto"/>
              <w:right w:val="single" w:sz="4" w:space="0" w:color="auto"/>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Pr>
                <w:color w:val="auto"/>
                <w:sz w:val="18"/>
                <w:szCs w:val="18"/>
              </w:rPr>
              <w:t>5024 5201</w:t>
            </w:r>
          </w:p>
        </w:tc>
        <w:tc>
          <w:tcPr>
            <w:tcW w:w="837" w:type="dxa"/>
            <w:tcBorders>
              <w:left w:val="single" w:sz="4" w:space="0" w:color="auto"/>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Pr>
                <w:color w:val="auto"/>
                <w:sz w:val="18"/>
                <w:szCs w:val="18"/>
              </w:rPr>
              <w:t>20%</w:t>
            </w:r>
          </w:p>
        </w:tc>
        <w:tc>
          <w:tcPr>
            <w:tcW w:w="1029" w:type="dxa"/>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Pr>
                <w:color w:val="auto"/>
                <w:sz w:val="18"/>
                <w:szCs w:val="18"/>
              </w:rPr>
              <w:t>20080114</w:t>
            </w:r>
          </w:p>
        </w:tc>
      </w:tr>
      <w:tr w:rsidR="00A37A28" w:rsidRPr="00337BFF" w:rsidTr="004A0E22">
        <w:trPr>
          <w:trHeight w:val="188"/>
          <w:jc w:val="center"/>
        </w:trPr>
        <w:tc>
          <w:tcPr>
            <w:tcW w:w="2703" w:type="dxa"/>
            <w:gridSpan w:val="2"/>
            <w:tcBorders>
              <w:bottom w:val="single" w:sz="4" w:space="0" w:color="000000" w:themeColor="text1"/>
              <w:right w:val="single" w:sz="4" w:space="0" w:color="auto"/>
            </w:tcBorders>
            <w:shd w:val="clear" w:color="auto" w:fill="FFFFFF" w:themeFill="background1"/>
            <w:vAlign w:val="center"/>
          </w:tcPr>
          <w:p w:rsidR="00A37A28" w:rsidRDefault="00A37A28" w:rsidP="006411B1">
            <w:pPr>
              <w:spacing w:line="180" w:lineRule="exact"/>
              <w:contextualSpacing/>
              <w:rPr>
                <w:color w:val="auto"/>
                <w:sz w:val="18"/>
                <w:szCs w:val="18"/>
              </w:rPr>
            </w:pPr>
            <w:r>
              <w:rPr>
                <w:color w:val="auto"/>
                <w:sz w:val="18"/>
                <w:szCs w:val="18"/>
              </w:rPr>
              <w:t>Painful Lower Extremity Scarring</w:t>
            </w:r>
          </w:p>
        </w:tc>
        <w:tc>
          <w:tcPr>
            <w:tcW w:w="1461" w:type="dxa"/>
            <w:gridSpan w:val="2"/>
            <w:tcBorders>
              <w:bottom w:val="single" w:sz="4" w:space="0" w:color="000000" w:themeColor="text1"/>
              <w:right w:val="thinThickThinSmallGap" w:sz="24" w:space="0" w:color="auto"/>
            </w:tcBorders>
            <w:shd w:val="clear" w:color="auto" w:fill="FFFFFF" w:themeFill="background1"/>
            <w:vAlign w:val="center"/>
          </w:tcPr>
          <w:p w:rsidR="00A37A28" w:rsidRPr="00AC39CF" w:rsidRDefault="00A37A28" w:rsidP="006411B1">
            <w:pPr>
              <w:spacing w:line="180" w:lineRule="exact"/>
              <w:contextualSpacing/>
              <w:jc w:val="center"/>
              <w:rPr>
                <w:color w:val="auto"/>
                <w:sz w:val="18"/>
                <w:szCs w:val="18"/>
              </w:rPr>
            </w:pPr>
            <w:r>
              <w:rPr>
                <w:color w:val="auto"/>
                <w:sz w:val="18"/>
                <w:szCs w:val="18"/>
              </w:rPr>
              <w:t xml:space="preserve">Not Unfitting </w:t>
            </w:r>
          </w:p>
        </w:tc>
        <w:tc>
          <w:tcPr>
            <w:tcW w:w="2639" w:type="dxa"/>
            <w:tcBorders>
              <w:left w:val="thinThickThinSmallGap" w:sz="24" w:space="0" w:color="auto"/>
              <w:right w:val="single" w:sz="4" w:space="0" w:color="auto"/>
            </w:tcBorders>
            <w:shd w:val="clear" w:color="auto" w:fill="FFFFFF" w:themeFill="background1"/>
            <w:vAlign w:val="center"/>
          </w:tcPr>
          <w:p w:rsidR="00A37A28" w:rsidRPr="00003ACB" w:rsidRDefault="00A37A28" w:rsidP="006411B1">
            <w:pPr>
              <w:spacing w:line="180" w:lineRule="exact"/>
              <w:contextualSpacing/>
              <w:rPr>
                <w:color w:val="auto"/>
                <w:sz w:val="18"/>
                <w:szCs w:val="18"/>
              </w:rPr>
            </w:pPr>
            <w:r>
              <w:rPr>
                <w:color w:val="auto"/>
                <w:sz w:val="18"/>
                <w:szCs w:val="18"/>
              </w:rPr>
              <w:t>Painful</w:t>
            </w:r>
            <w:r w:rsidRPr="00003ACB">
              <w:rPr>
                <w:color w:val="auto"/>
                <w:sz w:val="18"/>
                <w:szCs w:val="18"/>
              </w:rPr>
              <w:t xml:space="preserve"> Lower Extremity </w:t>
            </w:r>
            <w:r>
              <w:rPr>
                <w:color w:val="auto"/>
                <w:sz w:val="18"/>
                <w:szCs w:val="18"/>
              </w:rPr>
              <w:t>Scarring</w:t>
            </w:r>
          </w:p>
        </w:tc>
        <w:tc>
          <w:tcPr>
            <w:tcW w:w="990" w:type="dxa"/>
            <w:tcBorders>
              <w:left w:val="single" w:sz="4" w:space="0" w:color="auto"/>
              <w:right w:val="single" w:sz="4" w:space="0" w:color="auto"/>
            </w:tcBorders>
            <w:shd w:val="clear" w:color="auto" w:fill="FFFFFF" w:themeFill="background1"/>
            <w:vAlign w:val="center"/>
          </w:tcPr>
          <w:p w:rsidR="00A37A28" w:rsidRPr="00003ACB" w:rsidRDefault="00A37A28" w:rsidP="006411B1">
            <w:pPr>
              <w:spacing w:line="180" w:lineRule="exact"/>
              <w:contextualSpacing/>
              <w:jc w:val="center"/>
              <w:rPr>
                <w:color w:val="auto"/>
                <w:sz w:val="18"/>
                <w:szCs w:val="18"/>
              </w:rPr>
            </w:pPr>
            <w:r>
              <w:rPr>
                <w:color w:val="auto"/>
                <w:sz w:val="18"/>
                <w:szCs w:val="18"/>
              </w:rPr>
              <w:t>7820 7804</w:t>
            </w:r>
          </w:p>
        </w:tc>
        <w:tc>
          <w:tcPr>
            <w:tcW w:w="837" w:type="dxa"/>
            <w:tcBorders>
              <w:left w:val="single" w:sz="4" w:space="0" w:color="auto"/>
            </w:tcBorders>
            <w:shd w:val="clear" w:color="auto" w:fill="FFFFFF" w:themeFill="background1"/>
            <w:vAlign w:val="center"/>
          </w:tcPr>
          <w:p w:rsidR="00A37A28" w:rsidRPr="00003ACB" w:rsidRDefault="00A37A28" w:rsidP="006411B1">
            <w:pPr>
              <w:spacing w:line="180" w:lineRule="exact"/>
              <w:contextualSpacing/>
              <w:jc w:val="center"/>
              <w:rPr>
                <w:color w:val="auto"/>
                <w:sz w:val="18"/>
                <w:szCs w:val="18"/>
              </w:rPr>
            </w:pPr>
            <w:r>
              <w:rPr>
                <w:color w:val="auto"/>
                <w:sz w:val="18"/>
                <w:szCs w:val="18"/>
              </w:rPr>
              <w:t>10%</w:t>
            </w:r>
          </w:p>
        </w:tc>
        <w:tc>
          <w:tcPr>
            <w:tcW w:w="1029" w:type="dxa"/>
            <w:shd w:val="clear" w:color="auto" w:fill="FFFFFF" w:themeFill="background1"/>
            <w:vAlign w:val="center"/>
          </w:tcPr>
          <w:p w:rsidR="00A37A28" w:rsidRPr="00003ACB" w:rsidRDefault="00A37A28" w:rsidP="006411B1">
            <w:pPr>
              <w:spacing w:line="180" w:lineRule="exact"/>
              <w:contextualSpacing/>
              <w:jc w:val="center"/>
              <w:rPr>
                <w:color w:val="auto"/>
                <w:sz w:val="18"/>
                <w:szCs w:val="18"/>
              </w:rPr>
            </w:pPr>
            <w:r>
              <w:rPr>
                <w:color w:val="auto"/>
                <w:sz w:val="18"/>
                <w:szCs w:val="18"/>
              </w:rPr>
              <w:t>20080114</w:t>
            </w:r>
          </w:p>
        </w:tc>
      </w:tr>
      <w:tr w:rsidR="00A37A28" w:rsidRPr="00337BFF" w:rsidTr="004A0E22">
        <w:trPr>
          <w:trHeight w:val="188"/>
          <w:jc w:val="center"/>
        </w:trPr>
        <w:tc>
          <w:tcPr>
            <w:tcW w:w="2703" w:type="dxa"/>
            <w:gridSpan w:val="2"/>
            <w:tcBorders>
              <w:right w:val="single" w:sz="4" w:space="0" w:color="auto"/>
            </w:tcBorders>
            <w:shd w:val="clear" w:color="auto" w:fill="FFFFFF" w:themeFill="background1"/>
            <w:vAlign w:val="center"/>
          </w:tcPr>
          <w:p w:rsidR="00A37A28" w:rsidRDefault="00A37A28" w:rsidP="006411B1">
            <w:pPr>
              <w:spacing w:line="180" w:lineRule="exact"/>
              <w:contextualSpacing/>
              <w:rPr>
                <w:color w:val="auto"/>
                <w:sz w:val="18"/>
                <w:szCs w:val="18"/>
              </w:rPr>
            </w:pPr>
            <w:r>
              <w:rPr>
                <w:color w:val="auto"/>
                <w:sz w:val="18"/>
                <w:szCs w:val="18"/>
              </w:rPr>
              <w:t>Chronic Intermittent Headaches</w:t>
            </w:r>
          </w:p>
        </w:tc>
        <w:tc>
          <w:tcPr>
            <w:tcW w:w="1461" w:type="dxa"/>
            <w:gridSpan w:val="2"/>
            <w:tcBorders>
              <w:left w:val="single" w:sz="4" w:space="0" w:color="auto"/>
              <w:right w:val="thinThickThinSmallGap" w:sz="24" w:space="0" w:color="auto"/>
            </w:tcBorders>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Not Unfitting</w:t>
            </w:r>
          </w:p>
        </w:tc>
        <w:tc>
          <w:tcPr>
            <w:tcW w:w="2639"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A37A28" w:rsidRDefault="00A37A28" w:rsidP="006411B1">
            <w:pPr>
              <w:spacing w:line="180" w:lineRule="exact"/>
              <w:contextualSpacing/>
              <w:rPr>
                <w:color w:val="auto"/>
                <w:sz w:val="18"/>
                <w:szCs w:val="18"/>
              </w:rPr>
            </w:pPr>
            <w:r>
              <w:rPr>
                <w:color w:val="auto"/>
                <w:sz w:val="18"/>
                <w:szCs w:val="18"/>
              </w:rPr>
              <w:t>Cluster Headaches</w:t>
            </w:r>
          </w:p>
        </w:tc>
        <w:tc>
          <w:tcPr>
            <w:tcW w:w="990" w:type="dxa"/>
            <w:tcBorders>
              <w:left w:val="single" w:sz="4" w:space="0" w:color="auto"/>
              <w:bottom w:val="single" w:sz="4" w:space="0" w:color="000000" w:themeColor="text1"/>
              <w:right w:val="single" w:sz="4" w:space="0" w:color="auto"/>
            </w:tcBorders>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8100</w:t>
            </w:r>
          </w:p>
        </w:tc>
        <w:tc>
          <w:tcPr>
            <w:tcW w:w="837" w:type="dxa"/>
            <w:tcBorders>
              <w:left w:val="single" w:sz="4" w:space="0" w:color="auto"/>
              <w:bottom w:val="single" w:sz="4" w:space="0" w:color="000000" w:themeColor="text1"/>
            </w:tcBorders>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0%</w:t>
            </w:r>
          </w:p>
        </w:tc>
        <w:tc>
          <w:tcPr>
            <w:tcW w:w="1029" w:type="dxa"/>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20080114</w:t>
            </w:r>
          </w:p>
        </w:tc>
      </w:tr>
      <w:tr w:rsidR="00A37A28" w:rsidRPr="00337BFF" w:rsidTr="004A0E22">
        <w:trPr>
          <w:trHeight w:val="188"/>
          <w:jc w:val="center"/>
        </w:trPr>
        <w:tc>
          <w:tcPr>
            <w:tcW w:w="2703" w:type="dxa"/>
            <w:gridSpan w:val="2"/>
            <w:tcBorders>
              <w:right w:val="single" w:sz="4" w:space="0" w:color="auto"/>
            </w:tcBorders>
            <w:shd w:val="clear" w:color="auto" w:fill="FFFFFF" w:themeFill="background1"/>
            <w:vAlign w:val="center"/>
          </w:tcPr>
          <w:p w:rsidR="00A37A28" w:rsidRDefault="00A37A28" w:rsidP="006411B1">
            <w:pPr>
              <w:spacing w:line="180" w:lineRule="exact"/>
              <w:contextualSpacing/>
              <w:rPr>
                <w:color w:val="auto"/>
                <w:sz w:val="18"/>
                <w:szCs w:val="18"/>
              </w:rPr>
            </w:pPr>
            <w:r>
              <w:rPr>
                <w:color w:val="auto"/>
                <w:sz w:val="18"/>
                <w:szCs w:val="18"/>
              </w:rPr>
              <w:t>GERD</w:t>
            </w:r>
          </w:p>
        </w:tc>
        <w:tc>
          <w:tcPr>
            <w:tcW w:w="1461" w:type="dxa"/>
            <w:gridSpan w:val="2"/>
            <w:tcBorders>
              <w:left w:val="single" w:sz="4" w:space="0" w:color="auto"/>
              <w:right w:val="thinThickThinSmallGap" w:sz="24" w:space="0" w:color="auto"/>
            </w:tcBorders>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Not Unfitting</w:t>
            </w:r>
          </w:p>
        </w:tc>
        <w:tc>
          <w:tcPr>
            <w:tcW w:w="2639"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A37A28" w:rsidRDefault="00A37A28" w:rsidP="006411B1">
            <w:pPr>
              <w:spacing w:line="180" w:lineRule="exact"/>
              <w:contextualSpacing/>
              <w:rPr>
                <w:color w:val="auto"/>
                <w:sz w:val="18"/>
                <w:szCs w:val="18"/>
              </w:rPr>
            </w:pPr>
            <w:r>
              <w:rPr>
                <w:color w:val="auto"/>
                <w:sz w:val="18"/>
                <w:szCs w:val="18"/>
              </w:rPr>
              <w:t>GERD</w:t>
            </w:r>
          </w:p>
        </w:tc>
        <w:tc>
          <w:tcPr>
            <w:tcW w:w="990" w:type="dxa"/>
            <w:tcBorders>
              <w:left w:val="single" w:sz="4" w:space="0" w:color="auto"/>
              <w:bottom w:val="single" w:sz="4" w:space="0" w:color="000000" w:themeColor="text1"/>
              <w:right w:val="single" w:sz="4" w:space="0" w:color="auto"/>
            </w:tcBorders>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7346</w:t>
            </w:r>
          </w:p>
        </w:tc>
        <w:tc>
          <w:tcPr>
            <w:tcW w:w="837" w:type="dxa"/>
            <w:tcBorders>
              <w:left w:val="single" w:sz="4" w:space="0" w:color="auto"/>
              <w:bottom w:val="single" w:sz="4" w:space="0" w:color="000000" w:themeColor="text1"/>
            </w:tcBorders>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0%</w:t>
            </w:r>
          </w:p>
        </w:tc>
        <w:tc>
          <w:tcPr>
            <w:tcW w:w="1029" w:type="dxa"/>
            <w:shd w:val="clear" w:color="auto" w:fill="FFFFFF" w:themeFill="background1"/>
            <w:vAlign w:val="center"/>
          </w:tcPr>
          <w:p w:rsidR="00A37A28" w:rsidRDefault="00A37A28" w:rsidP="006411B1">
            <w:pPr>
              <w:spacing w:line="180" w:lineRule="exact"/>
              <w:contextualSpacing/>
              <w:jc w:val="center"/>
              <w:rPr>
                <w:color w:val="auto"/>
                <w:sz w:val="18"/>
                <w:szCs w:val="18"/>
              </w:rPr>
            </w:pPr>
            <w:r>
              <w:rPr>
                <w:color w:val="auto"/>
                <w:sz w:val="18"/>
                <w:szCs w:val="18"/>
              </w:rPr>
              <w:t>20080114</w:t>
            </w:r>
          </w:p>
        </w:tc>
      </w:tr>
      <w:tr w:rsidR="00A37A28" w:rsidRPr="00337BFF" w:rsidTr="004A0E22">
        <w:trPr>
          <w:trHeight w:val="188"/>
          <w:jc w:val="center"/>
        </w:trPr>
        <w:tc>
          <w:tcPr>
            <w:tcW w:w="2703" w:type="dxa"/>
            <w:gridSpan w:val="2"/>
            <w:tcBorders>
              <w:right w:val="single" w:sz="4" w:space="0" w:color="auto"/>
            </w:tcBorders>
            <w:shd w:val="clear" w:color="auto" w:fill="FFFFFF" w:themeFill="background1"/>
            <w:vAlign w:val="center"/>
          </w:tcPr>
          <w:p w:rsidR="00A37A28" w:rsidRPr="00337BFF" w:rsidRDefault="00A37A28" w:rsidP="006411B1">
            <w:pPr>
              <w:spacing w:line="180" w:lineRule="exact"/>
              <w:contextualSpacing/>
              <w:rPr>
                <w:color w:val="auto"/>
                <w:sz w:val="18"/>
                <w:szCs w:val="18"/>
              </w:rPr>
            </w:pPr>
            <w:r>
              <w:rPr>
                <w:color w:val="auto"/>
                <w:sz w:val="18"/>
                <w:szCs w:val="18"/>
              </w:rPr>
              <w:t>Overweight</w:t>
            </w:r>
          </w:p>
        </w:tc>
        <w:tc>
          <w:tcPr>
            <w:tcW w:w="1461" w:type="dxa"/>
            <w:gridSpan w:val="2"/>
            <w:tcBorders>
              <w:right w:val="thinThickThinSmallGap" w:sz="24" w:space="0" w:color="auto"/>
            </w:tcBorders>
            <w:shd w:val="clear" w:color="auto" w:fill="FFFFFF" w:themeFill="background1"/>
            <w:vAlign w:val="center"/>
          </w:tcPr>
          <w:p w:rsidR="00A37A28" w:rsidRPr="00AC39CF" w:rsidRDefault="00A37A28" w:rsidP="006411B1">
            <w:pPr>
              <w:spacing w:line="180" w:lineRule="exact"/>
              <w:contextualSpacing/>
              <w:jc w:val="center"/>
              <w:rPr>
                <w:color w:val="auto"/>
                <w:sz w:val="18"/>
                <w:szCs w:val="18"/>
              </w:rPr>
            </w:pPr>
            <w:r>
              <w:rPr>
                <w:color w:val="auto"/>
                <w:sz w:val="18"/>
                <w:szCs w:val="18"/>
              </w:rPr>
              <w:t xml:space="preserve">Not Unfitting </w:t>
            </w:r>
          </w:p>
        </w:tc>
        <w:tc>
          <w:tcPr>
            <w:tcW w:w="5495" w:type="dxa"/>
            <w:gridSpan w:val="4"/>
            <w:tcBorders>
              <w:left w:val="thinThickThinSmallGap" w:sz="24" w:space="0" w:color="auto"/>
            </w:tcBorders>
            <w:shd w:val="clear" w:color="auto" w:fill="FFFFFF" w:themeFill="background1"/>
            <w:vAlign w:val="center"/>
          </w:tcPr>
          <w:p w:rsidR="00A37A28" w:rsidRPr="00003ACB" w:rsidRDefault="00A37A28" w:rsidP="006411B1">
            <w:pPr>
              <w:spacing w:line="180" w:lineRule="exact"/>
              <w:contextualSpacing/>
              <w:jc w:val="center"/>
              <w:rPr>
                <w:color w:val="auto"/>
                <w:sz w:val="18"/>
                <w:szCs w:val="18"/>
              </w:rPr>
            </w:pPr>
            <w:r>
              <w:rPr>
                <w:color w:val="auto"/>
                <w:sz w:val="18"/>
                <w:szCs w:val="18"/>
              </w:rPr>
              <w:t>Not VA Rated</w:t>
            </w:r>
          </w:p>
        </w:tc>
      </w:tr>
      <w:tr w:rsidR="00A37A28" w:rsidRPr="00337BFF" w:rsidTr="004A0E22">
        <w:trPr>
          <w:trHeight w:val="188"/>
          <w:jc w:val="center"/>
        </w:trPr>
        <w:tc>
          <w:tcPr>
            <w:tcW w:w="2703" w:type="dxa"/>
            <w:gridSpan w:val="2"/>
            <w:tcBorders>
              <w:right w:val="single" w:sz="4" w:space="0" w:color="auto"/>
            </w:tcBorders>
            <w:shd w:val="clear" w:color="auto" w:fill="FFFFFF" w:themeFill="background1"/>
            <w:vAlign w:val="center"/>
          </w:tcPr>
          <w:p w:rsidR="00A37A28" w:rsidRPr="00337BFF" w:rsidRDefault="00A37A28" w:rsidP="006411B1">
            <w:pPr>
              <w:spacing w:line="180" w:lineRule="exact"/>
              <w:contextualSpacing/>
              <w:rPr>
                <w:color w:val="auto"/>
                <w:sz w:val="18"/>
                <w:szCs w:val="18"/>
              </w:rPr>
            </w:pPr>
            <w:r>
              <w:rPr>
                <w:color w:val="auto"/>
                <w:sz w:val="18"/>
                <w:szCs w:val="18"/>
              </w:rPr>
              <w:t>Hyperglycemia</w:t>
            </w:r>
          </w:p>
        </w:tc>
        <w:tc>
          <w:tcPr>
            <w:tcW w:w="1461" w:type="dxa"/>
            <w:gridSpan w:val="2"/>
            <w:tcBorders>
              <w:right w:val="thinThickThinSmallGap" w:sz="24" w:space="0" w:color="auto"/>
            </w:tcBorders>
            <w:shd w:val="clear" w:color="auto" w:fill="FFFFFF" w:themeFill="background1"/>
            <w:vAlign w:val="center"/>
          </w:tcPr>
          <w:p w:rsidR="00A37A28" w:rsidRPr="00AC39CF" w:rsidRDefault="00A37A28" w:rsidP="006411B1">
            <w:pPr>
              <w:spacing w:line="180" w:lineRule="exact"/>
              <w:contextualSpacing/>
              <w:jc w:val="center"/>
              <w:rPr>
                <w:color w:val="auto"/>
                <w:sz w:val="18"/>
                <w:szCs w:val="18"/>
              </w:rPr>
            </w:pPr>
            <w:r>
              <w:rPr>
                <w:color w:val="auto"/>
                <w:sz w:val="18"/>
                <w:szCs w:val="18"/>
              </w:rPr>
              <w:t xml:space="preserve">Not Unfitting </w:t>
            </w:r>
          </w:p>
        </w:tc>
        <w:tc>
          <w:tcPr>
            <w:tcW w:w="5495" w:type="dxa"/>
            <w:gridSpan w:val="4"/>
            <w:tcBorders>
              <w:left w:val="thinThickThinSmallGap" w:sz="24" w:space="0" w:color="auto"/>
            </w:tcBorders>
            <w:shd w:val="clear" w:color="auto" w:fill="FFFFFF" w:themeFill="background1"/>
            <w:vAlign w:val="center"/>
          </w:tcPr>
          <w:p w:rsidR="00A37A28" w:rsidRPr="00003ACB" w:rsidRDefault="00A37A28" w:rsidP="006411B1">
            <w:pPr>
              <w:spacing w:line="180" w:lineRule="exact"/>
              <w:contextualSpacing/>
              <w:jc w:val="center"/>
              <w:rPr>
                <w:color w:val="auto"/>
                <w:sz w:val="18"/>
                <w:szCs w:val="18"/>
              </w:rPr>
            </w:pPr>
            <w:r>
              <w:rPr>
                <w:color w:val="auto"/>
                <w:sz w:val="18"/>
                <w:szCs w:val="18"/>
              </w:rPr>
              <w:t>Not VA Rated</w:t>
            </w:r>
          </w:p>
        </w:tc>
      </w:tr>
      <w:tr w:rsidR="00A37A28" w:rsidRPr="00337BFF" w:rsidTr="004A0E22">
        <w:trPr>
          <w:trHeight w:val="188"/>
          <w:jc w:val="center"/>
        </w:trPr>
        <w:tc>
          <w:tcPr>
            <w:tcW w:w="2703" w:type="dxa"/>
            <w:gridSpan w:val="2"/>
            <w:tcBorders>
              <w:right w:val="single" w:sz="4" w:space="0" w:color="auto"/>
            </w:tcBorders>
            <w:shd w:val="clear" w:color="auto" w:fill="FFFFFF" w:themeFill="background1"/>
            <w:vAlign w:val="center"/>
          </w:tcPr>
          <w:p w:rsidR="00A37A28" w:rsidRPr="00337BFF" w:rsidRDefault="00085310" w:rsidP="006411B1">
            <w:pPr>
              <w:spacing w:line="180" w:lineRule="exact"/>
              <w:contextualSpacing/>
              <w:rPr>
                <w:color w:val="auto"/>
                <w:sz w:val="18"/>
                <w:szCs w:val="18"/>
              </w:rPr>
            </w:pPr>
            <w:r>
              <w:rPr>
                <w:color w:val="auto"/>
                <w:sz w:val="18"/>
                <w:szCs w:val="18"/>
              </w:rPr>
              <w:t>Hyperlipidemia</w:t>
            </w:r>
          </w:p>
        </w:tc>
        <w:tc>
          <w:tcPr>
            <w:tcW w:w="1461" w:type="dxa"/>
            <w:gridSpan w:val="2"/>
            <w:tcBorders>
              <w:right w:val="thinThickThinSmallGap" w:sz="24" w:space="0" w:color="auto"/>
            </w:tcBorders>
            <w:shd w:val="clear" w:color="auto" w:fill="FFFFFF" w:themeFill="background1"/>
            <w:vAlign w:val="center"/>
          </w:tcPr>
          <w:p w:rsidR="00A37A28" w:rsidRPr="00AC39CF" w:rsidRDefault="00A37A28" w:rsidP="006411B1">
            <w:pPr>
              <w:spacing w:line="180" w:lineRule="exact"/>
              <w:contextualSpacing/>
              <w:jc w:val="center"/>
              <w:rPr>
                <w:color w:val="auto"/>
                <w:sz w:val="18"/>
                <w:szCs w:val="18"/>
              </w:rPr>
            </w:pPr>
            <w:r>
              <w:rPr>
                <w:color w:val="auto"/>
                <w:sz w:val="18"/>
                <w:szCs w:val="18"/>
              </w:rPr>
              <w:t xml:space="preserve">Not Unfitting </w:t>
            </w:r>
          </w:p>
        </w:tc>
        <w:tc>
          <w:tcPr>
            <w:tcW w:w="5495" w:type="dxa"/>
            <w:gridSpan w:val="4"/>
            <w:tcBorders>
              <w:left w:val="thinThickThinSmallGap" w:sz="24" w:space="0" w:color="auto"/>
            </w:tcBorders>
            <w:shd w:val="clear" w:color="auto" w:fill="FFFFFF" w:themeFill="background1"/>
            <w:vAlign w:val="center"/>
          </w:tcPr>
          <w:p w:rsidR="00A37A28" w:rsidRPr="00003ACB" w:rsidRDefault="00A37A28" w:rsidP="006411B1">
            <w:pPr>
              <w:spacing w:line="180" w:lineRule="exact"/>
              <w:contextualSpacing/>
              <w:jc w:val="center"/>
              <w:rPr>
                <w:color w:val="auto"/>
                <w:sz w:val="18"/>
                <w:szCs w:val="18"/>
              </w:rPr>
            </w:pPr>
            <w:r>
              <w:rPr>
                <w:color w:val="auto"/>
                <w:sz w:val="18"/>
                <w:szCs w:val="18"/>
              </w:rPr>
              <w:t>Not VA Rated</w:t>
            </w:r>
          </w:p>
        </w:tc>
      </w:tr>
      <w:tr w:rsidR="00A37A28" w:rsidRPr="00337BFF" w:rsidTr="004A0E22">
        <w:trPr>
          <w:trHeight w:val="188"/>
          <w:jc w:val="center"/>
        </w:trPr>
        <w:tc>
          <w:tcPr>
            <w:tcW w:w="4164" w:type="dxa"/>
            <w:gridSpan w:val="4"/>
            <w:vMerge w:val="restart"/>
            <w:tcBorders>
              <w:right w:val="thinThickThinSmallGap" w:sz="24" w:space="0" w:color="auto"/>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sidRPr="00337BFF">
              <w:rPr>
                <w:color w:val="auto"/>
                <w:sz w:val="18"/>
                <w:szCs w:val="18"/>
              </w:rPr>
              <w:t>↓No Additional MEB/PEB Entries↓</w:t>
            </w:r>
          </w:p>
        </w:tc>
        <w:tc>
          <w:tcPr>
            <w:tcW w:w="2639" w:type="dxa"/>
            <w:tcBorders>
              <w:left w:val="thinThickThinSmallGap" w:sz="24" w:space="0" w:color="auto"/>
            </w:tcBorders>
            <w:shd w:val="clear" w:color="auto" w:fill="FFFFFF" w:themeFill="background1"/>
          </w:tcPr>
          <w:p w:rsidR="00A37A28" w:rsidRPr="00337BFF" w:rsidRDefault="00A37A28" w:rsidP="006411B1">
            <w:pPr>
              <w:spacing w:line="180" w:lineRule="exact"/>
              <w:rPr>
                <w:color w:val="auto"/>
                <w:sz w:val="18"/>
                <w:szCs w:val="18"/>
              </w:rPr>
            </w:pPr>
            <w:r>
              <w:rPr>
                <w:color w:val="auto"/>
                <w:sz w:val="18"/>
                <w:szCs w:val="18"/>
              </w:rPr>
              <w:t xml:space="preserve">Right Posterior Tibial Tendonitis </w:t>
            </w:r>
          </w:p>
        </w:tc>
        <w:tc>
          <w:tcPr>
            <w:tcW w:w="990" w:type="dxa"/>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Pr>
                <w:color w:val="auto"/>
                <w:sz w:val="18"/>
                <w:szCs w:val="18"/>
              </w:rPr>
              <w:t>5299 5262</w:t>
            </w:r>
          </w:p>
        </w:tc>
        <w:tc>
          <w:tcPr>
            <w:tcW w:w="837" w:type="dxa"/>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Pr>
                <w:color w:val="auto"/>
                <w:sz w:val="18"/>
                <w:szCs w:val="18"/>
              </w:rPr>
              <w:t>10%</w:t>
            </w:r>
          </w:p>
        </w:tc>
        <w:tc>
          <w:tcPr>
            <w:tcW w:w="1029" w:type="dxa"/>
            <w:shd w:val="clear" w:color="auto" w:fill="FFFFFF" w:themeFill="background1"/>
            <w:vAlign w:val="center"/>
          </w:tcPr>
          <w:p w:rsidR="00A37A28" w:rsidRPr="00337BFF" w:rsidRDefault="00B26D7D" w:rsidP="006411B1">
            <w:pPr>
              <w:spacing w:line="180" w:lineRule="exact"/>
              <w:contextualSpacing/>
              <w:jc w:val="center"/>
              <w:rPr>
                <w:color w:val="auto"/>
                <w:sz w:val="18"/>
                <w:szCs w:val="18"/>
              </w:rPr>
            </w:pPr>
            <w:r>
              <w:rPr>
                <w:color w:val="auto"/>
                <w:sz w:val="18"/>
                <w:szCs w:val="18"/>
              </w:rPr>
              <w:t>20080114</w:t>
            </w:r>
          </w:p>
        </w:tc>
      </w:tr>
      <w:tr w:rsidR="00A37A28" w:rsidRPr="00337BFF" w:rsidTr="004A0E22">
        <w:trPr>
          <w:trHeight w:val="188"/>
          <w:jc w:val="center"/>
        </w:trPr>
        <w:tc>
          <w:tcPr>
            <w:tcW w:w="4164" w:type="dxa"/>
            <w:gridSpan w:val="4"/>
            <w:vMerge/>
            <w:tcBorders>
              <w:right w:val="thinThickThinSmallGap" w:sz="24" w:space="0" w:color="auto"/>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p>
        </w:tc>
        <w:tc>
          <w:tcPr>
            <w:tcW w:w="2639" w:type="dxa"/>
            <w:tcBorders>
              <w:left w:val="thinThickThinSmallGap" w:sz="24" w:space="0" w:color="auto"/>
            </w:tcBorders>
            <w:shd w:val="clear" w:color="auto" w:fill="FFFFFF" w:themeFill="background1"/>
          </w:tcPr>
          <w:p w:rsidR="00A37A28" w:rsidRDefault="004D0099" w:rsidP="006411B1">
            <w:pPr>
              <w:spacing w:line="180" w:lineRule="exact"/>
              <w:rPr>
                <w:color w:val="auto"/>
                <w:sz w:val="18"/>
                <w:szCs w:val="18"/>
              </w:rPr>
            </w:pPr>
            <w:r>
              <w:rPr>
                <w:color w:val="auto"/>
                <w:sz w:val="18"/>
                <w:szCs w:val="18"/>
              </w:rPr>
              <w:t xml:space="preserve">Left </w:t>
            </w:r>
            <w:r w:rsidR="00A37A28" w:rsidRPr="00A478D9">
              <w:rPr>
                <w:color w:val="auto"/>
                <w:sz w:val="18"/>
                <w:szCs w:val="18"/>
              </w:rPr>
              <w:t xml:space="preserve">Posterior Tibial Tendonitis </w:t>
            </w:r>
          </w:p>
        </w:tc>
        <w:tc>
          <w:tcPr>
            <w:tcW w:w="990" w:type="dxa"/>
            <w:shd w:val="clear" w:color="auto" w:fill="FFFFFF" w:themeFill="background1"/>
            <w:vAlign w:val="center"/>
          </w:tcPr>
          <w:p w:rsidR="00A37A28" w:rsidRDefault="00A37A28" w:rsidP="006411B1">
            <w:pPr>
              <w:spacing w:line="180" w:lineRule="exact"/>
              <w:contextualSpacing/>
              <w:jc w:val="center"/>
              <w:rPr>
                <w:color w:val="auto"/>
                <w:sz w:val="18"/>
                <w:szCs w:val="18"/>
              </w:rPr>
            </w:pPr>
            <w:r w:rsidRPr="00A478D9">
              <w:rPr>
                <w:color w:val="auto"/>
                <w:sz w:val="18"/>
                <w:szCs w:val="18"/>
              </w:rPr>
              <w:t>5299 5262</w:t>
            </w:r>
          </w:p>
        </w:tc>
        <w:tc>
          <w:tcPr>
            <w:tcW w:w="837" w:type="dxa"/>
            <w:shd w:val="clear" w:color="auto" w:fill="FFFFFF" w:themeFill="background1"/>
            <w:vAlign w:val="center"/>
          </w:tcPr>
          <w:p w:rsidR="00A37A28" w:rsidRDefault="00A37A28" w:rsidP="006411B1">
            <w:pPr>
              <w:spacing w:line="180" w:lineRule="exact"/>
              <w:contextualSpacing/>
              <w:jc w:val="center"/>
              <w:rPr>
                <w:color w:val="auto"/>
                <w:sz w:val="18"/>
                <w:szCs w:val="18"/>
              </w:rPr>
            </w:pPr>
            <w:r w:rsidRPr="00A478D9">
              <w:rPr>
                <w:color w:val="auto"/>
                <w:sz w:val="18"/>
                <w:szCs w:val="18"/>
              </w:rPr>
              <w:t>10%</w:t>
            </w:r>
          </w:p>
        </w:tc>
        <w:tc>
          <w:tcPr>
            <w:tcW w:w="1029" w:type="dxa"/>
            <w:shd w:val="clear" w:color="auto" w:fill="FFFFFF" w:themeFill="background1"/>
            <w:vAlign w:val="center"/>
          </w:tcPr>
          <w:p w:rsidR="00A37A28" w:rsidRDefault="00B26D7D" w:rsidP="006411B1">
            <w:pPr>
              <w:spacing w:line="180" w:lineRule="exact"/>
              <w:contextualSpacing/>
              <w:jc w:val="center"/>
              <w:rPr>
                <w:color w:val="auto"/>
                <w:sz w:val="18"/>
                <w:szCs w:val="18"/>
              </w:rPr>
            </w:pPr>
            <w:r>
              <w:rPr>
                <w:color w:val="auto"/>
                <w:sz w:val="18"/>
                <w:szCs w:val="18"/>
              </w:rPr>
              <w:t>20080114</w:t>
            </w:r>
          </w:p>
        </w:tc>
      </w:tr>
      <w:tr w:rsidR="00A37A28" w:rsidRPr="00337BFF" w:rsidTr="004A0E22">
        <w:trPr>
          <w:trHeight w:val="188"/>
          <w:jc w:val="center"/>
        </w:trPr>
        <w:tc>
          <w:tcPr>
            <w:tcW w:w="4164" w:type="dxa"/>
            <w:gridSpan w:val="4"/>
            <w:vMerge/>
            <w:tcBorders>
              <w:bottom w:val="single" w:sz="4" w:space="0" w:color="000000" w:themeColor="text1"/>
              <w:right w:val="thinThickThinSmallGap" w:sz="24" w:space="0" w:color="auto"/>
            </w:tcBorders>
            <w:shd w:val="clear" w:color="auto" w:fill="FFFFFF" w:themeFill="background1"/>
          </w:tcPr>
          <w:p w:rsidR="00A37A28" w:rsidRPr="00337BFF" w:rsidRDefault="00A37A28" w:rsidP="006411B1">
            <w:pPr>
              <w:spacing w:line="180" w:lineRule="exact"/>
              <w:contextualSpacing/>
              <w:jc w:val="both"/>
              <w:rPr>
                <w:color w:val="auto"/>
                <w:sz w:val="18"/>
                <w:szCs w:val="18"/>
              </w:rPr>
            </w:pPr>
          </w:p>
        </w:tc>
        <w:tc>
          <w:tcPr>
            <w:tcW w:w="4466" w:type="dxa"/>
            <w:gridSpan w:val="3"/>
            <w:tcBorders>
              <w:left w:val="thinThickThinSmallGap" w:sz="24" w:space="0" w:color="auto"/>
              <w:bottom w:val="single" w:sz="4" w:space="0" w:color="000000" w:themeColor="text1"/>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rPr>
            </w:pPr>
            <w:r w:rsidRPr="00337BFF">
              <w:rPr>
                <w:rFonts w:cs="Times New Roman"/>
                <w:color w:val="auto"/>
                <w:sz w:val="18"/>
                <w:szCs w:val="18"/>
              </w:rPr>
              <w:t xml:space="preserve">0% x </w:t>
            </w:r>
            <w:r>
              <w:rPr>
                <w:rFonts w:cs="Times New Roman"/>
                <w:color w:val="auto"/>
                <w:sz w:val="18"/>
                <w:szCs w:val="18"/>
              </w:rPr>
              <w:t>1 / NSC =None</w:t>
            </w:r>
          </w:p>
        </w:tc>
        <w:tc>
          <w:tcPr>
            <w:tcW w:w="1029" w:type="dxa"/>
            <w:tcBorders>
              <w:bottom w:val="single" w:sz="4" w:space="0" w:color="000000" w:themeColor="text1"/>
            </w:tcBorders>
            <w:shd w:val="clear" w:color="auto" w:fill="FFFFFF" w:themeFill="background1"/>
            <w:vAlign w:val="center"/>
          </w:tcPr>
          <w:p w:rsidR="00A37A28" w:rsidRPr="00337BFF" w:rsidRDefault="00A37A28" w:rsidP="006411B1">
            <w:pPr>
              <w:spacing w:line="180" w:lineRule="exact"/>
              <w:contextualSpacing/>
              <w:jc w:val="center"/>
              <w:rPr>
                <w:color w:val="auto"/>
                <w:sz w:val="18"/>
                <w:szCs w:val="18"/>
                <w:highlight w:val="yellow"/>
              </w:rPr>
            </w:pPr>
            <w:r w:rsidRPr="00A478D9">
              <w:rPr>
                <w:color w:val="auto"/>
                <w:sz w:val="18"/>
                <w:szCs w:val="18"/>
              </w:rPr>
              <w:t>20080114</w:t>
            </w:r>
          </w:p>
        </w:tc>
      </w:tr>
      <w:tr w:rsidR="00A37A28" w:rsidRPr="00337BFF" w:rsidTr="004A0E22">
        <w:trPr>
          <w:trHeight w:val="242"/>
          <w:jc w:val="center"/>
        </w:trPr>
        <w:tc>
          <w:tcPr>
            <w:tcW w:w="4164" w:type="dxa"/>
            <w:gridSpan w:val="4"/>
            <w:tcBorders>
              <w:righ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 xml:space="preserve">Combined:  </w:t>
            </w:r>
            <w:r>
              <w:rPr>
                <w:b/>
                <w:color w:val="auto"/>
                <w:sz w:val="20"/>
                <w:szCs w:val="20"/>
              </w:rPr>
              <w:t>10</w:t>
            </w:r>
            <w:r w:rsidRPr="00337BFF">
              <w:rPr>
                <w:b/>
                <w:color w:val="auto"/>
                <w:sz w:val="20"/>
                <w:szCs w:val="20"/>
              </w:rPr>
              <w:t>%</w:t>
            </w:r>
          </w:p>
        </w:tc>
        <w:tc>
          <w:tcPr>
            <w:tcW w:w="5495" w:type="dxa"/>
            <w:gridSpan w:val="4"/>
            <w:tcBorders>
              <w:left w:val="thinThickThinSmallGap" w:sz="24" w:space="0" w:color="auto"/>
            </w:tcBorders>
            <w:shd w:val="clear" w:color="auto" w:fill="D9D9D9" w:themeFill="background1" w:themeFillShade="D9"/>
            <w:vAlign w:val="center"/>
          </w:tcPr>
          <w:p w:rsidR="00A37A28" w:rsidRPr="00337BFF" w:rsidRDefault="00A37A28" w:rsidP="006411B1">
            <w:pPr>
              <w:spacing w:line="200" w:lineRule="exact"/>
              <w:contextualSpacing/>
              <w:jc w:val="center"/>
              <w:rPr>
                <w:b/>
                <w:color w:val="auto"/>
                <w:sz w:val="20"/>
                <w:szCs w:val="20"/>
              </w:rPr>
            </w:pPr>
            <w:r w:rsidRPr="00337BFF">
              <w:rPr>
                <w:b/>
                <w:color w:val="auto"/>
                <w:sz w:val="20"/>
                <w:szCs w:val="20"/>
              </w:rPr>
              <w:t xml:space="preserve">Combined:  </w:t>
            </w:r>
            <w:r>
              <w:rPr>
                <w:b/>
                <w:color w:val="auto"/>
                <w:sz w:val="20"/>
                <w:szCs w:val="20"/>
              </w:rPr>
              <w:t>7</w:t>
            </w:r>
            <w:r w:rsidRPr="00337BFF">
              <w:rPr>
                <w:b/>
                <w:color w:val="auto"/>
                <w:sz w:val="20"/>
                <w:szCs w:val="20"/>
              </w:rPr>
              <w:t>0%</w:t>
            </w:r>
          </w:p>
        </w:tc>
      </w:tr>
    </w:tbl>
    <w:p w:rsidR="00F1737C" w:rsidRPr="00437D18"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A37A28" w:rsidRDefault="00A37A2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700DC" w:rsidRDefault="00A700DC" w:rsidP="00B06665">
      <w:pPr>
        <w:jc w:val="both"/>
        <w:rPr>
          <w:rFonts w:asciiTheme="minorHAnsi" w:hAnsiTheme="minorHAnsi"/>
          <w:color w:val="auto"/>
          <w:szCs w:val="24"/>
          <w:u w:val="single"/>
        </w:rPr>
      </w:pPr>
    </w:p>
    <w:p w:rsidR="002C6E5B" w:rsidRDefault="002C6E5B" w:rsidP="00B06665">
      <w:pPr>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B06665">
      <w:pPr>
        <w:spacing w:line="240" w:lineRule="exact"/>
        <w:jc w:val="both"/>
        <w:rPr>
          <w:rFonts w:asciiTheme="minorHAnsi" w:hAnsiTheme="minorHAnsi"/>
          <w:color w:val="auto"/>
          <w:szCs w:val="24"/>
        </w:rPr>
      </w:pPr>
    </w:p>
    <w:p w:rsidR="00E43BD7" w:rsidRDefault="003F2EEE" w:rsidP="00B06665">
      <w:pPr>
        <w:spacing w:line="240" w:lineRule="exact"/>
        <w:jc w:val="both"/>
        <w:rPr>
          <w:rFonts w:asciiTheme="minorHAnsi" w:hAnsiTheme="minorHAnsi"/>
          <w:color w:val="auto"/>
          <w:szCs w:val="24"/>
        </w:rPr>
      </w:pPr>
      <w:r w:rsidRPr="00F416B7">
        <w:rPr>
          <w:rFonts w:asciiTheme="minorHAnsi" w:hAnsiTheme="minorHAnsi"/>
          <w:color w:val="auto"/>
          <w:szCs w:val="24"/>
          <w:u w:val="single"/>
        </w:rPr>
        <w:t>PTSD Condition</w:t>
      </w:r>
      <w:r w:rsidR="00F416B7" w:rsidRPr="00F416B7">
        <w:rPr>
          <w:rFonts w:asciiTheme="minorHAnsi" w:hAnsiTheme="minorHAnsi"/>
          <w:color w:val="auto"/>
          <w:szCs w:val="24"/>
        </w:rPr>
        <w:t xml:space="preserve">. </w:t>
      </w:r>
      <w:r w:rsidR="00A700DC">
        <w:rPr>
          <w:rFonts w:asciiTheme="minorHAnsi" w:hAnsiTheme="minorHAnsi"/>
          <w:color w:val="auto"/>
          <w:szCs w:val="24"/>
        </w:rPr>
        <w:t xml:space="preserve"> </w:t>
      </w:r>
      <w:r w:rsidR="00BB31A1">
        <w:rPr>
          <w:rFonts w:asciiTheme="minorHAnsi" w:hAnsiTheme="minorHAnsi"/>
          <w:color w:val="auto"/>
          <w:szCs w:val="24"/>
        </w:rPr>
        <w:t>The CI’s PTSD could best be described as moderate to severe at the time he was placed on TDRL</w:t>
      </w:r>
      <w:r w:rsidR="00E43BD7">
        <w:rPr>
          <w:rFonts w:asciiTheme="minorHAnsi" w:hAnsiTheme="minorHAnsi"/>
          <w:color w:val="auto"/>
          <w:szCs w:val="24"/>
        </w:rPr>
        <w:t xml:space="preserve"> in September 2007</w:t>
      </w:r>
      <w:r w:rsidR="00BB31A1">
        <w:rPr>
          <w:rFonts w:asciiTheme="minorHAnsi" w:hAnsiTheme="minorHAnsi"/>
          <w:color w:val="auto"/>
          <w:szCs w:val="24"/>
        </w:rPr>
        <w:t xml:space="preserve">.  At the MEB psychiatric examination, five months prior to </w:t>
      </w:r>
      <w:r w:rsidR="006C2548">
        <w:rPr>
          <w:rFonts w:asciiTheme="minorHAnsi" w:hAnsiTheme="minorHAnsi"/>
          <w:color w:val="auto"/>
          <w:szCs w:val="24"/>
        </w:rPr>
        <w:t xml:space="preserve">placement on the </w:t>
      </w:r>
      <w:r w:rsidR="00BB31A1">
        <w:rPr>
          <w:rFonts w:asciiTheme="minorHAnsi" w:hAnsiTheme="minorHAnsi"/>
          <w:color w:val="auto"/>
          <w:szCs w:val="24"/>
        </w:rPr>
        <w:t xml:space="preserve">TDRL, </w:t>
      </w:r>
      <w:r w:rsidR="006411B1">
        <w:rPr>
          <w:rFonts w:asciiTheme="minorHAnsi" w:hAnsiTheme="minorHAnsi"/>
          <w:color w:val="auto"/>
          <w:szCs w:val="24"/>
        </w:rPr>
        <w:t xml:space="preserve">the CI’s PTSD was “manifested by moderate to severe irritability, severe persistent sleep disturbance with nightmares, daily flashback memories of Iraq experiences, emotional detachment, daily moderate depressed mood, trouble concentrating, and daily episodes of anxiety and hyper-arousal.”  </w:t>
      </w:r>
      <w:r w:rsidR="00E8715C">
        <w:rPr>
          <w:rFonts w:asciiTheme="minorHAnsi" w:hAnsiTheme="minorHAnsi"/>
          <w:color w:val="auto"/>
          <w:szCs w:val="24"/>
        </w:rPr>
        <w:t xml:space="preserve">The CI grew up in an abusive household with an alcoholic father.  </w:t>
      </w:r>
      <w:r w:rsidR="00B26D7D">
        <w:rPr>
          <w:rFonts w:asciiTheme="minorHAnsi" w:hAnsiTheme="minorHAnsi"/>
          <w:color w:val="auto"/>
          <w:szCs w:val="24"/>
        </w:rPr>
        <w:t xml:space="preserve">He </w:t>
      </w:r>
      <w:r w:rsidR="006411B1">
        <w:rPr>
          <w:rFonts w:asciiTheme="minorHAnsi" w:hAnsiTheme="minorHAnsi"/>
          <w:color w:val="auto"/>
          <w:szCs w:val="24"/>
        </w:rPr>
        <w:t>had a history of substance abuse, including alcohol and methamphetamine two years prior to joining the Army, but denied any current substance abuse.  He had also been charged with accessory to theft and had anger management problems prior to service, but had no disciplinary actions while in the service.  The CI was first diagnosed with PTSD in February 2007 and treated with medication and counseling.  He was admitted for seven days in March 2007 for inpatient treatment due to homicidal thoughts towards his chain of command</w:t>
      </w:r>
      <w:r w:rsidR="00BA3DC4">
        <w:rPr>
          <w:rFonts w:asciiTheme="minorHAnsi" w:hAnsiTheme="minorHAnsi"/>
          <w:color w:val="auto"/>
          <w:szCs w:val="24"/>
        </w:rPr>
        <w:t>;</w:t>
      </w:r>
      <w:r w:rsidR="006411B1">
        <w:rPr>
          <w:rFonts w:asciiTheme="minorHAnsi" w:hAnsiTheme="minorHAnsi"/>
          <w:color w:val="auto"/>
          <w:szCs w:val="24"/>
        </w:rPr>
        <w:t xml:space="preserve"> and</w:t>
      </w:r>
      <w:r w:rsidR="00BA3DC4">
        <w:rPr>
          <w:rFonts w:asciiTheme="minorHAnsi" w:hAnsiTheme="minorHAnsi"/>
          <w:color w:val="auto"/>
          <w:szCs w:val="24"/>
        </w:rPr>
        <w:t>,</w:t>
      </w:r>
      <w:r w:rsidR="006411B1">
        <w:rPr>
          <w:rFonts w:asciiTheme="minorHAnsi" w:hAnsiTheme="minorHAnsi"/>
          <w:color w:val="auto"/>
          <w:szCs w:val="24"/>
        </w:rPr>
        <w:t xml:space="preserve"> treated with four medications and counseling.  </w:t>
      </w:r>
      <w:r w:rsidR="00E8715C">
        <w:rPr>
          <w:rFonts w:asciiTheme="minorHAnsi" w:hAnsiTheme="minorHAnsi"/>
          <w:color w:val="auto"/>
          <w:szCs w:val="24"/>
        </w:rPr>
        <w:t xml:space="preserve">The CI was able to complete “garrison-type NCO duties at a minimum standard.”  He was married with two children.  On mental status examination the CI was “moderately depressed, anxious, and angry.”  </w:t>
      </w:r>
      <w:r w:rsidR="00E8715C" w:rsidRPr="00E8715C">
        <w:rPr>
          <w:rFonts w:asciiTheme="minorHAnsi" w:hAnsiTheme="minorHAnsi"/>
          <w:color w:val="auto"/>
          <w:szCs w:val="24"/>
        </w:rPr>
        <w:t>There was no suicidal ideation, delusional or hallucinatory symptoms, speech disturbance, cognitive impairment or other abnormalities</w:t>
      </w:r>
      <w:r w:rsidR="00BA3DC4">
        <w:rPr>
          <w:rFonts w:asciiTheme="minorHAnsi" w:hAnsiTheme="minorHAnsi"/>
          <w:color w:val="auto"/>
          <w:szCs w:val="24"/>
        </w:rPr>
        <w:t>.  The examiner assigned a Global Assessment of F</w:t>
      </w:r>
      <w:r w:rsidR="00E8715C">
        <w:rPr>
          <w:rFonts w:asciiTheme="minorHAnsi" w:hAnsiTheme="minorHAnsi"/>
          <w:color w:val="auto"/>
          <w:szCs w:val="24"/>
        </w:rPr>
        <w:t>unction</w:t>
      </w:r>
      <w:r w:rsidR="00BA3DC4">
        <w:rPr>
          <w:rFonts w:asciiTheme="minorHAnsi" w:hAnsiTheme="minorHAnsi"/>
          <w:color w:val="auto"/>
          <w:szCs w:val="24"/>
        </w:rPr>
        <w:t>ing</w:t>
      </w:r>
      <w:r w:rsidR="00E8715C">
        <w:rPr>
          <w:rFonts w:asciiTheme="minorHAnsi" w:hAnsiTheme="minorHAnsi"/>
          <w:color w:val="auto"/>
          <w:szCs w:val="24"/>
        </w:rPr>
        <w:t xml:space="preserve"> (GAF) of 55</w:t>
      </w:r>
      <w:r w:rsidR="00E43BD7">
        <w:rPr>
          <w:rFonts w:asciiTheme="minorHAnsi" w:hAnsiTheme="minorHAnsi"/>
          <w:color w:val="auto"/>
          <w:szCs w:val="24"/>
        </w:rPr>
        <w:t xml:space="preserve">, and opined there was marked impairment for further military duty and definite impairment for social and industrial adaptability.  </w:t>
      </w:r>
    </w:p>
    <w:p w:rsidR="00BA3DC4" w:rsidRDefault="00BA3DC4" w:rsidP="00B06665">
      <w:pPr>
        <w:spacing w:line="240" w:lineRule="exact"/>
        <w:jc w:val="both"/>
        <w:rPr>
          <w:rFonts w:asciiTheme="minorHAnsi" w:hAnsiTheme="minorHAnsi"/>
          <w:color w:val="auto"/>
          <w:szCs w:val="24"/>
        </w:rPr>
      </w:pPr>
    </w:p>
    <w:p w:rsidR="00085310" w:rsidRDefault="00BA3DC4" w:rsidP="00B06665">
      <w:pPr>
        <w:spacing w:line="240" w:lineRule="exact"/>
        <w:jc w:val="both"/>
        <w:rPr>
          <w:rFonts w:asciiTheme="minorHAnsi" w:hAnsiTheme="minorHAnsi"/>
          <w:color w:val="auto"/>
          <w:szCs w:val="24"/>
        </w:rPr>
      </w:pPr>
      <w:r w:rsidRPr="00231D66">
        <w:rPr>
          <w:rFonts w:asciiTheme="minorHAnsi" w:hAnsiTheme="minorHAnsi"/>
          <w:color w:val="auto"/>
          <w:szCs w:val="24"/>
        </w:rPr>
        <w:t xml:space="preserve">The PEB rating at final separation, as described above, was derived from </w:t>
      </w:r>
      <w:proofErr w:type="spellStart"/>
      <w:r w:rsidRPr="00231D66">
        <w:rPr>
          <w:rFonts w:asciiTheme="minorHAnsi" w:hAnsiTheme="minorHAnsi"/>
          <w:color w:val="auto"/>
          <w:szCs w:val="24"/>
        </w:rPr>
        <w:t>DoDI</w:t>
      </w:r>
      <w:proofErr w:type="spellEnd"/>
      <w:r w:rsidRPr="00231D66">
        <w:rPr>
          <w:rFonts w:asciiTheme="minorHAnsi" w:hAnsiTheme="minorHAnsi"/>
          <w:color w:val="auto"/>
          <w:szCs w:val="24"/>
        </w:rPr>
        <w:t xml:space="preserve"> 1332.39 and preceded the promulgation of the National Defense Authorization Act (NDAA) 2008 mandate for </w:t>
      </w:r>
      <w:proofErr w:type="spellStart"/>
      <w:r w:rsidRPr="00231D66">
        <w:rPr>
          <w:rFonts w:asciiTheme="minorHAnsi" w:hAnsiTheme="minorHAnsi"/>
          <w:color w:val="auto"/>
          <w:szCs w:val="24"/>
        </w:rPr>
        <w:t>DoD</w:t>
      </w:r>
      <w:proofErr w:type="spellEnd"/>
      <w:r w:rsidRPr="00231D66">
        <w:rPr>
          <w:rFonts w:asciiTheme="minorHAnsi" w:hAnsiTheme="minorHAnsi"/>
          <w:color w:val="auto"/>
          <w:szCs w:val="24"/>
        </w:rPr>
        <w:t xml:space="preserve"> adherence to the </w:t>
      </w:r>
      <w:r w:rsidR="00231D66" w:rsidRPr="00231D66">
        <w:rPr>
          <w:rFonts w:asciiTheme="minorHAnsi" w:hAnsiTheme="minorHAnsi"/>
          <w:color w:val="auto"/>
          <w:szCs w:val="24"/>
        </w:rPr>
        <w:t>VASRD</w:t>
      </w:r>
      <w:r w:rsidRPr="00231D66">
        <w:rPr>
          <w:rFonts w:asciiTheme="minorHAnsi" w:hAnsiTheme="minorHAnsi"/>
          <w:color w:val="auto"/>
          <w:szCs w:val="24"/>
        </w:rPr>
        <w:t xml:space="preserve"> §4.129. </w:t>
      </w:r>
      <w:r w:rsidR="00231D66" w:rsidRPr="00231D66">
        <w:rPr>
          <w:rFonts w:asciiTheme="minorHAnsi" w:hAnsiTheme="minorHAnsi"/>
          <w:color w:val="auto"/>
          <w:szCs w:val="24"/>
        </w:rPr>
        <w:t xml:space="preserve"> </w:t>
      </w:r>
      <w:r w:rsidRPr="00231D66">
        <w:rPr>
          <w:rFonts w:asciiTheme="minorHAnsi" w:hAnsiTheme="minorHAnsi"/>
          <w:color w:val="auto"/>
          <w:szCs w:val="24"/>
        </w:rPr>
        <w:t xml:space="preserve">IAW </w:t>
      </w:r>
      <w:proofErr w:type="spellStart"/>
      <w:r w:rsidRPr="00231D66">
        <w:rPr>
          <w:rFonts w:asciiTheme="minorHAnsi" w:hAnsiTheme="minorHAnsi"/>
          <w:color w:val="auto"/>
          <w:szCs w:val="24"/>
        </w:rPr>
        <w:t>DoDI</w:t>
      </w:r>
      <w:proofErr w:type="spellEnd"/>
      <w:r w:rsidRPr="00231D66">
        <w:rPr>
          <w:rFonts w:asciiTheme="minorHAnsi" w:hAnsiTheme="minorHAnsi"/>
          <w:color w:val="auto"/>
          <w:szCs w:val="24"/>
        </w:rPr>
        <w:t xml:space="preserve"> 6040.44 and </w:t>
      </w:r>
      <w:proofErr w:type="spellStart"/>
      <w:proofErr w:type="gramStart"/>
      <w:r w:rsidRPr="00231D66">
        <w:rPr>
          <w:rFonts w:asciiTheme="minorHAnsi" w:hAnsiTheme="minorHAnsi"/>
          <w:color w:val="auto"/>
          <w:szCs w:val="24"/>
        </w:rPr>
        <w:t>DoD</w:t>
      </w:r>
      <w:proofErr w:type="spellEnd"/>
      <w:proofErr w:type="gramEnd"/>
      <w:r w:rsidRPr="00231D66">
        <w:rPr>
          <w:rFonts w:asciiTheme="minorHAnsi" w:hAnsiTheme="minorHAnsi"/>
          <w:color w:val="auto"/>
          <w:szCs w:val="24"/>
        </w:rPr>
        <w:t xml:space="preserve"> guidance (which applies current VASRD </w:t>
      </w:r>
      <w:r w:rsidR="00764131" w:rsidRPr="00231D66">
        <w:rPr>
          <w:rFonts w:asciiTheme="minorHAnsi" w:hAnsiTheme="minorHAnsi"/>
          <w:color w:val="auto"/>
          <w:szCs w:val="24"/>
        </w:rPr>
        <w:t>§</w:t>
      </w:r>
      <w:r w:rsidRPr="00231D66">
        <w:rPr>
          <w:rFonts w:asciiTheme="minorHAnsi" w:hAnsiTheme="minorHAnsi"/>
          <w:color w:val="auto"/>
          <w:szCs w:val="24"/>
        </w:rPr>
        <w:t xml:space="preserve">4.129 to all Board cases); the Board is obligated to recommend a minimum 50% PTSD rating for the period on the TDRL.  Since the Service was in compliance with the §4.129 TDRL requirement, the Board need not apply a constructive TDRL rating interval in this case; although, the 50% minimum TDRL rating remains applicable as above, as held by the Federal court in the Sabo V. United States class action settlement.  The Board must then determine the most appropriate fit with VASRD </w:t>
      </w:r>
      <w:r w:rsidR="00764131" w:rsidRPr="00231D66">
        <w:rPr>
          <w:rFonts w:asciiTheme="minorHAnsi" w:hAnsiTheme="minorHAnsi"/>
          <w:color w:val="auto"/>
          <w:szCs w:val="24"/>
        </w:rPr>
        <w:t>§</w:t>
      </w:r>
      <w:r w:rsidRPr="00231D66">
        <w:rPr>
          <w:rFonts w:asciiTheme="minorHAnsi" w:hAnsiTheme="minorHAnsi"/>
          <w:color w:val="auto"/>
          <w:szCs w:val="24"/>
        </w:rPr>
        <w:t>4.130 criteria at the end of the TDRL interval for its permanent rating recommendation.</w:t>
      </w:r>
    </w:p>
    <w:p w:rsidR="00CE637E" w:rsidRDefault="00CE637E" w:rsidP="00B06665">
      <w:pPr>
        <w:spacing w:line="240" w:lineRule="exact"/>
        <w:jc w:val="both"/>
        <w:rPr>
          <w:rFonts w:asciiTheme="minorHAnsi" w:hAnsiTheme="minorHAnsi"/>
          <w:color w:val="auto"/>
          <w:szCs w:val="24"/>
        </w:rPr>
      </w:pPr>
    </w:p>
    <w:p w:rsidR="00085310" w:rsidRDefault="00CE637E" w:rsidP="00B06665">
      <w:pPr>
        <w:spacing w:line="240" w:lineRule="exact"/>
        <w:jc w:val="both"/>
        <w:rPr>
          <w:rFonts w:asciiTheme="minorHAnsi" w:hAnsiTheme="minorHAnsi"/>
          <w:color w:val="auto"/>
          <w:szCs w:val="24"/>
        </w:rPr>
      </w:pPr>
      <w:r>
        <w:rPr>
          <w:rFonts w:asciiTheme="minorHAnsi" w:hAnsiTheme="minorHAnsi"/>
          <w:color w:val="auto"/>
          <w:szCs w:val="24"/>
        </w:rPr>
        <w:lastRenderedPageBreak/>
        <w:t>At the 14 January 2008 VA Compensation and P</w:t>
      </w:r>
      <w:r w:rsidR="007F74C8">
        <w:rPr>
          <w:rFonts w:asciiTheme="minorHAnsi" w:hAnsiTheme="minorHAnsi"/>
          <w:color w:val="auto"/>
          <w:szCs w:val="24"/>
        </w:rPr>
        <w:t>ension (C&amp;P) examination,</w:t>
      </w:r>
      <w:r w:rsidR="00085310">
        <w:rPr>
          <w:rFonts w:asciiTheme="minorHAnsi" w:hAnsiTheme="minorHAnsi"/>
          <w:color w:val="auto"/>
          <w:szCs w:val="24"/>
        </w:rPr>
        <w:t xml:space="preserve"> seven months after TDRL entry and thirteen months prior to final separation</w:t>
      </w:r>
      <w:r w:rsidR="007F74C8">
        <w:rPr>
          <w:rFonts w:asciiTheme="minorHAnsi" w:hAnsiTheme="minorHAnsi"/>
          <w:color w:val="auto"/>
          <w:szCs w:val="24"/>
        </w:rPr>
        <w:t>,</w:t>
      </w:r>
      <w:r w:rsidR="006C2548">
        <w:rPr>
          <w:rFonts w:asciiTheme="minorHAnsi" w:hAnsiTheme="minorHAnsi"/>
          <w:color w:val="auto"/>
          <w:szCs w:val="24"/>
        </w:rPr>
        <w:t xml:space="preserve"> t</w:t>
      </w:r>
      <w:r w:rsidR="00C056AE">
        <w:rPr>
          <w:rFonts w:asciiTheme="minorHAnsi" w:hAnsiTheme="minorHAnsi"/>
          <w:color w:val="auto"/>
          <w:szCs w:val="24"/>
        </w:rPr>
        <w:t xml:space="preserve">he CI noted improvement in his symptoms with therapy and medications, </w:t>
      </w:r>
      <w:r w:rsidR="007F74C8">
        <w:rPr>
          <w:rFonts w:asciiTheme="minorHAnsi" w:hAnsiTheme="minorHAnsi"/>
          <w:color w:val="auto"/>
          <w:szCs w:val="24"/>
        </w:rPr>
        <w:t xml:space="preserve">but </w:t>
      </w:r>
      <w:r w:rsidR="00C056AE">
        <w:rPr>
          <w:rFonts w:asciiTheme="minorHAnsi" w:hAnsiTheme="minorHAnsi"/>
          <w:color w:val="auto"/>
          <w:szCs w:val="24"/>
        </w:rPr>
        <w:t xml:space="preserve">he still </w:t>
      </w:r>
      <w:r w:rsidR="007F74C8">
        <w:rPr>
          <w:rFonts w:asciiTheme="minorHAnsi" w:hAnsiTheme="minorHAnsi"/>
          <w:color w:val="auto"/>
          <w:szCs w:val="24"/>
        </w:rPr>
        <w:t>had difficulties.  The examiner</w:t>
      </w:r>
      <w:r w:rsidR="00C056AE">
        <w:rPr>
          <w:rFonts w:asciiTheme="minorHAnsi" w:hAnsiTheme="minorHAnsi"/>
          <w:color w:val="auto"/>
          <w:szCs w:val="24"/>
        </w:rPr>
        <w:t xml:space="preserve"> noted continu</w:t>
      </w:r>
      <w:r w:rsidR="007F74C8">
        <w:rPr>
          <w:rFonts w:asciiTheme="minorHAnsi" w:hAnsiTheme="minorHAnsi"/>
          <w:color w:val="auto"/>
          <w:szCs w:val="24"/>
        </w:rPr>
        <w:t xml:space="preserve">ed </w:t>
      </w:r>
      <w:r w:rsidR="00C056AE">
        <w:rPr>
          <w:rFonts w:asciiTheme="minorHAnsi" w:hAnsiTheme="minorHAnsi"/>
          <w:color w:val="auto"/>
          <w:szCs w:val="24"/>
        </w:rPr>
        <w:t>intrusive and distressing recollect</w:t>
      </w:r>
      <w:r w:rsidR="007F74C8">
        <w:rPr>
          <w:rFonts w:asciiTheme="minorHAnsi" w:hAnsiTheme="minorHAnsi"/>
          <w:color w:val="auto"/>
          <w:szCs w:val="24"/>
        </w:rPr>
        <w:t>ions and flashbacks.  Although the CI</w:t>
      </w:r>
      <w:r w:rsidR="00C056AE">
        <w:rPr>
          <w:rFonts w:asciiTheme="minorHAnsi" w:hAnsiTheme="minorHAnsi"/>
          <w:color w:val="auto"/>
          <w:szCs w:val="24"/>
        </w:rPr>
        <w:t xml:space="preserve"> reported better anger control, he continued to have irritability and had trouble concentrating at work. </w:t>
      </w:r>
      <w:r w:rsidR="007F74C8">
        <w:rPr>
          <w:rFonts w:asciiTheme="minorHAnsi" w:hAnsiTheme="minorHAnsi"/>
          <w:color w:val="auto"/>
          <w:szCs w:val="24"/>
        </w:rPr>
        <w:t xml:space="preserve"> </w:t>
      </w:r>
      <w:r w:rsidR="00C056AE">
        <w:rPr>
          <w:rFonts w:asciiTheme="minorHAnsi" w:hAnsiTheme="minorHAnsi"/>
          <w:color w:val="auto"/>
          <w:szCs w:val="24"/>
        </w:rPr>
        <w:t>He had been working as a receiving clerk since October 2007.</w:t>
      </w:r>
      <w:r w:rsidR="007F74C8">
        <w:rPr>
          <w:rFonts w:asciiTheme="minorHAnsi" w:hAnsiTheme="minorHAnsi"/>
          <w:color w:val="auto"/>
          <w:szCs w:val="24"/>
        </w:rPr>
        <w:t xml:space="preserve"> </w:t>
      </w:r>
      <w:r w:rsidR="00C056AE">
        <w:rPr>
          <w:rFonts w:asciiTheme="minorHAnsi" w:hAnsiTheme="minorHAnsi"/>
          <w:color w:val="auto"/>
          <w:szCs w:val="24"/>
        </w:rPr>
        <w:t xml:space="preserve"> He reported enjoying playing pool, watching football on television, and spending time with his family. </w:t>
      </w:r>
      <w:r w:rsidR="007F74C8">
        <w:rPr>
          <w:rFonts w:asciiTheme="minorHAnsi" w:hAnsiTheme="minorHAnsi"/>
          <w:color w:val="auto"/>
          <w:szCs w:val="24"/>
        </w:rPr>
        <w:t xml:space="preserve"> </w:t>
      </w:r>
      <w:r w:rsidR="00C056AE">
        <w:rPr>
          <w:rFonts w:asciiTheme="minorHAnsi" w:hAnsiTheme="minorHAnsi"/>
          <w:color w:val="auto"/>
          <w:szCs w:val="24"/>
        </w:rPr>
        <w:t>Mental status exam documented intrusive recollections of the military trauma.</w:t>
      </w:r>
      <w:r w:rsidR="00F20644">
        <w:rPr>
          <w:rFonts w:asciiTheme="minorHAnsi" w:hAnsiTheme="minorHAnsi"/>
          <w:color w:val="auto"/>
          <w:szCs w:val="24"/>
        </w:rPr>
        <w:t xml:space="preserve"> </w:t>
      </w:r>
      <w:r w:rsidR="007F74C8">
        <w:rPr>
          <w:rFonts w:asciiTheme="minorHAnsi" w:hAnsiTheme="minorHAnsi"/>
          <w:color w:val="auto"/>
          <w:szCs w:val="24"/>
        </w:rPr>
        <w:t xml:space="preserve"> </w:t>
      </w:r>
      <w:r w:rsidR="00F20644">
        <w:rPr>
          <w:rFonts w:asciiTheme="minorHAnsi" w:hAnsiTheme="minorHAnsi"/>
          <w:color w:val="auto"/>
          <w:szCs w:val="24"/>
        </w:rPr>
        <w:t xml:space="preserve">The examining psychiatrist stated the CI met criteria for both PTSD and </w:t>
      </w:r>
      <w:r w:rsidR="00987C31">
        <w:rPr>
          <w:rFonts w:asciiTheme="minorHAnsi" w:hAnsiTheme="minorHAnsi"/>
          <w:color w:val="auto"/>
          <w:szCs w:val="24"/>
        </w:rPr>
        <w:t>d</w:t>
      </w:r>
      <w:r w:rsidR="00F20644">
        <w:rPr>
          <w:rFonts w:asciiTheme="minorHAnsi" w:hAnsiTheme="minorHAnsi"/>
          <w:color w:val="auto"/>
          <w:szCs w:val="24"/>
        </w:rPr>
        <w:t xml:space="preserve">epressive disorder, not otherwise specified </w:t>
      </w:r>
      <w:r w:rsidR="007F74C8">
        <w:rPr>
          <w:rFonts w:asciiTheme="minorHAnsi" w:hAnsiTheme="minorHAnsi"/>
          <w:color w:val="auto"/>
          <w:szCs w:val="24"/>
        </w:rPr>
        <w:t>and that symptoms could not be separated.  The</w:t>
      </w:r>
      <w:r w:rsidR="00F20644">
        <w:rPr>
          <w:rFonts w:asciiTheme="minorHAnsi" w:hAnsiTheme="minorHAnsi"/>
          <w:color w:val="auto"/>
          <w:szCs w:val="24"/>
        </w:rPr>
        <w:t xml:space="preserve"> overall GA</w:t>
      </w:r>
      <w:r w:rsidR="006C2548">
        <w:rPr>
          <w:rFonts w:asciiTheme="minorHAnsi" w:hAnsiTheme="minorHAnsi"/>
          <w:color w:val="auto"/>
          <w:szCs w:val="24"/>
        </w:rPr>
        <w:t xml:space="preserve">F </w:t>
      </w:r>
      <w:r w:rsidR="00F20644">
        <w:rPr>
          <w:rFonts w:asciiTheme="minorHAnsi" w:hAnsiTheme="minorHAnsi"/>
          <w:color w:val="auto"/>
          <w:szCs w:val="24"/>
        </w:rPr>
        <w:t xml:space="preserve">was 60, </w:t>
      </w:r>
      <w:r w:rsidR="007F74C8">
        <w:rPr>
          <w:rFonts w:asciiTheme="minorHAnsi" w:hAnsiTheme="minorHAnsi"/>
          <w:color w:val="auto"/>
          <w:szCs w:val="24"/>
        </w:rPr>
        <w:t>slightly higher than that of the</w:t>
      </w:r>
      <w:r w:rsidR="00F20644">
        <w:rPr>
          <w:rFonts w:asciiTheme="minorHAnsi" w:hAnsiTheme="minorHAnsi"/>
          <w:color w:val="auto"/>
          <w:szCs w:val="24"/>
        </w:rPr>
        <w:t xml:space="preserve"> MEB examination of April 2007. </w:t>
      </w:r>
      <w:r w:rsidR="007F74C8">
        <w:rPr>
          <w:rFonts w:asciiTheme="minorHAnsi" w:hAnsiTheme="minorHAnsi"/>
          <w:color w:val="auto"/>
          <w:szCs w:val="24"/>
        </w:rPr>
        <w:t xml:space="preserve"> </w:t>
      </w:r>
      <w:r w:rsidR="00F20644">
        <w:rPr>
          <w:rFonts w:asciiTheme="minorHAnsi" w:hAnsiTheme="minorHAnsi"/>
          <w:color w:val="auto"/>
          <w:szCs w:val="24"/>
        </w:rPr>
        <w:t xml:space="preserve">Although the VA rating decision (VARD) noted a 50% rating was required by VASRD </w:t>
      </w:r>
      <w:r w:rsidR="00F20644" w:rsidRPr="00316EC6">
        <w:rPr>
          <w:rFonts w:asciiTheme="minorHAnsi" w:hAnsiTheme="minorHAnsi"/>
          <w:color w:val="auto"/>
          <w:szCs w:val="24"/>
        </w:rPr>
        <w:t>§4.129</w:t>
      </w:r>
      <w:r w:rsidR="00F20644">
        <w:rPr>
          <w:rFonts w:asciiTheme="minorHAnsi" w:hAnsiTheme="minorHAnsi"/>
          <w:color w:val="auto"/>
          <w:szCs w:val="24"/>
        </w:rPr>
        <w:t xml:space="preserve">, </w:t>
      </w:r>
      <w:r w:rsidR="007F74C8">
        <w:rPr>
          <w:rFonts w:asciiTheme="minorHAnsi" w:hAnsiTheme="minorHAnsi"/>
          <w:color w:val="auto"/>
          <w:szCs w:val="24"/>
        </w:rPr>
        <w:t xml:space="preserve">it also determined that </w:t>
      </w:r>
      <w:r w:rsidR="00F20644">
        <w:rPr>
          <w:rFonts w:asciiTheme="minorHAnsi" w:hAnsiTheme="minorHAnsi"/>
          <w:color w:val="auto"/>
          <w:szCs w:val="24"/>
        </w:rPr>
        <w:t>a 5</w:t>
      </w:r>
      <w:r w:rsidR="006C2548">
        <w:rPr>
          <w:rFonts w:asciiTheme="minorHAnsi" w:hAnsiTheme="minorHAnsi"/>
          <w:color w:val="auto"/>
          <w:szCs w:val="24"/>
        </w:rPr>
        <w:t>0% rating was warranted based o</w:t>
      </w:r>
      <w:r w:rsidR="00F20644">
        <w:rPr>
          <w:rFonts w:asciiTheme="minorHAnsi" w:hAnsiTheme="minorHAnsi"/>
          <w:color w:val="auto"/>
          <w:szCs w:val="24"/>
        </w:rPr>
        <w:t>n</w:t>
      </w:r>
      <w:r w:rsidR="006C2548">
        <w:rPr>
          <w:rFonts w:asciiTheme="minorHAnsi" w:hAnsiTheme="minorHAnsi"/>
          <w:color w:val="auto"/>
          <w:szCs w:val="24"/>
        </w:rPr>
        <w:t xml:space="preserve"> the</w:t>
      </w:r>
      <w:r w:rsidR="00F20644">
        <w:rPr>
          <w:rFonts w:asciiTheme="minorHAnsi" w:hAnsiTheme="minorHAnsi"/>
          <w:color w:val="auto"/>
          <w:szCs w:val="24"/>
        </w:rPr>
        <w:t xml:space="preserve"> CI’s significant disturbances in motivation and mood with irritability impacting his social and occupational functioning at work and at home. </w:t>
      </w:r>
    </w:p>
    <w:p w:rsidR="00085310" w:rsidRDefault="00085310" w:rsidP="00B06665">
      <w:pPr>
        <w:spacing w:line="240" w:lineRule="exact"/>
        <w:jc w:val="both"/>
        <w:rPr>
          <w:rFonts w:asciiTheme="minorHAnsi" w:hAnsiTheme="minorHAnsi"/>
          <w:color w:val="auto"/>
          <w:szCs w:val="24"/>
        </w:rPr>
      </w:pPr>
    </w:p>
    <w:p w:rsidR="00130EAA" w:rsidRPr="00A36DBF" w:rsidRDefault="00A36DBF" w:rsidP="00B06665">
      <w:pPr>
        <w:spacing w:line="240" w:lineRule="exact"/>
        <w:jc w:val="both"/>
        <w:rPr>
          <w:rFonts w:asciiTheme="minorHAnsi" w:hAnsiTheme="minorHAnsi"/>
          <w:i/>
          <w:iCs/>
          <w:color w:val="auto"/>
          <w:szCs w:val="24"/>
        </w:rPr>
      </w:pPr>
      <w:r w:rsidRPr="00316EC6">
        <w:rPr>
          <w:rFonts w:asciiTheme="minorHAnsi" w:hAnsiTheme="minorHAnsi"/>
          <w:color w:val="auto"/>
          <w:szCs w:val="24"/>
        </w:rPr>
        <w:t>The most proximate source of comprehensive evidence on which to base the permanent rating reco</w:t>
      </w:r>
      <w:r>
        <w:rPr>
          <w:rFonts w:asciiTheme="minorHAnsi" w:hAnsiTheme="minorHAnsi"/>
          <w:color w:val="auto"/>
          <w:szCs w:val="24"/>
        </w:rPr>
        <w:t xml:space="preserve">mmendation in this case is the MEB TDRL NARSUM examination performed </w:t>
      </w:r>
      <w:r w:rsidR="00085310">
        <w:rPr>
          <w:rFonts w:asciiTheme="minorHAnsi" w:hAnsiTheme="minorHAnsi"/>
          <w:color w:val="auto"/>
          <w:szCs w:val="24"/>
        </w:rPr>
        <w:t>one month prior to</w:t>
      </w:r>
      <w:r w:rsidRPr="00316EC6">
        <w:rPr>
          <w:rFonts w:asciiTheme="minorHAnsi" w:hAnsiTheme="minorHAnsi"/>
          <w:color w:val="auto"/>
          <w:szCs w:val="24"/>
        </w:rPr>
        <w:t xml:space="preserve"> separation</w:t>
      </w:r>
      <w:r w:rsidR="006C2548">
        <w:rPr>
          <w:rFonts w:asciiTheme="minorHAnsi" w:hAnsiTheme="minorHAnsi"/>
          <w:color w:val="auto"/>
          <w:szCs w:val="24"/>
        </w:rPr>
        <w:t xml:space="preserve"> from the TDRL</w:t>
      </w:r>
      <w:r w:rsidRPr="00316EC6">
        <w:rPr>
          <w:rFonts w:asciiTheme="minorHAnsi" w:hAnsiTheme="minorHAnsi"/>
          <w:color w:val="auto"/>
          <w:szCs w:val="24"/>
        </w:rPr>
        <w:t xml:space="preserve">. </w:t>
      </w:r>
      <w:r>
        <w:rPr>
          <w:rFonts w:asciiTheme="minorHAnsi" w:hAnsiTheme="minorHAnsi"/>
          <w:color w:val="auto"/>
          <w:szCs w:val="24"/>
        </w:rPr>
        <w:t xml:space="preserve"> At that</w:t>
      </w:r>
      <w:r w:rsidR="00E43BD7">
        <w:rPr>
          <w:rFonts w:asciiTheme="minorHAnsi" w:hAnsiTheme="minorHAnsi"/>
          <w:color w:val="auto"/>
          <w:szCs w:val="24"/>
        </w:rPr>
        <w:t xml:space="preserve"> TDRL psychiatric examination on 9 Janua</w:t>
      </w:r>
      <w:r>
        <w:rPr>
          <w:rFonts w:asciiTheme="minorHAnsi" w:hAnsiTheme="minorHAnsi"/>
          <w:color w:val="auto"/>
          <w:szCs w:val="24"/>
        </w:rPr>
        <w:t>ry 2009,</w:t>
      </w:r>
      <w:r w:rsidR="00E43BD7">
        <w:rPr>
          <w:rFonts w:asciiTheme="minorHAnsi" w:hAnsiTheme="minorHAnsi"/>
          <w:color w:val="auto"/>
          <w:szCs w:val="24"/>
        </w:rPr>
        <w:t xml:space="preserve"> the CI was somewhat improved.  </w:t>
      </w:r>
      <w:r w:rsidR="00000B09">
        <w:rPr>
          <w:rFonts w:asciiTheme="minorHAnsi" w:hAnsiTheme="minorHAnsi"/>
          <w:color w:val="auto"/>
          <w:szCs w:val="24"/>
        </w:rPr>
        <w:t xml:space="preserve">Since being on TDRL he had continued psychiatric treatment with the VA.  He was taking three different psychiatric medications but was not attending therapy due to distance.  </w:t>
      </w:r>
      <w:r w:rsidR="00935FFF">
        <w:rPr>
          <w:rFonts w:asciiTheme="minorHAnsi" w:hAnsiTheme="minorHAnsi"/>
          <w:color w:val="auto"/>
          <w:szCs w:val="24"/>
        </w:rPr>
        <w:t xml:space="preserve">There was no indication of substance abuse, and there had been no inpatient treatment.  </w:t>
      </w:r>
      <w:r w:rsidR="00000B09">
        <w:rPr>
          <w:rFonts w:asciiTheme="minorHAnsi" w:hAnsiTheme="minorHAnsi"/>
          <w:color w:val="auto"/>
          <w:szCs w:val="24"/>
        </w:rPr>
        <w:t>The CI stated he “has good days and bad day</w:t>
      </w:r>
      <w:r w:rsidR="00130EAA">
        <w:rPr>
          <w:rFonts w:asciiTheme="minorHAnsi" w:hAnsiTheme="minorHAnsi"/>
          <w:color w:val="auto"/>
          <w:szCs w:val="24"/>
        </w:rPr>
        <w:t>s</w:t>
      </w:r>
      <w:r w:rsidR="00000B09">
        <w:rPr>
          <w:rFonts w:asciiTheme="minorHAnsi" w:hAnsiTheme="minorHAnsi"/>
          <w:color w:val="auto"/>
          <w:szCs w:val="24"/>
        </w:rPr>
        <w:t>,” but continued to have sleep problems</w:t>
      </w:r>
      <w:r w:rsidR="00F20644">
        <w:rPr>
          <w:rFonts w:asciiTheme="minorHAnsi" w:hAnsiTheme="minorHAnsi"/>
          <w:color w:val="auto"/>
          <w:szCs w:val="24"/>
        </w:rPr>
        <w:t>, nightmares</w:t>
      </w:r>
      <w:r w:rsidR="00935FFF">
        <w:rPr>
          <w:rFonts w:asciiTheme="minorHAnsi" w:hAnsiTheme="minorHAnsi"/>
          <w:color w:val="auto"/>
          <w:szCs w:val="24"/>
        </w:rPr>
        <w:t>, irritability, hypervigilance</w:t>
      </w:r>
      <w:r w:rsidR="00F20644">
        <w:rPr>
          <w:rFonts w:asciiTheme="minorHAnsi" w:hAnsiTheme="minorHAnsi"/>
          <w:color w:val="auto"/>
          <w:szCs w:val="24"/>
        </w:rPr>
        <w:t>,</w:t>
      </w:r>
      <w:r w:rsidR="00000B09">
        <w:rPr>
          <w:rFonts w:asciiTheme="minorHAnsi" w:hAnsiTheme="minorHAnsi"/>
          <w:color w:val="auto"/>
          <w:szCs w:val="24"/>
        </w:rPr>
        <w:t xml:space="preserve"> and frequent flashbacks.  He avoided the news and talking about his experiences.  </w:t>
      </w:r>
      <w:r w:rsidR="00935FFF">
        <w:rPr>
          <w:rFonts w:asciiTheme="minorHAnsi" w:hAnsiTheme="minorHAnsi"/>
          <w:color w:val="auto"/>
          <w:szCs w:val="24"/>
        </w:rPr>
        <w:t xml:space="preserve">The CI was working full time as a department store shift supervisor and was attending school part time to be a mechanic.  </w:t>
      </w:r>
      <w:r w:rsidR="007F74C8">
        <w:rPr>
          <w:rFonts w:asciiTheme="minorHAnsi" w:hAnsiTheme="minorHAnsi"/>
          <w:color w:val="auto"/>
          <w:szCs w:val="24"/>
        </w:rPr>
        <w:t>H</w:t>
      </w:r>
      <w:r w:rsidR="002950C9">
        <w:rPr>
          <w:rFonts w:asciiTheme="minorHAnsi" w:hAnsiTheme="minorHAnsi"/>
          <w:color w:val="auto"/>
          <w:szCs w:val="24"/>
        </w:rPr>
        <w:t>is job d</w:t>
      </w:r>
      <w:r w:rsidR="006C2548">
        <w:rPr>
          <w:rFonts w:asciiTheme="minorHAnsi" w:hAnsiTheme="minorHAnsi"/>
          <w:color w:val="auto"/>
          <w:szCs w:val="24"/>
        </w:rPr>
        <w:t>id</w:t>
      </w:r>
      <w:r w:rsidR="002950C9">
        <w:rPr>
          <w:rFonts w:asciiTheme="minorHAnsi" w:hAnsiTheme="minorHAnsi"/>
          <w:color w:val="auto"/>
          <w:szCs w:val="24"/>
        </w:rPr>
        <w:t xml:space="preserve"> not require direct contact with the public. </w:t>
      </w:r>
      <w:r w:rsidR="007F74C8">
        <w:rPr>
          <w:rFonts w:asciiTheme="minorHAnsi" w:hAnsiTheme="minorHAnsi"/>
          <w:color w:val="auto"/>
          <w:szCs w:val="24"/>
        </w:rPr>
        <w:t xml:space="preserve"> </w:t>
      </w:r>
      <w:r w:rsidR="00EB6757">
        <w:rPr>
          <w:rFonts w:asciiTheme="minorHAnsi" w:hAnsiTheme="minorHAnsi"/>
          <w:color w:val="auto"/>
          <w:szCs w:val="24"/>
        </w:rPr>
        <w:t xml:space="preserve">This was not the same job described on his VA C&amp;P examination one year prior </w:t>
      </w:r>
      <w:r w:rsidR="006C2548">
        <w:rPr>
          <w:rFonts w:asciiTheme="minorHAnsi" w:hAnsiTheme="minorHAnsi"/>
          <w:color w:val="auto"/>
          <w:szCs w:val="24"/>
        </w:rPr>
        <w:t>and</w:t>
      </w:r>
      <w:r w:rsidR="00EB6757">
        <w:rPr>
          <w:rFonts w:asciiTheme="minorHAnsi" w:hAnsiTheme="minorHAnsi"/>
          <w:color w:val="auto"/>
          <w:szCs w:val="24"/>
        </w:rPr>
        <w:t xml:space="preserve"> there is no information about why he left the previous job.</w:t>
      </w:r>
      <w:r w:rsidR="007F74C8">
        <w:rPr>
          <w:rFonts w:asciiTheme="minorHAnsi" w:hAnsiTheme="minorHAnsi"/>
          <w:color w:val="auto"/>
          <w:szCs w:val="24"/>
        </w:rPr>
        <w:t xml:space="preserve"> </w:t>
      </w:r>
      <w:r w:rsidR="00EB6757">
        <w:rPr>
          <w:rFonts w:asciiTheme="minorHAnsi" w:hAnsiTheme="minorHAnsi"/>
          <w:color w:val="auto"/>
          <w:szCs w:val="24"/>
        </w:rPr>
        <w:t xml:space="preserve"> </w:t>
      </w:r>
      <w:r w:rsidR="00935FFF">
        <w:rPr>
          <w:rFonts w:asciiTheme="minorHAnsi" w:hAnsiTheme="minorHAnsi"/>
          <w:color w:val="auto"/>
          <w:szCs w:val="24"/>
        </w:rPr>
        <w:t>While he was married with children, he had no friends and</w:t>
      </w:r>
      <w:r w:rsidR="00000B09">
        <w:rPr>
          <w:rFonts w:asciiTheme="minorHAnsi" w:hAnsiTheme="minorHAnsi"/>
          <w:color w:val="auto"/>
          <w:szCs w:val="24"/>
        </w:rPr>
        <w:t xml:space="preserve"> was not involved in any leisure activities</w:t>
      </w:r>
      <w:r w:rsidR="00935FFF">
        <w:rPr>
          <w:rFonts w:asciiTheme="minorHAnsi" w:hAnsiTheme="minorHAnsi"/>
          <w:color w:val="auto"/>
          <w:szCs w:val="24"/>
        </w:rPr>
        <w:t>.  He was unable to attend his children’s sporting events or play with them outside the house.</w:t>
      </w:r>
      <w:r w:rsidR="00E8715C">
        <w:rPr>
          <w:rFonts w:asciiTheme="minorHAnsi" w:hAnsiTheme="minorHAnsi"/>
          <w:color w:val="auto"/>
          <w:szCs w:val="24"/>
        </w:rPr>
        <w:t xml:space="preserve"> </w:t>
      </w:r>
      <w:r w:rsidR="00935FFF">
        <w:rPr>
          <w:rFonts w:asciiTheme="minorHAnsi" w:hAnsiTheme="minorHAnsi"/>
          <w:color w:val="auto"/>
          <w:szCs w:val="24"/>
        </w:rPr>
        <w:t xml:space="preserve"> </w:t>
      </w:r>
      <w:r w:rsidR="00642081">
        <w:rPr>
          <w:rFonts w:asciiTheme="minorHAnsi" w:hAnsiTheme="minorHAnsi"/>
          <w:color w:val="auto"/>
          <w:szCs w:val="24"/>
        </w:rPr>
        <w:t xml:space="preserve">He also had extreme difficulty when his normal routine was disrupted by unforeseen events such as a sick child or car problems. </w:t>
      </w:r>
      <w:r w:rsidR="007F74C8">
        <w:rPr>
          <w:rFonts w:asciiTheme="minorHAnsi" w:hAnsiTheme="minorHAnsi"/>
          <w:color w:val="auto"/>
          <w:szCs w:val="24"/>
        </w:rPr>
        <w:t xml:space="preserve"> </w:t>
      </w:r>
      <w:r w:rsidR="00935FFF">
        <w:rPr>
          <w:rFonts w:asciiTheme="minorHAnsi" w:hAnsiTheme="minorHAnsi"/>
          <w:color w:val="auto"/>
          <w:szCs w:val="24"/>
        </w:rPr>
        <w:t>On mental status examination his mood was irritable and his affect was restricted.  The examiner noted “he was clearly uncomfortable in the waiting room”</w:t>
      </w:r>
      <w:r w:rsidR="00F20644">
        <w:rPr>
          <w:rFonts w:asciiTheme="minorHAnsi" w:hAnsiTheme="minorHAnsi"/>
          <w:color w:val="auto"/>
          <w:szCs w:val="24"/>
        </w:rPr>
        <w:t xml:space="preserve"> and “appeared clearly uncomfortable and on guard” during the mental status </w:t>
      </w:r>
      <w:r w:rsidR="00642081">
        <w:rPr>
          <w:rFonts w:asciiTheme="minorHAnsi" w:hAnsiTheme="minorHAnsi"/>
          <w:color w:val="auto"/>
          <w:szCs w:val="24"/>
        </w:rPr>
        <w:t>examination.</w:t>
      </w:r>
      <w:r w:rsidR="00935FFF">
        <w:rPr>
          <w:rFonts w:asciiTheme="minorHAnsi" w:hAnsiTheme="minorHAnsi"/>
          <w:color w:val="auto"/>
          <w:szCs w:val="24"/>
        </w:rPr>
        <w:t xml:space="preserve">  </w:t>
      </w:r>
      <w:r w:rsidR="00935FFF" w:rsidRPr="003A4776">
        <w:rPr>
          <w:rFonts w:asciiTheme="minorHAnsi" w:hAnsiTheme="minorHAnsi"/>
          <w:color w:val="auto"/>
          <w:szCs w:val="24"/>
        </w:rPr>
        <w:t>There was no suicidal ideation, delusional or hallucinatory symptoms, speech disturbance, cognitive impairment or other abnormalities.</w:t>
      </w:r>
      <w:r w:rsidR="00935FFF">
        <w:rPr>
          <w:rFonts w:asciiTheme="minorHAnsi" w:hAnsiTheme="minorHAnsi"/>
          <w:color w:val="auto"/>
          <w:szCs w:val="24"/>
        </w:rPr>
        <w:t xml:space="preserve">  The examiner noted “He seemed to perseverate on ways he could control his environment so he could remain safe.”  The examiner assigned a GAF of 65,</w:t>
      </w:r>
      <w:r w:rsidR="003A246A">
        <w:rPr>
          <w:rFonts w:asciiTheme="minorHAnsi" w:hAnsiTheme="minorHAnsi"/>
          <w:color w:val="auto"/>
          <w:szCs w:val="24"/>
        </w:rPr>
        <w:t xml:space="preserve"> and</w:t>
      </w:r>
      <w:r w:rsidR="00935FFF">
        <w:rPr>
          <w:rFonts w:asciiTheme="minorHAnsi" w:hAnsiTheme="minorHAnsi"/>
          <w:color w:val="auto"/>
          <w:szCs w:val="24"/>
        </w:rPr>
        <w:t xml:space="preserve"> </w:t>
      </w:r>
      <w:r w:rsidR="003A246A">
        <w:rPr>
          <w:rFonts w:asciiTheme="minorHAnsi" w:hAnsiTheme="minorHAnsi"/>
          <w:color w:val="auto"/>
          <w:szCs w:val="24"/>
        </w:rPr>
        <w:t>recommended that the CI continue on TDRL “due to the high possibility his situation will decompensate.”  The examiner</w:t>
      </w:r>
      <w:r w:rsidR="00935FFF">
        <w:rPr>
          <w:rFonts w:asciiTheme="minorHAnsi" w:hAnsiTheme="minorHAnsi"/>
          <w:color w:val="auto"/>
          <w:szCs w:val="24"/>
        </w:rPr>
        <w:t xml:space="preserve"> opined that</w:t>
      </w:r>
      <w:r w:rsidR="00130EAA">
        <w:rPr>
          <w:rFonts w:asciiTheme="minorHAnsi" w:hAnsiTheme="minorHAnsi"/>
          <w:color w:val="auto"/>
          <w:szCs w:val="24"/>
        </w:rPr>
        <w:t>:</w:t>
      </w:r>
    </w:p>
    <w:p w:rsidR="00130EAA" w:rsidRDefault="00130EAA" w:rsidP="00B06665">
      <w:pPr>
        <w:spacing w:line="240" w:lineRule="exact"/>
        <w:jc w:val="both"/>
        <w:rPr>
          <w:rFonts w:asciiTheme="minorHAnsi" w:hAnsiTheme="minorHAnsi"/>
          <w:color w:val="auto"/>
          <w:szCs w:val="24"/>
        </w:rPr>
      </w:pPr>
    </w:p>
    <w:p w:rsidR="00130EAA" w:rsidRPr="00764131" w:rsidRDefault="00935FFF" w:rsidP="00B06665">
      <w:pPr>
        <w:spacing w:line="240" w:lineRule="exact"/>
        <w:ind w:left="720" w:right="720"/>
        <w:jc w:val="both"/>
        <w:rPr>
          <w:rFonts w:asciiTheme="minorHAnsi" w:hAnsiTheme="minorHAnsi"/>
          <w:color w:val="auto"/>
          <w:sz w:val="22"/>
          <w:szCs w:val="22"/>
        </w:rPr>
      </w:pPr>
      <w:r w:rsidRPr="00764131">
        <w:rPr>
          <w:rFonts w:asciiTheme="minorHAnsi" w:hAnsiTheme="minorHAnsi"/>
          <w:color w:val="auto"/>
          <w:sz w:val="22"/>
          <w:szCs w:val="22"/>
        </w:rPr>
        <w:t>“Although he is working and going to school, his life is otherwise extremely limited by his psychological symptoms.  He remains unable to perform even the basic duties of a Soldier.  It would be unsafe for him to have access to weapons</w:t>
      </w:r>
      <w:r w:rsidR="00130EAA" w:rsidRPr="00764131">
        <w:rPr>
          <w:rFonts w:asciiTheme="minorHAnsi" w:hAnsiTheme="minorHAnsi"/>
          <w:color w:val="auto"/>
          <w:sz w:val="22"/>
          <w:szCs w:val="22"/>
        </w:rPr>
        <w:t xml:space="preserve">.  He would totally decompensate and require inpatient hospitalization if he was ever placed in a combat situation again.  The </w:t>
      </w:r>
      <w:r w:rsidR="003A246A" w:rsidRPr="00764131">
        <w:rPr>
          <w:rFonts w:asciiTheme="minorHAnsi" w:hAnsiTheme="minorHAnsi"/>
          <w:color w:val="auto"/>
          <w:sz w:val="22"/>
          <w:szCs w:val="22"/>
        </w:rPr>
        <w:t>patient</w:t>
      </w:r>
      <w:r w:rsidR="00130EAA" w:rsidRPr="00764131">
        <w:rPr>
          <w:rFonts w:asciiTheme="minorHAnsi" w:hAnsiTheme="minorHAnsi"/>
          <w:color w:val="auto"/>
          <w:sz w:val="22"/>
          <w:szCs w:val="22"/>
        </w:rPr>
        <w:t xml:space="preserve"> described himself as a man who is haunted by his combat experiences, which is certainly consistent with his presentation.</w:t>
      </w:r>
      <w:r w:rsidRPr="00764131">
        <w:rPr>
          <w:rFonts w:asciiTheme="minorHAnsi" w:hAnsiTheme="minorHAnsi"/>
          <w:color w:val="auto"/>
          <w:sz w:val="22"/>
          <w:szCs w:val="22"/>
        </w:rPr>
        <w:t>”</w:t>
      </w:r>
    </w:p>
    <w:p w:rsidR="003F2EEE" w:rsidRDefault="003F2EEE" w:rsidP="00B06665">
      <w:pPr>
        <w:spacing w:line="240" w:lineRule="exact"/>
        <w:jc w:val="both"/>
        <w:rPr>
          <w:rFonts w:asciiTheme="minorHAnsi" w:hAnsiTheme="minorHAnsi"/>
          <w:color w:val="auto"/>
          <w:szCs w:val="24"/>
        </w:rPr>
      </w:pPr>
    </w:p>
    <w:p w:rsidR="00A36DBF" w:rsidRDefault="00A36DBF" w:rsidP="00B06665">
      <w:pPr>
        <w:tabs>
          <w:tab w:val="left" w:pos="2980"/>
        </w:tabs>
        <w:spacing w:line="240" w:lineRule="exact"/>
        <w:jc w:val="both"/>
        <w:rPr>
          <w:rFonts w:asciiTheme="minorHAnsi" w:hAnsiTheme="minorHAnsi"/>
          <w:color w:val="auto"/>
          <w:szCs w:val="24"/>
        </w:rPr>
      </w:pPr>
      <w:r w:rsidRPr="003A4776">
        <w:rPr>
          <w:rFonts w:asciiTheme="minorHAnsi" w:hAnsiTheme="minorHAnsi"/>
          <w:color w:val="auto"/>
          <w:szCs w:val="24"/>
        </w:rPr>
        <w:t>The Board directs its attention to its rating recommendations based on the evidence just described.</w:t>
      </w:r>
      <w:r>
        <w:rPr>
          <w:rFonts w:asciiTheme="minorHAnsi" w:hAnsiTheme="minorHAnsi"/>
          <w:color w:val="auto"/>
          <w:szCs w:val="24"/>
        </w:rPr>
        <w:t xml:space="preserve"> </w:t>
      </w:r>
      <w:r w:rsidRPr="003A4776">
        <w:rPr>
          <w:rFonts w:asciiTheme="minorHAnsi" w:hAnsiTheme="minorHAnsi"/>
          <w:color w:val="auto"/>
          <w:szCs w:val="24"/>
        </w:rPr>
        <w:t xml:space="preserve"> All members agreed that the §4.130 criteria for a rating higher than 50% were no</w:t>
      </w:r>
      <w:r>
        <w:rPr>
          <w:rFonts w:asciiTheme="minorHAnsi" w:hAnsiTheme="minorHAnsi"/>
          <w:color w:val="auto"/>
          <w:szCs w:val="24"/>
        </w:rPr>
        <w:t>t met at the time of separation</w:t>
      </w:r>
      <w:r w:rsidRPr="003A4776">
        <w:rPr>
          <w:rFonts w:asciiTheme="minorHAnsi" w:hAnsiTheme="minorHAnsi"/>
          <w:color w:val="auto"/>
          <w:szCs w:val="24"/>
        </w:rPr>
        <w:t xml:space="preserve"> and therefore the minimum 50% TDRL rating (as explained above) is applicable. </w:t>
      </w:r>
      <w:r>
        <w:rPr>
          <w:rFonts w:asciiTheme="minorHAnsi" w:hAnsiTheme="minorHAnsi"/>
          <w:color w:val="auto"/>
          <w:szCs w:val="24"/>
        </w:rPr>
        <w:t xml:space="preserve"> </w:t>
      </w:r>
      <w:r w:rsidRPr="003A4776">
        <w:rPr>
          <w:rFonts w:asciiTheme="minorHAnsi" w:hAnsiTheme="minorHAnsi"/>
          <w:color w:val="auto"/>
          <w:szCs w:val="24"/>
        </w:rPr>
        <w:t>As regards the permanent rating recommendation, all members agreed t</w:t>
      </w:r>
      <w:r w:rsidR="000C5E78">
        <w:rPr>
          <w:rFonts w:asciiTheme="minorHAnsi" w:hAnsiTheme="minorHAnsi"/>
          <w:color w:val="auto"/>
          <w:szCs w:val="24"/>
        </w:rPr>
        <w:t>hat the §4.130 threshold for a 7</w:t>
      </w:r>
      <w:r w:rsidRPr="003A4776">
        <w:rPr>
          <w:rFonts w:asciiTheme="minorHAnsi" w:hAnsiTheme="minorHAnsi"/>
          <w:color w:val="auto"/>
          <w:szCs w:val="24"/>
        </w:rPr>
        <w:t>0% rating was not approach</w:t>
      </w:r>
      <w:r w:rsidR="000C5E78">
        <w:rPr>
          <w:rFonts w:asciiTheme="minorHAnsi" w:hAnsiTheme="minorHAnsi"/>
          <w:color w:val="auto"/>
          <w:szCs w:val="24"/>
        </w:rPr>
        <w:t>ed and that the criteria for a 1</w:t>
      </w:r>
      <w:r w:rsidRPr="003A4776">
        <w:rPr>
          <w:rFonts w:asciiTheme="minorHAnsi" w:hAnsiTheme="minorHAnsi"/>
          <w:color w:val="auto"/>
          <w:szCs w:val="24"/>
        </w:rPr>
        <w:t>0% rating w</w:t>
      </w:r>
      <w:r w:rsidR="000C5E78">
        <w:rPr>
          <w:rFonts w:asciiTheme="minorHAnsi" w:hAnsiTheme="minorHAnsi"/>
          <w:color w:val="auto"/>
          <w:szCs w:val="24"/>
        </w:rPr>
        <w:t>ere well exceeded.</w:t>
      </w:r>
      <w:r w:rsidRPr="003A4776">
        <w:rPr>
          <w:rFonts w:asciiTheme="minorHAnsi" w:hAnsiTheme="minorHAnsi"/>
          <w:color w:val="auto"/>
          <w:szCs w:val="24"/>
        </w:rPr>
        <w:t xml:space="preserve"> </w:t>
      </w:r>
      <w:r w:rsidR="000C5E78">
        <w:rPr>
          <w:rFonts w:asciiTheme="minorHAnsi" w:hAnsiTheme="minorHAnsi"/>
          <w:color w:val="auto"/>
          <w:szCs w:val="24"/>
        </w:rPr>
        <w:t xml:space="preserve"> The Board disagreed with the PEB’s determination that the CI’s symptoms were well controlled with medication, given his persistent flashbacks, poor sleep, anxiety, and social isolation.  </w:t>
      </w:r>
      <w:r w:rsidR="00317667" w:rsidRPr="00317667">
        <w:rPr>
          <w:rFonts w:asciiTheme="minorHAnsi" w:hAnsiTheme="minorHAnsi"/>
          <w:color w:val="auto"/>
          <w:szCs w:val="24"/>
        </w:rPr>
        <w:t xml:space="preserve">The deliberation settled therefore on arguments for a 30% versus a 50% </w:t>
      </w:r>
      <w:r w:rsidR="00317667" w:rsidRPr="00317667">
        <w:rPr>
          <w:rFonts w:asciiTheme="minorHAnsi" w:hAnsiTheme="minorHAnsi"/>
          <w:color w:val="auto"/>
          <w:szCs w:val="24"/>
        </w:rPr>
        <w:lastRenderedPageBreak/>
        <w:t>permanent rating recommendation. The general description in §4.130 for a 50% rating is “occupational and social impairment with reduce</w:t>
      </w:r>
      <w:r w:rsidR="00317667">
        <w:rPr>
          <w:rFonts w:asciiTheme="minorHAnsi" w:hAnsiTheme="minorHAnsi"/>
          <w:color w:val="auto"/>
          <w:szCs w:val="24"/>
        </w:rPr>
        <w:t>d reliability and productivity.”</w:t>
      </w:r>
      <w:r w:rsidR="00317667" w:rsidRPr="00317667">
        <w:rPr>
          <w:rFonts w:asciiTheme="minorHAnsi" w:hAnsiTheme="minorHAnsi"/>
          <w:color w:val="auto"/>
          <w:szCs w:val="24"/>
        </w:rPr>
        <w:t xml:space="preserve"> </w:t>
      </w:r>
      <w:r w:rsidR="00317667">
        <w:rPr>
          <w:rFonts w:asciiTheme="minorHAnsi" w:hAnsiTheme="minorHAnsi"/>
          <w:color w:val="auto"/>
          <w:szCs w:val="24"/>
        </w:rPr>
        <w:t xml:space="preserve"> </w:t>
      </w:r>
      <w:r w:rsidR="00317667" w:rsidRPr="00317667">
        <w:rPr>
          <w:rFonts w:asciiTheme="minorHAnsi" w:hAnsiTheme="minorHAnsi"/>
          <w:color w:val="auto"/>
          <w:szCs w:val="24"/>
        </w:rPr>
        <w:t xml:space="preserve">A 50% rating IAW §4.130 would rely on an inference that the acuity of reported symptoms could reasonably be expected to result in impaired occupational reliability and productivity, without objective confirmation that this was indeed the case. </w:t>
      </w:r>
      <w:r w:rsidR="00317667">
        <w:rPr>
          <w:rFonts w:asciiTheme="minorHAnsi" w:hAnsiTheme="minorHAnsi"/>
          <w:color w:val="auto"/>
          <w:szCs w:val="24"/>
        </w:rPr>
        <w:t xml:space="preserve"> </w:t>
      </w:r>
      <w:r w:rsidR="00764131">
        <w:rPr>
          <w:rFonts w:asciiTheme="minorHAnsi" w:hAnsiTheme="minorHAnsi"/>
          <w:color w:val="auto"/>
          <w:szCs w:val="24"/>
        </w:rPr>
        <w:t xml:space="preserve">The 30% description </w:t>
      </w:r>
      <w:r w:rsidR="00317667" w:rsidRPr="00317667">
        <w:rPr>
          <w:rFonts w:asciiTheme="minorHAnsi" w:hAnsiTheme="minorHAnsi"/>
          <w:color w:val="auto"/>
          <w:szCs w:val="24"/>
        </w:rPr>
        <w:t>“occupational and social impairment with occasional decrease in work efficiency and intermittent periods of inability to perform occupational tasks” is a better fit with the occupational functioning in evidence since decreased efficiency can be assumed even though reliability and productivity were not demonstrably affected</w:t>
      </w:r>
      <w:r w:rsidR="000C5E78">
        <w:rPr>
          <w:rFonts w:asciiTheme="minorHAnsi" w:hAnsiTheme="minorHAnsi"/>
          <w:color w:val="auto"/>
          <w:szCs w:val="24"/>
        </w:rPr>
        <w:t xml:space="preserve">. </w:t>
      </w:r>
      <w:r w:rsidRPr="003A4776">
        <w:rPr>
          <w:rFonts w:asciiTheme="minorHAnsi" w:hAnsiTheme="minorHAnsi"/>
          <w:color w:val="auto"/>
          <w:szCs w:val="24"/>
        </w:rPr>
        <w:t xml:space="preserve"> After due deliberation, considering the totality of the evidence and mindful of VASRD §4.3 (reasonable doubt), the Board recommends a perma</w:t>
      </w:r>
      <w:r w:rsidR="00317667">
        <w:rPr>
          <w:rFonts w:asciiTheme="minorHAnsi" w:hAnsiTheme="minorHAnsi"/>
          <w:color w:val="auto"/>
          <w:szCs w:val="24"/>
        </w:rPr>
        <w:t xml:space="preserve">nent PTSD disability rating of </w:t>
      </w:r>
      <w:r w:rsidR="00F33C94">
        <w:rPr>
          <w:rFonts w:asciiTheme="minorHAnsi" w:hAnsiTheme="minorHAnsi"/>
          <w:color w:val="auto"/>
          <w:szCs w:val="24"/>
        </w:rPr>
        <w:t>30%</w:t>
      </w:r>
      <w:r w:rsidRPr="003A4776">
        <w:rPr>
          <w:rFonts w:asciiTheme="minorHAnsi" w:hAnsiTheme="minorHAnsi"/>
          <w:color w:val="auto"/>
          <w:szCs w:val="24"/>
        </w:rPr>
        <w:t xml:space="preserve"> in this case</w:t>
      </w:r>
      <w:r w:rsidR="00B06665">
        <w:rPr>
          <w:rFonts w:asciiTheme="minorHAnsi" w:hAnsiTheme="minorHAnsi"/>
          <w:color w:val="auto"/>
          <w:szCs w:val="24"/>
        </w:rPr>
        <w:t>.</w:t>
      </w:r>
    </w:p>
    <w:p w:rsidR="00F416B7" w:rsidRDefault="00F416B7" w:rsidP="00B06665">
      <w:pPr>
        <w:tabs>
          <w:tab w:val="left" w:pos="288"/>
          <w:tab w:val="left" w:pos="4752"/>
        </w:tabs>
        <w:spacing w:line="240" w:lineRule="exact"/>
        <w:jc w:val="both"/>
        <w:rPr>
          <w:rFonts w:asciiTheme="minorHAnsi" w:hAnsiTheme="minorHAnsi"/>
          <w:color w:val="auto"/>
          <w:szCs w:val="24"/>
        </w:rPr>
      </w:pPr>
    </w:p>
    <w:p w:rsidR="00317667" w:rsidRPr="00317667" w:rsidRDefault="00317667" w:rsidP="00B06665">
      <w:pPr>
        <w:spacing w:line="240" w:lineRule="exact"/>
        <w:jc w:val="both"/>
        <w:rPr>
          <w:rFonts w:asciiTheme="minorHAnsi" w:eastAsia="HiddenHorzOCR" w:hAnsiTheme="minorHAnsi"/>
          <w:color w:val="auto"/>
          <w:szCs w:val="24"/>
        </w:rPr>
      </w:pPr>
      <w:r w:rsidRPr="00317667">
        <w:rPr>
          <w:rFonts w:asciiTheme="minorHAnsi" w:eastAsia="HiddenHorzOCR" w:hAnsiTheme="minorHAnsi"/>
          <w:color w:val="auto"/>
          <w:szCs w:val="24"/>
          <w:u w:val="single"/>
        </w:rPr>
        <w:t>Other PEB Conditions</w:t>
      </w:r>
      <w:r w:rsidRPr="00317667">
        <w:rPr>
          <w:rFonts w:asciiTheme="minorHAnsi" w:eastAsia="HiddenHorzOCR" w:hAnsiTheme="minorHAnsi"/>
          <w:color w:val="auto"/>
          <w:szCs w:val="24"/>
        </w:rPr>
        <w:t>:  The other conditions forwarded by the MEB and adjudicated a</w:t>
      </w:r>
      <w:r>
        <w:rPr>
          <w:rFonts w:asciiTheme="minorHAnsi" w:eastAsia="HiddenHorzOCR" w:hAnsiTheme="minorHAnsi"/>
          <w:color w:val="auto"/>
          <w:szCs w:val="24"/>
        </w:rPr>
        <w:t>s not unfitting by the PEB were</w:t>
      </w:r>
      <w:r w:rsidRPr="00317667">
        <w:rPr>
          <w:rFonts w:asciiTheme="minorHAnsi" w:eastAsia="HiddenHorzOCR" w:hAnsiTheme="minorHAnsi"/>
          <w:color w:val="auto"/>
          <w:szCs w:val="24"/>
        </w:rPr>
        <w:t xml:space="preserve"> right shou</w:t>
      </w:r>
      <w:r w:rsidR="00B06665">
        <w:rPr>
          <w:rFonts w:asciiTheme="minorHAnsi" w:eastAsia="HiddenHorzOCR" w:hAnsiTheme="minorHAnsi"/>
          <w:color w:val="auto"/>
          <w:szCs w:val="24"/>
        </w:rPr>
        <w:t>lder pain, painful</w:t>
      </w:r>
      <w:r w:rsidRPr="00317667">
        <w:rPr>
          <w:rFonts w:asciiTheme="minorHAnsi" w:eastAsia="HiddenHorzOCR" w:hAnsiTheme="minorHAnsi"/>
          <w:color w:val="auto"/>
          <w:szCs w:val="24"/>
        </w:rPr>
        <w:t xml:space="preserve"> lower extremity scarring, inte</w:t>
      </w:r>
      <w:r>
        <w:rPr>
          <w:rFonts w:asciiTheme="minorHAnsi" w:eastAsia="HiddenHorzOCR" w:hAnsiTheme="minorHAnsi"/>
          <w:color w:val="auto"/>
          <w:szCs w:val="24"/>
        </w:rPr>
        <w:t>rmittent headaches, gastroesophageal reflux disease (GERD),</w:t>
      </w:r>
      <w:r w:rsidR="00F22BDF">
        <w:rPr>
          <w:rFonts w:asciiTheme="minorHAnsi" w:eastAsia="HiddenHorzOCR" w:hAnsiTheme="minorHAnsi"/>
          <w:color w:val="auto"/>
          <w:szCs w:val="24"/>
        </w:rPr>
        <w:t xml:space="preserve"> overweight,</w:t>
      </w:r>
      <w:r>
        <w:rPr>
          <w:rFonts w:asciiTheme="minorHAnsi" w:eastAsia="HiddenHorzOCR" w:hAnsiTheme="minorHAnsi"/>
          <w:color w:val="auto"/>
          <w:szCs w:val="24"/>
        </w:rPr>
        <w:t xml:space="preserve"> hyperglycemia and</w:t>
      </w:r>
      <w:r w:rsidRPr="00317667">
        <w:rPr>
          <w:rFonts w:asciiTheme="minorHAnsi" w:eastAsia="HiddenHorzOCR" w:hAnsiTheme="minorHAnsi"/>
          <w:color w:val="auto"/>
          <w:szCs w:val="24"/>
        </w:rPr>
        <w:t xml:space="preserve"> hyperlip</w:t>
      </w:r>
      <w:r w:rsidR="00554230">
        <w:rPr>
          <w:rFonts w:asciiTheme="minorHAnsi" w:eastAsia="HiddenHorzOCR" w:hAnsiTheme="minorHAnsi"/>
          <w:color w:val="auto"/>
          <w:szCs w:val="24"/>
        </w:rPr>
        <w:t>id</w:t>
      </w:r>
      <w:r w:rsidRPr="00317667">
        <w:rPr>
          <w:rFonts w:asciiTheme="minorHAnsi" w:eastAsia="HiddenHorzOCR" w:hAnsiTheme="minorHAnsi"/>
          <w:color w:val="auto"/>
          <w:szCs w:val="24"/>
        </w:rPr>
        <w:t>emia.  None of these conditions were profiled, implicated in the commander’s statem</w:t>
      </w:r>
      <w:r>
        <w:rPr>
          <w:rFonts w:asciiTheme="minorHAnsi" w:eastAsia="HiddenHorzOCR" w:hAnsiTheme="minorHAnsi"/>
          <w:color w:val="auto"/>
          <w:szCs w:val="24"/>
        </w:rPr>
        <w:t>ent</w:t>
      </w:r>
      <w:r w:rsidRPr="00317667">
        <w:rPr>
          <w:rFonts w:asciiTheme="minorHAnsi" w:eastAsia="HiddenHorzOCR" w:hAnsiTheme="minorHAnsi"/>
          <w:color w:val="auto"/>
          <w:szCs w:val="24"/>
        </w:rPr>
        <w:t xml:space="preserve"> or noted as failing retention standards.  All were reviewed by the action officer and considered by the Board.  There was no indication from the record that any of these conditions significantly interfered with satisfactory performance of MOS duty requirements.  All evidence considered there is not reasonable doubt in the CI’s favor supporting recharacterization of the PEB fitness adjudication for any of the stated conditions.</w:t>
      </w:r>
    </w:p>
    <w:p w:rsidR="00317667" w:rsidRDefault="00317667" w:rsidP="00B06665">
      <w:pPr>
        <w:spacing w:line="240" w:lineRule="exact"/>
        <w:jc w:val="both"/>
        <w:rPr>
          <w:rFonts w:asciiTheme="minorHAnsi" w:eastAsia="HiddenHorzOCR" w:hAnsiTheme="minorHAnsi"/>
          <w:color w:val="auto"/>
          <w:szCs w:val="24"/>
        </w:rPr>
      </w:pPr>
    </w:p>
    <w:p w:rsidR="00C94CB6" w:rsidRDefault="00B06665" w:rsidP="00B06665">
      <w:pPr>
        <w:spacing w:line="240" w:lineRule="exact"/>
        <w:jc w:val="both"/>
        <w:rPr>
          <w:rFonts w:asciiTheme="minorHAnsi" w:eastAsia="HiddenHorzOCR" w:hAnsiTheme="minorHAnsi"/>
          <w:color w:val="auto"/>
          <w:szCs w:val="24"/>
        </w:rPr>
      </w:pPr>
      <w:r w:rsidRPr="00737283">
        <w:rPr>
          <w:rFonts w:asciiTheme="minorHAnsi" w:hAnsiTheme="minorHAnsi"/>
          <w:color w:val="auto"/>
          <w:szCs w:val="24"/>
          <w:u w:val="single"/>
        </w:rPr>
        <w:t>Remaining Conditions</w:t>
      </w:r>
      <w:r>
        <w:rPr>
          <w:rFonts w:asciiTheme="minorHAnsi" w:hAnsiTheme="minorHAnsi"/>
          <w:color w:val="auto"/>
          <w:szCs w:val="24"/>
        </w:rPr>
        <w:t xml:space="preserve">: </w:t>
      </w:r>
      <w:r w:rsidRPr="00737283">
        <w:rPr>
          <w:rFonts w:asciiTheme="minorHAnsi" w:hAnsiTheme="minorHAnsi"/>
          <w:color w:val="auto"/>
          <w:szCs w:val="24"/>
        </w:rPr>
        <w:t xml:space="preserve"> Other conditions </w:t>
      </w:r>
      <w:r>
        <w:rPr>
          <w:rFonts w:asciiTheme="minorHAnsi" w:hAnsiTheme="minorHAnsi"/>
          <w:color w:val="auto"/>
          <w:szCs w:val="24"/>
        </w:rPr>
        <w:t>identified in the DES file were left shoulder pain, bilateral knee pain, left ankle pain, bilateral upper extremities tingling and numbness, bilateral lower extremity cramps and numbness, and a right thumb injury</w:t>
      </w:r>
      <w:r w:rsidRPr="00737283">
        <w:rPr>
          <w:rFonts w:asciiTheme="minorHAnsi" w:hAnsiTheme="minorHAnsi"/>
          <w:color w:val="auto"/>
          <w:szCs w:val="24"/>
        </w:rPr>
        <w:t xml:space="preserve">.  Several additional non-acute conditions or medical complaints were also documented.  None of these </w:t>
      </w:r>
      <w:r w:rsidRPr="001D205C">
        <w:rPr>
          <w:rFonts w:asciiTheme="minorHAnsi" w:hAnsiTheme="minorHAnsi"/>
          <w:color w:val="auto"/>
          <w:szCs w:val="24"/>
        </w:rPr>
        <w:t>conditions were</w:t>
      </w:r>
      <w:r w:rsidRPr="00737283">
        <w:rPr>
          <w:rFonts w:asciiTheme="minorHAnsi" w:hAnsiTheme="minorHAnsi"/>
          <w:color w:val="auto"/>
          <w:szCs w:val="24"/>
        </w:rPr>
        <w:t xml:space="preserve"> clinically active during the </w:t>
      </w:r>
      <w:r w:rsidRPr="001D205C">
        <w:rPr>
          <w:rFonts w:asciiTheme="minorHAnsi" w:hAnsiTheme="minorHAnsi"/>
          <w:color w:val="auto"/>
          <w:szCs w:val="24"/>
        </w:rPr>
        <w:t xml:space="preserve">MEB period, none carried attached profiles and none were implicated </w:t>
      </w:r>
      <w:r>
        <w:rPr>
          <w:rFonts w:asciiTheme="minorHAnsi" w:hAnsiTheme="minorHAnsi"/>
          <w:color w:val="auto"/>
          <w:szCs w:val="24"/>
        </w:rPr>
        <w:t>in the commander’s statement</w:t>
      </w:r>
      <w:r w:rsidRPr="001D205C">
        <w:rPr>
          <w:rFonts w:asciiTheme="minorHAnsi" w:hAnsiTheme="minorHAnsi"/>
          <w:color w:val="auto"/>
          <w:szCs w:val="24"/>
        </w:rPr>
        <w:t>.  These</w:t>
      </w:r>
      <w:r w:rsidRPr="00737283">
        <w:rPr>
          <w:rFonts w:asciiTheme="minorHAnsi" w:hAnsiTheme="minorHAnsi"/>
          <w:color w:val="auto"/>
          <w:szCs w:val="24"/>
        </w:rPr>
        <w:t xml:space="preserve"> conditions were reviewed by the action officer and considered by the Board.  It was determined that none could be argued as unfitting and subject to separation rating.  Additionally </w:t>
      </w:r>
      <w:r>
        <w:rPr>
          <w:rFonts w:asciiTheme="minorHAnsi" w:hAnsiTheme="minorHAnsi"/>
          <w:color w:val="auto"/>
          <w:szCs w:val="24"/>
        </w:rPr>
        <w:t>bilateral tibial tendonitis, right knee patellofemoral syndrome</w:t>
      </w:r>
      <w:r w:rsidRPr="00737283">
        <w:rPr>
          <w:rFonts w:asciiTheme="minorHAnsi" w:hAnsiTheme="minorHAnsi"/>
          <w:color w:val="auto"/>
          <w:szCs w:val="24"/>
        </w:rPr>
        <w:t xml:space="preserve"> and several other non-acute conditions were noted in th</w:t>
      </w:r>
      <w:r w:rsidRPr="00764131">
        <w:rPr>
          <w:rFonts w:asciiTheme="minorHAnsi" w:hAnsiTheme="minorHAnsi"/>
          <w:color w:val="auto"/>
          <w:szCs w:val="24"/>
        </w:rPr>
        <w:t>e VA</w:t>
      </w:r>
      <w:r w:rsidR="00764131" w:rsidRPr="00764131">
        <w:rPr>
          <w:rFonts w:asciiTheme="minorHAnsi" w:hAnsiTheme="minorHAnsi"/>
          <w:color w:val="auto"/>
          <w:szCs w:val="24"/>
        </w:rPr>
        <w:t>RD</w:t>
      </w:r>
      <w:r w:rsidRPr="00737283">
        <w:rPr>
          <w:rFonts w:asciiTheme="minorHAnsi" w:hAnsiTheme="minorHAnsi"/>
          <w:color w:val="auto"/>
          <w:szCs w:val="24"/>
        </w:rPr>
        <w:t xml:space="preserve">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E347CC"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347CC">
        <w:rPr>
          <w:rFonts w:asciiTheme="minorHAnsi" w:eastAsiaTheme="minorHAnsi" w:hAnsiTheme="minorHAnsi"/>
          <w:color w:val="auto"/>
          <w:szCs w:val="24"/>
        </w:rPr>
        <w:t xml:space="preserve">  </w:t>
      </w:r>
      <w:r w:rsidR="00E347CC" w:rsidRPr="00E347CC">
        <w:rPr>
          <w:rFonts w:asciiTheme="minorHAnsi" w:eastAsiaTheme="minorHAnsi" w:hAnsiTheme="minorHAnsi"/>
          <w:color w:val="auto"/>
          <w:szCs w:val="24"/>
        </w:rPr>
        <w:t xml:space="preserve">As discussed above, PEB reliance on DoDI 1332.39 for rating </w:t>
      </w:r>
      <w:r w:rsidR="006C2548">
        <w:rPr>
          <w:rFonts w:asciiTheme="minorHAnsi" w:eastAsiaTheme="minorHAnsi" w:hAnsiTheme="minorHAnsi"/>
          <w:color w:val="auto"/>
          <w:szCs w:val="24"/>
        </w:rPr>
        <w:t>PTSD</w:t>
      </w:r>
      <w:r w:rsidR="006C2548" w:rsidRPr="00E347CC">
        <w:rPr>
          <w:rFonts w:asciiTheme="minorHAnsi" w:eastAsiaTheme="minorHAnsi" w:hAnsiTheme="minorHAnsi"/>
          <w:color w:val="auto"/>
          <w:szCs w:val="24"/>
        </w:rPr>
        <w:t xml:space="preserve"> </w:t>
      </w:r>
      <w:r w:rsidR="00E347CC" w:rsidRPr="00E347CC">
        <w:rPr>
          <w:rFonts w:asciiTheme="minorHAnsi" w:eastAsiaTheme="minorHAnsi" w:hAnsiTheme="minorHAnsi"/>
          <w:color w:val="auto"/>
          <w:szCs w:val="24"/>
        </w:rPr>
        <w:t>was operant in this case and the condition was adjudicated independently of that instruction by the Board.</w:t>
      </w:r>
      <w:r w:rsidR="00F33C94">
        <w:rPr>
          <w:rFonts w:asciiTheme="minorHAnsi" w:eastAsiaTheme="minorHAnsi" w:hAnsiTheme="minorHAnsi"/>
          <w:color w:val="auto"/>
          <w:szCs w:val="24"/>
        </w:rPr>
        <w:t xml:space="preserve">  </w:t>
      </w:r>
      <w:r w:rsidR="00E347CC" w:rsidRPr="00E347CC">
        <w:rPr>
          <w:rFonts w:asciiTheme="minorHAnsi" w:eastAsiaTheme="minorHAnsi" w:hAnsiTheme="minorHAnsi"/>
          <w:color w:val="auto"/>
          <w:szCs w:val="24"/>
        </w:rPr>
        <w:t xml:space="preserve">In the matter of the </w:t>
      </w:r>
      <w:r w:rsidR="00764131">
        <w:rPr>
          <w:rFonts w:asciiTheme="minorHAnsi" w:eastAsiaTheme="minorHAnsi" w:hAnsiTheme="minorHAnsi"/>
          <w:color w:val="auto"/>
          <w:szCs w:val="24"/>
        </w:rPr>
        <w:t xml:space="preserve">PTSD </w:t>
      </w:r>
      <w:r w:rsidR="00E347CC" w:rsidRPr="00E347CC">
        <w:rPr>
          <w:rFonts w:asciiTheme="minorHAnsi" w:eastAsiaTheme="minorHAnsi" w:hAnsiTheme="minorHAnsi"/>
          <w:color w:val="auto"/>
          <w:szCs w:val="24"/>
        </w:rPr>
        <w:t xml:space="preserve">condition, the Board unanimously recommends </w:t>
      </w:r>
      <w:r w:rsidR="00A004C7">
        <w:rPr>
          <w:rFonts w:asciiTheme="minorHAnsi" w:eastAsiaTheme="minorHAnsi" w:hAnsiTheme="minorHAnsi"/>
          <w:color w:val="auto"/>
          <w:szCs w:val="24"/>
        </w:rPr>
        <w:t xml:space="preserve">a separation rating after TDRL of 30% coded </w:t>
      </w:r>
      <w:r w:rsidR="00E347CC">
        <w:rPr>
          <w:rFonts w:asciiTheme="minorHAnsi" w:eastAsiaTheme="minorHAnsi" w:hAnsiTheme="minorHAnsi"/>
          <w:color w:val="auto"/>
          <w:szCs w:val="24"/>
        </w:rPr>
        <w:t>9411</w:t>
      </w:r>
      <w:r w:rsidR="00764131">
        <w:rPr>
          <w:rFonts w:asciiTheme="minorHAnsi" w:eastAsiaTheme="minorHAnsi" w:hAnsiTheme="minorHAnsi"/>
          <w:color w:val="auto"/>
          <w:szCs w:val="24"/>
        </w:rPr>
        <w:t xml:space="preserve"> IAW VASRD §4.130</w:t>
      </w:r>
      <w:r w:rsidR="00E347CC" w:rsidRPr="00E347CC">
        <w:rPr>
          <w:rFonts w:asciiTheme="minorHAnsi" w:eastAsiaTheme="minorHAnsi" w:hAnsiTheme="minorHAnsi"/>
          <w:color w:val="auto"/>
          <w:szCs w:val="24"/>
        </w:rPr>
        <w:t>.</w:t>
      </w:r>
      <w:r w:rsidR="00F33C94">
        <w:rPr>
          <w:rFonts w:asciiTheme="minorHAnsi" w:eastAsiaTheme="minorHAnsi" w:hAnsiTheme="minorHAnsi"/>
          <w:color w:val="auto"/>
          <w:szCs w:val="24"/>
        </w:rPr>
        <w:t xml:space="preserve">  </w:t>
      </w:r>
      <w:r w:rsidR="00E347CC" w:rsidRPr="00AE3316">
        <w:rPr>
          <w:rFonts w:asciiTheme="minorHAnsi" w:eastAsiaTheme="minorHAnsi" w:hAnsiTheme="minorHAnsi"/>
          <w:color w:val="auto"/>
          <w:szCs w:val="24"/>
        </w:rPr>
        <w:t>In the matter of the</w:t>
      </w:r>
      <w:r w:rsidR="00E347CC">
        <w:rPr>
          <w:rFonts w:asciiTheme="minorHAnsi" w:eastAsiaTheme="minorHAnsi" w:hAnsiTheme="minorHAnsi"/>
          <w:color w:val="auto"/>
          <w:szCs w:val="24"/>
        </w:rPr>
        <w:t xml:space="preserve"> </w:t>
      </w:r>
      <w:r w:rsidR="00E347CC" w:rsidRPr="00317667">
        <w:rPr>
          <w:rFonts w:asciiTheme="minorHAnsi" w:eastAsia="HiddenHorzOCR" w:hAnsiTheme="minorHAnsi"/>
          <w:color w:val="auto"/>
          <w:szCs w:val="24"/>
        </w:rPr>
        <w:t>right shou</w:t>
      </w:r>
      <w:r w:rsidR="00E347CC">
        <w:rPr>
          <w:rFonts w:asciiTheme="minorHAnsi" w:eastAsia="HiddenHorzOCR" w:hAnsiTheme="minorHAnsi"/>
          <w:color w:val="auto"/>
          <w:szCs w:val="24"/>
        </w:rPr>
        <w:t>lder pain, painful</w:t>
      </w:r>
      <w:r w:rsidR="00E347CC" w:rsidRPr="00317667">
        <w:rPr>
          <w:rFonts w:asciiTheme="minorHAnsi" w:eastAsia="HiddenHorzOCR" w:hAnsiTheme="minorHAnsi"/>
          <w:color w:val="auto"/>
          <w:szCs w:val="24"/>
        </w:rPr>
        <w:t xml:space="preserve"> lower extremity scarring, inte</w:t>
      </w:r>
      <w:r w:rsidR="00E347CC">
        <w:rPr>
          <w:rFonts w:asciiTheme="minorHAnsi" w:eastAsia="HiddenHorzOCR" w:hAnsiTheme="minorHAnsi"/>
          <w:color w:val="auto"/>
          <w:szCs w:val="24"/>
        </w:rPr>
        <w:t>rmittent headaches, GERD, overweight, hyperglycemia and</w:t>
      </w:r>
      <w:r w:rsidR="00E347CC" w:rsidRPr="00317667">
        <w:rPr>
          <w:rFonts w:asciiTheme="minorHAnsi" w:eastAsia="HiddenHorzOCR" w:hAnsiTheme="minorHAnsi"/>
          <w:color w:val="auto"/>
          <w:szCs w:val="24"/>
        </w:rPr>
        <w:t xml:space="preserve"> hyperlip</w:t>
      </w:r>
      <w:r w:rsidR="006C2548">
        <w:rPr>
          <w:rFonts w:asciiTheme="minorHAnsi" w:eastAsia="HiddenHorzOCR" w:hAnsiTheme="minorHAnsi"/>
          <w:color w:val="auto"/>
          <w:szCs w:val="24"/>
        </w:rPr>
        <w:t>id</w:t>
      </w:r>
      <w:r w:rsidR="00E347CC" w:rsidRPr="00317667">
        <w:rPr>
          <w:rFonts w:asciiTheme="minorHAnsi" w:eastAsia="HiddenHorzOCR" w:hAnsiTheme="minorHAnsi"/>
          <w:color w:val="auto"/>
          <w:szCs w:val="24"/>
        </w:rPr>
        <w:t>emia</w:t>
      </w:r>
      <w:r w:rsidR="00E347CC">
        <w:rPr>
          <w:rFonts w:asciiTheme="minorHAnsi" w:eastAsiaTheme="minorHAnsi" w:hAnsiTheme="minorHAnsi"/>
          <w:color w:val="auto"/>
          <w:szCs w:val="24"/>
        </w:rPr>
        <w:t xml:space="preserve"> </w:t>
      </w:r>
      <w:r w:rsidR="00E347CC" w:rsidRPr="00AE3316">
        <w:rPr>
          <w:rFonts w:asciiTheme="minorHAnsi" w:eastAsiaTheme="minorHAnsi" w:hAnsiTheme="minorHAnsi"/>
          <w:color w:val="auto"/>
          <w:szCs w:val="24"/>
        </w:rPr>
        <w:t>condition</w:t>
      </w:r>
      <w:r w:rsidR="00E347CC" w:rsidRPr="00E347CC">
        <w:rPr>
          <w:rFonts w:asciiTheme="minorHAnsi" w:eastAsiaTheme="minorHAnsi" w:hAnsiTheme="minorHAnsi"/>
          <w:color w:val="auto"/>
          <w:szCs w:val="24"/>
        </w:rPr>
        <w:t>s</w:t>
      </w:r>
      <w:r w:rsidR="00E347CC" w:rsidRPr="00AE3316">
        <w:rPr>
          <w:rFonts w:asciiTheme="minorHAnsi" w:eastAsiaTheme="minorHAnsi" w:hAnsiTheme="minorHAnsi"/>
          <w:color w:val="auto"/>
          <w:szCs w:val="24"/>
        </w:rPr>
        <w:t xml:space="preserve">, the Board </w:t>
      </w:r>
      <w:r w:rsidR="00E347CC" w:rsidRPr="00F33C94">
        <w:rPr>
          <w:rFonts w:asciiTheme="minorHAnsi" w:eastAsiaTheme="minorHAnsi" w:hAnsiTheme="minorHAnsi"/>
          <w:color w:val="auto"/>
          <w:szCs w:val="24"/>
        </w:rPr>
        <w:t>unanimously</w:t>
      </w:r>
      <w:r w:rsidR="00E347CC" w:rsidRPr="00AE3316">
        <w:rPr>
          <w:rFonts w:asciiTheme="minorHAnsi" w:eastAsiaTheme="minorHAnsi" w:hAnsiTheme="minorHAnsi"/>
          <w:color w:val="auto"/>
          <w:szCs w:val="24"/>
        </w:rPr>
        <w:t xml:space="preserve"> recommends no recharacterization of the PEB adjudication</w:t>
      </w:r>
      <w:r w:rsidR="00E347CC" w:rsidRPr="00E347CC">
        <w:rPr>
          <w:rFonts w:asciiTheme="minorHAnsi" w:eastAsiaTheme="minorHAnsi" w:hAnsiTheme="minorHAnsi"/>
          <w:color w:val="auto"/>
          <w:szCs w:val="24"/>
        </w:rPr>
        <w:t>s</w:t>
      </w:r>
      <w:r w:rsidR="00E347CC" w:rsidRPr="00AE3316">
        <w:rPr>
          <w:rFonts w:asciiTheme="minorHAnsi" w:eastAsiaTheme="minorHAnsi" w:hAnsiTheme="minorHAnsi"/>
          <w:color w:val="auto"/>
          <w:szCs w:val="24"/>
        </w:rPr>
        <w:t xml:space="preserve"> as not unfitting.</w:t>
      </w:r>
      <w:r w:rsidR="00F33C94">
        <w:rPr>
          <w:rFonts w:asciiTheme="minorHAnsi" w:eastAsiaTheme="minorHAnsi" w:hAnsiTheme="minorHAnsi"/>
          <w:color w:val="auto"/>
          <w:szCs w:val="24"/>
        </w:rPr>
        <w:t xml:space="preserve">  </w:t>
      </w:r>
      <w:r w:rsidR="00E347CC" w:rsidRPr="00AE3316">
        <w:rPr>
          <w:rFonts w:asciiTheme="minorHAnsi" w:hAnsiTheme="minorHAnsi"/>
          <w:color w:val="auto"/>
          <w:szCs w:val="24"/>
        </w:rPr>
        <w:t>In the matter of the</w:t>
      </w:r>
      <w:r w:rsidR="00D20F48">
        <w:rPr>
          <w:rFonts w:asciiTheme="minorHAnsi" w:hAnsiTheme="minorHAnsi"/>
          <w:color w:val="auto"/>
          <w:szCs w:val="24"/>
        </w:rPr>
        <w:t xml:space="preserve"> left shoulder pain, bilateral knee pain, left ankle pain, bilateral upper extremities tingling and numbness, bilateral lower ext</w:t>
      </w:r>
      <w:r w:rsidR="00F33C94">
        <w:rPr>
          <w:rFonts w:asciiTheme="minorHAnsi" w:hAnsiTheme="minorHAnsi"/>
          <w:color w:val="auto"/>
          <w:szCs w:val="24"/>
        </w:rPr>
        <w:t>remity cramps and numbness, and</w:t>
      </w:r>
      <w:r w:rsidR="00D20F48">
        <w:rPr>
          <w:rFonts w:asciiTheme="minorHAnsi" w:hAnsiTheme="minorHAnsi"/>
          <w:color w:val="auto"/>
          <w:szCs w:val="24"/>
        </w:rPr>
        <w:t xml:space="preserve"> right thumb injury </w:t>
      </w:r>
      <w:r w:rsidR="00E347CC" w:rsidRPr="00AE3316">
        <w:rPr>
          <w:rFonts w:asciiTheme="minorHAnsi" w:eastAsiaTheme="minorHAnsi" w:hAnsiTheme="minorHAnsi"/>
          <w:color w:val="auto"/>
          <w:szCs w:val="24"/>
        </w:rPr>
        <w:t>condition</w:t>
      </w:r>
      <w:r w:rsidR="00D20F48">
        <w:rPr>
          <w:rFonts w:asciiTheme="minorHAnsi" w:eastAsiaTheme="minorHAnsi" w:hAnsiTheme="minorHAnsi"/>
          <w:color w:val="auto"/>
          <w:szCs w:val="24"/>
        </w:rPr>
        <w:t>s</w:t>
      </w:r>
      <w:r w:rsidR="00E347CC" w:rsidRPr="00AE3316">
        <w:rPr>
          <w:rFonts w:asciiTheme="minorHAnsi" w:hAnsiTheme="minorHAnsi"/>
          <w:color w:val="auto"/>
          <w:szCs w:val="24"/>
        </w:rPr>
        <w:t xml:space="preserve"> </w:t>
      </w:r>
      <w:r w:rsidR="00E347CC">
        <w:rPr>
          <w:rFonts w:asciiTheme="minorHAnsi" w:hAnsiTheme="minorHAnsi"/>
          <w:color w:val="auto"/>
          <w:szCs w:val="24"/>
        </w:rPr>
        <w:t>or any other</w:t>
      </w:r>
      <w:r w:rsidR="00E347CC" w:rsidRPr="00AE3316">
        <w:rPr>
          <w:rFonts w:asciiTheme="minorHAnsi" w:hAnsiTheme="minorHAnsi"/>
          <w:color w:val="auto"/>
          <w:szCs w:val="24"/>
        </w:rPr>
        <w:t xml:space="preserve"> medical conditions</w:t>
      </w:r>
      <w:r w:rsidR="00E347CC">
        <w:rPr>
          <w:rFonts w:asciiTheme="minorHAnsi" w:hAnsiTheme="minorHAnsi"/>
          <w:color w:val="auto"/>
          <w:szCs w:val="24"/>
        </w:rPr>
        <w:t xml:space="preserve"> eligible for Board consideration</w:t>
      </w:r>
      <w:r w:rsidR="00E347CC" w:rsidRPr="00AE3316">
        <w:rPr>
          <w:rFonts w:asciiTheme="minorHAnsi" w:hAnsiTheme="minorHAnsi"/>
          <w:color w:val="auto"/>
          <w:szCs w:val="24"/>
        </w:rPr>
        <w:t xml:space="preserve">; the Board </w:t>
      </w:r>
      <w:r w:rsidR="00E347CC" w:rsidRPr="00F33C94">
        <w:rPr>
          <w:rFonts w:asciiTheme="minorHAnsi" w:hAnsiTheme="minorHAnsi"/>
          <w:color w:val="auto"/>
          <w:szCs w:val="24"/>
        </w:rPr>
        <w:t xml:space="preserve">unanimously </w:t>
      </w:r>
      <w:r w:rsidR="00E347CC" w:rsidRPr="00AE3316">
        <w:rPr>
          <w:rFonts w:asciiTheme="minorHAnsi" w:hAnsiTheme="minorHAnsi"/>
          <w:color w:val="auto"/>
          <w:szCs w:val="24"/>
        </w:rPr>
        <w:t>agrees that it cannot</w:t>
      </w:r>
      <w:r w:rsidR="00E347CC" w:rsidRPr="00AE3316">
        <w:rPr>
          <w:rFonts w:asciiTheme="minorHAnsi" w:hAnsiTheme="minorHAnsi"/>
          <w:color w:val="000080"/>
          <w:szCs w:val="24"/>
        </w:rPr>
        <w:t xml:space="preserve"> </w:t>
      </w:r>
      <w:r w:rsidR="00E347CC" w:rsidRPr="00AE3316">
        <w:rPr>
          <w:rFonts w:asciiTheme="minorHAnsi" w:hAnsiTheme="minorHAnsi"/>
          <w:color w:val="auto"/>
          <w:szCs w:val="24"/>
        </w:rPr>
        <w:t>recommend a</w:t>
      </w:r>
      <w:r w:rsidR="00E347CC">
        <w:rPr>
          <w:rFonts w:asciiTheme="minorHAnsi" w:hAnsiTheme="minorHAnsi"/>
          <w:color w:val="auto"/>
          <w:szCs w:val="24"/>
        </w:rPr>
        <w:t>ny</w:t>
      </w:r>
      <w:r w:rsidR="00E347CC" w:rsidRPr="00AE3316">
        <w:rPr>
          <w:rFonts w:asciiTheme="minorHAnsi" w:hAnsiTheme="minorHAnsi"/>
          <w:color w:val="auto"/>
          <w:szCs w:val="24"/>
        </w:rPr>
        <w:t xml:space="preserve"> finding</w:t>
      </w:r>
      <w:r w:rsidR="00E347CC">
        <w:rPr>
          <w:rFonts w:asciiTheme="minorHAnsi" w:hAnsiTheme="minorHAnsi"/>
          <w:color w:val="auto"/>
          <w:szCs w:val="24"/>
        </w:rPr>
        <w:t>s</w:t>
      </w:r>
      <w:r w:rsidR="00E347CC" w:rsidRPr="00AE3316">
        <w:rPr>
          <w:rFonts w:asciiTheme="minorHAnsi" w:hAnsiTheme="minorHAnsi"/>
          <w:color w:val="auto"/>
          <w:szCs w:val="24"/>
        </w:rPr>
        <w:t xml:space="preserve">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004C7" w:rsidRPr="00A004C7" w:rsidRDefault="00A004C7" w:rsidP="00D03249">
      <w:pPr>
        <w:tabs>
          <w:tab w:val="left" w:pos="288"/>
          <w:tab w:val="left" w:pos="1710"/>
        </w:tabs>
        <w:spacing w:line="240" w:lineRule="exact"/>
        <w:jc w:val="both"/>
        <w:rPr>
          <w:rFonts w:asciiTheme="minorHAnsi" w:hAnsiTheme="minorHAnsi"/>
          <w:color w:val="auto"/>
          <w:szCs w:val="24"/>
        </w:rPr>
      </w:pPr>
      <w:r w:rsidRPr="00A004C7">
        <w:rPr>
          <w:rFonts w:asciiTheme="minorHAnsi" w:hAnsiTheme="minorHAnsi"/>
          <w:color w:val="auto"/>
          <w:szCs w:val="24"/>
          <w:u w:val="single"/>
        </w:rPr>
        <w:lastRenderedPageBreak/>
        <w:t>RECOMMENDATION</w:t>
      </w:r>
      <w:r w:rsidRPr="00A004C7">
        <w:rPr>
          <w:rFonts w:asciiTheme="minorHAnsi" w:hAnsiTheme="minorHAnsi"/>
          <w:color w:val="auto"/>
          <w:szCs w:val="24"/>
        </w:rPr>
        <w:t xml:space="preserve">:  The Board recommends that the CI’s prior determination be modified as follows and that the discharge with severance pay be </w:t>
      </w:r>
      <w:proofErr w:type="spellStart"/>
      <w:r w:rsidRPr="00A004C7">
        <w:rPr>
          <w:rFonts w:asciiTheme="minorHAnsi" w:hAnsiTheme="minorHAnsi"/>
          <w:color w:val="auto"/>
          <w:szCs w:val="24"/>
        </w:rPr>
        <w:t>recharacterized</w:t>
      </w:r>
      <w:proofErr w:type="spellEnd"/>
      <w:r w:rsidRPr="00A004C7">
        <w:rPr>
          <w:rFonts w:asciiTheme="minorHAnsi" w:hAnsiTheme="minorHAnsi"/>
          <w:color w:val="auto"/>
          <w:szCs w:val="24"/>
        </w:rPr>
        <w:t xml:space="preserve"> to reflect permanent disability retirement after removal from TDRL, effective as of the date of his prior medical separation:</w:t>
      </w:r>
    </w:p>
    <w:p w:rsidR="00A004C7" w:rsidRPr="00A004C7" w:rsidRDefault="00A004C7" w:rsidP="00A004C7">
      <w:pPr>
        <w:tabs>
          <w:tab w:val="left" w:pos="288"/>
          <w:tab w:val="left" w:pos="1710"/>
        </w:tabs>
        <w:spacing w:line="240" w:lineRule="exact"/>
        <w:rPr>
          <w:rFonts w:asciiTheme="minorHAnsi" w:hAnsiTheme="minorHAnsi"/>
          <w:color w:val="auto"/>
          <w:szCs w:val="24"/>
          <w:u w:val="single"/>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6"/>
        <w:gridCol w:w="1710"/>
        <w:gridCol w:w="1782"/>
      </w:tblGrid>
      <w:tr w:rsidR="00A004C7" w:rsidRPr="00A004C7" w:rsidTr="00A004C7">
        <w:tc>
          <w:tcPr>
            <w:tcW w:w="57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004C7" w:rsidRPr="00A004C7" w:rsidRDefault="00A004C7" w:rsidP="00A004C7">
            <w:pPr>
              <w:tabs>
                <w:tab w:val="left" w:pos="288"/>
                <w:tab w:val="left" w:pos="1710"/>
              </w:tabs>
              <w:spacing w:line="240" w:lineRule="exact"/>
              <w:rPr>
                <w:rFonts w:asciiTheme="minorHAnsi" w:hAnsiTheme="minorHAnsi"/>
                <w:b/>
                <w:color w:val="auto"/>
                <w:szCs w:val="24"/>
              </w:rPr>
            </w:pPr>
            <w:r w:rsidRPr="00A004C7">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004C7" w:rsidRPr="00A004C7" w:rsidRDefault="00A004C7" w:rsidP="00A004C7">
            <w:pPr>
              <w:tabs>
                <w:tab w:val="left" w:pos="288"/>
                <w:tab w:val="left" w:pos="1710"/>
              </w:tabs>
              <w:spacing w:line="240" w:lineRule="exact"/>
              <w:jc w:val="center"/>
              <w:rPr>
                <w:rFonts w:asciiTheme="minorHAnsi" w:hAnsiTheme="minorHAnsi"/>
                <w:b/>
                <w:color w:val="auto"/>
                <w:szCs w:val="24"/>
              </w:rPr>
            </w:pPr>
            <w:r w:rsidRPr="00A004C7">
              <w:rPr>
                <w:rFonts w:asciiTheme="minorHAnsi" w:hAnsiTheme="minorHAnsi"/>
                <w:b/>
                <w:color w:val="auto"/>
                <w:szCs w:val="24"/>
              </w:rPr>
              <w:t>VASRD CODE</w:t>
            </w:r>
          </w:p>
        </w:tc>
        <w:tc>
          <w:tcPr>
            <w:tcW w:w="17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004C7" w:rsidRPr="00A004C7" w:rsidRDefault="00A004C7" w:rsidP="00A004C7">
            <w:pPr>
              <w:tabs>
                <w:tab w:val="left" w:pos="288"/>
                <w:tab w:val="left" w:pos="1710"/>
              </w:tabs>
              <w:spacing w:line="240" w:lineRule="exact"/>
              <w:jc w:val="center"/>
              <w:rPr>
                <w:rFonts w:asciiTheme="minorHAnsi" w:hAnsiTheme="minorHAnsi"/>
                <w:b/>
                <w:color w:val="auto"/>
                <w:szCs w:val="24"/>
              </w:rPr>
            </w:pPr>
            <w:r w:rsidRPr="00A004C7">
              <w:rPr>
                <w:rFonts w:asciiTheme="minorHAnsi" w:hAnsiTheme="minorHAnsi"/>
                <w:b/>
                <w:color w:val="auto"/>
                <w:szCs w:val="24"/>
              </w:rPr>
              <w:t>PERMANENT</w:t>
            </w:r>
          </w:p>
          <w:p w:rsidR="00A004C7" w:rsidRPr="00A004C7" w:rsidRDefault="00A004C7" w:rsidP="00A004C7">
            <w:pPr>
              <w:tabs>
                <w:tab w:val="left" w:pos="288"/>
                <w:tab w:val="left" w:pos="1710"/>
              </w:tabs>
              <w:spacing w:line="240" w:lineRule="exact"/>
              <w:jc w:val="center"/>
              <w:rPr>
                <w:rFonts w:asciiTheme="minorHAnsi" w:hAnsiTheme="minorHAnsi"/>
                <w:b/>
                <w:color w:val="auto"/>
                <w:szCs w:val="24"/>
              </w:rPr>
            </w:pPr>
            <w:r w:rsidRPr="00A004C7">
              <w:rPr>
                <w:rFonts w:asciiTheme="minorHAnsi" w:hAnsiTheme="minorHAnsi"/>
                <w:b/>
                <w:color w:val="auto"/>
                <w:szCs w:val="24"/>
              </w:rPr>
              <w:t>RATING</w:t>
            </w:r>
          </w:p>
        </w:tc>
      </w:tr>
      <w:tr w:rsidR="00A004C7" w:rsidRPr="00A004C7" w:rsidTr="00A004C7">
        <w:trPr>
          <w:trHeight w:val="188"/>
        </w:trPr>
        <w:tc>
          <w:tcPr>
            <w:tcW w:w="5796" w:type="dxa"/>
            <w:tcBorders>
              <w:top w:val="single" w:sz="4" w:space="0" w:color="000000"/>
              <w:left w:val="single" w:sz="4" w:space="0" w:color="000000"/>
              <w:bottom w:val="single" w:sz="4" w:space="0" w:color="000000"/>
              <w:right w:val="single" w:sz="4" w:space="0" w:color="000000"/>
            </w:tcBorders>
            <w:vAlign w:val="center"/>
            <w:hideMark/>
          </w:tcPr>
          <w:p w:rsidR="00A004C7" w:rsidRPr="00A004C7" w:rsidRDefault="00A004C7" w:rsidP="00A004C7">
            <w:pPr>
              <w:tabs>
                <w:tab w:val="left" w:pos="288"/>
                <w:tab w:val="left" w:pos="1710"/>
              </w:tabs>
              <w:spacing w:line="240" w:lineRule="exact"/>
              <w:rPr>
                <w:rFonts w:asciiTheme="minorHAnsi" w:hAnsiTheme="minorHAnsi"/>
                <w:color w:val="auto"/>
                <w:szCs w:val="24"/>
              </w:rPr>
            </w:pPr>
            <w:r w:rsidRPr="00A004C7">
              <w:rPr>
                <w:rFonts w:asciiTheme="minorHAnsi" w:hAnsiTheme="minorHAnsi"/>
                <w:color w:val="auto"/>
                <w:szCs w:val="24"/>
              </w:rPr>
              <w:t>Posttraumatic Stress Disorder</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A004C7" w:rsidRPr="00A004C7" w:rsidRDefault="00A004C7" w:rsidP="00A004C7">
            <w:pPr>
              <w:tabs>
                <w:tab w:val="left" w:pos="288"/>
                <w:tab w:val="left" w:pos="1710"/>
              </w:tabs>
              <w:spacing w:line="240" w:lineRule="exact"/>
              <w:jc w:val="center"/>
              <w:rPr>
                <w:rFonts w:asciiTheme="minorHAnsi" w:hAnsiTheme="minorHAnsi"/>
                <w:color w:val="auto"/>
                <w:szCs w:val="24"/>
              </w:rPr>
            </w:pPr>
            <w:r w:rsidRPr="00A004C7">
              <w:rPr>
                <w:rFonts w:asciiTheme="minorHAnsi" w:hAnsiTheme="minorHAnsi"/>
                <w:color w:val="auto"/>
                <w:szCs w:val="24"/>
              </w:rPr>
              <w:t>9411</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A004C7" w:rsidRPr="00A004C7" w:rsidRDefault="00A004C7" w:rsidP="00A004C7">
            <w:pPr>
              <w:tabs>
                <w:tab w:val="left" w:pos="288"/>
                <w:tab w:val="left" w:pos="1710"/>
              </w:tabs>
              <w:spacing w:line="240" w:lineRule="exact"/>
              <w:jc w:val="center"/>
              <w:rPr>
                <w:rFonts w:asciiTheme="minorHAnsi" w:hAnsiTheme="minorHAnsi"/>
                <w:color w:val="auto"/>
                <w:szCs w:val="24"/>
              </w:rPr>
            </w:pPr>
            <w:r w:rsidRPr="00A004C7">
              <w:rPr>
                <w:rFonts w:asciiTheme="minorHAnsi" w:hAnsiTheme="minorHAnsi"/>
                <w:color w:val="auto"/>
                <w:szCs w:val="24"/>
              </w:rPr>
              <w:t>30%</w:t>
            </w:r>
          </w:p>
        </w:tc>
      </w:tr>
      <w:tr w:rsidR="00A004C7" w:rsidRPr="00A004C7" w:rsidTr="00A004C7">
        <w:trPr>
          <w:gridBefore w:val="1"/>
          <w:wBefore w:w="5796" w:type="dxa"/>
          <w:trHeight w:val="188"/>
        </w:trPr>
        <w:tc>
          <w:tcPr>
            <w:tcW w:w="171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A004C7" w:rsidRPr="00A004C7" w:rsidRDefault="00A004C7" w:rsidP="00A004C7">
            <w:pPr>
              <w:tabs>
                <w:tab w:val="left" w:pos="288"/>
                <w:tab w:val="left" w:pos="1710"/>
              </w:tabs>
              <w:spacing w:line="240" w:lineRule="exact"/>
              <w:jc w:val="center"/>
              <w:rPr>
                <w:rFonts w:asciiTheme="minorHAnsi" w:hAnsiTheme="minorHAnsi"/>
                <w:b/>
                <w:color w:val="auto"/>
                <w:szCs w:val="24"/>
              </w:rPr>
            </w:pPr>
            <w:r w:rsidRPr="00A004C7">
              <w:rPr>
                <w:rFonts w:asciiTheme="minorHAnsi" w:hAnsiTheme="minorHAnsi"/>
                <w:b/>
                <w:color w:val="auto"/>
                <w:szCs w:val="24"/>
              </w:rPr>
              <w:t>COMBINED</w:t>
            </w:r>
          </w:p>
        </w:tc>
        <w:tc>
          <w:tcPr>
            <w:tcW w:w="178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004C7" w:rsidRPr="00A004C7" w:rsidRDefault="00A004C7" w:rsidP="00A004C7">
            <w:pPr>
              <w:tabs>
                <w:tab w:val="left" w:pos="288"/>
                <w:tab w:val="left" w:pos="1710"/>
              </w:tabs>
              <w:spacing w:line="240" w:lineRule="exact"/>
              <w:jc w:val="center"/>
              <w:rPr>
                <w:rFonts w:asciiTheme="minorHAnsi" w:hAnsiTheme="minorHAnsi"/>
                <w:b/>
                <w:color w:val="auto"/>
                <w:szCs w:val="24"/>
              </w:rPr>
            </w:pPr>
            <w:r w:rsidRPr="00A004C7">
              <w:rPr>
                <w:rFonts w:asciiTheme="minorHAnsi" w:hAnsiTheme="minorHAnsi"/>
                <w:b/>
                <w:color w:val="auto"/>
                <w:szCs w:val="24"/>
              </w:rPr>
              <w:t>30%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C45CEE">
        <w:rPr>
          <w:rFonts w:asciiTheme="minorHAnsi" w:hAnsiTheme="minorHAnsi"/>
          <w:color w:val="auto"/>
        </w:rPr>
        <w:t>101005</w:t>
      </w:r>
      <w:r w:rsidR="00A004C7">
        <w:rPr>
          <w:rFonts w:asciiTheme="minorHAnsi" w:hAnsiTheme="minorHAnsi"/>
          <w:color w:val="auto"/>
        </w:rPr>
        <w:t>, w/</w:t>
      </w:r>
      <w:proofErr w:type="spellStart"/>
      <w:r w:rsidR="00A004C7">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A004C7">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A004C7">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620A04" w:rsidRDefault="00C45CEE" w:rsidP="00620A0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620A04" w:rsidRDefault="00620A04">
      <w:pPr>
        <w:rPr>
          <w:rFonts w:asciiTheme="minorHAnsi" w:hAnsiTheme="minorHAnsi"/>
          <w:color w:val="auto"/>
        </w:rPr>
      </w:pPr>
      <w:r>
        <w:rPr>
          <w:rFonts w:asciiTheme="minorHAnsi" w:hAnsiTheme="minorHAnsi"/>
          <w:color w:val="auto"/>
        </w:rPr>
        <w:br w:type="page"/>
      </w:r>
    </w:p>
    <w:p w:rsidR="00C45CEE" w:rsidRDefault="00620A04" w:rsidP="00620A04">
      <w:pPr>
        <w:tabs>
          <w:tab w:val="left" w:pos="0"/>
          <w:tab w:val="left" w:pos="432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520940"/>
            <wp:positionH relativeFrom="margin">
              <wp:align>left</wp:align>
            </wp:positionH>
            <wp:positionV relativeFrom="margin">
              <wp:align>center</wp:align>
            </wp:positionV>
            <wp:extent cx="5939790" cy="7688580"/>
            <wp:effectExtent l="19050" t="0" r="3810" b="0"/>
            <wp:wrapSquare wrapText="bothSides"/>
            <wp:docPr id="1" name="Picture 1" descr="D:\READING room\10-1207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0-1207_Page_1.tiff"/>
                    <pic:cNvPicPr>
                      <a:picLocks noChangeAspect="1" noChangeArrowheads="1"/>
                    </pic:cNvPicPr>
                  </pic:nvPicPr>
                  <pic:blipFill>
                    <a:blip r:embed="rId8" cstate="print"/>
                    <a:srcRect/>
                    <a:stretch>
                      <a:fillRect/>
                    </a:stretch>
                  </pic:blipFill>
                  <pic:spPr bwMode="auto">
                    <a:xfrm>
                      <a:off x="0" y="0"/>
                      <a:ext cx="5939790" cy="7688580"/>
                    </a:xfrm>
                    <a:prstGeom prst="rect">
                      <a:avLst/>
                    </a:prstGeom>
                    <a:noFill/>
                    <a:ln w="9525">
                      <a:noFill/>
                      <a:miter lim="800000"/>
                      <a:headEnd/>
                      <a:tailEnd/>
                    </a:ln>
                  </pic:spPr>
                </pic:pic>
              </a:graphicData>
            </a:graphic>
          </wp:anchor>
        </w:drawing>
      </w:r>
    </w:p>
    <w:p w:rsidR="00C45CEE" w:rsidRDefault="00C45CEE" w:rsidP="00C45CE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2272E" w:rsidRPr="00F33C94" w:rsidRDefault="00620A04" w:rsidP="00F33C94">
      <w:pPr>
        <w:rPr>
          <w:rFonts w:asciiTheme="minorHAnsi" w:hAnsiTheme="minorHAnsi"/>
          <w:color w:val="auto"/>
        </w:rPr>
      </w:pPr>
      <w:r>
        <w:rPr>
          <w:rFonts w:asciiTheme="minorHAnsi" w:hAnsiTheme="minorHAnsi"/>
          <w:noProof/>
          <w:color w:val="auto"/>
        </w:rPr>
        <w:lastRenderedPageBreak/>
        <w:drawing>
          <wp:inline distT="0" distB="0" distL="0" distR="0">
            <wp:extent cx="5935980" cy="7680960"/>
            <wp:effectExtent l="19050" t="0" r="7620" b="0"/>
            <wp:docPr id="2" name="Picture 2" descr="D:\READING room\10-1207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DING room\10-1207_Page_2.tiff"/>
                    <pic:cNvPicPr>
                      <a:picLocks noChangeAspect="1" noChangeArrowheads="1"/>
                    </pic:cNvPicPr>
                  </pic:nvPicPr>
                  <pic:blipFill>
                    <a:blip r:embed="rId9" cstate="print"/>
                    <a:srcRect/>
                    <a:stretch>
                      <a:fillRect/>
                    </a:stretch>
                  </pic:blipFill>
                  <pic:spPr bwMode="auto">
                    <a:xfrm>
                      <a:off x="0" y="0"/>
                      <a:ext cx="5935980" cy="7680960"/>
                    </a:xfrm>
                    <a:prstGeom prst="rect">
                      <a:avLst/>
                    </a:prstGeom>
                    <a:noFill/>
                    <a:ln w="9525">
                      <a:noFill/>
                      <a:miter lim="800000"/>
                      <a:headEnd/>
                      <a:tailEnd/>
                    </a:ln>
                  </pic:spPr>
                </pic:pic>
              </a:graphicData>
            </a:graphic>
          </wp:inline>
        </w:drawing>
      </w:r>
    </w:p>
    <w:sectPr w:rsidR="00C2272E" w:rsidRPr="00F33C94" w:rsidSect="002A5C3C">
      <w:footerReference w:type="default" r:id="rId10"/>
      <w:footerReference w:type="firs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00" w:rsidRDefault="00510700">
      <w:r>
        <w:separator/>
      </w:r>
    </w:p>
  </w:endnote>
  <w:endnote w:type="continuationSeparator" w:id="0">
    <w:p w:rsidR="00510700" w:rsidRDefault="00510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20644" w:rsidRPr="00684CE6" w:rsidRDefault="007A068A" w:rsidP="00F65ED5">
        <w:pPr>
          <w:pStyle w:val="Footer"/>
          <w:jc w:val="right"/>
          <w:rPr>
            <w:color w:val="auto"/>
          </w:rPr>
        </w:pPr>
        <w:r w:rsidRPr="00684CE6">
          <w:rPr>
            <w:color w:val="auto"/>
          </w:rPr>
          <w:fldChar w:fldCharType="begin"/>
        </w:r>
        <w:r w:rsidR="00F20644" w:rsidRPr="00684CE6">
          <w:rPr>
            <w:color w:val="auto"/>
          </w:rPr>
          <w:instrText xml:space="preserve"> PAGE   \* MERGEFORMAT </w:instrText>
        </w:r>
        <w:r w:rsidRPr="00684CE6">
          <w:rPr>
            <w:color w:val="auto"/>
          </w:rPr>
          <w:fldChar w:fldCharType="separate"/>
        </w:r>
        <w:r w:rsidR="00620A04">
          <w:rPr>
            <w:noProof/>
            <w:color w:val="auto"/>
          </w:rPr>
          <w:t>2</w:t>
        </w:r>
        <w:r w:rsidRPr="00684CE6">
          <w:rPr>
            <w:color w:val="auto"/>
          </w:rPr>
          <w:fldChar w:fldCharType="end"/>
        </w:r>
        <w:r w:rsidR="00F20644" w:rsidRPr="00684CE6">
          <w:rPr>
            <w:color w:val="auto"/>
          </w:rPr>
          <w:t xml:space="preserve">                                                           </w:t>
        </w:r>
        <w:r w:rsidR="00F20644" w:rsidRPr="003B60D2">
          <w:rPr>
            <w:color w:val="auto"/>
          </w:rPr>
          <w:t>PD201001207</w:t>
        </w:r>
      </w:p>
    </w:sdtContent>
  </w:sdt>
  <w:p w:rsidR="00F20644" w:rsidRPr="00684CE6" w:rsidRDefault="00F20644">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44" w:rsidRPr="00DB4A6D" w:rsidRDefault="00F20644" w:rsidP="00DB4A6D">
    <w:pPr>
      <w:pStyle w:val="Footer"/>
      <w:rPr>
        <w:color w:val="auto"/>
      </w:rPr>
    </w:pPr>
    <w:r w:rsidRPr="00DB4A6D">
      <w:rPr>
        <w:color w:val="aut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00" w:rsidRDefault="00510700">
      <w:r>
        <w:separator/>
      </w:r>
    </w:p>
  </w:footnote>
  <w:footnote w:type="continuationSeparator" w:id="0">
    <w:p w:rsidR="00510700" w:rsidRDefault="00510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4562"/>
  </w:hdrShapeDefaults>
  <w:footnotePr>
    <w:numRestart w:val="eachSect"/>
    <w:footnote w:id="-1"/>
    <w:footnote w:id="0"/>
  </w:footnotePr>
  <w:endnotePr>
    <w:endnote w:id="-1"/>
    <w:endnote w:id="0"/>
  </w:endnotePr>
  <w:compat/>
  <w:rsids>
    <w:rsidRoot w:val="001C28D1"/>
    <w:rsid w:val="00000B09"/>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704"/>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1FC"/>
    <w:rsid w:val="00075702"/>
    <w:rsid w:val="00075A0C"/>
    <w:rsid w:val="000775C2"/>
    <w:rsid w:val="000806AD"/>
    <w:rsid w:val="00080BDF"/>
    <w:rsid w:val="00082482"/>
    <w:rsid w:val="00084CF2"/>
    <w:rsid w:val="00085310"/>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5E78"/>
    <w:rsid w:val="000C75CF"/>
    <w:rsid w:val="000C7B83"/>
    <w:rsid w:val="000C7DE4"/>
    <w:rsid w:val="000D079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0EAA"/>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521"/>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3D11"/>
    <w:rsid w:val="001A5320"/>
    <w:rsid w:val="001A5E62"/>
    <w:rsid w:val="001A6848"/>
    <w:rsid w:val="001A7538"/>
    <w:rsid w:val="001B06FB"/>
    <w:rsid w:val="001B0B1A"/>
    <w:rsid w:val="001B2884"/>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1D6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50C9"/>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6EC6"/>
    <w:rsid w:val="00317667"/>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46A"/>
    <w:rsid w:val="003A27B2"/>
    <w:rsid w:val="003A40B4"/>
    <w:rsid w:val="003A41BA"/>
    <w:rsid w:val="003A5491"/>
    <w:rsid w:val="003A5958"/>
    <w:rsid w:val="003A6A99"/>
    <w:rsid w:val="003A6E60"/>
    <w:rsid w:val="003A7FF8"/>
    <w:rsid w:val="003B17AC"/>
    <w:rsid w:val="003B227A"/>
    <w:rsid w:val="003B3A77"/>
    <w:rsid w:val="003B4319"/>
    <w:rsid w:val="003B5854"/>
    <w:rsid w:val="003B60D2"/>
    <w:rsid w:val="003B6764"/>
    <w:rsid w:val="003B7A8B"/>
    <w:rsid w:val="003C28A2"/>
    <w:rsid w:val="003C294B"/>
    <w:rsid w:val="003C5046"/>
    <w:rsid w:val="003C5B28"/>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DC1"/>
    <w:rsid w:val="003F2EEE"/>
    <w:rsid w:val="003F58B0"/>
    <w:rsid w:val="003F776F"/>
    <w:rsid w:val="004007E9"/>
    <w:rsid w:val="00400810"/>
    <w:rsid w:val="00401825"/>
    <w:rsid w:val="00401BBC"/>
    <w:rsid w:val="00403BFB"/>
    <w:rsid w:val="00404B45"/>
    <w:rsid w:val="00405BCF"/>
    <w:rsid w:val="00406CC5"/>
    <w:rsid w:val="004074A4"/>
    <w:rsid w:val="004101B2"/>
    <w:rsid w:val="0041160B"/>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0E22"/>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0099"/>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700"/>
    <w:rsid w:val="00510F9C"/>
    <w:rsid w:val="0051146C"/>
    <w:rsid w:val="0051220B"/>
    <w:rsid w:val="00512253"/>
    <w:rsid w:val="00512484"/>
    <w:rsid w:val="00514449"/>
    <w:rsid w:val="00515419"/>
    <w:rsid w:val="005157BD"/>
    <w:rsid w:val="005214A3"/>
    <w:rsid w:val="005222E7"/>
    <w:rsid w:val="00523A8B"/>
    <w:rsid w:val="00523D8F"/>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4230"/>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5C2F"/>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0A04"/>
    <w:rsid w:val="006211D0"/>
    <w:rsid w:val="00621595"/>
    <w:rsid w:val="0062359D"/>
    <w:rsid w:val="00623634"/>
    <w:rsid w:val="00624D0C"/>
    <w:rsid w:val="006274B4"/>
    <w:rsid w:val="006307BA"/>
    <w:rsid w:val="006315BA"/>
    <w:rsid w:val="00634C4A"/>
    <w:rsid w:val="0063532E"/>
    <w:rsid w:val="00637063"/>
    <w:rsid w:val="00637175"/>
    <w:rsid w:val="0063737C"/>
    <w:rsid w:val="00637BDC"/>
    <w:rsid w:val="00640622"/>
    <w:rsid w:val="006411B1"/>
    <w:rsid w:val="006418C9"/>
    <w:rsid w:val="00642081"/>
    <w:rsid w:val="00642BD6"/>
    <w:rsid w:val="00645046"/>
    <w:rsid w:val="0064527A"/>
    <w:rsid w:val="006458FD"/>
    <w:rsid w:val="00645EA2"/>
    <w:rsid w:val="00651E6D"/>
    <w:rsid w:val="00653D2D"/>
    <w:rsid w:val="00655410"/>
    <w:rsid w:val="006555E7"/>
    <w:rsid w:val="006560B6"/>
    <w:rsid w:val="006573F2"/>
    <w:rsid w:val="00662AD0"/>
    <w:rsid w:val="00662F08"/>
    <w:rsid w:val="00662FB8"/>
    <w:rsid w:val="00663589"/>
    <w:rsid w:val="006647F3"/>
    <w:rsid w:val="006649CD"/>
    <w:rsid w:val="00665D75"/>
    <w:rsid w:val="006708E3"/>
    <w:rsid w:val="00670DDC"/>
    <w:rsid w:val="00671389"/>
    <w:rsid w:val="00671EB4"/>
    <w:rsid w:val="00673CDC"/>
    <w:rsid w:val="0067443B"/>
    <w:rsid w:val="006770AA"/>
    <w:rsid w:val="0068005F"/>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548"/>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32B3"/>
    <w:rsid w:val="007340F3"/>
    <w:rsid w:val="00735704"/>
    <w:rsid w:val="00736A49"/>
    <w:rsid w:val="007406FF"/>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4131"/>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68A"/>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A19"/>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947"/>
    <w:rsid w:val="007F74C8"/>
    <w:rsid w:val="0080064F"/>
    <w:rsid w:val="00801B85"/>
    <w:rsid w:val="00803850"/>
    <w:rsid w:val="008039E8"/>
    <w:rsid w:val="00804385"/>
    <w:rsid w:val="00804E0E"/>
    <w:rsid w:val="008055F9"/>
    <w:rsid w:val="00805AFD"/>
    <w:rsid w:val="008078D8"/>
    <w:rsid w:val="0080798E"/>
    <w:rsid w:val="00811D5B"/>
    <w:rsid w:val="00813C51"/>
    <w:rsid w:val="00816CCB"/>
    <w:rsid w:val="00817572"/>
    <w:rsid w:val="00817713"/>
    <w:rsid w:val="008208C3"/>
    <w:rsid w:val="00821A32"/>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D4"/>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59A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5FFF"/>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87C31"/>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039"/>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4C7"/>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6DBF"/>
    <w:rsid w:val="00A37A28"/>
    <w:rsid w:val="00A4026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0DC"/>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3D0"/>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665"/>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26D7D"/>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46C3"/>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5CC"/>
    <w:rsid w:val="00BA1824"/>
    <w:rsid w:val="00BA2D98"/>
    <w:rsid w:val="00BA2F0C"/>
    <w:rsid w:val="00BA30D1"/>
    <w:rsid w:val="00BA30E1"/>
    <w:rsid w:val="00BA3DC4"/>
    <w:rsid w:val="00BA4609"/>
    <w:rsid w:val="00BA5BE2"/>
    <w:rsid w:val="00BA7F46"/>
    <w:rsid w:val="00BB0A0A"/>
    <w:rsid w:val="00BB133C"/>
    <w:rsid w:val="00BB1F04"/>
    <w:rsid w:val="00BB31A1"/>
    <w:rsid w:val="00BB45B5"/>
    <w:rsid w:val="00BB4DDE"/>
    <w:rsid w:val="00BB6064"/>
    <w:rsid w:val="00BB65CE"/>
    <w:rsid w:val="00BB7012"/>
    <w:rsid w:val="00BC09D1"/>
    <w:rsid w:val="00BC1CF3"/>
    <w:rsid w:val="00BC2BE0"/>
    <w:rsid w:val="00BC3573"/>
    <w:rsid w:val="00BC3ABC"/>
    <w:rsid w:val="00BC7F82"/>
    <w:rsid w:val="00BD2A49"/>
    <w:rsid w:val="00BD328F"/>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6AE"/>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5CEE"/>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1F56"/>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637E"/>
    <w:rsid w:val="00CF158D"/>
    <w:rsid w:val="00CF2166"/>
    <w:rsid w:val="00CF4340"/>
    <w:rsid w:val="00CF4394"/>
    <w:rsid w:val="00CF48B4"/>
    <w:rsid w:val="00D000A9"/>
    <w:rsid w:val="00D00384"/>
    <w:rsid w:val="00D005DB"/>
    <w:rsid w:val="00D0064E"/>
    <w:rsid w:val="00D00981"/>
    <w:rsid w:val="00D02596"/>
    <w:rsid w:val="00D0280D"/>
    <w:rsid w:val="00D02AEF"/>
    <w:rsid w:val="00D03249"/>
    <w:rsid w:val="00D05669"/>
    <w:rsid w:val="00D061EB"/>
    <w:rsid w:val="00D06952"/>
    <w:rsid w:val="00D07A72"/>
    <w:rsid w:val="00D10577"/>
    <w:rsid w:val="00D12405"/>
    <w:rsid w:val="00D12A4E"/>
    <w:rsid w:val="00D1323B"/>
    <w:rsid w:val="00D14BAE"/>
    <w:rsid w:val="00D1648B"/>
    <w:rsid w:val="00D16819"/>
    <w:rsid w:val="00D17DD9"/>
    <w:rsid w:val="00D20AC0"/>
    <w:rsid w:val="00D20F48"/>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306"/>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C0F"/>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29D0"/>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47D"/>
    <w:rsid w:val="00E25B8A"/>
    <w:rsid w:val="00E25EF8"/>
    <w:rsid w:val="00E2632B"/>
    <w:rsid w:val="00E26F75"/>
    <w:rsid w:val="00E27423"/>
    <w:rsid w:val="00E322F7"/>
    <w:rsid w:val="00E3369B"/>
    <w:rsid w:val="00E347CC"/>
    <w:rsid w:val="00E362D2"/>
    <w:rsid w:val="00E36D76"/>
    <w:rsid w:val="00E40478"/>
    <w:rsid w:val="00E405EA"/>
    <w:rsid w:val="00E408B7"/>
    <w:rsid w:val="00E41637"/>
    <w:rsid w:val="00E42789"/>
    <w:rsid w:val="00E43BD7"/>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15C"/>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57"/>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2C45"/>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0644"/>
    <w:rsid w:val="00F22A26"/>
    <w:rsid w:val="00F22BDF"/>
    <w:rsid w:val="00F24072"/>
    <w:rsid w:val="00F26432"/>
    <w:rsid w:val="00F3197A"/>
    <w:rsid w:val="00F32139"/>
    <w:rsid w:val="00F33C94"/>
    <w:rsid w:val="00F33D56"/>
    <w:rsid w:val="00F34E08"/>
    <w:rsid w:val="00F373CD"/>
    <w:rsid w:val="00F416B7"/>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303B-BB2F-4B93-A1EF-773C0599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2012-01-24T14:01:00Z</cp:lastPrinted>
  <dcterms:created xsi:type="dcterms:W3CDTF">2012-01-17T19:09:00Z</dcterms:created>
  <dcterms:modified xsi:type="dcterms:W3CDTF">2012-02-14T15:18:00Z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