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Default="00540BEF" w:rsidP="009B0534">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w:t>
      </w:r>
      <w:r w:rsidR="009B0534">
        <w:rPr>
          <w:rFonts w:asciiTheme="minorHAnsi" w:hAnsiTheme="minorHAnsi"/>
          <w:color w:val="auto"/>
        </w:rPr>
        <w:t xml:space="preserve">SICAL DISABILITY BOARD OF REVIEW </w:t>
      </w:r>
    </w:p>
    <w:p w:rsidR="009B0534" w:rsidRPr="009B0534" w:rsidRDefault="009B0534" w:rsidP="009B0534">
      <w:pPr>
        <w:tabs>
          <w:tab w:val="left" w:pos="288"/>
          <w:tab w:val="left" w:pos="4752"/>
        </w:tabs>
        <w:spacing w:line="240" w:lineRule="exact"/>
        <w:jc w:val="center"/>
        <w:rPr>
          <w:rFonts w:asciiTheme="minorHAnsi" w:hAnsiTheme="minorHAnsi"/>
          <w:color w:val="auto"/>
        </w:rPr>
      </w:pPr>
    </w:p>
    <w:p w:rsidR="009B0534" w:rsidRPr="009B0534" w:rsidRDefault="009B0534" w:rsidP="009B0534">
      <w:pPr>
        <w:pBdr>
          <w:bottom w:val="single" w:sz="12" w:space="1" w:color="auto"/>
        </w:pBdr>
        <w:tabs>
          <w:tab w:val="left" w:pos="288"/>
          <w:tab w:val="left" w:pos="4752"/>
          <w:tab w:val="left" w:pos="6300"/>
        </w:tabs>
        <w:spacing w:line="240" w:lineRule="exact"/>
        <w:jc w:val="both"/>
        <w:rPr>
          <w:rFonts w:asciiTheme="minorHAnsi" w:hAnsiTheme="minorHAnsi"/>
          <w:caps/>
          <w:color w:val="auto"/>
        </w:rPr>
      </w:pPr>
      <w:r w:rsidRPr="009B0534">
        <w:rPr>
          <w:rFonts w:asciiTheme="minorHAnsi" w:hAnsiTheme="minorHAnsi"/>
          <w:caps/>
          <w:color w:val="auto"/>
        </w:rPr>
        <w:t xml:space="preserve">NAME:  </w:t>
      </w:r>
      <w:r w:rsidR="00F44393">
        <w:rPr>
          <w:rFonts w:asciiTheme="minorHAnsi" w:hAnsiTheme="minorHAnsi"/>
          <w:caps/>
          <w:color w:val="auto"/>
        </w:rPr>
        <w:t>XXXXXXXXXXXX</w:t>
      </w:r>
      <w:r w:rsidRPr="009B0534">
        <w:rPr>
          <w:rFonts w:asciiTheme="minorHAnsi" w:hAnsiTheme="minorHAnsi"/>
          <w:caps/>
          <w:color w:val="auto"/>
        </w:rPr>
        <w:t xml:space="preserve">                </w:t>
      </w:r>
      <w:r w:rsidRPr="009B0534">
        <w:rPr>
          <w:rFonts w:asciiTheme="minorHAnsi" w:hAnsiTheme="minorHAnsi"/>
          <w:caps/>
          <w:color w:val="auto"/>
        </w:rPr>
        <w:tab/>
      </w:r>
      <w:r>
        <w:rPr>
          <w:rFonts w:asciiTheme="minorHAnsi" w:hAnsiTheme="minorHAnsi"/>
          <w:caps/>
          <w:color w:val="auto"/>
        </w:rPr>
        <w:t xml:space="preserve">                </w:t>
      </w:r>
      <w:r>
        <w:rPr>
          <w:rFonts w:asciiTheme="minorHAnsi" w:hAnsiTheme="minorHAnsi"/>
          <w:caps/>
          <w:color w:val="auto"/>
        </w:rPr>
        <w:tab/>
      </w:r>
      <w:r w:rsidRPr="009B0534">
        <w:rPr>
          <w:rFonts w:asciiTheme="minorHAnsi" w:hAnsiTheme="minorHAnsi"/>
          <w:caps/>
          <w:color w:val="auto"/>
        </w:rPr>
        <w:t xml:space="preserve">BRANCH OF SERVICE:  Army </w:t>
      </w:r>
    </w:p>
    <w:p w:rsidR="009B0534" w:rsidRPr="009B0534" w:rsidRDefault="009B0534" w:rsidP="009B0534">
      <w:pPr>
        <w:pBdr>
          <w:bottom w:val="single" w:sz="12" w:space="1" w:color="auto"/>
        </w:pBdr>
        <w:tabs>
          <w:tab w:val="left" w:pos="288"/>
          <w:tab w:val="left" w:pos="4752"/>
          <w:tab w:val="left" w:pos="6300"/>
        </w:tabs>
        <w:spacing w:line="240" w:lineRule="exact"/>
        <w:jc w:val="both"/>
        <w:rPr>
          <w:rFonts w:asciiTheme="minorHAnsi" w:hAnsiTheme="minorHAnsi"/>
          <w:caps/>
          <w:color w:val="auto"/>
        </w:rPr>
      </w:pPr>
      <w:r w:rsidRPr="009B0534">
        <w:rPr>
          <w:rFonts w:asciiTheme="minorHAnsi" w:hAnsiTheme="minorHAnsi"/>
          <w:caps/>
          <w:color w:val="auto"/>
        </w:rPr>
        <w:t>CASE NUMBER:  PD1001188</w:t>
      </w:r>
      <w:r>
        <w:rPr>
          <w:rFonts w:asciiTheme="minorHAnsi" w:hAnsiTheme="minorHAnsi"/>
          <w:caps/>
          <w:color w:val="auto"/>
        </w:rPr>
        <w:t xml:space="preserve"> </w:t>
      </w:r>
      <w:r>
        <w:rPr>
          <w:rFonts w:asciiTheme="minorHAnsi" w:hAnsiTheme="minorHAnsi"/>
          <w:caps/>
          <w:color w:val="auto"/>
        </w:rPr>
        <w:tab/>
        <w:t xml:space="preserve">                </w:t>
      </w:r>
      <w:r>
        <w:rPr>
          <w:rFonts w:asciiTheme="minorHAnsi" w:hAnsiTheme="minorHAnsi"/>
          <w:caps/>
          <w:color w:val="auto"/>
        </w:rPr>
        <w:tab/>
      </w:r>
      <w:r w:rsidRPr="009B0534">
        <w:rPr>
          <w:rFonts w:asciiTheme="minorHAnsi" w:hAnsiTheme="minorHAnsi"/>
          <w:caps/>
          <w:color w:val="auto"/>
        </w:rPr>
        <w:t>SEPARATION DATE:  20080727</w:t>
      </w:r>
    </w:p>
    <w:p w:rsidR="009B0534" w:rsidRPr="009B0534" w:rsidRDefault="007B31AC" w:rsidP="009B0534">
      <w:pPr>
        <w:pBdr>
          <w:bottom w:val="single" w:sz="12" w:space="1" w:color="auto"/>
        </w:pBd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  20120106</w:t>
      </w:r>
      <w:r w:rsidR="00C5168C">
        <w:rPr>
          <w:rFonts w:asciiTheme="minorHAnsi" w:hAnsiTheme="minorHAnsi"/>
          <w:caps/>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13C05" w:rsidRPr="00F13C05" w:rsidRDefault="00FB0E80" w:rsidP="00F13C05">
      <w:pPr>
        <w:tabs>
          <w:tab w:val="left" w:pos="288"/>
          <w:tab w:val="left" w:pos="4752"/>
        </w:tabs>
        <w:spacing w:line="240" w:lineRule="exact"/>
        <w:jc w:val="both"/>
        <w:rPr>
          <w:rFonts w:asciiTheme="minorHAnsi" w:hAnsiTheme="minorHAnsi"/>
          <w:i/>
          <w:color w:val="auto"/>
        </w:rPr>
      </w:pPr>
      <w:r w:rsidRPr="00C74D5C">
        <w:rPr>
          <w:rFonts w:asciiTheme="minorHAnsi" w:hAnsiTheme="minorHAnsi"/>
          <w:color w:val="auto"/>
          <w:u w:val="single"/>
        </w:rPr>
        <w:t>SUMMARY OF CASE</w:t>
      </w:r>
      <w:r w:rsidRPr="00C74D5C">
        <w:rPr>
          <w:rFonts w:asciiTheme="minorHAnsi" w:hAnsiTheme="minorHAnsi"/>
          <w:color w:val="auto"/>
        </w:rPr>
        <w:t xml:space="preserve">:  </w:t>
      </w:r>
      <w:r w:rsidR="00F13C05" w:rsidRPr="00C74D5C">
        <w:rPr>
          <w:rFonts w:asciiTheme="minorHAnsi" w:hAnsiTheme="minorHAnsi"/>
          <w:color w:val="auto"/>
        </w:rPr>
        <w:t xml:space="preserve">Data extracted from the available evidence of record reflects that this covered individual (CI) was an active duty </w:t>
      </w:r>
      <w:r w:rsidR="00F87924">
        <w:rPr>
          <w:rFonts w:asciiTheme="minorHAnsi" w:hAnsiTheme="minorHAnsi"/>
          <w:color w:val="auto"/>
        </w:rPr>
        <w:t xml:space="preserve">SPC/E4 </w:t>
      </w:r>
      <w:r w:rsidR="00F13C05" w:rsidRPr="00C74D5C">
        <w:rPr>
          <w:rFonts w:asciiTheme="minorHAnsi" w:hAnsiTheme="minorHAnsi"/>
          <w:color w:val="auto"/>
        </w:rPr>
        <w:t>(68W</w:t>
      </w:r>
      <w:r w:rsidR="0034707D">
        <w:rPr>
          <w:rFonts w:asciiTheme="minorHAnsi" w:hAnsiTheme="minorHAnsi"/>
          <w:color w:val="auto"/>
        </w:rPr>
        <w:t xml:space="preserve">, </w:t>
      </w:r>
      <w:r w:rsidR="00F13C05" w:rsidRPr="00C74D5C">
        <w:rPr>
          <w:rFonts w:asciiTheme="minorHAnsi" w:hAnsiTheme="minorHAnsi"/>
          <w:color w:val="auto"/>
        </w:rPr>
        <w:t>Health Care Specialist)</w:t>
      </w:r>
      <w:r w:rsidR="00C97FB0" w:rsidRPr="00C74D5C">
        <w:rPr>
          <w:rFonts w:asciiTheme="minorHAnsi" w:hAnsiTheme="minorHAnsi"/>
          <w:color w:val="auto"/>
        </w:rPr>
        <w:t xml:space="preserve">, </w:t>
      </w:r>
      <w:r w:rsidR="00F13C05" w:rsidRPr="00C74D5C">
        <w:rPr>
          <w:rFonts w:asciiTheme="minorHAnsi" w:hAnsiTheme="minorHAnsi"/>
          <w:color w:val="auto"/>
        </w:rPr>
        <w:t xml:space="preserve">medically separated for </w:t>
      </w:r>
      <w:r w:rsidR="00C97FB0" w:rsidRPr="00C74D5C">
        <w:rPr>
          <w:rFonts w:asciiTheme="minorHAnsi" w:hAnsiTheme="minorHAnsi"/>
          <w:color w:val="auto"/>
        </w:rPr>
        <w:t>p</w:t>
      </w:r>
      <w:r w:rsidR="00F13C05" w:rsidRPr="00C74D5C">
        <w:rPr>
          <w:rFonts w:asciiTheme="minorHAnsi" w:hAnsiTheme="minorHAnsi"/>
          <w:color w:val="auto"/>
        </w:rPr>
        <w:t>ost</w:t>
      </w:r>
      <w:r w:rsidR="00C97FB0" w:rsidRPr="00C74D5C">
        <w:rPr>
          <w:rFonts w:asciiTheme="minorHAnsi" w:hAnsiTheme="minorHAnsi"/>
          <w:color w:val="auto"/>
        </w:rPr>
        <w:t>phlebitic syndrome.</w:t>
      </w:r>
      <w:r w:rsidR="008D2869" w:rsidRPr="00C74D5C">
        <w:rPr>
          <w:rFonts w:asciiTheme="minorHAnsi" w:hAnsiTheme="minorHAnsi"/>
          <w:color w:val="auto"/>
        </w:rPr>
        <w:t xml:space="preserve">  </w:t>
      </w:r>
      <w:r w:rsidR="00C74D5C">
        <w:rPr>
          <w:rFonts w:asciiTheme="minorHAnsi" w:hAnsiTheme="minorHAnsi"/>
          <w:color w:val="auto"/>
        </w:rPr>
        <w:t xml:space="preserve">The CI </w:t>
      </w:r>
      <w:r w:rsidR="007B2FD8">
        <w:rPr>
          <w:rFonts w:asciiTheme="minorHAnsi" w:hAnsiTheme="minorHAnsi"/>
          <w:color w:val="auto"/>
        </w:rPr>
        <w:t>developed a</w:t>
      </w:r>
      <w:r w:rsidR="00C74D5C">
        <w:rPr>
          <w:rFonts w:asciiTheme="minorHAnsi" w:hAnsiTheme="minorHAnsi"/>
          <w:color w:val="auto"/>
        </w:rPr>
        <w:t xml:space="preserve"> deep vein thrombosis (DVT) of the left lower extremi</w:t>
      </w:r>
      <w:r w:rsidR="007B2FD8">
        <w:rPr>
          <w:rFonts w:asciiTheme="minorHAnsi" w:hAnsiTheme="minorHAnsi"/>
          <w:color w:val="auto"/>
        </w:rPr>
        <w:t xml:space="preserve">ty (LLE) while deployed to Iraq </w:t>
      </w:r>
      <w:r w:rsidR="007B31AC">
        <w:rPr>
          <w:rFonts w:asciiTheme="minorHAnsi" w:hAnsiTheme="minorHAnsi"/>
          <w:color w:val="auto"/>
        </w:rPr>
        <w:t xml:space="preserve">in </w:t>
      </w:r>
      <w:r w:rsidR="007B2FD8">
        <w:rPr>
          <w:rFonts w:asciiTheme="minorHAnsi" w:hAnsiTheme="minorHAnsi"/>
          <w:color w:val="auto"/>
        </w:rPr>
        <w:t>2005.  He was treated</w:t>
      </w:r>
      <w:r w:rsidR="00C74D5C">
        <w:rPr>
          <w:rFonts w:asciiTheme="minorHAnsi" w:hAnsiTheme="minorHAnsi"/>
          <w:color w:val="auto"/>
        </w:rPr>
        <w:t>, but persisted with LLE pain that required daily</w:t>
      </w:r>
      <w:r w:rsidR="007B2FD8" w:rsidRPr="007B2FD8">
        <w:rPr>
          <w:rFonts w:asciiTheme="minorHAnsi" w:hAnsiTheme="minorHAnsi"/>
          <w:color w:val="auto"/>
        </w:rPr>
        <w:t xml:space="preserve"> </w:t>
      </w:r>
      <w:r w:rsidR="007B2FD8">
        <w:rPr>
          <w:rFonts w:asciiTheme="minorHAnsi" w:hAnsiTheme="minorHAnsi"/>
          <w:color w:val="auto"/>
        </w:rPr>
        <w:t>narcotic pain relief</w:t>
      </w:r>
      <w:r w:rsidR="00C74D5C">
        <w:rPr>
          <w:rFonts w:asciiTheme="minorHAnsi" w:hAnsiTheme="minorHAnsi"/>
          <w:color w:val="auto"/>
        </w:rPr>
        <w:t xml:space="preserve">.  </w:t>
      </w:r>
      <w:r w:rsidR="00F13C05" w:rsidRPr="00C74D5C">
        <w:rPr>
          <w:rFonts w:asciiTheme="minorHAnsi" w:hAnsiTheme="minorHAnsi"/>
          <w:color w:val="auto"/>
        </w:rPr>
        <w:t>He was unable to perform within his Military Occupational Specialty (MOS) or meet</w:t>
      </w:r>
      <w:r w:rsidR="007B31AC">
        <w:rPr>
          <w:rFonts w:asciiTheme="minorHAnsi" w:hAnsiTheme="minorHAnsi"/>
          <w:color w:val="auto"/>
        </w:rPr>
        <w:t xml:space="preserve"> physical fitness standards; </w:t>
      </w:r>
      <w:r w:rsidR="00F13C05" w:rsidRPr="00C74D5C">
        <w:rPr>
          <w:rFonts w:asciiTheme="minorHAnsi" w:hAnsiTheme="minorHAnsi"/>
          <w:color w:val="auto"/>
        </w:rPr>
        <w:t xml:space="preserve">was issued a permanent L3 profile </w:t>
      </w:r>
      <w:r w:rsidR="00AA387C" w:rsidRPr="00C74D5C">
        <w:rPr>
          <w:rFonts w:asciiTheme="minorHAnsi" w:hAnsiTheme="minorHAnsi"/>
          <w:color w:val="auto"/>
        </w:rPr>
        <w:t xml:space="preserve">and </w:t>
      </w:r>
      <w:r w:rsidR="007B31AC">
        <w:rPr>
          <w:rFonts w:asciiTheme="minorHAnsi" w:hAnsiTheme="minorHAnsi"/>
          <w:color w:val="auto"/>
        </w:rPr>
        <w:t>referred for</w:t>
      </w:r>
      <w:r w:rsidR="00F13C05" w:rsidRPr="00C74D5C">
        <w:rPr>
          <w:rFonts w:asciiTheme="minorHAnsi" w:hAnsiTheme="minorHAnsi"/>
          <w:color w:val="auto"/>
        </w:rPr>
        <w:t xml:space="preserve"> a Medical Evaluation Board (MEB).</w:t>
      </w:r>
      <w:r w:rsidR="00F13C05" w:rsidRPr="00C74D5C">
        <w:rPr>
          <w:rFonts w:asciiTheme="minorHAnsi" w:hAnsiTheme="minorHAnsi"/>
          <w:i/>
          <w:color w:val="auto"/>
        </w:rPr>
        <w:t xml:space="preserve"> </w:t>
      </w:r>
      <w:r w:rsidR="00C97FB0" w:rsidRPr="00C74D5C">
        <w:rPr>
          <w:rFonts w:asciiTheme="minorHAnsi" w:hAnsiTheme="minorHAnsi"/>
          <w:i/>
          <w:color w:val="auto"/>
        </w:rPr>
        <w:t xml:space="preserve"> </w:t>
      </w:r>
      <w:r w:rsidR="00C5168C">
        <w:rPr>
          <w:rFonts w:asciiTheme="minorHAnsi" w:hAnsiTheme="minorHAnsi"/>
          <w:color w:val="auto"/>
        </w:rPr>
        <w:t>The LLE</w:t>
      </w:r>
      <w:r w:rsidR="00F13C05" w:rsidRPr="00C74D5C">
        <w:rPr>
          <w:rFonts w:asciiTheme="minorHAnsi" w:hAnsiTheme="minorHAnsi"/>
          <w:color w:val="auto"/>
        </w:rPr>
        <w:t xml:space="preserve"> </w:t>
      </w:r>
      <w:r w:rsidR="00C97FB0" w:rsidRPr="00C74D5C">
        <w:rPr>
          <w:rFonts w:asciiTheme="minorHAnsi" w:hAnsiTheme="minorHAnsi"/>
          <w:color w:val="auto"/>
        </w:rPr>
        <w:t>p</w:t>
      </w:r>
      <w:r w:rsidR="00F13C05" w:rsidRPr="00C74D5C">
        <w:rPr>
          <w:rFonts w:asciiTheme="minorHAnsi" w:hAnsiTheme="minorHAnsi"/>
          <w:color w:val="auto"/>
        </w:rPr>
        <w:t>ost</w:t>
      </w:r>
      <w:r w:rsidR="00C97FB0" w:rsidRPr="00C74D5C">
        <w:rPr>
          <w:rFonts w:asciiTheme="minorHAnsi" w:hAnsiTheme="minorHAnsi"/>
          <w:color w:val="auto"/>
        </w:rPr>
        <w:t>p</w:t>
      </w:r>
      <w:r w:rsidR="00F13C05" w:rsidRPr="00C74D5C">
        <w:rPr>
          <w:rFonts w:asciiTheme="minorHAnsi" w:hAnsiTheme="minorHAnsi"/>
          <w:color w:val="auto"/>
        </w:rPr>
        <w:t xml:space="preserve">hlebitic </w:t>
      </w:r>
      <w:r w:rsidR="00C97FB0" w:rsidRPr="00C74D5C">
        <w:rPr>
          <w:rFonts w:asciiTheme="minorHAnsi" w:hAnsiTheme="minorHAnsi"/>
          <w:color w:val="auto"/>
        </w:rPr>
        <w:t>s</w:t>
      </w:r>
      <w:r w:rsidR="00F13C05" w:rsidRPr="00C74D5C">
        <w:rPr>
          <w:rFonts w:asciiTheme="minorHAnsi" w:hAnsiTheme="minorHAnsi"/>
          <w:color w:val="auto"/>
        </w:rPr>
        <w:t xml:space="preserve">yndrome was forwarded to the Physical Evaluation Board (PEB) as </w:t>
      </w:r>
      <w:r w:rsidR="00C5168C">
        <w:rPr>
          <w:rFonts w:asciiTheme="minorHAnsi" w:hAnsiTheme="minorHAnsi"/>
          <w:color w:val="auto"/>
        </w:rPr>
        <w:t xml:space="preserve">a </w:t>
      </w:r>
      <w:r w:rsidR="00F13C05" w:rsidRPr="00C74D5C">
        <w:rPr>
          <w:rFonts w:asciiTheme="minorHAnsi" w:hAnsiTheme="minorHAnsi"/>
          <w:color w:val="auto"/>
        </w:rPr>
        <w:t xml:space="preserve">medically unacceptable </w:t>
      </w:r>
      <w:r w:rsidR="00C5168C">
        <w:rPr>
          <w:rFonts w:asciiTheme="minorHAnsi" w:hAnsiTheme="minorHAnsi"/>
          <w:color w:val="auto"/>
        </w:rPr>
        <w:t xml:space="preserve">condition </w:t>
      </w:r>
      <w:r w:rsidR="00F13C05" w:rsidRPr="00C74D5C">
        <w:rPr>
          <w:rFonts w:asciiTheme="minorHAnsi" w:hAnsiTheme="minorHAnsi"/>
          <w:color w:val="auto"/>
        </w:rPr>
        <w:t>IAW AR</w:t>
      </w:r>
      <w:r w:rsidR="0034707D">
        <w:rPr>
          <w:rFonts w:asciiTheme="minorHAnsi" w:hAnsiTheme="minorHAnsi"/>
          <w:color w:val="auto"/>
        </w:rPr>
        <w:t> </w:t>
      </w:r>
      <w:r w:rsidR="00F13C05" w:rsidRPr="00C74D5C">
        <w:rPr>
          <w:rFonts w:asciiTheme="minorHAnsi" w:hAnsiTheme="minorHAnsi"/>
          <w:color w:val="auto"/>
        </w:rPr>
        <w:t>40-501.</w:t>
      </w:r>
      <w:r w:rsidR="00C97FB0" w:rsidRPr="00C74D5C">
        <w:rPr>
          <w:rFonts w:asciiTheme="minorHAnsi" w:hAnsiTheme="minorHAnsi"/>
          <w:color w:val="auto"/>
        </w:rPr>
        <w:t xml:space="preserve">  </w:t>
      </w:r>
      <w:r w:rsidR="00F13C05" w:rsidRPr="00C74D5C">
        <w:rPr>
          <w:rFonts w:asciiTheme="minorHAnsi" w:hAnsiTheme="minorHAnsi"/>
          <w:color w:val="auto"/>
        </w:rPr>
        <w:t>Hypertension</w:t>
      </w:r>
      <w:r w:rsidR="007B2FD8">
        <w:rPr>
          <w:rFonts w:asciiTheme="minorHAnsi" w:hAnsiTheme="minorHAnsi"/>
          <w:color w:val="auto"/>
        </w:rPr>
        <w:t xml:space="preserve"> </w:t>
      </w:r>
      <w:r w:rsidR="00C5168C">
        <w:rPr>
          <w:rFonts w:asciiTheme="minorHAnsi" w:hAnsiTheme="minorHAnsi"/>
          <w:color w:val="auto"/>
        </w:rPr>
        <w:t>and migraine headache were also evaluated by the MEB</w:t>
      </w:r>
      <w:r w:rsidR="00C97FB0" w:rsidRPr="00C74D5C">
        <w:rPr>
          <w:rFonts w:asciiTheme="minorHAnsi" w:hAnsiTheme="minorHAnsi"/>
          <w:color w:val="auto"/>
        </w:rPr>
        <w:t xml:space="preserve"> </w:t>
      </w:r>
      <w:r w:rsidR="00C5168C">
        <w:rPr>
          <w:rFonts w:asciiTheme="minorHAnsi" w:hAnsiTheme="minorHAnsi"/>
          <w:color w:val="auto"/>
        </w:rPr>
        <w:t>and</w:t>
      </w:r>
      <w:r w:rsidR="007B2FD8">
        <w:rPr>
          <w:rFonts w:asciiTheme="minorHAnsi" w:hAnsiTheme="minorHAnsi"/>
          <w:color w:val="auto"/>
        </w:rPr>
        <w:t xml:space="preserve"> forwarded</w:t>
      </w:r>
      <w:r w:rsidR="00F13C05" w:rsidRPr="00C74D5C">
        <w:rPr>
          <w:rFonts w:asciiTheme="minorHAnsi" w:hAnsiTheme="minorHAnsi"/>
          <w:color w:val="auto"/>
        </w:rPr>
        <w:t xml:space="preserve"> as medically acceptable conditions.</w:t>
      </w:r>
      <w:r w:rsidR="00F13C05" w:rsidRPr="00C74D5C">
        <w:rPr>
          <w:rFonts w:asciiTheme="minorHAnsi" w:hAnsiTheme="minorHAnsi"/>
          <w:i/>
          <w:color w:val="auto"/>
        </w:rPr>
        <w:t xml:space="preserve"> </w:t>
      </w:r>
      <w:r w:rsidR="00AA387C" w:rsidRPr="00C74D5C">
        <w:rPr>
          <w:rFonts w:asciiTheme="minorHAnsi" w:hAnsiTheme="minorHAnsi"/>
          <w:i/>
          <w:color w:val="auto"/>
        </w:rPr>
        <w:t xml:space="preserve"> </w:t>
      </w:r>
      <w:r w:rsidR="00C97FB0" w:rsidRPr="00C74D5C">
        <w:rPr>
          <w:rFonts w:asciiTheme="minorHAnsi" w:hAnsiTheme="minorHAnsi"/>
          <w:color w:val="auto"/>
          <w:szCs w:val="24"/>
        </w:rPr>
        <w:t xml:space="preserve">Other conditions included in the Disability Evaluation System (DES) file will be discussed below.  </w:t>
      </w:r>
      <w:r w:rsidR="00A06C8B">
        <w:rPr>
          <w:rFonts w:asciiTheme="minorHAnsi" w:hAnsiTheme="minorHAnsi"/>
          <w:color w:val="auto"/>
          <w:szCs w:val="24"/>
        </w:rPr>
        <w:t xml:space="preserve">The </w:t>
      </w:r>
      <w:r w:rsidR="00F13C05" w:rsidRPr="00C74D5C">
        <w:rPr>
          <w:rFonts w:asciiTheme="minorHAnsi" w:hAnsiTheme="minorHAnsi"/>
          <w:color w:val="auto"/>
        </w:rPr>
        <w:t xml:space="preserve">PEB adjudicated the </w:t>
      </w:r>
      <w:r w:rsidR="00C5168C">
        <w:rPr>
          <w:rFonts w:asciiTheme="minorHAnsi" w:hAnsiTheme="minorHAnsi"/>
          <w:color w:val="auto"/>
        </w:rPr>
        <w:t>LLE</w:t>
      </w:r>
      <w:r w:rsidR="00F13C05" w:rsidRPr="00C74D5C">
        <w:rPr>
          <w:rFonts w:asciiTheme="minorHAnsi" w:hAnsiTheme="minorHAnsi"/>
          <w:color w:val="auto"/>
        </w:rPr>
        <w:t xml:space="preserve"> condition as unfitting, rated 10%, with application of the </w:t>
      </w:r>
      <w:r w:rsidR="008A653B" w:rsidRPr="00C74D5C">
        <w:rPr>
          <w:rFonts w:asciiTheme="minorHAnsi" w:hAnsiTheme="minorHAnsi"/>
          <w:color w:val="auto"/>
          <w:szCs w:val="24"/>
        </w:rPr>
        <w:t>Veterans Administration Schedule for Rating Disabilities (VASRD)</w:t>
      </w:r>
      <w:r w:rsidR="00F13C05" w:rsidRPr="00C74D5C">
        <w:rPr>
          <w:rFonts w:asciiTheme="minorHAnsi" w:hAnsiTheme="minorHAnsi"/>
          <w:color w:val="auto"/>
        </w:rPr>
        <w:t>.</w:t>
      </w:r>
      <w:r w:rsidR="008A653B" w:rsidRPr="00C74D5C">
        <w:rPr>
          <w:rFonts w:asciiTheme="minorHAnsi" w:hAnsiTheme="minorHAnsi"/>
          <w:color w:val="auto"/>
        </w:rPr>
        <w:t xml:space="preserve">  </w:t>
      </w:r>
      <w:r w:rsidR="008A653B" w:rsidRPr="00C74D5C">
        <w:rPr>
          <w:rFonts w:asciiTheme="minorHAnsi" w:hAnsiTheme="minorHAnsi"/>
          <w:color w:val="auto"/>
          <w:szCs w:val="24"/>
        </w:rPr>
        <w:t xml:space="preserve">The remaining conditions were </w:t>
      </w:r>
      <w:r w:rsidR="007B2FD8">
        <w:rPr>
          <w:rFonts w:asciiTheme="minorHAnsi" w:hAnsiTheme="minorHAnsi"/>
          <w:color w:val="auto"/>
          <w:szCs w:val="24"/>
        </w:rPr>
        <w:t>found</w:t>
      </w:r>
      <w:r w:rsidR="008A653B" w:rsidRPr="00C74D5C">
        <w:rPr>
          <w:rFonts w:asciiTheme="minorHAnsi" w:hAnsiTheme="minorHAnsi"/>
          <w:color w:val="auto"/>
          <w:szCs w:val="24"/>
        </w:rPr>
        <w:t xml:space="preserve"> to be not unfitting.  </w:t>
      </w:r>
      <w:r w:rsidR="000869CB" w:rsidRPr="00C74D5C">
        <w:rPr>
          <w:rFonts w:asciiTheme="minorHAnsi" w:hAnsiTheme="minorHAnsi"/>
          <w:color w:val="auto"/>
        </w:rPr>
        <w:t>The CI made no appeals</w:t>
      </w:r>
      <w:r w:rsidR="00F13C05" w:rsidRPr="00C74D5C">
        <w:rPr>
          <w:rFonts w:asciiTheme="minorHAnsi" w:hAnsiTheme="minorHAnsi"/>
          <w:color w:val="auto"/>
        </w:rPr>
        <w:t xml:space="preserve"> and was medically separated with a 10% disability rating.</w:t>
      </w:r>
      <w:r w:rsidR="008A653B">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E0356B">
        <w:rPr>
          <w:rFonts w:asciiTheme="minorHAnsi" w:hAnsiTheme="minorHAnsi"/>
          <w:color w:val="auto"/>
        </w:rPr>
        <w:t xml:space="preserve"> </w:t>
      </w:r>
      <w:r w:rsidR="00E0356B" w:rsidRPr="00E0356B">
        <w:rPr>
          <w:rFonts w:asciiTheme="minorHAnsi" w:hAnsiTheme="minorHAnsi"/>
          <w:color w:val="auto"/>
        </w:rPr>
        <w:t xml:space="preserve">“I was found 20% disabled for post phlebitis syndrome of my lower left extremity by the VA but only 10% by the MEB. </w:t>
      </w:r>
      <w:r w:rsidR="000869CB">
        <w:rPr>
          <w:rFonts w:asciiTheme="minorHAnsi" w:hAnsiTheme="minorHAnsi"/>
          <w:color w:val="auto"/>
        </w:rPr>
        <w:t xml:space="preserve"> </w:t>
      </w:r>
      <w:r w:rsidR="00E0356B" w:rsidRPr="00E0356B">
        <w:rPr>
          <w:rFonts w:asciiTheme="minorHAnsi" w:hAnsiTheme="minorHAnsi"/>
          <w:color w:val="auto"/>
        </w:rPr>
        <w:t>I feel the rating by the VA was more fitting to the extent of my disability with my leg</w:t>
      </w:r>
      <w:r w:rsidR="00E0356B" w:rsidRPr="00AA387C">
        <w:rPr>
          <w:rFonts w:asciiTheme="minorHAnsi" w:hAnsiTheme="minorHAnsi"/>
          <w:color w:val="auto"/>
        </w:rPr>
        <w:t xml:space="preserve">.”  </w:t>
      </w:r>
      <w:r w:rsidR="00ED5284" w:rsidRPr="00AA387C">
        <w:rPr>
          <w:rFonts w:eastAsiaTheme="minorHAnsi" w:cstheme="minorBidi"/>
          <w:color w:val="auto"/>
          <w:szCs w:val="24"/>
        </w:rPr>
        <w:t>He</w:t>
      </w:r>
      <w:r w:rsidR="00EC78CA" w:rsidRPr="00AA387C">
        <w:rPr>
          <w:rFonts w:eastAsiaTheme="minorHAnsi" w:cstheme="minorBidi"/>
          <w:color w:val="auto"/>
          <w:szCs w:val="24"/>
        </w:rPr>
        <w:t xml:space="preserve"> </w:t>
      </w:r>
      <w:r w:rsidR="00ED5284" w:rsidRPr="00AA387C">
        <w:rPr>
          <w:rFonts w:eastAsiaTheme="minorHAnsi" w:cstheme="minorBidi"/>
          <w:color w:val="auto"/>
          <w:szCs w:val="24"/>
        </w:rPr>
        <w:t>additionally</w:t>
      </w:r>
      <w:r w:rsidR="00ED5284" w:rsidRPr="005C4D72">
        <w:rPr>
          <w:rFonts w:eastAsiaTheme="minorHAnsi" w:cstheme="minorBidi"/>
          <w:color w:val="auto"/>
          <w:szCs w:val="24"/>
        </w:rPr>
        <w:t xml:space="preserve"> lists all of his VA conditions and ratings </w:t>
      </w:r>
      <w:r w:rsidR="00EC78CA">
        <w:rPr>
          <w:rFonts w:eastAsiaTheme="minorHAnsi" w:cstheme="minorBidi"/>
          <w:color w:val="auto"/>
          <w:szCs w:val="24"/>
        </w:rPr>
        <w:t>as per the rating chart below and adds, “At the time of my MEB proceedings, I claimed migraine headaches.  I was not given a percentage.  Also, I was not allowed to claim post-concussion syndrome along with the headaches.  I could only claim one or the other.  I claimed the headaches because during my time in the army, I was not given a thorough workup f</w:t>
      </w:r>
      <w:r w:rsidR="000F6585">
        <w:rPr>
          <w:rFonts w:eastAsiaTheme="minorHAnsi" w:cstheme="minorBidi"/>
          <w:color w:val="auto"/>
          <w:szCs w:val="24"/>
        </w:rPr>
        <w:t>or</w:t>
      </w:r>
      <w:r w:rsidR="00EC78CA">
        <w:rPr>
          <w:rFonts w:eastAsiaTheme="minorHAnsi" w:cstheme="minorBidi"/>
          <w:color w:val="auto"/>
          <w:szCs w:val="24"/>
        </w:rPr>
        <w:t xml:space="preserve"> TBI </w:t>
      </w:r>
      <w:r w:rsidR="002F3A30">
        <w:rPr>
          <w:rFonts w:eastAsiaTheme="minorHAnsi" w:cstheme="minorBidi"/>
          <w:color w:val="auto"/>
          <w:szCs w:val="24"/>
        </w:rPr>
        <w:t xml:space="preserve">[traumatic brain injury] </w:t>
      </w:r>
      <w:r w:rsidR="00EC78CA">
        <w:rPr>
          <w:rFonts w:eastAsiaTheme="minorHAnsi" w:cstheme="minorBidi"/>
          <w:color w:val="auto"/>
          <w:szCs w:val="24"/>
        </w:rPr>
        <w:t xml:space="preserve">as the VA has given me. </w:t>
      </w:r>
      <w:r w:rsidR="000F6585">
        <w:rPr>
          <w:rFonts w:eastAsiaTheme="minorHAnsi" w:cstheme="minorBidi"/>
          <w:color w:val="auto"/>
          <w:szCs w:val="24"/>
        </w:rPr>
        <w:t xml:space="preserve"> </w:t>
      </w:r>
      <w:r w:rsidR="00EC78CA">
        <w:rPr>
          <w:rFonts w:eastAsiaTheme="minorHAnsi" w:cstheme="minorBidi"/>
          <w:color w:val="auto"/>
          <w:szCs w:val="24"/>
        </w:rPr>
        <w:t xml:space="preserve">So I didn’t have all of the medical evidence to back up my claim.  Now I have been rated 30% for migraine and 40% TBI and concussion as a result of a thorough study.  In the army, I was given migraine headache medications and so I claimed the condition that I actually got treatment for.  When I was trying to make the medical providers understand the scope of the problems, I was having with memory, sleep, and cognition, I only got treated for pain.  When in the army, I wasn’t thinking about getting out medical evidence and medical retirement.  I just wanted to get better </w:t>
      </w:r>
      <w:r w:rsidR="000F6585">
        <w:rPr>
          <w:rFonts w:eastAsiaTheme="minorHAnsi" w:cstheme="minorBidi"/>
          <w:color w:val="auto"/>
          <w:szCs w:val="24"/>
        </w:rPr>
        <w:t xml:space="preserve">and do my job to the best of my abilities.  I am unable to obtain gainful employment because of my conditions.  Even with PTSD </w:t>
      </w:r>
      <w:r w:rsidR="009F0B0A">
        <w:rPr>
          <w:rFonts w:eastAsiaTheme="minorHAnsi" w:cstheme="minorBidi"/>
          <w:color w:val="auto"/>
          <w:szCs w:val="24"/>
        </w:rPr>
        <w:t xml:space="preserve">[post-traumatic stress disorder] </w:t>
      </w:r>
      <w:r w:rsidR="000F6585">
        <w:rPr>
          <w:rFonts w:eastAsiaTheme="minorHAnsi" w:cstheme="minorBidi"/>
          <w:color w:val="auto"/>
          <w:szCs w:val="24"/>
        </w:rPr>
        <w:t>which I am rated at 30%, I was basically told that unless you were a danger to the unit or about to kill yourself, you were fine.  I was not a medical expert just a soldier following direction.  Hopefully, some o</w:t>
      </w:r>
      <w:r w:rsidR="00930E57">
        <w:rPr>
          <w:rFonts w:eastAsiaTheme="minorHAnsi" w:cstheme="minorBidi"/>
          <w:color w:val="auto"/>
          <w:szCs w:val="24"/>
        </w:rPr>
        <w:t>f</w:t>
      </w:r>
      <w:r w:rsidR="000F6585">
        <w:rPr>
          <w:rFonts w:eastAsiaTheme="minorHAnsi" w:cstheme="minorBidi"/>
          <w:color w:val="auto"/>
          <w:szCs w:val="24"/>
        </w:rPr>
        <w:t xml:space="preserve"> these things can be rectified with this board review.  </w:t>
      </w:r>
    </w:p>
    <w:p w:rsidR="003E1682" w:rsidRDefault="003E1682" w:rsidP="00510F9C">
      <w:pPr>
        <w:pBdr>
          <w:bottom w:val="single" w:sz="12" w:space="1" w:color="auto"/>
        </w:pBdr>
        <w:spacing w:line="240" w:lineRule="exact"/>
        <w:rPr>
          <w:rFonts w:asciiTheme="minorHAnsi" w:hAnsiTheme="minorHAnsi"/>
          <w:color w:val="auto"/>
          <w:u w:val="single"/>
        </w:rPr>
      </w:pPr>
    </w:p>
    <w:p w:rsidR="00CC059A" w:rsidRDefault="00CC059A" w:rsidP="00510F9C">
      <w:pPr>
        <w:spacing w:line="240" w:lineRule="exact"/>
        <w:rPr>
          <w:rFonts w:asciiTheme="minorHAnsi" w:hAnsiTheme="minorHAnsi"/>
          <w:color w:val="auto"/>
          <w:u w:val="single"/>
        </w:rPr>
      </w:pPr>
    </w:p>
    <w:p w:rsidR="00C5168C" w:rsidRDefault="00C5168C">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F87924" w:rsidRDefault="000F0928" w:rsidP="00510F9C">
      <w:pPr>
        <w:spacing w:line="240" w:lineRule="exact"/>
        <w:rPr>
          <w:rFonts w:asciiTheme="minorHAnsi" w:hAnsiTheme="minorHAnsi"/>
          <w:color w:val="auto"/>
          <w:sz w:val="18"/>
          <w:szCs w:val="18"/>
        </w:rPr>
      </w:pPr>
    </w:p>
    <w:tbl>
      <w:tblPr>
        <w:tblStyle w:val="TableGrid"/>
        <w:tblW w:w="9324" w:type="dxa"/>
        <w:jc w:val="center"/>
        <w:tblInd w:w="108" w:type="dxa"/>
        <w:tblLayout w:type="fixed"/>
        <w:tblLook w:val="04A0"/>
      </w:tblPr>
      <w:tblGrid>
        <w:gridCol w:w="2340"/>
        <w:gridCol w:w="702"/>
        <w:gridCol w:w="810"/>
        <w:gridCol w:w="2682"/>
        <w:gridCol w:w="1008"/>
        <w:gridCol w:w="810"/>
        <w:gridCol w:w="972"/>
      </w:tblGrid>
      <w:tr w:rsidR="002B4E22" w:rsidRPr="00C5168C" w:rsidTr="003E0824">
        <w:trPr>
          <w:trHeight w:val="233"/>
          <w:jc w:val="center"/>
        </w:trPr>
        <w:tc>
          <w:tcPr>
            <w:tcW w:w="3852" w:type="dxa"/>
            <w:gridSpan w:val="3"/>
            <w:tcBorders>
              <w:right w:val="thinThickThinSmallGap" w:sz="24" w:space="0" w:color="auto"/>
            </w:tcBorders>
            <w:shd w:val="clear" w:color="auto" w:fill="D9D9D9" w:themeFill="background1" w:themeFillShade="D9"/>
            <w:vAlign w:val="center"/>
          </w:tcPr>
          <w:p w:rsidR="002B4E22" w:rsidRPr="00C5168C" w:rsidRDefault="00B731E4" w:rsidP="003E0824">
            <w:pPr>
              <w:spacing w:line="240" w:lineRule="exact"/>
              <w:contextualSpacing/>
              <w:jc w:val="center"/>
              <w:rPr>
                <w:b/>
                <w:color w:val="auto"/>
                <w:sz w:val="20"/>
                <w:szCs w:val="20"/>
              </w:rPr>
            </w:pPr>
            <w:r w:rsidRPr="00C5168C">
              <w:rPr>
                <w:b/>
                <w:color w:val="auto"/>
                <w:sz w:val="20"/>
                <w:szCs w:val="20"/>
              </w:rPr>
              <w:t>Service PEB – Dated 200</w:t>
            </w:r>
            <w:r w:rsidR="00CC059A" w:rsidRPr="00C5168C">
              <w:rPr>
                <w:b/>
                <w:color w:val="auto"/>
                <w:sz w:val="20"/>
                <w:szCs w:val="20"/>
              </w:rPr>
              <w:t>80325</w:t>
            </w:r>
          </w:p>
        </w:tc>
        <w:tc>
          <w:tcPr>
            <w:tcW w:w="5472" w:type="dxa"/>
            <w:gridSpan w:val="4"/>
            <w:tcBorders>
              <w:left w:val="thinThickThinSmallGap" w:sz="24" w:space="0" w:color="auto"/>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VA (</w:t>
            </w:r>
            <w:r w:rsidR="009560BA" w:rsidRPr="00C5168C">
              <w:rPr>
                <w:b/>
                <w:color w:val="auto"/>
                <w:sz w:val="20"/>
                <w:szCs w:val="20"/>
              </w:rPr>
              <w:t>1</w:t>
            </w:r>
            <w:r w:rsidRPr="00C5168C">
              <w:rPr>
                <w:b/>
                <w:color w:val="auto"/>
                <w:sz w:val="20"/>
                <w:szCs w:val="20"/>
              </w:rPr>
              <w:t>Mo. Pr</w:t>
            </w:r>
            <w:r w:rsidR="007272F1" w:rsidRPr="00C5168C">
              <w:rPr>
                <w:b/>
                <w:color w:val="auto"/>
                <w:sz w:val="20"/>
                <w:szCs w:val="20"/>
              </w:rPr>
              <w:t>e</w:t>
            </w:r>
            <w:r w:rsidR="009560BA" w:rsidRPr="00C5168C">
              <w:rPr>
                <w:b/>
                <w:color w:val="auto"/>
                <w:sz w:val="20"/>
                <w:szCs w:val="20"/>
              </w:rPr>
              <w:t>-</w:t>
            </w:r>
            <w:r w:rsidRPr="00C5168C">
              <w:rPr>
                <w:b/>
                <w:color w:val="auto"/>
                <w:sz w:val="20"/>
                <w:szCs w:val="20"/>
              </w:rPr>
              <w:t xml:space="preserve">Separation) – All Effective </w:t>
            </w:r>
            <w:r w:rsidR="002D08F3" w:rsidRPr="00C5168C">
              <w:rPr>
                <w:b/>
                <w:color w:val="auto"/>
                <w:sz w:val="20"/>
                <w:szCs w:val="20"/>
              </w:rPr>
              <w:t>200</w:t>
            </w:r>
            <w:r w:rsidR="009560BA" w:rsidRPr="00C5168C">
              <w:rPr>
                <w:b/>
                <w:color w:val="auto"/>
                <w:sz w:val="20"/>
                <w:szCs w:val="20"/>
              </w:rPr>
              <w:t>80728</w:t>
            </w:r>
          </w:p>
        </w:tc>
      </w:tr>
      <w:tr w:rsidR="002B4E22" w:rsidRPr="00C5168C" w:rsidTr="003E0824">
        <w:trPr>
          <w:trHeight w:val="278"/>
          <w:jc w:val="center"/>
        </w:trPr>
        <w:tc>
          <w:tcPr>
            <w:tcW w:w="2340" w:type="dxa"/>
            <w:tcBorders>
              <w:bottom w:val="single" w:sz="4" w:space="0" w:color="000000" w:themeColor="text1"/>
              <w:right w:val="single" w:sz="4" w:space="0" w:color="auto"/>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Condition</w:t>
            </w:r>
          </w:p>
        </w:tc>
        <w:tc>
          <w:tcPr>
            <w:tcW w:w="702" w:type="dxa"/>
            <w:tcBorders>
              <w:left w:val="single" w:sz="4" w:space="0" w:color="auto"/>
              <w:bottom w:val="single" w:sz="4" w:space="0" w:color="000000" w:themeColor="text1"/>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Rating</w:t>
            </w:r>
          </w:p>
        </w:tc>
        <w:tc>
          <w:tcPr>
            <w:tcW w:w="268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Condition</w:t>
            </w:r>
          </w:p>
        </w:tc>
        <w:tc>
          <w:tcPr>
            <w:tcW w:w="1008" w:type="dxa"/>
            <w:tcBorders>
              <w:bottom w:val="single" w:sz="4" w:space="0" w:color="000000" w:themeColor="text1"/>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Rating</w:t>
            </w:r>
          </w:p>
        </w:tc>
        <w:tc>
          <w:tcPr>
            <w:tcW w:w="972" w:type="dxa"/>
            <w:tcBorders>
              <w:bottom w:val="single" w:sz="4" w:space="0" w:color="000000" w:themeColor="text1"/>
            </w:tcBorders>
            <w:shd w:val="clear" w:color="auto" w:fill="D9D9D9" w:themeFill="background1" w:themeFillShade="D9"/>
            <w:vAlign w:val="center"/>
          </w:tcPr>
          <w:p w:rsidR="002B4E22" w:rsidRPr="00C5168C" w:rsidRDefault="002B4E22" w:rsidP="003E0824">
            <w:pPr>
              <w:spacing w:line="240" w:lineRule="exact"/>
              <w:contextualSpacing/>
              <w:jc w:val="center"/>
              <w:rPr>
                <w:b/>
                <w:color w:val="auto"/>
                <w:sz w:val="20"/>
                <w:szCs w:val="20"/>
              </w:rPr>
            </w:pPr>
            <w:r w:rsidRPr="00C5168C">
              <w:rPr>
                <w:b/>
                <w:color w:val="auto"/>
                <w:sz w:val="20"/>
                <w:szCs w:val="20"/>
              </w:rPr>
              <w:t>Exam</w:t>
            </w:r>
          </w:p>
        </w:tc>
      </w:tr>
      <w:tr w:rsidR="002D08F3" w:rsidRPr="00C5168C" w:rsidTr="003E0824">
        <w:trPr>
          <w:trHeight w:val="66"/>
          <w:jc w:val="center"/>
        </w:trPr>
        <w:tc>
          <w:tcPr>
            <w:tcW w:w="2340" w:type="dxa"/>
            <w:tcBorders>
              <w:right w:val="single" w:sz="4" w:space="0" w:color="auto"/>
            </w:tcBorders>
            <w:shd w:val="clear" w:color="auto" w:fill="FFFFFF" w:themeFill="background1"/>
            <w:vAlign w:val="center"/>
          </w:tcPr>
          <w:p w:rsidR="002D08F3" w:rsidRPr="00C5168C" w:rsidRDefault="00C71622" w:rsidP="003E0824">
            <w:pPr>
              <w:spacing w:line="220" w:lineRule="exact"/>
              <w:contextualSpacing/>
              <w:rPr>
                <w:color w:val="auto"/>
                <w:sz w:val="18"/>
                <w:szCs w:val="18"/>
              </w:rPr>
            </w:pPr>
            <w:r w:rsidRPr="00C5168C">
              <w:rPr>
                <w:color w:val="auto"/>
                <w:sz w:val="18"/>
                <w:szCs w:val="18"/>
              </w:rPr>
              <w:t>Postp</w:t>
            </w:r>
            <w:r w:rsidR="00CC059A" w:rsidRPr="00C5168C">
              <w:rPr>
                <w:color w:val="auto"/>
                <w:sz w:val="18"/>
                <w:szCs w:val="18"/>
              </w:rPr>
              <w:t xml:space="preserve">hlebitic Syndrome, </w:t>
            </w:r>
            <w:r w:rsidR="00C5168C" w:rsidRPr="00C5168C">
              <w:rPr>
                <w:color w:val="auto"/>
                <w:sz w:val="18"/>
                <w:szCs w:val="18"/>
              </w:rPr>
              <w:t>LLE</w:t>
            </w:r>
          </w:p>
        </w:tc>
        <w:tc>
          <w:tcPr>
            <w:tcW w:w="702" w:type="dxa"/>
            <w:tcBorders>
              <w:left w:val="single" w:sz="4" w:space="0" w:color="auto"/>
            </w:tcBorders>
            <w:shd w:val="clear" w:color="auto" w:fill="FFFFFF" w:themeFill="background1"/>
            <w:vAlign w:val="center"/>
          </w:tcPr>
          <w:p w:rsidR="002D08F3" w:rsidRPr="00C5168C" w:rsidRDefault="00CC059A" w:rsidP="003E0824">
            <w:pPr>
              <w:spacing w:line="220" w:lineRule="exact"/>
              <w:contextualSpacing/>
              <w:jc w:val="center"/>
              <w:rPr>
                <w:color w:val="auto"/>
                <w:sz w:val="18"/>
                <w:szCs w:val="18"/>
              </w:rPr>
            </w:pPr>
            <w:r w:rsidRPr="00C5168C">
              <w:rPr>
                <w:color w:val="auto"/>
                <w:sz w:val="18"/>
                <w:szCs w:val="18"/>
              </w:rPr>
              <w:t>7121</w:t>
            </w:r>
          </w:p>
        </w:tc>
        <w:tc>
          <w:tcPr>
            <w:tcW w:w="810" w:type="dxa"/>
            <w:tcBorders>
              <w:right w:val="thinThickThinSmallGap" w:sz="24" w:space="0" w:color="auto"/>
            </w:tcBorders>
            <w:shd w:val="clear" w:color="auto" w:fill="FFFFFF" w:themeFill="background1"/>
            <w:vAlign w:val="center"/>
          </w:tcPr>
          <w:p w:rsidR="002D08F3" w:rsidRPr="00C5168C" w:rsidRDefault="00CC059A" w:rsidP="003E0824">
            <w:pPr>
              <w:spacing w:line="220" w:lineRule="exact"/>
              <w:contextualSpacing/>
              <w:jc w:val="center"/>
              <w:rPr>
                <w:color w:val="auto"/>
                <w:sz w:val="18"/>
                <w:szCs w:val="18"/>
              </w:rPr>
            </w:pPr>
            <w:r w:rsidRPr="00C5168C">
              <w:rPr>
                <w:color w:val="auto"/>
                <w:sz w:val="18"/>
                <w:szCs w:val="18"/>
              </w:rPr>
              <w:t>10</w:t>
            </w:r>
            <w:r w:rsidR="002D08F3" w:rsidRPr="00C5168C">
              <w:rPr>
                <w:color w:val="auto"/>
                <w:sz w:val="18"/>
                <w:szCs w:val="18"/>
              </w:rPr>
              <w:t>%</w:t>
            </w:r>
          </w:p>
        </w:tc>
        <w:tc>
          <w:tcPr>
            <w:tcW w:w="2682" w:type="dxa"/>
            <w:tcBorders>
              <w:left w:val="thinThickThinSmallGap" w:sz="24" w:space="0" w:color="auto"/>
            </w:tcBorders>
            <w:shd w:val="clear" w:color="auto" w:fill="FFFFFF" w:themeFill="background1"/>
            <w:vAlign w:val="center"/>
          </w:tcPr>
          <w:p w:rsidR="002D08F3" w:rsidRPr="00C5168C" w:rsidRDefault="00C5168C" w:rsidP="003E0824">
            <w:pPr>
              <w:spacing w:line="220" w:lineRule="exact"/>
              <w:contextualSpacing/>
              <w:rPr>
                <w:color w:val="auto"/>
                <w:sz w:val="18"/>
                <w:szCs w:val="18"/>
              </w:rPr>
            </w:pPr>
            <w:r w:rsidRPr="00C5168C">
              <w:rPr>
                <w:color w:val="auto"/>
                <w:sz w:val="18"/>
                <w:szCs w:val="18"/>
              </w:rPr>
              <w:t>Postphlebitic Syndrome, LLE</w:t>
            </w:r>
          </w:p>
        </w:tc>
        <w:tc>
          <w:tcPr>
            <w:tcW w:w="1008" w:type="dxa"/>
            <w:shd w:val="clear" w:color="auto" w:fill="FFFFFF" w:themeFill="background1"/>
            <w:vAlign w:val="center"/>
          </w:tcPr>
          <w:p w:rsidR="002D08F3" w:rsidRPr="00C5168C" w:rsidRDefault="009560BA" w:rsidP="003E0824">
            <w:pPr>
              <w:spacing w:line="220" w:lineRule="exact"/>
              <w:contextualSpacing/>
              <w:jc w:val="center"/>
              <w:rPr>
                <w:color w:val="auto"/>
                <w:sz w:val="18"/>
                <w:szCs w:val="18"/>
              </w:rPr>
            </w:pPr>
            <w:r w:rsidRPr="00C5168C">
              <w:rPr>
                <w:color w:val="auto"/>
                <w:sz w:val="18"/>
                <w:szCs w:val="18"/>
              </w:rPr>
              <w:t>7114-7121</w:t>
            </w:r>
          </w:p>
        </w:tc>
        <w:tc>
          <w:tcPr>
            <w:tcW w:w="810" w:type="dxa"/>
            <w:shd w:val="clear" w:color="auto" w:fill="FFFFFF" w:themeFill="background1"/>
            <w:vAlign w:val="center"/>
          </w:tcPr>
          <w:p w:rsidR="002D08F3" w:rsidRPr="00C5168C" w:rsidRDefault="009560BA" w:rsidP="003E0824">
            <w:pPr>
              <w:spacing w:line="220" w:lineRule="exact"/>
              <w:contextualSpacing/>
              <w:jc w:val="center"/>
              <w:rPr>
                <w:color w:val="auto"/>
                <w:sz w:val="18"/>
                <w:szCs w:val="18"/>
              </w:rPr>
            </w:pPr>
            <w:r w:rsidRPr="00C5168C">
              <w:rPr>
                <w:color w:val="auto"/>
                <w:sz w:val="18"/>
                <w:szCs w:val="18"/>
              </w:rPr>
              <w:t>20</w:t>
            </w:r>
            <w:r w:rsidR="002D08F3" w:rsidRPr="00C5168C">
              <w:rPr>
                <w:color w:val="auto"/>
                <w:sz w:val="18"/>
                <w:szCs w:val="18"/>
              </w:rPr>
              <w:t>%</w:t>
            </w:r>
          </w:p>
        </w:tc>
        <w:tc>
          <w:tcPr>
            <w:tcW w:w="972" w:type="dxa"/>
            <w:shd w:val="clear" w:color="auto" w:fill="FFFFFF" w:themeFill="background1"/>
            <w:vAlign w:val="center"/>
          </w:tcPr>
          <w:p w:rsidR="002D08F3" w:rsidRPr="00C5168C" w:rsidRDefault="002D08F3" w:rsidP="003E0824">
            <w:pPr>
              <w:spacing w:line="220" w:lineRule="exact"/>
              <w:contextualSpacing/>
              <w:jc w:val="center"/>
              <w:rPr>
                <w:color w:val="auto"/>
                <w:sz w:val="18"/>
                <w:szCs w:val="18"/>
              </w:rPr>
            </w:pPr>
            <w:r w:rsidRPr="00C5168C">
              <w:rPr>
                <w:color w:val="auto"/>
                <w:sz w:val="18"/>
                <w:szCs w:val="18"/>
              </w:rPr>
              <w:t>200</w:t>
            </w:r>
            <w:r w:rsidR="009560BA" w:rsidRPr="00C5168C">
              <w:rPr>
                <w:color w:val="auto"/>
                <w:sz w:val="18"/>
                <w:szCs w:val="18"/>
              </w:rPr>
              <w:t>80627</w:t>
            </w:r>
          </w:p>
        </w:tc>
      </w:tr>
      <w:tr w:rsidR="007A65A9" w:rsidRPr="00C5168C" w:rsidTr="003E0824">
        <w:trPr>
          <w:trHeight w:val="66"/>
          <w:jc w:val="center"/>
        </w:trPr>
        <w:tc>
          <w:tcPr>
            <w:tcW w:w="2340" w:type="dxa"/>
            <w:tcBorders>
              <w:right w:val="single" w:sz="4" w:space="0" w:color="auto"/>
            </w:tcBorders>
            <w:shd w:val="clear" w:color="auto" w:fill="FFFFFF" w:themeFill="background1"/>
            <w:vAlign w:val="center"/>
          </w:tcPr>
          <w:p w:rsidR="007A65A9" w:rsidRPr="00C5168C" w:rsidRDefault="00CC059A" w:rsidP="003E0824">
            <w:pPr>
              <w:spacing w:line="220" w:lineRule="exact"/>
              <w:contextualSpacing/>
              <w:rPr>
                <w:color w:val="auto"/>
                <w:sz w:val="18"/>
                <w:szCs w:val="18"/>
              </w:rPr>
            </w:pPr>
            <w:r w:rsidRPr="00C5168C">
              <w:rPr>
                <w:color w:val="auto"/>
                <w:sz w:val="18"/>
                <w:szCs w:val="18"/>
              </w:rPr>
              <w:t>Hypertension</w:t>
            </w:r>
          </w:p>
        </w:tc>
        <w:tc>
          <w:tcPr>
            <w:tcW w:w="1512" w:type="dxa"/>
            <w:gridSpan w:val="2"/>
            <w:tcBorders>
              <w:left w:val="single" w:sz="4" w:space="0" w:color="auto"/>
              <w:right w:val="thinThickThinSmallGap" w:sz="24" w:space="0" w:color="auto"/>
            </w:tcBorders>
            <w:shd w:val="clear" w:color="auto" w:fill="FFFFFF" w:themeFill="background1"/>
            <w:vAlign w:val="center"/>
          </w:tcPr>
          <w:p w:rsidR="007A65A9" w:rsidRPr="00C5168C" w:rsidRDefault="007A65A9" w:rsidP="003E0824">
            <w:pPr>
              <w:spacing w:line="220" w:lineRule="exact"/>
              <w:contextualSpacing/>
              <w:jc w:val="center"/>
              <w:rPr>
                <w:color w:val="auto"/>
                <w:sz w:val="18"/>
                <w:szCs w:val="18"/>
              </w:rPr>
            </w:pPr>
            <w:r w:rsidRPr="00C5168C">
              <w:rPr>
                <w:color w:val="auto"/>
                <w:sz w:val="18"/>
                <w:szCs w:val="18"/>
              </w:rPr>
              <w:t>Not Unfitting</w:t>
            </w:r>
          </w:p>
        </w:tc>
        <w:tc>
          <w:tcPr>
            <w:tcW w:w="2682" w:type="dxa"/>
            <w:tcBorders>
              <w:left w:val="thinThickThinSmallGap" w:sz="24" w:space="0" w:color="auto"/>
              <w:right w:val="single" w:sz="4" w:space="0" w:color="auto"/>
            </w:tcBorders>
            <w:shd w:val="clear" w:color="auto" w:fill="FFFFFF" w:themeFill="background1"/>
            <w:vAlign w:val="center"/>
          </w:tcPr>
          <w:p w:rsidR="007A65A9" w:rsidRPr="00C5168C" w:rsidRDefault="009560BA" w:rsidP="003E0824">
            <w:pPr>
              <w:spacing w:line="220" w:lineRule="exact"/>
              <w:contextualSpacing/>
              <w:rPr>
                <w:color w:val="auto"/>
                <w:sz w:val="18"/>
                <w:szCs w:val="18"/>
              </w:rPr>
            </w:pPr>
            <w:r w:rsidRPr="00C5168C">
              <w:rPr>
                <w:color w:val="auto"/>
                <w:sz w:val="18"/>
                <w:szCs w:val="18"/>
              </w:rPr>
              <w:t>Hypertension</w:t>
            </w:r>
          </w:p>
        </w:tc>
        <w:tc>
          <w:tcPr>
            <w:tcW w:w="1008" w:type="dxa"/>
            <w:tcBorders>
              <w:left w:val="single" w:sz="4" w:space="0" w:color="auto"/>
              <w:right w:val="single" w:sz="4" w:space="0" w:color="auto"/>
            </w:tcBorders>
            <w:shd w:val="clear" w:color="auto" w:fill="FFFFFF" w:themeFill="background1"/>
            <w:vAlign w:val="center"/>
          </w:tcPr>
          <w:p w:rsidR="007A65A9" w:rsidRPr="00C5168C" w:rsidRDefault="009560BA" w:rsidP="003E0824">
            <w:pPr>
              <w:spacing w:line="220" w:lineRule="exact"/>
              <w:contextualSpacing/>
              <w:jc w:val="center"/>
              <w:rPr>
                <w:color w:val="auto"/>
                <w:sz w:val="18"/>
                <w:szCs w:val="18"/>
              </w:rPr>
            </w:pPr>
            <w:r w:rsidRPr="00C5168C">
              <w:rPr>
                <w:color w:val="auto"/>
                <w:sz w:val="18"/>
                <w:szCs w:val="18"/>
              </w:rPr>
              <w:t>7101</w:t>
            </w:r>
          </w:p>
        </w:tc>
        <w:tc>
          <w:tcPr>
            <w:tcW w:w="810" w:type="dxa"/>
            <w:tcBorders>
              <w:left w:val="single" w:sz="4" w:space="0" w:color="auto"/>
            </w:tcBorders>
            <w:shd w:val="clear" w:color="auto" w:fill="FFFFFF" w:themeFill="background1"/>
            <w:vAlign w:val="center"/>
          </w:tcPr>
          <w:p w:rsidR="007A65A9" w:rsidRPr="00C5168C" w:rsidRDefault="009560BA" w:rsidP="003E0824">
            <w:pPr>
              <w:spacing w:line="220" w:lineRule="exact"/>
              <w:contextualSpacing/>
              <w:jc w:val="center"/>
              <w:rPr>
                <w:color w:val="auto"/>
                <w:sz w:val="18"/>
                <w:szCs w:val="18"/>
              </w:rPr>
            </w:pPr>
            <w:r w:rsidRPr="00C5168C">
              <w:rPr>
                <w:color w:val="auto"/>
                <w:sz w:val="18"/>
                <w:szCs w:val="18"/>
              </w:rPr>
              <w:t>10%</w:t>
            </w:r>
          </w:p>
        </w:tc>
        <w:tc>
          <w:tcPr>
            <w:tcW w:w="972" w:type="dxa"/>
            <w:shd w:val="clear" w:color="auto" w:fill="FFFFFF" w:themeFill="background1"/>
            <w:vAlign w:val="center"/>
          </w:tcPr>
          <w:p w:rsidR="007A65A9" w:rsidRPr="00C5168C" w:rsidRDefault="009560BA" w:rsidP="003E0824">
            <w:pPr>
              <w:spacing w:line="220" w:lineRule="exact"/>
              <w:contextualSpacing/>
              <w:jc w:val="center"/>
              <w:rPr>
                <w:color w:val="auto"/>
                <w:sz w:val="18"/>
                <w:szCs w:val="18"/>
              </w:rPr>
            </w:pPr>
            <w:r w:rsidRPr="00C5168C">
              <w:rPr>
                <w:color w:val="auto"/>
                <w:sz w:val="18"/>
                <w:szCs w:val="18"/>
              </w:rPr>
              <w:t>20080627</w:t>
            </w:r>
          </w:p>
        </w:tc>
      </w:tr>
      <w:tr w:rsidR="00DE1BB9" w:rsidRPr="00C5168C" w:rsidTr="003E0824">
        <w:trPr>
          <w:trHeight w:val="66"/>
          <w:jc w:val="center"/>
        </w:trPr>
        <w:tc>
          <w:tcPr>
            <w:tcW w:w="2340" w:type="dxa"/>
            <w:tcBorders>
              <w:right w:val="single" w:sz="4" w:space="0" w:color="auto"/>
            </w:tcBorders>
            <w:shd w:val="clear" w:color="auto" w:fill="FFFFFF" w:themeFill="background1"/>
            <w:vAlign w:val="center"/>
          </w:tcPr>
          <w:p w:rsidR="00DE1BB9" w:rsidRPr="00C5168C" w:rsidRDefault="00DE1BB9" w:rsidP="003E0824">
            <w:pPr>
              <w:spacing w:line="220" w:lineRule="exact"/>
              <w:contextualSpacing/>
              <w:rPr>
                <w:color w:val="auto"/>
                <w:sz w:val="18"/>
                <w:szCs w:val="18"/>
              </w:rPr>
            </w:pPr>
            <w:r w:rsidRPr="00C5168C">
              <w:rPr>
                <w:color w:val="auto"/>
                <w:sz w:val="18"/>
                <w:szCs w:val="18"/>
              </w:rPr>
              <w:t>Migraine Headaches</w:t>
            </w:r>
          </w:p>
        </w:tc>
        <w:tc>
          <w:tcPr>
            <w:tcW w:w="1512" w:type="dxa"/>
            <w:gridSpan w:val="2"/>
            <w:tcBorders>
              <w:left w:val="single" w:sz="4" w:space="0" w:color="auto"/>
              <w:right w:val="thinThickThinSmallGap" w:sz="24" w:space="0" w:color="auto"/>
            </w:tcBorders>
            <w:shd w:val="clear" w:color="auto" w:fill="FFFFFF" w:themeFill="background1"/>
            <w:vAlign w:val="center"/>
          </w:tcPr>
          <w:p w:rsidR="00DE1BB9" w:rsidRPr="00C5168C" w:rsidRDefault="00DE1BB9" w:rsidP="003E0824">
            <w:pPr>
              <w:spacing w:line="220" w:lineRule="exact"/>
              <w:contextualSpacing/>
              <w:jc w:val="center"/>
              <w:rPr>
                <w:color w:val="auto"/>
                <w:sz w:val="18"/>
                <w:szCs w:val="18"/>
              </w:rPr>
            </w:pPr>
            <w:r w:rsidRPr="00C5168C">
              <w:rPr>
                <w:color w:val="auto"/>
                <w:sz w:val="18"/>
                <w:szCs w:val="18"/>
              </w:rPr>
              <w:t>Not Unfitting</w:t>
            </w:r>
          </w:p>
        </w:tc>
        <w:tc>
          <w:tcPr>
            <w:tcW w:w="2682" w:type="dxa"/>
            <w:tcBorders>
              <w:left w:val="thinThickThinSmallGap" w:sz="24" w:space="0" w:color="auto"/>
              <w:right w:val="single" w:sz="4" w:space="0" w:color="auto"/>
            </w:tcBorders>
            <w:shd w:val="clear" w:color="auto" w:fill="FFFFFF" w:themeFill="background1"/>
            <w:vAlign w:val="center"/>
          </w:tcPr>
          <w:p w:rsidR="00DE1BB9" w:rsidRPr="00C5168C" w:rsidRDefault="00DE1BB9" w:rsidP="003E0824">
            <w:pPr>
              <w:spacing w:line="220" w:lineRule="exact"/>
              <w:contextualSpacing/>
              <w:rPr>
                <w:color w:val="auto"/>
                <w:sz w:val="18"/>
                <w:szCs w:val="18"/>
              </w:rPr>
            </w:pPr>
            <w:proofErr w:type="spellStart"/>
            <w:r w:rsidRPr="00C5168C">
              <w:rPr>
                <w:color w:val="auto"/>
                <w:sz w:val="18"/>
                <w:szCs w:val="18"/>
              </w:rPr>
              <w:t>Postconcussion</w:t>
            </w:r>
            <w:proofErr w:type="spellEnd"/>
            <w:r w:rsidRPr="00C5168C">
              <w:rPr>
                <w:color w:val="auto"/>
                <w:sz w:val="18"/>
                <w:szCs w:val="18"/>
              </w:rPr>
              <w:t xml:space="preserve"> </w:t>
            </w:r>
            <w:r w:rsidR="00C5168C" w:rsidRPr="00C5168C">
              <w:rPr>
                <w:color w:val="auto"/>
                <w:sz w:val="18"/>
                <w:szCs w:val="18"/>
              </w:rPr>
              <w:t xml:space="preserve">… </w:t>
            </w:r>
            <w:r w:rsidRPr="00C5168C">
              <w:rPr>
                <w:color w:val="auto"/>
                <w:sz w:val="18"/>
                <w:szCs w:val="18"/>
              </w:rPr>
              <w:t>Headaches</w:t>
            </w:r>
          </w:p>
        </w:tc>
        <w:tc>
          <w:tcPr>
            <w:tcW w:w="1008" w:type="dxa"/>
            <w:tcBorders>
              <w:left w:val="single" w:sz="4" w:space="0" w:color="auto"/>
              <w:right w:val="single" w:sz="4" w:space="0" w:color="auto"/>
            </w:tcBorders>
            <w:shd w:val="clear" w:color="auto" w:fill="FFFFFF" w:themeFill="background1"/>
            <w:vAlign w:val="center"/>
          </w:tcPr>
          <w:p w:rsidR="00DE1BB9" w:rsidRPr="00C5168C" w:rsidRDefault="00DE1BB9" w:rsidP="003E0824">
            <w:pPr>
              <w:spacing w:line="220" w:lineRule="exact"/>
              <w:contextualSpacing/>
              <w:jc w:val="center"/>
              <w:rPr>
                <w:color w:val="auto"/>
                <w:sz w:val="18"/>
                <w:szCs w:val="18"/>
              </w:rPr>
            </w:pPr>
            <w:r w:rsidRPr="00C5168C">
              <w:rPr>
                <w:color w:val="auto"/>
                <w:sz w:val="18"/>
                <w:szCs w:val="18"/>
              </w:rPr>
              <w:t>9304</w:t>
            </w:r>
            <w:r w:rsidR="00AE3966" w:rsidRPr="00C5168C">
              <w:rPr>
                <w:color w:val="auto"/>
                <w:sz w:val="18"/>
                <w:szCs w:val="18"/>
              </w:rPr>
              <w:t>*</w:t>
            </w:r>
          </w:p>
        </w:tc>
        <w:tc>
          <w:tcPr>
            <w:tcW w:w="810" w:type="dxa"/>
            <w:tcBorders>
              <w:left w:val="single" w:sz="4" w:space="0" w:color="auto"/>
            </w:tcBorders>
            <w:shd w:val="clear" w:color="auto" w:fill="FFFFFF" w:themeFill="background1"/>
            <w:vAlign w:val="center"/>
          </w:tcPr>
          <w:p w:rsidR="00DE1BB9" w:rsidRPr="00C5168C" w:rsidRDefault="00DE1BB9" w:rsidP="003E0824">
            <w:pPr>
              <w:spacing w:line="220" w:lineRule="exact"/>
              <w:contextualSpacing/>
              <w:jc w:val="center"/>
              <w:rPr>
                <w:color w:val="auto"/>
                <w:sz w:val="18"/>
                <w:szCs w:val="18"/>
              </w:rPr>
            </w:pPr>
            <w:r w:rsidRPr="00C5168C">
              <w:rPr>
                <w:color w:val="auto"/>
                <w:sz w:val="18"/>
                <w:szCs w:val="18"/>
              </w:rPr>
              <w:t>10%</w:t>
            </w:r>
            <w:r w:rsidR="00C5168C">
              <w:rPr>
                <w:color w:val="auto"/>
                <w:sz w:val="18"/>
                <w:szCs w:val="18"/>
              </w:rPr>
              <w:t>*</w:t>
            </w:r>
          </w:p>
        </w:tc>
        <w:tc>
          <w:tcPr>
            <w:tcW w:w="972" w:type="dxa"/>
            <w:shd w:val="clear" w:color="auto" w:fill="FFFFFF" w:themeFill="background1"/>
            <w:vAlign w:val="center"/>
          </w:tcPr>
          <w:p w:rsidR="00DE1BB9" w:rsidRPr="00C5168C" w:rsidRDefault="00DE1BB9" w:rsidP="003E0824">
            <w:pPr>
              <w:spacing w:line="220" w:lineRule="exact"/>
              <w:contextualSpacing/>
              <w:jc w:val="center"/>
              <w:rPr>
                <w:color w:val="auto"/>
                <w:sz w:val="18"/>
                <w:szCs w:val="18"/>
              </w:rPr>
            </w:pPr>
            <w:r w:rsidRPr="00C5168C">
              <w:rPr>
                <w:color w:val="auto"/>
                <w:sz w:val="18"/>
                <w:szCs w:val="18"/>
              </w:rPr>
              <w:t>20080627</w:t>
            </w:r>
          </w:p>
        </w:tc>
      </w:tr>
      <w:tr w:rsidR="004D096F" w:rsidRPr="00C5168C" w:rsidTr="003E0824">
        <w:trPr>
          <w:trHeight w:val="66"/>
          <w:jc w:val="center"/>
        </w:trPr>
        <w:tc>
          <w:tcPr>
            <w:tcW w:w="3852" w:type="dxa"/>
            <w:gridSpan w:val="3"/>
            <w:vMerge w:val="restart"/>
            <w:tcBorders>
              <w:right w:val="thinThickThinSmallGap" w:sz="24" w:space="0" w:color="auto"/>
            </w:tcBorders>
            <w:shd w:val="clear" w:color="auto" w:fill="FFFFFF" w:themeFill="background1"/>
          </w:tcPr>
          <w:p w:rsidR="004D096F" w:rsidRPr="00C5168C" w:rsidRDefault="004D096F" w:rsidP="003E0824">
            <w:pPr>
              <w:spacing w:line="220" w:lineRule="exact"/>
              <w:contextualSpacing/>
              <w:jc w:val="center"/>
              <w:rPr>
                <w:color w:val="auto"/>
                <w:sz w:val="18"/>
                <w:szCs w:val="18"/>
              </w:rPr>
            </w:pPr>
            <w:r w:rsidRPr="00C5168C">
              <w:rPr>
                <w:color w:val="auto"/>
                <w:sz w:val="18"/>
                <w:szCs w:val="18"/>
              </w:rPr>
              <w:t>↓No Additional MEB/PEB Entries↓</w:t>
            </w:r>
          </w:p>
        </w:tc>
        <w:tc>
          <w:tcPr>
            <w:tcW w:w="2682" w:type="dxa"/>
            <w:tcBorders>
              <w:left w:val="thinThickThinSmallGap" w:sz="24" w:space="0" w:color="auto"/>
              <w:right w:val="single" w:sz="4" w:space="0" w:color="auto"/>
            </w:tcBorders>
            <w:shd w:val="clear" w:color="auto" w:fill="FFFFFF" w:themeFill="background1"/>
            <w:vAlign w:val="center"/>
          </w:tcPr>
          <w:p w:rsidR="004D096F" w:rsidRPr="00C5168C" w:rsidRDefault="004D096F" w:rsidP="003E0824">
            <w:pPr>
              <w:spacing w:line="220" w:lineRule="exact"/>
              <w:contextualSpacing/>
              <w:rPr>
                <w:color w:val="auto"/>
                <w:sz w:val="18"/>
                <w:szCs w:val="18"/>
              </w:rPr>
            </w:pPr>
            <w:r w:rsidRPr="00C5168C">
              <w:rPr>
                <w:color w:val="auto"/>
                <w:sz w:val="18"/>
                <w:szCs w:val="18"/>
              </w:rPr>
              <w:t>Lumbar Strain</w:t>
            </w:r>
          </w:p>
        </w:tc>
        <w:tc>
          <w:tcPr>
            <w:tcW w:w="1008" w:type="dxa"/>
            <w:tcBorders>
              <w:left w:val="single" w:sz="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5237</w:t>
            </w:r>
          </w:p>
        </w:tc>
        <w:tc>
          <w:tcPr>
            <w:tcW w:w="810"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10%</w:t>
            </w:r>
          </w:p>
        </w:tc>
        <w:tc>
          <w:tcPr>
            <w:tcW w:w="972"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20080627</w:t>
            </w:r>
          </w:p>
        </w:tc>
      </w:tr>
      <w:tr w:rsidR="004D096F" w:rsidRPr="00C5168C" w:rsidTr="003E0824">
        <w:trPr>
          <w:trHeight w:val="66"/>
          <w:jc w:val="center"/>
        </w:trPr>
        <w:tc>
          <w:tcPr>
            <w:tcW w:w="3852" w:type="dxa"/>
            <w:gridSpan w:val="3"/>
            <w:vMerge/>
            <w:tcBorders>
              <w:right w:val="thinThickThinSmallGap" w:sz="2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p>
        </w:tc>
        <w:tc>
          <w:tcPr>
            <w:tcW w:w="2682" w:type="dxa"/>
            <w:tcBorders>
              <w:left w:val="thinThickThinSmallGap" w:sz="24" w:space="0" w:color="auto"/>
              <w:right w:val="single" w:sz="4" w:space="0" w:color="auto"/>
            </w:tcBorders>
            <w:shd w:val="clear" w:color="auto" w:fill="FFFFFF" w:themeFill="background1"/>
            <w:vAlign w:val="center"/>
          </w:tcPr>
          <w:p w:rsidR="004D096F" w:rsidRPr="00C5168C" w:rsidRDefault="007B31AC" w:rsidP="003E0824">
            <w:pPr>
              <w:spacing w:line="220" w:lineRule="exact"/>
              <w:contextualSpacing/>
              <w:rPr>
                <w:color w:val="auto"/>
                <w:sz w:val="18"/>
                <w:szCs w:val="18"/>
              </w:rPr>
            </w:pPr>
            <w:r>
              <w:rPr>
                <w:color w:val="auto"/>
                <w:sz w:val="18"/>
                <w:szCs w:val="18"/>
              </w:rPr>
              <w:t>Bi</w:t>
            </w:r>
            <w:r w:rsidR="004D096F" w:rsidRPr="00C5168C">
              <w:rPr>
                <w:color w:val="auto"/>
                <w:sz w:val="18"/>
                <w:szCs w:val="18"/>
              </w:rPr>
              <w:t>l</w:t>
            </w:r>
            <w:r>
              <w:rPr>
                <w:color w:val="auto"/>
                <w:sz w:val="18"/>
                <w:szCs w:val="18"/>
              </w:rPr>
              <w:t>a</w:t>
            </w:r>
            <w:r w:rsidR="004D096F" w:rsidRPr="00C5168C">
              <w:rPr>
                <w:color w:val="auto"/>
                <w:sz w:val="18"/>
                <w:szCs w:val="18"/>
              </w:rPr>
              <w:t>teral Tinnitus</w:t>
            </w:r>
          </w:p>
        </w:tc>
        <w:tc>
          <w:tcPr>
            <w:tcW w:w="1008" w:type="dxa"/>
            <w:tcBorders>
              <w:left w:val="single" w:sz="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6260</w:t>
            </w:r>
          </w:p>
        </w:tc>
        <w:tc>
          <w:tcPr>
            <w:tcW w:w="810"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10%</w:t>
            </w:r>
          </w:p>
        </w:tc>
        <w:tc>
          <w:tcPr>
            <w:tcW w:w="972"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20080</w:t>
            </w:r>
            <w:r w:rsidR="00AA387C" w:rsidRPr="00C5168C">
              <w:rPr>
                <w:color w:val="auto"/>
                <w:sz w:val="18"/>
                <w:szCs w:val="18"/>
              </w:rPr>
              <w:t>909</w:t>
            </w:r>
          </w:p>
        </w:tc>
      </w:tr>
      <w:tr w:rsidR="004D096F" w:rsidRPr="00C5168C" w:rsidTr="003E0824">
        <w:trPr>
          <w:trHeight w:val="66"/>
          <w:jc w:val="center"/>
        </w:trPr>
        <w:tc>
          <w:tcPr>
            <w:tcW w:w="3852" w:type="dxa"/>
            <w:gridSpan w:val="3"/>
            <w:vMerge/>
            <w:tcBorders>
              <w:right w:val="thinThickThinSmallGap" w:sz="2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p>
        </w:tc>
        <w:tc>
          <w:tcPr>
            <w:tcW w:w="2682" w:type="dxa"/>
            <w:tcBorders>
              <w:left w:val="thinThickThinSmallGap" w:sz="24" w:space="0" w:color="auto"/>
              <w:right w:val="single" w:sz="4" w:space="0" w:color="auto"/>
            </w:tcBorders>
            <w:shd w:val="clear" w:color="auto" w:fill="FFFFFF" w:themeFill="background1"/>
            <w:vAlign w:val="center"/>
          </w:tcPr>
          <w:p w:rsidR="004D096F" w:rsidRPr="00C5168C" w:rsidRDefault="004D096F" w:rsidP="003E0824">
            <w:pPr>
              <w:spacing w:line="220" w:lineRule="exact"/>
              <w:contextualSpacing/>
              <w:rPr>
                <w:color w:val="auto"/>
                <w:sz w:val="18"/>
                <w:szCs w:val="18"/>
              </w:rPr>
            </w:pPr>
            <w:r w:rsidRPr="00C5168C">
              <w:rPr>
                <w:color w:val="auto"/>
                <w:sz w:val="18"/>
                <w:szCs w:val="18"/>
              </w:rPr>
              <w:t>Pseudofolliculitis Barbae</w:t>
            </w:r>
          </w:p>
        </w:tc>
        <w:tc>
          <w:tcPr>
            <w:tcW w:w="1008" w:type="dxa"/>
            <w:tcBorders>
              <w:left w:val="single" w:sz="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7813-7806</w:t>
            </w:r>
          </w:p>
        </w:tc>
        <w:tc>
          <w:tcPr>
            <w:tcW w:w="810"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10%</w:t>
            </w:r>
          </w:p>
        </w:tc>
        <w:tc>
          <w:tcPr>
            <w:tcW w:w="972"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20080627</w:t>
            </w:r>
          </w:p>
        </w:tc>
      </w:tr>
      <w:tr w:rsidR="004D096F" w:rsidRPr="00C5168C" w:rsidTr="003E0824">
        <w:trPr>
          <w:trHeight w:val="66"/>
          <w:jc w:val="center"/>
        </w:trPr>
        <w:tc>
          <w:tcPr>
            <w:tcW w:w="3852" w:type="dxa"/>
            <w:gridSpan w:val="3"/>
            <w:vMerge/>
            <w:tcBorders>
              <w:right w:val="thinThickThinSmallGap" w:sz="2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p>
        </w:tc>
        <w:tc>
          <w:tcPr>
            <w:tcW w:w="2682" w:type="dxa"/>
            <w:tcBorders>
              <w:left w:val="thinThickThinSmallGap" w:sz="24" w:space="0" w:color="auto"/>
              <w:right w:val="single" w:sz="4" w:space="0" w:color="auto"/>
            </w:tcBorders>
            <w:shd w:val="clear" w:color="auto" w:fill="FFFFFF" w:themeFill="background1"/>
            <w:vAlign w:val="center"/>
          </w:tcPr>
          <w:p w:rsidR="004D096F" w:rsidRPr="00C5168C" w:rsidRDefault="004D096F" w:rsidP="003E0824">
            <w:pPr>
              <w:spacing w:line="220" w:lineRule="exact"/>
              <w:contextualSpacing/>
              <w:rPr>
                <w:color w:val="auto"/>
                <w:sz w:val="18"/>
                <w:szCs w:val="18"/>
              </w:rPr>
            </w:pPr>
            <w:r w:rsidRPr="00C5168C">
              <w:rPr>
                <w:color w:val="auto"/>
                <w:sz w:val="18"/>
                <w:szCs w:val="18"/>
              </w:rPr>
              <w:t>PTSD</w:t>
            </w:r>
          </w:p>
        </w:tc>
        <w:tc>
          <w:tcPr>
            <w:tcW w:w="1008" w:type="dxa"/>
            <w:tcBorders>
              <w:left w:val="single" w:sz="4" w:space="0" w:color="auto"/>
            </w:tcBorders>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9411</w:t>
            </w:r>
          </w:p>
        </w:tc>
        <w:tc>
          <w:tcPr>
            <w:tcW w:w="810"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70%**</w:t>
            </w:r>
          </w:p>
        </w:tc>
        <w:tc>
          <w:tcPr>
            <w:tcW w:w="972" w:type="dxa"/>
            <w:shd w:val="clear" w:color="auto" w:fill="FFFFFF" w:themeFill="background1"/>
            <w:vAlign w:val="center"/>
          </w:tcPr>
          <w:p w:rsidR="004D096F" w:rsidRPr="00C5168C" w:rsidRDefault="004D096F" w:rsidP="003E0824">
            <w:pPr>
              <w:spacing w:line="220" w:lineRule="exact"/>
              <w:contextualSpacing/>
              <w:jc w:val="center"/>
              <w:rPr>
                <w:color w:val="auto"/>
                <w:sz w:val="18"/>
                <w:szCs w:val="18"/>
              </w:rPr>
            </w:pPr>
            <w:r w:rsidRPr="00C5168C">
              <w:rPr>
                <w:color w:val="auto"/>
                <w:sz w:val="18"/>
                <w:szCs w:val="18"/>
              </w:rPr>
              <w:t>20090824</w:t>
            </w:r>
          </w:p>
        </w:tc>
      </w:tr>
      <w:tr w:rsidR="007B2FD8" w:rsidRPr="00C5168C" w:rsidTr="003E0824">
        <w:trPr>
          <w:trHeight w:val="66"/>
          <w:jc w:val="center"/>
        </w:trPr>
        <w:tc>
          <w:tcPr>
            <w:tcW w:w="3852" w:type="dxa"/>
            <w:gridSpan w:val="3"/>
            <w:vMerge/>
            <w:tcBorders>
              <w:right w:val="thinThickThinSmallGap" w:sz="24" w:space="0" w:color="auto"/>
            </w:tcBorders>
            <w:shd w:val="clear" w:color="auto" w:fill="FFFFFF" w:themeFill="background1"/>
            <w:vAlign w:val="center"/>
          </w:tcPr>
          <w:p w:rsidR="007B2FD8" w:rsidRPr="00C5168C" w:rsidRDefault="007B2FD8" w:rsidP="003E0824">
            <w:pPr>
              <w:spacing w:line="220" w:lineRule="exact"/>
              <w:contextualSpacing/>
              <w:jc w:val="center"/>
              <w:rPr>
                <w:color w:val="auto"/>
                <w:sz w:val="18"/>
                <w:szCs w:val="18"/>
              </w:rPr>
            </w:pPr>
          </w:p>
        </w:tc>
        <w:tc>
          <w:tcPr>
            <w:tcW w:w="5472" w:type="dxa"/>
            <w:gridSpan w:val="4"/>
            <w:tcBorders>
              <w:left w:val="thinThickThinSmallGap" w:sz="24" w:space="0" w:color="auto"/>
            </w:tcBorders>
            <w:shd w:val="clear" w:color="auto" w:fill="FFFFFF" w:themeFill="background1"/>
            <w:vAlign w:val="center"/>
          </w:tcPr>
          <w:p w:rsidR="007B2FD8" w:rsidRPr="00C5168C" w:rsidRDefault="007B2FD8" w:rsidP="003E0824">
            <w:pPr>
              <w:spacing w:line="220" w:lineRule="exact"/>
              <w:contextualSpacing/>
              <w:jc w:val="center"/>
              <w:rPr>
                <w:color w:val="auto"/>
                <w:sz w:val="18"/>
                <w:szCs w:val="18"/>
              </w:rPr>
            </w:pPr>
            <w:r w:rsidRPr="00C5168C">
              <w:rPr>
                <w:rFonts w:cs="Times New Roman"/>
                <w:color w:val="auto"/>
                <w:sz w:val="18"/>
                <w:szCs w:val="18"/>
              </w:rPr>
              <w:t>0% x 7/Not Service Connected x 8</w:t>
            </w:r>
          </w:p>
        </w:tc>
      </w:tr>
      <w:tr w:rsidR="007A65A9" w:rsidRPr="00C5168C" w:rsidTr="003E0824">
        <w:trPr>
          <w:trHeight w:val="107"/>
          <w:jc w:val="center"/>
        </w:trPr>
        <w:tc>
          <w:tcPr>
            <w:tcW w:w="3852" w:type="dxa"/>
            <w:gridSpan w:val="3"/>
            <w:tcBorders>
              <w:right w:val="thinThickThinSmallGap" w:sz="24" w:space="0" w:color="auto"/>
            </w:tcBorders>
            <w:shd w:val="clear" w:color="auto" w:fill="D9D9D9" w:themeFill="background1" w:themeFillShade="D9"/>
          </w:tcPr>
          <w:p w:rsidR="007A65A9" w:rsidRPr="00C5168C" w:rsidRDefault="007A65A9" w:rsidP="003E0824">
            <w:pPr>
              <w:spacing w:line="240" w:lineRule="exact"/>
              <w:contextualSpacing/>
              <w:jc w:val="center"/>
              <w:rPr>
                <w:b/>
                <w:color w:val="auto"/>
                <w:sz w:val="20"/>
                <w:szCs w:val="20"/>
              </w:rPr>
            </w:pPr>
            <w:r w:rsidRPr="00C5168C">
              <w:rPr>
                <w:b/>
                <w:color w:val="auto"/>
                <w:sz w:val="20"/>
                <w:szCs w:val="20"/>
              </w:rPr>
              <w:t xml:space="preserve">Combined: </w:t>
            </w:r>
            <w:r w:rsidR="006458FD" w:rsidRPr="00C5168C">
              <w:rPr>
                <w:b/>
                <w:color w:val="auto"/>
                <w:sz w:val="20"/>
                <w:szCs w:val="20"/>
              </w:rPr>
              <w:t xml:space="preserve"> </w:t>
            </w:r>
            <w:r w:rsidR="00E126A0" w:rsidRPr="00C5168C">
              <w:rPr>
                <w:b/>
                <w:color w:val="auto"/>
                <w:sz w:val="20"/>
                <w:szCs w:val="20"/>
              </w:rPr>
              <w:t>1</w:t>
            </w:r>
            <w:r w:rsidR="00664296" w:rsidRPr="00C5168C">
              <w:rPr>
                <w:b/>
                <w:color w:val="auto"/>
                <w:sz w:val="20"/>
                <w:szCs w:val="20"/>
              </w:rPr>
              <w:t>0</w:t>
            </w:r>
            <w:r w:rsidRPr="00C5168C">
              <w:rPr>
                <w:b/>
                <w:color w:val="auto"/>
                <w:sz w:val="20"/>
                <w:szCs w:val="20"/>
              </w:rPr>
              <w:t>%</w:t>
            </w:r>
          </w:p>
        </w:tc>
        <w:tc>
          <w:tcPr>
            <w:tcW w:w="5472" w:type="dxa"/>
            <w:gridSpan w:val="4"/>
            <w:tcBorders>
              <w:left w:val="thinThickThinSmallGap" w:sz="24" w:space="0" w:color="auto"/>
            </w:tcBorders>
            <w:shd w:val="clear" w:color="auto" w:fill="D9D9D9" w:themeFill="background1" w:themeFillShade="D9"/>
          </w:tcPr>
          <w:p w:rsidR="007A65A9" w:rsidRPr="00C5168C" w:rsidRDefault="007A65A9" w:rsidP="003E0824">
            <w:pPr>
              <w:spacing w:line="240" w:lineRule="exact"/>
              <w:contextualSpacing/>
              <w:jc w:val="center"/>
              <w:rPr>
                <w:b/>
                <w:color w:val="auto"/>
                <w:sz w:val="20"/>
                <w:szCs w:val="20"/>
              </w:rPr>
            </w:pPr>
            <w:r w:rsidRPr="00C5168C">
              <w:rPr>
                <w:b/>
                <w:color w:val="auto"/>
                <w:sz w:val="20"/>
                <w:szCs w:val="20"/>
              </w:rPr>
              <w:t xml:space="preserve">Combined:  </w:t>
            </w:r>
            <w:r w:rsidR="003E0824">
              <w:rPr>
                <w:b/>
                <w:color w:val="auto"/>
                <w:sz w:val="20"/>
                <w:szCs w:val="20"/>
              </w:rPr>
              <w:t xml:space="preserve">50% </w:t>
            </w:r>
            <w:r w:rsidR="003E0824">
              <w:rPr>
                <w:rFonts w:cstheme="minorHAnsi"/>
                <w:b/>
                <w:color w:val="auto"/>
                <w:sz w:val="20"/>
                <w:szCs w:val="20"/>
              </w:rPr>
              <w:t>→</w:t>
            </w:r>
            <w:r w:rsidR="003E0824">
              <w:rPr>
                <w:b/>
                <w:color w:val="auto"/>
                <w:sz w:val="20"/>
                <w:szCs w:val="20"/>
              </w:rPr>
              <w:t xml:space="preserve"> </w:t>
            </w:r>
            <w:r w:rsidR="00D60A05" w:rsidRPr="00C5168C">
              <w:rPr>
                <w:b/>
                <w:color w:val="auto"/>
                <w:sz w:val="20"/>
                <w:szCs w:val="20"/>
              </w:rPr>
              <w:t>9</w:t>
            </w:r>
            <w:r w:rsidR="006F0F9C" w:rsidRPr="00C5168C">
              <w:rPr>
                <w:b/>
                <w:color w:val="auto"/>
                <w:sz w:val="20"/>
                <w:szCs w:val="20"/>
              </w:rPr>
              <w:t>0</w:t>
            </w:r>
            <w:r w:rsidRPr="00C5168C">
              <w:rPr>
                <w:b/>
                <w:color w:val="auto"/>
                <w:sz w:val="20"/>
                <w:szCs w:val="20"/>
              </w:rPr>
              <w:t>%</w:t>
            </w:r>
            <w:r w:rsidR="004D096F" w:rsidRPr="00C5168C">
              <w:rPr>
                <w:b/>
                <w:color w:val="auto"/>
                <w:sz w:val="20"/>
                <w:szCs w:val="20"/>
              </w:rPr>
              <w:t>**</w:t>
            </w:r>
          </w:p>
        </w:tc>
      </w:tr>
    </w:tbl>
    <w:p w:rsidR="00735833" w:rsidRDefault="00AE3966" w:rsidP="00735833">
      <w:pPr>
        <w:spacing w:line="240" w:lineRule="exact"/>
        <w:jc w:val="both"/>
        <w:rPr>
          <w:rFonts w:asciiTheme="minorHAnsi" w:hAnsiTheme="minorHAnsi"/>
          <w:color w:val="auto"/>
          <w:sz w:val="18"/>
          <w:szCs w:val="18"/>
        </w:rPr>
      </w:pPr>
      <w:proofErr w:type="gramStart"/>
      <w:r w:rsidRPr="00C5168C">
        <w:rPr>
          <w:rFonts w:asciiTheme="minorHAnsi" w:hAnsiTheme="minorHAnsi"/>
          <w:color w:val="auto"/>
          <w:sz w:val="18"/>
          <w:szCs w:val="18"/>
        </w:rPr>
        <w:t>*</w:t>
      </w:r>
      <w:r w:rsidR="00735833">
        <w:rPr>
          <w:rFonts w:asciiTheme="minorHAnsi" w:hAnsiTheme="minorHAnsi"/>
          <w:color w:val="auto"/>
          <w:sz w:val="18"/>
          <w:szCs w:val="18"/>
        </w:rPr>
        <w:t xml:space="preserve">  </w:t>
      </w:r>
      <w:r w:rsidR="00016A52">
        <w:rPr>
          <w:rFonts w:asciiTheme="minorHAnsi" w:hAnsiTheme="minorHAnsi"/>
          <w:color w:val="auto"/>
          <w:sz w:val="18"/>
          <w:szCs w:val="18"/>
        </w:rPr>
        <w:t>Citing</w:t>
      </w:r>
      <w:proofErr w:type="gramEnd"/>
      <w:r w:rsidR="00016A52">
        <w:rPr>
          <w:rFonts w:asciiTheme="minorHAnsi" w:hAnsiTheme="minorHAnsi"/>
          <w:color w:val="auto"/>
          <w:sz w:val="18"/>
          <w:szCs w:val="18"/>
        </w:rPr>
        <w:t xml:space="preserve"> 20089023 (post-separation) VASRD schedule change for TBI and applying that effective date; this was subsequently</w:t>
      </w:r>
    </w:p>
    <w:p w:rsidR="00AE3966" w:rsidRPr="00C5168C" w:rsidRDefault="00735833" w:rsidP="00735833">
      <w:pPr>
        <w:spacing w:line="240" w:lineRule="exact"/>
        <w:jc w:val="both"/>
        <w:rPr>
          <w:rFonts w:asciiTheme="minorHAnsi" w:hAnsiTheme="minorHAnsi"/>
          <w:color w:val="auto"/>
          <w:sz w:val="18"/>
          <w:szCs w:val="18"/>
        </w:rPr>
      </w:pPr>
      <w:r>
        <w:rPr>
          <w:rFonts w:asciiTheme="minorHAnsi" w:hAnsiTheme="minorHAnsi"/>
          <w:color w:val="auto"/>
          <w:sz w:val="18"/>
          <w:szCs w:val="18"/>
        </w:rPr>
        <w:t xml:space="preserve"> </w:t>
      </w:r>
      <w:r w:rsidR="00016A52">
        <w:rPr>
          <w:rFonts w:asciiTheme="minorHAnsi" w:hAnsiTheme="minorHAnsi"/>
          <w:color w:val="auto"/>
          <w:sz w:val="18"/>
          <w:szCs w:val="18"/>
        </w:rPr>
        <w:t xml:space="preserve"> </w:t>
      </w:r>
      <w:r>
        <w:rPr>
          <w:rFonts w:asciiTheme="minorHAnsi" w:hAnsiTheme="minorHAnsi"/>
          <w:color w:val="auto"/>
          <w:sz w:val="18"/>
          <w:szCs w:val="18"/>
        </w:rPr>
        <w:t xml:space="preserve">  </w:t>
      </w:r>
      <w:proofErr w:type="gramStart"/>
      <w:r w:rsidR="00016A52">
        <w:rPr>
          <w:rFonts w:asciiTheme="minorHAnsi" w:hAnsiTheme="minorHAnsi"/>
          <w:color w:val="auto"/>
          <w:sz w:val="18"/>
          <w:szCs w:val="18"/>
        </w:rPr>
        <w:t>split</w:t>
      </w:r>
      <w:proofErr w:type="gramEnd"/>
      <w:r w:rsidR="00016A52">
        <w:rPr>
          <w:rFonts w:asciiTheme="minorHAnsi" w:hAnsiTheme="minorHAnsi"/>
          <w:color w:val="auto"/>
          <w:sz w:val="18"/>
          <w:szCs w:val="18"/>
        </w:rPr>
        <w:t xml:space="preserve"> into migraine 8100, </w:t>
      </w:r>
      <w:r>
        <w:rPr>
          <w:rFonts w:asciiTheme="minorHAnsi" w:hAnsiTheme="minorHAnsi"/>
          <w:color w:val="auto"/>
          <w:sz w:val="18"/>
          <w:szCs w:val="18"/>
        </w:rPr>
        <w:t xml:space="preserve">rated </w:t>
      </w:r>
      <w:r w:rsidR="00016A52">
        <w:rPr>
          <w:rFonts w:asciiTheme="minorHAnsi" w:hAnsiTheme="minorHAnsi"/>
          <w:color w:val="auto"/>
          <w:sz w:val="18"/>
          <w:szCs w:val="18"/>
        </w:rPr>
        <w:t xml:space="preserve">30%, and 8045, </w:t>
      </w:r>
      <w:r>
        <w:rPr>
          <w:rFonts w:asciiTheme="minorHAnsi" w:hAnsiTheme="minorHAnsi"/>
          <w:color w:val="auto"/>
          <w:sz w:val="18"/>
          <w:szCs w:val="18"/>
        </w:rPr>
        <w:t xml:space="preserve">rated </w:t>
      </w:r>
      <w:r w:rsidR="00016A52">
        <w:rPr>
          <w:rFonts w:asciiTheme="minorHAnsi" w:hAnsiTheme="minorHAnsi"/>
          <w:color w:val="auto"/>
          <w:sz w:val="18"/>
          <w:szCs w:val="18"/>
        </w:rPr>
        <w:t>40%</w:t>
      </w:r>
      <w:r>
        <w:rPr>
          <w:rFonts w:asciiTheme="minorHAnsi" w:hAnsiTheme="minorHAnsi"/>
          <w:color w:val="auto"/>
          <w:sz w:val="18"/>
          <w:szCs w:val="18"/>
        </w:rPr>
        <w:t xml:space="preserve"> (</w:t>
      </w:r>
      <w:r w:rsidRPr="00C5168C">
        <w:rPr>
          <w:rFonts w:asciiTheme="minorHAnsi" w:hAnsiTheme="minorHAnsi"/>
          <w:color w:val="auto"/>
          <w:sz w:val="18"/>
          <w:szCs w:val="18"/>
        </w:rPr>
        <w:t xml:space="preserve">VARD </w:t>
      </w:r>
      <w:proofErr w:type="spellStart"/>
      <w:r w:rsidRPr="00C5168C">
        <w:rPr>
          <w:rFonts w:asciiTheme="minorHAnsi" w:hAnsiTheme="minorHAnsi"/>
          <w:color w:val="auto"/>
          <w:sz w:val="18"/>
          <w:szCs w:val="18"/>
        </w:rPr>
        <w:t>dtd</w:t>
      </w:r>
      <w:proofErr w:type="spellEnd"/>
      <w:r w:rsidRPr="00C5168C">
        <w:rPr>
          <w:rFonts w:asciiTheme="minorHAnsi" w:hAnsiTheme="minorHAnsi"/>
          <w:color w:val="auto"/>
          <w:sz w:val="18"/>
          <w:szCs w:val="18"/>
        </w:rPr>
        <w:t xml:space="preserve"> 20100915</w:t>
      </w:r>
      <w:r>
        <w:rPr>
          <w:rFonts w:asciiTheme="minorHAnsi" w:hAnsiTheme="minorHAnsi"/>
          <w:color w:val="auto"/>
          <w:sz w:val="18"/>
          <w:szCs w:val="18"/>
        </w:rPr>
        <w:t>)</w:t>
      </w:r>
      <w:r w:rsidR="00016A52">
        <w:rPr>
          <w:rFonts w:asciiTheme="minorHAnsi" w:hAnsiTheme="minorHAnsi"/>
          <w:color w:val="auto"/>
          <w:sz w:val="18"/>
          <w:szCs w:val="18"/>
        </w:rPr>
        <w:t>.</w:t>
      </w:r>
    </w:p>
    <w:p w:rsidR="00735833" w:rsidRDefault="00AE3966" w:rsidP="00735833">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C5168C">
        <w:rPr>
          <w:rFonts w:asciiTheme="minorHAnsi" w:hAnsiTheme="minorHAnsi"/>
          <w:color w:val="auto"/>
          <w:sz w:val="18"/>
          <w:szCs w:val="18"/>
        </w:rPr>
        <w:t>*</w:t>
      </w:r>
      <w:r w:rsidR="00E126A0" w:rsidRPr="00C5168C">
        <w:rPr>
          <w:rFonts w:asciiTheme="minorHAnsi" w:hAnsiTheme="minorHAnsi"/>
          <w:color w:val="auto"/>
          <w:sz w:val="18"/>
          <w:szCs w:val="18"/>
        </w:rPr>
        <w:t xml:space="preserve">*PTSD </w:t>
      </w:r>
      <w:r w:rsidR="00735833">
        <w:rPr>
          <w:rFonts w:asciiTheme="minorHAnsi" w:hAnsiTheme="minorHAnsi"/>
          <w:color w:val="auto"/>
          <w:sz w:val="18"/>
          <w:szCs w:val="18"/>
        </w:rPr>
        <w:t>not incorporated into proximate rating decision; added on</w:t>
      </w:r>
      <w:r w:rsidR="00E126A0" w:rsidRPr="00C5168C">
        <w:rPr>
          <w:rFonts w:asciiTheme="minorHAnsi" w:hAnsiTheme="minorHAnsi"/>
          <w:color w:val="auto"/>
          <w:sz w:val="18"/>
          <w:szCs w:val="18"/>
        </w:rPr>
        <w:t xml:space="preserve"> VARD </w:t>
      </w:r>
      <w:proofErr w:type="spellStart"/>
      <w:r w:rsidR="00E126A0" w:rsidRPr="00C5168C">
        <w:rPr>
          <w:rFonts w:asciiTheme="minorHAnsi" w:hAnsiTheme="minorHAnsi"/>
          <w:color w:val="auto"/>
          <w:sz w:val="18"/>
          <w:szCs w:val="18"/>
        </w:rPr>
        <w:t>dtd</w:t>
      </w:r>
      <w:proofErr w:type="spellEnd"/>
      <w:r w:rsidR="00E126A0" w:rsidRPr="00C5168C">
        <w:rPr>
          <w:rFonts w:asciiTheme="minorHAnsi" w:hAnsiTheme="minorHAnsi"/>
          <w:color w:val="auto"/>
          <w:sz w:val="18"/>
          <w:szCs w:val="18"/>
        </w:rPr>
        <w:t xml:space="preserve"> 20100413 </w:t>
      </w:r>
      <w:r w:rsidR="00735833">
        <w:rPr>
          <w:rFonts w:asciiTheme="minorHAnsi" w:hAnsiTheme="minorHAnsi"/>
          <w:color w:val="auto"/>
          <w:sz w:val="18"/>
          <w:szCs w:val="18"/>
        </w:rPr>
        <w:t>citing exam 14 months post-separation,</w:t>
      </w:r>
    </w:p>
    <w:p w:rsidR="00CC059A" w:rsidRDefault="00735833" w:rsidP="00735833">
      <w:pPr>
        <w:pBdr>
          <w:bottom w:val="single" w:sz="12" w:space="1" w:color="auto"/>
        </w:pBdr>
        <w:tabs>
          <w:tab w:val="left" w:pos="288"/>
          <w:tab w:val="left" w:pos="4752"/>
        </w:tabs>
        <w:spacing w:line="240" w:lineRule="exact"/>
        <w:jc w:val="both"/>
        <w:rPr>
          <w:rFonts w:asciiTheme="minorHAnsi" w:hAnsiTheme="minorHAnsi"/>
          <w:b/>
          <w:color w:val="auto"/>
          <w:u w:val="single"/>
        </w:rPr>
      </w:pPr>
      <w:r>
        <w:rPr>
          <w:rFonts w:asciiTheme="minorHAnsi" w:hAnsiTheme="minorHAnsi"/>
          <w:color w:val="auto"/>
          <w:sz w:val="18"/>
          <w:szCs w:val="18"/>
        </w:rPr>
        <w:t xml:space="preserve">     </w:t>
      </w:r>
      <w:proofErr w:type="gramStart"/>
      <w:r>
        <w:rPr>
          <w:rFonts w:asciiTheme="minorHAnsi" w:hAnsiTheme="minorHAnsi"/>
          <w:color w:val="auto"/>
          <w:sz w:val="18"/>
          <w:szCs w:val="18"/>
        </w:rPr>
        <w:t>but</w:t>
      </w:r>
      <w:proofErr w:type="gramEnd"/>
      <w:r>
        <w:rPr>
          <w:rFonts w:asciiTheme="minorHAnsi" w:hAnsiTheme="minorHAnsi"/>
          <w:color w:val="auto"/>
          <w:sz w:val="18"/>
          <w:szCs w:val="18"/>
        </w:rPr>
        <w:t xml:space="preserve"> applied retroeffectively.</w:t>
      </w:r>
    </w:p>
    <w:p w:rsidR="00CC059A" w:rsidRPr="00391858" w:rsidRDefault="00CC059A"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007F48" w:rsidRDefault="002C6E5B" w:rsidP="00FD3742">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DE00AF">
        <w:rPr>
          <w:rFonts w:asciiTheme="minorHAnsi" w:hAnsiTheme="minorHAnsi"/>
          <w:color w:val="auto"/>
          <w:szCs w:val="24"/>
        </w:rPr>
        <w:t xml:space="preserve">  </w:t>
      </w:r>
      <w:r w:rsidR="00007F48" w:rsidRPr="00007F48">
        <w:rPr>
          <w:rFonts w:asciiTheme="minorHAnsi" w:hAnsiTheme="minorHAns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34707D">
        <w:rPr>
          <w:rFonts w:asciiTheme="minorHAnsi" w:hAnsiTheme="minorHAnsi"/>
          <w:color w:val="auto"/>
          <w:szCs w:val="24"/>
        </w:rPr>
        <w:t xml:space="preserve">military Disability Evaluation System (DES) operates.  The </w:t>
      </w:r>
      <w:r w:rsidR="00007F48" w:rsidRPr="00007F48">
        <w:rPr>
          <w:rFonts w:asciiTheme="minorHAnsi" w:hAnsiTheme="minorHAnsi"/>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34707D">
        <w:rPr>
          <w:rFonts w:asciiTheme="minorHAnsi" w:hAnsiTheme="minorHAnsi"/>
          <w:color w:val="auto"/>
          <w:szCs w:val="24"/>
        </w:rPr>
        <w:t>Department of Veteran Affairs (</w:t>
      </w:r>
      <w:r w:rsidR="00A06C8B">
        <w:rPr>
          <w:rFonts w:asciiTheme="minorHAnsi" w:hAnsiTheme="minorHAnsi"/>
          <w:color w:val="auto"/>
          <w:szCs w:val="24"/>
        </w:rPr>
        <w:t>D</w:t>
      </w:r>
      <w:r w:rsidR="00007F48" w:rsidRPr="00007F48">
        <w:rPr>
          <w:rFonts w:asciiTheme="minorHAnsi" w:hAnsiTheme="minorHAnsi"/>
          <w:color w:val="auto"/>
          <w:szCs w:val="24"/>
        </w:rPr>
        <w:t xml:space="preserve">VA), operating under a different set of laws (Title 38, United States Code).  The Board evaluates </w:t>
      </w:r>
      <w:r w:rsidR="00A06C8B">
        <w:rPr>
          <w:rFonts w:asciiTheme="minorHAnsi" w:hAnsiTheme="minorHAnsi"/>
          <w:color w:val="auto"/>
          <w:szCs w:val="24"/>
        </w:rPr>
        <w:t>D</w:t>
      </w:r>
      <w:r w:rsidR="00007F48" w:rsidRPr="00007F48">
        <w:rPr>
          <w:rFonts w:asciiTheme="minorHAnsi" w:hAnsiTheme="minorHAnsi"/>
          <w:color w:val="auto"/>
          <w:szCs w:val="24"/>
        </w:rPr>
        <w:t>VA evidence proximal to separation in arriving at its recommendations, but its authority resides</w:t>
      </w:r>
      <w:r w:rsidR="0034707D">
        <w:rPr>
          <w:rFonts w:asciiTheme="minorHAnsi" w:hAnsiTheme="minorHAnsi"/>
          <w:color w:val="auto"/>
          <w:szCs w:val="24"/>
        </w:rPr>
        <w:t xml:space="preserve"> in evaluating the fairness of </w:t>
      </w:r>
      <w:r w:rsidR="00007F48" w:rsidRPr="00007F48">
        <w:rPr>
          <w:rFonts w:asciiTheme="minorHAnsi" w:hAnsiTheme="minorHAnsi"/>
          <w:color w:val="auto"/>
          <w:szCs w:val="24"/>
        </w:rPr>
        <w:t>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34707D">
        <w:rPr>
          <w:rFonts w:asciiTheme="minorHAnsi" w:hAnsiTheme="minorHAnsi"/>
          <w:color w:val="auto"/>
          <w:szCs w:val="24"/>
        </w:rPr>
        <w:t xml:space="preserve">he same governance.  While the </w:t>
      </w:r>
      <w:r w:rsidR="00007F48" w:rsidRPr="00007F48">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w:t>
      </w:r>
      <w:r w:rsidR="0034707D">
        <w:rPr>
          <w:rFonts w:asciiTheme="minorHAnsi" w:hAnsiTheme="minorHAnsi"/>
          <w:color w:val="auto"/>
          <w:szCs w:val="24"/>
        </w:rPr>
        <w:t xml:space="preserve">ime of final disposition.  The </w:t>
      </w:r>
      <w:r w:rsidR="00A06C8B">
        <w:rPr>
          <w:rFonts w:asciiTheme="minorHAnsi" w:hAnsiTheme="minorHAnsi"/>
          <w:color w:val="auto"/>
          <w:szCs w:val="24"/>
        </w:rPr>
        <w:t>D</w:t>
      </w:r>
      <w:r w:rsidR="00007F48" w:rsidRPr="00007F48">
        <w:rPr>
          <w:rFonts w:asciiTheme="minorHAnsi" w:hAnsiTheme="minorHAnsi"/>
          <w:color w:val="auto"/>
          <w:szCs w:val="24"/>
        </w:rPr>
        <w:t>VA, however, is empowered to compensate service</w:t>
      </w:r>
      <w:r w:rsidR="00A06C8B">
        <w:rPr>
          <w:rFonts w:asciiTheme="minorHAnsi" w:hAnsiTheme="minorHAnsi"/>
          <w:color w:val="auto"/>
          <w:szCs w:val="24"/>
        </w:rPr>
        <w:t>-</w:t>
      </w:r>
      <w:r w:rsidR="00007F48" w:rsidRPr="00007F48">
        <w:rPr>
          <w:rFonts w:asciiTheme="minorHAnsi" w:hAnsiTheme="minorHAnsi"/>
          <w:color w:val="auto"/>
          <w:szCs w:val="24"/>
        </w:rPr>
        <w:t xml:space="preserve">connected conditions and to periodically re-evaluate said conditions for the purpose of adjusting the </w:t>
      </w:r>
      <w:r w:rsidR="00A06C8B">
        <w:rPr>
          <w:rFonts w:asciiTheme="minorHAnsi" w:hAnsiTheme="minorHAnsi"/>
          <w:color w:val="auto"/>
          <w:szCs w:val="24"/>
        </w:rPr>
        <w:t>V</w:t>
      </w:r>
      <w:r w:rsidR="00007F48" w:rsidRPr="00007F48">
        <w:rPr>
          <w:rFonts w:asciiTheme="minorHAnsi" w:hAnsiTheme="minorHAnsi"/>
          <w:color w:val="auto"/>
          <w:szCs w:val="24"/>
        </w:rPr>
        <w:t>eteran’s disability rating should his degree of impairment vary over time.</w:t>
      </w:r>
    </w:p>
    <w:p w:rsidR="00007F48" w:rsidRDefault="00007F48" w:rsidP="00FD3742">
      <w:pPr>
        <w:spacing w:line="240" w:lineRule="exact"/>
        <w:jc w:val="both"/>
        <w:rPr>
          <w:rFonts w:asciiTheme="minorHAnsi" w:hAnsiTheme="minorHAnsi"/>
          <w:color w:val="auto"/>
          <w:szCs w:val="24"/>
        </w:rPr>
      </w:pPr>
    </w:p>
    <w:p w:rsidR="0055786C" w:rsidRDefault="00DE00AF" w:rsidP="0055786C">
      <w:pPr>
        <w:tabs>
          <w:tab w:val="left" w:pos="288"/>
          <w:tab w:val="left" w:pos="4752"/>
        </w:tabs>
        <w:spacing w:line="240" w:lineRule="exact"/>
        <w:jc w:val="both"/>
        <w:rPr>
          <w:rFonts w:asciiTheme="minorHAnsi" w:hAnsiTheme="minorHAnsi"/>
          <w:color w:val="auto"/>
          <w:szCs w:val="24"/>
        </w:rPr>
      </w:pPr>
      <w:r w:rsidRPr="00DE00AF">
        <w:rPr>
          <w:rFonts w:asciiTheme="minorHAnsi" w:hAnsiTheme="minorHAnsi"/>
          <w:color w:val="auto"/>
          <w:szCs w:val="24"/>
        </w:rPr>
        <w:t xml:space="preserve">The Board </w:t>
      </w:r>
      <w:r w:rsidR="00007F48">
        <w:rPr>
          <w:rFonts w:asciiTheme="minorHAnsi" w:hAnsiTheme="minorHAnsi"/>
          <w:color w:val="auto"/>
          <w:szCs w:val="24"/>
        </w:rPr>
        <w:t xml:space="preserve">further </w:t>
      </w:r>
      <w:r w:rsidRPr="00DE00AF">
        <w:rPr>
          <w:rFonts w:asciiTheme="minorHAnsi" w:hAnsiTheme="minorHAnsi"/>
          <w:color w:val="auto"/>
          <w:szCs w:val="24"/>
        </w:rPr>
        <w:t>acknowle</w:t>
      </w:r>
      <w:r>
        <w:rPr>
          <w:rFonts w:asciiTheme="minorHAnsi" w:hAnsiTheme="minorHAnsi"/>
          <w:color w:val="auto"/>
          <w:szCs w:val="24"/>
        </w:rPr>
        <w:t xml:space="preserve">dges the CI’s </w:t>
      </w:r>
      <w:r w:rsidR="003E0824">
        <w:rPr>
          <w:rFonts w:asciiTheme="minorHAnsi" w:hAnsiTheme="minorHAnsi"/>
          <w:color w:val="auto"/>
          <w:szCs w:val="24"/>
        </w:rPr>
        <w:t xml:space="preserve">accurate assertion regarding the discrepancy </w:t>
      </w:r>
      <w:r w:rsidR="00007F48">
        <w:rPr>
          <w:rFonts w:asciiTheme="minorHAnsi" w:hAnsiTheme="minorHAnsi"/>
          <w:color w:val="auto"/>
          <w:szCs w:val="24"/>
        </w:rPr>
        <w:t>between the Service and VA ratings for his headache and TBI-associated conditions, but notes that DoDI 6040.44 (under which the Board operates) specifies that it must apply the VASRD criteria in effect on the day of separation (see first footnote in the above rating comparison chart).</w:t>
      </w:r>
      <w:r w:rsidR="001D19D1">
        <w:rPr>
          <w:rFonts w:asciiTheme="minorHAnsi" w:hAnsiTheme="minorHAnsi"/>
          <w:color w:val="auto"/>
          <w:szCs w:val="24"/>
        </w:rPr>
        <w:t xml:space="preserve">  Finally, </w:t>
      </w:r>
      <w:r w:rsidR="001D19D1">
        <w:rPr>
          <w:rFonts w:eastAsiaTheme="minorHAnsi" w:cstheme="minorBidi"/>
          <w:color w:val="auto"/>
          <w:szCs w:val="24"/>
        </w:rPr>
        <w:t>t</w:t>
      </w:r>
      <w:r w:rsidR="001D19D1" w:rsidRPr="001D19D1">
        <w:rPr>
          <w:rFonts w:eastAsiaTheme="minorHAnsi" w:cstheme="minorBidi"/>
          <w:color w:val="auto"/>
          <w:szCs w:val="24"/>
        </w:rPr>
        <w:t xml:space="preserve">he Board acknowledges the CI’s assertions </w:t>
      </w:r>
      <w:r w:rsidR="001D19D1">
        <w:rPr>
          <w:rFonts w:eastAsiaTheme="minorHAnsi" w:cstheme="minorBidi"/>
          <w:color w:val="auto"/>
          <w:szCs w:val="24"/>
        </w:rPr>
        <w:t xml:space="preserve">quoted above regarding suspected medical management and procedural improprieties in the processing of his case.  </w:t>
      </w:r>
      <w:r w:rsidR="001D19D1" w:rsidRPr="001D19D1">
        <w:rPr>
          <w:rFonts w:eastAsiaTheme="minorHAnsi" w:cstheme="minorBidi"/>
          <w:color w:val="auto"/>
          <w:szCs w:val="24"/>
        </w:rPr>
        <w:t xml:space="preserve">It is noted for the record that the Board has neither the jurisdiction nor authority to scrutinize or render opinions in reference to </w:t>
      </w:r>
      <w:r w:rsidR="001D19D1">
        <w:rPr>
          <w:rFonts w:eastAsiaTheme="minorHAnsi" w:cstheme="minorBidi"/>
          <w:color w:val="auto"/>
          <w:szCs w:val="24"/>
        </w:rPr>
        <w:t>such assertions</w:t>
      </w:r>
      <w:r w:rsidR="001D19D1" w:rsidRPr="001D19D1">
        <w:rPr>
          <w:rFonts w:eastAsiaTheme="minorHAnsi" w:cstheme="minorBidi"/>
          <w:color w:val="auto"/>
          <w:szCs w:val="24"/>
        </w:rPr>
        <w:t>.  The Board’s role is confined to the review of medical records and all evidence at hand to assess the fairness of PEB rating determinatio</w:t>
      </w:r>
      <w:r w:rsidR="001D19D1">
        <w:rPr>
          <w:rFonts w:eastAsiaTheme="minorHAnsi" w:cstheme="minorBidi"/>
          <w:color w:val="auto"/>
          <w:szCs w:val="24"/>
        </w:rPr>
        <w:t>ns (compared to VASRD standards)</w:t>
      </w:r>
      <w:r w:rsidR="001D19D1" w:rsidRPr="001D19D1">
        <w:rPr>
          <w:rFonts w:eastAsiaTheme="minorHAnsi" w:cstheme="minorBidi"/>
          <w:color w:val="auto"/>
          <w:szCs w:val="24"/>
        </w:rPr>
        <w:t xml:space="preserve"> </w:t>
      </w:r>
      <w:r w:rsidR="001D19D1">
        <w:rPr>
          <w:rFonts w:eastAsiaTheme="minorHAnsi" w:cstheme="minorBidi"/>
          <w:color w:val="auto"/>
          <w:szCs w:val="24"/>
        </w:rPr>
        <w:t xml:space="preserve">and </w:t>
      </w:r>
      <w:r w:rsidR="001D19D1" w:rsidRPr="001D19D1">
        <w:rPr>
          <w:rFonts w:eastAsiaTheme="minorHAnsi" w:cstheme="minorBidi"/>
          <w:color w:val="auto"/>
          <w:szCs w:val="24"/>
        </w:rPr>
        <w:t xml:space="preserve">fitness adjudications </w:t>
      </w:r>
      <w:r w:rsidR="001D19D1">
        <w:rPr>
          <w:rFonts w:eastAsiaTheme="minorHAnsi" w:cstheme="minorBidi"/>
          <w:color w:val="auto"/>
          <w:szCs w:val="24"/>
        </w:rPr>
        <w:t>(</w:t>
      </w:r>
      <w:r w:rsidR="001D19D1" w:rsidRPr="001D19D1">
        <w:rPr>
          <w:rFonts w:eastAsiaTheme="minorHAnsi" w:cstheme="minorBidi"/>
          <w:color w:val="auto"/>
          <w:szCs w:val="24"/>
        </w:rPr>
        <w:t>based on the fitness consequences of conditions as they existed at the time of separation</w:t>
      </w:r>
      <w:r w:rsidR="001D19D1">
        <w:rPr>
          <w:rFonts w:eastAsiaTheme="minorHAnsi" w:cstheme="minorBidi"/>
          <w:color w:val="auto"/>
          <w:szCs w:val="24"/>
        </w:rPr>
        <w:t>) as elaborated above</w:t>
      </w:r>
      <w:r w:rsidR="001D19D1" w:rsidRPr="001D19D1">
        <w:rPr>
          <w:rFonts w:eastAsiaTheme="minorHAnsi" w:cstheme="minorBidi"/>
          <w:color w:val="auto"/>
          <w:szCs w:val="24"/>
        </w:rPr>
        <w:t>.</w:t>
      </w:r>
    </w:p>
    <w:p w:rsidR="0055786C" w:rsidRDefault="0055786C" w:rsidP="0055786C">
      <w:pPr>
        <w:tabs>
          <w:tab w:val="left" w:pos="288"/>
          <w:tab w:val="left" w:pos="4752"/>
        </w:tabs>
        <w:spacing w:line="240" w:lineRule="exact"/>
        <w:jc w:val="both"/>
        <w:rPr>
          <w:rFonts w:asciiTheme="minorHAnsi" w:hAnsiTheme="minorHAnsi"/>
          <w:color w:val="auto"/>
          <w:szCs w:val="24"/>
        </w:rPr>
      </w:pPr>
    </w:p>
    <w:p w:rsidR="001D729C" w:rsidRDefault="00C71622" w:rsidP="00361D98">
      <w:pPr>
        <w:tabs>
          <w:tab w:val="left" w:pos="288"/>
          <w:tab w:val="left" w:pos="4752"/>
        </w:tabs>
        <w:spacing w:line="240" w:lineRule="exact"/>
        <w:jc w:val="both"/>
        <w:rPr>
          <w:rFonts w:asciiTheme="minorHAnsi" w:hAnsiTheme="minorHAnsi"/>
          <w:color w:val="auto"/>
          <w:szCs w:val="24"/>
        </w:rPr>
      </w:pPr>
      <w:proofErr w:type="spellStart"/>
      <w:proofErr w:type="gramStart"/>
      <w:r w:rsidRPr="00417F84">
        <w:rPr>
          <w:rFonts w:asciiTheme="minorHAnsi" w:hAnsiTheme="minorHAnsi"/>
          <w:color w:val="auto"/>
          <w:szCs w:val="24"/>
          <w:u w:val="single"/>
        </w:rPr>
        <w:t>Postp</w:t>
      </w:r>
      <w:r w:rsidR="00AA09A6" w:rsidRPr="00417F84">
        <w:rPr>
          <w:rFonts w:asciiTheme="minorHAnsi" w:hAnsiTheme="minorHAnsi"/>
          <w:color w:val="auto"/>
          <w:szCs w:val="24"/>
          <w:u w:val="single"/>
        </w:rPr>
        <w:t>hlebitic</w:t>
      </w:r>
      <w:proofErr w:type="spellEnd"/>
      <w:r w:rsidR="00AA09A6" w:rsidRPr="00417F84">
        <w:rPr>
          <w:rFonts w:asciiTheme="minorHAnsi" w:hAnsiTheme="minorHAnsi"/>
          <w:color w:val="auto"/>
          <w:szCs w:val="24"/>
          <w:u w:val="single"/>
        </w:rPr>
        <w:t xml:space="preserve"> Syndrome</w:t>
      </w:r>
      <w:r w:rsidR="00664296" w:rsidRPr="00664296">
        <w:rPr>
          <w:rFonts w:asciiTheme="minorHAnsi" w:hAnsiTheme="minorHAnsi"/>
          <w:color w:val="auto"/>
          <w:szCs w:val="24"/>
        </w:rPr>
        <w:t>.</w:t>
      </w:r>
      <w:proofErr w:type="gramEnd"/>
      <w:r w:rsidR="00B93F2F">
        <w:rPr>
          <w:rFonts w:asciiTheme="minorHAnsi" w:hAnsiTheme="minorHAnsi"/>
          <w:color w:val="auto"/>
          <w:szCs w:val="24"/>
        </w:rPr>
        <w:t xml:space="preserve">  T</w:t>
      </w:r>
      <w:r w:rsidR="00AD2E76">
        <w:rPr>
          <w:rFonts w:asciiTheme="minorHAnsi" w:hAnsiTheme="minorHAnsi"/>
          <w:color w:val="auto"/>
          <w:szCs w:val="24"/>
        </w:rPr>
        <w:t xml:space="preserve">he CI was diagnosed with DVT in </w:t>
      </w:r>
      <w:r w:rsidR="007B31AC">
        <w:rPr>
          <w:rFonts w:asciiTheme="minorHAnsi" w:hAnsiTheme="minorHAnsi"/>
          <w:color w:val="auto"/>
          <w:szCs w:val="24"/>
        </w:rPr>
        <w:t>Iraq</w:t>
      </w:r>
      <w:r w:rsidR="00B93F2F">
        <w:rPr>
          <w:rFonts w:asciiTheme="minorHAnsi" w:hAnsiTheme="minorHAnsi"/>
          <w:color w:val="auto"/>
          <w:szCs w:val="24"/>
        </w:rPr>
        <w:t xml:space="preserve"> </w:t>
      </w:r>
      <w:r w:rsidR="00417F84">
        <w:rPr>
          <w:rFonts w:asciiTheme="minorHAnsi" w:hAnsiTheme="minorHAnsi"/>
          <w:color w:val="auto"/>
          <w:szCs w:val="24"/>
        </w:rPr>
        <w:t>after he developed LLE pain that was worsening over a trial of conservative treatment</w:t>
      </w:r>
      <w:r w:rsidR="007B31AC" w:rsidRPr="007B31AC">
        <w:rPr>
          <w:rFonts w:asciiTheme="minorHAnsi" w:hAnsiTheme="minorHAnsi"/>
          <w:color w:val="auto"/>
          <w:szCs w:val="24"/>
        </w:rPr>
        <w:t xml:space="preserve"> </w:t>
      </w:r>
      <w:r w:rsidR="007B31AC">
        <w:rPr>
          <w:rFonts w:asciiTheme="minorHAnsi" w:hAnsiTheme="minorHAnsi"/>
          <w:color w:val="auto"/>
          <w:szCs w:val="24"/>
        </w:rPr>
        <w:t>in theater</w:t>
      </w:r>
      <w:r w:rsidR="00417F84">
        <w:rPr>
          <w:rFonts w:asciiTheme="minorHAnsi" w:hAnsiTheme="minorHAnsi"/>
          <w:color w:val="auto"/>
          <w:szCs w:val="24"/>
        </w:rPr>
        <w:t xml:space="preserve">; </w:t>
      </w:r>
      <w:r w:rsidR="007B31AC">
        <w:rPr>
          <w:rFonts w:asciiTheme="minorHAnsi" w:hAnsiTheme="minorHAnsi"/>
          <w:color w:val="auto"/>
          <w:szCs w:val="24"/>
        </w:rPr>
        <w:t xml:space="preserve">which was </w:t>
      </w:r>
      <w:r w:rsidR="00417F84">
        <w:rPr>
          <w:rFonts w:asciiTheme="minorHAnsi" w:hAnsiTheme="minorHAnsi"/>
          <w:color w:val="auto"/>
          <w:szCs w:val="24"/>
        </w:rPr>
        <w:t xml:space="preserve">followed by medical evacuation and a </w:t>
      </w:r>
      <w:r w:rsidR="007B31AC">
        <w:rPr>
          <w:rFonts w:asciiTheme="minorHAnsi" w:hAnsiTheme="minorHAnsi"/>
          <w:color w:val="auto"/>
          <w:szCs w:val="24"/>
        </w:rPr>
        <w:t>nine</w:t>
      </w:r>
      <w:r w:rsidR="0062746D">
        <w:rPr>
          <w:rFonts w:asciiTheme="minorHAnsi" w:hAnsiTheme="minorHAnsi"/>
          <w:color w:val="auto"/>
          <w:szCs w:val="24"/>
        </w:rPr>
        <w:t xml:space="preserve"> month course of </w:t>
      </w:r>
      <w:r w:rsidR="00417F84">
        <w:rPr>
          <w:rFonts w:asciiTheme="minorHAnsi" w:hAnsiTheme="minorHAnsi"/>
          <w:color w:val="auto"/>
          <w:szCs w:val="24"/>
        </w:rPr>
        <w:t xml:space="preserve">treatment </w:t>
      </w:r>
      <w:r w:rsidR="0062746D">
        <w:rPr>
          <w:rFonts w:asciiTheme="minorHAnsi" w:hAnsiTheme="minorHAnsi"/>
          <w:color w:val="auto"/>
          <w:szCs w:val="24"/>
        </w:rPr>
        <w:t>with</w:t>
      </w:r>
      <w:r w:rsidR="00AD2E76">
        <w:rPr>
          <w:rFonts w:asciiTheme="minorHAnsi" w:hAnsiTheme="minorHAnsi"/>
          <w:color w:val="auto"/>
          <w:szCs w:val="24"/>
        </w:rPr>
        <w:t xml:space="preserve"> anticoagulant</w:t>
      </w:r>
      <w:r w:rsidR="007B31AC">
        <w:rPr>
          <w:rFonts w:asciiTheme="minorHAnsi" w:hAnsiTheme="minorHAnsi"/>
          <w:color w:val="auto"/>
          <w:szCs w:val="24"/>
        </w:rPr>
        <w:t xml:space="preserve"> after </w:t>
      </w:r>
      <w:r w:rsidR="007B31AC">
        <w:rPr>
          <w:rFonts w:asciiTheme="minorHAnsi" w:hAnsiTheme="minorHAnsi"/>
          <w:color w:val="auto"/>
          <w:szCs w:val="24"/>
        </w:rPr>
        <w:lastRenderedPageBreak/>
        <w:t>redeployment</w:t>
      </w:r>
      <w:r w:rsidR="0062746D">
        <w:rPr>
          <w:rFonts w:asciiTheme="minorHAnsi" w:hAnsiTheme="minorHAnsi"/>
          <w:color w:val="auto"/>
          <w:szCs w:val="24"/>
        </w:rPr>
        <w:t xml:space="preserve">. </w:t>
      </w:r>
      <w:r w:rsidR="00AD2E76">
        <w:rPr>
          <w:rFonts w:asciiTheme="minorHAnsi" w:hAnsiTheme="minorHAnsi"/>
          <w:color w:val="auto"/>
          <w:szCs w:val="24"/>
        </w:rPr>
        <w:t xml:space="preserve"> </w:t>
      </w:r>
      <w:r w:rsidR="007B31AC">
        <w:rPr>
          <w:rFonts w:asciiTheme="minorHAnsi" w:hAnsiTheme="minorHAnsi" w:cstheme="minorHAnsi"/>
          <w:color w:val="auto"/>
          <w:szCs w:val="24"/>
        </w:rPr>
        <w:t xml:space="preserve">The CI was thoroughly </w:t>
      </w:r>
      <w:r w:rsidR="0082108C">
        <w:rPr>
          <w:rFonts w:asciiTheme="minorHAnsi" w:hAnsiTheme="minorHAnsi" w:cstheme="minorHAnsi"/>
          <w:color w:val="auto"/>
          <w:szCs w:val="24"/>
        </w:rPr>
        <w:t xml:space="preserve">assessed by specialty consultations and multiple ancillary studies </w:t>
      </w:r>
      <w:r w:rsidR="007B31AC">
        <w:rPr>
          <w:rFonts w:asciiTheme="minorHAnsi" w:hAnsiTheme="minorHAnsi" w:cstheme="minorHAnsi"/>
          <w:color w:val="auto"/>
          <w:szCs w:val="24"/>
        </w:rPr>
        <w:t xml:space="preserve">following this treatment course; </w:t>
      </w:r>
      <w:r w:rsidR="0082108C">
        <w:rPr>
          <w:rFonts w:asciiTheme="minorHAnsi" w:hAnsiTheme="minorHAnsi" w:cstheme="minorHAnsi"/>
          <w:color w:val="auto"/>
          <w:szCs w:val="24"/>
        </w:rPr>
        <w:t xml:space="preserve">which verified the absence of any sequela (specifically pulmonary embolus) or persistent clot propagation. </w:t>
      </w:r>
      <w:r w:rsidR="00DC13AC">
        <w:rPr>
          <w:rFonts w:asciiTheme="minorHAnsi" w:hAnsiTheme="minorHAnsi" w:cstheme="minorHAnsi"/>
          <w:color w:val="auto"/>
          <w:szCs w:val="24"/>
        </w:rPr>
        <w:t xml:space="preserve"> Doppler studies </w:t>
      </w:r>
      <w:r w:rsidR="009F66AE">
        <w:rPr>
          <w:rFonts w:asciiTheme="minorHAnsi" w:hAnsiTheme="minorHAnsi" w:cstheme="minorHAnsi"/>
          <w:color w:val="auto"/>
          <w:szCs w:val="24"/>
        </w:rPr>
        <w:t xml:space="preserve">demonstrated </w:t>
      </w:r>
      <w:r w:rsidR="0043684F">
        <w:rPr>
          <w:rFonts w:asciiTheme="minorHAnsi" w:hAnsiTheme="minorHAnsi" w:cstheme="minorHAnsi"/>
          <w:color w:val="auto"/>
          <w:szCs w:val="24"/>
        </w:rPr>
        <w:t xml:space="preserve">some residual diminished </w:t>
      </w:r>
      <w:r w:rsidR="009F66AE">
        <w:rPr>
          <w:rFonts w:asciiTheme="minorHAnsi" w:hAnsiTheme="minorHAnsi" w:cstheme="minorHAnsi"/>
          <w:color w:val="auto"/>
          <w:szCs w:val="24"/>
        </w:rPr>
        <w:t>flow indices</w:t>
      </w:r>
      <w:r w:rsidR="00692390">
        <w:rPr>
          <w:rFonts w:asciiTheme="minorHAnsi" w:hAnsiTheme="minorHAnsi" w:cstheme="minorHAnsi"/>
          <w:color w:val="auto"/>
          <w:szCs w:val="24"/>
        </w:rPr>
        <w:t xml:space="preserve"> </w:t>
      </w:r>
      <w:r w:rsidR="0043684F">
        <w:rPr>
          <w:rFonts w:asciiTheme="minorHAnsi" w:hAnsiTheme="minorHAnsi" w:cstheme="minorHAnsi"/>
          <w:color w:val="auto"/>
          <w:szCs w:val="24"/>
        </w:rPr>
        <w:t xml:space="preserve">on the left which had normalized by </w:t>
      </w:r>
      <w:r w:rsidR="005F2FE8">
        <w:rPr>
          <w:rFonts w:asciiTheme="minorHAnsi" w:hAnsiTheme="minorHAnsi" w:cstheme="minorHAnsi"/>
          <w:color w:val="auto"/>
          <w:szCs w:val="24"/>
        </w:rPr>
        <w:t>April 2007</w:t>
      </w:r>
      <w:r w:rsidR="009F66AE">
        <w:rPr>
          <w:rFonts w:asciiTheme="minorHAnsi" w:hAnsiTheme="minorHAnsi" w:cstheme="minorHAnsi"/>
          <w:color w:val="auto"/>
          <w:szCs w:val="24"/>
        </w:rPr>
        <w:t xml:space="preserve">. </w:t>
      </w:r>
      <w:r w:rsidR="0043684F">
        <w:rPr>
          <w:rFonts w:asciiTheme="minorHAnsi" w:hAnsiTheme="minorHAnsi" w:cstheme="minorHAnsi"/>
          <w:color w:val="auto"/>
          <w:szCs w:val="24"/>
        </w:rPr>
        <w:t xml:space="preserve"> </w:t>
      </w:r>
      <w:r w:rsidR="00287DCC">
        <w:rPr>
          <w:rFonts w:asciiTheme="minorHAnsi" w:hAnsiTheme="minorHAnsi"/>
          <w:color w:val="auto"/>
          <w:szCs w:val="24"/>
        </w:rPr>
        <w:t xml:space="preserve">The MEB narrative summary (NARSUM) </w:t>
      </w:r>
      <w:r w:rsidR="00B93F2F">
        <w:rPr>
          <w:rFonts w:asciiTheme="minorHAnsi" w:hAnsiTheme="minorHAnsi"/>
          <w:color w:val="auto"/>
          <w:szCs w:val="24"/>
        </w:rPr>
        <w:t>noted</w:t>
      </w:r>
      <w:r w:rsidR="00287DCC">
        <w:rPr>
          <w:rFonts w:asciiTheme="minorHAnsi" w:hAnsiTheme="minorHAnsi"/>
          <w:color w:val="auto"/>
          <w:szCs w:val="24"/>
        </w:rPr>
        <w:t xml:space="preserve"> that t</w:t>
      </w:r>
      <w:r w:rsidR="00AD2E76">
        <w:rPr>
          <w:rFonts w:asciiTheme="minorHAnsi" w:hAnsiTheme="minorHAnsi"/>
          <w:color w:val="auto"/>
          <w:szCs w:val="24"/>
        </w:rPr>
        <w:t xml:space="preserve">he CI </w:t>
      </w:r>
      <w:r w:rsidR="00287DCC">
        <w:rPr>
          <w:rFonts w:asciiTheme="minorHAnsi" w:hAnsiTheme="minorHAnsi"/>
          <w:color w:val="auto"/>
          <w:szCs w:val="24"/>
        </w:rPr>
        <w:t>w</w:t>
      </w:r>
      <w:r w:rsidR="00B93F2F">
        <w:rPr>
          <w:rFonts w:asciiTheme="minorHAnsi" w:hAnsiTheme="minorHAnsi"/>
          <w:color w:val="auto"/>
          <w:szCs w:val="24"/>
        </w:rPr>
        <w:t>as experiencing</w:t>
      </w:r>
      <w:r w:rsidR="00B93C61">
        <w:rPr>
          <w:rFonts w:asciiTheme="minorHAnsi" w:hAnsiTheme="minorHAnsi"/>
          <w:color w:val="auto"/>
          <w:szCs w:val="24"/>
        </w:rPr>
        <w:t xml:space="preserve"> </w:t>
      </w:r>
      <w:r w:rsidR="00B93F2F">
        <w:rPr>
          <w:rFonts w:asciiTheme="minorHAnsi" w:hAnsiTheme="minorHAnsi"/>
          <w:color w:val="auto"/>
          <w:szCs w:val="24"/>
        </w:rPr>
        <w:t xml:space="preserve">daily pain and </w:t>
      </w:r>
      <w:r w:rsidR="00B93C61">
        <w:rPr>
          <w:rFonts w:asciiTheme="minorHAnsi" w:hAnsiTheme="minorHAnsi"/>
          <w:color w:val="auto"/>
          <w:szCs w:val="24"/>
        </w:rPr>
        <w:t xml:space="preserve">paresthesias </w:t>
      </w:r>
      <w:r w:rsidR="00B93F2F">
        <w:rPr>
          <w:rFonts w:asciiTheme="minorHAnsi" w:hAnsiTheme="minorHAnsi"/>
          <w:color w:val="auto"/>
          <w:szCs w:val="24"/>
        </w:rPr>
        <w:t>of the left lower extremity</w:t>
      </w:r>
      <w:r w:rsidR="0062746D">
        <w:rPr>
          <w:rFonts w:asciiTheme="minorHAnsi" w:hAnsiTheme="minorHAnsi"/>
          <w:color w:val="auto"/>
          <w:szCs w:val="24"/>
        </w:rPr>
        <w:t>; this</w:t>
      </w:r>
      <w:r w:rsidR="00B93F2F">
        <w:rPr>
          <w:rFonts w:asciiTheme="minorHAnsi" w:hAnsiTheme="minorHAnsi"/>
          <w:color w:val="auto"/>
          <w:szCs w:val="24"/>
        </w:rPr>
        <w:t xml:space="preserve"> requiring narcotic pain medication, rest, elevation and use of a support hose.</w:t>
      </w:r>
      <w:r w:rsidR="00287DCC">
        <w:rPr>
          <w:rFonts w:asciiTheme="minorHAnsi" w:hAnsiTheme="minorHAnsi" w:cstheme="minorHAnsi"/>
          <w:color w:val="auto"/>
          <w:szCs w:val="24"/>
        </w:rPr>
        <w:t xml:space="preserve">  </w:t>
      </w:r>
      <w:r w:rsidR="007F63F1">
        <w:rPr>
          <w:rFonts w:asciiTheme="minorHAnsi" w:hAnsiTheme="minorHAnsi" w:cstheme="minorHAnsi"/>
          <w:color w:val="auto"/>
          <w:szCs w:val="24"/>
        </w:rPr>
        <w:t>T</w:t>
      </w:r>
      <w:r w:rsidR="009F4DCF">
        <w:rPr>
          <w:rFonts w:asciiTheme="minorHAnsi" w:hAnsiTheme="minorHAnsi" w:cstheme="minorHAnsi"/>
          <w:color w:val="auto"/>
          <w:szCs w:val="24"/>
        </w:rPr>
        <w:t xml:space="preserve">he pain </w:t>
      </w:r>
      <w:r w:rsidR="00A81DCD">
        <w:rPr>
          <w:rFonts w:asciiTheme="minorHAnsi" w:hAnsiTheme="minorHAnsi" w:cstheme="minorHAnsi"/>
          <w:color w:val="auto"/>
          <w:szCs w:val="24"/>
        </w:rPr>
        <w:t>was</w:t>
      </w:r>
      <w:r w:rsidR="00CF5FF8">
        <w:rPr>
          <w:rFonts w:asciiTheme="minorHAnsi" w:hAnsiTheme="minorHAnsi" w:cstheme="minorHAnsi"/>
          <w:color w:val="auto"/>
          <w:szCs w:val="24"/>
        </w:rPr>
        <w:t xml:space="preserve"> </w:t>
      </w:r>
      <w:r w:rsidR="009F66AE">
        <w:rPr>
          <w:rFonts w:asciiTheme="minorHAnsi" w:hAnsiTheme="minorHAnsi" w:cstheme="minorHAnsi"/>
          <w:color w:val="auto"/>
          <w:szCs w:val="24"/>
        </w:rPr>
        <w:t xml:space="preserve">specifically </w:t>
      </w:r>
      <w:r w:rsidR="0062746D">
        <w:rPr>
          <w:rFonts w:asciiTheme="minorHAnsi" w:hAnsiTheme="minorHAnsi" w:cstheme="minorHAnsi"/>
          <w:color w:val="auto"/>
          <w:szCs w:val="24"/>
        </w:rPr>
        <w:t xml:space="preserve">exacerbated by </w:t>
      </w:r>
      <w:r w:rsidR="009F66AE">
        <w:rPr>
          <w:rFonts w:asciiTheme="minorHAnsi" w:hAnsiTheme="minorHAnsi" w:cstheme="minorHAnsi"/>
          <w:color w:val="auto"/>
          <w:szCs w:val="24"/>
        </w:rPr>
        <w:t>exertion</w:t>
      </w:r>
      <w:r w:rsidR="00363619">
        <w:rPr>
          <w:rFonts w:asciiTheme="minorHAnsi" w:hAnsiTheme="minorHAnsi" w:cstheme="minorHAnsi"/>
          <w:color w:val="auto"/>
          <w:szCs w:val="24"/>
        </w:rPr>
        <w:t>al activities</w:t>
      </w:r>
      <w:r w:rsidR="009F66AE">
        <w:rPr>
          <w:rFonts w:asciiTheme="minorHAnsi" w:hAnsiTheme="minorHAnsi" w:cstheme="minorHAnsi"/>
          <w:color w:val="auto"/>
          <w:szCs w:val="24"/>
        </w:rPr>
        <w:t xml:space="preserve"> and by various mechanical </w:t>
      </w:r>
      <w:r w:rsidR="0062746D">
        <w:rPr>
          <w:rFonts w:asciiTheme="minorHAnsi" w:hAnsiTheme="minorHAnsi" w:cstheme="minorHAnsi"/>
          <w:color w:val="auto"/>
          <w:szCs w:val="24"/>
        </w:rPr>
        <w:t xml:space="preserve">activities, </w:t>
      </w:r>
      <w:r w:rsidR="009F66AE">
        <w:rPr>
          <w:rFonts w:asciiTheme="minorHAnsi" w:hAnsiTheme="minorHAnsi" w:cstheme="minorHAnsi"/>
          <w:color w:val="auto"/>
          <w:szCs w:val="24"/>
        </w:rPr>
        <w:t>such as knee bending.  This</w:t>
      </w:r>
      <w:r w:rsidR="0062746D">
        <w:rPr>
          <w:rFonts w:asciiTheme="minorHAnsi" w:hAnsiTheme="minorHAnsi" w:cstheme="minorHAnsi"/>
          <w:color w:val="auto"/>
          <w:szCs w:val="24"/>
        </w:rPr>
        <w:t xml:space="preserve"> imposed</w:t>
      </w:r>
      <w:r w:rsidR="00A81DCD" w:rsidRPr="0062746D">
        <w:rPr>
          <w:rFonts w:asciiTheme="minorHAnsi" w:hAnsiTheme="minorHAnsi" w:cstheme="minorHAnsi"/>
          <w:color w:val="auto"/>
          <w:szCs w:val="24"/>
        </w:rPr>
        <w:t xml:space="preserve"> </w:t>
      </w:r>
      <w:r w:rsidR="0062746D">
        <w:rPr>
          <w:rFonts w:asciiTheme="minorHAnsi" w:hAnsiTheme="minorHAnsi" w:cstheme="minorHAnsi"/>
          <w:color w:val="auto"/>
          <w:szCs w:val="24"/>
        </w:rPr>
        <w:t>significant</w:t>
      </w:r>
      <w:r w:rsidR="009F4DCF">
        <w:rPr>
          <w:rFonts w:asciiTheme="minorHAnsi" w:hAnsiTheme="minorHAnsi" w:cstheme="minorHAnsi"/>
          <w:color w:val="auto"/>
          <w:szCs w:val="24"/>
        </w:rPr>
        <w:t xml:space="preserve"> </w:t>
      </w:r>
      <w:r w:rsidR="00CF5FF8">
        <w:rPr>
          <w:rFonts w:asciiTheme="minorHAnsi" w:hAnsiTheme="minorHAnsi" w:cstheme="minorHAnsi"/>
          <w:color w:val="auto"/>
          <w:szCs w:val="24"/>
        </w:rPr>
        <w:t xml:space="preserve">functional </w:t>
      </w:r>
      <w:r w:rsidR="0062746D">
        <w:rPr>
          <w:rFonts w:asciiTheme="minorHAnsi" w:hAnsiTheme="minorHAnsi" w:cstheme="minorHAnsi"/>
          <w:color w:val="auto"/>
          <w:szCs w:val="24"/>
        </w:rPr>
        <w:t>limitations relative to</w:t>
      </w:r>
      <w:r w:rsidR="00CF5FF8">
        <w:rPr>
          <w:rFonts w:asciiTheme="minorHAnsi" w:hAnsiTheme="minorHAnsi" w:cstheme="minorHAnsi"/>
          <w:color w:val="auto"/>
          <w:szCs w:val="24"/>
        </w:rPr>
        <w:t xml:space="preserve"> </w:t>
      </w:r>
      <w:r w:rsidR="0062746D">
        <w:rPr>
          <w:rFonts w:asciiTheme="minorHAnsi" w:hAnsiTheme="minorHAnsi" w:cstheme="minorHAnsi"/>
          <w:color w:val="auto"/>
          <w:szCs w:val="24"/>
        </w:rPr>
        <w:t>the</w:t>
      </w:r>
      <w:r w:rsidR="007C128F">
        <w:rPr>
          <w:rFonts w:asciiTheme="minorHAnsi" w:hAnsiTheme="minorHAnsi" w:cstheme="minorHAnsi"/>
          <w:color w:val="auto"/>
          <w:szCs w:val="24"/>
        </w:rPr>
        <w:t xml:space="preserve"> MOS.  His</w:t>
      </w:r>
      <w:r w:rsidR="009F66AE">
        <w:rPr>
          <w:rFonts w:asciiTheme="minorHAnsi" w:hAnsiTheme="minorHAnsi" w:cstheme="minorHAnsi"/>
          <w:color w:val="auto"/>
          <w:szCs w:val="24"/>
        </w:rPr>
        <w:t xml:space="preserve"> profile prohibited running, but allowed </w:t>
      </w:r>
      <w:r w:rsidR="00272E75">
        <w:rPr>
          <w:rFonts w:asciiTheme="minorHAnsi" w:hAnsiTheme="minorHAnsi" w:cstheme="minorHAnsi"/>
          <w:color w:val="auto"/>
          <w:szCs w:val="24"/>
        </w:rPr>
        <w:t xml:space="preserve">self-paced </w:t>
      </w:r>
      <w:r w:rsidR="009F66AE">
        <w:rPr>
          <w:rFonts w:asciiTheme="minorHAnsi" w:hAnsiTheme="minorHAnsi" w:cstheme="minorHAnsi"/>
          <w:color w:val="auto"/>
          <w:szCs w:val="24"/>
        </w:rPr>
        <w:t>walking.</w:t>
      </w:r>
      <w:r w:rsidR="0062746D">
        <w:rPr>
          <w:rFonts w:asciiTheme="minorHAnsi" w:hAnsiTheme="minorHAnsi" w:cstheme="minorHAnsi"/>
          <w:color w:val="auto"/>
          <w:szCs w:val="24"/>
        </w:rPr>
        <w:t xml:space="preserve"> </w:t>
      </w:r>
      <w:r w:rsidR="00CF5FF8">
        <w:rPr>
          <w:rFonts w:asciiTheme="minorHAnsi" w:hAnsiTheme="minorHAnsi" w:cstheme="minorHAnsi"/>
          <w:color w:val="auto"/>
          <w:szCs w:val="24"/>
        </w:rPr>
        <w:t xml:space="preserve"> The NARSUM </w:t>
      </w:r>
      <w:r w:rsidR="009F66AE">
        <w:rPr>
          <w:rFonts w:asciiTheme="minorHAnsi" w:hAnsiTheme="minorHAnsi" w:cstheme="minorHAnsi"/>
          <w:color w:val="auto"/>
          <w:szCs w:val="24"/>
        </w:rPr>
        <w:t>physical exam</w:t>
      </w:r>
      <w:r w:rsidR="0062746D">
        <w:rPr>
          <w:rFonts w:asciiTheme="minorHAnsi" w:hAnsiTheme="minorHAnsi" w:cstheme="minorHAnsi"/>
          <w:color w:val="auto"/>
          <w:szCs w:val="24"/>
        </w:rPr>
        <w:t xml:space="preserve"> documented</w:t>
      </w:r>
      <w:r w:rsidR="00A81DCD">
        <w:rPr>
          <w:rFonts w:asciiTheme="minorHAnsi" w:hAnsiTheme="minorHAnsi" w:cstheme="minorHAnsi"/>
          <w:color w:val="auto"/>
          <w:szCs w:val="24"/>
        </w:rPr>
        <w:t xml:space="preserve"> f</w:t>
      </w:r>
      <w:r w:rsidR="00A81DCD">
        <w:rPr>
          <w:rFonts w:asciiTheme="minorHAnsi" w:hAnsiTheme="minorHAnsi"/>
          <w:color w:val="auto"/>
          <w:szCs w:val="24"/>
        </w:rPr>
        <w:t>ull activ</w:t>
      </w:r>
      <w:r w:rsidR="00CF5FF8">
        <w:rPr>
          <w:rFonts w:asciiTheme="minorHAnsi" w:hAnsiTheme="minorHAnsi"/>
          <w:color w:val="auto"/>
          <w:szCs w:val="24"/>
        </w:rPr>
        <w:t xml:space="preserve">e </w:t>
      </w:r>
      <w:r w:rsidR="0034707D">
        <w:rPr>
          <w:rFonts w:asciiTheme="minorHAnsi" w:hAnsiTheme="minorHAnsi"/>
          <w:color w:val="auto"/>
          <w:szCs w:val="24"/>
        </w:rPr>
        <w:t>range-of-mo</w:t>
      </w:r>
      <w:r w:rsidR="0034707D" w:rsidRPr="0034707D">
        <w:rPr>
          <w:rFonts w:asciiTheme="minorHAnsi" w:hAnsiTheme="minorHAnsi"/>
          <w:color w:val="auto"/>
          <w:szCs w:val="24"/>
        </w:rPr>
        <w:t xml:space="preserve">tion, </w:t>
      </w:r>
      <w:r w:rsidR="0062746D" w:rsidRPr="0034707D">
        <w:rPr>
          <w:rFonts w:asciiTheme="minorHAnsi" w:hAnsiTheme="minorHAnsi"/>
          <w:color w:val="auto"/>
          <w:szCs w:val="24"/>
        </w:rPr>
        <w:t>posterior LLE tenderness</w:t>
      </w:r>
      <w:r w:rsidR="0082108C" w:rsidRPr="0034707D">
        <w:rPr>
          <w:rFonts w:asciiTheme="minorHAnsi" w:hAnsiTheme="minorHAnsi"/>
          <w:color w:val="auto"/>
          <w:szCs w:val="24"/>
        </w:rPr>
        <w:t xml:space="preserve"> (popliteal and calf), </w:t>
      </w:r>
      <w:r w:rsidR="00A81DCD" w:rsidRPr="0034707D">
        <w:rPr>
          <w:rFonts w:asciiTheme="minorHAnsi" w:hAnsiTheme="minorHAnsi"/>
          <w:color w:val="auto"/>
          <w:szCs w:val="24"/>
        </w:rPr>
        <w:t xml:space="preserve">mild </w:t>
      </w:r>
      <w:r w:rsidR="0062746D" w:rsidRPr="0034707D">
        <w:rPr>
          <w:rFonts w:asciiTheme="minorHAnsi" w:hAnsiTheme="minorHAnsi"/>
          <w:color w:val="auto"/>
          <w:szCs w:val="24"/>
        </w:rPr>
        <w:t>edema</w:t>
      </w:r>
      <w:r w:rsidR="0082108C" w:rsidRPr="0034707D">
        <w:rPr>
          <w:rFonts w:asciiTheme="minorHAnsi" w:hAnsiTheme="minorHAnsi"/>
          <w:color w:val="auto"/>
          <w:szCs w:val="24"/>
        </w:rPr>
        <w:t>, no physical signs of active DVT</w:t>
      </w:r>
      <w:r w:rsidR="00CF5FF8" w:rsidRPr="0034707D">
        <w:rPr>
          <w:rFonts w:asciiTheme="minorHAnsi" w:hAnsiTheme="minorHAnsi"/>
          <w:color w:val="auto"/>
          <w:szCs w:val="24"/>
        </w:rPr>
        <w:t>,</w:t>
      </w:r>
      <w:r w:rsidR="00A81DCD" w:rsidRPr="0034707D">
        <w:rPr>
          <w:rFonts w:asciiTheme="minorHAnsi" w:hAnsiTheme="minorHAnsi"/>
          <w:color w:val="auto"/>
          <w:szCs w:val="24"/>
        </w:rPr>
        <w:t xml:space="preserve"> </w:t>
      </w:r>
      <w:r w:rsidR="0082108C" w:rsidRPr="0034707D">
        <w:rPr>
          <w:rFonts w:asciiTheme="minorHAnsi" w:hAnsiTheme="minorHAnsi"/>
          <w:color w:val="auto"/>
          <w:szCs w:val="24"/>
        </w:rPr>
        <w:t>a</w:t>
      </w:r>
      <w:r w:rsidR="0082108C">
        <w:rPr>
          <w:rFonts w:asciiTheme="minorHAnsi" w:hAnsiTheme="minorHAnsi"/>
          <w:color w:val="auto"/>
          <w:szCs w:val="24"/>
        </w:rPr>
        <w:t xml:space="preserve"> slight decrease in LLE </w:t>
      </w:r>
      <w:r w:rsidR="00A81DCD">
        <w:rPr>
          <w:rFonts w:asciiTheme="minorHAnsi" w:hAnsiTheme="minorHAnsi"/>
          <w:color w:val="auto"/>
          <w:szCs w:val="24"/>
        </w:rPr>
        <w:t>strength</w:t>
      </w:r>
      <w:r w:rsidR="0082108C">
        <w:rPr>
          <w:rFonts w:asciiTheme="minorHAnsi" w:hAnsiTheme="minorHAnsi"/>
          <w:color w:val="auto"/>
          <w:szCs w:val="24"/>
        </w:rPr>
        <w:t>, and no additional signs of neurologic or vascular compromise.</w:t>
      </w:r>
      <w:r w:rsidR="00A81DCD">
        <w:rPr>
          <w:rFonts w:asciiTheme="minorHAnsi" w:hAnsiTheme="minorHAnsi"/>
          <w:color w:val="auto"/>
          <w:szCs w:val="24"/>
        </w:rPr>
        <w:t xml:space="preserve"> </w:t>
      </w:r>
      <w:r w:rsidR="007C128F">
        <w:rPr>
          <w:rFonts w:asciiTheme="minorHAnsi" w:hAnsiTheme="minorHAnsi"/>
          <w:color w:val="auto"/>
          <w:szCs w:val="24"/>
        </w:rPr>
        <w:t xml:space="preserve"> </w:t>
      </w:r>
      <w:r w:rsidR="00272E75">
        <w:rPr>
          <w:rFonts w:asciiTheme="minorHAnsi" w:hAnsiTheme="minorHAnsi"/>
          <w:color w:val="auto"/>
          <w:szCs w:val="24"/>
        </w:rPr>
        <w:t xml:space="preserve">Also in evidence is a vascular specialty exam, performed a few weeks after the NARSUM exam, which documented the absence of edema.  </w:t>
      </w:r>
      <w:r w:rsidR="0034707D">
        <w:rPr>
          <w:rFonts w:asciiTheme="minorHAnsi" w:hAnsiTheme="minorHAnsi" w:cstheme="minorHAnsi"/>
          <w:color w:val="auto"/>
          <w:szCs w:val="24"/>
        </w:rPr>
        <w:t>The VA compensation and p</w:t>
      </w:r>
      <w:r w:rsidR="00361D98">
        <w:rPr>
          <w:rFonts w:asciiTheme="minorHAnsi" w:hAnsiTheme="minorHAnsi" w:cstheme="minorHAnsi"/>
          <w:color w:val="auto"/>
          <w:szCs w:val="24"/>
        </w:rPr>
        <w:t>e</w:t>
      </w:r>
      <w:r w:rsidR="0082108C">
        <w:rPr>
          <w:rFonts w:asciiTheme="minorHAnsi" w:hAnsiTheme="minorHAnsi" w:cstheme="minorHAnsi"/>
          <w:color w:val="auto"/>
          <w:szCs w:val="24"/>
        </w:rPr>
        <w:t>nsion (C&amp;P) examiner (</w:t>
      </w:r>
      <w:r w:rsidR="00A06C8B">
        <w:rPr>
          <w:rFonts w:asciiTheme="minorHAnsi" w:hAnsiTheme="minorHAnsi" w:cstheme="minorHAnsi"/>
          <w:color w:val="auto"/>
          <w:szCs w:val="24"/>
        </w:rPr>
        <w:t>a</w:t>
      </w:r>
      <w:r w:rsidR="0082108C">
        <w:rPr>
          <w:rFonts w:asciiTheme="minorHAnsi" w:hAnsiTheme="minorHAnsi" w:cstheme="minorHAnsi"/>
          <w:color w:val="auto"/>
          <w:szCs w:val="24"/>
        </w:rPr>
        <w:t xml:space="preserve"> month pr</w:t>
      </w:r>
      <w:r w:rsidR="00A06C8B">
        <w:rPr>
          <w:rFonts w:asciiTheme="minorHAnsi" w:hAnsiTheme="minorHAnsi" w:cstheme="minorHAnsi"/>
          <w:color w:val="auto"/>
          <w:szCs w:val="24"/>
        </w:rPr>
        <w:t xml:space="preserve">ior to </w:t>
      </w:r>
      <w:r w:rsidR="0082108C">
        <w:rPr>
          <w:rFonts w:asciiTheme="minorHAnsi" w:hAnsiTheme="minorHAnsi" w:cstheme="minorHAnsi"/>
          <w:color w:val="auto"/>
          <w:szCs w:val="24"/>
        </w:rPr>
        <w:t>separation)</w:t>
      </w:r>
      <w:r w:rsidR="00BA04DC">
        <w:rPr>
          <w:rFonts w:asciiTheme="minorHAnsi" w:hAnsiTheme="minorHAnsi" w:cstheme="minorHAnsi"/>
          <w:color w:val="auto"/>
          <w:szCs w:val="24"/>
        </w:rPr>
        <w:t xml:space="preserve"> </w:t>
      </w:r>
      <w:r w:rsidR="00361D98">
        <w:rPr>
          <w:rFonts w:asciiTheme="minorHAnsi" w:hAnsiTheme="minorHAnsi"/>
          <w:color w:val="auto"/>
          <w:szCs w:val="24"/>
        </w:rPr>
        <w:t xml:space="preserve">confirmed the subjective complaints documented in the NARSUM.  The </w:t>
      </w:r>
      <w:r w:rsidR="00C3142D">
        <w:rPr>
          <w:rFonts w:asciiTheme="minorHAnsi" w:hAnsiTheme="minorHAnsi"/>
          <w:color w:val="auto"/>
          <w:szCs w:val="24"/>
        </w:rPr>
        <w:t xml:space="preserve">only documented physical finding was </w:t>
      </w:r>
      <w:r w:rsidR="009F66AE">
        <w:rPr>
          <w:rFonts w:asciiTheme="minorHAnsi" w:hAnsiTheme="minorHAnsi"/>
          <w:color w:val="auto"/>
          <w:szCs w:val="24"/>
        </w:rPr>
        <w:t xml:space="preserve">tenderness </w:t>
      </w:r>
      <w:r w:rsidR="007C128F">
        <w:rPr>
          <w:rFonts w:asciiTheme="minorHAnsi" w:hAnsiTheme="minorHAnsi"/>
          <w:color w:val="auto"/>
          <w:szCs w:val="24"/>
        </w:rPr>
        <w:t xml:space="preserve">similar </w:t>
      </w:r>
      <w:r w:rsidR="009F66AE">
        <w:rPr>
          <w:rFonts w:asciiTheme="minorHAnsi" w:hAnsiTheme="minorHAnsi"/>
          <w:color w:val="auto"/>
          <w:szCs w:val="24"/>
        </w:rPr>
        <w:t>to that</w:t>
      </w:r>
      <w:r w:rsidR="00C3142D">
        <w:rPr>
          <w:rFonts w:asciiTheme="minorHAnsi" w:hAnsiTheme="minorHAnsi"/>
          <w:color w:val="auto"/>
          <w:szCs w:val="24"/>
        </w:rPr>
        <w:t xml:space="preserve"> noted by the MEB examiner; </w:t>
      </w:r>
      <w:r w:rsidR="007C128F">
        <w:rPr>
          <w:rFonts w:asciiTheme="minorHAnsi" w:hAnsiTheme="minorHAnsi"/>
          <w:color w:val="auto"/>
          <w:szCs w:val="24"/>
        </w:rPr>
        <w:t>although</w:t>
      </w:r>
      <w:r w:rsidR="00C3142D">
        <w:rPr>
          <w:rFonts w:asciiTheme="minorHAnsi" w:hAnsiTheme="minorHAnsi"/>
          <w:color w:val="auto"/>
          <w:szCs w:val="24"/>
        </w:rPr>
        <w:t>, the VA examiner recorded normal motor findings and absent edema (co</w:t>
      </w:r>
      <w:r w:rsidR="009F66AE">
        <w:rPr>
          <w:rFonts w:asciiTheme="minorHAnsi" w:hAnsiTheme="minorHAnsi"/>
          <w:color w:val="auto"/>
          <w:szCs w:val="24"/>
        </w:rPr>
        <w:t>nfirmed by measured calf circumf</w:t>
      </w:r>
      <w:r w:rsidR="00C3142D">
        <w:rPr>
          <w:rFonts w:asciiTheme="minorHAnsi" w:hAnsiTheme="minorHAnsi"/>
          <w:color w:val="auto"/>
          <w:szCs w:val="24"/>
        </w:rPr>
        <w:t xml:space="preserve">erences). </w:t>
      </w:r>
      <w:r w:rsidR="003304DA">
        <w:rPr>
          <w:rFonts w:asciiTheme="minorHAnsi" w:hAnsiTheme="minorHAnsi"/>
          <w:color w:val="auto"/>
          <w:szCs w:val="24"/>
        </w:rPr>
        <w:t xml:space="preserve"> Also in evidence were VA clinic examinations, quite proximate to separation, which documented edema.</w:t>
      </w:r>
    </w:p>
    <w:p w:rsidR="004A3500" w:rsidRDefault="004A3500" w:rsidP="00361D98">
      <w:pPr>
        <w:tabs>
          <w:tab w:val="left" w:pos="288"/>
          <w:tab w:val="left" w:pos="4752"/>
        </w:tabs>
        <w:spacing w:line="240" w:lineRule="exact"/>
        <w:jc w:val="both"/>
        <w:rPr>
          <w:rFonts w:asciiTheme="minorHAnsi" w:hAnsiTheme="minorHAnsi"/>
          <w:color w:val="auto"/>
          <w:szCs w:val="24"/>
        </w:rPr>
      </w:pPr>
    </w:p>
    <w:p w:rsidR="006C186C" w:rsidRPr="003F5959" w:rsidRDefault="001D729C" w:rsidP="00E5674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 directs its attenti</w:t>
      </w:r>
      <w:r w:rsidR="00DC13AC">
        <w:rPr>
          <w:rFonts w:asciiTheme="minorHAnsi" w:hAnsiTheme="minorHAnsi"/>
          <w:color w:val="auto"/>
          <w:szCs w:val="24"/>
        </w:rPr>
        <w:t>on to its rating recommendation</w:t>
      </w:r>
      <w:r>
        <w:rPr>
          <w:rFonts w:asciiTheme="minorHAnsi" w:hAnsiTheme="minorHAnsi"/>
          <w:color w:val="auto"/>
          <w:szCs w:val="24"/>
        </w:rPr>
        <w:t xml:space="preserve"> based on the evidence just described.  </w:t>
      </w:r>
      <w:r w:rsidR="00476A7D">
        <w:rPr>
          <w:rFonts w:asciiTheme="minorHAnsi" w:hAnsiTheme="minorHAnsi"/>
          <w:color w:val="auto"/>
          <w:szCs w:val="24"/>
        </w:rPr>
        <w:t>The logical code for rating is 7121 (post-phlebitic syndrome of any etiology), which was applied by the PEB; although, the VA employed the hyphenated code 7114 (a</w:t>
      </w:r>
      <w:r w:rsidR="00476A7D" w:rsidRPr="00627B0C">
        <w:rPr>
          <w:rFonts w:asciiTheme="minorHAnsi" w:hAnsiTheme="minorHAnsi"/>
          <w:color w:val="auto"/>
          <w:szCs w:val="24"/>
        </w:rPr>
        <w:t>rteriosclerosis obliterans</w:t>
      </w:r>
      <w:r w:rsidR="00476A7D">
        <w:rPr>
          <w:rFonts w:asciiTheme="minorHAnsi" w:hAnsiTheme="minorHAnsi"/>
          <w:color w:val="auto"/>
          <w:szCs w:val="24"/>
        </w:rPr>
        <w:t>) rated under 7121.  The VA rated the condition at 20% based on persistent edema incompletely relieved by elevation of the extremity; deep vein venous insufficiency; and, for intermittent claudication (exertional leg pa</w:t>
      </w:r>
      <w:r w:rsidR="00363619">
        <w:rPr>
          <w:rFonts w:asciiTheme="minorHAnsi" w:hAnsiTheme="minorHAnsi"/>
          <w:color w:val="auto"/>
          <w:szCs w:val="24"/>
        </w:rPr>
        <w:t>in caused by poor blood supply)</w:t>
      </w:r>
      <w:r w:rsidR="00476A7D">
        <w:rPr>
          <w:rFonts w:asciiTheme="minorHAnsi" w:hAnsiTheme="minorHAnsi"/>
          <w:color w:val="auto"/>
          <w:szCs w:val="24"/>
        </w:rPr>
        <w:t xml:space="preserve">.  </w:t>
      </w:r>
      <w:r w:rsidR="00363619">
        <w:rPr>
          <w:rFonts w:asciiTheme="minorHAnsi" w:hAnsiTheme="minorHAnsi"/>
          <w:color w:val="auto"/>
          <w:szCs w:val="24"/>
        </w:rPr>
        <w:t xml:space="preserve">This approach actually applies criteria derived from both hyphenated codes, not just the rated code (7121).   </w:t>
      </w:r>
      <w:r w:rsidR="0043684F">
        <w:rPr>
          <w:rFonts w:asciiTheme="minorHAnsi" w:hAnsiTheme="minorHAnsi"/>
          <w:color w:val="auto"/>
          <w:szCs w:val="24"/>
        </w:rPr>
        <w:t xml:space="preserve">The VA rating decision referenced the </w:t>
      </w:r>
      <w:r w:rsidR="00692390">
        <w:rPr>
          <w:rFonts w:asciiTheme="minorHAnsi" w:hAnsiTheme="minorHAnsi"/>
          <w:color w:val="auto"/>
          <w:szCs w:val="24"/>
        </w:rPr>
        <w:t xml:space="preserve">initial </w:t>
      </w:r>
      <w:r w:rsidR="0043684F">
        <w:rPr>
          <w:rFonts w:asciiTheme="minorHAnsi" w:hAnsiTheme="minorHAnsi" w:cstheme="minorHAnsi"/>
          <w:color w:val="auto"/>
          <w:szCs w:val="24"/>
        </w:rPr>
        <w:t xml:space="preserve">residual diminished flow indices </w:t>
      </w:r>
      <w:r w:rsidR="00692390">
        <w:rPr>
          <w:rFonts w:asciiTheme="minorHAnsi" w:hAnsiTheme="minorHAnsi" w:cstheme="minorHAnsi"/>
          <w:color w:val="auto"/>
          <w:szCs w:val="24"/>
        </w:rPr>
        <w:t xml:space="preserve">in </w:t>
      </w:r>
      <w:r w:rsidR="0043684F">
        <w:rPr>
          <w:rFonts w:asciiTheme="minorHAnsi" w:hAnsiTheme="minorHAnsi" w:cstheme="minorHAnsi"/>
          <w:color w:val="auto"/>
          <w:szCs w:val="24"/>
        </w:rPr>
        <w:t>the follow-up Doppler testing (noted above)</w:t>
      </w:r>
      <w:r w:rsidR="003304DA">
        <w:rPr>
          <w:rFonts w:asciiTheme="minorHAnsi" w:hAnsiTheme="minorHAnsi" w:cstheme="minorHAnsi"/>
          <w:color w:val="auto"/>
          <w:szCs w:val="24"/>
        </w:rPr>
        <w:t xml:space="preserve"> and cited post-separation VA treatment records</w:t>
      </w:r>
      <w:r w:rsidR="0043684F">
        <w:rPr>
          <w:rFonts w:asciiTheme="minorHAnsi" w:hAnsiTheme="minorHAnsi" w:cstheme="minorHAnsi"/>
          <w:color w:val="auto"/>
          <w:szCs w:val="24"/>
        </w:rPr>
        <w:t xml:space="preserve">.  </w:t>
      </w:r>
      <w:r w:rsidR="00E77A90">
        <w:rPr>
          <w:rFonts w:asciiTheme="minorHAnsi" w:hAnsiTheme="minorHAnsi"/>
          <w:color w:val="auto"/>
          <w:szCs w:val="24"/>
        </w:rPr>
        <w:t>T</w:t>
      </w:r>
      <w:r w:rsidR="007C128F">
        <w:rPr>
          <w:rFonts w:asciiTheme="minorHAnsi" w:hAnsiTheme="minorHAnsi"/>
          <w:color w:val="auto"/>
          <w:szCs w:val="24"/>
        </w:rPr>
        <w:t>he PEB rated the condition at</w:t>
      </w:r>
      <w:r w:rsidR="00475B3D">
        <w:rPr>
          <w:rFonts w:asciiTheme="minorHAnsi" w:hAnsiTheme="minorHAnsi"/>
          <w:color w:val="auto"/>
          <w:szCs w:val="24"/>
        </w:rPr>
        <w:t xml:space="preserve"> 10% based on persistent leg aching, intermittent edema, and fatigue.  </w:t>
      </w:r>
      <w:r w:rsidR="00627B0C">
        <w:rPr>
          <w:rFonts w:asciiTheme="minorHAnsi" w:hAnsiTheme="minorHAnsi"/>
          <w:color w:val="auto"/>
          <w:szCs w:val="24"/>
        </w:rPr>
        <w:t>It was agreed by the Board that at the time of separation</w:t>
      </w:r>
      <w:r w:rsidR="00692390">
        <w:rPr>
          <w:rFonts w:asciiTheme="minorHAnsi" w:hAnsiTheme="minorHAnsi"/>
          <w:color w:val="auto"/>
          <w:szCs w:val="24"/>
        </w:rPr>
        <w:t>,</w:t>
      </w:r>
      <w:r w:rsidR="00627B0C">
        <w:rPr>
          <w:rFonts w:asciiTheme="minorHAnsi" w:hAnsiTheme="minorHAnsi"/>
          <w:color w:val="auto"/>
          <w:szCs w:val="24"/>
        </w:rPr>
        <w:t xml:space="preserve"> while there was pain with activity, </w:t>
      </w:r>
      <w:r w:rsidR="00692390">
        <w:rPr>
          <w:rFonts w:asciiTheme="minorHAnsi" w:hAnsiTheme="minorHAnsi"/>
          <w:color w:val="auto"/>
          <w:szCs w:val="24"/>
        </w:rPr>
        <w:t xml:space="preserve">the normalized flow indices and the lack of </w:t>
      </w:r>
      <w:r w:rsidR="00B41262">
        <w:rPr>
          <w:rFonts w:asciiTheme="minorHAnsi" w:hAnsiTheme="minorHAnsi"/>
          <w:color w:val="auto"/>
          <w:szCs w:val="24"/>
        </w:rPr>
        <w:t xml:space="preserve">evidence for </w:t>
      </w:r>
      <w:r w:rsidR="00692390">
        <w:rPr>
          <w:rFonts w:asciiTheme="minorHAnsi" w:hAnsiTheme="minorHAnsi"/>
          <w:color w:val="auto"/>
          <w:szCs w:val="24"/>
        </w:rPr>
        <w:t xml:space="preserve">true claudication </w:t>
      </w:r>
      <w:r w:rsidR="00B41262">
        <w:rPr>
          <w:rFonts w:asciiTheme="minorHAnsi" w:hAnsiTheme="minorHAnsi"/>
          <w:color w:val="auto"/>
          <w:szCs w:val="24"/>
        </w:rPr>
        <w:t>undermined any support for</w:t>
      </w:r>
      <w:r w:rsidR="00692390">
        <w:rPr>
          <w:rFonts w:asciiTheme="minorHAnsi" w:hAnsiTheme="minorHAnsi"/>
          <w:color w:val="auto"/>
          <w:szCs w:val="24"/>
        </w:rPr>
        <w:t xml:space="preserve"> application of </w:t>
      </w:r>
      <w:r w:rsidR="00B41262">
        <w:rPr>
          <w:rFonts w:asciiTheme="minorHAnsi" w:hAnsiTheme="minorHAnsi"/>
          <w:color w:val="auto"/>
          <w:szCs w:val="24"/>
        </w:rPr>
        <w:t xml:space="preserve">rating </w:t>
      </w:r>
      <w:r w:rsidR="00692390">
        <w:rPr>
          <w:rFonts w:asciiTheme="minorHAnsi" w:hAnsiTheme="minorHAnsi"/>
          <w:color w:val="auto"/>
          <w:szCs w:val="24"/>
        </w:rPr>
        <w:t xml:space="preserve">criteria </w:t>
      </w:r>
      <w:r w:rsidR="00B41262">
        <w:rPr>
          <w:rFonts w:asciiTheme="minorHAnsi" w:hAnsiTheme="minorHAnsi"/>
          <w:color w:val="auto"/>
          <w:szCs w:val="24"/>
        </w:rPr>
        <w:t xml:space="preserve">derived </w:t>
      </w:r>
      <w:r w:rsidR="00692390">
        <w:rPr>
          <w:rFonts w:asciiTheme="minorHAnsi" w:hAnsiTheme="minorHAnsi"/>
          <w:color w:val="auto"/>
          <w:szCs w:val="24"/>
        </w:rPr>
        <w:t>from the 7114 code</w:t>
      </w:r>
      <w:r w:rsidR="00F81D48">
        <w:rPr>
          <w:rFonts w:asciiTheme="minorHAnsi" w:hAnsiTheme="minorHAnsi"/>
          <w:color w:val="auto"/>
          <w:szCs w:val="24"/>
        </w:rPr>
        <w:t xml:space="preserve"> (minimally rated 20%); and</w:t>
      </w:r>
      <w:r w:rsidR="00B41262">
        <w:rPr>
          <w:rFonts w:asciiTheme="minorHAnsi" w:hAnsiTheme="minorHAnsi"/>
          <w:color w:val="auto"/>
          <w:szCs w:val="24"/>
        </w:rPr>
        <w:t xml:space="preserve"> that </w:t>
      </w:r>
      <w:r w:rsidR="00627B0C">
        <w:rPr>
          <w:rFonts w:asciiTheme="minorHAnsi" w:hAnsiTheme="minorHAnsi"/>
          <w:color w:val="auto"/>
          <w:szCs w:val="24"/>
        </w:rPr>
        <w:t xml:space="preserve">all residuals </w:t>
      </w:r>
      <w:r w:rsidR="00B41262">
        <w:rPr>
          <w:rFonts w:asciiTheme="minorHAnsi" w:hAnsiTheme="minorHAnsi"/>
          <w:color w:val="auto"/>
          <w:szCs w:val="24"/>
        </w:rPr>
        <w:t>of the postphlebitic</w:t>
      </w:r>
      <w:r w:rsidR="00627B0C">
        <w:rPr>
          <w:rFonts w:asciiTheme="minorHAnsi" w:hAnsiTheme="minorHAnsi"/>
          <w:color w:val="auto"/>
          <w:szCs w:val="24"/>
        </w:rPr>
        <w:t xml:space="preserve"> syndrome </w:t>
      </w:r>
      <w:r w:rsidR="00B41262">
        <w:rPr>
          <w:rFonts w:asciiTheme="minorHAnsi" w:hAnsiTheme="minorHAnsi"/>
          <w:color w:val="auto"/>
          <w:szCs w:val="24"/>
        </w:rPr>
        <w:t>were appropriately rated solely under</w:t>
      </w:r>
      <w:r w:rsidR="00627B0C">
        <w:rPr>
          <w:rFonts w:asciiTheme="minorHAnsi" w:hAnsiTheme="minorHAnsi"/>
          <w:color w:val="auto"/>
          <w:szCs w:val="24"/>
        </w:rPr>
        <w:t xml:space="preserve"> 7121. </w:t>
      </w:r>
      <w:r w:rsidR="00791583">
        <w:rPr>
          <w:rFonts w:asciiTheme="minorHAnsi" w:hAnsiTheme="minorHAnsi"/>
          <w:color w:val="auto"/>
          <w:szCs w:val="24"/>
        </w:rPr>
        <w:t xml:space="preserve"> </w:t>
      </w:r>
      <w:r w:rsidR="00133B97">
        <w:rPr>
          <w:rFonts w:asciiTheme="minorHAnsi" w:hAnsiTheme="minorHAnsi"/>
          <w:color w:val="auto"/>
          <w:szCs w:val="24"/>
        </w:rPr>
        <w:t>IAW with VASRD 4.104</w:t>
      </w:r>
      <w:r w:rsidR="00791583" w:rsidRPr="00791583">
        <w:rPr>
          <w:rFonts w:asciiTheme="minorHAnsi" w:hAnsiTheme="minorHAnsi"/>
          <w:color w:val="auto"/>
          <w:szCs w:val="24"/>
        </w:rPr>
        <w:t xml:space="preserve"> </w:t>
      </w:r>
      <w:r w:rsidR="00B41262">
        <w:rPr>
          <w:rFonts w:asciiTheme="minorHAnsi" w:hAnsiTheme="minorHAnsi"/>
          <w:color w:val="auto"/>
          <w:szCs w:val="24"/>
        </w:rPr>
        <w:t xml:space="preserve">criteria for rating </w:t>
      </w:r>
      <w:r w:rsidR="00791583">
        <w:rPr>
          <w:rFonts w:asciiTheme="minorHAnsi" w:hAnsiTheme="minorHAnsi"/>
          <w:color w:val="auto"/>
          <w:szCs w:val="24"/>
        </w:rPr>
        <w:t>under 7121</w:t>
      </w:r>
      <w:r w:rsidR="003304DA">
        <w:rPr>
          <w:rFonts w:asciiTheme="minorHAnsi" w:hAnsiTheme="minorHAnsi"/>
          <w:color w:val="auto"/>
          <w:szCs w:val="24"/>
        </w:rPr>
        <w:t>,</w:t>
      </w:r>
      <w:r w:rsidR="00133B97">
        <w:rPr>
          <w:rFonts w:asciiTheme="minorHAnsi" w:hAnsiTheme="minorHAnsi"/>
          <w:color w:val="auto"/>
          <w:szCs w:val="24"/>
        </w:rPr>
        <w:t xml:space="preserve"> the 40%, 60%, and 100% </w:t>
      </w:r>
      <w:r w:rsidR="003304DA">
        <w:rPr>
          <w:rFonts w:asciiTheme="minorHAnsi" w:hAnsiTheme="minorHAnsi"/>
          <w:color w:val="auto"/>
          <w:szCs w:val="24"/>
        </w:rPr>
        <w:t>ratings were not supported</w:t>
      </w:r>
      <w:r w:rsidR="002F3A30">
        <w:rPr>
          <w:rFonts w:asciiTheme="minorHAnsi" w:hAnsiTheme="minorHAnsi"/>
          <w:color w:val="auto"/>
          <w:szCs w:val="24"/>
        </w:rPr>
        <w:t>; since,</w:t>
      </w:r>
      <w:r w:rsidR="00133B97">
        <w:rPr>
          <w:rFonts w:asciiTheme="minorHAnsi" w:hAnsiTheme="minorHAnsi"/>
          <w:color w:val="auto"/>
          <w:szCs w:val="24"/>
        </w:rPr>
        <w:t xml:space="preserve"> </w:t>
      </w:r>
      <w:r w:rsidR="002F3A30">
        <w:rPr>
          <w:rFonts w:asciiTheme="minorHAnsi" w:hAnsiTheme="minorHAnsi"/>
          <w:color w:val="auto"/>
          <w:szCs w:val="24"/>
        </w:rPr>
        <w:t xml:space="preserve">there was no </w:t>
      </w:r>
      <w:r w:rsidR="00133B97">
        <w:rPr>
          <w:rFonts w:asciiTheme="minorHAnsi" w:hAnsiTheme="minorHAnsi"/>
          <w:color w:val="auto"/>
          <w:szCs w:val="24"/>
        </w:rPr>
        <w:t xml:space="preserve">evidence </w:t>
      </w:r>
      <w:r w:rsidR="002F3A30">
        <w:rPr>
          <w:rFonts w:asciiTheme="minorHAnsi" w:hAnsiTheme="minorHAnsi"/>
          <w:color w:val="auto"/>
          <w:szCs w:val="24"/>
        </w:rPr>
        <w:t>for</w:t>
      </w:r>
      <w:r w:rsidR="00133B97">
        <w:rPr>
          <w:rFonts w:asciiTheme="minorHAnsi" w:hAnsiTheme="minorHAnsi"/>
          <w:color w:val="auto"/>
          <w:szCs w:val="24"/>
        </w:rPr>
        <w:t xml:space="preserve"> </w:t>
      </w:r>
      <w:r w:rsidR="002F3A30">
        <w:rPr>
          <w:rFonts w:asciiTheme="minorHAnsi" w:hAnsiTheme="minorHAnsi"/>
          <w:color w:val="auto"/>
          <w:szCs w:val="24"/>
        </w:rPr>
        <w:t>“</w:t>
      </w:r>
      <w:r w:rsidR="00133B97">
        <w:rPr>
          <w:rFonts w:asciiTheme="minorHAnsi" w:hAnsiTheme="minorHAnsi"/>
          <w:color w:val="auto"/>
          <w:szCs w:val="24"/>
        </w:rPr>
        <w:t>board-like ed</w:t>
      </w:r>
      <w:r w:rsidR="00791583">
        <w:rPr>
          <w:rFonts w:asciiTheme="minorHAnsi" w:hAnsiTheme="minorHAnsi"/>
          <w:color w:val="auto"/>
          <w:szCs w:val="24"/>
        </w:rPr>
        <w:t>ema</w:t>
      </w:r>
      <w:r w:rsidR="002F3A30">
        <w:rPr>
          <w:rFonts w:asciiTheme="minorHAnsi" w:hAnsiTheme="minorHAnsi"/>
          <w:color w:val="auto"/>
          <w:szCs w:val="24"/>
        </w:rPr>
        <w:t>”,</w:t>
      </w:r>
      <w:r w:rsidR="00791583">
        <w:rPr>
          <w:rFonts w:asciiTheme="minorHAnsi" w:hAnsiTheme="minorHAnsi"/>
          <w:color w:val="auto"/>
          <w:szCs w:val="24"/>
        </w:rPr>
        <w:t xml:space="preserve"> constant pain at rest</w:t>
      </w:r>
      <w:r w:rsidR="002F3A30">
        <w:rPr>
          <w:rFonts w:asciiTheme="minorHAnsi" w:hAnsiTheme="minorHAnsi"/>
          <w:color w:val="auto"/>
          <w:szCs w:val="24"/>
        </w:rPr>
        <w:t>, skin changes, ulceration or any of the other cited criteria</w:t>
      </w:r>
      <w:r w:rsidR="00791583">
        <w:rPr>
          <w:rFonts w:asciiTheme="minorHAnsi" w:hAnsiTheme="minorHAnsi"/>
          <w:color w:val="auto"/>
          <w:szCs w:val="24"/>
        </w:rPr>
        <w:t xml:space="preserve">.  The Board </w:t>
      </w:r>
      <w:r w:rsidR="00B41262">
        <w:rPr>
          <w:rFonts w:asciiTheme="minorHAnsi" w:hAnsiTheme="minorHAnsi"/>
          <w:color w:val="auto"/>
          <w:szCs w:val="24"/>
        </w:rPr>
        <w:t xml:space="preserve">therefore </w:t>
      </w:r>
      <w:r w:rsidR="00791583">
        <w:rPr>
          <w:rFonts w:asciiTheme="minorHAnsi" w:hAnsiTheme="minorHAnsi"/>
          <w:color w:val="auto"/>
          <w:szCs w:val="24"/>
        </w:rPr>
        <w:t>deliberated</w:t>
      </w:r>
      <w:r w:rsidR="00133B97">
        <w:rPr>
          <w:rFonts w:asciiTheme="minorHAnsi" w:hAnsiTheme="minorHAnsi"/>
          <w:color w:val="auto"/>
          <w:szCs w:val="24"/>
        </w:rPr>
        <w:t xml:space="preserve"> </w:t>
      </w:r>
      <w:r w:rsidR="00B41262">
        <w:rPr>
          <w:rFonts w:asciiTheme="minorHAnsi" w:hAnsiTheme="minorHAnsi"/>
          <w:color w:val="auto"/>
          <w:szCs w:val="24"/>
        </w:rPr>
        <w:t>between the</w:t>
      </w:r>
      <w:r w:rsidR="00224FC5">
        <w:rPr>
          <w:rFonts w:asciiTheme="minorHAnsi" w:hAnsiTheme="minorHAnsi"/>
          <w:color w:val="auto"/>
          <w:szCs w:val="24"/>
        </w:rPr>
        <w:t xml:space="preserve"> </w:t>
      </w:r>
      <w:r w:rsidR="00B41262">
        <w:rPr>
          <w:rFonts w:asciiTheme="minorHAnsi" w:hAnsiTheme="minorHAnsi"/>
          <w:color w:val="auto"/>
          <w:szCs w:val="24"/>
        </w:rPr>
        <w:t xml:space="preserve">10% and 20% </w:t>
      </w:r>
      <w:r w:rsidR="00224FC5">
        <w:rPr>
          <w:rFonts w:asciiTheme="minorHAnsi" w:hAnsiTheme="minorHAnsi"/>
          <w:color w:val="auto"/>
          <w:szCs w:val="24"/>
        </w:rPr>
        <w:t>rating</w:t>
      </w:r>
      <w:r w:rsidR="00B41262">
        <w:rPr>
          <w:rFonts w:asciiTheme="minorHAnsi" w:hAnsiTheme="minorHAnsi"/>
          <w:color w:val="auto"/>
          <w:szCs w:val="24"/>
        </w:rPr>
        <w:t>s</w:t>
      </w:r>
      <w:r w:rsidR="00224FC5">
        <w:rPr>
          <w:rFonts w:asciiTheme="minorHAnsi" w:hAnsiTheme="minorHAnsi"/>
          <w:color w:val="auto"/>
          <w:szCs w:val="24"/>
        </w:rPr>
        <w:t xml:space="preserve">.  </w:t>
      </w:r>
      <w:r w:rsidR="00627B0C">
        <w:rPr>
          <w:rFonts w:asciiTheme="minorHAnsi" w:hAnsiTheme="minorHAnsi"/>
          <w:color w:val="auto"/>
          <w:szCs w:val="24"/>
        </w:rPr>
        <w:t xml:space="preserve">The pivotal </w:t>
      </w:r>
      <w:r w:rsidR="00B41262">
        <w:rPr>
          <w:rFonts w:asciiTheme="minorHAnsi" w:hAnsiTheme="minorHAnsi"/>
          <w:color w:val="auto"/>
          <w:szCs w:val="24"/>
        </w:rPr>
        <w:t>distinction between</w:t>
      </w:r>
      <w:r w:rsidR="00791583">
        <w:rPr>
          <w:rFonts w:asciiTheme="minorHAnsi" w:hAnsiTheme="minorHAnsi"/>
          <w:color w:val="auto"/>
          <w:szCs w:val="24"/>
        </w:rPr>
        <w:t xml:space="preserve"> these ratings</w:t>
      </w:r>
      <w:r w:rsidR="00627B0C">
        <w:rPr>
          <w:rFonts w:asciiTheme="minorHAnsi" w:hAnsiTheme="minorHAnsi"/>
          <w:color w:val="auto"/>
          <w:szCs w:val="24"/>
        </w:rPr>
        <w:t xml:space="preserve"> </w:t>
      </w:r>
      <w:r w:rsidR="00B41262">
        <w:rPr>
          <w:rFonts w:asciiTheme="minorHAnsi" w:hAnsiTheme="minorHAnsi"/>
          <w:color w:val="auto"/>
          <w:szCs w:val="24"/>
        </w:rPr>
        <w:t>is the presence of</w:t>
      </w:r>
      <w:r w:rsidR="00627B0C">
        <w:rPr>
          <w:rFonts w:asciiTheme="minorHAnsi" w:hAnsiTheme="minorHAnsi"/>
          <w:color w:val="auto"/>
          <w:szCs w:val="24"/>
        </w:rPr>
        <w:t xml:space="preserve"> </w:t>
      </w:r>
      <w:r w:rsidR="00B41262">
        <w:rPr>
          <w:rFonts w:asciiTheme="minorHAnsi" w:hAnsiTheme="minorHAnsi"/>
          <w:color w:val="auto"/>
          <w:szCs w:val="24"/>
        </w:rPr>
        <w:t>“</w:t>
      </w:r>
      <w:r w:rsidR="00627B0C">
        <w:rPr>
          <w:rFonts w:asciiTheme="minorHAnsi" w:hAnsiTheme="minorHAnsi"/>
          <w:color w:val="auto"/>
          <w:szCs w:val="24"/>
        </w:rPr>
        <w:t>persistent edema</w:t>
      </w:r>
      <w:r w:rsidR="00B41262">
        <w:rPr>
          <w:rFonts w:asciiTheme="minorHAnsi" w:hAnsiTheme="minorHAnsi"/>
          <w:color w:val="auto"/>
          <w:szCs w:val="24"/>
        </w:rPr>
        <w:t>, incompletely relieved</w:t>
      </w:r>
      <w:r w:rsidR="00272E75">
        <w:rPr>
          <w:rFonts w:asciiTheme="minorHAnsi" w:hAnsiTheme="minorHAnsi"/>
          <w:color w:val="auto"/>
          <w:szCs w:val="24"/>
        </w:rPr>
        <w:t xml:space="preserve"> by elevation” (20%) or “intermittent edema … with symptoms relieved by elevation” (10%)</w:t>
      </w:r>
      <w:r w:rsidR="00357C00">
        <w:rPr>
          <w:rFonts w:asciiTheme="minorHAnsi" w:hAnsiTheme="minorHAnsi"/>
          <w:color w:val="auto"/>
          <w:szCs w:val="24"/>
        </w:rPr>
        <w:t xml:space="preserve"> of the LLE</w:t>
      </w:r>
      <w:r w:rsidR="00627B0C">
        <w:rPr>
          <w:rFonts w:asciiTheme="minorHAnsi" w:hAnsiTheme="minorHAnsi"/>
          <w:color w:val="auto"/>
          <w:szCs w:val="24"/>
        </w:rPr>
        <w:t xml:space="preserve">.  </w:t>
      </w:r>
      <w:r w:rsidR="00CA0922">
        <w:rPr>
          <w:rFonts w:asciiTheme="minorHAnsi" w:hAnsiTheme="minorHAnsi"/>
          <w:color w:val="auto"/>
          <w:szCs w:val="24"/>
        </w:rPr>
        <w:t xml:space="preserve">The MEB examiner and the VA examinations proximate to separation confirmed the presence of edema, whereas the specialty exam and the VA C&amp;P exam (verified by measurement) </w:t>
      </w:r>
      <w:r w:rsidR="002F3A30">
        <w:rPr>
          <w:rFonts w:asciiTheme="minorHAnsi" w:hAnsiTheme="minorHAnsi"/>
          <w:color w:val="auto"/>
          <w:szCs w:val="24"/>
        </w:rPr>
        <w:t>confirmed</w:t>
      </w:r>
      <w:r w:rsidR="00CA0922">
        <w:rPr>
          <w:rFonts w:asciiTheme="minorHAnsi" w:hAnsiTheme="minorHAnsi"/>
          <w:color w:val="auto"/>
          <w:szCs w:val="24"/>
        </w:rPr>
        <w:t xml:space="preserve"> the absence of edema.  The Board is therefore satisfied that intermittent edema, consistent with the 10% criteria, is convincingly documented.  T</w:t>
      </w:r>
      <w:r w:rsidR="00475B3D" w:rsidRPr="00664296">
        <w:rPr>
          <w:rFonts w:asciiTheme="minorHAnsi" w:hAnsiTheme="minorHAnsi"/>
          <w:color w:val="auto"/>
          <w:szCs w:val="24"/>
        </w:rPr>
        <w:t>here is not</w:t>
      </w:r>
      <w:r w:rsidR="00CA0922">
        <w:rPr>
          <w:rFonts w:asciiTheme="minorHAnsi" w:hAnsiTheme="minorHAnsi"/>
          <w:color w:val="auto"/>
          <w:szCs w:val="24"/>
        </w:rPr>
        <w:t>, therefore,</w:t>
      </w:r>
      <w:r w:rsidR="00475B3D" w:rsidRPr="00664296">
        <w:rPr>
          <w:rFonts w:asciiTheme="minorHAnsi" w:hAnsiTheme="minorHAnsi"/>
          <w:color w:val="auto"/>
          <w:szCs w:val="24"/>
        </w:rPr>
        <w:t xml:space="preserve"> reasonable doubt in the CI’s favor supporting a change from the PEB’s </w:t>
      </w:r>
      <w:r w:rsidR="00CA0922">
        <w:rPr>
          <w:rFonts w:asciiTheme="minorHAnsi" w:hAnsiTheme="minorHAnsi"/>
          <w:color w:val="auto"/>
          <w:szCs w:val="24"/>
        </w:rPr>
        <w:t>adjudication of</w:t>
      </w:r>
      <w:r w:rsidR="00475B3D" w:rsidRPr="00664296">
        <w:rPr>
          <w:rFonts w:asciiTheme="minorHAnsi" w:hAnsiTheme="minorHAnsi"/>
          <w:color w:val="auto"/>
          <w:szCs w:val="24"/>
        </w:rPr>
        <w:t xml:space="preserve"> the </w:t>
      </w:r>
      <w:r w:rsidR="00CA0922">
        <w:rPr>
          <w:rFonts w:asciiTheme="minorHAnsi" w:hAnsiTheme="minorHAnsi"/>
          <w:color w:val="auto"/>
          <w:szCs w:val="24"/>
        </w:rPr>
        <w:t xml:space="preserve">LLE </w:t>
      </w:r>
      <w:r w:rsidR="00475B3D">
        <w:rPr>
          <w:rFonts w:asciiTheme="minorHAnsi" w:hAnsiTheme="minorHAnsi"/>
          <w:color w:val="auto"/>
          <w:szCs w:val="24"/>
        </w:rPr>
        <w:t>pos</w:t>
      </w:r>
      <w:r w:rsidR="00357C00">
        <w:rPr>
          <w:rFonts w:asciiTheme="minorHAnsi" w:hAnsiTheme="minorHAnsi"/>
          <w:color w:val="auto"/>
          <w:szCs w:val="24"/>
        </w:rPr>
        <w:t xml:space="preserve">tphlebitic </w:t>
      </w:r>
      <w:r w:rsidR="00CA0922">
        <w:rPr>
          <w:rFonts w:asciiTheme="minorHAnsi" w:hAnsiTheme="minorHAnsi"/>
          <w:color w:val="auto"/>
          <w:szCs w:val="24"/>
        </w:rPr>
        <w:t>condition</w:t>
      </w:r>
      <w:r w:rsidR="00357C00">
        <w:rPr>
          <w:rFonts w:asciiTheme="minorHAnsi" w:hAnsiTheme="minorHAnsi"/>
          <w:color w:val="auto"/>
          <w:szCs w:val="24"/>
        </w:rPr>
        <w:t>.</w:t>
      </w:r>
    </w:p>
    <w:p w:rsidR="0055786C" w:rsidRDefault="0055786C" w:rsidP="00664296">
      <w:pPr>
        <w:tabs>
          <w:tab w:val="left" w:pos="288"/>
          <w:tab w:val="left" w:pos="4752"/>
        </w:tabs>
        <w:spacing w:line="240" w:lineRule="exact"/>
        <w:rPr>
          <w:rFonts w:asciiTheme="minorHAnsi" w:hAnsiTheme="minorHAnsi"/>
          <w:color w:val="auto"/>
          <w:szCs w:val="24"/>
        </w:rPr>
      </w:pPr>
    </w:p>
    <w:p w:rsidR="00790BEA" w:rsidRDefault="00664296" w:rsidP="00790BEA">
      <w:pPr>
        <w:spacing w:line="240" w:lineRule="exact"/>
        <w:jc w:val="both"/>
        <w:rPr>
          <w:rFonts w:asciiTheme="minorHAnsi" w:eastAsia="HiddenHorzOCR" w:hAnsiTheme="minorHAnsi"/>
          <w:color w:val="auto"/>
          <w:szCs w:val="24"/>
        </w:rPr>
      </w:pPr>
      <w:proofErr w:type="gramStart"/>
      <w:r w:rsidRPr="008A1440">
        <w:rPr>
          <w:rFonts w:asciiTheme="minorHAnsi" w:eastAsia="HiddenHorzOCR" w:hAnsiTheme="minorHAnsi"/>
          <w:color w:val="auto"/>
          <w:szCs w:val="24"/>
          <w:u w:val="single"/>
        </w:rPr>
        <w:t>Other PEB Conditions</w:t>
      </w:r>
      <w:r w:rsidRPr="008A1440">
        <w:rPr>
          <w:rFonts w:asciiTheme="minorHAnsi" w:eastAsia="HiddenHorzOCR" w:hAnsiTheme="minorHAnsi"/>
          <w:color w:val="auto"/>
          <w:szCs w:val="24"/>
        </w:rPr>
        <w:t>.</w:t>
      </w:r>
      <w:proofErr w:type="gramEnd"/>
      <w:r w:rsidR="006C1C82" w:rsidRPr="008A1440">
        <w:rPr>
          <w:rFonts w:asciiTheme="minorHAnsi" w:eastAsia="HiddenHorzOCR" w:hAnsiTheme="minorHAnsi"/>
          <w:color w:val="auto"/>
          <w:szCs w:val="24"/>
        </w:rPr>
        <w:t xml:space="preserve"> </w:t>
      </w:r>
      <w:r w:rsidR="008A1440" w:rsidRPr="008A1440">
        <w:rPr>
          <w:rFonts w:asciiTheme="minorHAnsi" w:eastAsia="HiddenHorzOCR" w:hAnsiTheme="minorHAnsi"/>
          <w:color w:val="auto"/>
          <w:szCs w:val="24"/>
        </w:rPr>
        <w:t xml:space="preserve"> </w:t>
      </w:r>
      <w:r w:rsidR="006C1C82" w:rsidRPr="008A1440">
        <w:rPr>
          <w:rFonts w:asciiTheme="minorHAnsi" w:eastAsia="HiddenHorzOCR" w:hAnsiTheme="minorHAnsi"/>
          <w:color w:val="auto"/>
          <w:szCs w:val="24"/>
        </w:rPr>
        <w:t xml:space="preserve">The other conditions forwarded by the MEB and adjudicated as not unfitting by the PEB were </w:t>
      </w:r>
      <w:r w:rsidR="00C05173" w:rsidRPr="008A1440">
        <w:rPr>
          <w:rFonts w:asciiTheme="minorHAnsi" w:eastAsia="HiddenHorzOCR" w:hAnsiTheme="minorHAnsi"/>
          <w:color w:val="auto"/>
          <w:szCs w:val="24"/>
        </w:rPr>
        <w:t xml:space="preserve">migraine headaches </w:t>
      </w:r>
      <w:r w:rsidR="00C05173">
        <w:rPr>
          <w:rFonts w:asciiTheme="minorHAnsi" w:eastAsia="HiddenHorzOCR" w:hAnsiTheme="minorHAnsi"/>
          <w:color w:val="auto"/>
          <w:szCs w:val="24"/>
        </w:rPr>
        <w:t xml:space="preserve">and </w:t>
      </w:r>
      <w:r w:rsidR="006C1C82" w:rsidRPr="008A1440">
        <w:rPr>
          <w:rFonts w:asciiTheme="minorHAnsi" w:eastAsia="HiddenHorzOCR" w:hAnsiTheme="minorHAnsi"/>
          <w:color w:val="auto"/>
          <w:szCs w:val="24"/>
        </w:rPr>
        <w:t xml:space="preserve">hypertension.  </w:t>
      </w:r>
      <w:r w:rsidR="006C1C82" w:rsidRPr="008A1440">
        <w:rPr>
          <w:rFonts w:asciiTheme="minorHAnsi" w:hAnsiTheme="minorHAnsi"/>
          <w:color w:val="auto"/>
          <w:szCs w:val="24"/>
        </w:rPr>
        <w:t>The Board’s main charge in respect to these conditions is an assessment of the appropriateness of the PEB’s fitness adjudication.  The Board’s threshold for countering DES fitness determinations is higher than the VASRD §4.3 (reasonable doubt) standard used for its rating recommendations, but remains adherent to the DoDI 6040.44 “fa</w:t>
      </w:r>
      <w:r w:rsidR="00357C00">
        <w:rPr>
          <w:rFonts w:asciiTheme="minorHAnsi" w:hAnsiTheme="minorHAnsi"/>
          <w:color w:val="auto"/>
          <w:szCs w:val="24"/>
        </w:rPr>
        <w:t xml:space="preserve">ir and equitable” standard.  </w:t>
      </w:r>
      <w:r w:rsidR="006C1C82" w:rsidRPr="008A1440">
        <w:rPr>
          <w:rFonts w:asciiTheme="minorHAnsi" w:eastAsia="HiddenHorzOCR" w:hAnsiTheme="minorHAnsi"/>
          <w:color w:val="auto"/>
          <w:szCs w:val="24"/>
        </w:rPr>
        <w:t xml:space="preserve">The </w:t>
      </w:r>
      <w:r w:rsidR="00357C00">
        <w:rPr>
          <w:rFonts w:asciiTheme="minorHAnsi" w:eastAsia="HiddenHorzOCR" w:hAnsiTheme="minorHAnsi"/>
          <w:color w:val="auto"/>
          <w:szCs w:val="24"/>
        </w:rPr>
        <w:t>migraine headache</w:t>
      </w:r>
      <w:r w:rsidR="006C1C82" w:rsidRPr="008A1440">
        <w:rPr>
          <w:rFonts w:asciiTheme="minorHAnsi" w:eastAsia="HiddenHorzOCR" w:hAnsiTheme="minorHAnsi"/>
          <w:color w:val="auto"/>
          <w:szCs w:val="24"/>
        </w:rPr>
        <w:t xml:space="preserve"> </w:t>
      </w:r>
      <w:r w:rsidR="00192AF1" w:rsidRPr="008A1440">
        <w:rPr>
          <w:rFonts w:asciiTheme="minorHAnsi" w:eastAsia="HiddenHorzOCR" w:hAnsiTheme="minorHAnsi"/>
          <w:color w:val="auto"/>
          <w:szCs w:val="24"/>
        </w:rPr>
        <w:t xml:space="preserve">is intertwined </w:t>
      </w:r>
      <w:r w:rsidR="00790BEA">
        <w:rPr>
          <w:rFonts w:asciiTheme="minorHAnsi" w:eastAsia="HiddenHorzOCR" w:hAnsiTheme="minorHAnsi"/>
          <w:color w:val="auto"/>
          <w:szCs w:val="24"/>
        </w:rPr>
        <w:t>with the contended TBI condition, which will be discussed in more detail in the following section</w:t>
      </w:r>
      <w:r w:rsidR="00357C00">
        <w:rPr>
          <w:rFonts w:asciiTheme="minorHAnsi" w:eastAsia="HiddenHorzOCR" w:hAnsiTheme="minorHAnsi"/>
          <w:color w:val="auto"/>
          <w:szCs w:val="24"/>
        </w:rPr>
        <w:t>.</w:t>
      </w:r>
      <w:r w:rsidR="00192AF1" w:rsidRPr="008A1440">
        <w:rPr>
          <w:rFonts w:asciiTheme="minorHAnsi" w:eastAsia="HiddenHorzOCR" w:hAnsiTheme="minorHAnsi"/>
          <w:color w:val="auto"/>
          <w:szCs w:val="24"/>
        </w:rPr>
        <w:t xml:space="preserve"> </w:t>
      </w:r>
      <w:r w:rsidR="00790BEA">
        <w:rPr>
          <w:rFonts w:asciiTheme="minorHAnsi" w:eastAsia="HiddenHorzOCR" w:hAnsiTheme="minorHAnsi"/>
          <w:color w:val="auto"/>
          <w:szCs w:val="24"/>
        </w:rPr>
        <w:t xml:space="preserve"> The MEB </w:t>
      </w:r>
      <w:r w:rsidR="00790BEA" w:rsidRPr="008A1440">
        <w:rPr>
          <w:rFonts w:asciiTheme="minorHAnsi" w:eastAsia="HiddenHorzOCR" w:hAnsiTheme="minorHAnsi"/>
          <w:color w:val="auto"/>
          <w:szCs w:val="24"/>
        </w:rPr>
        <w:t xml:space="preserve">neurologist documented episodic migrainous headaches which </w:t>
      </w:r>
      <w:r w:rsidR="00790BEA">
        <w:rPr>
          <w:rFonts w:asciiTheme="minorHAnsi" w:eastAsia="HiddenHorzOCR" w:hAnsiTheme="minorHAnsi"/>
          <w:color w:val="auto"/>
          <w:szCs w:val="24"/>
        </w:rPr>
        <w:lastRenderedPageBreak/>
        <w:t>occurred 1-2 times per</w:t>
      </w:r>
      <w:r w:rsidR="00790BEA" w:rsidRPr="008A1440">
        <w:rPr>
          <w:rFonts w:asciiTheme="minorHAnsi" w:eastAsia="HiddenHorzOCR" w:hAnsiTheme="minorHAnsi"/>
          <w:color w:val="auto"/>
          <w:szCs w:val="24"/>
        </w:rPr>
        <w:t xml:space="preserve"> month</w:t>
      </w:r>
      <w:r w:rsidR="00790BEA">
        <w:rPr>
          <w:rFonts w:asciiTheme="minorHAnsi" w:eastAsia="HiddenHorzOCR" w:hAnsiTheme="minorHAnsi"/>
          <w:color w:val="auto"/>
          <w:szCs w:val="24"/>
        </w:rPr>
        <w:t>,</w:t>
      </w:r>
      <w:r w:rsidR="00790BEA" w:rsidRPr="008A1440">
        <w:rPr>
          <w:rFonts w:asciiTheme="minorHAnsi" w:eastAsia="HiddenHorzOCR" w:hAnsiTheme="minorHAnsi"/>
          <w:color w:val="auto"/>
          <w:szCs w:val="24"/>
        </w:rPr>
        <w:t xml:space="preserve"> and </w:t>
      </w:r>
      <w:r w:rsidR="00790BEA">
        <w:rPr>
          <w:rFonts w:asciiTheme="minorHAnsi" w:eastAsia="HiddenHorzOCR" w:hAnsiTheme="minorHAnsi"/>
          <w:color w:val="auto"/>
          <w:szCs w:val="24"/>
        </w:rPr>
        <w:t>resolved</w:t>
      </w:r>
      <w:r w:rsidR="00790BEA" w:rsidRPr="008A1440">
        <w:rPr>
          <w:rFonts w:asciiTheme="minorHAnsi" w:eastAsia="HiddenHorzOCR" w:hAnsiTheme="minorHAnsi"/>
          <w:color w:val="auto"/>
          <w:szCs w:val="24"/>
        </w:rPr>
        <w:t xml:space="preserve"> with medications (in most cases with over-the-counter medications).</w:t>
      </w:r>
      <w:r w:rsidR="00790BEA" w:rsidRPr="00790BEA">
        <w:rPr>
          <w:rFonts w:asciiTheme="minorHAnsi" w:eastAsia="HiddenHorzOCR" w:hAnsiTheme="minorHAnsi"/>
          <w:color w:val="auto"/>
          <w:szCs w:val="24"/>
        </w:rPr>
        <w:t xml:space="preserve"> </w:t>
      </w:r>
      <w:r w:rsidR="00790BEA">
        <w:rPr>
          <w:rFonts w:asciiTheme="minorHAnsi" w:eastAsia="HiddenHorzOCR" w:hAnsiTheme="minorHAnsi"/>
          <w:color w:val="auto"/>
          <w:szCs w:val="24"/>
        </w:rPr>
        <w:t xml:space="preserve"> </w:t>
      </w:r>
      <w:r w:rsidR="00790BEA" w:rsidRPr="008A1440">
        <w:rPr>
          <w:rFonts w:asciiTheme="minorHAnsi" w:eastAsia="HiddenHorzOCR" w:hAnsiTheme="minorHAnsi"/>
          <w:color w:val="auto"/>
          <w:szCs w:val="24"/>
        </w:rPr>
        <w:t xml:space="preserve">It was </w:t>
      </w:r>
      <w:r w:rsidR="00790BEA">
        <w:rPr>
          <w:rFonts w:asciiTheme="minorHAnsi" w:eastAsia="HiddenHorzOCR" w:hAnsiTheme="minorHAnsi"/>
          <w:color w:val="auto"/>
          <w:szCs w:val="24"/>
        </w:rPr>
        <w:t xml:space="preserve">specifically </w:t>
      </w:r>
      <w:r w:rsidR="00790BEA" w:rsidRPr="008A1440">
        <w:rPr>
          <w:rFonts w:asciiTheme="minorHAnsi" w:eastAsia="HiddenHorzOCR" w:hAnsiTheme="minorHAnsi"/>
          <w:color w:val="auto"/>
          <w:szCs w:val="24"/>
        </w:rPr>
        <w:t xml:space="preserve">noted that the headaches were not severe enough to interfere with work.  The </w:t>
      </w:r>
      <w:r w:rsidR="00790BEA">
        <w:rPr>
          <w:rFonts w:asciiTheme="minorHAnsi" w:eastAsia="HiddenHorzOCR" w:hAnsiTheme="minorHAnsi"/>
          <w:color w:val="auto"/>
          <w:szCs w:val="24"/>
        </w:rPr>
        <w:t xml:space="preserve">pre-separation VA C&amp;P examiner also </w:t>
      </w:r>
      <w:r w:rsidR="00790BEA" w:rsidRPr="008A1440">
        <w:rPr>
          <w:rFonts w:asciiTheme="minorHAnsi" w:eastAsia="HiddenHorzOCR" w:hAnsiTheme="minorHAnsi"/>
          <w:color w:val="auto"/>
          <w:szCs w:val="24"/>
        </w:rPr>
        <w:t>indicated that the CI, even with a headache, was able to function at work</w:t>
      </w:r>
      <w:r w:rsidR="00790BEA">
        <w:rPr>
          <w:rFonts w:asciiTheme="minorHAnsi" w:eastAsia="HiddenHorzOCR" w:hAnsiTheme="minorHAnsi"/>
          <w:color w:val="auto"/>
          <w:szCs w:val="24"/>
        </w:rPr>
        <w:t>.  T</w:t>
      </w:r>
      <w:r w:rsidR="00790BEA" w:rsidRPr="008A1440">
        <w:rPr>
          <w:rFonts w:asciiTheme="minorHAnsi" w:eastAsia="HiddenHorzOCR" w:hAnsiTheme="minorHAnsi"/>
          <w:color w:val="auto"/>
          <w:szCs w:val="24"/>
        </w:rPr>
        <w:t>here were few entries in the service treatment record (STR) related to rescue treatment for these headaches</w:t>
      </w:r>
      <w:r w:rsidR="00790BEA">
        <w:rPr>
          <w:rFonts w:asciiTheme="minorHAnsi" w:eastAsia="HiddenHorzOCR" w:hAnsiTheme="minorHAnsi"/>
          <w:color w:val="auto"/>
          <w:szCs w:val="24"/>
        </w:rPr>
        <w:t xml:space="preserve"> and</w:t>
      </w:r>
      <w:r w:rsidR="00790BEA" w:rsidRPr="008A1440">
        <w:rPr>
          <w:rFonts w:asciiTheme="minorHAnsi" w:eastAsia="HiddenHorzOCR" w:hAnsiTheme="minorHAnsi"/>
          <w:color w:val="auto"/>
          <w:szCs w:val="24"/>
        </w:rPr>
        <w:t xml:space="preserve"> </w:t>
      </w:r>
      <w:r w:rsidR="00790BEA">
        <w:rPr>
          <w:rFonts w:asciiTheme="minorHAnsi" w:eastAsia="HiddenHorzOCR" w:hAnsiTheme="minorHAnsi"/>
          <w:color w:val="auto"/>
          <w:szCs w:val="24"/>
        </w:rPr>
        <w:t xml:space="preserve">there were none after the treatment period for DVT.  Finally, </w:t>
      </w:r>
      <w:r w:rsidR="00790BEA" w:rsidRPr="008A1440">
        <w:rPr>
          <w:rFonts w:asciiTheme="minorHAnsi" w:eastAsia="HiddenHorzOCR" w:hAnsiTheme="minorHAnsi"/>
          <w:color w:val="auto"/>
          <w:szCs w:val="24"/>
        </w:rPr>
        <w:t>the CI’s headaches were not severe enough to prevent him from ree</w:t>
      </w:r>
      <w:r w:rsidR="00790BEA">
        <w:rPr>
          <w:rFonts w:asciiTheme="minorHAnsi" w:eastAsia="HiddenHorzOCR" w:hAnsiTheme="minorHAnsi"/>
          <w:color w:val="auto"/>
          <w:szCs w:val="24"/>
        </w:rPr>
        <w:t>nlisting in 2006.</w:t>
      </w:r>
      <w:r w:rsidR="00790BEA" w:rsidRPr="008A1440">
        <w:rPr>
          <w:rFonts w:asciiTheme="minorHAnsi" w:eastAsia="HiddenHorzOCR" w:hAnsiTheme="minorHAnsi"/>
          <w:color w:val="auto"/>
          <w:szCs w:val="24"/>
        </w:rPr>
        <w:t xml:space="preserve"> </w:t>
      </w:r>
      <w:r w:rsidR="00372AAC">
        <w:rPr>
          <w:rFonts w:asciiTheme="minorHAnsi" w:eastAsia="HiddenHorzOCR" w:hAnsiTheme="minorHAnsi"/>
          <w:color w:val="auto"/>
          <w:szCs w:val="24"/>
        </w:rPr>
        <w:t xml:space="preserve"> </w:t>
      </w:r>
      <w:r w:rsidR="00790BEA" w:rsidRPr="008A1440">
        <w:rPr>
          <w:rFonts w:asciiTheme="minorHAnsi" w:eastAsia="HiddenHorzOCR" w:hAnsiTheme="minorHAnsi"/>
          <w:color w:val="auto"/>
          <w:szCs w:val="24"/>
        </w:rPr>
        <w:t>The migraines were not profiled</w:t>
      </w:r>
      <w:r w:rsidR="00372AAC">
        <w:rPr>
          <w:rFonts w:asciiTheme="minorHAnsi" w:eastAsia="HiddenHorzOCR" w:hAnsiTheme="minorHAnsi"/>
          <w:color w:val="auto"/>
          <w:szCs w:val="24"/>
        </w:rPr>
        <w:t xml:space="preserve">; </w:t>
      </w:r>
      <w:r w:rsidR="00F81D48">
        <w:rPr>
          <w:rFonts w:asciiTheme="minorHAnsi" w:eastAsia="HiddenHorzOCR" w:hAnsiTheme="minorHAnsi"/>
          <w:color w:val="auto"/>
          <w:szCs w:val="24"/>
        </w:rPr>
        <w:t>the c</w:t>
      </w:r>
      <w:r w:rsidR="00790BEA" w:rsidRPr="008A1440">
        <w:rPr>
          <w:rFonts w:asciiTheme="minorHAnsi" w:eastAsia="HiddenHorzOCR" w:hAnsiTheme="minorHAnsi"/>
          <w:color w:val="auto"/>
          <w:szCs w:val="24"/>
        </w:rPr>
        <w:t xml:space="preserve">ommander’s statement </w:t>
      </w:r>
      <w:r w:rsidR="00F81D48">
        <w:rPr>
          <w:rFonts w:asciiTheme="minorHAnsi" w:eastAsia="HiddenHorzOCR" w:hAnsiTheme="minorHAnsi"/>
          <w:color w:val="auto"/>
          <w:szCs w:val="24"/>
        </w:rPr>
        <w:t>made no mention of them; and</w:t>
      </w:r>
      <w:r w:rsidR="00372AAC">
        <w:rPr>
          <w:rFonts w:asciiTheme="minorHAnsi" w:eastAsia="HiddenHorzOCR" w:hAnsiTheme="minorHAnsi"/>
          <w:color w:val="auto"/>
          <w:szCs w:val="24"/>
        </w:rPr>
        <w:t xml:space="preserve"> the MEB judged the condition to meet retention standards.  </w:t>
      </w:r>
      <w:r w:rsidR="00790BEA">
        <w:rPr>
          <w:rFonts w:asciiTheme="minorHAnsi" w:hAnsiTheme="minorHAnsi"/>
          <w:color w:val="auto"/>
          <w:szCs w:val="24"/>
        </w:rPr>
        <w:t>H</w:t>
      </w:r>
      <w:r w:rsidR="00790BEA" w:rsidRPr="008A1440">
        <w:rPr>
          <w:rFonts w:asciiTheme="minorHAnsi" w:eastAsia="HiddenHorzOCR" w:hAnsiTheme="minorHAnsi"/>
          <w:color w:val="auto"/>
          <w:szCs w:val="24"/>
        </w:rPr>
        <w:t xml:space="preserve">ypertension was diagnosed in September 2003.  </w:t>
      </w:r>
      <w:r w:rsidR="00372AAC">
        <w:rPr>
          <w:rFonts w:asciiTheme="minorHAnsi" w:eastAsia="HiddenHorzOCR" w:hAnsiTheme="minorHAnsi"/>
          <w:color w:val="auto"/>
          <w:szCs w:val="24"/>
        </w:rPr>
        <w:t>It was well controlled on medication at the time of the MEB, as evidenced by numerous normal measurements in the record.</w:t>
      </w:r>
      <w:r w:rsidR="00790BEA">
        <w:rPr>
          <w:rFonts w:asciiTheme="minorHAnsi" w:eastAsia="HiddenHorzOCR" w:hAnsiTheme="minorHAnsi"/>
          <w:color w:val="auto"/>
          <w:szCs w:val="24"/>
        </w:rPr>
        <w:t xml:space="preserve">  </w:t>
      </w:r>
      <w:r w:rsidR="00372AAC">
        <w:rPr>
          <w:rFonts w:asciiTheme="minorHAnsi" w:eastAsia="HiddenHorzOCR" w:hAnsiTheme="minorHAnsi"/>
          <w:color w:val="auto"/>
          <w:szCs w:val="24"/>
        </w:rPr>
        <w:t>It was likewise n</w:t>
      </w:r>
      <w:r w:rsidR="00F81D48">
        <w:rPr>
          <w:rFonts w:asciiTheme="minorHAnsi" w:eastAsia="HiddenHorzOCR" w:hAnsiTheme="minorHAnsi"/>
          <w:color w:val="auto"/>
          <w:szCs w:val="24"/>
        </w:rPr>
        <w:t>ot profiled, implicated by the c</w:t>
      </w:r>
      <w:r w:rsidR="00372AAC">
        <w:rPr>
          <w:rFonts w:asciiTheme="minorHAnsi" w:eastAsia="HiddenHorzOCR" w:hAnsiTheme="minorHAnsi"/>
          <w:color w:val="auto"/>
          <w:szCs w:val="24"/>
        </w:rPr>
        <w:t xml:space="preserve">ommander, or judged to be medically unacceptable.  </w:t>
      </w:r>
      <w:r w:rsidR="00790BEA" w:rsidRPr="008A1440">
        <w:rPr>
          <w:rFonts w:asciiTheme="minorHAnsi" w:eastAsia="HiddenHorzOCR" w:hAnsiTheme="minorHAnsi"/>
          <w:color w:val="auto"/>
          <w:szCs w:val="24"/>
        </w:rPr>
        <w:t>All evidence considered</w:t>
      </w:r>
      <w:proofErr w:type="gramStart"/>
      <w:r w:rsidR="00790BEA" w:rsidRPr="008A1440">
        <w:rPr>
          <w:rFonts w:asciiTheme="minorHAnsi" w:eastAsia="HiddenHorzOCR" w:hAnsiTheme="minorHAnsi"/>
          <w:color w:val="auto"/>
          <w:szCs w:val="24"/>
        </w:rPr>
        <w:t>,</w:t>
      </w:r>
      <w:proofErr w:type="gramEnd"/>
      <w:r w:rsidR="00790BEA" w:rsidRPr="008A1440">
        <w:rPr>
          <w:rFonts w:asciiTheme="minorHAnsi" w:eastAsia="HiddenHorzOCR" w:hAnsiTheme="minorHAnsi"/>
          <w:color w:val="auto"/>
          <w:szCs w:val="24"/>
        </w:rPr>
        <w:t xml:space="preserve"> there is not reasonable doubt in the CI’s favor supporting </w:t>
      </w:r>
      <w:r w:rsidR="00372AAC">
        <w:rPr>
          <w:rFonts w:asciiTheme="minorHAnsi" w:eastAsia="HiddenHorzOCR" w:hAnsiTheme="minorHAnsi"/>
          <w:color w:val="auto"/>
          <w:szCs w:val="24"/>
        </w:rPr>
        <w:t>a change in the PEB fitness adjudications for these two conditions</w:t>
      </w:r>
      <w:r w:rsidR="00790BEA" w:rsidRPr="008A1440">
        <w:rPr>
          <w:rFonts w:asciiTheme="minorHAnsi" w:eastAsia="HiddenHorzOCR" w:hAnsiTheme="minorHAnsi"/>
          <w:color w:val="auto"/>
          <w:szCs w:val="24"/>
        </w:rPr>
        <w:t xml:space="preserve">.  </w:t>
      </w:r>
    </w:p>
    <w:p w:rsidR="009F0B0A" w:rsidRDefault="009F0B0A" w:rsidP="00790BEA">
      <w:pPr>
        <w:spacing w:line="240" w:lineRule="exact"/>
        <w:jc w:val="both"/>
        <w:rPr>
          <w:rFonts w:asciiTheme="minorHAnsi" w:eastAsia="HiddenHorzOCR" w:hAnsiTheme="minorHAnsi"/>
          <w:color w:val="auto"/>
          <w:szCs w:val="24"/>
        </w:rPr>
      </w:pPr>
    </w:p>
    <w:p w:rsidR="00C94122" w:rsidRPr="00C94122" w:rsidRDefault="00664296" w:rsidP="00C94122">
      <w:pPr>
        <w:spacing w:line="240" w:lineRule="exact"/>
        <w:jc w:val="both"/>
        <w:rPr>
          <w:rFonts w:eastAsiaTheme="minorHAnsi" w:cstheme="minorBidi"/>
          <w:color w:val="auto"/>
          <w:szCs w:val="24"/>
        </w:rPr>
      </w:pPr>
      <w:proofErr w:type="gramStart"/>
      <w:r w:rsidRPr="008A1440">
        <w:rPr>
          <w:rFonts w:asciiTheme="minorHAnsi" w:eastAsia="HiddenHorzOCR" w:hAnsiTheme="minorHAnsi"/>
          <w:color w:val="auto"/>
          <w:szCs w:val="24"/>
          <w:u w:val="single"/>
        </w:rPr>
        <w:t xml:space="preserve">Contended </w:t>
      </w:r>
      <w:r w:rsidR="009F0B0A">
        <w:rPr>
          <w:rFonts w:asciiTheme="minorHAnsi" w:eastAsia="HiddenHorzOCR" w:hAnsiTheme="minorHAnsi"/>
          <w:color w:val="auto"/>
          <w:szCs w:val="24"/>
          <w:u w:val="single"/>
        </w:rPr>
        <w:t xml:space="preserve">TBI and PTSD </w:t>
      </w:r>
      <w:r w:rsidRPr="008A1440">
        <w:rPr>
          <w:rFonts w:asciiTheme="minorHAnsi" w:eastAsia="HiddenHorzOCR" w:hAnsiTheme="minorHAnsi"/>
          <w:color w:val="auto"/>
          <w:szCs w:val="24"/>
          <w:u w:val="single"/>
        </w:rPr>
        <w:t>Conditions</w:t>
      </w:r>
      <w:r w:rsidRPr="008A1440">
        <w:rPr>
          <w:rFonts w:asciiTheme="minorHAnsi" w:eastAsia="HiddenHorzOCR" w:hAnsiTheme="minorHAnsi"/>
          <w:color w:val="auto"/>
          <w:szCs w:val="24"/>
        </w:rPr>
        <w:t>.</w:t>
      </w:r>
      <w:proofErr w:type="gramEnd"/>
      <w:r w:rsidRPr="008A1440">
        <w:rPr>
          <w:rFonts w:asciiTheme="minorHAnsi" w:eastAsia="HiddenHorzOCR" w:hAnsiTheme="minorHAnsi"/>
          <w:color w:val="auto"/>
          <w:szCs w:val="24"/>
        </w:rPr>
        <w:t xml:space="preserve">  </w:t>
      </w:r>
      <w:r w:rsidR="009F0B0A">
        <w:rPr>
          <w:rFonts w:asciiTheme="minorHAnsi" w:eastAsia="HiddenHorzOCR" w:hAnsiTheme="minorHAnsi"/>
          <w:color w:val="auto"/>
          <w:szCs w:val="24"/>
        </w:rPr>
        <w:t>The clinical evidence related to TBI is as follows.  There are conflicting accounts as to the nature of the head trauma (fall during training or struck by a tent pole) and whether or not there was associated loss of consciousness (LOC).  T</w:t>
      </w:r>
      <w:r w:rsidR="009F0B0A" w:rsidRPr="008A1440">
        <w:rPr>
          <w:rFonts w:asciiTheme="minorHAnsi" w:eastAsia="HiddenHorzOCR" w:hAnsiTheme="minorHAnsi"/>
          <w:color w:val="auto"/>
          <w:szCs w:val="24"/>
        </w:rPr>
        <w:t>he neurologist who conducted an exam within two months of the in</w:t>
      </w:r>
      <w:r w:rsidR="009F0B0A">
        <w:rPr>
          <w:rFonts w:asciiTheme="minorHAnsi" w:eastAsia="HiddenHorzOCR" w:hAnsiTheme="minorHAnsi"/>
          <w:color w:val="auto"/>
          <w:szCs w:val="24"/>
        </w:rPr>
        <w:t>cident stated that there was no</w:t>
      </w:r>
      <w:r w:rsidR="009F0B0A" w:rsidRPr="008A1440">
        <w:rPr>
          <w:rFonts w:asciiTheme="minorHAnsi" w:eastAsia="HiddenHorzOCR" w:hAnsiTheme="minorHAnsi"/>
          <w:color w:val="auto"/>
          <w:szCs w:val="24"/>
        </w:rPr>
        <w:t xml:space="preserve"> </w:t>
      </w:r>
      <w:r w:rsidR="009F0B0A">
        <w:rPr>
          <w:rFonts w:asciiTheme="minorHAnsi" w:eastAsia="HiddenHorzOCR" w:hAnsiTheme="minorHAnsi"/>
          <w:color w:val="auto"/>
          <w:szCs w:val="24"/>
        </w:rPr>
        <w:t>LOC</w:t>
      </w:r>
      <w:r w:rsidR="009F0B0A" w:rsidRPr="008A1440">
        <w:rPr>
          <w:rFonts w:asciiTheme="minorHAnsi" w:eastAsia="HiddenHorzOCR" w:hAnsiTheme="minorHAnsi"/>
          <w:color w:val="auto"/>
          <w:szCs w:val="24"/>
        </w:rPr>
        <w:t xml:space="preserve"> and that the CI just felt “stunned.”  </w:t>
      </w:r>
      <w:r w:rsidR="009F0B0A">
        <w:rPr>
          <w:rFonts w:asciiTheme="minorHAnsi" w:eastAsia="HiddenHorzOCR" w:hAnsiTheme="minorHAnsi"/>
          <w:color w:val="auto"/>
          <w:szCs w:val="24"/>
        </w:rPr>
        <w:t>The headaches</w:t>
      </w:r>
      <w:r w:rsidR="000C0A4D">
        <w:rPr>
          <w:rFonts w:asciiTheme="minorHAnsi" w:eastAsia="HiddenHorzOCR" w:hAnsiTheme="minorHAnsi"/>
          <w:color w:val="auto"/>
          <w:szCs w:val="24"/>
        </w:rPr>
        <w:t>, as just discussed, developed s</w:t>
      </w:r>
      <w:r w:rsidR="009F0B0A" w:rsidRPr="008A1440">
        <w:rPr>
          <w:rFonts w:asciiTheme="minorHAnsi" w:eastAsia="HiddenHorzOCR" w:hAnsiTheme="minorHAnsi"/>
          <w:color w:val="auto"/>
          <w:szCs w:val="24"/>
        </w:rPr>
        <w:t xml:space="preserve">ubsequent to </w:t>
      </w:r>
      <w:r w:rsidR="000C0A4D">
        <w:rPr>
          <w:rFonts w:asciiTheme="minorHAnsi" w:eastAsia="HiddenHorzOCR" w:hAnsiTheme="minorHAnsi"/>
          <w:color w:val="auto"/>
          <w:szCs w:val="24"/>
        </w:rPr>
        <w:t>the head injury; and</w:t>
      </w:r>
      <w:r w:rsidR="009F0B0A" w:rsidRPr="008A1440">
        <w:rPr>
          <w:rFonts w:asciiTheme="minorHAnsi" w:eastAsia="HiddenHorzOCR" w:hAnsiTheme="minorHAnsi"/>
          <w:color w:val="auto"/>
          <w:szCs w:val="24"/>
        </w:rPr>
        <w:t>,</w:t>
      </w:r>
      <w:r w:rsidR="000C0A4D">
        <w:rPr>
          <w:rFonts w:asciiTheme="minorHAnsi" w:eastAsia="HiddenHorzOCR" w:hAnsiTheme="minorHAnsi"/>
          <w:color w:val="auto"/>
          <w:szCs w:val="24"/>
        </w:rPr>
        <w:t xml:space="preserve"> the CI additionally described </w:t>
      </w:r>
      <w:r w:rsidR="009F0B0A" w:rsidRPr="008A1440">
        <w:rPr>
          <w:rFonts w:asciiTheme="minorHAnsi" w:eastAsia="HiddenHorzOCR" w:hAnsiTheme="minorHAnsi"/>
          <w:color w:val="auto"/>
          <w:szCs w:val="24"/>
        </w:rPr>
        <w:t>“blackouts” (</w:t>
      </w:r>
      <w:r w:rsidR="000C0A4D">
        <w:rPr>
          <w:rFonts w:asciiTheme="minorHAnsi" w:eastAsia="HiddenHorzOCR" w:hAnsiTheme="minorHAnsi"/>
          <w:color w:val="auto"/>
          <w:szCs w:val="24"/>
        </w:rPr>
        <w:t>characterized as</w:t>
      </w:r>
      <w:r w:rsidR="009F0B0A" w:rsidRPr="008A1440">
        <w:rPr>
          <w:rFonts w:asciiTheme="minorHAnsi" w:eastAsia="HiddenHorzOCR" w:hAnsiTheme="minorHAnsi"/>
          <w:color w:val="auto"/>
          <w:szCs w:val="24"/>
        </w:rPr>
        <w:t xml:space="preserve"> "a clouded head" </w:t>
      </w:r>
      <w:r w:rsidR="000C0A4D">
        <w:rPr>
          <w:rFonts w:asciiTheme="minorHAnsi" w:eastAsia="HiddenHorzOCR" w:hAnsiTheme="minorHAnsi"/>
          <w:color w:val="auto"/>
          <w:szCs w:val="24"/>
        </w:rPr>
        <w:t xml:space="preserve">and </w:t>
      </w:r>
      <w:r w:rsidR="009F0B0A" w:rsidRPr="008A1440">
        <w:rPr>
          <w:rFonts w:asciiTheme="minorHAnsi" w:eastAsia="HiddenHorzOCR" w:hAnsiTheme="minorHAnsi"/>
          <w:color w:val="auto"/>
          <w:szCs w:val="24"/>
        </w:rPr>
        <w:t xml:space="preserve">altered awareness) </w:t>
      </w:r>
      <w:r w:rsidR="000C0A4D">
        <w:rPr>
          <w:rFonts w:asciiTheme="minorHAnsi" w:eastAsia="HiddenHorzOCR" w:hAnsiTheme="minorHAnsi"/>
          <w:color w:val="auto"/>
          <w:szCs w:val="24"/>
        </w:rPr>
        <w:t xml:space="preserve">occurring </w:t>
      </w:r>
      <w:r w:rsidR="009F0B0A" w:rsidRPr="008A1440">
        <w:rPr>
          <w:rFonts w:asciiTheme="minorHAnsi" w:eastAsia="HiddenHorzOCR" w:hAnsiTheme="minorHAnsi"/>
          <w:color w:val="auto"/>
          <w:szCs w:val="24"/>
        </w:rPr>
        <w:t xml:space="preserve">1-2 times daily.  He was diagnosed by </w:t>
      </w:r>
      <w:r w:rsidR="000C0A4D">
        <w:rPr>
          <w:rFonts w:asciiTheme="minorHAnsi" w:eastAsia="HiddenHorzOCR" w:hAnsiTheme="minorHAnsi"/>
          <w:color w:val="auto"/>
          <w:szCs w:val="24"/>
        </w:rPr>
        <w:t xml:space="preserve">the </w:t>
      </w:r>
      <w:r w:rsidR="009F0B0A" w:rsidRPr="008A1440">
        <w:rPr>
          <w:rFonts w:asciiTheme="minorHAnsi" w:eastAsia="HiddenHorzOCR" w:hAnsiTheme="minorHAnsi"/>
          <w:color w:val="auto"/>
          <w:szCs w:val="24"/>
        </w:rPr>
        <w:t>neurologist with po</w:t>
      </w:r>
      <w:r w:rsidR="000C0A4D">
        <w:rPr>
          <w:rFonts w:asciiTheme="minorHAnsi" w:eastAsia="HiddenHorzOCR" w:hAnsiTheme="minorHAnsi"/>
          <w:color w:val="auto"/>
          <w:szCs w:val="24"/>
        </w:rPr>
        <w:t>st-</w:t>
      </w:r>
      <w:r w:rsidR="009F0B0A" w:rsidRPr="008A1440">
        <w:rPr>
          <w:rFonts w:asciiTheme="minorHAnsi" w:eastAsia="HiddenHorzOCR" w:hAnsiTheme="minorHAnsi"/>
          <w:color w:val="auto"/>
          <w:szCs w:val="24"/>
        </w:rPr>
        <w:t>concussive migraine head</w:t>
      </w:r>
      <w:r w:rsidR="009F0B0A">
        <w:rPr>
          <w:rFonts w:asciiTheme="minorHAnsi" w:eastAsia="HiddenHorzOCR" w:hAnsiTheme="minorHAnsi"/>
          <w:color w:val="auto"/>
          <w:szCs w:val="24"/>
        </w:rPr>
        <w:t>a</w:t>
      </w:r>
      <w:r w:rsidR="009F0B0A" w:rsidRPr="008A1440">
        <w:rPr>
          <w:rFonts w:asciiTheme="minorHAnsi" w:eastAsia="HiddenHorzOCR" w:hAnsiTheme="minorHAnsi"/>
          <w:color w:val="auto"/>
          <w:szCs w:val="24"/>
        </w:rPr>
        <w:t>ches</w:t>
      </w:r>
      <w:r w:rsidR="000C0A4D">
        <w:rPr>
          <w:rFonts w:asciiTheme="minorHAnsi" w:eastAsia="HiddenHorzOCR" w:hAnsiTheme="minorHAnsi"/>
          <w:color w:val="auto"/>
          <w:szCs w:val="24"/>
        </w:rPr>
        <w:t>, and</w:t>
      </w:r>
      <w:r w:rsidR="009F0B0A" w:rsidRPr="008A1440">
        <w:rPr>
          <w:rFonts w:asciiTheme="minorHAnsi" w:eastAsia="HiddenHorzOCR" w:hAnsiTheme="minorHAnsi"/>
          <w:color w:val="auto"/>
          <w:szCs w:val="24"/>
        </w:rPr>
        <w:t xml:space="preserve"> possible compl</w:t>
      </w:r>
      <w:r w:rsidR="000C0A4D">
        <w:rPr>
          <w:rFonts w:asciiTheme="minorHAnsi" w:eastAsia="HiddenHorzOCR" w:hAnsiTheme="minorHAnsi"/>
          <w:color w:val="auto"/>
          <w:szCs w:val="24"/>
        </w:rPr>
        <w:t>ex partial seizures versus post-</w:t>
      </w:r>
      <w:r w:rsidR="009F0B0A" w:rsidRPr="008A1440">
        <w:rPr>
          <w:rFonts w:asciiTheme="minorHAnsi" w:eastAsia="HiddenHorzOCR" w:hAnsiTheme="minorHAnsi"/>
          <w:color w:val="auto"/>
          <w:szCs w:val="24"/>
        </w:rPr>
        <w:t>concussive syncope/presyncope.</w:t>
      </w:r>
      <w:r w:rsidR="000C0A4D">
        <w:rPr>
          <w:rFonts w:asciiTheme="minorHAnsi" w:eastAsia="HiddenHorzOCR" w:hAnsiTheme="minorHAnsi"/>
          <w:color w:val="auto"/>
          <w:szCs w:val="24"/>
        </w:rPr>
        <w:t xml:space="preserve">  The condition</w:t>
      </w:r>
      <w:r w:rsidR="005C4EA8">
        <w:rPr>
          <w:rFonts w:asciiTheme="minorHAnsi" w:eastAsia="HiddenHorzOCR" w:hAnsiTheme="minorHAnsi"/>
          <w:color w:val="auto"/>
          <w:szCs w:val="24"/>
        </w:rPr>
        <w:t xml:space="preserve"> was</w:t>
      </w:r>
      <w:r w:rsidR="009F0B0A" w:rsidRPr="008A1440">
        <w:rPr>
          <w:rFonts w:asciiTheme="minorHAnsi" w:eastAsia="HiddenHorzOCR" w:hAnsiTheme="minorHAnsi"/>
          <w:color w:val="auto"/>
          <w:szCs w:val="24"/>
        </w:rPr>
        <w:t xml:space="preserve"> extensively worked up throughout the 2003 and 2004 time period by multiple providers including neurology, cardiology</w:t>
      </w:r>
      <w:r w:rsidR="009F0B0A">
        <w:rPr>
          <w:rFonts w:asciiTheme="minorHAnsi" w:eastAsia="HiddenHorzOCR" w:hAnsiTheme="minorHAnsi"/>
          <w:color w:val="auto"/>
          <w:szCs w:val="24"/>
        </w:rPr>
        <w:t>, and neuropsychology.  Diagnostic tests included a normal</w:t>
      </w:r>
      <w:r w:rsidR="009F0B0A" w:rsidRPr="008A1440">
        <w:rPr>
          <w:rFonts w:asciiTheme="minorHAnsi" w:eastAsia="HiddenHorzOCR" w:hAnsiTheme="minorHAnsi"/>
          <w:color w:val="auto"/>
          <w:szCs w:val="24"/>
        </w:rPr>
        <w:t xml:space="preserve"> holter monitor </w:t>
      </w:r>
      <w:r w:rsidR="000C0A4D">
        <w:rPr>
          <w:rFonts w:asciiTheme="minorHAnsi" w:eastAsia="HiddenHorzOCR" w:hAnsiTheme="minorHAnsi"/>
          <w:color w:val="auto"/>
          <w:szCs w:val="24"/>
        </w:rPr>
        <w:t>(</w:t>
      </w:r>
      <w:r w:rsidR="009F0B0A">
        <w:rPr>
          <w:rFonts w:asciiTheme="minorHAnsi" w:eastAsia="HiddenHorzOCR" w:hAnsiTheme="minorHAnsi"/>
          <w:color w:val="auto"/>
          <w:szCs w:val="24"/>
        </w:rPr>
        <w:t>ruling out dysrhythmias</w:t>
      </w:r>
      <w:r w:rsidR="000C0A4D">
        <w:rPr>
          <w:rFonts w:asciiTheme="minorHAnsi" w:eastAsia="HiddenHorzOCR" w:hAnsiTheme="minorHAnsi"/>
          <w:color w:val="auto"/>
          <w:szCs w:val="24"/>
        </w:rPr>
        <w:t>)</w:t>
      </w:r>
      <w:r w:rsidR="009F0B0A">
        <w:rPr>
          <w:rFonts w:asciiTheme="minorHAnsi" w:eastAsia="HiddenHorzOCR" w:hAnsiTheme="minorHAnsi"/>
          <w:color w:val="auto"/>
          <w:szCs w:val="24"/>
        </w:rPr>
        <w:t xml:space="preserve">, normal </w:t>
      </w:r>
      <w:r w:rsidR="000C0A4D">
        <w:rPr>
          <w:rFonts w:asciiTheme="minorHAnsi" w:eastAsia="HiddenHorzOCR" w:hAnsiTheme="minorHAnsi"/>
          <w:color w:val="auto"/>
          <w:szCs w:val="24"/>
        </w:rPr>
        <w:t>electroencephalograms (awake and asleep)</w:t>
      </w:r>
      <w:r w:rsidR="009F0B0A">
        <w:rPr>
          <w:rFonts w:asciiTheme="minorHAnsi" w:eastAsia="HiddenHorzOCR" w:hAnsiTheme="minorHAnsi"/>
          <w:color w:val="auto"/>
          <w:szCs w:val="24"/>
        </w:rPr>
        <w:t xml:space="preserve">, and multiple normal </w:t>
      </w:r>
      <w:r w:rsidR="000C0A4D">
        <w:rPr>
          <w:rFonts w:asciiTheme="minorHAnsi" w:eastAsia="HiddenHorzOCR" w:hAnsiTheme="minorHAnsi"/>
          <w:color w:val="auto"/>
          <w:szCs w:val="24"/>
        </w:rPr>
        <w:t>imaging studies. These effectively</w:t>
      </w:r>
      <w:r w:rsidR="009F0B0A">
        <w:rPr>
          <w:rFonts w:asciiTheme="minorHAnsi" w:eastAsia="HiddenHorzOCR" w:hAnsiTheme="minorHAnsi"/>
          <w:color w:val="auto"/>
          <w:szCs w:val="24"/>
        </w:rPr>
        <w:t xml:space="preserve"> </w:t>
      </w:r>
      <w:r w:rsidR="000C0A4D">
        <w:rPr>
          <w:rFonts w:asciiTheme="minorHAnsi" w:eastAsia="HiddenHorzOCR" w:hAnsiTheme="minorHAnsi"/>
          <w:color w:val="auto"/>
          <w:szCs w:val="24"/>
        </w:rPr>
        <w:t>ruled</w:t>
      </w:r>
      <w:r w:rsidR="009F0B0A">
        <w:rPr>
          <w:rFonts w:asciiTheme="minorHAnsi" w:eastAsia="HiddenHorzOCR" w:hAnsiTheme="minorHAnsi"/>
          <w:color w:val="auto"/>
          <w:szCs w:val="24"/>
        </w:rPr>
        <w:t xml:space="preserve"> </w:t>
      </w:r>
      <w:r w:rsidR="009F0B0A" w:rsidRPr="008A1440">
        <w:rPr>
          <w:rFonts w:asciiTheme="minorHAnsi" w:eastAsia="HiddenHorzOCR" w:hAnsiTheme="minorHAnsi"/>
          <w:color w:val="auto"/>
          <w:szCs w:val="24"/>
        </w:rPr>
        <w:t xml:space="preserve">out seizures, transient ischemic attacks, or other neurogenic </w:t>
      </w:r>
      <w:r w:rsidR="00076629">
        <w:rPr>
          <w:rFonts w:asciiTheme="minorHAnsi" w:eastAsia="HiddenHorzOCR" w:hAnsiTheme="minorHAnsi"/>
          <w:color w:val="auto"/>
          <w:szCs w:val="24"/>
        </w:rPr>
        <w:t xml:space="preserve">or cardiovascular </w:t>
      </w:r>
      <w:r w:rsidR="009F0B0A" w:rsidRPr="008A1440">
        <w:rPr>
          <w:rFonts w:asciiTheme="minorHAnsi" w:eastAsia="HiddenHorzOCR" w:hAnsiTheme="minorHAnsi"/>
          <w:color w:val="auto"/>
          <w:szCs w:val="24"/>
        </w:rPr>
        <w:t xml:space="preserve">etiologies as the cause for </w:t>
      </w:r>
      <w:r w:rsidR="007C128F">
        <w:rPr>
          <w:rFonts w:asciiTheme="minorHAnsi" w:eastAsia="HiddenHorzOCR" w:hAnsiTheme="minorHAnsi"/>
          <w:color w:val="auto"/>
          <w:szCs w:val="24"/>
        </w:rPr>
        <w:t xml:space="preserve">the </w:t>
      </w:r>
      <w:r w:rsidR="005C3CFE">
        <w:rPr>
          <w:rFonts w:asciiTheme="minorHAnsi" w:eastAsia="HiddenHorzOCR" w:hAnsiTheme="minorHAnsi"/>
          <w:color w:val="auto"/>
          <w:szCs w:val="24"/>
        </w:rPr>
        <w:t>reported</w:t>
      </w:r>
      <w:r w:rsidR="007C128F">
        <w:rPr>
          <w:rFonts w:asciiTheme="minorHAnsi" w:eastAsia="HiddenHorzOCR" w:hAnsiTheme="minorHAnsi"/>
          <w:color w:val="auto"/>
          <w:szCs w:val="24"/>
        </w:rPr>
        <w:t xml:space="preserve"> periods of </w:t>
      </w:r>
      <w:r w:rsidR="005C3CFE">
        <w:rPr>
          <w:rFonts w:asciiTheme="minorHAnsi" w:eastAsia="HiddenHorzOCR" w:hAnsiTheme="minorHAnsi"/>
          <w:color w:val="auto"/>
          <w:szCs w:val="24"/>
        </w:rPr>
        <w:t>altered sensorium</w:t>
      </w:r>
      <w:r w:rsidR="009F0B0A">
        <w:rPr>
          <w:rFonts w:asciiTheme="minorHAnsi" w:eastAsia="HiddenHorzOCR" w:hAnsiTheme="minorHAnsi"/>
          <w:color w:val="auto"/>
          <w:szCs w:val="24"/>
        </w:rPr>
        <w:t xml:space="preserve">. </w:t>
      </w:r>
      <w:r w:rsidR="009F0B0A" w:rsidRPr="008A1440">
        <w:rPr>
          <w:rFonts w:asciiTheme="minorHAnsi" w:eastAsia="HiddenHorzOCR" w:hAnsiTheme="minorHAnsi"/>
          <w:color w:val="auto"/>
          <w:szCs w:val="24"/>
        </w:rPr>
        <w:t xml:space="preserve"> </w:t>
      </w:r>
      <w:r w:rsidR="009F0B0A">
        <w:rPr>
          <w:rFonts w:asciiTheme="minorHAnsi" w:eastAsia="HiddenHorzOCR" w:hAnsiTheme="minorHAnsi"/>
          <w:color w:val="auto"/>
          <w:szCs w:val="24"/>
        </w:rPr>
        <w:t xml:space="preserve">These normal studies </w:t>
      </w:r>
      <w:r w:rsidR="009F0B0A" w:rsidRPr="008A1440">
        <w:rPr>
          <w:rFonts w:asciiTheme="minorHAnsi" w:eastAsia="HiddenHorzOCR" w:hAnsiTheme="minorHAnsi"/>
          <w:color w:val="auto"/>
          <w:szCs w:val="24"/>
        </w:rPr>
        <w:t xml:space="preserve">prompted the neurologist to opine that these attacks were </w:t>
      </w:r>
      <w:r w:rsidR="009F0B0A">
        <w:rPr>
          <w:rFonts w:asciiTheme="minorHAnsi" w:eastAsia="HiddenHorzOCR" w:hAnsiTheme="minorHAnsi"/>
          <w:color w:val="auto"/>
          <w:szCs w:val="24"/>
        </w:rPr>
        <w:t xml:space="preserve">possibly </w:t>
      </w:r>
      <w:r w:rsidR="009F0B0A" w:rsidRPr="008A1440">
        <w:rPr>
          <w:rFonts w:asciiTheme="minorHAnsi" w:eastAsia="HiddenHorzOCR" w:hAnsiTheme="minorHAnsi"/>
          <w:color w:val="auto"/>
          <w:szCs w:val="24"/>
        </w:rPr>
        <w:t>“nonphysiologi</w:t>
      </w:r>
      <w:r w:rsidR="009F0B0A">
        <w:rPr>
          <w:rFonts w:asciiTheme="minorHAnsi" w:eastAsia="HiddenHorzOCR" w:hAnsiTheme="minorHAnsi"/>
          <w:color w:val="auto"/>
          <w:szCs w:val="24"/>
        </w:rPr>
        <w:t>c given their atypical features</w:t>
      </w:r>
      <w:r w:rsidR="009F0B0A" w:rsidRPr="008A1440">
        <w:rPr>
          <w:rFonts w:asciiTheme="minorHAnsi" w:eastAsia="HiddenHorzOCR" w:hAnsiTheme="minorHAnsi"/>
          <w:color w:val="auto"/>
          <w:szCs w:val="24"/>
        </w:rPr>
        <w:t>”</w:t>
      </w:r>
      <w:r w:rsidR="009F0B0A">
        <w:rPr>
          <w:rFonts w:asciiTheme="minorHAnsi" w:eastAsia="HiddenHorzOCR" w:hAnsiTheme="minorHAnsi"/>
          <w:color w:val="auto"/>
          <w:szCs w:val="24"/>
        </w:rPr>
        <w:t>.</w:t>
      </w:r>
      <w:r w:rsidR="009F0B0A" w:rsidRPr="008A1440">
        <w:rPr>
          <w:rFonts w:asciiTheme="minorHAnsi" w:eastAsia="HiddenHorzOCR" w:hAnsiTheme="minorHAnsi"/>
          <w:color w:val="auto"/>
          <w:szCs w:val="24"/>
        </w:rPr>
        <w:t xml:space="preserve">  </w:t>
      </w:r>
      <w:r w:rsidR="00784A4C">
        <w:rPr>
          <w:rFonts w:asciiTheme="minorHAnsi" w:eastAsia="HiddenHorzOCR" w:hAnsiTheme="minorHAnsi"/>
          <w:color w:val="auto"/>
          <w:szCs w:val="24"/>
        </w:rPr>
        <w:t xml:space="preserve">Neuropsychological </w:t>
      </w:r>
      <w:r w:rsidR="000C0A4D">
        <w:rPr>
          <w:rFonts w:asciiTheme="minorHAnsi" w:eastAsia="HiddenHorzOCR" w:hAnsiTheme="minorHAnsi"/>
          <w:color w:val="auto"/>
          <w:szCs w:val="24"/>
        </w:rPr>
        <w:t>t</w:t>
      </w:r>
      <w:r w:rsidR="009F0B0A" w:rsidRPr="008A1440">
        <w:rPr>
          <w:rFonts w:asciiTheme="minorHAnsi" w:eastAsia="HiddenHorzOCR" w:hAnsiTheme="minorHAnsi"/>
          <w:color w:val="auto"/>
          <w:szCs w:val="24"/>
        </w:rPr>
        <w:t>esting revealed some unevenness of performance and mild cognitive inefficiencies</w:t>
      </w:r>
      <w:r w:rsidR="00784A4C">
        <w:rPr>
          <w:rFonts w:asciiTheme="minorHAnsi" w:eastAsia="HiddenHorzOCR" w:hAnsiTheme="minorHAnsi"/>
          <w:color w:val="auto"/>
          <w:szCs w:val="24"/>
        </w:rPr>
        <w:t>; and there were test indicators of symptom exaggeration.</w:t>
      </w:r>
      <w:r w:rsidR="009F0B0A" w:rsidRPr="008A1440">
        <w:rPr>
          <w:rFonts w:asciiTheme="minorHAnsi" w:eastAsia="HiddenHorzOCR" w:hAnsiTheme="minorHAnsi"/>
          <w:color w:val="auto"/>
          <w:szCs w:val="24"/>
        </w:rPr>
        <w:t xml:space="preserve">  </w:t>
      </w:r>
      <w:r w:rsidR="00784A4C">
        <w:rPr>
          <w:rFonts w:asciiTheme="minorHAnsi" w:eastAsia="HiddenHorzOCR" w:hAnsiTheme="minorHAnsi"/>
          <w:color w:val="auto"/>
          <w:szCs w:val="24"/>
        </w:rPr>
        <w:t xml:space="preserve">The consultant’s </w:t>
      </w:r>
      <w:r w:rsidR="009F0B0A" w:rsidRPr="008A1440">
        <w:rPr>
          <w:rFonts w:asciiTheme="minorHAnsi" w:eastAsia="HiddenHorzOCR" w:hAnsiTheme="minorHAnsi"/>
          <w:color w:val="auto"/>
          <w:szCs w:val="24"/>
        </w:rPr>
        <w:t>impression</w:t>
      </w:r>
      <w:r w:rsidR="00C94122">
        <w:rPr>
          <w:rFonts w:asciiTheme="minorHAnsi" w:eastAsia="HiddenHorzOCR" w:hAnsiTheme="minorHAnsi"/>
          <w:color w:val="auto"/>
          <w:szCs w:val="24"/>
        </w:rPr>
        <w:t>,</w:t>
      </w:r>
      <w:r w:rsidR="00784A4C">
        <w:rPr>
          <w:rFonts w:asciiTheme="minorHAnsi" w:eastAsia="HiddenHorzOCR" w:hAnsiTheme="minorHAnsi"/>
          <w:color w:val="auto"/>
          <w:szCs w:val="24"/>
        </w:rPr>
        <w:t xml:space="preserve"> derived from this evaluation</w:t>
      </w:r>
      <w:r w:rsidR="00C94122">
        <w:rPr>
          <w:rFonts w:asciiTheme="minorHAnsi" w:eastAsia="HiddenHorzOCR" w:hAnsiTheme="minorHAnsi"/>
          <w:color w:val="auto"/>
          <w:szCs w:val="24"/>
        </w:rPr>
        <w:t>,</w:t>
      </w:r>
      <w:r w:rsidR="009F0B0A" w:rsidRPr="008A1440">
        <w:rPr>
          <w:rFonts w:asciiTheme="minorHAnsi" w:eastAsia="HiddenHorzOCR" w:hAnsiTheme="minorHAnsi"/>
          <w:color w:val="auto"/>
          <w:szCs w:val="24"/>
        </w:rPr>
        <w:t xml:space="preserve"> was that psychological factors were predominant in the CI’s clinical presentation (e.g., not wanting to deploy)</w:t>
      </w:r>
      <w:r w:rsidR="00157DAE">
        <w:rPr>
          <w:rFonts w:asciiTheme="minorHAnsi" w:eastAsia="HiddenHorzOCR" w:hAnsiTheme="minorHAnsi"/>
          <w:color w:val="auto"/>
          <w:szCs w:val="24"/>
        </w:rPr>
        <w:t>; but,</w:t>
      </w:r>
      <w:r w:rsidR="00784A4C">
        <w:rPr>
          <w:rFonts w:asciiTheme="minorHAnsi" w:eastAsia="HiddenHorzOCR" w:hAnsiTheme="minorHAnsi"/>
          <w:color w:val="auto"/>
          <w:szCs w:val="24"/>
        </w:rPr>
        <w:t xml:space="preserve"> </w:t>
      </w:r>
      <w:r w:rsidR="009F0B0A" w:rsidRPr="008A1440">
        <w:rPr>
          <w:rFonts w:asciiTheme="minorHAnsi" w:eastAsia="HiddenHorzOCR" w:hAnsiTheme="minorHAnsi"/>
          <w:color w:val="auto"/>
          <w:szCs w:val="24"/>
        </w:rPr>
        <w:t xml:space="preserve">that the CI was fit for deployment from a neuropsychological point of view.  Ultimately, the neurologist indicated that none of </w:t>
      </w:r>
      <w:r w:rsidR="00C94122">
        <w:rPr>
          <w:rFonts w:asciiTheme="minorHAnsi" w:eastAsia="HiddenHorzOCR" w:hAnsiTheme="minorHAnsi"/>
          <w:color w:val="auto"/>
          <w:szCs w:val="24"/>
        </w:rPr>
        <w:t>the</w:t>
      </w:r>
      <w:r w:rsidR="009F0B0A" w:rsidRPr="008A1440">
        <w:rPr>
          <w:rFonts w:asciiTheme="minorHAnsi" w:eastAsia="HiddenHorzOCR" w:hAnsiTheme="minorHAnsi"/>
          <w:color w:val="auto"/>
          <w:szCs w:val="24"/>
        </w:rPr>
        <w:t xml:space="preserve"> </w:t>
      </w:r>
      <w:r w:rsidR="005C3CFE">
        <w:rPr>
          <w:rFonts w:asciiTheme="minorHAnsi" w:eastAsia="HiddenHorzOCR" w:hAnsiTheme="minorHAnsi"/>
          <w:color w:val="auto"/>
          <w:szCs w:val="24"/>
        </w:rPr>
        <w:t>blackout</w:t>
      </w:r>
      <w:r w:rsidR="009F0B0A">
        <w:rPr>
          <w:rFonts w:asciiTheme="minorHAnsi" w:eastAsia="HiddenHorzOCR" w:hAnsiTheme="minorHAnsi"/>
          <w:color w:val="auto"/>
          <w:szCs w:val="24"/>
        </w:rPr>
        <w:t xml:space="preserve"> </w:t>
      </w:r>
      <w:r w:rsidR="009F0B0A" w:rsidRPr="008A1440">
        <w:rPr>
          <w:rFonts w:asciiTheme="minorHAnsi" w:eastAsia="HiddenHorzOCR" w:hAnsiTheme="minorHAnsi"/>
          <w:color w:val="auto"/>
          <w:szCs w:val="24"/>
        </w:rPr>
        <w:t>spells ha</w:t>
      </w:r>
      <w:r w:rsidR="00C94122">
        <w:rPr>
          <w:rFonts w:asciiTheme="minorHAnsi" w:eastAsia="HiddenHorzOCR" w:hAnsiTheme="minorHAnsi"/>
          <w:color w:val="auto"/>
          <w:szCs w:val="24"/>
        </w:rPr>
        <w:t>d been witnessed by the command;</w:t>
      </w:r>
      <w:r w:rsidR="009F0B0A" w:rsidRPr="008A1440">
        <w:rPr>
          <w:rFonts w:asciiTheme="minorHAnsi" w:eastAsia="HiddenHorzOCR" w:hAnsiTheme="minorHAnsi"/>
          <w:color w:val="auto"/>
          <w:szCs w:val="24"/>
        </w:rPr>
        <w:t xml:space="preserve"> that the spells had not interfered with work</w:t>
      </w:r>
      <w:r w:rsidR="00076629">
        <w:rPr>
          <w:rFonts w:asciiTheme="minorHAnsi" w:eastAsia="HiddenHorzOCR" w:hAnsiTheme="minorHAnsi"/>
          <w:color w:val="auto"/>
          <w:szCs w:val="24"/>
        </w:rPr>
        <w:t xml:space="preserve"> (</w:t>
      </w:r>
      <w:r w:rsidR="009F0B0A" w:rsidRPr="008A1440">
        <w:rPr>
          <w:rFonts w:asciiTheme="minorHAnsi" w:eastAsia="HiddenHorzOCR" w:hAnsiTheme="minorHAnsi"/>
          <w:color w:val="auto"/>
          <w:szCs w:val="24"/>
        </w:rPr>
        <w:t>other than the need for a temporary pro</w:t>
      </w:r>
      <w:r w:rsidR="00C94122">
        <w:rPr>
          <w:rFonts w:asciiTheme="minorHAnsi" w:eastAsia="HiddenHorzOCR" w:hAnsiTheme="minorHAnsi"/>
          <w:color w:val="auto"/>
          <w:szCs w:val="24"/>
        </w:rPr>
        <w:t>file</w:t>
      </w:r>
      <w:r w:rsidR="00076629">
        <w:rPr>
          <w:rFonts w:asciiTheme="minorHAnsi" w:eastAsia="HiddenHorzOCR" w:hAnsiTheme="minorHAnsi"/>
          <w:color w:val="auto"/>
          <w:szCs w:val="24"/>
        </w:rPr>
        <w:t>)</w:t>
      </w:r>
      <w:r w:rsidR="00C94122">
        <w:rPr>
          <w:rFonts w:asciiTheme="minorHAnsi" w:eastAsia="HiddenHorzOCR" w:hAnsiTheme="minorHAnsi"/>
          <w:color w:val="auto"/>
          <w:szCs w:val="24"/>
        </w:rPr>
        <w:t>;</w:t>
      </w:r>
      <w:r w:rsidR="009F0B0A" w:rsidRPr="008A1440">
        <w:rPr>
          <w:rFonts w:asciiTheme="minorHAnsi" w:eastAsia="HiddenHorzOCR" w:hAnsiTheme="minorHAnsi"/>
          <w:color w:val="auto"/>
          <w:szCs w:val="24"/>
        </w:rPr>
        <w:t xml:space="preserve"> </w:t>
      </w:r>
      <w:r w:rsidR="005C3CFE">
        <w:rPr>
          <w:rFonts w:asciiTheme="minorHAnsi" w:eastAsia="HiddenHorzOCR" w:hAnsiTheme="minorHAnsi"/>
          <w:color w:val="auto"/>
          <w:szCs w:val="24"/>
        </w:rPr>
        <w:t xml:space="preserve">and, </w:t>
      </w:r>
      <w:r w:rsidR="009F0B0A" w:rsidRPr="008A1440">
        <w:rPr>
          <w:rFonts w:asciiTheme="minorHAnsi" w:eastAsia="HiddenHorzOCR" w:hAnsiTheme="minorHAnsi"/>
          <w:color w:val="auto"/>
          <w:szCs w:val="24"/>
        </w:rPr>
        <w:t xml:space="preserve">that they were </w:t>
      </w:r>
      <w:r w:rsidR="00C94122">
        <w:rPr>
          <w:rFonts w:asciiTheme="minorHAnsi" w:eastAsia="HiddenHorzOCR" w:hAnsiTheme="minorHAnsi"/>
          <w:color w:val="auto"/>
          <w:szCs w:val="24"/>
        </w:rPr>
        <w:t>not epilept</w:t>
      </w:r>
      <w:r w:rsidR="009F0B0A" w:rsidRPr="008A1440">
        <w:rPr>
          <w:rFonts w:asciiTheme="minorHAnsi" w:eastAsia="HiddenHorzOCR" w:hAnsiTheme="minorHAnsi"/>
          <w:color w:val="auto"/>
          <w:szCs w:val="24"/>
        </w:rPr>
        <w:t>ic in nature</w:t>
      </w:r>
      <w:r w:rsidR="005C3CFE">
        <w:rPr>
          <w:rFonts w:asciiTheme="minorHAnsi" w:eastAsia="HiddenHorzOCR" w:hAnsiTheme="minorHAnsi"/>
          <w:color w:val="auto"/>
          <w:szCs w:val="24"/>
        </w:rPr>
        <w:t>.</w:t>
      </w:r>
      <w:r w:rsidR="009F0B0A" w:rsidRPr="008A1440">
        <w:rPr>
          <w:rFonts w:asciiTheme="minorHAnsi" w:eastAsia="HiddenHorzOCR" w:hAnsiTheme="minorHAnsi"/>
          <w:color w:val="auto"/>
          <w:szCs w:val="24"/>
        </w:rPr>
        <w:t xml:space="preserve"> </w:t>
      </w:r>
      <w:r w:rsidR="005C3CFE">
        <w:rPr>
          <w:rFonts w:asciiTheme="minorHAnsi" w:eastAsia="HiddenHorzOCR" w:hAnsiTheme="minorHAnsi"/>
          <w:color w:val="auto"/>
          <w:szCs w:val="24"/>
        </w:rPr>
        <w:t xml:space="preserve"> The</w:t>
      </w:r>
      <w:r w:rsidR="009F0B0A" w:rsidRPr="008A1440">
        <w:rPr>
          <w:rFonts w:asciiTheme="minorHAnsi" w:eastAsia="HiddenHorzOCR" w:hAnsiTheme="minorHAnsi"/>
          <w:color w:val="auto"/>
          <w:szCs w:val="24"/>
        </w:rPr>
        <w:t xml:space="preserve"> </w:t>
      </w:r>
      <w:r w:rsidR="005C3CFE">
        <w:rPr>
          <w:rFonts w:asciiTheme="minorHAnsi" w:eastAsia="HiddenHorzOCR" w:hAnsiTheme="minorHAnsi"/>
          <w:color w:val="auto"/>
          <w:szCs w:val="24"/>
        </w:rPr>
        <w:t xml:space="preserve">consultant </w:t>
      </w:r>
      <w:r w:rsidR="009F0B0A">
        <w:rPr>
          <w:rFonts w:asciiTheme="minorHAnsi" w:eastAsia="HiddenHorzOCR" w:hAnsiTheme="minorHAnsi"/>
          <w:color w:val="auto"/>
          <w:szCs w:val="24"/>
        </w:rPr>
        <w:t>deemed the CI</w:t>
      </w:r>
      <w:r w:rsidR="009F0B0A" w:rsidRPr="008A1440">
        <w:rPr>
          <w:rFonts w:asciiTheme="minorHAnsi" w:eastAsia="HiddenHorzOCR" w:hAnsiTheme="minorHAnsi"/>
          <w:color w:val="auto"/>
          <w:szCs w:val="24"/>
        </w:rPr>
        <w:t xml:space="preserve"> fit for full duty from </w:t>
      </w:r>
      <w:r w:rsidR="005C3CFE">
        <w:rPr>
          <w:rFonts w:asciiTheme="minorHAnsi" w:eastAsia="HiddenHorzOCR" w:hAnsiTheme="minorHAnsi"/>
          <w:color w:val="auto"/>
          <w:szCs w:val="24"/>
        </w:rPr>
        <w:t>a neurology</w:t>
      </w:r>
      <w:r w:rsidR="009F0B0A" w:rsidRPr="008A1440">
        <w:rPr>
          <w:rFonts w:asciiTheme="minorHAnsi" w:eastAsia="HiddenHorzOCR" w:hAnsiTheme="minorHAnsi"/>
          <w:color w:val="auto"/>
          <w:szCs w:val="24"/>
        </w:rPr>
        <w:t xml:space="preserve"> standpoint</w:t>
      </w:r>
      <w:r w:rsidR="009F0B0A">
        <w:rPr>
          <w:rFonts w:asciiTheme="minorHAnsi" w:eastAsia="HiddenHorzOCR" w:hAnsiTheme="minorHAnsi"/>
          <w:color w:val="auto"/>
          <w:szCs w:val="24"/>
        </w:rPr>
        <w:t xml:space="preserve">.  </w:t>
      </w:r>
      <w:r w:rsidR="006675A2" w:rsidRPr="008A1440">
        <w:rPr>
          <w:rFonts w:asciiTheme="minorHAnsi" w:hAnsiTheme="minorHAnsi"/>
          <w:color w:val="auto"/>
          <w:szCs w:val="24"/>
        </w:rPr>
        <w:t xml:space="preserve">There was </w:t>
      </w:r>
      <w:r w:rsidR="00C94122">
        <w:rPr>
          <w:rFonts w:asciiTheme="minorHAnsi" w:hAnsiTheme="minorHAnsi"/>
          <w:color w:val="auto"/>
          <w:szCs w:val="24"/>
        </w:rPr>
        <w:t xml:space="preserve">thus </w:t>
      </w:r>
      <w:r w:rsidR="006675A2" w:rsidRPr="008A1440">
        <w:rPr>
          <w:rFonts w:asciiTheme="minorHAnsi" w:hAnsiTheme="minorHAnsi"/>
          <w:color w:val="auto"/>
          <w:szCs w:val="24"/>
        </w:rPr>
        <w:t xml:space="preserve">no evidence for concluding that </w:t>
      </w:r>
      <w:proofErr w:type="gramStart"/>
      <w:r w:rsidR="00C94122">
        <w:rPr>
          <w:rFonts w:asciiTheme="minorHAnsi" w:hAnsiTheme="minorHAnsi"/>
          <w:color w:val="auto"/>
          <w:szCs w:val="24"/>
        </w:rPr>
        <w:t>either</w:t>
      </w:r>
      <w:r w:rsidR="009A0FB2">
        <w:rPr>
          <w:rFonts w:asciiTheme="minorHAnsi" w:hAnsiTheme="minorHAnsi"/>
          <w:color w:val="auto"/>
          <w:szCs w:val="24"/>
        </w:rPr>
        <w:t xml:space="preserve"> </w:t>
      </w:r>
      <w:r w:rsidR="005C3CFE">
        <w:rPr>
          <w:rFonts w:asciiTheme="minorHAnsi" w:hAnsiTheme="minorHAnsi"/>
          <w:color w:val="auto"/>
          <w:szCs w:val="24"/>
        </w:rPr>
        <w:t>baseline</w:t>
      </w:r>
      <w:proofErr w:type="gramEnd"/>
      <w:r w:rsidR="005C3CFE">
        <w:rPr>
          <w:rFonts w:asciiTheme="minorHAnsi" w:hAnsiTheme="minorHAnsi"/>
          <w:color w:val="auto"/>
          <w:szCs w:val="24"/>
        </w:rPr>
        <w:t xml:space="preserve"> cognitive impairment, the blackout episodes</w:t>
      </w:r>
      <w:r w:rsidR="00C94122">
        <w:rPr>
          <w:rFonts w:asciiTheme="minorHAnsi" w:hAnsiTheme="minorHAnsi"/>
          <w:color w:val="auto"/>
          <w:szCs w:val="24"/>
        </w:rPr>
        <w:t xml:space="preserve">, or the headaches (previously addressed) </w:t>
      </w:r>
      <w:r w:rsidR="00076629">
        <w:rPr>
          <w:rFonts w:asciiTheme="minorHAnsi" w:hAnsiTheme="minorHAnsi"/>
          <w:color w:val="auto"/>
          <w:szCs w:val="24"/>
        </w:rPr>
        <w:t xml:space="preserve">- </w:t>
      </w:r>
      <w:r w:rsidR="00C94122">
        <w:rPr>
          <w:rFonts w:asciiTheme="minorHAnsi" w:hAnsiTheme="minorHAnsi"/>
          <w:color w:val="auto"/>
          <w:szCs w:val="24"/>
        </w:rPr>
        <w:t xml:space="preserve">which comprised the </w:t>
      </w:r>
      <w:r w:rsidR="00076629">
        <w:rPr>
          <w:rFonts w:asciiTheme="minorHAnsi" w:hAnsiTheme="minorHAnsi"/>
          <w:color w:val="auto"/>
          <w:szCs w:val="24"/>
        </w:rPr>
        <w:t xml:space="preserve">entire </w:t>
      </w:r>
      <w:r w:rsidR="006675A2" w:rsidRPr="008A1440">
        <w:rPr>
          <w:rFonts w:asciiTheme="minorHAnsi" w:hAnsiTheme="minorHAnsi"/>
          <w:color w:val="auto"/>
          <w:szCs w:val="24"/>
        </w:rPr>
        <w:t xml:space="preserve">TBI </w:t>
      </w:r>
      <w:r w:rsidR="00C94122">
        <w:rPr>
          <w:rFonts w:asciiTheme="minorHAnsi" w:hAnsiTheme="minorHAnsi"/>
          <w:color w:val="auto"/>
          <w:szCs w:val="24"/>
        </w:rPr>
        <w:t>symptom complex</w:t>
      </w:r>
      <w:r w:rsidR="00076629">
        <w:rPr>
          <w:rFonts w:asciiTheme="minorHAnsi" w:hAnsiTheme="minorHAnsi"/>
          <w:color w:val="auto"/>
          <w:szCs w:val="24"/>
        </w:rPr>
        <w:t xml:space="preserve"> -</w:t>
      </w:r>
      <w:r w:rsidR="00C94122">
        <w:rPr>
          <w:rFonts w:asciiTheme="minorHAnsi" w:hAnsiTheme="minorHAnsi"/>
          <w:color w:val="auto"/>
          <w:szCs w:val="24"/>
        </w:rPr>
        <w:t xml:space="preserve"> </w:t>
      </w:r>
      <w:r w:rsidR="006675A2" w:rsidRPr="008A1440">
        <w:rPr>
          <w:rFonts w:asciiTheme="minorHAnsi" w:hAnsiTheme="minorHAnsi"/>
          <w:color w:val="auto"/>
          <w:szCs w:val="24"/>
        </w:rPr>
        <w:t xml:space="preserve">interfered with duty performance to a degree that could be argued as unfitting.  </w:t>
      </w:r>
      <w:r w:rsidR="005C3CFE" w:rsidRPr="005C3CFE">
        <w:rPr>
          <w:rFonts w:eastAsiaTheme="minorHAnsi" w:cstheme="minorBidi"/>
          <w:color w:val="auto"/>
          <w:szCs w:val="24"/>
        </w:rPr>
        <w:t xml:space="preserve">After due deliberation in consideration of the totality of the evidence, </w:t>
      </w:r>
      <w:r w:rsidR="005C3CFE">
        <w:rPr>
          <w:rFonts w:eastAsiaTheme="minorHAnsi" w:cstheme="minorBidi"/>
          <w:color w:val="auto"/>
          <w:szCs w:val="24"/>
        </w:rPr>
        <w:t xml:space="preserve">and mindful of VASRD </w:t>
      </w:r>
      <w:r w:rsidR="005C3CFE" w:rsidRPr="005C3CFE">
        <w:rPr>
          <w:rFonts w:eastAsiaTheme="minorHAnsi" w:cstheme="minorBidi"/>
          <w:color w:val="auto"/>
          <w:szCs w:val="24"/>
        </w:rPr>
        <w:t>§4.3 (reasonable doubt)</w:t>
      </w:r>
      <w:r w:rsidR="005C3CFE">
        <w:rPr>
          <w:rFonts w:eastAsiaTheme="minorHAnsi" w:cstheme="minorBidi"/>
          <w:color w:val="auto"/>
          <w:szCs w:val="24"/>
        </w:rPr>
        <w:t xml:space="preserve">, the </w:t>
      </w:r>
      <w:r w:rsidR="005C3CFE" w:rsidRPr="005C3CFE">
        <w:rPr>
          <w:rFonts w:eastAsiaTheme="minorHAnsi" w:cstheme="minorBidi"/>
          <w:color w:val="auto"/>
          <w:szCs w:val="24"/>
        </w:rPr>
        <w:t xml:space="preserve">Board concluded that there was insufficient cause to recommend </w:t>
      </w:r>
      <w:r w:rsidR="005C3CFE">
        <w:rPr>
          <w:rFonts w:eastAsiaTheme="minorHAnsi" w:cstheme="minorBidi"/>
          <w:color w:val="auto"/>
          <w:szCs w:val="24"/>
        </w:rPr>
        <w:t>the</w:t>
      </w:r>
      <w:r w:rsidR="00C94122" w:rsidRPr="00C94122">
        <w:rPr>
          <w:rFonts w:eastAsiaTheme="minorHAnsi" w:cstheme="minorBidi"/>
          <w:color w:val="auto"/>
          <w:szCs w:val="24"/>
        </w:rPr>
        <w:t xml:space="preserve"> addition of </w:t>
      </w:r>
      <w:r w:rsidR="00C94122">
        <w:rPr>
          <w:rFonts w:eastAsiaTheme="minorHAnsi" w:cstheme="minorBidi"/>
          <w:color w:val="auto"/>
          <w:szCs w:val="24"/>
        </w:rPr>
        <w:t xml:space="preserve">TBI </w:t>
      </w:r>
      <w:r w:rsidR="00C94122" w:rsidRPr="00C94122">
        <w:rPr>
          <w:rFonts w:eastAsiaTheme="minorHAnsi" w:cstheme="minorBidi"/>
          <w:color w:val="auto"/>
          <w:szCs w:val="24"/>
        </w:rPr>
        <w:t>as an unfitting condition for separation rating.</w:t>
      </w:r>
    </w:p>
    <w:p w:rsidR="00C94122" w:rsidRDefault="00C94122" w:rsidP="00C71622">
      <w:pPr>
        <w:spacing w:line="240" w:lineRule="exact"/>
        <w:jc w:val="both"/>
        <w:rPr>
          <w:rFonts w:asciiTheme="minorHAnsi" w:hAnsiTheme="minorHAnsi"/>
          <w:color w:val="auto"/>
          <w:szCs w:val="24"/>
        </w:rPr>
      </w:pPr>
    </w:p>
    <w:p w:rsidR="006675A2" w:rsidRPr="00C94122" w:rsidRDefault="008D11B4" w:rsidP="00C71622">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With respect to</w:t>
      </w:r>
      <w:r w:rsidR="006675A2" w:rsidRPr="008A1440">
        <w:rPr>
          <w:rFonts w:asciiTheme="minorHAnsi" w:eastAsia="HiddenHorzOCR" w:hAnsiTheme="minorHAnsi"/>
          <w:color w:val="auto"/>
          <w:szCs w:val="24"/>
        </w:rPr>
        <w:t xml:space="preserve"> </w:t>
      </w:r>
      <w:r w:rsidR="00DA0088">
        <w:rPr>
          <w:rFonts w:asciiTheme="minorHAnsi" w:eastAsia="HiddenHorzOCR" w:hAnsiTheme="minorHAnsi"/>
          <w:color w:val="auto"/>
          <w:szCs w:val="24"/>
        </w:rPr>
        <w:t xml:space="preserve">the contended </w:t>
      </w:r>
      <w:r w:rsidR="006675A2" w:rsidRPr="008A1440">
        <w:rPr>
          <w:rFonts w:asciiTheme="minorHAnsi" w:eastAsia="HiddenHorzOCR" w:hAnsiTheme="minorHAnsi"/>
          <w:color w:val="auto"/>
          <w:szCs w:val="24"/>
        </w:rPr>
        <w:t>PTSD</w:t>
      </w:r>
      <w:r w:rsidR="00DA0088">
        <w:rPr>
          <w:rFonts w:asciiTheme="minorHAnsi" w:eastAsia="HiddenHorzOCR" w:hAnsiTheme="minorHAnsi"/>
          <w:color w:val="auto"/>
          <w:szCs w:val="24"/>
        </w:rPr>
        <w:t xml:space="preserve"> condition</w:t>
      </w:r>
      <w:r w:rsidR="006675A2" w:rsidRPr="008A1440">
        <w:rPr>
          <w:rFonts w:asciiTheme="minorHAnsi" w:eastAsia="HiddenHorzOCR" w:hAnsiTheme="minorHAnsi"/>
          <w:color w:val="auto"/>
          <w:szCs w:val="24"/>
        </w:rPr>
        <w:t xml:space="preserve">, there is potential overlap of symptoms related to TBI and PTSD.  However, the symptoms discussed above in </w:t>
      </w:r>
      <w:r w:rsidR="00DA0088">
        <w:rPr>
          <w:rFonts w:asciiTheme="minorHAnsi" w:eastAsia="HiddenHorzOCR" w:hAnsiTheme="minorHAnsi"/>
          <w:color w:val="auto"/>
          <w:szCs w:val="24"/>
        </w:rPr>
        <w:t>the context</w:t>
      </w:r>
      <w:r w:rsidR="006675A2" w:rsidRPr="008A1440">
        <w:rPr>
          <w:rFonts w:asciiTheme="minorHAnsi" w:eastAsia="HiddenHorzOCR" w:hAnsiTheme="minorHAnsi"/>
          <w:color w:val="auto"/>
          <w:szCs w:val="24"/>
        </w:rPr>
        <w:t xml:space="preserve"> of TBI were not </w:t>
      </w:r>
      <w:r w:rsidR="00DA0088">
        <w:rPr>
          <w:rFonts w:asciiTheme="minorHAnsi" w:eastAsia="HiddenHorzOCR" w:hAnsiTheme="minorHAnsi"/>
          <w:color w:val="auto"/>
          <w:szCs w:val="24"/>
        </w:rPr>
        <w:t xml:space="preserve">linked to any psychiatric </w:t>
      </w:r>
      <w:r w:rsidR="006675A2" w:rsidRPr="008A1440">
        <w:rPr>
          <w:rFonts w:asciiTheme="minorHAnsi" w:eastAsia="HiddenHorzOCR" w:hAnsiTheme="minorHAnsi"/>
          <w:color w:val="auto"/>
          <w:szCs w:val="24"/>
        </w:rPr>
        <w:t xml:space="preserve">diagnosis during the CI’s time in service.  </w:t>
      </w:r>
      <w:r w:rsidR="00DA0088">
        <w:rPr>
          <w:rFonts w:asciiTheme="minorHAnsi" w:eastAsia="HiddenHorzOCR" w:hAnsiTheme="minorHAnsi"/>
          <w:color w:val="auto"/>
          <w:szCs w:val="24"/>
        </w:rPr>
        <w:t>There are entries by the CI on the MEB physical regarding prior treatment for depression and anxiety, but there was no mention of such in the NARSUM; there were no psychiatric medications prescribed a</w:t>
      </w:r>
      <w:r w:rsidR="00076629">
        <w:rPr>
          <w:rFonts w:asciiTheme="minorHAnsi" w:eastAsia="HiddenHorzOCR" w:hAnsiTheme="minorHAnsi"/>
          <w:color w:val="auto"/>
          <w:szCs w:val="24"/>
        </w:rPr>
        <w:t>t separation; and, there was no</w:t>
      </w:r>
      <w:r w:rsidR="00DA0088">
        <w:rPr>
          <w:rFonts w:asciiTheme="minorHAnsi" w:eastAsia="HiddenHorzOCR" w:hAnsiTheme="minorHAnsi"/>
          <w:color w:val="auto"/>
          <w:szCs w:val="24"/>
        </w:rPr>
        <w:t xml:space="preserve"> </w:t>
      </w:r>
      <w:r w:rsidR="00076629">
        <w:rPr>
          <w:rFonts w:asciiTheme="minorHAnsi" w:eastAsia="HiddenHorzOCR" w:hAnsiTheme="minorHAnsi"/>
          <w:color w:val="auto"/>
          <w:szCs w:val="24"/>
        </w:rPr>
        <w:t xml:space="preserve">active </w:t>
      </w:r>
      <w:r w:rsidR="00DA0088">
        <w:rPr>
          <w:rFonts w:asciiTheme="minorHAnsi" w:eastAsia="HiddenHorzOCR" w:hAnsiTheme="minorHAnsi"/>
          <w:color w:val="auto"/>
          <w:szCs w:val="24"/>
        </w:rPr>
        <w:t>psychiatric treatment during the MEB period.  There is no mention of</w:t>
      </w:r>
      <w:r w:rsidR="00DA0088" w:rsidRPr="008A1440">
        <w:rPr>
          <w:rFonts w:asciiTheme="minorHAnsi" w:eastAsia="HiddenHorzOCR" w:hAnsiTheme="minorHAnsi"/>
          <w:color w:val="auto"/>
          <w:szCs w:val="24"/>
        </w:rPr>
        <w:t xml:space="preserve"> PTSD </w:t>
      </w:r>
      <w:r w:rsidR="00DA0088">
        <w:rPr>
          <w:rFonts w:asciiTheme="minorHAnsi" w:eastAsia="HiddenHorzOCR" w:hAnsiTheme="minorHAnsi"/>
          <w:color w:val="auto"/>
          <w:szCs w:val="24"/>
        </w:rPr>
        <w:t>throughout the STR or</w:t>
      </w:r>
      <w:r w:rsidR="00DA0088" w:rsidRPr="008A1440">
        <w:rPr>
          <w:rFonts w:asciiTheme="minorHAnsi" w:eastAsia="HiddenHorzOCR" w:hAnsiTheme="minorHAnsi"/>
          <w:color w:val="auto"/>
          <w:szCs w:val="24"/>
        </w:rPr>
        <w:t xml:space="preserve"> anywhere in the </w:t>
      </w:r>
      <w:r w:rsidR="00DA0088">
        <w:rPr>
          <w:rFonts w:asciiTheme="minorHAnsi" w:eastAsia="HiddenHorzOCR" w:hAnsiTheme="minorHAnsi"/>
          <w:color w:val="auto"/>
          <w:szCs w:val="24"/>
        </w:rPr>
        <w:t xml:space="preserve">core </w:t>
      </w:r>
      <w:r w:rsidR="00DA0088" w:rsidRPr="008A1440">
        <w:rPr>
          <w:rFonts w:asciiTheme="minorHAnsi" w:eastAsia="HiddenHorzOCR" w:hAnsiTheme="minorHAnsi"/>
          <w:color w:val="auto"/>
          <w:szCs w:val="24"/>
        </w:rPr>
        <w:t xml:space="preserve">DES </w:t>
      </w:r>
      <w:r w:rsidR="00DA0088">
        <w:rPr>
          <w:rFonts w:asciiTheme="minorHAnsi" w:eastAsia="HiddenHorzOCR" w:hAnsiTheme="minorHAnsi"/>
          <w:color w:val="auto"/>
          <w:szCs w:val="24"/>
        </w:rPr>
        <w:t xml:space="preserve">file.  PTSD was not, in fact, diagnosed by the VA until 13 months after separation.  </w:t>
      </w:r>
      <w:r w:rsidR="006675A2" w:rsidRPr="008A1440">
        <w:rPr>
          <w:rFonts w:asciiTheme="minorHAnsi" w:hAnsiTheme="minorHAnsi"/>
          <w:color w:val="auto"/>
          <w:szCs w:val="24"/>
        </w:rPr>
        <w:t xml:space="preserve">The Board does not have the authority under DoDI 6040.44 to render fitness or rating recommendations for any conditions not considered by the </w:t>
      </w:r>
      <w:r w:rsidR="006675A2" w:rsidRPr="008A1440">
        <w:rPr>
          <w:rFonts w:asciiTheme="minorHAnsi" w:hAnsiTheme="minorHAnsi"/>
          <w:color w:val="auto"/>
          <w:szCs w:val="24"/>
        </w:rPr>
        <w:lastRenderedPageBreak/>
        <w:t>DES.  The Board, therefore, has no reasonable basis for recommending PTSD as an additional unfitting condition for separation rating.</w:t>
      </w:r>
    </w:p>
    <w:p w:rsidR="009F0B0A" w:rsidRPr="008A1440" w:rsidRDefault="009F0B0A" w:rsidP="00C71622">
      <w:pPr>
        <w:spacing w:line="240" w:lineRule="exact"/>
        <w:jc w:val="both"/>
        <w:rPr>
          <w:rFonts w:asciiTheme="minorHAnsi" w:hAnsiTheme="minorHAnsi"/>
          <w:color w:val="auto"/>
          <w:szCs w:val="24"/>
          <w:u w:val="single"/>
        </w:rPr>
      </w:pPr>
    </w:p>
    <w:p w:rsidR="00664296" w:rsidRPr="00664296" w:rsidRDefault="00664296" w:rsidP="00C71622">
      <w:pPr>
        <w:spacing w:line="240" w:lineRule="exact"/>
        <w:jc w:val="both"/>
        <w:rPr>
          <w:rFonts w:asciiTheme="minorHAnsi" w:hAnsiTheme="minorHAnsi"/>
          <w:color w:val="auto"/>
          <w:szCs w:val="24"/>
        </w:rPr>
      </w:pPr>
      <w:proofErr w:type="gramStart"/>
      <w:r w:rsidRPr="008A1440">
        <w:rPr>
          <w:rFonts w:asciiTheme="minorHAnsi" w:hAnsiTheme="minorHAnsi"/>
          <w:color w:val="auto"/>
          <w:szCs w:val="24"/>
          <w:u w:val="single"/>
        </w:rPr>
        <w:t>Remaining Conditions</w:t>
      </w:r>
      <w:r w:rsidRPr="008A1440">
        <w:rPr>
          <w:rFonts w:asciiTheme="minorHAnsi" w:hAnsiTheme="minorHAnsi"/>
          <w:color w:val="auto"/>
          <w:szCs w:val="24"/>
        </w:rPr>
        <w:t>.</w:t>
      </w:r>
      <w:proofErr w:type="gramEnd"/>
      <w:r w:rsidRPr="008A1440">
        <w:rPr>
          <w:rFonts w:asciiTheme="minorHAnsi" w:hAnsiTheme="minorHAnsi"/>
          <w:color w:val="auto"/>
          <w:szCs w:val="24"/>
        </w:rPr>
        <w:t xml:space="preserve">  Other conditions identified in the DES file were </w:t>
      </w:r>
      <w:r w:rsidR="003723A6" w:rsidRPr="008A1440">
        <w:rPr>
          <w:rFonts w:asciiTheme="minorHAnsi" w:hAnsiTheme="minorHAnsi"/>
          <w:color w:val="auto"/>
          <w:szCs w:val="24"/>
        </w:rPr>
        <w:t xml:space="preserve">hemorrhoids, chronic sinusitis/nasal polyps, pseudofolliculitis barbae, gastroesophageal reflux disease, </w:t>
      </w:r>
      <w:r w:rsidR="00D96B99" w:rsidRPr="008A1440">
        <w:rPr>
          <w:rFonts w:asciiTheme="minorHAnsi" w:hAnsiTheme="minorHAnsi"/>
          <w:color w:val="auto"/>
          <w:szCs w:val="24"/>
        </w:rPr>
        <w:t>and liver hemangioma</w:t>
      </w:r>
      <w:r w:rsidR="006C186C">
        <w:rPr>
          <w:rFonts w:asciiTheme="minorHAnsi" w:hAnsiTheme="minorHAnsi"/>
          <w:color w:val="auto"/>
          <w:szCs w:val="24"/>
        </w:rPr>
        <w:t xml:space="preserve"> (small vascular growth)</w:t>
      </w:r>
      <w:r w:rsidR="006675A2" w:rsidRPr="008A1440">
        <w:rPr>
          <w:rFonts w:asciiTheme="minorHAnsi" w:hAnsiTheme="minorHAnsi"/>
          <w:color w:val="auto"/>
          <w:szCs w:val="24"/>
        </w:rPr>
        <w:t xml:space="preserve">.  </w:t>
      </w:r>
      <w:r w:rsidRPr="008A1440">
        <w:rPr>
          <w:rFonts w:asciiTheme="minorHAnsi" w:hAnsiTheme="minorHAnsi"/>
          <w:color w:val="auto"/>
          <w:szCs w:val="24"/>
        </w:rPr>
        <w:t xml:space="preserve">Several additional non-acute conditions or medical complaints were also documented.  </w:t>
      </w:r>
      <w:r w:rsidR="006C186C" w:rsidRPr="006C186C">
        <w:rPr>
          <w:rFonts w:asciiTheme="minorHAnsi" w:hAnsiTheme="minorHAnsi"/>
          <w:color w:val="auto"/>
          <w:szCs w:val="24"/>
        </w:rPr>
        <w:t>None of these conditions were significantly clinically or occupationally active during the MEB period; none carried attached profiles; an</w:t>
      </w:r>
      <w:r w:rsidR="00157DAE">
        <w:rPr>
          <w:rFonts w:asciiTheme="minorHAnsi" w:hAnsiTheme="minorHAnsi"/>
          <w:color w:val="auto"/>
          <w:szCs w:val="24"/>
        </w:rPr>
        <w:t>d, none were implicated in the c</w:t>
      </w:r>
      <w:r w:rsidR="006C186C" w:rsidRPr="006C186C">
        <w:rPr>
          <w:rFonts w:asciiTheme="minorHAnsi" w:hAnsiTheme="minorHAnsi"/>
          <w:color w:val="auto"/>
          <w:szCs w:val="24"/>
        </w:rPr>
        <w:t xml:space="preserve">ommander’s statement.  These conditions were reviewed by the </w:t>
      </w:r>
      <w:r w:rsidR="00157DAE">
        <w:rPr>
          <w:rFonts w:asciiTheme="minorHAnsi" w:hAnsiTheme="minorHAnsi"/>
          <w:color w:val="auto"/>
          <w:szCs w:val="24"/>
        </w:rPr>
        <w:t>action o</w:t>
      </w:r>
      <w:r w:rsidR="006C186C" w:rsidRPr="006C186C">
        <w:rPr>
          <w:rFonts w:asciiTheme="minorHAnsi" w:hAnsiTheme="minorHAnsi"/>
          <w:color w:val="auto"/>
          <w:szCs w:val="24"/>
        </w:rPr>
        <w:t>fficer and considered by the Board</w:t>
      </w:r>
      <w:r w:rsidRPr="008A1440">
        <w:rPr>
          <w:rFonts w:asciiTheme="minorHAnsi" w:hAnsiTheme="minorHAnsi"/>
          <w:color w:val="auto"/>
          <w:szCs w:val="24"/>
        </w:rPr>
        <w:t>.  It was determined that none could be argued as unfitting and subject to separation rating.  Additionally</w:t>
      </w:r>
      <w:r w:rsidR="006675A2" w:rsidRPr="008A1440">
        <w:rPr>
          <w:rFonts w:asciiTheme="minorHAnsi" w:hAnsiTheme="minorHAnsi"/>
          <w:color w:val="auto"/>
          <w:szCs w:val="24"/>
        </w:rPr>
        <w:t>, tinnitus</w:t>
      </w:r>
      <w:r w:rsidR="00C71622" w:rsidRPr="008A1440">
        <w:rPr>
          <w:rFonts w:asciiTheme="minorHAnsi" w:hAnsiTheme="minorHAnsi"/>
          <w:color w:val="auto"/>
          <w:szCs w:val="24"/>
        </w:rPr>
        <w:t xml:space="preserve"> and lumbar </w:t>
      </w:r>
      <w:r w:rsidR="006675A2" w:rsidRPr="008A1440">
        <w:rPr>
          <w:rFonts w:asciiTheme="minorHAnsi" w:hAnsiTheme="minorHAnsi"/>
          <w:color w:val="auto"/>
          <w:szCs w:val="24"/>
        </w:rPr>
        <w:t>strain</w:t>
      </w:r>
      <w:r w:rsidR="00C71622" w:rsidRPr="008A1440">
        <w:rPr>
          <w:rFonts w:asciiTheme="minorHAnsi" w:hAnsiTheme="minorHAnsi"/>
          <w:color w:val="auto"/>
          <w:szCs w:val="24"/>
        </w:rPr>
        <w:t xml:space="preserve"> </w:t>
      </w:r>
      <w:r w:rsidRPr="008A1440">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71622" w:rsidRPr="00664296" w:rsidRDefault="00C56FC8" w:rsidP="0034117A">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71622">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The Board did not surmise from the record or PEB ruling in this case that any prerogatives outside the VASRD were exercised.</w:t>
      </w:r>
      <w:r w:rsidR="00C71622">
        <w:rPr>
          <w:rFonts w:asciiTheme="minorHAnsi" w:eastAsiaTheme="minorHAnsi" w:hAnsiTheme="minorHAnsi"/>
          <w:color w:val="auto"/>
          <w:szCs w:val="24"/>
        </w:rPr>
        <w:t xml:space="preserve">  I</w:t>
      </w:r>
      <w:r w:rsidR="00664296" w:rsidRPr="00664296">
        <w:rPr>
          <w:rFonts w:asciiTheme="minorHAnsi" w:eastAsiaTheme="minorHAnsi" w:hAnsiTheme="minorHAnsi"/>
          <w:color w:val="auto"/>
          <w:szCs w:val="24"/>
        </w:rPr>
        <w:t xml:space="preserve">n the matter of the </w:t>
      </w:r>
      <w:r w:rsidR="00C71622">
        <w:rPr>
          <w:rFonts w:asciiTheme="minorHAnsi" w:eastAsiaTheme="minorHAnsi" w:hAnsiTheme="minorHAnsi"/>
          <w:color w:val="auto"/>
          <w:szCs w:val="24"/>
        </w:rPr>
        <w:t>postphlebitic syndrome c</w:t>
      </w:r>
      <w:r w:rsidR="00664296" w:rsidRPr="00664296">
        <w:rPr>
          <w:rFonts w:asciiTheme="minorHAnsi" w:eastAsiaTheme="minorHAnsi" w:hAnsiTheme="minorHAnsi"/>
          <w:color w:val="auto"/>
          <w:szCs w:val="24"/>
        </w:rPr>
        <w:t xml:space="preserve">ondition and </w:t>
      </w:r>
      <w:r w:rsidR="00664296" w:rsidRPr="00664296">
        <w:rPr>
          <w:rFonts w:asciiTheme="minorHAnsi" w:hAnsiTheme="minorHAnsi"/>
          <w:color w:val="auto"/>
          <w:szCs w:val="24"/>
        </w:rPr>
        <w:t xml:space="preserve">IAW VASRD </w:t>
      </w:r>
      <w:r w:rsidR="00664296" w:rsidRPr="00BC448E">
        <w:rPr>
          <w:rFonts w:asciiTheme="minorHAnsi" w:hAnsiTheme="minorHAnsi"/>
          <w:color w:val="auto"/>
          <w:szCs w:val="24"/>
        </w:rPr>
        <w:t>§4.</w:t>
      </w:r>
      <w:r w:rsidR="00C71622" w:rsidRPr="00BC448E">
        <w:rPr>
          <w:rFonts w:asciiTheme="minorHAnsi" w:hAnsiTheme="minorHAnsi"/>
          <w:color w:val="auto"/>
          <w:szCs w:val="24"/>
        </w:rPr>
        <w:t>104</w:t>
      </w:r>
      <w:r w:rsidR="00664296" w:rsidRPr="00BC448E">
        <w:rPr>
          <w:rFonts w:asciiTheme="minorHAnsi" w:eastAsiaTheme="minorHAnsi" w:hAnsiTheme="minorHAnsi"/>
          <w:color w:val="auto"/>
          <w:szCs w:val="24"/>
        </w:rPr>
        <w:t>,</w:t>
      </w:r>
      <w:r w:rsidR="00664296" w:rsidRPr="00664296">
        <w:rPr>
          <w:rFonts w:asciiTheme="minorHAnsi" w:eastAsiaTheme="minorHAnsi" w:hAnsiTheme="minorHAnsi"/>
          <w:color w:val="auto"/>
          <w:szCs w:val="24"/>
        </w:rPr>
        <w:t xml:space="preserve"> the Board </w:t>
      </w:r>
      <w:r w:rsidR="00664296" w:rsidRPr="005F2FE8">
        <w:rPr>
          <w:rFonts w:asciiTheme="minorHAnsi" w:eastAsiaTheme="minorHAnsi" w:hAnsiTheme="minorHAnsi"/>
          <w:color w:val="auto"/>
          <w:szCs w:val="24"/>
        </w:rPr>
        <w:t>unanimously recommends no change in the PEB adjudication</w:t>
      </w:r>
      <w:r w:rsidR="00664296" w:rsidRPr="005F2FE8">
        <w:rPr>
          <w:rFonts w:asciiTheme="minorHAnsi" w:hAnsiTheme="minorHAnsi"/>
          <w:color w:val="auto"/>
          <w:szCs w:val="24"/>
        </w:rPr>
        <w:t xml:space="preserve">.  </w:t>
      </w:r>
      <w:r w:rsidR="00C71622" w:rsidRPr="005F2FE8">
        <w:rPr>
          <w:rFonts w:asciiTheme="minorHAnsi" w:hAnsiTheme="minorHAnsi"/>
          <w:color w:val="auto"/>
          <w:szCs w:val="24"/>
        </w:rPr>
        <w:t xml:space="preserve">In the matter of the </w:t>
      </w:r>
      <w:r w:rsidR="002B681C">
        <w:rPr>
          <w:rFonts w:asciiTheme="minorHAnsi" w:hAnsiTheme="minorHAnsi"/>
          <w:color w:val="auto"/>
          <w:szCs w:val="24"/>
        </w:rPr>
        <w:t xml:space="preserve">contended </w:t>
      </w:r>
      <w:r w:rsidR="006C186C" w:rsidRPr="005F2FE8">
        <w:rPr>
          <w:rFonts w:asciiTheme="minorHAnsi" w:hAnsiTheme="minorHAnsi"/>
          <w:color w:val="auto"/>
          <w:szCs w:val="24"/>
        </w:rPr>
        <w:t>migraine headache</w:t>
      </w:r>
      <w:r w:rsidR="008D11B4" w:rsidRPr="005F2FE8">
        <w:rPr>
          <w:rFonts w:asciiTheme="minorHAnsi" w:hAnsiTheme="minorHAnsi"/>
          <w:color w:val="auto"/>
          <w:szCs w:val="24"/>
        </w:rPr>
        <w:t xml:space="preserve"> and hypertension</w:t>
      </w:r>
      <w:r w:rsidR="006C186C" w:rsidRPr="005F2FE8">
        <w:rPr>
          <w:rFonts w:asciiTheme="minorHAnsi" w:hAnsiTheme="minorHAnsi"/>
          <w:color w:val="auto"/>
          <w:szCs w:val="24"/>
        </w:rPr>
        <w:t xml:space="preserve"> conditions</w:t>
      </w:r>
      <w:r w:rsidR="00C71622" w:rsidRPr="005F2FE8">
        <w:rPr>
          <w:rFonts w:asciiTheme="minorHAnsi" w:hAnsiTheme="minorHAnsi"/>
          <w:color w:val="auto"/>
          <w:szCs w:val="24"/>
        </w:rPr>
        <w:t>, the Board unanimously recommends no change from the PEB adjudications as not unfitting.  In the matter of the contended TBI and PTSD conditions, the Board unanimously agrees that it cannot</w:t>
      </w:r>
      <w:r w:rsidR="00C71622" w:rsidRPr="005F2FE8">
        <w:rPr>
          <w:rFonts w:asciiTheme="minorHAnsi" w:hAnsiTheme="minorHAnsi"/>
          <w:color w:val="000080"/>
          <w:szCs w:val="24"/>
        </w:rPr>
        <w:t xml:space="preserve"> </w:t>
      </w:r>
      <w:r w:rsidR="00C71622" w:rsidRPr="005F2FE8">
        <w:rPr>
          <w:rFonts w:asciiTheme="minorHAnsi" w:hAnsiTheme="minorHAnsi"/>
          <w:color w:val="auto"/>
          <w:szCs w:val="24"/>
        </w:rPr>
        <w:t xml:space="preserve">recommend a finding of unfit for additional rating at separation.  In the matter of the hemorrhoids, depression/anxiety, chronic sinusitis/nasal polyps, pseudofolliculitis barbae, gastroesophageal reflux disease, </w:t>
      </w:r>
      <w:r w:rsidR="002712EC" w:rsidRPr="005F2FE8">
        <w:rPr>
          <w:rFonts w:asciiTheme="minorHAnsi" w:hAnsiTheme="minorHAnsi"/>
          <w:color w:val="auto"/>
          <w:szCs w:val="24"/>
        </w:rPr>
        <w:t>l</w:t>
      </w:r>
      <w:r w:rsidR="00C71622" w:rsidRPr="005F2FE8">
        <w:rPr>
          <w:rFonts w:asciiTheme="minorHAnsi" w:hAnsiTheme="minorHAnsi"/>
          <w:color w:val="auto"/>
          <w:szCs w:val="24"/>
        </w:rPr>
        <w:t>iver hemangioma</w:t>
      </w:r>
      <w:r w:rsidR="0034117A" w:rsidRPr="005F2FE8">
        <w:rPr>
          <w:rFonts w:asciiTheme="minorHAnsi" w:hAnsiTheme="minorHAnsi"/>
          <w:color w:val="auto"/>
          <w:szCs w:val="24"/>
        </w:rPr>
        <w:t xml:space="preserve">, </w:t>
      </w:r>
      <w:r w:rsidR="00C71622" w:rsidRPr="005F2FE8">
        <w:rPr>
          <w:rFonts w:asciiTheme="minorHAnsi" w:hAnsiTheme="minorHAnsi"/>
          <w:color w:val="auto"/>
          <w:szCs w:val="24"/>
        </w:rPr>
        <w:t xml:space="preserve">or any other medical conditions eligible for Board consideration; the Board unanimously </w:t>
      </w:r>
      <w:r w:rsidR="00C71622" w:rsidRPr="00664296">
        <w:rPr>
          <w:rFonts w:asciiTheme="minorHAnsi" w:hAnsiTheme="minorHAnsi"/>
          <w:color w:val="auto"/>
          <w:szCs w:val="24"/>
        </w:rPr>
        <w:t>agrees that it cannot</w:t>
      </w:r>
      <w:r w:rsidR="00C71622" w:rsidRPr="00664296">
        <w:rPr>
          <w:rFonts w:asciiTheme="minorHAnsi" w:hAnsiTheme="minorHAnsi"/>
          <w:color w:val="000080"/>
          <w:szCs w:val="24"/>
        </w:rPr>
        <w:t xml:space="preserve"> </w:t>
      </w:r>
      <w:r w:rsidR="00C71622" w:rsidRPr="00664296">
        <w:rPr>
          <w:rFonts w:asciiTheme="minorHAnsi" w:hAnsiTheme="minorHAnsi"/>
          <w:color w:val="auto"/>
          <w:szCs w:val="24"/>
        </w:rPr>
        <w:t>recommend any findings of unfit for additional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5786C" w:rsidRPr="001A7AF8" w:rsidRDefault="0055786C" w:rsidP="001A7AF8">
      <w:pPr>
        <w:rPr>
          <w:rFonts w:asciiTheme="minorHAnsi" w:hAnsiTheme="minorHAnsi"/>
          <w:b/>
          <w:color w:val="auto"/>
          <w:szCs w:val="24"/>
          <w:u w:val="single"/>
        </w:rPr>
      </w:pPr>
      <w:r>
        <w:rPr>
          <w:rFonts w:asciiTheme="minorHAnsi" w:hAnsiTheme="minorHAnsi"/>
          <w:b/>
          <w:color w:val="auto"/>
          <w:szCs w:val="24"/>
          <w:u w:val="single"/>
        </w:rPr>
        <w:br w:type="page"/>
      </w:r>
    </w:p>
    <w:p w:rsidR="006B4AA2" w:rsidRPr="0055786C" w:rsidRDefault="00C56FC8" w:rsidP="0034117A">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5786C">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2712EC" w:rsidP="002712EC">
            <w:pPr>
              <w:tabs>
                <w:tab w:val="left" w:pos="288"/>
                <w:tab w:val="left" w:pos="4752"/>
              </w:tabs>
              <w:spacing w:line="240" w:lineRule="exact"/>
              <w:rPr>
                <w:rFonts w:asciiTheme="minorHAnsi" w:hAnsiTheme="minorHAnsi"/>
                <w:color w:val="auto"/>
                <w:szCs w:val="24"/>
              </w:rPr>
            </w:pPr>
            <w:r w:rsidRPr="000869CB">
              <w:rPr>
                <w:rFonts w:asciiTheme="minorHAnsi" w:hAnsiTheme="minorHAnsi"/>
                <w:color w:val="auto"/>
                <w:szCs w:val="24"/>
              </w:rPr>
              <w:t>Postphlebitic Syndrome, Left Leg</w:t>
            </w:r>
          </w:p>
        </w:tc>
        <w:tc>
          <w:tcPr>
            <w:tcW w:w="1710" w:type="dxa"/>
            <w:vAlign w:val="center"/>
          </w:tcPr>
          <w:p w:rsidR="00A95BBA" w:rsidRPr="006C186C" w:rsidRDefault="002712EC" w:rsidP="00103948">
            <w:pPr>
              <w:tabs>
                <w:tab w:val="left" w:pos="288"/>
                <w:tab w:val="left" w:pos="4752"/>
              </w:tabs>
              <w:spacing w:line="240" w:lineRule="exact"/>
              <w:jc w:val="center"/>
              <w:rPr>
                <w:rFonts w:asciiTheme="minorHAnsi" w:hAnsiTheme="minorHAnsi"/>
                <w:color w:val="auto"/>
                <w:szCs w:val="24"/>
              </w:rPr>
            </w:pPr>
            <w:r w:rsidRPr="006C186C">
              <w:rPr>
                <w:rFonts w:asciiTheme="minorHAnsi" w:hAnsiTheme="minorHAnsi"/>
                <w:color w:val="auto"/>
                <w:szCs w:val="24"/>
              </w:rPr>
              <w:t>7121</w:t>
            </w:r>
          </w:p>
        </w:tc>
        <w:tc>
          <w:tcPr>
            <w:tcW w:w="1170" w:type="dxa"/>
            <w:vAlign w:val="center"/>
          </w:tcPr>
          <w:p w:rsidR="00A95BBA" w:rsidRPr="006C186C" w:rsidRDefault="002712EC" w:rsidP="00103948">
            <w:pPr>
              <w:tabs>
                <w:tab w:val="left" w:pos="288"/>
                <w:tab w:val="left" w:pos="4752"/>
              </w:tabs>
              <w:spacing w:line="240" w:lineRule="exact"/>
              <w:jc w:val="center"/>
              <w:rPr>
                <w:rFonts w:asciiTheme="minorHAnsi" w:hAnsiTheme="minorHAnsi"/>
                <w:color w:val="auto"/>
                <w:szCs w:val="24"/>
              </w:rPr>
            </w:pPr>
            <w:r w:rsidRPr="006C186C">
              <w:rPr>
                <w:rFonts w:asciiTheme="minorHAnsi" w:hAnsiTheme="minorHAnsi"/>
                <w:color w:val="auto"/>
                <w:szCs w:val="24"/>
              </w:rPr>
              <w:t>1</w:t>
            </w:r>
            <w:r w:rsidR="00A95BBA" w:rsidRPr="006C186C">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6C186C" w:rsidRDefault="00A95BBA" w:rsidP="00103948">
            <w:pPr>
              <w:tabs>
                <w:tab w:val="left" w:pos="288"/>
                <w:tab w:val="left" w:pos="4752"/>
              </w:tabs>
              <w:spacing w:line="240" w:lineRule="exact"/>
              <w:jc w:val="center"/>
              <w:rPr>
                <w:rFonts w:asciiTheme="minorHAnsi" w:hAnsiTheme="minorHAnsi"/>
                <w:b/>
                <w:color w:val="auto"/>
                <w:szCs w:val="24"/>
              </w:rPr>
            </w:pPr>
            <w:r w:rsidRPr="006C186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6C186C" w:rsidRDefault="002712EC" w:rsidP="00103948">
            <w:pPr>
              <w:tabs>
                <w:tab w:val="left" w:pos="288"/>
                <w:tab w:val="left" w:pos="4752"/>
              </w:tabs>
              <w:spacing w:line="240" w:lineRule="exact"/>
              <w:jc w:val="center"/>
              <w:rPr>
                <w:rFonts w:asciiTheme="minorHAnsi" w:hAnsiTheme="minorHAnsi"/>
                <w:b/>
                <w:color w:val="auto"/>
                <w:szCs w:val="24"/>
              </w:rPr>
            </w:pPr>
            <w:r w:rsidRPr="006C186C">
              <w:rPr>
                <w:rFonts w:asciiTheme="minorHAnsi" w:hAnsiTheme="minorHAnsi"/>
                <w:b/>
                <w:color w:val="auto"/>
                <w:szCs w:val="24"/>
              </w:rPr>
              <w:t>1</w:t>
            </w:r>
            <w:r w:rsidR="00A95BBA" w:rsidRPr="006C186C">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2712EC" w:rsidRDefault="002712EC"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E0356B" w:rsidRPr="00E0356B" w:rsidRDefault="00E0356B" w:rsidP="00E0356B">
      <w:pPr>
        <w:tabs>
          <w:tab w:val="left" w:pos="288"/>
          <w:tab w:val="left" w:pos="4752"/>
        </w:tabs>
        <w:spacing w:line="240" w:lineRule="exact"/>
        <w:jc w:val="both"/>
        <w:rPr>
          <w:rFonts w:asciiTheme="minorHAnsi" w:hAnsiTheme="minorHAnsi"/>
          <w:color w:val="auto"/>
        </w:rPr>
      </w:pPr>
      <w:r w:rsidRPr="00E0356B">
        <w:rPr>
          <w:rFonts w:asciiTheme="minorHAnsi" w:hAnsiTheme="minorHAnsi"/>
          <w:color w:val="auto"/>
        </w:rPr>
        <w:t xml:space="preserve">Exhibit A.  DD Form </w:t>
      </w:r>
      <w:proofErr w:type="gramStart"/>
      <w:r w:rsidRPr="00E0356B">
        <w:rPr>
          <w:rFonts w:asciiTheme="minorHAnsi" w:hAnsiTheme="minorHAnsi"/>
          <w:color w:val="auto"/>
        </w:rPr>
        <w:t>294,</w:t>
      </w:r>
      <w:proofErr w:type="gramEnd"/>
      <w:r w:rsidRPr="00E0356B">
        <w:rPr>
          <w:rFonts w:asciiTheme="minorHAnsi" w:hAnsiTheme="minorHAnsi"/>
          <w:color w:val="auto"/>
        </w:rPr>
        <w:t xml:space="preserve"> dated 20101026,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57DAE">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157DAE">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BA6D5E"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F44393">
        <w:rPr>
          <w:rFonts w:asciiTheme="minorHAnsi" w:hAnsiTheme="minorHAnsi"/>
          <w:color w:val="auto"/>
        </w:rPr>
        <w:t>XXXXXXXXXX</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BA6D5E">
        <w:rPr>
          <w:rFonts w:asciiTheme="minorHAnsi" w:hAnsiTheme="minorHAnsi"/>
          <w:color w:val="auto"/>
        </w:rPr>
        <w:t xml:space="preserve">President </w:t>
      </w:r>
    </w:p>
    <w:p w:rsidR="00B522CD" w:rsidRPr="00006186"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F44393" w:rsidRDefault="00F44393">
      <w:pPr>
        <w:rPr>
          <w:rFonts w:asciiTheme="minorHAnsi" w:hAnsiTheme="minorHAnsi"/>
          <w:color w:val="auto"/>
          <w:szCs w:val="24"/>
          <w:u w:val="single"/>
        </w:rPr>
      </w:pPr>
      <w:r>
        <w:rPr>
          <w:rFonts w:asciiTheme="minorHAnsi" w:hAnsiTheme="minorHAnsi"/>
          <w:color w:val="auto"/>
          <w:szCs w:val="24"/>
          <w:u w:val="single"/>
        </w:rPr>
        <w:br w:type="page"/>
      </w:r>
    </w:p>
    <w:p w:rsidR="00F44393" w:rsidRDefault="00F44393" w:rsidP="00F44393">
      <w:pPr>
        <w:sectPr w:rsidR="00F44393">
          <w:pgSz w:w="12240" w:h="15840"/>
          <w:pgMar w:top="2160" w:right="1440" w:bottom="1440" w:left="1440" w:header="720" w:footer="720" w:gutter="0"/>
          <w:cols w:space="720"/>
        </w:sectPr>
      </w:pPr>
    </w:p>
    <w:p w:rsidR="00F44393" w:rsidRDefault="00F44393" w:rsidP="00F44393">
      <w:pPr>
        <w:pStyle w:val="Header"/>
        <w:tabs>
          <w:tab w:val="left" w:pos="720"/>
        </w:tabs>
      </w:pPr>
      <w:r>
        <w:t>SFMR-RB</w:t>
      </w:r>
      <w:r>
        <w:tab/>
      </w:r>
      <w:r>
        <w:tab/>
      </w:r>
      <w:r>
        <w:tab/>
      </w:r>
      <w:r>
        <w:tab/>
      </w:r>
      <w:r>
        <w:tab/>
      </w:r>
      <w:r>
        <w:tab/>
      </w:r>
      <w:r>
        <w:tab/>
      </w:r>
      <w:r>
        <w:tab/>
      </w:r>
      <w:r>
        <w:tab/>
      </w:r>
    </w:p>
    <w:p w:rsidR="00F44393" w:rsidRDefault="00F44393" w:rsidP="00F44393">
      <w:pPr>
        <w:pStyle w:val="Header"/>
        <w:tabs>
          <w:tab w:val="left" w:pos="720"/>
        </w:tabs>
      </w:pPr>
    </w:p>
    <w:p w:rsidR="00F44393" w:rsidRDefault="00F44393" w:rsidP="00F44393"/>
    <w:p w:rsidR="00F44393" w:rsidRDefault="00F44393" w:rsidP="00F44393">
      <w:r>
        <w:t xml:space="preserve">MEMORANDUM FOR Commander, US Army Physical Disability Agency </w:t>
      </w:r>
    </w:p>
    <w:p w:rsidR="00F44393" w:rsidRDefault="00F44393" w:rsidP="00F44393">
      <w:r>
        <w:t xml:space="preserve">(TAPD-ZB </w:t>
      </w:r>
      <w:proofErr w:type="gramStart"/>
      <w:r>
        <w:t>/  )</w:t>
      </w:r>
      <w:proofErr w:type="gramEnd"/>
      <w:r>
        <w:t>, 2900 Crystal Drive, Suite 300, Arlington, VA  22202</w:t>
      </w:r>
    </w:p>
    <w:p w:rsidR="00F44393" w:rsidRDefault="00F44393" w:rsidP="00F44393"/>
    <w:p w:rsidR="00F44393" w:rsidRDefault="00F44393" w:rsidP="00F44393">
      <w:pPr>
        <w:ind w:right="-180"/>
      </w:pPr>
      <w:r>
        <w:t>SUBJECT:  Department of Defense Physical Disability Board of Review Recommendation for XXXXXXXXXXXX, AR20120009662 (PD201001188)</w:t>
      </w:r>
    </w:p>
    <w:p w:rsidR="00F44393" w:rsidRDefault="00F44393" w:rsidP="00F44393">
      <w:pPr>
        <w:pStyle w:val="Header"/>
        <w:tabs>
          <w:tab w:val="left" w:pos="720"/>
        </w:tabs>
      </w:pPr>
    </w:p>
    <w:p w:rsidR="00F44393" w:rsidRDefault="00F44393" w:rsidP="00F44393"/>
    <w:p w:rsidR="00F44393" w:rsidRDefault="00F44393" w:rsidP="00F44393">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44393" w:rsidRDefault="00F44393" w:rsidP="00F44393">
      <w:r>
        <w:t>This decision is final.  The individual concerned, counsel (if any), and any Members of Congress who have shown interest in this application have been notified of this decision by mail.</w:t>
      </w:r>
    </w:p>
    <w:p w:rsidR="00F44393" w:rsidRDefault="00F44393" w:rsidP="00F44393"/>
    <w:p w:rsidR="00F44393" w:rsidRDefault="00F44393" w:rsidP="00F44393">
      <w:r>
        <w:t xml:space="preserve"> BY ORDER OF THE SECRETARY OF THE ARMY:</w:t>
      </w:r>
    </w:p>
    <w:p w:rsidR="00F44393" w:rsidRDefault="00F44393" w:rsidP="00F44393"/>
    <w:p w:rsidR="00F44393" w:rsidRDefault="00F44393" w:rsidP="00F44393"/>
    <w:p w:rsidR="00F44393" w:rsidRDefault="00F44393" w:rsidP="00F44393">
      <w:pPr>
        <w:pStyle w:val="Header"/>
        <w:tabs>
          <w:tab w:val="left" w:pos="720"/>
        </w:tabs>
      </w:pPr>
    </w:p>
    <w:p w:rsidR="00F44393" w:rsidRDefault="00F44393" w:rsidP="00F44393"/>
    <w:p w:rsidR="00F44393" w:rsidRDefault="00F44393" w:rsidP="00F44393">
      <w:bookmarkStart w:id="0" w:name="OLE_LINK4"/>
      <w:bookmarkStart w:id="1" w:name="OLE_LINK3"/>
      <w:r>
        <w:t>Encl</w:t>
      </w:r>
      <w:r>
        <w:tab/>
      </w:r>
      <w:r>
        <w:tab/>
      </w:r>
      <w:r>
        <w:tab/>
      </w:r>
      <w:r>
        <w:tab/>
      </w:r>
      <w:r>
        <w:tab/>
      </w:r>
      <w:r>
        <w:tab/>
        <w:t xml:space="preserve">     XXXXXXXXXXXX</w:t>
      </w:r>
    </w:p>
    <w:p w:rsidR="00F44393" w:rsidRDefault="00F44393" w:rsidP="00F44393">
      <w:r>
        <w:tab/>
      </w:r>
      <w:r>
        <w:tab/>
      </w:r>
      <w:r>
        <w:tab/>
      </w:r>
      <w:r>
        <w:tab/>
      </w:r>
      <w:r>
        <w:tab/>
      </w:r>
      <w:r>
        <w:tab/>
        <w:t xml:space="preserve">     Deputy Assistant Secretary</w:t>
      </w:r>
    </w:p>
    <w:p w:rsidR="00F44393" w:rsidRDefault="00F44393" w:rsidP="00F44393">
      <w:r>
        <w:tab/>
      </w:r>
      <w:r>
        <w:tab/>
      </w:r>
      <w:r>
        <w:tab/>
      </w:r>
      <w:r>
        <w:tab/>
      </w:r>
      <w:r>
        <w:tab/>
      </w:r>
      <w:r>
        <w:tab/>
        <w:t xml:space="preserve">         (Army Review Boards)</w:t>
      </w:r>
      <w:bookmarkEnd w:id="0"/>
      <w:bookmarkEnd w:id="1"/>
    </w:p>
    <w:p w:rsidR="00F44393" w:rsidRDefault="00F44393" w:rsidP="00F44393"/>
    <w:p w:rsidR="00F44393" w:rsidRDefault="00F44393" w:rsidP="00F44393">
      <w:r>
        <w:t xml:space="preserve">CF: </w:t>
      </w:r>
    </w:p>
    <w:p w:rsidR="00F44393" w:rsidRDefault="00F44393" w:rsidP="00F44393">
      <w:r>
        <w:t xml:space="preserve">(  ) </w:t>
      </w:r>
      <w:proofErr w:type="spellStart"/>
      <w:proofErr w:type="gramStart"/>
      <w:r>
        <w:t>DoD</w:t>
      </w:r>
      <w:proofErr w:type="spellEnd"/>
      <w:proofErr w:type="gramEnd"/>
      <w:r>
        <w:t xml:space="preserve"> PDBR</w:t>
      </w:r>
    </w:p>
    <w:p w:rsidR="00F44393" w:rsidRDefault="00F44393" w:rsidP="00F44393">
      <w:r>
        <w:t>(  ) DVA</w:t>
      </w:r>
    </w:p>
    <w:p w:rsidR="00F44393" w:rsidRDefault="00F44393" w:rsidP="00F44393"/>
    <w:p w:rsidR="002712EC" w:rsidRDefault="002712EC" w:rsidP="002712EC">
      <w:pPr>
        <w:tabs>
          <w:tab w:val="left" w:pos="720"/>
          <w:tab w:val="left" w:pos="1080"/>
          <w:tab w:val="left" w:pos="1440"/>
          <w:tab w:val="left" w:pos="1800"/>
          <w:tab w:val="left" w:pos="2160"/>
          <w:tab w:val="right" w:leader="dot" w:pos="9180"/>
        </w:tabs>
        <w:spacing w:line="240" w:lineRule="exact"/>
        <w:rPr>
          <w:rFonts w:ascii="Times New Roman" w:hAnsi="Times New Roman"/>
          <w:b/>
          <w:color w:val="auto"/>
          <w:szCs w:val="24"/>
        </w:rPr>
      </w:pPr>
    </w:p>
    <w:sectPr w:rsidR="002712EC"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3B" w:rsidRDefault="00E3683B">
      <w:r>
        <w:separator/>
      </w:r>
    </w:p>
  </w:endnote>
  <w:endnote w:type="continuationSeparator" w:id="0">
    <w:p w:rsidR="00E3683B" w:rsidRDefault="00E3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C186C" w:rsidRPr="00684CE6" w:rsidRDefault="007F2E3D" w:rsidP="00F65ED5">
        <w:pPr>
          <w:pStyle w:val="Footer"/>
          <w:jc w:val="right"/>
          <w:rPr>
            <w:color w:val="auto"/>
          </w:rPr>
        </w:pPr>
        <w:r w:rsidRPr="00684CE6">
          <w:rPr>
            <w:color w:val="auto"/>
          </w:rPr>
          <w:fldChar w:fldCharType="begin"/>
        </w:r>
        <w:r w:rsidR="006C186C" w:rsidRPr="00684CE6">
          <w:rPr>
            <w:color w:val="auto"/>
          </w:rPr>
          <w:instrText xml:space="preserve"> PAGE   \* MERGEFORMAT </w:instrText>
        </w:r>
        <w:r w:rsidRPr="00684CE6">
          <w:rPr>
            <w:color w:val="auto"/>
          </w:rPr>
          <w:fldChar w:fldCharType="separate"/>
        </w:r>
        <w:r w:rsidR="00F44393">
          <w:rPr>
            <w:noProof/>
            <w:color w:val="auto"/>
          </w:rPr>
          <w:t>7</w:t>
        </w:r>
        <w:r w:rsidRPr="00684CE6">
          <w:rPr>
            <w:color w:val="auto"/>
          </w:rPr>
          <w:fldChar w:fldCharType="end"/>
        </w:r>
        <w:r w:rsidR="006C186C" w:rsidRPr="00684CE6">
          <w:rPr>
            <w:color w:val="auto"/>
          </w:rPr>
          <w:t xml:space="preserve">                                                           </w:t>
        </w:r>
        <w:r w:rsidR="006C186C" w:rsidRPr="009B0534">
          <w:rPr>
            <w:rFonts w:asciiTheme="minorHAnsi" w:hAnsiTheme="minorHAnsi"/>
            <w:caps/>
            <w:color w:val="auto"/>
          </w:rPr>
          <w:t>PD10</w:t>
        </w:r>
        <w:r w:rsidR="006C186C">
          <w:rPr>
            <w:rFonts w:asciiTheme="minorHAnsi" w:hAnsiTheme="minorHAnsi"/>
            <w:caps/>
            <w:color w:val="auto"/>
          </w:rPr>
          <w:t>0</w:t>
        </w:r>
        <w:r w:rsidR="006C186C" w:rsidRPr="009B0534">
          <w:rPr>
            <w:rFonts w:asciiTheme="minorHAnsi" w:hAnsiTheme="minorHAnsi"/>
            <w:caps/>
            <w:color w:val="auto"/>
          </w:rPr>
          <w:t>1188</w:t>
        </w:r>
      </w:p>
    </w:sdtContent>
  </w:sdt>
  <w:p w:rsidR="006C186C" w:rsidRPr="00684CE6" w:rsidRDefault="006C186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3B" w:rsidRDefault="00E3683B">
      <w:r>
        <w:separator/>
      </w:r>
    </w:p>
  </w:footnote>
  <w:footnote w:type="continuationSeparator" w:id="0">
    <w:p w:rsidR="00E3683B" w:rsidRDefault="00E36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5D302F1"/>
    <w:multiLevelType w:val="multilevel"/>
    <w:tmpl w:val="2684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A1CDB"/>
    <w:multiLevelType w:val="multilevel"/>
    <w:tmpl w:val="727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7"/>
  </w:num>
  <w:num w:numId="5">
    <w:abstractNumId w:val="3"/>
  </w:num>
  <w:num w:numId="6">
    <w:abstractNumId w:val="9"/>
  </w:num>
  <w:num w:numId="7">
    <w:abstractNumId w:val="0"/>
  </w:num>
  <w:num w:numId="8">
    <w:abstractNumId w:val="6"/>
  </w:num>
  <w:num w:numId="9">
    <w:abstractNumId w:val="17"/>
  </w:num>
  <w:num w:numId="10">
    <w:abstractNumId w:val="11"/>
  </w:num>
  <w:num w:numId="11">
    <w:abstractNumId w:val="4"/>
  </w:num>
  <w:num w:numId="12">
    <w:abstractNumId w:val="15"/>
  </w:num>
  <w:num w:numId="13">
    <w:abstractNumId w:val="8"/>
  </w:num>
  <w:num w:numId="14">
    <w:abstractNumId w:val="16"/>
  </w:num>
  <w:num w:numId="15">
    <w:abstractNumId w:val="20"/>
  </w:num>
  <w:num w:numId="16">
    <w:abstractNumId w:val="1"/>
  </w:num>
  <w:num w:numId="17">
    <w:abstractNumId w:val="18"/>
  </w:num>
  <w:num w:numId="18">
    <w:abstractNumId w:val="10"/>
  </w:num>
  <w:num w:numId="19">
    <w:abstractNumId w:val="14"/>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4977"/>
  </w:hdrShapeDefaults>
  <w:footnotePr>
    <w:footnote w:id="-1"/>
    <w:footnote w:id="0"/>
  </w:footnotePr>
  <w:endnotePr>
    <w:endnote w:id="-1"/>
    <w:endnote w:id="0"/>
  </w:endnotePr>
  <w:compat/>
  <w:rsids>
    <w:rsidRoot w:val="001C28D1"/>
    <w:rsid w:val="00002356"/>
    <w:rsid w:val="000024F5"/>
    <w:rsid w:val="000042F2"/>
    <w:rsid w:val="000059FA"/>
    <w:rsid w:val="00006186"/>
    <w:rsid w:val="00006F87"/>
    <w:rsid w:val="00007107"/>
    <w:rsid w:val="00007F48"/>
    <w:rsid w:val="00010ABA"/>
    <w:rsid w:val="00010B0F"/>
    <w:rsid w:val="00012428"/>
    <w:rsid w:val="00012733"/>
    <w:rsid w:val="00013417"/>
    <w:rsid w:val="000145C2"/>
    <w:rsid w:val="0001473F"/>
    <w:rsid w:val="00014A9E"/>
    <w:rsid w:val="00016A52"/>
    <w:rsid w:val="00020784"/>
    <w:rsid w:val="00021361"/>
    <w:rsid w:val="00021D4B"/>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39D"/>
    <w:rsid w:val="00060FFD"/>
    <w:rsid w:val="0006431E"/>
    <w:rsid w:val="000652EA"/>
    <w:rsid w:val="00065E21"/>
    <w:rsid w:val="000673ED"/>
    <w:rsid w:val="00067DB2"/>
    <w:rsid w:val="00070DED"/>
    <w:rsid w:val="00072433"/>
    <w:rsid w:val="0007488B"/>
    <w:rsid w:val="00075702"/>
    <w:rsid w:val="00075A0C"/>
    <w:rsid w:val="00076629"/>
    <w:rsid w:val="000775C2"/>
    <w:rsid w:val="000806AD"/>
    <w:rsid w:val="00080BDF"/>
    <w:rsid w:val="00082482"/>
    <w:rsid w:val="00084CF2"/>
    <w:rsid w:val="00085D7B"/>
    <w:rsid w:val="0008606A"/>
    <w:rsid w:val="000869CB"/>
    <w:rsid w:val="0008708B"/>
    <w:rsid w:val="00087B96"/>
    <w:rsid w:val="00092619"/>
    <w:rsid w:val="00092C66"/>
    <w:rsid w:val="000949DD"/>
    <w:rsid w:val="00094E4F"/>
    <w:rsid w:val="000962E2"/>
    <w:rsid w:val="000A2BCE"/>
    <w:rsid w:val="000A33C8"/>
    <w:rsid w:val="000A41E3"/>
    <w:rsid w:val="000A4BBA"/>
    <w:rsid w:val="000A5071"/>
    <w:rsid w:val="000B0AD2"/>
    <w:rsid w:val="000B1020"/>
    <w:rsid w:val="000B1022"/>
    <w:rsid w:val="000B2FB8"/>
    <w:rsid w:val="000B4C99"/>
    <w:rsid w:val="000B5051"/>
    <w:rsid w:val="000C06F6"/>
    <w:rsid w:val="000C0A4D"/>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E7236"/>
    <w:rsid w:val="000F02BE"/>
    <w:rsid w:val="000F0928"/>
    <w:rsid w:val="000F427B"/>
    <w:rsid w:val="000F43D0"/>
    <w:rsid w:val="000F4F18"/>
    <w:rsid w:val="000F6585"/>
    <w:rsid w:val="000F688E"/>
    <w:rsid w:val="000F7181"/>
    <w:rsid w:val="001005FD"/>
    <w:rsid w:val="001007CE"/>
    <w:rsid w:val="001008C1"/>
    <w:rsid w:val="001023DB"/>
    <w:rsid w:val="00102B8D"/>
    <w:rsid w:val="0010378C"/>
    <w:rsid w:val="00103948"/>
    <w:rsid w:val="00103CCF"/>
    <w:rsid w:val="0010417F"/>
    <w:rsid w:val="001042D2"/>
    <w:rsid w:val="0010530E"/>
    <w:rsid w:val="00105C07"/>
    <w:rsid w:val="00106AD8"/>
    <w:rsid w:val="00107EC5"/>
    <w:rsid w:val="001103CD"/>
    <w:rsid w:val="00111B25"/>
    <w:rsid w:val="00113D2A"/>
    <w:rsid w:val="00114F20"/>
    <w:rsid w:val="0011590B"/>
    <w:rsid w:val="001211AF"/>
    <w:rsid w:val="001219DF"/>
    <w:rsid w:val="0012220B"/>
    <w:rsid w:val="00122ABE"/>
    <w:rsid w:val="001231DC"/>
    <w:rsid w:val="0012489B"/>
    <w:rsid w:val="0012698B"/>
    <w:rsid w:val="001272AE"/>
    <w:rsid w:val="00130756"/>
    <w:rsid w:val="001315DD"/>
    <w:rsid w:val="00133B97"/>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57DAE"/>
    <w:rsid w:val="00161642"/>
    <w:rsid w:val="00161761"/>
    <w:rsid w:val="00166182"/>
    <w:rsid w:val="0017139A"/>
    <w:rsid w:val="0017245F"/>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2AF1"/>
    <w:rsid w:val="00193814"/>
    <w:rsid w:val="00193AAB"/>
    <w:rsid w:val="00193AD5"/>
    <w:rsid w:val="00194930"/>
    <w:rsid w:val="00195AAC"/>
    <w:rsid w:val="001969FE"/>
    <w:rsid w:val="001A025E"/>
    <w:rsid w:val="001A08CD"/>
    <w:rsid w:val="001A0A1E"/>
    <w:rsid w:val="001A2182"/>
    <w:rsid w:val="001A2F6E"/>
    <w:rsid w:val="001A30AB"/>
    <w:rsid w:val="001A323E"/>
    <w:rsid w:val="001A5320"/>
    <w:rsid w:val="001A5E62"/>
    <w:rsid w:val="001A6848"/>
    <w:rsid w:val="001A7538"/>
    <w:rsid w:val="001A7AF8"/>
    <w:rsid w:val="001B06FB"/>
    <w:rsid w:val="001B0B1A"/>
    <w:rsid w:val="001B4C0B"/>
    <w:rsid w:val="001B4EC2"/>
    <w:rsid w:val="001B5B59"/>
    <w:rsid w:val="001B60E0"/>
    <w:rsid w:val="001B755A"/>
    <w:rsid w:val="001B7C8C"/>
    <w:rsid w:val="001C0688"/>
    <w:rsid w:val="001C0CB9"/>
    <w:rsid w:val="001C14D4"/>
    <w:rsid w:val="001C181A"/>
    <w:rsid w:val="001C1877"/>
    <w:rsid w:val="001C2053"/>
    <w:rsid w:val="001C252F"/>
    <w:rsid w:val="001C28D1"/>
    <w:rsid w:val="001C3473"/>
    <w:rsid w:val="001C5BDA"/>
    <w:rsid w:val="001C5CFC"/>
    <w:rsid w:val="001C7231"/>
    <w:rsid w:val="001C7418"/>
    <w:rsid w:val="001C7EBE"/>
    <w:rsid w:val="001D0051"/>
    <w:rsid w:val="001D169A"/>
    <w:rsid w:val="001D19D1"/>
    <w:rsid w:val="001D2224"/>
    <w:rsid w:val="001D31AA"/>
    <w:rsid w:val="001D3DC0"/>
    <w:rsid w:val="001D4F88"/>
    <w:rsid w:val="001D68CF"/>
    <w:rsid w:val="001D6A8C"/>
    <w:rsid w:val="001D729C"/>
    <w:rsid w:val="001D7A56"/>
    <w:rsid w:val="001E15C0"/>
    <w:rsid w:val="001E18E0"/>
    <w:rsid w:val="001E18E2"/>
    <w:rsid w:val="001E19D0"/>
    <w:rsid w:val="001E2A30"/>
    <w:rsid w:val="001E2FF1"/>
    <w:rsid w:val="001E41FE"/>
    <w:rsid w:val="001E635C"/>
    <w:rsid w:val="001F0297"/>
    <w:rsid w:val="001F066F"/>
    <w:rsid w:val="001F7F06"/>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FC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EC"/>
    <w:rsid w:val="002712F7"/>
    <w:rsid w:val="0027159C"/>
    <w:rsid w:val="002722F2"/>
    <w:rsid w:val="00272E75"/>
    <w:rsid w:val="00274549"/>
    <w:rsid w:val="00274E46"/>
    <w:rsid w:val="002752AE"/>
    <w:rsid w:val="002769AF"/>
    <w:rsid w:val="00276C86"/>
    <w:rsid w:val="00276FD0"/>
    <w:rsid w:val="00277217"/>
    <w:rsid w:val="002810A4"/>
    <w:rsid w:val="00282DB6"/>
    <w:rsid w:val="00284A26"/>
    <w:rsid w:val="00285095"/>
    <w:rsid w:val="00287006"/>
    <w:rsid w:val="00287DCC"/>
    <w:rsid w:val="00292397"/>
    <w:rsid w:val="00292AB2"/>
    <w:rsid w:val="002933B4"/>
    <w:rsid w:val="00293DB6"/>
    <w:rsid w:val="00293FE8"/>
    <w:rsid w:val="00294437"/>
    <w:rsid w:val="00297A15"/>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81C"/>
    <w:rsid w:val="002B6FA0"/>
    <w:rsid w:val="002B7645"/>
    <w:rsid w:val="002B7DC9"/>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A30"/>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4DA"/>
    <w:rsid w:val="00330D55"/>
    <w:rsid w:val="00331AD3"/>
    <w:rsid w:val="003320E8"/>
    <w:rsid w:val="003328FD"/>
    <w:rsid w:val="00332DE3"/>
    <w:rsid w:val="0033334F"/>
    <w:rsid w:val="00334514"/>
    <w:rsid w:val="0033555E"/>
    <w:rsid w:val="00336805"/>
    <w:rsid w:val="00337351"/>
    <w:rsid w:val="0034117A"/>
    <w:rsid w:val="00341A54"/>
    <w:rsid w:val="00344A4F"/>
    <w:rsid w:val="00344D17"/>
    <w:rsid w:val="0034669F"/>
    <w:rsid w:val="0034707D"/>
    <w:rsid w:val="00350428"/>
    <w:rsid w:val="00351498"/>
    <w:rsid w:val="00352B22"/>
    <w:rsid w:val="00352CBF"/>
    <w:rsid w:val="00354547"/>
    <w:rsid w:val="003549F5"/>
    <w:rsid w:val="003567DE"/>
    <w:rsid w:val="003574F3"/>
    <w:rsid w:val="00357831"/>
    <w:rsid w:val="00357C00"/>
    <w:rsid w:val="003604A5"/>
    <w:rsid w:val="00361D98"/>
    <w:rsid w:val="0036319E"/>
    <w:rsid w:val="003632A4"/>
    <w:rsid w:val="00363362"/>
    <w:rsid w:val="00363619"/>
    <w:rsid w:val="00365767"/>
    <w:rsid w:val="003659C0"/>
    <w:rsid w:val="003660DF"/>
    <w:rsid w:val="00367D4F"/>
    <w:rsid w:val="00370743"/>
    <w:rsid w:val="00370EF5"/>
    <w:rsid w:val="0037135B"/>
    <w:rsid w:val="00372251"/>
    <w:rsid w:val="003723A6"/>
    <w:rsid w:val="00372AAC"/>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A38"/>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C65"/>
    <w:rsid w:val="003D7DDB"/>
    <w:rsid w:val="003E024F"/>
    <w:rsid w:val="003E02C7"/>
    <w:rsid w:val="003E0543"/>
    <w:rsid w:val="003E061D"/>
    <w:rsid w:val="003E0824"/>
    <w:rsid w:val="003E0B5A"/>
    <w:rsid w:val="003E1682"/>
    <w:rsid w:val="003E31E3"/>
    <w:rsid w:val="003E39F9"/>
    <w:rsid w:val="003E3E93"/>
    <w:rsid w:val="003E46D1"/>
    <w:rsid w:val="003E6214"/>
    <w:rsid w:val="003F070E"/>
    <w:rsid w:val="003F1082"/>
    <w:rsid w:val="003F1206"/>
    <w:rsid w:val="003F28DB"/>
    <w:rsid w:val="003F2EEE"/>
    <w:rsid w:val="003F4ABB"/>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17F84"/>
    <w:rsid w:val="00420A1D"/>
    <w:rsid w:val="00421485"/>
    <w:rsid w:val="004216DA"/>
    <w:rsid w:val="00422B75"/>
    <w:rsid w:val="00424612"/>
    <w:rsid w:val="0042528C"/>
    <w:rsid w:val="00425672"/>
    <w:rsid w:val="00425A6A"/>
    <w:rsid w:val="00427F54"/>
    <w:rsid w:val="004316FD"/>
    <w:rsid w:val="00433F36"/>
    <w:rsid w:val="00434860"/>
    <w:rsid w:val="0043503A"/>
    <w:rsid w:val="0043684F"/>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5B3D"/>
    <w:rsid w:val="004761CC"/>
    <w:rsid w:val="004766C9"/>
    <w:rsid w:val="00476A7D"/>
    <w:rsid w:val="00480D4A"/>
    <w:rsid w:val="00481DA1"/>
    <w:rsid w:val="00483A2B"/>
    <w:rsid w:val="00483C0C"/>
    <w:rsid w:val="00484212"/>
    <w:rsid w:val="00484BA9"/>
    <w:rsid w:val="0048599A"/>
    <w:rsid w:val="00486818"/>
    <w:rsid w:val="0049255F"/>
    <w:rsid w:val="0049445D"/>
    <w:rsid w:val="004952CF"/>
    <w:rsid w:val="00495350"/>
    <w:rsid w:val="00495E3C"/>
    <w:rsid w:val="00497156"/>
    <w:rsid w:val="004972B2"/>
    <w:rsid w:val="004A0C79"/>
    <w:rsid w:val="004A24D2"/>
    <w:rsid w:val="004A3214"/>
    <w:rsid w:val="004A33BE"/>
    <w:rsid w:val="004A3500"/>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96F"/>
    <w:rsid w:val="004D10D4"/>
    <w:rsid w:val="004D16BD"/>
    <w:rsid w:val="004D2AAB"/>
    <w:rsid w:val="004D6E90"/>
    <w:rsid w:val="004D6F2B"/>
    <w:rsid w:val="004D7B6F"/>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5DDD"/>
    <w:rsid w:val="00506688"/>
    <w:rsid w:val="00510588"/>
    <w:rsid w:val="00510F9C"/>
    <w:rsid w:val="0051146C"/>
    <w:rsid w:val="00511BFA"/>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86C"/>
    <w:rsid w:val="00557873"/>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6677"/>
    <w:rsid w:val="005C0E87"/>
    <w:rsid w:val="005C16F3"/>
    <w:rsid w:val="005C3758"/>
    <w:rsid w:val="005C3CFE"/>
    <w:rsid w:val="005C4D72"/>
    <w:rsid w:val="005C4EA8"/>
    <w:rsid w:val="005C50C1"/>
    <w:rsid w:val="005C62C2"/>
    <w:rsid w:val="005D10D0"/>
    <w:rsid w:val="005D130B"/>
    <w:rsid w:val="005D22F6"/>
    <w:rsid w:val="005D2306"/>
    <w:rsid w:val="005D4A74"/>
    <w:rsid w:val="005D5E91"/>
    <w:rsid w:val="005D6268"/>
    <w:rsid w:val="005D67EF"/>
    <w:rsid w:val="005E3064"/>
    <w:rsid w:val="005E6AEE"/>
    <w:rsid w:val="005E72B2"/>
    <w:rsid w:val="005F1115"/>
    <w:rsid w:val="005F1AB6"/>
    <w:rsid w:val="005F27F2"/>
    <w:rsid w:val="005F2B27"/>
    <w:rsid w:val="005F2FE8"/>
    <w:rsid w:val="005F3567"/>
    <w:rsid w:val="005F3AFE"/>
    <w:rsid w:val="005F424D"/>
    <w:rsid w:val="005F55F5"/>
    <w:rsid w:val="005F5EC1"/>
    <w:rsid w:val="005F67A9"/>
    <w:rsid w:val="005F6B6D"/>
    <w:rsid w:val="006008F8"/>
    <w:rsid w:val="00605AAB"/>
    <w:rsid w:val="00605CB3"/>
    <w:rsid w:val="00606BEB"/>
    <w:rsid w:val="00607050"/>
    <w:rsid w:val="0061014A"/>
    <w:rsid w:val="0061054B"/>
    <w:rsid w:val="00612FB0"/>
    <w:rsid w:val="0061356D"/>
    <w:rsid w:val="00613E26"/>
    <w:rsid w:val="00615641"/>
    <w:rsid w:val="00616959"/>
    <w:rsid w:val="0062036E"/>
    <w:rsid w:val="006211D0"/>
    <w:rsid w:val="00621595"/>
    <w:rsid w:val="0062359D"/>
    <w:rsid w:val="00623634"/>
    <w:rsid w:val="00624D0C"/>
    <w:rsid w:val="0062746D"/>
    <w:rsid w:val="006274B4"/>
    <w:rsid w:val="00627B0C"/>
    <w:rsid w:val="006307BA"/>
    <w:rsid w:val="006315BA"/>
    <w:rsid w:val="006335E2"/>
    <w:rsid w:val="00634C4A"/>
    <w:rsid w:val="0063532E"/>
    <w:rsid w:val="00637063"/>
    <w:rsid w:val="0063737C"/>
    <w:rsid w:val="00637BDC"/>
    <w:rsid w:val="00640622"/>
    <w:rsid w:val="006418C9"/>
    <w:rsid w:val="00642BD6"/>
    <w:rsid w:val="00645046"/>
    <w:rsid w:val="0064527A"/>
    <w:rsid w:val="006458FD"/>
    <w:rsid w:val="00645EA2"/>
    <w:rsid w:val="00651E6D"/>
    <w:rsid w:val="00653071"/>
    <w:rsid w:val="00653D2D"/>
    <w:rsid w:val="006555E7"/>
    <w:rsid w:val="006560B6"/>
    <w:rsid w:val="006573F2"/>
    <w:rsid w:val="00662AD0"/>
    <w:rsid w:val="00662F08"/>
    <w:rsid w:val="00663589"/>
    <w:rsid w:val="00664296"/>
    <w:rsid w:val="006649CD"/>
    <w:rsid w:val="00665D75"/>
    <w:rsid w:val="006675A2"/>
    <w:rsid w:val="006708E3"/>
    <w:rsid w:val="00670DDC"/>
    <w:rsid w:val="00671389"/>
    <w:rsid w:val="00671EB4"/>
    <w:rsid w:val="00673CDC"/>
    <w:rsid w:val="0067443B"/>
    <w:rsid w:val="006770AA"/>
    <w:rsid w:val="00682486"/>
    <w:rsid w:val="006840ED"/>
    <w:rsid w:val="00684CE6"/>
    <w:rsid w:val="00684E2B"/>
    <w:rsid w:val="006850AD"/>
    <w:rsid w:val="00687C7E"/>
    <w:rsid w:val="00690569"/>
    <w:rsid w:val="00690FDA"/>
    <w:rsid w:val="00691E61"/>
    <w:rsid w:val="00692390"/>
    <w:rsid w:val="006937C6"/>
    <w:rsid w:val="00693C5E"/>
    <w:rsid w:val="00693CEE"/>
    <w:rsid w:val="00694EEA"/>
    <w:rsid w:val="006955B4"/>
    <w:rsid w:val="00695DEF"/>
    <w:rsid w:val="00696476"/>
    <w:rsid w:val="00696C74"/>
    <w:rsid w:val="006A10FA"/>
    <w:rsid w:val="006A40E6"/>
    <w:rsid w:val="006A4F16"/>
    <w:rsid w:val="006A516B"/>
    <w:rsid w:val="006A5362"/>
    <w:rsid w:val="006A543A"/>
    <w:rsid w:val="006A5C07"/>
    <w:rsid w:val="006A7596"/>
    <w:rsid w:val="006A75FA"/>
    <w:rsid w:val="006B07D5"/>
    <w:rsid w:val="006B1309"/>
    <w:rsid w:val="006B31E6"/>
    <w:rsid w:val="006B3923"/>
    <w:rsid w:val="006B3F3E"/>
    <w:rsid w:val="006B4AA2"/>
    <w:rsid w:val="006B53C4"/>
    <w:rsid w:val="006B586B"/>
    <w:rsid w:val="006B5923"/>
    <w:rsid w:val="006B67D9"/>
    <w:rsid w:val="006B6C14"/>
    <w:rsid w:val="006B715E"/>
    <w:rsid w:val="006C186C"/>
    <w:rsid w:val="006C1C82"/>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1F44"/>
    <w:rsid w:val="0073254D"/>
    <w:rsid w:val="007340F3"/>
    <w:rsid w:val="007351BB"/>
    <w:rsid w:val="00735704"/>
    <w:rsid w:val="00735833"/>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A4C"/>
    <w:rsid w:val="00784EA0"/>
    <w:rsid w:val="00785D77"/>
    <w:rsid w:val="00786111"/>
    <w:rsid w:val="00787198"/>
    <w:rsid w:val="00787AB4"/>
    <w:rsid w:val="00790963"/>
    <w:rsid w:val="00790BEA"/>
    <w:rsid w:val="0079154B"/>
    <w:rsid w:val="00791583"/>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FD8"/>
    <w:rsid w:val="007B308B"/>
    <w:rsid w:val="007B31AC"/>
    <w:rsid w:val="007B4181"/>
    <w:rsid w:val="007B5178"/>
    <w:rsid w:val="007B5C5C"/>
    <w:rsid w:val="007B6CE0"/>
    <w:rsid w:val="007B7B37"/>
    <w:rsid w:val="007B7C41"/>
    <w:rsid w:val="007C05C5"/>
    <w:rsid w:val="007C11E9"/>
    <w:rsid w:val="007C128F"/>
    <w:rsid w:val="007C39B8"/>
    <w:rsid w:val="007C433E"/>
    <w:rsid w:val="007C4452"/>
    <w:rsid w:val="007C4B3C"/>
    <w:rsid w:val="007C4DB1"/>
    <w:rsid w:val="007C6046"/>
    <w:rsid w:val="007C6F0C"/>
    <w:rsid w:val="007D0292"/>
    <w:rsid w:val="007D136C"/>
    <w:rsid w:val="007D21AC"/>
    <w:rsid w:val="007D24B0"/>
    <w:rsid w:val="007D308B"/>
    <w:rsid w:val="007D3882"/>
    <w:rsid w:val="007D39E4"/>
    <w:rsid w:val="007D3FE7"/>
    <w:rsid w:val="007D568A"/>
    <w:rsid w:val="007D574E"/>
    <w:rsid w:val="007D57C0"/>
    <w:rsid w:val="007D67CB"/>
    <w:rsid w:val="007D6BFE"/>
    <w:rsid w:val="007E2046"/>
    <w:rsid w:val="007E3883"/>
    <w:rsid w:val="007E3E68"/>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96E"/>
    <w:rsid w:val="007F1AFD"/>
    <w:rsid w:val="007F215B"/>
    <w:rsid w:val="007F2E3D"/>
    <w:rsid w:val="007F30E4"/>
    <w:rsid w:val="007F4482"/>
    <w:rsid w:val="007F63F1"/>
    <w:rsid w:val="0080064F"/>
    <w:rsid w:val="00801AF0"/>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108C"/>
    <w:rsid w:val="008220F1"/>
    <w:rsid w:val="00822583"/>
    <w:rsid w:val="0082340B"/>
    <w:rsid w:val="00823D6A"/>
    <w:rsid w:val="00826442"/>
    <w:rsid w:val="008274B3"/>
    <w:rsid w:val="008275C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440"/>
    <w:rsid w:val="008A2D08"/>
    <w:rsid w:val="008A39D7"/>
    <w:rsid w:val="008A55DE"/>
    <w:rsid w:val="008A5C34"/>
    <w:rsid w:val="008A63A9"/>
    <w:rsid w:val="008A653B"/>
    <w:rsid w:val="008A7073"/>
    <w:rsid w:val="008A761E"/>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1B4"/>
    <w:rsid w:val="008D1484"/>
    <w:rsid w:val="008D2869"/>
    <w:rsid w:val="008D29E7"/>
    <w:rsid w:val="008D5104"/>
    <w:rsid w:val="008D75F4"/>
    <w:rsid w:val="008D795D"/>
    <w:rsid w:val="008D7B07"/>
    <w:rsid w:val="008E073D"/>
    <w:rsid w:val="008E0D8F"/>
    <w:rsid w:val="008E0F4E"/>
    <w:rsid w:val="008E1E94"/>
    <w:rsid w:val="008E2D99"/>
    <w:rsid w:val="008E30D4"/>
    <w:rsid w:val="008E38B0"/>
    <w:rsid w:val="008E4448"/>
    <w:rsid w:val="008E4A60"/>
    <w:rsid w:val="008E744D"/>
    <w:rsid w:val="008F1E08"/>
    <w:rsid w:val="008F2476"/>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0E57"/>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60BA"/>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364"/>
    <w:rsid w:val="00985099"/>
    <w:rsid w:val="00985D32"/>
    <w:rsid w:val="00986514"/>
    <w:rsid w:val="00986FCC"/>
    <w:rsid w:val="009935C3"/>
    <w:rsid w:val="0099421F"/>
    <w:rsid w:val="00994FC8"/>
    <w:rsid w:val="009A0DE3"/>
    <w:rsid w:val="009A0FB2"/>
    <w:rsid w:val="009A1643"/>
    <w:rsid w:val="009A215A"/>
    <w:rsid w:val="009A49D3"/>
    <w:rsid w:val="009A4F1B"/>
    <w:rsid w:val="009A66C5"/>
    <w:rsid w:val="009A66E7"/>
    <w:rsid w:val="009A79BA"/>
    <w:rsid w:val="009B0534"/>
    <w:rsid w:val="009B14D1"/>
    <w:rsid w:val="009B1534"/>
    <w:rsid w:val="009B4963"/>
    <w:rsid w:val="009B4A3B"/>
    <w:rsid w:val="009B69D3"/>
    <w:rsid w:val="009B6C60"/>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3D8"/>
    <w:rsid w:val="009E3A7F"/>
    <w:rsid w:val="009E4C9B"/>
    <w:rsid w:val="009E4DFC"/>
    <w:rsid w:val="009E5789"/>
    <w:rsid w:val="009E57B1"/>
    <w:rsid w:val="009E6379"/>
    <w:rsid w:val="009F020F"/>
    <w:rsid w:val="009F0B0A"/>
    <w:rsid w:val="009F3B63"/>
    <w:rsid w:val="009F43E2"/>
    <w:rsid w:val="009F4DCF"/>
    <w:rsid w:val="009F6292"/>
    <w:rsid w:val="009F66AE"/>
    <w:rsid w:val="009F7809"/>
    <w:rsid w:val="009F7AF5"/>
    <w:rsid w:val="00A006F1"/>
    <w:rsid w:val="00A007A7"/>
    <w:rsid w:val="00A00D14"/>
    <w:rsid w:val="00A01408"/>
    <w:rsid w:val="00A01A8F"/>
    <w:rsid w:val="00A02457"/>
    <w:rsid w:val="00A03190"/>
    <w:rsid w:val="00A03D73"/>
    <w:rsid w:val="00A0404B"/>
    <w:rsid w:val="00A06C8B"/>
    <w:rsid w:val="00A06F66"/>
    <w:rsid w:val="00A0798C"/>
    <w:rsid w:val="00A07BDD"/>
    <w:rsid w:val="00A07F12"/>
    <w:rsid w:val="00A11047"/>
    <w:rsid w:val="00A1105B"/>
    <w:rsid w:val="00A1213C"/>
    <w:rsid w:val="00A130E8"/>
    <w:rsid w:val="00A15B6B"/>
    <w:rsid w:val="00A15EB4"/>
    <w:rsid w:val="00A16172"/>
    <w:rsid w:val="00A16876"/>
    <w:rsid w:val="00A200AA"/>
    <w:rsid w:val="00A20558"/>
    <w:rsid w:val="00A211DD"/>
    <w:rsid w:val="00A2139B"/>
    <w:rsid w:val="00A2186F"/>
    <w:rsid w:val="00A2270B"/>
    <w:rsid w:val="00A23B89"/>
    <w:rsid w:val="00A23FE3"/>
    <w:rsid w:val="00A248C3"/>
    <w:rsid w:val="00A2496E"/>
    <w:rsid w:val="00A2515A"/>
    <w:rsid w:val="00A253E8"/>
    <w:rsid w:val="00A258B7"/>
    <w:rsid w:val="00A25A0C"/>
    <w:rsid w:val="00A25A1C"/>
    <w:rsid w:val="00A25A83"/>
    <w:rsid w:val="00A262B6"/>
    <w:rsid w:val="00A31FE2"/>
    <w:rsid w:val="00A32743"/>
    <w:rsid w:val="00A3756D"/>
    <w:rsid w:val="00A40FFB"/>
    <w:rsid w:val="00A41468"/>
    <w:rsid w:val="00A414A9"/>
    <w:rsid w:val="00A44141"/>
    <w:rsid w:val="00A44CCA"/>
    <w:rsid w:val="00A44D75"/>
    <w:rsid w:val="00A47CF1"/>
    <w:rsid w:val="00A50418"/>
    <w:rsid w:val="00A5043A"/>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2A14"/>
    <w:rsid w:val="00A73B84"/>
    <w:rsid w:val="00A7411D"/>
    <w:rsid w:val="00A756C4"/>
    <w:rsid w:val="00A7592B"/>
    <w:rsid w:val="00A76094"/>
    <w:rsid w:val="00A768E2"/>
    <w:rsid w:val="00A81DCD"/>
    <w:rsid w:val="00A82C52"/>
    <w:rsid w:val="00A838E8"/>
    <w:rsid w:val="00A83C15"/>
    <w:rsid w:val="00A84EC4"/>
    <w:rsid w:val="00A86CB6"/>
    <w:rsid w:val="00A86E80"/>
    <w:rsid w:val="00A90D55"/>
    <w:rsid w:val="00A930F7"/>
    <w:rsid w:val="00A944D8"/>
    <w:rsid w:val="00A959E7"/>
    <w:rsid w:val="00A95BBA"/>
    <w:rsid w:val="00A95EE9"/>
    <w:rsid w:val="00A961EE"/>
    <w:rsid w:val="00AA04B3"/>
    <w:rsid w:val="00AA09A6"/>
    <w:rsid w:val="00AA1253"/>
    <w:rsid w:val="00AA1ED0"/>
    <w:rsid w:val="00AA1F5B"/>
    <w:rsid w:val="00AA28EF"/>
    <w:rsid w:val="00AA3593"/>
    <w:rsid w:val="00AA387C"/>
    <w:rsid w:val="00AA38CA"/>
    <w:rsid w:val="00AA493E"/>
    <w:rsid w:val="00AA4CEF"/>
    <w:rsid w:val="00AA6D7B"/>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2E76"/>
    <w:rsid w:val="00AD3496"/>
    <w:rsid w:val="00AD49A1"/>
    <w:rsid w:val="00AD5771"/>
    <w:rsid w:val="00AD6870"/>
    <w:rsid w:val="00AD68C5"/>
    <w:rsid w:val="00AD7F8F"/>
    <w:rsid w:val="00AE0BF9"/>
    <w:rsid w:val="00AE1273"/>
    <w:rsid w:val="00AE157D"/>
    <w:rsid w:val="00AE18C5"/>
    <w:rsid w:val="00AE2CF4"/>
    <w:rsid w:val="00AE2D29"/>
    <w:rsid w:val="00AE2F15"/>
    <w:rsid w:val="00AE3966"/>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4B"/>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791"/>
    <w:rsid w:val="00B37F53"/>
    <w:rsid w:val="00B400B5"/>
    <w:rsid w:val="00B40A05"/>
    <w:rsid w:val="00B40A3E"/>
    <w:rsid w:val="00B41262"/>
    <w:rsid w:val="00B427BB"/>
    <w:rsid w:val="00B43BA2"/>
    <w:rsid w:val="00B449EE"/>
    <w:rsid w:val="00B454AE"/>
    <w:rsid w:val="00B50227"/>
    <w:rsid w:val="00B50510"/>
    <w:rsid w:val="00B51878"/>
    <w:rsid w:val="00B522CD"/>
    <w:rsid w:val="00B52F53"/>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310"/>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96B"/>
    <w:rsid w:val="00B91676"/>
    <w:rsid w:val="00B9322B"/>
    <w:rsid w:val="00B93C61"/>
    <w:rsid w:val="00B93F2F"/>
    <w:rsid w:val="00B955D5"/>
    <w:rsid w:val="00B95833"/>
    <w:rsid w:val="00BA04DC"/>
    <w:rsid w:val="00BA1824"/>
    <w:rsid w:val="00BA2B00"/>
    <w:rsid w:val="00BA2D98"/>
    <w:rsid w:val="00BA2F0C"/>
    <w:rsid w:val="00BA30D1"/>
    <w:rsid w:val="00BA30E1"/>
    <w:rsid w:val="00BA4609"/>
    <w:rsid w:val="00BA5BE2"/>
    <w:rsid w:val="00BA6D5E"/>
    <w:rsid w:val="00BA7F46"/>
    <w:rsid w:val="00BB0A0A"/>
    <w:rsid w:val="00BB133C"/>
    <w:rsid w:val="00BB1F04"/>
    <w:rsid w:val="00BB45B5"/>
    <w:rsid w:val="00BB4DDE"/>
    <w:rsid w:val="00BB6064"/>
    <w:rsid w:val="00BB65CE"/>
    <w:rsid w:val="00BB7012"/>
    <w:rsid w:val="00BC09D1"/>
    <w:rsid w:val="00BC1CF3"/>
    <w:rsid w:val="00BC2BE0"/>
    <w:rsid w:val="00BC3573"/>
    <w:rsid w:val="00BC448E"/>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173"/>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659"/>
    <w:rsid w:val="00C217F7"/>
    <w:rsid w:val="00C2272E"/>
    <w:rsid w:val="00C22F3A"/>
    <w:rsid w:val="00C23311"/>
    <w:rsid w:val="00C24AD9"/>
    <w:rsid w:val="00C25978"/>
    <w:rsid w:val="00C261C6"/>
    <w:rsid w:val="00C26621"/>
    <w:rsid w:val="00C26E7C"/>
    <w:rsid w:val="00C276CD"/>
    <w:rsid w:val="00C27827"/>
    <w:rsid w:val="00C30A97"/>
    <w:rsid w:val="00C3142D"/>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0F2D"/>
    <w:rsid w:val="00C5168C"/>
    <w:rsid w:val="00C51962"/>
    <w:rsid w:val="00C533B4"/>
    <w:rsid w:val="00C5377C"/>
    <w:rsid w:val="00C53E8A"/>
    <w:rsid w:val="00C54DF3"/>
    <w:rsid w:val="00C560A7"/>
    <w:rsid w:val="00C56FC8"/>
    <w:rsid w:val="00C60F23"/>
    <w:rsid w:val="00C6170B"/>
    <w:rsid w:val="00C62EB2"/>
    <w:rsid w:val="00C64C87"/>
    <w:rsid w:val="00C665FE"/>
    <w:rsid w:val="00C71622"/>
    <w:rsid w:val="00C71BEC"/>
    <w:rsid w:val="00C74D3A"/>
    <w:rsid w:val="00C74D5C"/>
    <w:rsid w:val="00C75F3D"/>
    <w:rsid w:val="00C80511"/>
    <w:rsid w:val="00C826F5"/>
    <w:rsid w:val="00C83740"/>
    <w:rsid w:val="00C846FB"/>
    <w:rsid w:val="00C84AD1"/>
    <w:rsid w:val="00C85579"/>
    <w:rsid w:val="00C862F1"/>
    <w:rsid w:val="00C863E5"/>
    <w:rsid w:val="00C8725A"/>
    <w:rsid w:val="00C87BE6"/>
    <w:rsid w:val="00C87F76"/>
    <w:rsid w:val="00C931FC"/>
    <w:rsid w:val="00C932C5"/>
    <w:rsid w:val="00C94122"/>
    <w:rsid w:val="00C94CB6"/>
    <w:rsid w:val="00C95299"/>
    <w:rsid w:val="00C95A72"/>
    <w:rsid w:val="00C9650E"/>
    <w:rsid w:val="00C97000"/>
    <w:rsid w:val="00C975BD"/>
    <w:rsid w:val="00C97FB0"/>
    <w:rsid w:val="00CA068D"/>
    <w:rsid w:val="00CA0922"/>
    <w:rsid w:val="00CA1228"/>
    <w:rsid w:val="00CA1858"/>
    <w:rsid w:val="00CA1C73"/>
    <w:rsid w:val="00CA282D"/>
    <w:rsid w:val="00CA3956"/>
    <w:rsid w:val="00CA3F73"/>
    <w:rsid w:val="00CA43D1"/>
    <w:rsid w:val="00CA4670"/>
    <w:rsid w:val="00CA5006"/>
    <w:rsid w:val="00CA5F89"/>
    <w:rsid w:val="00CA6B1A"/>
    <w:rsid w:val="00CB1B18"/>
    <w:rsid w:val="00CB20DC"/>
    <w:rsid w:val="00CB23DC"/>
    <w:rsid w:val="00CB2487"/>
    <w:rsid w:val="00CB28E2"/>
    <w:rsid w:val="00CB2F20"/>
    <w:rsid w:val="00CB758D"/>
    <w:rsid w:val="00CB7A3E"/>
    <w:rsid w:val="00CB7FF7"/>
    <w:rsid w:val="00CC059A"/>
    <w:rsid w:val="00CC0D0E"/>
    <w:rsid w:val="00CC1253"/>
    <w:rsid w:val="00CC19B3"/>
    <w:rsid w:val="00CC2044"/>
    <w:rsid w:val="00CC39D2"/>
    <w:rsid w:val="00CC5FA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3252"/>
    <w:rsid w:val="00CF4340"/>
    <w:rsid w:val="00CF4394"/>
    <w:rsid w:val="00CF48B4"/>
    <w:rsid w:val="00CF5FF8"/>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2103"/>
    <w:rsid w:val="00D336C8"/>
    <w:rsid w:val="00D339E8"/>
    <w:rsid w:val="00D3654A"/>
    <w:rsid w:val="00D3662E"/>
    <w:rsid w:val="00D40B1F"/>
    <w:rsid w:val="00D40D75"/>
    <w:rsid w:val="00D43978"/>
    <w:rsid w:val="00D43CBD"/>
    <w:rsid w:val="00D449F0"/>
    <w:rsid w:val="00D462D7"/>
    <w:rsid w:val="00D5062C"/>
    <w:rsid w:val="00D50C8C"/>
    <w:rsid w:val="00D50DC0"/>
    <w:rsid w:val="00D52393"/>
    <w:rsid w:val="00D523E4"/>
    <w:rsid w:val="00D5279D"/>
    <w:rsid w:val="00D52A1B"/>
    <w:rsid w:val="00D52AA7"/>
    <w:rsid w:val="00D52FCC"/>
    <w:rsid w:val="00D53F14"/>
    <w:rsid w:val="00D54BE4"/>
    <w:rsid w:val="00D54DDB"/>
    <w:rsid w:val="00D554BC"/>
    <w:rsid w:val="00D560DC"/>
    <w:rsid w:val="00D56602"/>
    <w:rsid w:val="00D60483"/>
    <w:rsid w:val="00D60A05"/>
    <w:rsid w:val="00D61ABB"/>
    <w:rsid w:val="00D62D5C"/>
    <w:rsid w:val="00D63577"/>
    <w:rsid w:val="00D67EAB"/>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B99"/>
    <w:rsid w:val="00D9706F"/>
    <w:rsid w:val="00D972D4"/>
    <w:rsid w:val="00DA0088"/>
    <w:rsid w:val="00DA195B"/>
    <w:rsid w:val="00DA27F3"/>
    <w:rsid w:val="00DA2D1E"/>
    <w:rsid w:val="00DA3EC8"/>
    <w:rsid w:val="00DA40C1"/>
    <w:rsid w:val="00DA5564"/>
    <w:rsid w:val="00DA6B55"/>
    <w:rsid w:val="00DA6B97"/>
    <w:rsid w:val="00DA6CEE"/>
    <w:rsid w:val="00DA7BBB"/>
    <w:rsid w:val="00DB0015"/>
    <w:rsid w:val="00DB0359"/>
    <w:rsid w:val="00DB0ABB"/>
    <w:rsid w:val="00DB16F2"/>
    <w:rsid w:val="00DB2AAD"/>
    <w:rsid w:val="00DB44E2"/>
    <w:rsid w:val="00DB4A6D"/>
    <w:rsid w:val="00DB5941"/>
    <w:rsid w:val="00DB626D"/>
    <w:rsid w:val="00DB6365"/>
    <w:rsid w:val="00DC07B7"/>
    <w:rsid w:val="00DC0B5B"/>
    <w:rsid w:val="00DC0BF1"/>
    <w:rsid w:val="00DC13AC"/>
    <w:rsid w:val="00DC17F2"/>
    <w:rsid w:val="00DC41C3"/>
    <w:rsid w:val="00DC4A3C"/>
    <w:rsid w:val="00DC4FA4"/>
    <w:rsid w:val="00DC5B37"/>
    <w:rsid w:val="00DD286D"/>
    <w:rsid w:val="00DD2CAF"/>
    <w:rsid w:val="00DD3593"/>
    <w:rsid w:val="00DD64E0"/>
    <w:rsid w:val="00DD7BE0"/>
    <w:rsid w:val="00DE00AF"/>
    <w:rsid w:val="00DE0C67"/>
    <w:rsid w:val="00DE1BB9"/>
    <w:rsid w:val="00DE3AAD"/>
    <w:rsid w:val="00DE598A"/>
    <w:rsid w:val="00DE60B7"/>
    <w:rsid w:val="00DE6952"/>
    <w:rsid w:val="00DE7E74"/>
    <w:rsid w:val="00DF071B"/>
    <w:rsid w:val="00DF5C84"/>
    <w:rsid w:val="00DF6EF8"/>
    <w:rsid w:val="00E00A69"/>
    <w:rsid w:val="00E017BC"/>
    <w:rsid w:val="00E017F0"/>
    <w:rsid w:val="00E01A0E"/>
    <w:rsid w:val="00E0346A"/>
    <w:rsid w:val="00E0356B"/>
    <w:rsid w:val="00E041E4"/>
    <w:rsid w:val="00E04AEE"/>
    <w:rsid w:val="00E1012B"/>
    <w:rsid w:val="00E103C8"/>
    <w:rsid w:val="00E1085B"/>
    <w:rsid w:val="00E111E7"/>
    <w:rsid w:val="00E126A0"/>
    <w:rsid w:val="00E1308B"/>
    <w:rsid w:val="00E14581"/>
    <w:rsid w:val="00E14623"/>
    <w:rsid w:val="00E15539"/>
    <w:rsid w:val="00E16541"/>
    <w:rsid w:val="00E17EC9"/>
    <w:rsid w:val="00E202F4"/>
    <w:rsid w:val="00E207C3"/>
    <w:rsid w:val="00E21386"/>
    <w:rsid w:val="00E242AF"/>
    <w:rsid w:val="00E24849"/>
    <w:rsid w:val="00E24CB6"/>
    <w:rsid w:val="00E2536E"/>
    <w:rsid w:val="00E25B8A"/>
    <w:rsid w:val="00E25EF8"/>
    <w:rsid w:val="00E2632B"/>
    <w:rsid w:val="00E26F75"/>
    <w:rsid w:val="00E27423"/>
    <w:rsid w:val="00E322F7"/>
    <w:rsid w:val="00E3369B"/>
    <w:rsid w:val="00E362D2"/>
    <w:rsid w:val="00E3683B"/>
    <w:rsid w:val="00E36D76"/>
    <w:rsid w:val="00E40478"/>
    <w:rsid w:val="00E405EA"/>
    <w:rsid w:val="00E408B7"/>
    <w:rsid w:val="00E41637"/>
    <w:rsid w:val="00E42789"/>
    <w:rsid w:val="00E43F59"/>
    <w:rsid w:val="00E464F0"/>
    <w:rsid w:val="00E46EF3"/>
    <w:rsid w:val="00E47013"/>
    <w:rsid w:val="00E47370"/>
    <w:rsid w:val="00E473E9"/>
    <w:rsid w:val="00E47B47"/>
    <w:rsid w:val="00E50BEB"/>
    <w:rsid w:val="00E548FA"/>
    <w:rsid w:val="00E5674A"/>
    <w:rsid w:val="00E57284"/>
    <w:rsid w:val="00E57703"/>
    <w:rsid w:val="00E57ED4"/>
    <w:rsid w:val="00E57FED"/>
    <w:rsid w:val="00E6092F"/>
    <w:rsid w:val="00E60BD0"/>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77A90"/>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335"/>
    <w:rsid w:val="00EB04C6"/>
    <w:rsid w:val="00EB06A6"/>
    <w:rsid w:val="00EB1855"/>
    <w:rsid w:val="00EB3307"/>
    <w:rsid w:val="00EB3823"/>
    <w:rsid w:val="00EB466D"/>
    <w:rsid w:val="00EB47D8"/>
    <w:rsid w:val="00EB57D3"/>
    <w:rsid w:val="00EB5EFD"/>
    <w:rsid w:val="00EB679F"/>
    <w:rsid w:val="00EB76E4"/>
    <w:rsid w:val="00EC0E65"/>
    <w:rsid w:val="00EC1251"/>
    <w:rsid w:val="00EC2938"/>
    <w:rsid w:val="00EC337D"/>
    <w:rsid w:val="00EC38EF"/>
    <w:rsid w:val="00EC50C9"/>
    <w:rsid w:val="00EC58B4"/>
    <w:rsid w:val="00EC5BB2"/>
    <w:rsid w:val="00EC78CA"/>
    <w:rsid w:val="00ED12F0"/>
    <w:rsid w:val="00ED290C"/>
    <w:rsid w:val="00ED2A6C"/>
    <w:rsid w:val="00ED4773"/>
    <w:rsid w:val="00ED5284"/>
    <w:rsid w:val="00ED664B"/>
    <w:rsid w:val="00ED6A61"/>
    <w:rsid w:val="00ED6A6B"/>
    <w:rsid w:val="00ED7DA4"/>
    <w:rsid w:val="00EE03BB"/>
    <w:rsid w:val="00EE0552"/>
    <w:rsid w:val="00EE0B44"/>
    <w:rsid w:val="00EE1142"/>
    <w:rsid w:val="00EE125D"/>
    <w:rsid w:val="00EE23DE"/>
    <w:rsid w:val="00EE2966"/>
    <w:rsid w:val="00EE48BB"/>
    <w:rsid w:val="00EE6FE0"/>
    <w:rsid w:val="00EE704A"/>
    <w:rsid w:val="00EE7840"/>
    <w:rsid w:val="00EF2E75"/>
    <w:rsid w:val="00EF4C74"/>
    <w:rsid w:val="00EF5268"/>
    <w:rsid w:val="00EF608E"/>
    <w:rsid w:val="00EF6C13"/>
    <w:rsid w:val="00EF6C4A"/>
    <w:rsid w:val="00EF7805"/>
    <w:rsid w:val="00F0044B"/>
    <w:rsid w:val="00F03525"/>
    <w:rsid w:val="00F0424D"/>
    <w:rsid w:val="00F04957"/>
    <w:rsid w:val="00F05807"/>
    <w:rsid w:val="00F06451"/>
    <w:rsid w:val="00F07052"/>
    <w:rsid w:val="00F0706C"/>
    <w:rsid w:val="00F11EBE"/>
    <w:rsid w:val="00F12293"/>
    <w:rsid w:val="00F12BA8"/>
    <w:rsid w:val="00F130D0"/>
    <w:rsid w:val="00F13C05"/>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4393"/>
    <w:rsid w:val="00F46964"/>
    <w:rsid w:val="00F46F9A"/>
    <w:rsid w:val="00F470FD"/>
    <w:rsid w:val="00F50F30"/>
    <w:rsid w:val="00F5126A"/>
    <w:rsid w:val="00F5126E"/>
    <w:rsid w:val="00F516EF"/>
    <w:rsid w:val="00F51755"/>
    <w:rsid w:val="00F5580D"/>
    <w:rsid w:val="00F55FA6"/>
    <w:rsid w:val="00F56EA1"/>
    <w:rsid w:val="00F606D5"/>
    <w:rsid w:val="00F611B3"/>
    <w:rsid w:val="00F6196E"/>
    <w:rsid w:val="00F624DD"/>
    <w:rsid w:val="00F629C0"/>
    <w:rsid w:val="00F62A66"/>
    <w:rsid w:val="00F63FC7"/>
    <w:rsid w:val="00F65E1F"/>
    <w:rsid w:val="00F65ED5"/>
    <w:rsid w:val="00F6608B"/>
    <w:rsid w:val="00F6636A"/>
    <w:rsid w:val="00F667C5"/>
    <w:rsid w:val="00F67E31"/>
    <w:rsid w:val="00F718A8"/>
    <w:rsid w:val="00F72183"/>
    <w:rsid w:val="00F76D01"/>
    <w:rsid w:val="00F80B43"/>
    <w:rsid w:val="00F81C35"/>
    <w:rsid w:val="00F81D48"/>
    <w:rsid w:val="00F82981"/>
    <w:rsid w:val="00F8311F"/>
    <w:rsid w:val="00F83248"/>
    <w:rsid w:val="00F83376"/>
    <w:rsid w:val="00F83945"/>
    <w:rsid w:val="00F853AE"/>
    <w:rsid w:val="00F87924"/>
    <w:rsid w:val="00F908D5"/>
    <w:rsid w:val="00F913B9"/>
    <w:rsid w:val="00F9141D"/>
    <w:rsid w:val="00F9374D"/>
    <w:rsid w:val="00F93C74"/>
    <w:rsid w:val="00F93DCC"/>
    <w:rsid w:val="00F9435D"/>
    <w:rsid w:val="00F9608F"/>
    <w:rsid w:val="00F966F9"/>
    <w:rsid w:val="00F96F61"/>
    <w:rsid w:val="00F97740"/>
    <w:rsid w:val="00FA0C8F"/>
    <w:rsid w:val="00FA1969"/>
    <w:rsid w:val="00FA2DEF"/>
    <w:rsid w:val="00FA2F7B"/>
    <w:rsid w:val="00FA3C97"/>
    <w:rsid w:val="00FA3D30"/>
    <w:rsid w:val="00FA4B49"/>
    <w:rsid w:val="00FA54F8"/>
    <w:rsid w:val="00FA692A"/>
    <w:rsid w:val="00FA78C8"/>
    <w:rsid w:val="00FA7A2F"/>
    <w:rsid w:val="00FB09FE"/>
    <w:rsid w:val="00FB0E80"/>
    <w:rsid w:val="00FB101D"/>
    <w:rsid w:val="00FB1725"/>
    <w:rsid w:val="00FB2493"/>
    <w:rsid w:val="00FB3FFE"/>
    <w:rsid w:val="00FB42B7"/>
    <w:rsid w:val="00FB4484"/>
    <w:rsid w:val="00FB593A"/>
    <w:rsid w:val="00FB6410"/>
    <w:rsid w:val="00FB6E82"/>
    <w:rsid w:val="00FB792E"/>
    <w:rsid w:val="00FB7CF0"/>
    <w:rsid w:val="00FC0042"/>
    <w:rsid w:val="00FC10EC"/>
    <w:rsid w:val="00FC1E67"/>
    <w:rsid w:val="00FC2A13"/>
    <w:rsid w:val="00FC4079"/>
    <w:rsid w:val="00FC4284"/>
    <w:rsid w:val="00FC4576"/>
    <w:rsid w:val="00FC5FF5"/>
    <w:rsid w:val="00FC6285"/>
    <w:rsid w:val="00FC62AE"/>
    <w:rsid w:val="00FC78FB"/>
    <w:rsid w:val="00FC7DBC"/>
    <w:rsid w:val="00FD076A"/>
    <w:rsid w:val="00FD0AA0"/>
    <w:rsid w:val="00FD1665"/>
    <w:rsid w:val="00FD1D5A"/>
    <w:rsid w:val="00FD3742"/>
    <w:rsid w:val="00FD5059"/>
    <w:rsid w:val="00FD554D"/>
    <w:rsid w:val="00FD5BCC"/>
    <w:rsid w:val="00FD61F0"/>
    <w:rsid w:val="00FD652D"/>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st1">
    <w:name w:val="st1"/>
    <w:basedOn w:val="DefaultParagraphFont"/>
    <w:rsid w:val="00361D98"/>
  </w:style>
  <w:style w:type="paragraph" w:customStyle="1" w:styleId="Default">
    <w:name w:val="Default"/>
    <w:rsid w:val="002712EC"/>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rsid w:val="00F4439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53091231">
      <w:bodyDiv w:val="1"/>
      <w:marLeft w:val="0"/>
      <w:marRight w:val="0"/>
      <w:marTop w:val="0"/>
      <w:marBottom w:val="0"/>
      <w:divBdr>
        <w:top w:val="none" w:sz="0" w:space="0" w:color="auto"/>
        <w:left w:val="none" w:sz="0" w:space="0" w:color="auto"/>
        <w:bottom w:val="none" w:sz="0" w:space="0" w:color="auto"/>
        <w:right w:val="none" w:sz="0" w:space="0" w:color="auto"/>
      </w:divBdr>
      <w:divsChild>
        <w:div w:id="19363141">
          <w:marLeft w:val="0"/>
          <w:marRight w:val="0"/>
          <w:marTop w:val="0"/>
          <w:marBottom w:val="0"/>
          <w:divBdr>
            <w:top w:val="none" w:sz="0" w:space="0" w:color="auto"/>
            <w:left w:val="none" w:sz="0" w:space="0" w:color="auto"/>
            <w:bottom w:val="none" w:sz="0" w:space="0" w:color="auto"/>
            <w:right w:val="none" w:sz="0" w:space="0" w:color="auto"/>
          </w:divBdr>
          <w:divsChild>
            <w:div w:id="831455812">
              <w:marLeft w:val="0"/>
              <w:marRight w:val="0"/>
              <w:marTop w:val="0"/>
              <w:marBottom w:val="1043"/>
              <w:divBdr>
                <w:top w:val="single" w:sz="2" w:space="5" w:color="1F1A17"/>
                <w:left w:val="single" w:sz="4" w:space="13" w:color="1F1A17"/>
                <w:bottom w:val="single" w:sz="4" w:space="31" w:color="1F1A17"/>
                <w:right w:val="single" w:sz="4" w:space="13" w:color="1F1A17"/>
              </w:divBdr>
              <w:divsChild>
                <w:div w:id="1652907459">
                  <w:marLeft w:val="0"/>
                  <w:marRight w:val="0"/>
                  <w:marTop w:val="0"/>
                  <w:marBottom w:val="0"/>
                  <w:divBdr>
                    <w:top w:val="none" w:sz="0" w:space="0" w:color="auto"/>
                    <w:left w:val="none" w:sz="0" w:space="0" w:color="auto"/>
                    <w:bottom w:val="none" w:sz="0" w:space="0" w:color="auto"/>
                    <w:right w:val="none" w:sz="0" w:space="0" w:color="auto"/>
                  </w:divBdr>
                  <w:divsChild>
                    <w:div w:id="1050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49697362">
      <w:bodyDiv w:val="1"/>
      <w:marLeft w:val="0"/>
      <w:marRight w:val="0"/>
      <w:marTop w:val="0"/>
      <w:marBottom w:val="0"/>
      <w:divBdr>
        <w:top w:val="none" w:sz="0" w:space="0" w:color="auto"/>
        <w:left w:val="none" w:sz="0" w:space="0" w:color="auto"/>
        <w:bottom w:val="none" w:sz="0" w:space="0" w:color="auto"/>
        <w:right w:val="none" w:sz="0" w:space="0" w:color="auto"/>
      </w:divBdr>
      <w:divsChild>
        <w:div w:id="1248079906">
          <w:marLeft w:val="0"/>
          <w:marRight w:val="0"/>
          <w:marTop w:val="0"/>
          <w:marBottom w:val="0"/>
          <w:divBdr>
            <w:top w:val="none" w:sz="0" w:space="0" w:color="auto"/>
            <w:left w:val="none" w:sz="0" w:space="0" w:color="auto"/>
            <w:bottom w:val="none" w:sz="0" w:space="0" w:color="auto"/>
            <w:right w:val="none" w:sz="0" w:space="0" w:color="auto"/>
          </w:divBdr>
          <w:divsChild>
            <w:div w:id="1703893627">
              <w:marLeft w:val="240"/>
              <w:marRight w:val="240"/>
              <w:marTop w:val="240"/>
              <w:marBottom w:val="0"/>
              <w:divBdr>
                <w:top w:val="none" w:sz="0" w:space="0" w:color="auto"/>
                <w:left w:val="none" w:sz="0" w:space="0" w:color="auto"/>
                <w:bottom w:val="none" w:sz="0" w:space="0" w:color="auto"/>
                <w:right w:val="none" w:sz="0" w:space="0" w:color="auto"/>
              </w:divBdr>
              <w:divsChild>
                <w:div w:id="4676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6512408">
      <w:bodyDiv w:val="1"/>
      <w:marLeft w:val="0"/>
      <w:marRight w:val="0"/>
      <w:marTop w:val="0"/>
      <w:marBottom w:val="0"/>
      <w:divBdr>
        <w:top w:val="none" w:sz="0" w:space="0" w:color="auto"/>
        <w:left w:val="none" w:sz="0" w:space="0" w:color="auto"/>
        <w:bottom w:val="none" w:sz="0" w:space="0" w:color="auto"/>
        <w:right w:val="none" w:sz="0" w:space="0" w:color="auto"/>
      </w:divBdr>
      <w:divsChild>
        <w:div w:id="1184588217">
          <w:marLeft w:val="0"/>
          <w:marRight w:val="0"/>
          <w:marTop w:val="0"/>
          <w:marBottom w:val="0"/>
          <w:divBdr>
            <w:top w:val="none" w:sz="0" w:space="0" w:color="auto"/>
            <w:left w:val="none" w:sz="0" w:space="0" w:color="auto"/>
            <w:bottom w:val="none" w:sz="0" w:space="0" w:color="auto"/>
            <w:right w:val="none" w:sz="0" w:space="0" w:color="auto"/>
          </w:divBdr>
          <w:divsChild>
            <w:div w:id="1071730935">
              <w:marLeft w:val="240"/>
              <w:marRight w:val="240"/>
              <w:marTop w:val="240"/>
              <w:marBottom w:val="0"/>
              <w:divBdr>
                <w:top w:val="none" w:sz="0" w:space="0" w:color="auto"/>
                <w:left w:val="none" w:sz="0" w:space="0" w:color="auto"/>
                <w:bottom w:val="none" w:sz="0" w:space="0" w:color="auto"/>
                <w:right w:val="none" w:sz="0" w:space="0" w:color="auto"/>
              </w:divBdr>
              <w:divsChild>
                <w:div w:id="9275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86995">
      <w:bodyDiv w:val="1"/>
      <w:marLeft w:val="0"/>
      <w:marRight w:val="0"/>
      <w:marTop w:val="0"/>
      <w:marBottom w:val="0"/>
      <w:divBdr>
        <w:top w:val="none" w:sz="0" w:space="0" w:color="auto"/>
        <w:left w:val="none" w:sz="0" w:space="0" w:color="auto"/>
        <w:bottom w:val="none" w:sz="0" w:space="0" w:color="auto"/>
        <w:right w:val="none" w:sz="0" w:space="0" w:color="auto"/>
      </w:divBdr>
      <w:divsChild>
        <w:div w:id="2109154120">
          <w:marLeft w:val="0"/>
          <w:marRight w:val="0"/>
          <w:marTop w:val="0"/>
          <w:marBottom w:val="0"/>
          <w:divBdr>
            <w:top w:val="none" w:sz="0" w:space="0" w:color="auto"/>
            <w:left w:val="none" w:sz="0" w:space="0" w:color="auto"/>
            <w:bottom w:val="none" w:sz="0" w:space="0" w:color="auto"/>
            <w:right w:val="none" w:sz="0" w:space="0" w:color="auto"/>
          </w:divBdr>
          <w:divsChild>
            <w:div w:id="618217877">
              <w:marLeft w:val="0"/>
              <w:marRight w:val="0"/>
              <w:marTop w:val="0"/>
              <w:marBottom w:val="0"/>
              <w:divBdr>
                <w:top w:val="none" w:sz="0" w:space="0" w:color="auto"/>
                <w:left w:val="none" w:sz="0" w:space="0" w:color="auto"/>
                <w:bottom w:val="none" w:sz="0" w:space="0" w:color="auto"/>
                <w:right w:val="none" w:sz="0" w:space="0" w:color="auto"/>
              </w:divBdr>
              <w:divsChild>
                <w:div w:id="1833833931">
                  <w:marLeft w:val="0"/>
                  <w:marRight w:val="0"/>
                  <w:marTop w:val="0"/>
                  <w:marBottom w:val="0"/>
                  <w:divBdr>
                    <w:top w:val="none" w:sz="0" w:space="0" w:color="auto"/>
                    <w:left w:val="none" w:sz="0" w:space="0" w:color="auto"/>
                    <w:bottom w:val="none" w:sz="0" w:space="0" w:color="auto"/>
                    <w:right w:val="none" w:sz="0" w:space="0" w:color="auto"/>
                  </w:divBdr>
                  <w:divsChild>
                    <w:div w:id="1290352980">
                      <w:marLeft w:val="0"/>
                      <w:marRight w:val="0"/>
                      <w:marTop w:val="0"/>
                      <w:marBottom w:val="0"/>
                      <w:divBdr>
                        <w:top w:val="none" w:sz="0" w:space="0" w:color="auto"/>
                        <w:left w:val="none" w:sz="0" w:space="0" w:color="auto"/>
                        <w:bottom w:val="none" w:sz="0" w:space="0" w:color="auto"/>
                        <w:right w:val="none" w:sz="0" w:space="0" w:color="auto"/>
                      </w:divBdr>
                      <w:divsChild>
                        <w:div w:id="26836439">
                          <w:marLeft w:val="0"/>
                          <w:marRight w:val="0"/>
                          <w:marTop w:val="0"/>
                          <w:marBottom w:val="0"/>
                          <w:divBdr>
                            <w:top w:val="none" w:sz="0" w:space="0" w:color="auto"/>
                            <w:left w:val="none" w:sz="0" w:space="0" w:color="auto"/>
                            <w:bottom w:val="none" w:sz="0" w:space="0" w:color="auto"/>
                            <w:right w:val="none" w:sz="0" w:space="0" w:color="auto"/>
                          </w:divBdr>
                          <w:divsChild>
                            <w:div w:id="1028068080">
                              <w:marLeft w:val="0"/>
                              <w:marRight w:val="0"/>
                              <w:marTop w:val="0"/>
                              <w:marBottom w:val="0"/>
                              <w:divBdr>
                                <w:top w:val="none" w:sz="0" w:space="0" w:color="auto"/>
                                <w:left w:val="none" w:sz="0" w:space="0" w:color="auto"/>
                                <w:bottom w:val="none" w:sz="0" w:space="0" w:color="auto"/>
                                <w:right w:val="none" w:sz="0" w:space="0" w:color="auto"/>
                              </w:divBdr>
                              <w:divsChild>
                                <w:div w:id="699357469">
                                  <w:marLeft w:val="0"/>
                                  <w:marRight w:val="0"/>
                                  <w:marTop w:val="0"/>
                                  <w:marBottom w:val="0"/>
                                  <w:divBdr>
                                    <w:top w:val="none" w:sz="0" w:space="0" w:color="auto"/>
                                    <w:left w:val="none" w:sz="0" w:space="0" w:color="auto"/>
                                    <w:bottom w:val="none" w:sz="0" w:space="0" w:color="auto"/>
                                    <w:right w:val="none" w:sz="0" w:space="0" w:color="auto"/>
                                  </w:divBdr>
                                  <w:divsChild>
                                    <w:div w:id="1496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49695265">
      <w:bodyDiv w:val="1"/>
      <w:marLeft w:val="0"/>
      <w:marRight w:val="0"/>
      <w:marTop w:val="0"/>
      <w:marBottom w:val="0"/>
      <w:divBdr>
        <w:top w:val="none" w:sz="0" w:space="0" w:color="auto"/>
        <w:left w:val="none" w:sz="0" w:space="0" w:color="auto"/>
        <w:bottom w:val="none" w:sz="0" w:space="0" w:color="auto"/>
        <w:right w:val="none" w:sz="0" w:space="0" w:color="auto"/>
      </w:divBdr>
      <w:divsChild>
        <w:div w:id="1381787473">
          <w:marLeft w:val="0"/>
          <w:marRight w:val="0"/>
          <w:marTop w:val="0"/>
          <w:marBottom w:val="0"/>
          <w:divBdr>
            <w:top w:val="none" w:sz="0" w:space="0" w:color="auto"/>
            <w:left w:val="none" w:sz="0" w:space="0" w:color="auto"/>
            <w:bottom w:val="none" w:sz="0" w:space="0" w:color="auto"/>
            <w:right w:val="none" w:sz="0" w:space="0" w:color="auto"/>
          </w:divBdr>
          <w:divsChild>
            <w:div w:id="23212401">
              <w:marLeft w:val="0"/>
              <w:marRight w:val="0"/>
              <w:marTop w:val="0"/>
              <w:marBottom w:val="0"/>
              <w:divBdr>
                <w:top w:val="none" w:sz="0" w:space="0" w:color="auto"/>
                <w:left w:val="none" w:sz="0" w:space="0" w:color="auto"/>
                <w:bottom w:val="none" w:sz="0" w:space="0" w:color="auto"/>
                <w:right w:val="none" w:sz="0" w:space="0" w:color="auto"/>
              </w:divBdr>
              <w:divsChild>
                <w:div w:id="575172139">
                  <w:marLeft w:val="0"/>
                  <w:marRight w:val="0"/>
                  <w:marTop w:val="0"/>
                  <w:marBottom w:val="0"/>
                  <w:divBdr>
                    <w:top w:val="none" w:sz="0" w:space="0" w:color="auto"/>
                    <w:left w:val="none" w:sz="0" w:space="0" w:color="auto"/>
                    <w:bottom w:val="none" w:sz="0" w:space="0" w:color="auto"/>
                    <w:right w:val="none" w:sz="0" w:space="0" w:color="auto"/>
                  </w:divBdr>
                  <w:divsChild>
                    <w:div w:id="956258041">
                      <w:marLeft w:val="0"/>
                      <w:marRight w:val="0"/>
                      <w:marTop w:val="0"/>
                      <w:marBottom w:val="0"/>
                      <w:divBdr>
                        <w:top w:val="none" w:sz="0" w:space="0" w:color="auto"/>
                        <w:left w:val="none" w:sz="0" w:space="0" w:color="auto"/>
                        <w:bottom w:val="none" w:sz="0" w:space="0" w:color="auto"/>
                        <w:right w:val="none" w:sz="0" w:space="0" w:color="auto"/>
                      </w:divBdr>
                      <w:divsChild>
                        <w:div w:id="1781290382">
                          <w:marLeft w:val="0"/>
                          <w:marRight w:val="0"/>
                          <w:marTop w:val="0"/>
                          <w:marBottom w:val="0"/>
                          <w:divBdr>
                            <w:top w:val="none" w:sz="0" w:space="0" w:color="auto"/>
                            <w:left w:val="none" w:sz="0" w:space="0" w:color="auto"/>
                            <w:bottom w:val="none" w:sz="0" w:space="0" w:color="auto"/>
                            <w:right w:val="none" w:sz="0" w:space="0" w:color="auto"/>
                          </w:divBdr>
                          <w:divsChild>
                            <w:div w:id="1481772563">
                              <w:marLeft w:val="0"/>
                              <w:marRight w:val="0"/>
                              <w:marTop w:val="0"/>
                              <w:marBottom w:val="0"/>
                              <w:divBdr>
                                <w:top w:val="none" w:sz="0" w:space="0" w:color="auto"/>
                                <w:left w:val="none" w:sz="0" w:space="0" w:color="auto"/>
                                <w:bottom w:val="none" w:sz="0" w:space="0" w:color="auto"/>
                                <w:right w:val="none" w:sz="0" w:space="0" w:color="auto"/>
                              </w:divBdr>
                              <w:divsChild>
                                <w:div w:id="524171387">
                                  <w:marLeft w:val="0"/>
                                  <w:marRight w:val="0"/>
                                  <w:marTop w:val="0"/>
                                  <w:marBottom w:val="0"/>
                                  <w:divBdr>
                                    <w:top w:val="none" w:sz="0" w:space="0" w:color="auto"/>
                                    <w:left w:val="none" w:sz="0" w:space="0" w:color="auto"/>
                                    <w:bottom w:val="none" w:sz="0" w:space="0" w:color="auto"/>
                                    <w:right w:val="none" w:sz="0" w:space="0" w:color="auto"/>
                                  </w:divBdr>
                                  <w:divsChild>
                                    <w:div w:id="761100808">
                                      <w:marLeft w:val="0"/>
                                      <w:marRight w:val="0"/>
                                      <w:marTop w:val="0"/>
                                      <w:marBottom w:val="0"/>
                                      <w:divBdr>
                                        <w:top w:val="none" w:sz="0" w:space="0" w:color="auto"/>
                                        <w:left w:val="none" w:sz="0" w:space="0" w:color="auto"/>
                                        <w:bottom w:val="none" w:sz="0" w:space="0" w:color="auto"/>
                                        <w:right w:val="none" w:sz="0" w:space="0" w:color="auto"/>
                                      </w:divBdr>
                                      <w:divsChild>
                                        <w:div w:id="1542324739">
                                          <w:marLeft w:val="0"/>
                                          <w:marRight w:val="0"/>
                                          <w:marTop w:val="0"/>
                                          <w:marBottom w:val="0"/>
                                          <w:divBdr>
                                            <w:top w:val="none" w:sz="0" w:space="0" w:color="auto"/>
                                            <w:left w:val="none" w:sz="0" w:space="0" w:color="auto"/>
                                            <w:bottom w:val="none" w:sz="0" w:space="0" w:color="auto"/>
                                            <w:right w:val="none" w:sz="0" w:space="0" w:color="auto"/>
                                          </w:divBdr>
                                        </w:div>
                                        <w:div w:id="825362393">
                                          <w:marLeft w:val="0"/>
                                          <w:marRight w:val="0"/>
                                          <w:marTop w:val="0"/>
                                          <w:marBottom w:val="0"/>
                                          <w:divBdr>
                                            <w:top w:val="none" w:sz="0" w:space="0" w:color="auto"/>
                                            <w:left w:val="none" w:sz="0" w:space="0" w:color="auto"/>
                                            <w:bottom w:val="none" w:sz="0" w:space="0" w:color="auto"/>
                                            <w:right w:val="none" w:sz="0" w:space="0" w:color="auto"/>
                                          </w:divBdr>
                                        </w:div>
                                        <w:div w:id="298726837">
                                          <w:marLeft w:val="0"/>
                                          <w:marRight w:val="0"/>
                                          <w:marTop w:val="0"/>
                                          <w:marBottom w:val="0"/>
                                          <w:divBdr>
                                            <w:top w:val="none" w:sz="0" w:space="0" w:color="auto"/>
                                            <w:left w:val="none" w:sz="0" w:space="0" w:color="auto"/>
                                            <w:bottom w:val="none" w:sz="0" w:space="0" w:color="auto"/>
                                            <w:right w:val="none" w:sz="0" w:space="0" w:color="auto"/>
                                          </w:divBdr>
                                        </w:div>
                                        <w:div w:id="2051954452">
                                          <w:marLeft w:val="0"/>
                                          <w:marRight w:val="0"/>
                                          <w:marTop w:val="0"/>
                                          <w:marBottom w:val="0"/>
                                          <w:divBdr>
                                            <w:top w:val="none" w:sz="0" w:space="0" w:color="auto"/>
                                            <w:left w:val="none" w:sz="0" w:space="0" w:color="auto"/>
                                            <w:bottom w:val="none" w:sz="0" w:space="0" w:color="auto"/>
                                            <w:right w:val="none" w:sz="0" w:space="0" w:color="auto"/>
                                          </w:divBdr>
                                        </w:div>
                                        <w:div w:id="13284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7068986">
      <w:bodyDiv w:val="1"/>
      <w:marLeft w:val="0"/>
      <w:marRight w:val="0"/>
      <w:marTop w:val="0"/>
      <w:marBottom w:val="0"/>
      <w:divBdr>
        <w:top w:val="none" w:sz="0" w:space="0" w:color="auto"/>
        <w:left w:val="none" w:sz="0" w:space="0" w:color="auto"/>
        <w:bottom w:val="none" w:sz="0" w:space="0" w:color="auto"/>
        <w:right w:val="none" w:sz="0" w:space="0" w:color="auto"/>
      </w:divBdr>
      <w:divsChild>
        <w:div w:id="2027094381">
          <w:marLeft w:val="0"/>
          <w:marRight w:val="0"/>
          <w:marTop w:val="0"/>
          <w:marBottom w:val="0"/>
          <w:divBdr>
            <w:top w:val="none" w:sz="0" w:space="0" w:color="auto"/>
            <w:left w:val="none" w:sz="0" w:space="0" w:color="auto"/>
            <w:bottom w:val="none" w:sz="0" w:space="0" w:color="auto"/>
            <w:right w:val="none" w:sz="0" w:space="0" w:color="auto"/>
          </w:divBdr>
          <w:divsChild>
            <w:div w:id="1875969501">
              <w:marLeft w:val="0"/>
              <w:marRight w:val="0"/>
              <w:marTop w:val="0"/>
              <w:marBottom w:val="1220"/>
              <w:divBdr>
                <w:top w:val="single" w:sz="2" w:space="6" w:color="1F1A17"/>
                <w:left w:val="single" w:sz="4" w:space="13" w:color="1F1A17"/>
                <w:bottom w:val="single" w:sz="4" w:space="31" w:color="1F1A17"/>
                <w:right w:val="single" w:sz="4" w:space="13" w:color="1F1A17"/>
              </w:divBdr>
              <w:divsChild>
                <w:div w:id="856768589">
                  <w:marLeft w:val="0"/>
                  <w:marRight w:val="0"/>
                  <w:marTop w:val="0"/>
                  <w:marBottom w:val="0"/>
                  <w:divBdr>
                    <w:top w:val="none" w:sz="0" w:space="0" w:color="auto"/>
                    <w:left w:val="none" w:sz="0" w:space="0" w:color="auto"/>
                    <w:bottom w:val="none" w:sz="0" w:space="0" w:color="auto"/>
                    <w:right w:val="none" w:sz="0" w:space="0" w:color="auto"/>
                  </w:divBdr>
                  <w:divsChild>
                    <w:div w:id="245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1799031">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77230872">
      <w:bodyDiv w:val="1"/>
      <w:marLeft w:val="0"/>
      <w:marRight w:val="0"/>
      <w:marTop w:val="0"/>
      <w:marBottom w:val="0"/>
      <w:divBdr>
        <w:top w:val="none" w:sz="0" w:space="0" w:color="auto"/>
        <w:left w:val="none" w:sz="0" w:space="0" w:color="auto"/>
        <w:bottom w:val="none" w:sz="0" w:space="0" w:color="auto"/>
        <w:right w:val="none" w:sz="0" w:space="0" w:color="auto"/>
      </w:divBdr>
      <w:divsChild>
        <w:div w:id="2004581737">
          <w:marLeft w:val="0"/>
          <w:marRight w:val="0"/>
          <w:marTop w:val="0"/>
          <w:marBottom w:val="0"/>
          <w:divBdr>
            <w:top w:val="none" w:sz="0" w:space="0" w:color="auto"/>
            <w:left w:val="none" w:sz="0" w:space="0" w:color="auto"/>
            <w:bottom w:val="none" w:sz="0" w:space="0" w:color="auto"/>
            <w:right w:val="none" w:sz="0" w:space="0" w:color="auto"/>
          </w:divBdr>
          <w:divsChild>
            <w:div w:id="1628504407">
              <w:marLeft w:val="0"/>
              <w:marRight w:val="0"/>
              <w:marTop w:val="0"/>
              <w:marBottom w:val="0"/>
              <w:divBdr>
                <w:top w:val="none" w:sz="0" w:space="0" w:color="auto"/>
                <w:left w:val="none" w:sz="0" w:space="0" w:color="auto"/>
                <w:bottom w:val="none" w:sz="0" w:space="0" w:color="auto"/>
                <w:right w:val="none" w:sz="0" w:space="0" w:color="auto"/>
              </w:divBdr>
              <w:divsChild>
                <w:div w:id="39482395">
                  <w:marLeft w:val="0"/>
                  <w:marRight w:val="0"/>
                  <w:marTop w:val="0"/>
                  <w:marBottom w:val="0"/>
                  <w:divBdr>
                    <w:top w:val="none" w:sz="0" w:space="0" w:color="auto"/>
                    <w:left w:val="none" w:sz="0" w:space="0" w:color="auto"/>
                    <w:bottom w:val="none" w:sz="0" w:space="0" w:color="auto"/>
                    <w:right w:val="none" w:sz="0" w:space="0" w:color="auto"/>
                  </w:divBdr>
                  <w:divsChild>
                    <w:div w:id="473985496">
                      <w:marLeft w:val="0"/>
                      <w:marRight w:val="0"/>
                      <w:marTop w:val="0"/>
                      <w:marBottom w:val="0"/>
                      <w:divBdr>
                        <w:top w:val="none" w:sz="0" w:space="0" w:color="auto"/>
                        <w:left w:val="none" w:sz="0" w:space="0" w:color="auto"/>
                        <w:bottom w:val="none" w:sz="0" w:space="0" w:color="auto"/>
                        <w:right w:val="none" w:sz="0" w:space="0" w:color="auto"/>
                      </w:divBdr>
                      <w:divsChild>
                        <w:div w:id="999312480">
                          <w:marLeft w:val="0"/>
                          <w:marRight w:val="0"/>
                          <w:marTop w:val="0"/>
                          <w:marBottom w:val="0"/>
                          <w:divBdr>
                            <w:top w:val="none" w:sz="0" w:space="0" w:color="auto"/>
                            <w:left w:val="none" w:sz="0" w:space="0" w:color="auto"/>
                            <w:bottom w:val="none" w:sz="0" w:space="0" w:color="auto"/>
                            <w:right w:val="none" w:sz="0" w:space="0" w:color="auto"/>
                          </w:divBdr>
                          <w:divsChild>
                            <w:div w:id="505023036">
                              <w:marLeft w:val="0"/>
                              <w:marRight w:val="0"/>
                              <w:marTop w:val="0"/>
                              <w:marBottom w:val="0"/>
                              <w:divBdr>
                                <w:top w:val="none" w:sz="0" w:space="0" w:color="auto"/>
                                <w:left w:val="none" w:sz="0" w:space="0" w:color="auto"/>
                                <w:bottom w:val="none" w:sz="0" w:space="0" w:color="auto"/>
                                <w:right w:val="none" w:sz="0" w:space="0" w:color="auto"/>
                              </w:divBdr>
                              <w:divsChild>
                                <w:div w:id="319239416">
                                  <w:marLeft w:val="0"/>
                                  <w:marRight w:val="0"/>
                                  <w:marTop w:val="0"/>
                                  <w:marBottom w:val="0"/>
                                  <w:divBdr>
                                    <w:top w:val="none" w:sz="0" w:space="0" w:color="auto"/>
                                    <w:left w:val="none" w:sz="0" w:space="0" w:color="auto"/>
                                    <w:bottom w:val="none" w:sz="0" w:space="0" w:color="auto"/>
                                    <w:right w:val="none" w:sz="0" w:space="0" w:color="auto"/>
                                  </w:divBdr>
                                  <w:divsChild>
                                    <w:div w:id="178471634">
                                      <w:marLeft w:val="0"/>
                                      <w:marRight w:val="0"/>
                                      <w:marTop w:val="0"/>
                                      <w:marBottom w:val="0"/>
                                      <w:divBdr>
                                        <w:top w:val="none" w:sz="0" w:space="0" w:color="auto"/>
                                        <w:left w:val="none" w:sz="0" w:space="0" w:color="auto"/>
                                        <w:bottom w:val="none" w:sz="0" w:space="0" w:color="auto"/>
                                        <w:right w:val="none" w:sz="0" w:space="0" w:color="auto"/>
                                      </w:divBdr>
                                      <w:divsChild>
                                        <w:div w:id="1239630012">
                                          <w:marLeft w:val="0"/>
                                          <w:marRight w:val="0"/>
                                          <w:marTop w:val="0"/>
                                          <w:marBottom w:val="0"/>
                                          <w:divBdr>
                                            <w:top w:val="none" w:sz="0" w:space="0" w:color="auto"/>
                                            <w:left w:val="none" w:sz="0" w:space="0" w:color="auto"/>
                                            <w:bottom w:val="none" w:sz="0" w:space="0" w:color="auto"/>
                                            <w:right w:val="none" w:sz="0" w:space="0" w:color="auto"/>
                                          </w:divBdr>
                                        </w:div>
                                        <w:div w:id="253973344">
                                          <w:marLeft w:val="0"/>
                                          <w:marRight w:val="0"/>
                                          <w:marTop w:val="0"/>
                                          <w:marBottom w:val="0"/>
                                          <w:divBdr>
                                            <w:top w:val="none" w:sz="0" w:space="0" w:color="auto"/>
                                            <w:left w:val="none" w:sz="0" w:space="0" w:color="auto"/>
                                            <w:bottom w:val="none" w:sz="0" w:space="0" w:color="auto"/>
                                            <w:right w:val="none" w:sz="0" w:space="0" w:color="auto"/>
                                          </w:divBdr>
                                        </w:div>
                                        <w:div w:id="494537624">
                                          <w:marLeft w:val="0"/>
                                          <w:marRight w:val="0"/>
                                          <w:marTop w:val="0"/>
                                          <w:marBottom w:val="0"/>
                                          <w:divBdr>
                                            <w:top w:val="none" w:sz="0" w:space="0" w:color="auto"/>
                                            <w:left w:val="none" w:sz="0" w:space="0" w:color="auto"/>
                                            <w:bottom w:val="none" w:sz="0" w:space="0" w:color="auto"/>
                                            <w:right w:val="none" w:sz="0" w:space="0" w:color="auto"/>
                                          </w:divBdr>
                                        </w:div>
                                        <w:div w:id="1346252556">
                                          <w:marLeft w:val="0"/>
                                          <w:marRight w:val="0"/>
                                          <w:marTop w:val="0"/>
                                          <w:marBottom w:val="0"/>
                                          <w:divBdr>
                                            <w:top w:val="none" w:sz="0" w:space="0" w:color="auto"/>
                                            <w:left w:val="none" w:sz="0" w:space="0" w:color="auto"/>
                                            <w:bottom w:val="none" w:sz="0" w:space="0" w:color="auto"/>
                                            <w:right w:val="none" w:sz="0" w:space="0" w:color="auto"/>
                                          </w:divBdr>
                                        </w:div>
                                        <w:div w:id="772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319578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8825103">
      <w:bodyDiv w:val="1"/>
      <w:marLeft w:val="0"/>
      <w:marRight w:val="0"/>
      <w:marTop w:val="0"/>
      <w:marBottom w:val="0"/>
      <w:divBdr>
        <w:top w:val="none" w:sz="0" w:space="0" w:color="auto"/>
        <w:left w:val="none" w:sz="0" w:space="0" w:color="auto"/>
        <w:bottom w:val="none" w:sz="0" w:space="0" w:color="auto"/>
        <w:right w:val="none" w:sz="0" w:space="0" w:color="auto"/>
      </w:divBdr>
      <w:divsChild>
        <w:div w:id="393696475">
          <w:marLeft w:val="0"/>
          <w:marRight w:val="0"/>
          <w:marTop w:val="0"/>
          <w:marBottom w:val="0"/>
          <w:divBdr>
            <w:top w:val="none" w:sz="0" w:space="0" w:color="auto"/>
            <w:left w:val="none" w:sz="0" w:space="0" w:color="auto"/>
            <w:bottom w:val="none" w:sz="0" w:space="0" w:color="auto"/>
            <w:right w:val="none" w:sz="0" w:space="0" w:color="auto"/>
          </w:divBdr>
          <w:divsChild>
            <w:div w:id="708528931">
              <w:marLeft w:val="0"/>
              <w:marRight w:val="0"/>
              <w:marTop w:val="0"/>
              <w:marBottom w:val="0"/>
              <w:divBdr>
                <w:top w:val="none" w:sz="0" w:space="0" w:color="auto"/>
                <w:left w:val="none" w:sz="0" w:space="0" w:color="auto"/>
                <w:bottom w:val="none" w:sz="0" w:space="0" w:color="auto"/>
                <w:right w:val="none" w:sz="0" w:space="0" w:color="auto"/>
              </w:divBdr>
              <w:divsChild>
                <w:div w:id="1867519696">
                  <w:marLeft w:val="0"/>
                  <w:marRight w:val="0"/>
                  <w:marTop w:val="0"/>
                  <w:marBottom w:val="0"/>
                  <w:divBdr>
                    <w:top w:val="none" w:sz="0" w:space="0" w:color="auto"/>
                    <w:left w:val="none" w:sz="0" w:space="0" w:color="auto"/>
                    <w:bottom w:val="none" w:sz="0" w:space="0" w:color="auto"/>
                    <w:right w:val="none" w:sz="0" w:space="0" w:color="auto"/>
                  </w:divBdr>
                  <w:divsChild>
                    <w:div w:id="936059345">
                      <w:marLeft w:val="0"/>
                      <w:marRight w:val="0"/>
                      <w:marTop w:val="0"/>
                      <w:marBottom w:val="0"/>
                      <w:divBdr>
                        <w:top w:val="none" w:sz="0" w:space="0" w:color="auto"/>
                        <w:left w:val="none" w:sz="0" w:space="0" w:color="auto"/>
                        <w:bottom w:val="none" w:sz="0" w:space="0" w:color="auto"/>
                        <w:right w:val="none" w:sz="0" w:space="0" w:color="auto"/>
                      </w:divBdr>
                      <w:divsChild>
                        <w:div w:id="605432136">
                          <w:marLeft w:val="0"/>
                          <w:marRight w:val="0"/>
                          <w:marTop w:val="0"/>
                          <w:marBottom w:val="0"/>
                          <w:divBdr>
                            <w:top w:val="none" w:sz="0" w:space="0" w:color="auto"/>
                            <w:left w:val="none" w:sz="0" w:space="0" w:color="auto"/>
                            <w:bottom w:val="none" w:sz="0" w:space="0" w:color="auto"/>
                            <w:right w:val="none" w:sz="0" w:space="0" w:color="auto"/>
                          </w:divBdr>
                          <w:divsChild>
                            <w:div w:id="1682274160">
                              <w:marLeft w:val="0"/>
                              <w:marRight w:val="0"/>
                              <w:marTop w:val="0"/>
                              <w:marBottom w:val="0"/>
                              <w:divBdr>
                                <w:top w:val="none" w:sz="0" w:space="0" w:color="auto"/>
                                <w:left w:val="none" w:sz="0" w:space="0" w:color="auto"/>
                                <w:bottom w:val="none" w:sz="0" w:space="0" w:color="auto"/>
                                <w:right w:val="none" w:sz="0" w:space="0" w:color="auto"/>
                              </w:divBdr>
                              <w:divsChild>
                                <w:div w:id="1024671567">
                                  <w:marLeft w:val="0"/>
                                  <w:marRight w:val="0"/>
                                  <w:marTop w:val="0"/>
                                  <w:marBottom w:val="0"/>
                                  <w:divBdr>
                                    <w:top w:val="none" w:sz="0" w:space="0" w:color="auto"/>
                                    <w:left w:val="none" w:sz="0" w:space="0" w:color="auto"/>
                                    <w:bottom w:val="none" w:sz="0" w:space="0" w:color="auto"/>
                                    <w:right w:val="none" w:sz="0" w:space="0" w:color="auto"/>
                                  </w:divBdr>
                                  <w:divsChild>
                                    <w:div w:id="8307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2A2E-75DE-45C0-ADF8-7FC8FF0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3060</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2012-05-21T13:54:00Z</cp:lastPrinted>
  <dcterms:created xsi:type="dcterms:W3CDTF">2012-06-18T19:41:00Z</dcterms:created>
  <dcterms:modified xsi:type="dcterms:W3CDTF">2012-06-18T19:41:00Z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