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B7F7A">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B7F7A">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B7F7A">
      <w:pPr>
        <w:tabs>
          <w:tab w:val="left" w:pos="288"/>
          <w:tab w:val="left" w:pos="4752"/>
        </w:tabs>
        <w:spacing w:line="240" w:lineRule="exact"/>
        <w:jc w:val="both"/>
        <w:rPr>
          <w:rFonts w:asciiTheme="minorHAnsi" w:hAnsiTheme="minorHAnsi"/>
          <w:caps/>
          <w:color w:val="auto"/>
        </w:rPr>
      </w:pPr>
    </w:p>
    <w:p w:rsidR="0082171F" w:rsidRPr="0082171F" w:rsidRDefault="0082171F" w:rsidP="00D6261F">
      <w:pPr>
        <w:tabs>
          <w:tab w:val="left" w:pos="288"/>
          <w:tab w:val="left" w:pos="4752"/>
          <w:tab w:val="left" w:pos="5130"/>
          <w:tab w:val="left" w:pos="9270"/>
        </w:tabs>
        <w:spacing w:line="240" w:lineRule="exact"/>
        <w:rPr>
          <w:rFonts w:asciiTheme="minorHAnsi" w:hAnsiTheme="minorHAnsi"/>
          <w:caps/>
          <w:color w:val="auto"/>
        </w:rPr>
      </w:pPr>
      <w:r w:rsidRPr="0082171F">
        <w:rPr>
          <w:rFonts w:asciiTheme="minorHAnsi" w:hAnsiTheme="minorHAnsi"/>
          <w:caps/>
          <w:color w:val="auto"/>
        </w:rPr>
        <w:t xml:space="preserve">NAME:  </w:t>
      </w:r>
      <w:r w:rsidR="00FE2692">
        <w:rPr>
          <w:rFonts w:asciiTheme="minorHAnsi" w:hAnsiTheme="minorHAnsi"/>
          <w:caps/>
          <w:color w:val="auto"/>
        </w:rPr>
        <w:t xml:space="preserve"> </w:t>
      </w:r>
      <w:r w:rsidRPr="0082171F">
        <w:rPr>
          <w:rFonts w:asciiTheme="minorHAnsi" w:hAnsiTheme="minorHAnsi"/>
          <w:caps/>
          <w:color w:val="auto"/>
        </w:rPr>
        <w:t xml:space="preserve">           </w:t>
      </w:r>
      <w:r w:rsidRPr="0082171F">
        <w:rPr>
          <w:rFonts w:asciiTheme="minorHAnsi" w:hAnsiTheme="minorHAnsi"/>
          <w:caps/>
          <w:color w:val="auto"/>
        </w:rPr>
        <w:tab/>
      </w:r>
      <w:r w:rsidRPr="0082171F">
        <w:rPr>
          <w:rFonts w:asciiTheme="minorHAnsi" w:hAnsiTheme="minorHAnsi"/>
          <w:caps/>
          <w:color w:val="auto"/>
        </w:rPr>
        <w:tab/>
      </w:r>
      <w:r w:rsidR="00F90AAF">
        <w:rPr>
          <w:rFonts w:asciiTheme="minorHAnsi" w:hAnsiTheme="minorHAnsi"/>
          <w:caps/>
          <w:color w:val="auto"/>
        </w:rPr>
        <w:t xml:space="preserve">                       </w:t>
      </w:r>
      <w:r w:rsidRPr="0082171F">
        <w:rPr>
          <w:rFonts w:asciiTheme="minorHAnsi" w:hAnsiTheme="minorHAnsi"/>
          <w:caps/>
          <w:color w:val="auto"/>
        </w:rPr>
        <w:t xml:space="preserve">BRANCH OF SERVICE: </w:t>
      </w:r>
      <w:r w:rsidRPr="009D6747">
        <w:rPr>
          <w:rFonts w:asciiTheme="minorHAnsi" w:hAnsiTheme="minorHAnsi"/>
          <w:caps/>
          <w:color w:val="auto"/>
        </w:rPr>
        <w:t xml:space="preserve"> Army </w:t>
      </w:r>
    </w:p>
    <w:p w:rsidR="0082171F" w:rsidRPr="0082171F" w:rsidRDefault="0082171F" w:rsidP="00D6261F">
      <w:pPr>
        <w:tabs>
          <w:tab w:val="left" w:pos="288"/>
          <w:tab w:val="left" w:pos="4752"/>
          <w:tab w:val="left" w:pos="5130"/>
          <w:tab w:val="left" w:pos="9270"/>
        </w:tabs>
        <w:spacing w:line="240" w:lineRule="exact"/>
        <w:rPr>
          <w:rFonts w:asciiTheme="minorHAnsi" w:hAnsiTheme="minorHAnsi"/>
          <w:caps/>
          <w:color w:val="auto"/>
        </w:rPr>
      </w:pPr>
      <w:r w:rsidRPr="0082171F">
        <w:rPr>
          <w:rFonts w:asciiTheme="minorHAnsi" w:hAnsiTheme="minorHAnsi"/>
          <w:caps/>
          <w:color w:val="auto"/>
        </w:rPr>
        <w:t>CASE NUMBER:  PD</w:t>
      </w:r>
      <w:r w:rsidRPr="009D6747">
        <w:rPr>
          <w:rFonts w:asciiTheme="minorHAnsi" w:hAnsiTheme="minorHAnsi"/>
          <w:caps/>
          <w:color w:val="auto"/>
        </w:rPr>
        <w:t>10</w:t>
      </w:r>
      <w:r w:rsidR="009D6747">
        <w:rPr>
          <w:rFonts w:asciiTheme="minorHAnsi" w:hAnsiTheme="minorHAnsi"/>
          <w:caps/>
          <w:color w:val="auto"/>
        </w:rPr>
        <w:t>01184</w:t>
      </w:r>
      <w:r w:rsidRPr="0082171F">
        <w:rPr>
          <w:rFonts w:asciiTheme="minorHAnsi" w:hAnsiTheme="minorHAnsi"/>
          <w:color w:val="auto"/>
        </w:rPr>
        <w:t xml:space="preserve"> </w:t>
      </w:r>
      <w:r w:rsidR="00B43E56">
        <w:rPr>
          <w:rFonts w:asciiTheme="minorHAnsi" w:hAnsiTheme="minorHAnsi"/>
          <w:color w:val="auto"/>
        </w:rPr>
        <w:tab/>
        <w:t xml:space="preserve">     </w:t>
      </w:r>
      <w:r w:rsidRPr="0082171F">
        <w:rPr>
          <w:rFonts w:asciiTheme="minorHAnsi" w:hAnsiTheme="minorHAnsi"/>
          <w:color w:val="auto"/>
        </w:rPr>
        <w:t xml:space="preserve">  </w:t>
      </w:r>
      <w:r w:rsidR="00F90AAF">
        <w:rPr>
          <w:rFonts w:asciiTheme="minorHAnsi" w:hAnsiTheme="minorHAnsi"/>
          <w:color w:val="auto"/>
        </w:rPr>
        <w:t xml:space="preserve">                       </w:t>
      </w:r>
      <w:r w:rsidRPr="0082171F">
        <w:rPr>
          <w:rFonts w:asciiTheme="minorHAnsi" w:hAnsiTheme="minorHAnsi"/>
          <w:color w:val="auto"/>
        </w:rPr>
        <w:t>SEPARATION DATE:  200</w:t>
      </w:r>
      <w:r w:rsidR="009D6747">
        <w:rPr>
          <w:rFonts w:asciiTheme="minorHAnsi" w:hAnsiTheme="minorHAnsi"/>
          <w:color w:val="auto"/>
        </w:rPr>
        <w:t>30718</w:t>
      </w:r>
    </w:p>
    <w:p w:rsidR="0082171F" w:rsidRPr="0082171F" w:rsidRDefault="0082171F" w:rsidP="00D6261F">
      <w:pPr>
        <w:tabs>
          <w:tab w:val="left" w:pos="288"/>
          <w:tab w:val="left" w:pos="5130"/>
        </w:tabs>
        <w:spacing w:line="240" w:lineRule="exact"/>
        <w:rPr>
          <w:rFonts w:asciiTheme="minorHAnsi" w:hAnsiTheme="minorHAnsi"/>
          <w:color w:val="auto"/>
        </w:rPr>
      </w:pPr>
      <w:r w:rsidRPr="0082171F">
        <w:rPr>
          <w:rFonts w:asciiTheme="minorHAnsi" w:hAnsiTheme="minorHAnsi"/>
          <w:caps/>
          <w:color w:val="auto"/>
        </w:rPr>
        <w:t>BOARD DATE:  201</w:t>
      </w:r>
      <w:r w:rsidR="00E02397">
        <w:rPr>
          <w:rFonts w:asciiTheme="minorHAnsi" w:hAnsiTheme="minorHAnsi"/>
          <w:caps/>
          <w:color w:val="auto"/>
        </w:rPr>
        <w:t>2</w:t>
      </w:r>
      <w:r w:rsidR="00B56055">
        <w:rPr>
          <w:rFonts w:asciiTheme="minorHAnsi" w:hAnsiTheme="minorHAnsi"/>
          <w:caps/>
          <w:color w:val="auto"/>
        </w:rPr>
        <w:t>0125</w:t>
      </w:r>
    </w:p>
    <w:p w:rsidR="0082171F" w:rsidRPr="0082171F" w:rsidRDefault="0082171F" w:rsidP="001B7F7A">
      <w:pPr>
        <w:pBdr>
          <w:bottom w:val="single" w:sz="12" w:space="1" w:color="auto"/>
        </w:pBdr>
        <w:tabs>
          <w:tab w:val="left" w:pos="288"/>
          <w:tab w:val="left" w:pos="4752"/>
        </w:tabs>
        <w:spacing w:line="240" w:lineRule="exact"/>
        <w:jc w:val="both"/>
        <w:rPr>
          <w:rFonts w:asciiTheme="minorHAnsi" w:hAnsiTheme="minorHAnsi"/>
          <w:color w:val="auto"/>
          <w:u w:val="single"/>
        </w:rPr>
      </w:pPr>
    </w:p>
    <w:p w:rsidR="00670B37" w:rsidRDefault="00670B37" w:rsidP="001B7F7A">
      <w:pPr>
        <w:tabs>
          <w:tab w:val="left" w:pos="288"/>
          <w:tab w:val="left" w:pos="4752"/>
        </w:tabs>
        <w:spacing w:line="240" w:lineRule="exact"/>
        <w:jc w:val="both"/>
        <w:rPr>
          <w:rFonts w:asciiTheme="minorHAnsi" w:hAnsiTheme="minorHAnsi"/>
          <w:color w:val="auto"/>
          <w:u w:val="single"/>
        </w:rPr>
      </w:pPr>
    </w:p>
    <w:p w:rsidR="00B51FB2" w:rsidRPr="00B51FB2" w:rsidRDefault="00B51FB2" w:rsidP="001B7F7A">
      <w:pPr>
        <w:tabs>
          <w:tab w:val="left" w:pos="288"/>
          <w:tab w:val="left" w:pos="4752"/>
        </w:tabs>
        <w:spacing w:line="240" w:lineRule="exact"/>
        <w:jc w:val="both"/>
        <w:rPr>
          <w:rFonts w:asciiTheme="minorHAnsi" w:hAnsiTheme="minorHAnsi"/>
          <w:color w:val="auto"/>
        </w:rPr>
      </w:pPr>
      <w:r w:rsidRPr="00B51FB2">
        <w:rPr>
          <w:rFonts w:asciiTheme="minorHAnsi" w:hAnsiTheme="minorHAnsi"/>
          <w:color w:val="auto"/>
          <w:u w:val="single"/>
        </w:rPr>
        <w:t>SUMMARY OF CASE</w:t>
      </w:r>
      <w:r w:rsidRPr="00B51FB2">
        <w:rPr>
          <w:rFonts w:asciiTheme="minorHAnsi" w:hAnsiTheme="minorHAnsi"/>
          <w:color w:val="auto"/>
        </w:rPr>
        <w:t xml:space="preserve">:  Data extracted from the available evidence of record reflects that this covered individual (CI) </w:t>
      </w:r>
      <w:r w:rsidR="009D6747">
        <w:rPr>
          <w:rFonts w:asciiTheme="minorHAnsi" w:hAnsiTheme="minorHAnsi"/>
          <w:color w:val="auto"/>
          <w:szCs w:val="24"/>
        </w:rPr>
        <w:t xml:space="preserve">was an </w:t>
      </w:r>
      <w:r w:rsidR="00506E66">
        <w:rPr>
          <w:rFonts w:asciiTheme="minorHAnsi" w:hAnsiTheme="minorHAnsi"/>
          <w:color w:val="auto"/>
          <w:szCs w:val="24"/>
        </w:rPr>
        <w:t xml:space="preserve">active duty </w:t>
      </w:r>
      <w:r w:rsidR="006A5C4F">
        <w:rPr>
          <w:rFonts w:asciiTheme="minorHAnsi" w:hAnsiTheme="minorHAnsi"/>
          <w:color w:val="auto"/>
          <w:szCs w:val="24"/>
        </w:rPr>
        <w:t>CPL</w:t>
      </w:r>
      <w:r w:rsidR="00670B37">
        <w:rPr>
          <w:rFonts w:asciiTheme="minorHAnsi" w:hAnsiTheme="minorHAnsi"/>
          <w:color w:val="auto"/>
          <w:szCs w:val="24"/>
        </w:rPr>
        <w:t>/</w:t>
      </w:r>
      <w:r w:rsidR="009D6747">
        <w:rPr>
          <w:rFonts w:asciiTheme="minorHAnsi" w:hAnsiTheme="minorHAnsi"/>
          <w:color w:val="auto"/>
          <w:szCs w:val="24"/>
        </w:rPr>
        <w:t>E</w:t>
      </w:r>
      <w:r w:rsidR="00F54D97">
        <w:rPr>
          <w:rFonts w:asciiTheme="minorHAnsi" w:hAnsiTheme="minorHAnsi"/>
          <w:color w:val="auto"/>
          <w:szCs w:val="24"/>
        </w:rPr>
        <w:t>-</w:t>
      </w:r>
      <w:r w:rsidR="009D6747">
        <w:rPr>
          <w:rFonts w:asciiTheme="minorHAnsi" w:hAnsiTheme="minorHAnsi"/>
          <w:color w:val="auto"/>
          <w:szCs w:val="24"/>
        </w:rPr>
        <w:t>4</w:t>
      </w:r>
      <w:r w:rsidRPr="00B51FB2">
        <w:rPr>
          <w:rFonts w:asciiTheme="minorHAnsi" w:hAnsiTheme="minorHAnsi"/>
          <w:color w:val="auto"/>
          <w:szCs w:val="24"/>
        </w:rPr>
        <w:t xml:space="preserve"> (</w:t>
      </w:r>
      <w:r w:rsidR="009D6747">
        <w:rPr>
          <w:rFonts w:asciiTheme="minorHAnsi" w:hAnsiTheme="minorHAnsi"/>
          <w:color w:val="auto"/>
          <w:szCs w:val="24"/>
        </w:rPr>
        <w:t>31U, Communication &amp; Electronics</w:t>
      </w:r>
      <w:r w:rsidR="00D6261F">
        <w:rPr>
          <w:rFonts w:asciiTheme="minorHAnsi" w:hAnsiTheme="minorHAnsi"/>
          <w:color w:val="auto"/>
          <w:szCs w:val="24"/>
        </w:rPr>
        <w:t xml:space="preserve"> Repair</w:t>
      </w:r>
      <w:r w:rsidR="00670B37">
        <w:rPr>
          <w:rFonts w:asciiTheme="minorHAnsi" w:hAnsiTheme="minorHAnsi"/>
          <w:color w:val="auto"/>
          <w:szCs w:val="24"/>
        </w:rPr>
        <w:t xml:space="preserve">) </w:t>
      </w:r>
      <w:r w:rsidRPr="00B51FB2">
        <w:rPr>
          <w:rFonts w:asciiTheme="minorHAnsi" w:hAnsiTheme="minorHAnsi"/>
          <w:color w:val="auto"/>
          <w:szCs w:val="24"/>
        </w:rPr>
        <w:t xml:space="preserve">medically separated for </w:t>
      </w:r>
      <w:r w:rsidR="009D6747">
        <w:rPr>
          <w:rFonts w:asciiTheme="minorHAnsi" w:hAnsiTheme="minorHAnsi"/>
          <w:color w:val="auto"/>
          <w:szCs w:val="24"/>
        </w:rPr>
        <w:t xml:space="preserve">knee pain, </w:t>
      </w:r>
      <w:r w:rsidR="00E90753">
        <w:rPr>
          <w:rFonts w:asciiTheme="minorHAnsi" w:hAnsiTheme="minorHAnsi"/>
          <w:color w:val="auto"/>
          <w:szCs w:val="24"/>
        </w:rPr>
        <w:t xml:space="preserve">and </w:t>
      </w:r>
      <w:r w:rsidR="00D6261F">
        <w:rPr>
          <w:rFonts w:asciiTheme="minorHAnsi" w:hAnsiTheme="minorHAnsi"/>
          <w:color w:val="auto"/>
          <w:szCs w:val="24"/>
        </w:rPr>
        <w:t>neck</w:t>
      </w:r>
      <w:r w:rsidR="00E90753">
        <w:rPr>
          <w:rFonts w:asciiTheme="minorHAnsi" w:hAnsiTheme="minorHAnsi"/>
          <w:color w:val="auto"/>
          <w:szCs w:val="24"/>
        </w:rPr>
        <w:t xml:space="preserve">/upper </w:t>
      </w:r>
      <w:r w:rsidR="00D6261F">
        <w:rPr>
          <w:rFonts w:asciiTheme="minorHAnsi" w:hAnsiTheme="minorHAnsi"/>
          <w:color w:val="auto"/>
          <w:szCs w:val="24"/>
        </w:rPr>
        <w:t>back</w:t>
      </w:r>
      <w:r w:rsidR="008C32FE">
        <w:rPr>
          <w:rFonts w:asciiTheme="minorHAnsi" w:hAnsiTheme="minorHAnsi"/>
          <w:color w:val="auto"/>
          <w:szCs w:val="24"/>
        </w:rPr>
        <w:t>/left arm</w:t>
      </w:r>
      <w:r w:rsidR="00E90753">
        <w:rPr>
          <w:rFonts w:asciiTheme="minorHAnsi" w:hAnsiTheme="minorHAnsi"/>
          <w:color w:val="auto"/>
          <w:szCs w:val="24"/>
        </w:rPr>
        <w:t xml:space="preserve"> pain.  </w:t>
      </w:r>
      <w:r w:rsidR="00B56055">
        <w:rPr>
          <w:rFonts w:asciiTheme="minorHAnsi" w:hAnsiTheme="minorHAnsi"/>
          <w:color w:val="auto"/>
          <w:szCs w:val="24"/>
        </w:rPr>
        <w:t xml:space="preserve">He was treated, but did not respond adequately to fully perform his military duties or meet physical fitness standards.  He underwent a Medical Evaluation Board (MEB).  </w:t>
      </w:r>
      <w:r w:rsidR="00D6261F">
        <w:rPr>
          <w:rFonts w:asciiTheme="minorHAnsi" w:hAnsiTheme="minorHAnsi"/>
          <w:color w:val="auto"/>
          <w:szCs w:val="24"/>
        </w:rPr>
        <w:t>O</w:t>
      </w:r>
      <w:r w:rsidR="0065449B">
        <w:rPr>
          <w:rFonts w:asciiTheme="minorHAnsi" w:hAnsiTheme="minorHAnsi"/>
          <w:color w:val="auto"/>
          <w:szCs w:val="24"/>
        </w:rPr>
        <w:t xml:space="preserve">steoarthritis </w:t>
      </w:r>
      <w:r w:rsidR="00D6261F">
        <w:rPr>
          <w:rFonts w:asciiTheme="minorHAnsi" w:hAnsiTheme="minorHAnsi"/>
          <w:color w:val="auto"/>
          <w:szCs w:val="24"/>
        </w:rPr>
        <w:t xml:space="preserve">(OA) </w:t>
      </w:r>
      <w:r w:rsidR="0065449B">
        <w:rPr>
          <w:rFonts w:asciiTheme="minorHAnsi" w:hAnsiTheme="minorHAnsi"/>
          <w:color w:val="auto"/>
          <w:szCs w:val="24"/>
        </w:rPr>
        <w:t>of the knee</w:t>
      </w:r>
      <w:r w:rsidR="00D6261F">
        <w:rPr>
          <w:rFonts w:asciiTheme="minorHAnsi" w:hAnsiTheme="minorHAnsi"/>
          <w:color w:val="auto"/>
          <w:szCs w:val="24"/>
        </w:rPr>
        <w:t>s</w:t>
      </w:r>
      <w:r w:rsidR="0065449B">
        <w:rPr>
          <w:rFonts w:asciiTheme="minorHAnsi" w:hAnsiTheme="minorHAnsi"/>
          <w:color w:val="auto"/>
          <w:szCs w:val="24"/>
        </w:rPr>
        <w:t>, cervicalgia</w:t>
      </w:r>
      <w:r w:rsidR="00D6261F">
        <w:rPr>
          <w:rFonts w:asciiTheme="minorHAnsi" w:hAnsiTheme="minorHAnsi"/>
          <w:color w:val="auto"/>
          <w:szCs w:val="24"/>
        </w:rPr>
        <w:t xml:space="preserve">, </w:t>
      </w:r>
      <w:r w:rsidR="0065449B">
        <w:rPr>
          <w:rFonts w:asciiTheme="minorHAnsi" w:hAnsiTheme="minorHAnsi"/>
          <w:color w:val="auto"/>
          <w:szCs w:val="24"/>
        </w:rPr>
        <w:t>cervical radiculopathy, thoracic disk degeneration</w:t>
      </w:r>
      <w:r w:rsidR="00D6261F">
        <w:rPr>
          <w:rFonts w:asciiTheme="minorHAnsi" w:hAnsiTheme="minorHAnsi"/>
          <w:color w:val="auto"/>
          <w:szCs w:val="24"/>
        </w:rPr>
        <w:t>,</w:t>
      </w:r>
      <w:r w:rsidR="0065449B">
        <w:rPr>
          <w:rFonts w:asciiTheme="minorHAnsi" w:hAnsiTheme="minorHAnsi"/>
          <w:color w:val="auto"/>
          <w:szCs w:val="24"/>
        </w:rPr>
        <w:t xml:space="preserve"> limb pain</w:t>
      </w:r>
      <w:r w:rsidR="008C32FE">
        <w:rPr>
          <w:rFonts w:asciiTheme="minorHAnsi" w:hAnsiTheme="minorHAnsi"/>
          <w:color w:val="auto"/>
          <w:szCs w:val="24"/>
        </w:rPr>
        <w:t>, and testicular pain with erectile dysfunction</w:t>
      </w:r>
      <w:r w:rsidR="0065449B">
        <w:rPr>
          <w:rFonts w:asciiTheme="minorHAnsi" w:hAnsiTheme="minorHAnsi"/>
          <w:color w:val="auto"/>
          <w:szCs w:val="24"/>
        </w:rPr>
        <w:t xml:space="preserve"> </w:t>
      </w:r>
      <w:r w:rsidRPr="0065449B">
        <w:rPr>
          <w:rFonts w:asciiTheme="minorHAnsi" w:hAnsiTheme="minorHAnsi"/>
          <w:color w:val="auto"/>
          <w:szCs w:val="24"/>
        </w:rPr>
        <w:t>were</w:t>
      </w:r>
      <w:r w:rsidRPr="00B51FB2">
        <w:rPr>
          <w:rFonts w:asciiTheme="minorHAnsi" w:hAnsiTheme="minorHAnsi"/>
          <w:color w:val="auto"/>
          <w:szCs w:val="24"/>
        </w:rPr>
        <w:t xml:space="preserve"> forwarded to the Physical Evaluation Board (PEB) as medically unacceptable </w:t>
      </w:r>
      <w:r w:rsidRPr="0065449B">
        <w:rPr>
          <w:rFonts w:asciiTheme="minorHAnsi" w:hAnsiTheme="minorHAnsi"/>
          <w:color w:val="auto"/>
          <w:szCs w:val="24"/>
        </w:rPr>
        <w:t>IAW AR 40-501</w:t>
      </w:r>
      <w:r w:rsidR="0065449B" w:rsidRPr="0065449B">
        <w:rPr>
          <w:rFonts w:asciiTheme="minorHAnsi" w:hAnsiTheme="minorHAnsi"/>
          <w:color w:val="auto"/>
          <w:szCs w:val="24"/>
        </w:rPr>
        <w:t>.</w:t>
      </w:r>
      <w:r w:rsidR="0065449B">
        <w:rPr>
          <w:rFonts w:asciiTheme="minorHAnsi" w:hAnsiTheme="minorHAnsi"/>
          <w:color w:val="auto"/>
          <w:szCs w:val="24"/>
        </w:rPr>
        <w:t xml:space="preserve">  One </w:t>
      </w:r>
      <w:r w:rsidRPr="00B51FB2">
        <w:rPr>
          <w:rFonts w:asciiTheme="minorHAnsi" w:hAnsiTheme="minorHAnsi"/>
          <w:color w:val="auto"/>
          <w:szCs w:val="24"/>
        </w:rPr>
        <w:t>other condition</w:t>
      </w:r>
      <w:r w:rsidR="00D6261F">
        <w:rPr>
          <w:rFonts w:asciiTheme="minorHAnsi" w:hAnsiTheme="minorHAnsi"/>
          <w:color w:val="auto"/>
          <w:szCs w:val="24"/>
        </w:rPr>
        <w:t xml:space="preserve"> (migraine headache)</w:t>
      </w:r>
      <w:r w:rsidRPr="00B51FB2">
        <w:rPr>
          <w:rFonts w:asciiTheme="minorHAnsi" w:hAnsiTheme="minorHAnsi"/>
          <w:color w:val="auto"/>
          <w:szCs w:val="24"/>
        </w:rPr>
        <w:t xml:space="preserve"> </w:t>
      </w:r>
      <w:r w:rsidR="0065449B">
        <w:rPr>
          <w:rFonts w:asciiTheme="minorHAnsi" w:hAnsiTheme="minorHAnsi"/>
          <w:color w:val="auto"/>
          <w:szCs w:val="24"/>
        </w:rPr>
        <w:t>was</w:t>
      </w:r>
      <w:r w:rsidRPr="00B51FB2">
        <w:rPr>
          <w:rFonts w:asciiTheme="minorHAnsi" w:hAnsiTheme="minorHAnsi"/>
          <w:color w:val="auto"/>
          <w:szCs w:val="24"/>
        </w:rPr>
        <w:t xml:space="preserve"> </w:t>
      </w:r>
      <w:r w:rsidR="00D6261F">
        <w:rPr>
          <w:rFonts w:asciiTheme="minorHAnsi" w:hAnsiTheme="minorHAnsi"/>
          <w:color w:val="auto"/>
          <w:szCs w:val="24"/>
        </w:rPr>
        <w:t xml:space="preserve">listed on the DA Form 3947 as </w:t>
      </w:r>
      <w:r w:rsidR="00670B37">
        <w:rPr>
          <w:rFonts w:asciiTheme="minorHAnsi" w:hAnsiTheme="minorHAnsi"/>
          <w:color w:val="auto"/>
          <w:szCs w:val="24"/>
        </w:rPr>
        <w:t>medically acceptable</w:t>
      </w:r>
      <w:r w:rsidRPr="00B51FB2">
        <w:rPr>
          <w:rFonts w:asciiTheme="minorHAnsi" w:hAnsiTheme="minorHAnsi"/>
          <w:color w:val="auto"/>
          <w:szCs w:val="24"/>
        </w:rPr>
        <w:t>.</w:t>
      </w:r>
      <w:r w:rsidR="0065449B">
        <w:rPr>
          <w:rFonts w:asciiTheme="minorHAnsi" w:hAnsiTheme="minorHAnsi"/>
          <w:color w:val="auto"/>
          <w:szCs w:val="24"/>
        </w:rPr>
        <w:t xml:space="preserve">  </w:t>
      </w:r>
      <w:r w:rsidR="00B56055">
        <w:rPr>
          <w:rFonts w:asciiTheme="minorHAnsi" w:hAnsiTheme="minorHAnsi"/>
          <w:color w:val="auto"/>
          <w:szCs w:val="24"/>
        </w:rPr>
        <w:t>The PEB found</w:t>
      </w:r>
      <w:r w:rsidRPr="00B51FB2">
        <w:rPr>
          <w:rFonts w:asciiTheme="minorHAnsi" w:hAnsiTheme="minorHAnsi"/>
          <w:color w:val="auto"/>
          <w:szCs w:val="24"/>
        </w:rPr>
        <w:t xml:space="preserve"> the </w:t>
      </w:r>
      <w:r w:rsidR="0065449B">
        <w:rPr>
          <w:rFonts w:asciiTheme="minorHAnsi" w:hAnsiTheme="minorHAnsi"/>
          <w:color w:val="auto"/>
          <w:szCs w:val="24"/>
        </w:rPr>
        <w:t xml:space="preserve">knee </w:t>
      </w:r>
      <w:r w:rsidRPr="0065449B">
        <w:rPr>
          <w:rFonts w:asciiTheme="minorHAnsi" w:hAnsiTheme="minorHAnsi"/>
          <w:color w:val="auto"/>
          <w:szCs w:val="24"/>
        </w:rPr>
        <w:t xml:space="preserve">condition </w:t>
      </w:r>
      <w:r w:rsidR="004943A0">
        <w:rPr>
          <w:rFonts w:asciiTheme="minorHAnsi" w:hAnsiTheme="minorHAnsi"/>
          <w:color w:val="auto"/>
          <w:szCs w:val="24"/>
        </w:rPr>
        <w:t xml:space="preserve">unfitting </w:t>
      </w:r>
      <w:r w:rsidRPr="0065449B">
        <w:rPr>
          <w:rFonts w:asciiTheme="minorHAnsi" w:hAnsiTheme="minorHAnsi"/>
          <w:color w:val="auto"/>
          <w:szCs w:val="24"/>
        </w:rPr>
        <w:t xml:space="preserve">and </w:t>
      </w:r>
      <w:r w:rsidR="00D6261F">
        <w:rPr>
          <w:rFonts w:asciiTheme="minorHAnsi" w:hAnsiTheme="minorHAnsi"/>
          <w:color w:val="auto"/>
          <w:szCs w:val="24"/>
        </w:rPr>
        <w:t>the neck</w:t>
      </w:r>
      <w:r w:rsidR="00685F2E">
        <w:rPr>
          <w:rFonts w:asciiTheme="minorHAnsi" w:hAnsiTheme="minorHAnsi"/>
          <w:color w:val="auto"/>
          <w:szCs w:val="24"/>
        </w:rPr>
        <w:t>/</w:t>
      </w:r>
      <w:r w:rsidR="0065449B">
        <w:rPr>
          <w:rFonts w:asciiTheme="minorHAnsi" w:hAnsiTheme="minorHAnsi"/>
          <w:color w:val="auto"/>
          <w:szCs w:val="24"/>
        </w:rPr>
        <w:t xml:space="preserve">upper </w:t>
      </w:r>
      <w:r w:rsidR="00D6261F">
        <w:rPr>
          <w:rFonts w:asciiTheme="minorHAnsi" w:hAnsiTheme="minorHAnsi"/>
          <w:color w:val="auto"/>
          <w:szCs w:val="24"/>
        </w:rPr>
        <w:t>back</w:t>
      </w:r>
      <w:r w:rsidR="008C32FE">
        <w:rPr>
          <w:rFonts w:asciiTheme="minorHAnsi" w:hAnsiTheme="minorHAnsi"/>
          <w:color w:val="auto"/>
          <w:szCs w:val="24"/>
        </w:rPr>
        <w:t>/limb</w:t>
      </w:r>
      <w:r w:rsidR="0065449B">
        <w:rPr>
          <w:rFonts w:asciiTheme="minorHAnsi" w:hAnsiTheme="minorHAnsi"/>
          <w:color w:val="auto"/>
          <w:szCs w:val="24"/>
        </w:rPr>
        <w:t xml:space="preserve"> pain</w:t>
      </w:r>
      <w:r w:rsidRPr="0065449B">
        <w:rPr>
          <w:rFonts w:asciiTheme="minorHAnsi" w:hAnsiTheme="minorHAnsi"/>
          <w:color w:val="auto"/>
          <w:szCs w:val="24"/>
        </w:rPr>
        <w:t xml:space="preserve"> condition </w:t>
      </w:r>
      <w:r w:rsidRPr="00B51FB2">
        <w:rPr>
          <w:rFonts w:asciiTheme="minorHAnsi" w:hAnsiTheme="minorHAnsi"/>
          <w:color w:val="auto"/>
          <w:szCs w:val="24"/>
        </w:rPr>
        <w:t xml:space="preserve">unfitting, </w:t>
      </w:r>
      <w:r w:rsidR="00B56055">
        <w:rPr>
          <w:rFonts w:asciiTheme="minorHAnsi" w:hAnsiTheme="minorHAnsi"/>
          <w:color w:val="auto"/>
          <w:szCs w:val="24"/>
        </w:rPr>
        <w:t xml:space="preserve">and </w:t>
      </w:r>
      <w:r w:rsidRPr="0065449B">
        <w:rPr>
          <w:rFonts w:asciiTheme="minorHAnsi" w:hAnsiTheme="minorHAnsi"/>
          <w:color w:val="auto"/>
          <w:szCs w:val="24"/>
        </w:rPr>
        <w:t xml:space="preserve">rated </w:t>
      </w:r>
      <w:r w:rsidR="00D6261F">
        <w:rPr>
          <w:rFonts w:asciiTheme="minorHAnsi" w:hAnsiTheme="minorHAnsi"/>
          <w:color w:val="auto"/>
          <w:szCs w:val="24"/>
        </w:rPr>
        <w:t xml:space="preserve">them </w:t>
      </w:r>
      <w:r w:rsidR="0065449B">
        <w:rPr>
          <w:rFonts w:asciiTheme="minorHAnsi" w:hAnsiTheme="minorHAnsi"/>
          <w:color w:val="auto"/>
          <w:szCs w:val="24"/>
        </w:rPr>
        <w:t>10% and 0</w:t>
      </w:r>
      <w:r w:rsidR="00B56055">
        <w:rPr>
          <w:rFonts w:asciiTheme="minorHAnsi" w:hAnsiTheme="minorHAnsi"/>
          <w:color w:val="auto"/>
          <w:szCs w:val="24"/>
        </w:rPr>
        <w:t>% respectively.</w:t>
      </w:r>
      <w:r w:rsidR="00506E66">
        <w:rPr>
          <w:rFonts w:asciiTheme="minorHAnsi" w:hAnsiTheme="minorHAnsi"/>
          <w:color w:val="auto"/>
          <w:szCs w:val="24"/>
        </w:rPr>
        <w:t xml:space="preserve">  </w:t>
      </w:r>
      <w:r w:rsidRPr="00B51FB2">
        <w:rPr>
          <w:rFonts w:asciiTheme="minorHAnsi" w:hAnsiTheme="minorHAnsi"/>
          <w:color w:val="auto"/>
        </w:rPr>
        <w:t>The CI mad</w:t>
      </w:r>
      <w:r w:rsidR="00B56055">
        <w:rPr>
          <w:rFonts w:asciiTheme="minorHAnsi" w:hAnsiTheme="minorHAnsi"/>
          <w:color w:val="auto"/>
        </w:rPr>
        <w:t xml:space="preserve">e no appeals, and was thus </w:t>
      </w:r>
      <w:r w:rsidRPr="00B51FB2">
        <w:rPr>
          <w:rFonts w:asciiTheme="minorHAnsi" w:hAnsiTheme="minorHAnsi"/>
          <w:color w:val="auto"/>
        </w:rPr>
        <w:t xml:space="preserve">separated with a </w:t>
      </w:r>
      <w:r w:rsidR="0065449B">
        <w:rPr>
          <w:rFonts w:asciiTheme="minorHAnsi" w:hAnsiTheme="minorHAnsi"/>
          <w:color w:val="auto"/>
        </w:rPr>
        <w:t>10</w:t>
      </w:r>
      <w:r w:rsidRPr="00B51FB2">
        <w:rPr>
          <w:rFonts w:asciiTheme="minorHAnsi" w:hAnsiTheme="minorHAnsi"/>
          <w:color w:val="auto"/>
        </w:rPr>
        <w:t xml:space="preserve">% combined </w:t>
      </w:r>
      <w:r w:rsidR="00F54D97">
        <w:rPr>
          <w:rFonts w:asciiTheme="minorHAnsi" w:hAnsiTheme="minorHAnsi"/>
          <w:color w:val="auto"/>
        </w:rPr>
        <w:t>disability rating</w:t>
      </w:r>
      <w:r w:rsidR="00B56055">
        <w:rPr>
          <w:rFonts w:asciiTheme="minorHAnsi" w:hAnsiTheme="minorHAnsi"/>
          <w:color w:val="auto"/>
        </w:rPr>
        <w:t>.</w:t>
      </w:r>
    </w:p>
    <w:p w:rsidR="00106AD8" w:rsidRPr="00CD5BD7" w:rsidRDefault="00106AD8" w:rsidP="001B7F7A">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B7F7A">
      <w:pPr>
        <w:tabs>
          <w:tab w:val="left" w:pos="288"/>
          <w:tab w:val="left" w:pos="4752"/>
        </w:tabs>
        <w:spacing w:line="240" w:lineRule="exact"/>
        <w:rPr>
          <w:rFonts w:ascii="Calibri" w:hAnsi="Calibri"/>
          <w:color w:val="000080"/>
          <w:szCs w:val="24"/>
        </w:rPr>
      </w:pPr>
    </w:p>
    <w:p w:rsidR="00AA1ED0" w:rsidRPr="00326C08" w:rsidRDefault="002C6E5B" w:rsidP="001B7F7A">
      <w:pPr>
        <w:tabs>
          <w:tab w:val="left" w:pos="288"/>
          <w:tab w:val="left" w:pos="4752"/>
        </w:tabs>
        <w:spacing w:line="240" w:lineRule="exact"/>
        <w:jc w:val="both"/>
        <w:rPr>
          <w:rFonts w:asciiTheme="minorHAnsi" w:hAnsiTheme="minorHAnsi"/>
          <w:i/>
          <w:color w:val="auto"/>
          <w:szCs w:val="24"/>
        </w:rPr>
      </w:pPr>
      <w:r w:rsidRPr="00326C08">
        <w:rPr>
          <w:rFonts w:asciiTheme="minorHAnsi" w:hAnsiTheme="minorHAnsi"/>
          <w:color w:val="auto"/>
          <w:u w:val="single"/>
        </w:rPr>
        <w:t>CI CONTENTION</w:t>
      </w:r>
      <w:r w:rsidR="00B56055">
        <w:rPr>
          <w:rFonts w:asciiTheme="minorHAnsi" w:hAnsiTheme="minorHAnsi"/>
          <w:color w:val="auto"/>
        </w:rPr>
        <w:t xml:space="preserve">:  </w:t>
      </w:r>
      <w:r w:rsidR="005540B8">
        <w:rPr>
          <w:rFonts w:asciiTheme="minorHAnsi" w:hAnsiTheme="minorHAnsi"/>
          <w:color w:val="auto"/>
          <w:szCs w:val="24"/>
        </w:rPr>
        <w:t>The CI states,</w:t>
      </w:r>
      <w:r w:rsidR="0044203D">
        <w:rPr>
          <w:rFonts w:asciiTheme="minorHAnsi" w:hAnsiTheme="minorHAnsi"/>
          <w:color w:val="auto"/>
          <w:szCs w:val="24"/>
        </w:rPr>
        <w:t xml:space="preserve"> </w:t>
      </w:r>
      <w:r w:rsidR="00E25ECA">
        <w:rPr>
          <w:rFonts w:asciiTheme="minorHAnsi" w:hAnsiTheme="minorHAnsi"/>
          <w:color w:val="auto"/>
          <w:szCs w:val="24"/>
        </w:rPr>
        <w:t>“Issue 1 (Knee Condition, MEB diagnosis 1), The PEB deemed both my knees unfitting and rated them a combined 10</w:t>
      </w:r>
      <w:r w:rsidR="00670B37">
        <w:rPr>
          <w:rFonts w:asciiTheme="minorHAnsi" w:hAnsiTheme="minorHAnsi"/>
          <w:color w:val="auto"/>
          <w:szCs w:val="24"/>
        </w:rPr>
        <w:t>% disabling.  The VA rated the s</w:t>
      </w:r>
      <w:r w:rsidR="00E25ECA">
        <w:rPr>
          <w:rFonts w:asciiTheme="minorHAnsi" w:hAnsiTheme="minorHAnsi"/>
          <w:color w:val="auto"/>
          <w:szCs w:val="24"/>
        </w:rPr>
        <w:t>ame knee condition at 20% disability effective the date of separation from the Army.  The PDBR should rate my unfitting knee conditions as 20% disabling.  No doubt my Army PEB limited the rating on my knees to internal and illegal Army rating criteria that were non-compliant with the Veterans</w:t>
      </w:r>
      <w:r w:rsidR="00115192">
        <w:rPr>
          <w:rFonts w:asciiTheme="minorHAnsi" w:hAnsiTheme="minorHAnsi"/>
          <w:color w:val="auto"/>
          <w:szCs w:val="24"/>
        </w:rPr>
        <w:t>’</w:t>
      </w:r>
      <w:r w:rsidR="00E25ECA">
        <w:rPr>
          <w:rFonts w:asciiTheme="minorHAnsi" w:hAnsiTheme="minorHAnsi"/>
          <w:color w:val="auto"/>
          <w:szCs w:val="24"/>
        </w:rPr>
        <w:t xml:space="preserve"> Administration Schedule </w:t>
      </w:r>
      <w:r w:rsidR="00670B37">
        <w:rPr>
          <w:rFonts w:asciiTheme="minorHAnsi" w:hAnsiTheme="minorHAnsi"/>
          <w:color w:val="auto"/>
          <w:szCs w:val="24"/>
        </w:rPr>
        <w:t>for Rating Disabilities (VA</w:t>
      </w:r>
      <w:r w:rsidR="003974C8">
        <w:rPr>
          <w:rFonts w:asciiTheme="minorHAnsi" w:hAnsiTheme="minorHAnsi"/>
          <w:color w:val="auto"/>
          <w:szCs w:val="24"/>
        </w:rPr>
        <w:t>S</w:t>
      </w:r>
      <w:r w:rsidR="00670B37">
        <w:rPr>
          <w:rFonts w:asciiTheme="minorHAnsi" w:hAnsiTheme="minorHAnsi"/>
          <w:color w:val="auto"/>
          <w:szCs w:val="24"/>
        </w:rPr>
        <w:t>R</w:t>
      </w:r>
      <w:r w:rsidR="003974C8">
        <w:rPr>
          <w:rFonts w:asciiTheme="minorHAnsi" w:hAnsiTheme="minorHAnsi"/>
          <w:color w:val="auto"/>
          <w:szCs w:val="24"/>
        </w:rPr>
        <w:t>D).</w:t>
      </w:r>
      <w:r w:rsidR="00670B37">
        <w:rPr>
          <w:rFonts w:asciiTheme="minorHAnsi" w:hAnsiTheme="minorHAnsi"/>
          <w:color w:val="auto"/>
          <w:szCs w:val="24"/>
        </w:rPr>
        <w:t xml:space="preserve"> </w:t>
      </w:r>
      <w:r w:rsidR="00E25ECA">
        <w:rPr>
          <w:rFonts w:asciiTheme="minorHAnsi" w:hAnsiTheme="minorHAnsi"/>
          <w:color w:val="auto"/>
          <w:szCs w:val="24"/>
        </w:rPr>
        <w:t xml:space="preserve"> </w:t>
      </w:r>
      <w:r w:rsidR="003974C8">
        <w:rPr>
          <w:rFonts w:asciiTheme="minorHAnsi" w:hAnsiTheme="minorHAnsi"/>
          <w:color w:val="auto"/>
          <w:szCs w:val="24"/>
        </w:rPr>
        <w:t>Further,</w:t>
      </w:r>
      <w:r w:rsidR="00E25ECA">
        <w:rPr>
          <w:rFonts w:asciiTheme="minorHAnsi" w:hAnsiTheme="minorHAnsi"/>
          <w:color w:val="auto"/>
          <w:szCs w:val="24"/>
        </w:rPr>
        <w:t xml:space="preserve"> the range of motion studies I received</w:t>
      </w:r>
      <w:r w:rsidR="00506E66">
        <w:rPr>
          <w:rFonts w:asciiTheme="minorHAnsi" w:hAnsiTheme="minorHAnsi"/>
          <w:color w:val="auto"/>
          <w:szCs w:val="24"/>
        </w:rPr>
        <w:t xml:space="preserve"> did not account for or</w:t>
      </w:r>
      <w:r w:rsidR="00E25ECA">
        <w:rPr>
          <w:rFonts w:asciiTheme="minorHAnsi" w:hAnsiTheme="minorHAnsi"/>
          <w:color w:val="auto"/>
          <w:szCs w:val="24"/>
        </w:rPr>
        <w:t xml:space="preserve"> measure the pain on movement as required.  It appears that Army PEB</w:t>
      </w:r>
      <w:r w:rsidR="003974C8">
        <w:rPr>
          <w:rFonts w:asciiTheme="minorHAnsi" w:hAnsiTheme="minorHAnsi"/>
          <w:color w:val="auto"/>
          <w:szCs w:val="24"/>
        </w:rPr>
        <w:t xml:space="preserve"> applied illegal rating criteria of AR 635-40 provision B-29e, further described below</w:t>
      </w:r>
      <w:r w:rsidR="0044203D">
        <w:rPr>
          <w:rFonts w:asciiTheme="minorHAnsi" w:hAnsiTheme="minorHAnsi"/>
          <w:color w:val="auto"/>
          <w:szCs w:val="24"/>
        </w:rPr>
        <w:t>.</w:t>
      </w:r>
      <w:r w:rsidR="003974C8">
        <w:rPr>
          <w:rFonts w:asciiTheme="minorHAnsi" w:hAnsiTheme="minorHAnsi"/>
          <w:color w:val="auto"/>
          <w:szCs w:val="24"/>
        </w:rPr>
        <w:t>”</w:t>
      </w:r>
      <w:r w:rsidR="0044203D">
        <w:rPr>
          <w:rFonts w:asciiTheme="minorHAnsi" w:hAnsiTheme="minorHAnsi"/>
          <w:color w:val="auto"/>
          <w:szCs w:val="24"/>
        </w:rPr>
        <w:t xml:space="preserve">  The CI’s contention on DD Form 294 continues, </w:t>
      </w:r>
      <w:r w:rsidR="003974C8">
        <w:rPr>
          <w:rFonts w:asciiTheme="minorHAnsi" w:hAnsiTheme="minorHAnsi"/>
          <w:color w:val="auto"/>
          <w:szCs w:val="24"/>
        </w:rPr>
        <w:t>“Issue 2: (Back Condition, MEB diagnosis 2-5)</w:t>
      </w:r>
      <w:r w:rsidR="00BC3036">
        <w:rPr>
          <w:rFonts w:asciiTheme="minorHAnsi" w:hAnsiTheme="minorHAnsi"/>
          <w:color w:val="auto"/>
          <w:szCs w:val="24"/>
        </w:rPr>
        <w:t>:  The PEB combined my four DA 3947 back conditions as a single pain condition they called cervical and upper thoracic pain with pain down the left (non-dominant) arm.  The PEB deemed these conditions as unfitting and assigned them a combined disability rating of 0%.  My DA 199 stated my back condition were “rated as by instruction” and then references DoDI 1332.39.  The reliance on non VASRD rating instruction drove the rating of my unfitting back conditions as 0% disability.  The VA deemed I had three back condition</w:t>
      </w:r>
      <w:r w:rsidR="00670B37">
        <w:rPr>
          <w:rFonts w:asciiTheme="minorHAnsi" w:hAnsiTheme="minorHAnsi"/>
          <w:color w:val="auto"/>
          <w:szCs w:val="24"/>
        </w:rPr>
        <w:t>s causing this pain.  Intervertebral</w:t>
      </w:r>
      <w:r w:rsidR="00BC3036">
        <w:rPr>
          <w:rFonts w:asciiTheme="minorHAnsi" w:hAnsiTheme="minorHAnsi"/>
          <w:color w:val="auto"/>
          <w:szCs w:val="24"/>
        </w:rPr>
        <w:t xml:space="preserve"> disc syndrome rated at 20% effective the date I separated from the Army; Lumbosacral or cervical strain rated at 20% effective the date I separated from the Army; and Traumatic arthritis rated at 20% effec</w:t>
      </w:r>
      <w:r w:rsidR="001F2E9E">
        <w:rPr>
          <w:rFonts w:asciiTheme="minorHAnsi" w:hAnsiTheme="minorHAnsi"/>
          <w:color w:val="auto"/>
          <w:szCs w:val="24"/>
        </w:rPr>
        <w:t>tive the date I separated from the Army.  By Law (Chapter 61 of 10 USC), condition deemed unfitting by a PEB are required to be rated per the rating criteria of the VASRD.  (I have continued on se</w:t>
      </w:r>
      <w:r w:rsidR="0044203D">
        <w:rPr>
          <w:rFonts w:asciiTheme="minorHAnsi" w:hAnsiTheme="minorHAnsi"/>
          <w:color w:val="auto"/>
          <w:szCs w:val="24"/>
        </w:rPr>
        <w:t>parate pages, see attached page</w:t>
      </w:r>
      <w:r w:rsidR="001F2E9E">
        <w:rPr>
          <w:rFonts w:asciiTheme="minorHAnsi" w:hAnsiTheme="minorHAnsi"/>
          <w:color w:val="auto"/>
          <w:szCs w:val="24"/>
        </w:rPr>
        <w:t>s)</w:t>
      </w:r>
      <w:r w:rsidR="00316956">
        <w:rPr>
          <w:rFonts w:asciiTheme="minorHAnsi" w:hAnsiTheme="minorHAnsi"/>
          <w:color w:val="auto"/>
          <w:szCs w:val="24"/>
        </w:rPr>
        <w:t>.</w:t>
      </w:r>
      <w:r w:rsidR="001F2E9E">
        <w:rPr>
          <w:rFonts w:asciiTheme="minorHAnsi" w:hAnsiTheme="minorHAnsi"/>
          <w:color w:val="auto"/>
          <w:szCs w:val="24"/>
        </w:rPr>
        <w:t>”</w:t>
      </w:r>
      <w:r w:rsidR="0044203D">
        <w:rPr>
          <w:rFonts w:asciiTheme="minorHAnsi" w:hAnsiTheme="minorHAnsi"/>
          <w:color w:val="auto"/>
          <w:szCs w:val="24"/>
        </w:rPr>
        <w:t xml:space="preserve">  The CI has indeed submitted additional pages in support of his contention.  All pages of his contention were reviewed by the action officer and considered by the Board.</w:t>
      </w:r>
    </w:p>
    <w:p w:rsidR="00106AD8" w:rsidRPr="00CD5BD7" w:rsidRDefault="00106AD8" w:rsidP="001B7F7A">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B7F7A">
      <w:pPr>
        <w:tabs>
          <w:tab w:val="left" w:pos="288"/>
          <w:tab w:val="left" w:pos="4752"/>
        </w:tabs>
        <w:spacing w:line="240" w:lineRule="exact"/>
        <w:rPr>
          <w:rFonts w:ascii="Calibri" w:hAnsi="Calibri"/>
          <w:color w:val="000080"/>
          <w:szCs w:val="24"/>
        </w:rPr>
      </w:pPr>
    </w:p>
    <w:p w:rsidR="00D6261F" w:rsidRDefault="00D6261F" w:rsidP="001B7F7A">
      <w:pPr>
        <w:spacing w:line="240" w:lineRule="exact"/>
        <w:rPr>
          <w:rFonts w:asciiTheme="minorHAnsi" w:hAnsiTheme="minorHAnsi"/>
          <w:color w:val="auto"/>
          <w:u w:val="single"/>
        </w:rPr>
      </w:pPr>
    </w:p>
    <w:p w:rsidR="00D6261F" w:rsidRDefault="00D6261F" w:rsidP="001B7F7A">
      <w:pPr>
        <w:spacing w:line="240" w:lineRule="exact"/>
        <w:rPr>
          <w:rFonts w:asciiTheme="minorHAnsi" w:hAnsiTheme="minorHAnsi"/>
          <w:color w:val="auto"/>
          <w:u w:val="single"/>
        </w:rPr>
      </w:pPr>
    </w:p>
    <w:p w:rsidR="00D6261F" w:rsidRDefault="00D6261F" w:rsidP="001B7F7A">
      <w:pPr>
        <w:spacing w:line="240" w:lineRule="exact"/>
        <w:rPr>
          <w:rFonts w:asciiTheme="minorHAnsi" w:hAnsiTheme="minorHAnsi"/>
          <w:color w:val="auto"/>
          <w:u w:val="single"/>
        </w:rPr>
      </w:pPr>
    </w:p>
    <w:p w:rsidR="00D6261F" w:rsidRDefault="00D6261F" w:rsidP="001B7F7A">
      <w:pPr>
        <w:spacing w:line="240" w:lineRule="exact"/>
        <w:rPr>
          <w:rFonts w:asciiTheme="minorHAnsi" w:hAnsiTheme="minorHAnsi"/>
          <w:color w:val="auto"/>
          <w:u w:val="single"/>
        </w:rPr>
      </w:pPr>
    </w:p>
    <w:p w:rsidR="00D6261F" w:rsidRDefault="00D6261F" w:rsidP="001B7F7A">
      <w:pPr>
        <w:spacing w:line="240" w:lineRule="exact"/>
        <w:rPr>
          <w:rFonts w:asciiTheme="minorHAnsi" w:hAnsiTheme="minorHAnsi"/>
          <w:color w:val="auto"/>
          <w:u w:val="single"/>
        </w:rPr>
      </w:pPr>
    </w:p>
    <w:p w:rsidR="00D6261F" w:rsidRDefault="00D6261F" w:rsidP="001B7F7A">
      <w:pPr>
        <w:spacing w:line="240" w:lineRule="exact"/>
        <w:rPr>
          <w:rFonts w:asciiTheme="minorHAnsi" w:hAnsiTheme="minorHAnsi"/>
          <w:color w:val="auto"/>
          <w:u w:val="single"/>
        </w:rPr>
      </w:pPr>
    </w:p>
    <w:p w:rsidR="00D6261F" w:rsidRDefault="00D6261F" w:rsidP="001B7F7A">
      <w:pPr>
        <w:spacing w:line="240" w:lineRule="exact"/>
        <w:rPr>
          <w:rFonts w:asciiTheme="minorHAnsi" w:hAnsiTheme="minorHAnsi"/>
          <w:color w:val="auto"/>
          <w:u w:val="single"/>
        </w:rPr>
      </w:pPr>
    </w:p>
    <w:p w:rsidR="00D6261F" w:rsidRDefault="00D6261F" w:rsidP="001B7F7A">
      <w:pPr>
        <w:spacing w:line="240" w:lineRule="exact"/>
        <w:rPr>
          <w:rFonts w:asciiTheme="minorHAnsi" w:hAnsiTheme="minorHAnsi"/>
          <w:color w:val="auto"/>
          <w:u w:val="single"/>
        </w:rPr>
      </w:pPr>
    </w:p>
    <w:p w:rsidR="002338CA" w:rsidRPr="00326C08" w:rsidRDefault="002C6E5B" w:rsidP="001B7F7A">
      <w:pPr>
        <w:spacing w:line="240" w:lineRule="exact"/>
        <w:rPr>
          <w:rFonts w:asciiTheme="minorHAnsi" w:hAnsiTheme="minorHAnsi"/>
          <w:color w:val="auto"/>
        </w:rPr>
      </w:pPr>
      <w:r w:rsidRPr="00326C08">
        <w:rPr>
          <w:rFonts w:asciiTheme="minorHAnsi" w:hAnsiTheme="minorHAnsi"/>
          <w:color w:val="auto"/>
          <w:u w:val="single"/>
        </w:rPr>
        <w:lastRenderedPageBreak/>
        <w:t>RATING COMPARISON</w:t>
      </w:r>
      <w:r w:rsidRPr="00326C08">
        <w:rPr>
          <w:rFonts w:asciiTheme="minorHAnsi" w:hAnsiTheme="minorHAnsi"/>
          <w:color w:val="auto"/>
        </w:rPr>
        <w:t>:</w:t>
      </w:r>
    </w:p>
    <w:p w:rsidR="00F82981" w:rsidRPr="00396779" w:rsidRDefault="00F82981" w:rsidP="001B7F7A">
      <w:pPr>
        <w:tabs>
          <w:tab w:val="left" w:pos="288"/>
          <w:tab w:val="left" w:pos="4752"/>
        </w:tabs>
        <w:spacing w:line="240" w:lineRule="exact"/>
        <w:jc w:val="both"/>
        <w:rPr>
          <w:rFonts w:asciiTheme="minorHAnsi" w:hAnsiTheme="minorHAnsi"/>
          <w:color w:val="auto"/>
        </w:rPr>
      </w:pPr>
    </w:p>
    <w:tbl>
      <w:tblPr>
        <w:tblStyle w:val="TableGrid"/>
        <w:tblW w:w="9418" w:type="dxa"/>
        <w:jc w:val="center"/>
        <w:tblInd w:w="393" w:type="dxa"/>
        <w:tblLayout w:type="fixed"/>
        <w:tblLook w:val="04A0"/>
      </w:tblPr>
      <w:tblGrid>
        <w:gridCol w:w="1865"/>
        <w:gridCol w:w="1080"/>
        <w:gridCol w:w="900"/>
        <w:gridCol w:w="2980"/>
        <w:gridCol w:w="720"/>
        <w:gridCol w:w="810"/>
        <w:gridCol w:w="1063"/>
      </w:tblGrid>
      <w:tr w:rsidR="00684E2B" w:rsidRPr="00396779" w:rsidTr="00EB4757">
        <w:trPr>
          <w:trHeight w:val="233"/>
          <w:jc w:val="center"/>
        </w:trPr>
        <w:tc>
          <w:tcPr>
            <w:tcW w:w="3845" w:type="dxa"/>
            <w:gridSpan w:val="3"/>
            <w:tcBorders>
              <w:right w:val="thinThickThinSmallGap" w:sz="24" w:space="0" w:color="auto"/>
            </w:tcBorders>
            <w:shd w:val="clear" w:color="auto" w:fill="D9D9D9" w:themeFill="background1" w:themeFillShade="D9"/>
          </w:tcPr>
          <w:p w:rsidR="00684E2B" w:rsidRPr="00396779" w:rsidRDefault="00E90753" w:rsidP="00E90753">
            <w:pPr>
              <w:pStyle w:val="ListParagraph"/>
              <w:spacing w:after="0" w:line="240" w:lineRule="exact"/>
              <w:ind w:left="0"/>
              <w:jc w:val="center"/>
              <w:rPr>
                <w:rFonts w:cs="Times New Roman"/>
                <w:b/>
                <w:sz w:val="20"/>
                <w:szCs w:val="20"/>
              </w:rPr>
            </w:pPr>
            <w:r>
              <w:rPr>
                <w:rFonts w:cs="Times New Roman"/>
                <w:b/>
                <w:sz w:val="20"/>
                <w:szCs w:val="20"/>
              </w:rPr>
              <w:t>Army</w:t>
            </w:r>
            <w:r w:rsidR="00684E2B" w:rsidRPr="00396779">
              <w:rPr>
                <w:rFonts w:cs="Times New Roman"/>
                <w:b/>
                <w:sz w:val="20"/>
                <w:szCs w:val="20"/>
              </w:rPr>
              <w:t xml:space="preserve"> PEB</w:t>
            </w:r>
            <w:r w:rsidR="002B2645" w:rsidRPr="00396779">
              <w:rPr>
                <w:rFonts w:cs="Times New Roman"/>
                <w:b/>
                <w:sz w:val="20"/>
                <w:szCs w:val="20"/>
              </w:rPr>
              <w:t xml:space="preserve"> – </w:t>
            </w:r>
            <w:r>
              <w:rPr>
                <w:rFonts w:cs="Times New Roman"/>
                <w:b/>
                <w:sz w:val="20"/>
                <w:szCs w:val="20"/>
              </w:rPr>
              <w:t>d</w:t>
            </w:r>
            <w:r w:rsidR="002B2645" w:rsidRPr="00396779">
              <w:rPr>
                <w:rFonts w:cs="Times New Roman"/>
                <w:b/>
                <w:sz w:val="20"/>
                <w:szCs w:val="20"/>
              </w:rPr>
              <w:t xml:space="preserve">ated </w:t>
            </w:r>
            <w:r w:rsidR="001F2E9E">
              <w:rPr>
                <w:rFonts w:cs="Times New Roman"/>
                <w:b/>
                <w:sz w:val="20"/>
                <w:szCs w:val="20"/>
              </w:rPr>
              <w:t>2003</w:t>
            </w:r>
            <w:r w:rsidR="00645A34">
              <w:rPr>
                <w:rFonts w:cs="Times New Roman"/>
                <w:b/>
                <w:sz w:val="20"/>
                <w:szCs w:val="20"/>
              </w:rPr>
              <w:t>0612</w:t>
            </w:r>
          </w:p>
        </w:tc>
        <w:tc>
          <w:tcPr>
            <w:tcW w:w="5573" w:type="dxa"/>
            <w:gridSpan w:val="4"/>
            <w:tcBorders>
              <w:left w:val="thinThickThinSmallGap" w:sz="24" w:space="0" w:color="auto"/>
            </w:tcBorders>
            <w:shd w:val="clear" w:color="auto" w:fill="D9D9D9" w:themeFill="background1" w:themeFillShade="D9"/>
          </w:tcPr>
          <w:p w:rsidR="00684E2B" w:rsidRPr="00396779" w:rsidRDefault="00684E2B" w:rsidP="00E90753">
            <w:pPr>
              <w:pStyle w:val="ListParagraph"/>
              <w:spacing w:after="0" w:line="240" w:lineRule="exact"/>
              <w:ind w:left="0"/>
              <w:jc w:val="center"/>
              <w:rPr>
                <w:rFonts w:cs="Times New Roman"/>
                <w:b/>
                <w:sz w:val="20"/>
                <w:szCs w:val="20"/>
              </w:rPr>
            </w:pPr>
            <w:r w:rsidRPr="00396779">
              <w:rPr>
                <w:rFonts w:cs="Times New Roman"/>
                <w:b/>
                <w:sz w:val="20"/>
                <w:szCs w:val="20"/>
              </w:rPr>
              <w:t>VA (</w:t>
            </w:r>
            <w:r w:rsidR="00ED4193">
              <w:rPr>
                <w:rFonts w:cs="Times New Roman"/>
                <w:b/>
                <w:sz w:val="20"/>
                <w:szCs w:val="20"/>
              </w:rPr>
              <w:t>2</w:t>
            </w:r>
            <w:r w:rsidRPr="00396779">
              <w:rPr>
                <w:rFonts w:cs="Times New Roman"/>
                <w:b/>
                <w:sz w:val="20"/>
                <w:szCs w:val="20"/>
              </w:rPr>
              <w:t xml:space="preserve"> </w:t>
            </w:r>
            <w:r w:rsidR="00E90753">
              <w:rPr>
                <w:rFonts w:cs="Times New Roman"/>
                <w:b/>
                <w:sz w:val="20"/>
                <w:szCs w:val="20"/>
              </w:rPr>
              <w:t>m</w:t>
            </w:r>
            <w:r w:rsidRPr="00396779">
              <w:rPr>
                <w:rFonts w:cs="Times New Roman"/>
                <w:b/>
                <w:sz w:val="20"/>
                <w:szCs w:val="20"/>
              </w:rPr>
              <w:t xml:space="preserve">o. </w:t>
            </w:r>
            <w:r w:rsidR="00ED4193">
              <w:rPr>
                <w:rFonts w:cs="Times New Roman"/>
                <w:b/>
                <w:sz w:val="20"/>
                <w:szCs w:val="20"/>
              </w:rPr>
              <w:t>After-</w:t>
            </w:r>
            <w:r w:rsidRPr="00396779">
              <w:rPr>
                <w:rFonts w:cs="Times New Roman"/>
                <w:b/>
                <w:sz w:val="20"/>
                <w:szCs w:val="20"/>
              </w:rPr>
              <w:t>Separation)</w:t>
            </w:r>
            <w:r w:rsidR="000C3C13" w:rsidRPr="00396779">
              <w:rPr>
                <w:rFonts w:cs="Times New Roman"/>
                <w:b/>
                <w:sz w:val="20"/>
                <w:szCs w:val="20"/>
              </w:rPr>
              <w:t xml:space="preserve"> – All Effective </w:t>
            </w:r>
            <w:r w:rsidR="006F48FC">
              <w:rPr>
                <w:rFonts w:cs="Times New Roman"/>
                <w:b/>
                <w:sz w:val="20"/>
                <w:szCs w:val="20"/>
              </w:rPr>
              <w:t>200</w:t>
            </w:r>
            <w:r w:rsidR="00773825">
              <w:rPr>
                <w:rFonts w:cs="Times New Roman"/>
                <w:b/>
                <w:sz w:val="20"/>
                <w:szCs w:val="20"/>
              </w:rPr>
              <w:t>30719</w:t>
            </w:r>
          </w:p>
        </w:tc>
      </w:tr>
      <w:tr w:rsidR="002B2645" w:rsidRPr="00396779" w:rsidTr="00EB4757">
        <w:trPr>
          <w:trHeight w:val="233"/>
          <w:jc w:val="center"/>
        </w:trPr>
        <w:tc>
          <w:tcPr>
            <w:tcW w:w="1865" w:type="dxa"/>
            <w:tcBorders>
              <w:bottom w:val="single" w:sz="4" w:space="0" w:color="000000" w:themeColor="text1"/>
            </w:tcBorders>
            <w:shd w:val="clear" w:color="auto" w:fill="D9D9D9" w:themeFill="background1" w:themeFillShade="D9"/>
          </w:tcPr>
          <w:p w:rsidR="002B2645" w:rsidRPr="00396779" w:rsidRDefault="002B2645" w:rsidP="00E90753">
            <w:pPr>
              <w:pStyle w:val="ListParagraph"/>
              <w:spacing w:after="0" w:line="240" w:lineRule="exact"/>
              <w:ind w:left="0"/>
              <w:jc w:val="center"/>
              <w:rPr>
                <w:rFonts w:cs="Times New Roman"/>
                <w:b/>
                <w:sz w:val="20"/>
                <w:szCs w:val="20"/>
              </w:rPr>
            </w:pPr>
            <w:r w:rsidRPr="00396779">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396779" w:rsidRDefault="002B2645" w:rsidP="001B7F7A">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1B7F7A">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980" w:type="dxa"/>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E90753">
            <w:pPr>
              <w:pStyle w:val="ListParagraph"/>
              <w:spacing w:after="0" w:line="240" w:lineRule="exact"/>
              <w:ind w:left="0"/>
              <w:jc w:val="center"/>
              <w:rPr>
                <w:rFonts w:cs="Times New Roman"/>
                <w:b/>
                <w:sz w:val="20"/>
                <w:szCs w:val="20"/>
              </w:rPr>
            </w:pPr>
            <w:r w:rsidRPr="00396779">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396779" w:rsidRDefault="002B2645" w:rsidP="001B7F7A">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396779" w:rsidRDefault="002B2645" w:rsidP="001B7F7A">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1063" w:type="dxa"/>
            <w:tcBorders>
              <w:bottom w:val="single" w:sz="4" w:space="0" w:color="000000" w:themeColor="text1"/>
            </w:tcBorders>
            <w:shd w:val="clear" w:color="auto" w:fill="D9D9D9" w:themeFill="background1" w:themeFillShade="D9"/>
          </w:tcPr>
          <w:p w:rsidR="002B2645" w:rsidRPr="00396779" w:rsidRDefault="002B2645" w:rsidP="001B7F7A">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6274B4" w:rsidRPr="00396779" w:rsidTr="00EB4757">
        <w:trPr>
          <w:trHeight w:val="278"/>
          <w:jc w:val="center"/>
        </w:trPr>
        <w:tc>
          <w:tcPr>
            <w:tcW w:w="1865" w:type="dxa"/>
            <w:shd w:val="clear" w:color="auto" w:fill="FFFFFF" w:themeFill="background1"/>
          </w:tcPr>
          <w:p w:rsidR="006274B4" w:rsidRPr="00396779" w:rsidRDefault="00645A34" w:rsidP="001B7F7A">
            <w:pPr>
              <w:pStyle w:val="ListParagraph"/>
              <w:spacing w:after="0" w:line="240" w:lineRule="exact"/>
              <w:ind w:left="0"/>
              <w:jc w:val="both"/>
              <w:rPr>
                <w:rFonts w:cs="Times New Roman"/>
                <w:sz w:val="18"/>
                <w:szCs w:val="18"/>
              </w:rPr>
            </w:pPr>
            <w:r>
              <w:rPr>
                <w:rFonts w:cs="Times New Roman"/>
                <w:sz w:val="18"/>
                <w:szCs w:val="18"/>
              </w:rPr>
              <w:t>Bilat</w:t>
            </w:r>
            <w:r w:rsidR="00BB77AA">
              <w:rPr>
                <w:rFonts w:cs="Times New Roman"/>
                <w:sz w:val="18"/>
                <w:szCs w:val="18"/>
              </w:rPr>
              <w:t>eral</w:t>
            </w:r>
            <w:r>
              <w:rPr>
                <w:rFonts w:cs="Times New Roman"/>
                <w:sz w:val="18"/>
                <w:szCs w:val="18"/>
              </w:rPr>
              <w:t xml:space="preserve"> Knee Pain</w:t>
            </w:r>
          </w:p>
        </w:tc>
        <w:tc>
          <w:tcPr>
            <w:tcW w:w="1080" w:type="dxa"/>
            <w:shd w:val="clear" w:color="auto" w:fill="FFFFFF" w:themeFill="background1"/>
          </w:tcPr>
          <w:p w:rsidR="006274B4" w:rsidRPr="00396779" w:rsidRDefault="00645A34" w:rsidP="001B7F7A">
            <w:pPr>
              <w:pStyle w:val="ListParagraph"/>
              <w:spacing w:after="0" w:line="240" w:lineRule="exact"/>
              <w:ind w:left="0"/>
              <w:jc w:val="center"/>
              <w:rPr>
                <w:rFonts w:cs="Times New Roman"/>
                <w:sz w:val="18"/>
                <w:szCs w:val="18"/>
              </w:rPr>
            </w:pPr>
            <w:r>
              <w:rPr>
                <w:rFonts w:cs="Times New Roman"/>
                <w:sz w:val="18"/>
                <w:szCs w:val="18"/>
              </w:rPr>
              <w:t>5003</w:t>
            </w:r>
          </w:p>
        </w:tc>
        <w:tc>
          <w:tcPr>
            <w:tcW w:w="900" w:type="dxa"/>
            <w:tcBorders>
              <w:right w:val="thinThickThinSmallGap" w:sz="24" w:space="0" w:color="auto"/>
            </w:tcBorders>
            <w:shd w:val="clear" w:color="auto" w:fill="FFFFFF" w:themeFill="background1"/>
          </w:tcPr>
          <w:p w:rsidR="006274B4" w:rsidRPr="00396779" w:rsidRDefault="00645A34" w:rsidP="001B7F7A">
            <w:pPr>
              <w:pStyle w:val="ListParagraph"/>
              <w:spacing w:after="0" w:line="240" w:lineRule="exact"/>
              <w:ind w:left="0"/>
              <w:jc w:val="center"/>
              <w:rPr>
                <w:rFonts w:cs="Times New Roman"/>
                <w:sz w:val="18"/>
                <w:szCs w:val="18"/>
              </w:rPr>
            </w:pPr>
            <w:r>
              <w:rPr>
                <w:rFonts w:cs="Times New Roman"/>
                <w:sz w:val="18"/>
                <w:szCs w:val="18"/>
              </w:rPr>
              <w:t>10%</w:t>
            </w:r>
          </w:p>
        </w:tc>
        <w:tc>
          <w:tcPr>
            <w:tcW w:w="2980" w:type="dxa"/>
            <w:tcBorders>
              <w:left w:val="thinThickThinSmallGap" w:sz="24" w:space="0" w:color="auto"/>
            </w:tcBorders>
            <w:shd w:val="clear" w:color="auto" w:fill="FFFFFF" w:themeFill="background1"/>
          </w:tcPr>
          <w:p w:rsidR="006274B4" w:rsidRPr="00396779" w:rsidRDefault="00B159A2" w:rsidP="00E90753">
            <w:pPr>
              <w:pStyle w:val="ListParagraph"/>
              <w:spacing w:after="0" w:line="240" w:lineRule="exact"/>
              <w:ind w:left="0"/>
              <w:jc w:val="both"/>
              <w:rPr>
                <w:rFonts w:cs="Times New Roman"/>
                <w:sz w:val="18"/>
                <w:szCs w:val="18"/>
              </w:rPr>
            </w:pPr>
            <w:r>
              <w:rPr>
                <w:rFonts w:cs="Times New Roman"/>
                <w:sz w:val="18"/>
                <w:szCs w:val="18"/>
              </w:rPr>
              <w:t xml:space="preserve">DJD </w:t>
            </w:r>
            <w:r w:rsidR="00E90753">
              <w:rPr>
                <w:rFonts w:cs="Times New Roman"/>
                <w:sz w:val="18"/>
                <w:szCs w:val="18"/>
              </w:rPr>
              <w:t>of Both</w:t>
            </w:r>
            <w:r>
              <w:rPr>
                <w:rFonts w:cs="Times New Roman"/>
                <w:sz w:val="18"/>
                <w:szCs w:val="18"/>
              </w:rPr>
              <w:t xml:space="preserve"> Knees</w:t>
            </w:r>
          </w:p>
        </w:tc>
        <w:tc>
          <w:tcPr>
            <w:tcW w:w="720" w:type="dxa"/>
            <w:shd w:val="clear" w:color="auto" w:fill="FFFFFF" w:themeFill="background1"/>
          </w:tcPr>
          <w:p w:rsidR="006274B4" w:rsidRPr="00396779" w:rsidRDefault="00B159A2" w:rsidP="001B7F7A">
            <w:pPr>
              <w:pStyle w:val="ListParagraph"/>
              <w:spacing w:after="0" w:line="240" w:lineRule="exact"/>
              <w:ind w:left="0"/>
              <w:jc w:val="center"/>
              <w:rPr>
                <w:rFonts w:cs="Times New Roman"/>
                <w:sz w:val="18"/>
                <w:szCs w:val="18"/>
              </w:rPr>
            </w:pPr>
            <w:r>
              <w:rPr>
                <w:rFonts w:cs="Times New Roman"/>
                <w:sz w:val="18"/>
                <w:szCs w:val="18"/>
              </w:rPr>
              <w:t>5010</w:t>
            </w:r>
          </w:p>
        </w:tc>
        <w:tc>
          <w:tcPr>
            <w:tcW w:w="810" w:type="dxa"/>
            <w:shd w:val="clear" w:color="auto" w:fill="FFFFFF" w:themeFill="background1"/>
          </w:tcPr>
          <w:p w:rsidR="006274B4" w:rsidRPr="00B159A2" w:rsidRDefault="00B159A2" w:rsidP="001B7F7A">
            <w:pPr>
              <w:pStyle w:val="ListParagraph"/>
              <w:spacing w:after="0" w:line="240" w:lineRule="exact"/>
              <w:ind w:left="0"/>
              <w:jc w:val="center"/>
              <w:rPr>
                <w:rFonts w:cs="Times New Roman"/>
                <w:sz w:val="18"/>
                <w:szCs w:val="18"/>
              </w:rPr>
            </w:pPr>
            <w:r w:rsidRPr="00B159A2">
              <w:rPr>
                <w:rFonts w:cs="Times New Roman"/>
                <w:sz w:val="18"/>
                <w:szCs w:val="18"/>
              </w:rPr>
              <w:t>20%</w:t>
            </w:r>
          </w:p>
        </w:tc>
        <w:tc>
          <w:tcPr>
            <w:tcW w:w="1063" w:type="dxa"/>
            <w:shd w:val="clear" w:color="auto" w:fill="FFFFFF" w:themeFill="background1"/>
            <w:vAlign w:val="center"/>
          </w:tcPr>
          <w:p w:rsidR="006274B4" w:rsidRPr="00B159A2" w:rsidRDefault="00ED4193" w:rsidP="001B7F7A">
            <w:pPr>
              <w:pStyle w:val="ListParagraph"/>
              <w:spacing w:after="0" w:line="240" w:lineRule="exact"/>
              <w:ind w:left="0"/>
              <w:jc w:val="center"/>
              <w:rPr>
                <w:rFonts w:cs="Times New Roman"/>
                <w:sz w:val="18"/>
                <w:szCs w:val="18"/>
              </w:rPr>
            </w:pPr>
            <w:r>
              <w:rPr>
                <w:rFonts w:cs="Times New Roman"/>
                <w:sz w:val="18"/>
                <w:szCs w:val="18"/>
              </w:rPr>
              <w:t>20030910</w:t>
            </w:r>
          </w:p>
        </w:tc>
      </w:tr>
      <w:tr w:rsidR="0080234D" w:rsidRPr="00396779" w:rsidTr="00EB4757">
        <w:trPr>
          <w:trHeight w:val="251"/>
          <w:jc w:val="center"/>
        </w:trPr>
        <w:tc>
          <w:tcPr>
            <w:tcW w:w="1865" w:type="dxa"/>
            <w:vMerge w:val="restart"/>
            <w:tcBorders>
              <w:bottom w:val="single" w:sz="4" w:space="0" w:color="000000" w:themeColor="text1"/>
            </w:tcBorders>
            <w:shd w:val="clear" w:color="auto" w:fill="FFFFFF" w:themeFill="background1"/>
            <w:vAlign w:val="center"/>
          </w:tcPr>
          <w:p w:rsidR="0080234D" w:rsidRPr="00396779" w:rsidRDefault="00E90753" w:rsidP="008C32FE">
            <w:pPr>
              <w:pStyle w:val="ListParagraph"/>
              <w:spacing w:after="0" w:line="240" w:lineRule="exact"/>
              <w:ind w:left="0"/>
              <w:rPr>
                <w:rFonts w:cs="Times New Roman"/>
                <w:sz w:val="18"/>
                <w:szCs w:val="18"/>
              </w:rPr>
            </w:pPr>
            <w:r>
              <w:rPr>
                <w:rFonts w:cs="Times New Roman"/>
                <w:sz w:val="18"/>
                <w:szCs w:val="18"/>
              </w:rPr>
              <w:t>Neck</w:t>
            </w:r>
            <w:r w:rsidR="008C32FE">
              <w:rPr>
                <w:rFonts w:cs="Times New Roman"/>
                <w:sz w:val="18"/>
                <w:szCs w:val="18"/>
              </w:rPr>
              <w:t>, Upper</w:t>
            </w:r>
            <w:r w:rsidR="0080234D">
              <w:rPr>
                <w:rFonts w:cs="Times New Roman"/>
                <w:sz w:val="18"/>
                <w:szCs w:val="18"/>
              </w:rPr>
              <w:t xml:space="preserve"> </w:t>
            </w:r>
            <w:r w:rsidR="00EB4757">
              <w:rPr>
                <w:rFonts w:cs="Times New Roman"/>
                <w:sz w:val="18"/>
                <w:szCs w:val="18"/>
              </w:rPr>
              <w:t>B</w:t>
            </w:r>
            <w:r>
              <w:rPr>
                <w:rFonts w:cs="Times New Roman"/>
                <w:sz w:val="18"/>
                <w:szCs w:val="18"/>
              </w:rPr>
              <w:t>ack</w:t>
            </w:r>
            <w:r w:rsidR="008C32FE">
              <w:rPr>
                <w:rFonts w:cs="Times New Roman"/>
                <w:sz w:val="18"/>
                <w:szCs w:val="18"/>
              </w:rPr>
              <w:t>, and Left Arm</w:t>
            </w:r>
            <w:r w:rsidR="0080234D">
              <w:rPr>
                <w:rFonts w:cs="Times New Roman"/>
                <w:sz w:val="18"/>
                <w:szCs w:val="18"/>
              </w:rPr>
              <w:t xml:space="preserve"> Pain</w:t>
            </w:r>
          </w:p>
        </w:tc>
        <w:tc>
          <w:tcPr>
            <w:tcW w:w="1080" w:type="dxa"/>
            <w:vMerge w:val="restart"/>
            <w:tcBorders>
              <w:bottom w:val="single" w:sz="4" w:space="0" w:color="000000" w:themeColor="text1"/>
            </w:tcBorders>
            <w:shd w:val="clear" w:color="auto" w:fill="FFFFFF" w:themeFill="background1"/>
            <w:vAlign w:val="center"/>
          </w:tcPr>
          <w:p w:rsidR="0080234D" w:rsidRPr="00396779" w:rsidRDefault="0080234D" w:rsidP="00E90753">
            <w:pPr>
              <w:pStyle w:val="ListParagraph"/>
              <w:spacing w:after="0" w:line="240" w:lineRule="exact"/>
              <w:ind w:left="0"/>
              <w:jc w:val="center"/>
              <w:rPr>
                <w:rFonts w:cs="Times New Roman"/>
                <w:sz w:val="18"/>
                <w:szCs w:val="18"/>
              </w:rPr>
            </w:pPr>
            <w:r>
              <w:rPr>
                <w:rFonts w:cs="Times New Roman"/>
                <w:sz w:val="18"/>
                <w:szCs w:val="18"/>
              </w:rPr>
              <w:t>5293</w:t>
            </w:r>
            <w:r w:rsidR="00E90753">
              <w:rPr>
                <w:rFonts w:cs="Times New Roman"/>
                <w:sz w:val="18"/>
                <w:szCs w:val="18"/>
              </w:rPr>
              <w:t>-</w:t>
            </w:r>
            <w:r>
              <w:rPr>
                <w:rFonts w:cs="Times New Roman"/>
                <w:sz w:val="18"/>
                <w:szCs w:val="18"/>
              </w:rPr>
              <w:t>5003</w:t>
            </w:r>
          </w:p>
        </w:tc>
        <w:tc>
          <w:tcPr>
            <w:tcW w:w="900" w:type="dxa"/>
            <w:vMerge w:val="restart"/>
            <w:tcBorders>
              <w:bottom w:val="single" w:sz="4" w:space="0" w:color="000000" w:themeColor="text1"/>
              <w:right w:val="thinThickThinSmallGap" w:sz="24" w:space="0" w:color="auto"/>
            </w:tcBorders>
            <w:shd w:val="clear" w:color="auto" w:fill="FFFFFF" w:themeFill="background1"/>
            <w:vAlign w:val="center"/>
          </w:tcPr>
          <w:p w:rsidR="0080234D" w:rsidRPr="00396779" w:rsidRDefault="0080234D" w:rsidP="001B7F7A">
            <w:pPr>
              <w:pStyle w:val="ListParagraph"/>
              <w:spacing w:after="0" w:line="240" w:lineRule="exact"/>
              <w:ind w:left="0"/>
              <w:jc w:val="center"/>
              <w:rPr>
                <w:rFonts w:cs="Times New Roman"/>
                <w:sz w:val="18"/>
                <w:szCs w:val="18"/>
              </w:rPr>
            </w:pPr>
            <w:r>
              <w:rPr>
                <w:rFonts w:cs="Times New Roman"/>
                <w:sz w:val="18"/>
                <w:szCs w:val="18"/>
              </w:rPr>
              <w:t>0%</w:t>
            </w:r>
          </w:p>
        </w:tc>
        <w:tc>
          <w:tcPr>
            <w:tcW w:w="2980" w:type="dxa"/>
            <w:tcBorders>
              <w:left w:val="thinThickThinSmallGap" w:sz="24" w:space="0" w:color="auto"/>
              <w:bottom w:val="single" w:sz="4" w:space="0" w:color="000000" w:themeColor="text1"/>
            </w:tcBorders>
            <w:shd w:val="clear" w:color="auto" w:fill="FFFFFF" w:themeFill="background1"/>
            <w:vAlign w:val="center"/>
          </w:tcPr>
          <w:p w:rsidR="0080234D" w:rsidRPr="00396779" w:rsidRDefault="0080234D" w:rsidP="00E90753">
            <w:pPr>
              <w:pStyle w:val="ListParagraph"/>
              <w:spacing w:after="0" w:line="240" w:lineRule="exact"/>
              <w:ind w:left="0"/>
              <w:rPr>
                <w:rFonts w:cs="Times New Roman"/>
                <w:sz w:val="18"/>
                <w:szCs w:val="18"/>
              </w:rPr>
            </w:pPr>
            <w:r>
              <w:rPr>
                <w:rFonts w:cs="Times New Roman"/>
                <w:sz w:val="18"/>
                <w:szCs w:val="18"/>
              </w:rPr>
              <w:t>Cervical Spondylosis w/ Arm Tingling</w:t>
            </w:r>
          </w:p>
        </w:tc>
        <w:tc>
          <w:tcPr>
            <w:tcW w:w="720" w:type="dxa"/>
            <w:tcBorders>
              <w:bottom w:val="single" w:sz="4" w:space="0" w:color="000000" w:themeColor="text1"/>
            </w:tcBorders>
            <w:shd w:val="clear" w:color="auto" w:fill="FFFFFF" w:themeFill="background1"/>
            <w:vAlign w:val="center"/>
          </w:tcPr>
          <w:p w:rsidR="0080234D" w:rsidRPr="00396779" w:rsidRDefault="0080234D" w:rsidP="001B7F7A">
            <w:pPr>
              <w:pStyle w:val="ListParagraph"/>
              <w:spacing w:after="0" w:line="240" w:lineRule="exact"/>
              <w:ind w:left="0"/>
              <w:jc w:val="center"/>
              <w:rPr>
                <w:rFonts w:cs="Times New Roman"/>
                <w:sz w:val="18"/>
                <w:szCs w:val="18"/>
              </w:rPr>
            </w:pPr>
            <w:r>
              <w:rPr>
                <w:rFonts w:cs="Times New Roman"/>
                <w:sz w:val="18"/>
                <w:szCs w:val="18"/>
              </w:rPr>
              <w:t>5295</w:t>
            </w:r>
          </w:p>
        </w:tc>
        <w:tc>
          <w:tcPr>
            <w:tcW w:w="810" w:type="dxa"/>
            <w:tcBorders>
              <w:bottom w:val="single" w:sz="4" w:space="0" w:color="000000" w:themeColor="text1"/>
            </w:tcBorders>
            <w:shd w:val="clear" w:color="auto" w:fill="FFFFFF" w:themeFill="background1"/>
            <w:vAlign w:val="center"/>
          </w:tcPr>
          <w:p w:rsidR="0080234D" w:rsidRPr="00B159A2" w:rsidRDefault="0080234D" w:rsidP="001B7F7A">
            <w:pPr>
              <w:pStyle w:val="ListParagraph"/>
              <w:spacing w:after="0" w:line="240" w:lineRule="exact"/>
              <w:ind w:left="0"/>
              <w:jc w:val="center"/>
              <w:rPr>
                <w:rFonts w:cs="Times New Roman"/>
                <w:sz w:val="18"/>
                <w:szCs w:val="18"/>
              </w:rPr>
            </w:pPr>
            <w:r>
              <w:rPr>
                <w:rFonts w:cs="Times New Roman"/>
                <w:sz w:val="18"/>
                <w:szCs w:val="18"/>
              </w:rPr>
              <w:t>20%</w:t>
            </w:r>
          </w:p>
        </w:tc>
        <w:tc>
          <w:tcPr>
            <w:tcW w:w="1063" w:type="dxa"/>
            <w:tcBorders>
              <w:bottom w:val="single" w:sz="4" w:space="0" w:color="000000" w:themeColor="text1"/>
            </w:tcBorders>
            <w:shd w:val="clear" w:color="auto" w:fill="FFFFFF" w:themeFill="background1"/>
            <w:vAlign w:val="center"/>
          </w:tcPr>
          <w:p w:rsidR="0080234D" w:rsidRPr="00B159A2" w:rsidRDefault="0080234D" w:rsidP="001B7F7A">
            <w:pPr>
              <w:pStyle w:val="ListParagraph"/>
              <w:spacing w:after="0" w:line="240" w:lineRule="exact"/>
              <w:ind w:left="0"/>
              <w:jc w:val="center"/>
              <w:rPr>
                <w:rFonts w:cs="Times New Roman"/>
                <w:sz w:val="18"/>
                <w:szCs w:val="18"/>
              </w:rPr>
            </w:pPr>
            <w:r>
              <w:rPr>
                <w:rFonts w:cs="Times New Roman"/>
                <w:sz w:val="18"/>
                <w:szCs w:val="18"/>
              </w:rPr>
              <w:t>20030910</w:t>
            </w:r>
          </w:p>
        </w:tc>
      </w:tr>
      <w:tr w:rsidR="0080234D" w:rsidRPr="00396779" w:rsidTr="00EB4757">
        <w:trPr>
          <w:trHeight w:val="170"/>
          <w:jc w:val="center"/>
        </w:trPr>
        <w:tc>
          <w:tcPr>
            <w:tcW w:w="1865" w:type="dxa"/>
            <w:vMerge/>
            <w:tcBorders>
              <w:bottom w:val="single" w:sz="4" w:space="0" w:color="auto"/>
            </w:tcBorders>
            <w:shd w:val="clear" w:color="auto" w:fill="FFFFFF" w:themeFill="background1"/>
          </w:tcPr>
          <w:p w:rsidR="0080234D" w:rsidRDefault="0080234D" w:rsidP="001B7F7A">
            <w:pPr>
              <w:pStyle w:val="ListParagraph"/>
              <w:spacing w:after="0" w:line="240" w:lineRule="exact"/>
              <w:ind w:left="0"/>
              <w:rPr>
                <w:rFonts w:cs="Times New Roman"/>
                <w:sz w:val="18"/>
                <w:szCs w:val="18"/>
              </w:rPr>
            </w:pPr>
          </w:p>
        </w:tc>
        <w:tc>
          <w:tcPr>
            <w:tcW w:w="1080" w:type="dxa"/>
            <w:vMerge/>
            <w:tcBorders>
              <w:bottom w:val="single" w:sz="4" w:space="0" w:color="auto"/>
            </w:tcBorders>
            <w:shd w:val="clear" w:color="auto" w:fill="FFFFFF" w:themeFill="background1"/>
            <w:vAlign w:val="center"/>
          </w:tcPr>
          <w:p w:rsidR="0080234D" w:rsidRPr="00396779" w:rsidRDefault="0080234D" w:rsidP="001B7F7A">
            <w:pPr>
              <w:pStyle w:val="ListParagraph"/>
              <w:spacing w:after="0" w:line="240" w:lineRule="exact"/>
              <w:ind w:left="0"/>
              <w:jc w:val="center"/>
              <w:rPr>
                <w:rFonts w:cs="Times New Roman"/>
                <w:sz w:val="18"/>
                <w:szCs w:val="18"/>
              </w:rPr>
            </w:pPr>
          </w:p>
        </w:tc>
        <w:tc>
          <w:tcPr>
            <w:tcW w:w="900" w:type="dxa"/>
            <w:vMerge/>
            <w:tcBorders>
              <w:bottom w:val="single" w:sz="4" w:space="0" w:color="auto"/>
              <w:right w:val="thinThickThinSmallGap" w:sz="24" w:space="0" w:color="auto"/>
            </w:tcBorders>
            <w:shd w:val="clear" w:color="auto" w:fill="FFFFFF" w:themeFill="background1"/>
            <w:vAlign w:val="center"/>
          </w:tcPr>
          <w:p w:rsidR="0080234D" w:rsidRPr="00396779" w:rsidRDefault="0080234D" w:rsidP="001B7F7A">
            <w:pPr>
              <w:pStyle w:val="ListParagraph"/>
              <w:spacing w:after="0" w:line="240" w:lineRule="exact"/>
              <w:ind w:left="0"/>
              <w:jc w:val="center"/>
              <w:rPr>
                <w:rFonts w:cs="Times New Roman"/>
                <w:sz w:val="18"/>
                <w:szCs w:val="18"/>
              </w:rPr>
            </w:pPr>
          </w:p>
        </w:tc>
        <w:tc>
          <w:tcPr>
            <w:tcW w:w="2980" w:type="dxa"/>
            <w:tcBorders>
              <w:left w:val="thinThickThinSmallGap" w:sz="24" w:space="0" w:color="auto"/>
              <w:bottom w:val="single" w:sz="4" w:space="0" w:color="000000" w:themeColor="text1"/>
            </w:tcBorders>
            <w:shd w:val="clear" w:color="auto" w:fill="FFFFFF" w:themeFill="background1"/>
            <w:vAlign w:val="center"/>
          </w:tcPr>
          <w:p w:rsidR="0080234D" w:rsidRPr="00773825" w:rsidRDefault="0080234D" w:rsidP="001B7F7A">
            <w:pPr>
              <w:spacing w:line="240" w:lineRule="exact"/>
              <w:rPr>
                <w:color w:val="auto"/>
                <w:sz w:val="18"/>
                <w:szCs w:val="18"/>
              </w:rPr>
            </w:pPr>
            <w:r w:rsidRPr="00773825">
              <w:rPr>
                <w:color w:val="auto"/>
                <w:sz w:val="18"/>
                <w:szCs w:val="18"/>
              </w:rPr>
              <w:t>Back Pain</w:t>
            </w:r>
          </w:p>
        </w:tc>
        <w:tc>
          <w:tcPr>
            <w:tcW w:w="720" w:type="dxa"/>
            <w:tcBorders>
              <w:bottom w:val="single" w:sz="4" w:space="0" w:color="000000" w:themeColor="text1"/>
            </w:tcBorders>
            <w:shd w:val="clear" w:color="auto" w:fill="FFFFFF" w:themeFill="background1"/>
            <w:vAlign w:val="center"/>
          </w:tcPr>
          <w:p w:rsidR="0080234D" w:rsidRPr="00396779" w:rsidRDefault="0080234D" w:rsidP="001B7F7A">
            <w:pPr>
              <w:pStyle w:val="ListParagraph"/>
              <w:spacing w:after="0" w:line="240" w:lineRule="exact"/>
              <w:ind w:left="0"/>
              <w:jc w:val="center"/>
              <w:rPr>
                <w:rFonts w:cs="Times New Roman"/>
                <w:sz w:val="18"/>
                <w:szCs w:val="18"/>
              </w:rPr>
            </w:pPr>
            <w:r>
              <w:rPr>
                <w:rFonts w:cs="Times New Roman"/>
                <w:sz w:val="18"/>
                <w:szCs w:val="18"/>
              </w:rPr>
              <w:t>5292</w:t>
            </w:r>
          </w:p>
        </w:tc>
        <w:tc>
          <w:tcPr>
            <w:tcW w:w="810" w:type="dxa"/>
            <w:tcBorders>
              <w:bottom w:val="single" w:sz="4" w:space="0" w:color="000000" w:themeColor="text1"/>
            </w:tcBorders>
            <w:shd w:val="clear" w:color="auto" w:fill="FFFFFF" w:themeFill="background1"/>
            <w:vAlign w:val="center"/>
          </w:tcPr>
          <w:p w:rsidR="0080234D" w:rsidRPr="00B159A2" w:rsidRDefault="0080234D" w:rsidP="001B7F7A">
            <w:pPr>
              <w:pStyle w:val="ListParagraph"/>
              <w:spacing w:after="0" w:line="240" w:lineRule="exact"/>
              <w:ind w:left="0"/>
              <w:jc w:val="center"/>
              <w:rPr>
                <w:rFonts w:cs="Times New Roman"/>
                <w:sz w:val="18"/>
                <w:szCs w:val="18"/>
              </w:rPr>
            </w:pPr>
            <w:r>
              <w:rPr>
                <w:rFonts w:cs="Times New Roman"/>
                <w:sz w:val="18"/>
                <w:szCs w:val="18"/>
              </w:rPr>
              <w:t>10%*</w:t>
            </w:r>
          </w:p>
        </w:tc>
        <w:tc>
          <w:tcPr>
            <w:tcW w:w="1063" w:type="dxa"/>
            <w:tcBorders>
              <w:bottom w:val="single" w:sz="4" w:space="0" w:color="000000" w:themeColor="text1"/>
            </w:tcBorders>
            <w:shd w:val="clear" w:color="auto" w:fill="FFFFFF" w:themeFill="background1"/>
            <w:vAlign w:val="center"/>
          </w:tcPr>
          <w:p w:rsidR="0080234D" w:rsidRPr="00B159A2" w:rsidRDefault="0080234D" w:rsidP="001B7F7A">
            <w:pPr>
              <w:pStyle w:val="ListParagraph"/>
              <w:spacing w:after="0" w:line="240" w:lineRule="exact"/>
              <w:ind w:left="0"/>
              <w:jc w:val="center"/>
              <w:rPr>
                <w:rFonts w:cs="Times New Roman"/>
                <w:sz w:val="18"/>
                <w:szCs w:val="18"/>
              </w:rPr>
            </w:pPr>
            <w:r>
              <w:rPr>
                <w:rFonts w:cs="Times New Roman"/>
                <w:sz w:val="18"/>
                <w:szCs w:val="18"/>
              </w:rPr>
              <w:t>20030910</w:t>
            </w:r>
          </w:p>
        </w:tc>
      </w:tr>
      <w:tr w:rsidR="00B159A2" w:rsidRPr="00396779" w:rsidTr="00EB4757">
        <w:trPr>
          <w:trHeight w:val="125"/>
          <w:jc w:val="center"/>
        </w:trPr>
        <w:tc>
          <w:tcPr>
            <w:tcW w:w="1865" w:type="dxa"/>
            <w:tcBorders>
              <w:bottom w:val="single" w:sz="4" w:space="0" w:color="auto"/>
              <w:right w:val="single" w:sz="4" w:space="0" w:color="auto"/>
            </w:tcBorders>
            <w:shd w:val="clear" w:color="auto" w:fill="FFFFFF" w:themeFill="background1"/>
          </w:tcPr>
          <w:p w:rsidR="00B159A2" w:rsidRDefault="00B159A2" w:rsidP="001B7F7A">
            <w:pPr>
              <w:pStyle w:val="ListParagraph"/>
              <w:spacing w:after="0" w:line="240" w:lineRule="exact"/>
              <w:ind w:left="0"/>
              <w:rPr>
                <w:rFonts w:cs="Times New Roman"/>
                <w:sz w:val="18"/>
                <w:szCs w:val="18"/>
              </w:rPr>
            </w:pPr>
            <w:r>
              <w:rPr>
                <w:rFonts w:cs="Times New Roman"/>
                <w:sz w:val="18"/>
                <w:szCs w:val="18"/>
              </w:rPr>
              <w:t>Migraine Headache</w:t>
            </w:r>
          </w:p>
        </w:tc>
        <w:tc>
          <w:tcPr>
            <w:tcW w:w="1980" w:type="dxa"/>
            <w:gridSpan w:val="2"/>
            <w:tcBorders>
              <w:top w:val="single" w:sz="4" w:space="0" w:color="auto"/>
              <w:left w:val="single" w:sz="4" w:space="0" w:color="auto"/>
              <w:bottom w:val="single" w:sz="4" w:space="0" w:color="auto"/>
              <w:right w:val="thinThickThinSmallGap" w:sz="24" w:space="0" w:color="auto"/>
            </w:tcBorders>
            <w:shd w:val="clear" w:color="auto" w:fill="FFFFFF" w:themeFill="background1"/>
            <w:vAlign w:val="center"/>
          </w:tcPr>
          <w:p w:rsidR="00B159A2" w:rsidRPr="00396779" w:rsidRDefault="00B159A2" w:rsidP="001B7F7A">
            <w:pPr>
              <w:pStyle w:val="ListParagraph"/>
              <w:spacing w:after="0" w:line="240" w:lineRule="exact"/>
              <w:ind w:left="0"/>
              <w:jc w:val="center"/>
              <w:rPr>
                <w:rFonts w:cs="Times New Roman"/>
                <w:sz w:val="18"/>
                <w:szCs w:val="18"/>
              </w:rPr>
            </w:pPr>
            <w:r>
              <w:rPr>
                <w:rFonts w:cs="Times New Roman"/>
                <w:sz w:val="18"/>
                <w:szCs w:val="18"/>
              </w:rPr>
              <w:t>Not Unfitting</w:t>
            </w:r>
          </w:p>
        </w:tc>
        <w:tc>
          <w:tcPr>
            <w:tcW w:w="2980" w:type="dxa"/>
            <w:tcBorders>
              <w:left w:val="thinThickThinSmallGap" w:sz="24" w:space="0" w:color="auto"/>
            </w:tcBorders>
            <w:shd w:val="clear" w:color="auto" w:fill="FFFFFF" w:themeFill="background1"/>
            <w:vAlign w:val="center"/>
          </w:tcPr>
          <w:p w:rsidR="00B159A2" w:rsidRPr="00773825" w:rsidRDefault="00773825" w:rsidP="001B7F7A">
            <w:pPr>
              <w:spacing w:line="240" w:lineRule="exact"/>
              <w:rPr>
                <w:color w:val="auto"/>
                <w:sz w:val="18"/>
                <w:szCs w:val="18"/>
              </w:rPr>
            </w:pPr>
            <w:r w:rsidRPr="00773825">
              <w:rPr>
                <w:color w:val="auto"/>
                <w:sz w:val="18"/>
                <w:szCs w:val="18"/>
              </w:rPr>
              <w:t>Vascular Headaches w/ Photophobia</w:t>
            </w:r>
          </w:p>
        </w:tc>
        <w:tc>
          <w:tcPr>
            <w:tcW w:w="720" w:type="dxa"/>
            <w:shd w:val="clear" w:color="auto" w:fill="FFFFFF" w:themeFill="background1"/>
          </w:tcPr>
          <w:p w:rsidR="00B159A2" w:rsidRPr="00396779" w:rsidRDefault="00773825" w:rsidP="001B7F7A">
            <w:pPr>
              <w:pStyle w:val="ListParagraph"/>
              <w:spacing w:after="0" w:line="240" w:lineRule="exact"/>
              <w:ind w:left="0"/>
              <w:jc w:val="center"/>
              <w:rPr>
                <w:rFonts w:cs="Times New Roman"/>
                <w:sz w:val="18"/>
                <w:szCs w:val="18"/>
              </w:rPr>
            </w:pPr>
            <w:r>
              <w:rPr>
                <w:rFonts w:cs="Times New Roman"/>
                <w:sz w:val="18"/>
                <w:szCs w:val="18"/>
              </w:rPr>
              <w:t>8100</w:t>
            </w:r>
          </w:p>
        </w:tc>
        <w:tc>
          <w:tcPr>
            <w:tcW w:w="810" w:type="dxa"/>
            <w:shd w:val="clear" w:color="auto" w:fill="FFFFFF" w:themeFill="background1"/>
          </w:tcPr>
          <w:p w:rsidR="00B159A2" w:rsidRPr="00B159A2" w:rsidRDefault="00773825" w:rsidP="001B7F7A">
            <w:pPr>
              <w:pStyle w:val="ListParagraph"/>
              <w:spacing w:after="0" w:line="240" w:lineRule="exact"/>
              <w:ind w:left="0"/>
              <w:jc w:val="center"/>
              <w:rPr>
                <w:rFonts w:cs="Times New Roman"/>
                <w:sz w:val="18"/>
                <w:szCs w:val="18"/>
              </w:rPr>
            </w:pPr>
            <w:r>
              <w:rPr>
                <w:rFonts w:cs="Times New Roman"/>
                <w:sz w:val="18"/>
                <w:szCs w:val="18"/>
              </w:rPr>
              <w:t>30%</w:t>
            </w:r>
          </w:p>
        </w:tc>
        <w:tc>
          <w:tcPr>
            <w:tcW w:w="1063" w:type="dxa"/>
            <w:shd w:val="clear" w:color="auto" w:fill="FFFFFF" w:themeFill="background1"/>
            <w:vAlign w:val="center"/>
          </w:tcPr>
          <w:p w:rsidR="00B159A2" w:rsidRPr="00B159A2" w:rsidRDefault="00ED4193" w:rsidP="001B7F7A">
            <w:pPr>
              <w:pStyle w:val="ListParagraph"/>
              <w:spacing w:after="0" w:line="240" w:lineRule="exact"/>
              <w:ind w:left="0"/>
              <w:jc w:val="center"/>
              <w:rPr>
                <w:rFonts w:cs="Times New Roman"/>
                <w:sz w:val="18"/>
                <w:szCs w:val="18"/>
              </w:rPr>
            </w:pPr>
            <w:r>
              <w:rPr>
                <w:rFonts w:cs="Times New Roman"/>
                <w:sz w:val="18"/>
                <w:szCs w:val="18"/>
              </w:rPr>
              <w:t>20030917</w:t>
            </w:r>
          </w:p>
        </w:tc>
      </w:tr>
      <w:tr w:rsidR="00B56055" w:rsidRPr="00396779" w:rsidTr="00EB4757">
        <w:trPr>
          <w:trHeight w:val="125"/>
          <w:jc w:val="center"/>
        </w:trPr>
        <w:tc>
          <w:tcPr>
            <w:tcW w:w="1865" w:type="dxa"/>
            <w:tcBorders>
              <w:bottom w:val="single" w:sz="4" w:space="0" w:color="auto"/>
              <w:right w:val="single" w:sz="4" w:space="0" w:color="auto"/>
            </w:tcBorders>
            <w:shd w:val="clear" w:color="auto" w:fill="FFFFFF" w:themeFill="background1"/>
          </w:tcPr>
          <w:p w:rsidR="00B56055" w:rsidRDefault="00B56055" w:rsidP="00E90753">
            <w:pPr>
              <w:pStyle w:val="ListParagraph"/>
              <w:spacing w:after="0" w:line="240" w:lineRule="exact"/>
              <w:ind w:left="0"/>
              <w:rPr>
                <w:rFonts w:cs="Times New Roman"/>
                <w:sz w:val="18"/>
                <w:szCs w:val="18"/>
              </w:rPr>
            </w:pPr>
            <w:r>
              <w:rPr>
                <w:rFonts w:cs="Times New Roman"/>
                <w:sz w:val="18"/>
                <w:szCs w:val="18"/>
              </w:rPr>
              <w:t>Testicular Pain w/</w:t>
            </w:r>
            <w:r w:rsidR="00E90753">
              <w:rPr>
                <w:rFonts w:cs="Times New Roman"/>
                <w:sz w:val="18"/>
                <w:szCs w:val="18"/>
              </w:rPr>
              <w:t xml:space="preserve"> </w:t>
            </w:r>
            <w:r>
              <w:rPr>
                <w:rFonts w:cs="Times New Roman"/>
                <w:sz w:val="18"/>
                <w:szCs w:val="18"/>
              </w:rPr>
              <w:t>E</w:t>
            </w:r>
            <w:r w:rsidR="00E90753">
              <w:rPr>
                <w:rFonts w:cs="Times New Roman"/>
                <w:sz w:val="18"/>
                <w:szCs w:val="18"/>
              </w:rPr>
              <w:t>D</w:t>
            </w:r>
          </w:p>
        </w:tc>
        <w:tc>
          <w:tcPr>
            <w:tcW w:w="1980" w:type="dxa"/>
            <w:gridSpan w:val="2"/>
            <w:tcBorders>
              <w:top w:val="single" w:sz="4" w:space="0" w:color="auto"/>
              <w:left w:val="single" w:sz="4" w:space="0" w:color="auto"/>
              <w:bottom w:val="single" w:sz="4" w:space="0" w:color="auto"/>
              <w:right w:val="thinThickThinSmallGap" w:sz="24" w:space="0" w:color="auto"/>
            </w:tcBorders>
            <w:shd w:val="clear" w:color="auto" w:fill="FFFFFF" w:themeFill="background1"/>
            <w:vAlign w:val="center"/>
          </w:tcPr>
          <w:p w:rsidR="00B56055" w:rsidRDefault="00B56055" w:rsidP="001B7F7A">
            <w:pPr>
              <w:pStyle w:val="ListParagraph"/>
              <w:spacing w:after="0" w:line="240" w:lineRule="exact"/>
              <w:ind w:left="0"/>
              <w:jc w:val="center"/>
              <w:rPr>
                <w:rFonts w:cs="Times New Roman"/>
                <w:sz w:val="18"/>
                <w:szCs w:val="18"/>
              </w:rPr>
            </w:pPr>
            <w:r>
              <w:rPr>
                <w:rFonts w:cs="Times New Roman"/>
                <w:sz w:val="18"/>
                <w:szCs w:val="18"/>
              </w:rPr>
              <w:t>Not Unfitting</w:t>
            </w:r>
          </w:p>
        </w:tc>
        <w:tc>
          <w:tcPr>
            <w:tcW w:w="2980" w:type="dxa"/>
            <w:tcBorders>
              <w:left w:val="thinThickThinSmallGap" w:sz="24" w:space="0" w:color="auto"/>
            </w:tcBorders>
            <w:shd w:val="clear" w:color="auto" w:fill="FFFFFF" w:themeFill="background1"/>
            <w:vAlign w:val="center"/>
          </w:tcPr>
          <w:p w:rsidR="00B56055" w:rsidRPr="00773825" w:rsidRDefault="00B56055" w:rsidP="00E90753">
            <w:pPr>
              <w:spacing w:line="240" w:lineRule="exact"/>
              <w:rPr>
                <w:color w:val="auto"/>
                <w:sz w:val="18"/>
                <w:szCs w:val="18"/>
              </w:rPr>
            </w:pPr>
            <w:r>
              <w:rPr>
                <w:color w:val="auto"/>
                <w:sz w:val="18"/>
                <w:szCs w:val="18"/>
              </w:rPr>
              <w:t>E</w:t>
            </w:r>
            <w:r w:rsidR="00E90753">
              <w:rPr>
                <w:color w:val="auto"/>
                <w:sz w:val="18"/>
                <w:szCs w:val="18"/>
              </w:rPr>
              <w:t>D</w:t>
            </w:r>
            <w:r>
              <w:rPr>
                <w:color w:val="auto"/>
                <w:sz w:val="18"/>
                <w:szCs w:val="18"/>
              </w:rPr>
              <w:t xml:space="preserve"> w/Testicular Pain</w:t>
            </w:r>
          </w:p>
        </w:tc>
        <w:tc>
          <w:tcPr>
            <w:tcW w:w="720" w:type="dxa"/>
            <w:shd w:val="clear" w:color="auto" w:fill="FFFFFF" w:themeFill="background1"/>
            <w:vAlign w:val="center"/>
          </w:tcPr>
          <w:p w:rsidR="00B56055" w:rsidRDefault="00B56055" w:rsidP="001B7F7A">
            <w:pPr>
              <w:pStyle w:val="ListParagraph"/>
              <w:spacing w:after="0" w:line="240" w:lineRule="exact"/>
              <w:ind w:left="0"/>
              <w:jc w:val="center"/>
              <w:rPr>
                <w:rFonts w:cs="Times New Roman"/>
                <w:sz w:val="18"/>
                <w:szCs w:val="18"/>
              </w:rPr>
            </w:pPr>
            <w:r>
              <w:rPr>
                <w:rFonts w:cs="Times New Roman"/>
                <w:sz w:val="18"/>
                <w:szCs w:val="18"/>
              </w:rPr>
              <w:t>7522</w:t>
            </w:r>
          </w:p>
        </w:tc>
        <w:tc>
          <w:tcPr>
            <w:tcW w:w="810" w:type="dxa"/>
            <w:shd w:val="clear" w:color="auto" w:fill="FFFFFF" w:themeFill="background1"/>
            <w:vAlign w:val="center"/>
          </w:tcPr>
          <w:p w:rsidR="00B56055" w:rsidRDefault="00B56055" w:rsidP="001B7F7A">
            <w:pPr>
              <w:pStyle w:val="ListParagraph"/>
              <w:spacing w:after="0" w:line="240" w:lineRule="exact"/>
              <w:ind w:left="0"/>
              <w:jc w:val="center"/>
              <w:rPr>
                <w:rFonts w:cs="Times New Roman"/>
                <w:sz w:val="18"/>
                <w:szCs w:val="18"/>
              </w:rPr>
            </w:pPr>
            <w:r>
              <w:rPr>
                <w:rFonts w:cs="Times New Roman"/>
                <w:sz w:val="18"/>
                <w:szCs w:val="18"/>
              </w:rPr>
              <w:t>0%</w:t>
            </w:r>
          </w:p>
        </w:tc>
        <w:tc>
          <w:tcPr>
            <w:tcW w:w="1063" w:type="dxa"/>
            <w:shd w:val="clear" w:color="auto" w:fill="FFFFFF" w:themeFill="background1"/>
            <w:vAlign w:val="center"/>
          </w:tcPr>
          <w:p w:rsidR="00B56055" w:rsidRDefault="00B56055" w:rsidP="001B7F7A">
            <w:pPr>
              <w:pStyle w:val="ListParagraph"/>
              <w:spacing w:after="0" w:line="240" w:lineRule="exact"/>
              <w:ind w:left="0"/>
              <w:jc w:val="center"/>
              <w:rPr>
                <w:rFonts w:cs="Times New Roman"/>
                <w:sz w:val="18"/>
                <w:szCs w:val="18"/>
              </w:rPr>
            </w:pPr>
            <w:r>
              <w:rPr>
                <w:rFonts w:cs="Times New Roman"/>
                <w:sz w:val="18"/>
                <w:szCs w:val="18"/>
              </w:rPr>
              <w:t>20030910</w:t>
            </w:r>
          </w:p>
        </w:tc>
      </w:tr>
      <w:tr w:rsidR="00ED4193" w:rsidRPr="00396779" w:rsidTr="00EB4757">
        <w:trPr>
          <w:trHeight w:val="125"/>
          <w:jc w:val="center"/>
        </w:trPr>
        <w:tc>
          <w:tcPr>
            <w:tcW w:w="3845" w:type="dxa"/>
            <w:gridSpan w:val="3"/>
            <w:vMerge w:val="restart"/>
            <w:tcBorders>
              <w:right w:val="thinThickThinSmallGap" w:sz="24" w:space="0" w:color="auto"/>
            </w:tcBorders>
            <w:shd w:val="clear" w:color="auto" w:fill="FFFFFF" w:themeFill="background1"/>
            <w:vAlign w:val="center"/>
          </w:tcPr>
          <w:p w:rsidR="00ED4193" w:rsidRDefault="00ED4193" w:rsidP="001B7F7A">
            <w:pPr>
              <w:pStyle w:val="ListParagraph"/>
              <w:spacing w:after="0" w:line="240" w:lineRule="exact"/>
              <w:ind w:left="0"/>
              <w:jc w:val="center"/>
              <w:rPr>
                <w:rFonts w:cs="Times New Roman"/>
                <w:sz w:val="18"/>
                <w:szCs w:val="18"/>
              </w:rPr>
            </w:pPr>
            <w:r w:rsidRPr="00396779">
              <w:rPr>
                <w:rFonts w:cs="Times New Roman"/>
                <w:sz w:val="18"/>
                <w:szCs w:val="18"/>
              </w:rPr>
              <w:t>↓No Additional MEB</w:t>
            </w:r>
            <w:r w:rsidR="00E90753">
              <w:rPr>
                <w:rFonts w:cs="Times New Roman"/>
                <w:sz w:val="18"/>
                <w:szCs w:val="18"/>
              </w:rPr>
              <w:t>/PEB</w:t>
            </w:r>
            <w:r w:rsidRPr="00396779">
              <w:rPr>
                <w:rFonts w:cs="Times New Roman"/>
                <w:sz w:val="18"/>
                <w:szCs w:val="18"/>
              </w:rPr>
              <w:t xml:space="preserve"> Entries↓</w:t>
            </w:r>
          </w:p>
        </w:tc>
        <w:tc>
          <w:tcPr>
            <w:tcW w:w="2980" w:type="dxa"/>
            <w:tcBorders>
              <w:left w:val="thinThickThinSmallGap" w:sz="24" w:space="0" w:color="auto"/>
            </w:tcBorders>
            <w:shd w:val="clear" w:color="auto" w:fill="FFFFFF" w:themeFill="background1"/>
            <w:vAlign w:val="center"/>
          </w:tcPr>
          <w:p w:rsidR="00ED4193" w:rsidRPr="00773825" w:rsidRDefault="00ED4193" w:rsidP="001B7F7A">
            <w:pPr>
              <w:spacing w:line="240" w:lineRule="exact"/>
              <w:rPr>
                <w:color w:val="auto"/>
                <w:sz w:val="18"/>
                <w:szCs w:val="18"/>
              </w:rPr>
            </w:pPr>
            <w:r>
              <w:rPr>
                <w:color w:val="auto"/>
                <w:sz w:val="18"/>
                <w:szCs w:val="18"/>
              </w:rPr>
              <w:t>Tinnitus</w:t>
            </w:r>
          </w:p>
        </w:tc>
        <w:tc>
          <w:tcPr>
            <w:tcW w:w="720" w:type="dxa"/>
            <w:shd w:val="clear" w:color="auto" w:fill="FFFFFF" w:themeFill="background1"/>
          </w:tcPr>
          <w:p w:rsidR="00ED4193" w:rsidRDefault="00ED4193" w:rsidP="001B7F7A">
            <w:pPr>
              <w:pStyle w:val="ListParagraph"/>
              <w:spacing w:after="0" w:line="240" w:lineRule="exact"/>
              <w:ind w:left="0"/>
              <w:jc w:val="center"/>
              <w:rPr>
                <w:rFonts w:cs="Times New Roman"/>
                <w:sz w:val="18"/>
                <w:szCs w:val="18"/>
              </w:rPr>
            </w:pPr>
            <w:r>
              <w:rPr>
                <w:rFonts w:cs="Times New Roman"/>
                <w:sz w:val="18"/>
                <w:szCs w:val="18"/>
              </w:rPr>
              <w:t>6260</w:t>
            </w:r>
          </w:p>
        </w:tc>
        <w:tc>
          <w:tcPr>
            <w:tcW w:w="810" w:type="dxa"/>
            <w:shd w:val="clear" w:color="auto" w:fill="FFFFFF" w:themeFill="background1"/>
          </w:tcPr>
          <w:p w:rsidR="00ED4193" w:rsidRDefault="00ED4193" w:rsidP="001B7F7A">
            <w:pPr>
              <w:pStyle w:val="ListParagraph"/>
              <w:spacing w:after="0" w:line="240" w:lineRule="exact"/>
              <w:ind w:left="0"/>
              <w:jc w:val="center"/>
              <w:rPr>
                <w:rFonts w:cs="Times New Roman"/>
                <w:sz w:val="18"/>
                <w:szCs w:val="18"/>
              </w:rPr>
            </w:pPr>
            <w:r>
              <w:rPr>
                <w:rFonts w:cs="Times New Roman"/>
                <w:sz w:val="18"/>
                <w:szCs w:val="18"/>
              </w:rPr>
              <w:t>10%</w:t>
            </w:r>
          </w:p>
        </w:tc>
        <w:tc>
          <w:tcPr>
            <w:tcW w:w="1063" w:type="dxa"/>
            <w:shd w:val="clear" w:color="auto" w:fill="FFFFFF" w:themeFill="background1"/>
            <w:vAlign w:val="center"/>
          </w:tcPr>
          <w:p w:rsidR="00ED4193" w:rsidRPr="00B159A2" w:rsidRDefault="00ED4193" w:rsidP="001B7F7A">
            <w:pPr>
              <w:pStyle w:val="ListParagraph"/>
              <w:spacing w:after="0" w:line="240" w:lineRule="exact"/>
              <w:ind w:left="0"/>
              <w:jc w:val="center"/>
              <w:rPr>
                <w:rFonts w:cs="Times New Roman"/>
                <w:sz w:val="18"/>
                <w:szCs w:val="18"/>
              </w:rPr>
            </w:pPr>
            <w:r>
              <w:rPr>
                <w:rFonts w:cs="Times New Roman"/>
                <w:sz w:val="18"/>
                <w:szCs w:val="18"/>
              </w:rPr>
              <w:t>20030910</w:t>
            </w:r>
          </w:p>
        </w:tc>
      </w:tr>
      <w:tr w:rsidR="00ED4193" w:rsidRPr="00396779" w:rsidTr="00EB4757">
        <w:trPr>
          <w:trHeight w:val="125"/>
          <w:jc w:val="center"/>
        </w:trPr>
        <w:tc>
          <w:tcPr>
            <w:tcW w:w="3845" w:type="dxa"/>
            <w:gridSpan w:val="3"/>
            <w:vMerge/>
            <w:tcBorders>
              <w:right w:val="thinThickThinSmallGap" w:sz="24" w:space="0" w:color="auto"/>
            </w:tcBorders>
            <w:shd w:val="clear" w:color="auto" w:fill="FFFFFF" w:themeFill="background1"/>
          </w:tcPr>
          <w:p w:rsidR="00ED4193" w:rsidRDefault="00ED4193" w:rsidP="001B7F7A">
            <w:pPr>
              <w:pStyle w:val="ListParagraph"/>
              <w:spacing w:after="0" w:line="240" w:lineRule="exact"/>
              <w:ind w:left="0"/>
              <w:jc w:val="center"/>
              <w:rPr>
                <w:rFonts w:cs="Times New Roman"/>
                <w:sz w:val="18"/>
                <w:szCs w:val="18"/>
              </w:rPr>
            </w:pPr>
          </w:p>
        </w:tc>
        <w:tc>
          <w:tcPr>
            <w:tcW w:w="2980" w:type="dxa"/>
            <w:tcBorders>
              <w:left w:val="thinThickThinSmallGap" w:sz="24" w:space="0" w:color="auto"/>
            </w:tcBorders>
            <w:shd w:val="clear" w:color="auto" w:fill="FFFFFF" w:themeFill="background1"/>
            <w:vAlign w:val="center"/>
          </w:tcPr>
          <w:p w:rsidR="00ED4193" w:rsidRPr="00773825" w:rsidRDefault="00ED4193" w:rsidP="001B7F7A">
            <w:pPr>
              <w:spacing w:line="240" w:lineRule="exact"/>
              <w:rPr>
                <w:color w:val="auto"/>
                <w:sz w:val="18"/>
                <w:szCs w:val="18"/>
              </w:rPr>
            </w:pPr>
            <w:r>
              <w:rPr>
                <w:color w:val="auto"/>
                <w:sz w:val="18"/>
                <w:szCs w:val="18"/>
              </w:rPr>
              <w:t>Hypertension</w:t>
            </w:r>
          </w:p>
        </w:tc>
        <w:tc>
          <w:tcPr>
            <w:tcW w:w="720" w:type="dxa"/>
            <w:shd w:val="clear" w:color="auto" w:fill="FFFFFF" w:themeFill="background1"/>
          </w:tcPr>
          <w:p w:rsidR="00ED4193" w:rsidRDefault="00ED4193" w:rsidP="001B7F7A">
            <w:pPr>
              <w:pStyle w:val="ListParagraph"/>
              <w:spacing w:after="0" w:line="240" w:lineRule="exact"/>
              <w:ind w:left="0"/>
              <w:jc w:val="center"/>
              <w:rPr>
                <w:rFonts w:cs="Times New Roman"/>
                <w:sz w:val="18"/>
                <w:szCs w:val="18"/>
              </w:rPr>
            </w:pPr>
            <w:r>
              <w:rPr>
                <w:rFonts w:cs="Times New Roman"/>
                <w:sz w:val="18"/>
                <w:szCs w:val="18"/>
              </w:rPr>
              <w:t>7101</w:t>
            </w:r>
          </w:p>
        </w:tc>
        <w:tc>
          <w:tcPr>
            <w:tcW w:w="810" w:type="dxa"/>
            <w:shd w:val="clear" w:color="auto" w:fill="FFFFFF" w:themeFill="background1"/>
          </w:tcPr>
          <w:p w:rsidR="00ED4193" w:rsidRDefault="00ED4193" w:rsidP="001B7F7A">
            <w:pPr>
              <w:pStyle w:val="ListParagraph"/>
              <w:spacing w:after="0" w:line="240" w:lineRule="exact"/>
              <w:ind w:left="0"/>
              <w:jc w:val="center"/>
              <w:rPr>
                <w:rFonts w:cs="Times New Roman"/>
                <w:sz w:val="18"/>
                <w:szCs w:val="18"/>
              </w:rPr>
            </w:pPr>
            <w:r>
              <w:rPr>
                <w:rFonts w:cs="Times New Roman"/>
                <w:sz w:val="18"/>
                <w:szCs w:val="18"/>
              </w:rPr>
              <w:t>10%</w:t>
            </w:r>
          </w:p>
        </w:tc>
        <w:tc>
          <w:tcPr>
            <w:tcW w:w="1063" w:type="dxa"/>
            <w:shd w:val="clear" w:color="auto" w:fill="FFFFFF" w:themeFill="background1"/>
            <w:vAlign w:val="center"/>
          </w:tcPr>
          <w:p w:rsidR="00ED4193" w:rsidRPr="00B159A2" w:rsidRDefault="00ED4193" w:rsidP="001B7F7A">
            <w:pPr>
              <w:pStyle w:val="ListParagraph"/>
              <w:spacing w:after="0" w:line="240" w:lineRule="exact"/>
              <w:ind w:left="0"/>
              <w:jc w:val="center"/>
              <w:rPr>
                <w:rFonts w:cs="Times New Roman"/>
                <w:sz w:val="18"/>
                <w:szCs w:val="18"/>
              </w:rPr>
            </w:pPr>
            <w:r>
              <w:rPr>
                <w:rFonts w:cs="Times New Roman"/>
                <w:sz w:val="18"/>
                <w:szCs w:val="18"/>
              </w:rPr>
              <w:t>20030910</w:t>
            </w:r>
          </w:p>
        </w:tc>
      </w:tr>
      <w:tr w:rsidR="00ED4193" w:rsidRPr="00396779" w:rsidTr="00EB4757">
        <w:trPr>
          <w:trHeight w:val="125"/>
          <w:jc w:val="center"/>
        </w:trPr>
        <w:tc>
          <w:tcPr>
            <w:tcW w:w="3845" w:type="dxa"/>
            <w:gridSpan w:val="3"/>
            <w:vMerge/>
            <w:tcBorders>
              <w:bottom w:val="single" w:sz="4" w:space="0" w:color="auto"/>
              <w:right w:val="thinThickThinSmallGap" w:sz="24" w:space="0" w:color="auto"/>
            </w:tcBorders>
            <w:shd w:val="clear" w:color="auto" w:fill="FFFFFF" w:themeFill="background1"/>
          </w:tcPr>
          <w:p w:rsidR="00ED4193" w:rsidRPr="00396779" w:rsidRDefault="00ED4193" w:rsidP="001B7F7A">
            <w:pPr>
              <w:pStyle w:val="ListParagraph"/>
              <w:spacing w:after="0" w:line="240" w:lineRule="exact"/>
              <w:ind w:left="0"/>
              <w:jc w:val="center"/>
              <w:rPr>
                <w:rFonts w:cs="Times New Roman"/>
                <w:sz w:val="18"/>
                <w:szCs w:val="18"/>
              </w:rPr>
            </w:pPr>
          </w:p>
        </w:tc>
        <w:tc>
          <w:tcPr>
            <w:tcW w:w="4510" w:type="dxa"/>
            <w:gridSpan w:val="3"/>
            <w:tcBorders>
              <w:left w:val="thinThickThinSmallGap" w:sz="24" w:space="0" w:color="auto"/>
            </w:tcBorders>
            <w:shd w:val="clear" w:color="auto" w:fill="FFFFFF" w:themeFill="background1"/>
          </w:tcPr>
          <w:p w:rsidR="00ED4193" w:rsidRPr="00396779" w:rsidRDefault="00ED4193" w:rsidP="001B7F7A">
            <w:pPr>
              <w:pStyle w:val="ListParagraph"/>
              <w:spacing w:after="0" w:line="240" w:lineRule="exact"/>
              <w:ind w:left="0"/>
              <w:jc w:val="center"/>
              <w:rPr>
                <w:rFonts w:cs="Times New Roman"/>
                <w:sz w:val="18"/>
                <w:szCs w:val="18"/>
              </w:rPr>
            </w:pPr>
            <w:r>
              <w:rPr>
                <w:rFonts w:cs="Times New Roman"/>
                <w:sz w:val="18"/>
                <w:szCs w:val="18"/>
              </w:rPr>
              <w:t xml:space="preserve"> </w:t>
            </w:r>
            <w:r w:rsidR="002271AF">
              <w:rPr>
                <w:rFonts w:cs="Times New Roman"/>
                <w:sz w:val="18"/>
                <w:szCs w:val="18"/>
              </w:rPr>
              <w:t>Not Service Connected (</w:t>
            </w:r>
            <w:r>
              <w:rPr>
                <w:rFonts w:cs="Times New Roman"/>
                <w:sz w:val="18"/>
                <w:szCs w:val="18"/>
              </w:rPr>
              <w:t>NSC</w:t>
            </w:r>
            <w:r w:rsidR="002271AF">
              <w:rPr>
                <w:rFonts w:cs="Times New Roman"/>
                <w:sz w:val="18"/>
                <w:szCs w:val="18"/>
              </w:rPr>
              <w:t>)</w:t>
            </w:r>
            <w:r>
              <w:rPr>
                <w:rFonts w:cs="Times New Roman"/>
                <w:sz w:val="18"/>
                <w:szCs w:val="18"/>
              </w:rPr>
              <w:t xml:space="preserve"> x 4</w:t>
            </w:r>
          </w:p>
        </w:tc>
        <w:tc>
          <w:tcPr>
            <w:tcW w:w="1063" w:type="dxa"/>
            <w:shd w:val="clear" w:color="auto" w:fill="FFFFFF" w:themeFill="background1"/>
            <w:vAlign w:val="center"/>
          </w:tcPr>
          <w:p w:rsidR="00ED4193" w:rsidRPr="00396779" w:rsidRDefault="009A2E97" w:rsidP="001B7F7A">
            <w:pPr>
              <w:pStyle w:val="ListParagraph"/>
              <w:spacing w:after="0" w:line="240" w:lineRule="exact"/>
              <w:ind w:left="0"/>
              <w:jc w:val="center"/>
              <w:rPr>
                <w:rFonts w:cs="Times New Roman"/>
                <w:sz w:val="18"/>
                <w:szCs w:val="18"/>
              </w:rPr>
            </w:pPr>
            <w:r>
              <w:rPr>
                <w:rFonts w:cs="Times New Roman"/>
                <w:sz w:val="18"/>
                <w:szCs w:val="18"/>
              </w:rPr>
              <w:t>20030910</w:t>
            </w:r>
          </w:p>
        </w:tc>
      </w:tr>
      <w:tr w:rsidR="00C87F76" w:rsidRPr="00396779" w:rsidTr="00EB4757">
        <w:trPr>
          <w:trHeight w:val="242"/>
          <w:jc w:val="center"/>
        </w:trPr>
        <w:tc>
          <w:tcPr>
            <w:tcW w:w="3845" w:type="dxa"/>
            <w:gridSpan w:val="3"/>
            <w:tcBorders>
              <w:right w:val="thinThickThinSmallGap" w:sz="24" w:space="0" w:color="auto"/>
            </w:tcBorders>
            <w:shd w:val="clear" w:color="auto" w:fill="D9D9D9" w:themeFill="background1" w:themeFillShade="D9"/>
          </w:tcPr>
          <w:p w:rsidR="00C87F76" w:rsidRPr="00396779" w:rsidRDefault="00C87F76" w:rsidP="001B7F7A">
            <w:pPr>
              <w:pStyle w:val="ListParagraph"/>
              <w:spacing w:after="0" w:line="240" w:lineRule="exact"/>
              <w:ind w:left="0"/>
              <w:jc w:val="center"/>
              <w:rPr>
                <w:rFonts w:cs="Times New Roman"/>
                <w:b/>
                <w:sz w:val="20"/>
                <w:szCs w:val="20"/>
              </w:rPr>
            </w:pPr>
            <w:r w:rsidRPr="00396779">
              <w:rPr>
                <w:rFonts w:cs="Times New Roman"/>
                <w:b/>
                <w:sz w:val="20"/>
                <w:szCs w:val="20"/>
              </w:rPr>
              <w:t xml:space="preserve">Combined: </w:t>
            </w:r>
            <w:r w:rsidR="00ED4193" w:rsidRPr="00ED4193">
              <w:rPr>
                <w:rFonts w:cs="Times New Roman"/>
                <w:b/>
                <w:sz w:val="20"/>
                <w:szCs w:val="20"/>
              </w:rPr>
              <w:t>10%</w:t>
            </w:r>
          </w:p>
        </w:tc>
        <w:tc>
          <w:tcPr>
            <w:tcW w:w="5573" w:type="dxa"/>
            <w:gridSpan w:val="4"/>
            <w:tcBorders>
              <w:left w:val="thinThickThinSmallGap" w:sz="24" w:space="0" w:color="auto"/>
            </w:tcBorders>
            <w:shd w:val="clear" w:color="auto" w:fill="D9D9D9" w:themeFill="background1" w:themeFillShade="D9"/>
          </w:tcPr>
          <w:p w:rsidR="00C87F76" w:rsidRPr="00396779" w:rsidRDefault="00C87F76" w:rsidP="001B7F7A">
            <w:pPr>
              <w:pStyle w:val="ListParagraph"/>
              <w:spacing w:after="0" w:line="240" w:lineRule="exact"/>
              <w:ind w:left="0"/>
              <w:jc w:val="center"/>
              <w:rPr>
                <w:rFonts w:cs="Times New Roman"/>
                <w:b/>
                <w:sz w:val="20"/>
                <w:szCs w:val="20"/>
              </w:rPr>
            </w:pPr>
            <w:r w:rsidRPr="00396779">
              <w:rPr>
                <w:rFonts w:cs="Times New Roman"/>
                <w:b/>
                <w:sz w:val="20"/>
                <w:szCs w:val="20"/>
              </w:rPr>
              <w:t>Combined</w:t>
            </w:r>
            <w:r w:rsidR="006F48FC">
              <w:rPr>
                <w:rFonts w:cs="Times New Roman"/>
                <w:b/>
                <w:sz w:val="20"/>
                <w:szCs w:val="20"/>
              </w:rPr>
              <w:t xml:space="preserve">:  </w:t>
            </w:r>
            <w:r w:rsidR="00ED4193">
              <w:rPr>
                <w:rFonts w:cs="Times New Roman"/>
                <w:b/>
                <w:sz w:val="20"/>
                <w:szCs w:val="20"/>
              </w:rPr>
              <w:t>7</w:t>
            </w:r>
            <w:r w:rsidRPr="00396779">
              <w:rPr>
                <w:rFonts w:cs="Times New Roman"/>
                <w:b/>
                <w:sz w:val="20"/>
                <w:szCs w:val="20"/>
              </w:rPr>
              <w:t>0%</w:t>
            </w:r>
          </w:p>
        </w:tc>
      </w:tr>
    </w:tbl>
    <w:p w:rsidR="00022CF3" w:rsidRPr="009218B5" w:rsidRDefault="00022CF3" w:rsidP="001B7F7A">
      <w:pPr>
        <w:tabs>
          <w:tab w:val="left" w:pos="288"/>
          <w:tab w:val="left" w:pos="4752"/>
        </w:tabs>
        <w:spacing w:line="240" w:lineRule="exact"/>
        <w:rPr>
          <w:rFonts w:asciiTheme="minorHAnsi" w:hAnsiTheme="minorHAnsi"/>
          <w:color w:val="auto"/>
          <w:sz w:val="18"/>
          <w:szCs w:val="18"/>
        </w:rPr>
      </w:pPr>
      <w:r w:rsidRPr="009218B5">
        <w:rPr>
          <w:rFonts w:asciiTheme="minorHAnsi" w:hAnsiTheme="minorHAnsi"/>
          <w:color w:val="auto"/>
          <w:sz w:val="18"/>
          <w:szCs w:val="18"/>
        </w:rPr>
        <w:t>*</w:t>
      </w:r>
      <w:r w:rsidR="00EB4757" w:rsidRPr="009218B5">
        <w:rPr>
          <w:rFonts w:asciiTheme="minorHAnsi" w:hAnsiTheme="minorHAnsi"/>
          <w:color w:val="auto"/>
          <w:sz w:val="18"/>
          <w:szCs w:val="18"/>
        </w:rPr>
        <w:t>VA Rating for Back Pain was later i</w:t>
      </w:r>
      <w:r w:rsidRPr="009218B5">
        <w:rPr>
          <w:rFonts w:asciiTheme="minorHAnsi" w:hAnsiTheme="minorHAnsi"/>
          <w:color w:val="auto"/>
          <w:sz w:val="18"/>
          <w:szCs w:val="18"/>
        </w:rPr>
        <w:t xml:space="preserve">ncreased to </w:t>
      </w:r>
      <w:r w:rsidR="00ED4193" w:rsidRPr="009218B5">
        <w:rPr>
          <w:rFonts w:asciiTheme="minorHAnsi" w:hAnsiTheme="minorHAnsi"/>
          <w:color w:val="auto"/>
          <w:sz w:val="18"/>
          <w:szCs w:val="18"/>
        </w:rPr>
        <w:t>2</w:t>
      </w:r>
      <w:r w:rsidRPr="009218B5">
        <w:rPr>
          <w:rFonts w:asciiTheme="minorHAnsi" w:hAnsiTheme="minorHAnsi"/>
          <w:color w:val="auto"/>
          <w:sz w:val="18"/>
          <w:szCs w:val="18"/>
        </w:rPr>
        <w:t>0%</w:t>
      </w:r>
      <w:r w:rsidR="00EB4757" w:rsidRPr="009218B5">
        <w:rPr>
          <w:rFonts w:asciiTheme="minorHAnsi" w:hAnsiTheme="minorHAnsi"/>
          <w:color w:val="auto"/>
          <w:sz w:val="18"/>
          <w:szCs w:val="18"/>
        </w:rPr>
        <w:t>,</w:t>
      </w:r>
      <w:r w:rsidRPr="009218B5">
        <w:rPr>
          <w:rFonts w:asciiTheme="minorHAnsi" w:hAnsiTheme="minorHAnsi"/>
          <w:color w:val="auto"/>
          <w:sz w:val="18"/>
          <w:szCs w:val="18"/>
        </w:rPr>
        <w:t xml:space="preserve"> </w:t>
      </w:r>
      <w:r w:rsidR="00EB4757" w:rsidRPr="009218B5">
        <w:rPr>
          <w:rFonts w:asciiTheme="minorHAnsi" w:hAnsiTheme="minorHAnsi"/>
          <w:color w:val="auto"/>
          <w:sz w:val="18"/>
          <w:szCs w:val="18"/>
        </w:rPr>
        <w:t xml:space="preserve">based on a subsequent VA Rating Decision (dated </w:t>
      </w:r>
      <w:r w:rsidRPr="009218B5">
        <w:rPr>
          <w:rFonts w:asciiTheme="minorHAnsi" w:hAnsiTheme="minorHAnsi"/>
          <w:color w:val="auto"/>
          <w:sz w:val="18"/>
          <w:szCs w:val="18"/>
        </w:rPr>
        <w:t>200</w:t>
      </w:r>
      <w:r w:rsidR="00EB4757" w:rsidRPr="009218B5">
        <w:rPr>
          <w:rFonts w:asciiTheme="minorHAnsi" w:hAnsiTheme="minorHAnsi"/>
          <w:color w:val="auto"/>
          <w:sz w:val="18"/>
          <w:szCs w:val="18"/>
        </w:rPr>
        <w:t>51121)</w:t>
      </w:r>
    </w:p>
    <w:p w:rsidR="00106AD8" w:rsidRPr="00CD5BD7" w:rsidRDefault="00106AD8" w:rsidP="001B7F7A">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B7F7A">
      <w:pPr>
        <w:tabs>
          <w:tab w:val="left" w:pos="288"/>
          <w:tab w:val="left" w:pos="4752"/>
        </w:tabs>
        <w:spacing w:line="240" w:lineRule="exact"/>
        <w:rPr>
          <w:rFonts w:ascii="Calibri" w:hAnsi="Calibri"/>
          <w:color w:val="000080"/>
          <w:szCs w:val="24"/>
        </w:rPr>
      </w:pPr>
    </w:p>
    <w:p w:rsidR="002C6E5B" w:rsidRDefault="002C6E5B" w:rsidP="001B7F7A">
      <w:pPr>
        <w:tabs>
          <w:tab w:val="left" w:pos="288"/>
          <w:tab w:val="left" w:pos="4752"/>
        </w:tabs>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p>
    <w:p w:rsidR="00750F79" w:rsidRPr="00F90AAF" w:rsidRDefault="00F90AAF" w:rsidP="001B7F7A">
      <w:pPr>
        <w:tabs>
          <w:tab w:val="left" w:pos="288"/>
          <w:tab w:val="left" w:pos="4752"/>
        </w:tabs>
        <w:spacing w:line="240" w:lineRule="exact"/>
        <w:jc w:val="both"/>
        <w:rPr>
          <w:rFonts w:asciiTheme="minorHAnsi" w:hAnsiTheme="minorHAnsi" w:cstheme="minorHAnsi"/>
          <w:color w:val="auto"/>
          <w:szCs w:val="24"/>
        </w:rPr>
      </w:pPr>
      <w:r w:rsidRPr="00F90AAF">
        <w:rPr>
          <w:rFonts w:asciiTheme="minorHAnsi" w:hAnsiTheme="minorHAnsi" w:cstheme="minorHAnsi"/>
          <w:color w:val="auto"/>
          <w:szCs w:val="24"/>
        </w:rPr>
        <w:t>The Board acknowledges the sentiment expressed by the CI regarding the significant impairment with which his condition</w:t>
      </w:r>
      <w:r w:rsidR="00BF51F0">
        <w:rPr>
          <w:rFonts w:asciiTheme="minorHAnsi" w:hAnsiTheme="minorHAnsi" w:cstheme="minorHAnsi"/>
          <w:color w:val="auto"/>
          <w:szCs w:val="24"/>
        </w:rPr>
        <w:t>s</w:t>
      </w:r>
      <w:r w:rsidRPr="00F90AAF">
        <w:rPr>
          <w:rFonts w:asciiTheme="minorHAnsi" w:hAnsiTheme="minorHAnsi" w:cstheme="minorHAnsi"/>
          <w:color w:val="auto"/>
          <w:szCs w:val="24"/>
        </w:rPr>
        <w:t xml:space="preserve"> continue to burden him.  The Board is subject to the same laws for </w:t>
      </w:r>
      <w:r w:rsidR="00C24F59">
        <w:rPr>
          <w:rFonts w:asciiTheme="minorHAnsi" w:hAnsiTheme="minorHAnsi" w:cstheme="minorHAnsi"/>
          <w:color w:val="auto"/>
          <w:szCs w:val="24"/>
        </w:rPr>
        <w:t>s</w:t>
      </w:r>
      <w:r w:rsidRPr="00F90AAF">
        <w:rPr>
          <w:rFonts w:asciiTheme="minorHAnsi" w:hAnsiTheme="minorHAnsi" w:cstheme="minorHAnsi"/>
          <w:color w:val="auto"/>
          <w:szCs w:val="24"/>
        </w:rPr>
        <w:t xml:space="preserve">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w:t>
      </w:r>
      <w:r w:rsidR="00C24F59">
        <w:rPr>
          <w:rFonts w:asciiTheme="minorHAnsi" w:hAnsiTheme="minorHAnsi" w:cstheme="minorHAnsi"/>
          <w:color w:val="auto"/>
          <w:szCs w:val="24"/>
        </w:rPr>
        <w:t xml:space="preserve">Department of </w:t>
      </w:r>
      <w:r w:rsidRPr="00F90AAF">
        <w:rPr>
          <w:rFonts w:asciiTheme="minorHAnsi" w:hAnsiTheme="minorHAnsi" w:cstheme="minorHAnsi"/>
          <w:color w:val="auto"/>
          <w:szCs w:val="24"/>
        </w:rPr>
        <w:t>Veterans</w:t>
      </w:r>
      <w:r w:rsidR="00BF51F0">
        <w:rPr>
          <w:rFonts w:asciiTheme="minorHAnsi" w:hAnsiTheme="minorHAnsi" w:cstheme="minorHAnsi"/>
          <w:color w:val="auto"/>
          <w:szCs w:val="24"/>
        </w:rPr>
        <w:t>’</w:t>
      </w:r>
      <w:r w:rsidRPr="00F90AAF">
        <w:rPr>
          <w:rFonts w:asciiTheme="minorHAnsi" w:hAnsiTheme="minorHAnsi" w:cstheme="minorHAnsi"/>
          <w:color w:val="auto"/>
          <w:szCs w:val="24"/>
        </w:rPr>
        <w:t xml:space="preserve"> A</w:t>
      </w:r>
      <w:r w:rsidR="00C24F59">
        <w:rPr>
          <w:rFonts w:asciiTheme="minorHAnsi" w:hAnsiTheme="minorHAnsi" w:cstheme="minorHAnsi"/>
          <w:color w:val="auto"/>
          <w:szCs w:val="24"/>
        </w:rPr>
        <w:t>ffairs</w:t>
      </w:r>
      <w:r w:rsidRPr="00F90AAF">
        <w:rPr>
          <w:rFonts w:asciiTheme="minorHAnsi" w:hAnsiTheme="minorHAnsi" w:cstheme="minorHAnsi"/>
          <w:color w:val="auto"/>
          <w:szCs w:val="24"/>
        </w:rPr>
        <w:t xml:space="preserve"> (</w:t>
      </w:r>
      <w:r w:rsidR="00C24F59">
        <w:rPr>
          <w:rFonts w:asciiTheme="minorHAnsi" w:hAnsiTheme="minorHAnsi" w:cstheme="minorHAnsi"/>
          <w:color w:val="auto"/>
          <w:szCs w:val="24"/>
        </w:rPr>
        <w:t>D</w:t>
      </w:r>
      <w:r w:rsidRPr="00F90AAF">
        <w:rPr>
          <w:rFonts w:asciiTheme="minorHAnsi" w:hAnsiTheme="minorHAnsi" w:cstheme="minorHAnsi"/>
          <w:color w:val="auto"/>
          <w:szCs w:val="24"/>
        </w:rPr>
        <w:t xml:space="preserve">VA).  The Board’s authority resides in evaluating the fairness of DES fitness decisions and rating determinations at the time of separation.  The Board also acknowledges the CI’s contention for </w:t>
      </w:r>
      <w:r w:rsidR="00C24F59">
        <w:rPr>
          <w:rFonts w:asciiTheme="minorHAnsi" w:hAnsiTheme="minorHAnsi" w:cstheme="minorHAnsi"/>
          <w:color w:val="auto"/>
          <w:szCs w:val="24"/>
        </w:rPr>
        <w:t>s</w:t>
      </w:r>
      <w:r w:rsidRPr="00F90AAF">
        <w:rPr>
          <w:rFonts w:asciiTheme="minorHAnsi" w:hAnsiTheme="minorHAnsi" w:cstheme="minorHAnsi"/>
          <w:color w:val="auto"/>
          <w:szCs w:val="24"/>
        </w:rPr>
        <w:t xml:space="preserve">ervice ratings for other conditions documented at the time of separation.  While the DES considers all of the CI's medical conditions, compensation can only be offered for those conditions that cut short a service member’s career, and then only to the degree of severity present at the time of </w:t>
      </w:r>
      <w:r w:rsidR="00BF51F0">
        <w:rPr>
          <w:rFonts w:asciiTheme="minorHAnsi" w:hAnsiTheme="minorHAnsi" w:cstheme="minorHAnsi"/>
          <w:color w:val="auto"/>
          <w:szCs w:val="24"/>
        </w:rPr>
        <w:t>separation</w:t>
      </w:r>
      <w:r w:rsidRPr="00F90AAF">
        <w:rPr>
          <w:rFonts w:asciiTheme="minorHAnsi" w:hAnsiTheme="minorHAnsi" w:cstheme="minorHAnsi"/>
          <w:color w:val="auto"/>
          <w:szCs w:val="24"/>
        </w:rPr>
        <w:t xml:space="preserve">.  The </w:t>
      </w:r>
      <w:r w:rsidR="00C24F59">
        <w:rPr>
          <w:rFonts w:asciiTheme="minorHAnsi" w:hAnsiTheme="minorHAnsi" w:cstheme="minorHAnsi"/>
          <w:color w:val="auto"/>
          <w:szCs w:val="24"/>
        </w:rPr>
        <w:t>D</w:t>
      </w:r>
      <w:r w:rsidRPr="00F90AAF">
        <w:rPr>
          <w:rFonts w:asciiTheme="minorHAnsi" w:hAnsiTheme="minorHAnsi" w:cstheme="minorHAnsi"/>
          <w:color w:val="auto"/>
          <w:szCs w:val="24"/>
        </w:rPr>
        <w:t>VA, however, is empowered to compensate service connected conditions and to periodically re-evaluate said conditions for the purpose of adjusting the CI’s disability rating should the degree of impairment vary over time.</w:t>
      </w:r>
    </w:p>
    <w:p w:rsidR="00D2234D" w:rsidRDefault="00D2234D" w:rsidP="001B7F7A">
      <w:pPr>
        <w:tabs>
          <w:tab w:val="left" w:pos="288"/>
          <w:tab w:val="left" w:pos="4752"/>
        </w:tabs>
        <w:spacing w:line="240" w:lineRule="exact"/>
        <w:rPr>
          <w:rFonts w:asciiTheme="minorHAnsi" w:hAnsiTheme="minorHAnsi"/>
          <w:color w:val="auto"/>
          <w:szCs w:val="24"/>
        </w:rPr>
      </w:pPr>
    </w:p>
    <w:p w:rsidR="00323E42" w:rsidRDefault="002C22B3" w:rsidP="001B7F7A">
      <w:pPr>
        <w:tabs>
          <w:tab w:val="left" w:pos="2980"/>
        </w:tabs>
        <w:spacing w:line="240" w:lineRule="exact"/>
        <w:jc w:val="both"/>
        <w:rPr>
          <w:rFonts w:asciiTheme="minorHAnsi" w:hAnsiTheme="minorHAnsi"/>
          <w:color w:val="auto"/>
          <w:szCs w:val="24"/>
        </w:rPr>
      </w:pPr>
      <w:r w:rsidRPr="002C22B3">
        <w:rPr>
          <w:rFonts w:asciiTheme="minorHAnsi" w:hAnsiTheme="minorHAnsi"/>
          <w:color w:val="auto"/>
          <w:szCs w:val="24"/>
          <w:u w:val="single"/>
        </w:rPr>
        <w:t>Bilat</w:t>
      </w:r>
      <w:r w:rsidR="0047207F">
        <w:rPr>
          <w:rFonts w:asciiTheme="minorHAnsi" w:hAnsiTheme="minorHAnsi"/>
          <w:color w:val="auto"/>
          <w:szCs w:val="24"/>
          <w:u w:val="single"/>
        </w:rPr>
        <w:t>eral</w:t>
      </w:r>
      <w:r w:rsidRPr="002C22B3">
        <w:rPr>
          <w:rFonts w:asciiTheme="minorHAnsi" w:hAnsiTheme="minorHAnsi"/>
          <w:color w:val="auto"/>
          <w:szCs w:val="24"/>
          <w:u w:val="single"/>
        </w:rPr>
        <w:t xml:space="preserve"> Knee Pain</w:t>
      </w:r>
      <w:r w:rsidR="00506E66">
        <w:rPr>
          <w:rFonts w:asciiTheme="minorHAnsi" w:hAnsiTheme="minorHAnsi"/>
          <w:color w:val="auto"/>
          <w:szCs w:val="24"/>
        </w:rPr>
        <w:t>.</w:t>
      </w:r>
      <w:r>
        <w:rPr>
          <w:rFonts w:asciiTheme="minorHAnsi" w:hAnsiTheme="minorHAnsi"/>
          <w:color w:val="auto"/>
          <w:szCs w:val="24"/>
        </w:rPr>
        <w:t xml:space="preserve">  </w:t>
      </w:r>
      <w:r w:rsidR="00373029">
        <w:rPr>
          <w:rFonts w:asciiTheme="minorHAnsi" w:hAnsiTheme="minorHAnsi"/>
          <w:color w:val="auto"/>
          <w:szCs w:val="24"/>
        </w:rPr>
        <w:t xml:space="preserve">The CI </w:t>
      </w:r>
      <w:r w:rsidR="00BF51F0">
        <w:rPr>
          <w:rFonts w:asciiTheme="minorHAnsi" w:hAnsiTheme="minorHAnsi"/>
          <w:color w:val="auto"/>
          <w:szCs w:val="24"/>
        </w:rPr>
        <w:t xml:space="preserve">has had a long history of knee problems.  In January 1998, he fell and injured his </w:t>
      </w:r>
      <w:r w:rsidR="00373029">
        <w:rPr>
          <w:rFonts w:asciiTheme="minorHAnsi" w:hAnsiTheme="minorHAnsi"/>
          <w:color w:val="auto"/>
          <w:szCs w:val="24"/>
        </w:rPr>
        <w:t>left knee</w:t>
      </w:r>
      <w:r w:rsidR="007B2DDE">
        <w:rPr>
          <w:rFonts w:asciiTheme="minorHAnsi" w:hAnsiTheme="minorHAnsi"/>
          <w:color w:val="auto"/>
          <w:szCs w:val="24"/>
        </w:rPr>
        <w:t xml:space="preserve">.  </w:t>
      </w:r>
      <w:r w:rsidR="00B63CBC">
        <w:rPr>
          <w:rFonts w:asciiTheme="minorHAnsi" w:hAnsiTheme="minorHAnsi"/>
          <w:color w:val="auto"/>
          <w:szCs w:val="24"/>
        </w:rPr>
        <w:t xml:space="preserve">He underwent </w:t>
      </w:r>
      <w:r w:rsidR="001D4C52">
        <w:rPr>
          <w:rFonts w:asciiTheme="minorHAnsi" w:hAnsiTheme="minorHAnsi"/>
          <w:color w:val="auto"/>
          <w:szCs w:val="24"/>
        </w:rPr>
        <w:t>left knee arthroscop</w:t>
      </w:r>
      <w:r w:rsidR="00B63CBC">
        <w:rPr>
          <w:rFonts w:asciiTheme="minorHAnsi" w:hAnsiTheme="minorHAnsi"/>
          <w:color w:val="auto"/>
          <w:szCs w:val="24"/>
        </w:rPr>
        <w:t>y</w:t>
      </w:r>
      <w:r w:rsidR="001D4C52">
        <w:rPr>
          <w:rFonts w:asciiTheme="minorHAnsi" w:hAnsiTheme="minorHAnsi"/>
          <w:color w:val="auto"/>
          <w:szCs w:val="24"/>
        </w:rPr>
        <w:t xml:space="preserve"> wi</w:t>
      </w:r>
      <w:r w:rsidR="00B63CBC">
        <w:rPr>
          <w:rFonts w:asciiTheme="minorHAnsi" w:hAnsiTheme="minorHAnsi"/>
          <w:color w:val="auto"/>
          <w:szCs w:val="24"/>
        </w:rPr>
        <w:t xml:space="preserve">th chondroplasty in February </w:t>
      </w:r>
      <w:r w:rsidR="001D4C52">
        <w:rPr>
          <w:rFonts w:asciiTheme="minorHAnsi" w:hAnsiTheme="minorHAnsi"/>
          <w:color w:val="auto"/>
          <w:szCs w:val="24"/>
        </w:rPr>
        <w:t>2000</w:t>
      </w:r>
      <w:r w:rsidR="00B63CBC">
        <w:rPr>
          <w:rFonts w:asciiTheme="minorHAnsi" w:hAnsiTheme="minorHAnsi"/>
          <w:color w:val="auto"/>
          <w:szCs w:val="24"/>
        </w:rPr>
        <w:t>,</w:t>
      </w:r>
      <w:r w:rsidR="00373029">
        <w:rPr>
          <w:rFonts w:asciiTheme="minorHAnsi" w:hAnsiTheme="minorHAnsi"/>
          <w:color w:val="auto"/>
          <w:szCs w:val="24"/>
        </w:rPr>
        <w:t xml:space="preserve"> due to grade III/IV chondromalacia.</w:t>
      </w:r>
      <w:r w:rsidR="007B2DDE">
        <w:rPr>
          <w:rFonts w:asciiTheme="minorHAnsi" w:hAnsiTheme="minorHAnsi"/>
          <w:color w:val="auto"/>
          <w:szCs w:val="24"/>
        </w:rPr>
        <w:t xml:space="preserve">  The CI had </w:t>
      </w:r>
      <w:r w:rsidR="001118D9">
        <w:rPr>
          <w:rFonts w:asciiTheme="minorHAnsi" w:hAnsiTheme="minorHAnsi"/>
          <w:color w:val="auto"/>
          <w:szCs w:val="24"/>
        </w:rPr>
        <w:t xml:space="preserve">a second arthroscopic chondroplasty </w:t>
      </w:r>
      <w:r w:rsidR="007B2DDE">
        <w:rPr>
          <w:rFonts w:asciiTheme="minorHAnsi" w:hAnsiTheme="minorHAnsi"/>
          <w:color w:val="auto"/>
          <w:szCs w:val="24"/>
        </w:rPr>
        <w:t xml:space="preserve">of </w:t>
      </w:r>
      <w:r w:rsidR="001118D9">
        <w:rPr>
          <w:rFonts w:asciiTheme="minorHAnsi" w:hAnsiTheme="minorHAnsi"/>
          <w:color w:val="auto"/>
          <w:szCs w:val="24"/>
        </w:rPr>
        <w:t>his left knee in September 2002.</w:t>
      </w:r>
      <w:r w:rsidR="008013EC">
        <w:rPr>
          <w:rFonts w:asciiTheme="minorHAnsi" w:hAnsiTheme="minorHAnsi"/>
          <w:color w:val="auto"/>
          <w:szCs w:val="24"/>
        </w:rPr>
        <w:t xml:space="preserve"> </w:t>
      </w:r>
      <w:r w:rsidR="007B2DDE">
        <w:rPr>
          <w:rFonts w:asciiTheme="minorHAnsi" w:hAnsiTheme="minorHAnsi"/>
          <w:color w:val="auto"/>
          <w:szCs w:val="24"/>
        </w:rPr>
        <w:t xml:space="preserve"> </w:t>
      </w:r>
      <w:r w:rsidR="00B63CBC">
        <w:rPr>
          <w:rFonts w:asciiTheme="minorHAnsi" w:hAnsiTheme="minorHAnsi"/>
          <w:color w:val="auto"/>
          <w:szCs w:val="24"/>
        </w:rPr>
        <w:t xml:space="preserve">He </w:t>
      </w:r>
      <w:r w:rsidR="00C15CDB">
        <w:rPr>
          <w:rFonts w:asciiTheme="minorHAnsi" w:hAnsiTheme="minorHAnsi"/>
          <w:color w:val="auto"/>
          <w:szCs w:val="24"/>
        </w:rPr>
        <w:t xml:space="preserve">injured his right knee in January </w:t>
      </w:r>
      <w:r w:rsidR="007B2DDE">
        <w:rPr>
          <w:rFonts w:asciiTheme="minorHAnsi" w:hAnsiTheme="minorHAnsi"/>
          <w:color w:val="auto"/>
          <w:szCs w:val="24"/>
        </w:rPr>
        <w:t xml:space="preserve">2001 </w:t>
      </w:r>
      <w:r w:rsidR="005540B8">
        <w:rPr>
          <w:rFonts w:asciiTheme="minorHAnsi" w:hAnsiTheme="minorHAnsi"/>
          <w:color w:val="auto"/>
          <w:szCs w:val="24"/>
        </w:rPr>
        <w:t>while playing basketball</w:t>
      </w:r>
      <w:r w:rsidR="00B63CBC">
        <w:rPr>
          <w:rFonts w:asciiTheme="minorHAnsi" w:hAnsiTheme="minorHAnsi"/>
          <w:color w:val="auto"/>
          <w:szCs w:val="24"/>
        </w:rPr>
        <w:t xml:space="preserve">.  </w:t>
      </w:r>
      <w:r w:rsidR="005540B8">
        <w:rPr>
          <w:rFonts w:asciiTheme="minorHAnsi" w:hAnsiTheme="minorHAnsi"/>
          <w:color w:val="auto"/>
          <w:szCs w:val="24"/>
        </w:rPr>
        <w:t xml:space="preserve">Magnetic </w:t>
      </w:r>
      <w:r w:rsidR="00C24F59">
        <w:rPr>
          <w:rFonts w:asciiTheme="minorHAnsi" w:hAnsiTheme="minorHAnsi"/>
          <w:color w:val="auto"/>
          <w:szCs w:val="24"/>
        </w:rPr>
        <w:t>r</w:t>
      </w:r>
      <w:r w:rsidR="005540B8">
        <w:rPr>
          <w:rFonts w:asciiTheme="minorHAnsi" w:hAnsiTheme="minorHAnsi"/>
          <w:color w:val="auto"/>
          <w:szCs w:val="24"/>
        </w:rPr>
        <w:t xml:space="preserve">esonance </w:t>
      </w:r>
      <w:r w:rsidR="00C24F59">
        <w:rPr>
          <w:rFonts w:asciiTheme="minorHAnsi" w:hAnsiTheme="minorHAnsi"/>
          <w:color w:val="auto"/>
          <w:szCs w:val="24"/>
        </w:rPr>
        <w:t>i</w:t>
      </w:r>
      <w:r w:rsidR="005540B8">
        <w:rPr>
          <w:rFonts w:asciiTheme="minorHAnsi" w:hAnsiTheme="minorHAnsi"/>
          <w:color w:val="auto"/>
          <w:szCs w:val="24"/>
        </w:rPr>
        <w:t>maging (</w:t>
      </w:r>
      <w:r w:rsidR="00C15CDB">
        <w:rPr>
          <w:rFonts w:asciiTheme="minorHAnsi" w:hAnsiTheme="minorHAnsi"/>
          <w:color w:val="auto"/>
          <w:szCs w:val="24"/>
        </w:rPr>
        <w:t>MRI</w:t>
      </w:r>
      <w:r w:rsidR="005540B8">
        <w:rPr>
          <w:rFonts w:asciiTheme="minorHAnsi" w:hAnsiTheme="minorHAnsi"/>
          <w:color w:val="auto"/>
          <w:szCs w:val="24"/>
        </w:rPr>
        <w:t>)</w:t>
      </w:r>
      <w:r w:rsidR="00C15CDB">
        <w:rPr>
          <w:rFonts w:asciiTheme="minorHAnsi" w:hAnsiTheme="minorHAnsi"/>
          <w:color w:val="auto"/>
          <w:szCs w:val="24"/>
        </w:rPr>
        <w:t xml:space="preserve"> showed a partial anterior cruciate ligament (ACL) tear.  He was treated</w:t>
      </w:r>
      <w:r w:rsidR="00B63CBC">
        <w:rPr>
          <w:rFonts w:asciiTheme="minorHAnsi" w:hAnsiTheme="minorHAnsi"/>
          <w:color w:val="auto"/>
          <w:szCs w:val="24"/>
        </w:rPr>
        <w:t xml:space="preserve"> conservatively, but his right knee pain persisted.  Arthroscopy of the right </w:t>
      </w:r>
      <w:r w:rsidR="00373029">
        <w:rPr>
          <w:rFonts w:asciiTheme="minorHAnsi" w:hAnsiTheme="minorHAnsi"/>
          <w:color w:val="auto"/>
          <w:szCs w:val="24"/>
        </w:rPr>
        <w:t xml:space="preserve">knee </w:t>
      </w:r>
      <w:r w:rsidR="00B63CBC">
        <w:rPr>
          <w:rFonts w:asciiTheme="minorHAnsi" w:hAnsiTheme="minorHAnsi"/>
          <w:color w:val="auto"/>
          <w:szCs w:val="24"/>
        </w:rPr>
        <w:t xml:space="preserve">was done in </w:t>
      </w:r>
      <w:r w:rsidR="00373029">
        <w:rPr>
          <w:rFonts w:asciiTheme="minorHAnsi" w:hAnsiTheme="minorHAnsi"/>
          <w:color w:val="auto"/>
          <w:szCs w:val="24"/>
        </w:rPr>
        <w:t>June 2002</w:t>
      </w:r>
      <w:r w:rsidR="00C15CDB">
        <w:rPr>
          <w:rFonts w:asciiTheme="minorHAnsi" w:hAnsiTheme="minorHAnsi"/>
          <w:color w:val="auto"/>
          <w:szCs w:val="24"/>
        </w:rPr>
        <w:t xml:space="preserve">.  During this </w:t>
      </w:r>
      <w:r w:rsidR="00B63CBC">
        <w:rPr>
          <w:rFonts w:asciiTheme="minorHAnsi" w:hAnsiTheme="minorHAnsi"/>
          <w:color w:val="auto"/>
          <w:szCs w:val="24"/>
        </w:rPr>
        <w:t xml:space="preserve">procedure, </w:t>
      </w:r>
      <w:r w:rsidR="00C15CDB">
        <w:rPr>
          <w:rFonts w:asciiTheme="minorHAnsi" w:hAnsiTheme="minorHAnsi"/>
          <w:color w:val="auto"/>
          <w:szCs w:val="24"/>
        </w:rPr>
        <w:t xml:space="preserve">the surgeon performed </w:t>
      </w:r>
      <w:r w:rsidR="00B63CBC">
        <w:rPr>
          <w:rFonts w:asciiTheme="minorHAnsi" w:hAnsiTheme="minorHAnsi"/>
          <w:color w:val="auto"/>
          <w:szCs w:val="24"/>
        </w:rPr>
        <w:t>ACL thermal shrinkage</w:t>
      </w:r>
      <w:r w:rsidR="00040E2E">
        <w:rPr>
          <w:rFonts w:asciiTheme="minorHAnsi" w:hAnsiTheme="minorHAnsi"/>
          <w:color w:val="auto"/>
          <w:szCs w:val="24"/>
        </w:rPr>
        <w:t>,</w:t>
      </w:r>
      <w:r w:rsidR="00B63CBC">
        <w:rPr>
          <w:rFonts w:asciiTheme="minorHAnsi" w:hAnsiTheme="minorHAnsi"/>
          <w:color w:val="auto"/>
          <w:szCs w:val="24"/>
        </w:rPr>
        <w:t xml:space="preserve"> </w:t>
      </w:r>
      <w:r w:rsidR="00C15CDB">
        <w:rPr>
          <w:rFonts w:asciiTheme="minorHAnsi" w:hAnsiTheme="minorHAnsi"/>
          <w:color w:val="auto"/>
          <w:szCs w:val="24"/>
        </w:rPr>
        <w:t>a</w:t>
      </w:r>
      <w:r w:rsidR="00B63CBC">
        <w:rPr>
          <w:rFonts w:asciiTheme="minorHAnsi" w:hAnsiTheme="minorHAnsi"/>
          <w:color w:val="auto"/>
          <w:szCs w:val="24"/>
        </w:rPr>
        <w:t>nd</w:t>
      </w:r>
      <w:r w:rsidR="00C15CDB">
        <w:rPr>
          <w:rFonts w:asciiTheme="minorHAnsi" w:hAnsiTheme="minorHAnsi"/>
          <w:color w:val="auto"/>
          <w:szCs w:val="24"/>
        </w:rPr>
        <w:t xml:space="preserve"> medial femoral condyle</w:t>
      </w:r>
      <w:r w:rsidR="00373029">
        <w:rPr>
          <w:rFonts w:asciiTheme="minorHAnsi" w:hAnsiTheme="minorHAnsi"/>
          <w:color w:val="auto"/>
          <w:szCs w:val="24"/>
        </w:rPr>
        <w:t xml:space="preserve"> plasty</w:t>
      </w:r>
      <w:r w:rsidR="00C15CDB">
        <w:rPr>
          <w:rFonts w:asciiTheme="minorHAnsi" w:hAnsiTheme="minorHAnsi"/>
          <w:color w:val="auto"/>
          <w:szCs w:val="24"/>
        </w:rPr>
        <w:t xml:space="preserve">.  </w:t>
      </w:r>
      <w:r w:rsidR="00B63CBC">
        <w:rPr>
          <w:rFonts w:asciiTheme="minorHAnsi" w:hAnsiTheme="minorHAnsi"/>
          <w:color w:val="auto"/>
          <w:szCs w:val="24"/>
        </w:rPr>
        <w:t xml:space="preserve">Following surgery, the CI continued to have problems with both knees and an </w:t>
      </w:r>
      <w:r w:rsidR="008013EC">
        <w:rPr>
          <w:rFonts w:asciiTheme="minorHAnsi" w:hAnsiTheme="minorHAnsi"/>
          <w:color w:val="auto"/>
          <w:szCs w:val="24"/>
        </w:rPr>
        <w:t>MEB was initiated</w:t>
      </w:r>
      <w:r w:rsidR="00F649AC">
        <w:rPr>
          <w:rFonts w:asciiTheme="minorHAnsi" w:hAnsiTheme="minorHAnsi"/>
          <w:color w:val="auto"/>
          <w:szCs w:val="24"/>
        </w:rPr>
        <w:t>.</w:t>
      </w:r>
      <w:r w:rsidR="00671756">
        <w:rPr>
          <w:rFonts w:asciiTheme="minorHAnsi" w:hAnsiTheme="minorHAnsi"/>
          <w:color w:val="auto"/>
          <w:szCs w:val="24"/>
        </w:rPr>
        <w:t xml:space="preserve">  </w:t>
      </w:r>
      <w:r w:rsidR="00F649AC">
        <w:rPr>
          <w:rFonts w:asciiTheme="minorHAnsi" w:hAnsiTheme="minorHAnsi"/>
          <w:color w:val="auto"/>
          <w:szCs w:val="24"/>
        </w:rPr>
        <w:t xml:space="preserve">At his </w:t>
      </w:r>
      <w:r w:rsidR="00B63CBC">
        <w:rPr>
          <w:rFonts w:asciiTheme="minorHAnsi" w:hAnsiTheme="minorHAnsi"/>
          <w:color w:val="auto"/>
          <w:szCs w:val="24"/>
        </w:rPr>
        <w:t>March 2003</w:t>
      </w:r>
      <w:r w:rsidR="00F649AC">
        <w:rPr>
          <w:rFonts w:asciiTheme="minorHAnsi" w:hAnsiTheme="minorHAnsi"/>
          <w:color w:val="auto"/>
          <w:szCs w:val="24"/>
        </w:rPr>
        <w:t xml:space="preserve"> MEB e</w:t>
      </w:r>
      <w:r w:rsidR="008C32FE">
        <w:rPr>
          <w:rFonts w:asciiTheme="minorHAnsi" w:hAnsiTheme="minorHAnsi"/>
          <w:color w:val="auto"/>
          <w:szCs w:val="24"/>
        </w:rPr>
        <w:t>valuation</w:t>
      </w:r>
      <w:r w:rsidR="00F649AC">
        <w:rPr>
          <w:rFonts w:asciiTheme="minorHAnsi" w:hAnsiTheme="minorHAnsi"/>
          <w:color w:val="auto"/>
          <w:szCs w:val="24"/>
        </w:rPr>
        <w:t xml:space="preserve">, four months prior to separation, the CI complained of bilateral knee </w:t>
      </w:r>
      <w:r w:rsidR="00FA4F05">
        <w:rPr>
          <w:rFonts w:asciiTheme="minorHAnsi" w:hAnsiTheme="minorHAnsi"/>
          <w:color w:val="auto"/>
          <w:szCs w:val="24"/>
        </w:rPr>
        <w:t xml:space="preserve">pain </w:t>
      </w:r>
      <w:r w:rsidR="00F649AC">
        <w:rPr>
          <w:rFonts w:asciiTheme="minorHAnsi" w:hAnsiTheme="minorHAnsi"/>
          <w:color w:val="auto"/>
          <w:szCs w:val="24"/>
        </w:rPr>
        <w:t>that prevented him from running</w:t>
      </w:r>
      <w:r w:rsidR="00671756">
        <w:rPr>
          <w:rFonts w:asciiTheme="minorHAnsi" w:hAnsiTheme="minorHAnsi"/>
          <w:color w:val="auto"/>
          <w:szCs w:val="24"/>
        </w:rPr>
        <w:t>,</w:t>
      </w:r>
      <w:r w:rsidR="00F649AC">
        <w:rPr>
          <w:rFonts w:asciiTheme="minorHAnsi" w:hAnsiTheme="minorHAnsi"/>
          <w:color w:val="auto"/>
          <w:szCs w:val="24"/>
        </w:rPr>
        <w:t xml:space="preserve"> and was aggravated by prolonged sitting, standing, squatting or lifting.  On exam</w:t>
      </w:r>
      <w:r w:rsidR="00671756">
        <w:rPr>
          <w:rFonts w:asciiTheme="minorHAnsi" w:hAnsiTheme="minorHAnsi"/>
          <w:color w:val="auto"/>
          <w:szCs w:val="24"/>
        </w:rPr>
        <w:t xml:space="preserve">, </w:t>
      </w:r>
      <w:r w:rsidR="00C24F59">
        <w:rPr>
          <w:rFonts w:asciiTheme="minorHAnsi" w:hAnsiTheme="minorHAnsi"/>
          <w:color w:val="auto"/>
          <w:szCs w:val="24"/>
        </w:rPr>
        <w:t>his weight was 280 lbs</w:t>
      </w:r>
      <w:r w:rsidR="00E75FB9">
        <w:rPr>
          <w:rFonts w:asciiTheme="minorHAnsi" w:hAnsiTheme="minorHAnsi"/>
          <w:color w:val="auto"/>
          <w:szCs w:val="24"/>
        </w:rPr>
        <w:t xml:space="preserve"> and his body mass index (BMI) was 34.  B</w:t>
      </w:r>
      <w:r w:rsidR="00C24F59">
        <w:rPr>
          <w:rFonts w:asciiTheme="minorHAnsi" w:hAnsiTheme="minorHAnsi"/>
          <w:color w:val="auto"/>
          <w:szCs w:val="24"/>
        </w:rPr>
        <w:t>oth knees had full range-of-</w:t>
      </w:r>
      <w:r w:rsidR="00F649AC">
        <w:rPr>
          <w:rFonts w:asciiTheme="minorHAnsi" w:hAnsiTheme="minorHAnsi"/>
          <w:color w:val="auto"/>
          <w:szCs w:val="24"/>
        </w:rPr>
        <w:t>motion (ROM)</w:t>
      </w:r>
      <w:r w:rsidR="009C763A">
        <w:rPr>
          <w:rFonts w:asciiTheme="minorHAnsi" w:hAnsiTheme="minorHAnsi"/>
          <w:color w:val="auto"/>
          <w:szCs w:val="24"/>
        </w:rPr>
        <w:t xml:space="preserve"> with negative Lachman</w:t>
      </w:r>
      <w:r w:rsidR="00671756">
        <w:rPr>
          <w:rFonts w:asciiTheme="minorHAnsi" w:hAnsiTheme="minorHAnsi"/>
          <w:color w:val="auto"/>
          <w:szCs w:val="24"/>
        </w:rPr>
        <w:t>’s</w:t>
      </w:r>
      <w:r w:rsidR="009C763A">
        <w:rPr>
          <w:rFonts w:asciiTheme="minorHAnsi" w:hAnsiTheme="minorHAnsi"/>
          <w:color w:val="auto"/>
          <w:szCs w:val="24"/>
        </w:rPr>
        <w:t xml:space="preserve"> and </w:t>
      </w:r>
      <w:r w:rsidR="009B7F2F">
        <w:rPr>
          <w:rFonts w:asciiTheme="minorHAnsi" w:hAnsiTheme="minorHAnsi"/>
          <w:color w:val="auto"/>
          <w:szCs w:val="24"/>
        </w:rPr>
        <w:t xml:space="preserve">negative </w:t>
      </w:r>
      <w:r w:rsidR="009C763A">
        <w:rPr>
          <w:rFonts w:asciiTheme="minorHAnsi" w:hAnsiTheme="minorHAnsi"/>
          <w:color w:val="auto"/>
          <w:szCs w:val="24"/>
        </w:rPr>
        <w:t>pivot</w:t>
      </w:r>
      <w:r w:rsidR="009B7F2F">
        <w:rPr>
          <w:rFonts w:asciiTheme="minorHAnsi" w:hAnsiTheme="minorHAnsi"/>
          <w:color w:val="auto"/>
          <w:szCs w:val="24"/>
        </w:rPr>
        <w:t>-shift</w:t>
      </w:r>
      <w:r w:rsidR="009C763A">
        <w:rPr>
          <w:rFonts w:asciiTheme="minorHAnsi" w:hAnsiTheme="minorHAnsi"/>
          <w:color w:val="auto"/>
          <w:szCs w:val="24"/>
        </w:rPr>
        <w:t>.</w:t>
      </w:r>
      <w:r w:rsidR="00671756">
        <w:rPr>
          <w:rFonts w:asciiTheme="minorHAnsi" w:hAnsiTheme="minorHAnsi"/>
          <w:color w:val="auto"/>
          <w:szCs w:val="24"/>
        </w:rPr>
        <w:t xml:space="preserve"> </w:t>
      </w:r>
      <w:r w:rsidR="009C763A">
        <w:rPr>
          <w:rFonts w:asciiTheme="minorHAnsi" w:hAnsiTheme="minorHAnsi"/>
          <w:color w:val="auto"/>
          <w:szCs w:val="24"/>
        </w:rPr>
        <w:t xml:space="preserve"> </w:t>
      </w:r>
      <w:r w:rsidR="0002176C">
        <w:rPr>
          <w:rFonts w:asciiTheme="minorHAnsi" w:hAnsiTheme="minorHAnsi"/>
          <w:color w:val="auto"/>
          <w:szCs w:val="24"/>
        </w:rPr>
        <w:t>He had medial joint line tenderness</w:t>
      </w:r>
      <w:r w:rsidR="009B7F2F">
        <w:rPr>
          <w:rFonts w:asciiTheme="minorHAnsi" w:hAnsiTheme="minorHAnsi"/>
          <w:color w:val="auto"/>
          <w:szCs w:val="24"/>
        </w:rPr>
        <w:t>,</w:t>
      </w:r>
      <w:r w:rsidR="0002176C">
        <w:rPr>
          <w:rFonts w:asciiTheme="minorHAnsi" w:hAnsiTheme="minorHAnsi"/>
          <w:color w:val="auto"/>
          <w:szCs w:val="24"/>
        </w:rPr>
        <w:t xml:space="preserve"> with </w:t>
      </w:r>
      <w:r w:rsidR="009C763A">
        <w:rPr>
          <w:rFonts w:asciiTheme="minorHAnsi" w:hAnsiTheme="minorHAnsi"/>
          <w:color w:val="auto"/>
          <w:szCs w:val="24"/>
        </w:rPr>
        <w:t>mild effu</w:t>
      </w:r>
      <w:r w:rsidR="0002176C">
        <w:rPr>
          <w:rFonts w:asciiTheme="minorHAnsi" w:hAnsiTheme="minorHAnsi"/>
          <w:color w:val="auto"/>
          <w:szCs w:val="24"/>
        </w:rPr>
        <w:t xml:space="preserve">sion </w:t>
      </w:r>
      <w:r w:rsidR="00884A30">
        <w:rPr>
          <w:rFonts w:asciiTheme="minorHAnsi" w:hAnsiTheme="minorHAnsi"/>
          <w:color w:val="auto"/>
          <w:szCs w:val="24"/>
        </w:rPr>
        <w:t>of</w:t>
      </w:r>
      <w:r w:rsidR="009C763A">
        <w:rPr>
          <w:rFonts w:asciiTheme="minorHAnsi" w:hAnsiTheme="minorHAnsi"/>
          <w:color w:val="auto"/>
          <w:szCs w:val="24"/>
        </w:rPr>
        <w:t xml:space="preserve"> the right</w:t>
      </w:r>
      <w:r w:rsidR="00884A30">
        <w:rPr>
          <w:rFonts w:asciiTheme="minorHAnsi" w:hAnsiTheme="minorHAnsi"/>
          <w:color w:val="auto"/>
          <w:szCs w:val="24"/>
        </w:rPr>
        <w:t xml:space="preserve"> knee</w:t>
      </w:r>
      <w:r w:rsidR="009C763A">
        <w:rPr>
          <w:rFonts w:asciiTheme="minorHAnsi" w:hAnsiTheme="minorHAnsi"/>
          <w:color w:val="auto"/>
          <w:szCs w:val="24"/>
        </w:rPr>
        <w:t xml:space="preserve">.  </w:t>
      </w:r>
      <w:r w:rsidR="00671756">
        <w:rPr>
          <w:rFonts w:asciiTheme="minorHAnsi" w:hAnsiTheme="minorHAnsi"/>
          <w:color w:val="auto"/>
          <w:szCs w:val="24"/>
        </w:rPr>
        <w:t>M</w:t>
      </w:r>
      <w:r w:rsidR="009C763A">
        <w:rPr>
          <w:rFonts w:asciiTheme="minorHAnsi" w:hAnsiTheme="minorHAnsi"/>
          <w:color w:val="auto"/>
          <w:szCs w:val="24"/>
        </w:rPr>
        <w:t xml:space="preserve">uscle strength </w:t>
      </w:r>
      <w:r w:rsidR="00671756">
        <w:rPr>
          <w:rFonts w:asciiTheme="minorHAnsi" w:hAnsiTheme="minorHAnsi"/>
          <w:color w:val="auto"/>
          <w:szCs w:val="24"/>
        </w:rPr>
        <w:t>was normal bilaterally</w:t>
      </w:r>
      <w:r w:rsidR="009C763A">
        <w:rPr>
          <w:rFonts w:asciiTheme="minorHAnsi" w:hAnsiTheme="minorHAnsi"/>
          <w:color w:val="auto"/>
          <w:szCs w:val="24"/>
        </w:rPr>
        <w:t xml:space="preserve"> with no atrophy</w:t>
      </w:r>
      <w:r w:rsidR="00671756">
        <w:rPr>
          <w:rFonts w:asciiTheme="minorHAnsi" w:hAnsiTheme="minorHAnsi"/>
          <w:color w:val="auto"/>
          <w:szCs w:val="24"/>
        </w:rPr>
        <w:t xml:space="preserve"> or</w:t>
      </w:r>
      <w:r w:rsidR="009C763A">
        <w:rPr>
          <w:rFonts w:asciiTheme="minorHAnsi" w:hAnsiTheme="minorHAnsi"/>
          <w:color w:val="auto"/>
          <w:szCs w:val="24"/>
        </w:rPr>
        <w:t xml:space="preserve"> erythema</w:t>
      </w:r>
      <w:r w:rsidR="00671756">
        <w:rPr>
          <w:rFonts w:asciiTheme="minorHAnsi" w:hAnsiTheme="minorHAnsi"/>
          <w:color w:val="auto"/>
          <w:szCs w:val="24"/>
        </w:rPr>
        <w:t xml:space="preserve"> noted.  </w:t>
      </w:r>
      <w:r w:rsidR="009C763A">
        <w:rPr>
          <w:rFonts w:asciiTheme="minorHAnsi" w:hAnsiTheme="minorHAnsi"/>
          <w:color w:val="auto"/>
          <w:szCs w:val="24"/>
        </w:rPr>
        <w:t xml:space="preserve">MRI of the left knee </w:t>
      </w:r>
      <w:r w:rsidR="00671756">
        <w:rPr>
          <w:rFonts w:asciiTheme="minorHAnsi" w:hAnsiTheme="minorHAnsi"/>
          <w:color w:val="auto"/>
          <w:szCs w:val="24"/>
        </w:rPr>
        <w:t>showed</w:t>
      </w:r>
      <w:r w:rsidR="009C763A">
        <w:rPr>
          <w:rFonts w:asciiTheme="minorHAnsi" w:hAnsiTheme="minorHAnsi"/>
          <w:color w:val="auto"/>
          <w:szCs w:val="24"/>
        </w:rPr>
        <w:t xml:space="preserve"> tr</w:t>
      </w:r>
      <w:r w:rsidR="0002176C">
        <w:rPr>
          <w:rFonts w:asciiTheme="minorHAnsi" w:hAnsiTheme="minorHAnsi"/>
          <w:color w:val="auto"/>
          <w:szCs w:val="24"/>
        </w:rPr>
        <w:t>icompartmental osteoarthritis</w:t>
      </w:r>
      <w:r w:rsidR="00671756">
        <w:rPr>
          <w:rFonts w:asciiTheme="minorHAnsi" w:hAnsiTheme="minorHAnsi"/>
          <w:color w:val="auto"/>
          <w:szCs w:val="24"/>
        </w:rPr>
        <w:t xml:space="preserve"> (OA)</w:t>
      </w:r>
      <w:r w:rsidR="0002176C">
        <w:rPr>
          <w:rFonts w:asciiTheme="minorHAnsi" w:hAnsiTheme="minorHAnsi"/>
          <w:color w:val="auto"/>
          <w:szCs w:val="24"/>
        </w:rPr>
        <w:t>.</w:t>
      </w:r>
      <w:r w:rsidR="00C5692E">
        <w:rPr>
          <w:rFonts w:asciiTheme="minorHAnsi" w:hAnsiTheme="minorHAnsi"/>
          <w:color w:val="auto"/>
          <w:szCs w:val="24"/>
        </w:rPr>
        <w:t xml:space="preserve">  </w:t>
      </w:r>
      <w:r w:rsidR="00323E42">
        <w:rPr>
          <w:rFonts w:asciiTheme="minorHAnsi" w:hAnsiTheme="minorHAnsi"/>
          <w:color w:val="auto"/>
          <w:szCs w:val="24"/>
        </w:rPr>
        <w:t xml:space="preserve">At his </w:t>
      </w:r>
      <w:r w:rsidR="008C32FE">
        <w:rPr>
          <w:rFonts w:asciiTheme="minorHAnsi" w:hAnsiTheme="minorHAnsi"/>
          <w:color w:val="auto"/>
          <w:szCs w:val="24"/>
        </w:rPr>
        <w:t xml:space="preserve">September 2003 </w:t>
      </w:r>
      <w:r w:rsidR="00D34076">
        <w:rPr>
          <w:rFonts w:asciiTheme="minorHAnsi" w:hAnsiTheme="minorHAnsi"/>
          <w:color w:val="auto"/>
          <w:szCs w:val="24"/>
        </w:rPr>
        <w:t xml:space="preserve">orthopedic </w:t>
      </w:r>
      <w:r w:rsidR="00323E42">
        <w:rPr>
          <w:rFonts w:asciiTheme="minorHAnsi" w:hAnsiTheme="minorHAnsi"/>
          <w:color w:val="auto"/>
          <w:szCs w:val="24"/>
        </w:rPr>
        <w:t xml:space="preserve">VA </w:t>
      </w:r>
      <w:r w:rsidR="00C24F59">
        <w:rPr>
          <w:rFonts w:asciiTheme="minorHAnsi" w:hAnsiTheme="minorHAnsi"/>
          <w:color w:val="auto"/>
          <w:szCs w:val="24"/>
        </w:rPr>
        <w:t>C</w:t>
      </w:r>
      <w:r w:rsidR="00323E42">
        <w:rPr>
          <w:rFonts w:asciiTheme="minorHAnsi" w:hAnsiTheme="minorHAnsi"/>
          <w:color w:val="auto"/>
          <w:szCs w:val="24"/>
        </w:rPr>
        <w:t xml:space="preserve">ompensation and </w:t>
      </w:r>
      <w:r w:rsidR="00C24F59">
        <w:rPr>
          <w:rFonts w:asciiTheme="minorHAnsi" w:hAnsiTheme="minorHAnsi"/>
          <w:color w:val="auto"/>
          <w:szCs w:val="24"/>
        </w:rPr>
        <w:t>P</w:t>
      </w:r>
      <w:r w:rsidR="00323E42">
        <w:rPr>
          <w:rFonts w:asciiTheme="minorHAnsi" w:hAnsiTheme="minorHAnsi"/>
          <w:color w:val="auto"/>
          <w:szCs w:val="24"/>
        </w:rPr>
        <w:t>ension (C&amp;P) exam</w:t>
      </w:r>
      <w:r w:rsidR="00B126D9">
        <w:rPr>
          <w:rFonts w:asciiTheme="minorHAnsi" w:hAnsiTheme="minorHAnsi"/>
          <w:color w:val="auto"/>
          <w:szCs w:val="24"/>
        </w:rPr>
        <w:t xml:space="preserve">, eight weeks after separation, the CI </w:t>
      </w:r>
      <w:r w:rsidR="00D34076">
        <w:rPr>
          <w:rFonts w:asciiTheme="minorHAnsi" w:hAnsiTheme="minorHAnsi"/>
          <w:color w:val="auto"/>
          <w:szCs w:val="24"/>
        </w:rPr>
        <w:t>complained of left knee pain mainly over the</w:t>
      </w:r>
      <w:r w:rsidR="0047207F">
        <w:rPr>
          <w:rFonts w:asciiTheme="minorHAnsi" w:hAnsiTheme="minorHAnsi"/>
          <w:color w:val="auto"/>
          <w:szCs w:val="24"/>
        </w:rPr>
        <w:t xml:space="preserve"> lateral aspect. </w:t>
      </w:r>
      <w:r w:rsidR="00D34076">
        <w:rPr>
          <w:rFonts w:asciiTheme="minorHAnsi" w:hAnsiTheme="minorHAnsi"/>
          <w:color w:val="auto"/>
          <w:szCs w:val="24"/>
        </w:rPr>
        <w:t xml:space="preserve"> His right knee </w:t>
      </w:r>
      <w:r w:rsidR="009B7F2F">
        <w:rPr>
          <w:rFonts w:asciiTheme="minorHAnsi" w:hAnsiTheme="minorHAnsi"/>
          <w:color w:val="auto"/>
          <w:szCs w:val="24"/>
        </w:rPr>
        <w:t xml:space="preserve">also was </w:t>
      </w:r>
      <w:r w:rsidR="00D34076">
        <w:rPr>
          <w:rFonts w:asciiTheme="minorHAnsi" w:hAnsiTheme="minorHAnsi"/>
          <w:color w:val="auto"/>
          <w:szCs w:val="24"/>
        </w:rPr>
        <w:t>pain</w:t>
      </w:r>
      <w:r w:rsidR="009B7F2F">
        <w:rPr>
          <w:rFonts w:asciiTheme="minorHAnsi" w:hAnsiTheme="minorHAnsi"/>
          <w:color w:val="auto"/>
          <w:szCs w:val="24"/>
        </w:rPr>
        <w:t>ful, but</w:t>
      </w:r>
      <w:r w:rsidR="00D34076">
        <w:rPr>
          <w:rFonts w:asciiTheme="minorHAnsi" w:hAnsiTheme="minorHAnsi"/>
          <w:color w:val="auto"/>
          <w:szCs w:val="24"/>
        </w:rPr>
        <w:t xml:space="preserve"> with </w:t>
      </w:r>
      <w:r w:rsidR="0047207F">
        <w:rPr>
          <w:rFonts w:asciiTheme="minorHAnsi" w:hAnsiTheme="minorHAnsi"/>
          <w:color w:val="auto"/>
          <w:szCs w:val="24"/>
        </w:rPr>
        <w:t>no localization</w:t>
      </w:r>
      <w:r w:rsidR="00D34076">
        <w:rPr>
          <w:rFonts w:asciiTheme="minorHAnsi" w:hAnsiTheme="minorHAnsi"/>
          <w:color w:val="auto"/>
          <w:szCs w:val="24"/>
        </w:rPr>
        <w:t xml:space="preserve">.  </w:t>
      </w:r>
      <w:r w:rsidR="00864683">
        <w:rPr>
          <w:rFonts w:asciiTheme="minorHAnsi" w:hAnsiTheme="minorHAnsi"/>
          <w:color w:val="auto"/>
          <w:szCs w:val="24"/>
        </w:rPr>
        <w:t>Exam of the left knee revealed flexion limited to 110 degrees</w:t>
      </w:r>
      <w:r w:rsidR="004C132A">
        <w:rPr>
          <w:rFonts w:asciiTheme="minorHAnsi" w:hAnsiTheme="minorHAnsi"/>
          <w:color w:val="auto"/>
          <w:szCs w:val="24"/>
        </w:rPr>
        <w:t>,</w:t>
      </w:r>
      <w:r w:rsidR="00864683">
        <w:rPr>
          <w:rFonts w:asciiTheme="minorHAnsi" w:hAnsiTheme="minorHAnsi"/>
          <w:color w:val="auto"/>
          <w:szCs w:val="24"/>
        </w:rPr>
        <w:t xml:space="preserve"> with moderate crepit</w:t>
      </w:r>
      <w:r w:rsidR="004C132A">
        <w:rPr>
          <w:rFonts w:asciiTheme="minorHAnsi" w:hAnsiTheme="minorHAnsi"/>
          <w:color w:val="auto"/>
          <w:szCs w:val="24"/>
        </w:rPr>
        <w:t>us</w:t>
      </w:r>
      <w:r w:rsidR="00864683">
        <w:rPr>
          <w:rFonts w:asciiTheme="minorHAnsi" w:hAnsiTheme="minorHAnsi"/>
          <w:color w:val="auto"/>
          <w:szCs w:val="24"/>
        </w:rPr>
        <w:t>.  There was no effusion or instability</w:t>
      </w:r>
      <w:r w:rsidR="00966959">
        <w:rPr>
          <w:rFonts w:asciiTheme="minorHAnsi" w:hAnsiTheme="minorHAnsi"/>
          <w:color w:val="auto"/>
          <w:szCs w:val="24"/>
        </w:rPr>
        <w:t xml:space="preserve">.  </w:t>
      </w:r>
      <w:r w:rsidR="00864683">
        <w:rPr>
          <w:rFonts w:asciiTheme="minorHAnsi" w:hAnsiTheme="minorHAnsi"/>
          <w:color w:val="auto"/>
          <w:szCs w:val="24"/>
        </w:rPr>
        <w:t xml:space="preserve">X-rays of the left knee </w:t>
      </w:r>
      <w:r w:rsidR="004C132A">
        <w:rPr>
          <w:rFonts w:asciiTheme="minorHAnsi" w:hAnsiTheme="minorHAnsi"/>
          <w:color w:val="auto"/>
          <w:szCs w:val="24"/>
        </w:rPr>
        <w:t>showed</w:t>
      </w:r>
      <w:r w:rsidR="00864683">
        <w:rPr>
          <w:rFonts w:asciiTheme="minorHAnsi" w:hAnsiTheme="minorHAnsi"/>
          <w:color w:val="auto"/>
          <w:szCs w:val="24"/>
        </w:rPr>
        <w:t xml:space="preserve"> moderately severe degenerative</w:t>
      </w:r>
      <w:r w:rsidR="004C4658">
        <w:rPr>
          <w:rFonts w:asciiTheme="minorHAnsi" w:hAnsiTheme="minorHAnsi"/>
          <w:color w:val="auto"/>
          <w:szCs w:val="24"/>
        </w:rPr>
        <w:t xml:space="preserve"> </w:t>
      </w:r>
      <w:r w:rsidR="00240729">
        <w:rPr>
          <w:rFonts w:asciiTheme="minorHAnsi" w:hAnsiTheme="minorHAnsi"/>
          <w:color w:val="auto"/>
          <w:szCs w:val="24"/>
        </w:rPr>
        <w:t>joint</w:t>
      </w:r>
      <w:r w:rsidR="004C4658">
        <w:rPr>
          <w:rFonts w:asciiTheme="minorHAnsi" w:hAnsiTheme="minorHAnsi"/>
          <w:color w:val="auto"/>
          <w:szCs w:val="24"/>
        </w:rPr>
        <w:t xml:space="preserve"> disease </w:t>
      </w:r>
      <w:r w:rsidR="004C132A">
        <w:rPr>
          <w:rFonts w:asciiTheme="minorHAnsi" w:hAnsiTheme="minorHAnsi"/>
          <w:color w:val="auto"/>
          <w:szCs w:val="24"/>
        </w:rPr>
        <w:t xml:space="preserve">(DJD).  </w:t>
      </w:r>
      <w:r w:rsidR="00966959">
        <w:rPr>
          <w:rFonts w:asciiTheme="minorHAnsi" w:hAnsiTheme="minorHAnsi"/>
          <w:color w:val="auto"/>
          <w:szCs w:val="24"/>
        </w:rPr>
        <w:t xml:space="preserve">On examination of the right knee, he had full ROM with no effusion.  There was no evidence of instability, and no </w:t>
      </w:r>
      <w:r w:rsidR="00E665A9">
        <w:rPr>
          <w:rFonts w:asciiTheme="minorHAnsi" w:hAnsiTheme="minorHAnsi"/>
          <w:color w:val="auto"/>
          <w:szCs w:val="24"/>
        </w:rPr>
        <w:t xml:space="preserve">tenderness to </w:t>
      </w:r>
      <w:r w:rsidR="00E665A9">
        <w:rPr>
          <w:rFonts w:asciiTheme="minorHAnsi" w:hAnsiTheme="minorHAnsi"/>
          <w:color w:val="auto"/>
          <w:szCs w:val="24"/>
        </w:rPr>
        <w:lastRenderedPageBreak/>
        <w:t>palpation (</w:t>
      </w:r>
      <w:r w:rsidR="00966959">
        <w:rPr>
          <w:rFonts w:asciiTheme="minorHAnsi" w:hAnsiTheme="minorHAnsi"/>
          <w:color w:val="auto"/>
          <w:szCs w:val="24"/>
        </w:rPr>
        <w:t>TTP</w:t>
      </w:r>
      <w:r w:rsidR="00E665A9">
        <w:rPr>
          <w:rFonts w:asciiTheme="minorHAnsi" w:hAnsiTheme="minorHAnsi"/>
          <w:color w:val="auto"/>
          <w:szCs w:val="24"/>
        </w:rPr>
        <w:t>)</w:t>
      </w:r>
      <w:r w:rsidR="00966959">
        <w:rPr>
          <w:rFonts w:asciiTheme="minorHAnsi" w:hAnsiTheme="minorHAnsi"/>
          <w:color w:val="auto"/>
          <w:szCs w:val="24"/>
        </w:rPr>
        <w:t xml:space="preserve"> of the patellofemoral mechanism.  </w:t>
      </w:r>
      <w:r w:rsidR="004C132A">
        <w:rPr>
          <w:rFonts w:asciiTheme="minorHAnsi" w:hAnsiTheme="minorHAnsi"/>
          <w:color w:val="auto"/>
          <w:szCs w:val="24"/>
        </w:rPr>
        <w:t xml:space="preserve">X-rays on </w:t>
      </w:r>
      <w:r w:rsidR="00240729">
        <w:rPr>
          <w:rFonts w:asciiTheme="minorHAnsi" w:hAnsiTheme="minorHAnsi"/>
          <w:color w:val="auto"/>
          <w:szCs w:val="24"/>
        </w:rPr>
        <w:t>the right showed mild</w:t>
      </w:r>
      <w:r w:rsidR="008C32FE">
        <w:rPr>
          <w:rFonts w:asciiTheme="minorHAnsi" w:hAnsiTheme="minorHAnsi"/>
          <w:color w:val="auto"/>
          <w:szCs w:val="24"/>
        </w:rPr>
        <w:t xml:space="preserve"> to </w:t>
      </w:r>
      <w:r w:rsidR="00240729">
        <w:rPr>
          <w:rFonts w:asciiTheme="minorHAnsi" w:hAnsiTheme="minorHAnsi"/>
          <w:color w:val="auto"/>
          <w:szCs w:val="24"/>
        </w:rPr>
        <w:t xml:space="preserve">moderate degenerative changes.  </w:t>
      </w:r>
    </w:p>
    <w:p w:rsidR="00D9715C" w:rsidRDefault="00D9715C" w:rsidP="001B7F7A">
      <w:pPr>
        <w:tabs>
          <w:tab w:val="left" w:pos="2980"/>
        </w:tabs>
        <w:spacing w:line="240" w:lineRule="exact"/>
        <w:jc w:val="both"/>
        <w:rPr>
          <w:rFonts w:asciiTheme="minorHAnsi" w:hAnsiTheme="minorHAnsi"/>
          <w:color w:val="auto"/>
          <w:szCs w:val="24"/>
        </w:rPr>
      </w:pPr>
    </w:p>
    <w:p w:rsidR="0065461E" w:rsidRPr="00C5692E" w:rsidRDefault="00A2311D" w:rsidP="00C5692E">
      <w:pPr>
        <w:tabs>
          <w:tab w:val="left" w:pos="288"/>
          <w:tab w:val="left" w:pos="4752"/>
        </w:tabs>
        <w:spacing w:line="240" w:lineRule="exact"/>
        <w:jc w:val="both"/>
        <w:rPr>
          <w:rFonts w:asciiTheme="minorHAnsi" w:hAnsiTheme="minorHAnsi"/>
          <w:color w:val="auto"/>
          <w:szCs w:val="24"/>
        </w:rPr>
      </w:pPr>
      <w:r>
        <w:rPr>
          <w:rFonts w:asciiTheme="minorHAnsi" w:hAnsiTheme="minorHAnsi" w:cstheme="minorHAnsi"/>
          <w:color w:val="auto"/>
          <w:szCs w:val="24"/>
        </w:rPr>
        <w:t xml:space="preserve">The Board carefully reviewed all of the available evidence.  The Army PEB had adjudicated the bilateral knee pain as a single unfitting condition, </w:t>
      </w:r>
      <w:r w:rsidRPr="00D9715C">
        <w:rPr>
          <w:rFonts w:asciiTheme="minorHAnsi" w:hAnsiTheme="minorHAnsi" w:cstheme="minorHAnsi"/>
          <w:color w:val="auto"/>
          <w:szCs w:val="24"/>
        </w:rPr>
        <w:t>u</w:t>
      </w:r>
      <w:r>
        <w:rPr>
          <w:rFonts w:asciiTheme="minorHAnsi" w:hAnsiTheme="minorHAnsi" w:cstheme="minorHAnsi"/>
          <w:color w:val="auto"/>
          <w:szCs w:val="24"/>
        </w:rPr>
        <w:t>sing VASRD code</w:t>
      </w:r>
      <w:r w:rsidRPr="00D9715C">
        <w:rPr>
          <w:rFonts w:asciiTheme="minorHAnsi" w:hAnsiTheme="minorHAnsi" w:cstheme="minorHAnsi"/>
          <w:color w:val="auto"/>
          <w:szCs w:val="24"/>
        </w:rPr>
        <w:t xml:space="preserve"> 5003</w:t>
      </w:r>
      <w:r>
        <w:rPr>
          <w:rFonts w:asciiTheme="minorHAnsi" w:hAnsiTheme="minorHAnsi" w:cstheme="minorHAnsi"/>
          <w:color w:val="auto"/>
          <w:szCs w:val="24"/>
        </w:rPr>
        <w:t xml:space="preserve"> (degenerative arthritis).  </w:t>
      </w:r>
      <w:r w:rsidRPr="009F3644">
        <w:rPr>
          <w:rFonts w:asciiTheme="minorHAnsi" w:hAnsiTheme="minorHAnsi"/>
          <w:color w:val="auto"/>
          <w:szCs w:val="24"/>
        </w:rPr>
        <w:t>The Board</w:t>
      </w:r>
      <w:r>
        <w:rPr>
          <w:rFonts w:asciiTheme="minorHAnsi" w:hAnsiTheme="minorHAnsi"/>
          <w:color w:val="auto"/>
          <w:szCs w:val="24"/>
        </w:rPr>
        <w:t xml:space="preserve"> evaluated whether or not it was appropriate for the two knees to be “bundled” together.</w:t>
      </w:r>
      <w:r w:rsidR="00AE6606">
        <w:rPr>
          <w:rFonts w:asciiTheme="minorHAnsi" w:hAnsiTheme="minorHAnsi"/>
          <w:color w:val="auto"/>
          <w:szCs w:val="24"/>
        </w:rPr>
        <w:t xml:space="preserve">  T</w:t>
      </w:r>
      <w:r>
        <w:rPr>
          <w:rFonts w:asciiTheme="minorHAnsi" w:hAnsiTheme="minorHAnsi"/>
          <w:color w:val="auto"/>
          <w:szCs w:val="24"/>
        </w:rPr>
        <w:t>he Board must determine if the P</w:t>
      </w:r>
      <w:r w:rsidRPr="009F3644">
        <w:rPr>
          <w:rFonts w:asciiTheme="minorHAnsi" w:hAnsiTheme="minorHAnsi"/>
          <w:color w:val="auto"/>
          <w:szCs w:val="24"/>
        </w:rPr>
        <w:t xml:space="preserve">EB’s approach of combining </w:t>
      </w:r>
      <w:r>
        <w:rPr>
          <w:rFonts w:asciiTheme="minorHAnsi" w:hAnsiTheme="minorHAnsi"/>
          <w:color w:val="auto"/>
          <w:szCs w:val="24"/>
        </w:rPr>
        <w:t xml:space="preserve">the </w:t>
      </w:r>
      <w:r w:rsidRPr="009F3644">
        <w:rPr>
          <w:rFonts w:asciiTheme="minorHAnsi" w:hAnsiTheme="minorHAnsi"/>
          <w:color w:val="auto"/>
          <w:szCs w:val="24"/>
        </w:rPr>
        <w:t xml:space="preserve">conditions under a single rating was justified in lieu of separate ratings. </w:t>
      </w:r>
      <w:r>
        <w:rPr>
          <w:rFonts w:asciiTheme="minorHAnsi" w:hAnsiTheme="minorHAnsi"/>
          <w:color w:val="auto"/>
          <w:szCs w:val="24"/>
        </w:rPr>
        <w:t xml:space="preserve"> </w:t>
      </w:r>
      <w:r w:rsidR="00AE6606">
        <w:rPr>
          <w:rFonts w:asciiTheme="minorHAnsi" w:hAnsiTheme="minorHAnsi"/>
          <w:color w:val="auto"/>
          <w:szCs w:val="24"/>
        </w:rPr>
        <w:t>Based on precedent and policy, t</w:t>
      </w:r>
      <w:r w:rsidRPr="009F3644">
        <w:rPr>
          <w:rFonts w:asciiTheme="minorHAnsi" w:hAnsiTheme="minorHAnsi"/>
          <w:color w:val="auto"/>
          <w:szCs w:val="24"/>
        </w:rPr>
        <w:t xml:space="preserve">he Board must apply separate codes and ratings in its recommendations if compensable ratings for each condition are achieved IAW VASRD </w:t>
      </w:r>
      <w:r w:rsidR="00C5692E">
        <w:rPr>
          <w:rFonts w:asciiTheme="minorHAnsi" w:hAnsiTheme="minorHAnsi"/>
          <w:color w:val="auto"/>
          <w:szCs w:val="24"/>
        </w:rPr>
        <w:t>guidelines</w:t>
      </w:r>
      <w:r w:rsidRPr="009F3644">
        <w:rPr>
          <w:rFonts w:asciiTheme="minorHAnsi" w:hAnsiTheme="minorHAnsi"/>
          <w:color w:val="auto"/>
          <w:szCs w:val="24"/>
        </w:rPr>
        <w:t>.</w:t>
      </w:r>
      <w:r>
        <w:rPr>
          <w:rFonts w:asciiTheme="minorHAnsi" w:hAnsiTheme="minorHAnsi"/>
          <w:color w:val="auto"/>
          <w:szCs w:val="24"/>
        </w:rPr>
        <w:t xml:space="preserve"> </w:t>
      </w:r>
      <w:r w:rsidRPr="009F3644">
        <w:rPr>
          <w:rFonts w:asciiTheme="minorHAnsi" w:hAnsiTheme="minorHAnsi"/>
          <w:color w:val="auto"/>
          <w:szCs w:val="24"/>
        </w:rPr>
        <w:t xml:space="preserve"> If the Board judges that two or more separate ratings are warranted in such cases, however, it must satisfy the requirement that each </w:t>
      </w:r>
      <w:r w:rsidR="00C24F59">
        <w:rPr>
          <w:rFonts w:asciiTheme="minorHAnsi" w:hAnsiTheme="minorHAnsi"/>
          <w:color w:val="auto"/>
          <w:szCs w:val="24"/>
        </w:rPr>
        <w:t>“unbundled”</w:t>
      </w:r>
      <w:r w:rsidRPr="009F3644">
        <w:rPr>
          <w:rFonts w:asciiTheme="minorHAnsi" w:hAnsiTheme="minorHAnsi"/>
          <w:color w:val="auto"/>
          <w:szCs w:val="24"/>
        </w:rPr>
        <w:t xml:space="preserve"> condition was unfitting in and of itself.</w:t>
      </w:r>
      <w:r>
        <w:rPr>
          <w:rFonts w:asciiTheme="minorHAnsi" w:hAnsiTheme="minorHAnsi"/>
          <w:color w:val="auto"/>
          <w:szCs w:val="24"/>
        </w:rPr>
        <w:t xml:space="preserve"> </w:t>
      </w:r>
      <w:r w:rsidRPr="009F3644">
        <w:rPr>
          <w:rFonts w:asciiTheme="minorHAnsi" w:hAnsiTheme="minorHAnsi"/>
          <w:color w:val="auto"/>
          <w:szCs w:val="24"/>
        </w:rPr>
        <w:t xml:space="preserve"> </w:t>
      </w:r>
      <w:r>
        <w:rPr>
          <w:rFonts w:asciiTheme="minorHAnsi" w:hAnsiTheme="minorHAnsi"/>
          <w:color w:val="auto"/>
          <w:szCs w:val="24"/>
        </w:rPr>
        <w:t xml:space="preserve">The CI clearly had evidence of DJD in both of his knees, left worse than right.  With regard to </w:t>
      </w:r>
      <w:r w:rsidR="00C24F59">
        <w:rPr>
          <w:rFonts w:asciiTheme="minorHAnsi" w:hAnsiTheme="minorHAnsi"/>
          <w:color w:val="auto"/>
          <w:szCs w:val="24"/>
        </w:rPr>
        <w:t>“</w:t>
      </w:r>
      <w:r w:rsidRPr="009F3644">
        <w:rPr>
          <w:rFonts w:asciiTheme="minorHAnsi" w:hAnsiTheme="minorHAnsi"/>
          <w:color w:val="auto"/>
          <w:szCs w:val="24"/>
        </w:rPr>
        <w:t>unbundl</w:t>
      </w:r>
      <w:r>
        <w:rPr>
          <w:rFonts w:asciiTheme="minorHAnsi" w:hAnsiTheme="minorHAnsi"/>
          <w:color w:val="auto"/>
          <w:szCs w:val="24"/>
        </w:rPr>
        <w:t>ing</w:t>
      </w:r>
      <w:r w:rsidR="00AE6606">
        <w:rPr>
          <w:rFonts w:asciiTheme="minorHAnsi" w:hAnsiTheme="minorHAnsi"/>
          <w:color w:val="auto"/>
          <w:szCs w:val="24"/>
        </w:rPr>
        <w:t>,</w:t>
      </w:r>
      <w:r w:rsidR="00C24F59">
        <w:rPr>
          <w:rFonts w:asciiTheme="minorHAnsi" w:hAnsiTheme="minorHAnsi"/>
          <w:color w:val="auto"/>
          <w:szCs w:val="24"/>
        </w:rPr>
        <w:t>”</w:t>
      </w:r>
      <w:r w:rsidRPr="009F3644">
        <w:rPr>
          <w:rFonts w:asciiTheme="minorHAnsi" w:hAnsiTheme="minorHAnsi"/>
          <w:color w:val="auto"/>
          <w:szCs w:val="24"/>
        </w:rPr>
        <w:t xml:space="preserve"> </w:t>
      </w:r>
      <w:r w:rsidR="00AE6606">
        <w:rPr>
          <w:rFonts w:asciiTheme="minorHAnsi" w:hAnsiTheme="minorHAnsi"/>
          <w:color w:val="auto"/>
          <w:szCs w:val="24"/>
        </w:rPr>
        <w:t>t</w:t>
      </w:r>
      <w:r>
        <w:rPr>
          <w:rFonts w:asciiTheme="minorHAnsi" w:hAnsiTheme="minorHAnsi"/>
          <w:color w:val="auto"/>
          <w:szCs w:val="24"/>
        </w:rPr>
        <w:t xml:space="preserve">he key issue </w:t>
      </w:r>
      <w:r w:rsidR="00AE6606">
        <w:rPr>
          <w:rFonts w:asciiTheme="minorHAnsi" w:hAnsiTheme="minorHAnsi"/>
          <w:color w:val="auto"/>
          <w:szCs w:val="24"/>
        </w:rPr>
        <w:t xml:space="preserve">therefore, </w:t>
      </w:r>
      <w:r>
        <w:rPr>
          <w:rFonts w:asciiTheme="minorHAnsi" w:hAnsiTheme="minorHAnsi"/>
          <w:color w:val="auto"/>
          <w:szCs w:val="24"/>
        </w:rPr>
        <w:t xml:space="preserve">was whether </w:t>
      </w:r>
      <w:r w:rsidR="00FB30F3">
        <w:rPr>
          <w:rFonts w:asciiTheme="minorHAnsi" w:hAnsiTheme="minorHAnsi"/>
          <w:color w:val="auto"/>
          <w:szCs w:val="24"/>
        </w:rPr>
        <w:t xml:space="preserve">the right knee was separately unfitting and whether </w:t>
      </w:r>
      <w:r>
        <w:rPr>
          <w:rFonts w:asciiTheme="minorHAnsi" w:hAnsiTheme="minorHAnsi"/>
          <w:color w:val="auto"/>
          <w:szCs w:val="24"/>
        </w:rPr>
        <w:t xml:space="preserve">a compensable evaluation could be granted for the right </w:t>
      </w:r>
      <w:r w:rsidR="00AE6606">
        <w:rPr>
          <w:rFonts w:asciiTheme="minorHAnsi" w:hAnsiTheme="minorHAnsi"/>
          <w:color w:val="auto"/>
          <w:szCs w:val="24"/>
        </w:rPr>
        <w:t xml:space="preserve">(less severe) </w:t>
      </w:r>
      <w:r>
        <w:rPr>
          <w:rFonts w:asciiTheme="minorHAnsi" w:hAnsiTheme="minorHAnsi"/>
          <w:color w:val="auto"/>
          <w:szCs w:val="24"/>
        </w:rPr>
        <w:t>knee.</w:t>
      </w:r>
      <w:r w:rsidR="00C5692E">
        <w:rPr>
          <w:rFonts w:asciiTheme="minorHAnsi" w:hAnsiTheme="minorHAnsi"/>
          <w:color w:val="auto"/>
          <w:szCs w:val="24"/>
        </w:rPr>
        <w:t xml:space="preserve">  </w:t>
      </w:r>
      <w:r w:rsidR="00AE6606" w:rsidRPr="00AE6606">
        <w:rPr>
          <w:rFonts w:ascii="Calibri" w:hAnsi="Calibri" w:cs="Calibri"/>
          <w:color w:val="auto"/>
          <w:szCs w:val="24"/>
        </w:rPr>
        <w:t>Based on the evidence in the treatment record, t</w:t>
      </w:r>
      <w:r w:rsidRPr="00AE6606">
        <w:rPr>
          <w:rFonts w:ascii="Calibri" w:hAnsi="Calibri" w:cs="Calibri"/>
          <w:color w:val="auto"/>
          <w:szCs w:val="24"/>
        </w:rPr>
        <w:t xml:space="preserve">he Board concluded that the CI’s </w:t>
      </w:r>
      <w:r w:rsidR="00AE6606" w:rsidRPr="00AE6606">
        <w:rPr>
          <w:rFonts w:ascii="Calibri" w:hAnsi="Calibri" w:cs="Calibri"/>
          <w:color w:val="auto"/>
          <w:szCs w:val="24"/>
        </w:rPr>
        <w:t>right</w:t>
      </w:r>
      <w:r w:rsidRPr="00AE6606">
        <w:rPr>
          <w:rFonts w:ascii="Calibri" w:hAnsi="Calibri" w:cs="Calibri"/>
          <w:color w:val="auto"/>
          <w:szCs w:val="24"/>
        </w:rPr>
        <w:t xml:space="preserve"> knee pain did meet the intent of </w:t>
      </w:r>
      <w:r w:rsidR="00AE6606">
        <w:rPr>
          <w:rFonts w:ascii="Calibri" w:hAnsi="Calibri" w:cs="Calibri"/>
          <w:color w:val="auto"/>
          <w:szCs w:val="24"/>
        </w:rPr>
        <w:t xml:space="preserve">VASRD </w:t>
      </w:r>
      <w:r w:rsidRPr="00AE6606">
        <w:rPr>
          <w:rFonts w:ascii="Calibri" w:eastAsia="Calibri" w:hAnsi="Calibri" w:cs="Calibri"/>
          <w:color w:val="auto"/>
          <w:szCs w:val="24"/>
        </w:rPr>
        <w:t>§4.59 (</w:t>
      </w:r>
      <w:r w:rsidR="00C24F59">
        <w:rPr>
          <w:rFonts w:ascii="Calibri" w:eastAsia="Calibri" w:hAnsi="Calibri" w:cs="Calibri"/>
          <w:color w:val="auto"/>
          <w:szCs w:val="24"/>
        </w:rPr>
        <w:t>p</w:t>
      </w:r>
      <w:r w:rsidRPr="00AE6606">
        <w:rPr>
          <w:rFonts w:ascii="Calibri" w:eastAsia="Calibri" w:hAnsi="Calibri" w:cs="Calibri"/>
          <w:color w:val="auto"/>
          <w:szCs w:val="24"/>
        </w:rPr>
        <w:t>ainful motion) since “the intent of the schedule is to recognize painful mot</w:t>
      </w:r>
      <w:r w:rsidRPr="00AE6606">
        <w:rPr>
          <w:rFonts w:ascii="Calibri" w:hAnsi="Calibri" w:cs="Calibri"/>
          <w:color w:val="auto"/>
          <w:szCs w:val="24"/>
        </w:rPr>
        <w:t>ion with joint or periarticular pathology as productive of disability.”  The</w:t>
      </w:r>
      <w:r w:rsidR="00AE6606">
        <w:rPr>
          <w:rFonts w:ascii="Calibri" w:hAnsi="Calibri" w:cs="Calibri"/>
          <w:color w:val="auto"/>
          <w:szCs w:val="24"/>
        </w:rPr>
        <w:t xml:space="preserve"> Board found that there was sufficient </w:t>
      </w:r>
      <w:r w:rsidRPr="00AE6606">
        <w:rPr>
          <w:rFonts w:ascii="Calibri" w:hAnsi="Calibri" w:cs="Calibri"/>
          <w:color w:val="auto"/>
          <w:szCs w:val="24"/>
        </w:rPr>
        <w:t>documentation of painful motion and joint pathology</w:t>
      </w:r>
      <w:r w:rsidR="00AE6606">
        <w:rPr>
          <w:rFonts w:ascii="Calibri" w:hAnsi="Calibri" w:cs="Calibri"/>
          <w:color w:val="auto"/>
          <w:szCs w:val="24"/>
        </w:rPr>
        <w:t xml:space="preserve"> for the right knee</w:t>
      </w:r>
      <w:r w:rsidRPr="00AE6606">
        <w:rPr>
          <w:rFonts w:ascii="Calibri" w:hAnsi="Calibri" w:cs="Calibri"/>
          <w:color w:val="auto"/>
          <w:szCs w:val="24"/>
        </w:rPr>
        <w:t xml:space="preserve">.  After due deliberation, the Board agreed that the evidence did support a conclusion that the </w:t>
      </w:r>
      <w:r w:rsidR="00AE6606">
        <w:rPr>
          <w:rFonts w:ascii="Calibri" w:hAnsi="Calibri" w:cs="Calibri"/>
          <w:color w:val="auto"/>
          <w:szCs w:val="24"/>
        </w:rPr>
        <w:t>right</w:t>
      </w:r>
      <w:r w:rsidRPr="00AE6606">
        <w:rPr>
          <w:rFonts w:ascii="Calibri" w:hAnsi="Calibri" w:cs="Calibri"/>
          <w:color w:val="auto"/>
          <w:szCs w:val="24"/>
        </w:rPr>
        <w:t xml:space="preserve"> knee pain, separately, would have rendered the CI incapable of </w:t>
      </w:r>
      <w:r w:rsidR="00966959">
        <w:rPr>
          <w:rFonts w:ascii="Calibri" w:hAnsi="Calibri" w:cs="Calibri"/>
          <w:color w:val="auto"/>
          <w:szCs w:val="24"/>
        </w:rPr>
        <w:t xml:space="preserve">fully </w:t>
      </w:r>
      <w:r w:rsidRPr="00AE6606">
        <w:rPr>
          <w:rFonts w:ascii="Calibri" w:hAnsi="Calibri" w:cs="Calibri"/>
          <w:color w:val="auto"/>
          <w:szCs w:val="24"/>
        </w:rPr>
        <w:t>performing his military duties</w:t>
      </w:r>
      <w:r w:rsidR="00C5692E">
        <w:rPr>
          <w:rFonts w:ascii="Calibri" w:hAnsi="Calibri" w:cs="Calibri"/>
          <w:color w:val="auto"/>
          <w:szCs w:val="24"/>
        </w:rPr>
        <w:t>, and meeting physical fitness standards</w:t>
      </w:r>
      <w:r w:rsidR="00AE6606">
        <w:rPr>
          <w:rFonts w:ascii="Calibri" w:hAnsi="Calibri" w:cs="Calibri"/>
          <w:color w:val="auto"/>
          <w:szCs w:val="24"/>
        </w:rPr>
        <w:t xml:space="preserve">.  </w:t>
      </w:r>
      <w:r w:rsidR="00C5692E">
        <w:rPr>
          <w:rFonts w:ascii="Calibri" w:hAnsi="Calibri" w:cs="Calibri"/>
          <w:color w:val="auto"/>
          <w:szCs w:val="24"/>
        </w:rPr>
        <w:t>T</w:t>
      </w:r>
      <w:r w:rsidR="00AE6606">
        <w:rPr>
          <w:rFonts w:ascii="Calibri" w:hAnsi="Calibri" w:cs="Calibri"/>
          <w:color w:val="auto"/>
          <w:szCs w:val="24"/>
        </w:rPr>
        <w:t>he Board unanimously</w:t>
      </w:r>
      <w:r w:rsidRPr="00AE6606">
        <w:rPr>
          <w:rFonts w:ascii="Calibri" w:hAnsi="Calibri" w:cs="Calibri"/>
          <w:color w:val="auto"/>
          <w:szCs w:val="24"/>
        </w:rPr>
        <w:t xml:space="preserve"> recommend</w:t>
      </w:r>
      <w:r w:rsidR="00AE6606">
        <w:rPr>
          <w:rFonts w:ascii="Calibri" w:hAnsi="Calibri" w:cs="Calibri"/>
          <w:color w:val="auto"/>
          <w:szCs w:val="24"/>
        </w:rPr>
        <w:t>s</w:t>
      </w:r>
      <w:r w:rsidRPr="00AE6606">
        <w:rPr>
          <w:rFonts w:ascii="Calibri" w:hAnsi="Calibri" w:cs="Calibri"/>
          <w:color w:val="auto"/>
          <w:szCs w:val="24"/>
        </w:rPr>
        <w:t xml:space="preserve"> a separate </w:t>
      </w:r>
      <w:r w:rsidR="00C24F59">
        <w:rPr>
          <w:rFonts w:ascii="Calibri" w:hAnsi="Calibri" w:cs="Calibri"/>
          <w:color w:val="auto"/>
          <w:szCs w:val="24"/>
        </w:rPr>
        <w:t>s</w:t>
      </w:r>
      <w:r w:rsidRPr="00AE6606">
        <w:rPr>
          <w:rFonts w:ascii="Calibri" w:hAnsi="Calibri" w:cs="Calibri"/>
          <w:color w:val="auto"/>
          <w:szCs w:val="24"/>
        </w:rPr>
        <w:t xml:space="preserve">ervice disability rating </w:t>
      </w:r>
      <w:r w:rsidR="00D64B1E">
        <w:rPr>
          <w:rFonts w:ascii="Calibri" w:hAnsi="Calibri" w:cs="Calibri"/>
          <w:color w:val="auto"/>
          <w:szCs w:val="24"/>
        </w:rPr>
        <w:t xml:space="preserve">of 10% </w:t>
      </w:r>
      <w:r w:rsidRPr="00AE6606">
        <w:rPr>
          <w:rFonts w:ascii="Calibri" w:hAnsi="Calibri" w:cs="Calibri"/>
          <w:color w:val="auto"/>
          <w:szCs w:val="24"/>
        </w:rPr>
        <w:t xml:space="preserve">for </w:t>
      </w:r>
      <w:r w:rsidR="00D64B1E">
        <w:rPr>
          <w:rFonts w:ascii="Calibri" w:hAnsi="Calibri" w:cs="Calibri"/>
          <w:color w:val="auto"/>
          <w:szCs w:val="24"/>
        </w:rPr>
        <w:t>each</w:t>
      </w:r>
      <w:r w:rsidR="00AE6606">
        <w:rPr>
          <w:rFonts w:ascii="Calibri" w:hAnsi="Calibri" w:cs="Calibri"/>
          <w:color w:val="auto"/>
          <w:szCs w:val="24"/>
        </w:rPr>
        <w:t xml:space="preserve"> knee</w:t>
      </w:r>
      <w:r w:rsidR="00D64B1E">
        <w:rPr>
          <w:rFonts w:ascii="Calibri" w:hAnsi="Calibri" w:cs="Calibri"/>
          <w:color w:val="auto"/>
          <w:szCs w:val="24"/>
        </w:rPr>
        <w:t xml:space="preserve">, IAW VASRD </w:t>
      </w:r>
      <w:r w:rsidR="00D64B1E" w:rsidRPr="00AE6606">
        <w:rPr>
          <w:rFonts w:ascii="Calibri" w:eastAsia="Calibri" w:hAnsi="Calibri" w:cs="Calibri"/>
          <w:color w:val="auto"/>
          <w:szCs w:val="24"/>
        </w:rPr>
        <w:t>§4.</w:t>
      </w:r>
      <w:r w:rsidR="00D64B1E">
        <w:rPr>
          <w:rFonts w:ascii="Calibri" w:eastAsia="Calibri" w:hAnsi="Calibri" w:cs="Calibri"/>
          <w:color w:val="auto"/>
          <w:szCs w:val="24"/>
        </w:rPr>
        <w:t>40</w:t>
      </w:r>
      <w:r w:rsidR="00D64B1E" w:rsidRPr="00AE6606">
        <w:rPr>
          <w:rFonts w:ascii="Calibri" w:eastAsia="Calibri" w:hAnsi="Calibri" w:cs="Calibri"/>
          <w:color w:val="auto"/>
          <w:szCs w:val="24"/>
        </w:rPr>
        <w:t xml:space="preserve"> (</w:t>
      </w:r>
      <w:r w:rsidR="00C24F59">
        <w:rPr>
          <w:rFonts w:ascii="Calibri" w:eastAsia="Calibri" w:hAnsi="Calibri" w:cs="Calibri"/>
          <w:color w:val="auto"/>
          <w:szCs w:val="24"/>
        </w:rPr>
        <w:t>f</w:t>
      </w:r>
      <w:r w:rsidR="00D64B1E">
        <w:rPr>
          <w:rFonts w:ascii="Calibri" w:eastAsia="Calibri" w:hAnsi="Calibri" w:cs="Calibri"/>
          <w:color w:val="auto"/>
          <w:szCs w:val="24"/>
        </w:rPr>
        <w:t>unctional loss</w:t>
      </w:r>
      <w:r w:rsidR="00D64B1E" w:rsidRPr="00AE6606">
        <w:rPr>
          <w:rFonts w:ascii="Calibri" w:eastAsia="Calibri" w:hAnsi="Calibri" w:cs="Calibri"/>
          <w:color w:val="auto"/>
          <w:szCs w:val="24"/>
        </w:rPr>
        <w:t>)</w:t>
      </w:r>
      <w:r w:rsidR="00D64B1E">
        <w:rPr>
          <w:rFonts w:ascii="Calibri" w:eastAsia="Calibri" w:hAnsi="Calibri" w:cs="Calibri"/>
          <w:color w:val="auto"/>
          <w:szCs w:val="24"/>
        </w:rPr>
        <w:t>,</w:t>
      </w:r>
      <w:r w:rsidR="00D64B1E" w:rsidRPr="00D64B1E">
        <w:rPr>
          <w:rFonts w:ascii="Calibri" w:hAnsi="Calibri" w:cs="Calibri"/>
          <w:color w:val="auto"/>
          <w:szCs w:val="24"/>
        </w:rPr>
        <w:t xml:space="preserve"> </w:t>
      </w:r>
      <w:r w:rsidR="00D64B1E" w:rsidRPr="00AE6606">
        <w:rPr>
          <w:rFonts w:ascii="Calibri" w:eastAsia="Calibri" w:hAnsi="Calibri" w:cs="Calibri"/>
          <w:color w:val="auto"/>
          <w:szCs w:val="24"/>
        </w:rPr>
        <w:t>§4.</w:t>
      </w:r>
      <w:r w:rsidR="00D64B1E">
        <w:rPr>
          <w:rFonts w:ascii="Calibri" w:eastAsia="Calibri" w:hAnsi="Calibri" w:cs="Calibri"/>
          <w:color w:val="auto"/>
          <w:szCs w:val="24"/>
        </w:rPr>
        <w:t>45</w:t>
      </w:r>
      <w:r w:rsidR="00D64B1E" w:rsidRPr="00AE6606">
        <w:rPr>
          <w:rFonts w:ascii="Calibri" w:eastAsia="Calibri" w:hAnsi="Calibri" w:cs="Calibri"/>
          <w:color w:val="auto"/>
          <w:szCs w:val="24"/>
        </w:rPr>
        <w:t xml:space="preserve"> (</w:t>
      </w:r>
      <w:r w:rsidR="00C24F59">
        <w:rPr>
          <w:rFonts w:ascii="Calibri" w:eastAsia="Calibri" w:hAnsi="Calibri" w:cs="Calibri"/>
          <w:color w:val="auto"/>
          <w:szCs w:val="24"/>
        </w:rPr>
        <w:t>t</w:t>
      </w:r>
      <w:r w:rsidR="00D64B1E">
        <w:rPr>
          <w:rFonts w:ascii="Calibri" w:eastAsia="Calibri" w:hAnsi="Calibri" w:cs="Calibri"/>
          <w:color w:val="auto"/>
          <w:szCs w:val="24"/>
        </w:rPr>
        <w:t>he joints</w:t>
      </w:r>
      <w:r w:rsidR="00D64B1E" w:rsidRPr="00AE6606">
        <w:rPr>
          <w:rFonts w:ascii="Calibri" w:eastAsia="Calibri" w:hAnsi="Calibri" w:cs="Calibri"/>
          <w:color w:val="auto"/>
          <w:szCs w:val="24"/>
        </w:rPr>
        <w:t>)</w:t>
      </w:r>
      <w:r w:rsidR="00D64B1E">
        <w:rPr>
          <w:rFonts w:ascii="Calibri" w:eastAsia="Calibri" w:hAnsi="Calibri" w:cs="Calibri"/>
          <w:color w:val="auto"/>
          <w:szCs w:val="24"/>
        </w:rPr>
        <w:t>,</w:t>
      </w:r>
      <w:r w:rsidR="00D64B1E" w:rsidRPr="00AE6606">
        <w:rPr>
          <w:rFonts w:ascii="Calibri" w:eastAsia="Calibri" w:hAnsi="Calibri" w:cs="Calibri"/>
          <w:color w:val="auto"/>
          <w:szCs w:val="24"/>
        </w:rPr>
        <w:t xml:space="preserve"> §4.59 (</w:t>
      </w:r>
      <w:r w:rsidR="00C24F59">
        <w:rPr>
          <w:rFonts w:ascii="Calibri" w:eastAsia="Calibri" w:hAnsi="Calibri" w:cs="Calibri"/>
          <w:color w:val="auto"/>
          <w:szCs w:val="24"/>
        </w:rPr>
        <w:t>p</w:t>
      </w:r>
      <w:r w:rsidR="00D64B1E" w:rsidRPr="00AE6606">
        <w:rPr>
          <w:rFonts w:ascii="Calibri" w:eastAsia="Calibri" w:hAnsi="Calibri" w:cs="Calibri"/>
          <w:color w:val="auto"/>
          <w:szCs w:val="24"/>
        </w:rPr>
        <w:t>ainful motion)</w:t>
      </w:r>
      <w:r w:rsidR="00D64B1E">
        <w:rPr>
          <w:rFonts w:ascii="Calibri" w:eastAsia="Calibri" w:hAnsi="Calibri" w:cs="Calibri"/>
          <w:color w:val="auto"/>
          <w:szCs w:val="24"/>
        </w:rPr>
        <w:t xml:space="preserve"> and </w:t>
      </w:r>
      <w:r w:rsidR="00D64B1E" w:rsidRPr="00AE6606">
        <w:rPr>
          <w:rFonts w:ascii="Calibri" w:eastAsia="Calibri" w:hAnsi="Calibri" w:cs="Calibri"/>
          <w:color w:val="auto"/>
          <w:szCs w:val="24"/>
        </w:rPr>
        <w:t>§4.</w:t>
      </w:r>
      <w:r w:rsidR="00D64B1E">
        <w:rPr>
          <w:rFonts w:ascii="Calibri" w:eastAsia="Calibri" w:hAnsi="Calibri" w:cs="Calibri"/>
          <w:color w:val="auto"/>
          <w:szCs w:val="24"/>
        </w:rPr>
        <w:t>71a.</w:t>
      </w:r>
    </w:p>
    <w:p w:rsidR="0065461E" w:rsidRDefault="0065461E" w:rsidP="001B7F7A">
      <w:pPr>
        <w:tabs>
          <w:tab w:val="left" w:pos="2980"/>
        </w:tabs>
        <w:spacing w:line="240" w:lineRule="exact"/>
        <w:jc w:val="both"/>
        <w:rPr>
          <w:rFonts w:asciiTheme="minorHAnsi" w:hAnsiTheme="minorHAnsi"/>
          <w:color w:val="auto"/>
          <w:szCs w:val="24"/>
        </w:rPr>
      </w:pPr>
    </w:p>
    <w:p w:rsidR="0047207F" w:rsidRDefault="00BB77AA" w:rsidP="001B7F7A">
      <w:pPr>
        <w:tabs>
          <w:tab w:val="left" w:pos="2980"/>
        </w:tabs>
        <w:spacing w:line="240" w:lineRule="exact"/>
        <w:jc w:val="both"/>
        <w:rPr>
          <w:rFonts w:asciiTheme="minorHAnsi" w:hAnsiTheme="minorHAnsi"/>
          <w:color w:val="auto"/>
          <w:szCs w:val="24"/>
        </w:rPr>
      </w:pPr>
      <w:r>
        <w:rPr>
          <w:rFonts w:asciiTheme="minorHAnsi" w:hAnsiTheme="minorHAnsi"/>
          <w:color w:val="auto"/>
          <w:szCs w:val="24"/>
          <w:u w:val="single"/>
        </w:rPr>
        <w:t>Cervical</w:t>
      </w:r>
      <w:r w:rsidR="00567FC8">
        <w:rPr>
          <w:rFonts w:asciiTheme="minorHAnsi" w:hAnsiTheme="minorHAnsi"/>
          <w:color w:val="auto"/>
          <w:szCs w:val="24"/>
          <w:u w:val="single"/>
        </w:rPr>
        <w:t xml:space="preserve"> and Upper Thoracic</w:t>
      </w:r>
      <w:r>
        <w:rPr>
          <w:rFonts w:asciiTheme="minorHAnsi" w:hAnsiTheme="minorHAnsi"/>
          <w:color w:val="auto"/>
          <w:szCs w:val="24"/>
          <w:u w:val="single"/>
        </w:rPr>
        <w:t xml:space="preserve"> </w:t>
      </w:r>
      <w:r w:rsidR="006A5C4F" w:rsidRPr="002C22B3">
        <w:rPr>
          <w:rFonts w:asciiTheme="minorHAnsi" w:hAnsiTheme="minorHAnsi"/>
          <w:color w:val="auto"/>
          <w:szCs w:val="24"/>
          <w:u w:val="single"/>
        </w:rPr>
        <w:t>Pain</w:t>
      </w:r>
      <w:r w:rsidR="006773AC">
        <w:rPr>
          <w:rFonts w:asciiTheme="minorHAnsi" w:hAnsiTheme="minorHAnsi"/>
          <w:color w:val="auto"/>
          <w:szCs w:val="24"/>
          <w:u w:val="single"/>
        </w:rPr>
        <w:t>, with radicular symptoms in left arm</w:t>
      </w:r>
      <w:r w:rsidR="00A54EFD">
        <w:rPr>
          <w:rFonts w:asciiTheme="minorHAnsi" w:hAnsiTheme="minorHAnsi"/>
          <w:color w:val="auto"/>
          <w:szCs w:val="24"/>
        </w:rPr>
        <w:t>.</w:t>
      </w:r>
      <w:r w:rsidR="009E1E0D">
        <w:rPr>
          <w:rFonts w:asciiTheme="minorHAnsi" w:hAnsiTheme="minorHAnsi"/>
          <w:color w:val="auto"/>
          <w:szCs w:val="24"/>
        </w:rPr>
        <w:t xml:space="preserve">  </w:t>
      </w:r>
      <w:r w:rsidR="0047207F">
        <w:rPr>
          <w:rFonts w:asciiTheme="minorHAnsi" w:hAnsiTheme="minorHAnsi"/>
          <w:color w:val="auto"/>
          <w:szCs w:val="24"/>
        </w:rPr>
        <w:t xml:space="preserve">The CI </w:t>
      </w:r>
      <w:r w:rsidR="00966959">
        <w:rPr>
          <w:rFonts w:asciiTheme="minorHAnsi" w:hAnsiTheme="minorHAnsi"/>
          <w:color w:val="auto"/>
          <w:szCs w:val="24"/>
        </w:rPr>
        <w:t xml:space="preserve">was </w:t>
      </w:r>
      <w:r w:rsidR="0047207F">
        <w:rPr>
          <w:rFonts w:asciiTheme="minorHAnsi" w:hAnsiTheme="minorHAnsi"/>
          <w:color w:val="auto"/>
          <w:szCs w:val="24"/>
        </w:rPr>
        <w:t xml:space="preserve">injured in November 2001 when he fell </w:t>
      </w:r>
      <w:r w:rsidR="00567FC8">
        <w:rPr>
          <w:rFonts w:asciiTheme="minorHAnsi" w:hAnsiTheme="minorHAnsi"/>
          <w:color w:val="auto"/>
          <w:szCs w:val="24"/>
        </w:rPr>
        <w:t xml:space="preserve">down </w:t>
      </w:r>
      <w:r w:rsidR="0047207F">
        <w:rPr>
          <w:rFonts w:asciiTheme="minorHAnsi" w:hAnsiTheme="minorHAnsi"/>
          <w:color w:val="auto"/>
          <w:szCs w:val="24"/>
        </w:rPr>
        <w:t xml:space="preserve">while carrying communication equipment.  </w:t>
      </w:r>
      <w:r w:rsidR="00567FC8">
        <w:rPr>
          <w:rFonts w:asciiTheme="minorHAnsi" w:hAnsiTheme="minorHAnsi"/>
          <w:color w:val="auto"/>
          <w:szCs w:val="24"/>
        </w:rPr>
        <w:t>MRI</w:t>
      </w:r>
      <w:r w:rsidR="003A5284">
        <w:rPr>
          <w:rFonts w:asciiTheme="minorHAnsi" w:hAnsiTheme="minorHAnsi"/>
          <w:color w:val="auto"/>
          <w:szCs w:val="24"/>
        </w:rPr>
        <w:t xml:space="preserve"> showed small disc protrusions at C2-</w:t>
      </w:r>
      <w:r w:rsidR="00567FC8">
        <w:rPr>
          <w:rFonts w:asciiTheme="minorHAnsi" w:hAnsiTheme="minorHAnsi"/>
          <w:color w:val="auto"/>
          <w:szCs w:val="24"/>
        </w:rPr>
        <w:t>C</w:t>
      </w:r>
      <w:r w:rsidR="003A5284">
        <w:rPr>
          <w:rFonts w:asciiTheme="minorHAnsi" w:hAnsiTheme="minorHAnsi"/>
          <w:color w:val="auto"/>
          <w:szCs w:val="24"/>
        </w:rPr>
        <w:t>3, C3-</w:t>
      </w:r>
      <w:r w:rsidR="00567FC8">
        <w:rPr>
          <w:rFonts w:asciiTheme="minorHAnsi" w:hAnsiTheme="minorHAnsi"/>
          <w:color w:val="auto"/>
          <w:szCs w:val="24"/>
        </w:rPr>
        <w:t>C</w:t>
      </w:r>
      <w:r w:rsidR="003A5284">
        <w:rPr>
          <w:rFonts w:asciiTheme="minorHAnsi" w:hAnsiTheme="minorHAnsi"/>
          <w:color w:val="auto"/>
          <w:szCs w:val="24"/>
        </w:rPr>
        <w:t>4</w:t>
      </w:r>
      <w:r w:rsidR="00567FC8">
        <w:rPr>
          <w:rFonts w:asciiTheme="minorHAnsi" w:hAnsiTheme="minorHAnsi"/>
          <w:color w:val="auto"/>
          <w:szCs w:val="24"/>
        </w:rPr>
        <w:t>,</w:t>
      </w:r>
      <w:r w:rsidR="003A5284">
        <w:rPr>
          <w:rFonts w:asciiTheme="minorHAnsi" w:hAnsiTheme="minorHAnsi"/>
          <w:color w:val="auto"/>
          <w:szCs w:val="24"/>
        </w:rPr>
        <w:t xml:space="preserve"> and T2-</w:t>
      </w:r>
      <w:r w:rsidR="00567FC8">
        <w:rPr>
          <w:rFonts w:asciiTheme="minorHAnsi" w:hAnsiTheme="minorHAnsi"/>
          <w:color w:val="auto"/>
          <w:szCs w:val="24"/>
        </w:rPr>
        <w:t>T</w:t>
      </w:r>
      <w:r w:rsidR="003A5284">
        <w:rPr>
          <w:rFonts w:asciiTheme="minorHAnsi" w:hAnsiTheme="minorHAnsi"/>
          <w:color w:val="auto"/>
          <w:szCs w:val="24"/>
        </w:rPr>
        <w:t xml:space="preserve">3.  </w:t>
      </w:r>
      <w:r w:rsidR="00567FC8">
        <w:rPr>
          <w:rFonts w:asciiTheme="minorHAnsi" w:hAnsiTheme="minorHAnsi"/>
          <w:color w:val="auto"/>
          <w:szCs w:val="24"/>
        </w:rPr>
        <w:t>His</w:t>
      </w:r>
      <w:r w:rsidR="003A5284">
        <w:rPr>
          <w:rFonts w:asciiTheme="minorHAnsi" w:hAnsiTheme="minorHAnsi"/>
          <w:color w:val="auto"/>
          <w:szCs w:val="24"/>
        </w:rPr>
        <w:t xml:space="preserve"> pain did not resolve with conservative therapy</w:t>
      </w:r>
      <w:r w:rsidR="00567FC8">
        <w:rPr>
          <w:rFonts w:asciiTheme="minorHAnsi" w:hAnsiTheme="minorHAnsi"/>
          <w:color w:val="auto"/>
          <w:szCs w:val="24"/>
        </w:rPr>
        <w:t>.</w:t>
      </w:r>
      <w:r w:rsidR="003A5284">
        <w:rPr>
          <w:rFonts w:asciiTheme="minorHAnsi" w:hAnsiTheme="minorHAnsi"/>
          <w:color w:val="auto"/>
          <w:szCs w:val="24"/>
        </w:rPr>
        <w:t xml:space="preserve"> </w:t>
      </w:r>
      <w:r w:rsidR="00567FC8">
        <w:rPr>
          <w:rFonts w:asciiTheme="minorHAnsi" w:hAnsiTheme="minorHAnsi"/>
          <w:color w:val="auto"/>
          <w:szCs w:val="24"/>
        </w:rPr>
        <w:t>In November 2002, h</w:t>
      </w:r>
      <w:r w:rsidR="003A5284">
        <w:rPr>
          <w:rFonts w:asciiTheme="minorHAnsi" w:hAnsiTheme="minorHAnsi"/>
          <w:color w:val="auto"/>
          <w:szCs w:val="24"/>
        </w:rPr>
        <w:t xml:space="preserve">e was </w:t>
      </w:r>
      <w:r w:rsidR="00567FC8">
        <w:rPr>
          <w:rFonts w:asciiTheme="minorHAnsi" w:hAnsiTheme="minorHAnsi"/>
          <w:color w:val="auto"/>
          <w:szCs w:val="24"/>
        </w:rPr>
        <w:t>referred</w:t>
      </w:r>
      <w:r w:rsidR="003A5284">
        <w:rPr>
          <w:rFonts w:asciiTheme="minorHAnsi" w:hAnsiTheme="minorHAnsi"/>
          <w:color w:val="auto"/>
          <w:szCs w:val="24"/>
        </w:rPr>
        <w:t xml:space="preserve"> to neurology</w:t>
      </w:r>
      <w:r w:rsidR="00567FC8">
        <w:rPr>
          <w:rFonts w:asciiTheme="minorHAnsi" w:hAnsiTheme="minorHAnsi"/>
          <w:color w:val="auto"/>
          <w:szCs w:val="24"/>
        </w:rPr>
        <w:t xml:space="preserve"> due to </w:t>
      </w:r>
      <w:r w:rsidR="003A5284">
        <w:rPr>
          <w:rFonts w:asciiTheme="minorHAnsi" w:hAnsiTheme="minorHAnsi"/>
          <w:color w:val="auto"/>
          <w:szCs w:val="24"/>
        </w:rPr>
        <w:t>pain radiat</w:t>
      </w:r>
      <w:r w:rsidR="00567FC8">
        <w:rPr>
          <w:rFonts w:asciiTheme="minorHAnsi" w:hAnsiTheme="minorHAnsi"/>
          <w:color w:val="auto"/>
          <w:szCs w:val="24"/>
        </w:rPr>
        <w:t>ing</w:t>
      </w:r>
      <w:r w:rsidR="003A5284">
        <w:rPr>
          <w:rFonts w:asciiTheme="minorHAnsi" w:hAnsiTheme="minorHAnsi"/>
          <w:color w:val="auto"/>
          <w:szCs w:val="24"/>
        </w:rPr>
        <w:t xml:space="preserve"> down his left arm.  </w:t>
      </w:r>
      <w:r w:rsidR="00567FC8">
        <w:rPr>
          <w:rFonts w:asciiTheme="minorHAnsi" w:hAnsiTheme="minorHAnsi"/>
          <w:color w:val="auto"/>
          <w:szCs w:val="24"/>
        </w:rPr>
        <w:t xml:space="preserve">His </w:t>
      </w:r>
      <w:r w:rsidR="003A5284">
        <w:rPr>
          <w:rFonts w:asciiTheme="minorHAnsi" w:hAnsiTheme="minorHAnsi"/>
          <w:color w:val="auto"/>
          <w:szCs w:val="24"/>
        </w:rPr>
        <w:t>neurolog</w:t>
      </w:r>
      <w:r w:rsidR="00567FC8">
        <w:rPr>
          <w:rFonts w:asciiTheme="minorHAnsi" w:hAnsiTheme="minorHAnsi"/>
          <w:color w:val="auto"/>
          <w:szCs w:val="24"/>
        </w:rPr>
        <w:t>ical</w:t>
      </w:r>
      <w:r w:rsidR="003A5284">
        <w:rPr>
          <w:rFonts w:asciiTheme="minorHAnsi" w:hAnsiTheme="minorHAnsi"/>
          <w:color w:val="auto"/>
          <w:szCs w:val="24"/>
        </w:rPr>
        <w:t xml:space="preserve"> exam </w:t>
      </w:r>
      <w:r w:rsidR="00567FC8">
        <w:rPr>
          <w:rFonts w:asciiTheme="minorHAnsi" w:hAnsiTheme="minorHAnsi"/>
          <w:color w:val="auto"/>
          <w:szCs w:val="24"/>
        </w:rPr>
        <w:t>was normal.  T</w:t>
      </w:r>
      <w:r w:rsidR="003A5284">
        <w:rPr>
          <w:rFonts w:asciiTheme="minorHAnsi" w:hAnsiTheme="minorHAnsi"/>
          <w:color w:val="auto"/>
          <w:szCs w:val="24"/>
        </w:rPr>
        <w:t>he CI was tr</w:t>
      </w:r>
      <w:r w:rsidR="00DC77FE">
        <w:rPr>
          <w:rFonts w:asciiTheme="minorHAnsi" w:hAnsiTheme="minorHAnsi"/>
          <w:color w:val="auto"/>
          <w:szCs w:val="24"/>
        </w:rPr>
        <w:t>eated with</w:t>
      </w:r>
      <w:r w:rsidR="0002176C">
        <w:rPr>
          <w:rFonts w:asciiTheme="minorHAnsi" w:hAnsiTheme="minorHAnsi"/>
          <w:color w:val="auto"/>
          <w:szCs w:val="24"/>
        </w:rPr>
        <w:t xml:space="preserve"> a </w:t>
      </w:r>
      <w:r w:rsidR="00C24F59">
        <w:rPr>
          <w:rFonts w:asciiTheme="minorHAnsi" w:hAnsiTheme="minorHAnsi"/>
          <w:color w:val="auto"/>
          <w:szCs w:val="24"/>
        </w:rPr>
        <w:t xml:space="preserve">five </w:t>
      </w:r>
      <w:r w:rsidR="00A83967">
        <w:rPr>
          <w:rFonts w:asciiTheme="minorHAnsi" w:hAnsiTheme="minorHAnsi"/>
          <w:color w:val="auto"/>
          <w:szCs w:val="24"/>
        </w:rPr>
        <w:t xml:space="preserve">day course of </w:t>
      </w:r>
      <w:r w:rsidR="0002176C">
        <w:rPr>
          <w:rFonts w:asciiTheme="minorHAnsi" w:hAnsiTheme="minorHAnsi"/>
          <w:color w:val="auto"/>
          <w:szCs w:val="24"/>
        </w:rPr>
        <w:t>pulse</w:t>
      </w:r>
      <w:r w:rsidR="00A83967">
        <w:rPr>
          <w:rFonts w:asciiTheme="minorHAnsi" w:hAnsiTheme="minorHAnsi"/>
          <w:color w:val="auto"/>
          <w:szCs w:val="24"/>
        </w:rPr>
        <w:t>d</w:t>
      </w:r>
      <w:r w:rsidR="00DC77FE">
        <w:rPr>
          <w:rFonts w:asciiTheme="minorHAnsi" w:hAnsiTheme="minorHAnsi"/>
          <w:color w:val="auto"/>
          <w:szCs w:val="24"/>
        </w:rPr>
        <w:t xml:space="preserve"> oral steroids</w:t>
      </w:r>
      <w:r w:rsidR="00567FC8">
        <w:rPr>
          <w:rFonts w:asciiTheme="minorHAnsi" w:hAnsiTheme="minorHAnsi"/>
          <w:color w:val="auto"/>
          <w:szCs w:val="24"/>
        </w:rPr>
        <w:t xml:space="preserve">, </w:t>
      </w:r>
      <w:r w:rsidR="0030170C">
        <w:rPr>
          <w:rFonts w:asciiTheme="minorHAnsi" w:hAnsiTheme="minorHAnsi"/>
          <w:color w:val="auto"/>
          <w:szCs w:val="24"/>
        </w:rPr>
        <w:t xml:space="preserve">and </w:t>
      </w:r>
      <w:r w:rsidR="00567FC8">
        <w:rPr>
          <w:rFonts w:asciiTheme="minorHAnsi" w:hAnsiTheme="minorHAnsi"/>
          <w:color w:val="auto"/>
          <w:szCs w:val="24"/>
        </w:rPr>
        <w:t>he</w:t>
      </w:r>
      <w:r w:rsidR="0030170C">
        <w:rPr>
          <w:rFonts w:asciiTheme="minorHAnsi" w:hAnsiTheme="minorHAnsi"/>
          <w:color w:val="auto"/>
          <w:szCs w:val="24"/>
        </w:rPr>
        <w:t xml:space="preserve"> reported</w:t>
      </w:r>
      <w:r w:rsidR="005A5711">
        <w:rPr>
          <w:rFonts w:asciiTheme="minorHAnsi" w:hAnsiTheme="minorHAnsi"/>
          <w:color w:val="auto"/>
          <w:szCs w:val="24"/>
        </w:rPr>
        <w:t xml:space="preserve"> resolution of the left arm pain following the steroids</w:t>
      </w:r>
      <w:r w:rsidR="0052787A">
        <w:rPr>
          <w:rFonts w:asciiTheme="minorHAnsi" w:hAnsiTheme="minorHAnsi"/>
          <w:color w:val="auto"/>
          <w:szCs w:val="24"/>
        </w:rPr>
        <w:t>.</w:t>
      </w:r>
      <w:r w:rsidR="00A74572">
        <w:rPr>
          <w:rFonts w:asciiTheme="minorHAnsi" w:hAnsiTheme="minorHAnsi"/>
          <w:color w:val="auto"/>
          <w:szCs w:val="24"/>
        </w:rPr>
        <w:t xml:space="preserve">  At his </w:t>
      </w:r>
      <w:r w:rsidR="00EE1703">
        <w:rPr>
          <w:rFonts w:asciiTheme="minorHAnsi" w:hAnsiTheme="minorHAnsi"/>
          <w:color w:val="auto"/>
          <w:szCs w:val="24"/>
        </w:rPr>
        <w:t xml:space="preserve">February 2003 </w:t>
      </w:r>
      <w:r w:rsidR="00A74572">
        <w:rPr>
          <w:rFonts w:asciiTheme="minorHAnsi" w:hAnsiTheme="minorHAnsi"/>
          <w:color w:val="auto"/>
          <w:szCs w:val="24"/>
        </w:rPr>
        <w:t xml:space="preserve">MEB </w:t>
      </w:r>
      <w:r w:rsidR="0030170C">
        <w:rPr>
          <w:rFonts w:asciiTheme="minorHAnsi" w:hAnsiTheme="minorHAnsi"/>
          <w:color w:val="auto"/>
          <w:szCs w:val="24"/>
        </w:rPr>
        <w:t>exam, six months prior to separation, the CI stated that the left arm pain waxed and waned but was ne</w:t>
      </w:r>
      <w:r w:rsidR="00B47234">
        <w:rPr>
          <w:rFonts w:asciiTheme="minorHAnsi" w:hAnsiTheme="minorHAnsi"/>
          <w:color w:val="auto"/>
          <w:szCs w:val="24"/>
        </w:rPr>
        <w:t xml:space="preserve">ver gone.  He </w:t>
      </w:r>
      <w:r w:rsidR="0030170C">
        <w:rPr>
          <w:rFonts w:asciiTheme="minorHAnsi" w:hAnsiTheme="minorHAnsi"/>
          <w:color w:val="auto"/>
          <w:szCs w:val="24"/>
        </w:rPr>
        <w:t>did not describe any weakness</w:t>
      </w:r>
      <w:r w:rsidR="006773AC">
        <w:rPr>
          <w:rFonts w:asciiTheme="minorHAnsi" w:hAnsiTheme="minorHAnsi"/>
          <w:color w:val="auto"/>
          <w:szCs w:val="24"/>
        </w:rPr>
        <w:t xml:space="preserve"> in the left arm</w:t>
      </w:r>
      <w:r w:rsidR="0030170C">
        <w:rPr>
          <w:rFonts w:asciiTheme="minorHAnsi" w:hAnsiTheme="minorHAnsi"/>
          <w:color w:val="auto"/>
          <w:szCs w:val="24"/>
        </w:rPr>
        <w:t>.  His neurological exam was normal</w:t>
      </w:r>
      <w:r w:rsidR="00B47234">
        <w:rPr>
          <w:rFonts w:asciiTheme="minorHAnsi" w:hAnsiTheme="minorHAnsi"/>
          <w:color w:val="auto"/>
          <w:szCs w:val="24"/>
        </w:rPr>
        <w:t>,</w:t>
      </w:r>
      <w:r w:rsidR="0030170C">
        <w:rPr>
          <w:rFonts w:asciiTheme="minorHAnsi" w:hAnsiTheme="minorHAnsi"/>
          <w:color w:val="auto"/>
          <w:szCs w:val="24"/>
        </w:rPr>
        <w:t xml:space="preserve"> except for some pain with movement of the distal left </w:t>
      </w:r>
      <w:r w:rsidR="00B47234">
        <w:rPr>
          <w:rFonts w:asciiTheme="minorHAnsi" w:hAnsiTheme="minorHAnsi"/>
          <w:color w:val="auto"/>
          <w:szCs w:val="24"/>
        </w:rPr>
        <w:t>arm</w:t>
      </w:r>
      <w:r w:rsidR="0030170C">
        <w:rPr>
          <w:rFonts w:asciiTheme="minorHAnsi" w:hAnsiTheme="minorHAnsi"/>
          <w:color w:val="auto"/>
          <w:szCs w:val="24"/>
        </w:rPr>
        <w:t>.  Muscle bulk/tone/strength was normal and symmetric.</w:t>
      </w:r>
      <w:r w:rsidR="00CD6658">
        <w:rPr>
          <w:rFonts w:asciiTheme="minorHAnsi" w:hAnsiTheme="minorHAnsi"/>
          <w:color w:val="auto"/>
          <w:szCs w:val="24"/>
        </w:rPr>
        <w:t xml:space="preserve"> </w:t>
      </w:r>
      <w:r w:rsidR="00EE2A3A">
        <w:rPr>
          <w:rFonts w:asciiTheme="minorHAnsi" w:hAnsiTheme="minorHAnsi"/>
          <w:color w:val="auto"/>
          <w:szCs w:val="24"/>
        </w:rPr>
        <w:t xml:space="preserve"> </w:t>
      </w:r>
      <w:r w:rsidR="00B47234">
        <w:rPr>
          <w:rFonts w:asciiTheme="minorHAnsi" w:hAnsiTheme="minorHAnsi"/>
          <w:color w:val="auto"/>
          <w:szCs w:val="24"/>
        </w:rPr>
        <w:t xml:space="preserve">One month later at </w:t>
      </w:r>
      <w:r w:rsidR="00CD6658">
        <w:rPr>
          <w:rFonts w:asciiTheme="minorHAnsi" w:hAnsiTheme="minorHAnsi"/>
          <w:color w:val="auto"/>
          <w:szCs w:val="24"/>
        </w:rPr>
        <w:t xml:space="preserve">his </w:t>
      </w:r>
      <w:r w:rsidR="00B47234">
        <w:rPr>
          <w:rFonts w:asciiTheme="minorHAnsi" w:hAnsiTheme="minorHAnsi"/>
          <w:color w:val="auto"/>
          <w:szCs w:val="24"/>
        </w:rPr>
        <w:t>o</w:t>
      </w:r>
      <w:r w:rsidR="00CD6658">
        <w:rPr>
          <w:rFonts w:asciiTheme="minorHAnsi" w:hAnsiTheme="minorHAnsi"/>
          <w:color w:val="auto"/>
          <w:szCs w:val="24"/>
        </w:rPr>
        <w:t>rthopedic e</w:t>
      </w:r>
      <w:r w:rsidR="00B47234">
        <w:rPr>
          <w:rFonts w:asciiTheme="minorHAnsi" w:hAnsiTheme="minorHAnsi"/>
          <w:color w:val="auto"/>
          <w:szCs w:val="24"/>
        </w:rPr>
        <w:t xml:space="preserve">valuation, </w:t>
      </w:r>
      <w:r w:rsidR="00CD6658">
        <w:rPr>
          <w:rFonts w:asciiTheme="minorHAnsi" w:hAnsiTheme="minorHAnsi"/>
          <w:color w:val="auto"/>
          <w:szCs w:val="24"/>
        </w:rPr>
        <w:t xml:space="preserve">the examiner noted </w:t>
      </w:r>
      <w:r w:rsidR="006773AC">
        <w:rPr>
          <w:rFonts w:asciiTheme="minorHAnsi" w:hAnsiTheme="minorHAnsi"/>
          <w:color w:val="auto"/>
          <w:szCs w:val="24"/>
        </w:rPr>
        <w:t>some</w:t>
      </w:r>
      <w:r w:rsidR="00CD6658">
        <w:rPr>
          <w:rFonts w:asciiTheme="minorHAnsi" w:hAnsiTheme="minorHAnsi"/>
          <w:color w:val="auto"/>
          <w:szCs w:val="24"/>
        </w:rPr>
        <w:t xml:space="preserve"> limitation of </w:t>
      </w:r>
      <w:r w:rsidR="006773AC">
        <w:rPr>
          <w:rFonts w:asciiTheme="minorHAnsi" w:hAnsiTheme="minorHAnsi"/>
          <w:color w:val="auto"/>
          <w:szCs w:val="24"/>
        </w:rPr>
        <w:t xml:space="preserve">cervical </w:t>
      </w:r>
      <w:r w:rsidR="00B47234">
        <w:rPr>
          <w:rFonts w:asciiTheme="minorHAnsi" w:hAnsiTheme="minorHAnsi"/>
          <w:color w:val="auto"/>
          <w:szCs w:val="24"/>
        </w:rPr>
        <w:t>motion</w:t>
      </w:r>
      <w:r w:rsidR="00CD6658">
        <w:rPr>
          <w:rFonts w:asciiTheme="minorHAnsi" w:hAnsiTheme="minorHAnsi"/>
          <w:color w:val="auto"/>
          <w:szCs w:val="24"/>
        </w:rPr>
        <w:t xml:space="preserve">.  </w:t>
      </w:r>
      <w:r w:rsidR="005A5711">
        <w:rPr>
          <w:rFonts w:asciiTheme="minorHAnsi" w:hAnsiTheme="minorHAnsi"/>
          <w:color w:val="auto"/>
          <w:szCs w:val="24"/>
        </w:rPr>
        <w:t>The cervical</w:t>
      </w:r>
      <w:r w:rsidR="00C24F59">
        <w:rPr>
          <w:rFonts w:asciiTheme="minorHAnsi" w:hAnsiTheme="minorHAnsi"/>
          <w:color w:val="auto"/>
          <w:szCs w:val="24"/>
        </w:rPr>
        <w:t xml:space="preserve"> </w:t>
      </w:r>
      <w:r w:rsidR="00CD6658">
        <w:rPr>
          <w:rFonts w:asciiTheme="minorHAnsi" w:hAnsiTheme="minorHAnsi"/>
          <w:color w:val="auto"/>
          <w:szCs w:val="24"/>
        </w:rPr>
        <w:t>ROM</w:t>
      </w:r>
      <w:r w:rsidR="00B47234">
        <w:rPr>
          <w:rFonts w:asciiTheme="minorHAnsi" w:hAnsiTheme="minorHAnsi"/>
          <w:color w:val="auto"/>
          <w:szCs w:val="24"/>
        </w:rPr>
        <w:t xml:space="preserve"> measurements</w:t>
      </w:r>
      <w:r w:rsidR="00CD6658">
        <w:rPr>
          <w:rFonts w:asciiTheme="minorHAnsi" w:hAnsiTheme="minorHAnsi"/>
          <w:color w:val="auto"/>
          <w:szCs w:val="24"/>
        </w:rPr>
        <w:t xml:space="preserve"> from that </w:t>
      </w:r>
      <w:r w:rsidR="00B47234">
        <w:rPr>
          <w:rFonts w:asciiTheme="minorHAnsi" w:hAnsiTheme="minorHAnsi"/>
          <w:color w:val="auto"/>
          <w:szCs w:val="24"/>
        </w:rPr>
        <w:t xml:space="preserve">March 2003 </w:t>
      </w:r>
      <w:r w:rsidR="00DE493C">
        <w:rPr>
          <w:rFonts w:asciiTheme="minorHAnsi" w:hAnsiTheme="minorHAnsi"/>
          <w:color w:val="auto"/>
          <w:szCs w:val="24"/>
        </w:rPr>
        <w:t xml:space="preserve">orthopedic </w:t>
      </w:r>
      <w:r w:rsidR="00CD6658">
        <w:rPr>
          <w:rFonts w:asciiTheme="minorHAnsi" w:hAnsiTheme="minorHAnsi"/>
          <w:color w:val="auto"/>
          <w:szCs w:val="24"/>
        </w:rPr>
        <w:t xml:space="preserve">exam </w:t>
      </w:r>
      <w:r w:rsidR="005A5711">
        <w:rPr>
          <w:rFonts w:asciiTheme="minorHAnsi" w:hAnsiTheme="minorHAnsi"/>
          <w:color w:val="auto"/>
          <w:szCs w:val="24"/>
        </w:rPr>
        <w:t xml:space="preserve">are </w:t>
      </w:r>
      <w:r w:rsidR="00DE493C">
        <w:rPr>
          <w:rFonts w:asciiTheme="minorHAnsi" w:hAnsiTheme="minorHAnsi"/>
          <w:color w:val="auto"/>
          <w:szCs w:val="24"/>
        </w:rPr>
        <w:t xml:space="preserve">summarized </w:t>
      </w:r>
      <w:r w:rsidR="005A5711">
        <w:rPr>
          <w:rFonts w:asciiTheme="minorHAnsi" w:hAnsiTheme="minorHAnsi"/>
          <w:color w:val="auto"/>
          <w:szCs w:val="24"/>
        </w:rPr>
        <w:t>in the chart below</w:t>
      </w:r>
      <w:r w:rsidR="00CD6658">
        <w:rPr>
          <w:rFonts w:asciiTheme="minorHAnsi" w:hAnsiTheme="minorHAnsi"/>
          <w:color w:val="auto"/>
          <w:szCs w:val="24"/>
        </w:rPr>
        <w:t>.</w:t>
      </w:r>
    </w:p>
    <w:p w:rsidR="0047207F" w:rsidRDefault="0047207F" w:rsidP="001B7F7A">
      <w:pPr>
        <w:tabs>
          <w:tab w:val="left" w:pos="2980"/>
        </w:tabs>
        <w:spacing w:line="240" w:lineRule="exact"/>
        <w:jc w:val="both"/>
        <w:rPr>
          <w:rFonts w:asciiTheme="minorHAnsi" w:hAnsiTheme="minorHAnsi"/>
          <w:color w:val="auto"/>
          <w:szCs w:val="24"/>
        </w:rPr>
      </w:pPr>
    </w:p>
    <w:p w:rsidR="00ED07F0" w:rsidRDefault="0052787A" w:rsidP="001B7F7A">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At his </w:t>
      </w:r>
      <w:r w:rsidR="005C2540">
        <w:rPr>
          <w:rFonts w:asciiTheme="minorHAnsi" w:hAnsiTheme="minorHAnsi"/>
          <w:color w:val="auto"/>
          <w:szCs w:val="24"/>
        </w:rPr>
        <w:t xml:space="preserve">10 </w:t>
      </w:r>
      <w:r w:rsidR="00B47234">
        <w:rPr>
          <w:rFonts w:asciiTheme="minorHAnsi" w:hAnsiTheme="minorHAnsi"/>
          <w:color w:val="auto"/>
          <w:szCs w:val="24"/>
        </w:rPr>
        <w:t xml:space="preserve">September 2003 </w:t>
      </w:r>
      <w:r w:rsidR="005C2540">
        <w:rPr>
          <w:rFonts w:asciiTheme="minorHAnsi" w:hAnsiTheme="minorHAnsi"/>
          <w:color w:val="auto"/>
          <w:szCs w:val="24"/>
        </w:rPr>
        <w:t xml:space="preserve">orthopedic </w:t>
      </w:r>
      <w:r>
        <w:rPr>
          <w:rFonts w:asciiTheme="minorHAnsi" w:hAnsiTheme="minorHAnsi"/>
          <w:color w:val="auto"/>
          <w:szCs w:val="24"/>
        </w:rPr>
        <w:t>C&amp;P exam</w:t>
      </w:r>
      <w:r w:rsidR="005C18BE">
        <w:rPr>
          <w:rFonts w:asciiTheme="minorHAnsi" w:hAnsiTheme="minorHAnsi"/>
          <w:color w:val="auto"/>
          <w:szCs w:val="24"/>
        </w:rPr>
        <w:t xml:space="preserve">, eight weeks after separation, the CI </w:t>
      </w:r>
      <w:r w:rsidR="00B47234">
        <w:rPr>
          <w:rFonts w:asciiTheme="minorHAnsi" w:hAnsiTheme="minorHAnsi"/>
          <w:color w:val="auto"/>
          <w:szCs w:val="24"/>
        </w:rPr>
        <w:t>reported</w:t>
      </w:r>
      <w:r w:rsidR="005C18BE">
        <w:rPr>
          <w:rFonts w:asciiTheme="minorHAnsi" w:hAnsiTheme="minorHAnsi"/>
          <w:color w:val="auto"/>
          <w:szCs w:val="24"/>
        </w:rPr>
        <w:t xml:space="preserve"> tenderness around C7</w:t>
      </w:r>
      <w:r w:rsidR="00B47234">
        <w:rPr>
          <w:rFonts w:asciiTheme="minorHAnsi" w:hAnsiTheme="minorHAnsi"/>
          <w:color w:val="auto"/>
          <w:szCs w:val="24"/>
        </w:rPr>
        <w:t>,</w:t>
      </w:r>
      <w:r w:rsidR="005C18BE">
        <w:rPr>
          <w:rFonts w:asciiTheme="minorHAnsi" w:hAnsiTheme="minorHAnsi"/>
          <w:color w:val="auto"/>
          <w:szCs w:val="24"/>
        </w:rPr>
        <w:t xml:space="preserve"> and some tingling in the ulnar digits of the left </w:t>
      </w:r>
      <w:r w:rsidR="00B47234">
        <w:rPr>
          <w:rFonts w:asciiTheme="minorHAnsi" w:hAnsiTheme="minorHAnsi"/>
          <w:color w:val="auto"/>
          <w:szCs w:val="24"/>
        </w:rPr>
        <w:t>hand</w:t>
      </w:r>
      <w:r w:rsidR="005C18BE">
        <w:rPr>
          <w:rFonts w:asciiTheme="minorHAnsi" w:hAnsiTheme="minorHAnsi"/>
          <w:color w:val="auto"/>
          <w:szCs w:val="24"/>
        </w:rPr>
        <w:t>.  On exam</w:t>
      </w:r>
      <w:r w:rsidR="006773AC">
        <w:rPr>
          <w:rFonts w:asciiTheme="minorHAnsi" w:hAnsiTheme="minorHAnsi"/>
          <w:color w:val="auto"/>
          <w:szCs w:val="24"/>
        </w:rPr>
        <w:t>,</w:t>
      </w:r>
      <w:r w:rsidR="005C18BE">
        <w:rPr>
          <w:rFonts w:asciiTheme="minorHAnsi" w:hAnsiTheme="minorHAnsi"/>
          <w:color w:val="auto"/>
          <w:szCs w:val="24"/>
        </w:rPr>
        <w:t xml:space="preserve"> </w:t>
      </w:r>
      <w:r w:rsidR="00B0237A">
        <w:rPr>
          <w:rFonts w:asciiTheme="minorHAnsi" w:hAnsiTheme="minorHAnsi"/>
          <w:color w:val="auto"/>
          <w:szCs w:val="24"/>
        </w:rPr>
        <w:t>he</w:t>
      </w:r>
      <w:r w:rsidR="005C18BE">
        <w:rPr>
          <w:rFonts w:asciiTheme="minorHAnsi" w:hAnsiTheme="minorHAnsi"/>
          <w:color w:val="auto"/>
          <w:szCs w:val="24"/>
        </w:rPr>
        <w:t xml:space="preserve"> </w:t>
      </w:r>
      <w:r w:rsidR="006773AC">
        <w:rPr>
          <w:rFonts w:asciiTheme="minorHAnsi" w:hAnsiTheme="minorHAnsi"/>
          <w:color w:val="auto"/>
          <w:szCs w:val="24"/>
        </w:rPr>
        <w:t xml:space="preserve">had some </w:t>
      </w:r>
      <w:r w:rsidR="005C18BE">
        <w:rPr>
          <w:rFonts w:asciiTheme="minorHAnsi" w:hAnsiTheme="minorHAnsi"/>
          <w:color w:val="auto"/>
          <w:szCs w:val="24"/>
        </w:rPr>
        <w:t xml:space="preserve">discomfort with </w:t>
      </w:r>
      <w:r w:rsidR="006773AC">
        <w:rPr>
          <w:rFonts w:asciiTheme="minorHAnsi" w:hAnsiTheme="minorHAnsi"/>
          <w:color w:val="auto"/>
          <w:szCs w:val="24"/>
        </w:rPr>
        <w:t>neck</w:t>
      </w:r>
      <w:r w:rsidR="005C18BE">
        <w:rPr>
          <w:rFonts w:asciiTheme="minorHAnsi" w:hAnsiTheme="minorHAnsi"/>
          <w:color w:val="auto"/>
          <w:szCs w:val="24"/>
        </w:rPr>
        <w:t xml:space="preserve"> rotation </w:t>
      </w:r>
      <w:r w:rsidR="006773AC">
        <w:rPr>
          <w:rFonts w:asciiTheme="minorHAnsi" w:hAnsiTheme="minorHAnsi"/>
          <w:color w:val="auto"/>
          <w:szCs w:val="24"/>
        </w:rPr>
        <w:t xml:space="preserve">to the </w:t>
      </w:r>
      <w:r w:rsidR="005C2540">
        <w:rPr>
          <w:rFonts w:asciiTheme="minorHAnsi" w:hAnsiTheme="minorHAnsi"/>
          <w:color w:val="auto"/>
          <w:szCs w:val="24"/>
        </w:rPr>
        <w:t>left</w:t>
      </w:r>
      <w:r w:rsidR="006773AC">
        <w:rPr>
          <w:rFonts w:asciiTheme="minorHAnsi" w:hAnsiTheme="minorHAnsi"/>
          <w:color w:val="auto"/>
          <w:szCs w:val="24"/>
        </w:rPr>
        <w:t>.  F</w:t>
      </w:r>
      <w:r w:rsidR="005C18BE">
        <w:rPr>
          <w:rFonts w:asciiTheme="minorHAnsi" w:hAnsiTheme="minorHAnsi"/>
          <w:color w:val="auto"/>
          <w:szCs w:val="24"/>
        </w:rPr>
        <w:t xml:space="preserve">lexion </w:t>
      </w:r>
      <w:r w:rsidR="006773AC">
        <w:rPr>
          <w:rFonts w:asciiTheme="minorHAnsi" w:hAnsiTheme="minorHAnsi"/>
          <w:color w:val="auto"/>
          <w:szCs w:val="24"/>
        </w:rPr>
        <w:t>and</w:t>
      </w:r>
      <w:r w:rsidR="005C18BE">
        <w:rPr>
          <w:rFonts w:asciiTheme="minorHAnsi" w:hAnsiTheme="minorHAnsi"/>
          <w:color w:val="auto"/>
          <w:szCs w:val="24"/>
        </w:rPr>
        <w:t xml:space="preserve"> extension</w:t>
      </w:r>
      <w:r w:rsidR="006773AC">
        <w:rPr>
          <w:rFonts w:asciiTheme="minorHAnsi" w:hAnsiTheme="minorHAnsi"/>
          <w:color w:val="auto"/>
          <w:szCs w:val="24"/>
        </w:rPr>
        <w:t xml:space="preserve"> were normal</w:t>
      </w:r>
      <w:r w:rsidR="005C18BE">
        <w:rPr>
          <w:rFonts w:asciiTheme="minorHAnsi" w:hAnsiTheme="minorHAnsi"/>
          <w:color w:val="auto"/>
          <w:szCs w:val="24"/>
        </w:rPr>
        <w:t>.  His neurological exam was normal and t</w:t>
      </w:r>
      <w:r w:rsidR="005C2540">
        <w:rPr>
          <w:rFonts w:asciiTheme="minorHAnsi" w:hAnsiTheme="minorHAnsi"/>
          <w:color w:val="auto"/>
          <w:szCs w:val="24"/>
        </w:rPr>
        <w:t>here was no muscle atrophy</w:t>
      </w:r>
      <w:r w:rsidR="005C18BE">
        <w:rPr>
          <w:rFonts w:asciiTheme="minorHAnsi" w:hAnsiTheme="minorHAnsi"/>
          <w:color w:val="auto"/>
          <w:szCs w:val="24"/>
        </w:rPr>
        <w:t>.  X-rays revealed some mild degenerative changes diffusely in the lower cervical spine</w:t>
      </w:r>
      <w:r w:rsidR="005C2540">
        <w:rPr>
          <w:rFonts w:asciiTheme="minorHAnsi" w:hAnsiTheme="minorHAnsi"/>
          <w:color w:val="auto"/>
          <w:szCs w:val="24"/>
        </w:rPr>
        <w:t>,</w:t>
      </w:r>
      <w:r w:rsidR="005C18BE">
        <w:rPr>
          <w:rFonts w:asciiTheme="minorHAnsi" w:hAnsiTheme="minorHAnsi"/>
          <w:color w:val="auto"/>
          <w:szCs w:val="24"/>
        </w:rPr>
        <w:t xml:space="preserve"> and the disc spaces appeared symmetrical.  The diagnosis was cervical spondylosis and left arm tingling.  A neurology C&amp;P exam</w:t>
      </w:r>
      <w:r w:rsidR="000600EE">
        <w:rPr>
          <w:rFonts w:asciiTheme="minorHAnsi" w:hAnsiTheme="minorHAnsi"/>
          <w:color w:val="auto"/>
          <w:szCs w:val="24"/>
        </w:rPr>
        <w:t xml:space="preserve"> </w:t>
      </w:r>
      <w:r w:rsidR="005C2540">
        <w:rPr>
          <w:rFonts w:asciiTheme="minorHAnsi" w:hAnsiTheme="minorHAnsi"/>
          <w:color w:val="auto"/>
          <w:szCs w:val="24"/>
        </w:rPr>
        <w:t>done</w:t>
      </w:r>
      <w:r w:rsidR="000600EE">
        <w:rPr>
          <w:rFonts w:asciiTheme="minorHAnsi" w:hAnsiTheme="minorHAnsi"/>
          <w:color w:val="auto"/>
          <w:szCs w:val="24"/>
        </w:rPr>
        <w:t xml:space="preserve"> one week later revealed </w:t>
      </w:r>
      <w:r w:rsidR="00B43CFA">
        <w:rPr>
          <w:rFonts w:asciiTheme="minorHAnsi" w:hAnsiTheme="minorHAnsi"/>
          <w:color w:val="auto"/>
          <w:szCs w:val="24"/>
        </w:rPr>
        <w:t xml:space="preserve">some </w:t>
      </w:r>
      <w:r w:rsidR="002E5EC9">
        <w:rPr>
          <w:rFonts w:asciiTheme="minorHAnsi" w:hAnsiTheme="minorHAnsi"/>
          <w:color w:val="auto"/>
          <w:szCs w:val="24"/>
        </w:rPr>
        <w:t>possible</w:t>
      </w:r>
      <w:r w:rsidR="000600EE">
        <w:rPr>
          <w:rFonts w:asciiTheme="minorHAnsi" w:hAnsiTheme="minorHAnsi"/>
          <w:color w:val="auto"/>
          <w:szCs w:val="24"/>
        </w:rPr>
        <w:t xml:space="preserve"> weakness (</w:t>
      </w:r>
      <w:r w:rsidR="00C24F59">
        <w:rPr>
          <w:rFonts w:asciiTheme="minorHAnsi" w:hAnsiTheme="minorHAnsi"/>
          <w:color w:val="auto"/>
          <w:szCs w:val="24"/>
        </w:rPr>
        <w:t>4/5</w:t>
      </w:r>
      <w:r w:rsidR="000600EE">
        <w:rPr>
          <w:rFonts w:asciiTheme="minorHAnsi" w:hAnsiTheme="minorHAnsi"/>
          <w:color w:val="auto"/>
          <w:szCs w:val="24"/>
        </w:rPr>
        <w:t xml:space="preserve">) of the left </w:t>
      </w:r>
      <w:r w:rsidR="005C2540">
        <w:rPr>
          <w:rFonts w:asciiTheme="minorHAnsi" w:hAnsiTheme="minorHAnsi"/>
          <w:color w:val="auto"/>
          <w:szCs w:val="24"/>
        </w:rPr>
        <w:t>arm</w:t>
      </w:r>
      <w:r w:rsidR="000600EE">
        <w:rPr>
          <w:rFonts w:asciiTheme="minorHAnsi" w:hAnsiTheme="minorHAnsi"/>
          <w:color w:val="auto"/>
          <w:szCs w:val="24"/>
        </w:rPr>
        <w:t xml:space="preserve"> that was probably </w:t>
      </w:r>
      <w:r w:rsidR="005C2540">
        <w:rPr>
          <w:rFonts w:asciiTheme="minorHAnsi" w:hAnsiTheme="minorHAnsi"/>
          <w:color w:val="auto"/>
          <w:szCs w:val="24"/>
        </w:rPr>
        <w:t>due</w:t>
      </w:r>
      <w:r w:rsidR="000600EE">
        <w:rPr>
          <w:rFonts w:asciiTheme="minorHAnsi" w:hAnsiTheme="minorHAnsi"/>
          <w:color w:val="auto"/>
          <w:szCs w:val="24"/>
        </w:rPr>
        <w:t xml:space="preserve"> to pain.  There was </w:t>
      </w:r>
      <w:r w:rsidR="005C2540">
        <w:rPr>
          <w:rFonts w:asciiTheme="minorHAnsi" w:hAnsiTheme="minorHAnsi"/>
          <w:color w:val="auto"/>
          <w:szCs w:val="24"/>
        </w:rPr>
        <w:t>d</w:t>
      </w:r>
      <w:r w:rsidR="000600EE">
        <w:rPr>
          <w:rFonts w:asciiTheme="minorHAnsi" w:hAnsiTheme="minorHAnsi"/>
          <w:color w:val="auto"/>
          <w:szCs w:val="24"/>
        </w:rPr>
        <w:t xml:space="preserve">ecreased pinprick perception along the </w:t>
      </w:r>
      <w:r w:rsidR="00BA4AF9">
        <w:rPr>
          <w:rFonts w:asciiTheme="minorHAnsi" w:hAnsiTheme="minorHAnsi"/>
          <w:color w:val="auto"/>
          <w:szCs w:val="24"/>
        </w:rPr>
        <w:t>ulnar aspect</w:t>
      </w:r>
      <w:r w:rsidR="000600EE">
        <w:rPr>
          <w:rFonts w:asciiTheme="minorHAnsi" w:hAnsiTheme="minorHAnsi"/>
          <w:color w:val="auto"/>
          <w:szCs w:val="24"/>
        </w:rPr>
        <w:t xml:space="preserve"> of the left </w:t>
      </w:r>
      <w:r w:rsidR="005C2540">
        <w:rPr>
          <w:rFonts w:asciiTheme="minorHAnsi" w:hAnsiTheme="minorHAnsi"/>
          <w:color w:val="auto"/>
          <w:szCs w:val="24"/>
        </w:rPr>
        <w:t>arm</w:t>
      </w:r>
      <w:r w:rsidR="000600EE">
        <w:rPr>
          <w:rFonts w:asciiTheme="minorHAnsi" w:hAnsiTheme="minorHAnsi"/>
          <w:color w:val="auto"/>
          <w:szCs w:val="24"/>
        </w:rPr>
        <w:t xml:space="preserve"> extending from the axi</w:t>
      </w:r>
      <w:r w:rsidR="00EE2A3A">
        <w:rPr>
          <w:rFonts w:asciiTheme="minorHAnsi" w:hAnsiTheme="minorHAnsi"/>
          <w:color w:val="auto"/>
          <w:szCs w:val="24"/>
        </w:rPr>
        <w:t xml:space="preserve">lla to the left </w:t>
      </w:r>
      <w:r w:rsidR="005C2540">
        <w:rPr>
          <w:rFonts w:asciiTheme="minorHAnsi" w:hAnsiTheme="minorHAnsi"/>
          <w:color w:val="auto"/>
          <w:szCs w:val="24"/>
        </w:rPr>
        <w:t>fifth</w:t>
      </w:r>
      <w:r w:rsidR="00EE2A3A">
        <w:rPr>
          <w:rFonts w:asciiTheme="minorHAnsi" w:hAnsiTheme="minorHAnsi"/>
          <w:color w:val="auto"/>
          <w:szCs w:val="24"/>
        </w:rPr>
        <w:t xml:space="preserve"> finger.  </w:t>
      </w:r>
      <w:r w:rsidR="005C2540">
        <w:rPr>
          <w:rFonts w:asciiTheme="minorHAnsi" w:hAnsiTheme="minorHAnsi"/>
          <w:color w:val="auto"/>
          <w:szCs w:val="24"/>
        </w:rPr>
        <w:t>M</w:t>
      </w:r>
      <w:r w:rsidR="000600EE">
        <w:rPr>
          <w:rFonts w:asciiTheme="minorHAnsi" w:hAnsiTheme="minorHAnsi"/>
          <w:color w:val="auto"/>
          <w:szCs w:val="24"/>
        </w:rPr>
        <w:t xml:space="preserve">ild paravertebral spasm </w:t>
      </w:r>
      <w:r w:rsidR="005C2540">
        <w:rPr>
          <w:rFonts w:asciiTheme="minorHAnsi" w:hAnsiTheme="minorHAnsi"/>
          <w:color w:val="auto"/>
          <w:szCs w:val="24"/>
        </w:rPr>
        <w:t xml:space="preserve">was </w:t>
      </w:r>
      <w:r w:rsidR="000600EE">
        <w:rPr>
          <w:rFonts w:asciiTheme="minorHAnsi" w:hAnsiTheme="minorHAnsi"/>
          <w:color w:val="auto"/>
          <w:szCs w:val="24"/>
        </w:rPr>
        <w:t>noted on the left side of his neck</w:t>
      </w:r>
      <w:r w:rsidR="005C2540">
        <w:rPr>
          <w:rFonts w:asciiTheme="minorHAnsi" w:hAnsiTheme="minorHAnsi"/>
          <w:color w:val="auto"/>
          <w:szCs w:val="24"/>
        </w:rPr>
        <w:t>,</w:t>
      </w:r>
      <w:r w:rsidR="00FB7C35">
        <w:rPr>
          <w:rFonts w:asciiTheme="minorHAnsi" w:hAnsiTheme="minorHAnsi"/>
          <w:color w:val="auto"/>
          <w:szCs w:val="24"/>
        </w:rPr>
        <w:t xml:space="preserve"> but no abnormalities of curvature. </w:t>
      </w:r>
      <w:r w:rsidR="00A74572">
        <w:rPr>
          <w:rFonts w:asciiTheme="minorHAnsi" w:hAnsiTheme="minorHAnsi"/>
          <w:color w:val="auto"/>
          <w:szCs w:val="24"/>
        </w:rPr>
        <w:t xml:space="preserve"> ROM was full in flexion, extension, </w:t>
      </w:r>
      <w:r w:rsidR="005C2540">
        <w:rPr>
          <w:rFonts w:asciiTheme="minorHAnsi" w:hAnsiTheme="minorHAnsi"/>
          <w:color w:val="auto"/>
          <w:szCs w:val="24"/>
        </w:rPr>
        <w:t xml:space="preserve">and </w:t>
      </w:r>
      <w:r w:rsidR="00A74572">
        <w:rPr>
          <w:rFonts w:asciiTheme="minorHAnsi" w:hAnsiTheme="minorHAnsi"/>
          <w:color w:val="auto"/>
          <w:szCs w:val="24"/>
        </w:rPr>
        <w:t>lateral bending</w:t>
      </w:r>
      <w:r w:rsidR="005C2540">
        <w:rPr>
          <w:rFonts w:asciiTheme="minorHAnsi" w:hAnsiTheme="minorHAnsi"/>
          <w:color w:val="auto"/>
          <w:szCs w:val="24"/>
        </w:rPr>
        <w:t xml:space="preserve"> (right &amp; left),</w:t>
      </w:r>
      <w:r w:rsidR="00A74572">
        <w:rPr>
          <w:rFonts w:asciiTheme="minorHAnsi" w:hAnsiTheme="minorHAnsi"/>
          <w:color w:val="auto"/>
          <w:szCs w:val="24"/>
        </w:rPr>
        <w:t xml:space="preserve"> but rotational ROM was not </w:t>
      </w:r>
      <w:r w:rsidR="005668BA">
        <w:rPr>
          <w:rFonts w:asciiTheme="minorHAnsi" w:hAnsiTheme="minorHAnsi"/>
          <w:color w:val="auto"/>
          <w:szCs w:val="24"/>
        </w:rPr>
        <w:t>measured</w:t>
      </w:r>
      <w:r w:rsidR="00EE2A3A">
        <w:rPr>
          <w:rFonts w:asciiTheme="minorHAnsi" w:hAnsiTheme="minorHAnsi"/>
          <w:color w:val="auto"/>
          <w:szCs w:val="24"/>
        </w:rPr>
        <w:t>.</w:t>
      </w:r>
      <w:r w:rsidR="00A74572">
        <w:rPr>
          <w:rFonts w:asciiTheme="minorHAnsi" w:hAnsiTheme="minorHAnsi"/>
          <w:color w:val="auto"/>
          <w:szCs w:val="24"/>
        </w:rPr>
        <w:t xml:space="preserve">  Th</w:t>
      </w:r>
      <w:r w:rsidR="00FB7C35">
        <w:rPr>
          <w:rFonts w:asciiTheme="minorHAnsi" w:hAnsiTheme="minorHAnsi"/>
          <w:color w:val="auto"/>
          <w:szCs w:val="24"/>
        </w:rPr>
        <w:t xml:space="preserve">e CI </w:t>
      </w:r>
      <w:r w:rsidR="005C2540">
        <w:rPr>
          <w:rFonts w:asciiTheme="minorHAnsi" w:hAnsiTheme="minorHAnsi"/>
          <w:color w:val="auto"/>
          <w:szCs w:val="24"/>
        </w:rPr>
        <w:t>had</w:t>
      </w:r>
      <w:r w:rsidR="00A74572">
        <w:rPr>
          <w:rFonts w:asciiTheme="minorHAnsi" w:hAnsiTheme="minorHAnsi"/>
          <w:color w:val="auto"/>
          <w:szCs w:val="24"/>
        </w:rPr>
        <w:t xml:space="preserve"> mild pain with all cervical movements.  </w:t>
      </w:r>
      <w:r w:rsidR="00FB7C35">
        <w:rPr>
          <w:rFonts w:asciiTheme="minorHAnsi" w:hAnsiTheme="minorHAnsi"/>
          <w:color w:val="auto"/>
          <w:szCs w:val="24"/>
        </w:rPr>
        <w:t>There were no signs of an underlying radiculopathy</w:t>
      </w:r>
      <w:r w:rsidR="005C2540">
        <w:rPr>
          <w:rFonts w:asciiTheme="minorHAnsi" w:hAnsiTheme="minorHAnsi"/>
          <w:color w:val="auto"/>
          <w:szCs w:val="24"/>
        </w:rPr>
        <w:t xml:space="preserve"> or </w:t>
      </w:r>
      <w:r w:rsidR="00FB7C35">
        <w:rPr>
          <w:rFonts w:asciiTheme="minorHAnsi" w:hAnsiTheme="minorHAnsi"/>
          <w:color w:val="auto"/>
          <w:szCs w:val="24"/>
        </w:rPr>
        <w:t xml:space="preserve">neuropathy.  </w:t>
      </w:r>
      <w:r w:rsidR="00A74572">
        <w:rPr>
          <w:rFonts w:asciiTheme="minorHAnsi" w:hAnsiTheme="minorHAnsi"/>
          <w:color w:val="auto"/>
          <w:szCs w:val="24"/>
        </w:rPr>
        <w:t>The examiner diagnosed mild degenerative changes of the cervical spine</w:t>
      </w:r>
      <w:r w:rsidR="005C2540">
        <w:rPr>
          <w:rFonts w:asciiTheme="minorHAnsi" w:hAnsiTheme="minorHAnsi"/>
          <w:color w:val="auto"/>
          <w:szCs w:val="24"/>
        </w:rPr>
        <w:t>,</w:t>
      </w:r>
      <w:r w:rsidR="00A74572">
        <w:rPr>
          <w:rFonts w:asciiTheme="minorHAnsi" w:hAnsiTheme="minorHAnsi"/>
          <w:color w:val="auto"/>
          <w:szCs w:val="24"/>
        </w:rPr>
        <w:t xml:space="preserve"> with no evidence of nerve root impingement or central canal stenosis</w:t>
      </w:r>
      <w:r w:rsidR="00EE2A3A">
        <w:rPr>
          <w:rFonts w:asciiTheme="minorHAnsi" w:hAnsiTheme="minorHAnsi"/>
          <w:color w:val="auto"/>
          <w:szCs w:val="24"/>
        </w:rPr>
        <w:t>.  The ROM measurement</w:t>
      </w:r>
      <w:r w:rsidR="00DE493C">
        <w:rPr>
          <w:rFonts w:asciiTheme="minorHAnsi" w:hAnsiTheme="minorHAnsi"/>
          <w:color w:val="auto"/>
          <w:szCs w:val="24"/>
        </w:rPr>
        <w:t xml:space="preserve">s from both of these September 2003 C&amp;P exams are </w:t>
      </w:r>
      <w:r w:rsidR="005C2540">
        <w:rPr>
          <w:rFonts w:asciiTheme="minorHAnsi" w:hAnsiTheme="minorHAnsi"/>
          <w:color w:val="auto"/>
          <w:szCs w:val="24"/>
        </w:rPr>
        <w:t>s</w:t>
      </w:r>
      <w:r w:rsidR="00DE493C">
        <w:rPr>
          <w:rFonts w:asciiTheme="minorHAnsi" w:hAnsiTheme="minorHAnsi"/>
          <w:color w:val="auto"/>
          <w:szCs w:val="24"/>
        </w:rPr>
        <w:t>ummarized</w:t>
      </w:r>
      <w:r w:rsidR="005C2540">
        <w:rPr>
          <w:rFonts w:asciiTheme="minorHAnsi" w:hAnsiTheme="minorHAnsi"/>
          <w:color w:val="auto"/>
          <w:szCs w:val="24"/>
        </w:rPr>
        <w:t xml:space="preserve"> </w:t>
      </w:r>
      <w:r w:rsidR="00EE2A3A">
        <w:rPr>
          <w:rFonts w:asciiTheme="minorHAnsi" w:hAnsiTheme="minorHAnsi"/>
          <w:color w:val="auto"/>
          <w:szCs w:val="24"/>
        </w:rPr>
        <w:t>in the chart</w:t>
      </w:r>
      <w:r w:rsidR="005C2540">
        <w:rPr>
          <w:rFonts w:asciiTheme="minorHAnsi" w:hAnsiTheme="minorHAnsi"/>
          <w:color w:val="auto"/>
          <w:szCs w:val="24"/>
        </w:rPr>
        <w:t xml:space="preserve"> below.</w:t>
      </w:r>
    </w:p>
    <w:p w:rsidR="00EE2A3A" w:rsidRDefault="00EE2A3A" w:rsidP="001B7F7A">
      <w:pPr>
        <w:tabs>
          <w:tab w:val="left" w:pos="2980"/>
        </w:tabs>
        <w:spacing w:line="240" w:lineRule="exact"/>
        <w:jc w:val="both"/>
        <w:rPr>
          <w:rFonts w:asciiTheme="minorHAnsi" w:hAnsiTheme="minorHAnsi"/>
          <w:color w:val="auto"/>
          <w:szCs w:val="24"/>
        </w:rPr>
      </w:pPr>
    </w:p>
    <w:tbl>
      <w:tblPr>
        <w:tblW w:w="9163"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2074"/>
        <w:gridCol w:w="2121"/>
        <w:gridCol w:w="2178"/>
      </w:tblGrid>
      <w:tr w:rsidR="0046260D" w:rsidTr="00AB4E16">
        <w:trPr>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D9D9D9"/>
            <w:hideMark/>
          </w:tcPr>
          <w:p w:rsidR="0046260D" w:rsidRDefault="0046260D" w:rsidP="00AE711F">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lastRenderedPageBreak/>
              <w:t>Goniometric ROM</w:t>
            </w:r>
          </w:p>
          <w:p w:rsidR="00AE711F" w:rsidRPr="00EE2A3A" w:rsidRDefault="00AE711F" w:rsidP="00AE711F">
            <w:pPr>
              <w:spacing w:line="240" w:lineRule="exact"/>
              <w:jc w:val="center"/>
              <w:rPr>
                <w:rFonts w:ascii="Calibri" w:eastAsia="Calibri" w:hAnsi="Calibri"/>
                <w:color w:val="auto"/>
                <w:sz w:val="22"/>
                <w:szCs w:val="22"/>
              </w:rPr>
            </w:pPr>
            <w:r>
              <w:rPr>
                <w:rFonts w:ascii="Calibri" w:eastAsia="Calibri" w:hAnsi="Calibri"/>
                <w:color w:val="auto"/>
                <w:sz w:val="22"/>
                <w:szCs w:val="22"/>
              </w:rPr>
              <w:t>Cervical Spine</w:t>
            </w:r>
          </w:p>
        </w:tc>
        <w:tc>
          <w:tcPr>
            <w:tcW w:w="2074" w:type="dxa"/>
            <w:tcBorders>
              <w:top w:val="single" w:sz="4" w:space="0" w:color="000000"/>
              <w:left w:val="single" w:sz="4" w:space="0" w:color="000000"/>
              <w:bottom w:val="single" w:sz="4" w:space="0" w:color="000000"/>
              <w:right w:val="single" w:sz="4" w:space="0" w:color="000000"/>
            </w:tcBorders>
            <w:shd w:val="clear" w:color="auto" w:fill="D9D9D9"/>
            <w:hideMark/>
          </w:tcPr>
          <w:p w:rsidR="00EE2A3A" w:rsidRPr="00EE2A3A" w:rsidRDefault="00EE2A3A" w:rsidP="001B7F7A">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MEB Orthopedic –</w:t>
            </w:r>
          </w:p>
          <w:p w:rsidR="0046260D" w:rsidRPr="00EE2A3A" w:rsidRDefault="00EE2A3A" w:rsidP="00AE711F">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 xml:space="preserve"> </w:t>
            </w:r>
            <w:r w:rsidR="00AE711F">
              <w:rPr>
                <w:rFonts w:ascii="Calibri" w:eastAsia="Calibri" w:hAnsi="Calibri"/>
                <w:color w:val="auto"/>
                <w:sz w:val="22"/>
                <w:szCs w:val="22"/>
              </w:rPr>
              <w:t>17 wks.</w:t>
            </w:r>
            <w:r w:rsidRPr="00EE2A3A">
              <w:rPr>
                <w:rFonts w:ascii="Calibri" w:eastAsia="Calibri" w:hAnsi="Calibri"/>
                <w:color w:val="auto"/>
                <w:sz w:val="22"/>
                <w:szCs w:val="22"/>
              </w:rPr>
              <w:t xml:space="preserve"> Pre</w:t>
            </w:r>
            <w:r w:rsidR="00AE711F">
              <w:rPr>
                <w:rFonts w:ascii="Calibri" w:eastAsia="Calibri" w:hAnsi="Calibri"/>
                <w:color w:val="auto"/>
                <w:sz w:val="22"/>
                <w:szCs w:val="22"/>
              </w:rPr>
              <w:t>-</w:t>
            </w:r>
            <w:r w:rsidRPr="00EE2A3A">
              <w:rPr>
                <w:rFonts w:ascii="Calibri" w:eastAsia="Calibri" w:hAnsi="Calibri"/>
                <w:color w:val="auto"/>
                <w:sz w:val="22"/>
                <w:szCs w:val="22"/>
              </w:rPr>
              <w:t>Sep (</w:t>
            </w:r>
            <w:r w:rsidR="0046260D" w:rsidRPr="00EE2A3A">
              <w:rPr>
                <w:rFonts w:ascii="Calibri" w:eastAsia="Calibri" w:hAnsi="Calibri"/>
                <w:color w:val="auto"/>
                <w:sz w:val="22"/>
                <w:szCs w:val="22"/>
              </w:rPr>
              <w:t>20030317</w:t>
            </w:r>
            <w:r w:rsidRPr="00EE2A3A">
              <w:rPr>
                <w:rFonts w:ascii="Calibri" w:eastAsia="Calibri" w:hAnsi="Calibri"/>
                <w:color w:val="auto"/>
                <w:sz w:val="22"/>
                <w:szCs w:val="22"/>
              </w:rPr>
              <w:t>)</w:t>
            </w:r>
          </w:p>
        </w:tc>
        <w:tc>
          <w:tcPr>
            <w:tcW w:w="2121" w:type="dxa"/>
            <w:tcBorders>
              <w:top w:val="single" w:sz="4" w:space="0" w:color="000000"/>
              <w:left w:val="single" w:sz="4" w:space="0" w:color="000000"/>
              <w:bottom w:val="single" w:sz="4" w:space="0" w:color="000000"/>
              <w:right w:val="single" w:sz="4" w:space="0" w:color="000000"/>
            </w:tcBorders>
            <w:shd w:val="clear" w:color="auto" w:fill="D9D9D9"/>
          </w:tcPr>
          <w:p w:rsidR="00EE2A3A" w:rsidRPr="00EE2A3A" w:rsidRDefault="0046260D" w:rsidP="001B7F7A">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 xml:space="preserve">VA Orthopedic C&amp;P </w:t>
            </w:r>
            <w:r w:rsidR="00EE2A3A" w:rsidRPr="00EE2A3A">
              <w:rPr>
                <w:rFonts w:ascii="Calibri" w:eastAsia="Calibri" w:hAnsi="Calibri"/>
                <w:color w:val="auto"/>
                <w:sz w:val="22"/>
                <w:szCs w:val="22"/>
              </w:rPr>
              <w:t>–</w:t>
            </w:r>
          </w:p>
          <w:p w:rsidR="0046260D" w:rsidRPr="00EE2A3A" w:rsidRDefault="00EE2A3A" w:rsidP="00AE711F">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 xml:space="preserve"> 8 </w:t>
            </w:r>
            <w:r w:rsidR="00AE711F">
              <w:rPr>
                <w:rFonts w:ascii="Calibri" w:eastAsia="Calibri" w:hAnsi="Calibri"/>
                <w:color w:val="auto"/>
                <w:sz w:val="22"/>
                <w:szCs w:val="22"/>
              </w:rPr>
              <w:t>w</w:t>
            </w:r>
            <w:r w:rsidRPr="00EE2A3A">
              <w:rPr>
                <w:rFonts w:ascii="Calibri" w:eastAsia="Calibri" w:hAnsi="Calibri"/>
                <w:color w:val="auto"/>
                <w:sz w:val="22"/>
                <w:szCs w:val="22"/>
              </w:rPr>
              <w:t>ks. Post</w:t>
            </w:r>
            <w:r w:rsidR="00AE711F">
              <w:rPr>
                <w:rFonts w:ascii="Calibri" w:eastAsia="Calibri" w:hAnsi="Calibri"/>
                <w:color w:val="auto"/>
                <w:sz w:val="22"/>
                <w:szCs w:val="22"/>
              </w:rPr>
              <w:t>-</w:t>
            </w:r>
            <w:r w:rsidRPr="00EE2A3A">
              <w:rPr>
                <w:rFonts w:ascii="Calibri" w:eastAsia="Calibri" w:hAnsi="Calibri"/>
                <w:color w:val="auto"/>
                <w:sz w:val="22"/>
                <w:szCs w:val="22"/>
              </w:rPr>
              <w:t>Sep (</w:t>
            </w:r>
            <w:r w:rsidR="0046260D" w:rsidRPr="00EE2A3A">
              <w:rPr>
                <w:rFonts w:ascii="Calibri" w:eastAsia="Calibri" w:hAnsi="Calibri"/>
                <w:color w:val="auto"/>
                <w:sz w:val="22"/>
                <w:szCs w:val="22"/>
              </w:rPr>
              <w:t>20030910</w:t>
            </w:r>
            <w:r w:rsidRPr="00EE2A3A">
              <w:rPr>
                <w:rFonts w:ascii="Calibri" w:eastAsia="Calibri" w:hAnsi="Calibri"/>
                <w:color w:val="auto"/>
                <w:sz w:val="22"/>
                <w:szCs w:val="22"/>
              </w:rPr>
              <w:t>)</w:t>
            </w:r>
          </w:p>
        </w:tc>
        <w:tc>
          <w:tcPr>
            <w:tcW w:w="2178" w:type="dxa"/>
            <w:tcBorders>
              <w:top w:val="single" w:sz="4" w:space="0" w:color="000000"/>
              <w:left w:val="single" w:sz="4" w:space="0" w:color="000000"/>
              <w:bottom w:val="single" w:sz="4" w:space="0" w:color="000000"/>
              <w:right w:val="single" w:sz="4" w:space="0" w:color="000000"/>
            </w:tcBorders>
            <w:shd w:val="clear" w:color="auto" w:fill="D9D9D9"/>
            <w:hideMark/>
          </w:tcPr>
          <w:p w:rsidR="00EE2A3A" w:rsidRPr="00EE2A3A" w:rsidRDefault="0046260D" w:rsidP="001B7F7A">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VA Neurology C&amp;P</w:t>
            </w:r>
            <w:r w:rsidR="00EE2A3A" w:rsidRPr="00EE2A3A">
              <w:rPr>
                <w:rFonts w:ascii="Calibri" w:eastAsia="Calibri" w:hAnsi="Calibri"/>
                <w:color w:val="auto"/>
                <w:sz w:val="22"/>
                <w:szCs w:val="22"/>
              </w:rPr>
              <w:t xml:space="preserve"> –</w:t>
            </w:r>
          </w:p>
          <w:p w:rsidR="0046260D" w:rsidRPr="00EE2A3A" w:rsidRDefault="00AE711F" w:rsidP="00AE711F">
            <w:pPr>
              <w:spacing w:line="240" w:lineRule="exact"/>
              <w:jc w:val="center"/>
              <w:rPr>
                <w:rFonts w:ascii="Calibri" w:eastAsia="Calibri" w:hAnsi="Calibri"/>
                <w:color w:val="auto"/>
                <w:sz w:val="22"/>
                <w:szCs w:val="22"/>
              </w:rPr>
            </w:pPr>
            <w:r>
              <w:rPr>
                <w:rFonts w:ascii="Calibri" w:eastAsia="Calibri" w:hAnsi="Calibri"/>
                <w:color w:val="auto"/>
                <w:sz w:val="22"/>
                <w:szCs w:val="22"/>
              </w:rPr>
              <w:t xml:space="preserve">9 wks. </w:t>
            </w:r>
            <w:r w:rsidR="00EE2A3A" w:rsidRPr="00EE2A3A">
              <w:rPr>
                <w:rFonts w:ascii="Calibri" w:eastAsia="Calibri" w:hAnsi="Calibri"/>
                <w:color w:val="auto"/>
                <w:sz w:val="22"/>
                <w:szCs w:val="22"/>
              </w:rPr>
              <w:t>Post</w:t>
            </w:r>
            <w:r>
              <w:rPr>
                <w:rFonts w:ascii="Calibri" w:eastAsia="Calibri" w:hAnsi="Calibri"/>
                <w:color w:val="auto"/>
                <w:sz w:val="22"/>
                <w:szCs w:val="22"/>
              </w:rPr>
              <w:t>-</w:t>
            </w:r>
            <w:r w:rsidR="00EE2A3A" w:rsidRPr="00EE2A3A">
              <w:rPr>
                <w:rFonts w:ascii="Calibri" w:eastAsia="Calibri" w:hAnsi="Calibri"/>
                <w:color w:val="auto"/>
                <w:sz w:val="22"/>
                <w:szCs w:val="22"/>
              </w:rPr>
              <w:t>Sep</w:t>
            </w:r>
            <w:r w:rsidR="0046260D" w:rsidRPr="00EE2A3A">
              <w:rPr>
                <w:rFonts w:ascii="Calibri" w:eastAsia="Calibri" w:hAnsi="Calibri"/>
                <w:color w:val="auto"/>
                <w:sz w:val="22"/>
                <w:szCs w:val="22"/>
              </w:rPr>
              <w:t xml:space="preserve"> </w:t>
            </w:r>
            <w:r w:rsidR="00EE2A3A" w:rsidRPr="00EE2A3A">
              <w:rPr>
                <w:rFonts w:ascii="Calibri" w:eastAsia="Calibri" w:hAnsi="Calibri"/>
                <w:color w:val="auto"/>
                <w:sz w:val="22"/>
                <w:szCs w:val="22"/>
              </w:rPr>
              <w:t>(</w:t>
            </w:r>
            <w:r w:rsidR="0046260D" w:rsidRPr="00EE2A3A">
              <w:rPr>
                <w:rFonts w:ascii="Calibri" w:eastAsia="Calibri" w:hAnsi="Calibri"/>
                <w:color w:val="auto"/>
                <w:sz w:val="22"/>
                <w:szCs w:val="22"/>
              </w:rPr>
              <w:t>20030917</w:t>
            </w:r>
            <w:r w:rsidR="00EE2A3A" w:rsidRPr="00EE2A3A">
              <w:rPr>
                <w:rFonts w:ascii="Calibri" w:eastAsia="Calibri" w:hAnsi="Calibri"/>
                <w:color w:val="auto"/>
                <w:sz w:val="22"/>
                <w:szCs w:val="22"/>
              </w:rPr>
              <w:t>)</w:t>
            </w:r>
          </w:p>
        </w:tc>
      </w:tr>
      <w:tr w:rsidR="0046260D" w:rsidTr="00AB4E16">
        <w:trPr>
          <w:jc w:val="center"/>
        </w:trPr>
        <w:tc>
          <w:tcPr>
            <w:tcW w:w="2790" w:type="dxa"/>
            <w:tcBorders>
              <w:top w:val="single" w:sz="4" w:space="0" w:color="000000"/>
              <w:left w:val="single" w:sz="4" w:space="0" w:color="000000"/>
              <w:bottom w:val="single" w:sz="4" w:space="0" w:color="000000"/>
              <w:right w:val="single" w:sz="4" w:space="0" w:color="000000"/>
            </w:tcBorders>
            <w:hideMark/>
          </w:tcPr>
          <w:p w:rsidR="0046260D" w:rsidRPr="00EE2A3A" w:rsidRDefault="0046260D" w:rsidP="00AE711F">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 xml:space="preserve">Flexion (45⁰ </w:t>
            </w:r>
            <w:r w:rsidR="00AE711F">
              <w:rPr>
                <w:rFonts w:ascii="Calibri" w:eastAsia="Calibri" w:hAnsi="Calibri"/>
                <w:color w:val="auto"/>
                <w:sz w:val="22"/>
                <w:szCs w:val="22"/>
              </w:rPr>
              <w:t xml:space="preserve">is </w:t>
            </w:r>
            <w:r w:rsidRPr="00EE2A3A">
              <w:rPr>
                <w:rFonts w:ascii="Calibri" w:eastAsia="Calibri" w:hAnsi="Calibri"/>
                <w:color w:val="auto"/>
                <w:sz w:val="22"/>
                <w:szCs w:val="22"/>
              </w:rPr>
              <w:t>normal)</w:t>
            </w:r>
          </w:p>
        </w:tc>
        <w:tc>
          <w:tcPr>
            <w:tcW w:w="2074" w:type="dxa"/>
            <w:tcBorders>
              <w:top w:val="single" w:sz="4" w:space="0" w:color="000000"/>
              <w:left w:val="single" w:sz="4" w:space="0" w:color="000000"/>
              <w:bottom w:val="single" w:sz="4" w:space="0" w:color="000000"/>
              <w:right w:val="single" w:sz="4" w:space="0" w:color="000000"/>
            </w:tcBorders>
            <w:hideMark/>
          </w:tcPr>
          <w:p w:rsidR="0046260D" w:rsidRPr="00EE2A3A" w:rsidRDefault="0046260D" w:rsidP="001B7F7A">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20⁰</w:t>
            </w:r>
          </w:p>
        </w:tc>
        <w:tc>
          <w:tcPr>
            <w:tcW w:w="2121" w:type="dxa"/>
            <w:tcBorders>
              <w:top w:val="single" w:sz="4" w:space="0" w:color="000000"/>
              <w:left w:val="single" w:sz="4" w:space="0" w:color="000000"/>
              <w:bottom w:val="single" w:sz="4" w:space="0" w:color="000000"/>
              <w:right w:val="single" w:sz="4" w:space="0" w:color="000000"/>
            </w:tcBorders>
          </w:tcPr>
          <w:p w:rsidR="0046260D" w:rsidRPr="00EE2A3A" w:rsidRDefault="0046260D" w:rsidP="001B7F7A">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45⁰</w:t>
            </w:r>
          </w:p>
        </w:tc>
        <w:tc>
          <w:tcPr>
            <w:tcW w:w="2178" w:type="dxa"/>
            <w:tcBorders>
              <w:top w:val="single" w:sz="4" w:space="0" w:color="000000"/>
              <w:left w:val="single" w:sz="4" w:space="0" w:color="000000"/>
              <w:bottom w:val="single" w:sz="4" w:space="0" w:color="000000"/>
              <w:right w:val="single" w:sz="4" w:space="0" w:color="000000"/>
            </w:tcBorders>
            <w:hideMark/>
          </w:tcPr>
          <w:p w:rsidR="0046260D" w:rsidRPr="00EE2A3A" w:rsidRDefault="0046260D" w:rsidP="001B7F7A">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45⁰</w:t>
            </w:r>
          </w:p>
        </w:tc>
      </w:tr>
      <w:tr w:rsidR="0046260D" w:rsidTr="00AB4E16">
        <w:trPr>
          <w:jc w:val="center"/>
        </w:trPr>
        <w:tc>
          <w:tcPr>
            <w:tcW w:w="2790" w:type="dxa"/>
            <w:tcBorders>
              <w:top w:val="single" w:sz="4" w:space="0" w:color="000000"/>
              <w:left w:val="single" w:sz="4" w:space="0" w:color="000000"/>
              <w:bottom w:val="single" w:sz="4" w:space="0" w:color="000000"/>
              <w:right w:val="single" w:sz="4" w:space="0" w:color="000000"/>
            </w:tcBorders>
            <w:hideMark/>
          </w:tcPr>
          <w:p w:rsidR="0046260D" w:rsidRPr="00EE2A3A" w:rsidRDefault="0046260D" w:rsidP="00AE711F">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 xml:space="preserve">Combined (340⁰ </w:t>
            </w:r>
            <w:r w:rsidR="00AE711F">
              <w:rPr>
                <w:rFonts w:ascii="Calibri" w:eastAsia="Calibri" w:hAnsi="Calibri"/>
                <w:color w:val="auto"/>
                <w:sz w:val="22"/>
                <w:szCs w:val="22"/>
              </w:rPr>
              <w:t xml:space="preserve">is </w:t>
            </w:r>
            <w:r w:rsidRPr="00EE2A3A">
              <w:rPr>
                <w:rFonts w:ascii="Calibri" w:eastAsia="Calibri" w:hAnsi="Calibri"/>
                <w:color w:val="auto"/>
                <w:sz w:val="22"/>
                <w:szCs w:val="22"/>
              </w:rPr>
              <w:t>normal)</w:t>
            </w:r>
          </w:p>
        </w:tc>
        <w:tc>
          <w:tcPr>
            <w:tcW w:w="2074" w:type="dxa"/>
            <w:tcBorders>
              <w:top w:val="single" w:sz="4" w:space="0" w:color="000000"/>
              <w:left w:val="single" w:sz="4" w:space="0" w:color="000000"/>
              <w:bottom w:val="single" w:sz="4" w:space="0" w:color="000000"/>
              <w:right w:val="single" w:sz="4" w:space="0" w:color="000000"/>
            </w:tcBorders>
            <w:hideMark/>
          </w:tcPr>
          <w:p w:rsidR="0046260D" w:rsidRPr="00EE2A3A" w:rsidRDefault="0046260D" w:rsidP="001B7F7A">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95⁰</w:t>
            </w:r>
          </w:p>
        </w:tc>
        <w:tc>
          <w:tcPr>
            <w:tcW w:w="2121" w:type="dxa"/>
            <w:tcBorders>
              <w:top w:val="single" w:sz="4" w:space="0" w:color="000000"/>
              <w:left w:val="single" w:sz="4" w:space="0" w:color="000000"/>
              <w:bottom w:val="single" w:sz="4" w:space="0" w:color="000000"/>
              <w:right w:val="single" w:sz="4" w:space="0" w:color="000000"/>
            </w:tcBorders>
          </w:tcPr>
          <w:p w:rsidR="0046260D" w:rsidRPr="00EE2A3A" w:rsidRDefault="0046260D" w:rsidP="001B7F7A">
            <w:pPr>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290⁰</w:t>
            </w:r>
          </w:p>
        </w:tc>
        <w:tc>
          <w:tcPr>
            <w:tcW w:w="2178" w:type="dxa"/>
            <w:tcBorders>
              <w:top w:val="single" w:sz="4" w:space="0" w:color="000000"/>
              <w:left w:val="single" w:sz="4" w:space="0" w:color="000000"/>
              <w:bottom w:val="single" w:sz="4" w:space="0" w:color="000000"/>
              <w:right w:val="single" w:sz="4" w:space="0" w:color="000000"/>
            </w:tcBorders>
            <w:hideMark/>
          </w:tcPr>
          <w:p w:rsidR="0046260D" w:rsidRPr="00EE2A3A" w:rsidRDefault="00A7124F" w:rsidP="00AB4E16">
            <w:pPr>
              <w:spacing w:line="240" w:lineRule="exact"/>
              <w:jc w:val="center"/>
              <w:rPr>
                <w:rFonts w:ascii="Calibri" w:eastAsia="Calibri" w:hAnsi="Calibri"/>
                <w:color w:val="auto"/>
                <w:sz w:val="22"/>
                <w:szCs w:val="22"/>
              </w:rPr>
            </w:pPr>
            <w:r>
              <w:rPr>
                <w:rFonts w:ascii="Calibri" w:eastAsia="Calibri" w:hAnsi="Calibri"/>
                <w:color w:val="auto"/>
                <w:sz w:val="22"/>
                <w:szCs w:val="22"/>
              </w:rPr>
              <w:t xml:space="preserve">Full ROM not </w:t>
            </w:r>
            <w:r w:rsidR="00AB4E16">
              <w:rPr>
                <w:rFonts w:ascii="Calibri" w:eastAsia="Calibri" w:hAnsi="Calibri"/>
                <w:color w:val="auto"/>
                <w:sz w:val="22"/>
                <w:szCs w:val="22"/>
              </w:rPr>
              <w:t>done</w:t>
            </w:r>
          </w:p>
        </w:tc>
      </w:tr>
      <w:tr w:rsidR="0046260D" w:rsidTr="00AB4E16">
        <w:trPr>
          <w:jc w:val="center"/>
        </w:trPr>
        <w:tc>
          <w:tcPr>
            <w:tcW w:w="2790" w:type="dxa"/>
            <w:tcBorders>
              <w:top w:val="single" w:sz="4" w:space="0" w:color="000000"/>
              <w:left w:val="single" w:sz="4" w:space="0" w:color="000000"/>
              <w:bottom w:val="single" w:sz="4" w:space="0" w:color="000000"/>
              <w:right w:val="single" w:sz="4" w:space="0" w:color="000000"/>
            </w:tcBorders>
            <w:vAlign w:val="center"/>
            <w:hideMark/>
          </w:tcPr>
          <w:p w:rsidR="0046260D" w:rsidRPr="00EE2A3A" w:rsidRDefault="0046260D" w:rsidP="00AE711F">
            <w:pPr>
              <w:tabs>
                <w:tab w:val="left" w:pos="288"/>
                <w:tab w:val="left" w:pos="4752"/>
              </w:tabs>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Comments</w:t>
            </w:r>
          </w:p>
        </w:tc>
        <w:tc>
          <w:tcPr>
            <w:tcW w:w="2074" w:type="dxa"/>
            <w:tcBorders>
              <w:top w:val="single" w:sz="4" w:space="0" w:color="000000"/>
              <w:left w:val="single" w:sz="4" w:space="0" w:color="000000"/>
              <w:bottom w:val="single" w:sz="4" w:space="0" w:color="000000"/>
              <w:right w:val="single" w:sz="4" w:space="0" w:color="000000"/>
            </w:tcBorders>
            <w:hideMark/>
          </w:tcPr>
          <w:p w:rsidR="0046260D" w:rsidRPr="00EE2A3A" w:rsidRDefault="0046260D" w:rsidP="001B7F7A">
            <w:pPr>
              <w:tabs>
                <w:tab w:val="left" w:pos="288"/>
                <w:tab w:val="left" w:pos="4752"/>
              </w:tabs>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No mention of pain</w:t>
            </w:r>
          </w:p>
        </w:tc>
        <w:tc>
          <w:tcPr>
            <w:tcW w:w="2121" w:type="dxa"/>
            <w:tcBorders>
              <w:top w:val="single" w:sz="4" w:space="0" w:color="000000"/>
              <w:left w:val="single" w:sz="4" w:space="0" w:color="000000"/>
              <w:bottom w:val="single" w:sz="4" w:space="0" w:color="000000"/>
              <w:right w:val="single" w:sz="4" w:space="0" w:color="000000"/>
            </w:tcBorders>
          </w:tcPr>
          <w:p w:rsidR="0046260D" w:rsidRPr="00EE2A3A" w:rsidRDefault="00AE711F" w:rsidP="00AE711F">
            <w:pPr>
              <w:tabs>
                <w:tab w:val="left" w:pos="288"/>
                <w:tab w:val="left" w:pos="4752"/>
              </w:tabs>
              <w:spacing w:line="240" w:lineRule="exact"/>
              <w:jc w:val="center"/>
              <w:rPr>
                <w:rFonts w:ascii="Calibri" w:eastAsia="Calibri" w:hAnsi="Calibri"/>
                <w:color w:val="auto"/>
                <w:sz w:val="22"/>
                <w:szCs w:val="22"/>
              </w:rPr>
            </w:pPr>
            <w:r>
              <w:rPr>
                <w:rFonts w:ascii="Calibri" w:eastAsia="Calibri" w:hAnsi="Calibri"/>
                <w:color w:val="auto"/>
                <w:sz w:val="22"/>
                <w:szCs w:val="22"/>
              </w:rPr>
              <w:t xml:space="preserve">Pain with </w:t>
            </w:r>
            <w:r w:rsidR="0046260D" w:rsidRPr="00EE2A3A">
              <w:rPr>
                <w:rFonts w:ascii="Calibri" w:eastAsia="Calibri" w:hAnsi="Calibri"/>
                <w:color w:val="auto"/>
                <w:sz w:val="22"/>
                <w:szCs w:val="22"/>
              </w:rPr>
              <w:t>rotation</w:t>
            </w:r>
            <w:r w:rsidR="00A55D82" w:rsidRPr="00EE2A3A">
              <w:rPr>
                <w:rFonts w:ascii="Calibri" w:eastAsia="Calibri" w:hAnsi="Calibri"/>
                <w:color w:val="auto"/>
                <w:sz w:val="22"/>
                <w:szCs w:val="22"/>
              </w:rPr>
              <w:t xml:space="preserve"> </w:t>
            </w:r>
          </w:p>
        </w:tc>
        <w:tc>
          <w:tcPr>
            <w:tcW w:w="2178" w:type="dxa"/>
            <w:tcBorders>
              <w:top w:val="single" w:sz="4" w:space="0" w:color="000000"/>
              <w:left w:val="single" w:sz="4" w:space="0" w:color="000000"/>
              <w:bottom w:val="single" w:sz="4" w:space="0" w:color="000000"/>
              <w:right w:val="single" w:sz="4" w:space="0" w:color="000000"/>
            </w:tcBorders>
            <w:hideMark/>
          </w:tcPr>
          <w:p w:rsidR="0046260D" w:rsidRPr="00EE2A3A" w:rsidRDefault="0046260D" w:rsidP="001B7F7A">
            <w:pPr>
              <w:tabs>
                <w:tab w:val="left" w:pos="288"/>
                <w:tab w:val="left" w:pos="4752"/>
              </w:tabs>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Mild pain</w:t>
            </w:r>
            <w:r w:rsidR="00AE711F">
              <w:rPr>
                <w:rFonts w:ascii="Calibri" w:eastAsia="Calibri" w:hAnsi="Calibri"/>
                <w:color w:val="auto"/>
                <w:sz w:val="22"/>
                <w:szCs w:val="22"/>
              </w:rPr>
              <w:t>ful motion</w:t>
            </w:r>
          </w:p>
        </w:tc>
      </w:tr>
      <w:tr w:rsidR="0046260D" w:rsidRPr="002B4A7D" w:rsidTr="00AB4E16">
        <w:trPr>
          <w:jc w:val="center"/>
        </w:trPr>
        <w:tc>
          <w:tcPr>
            <w:tcW w:w="2790" w:type="dxa"/>
            <w:tcBorders>
              <w:top w:val="single" w:sz="4" w:space="0" w:color="000000"/>
              <w:left w:val="single" w:sz="4" w:space="0" w:color="000000"/>
              <w:bottom w:val="single" w:sz="4" w:space="0" w:color="000000"/>
              <w:right w:val="single" w:sz="4" w:space="0" w:color="000000"/>
            </w:tcBorders>
            <w:vAlign w:val="center"/>
            <w:hideMark/>
          </w:tcPr>
          <w:p w:rsidR="0046260D" w:rsidRPr="00EE2A3A" w:rsidRDefault="00AE711F" w:rsidP="00AE711F">
            <w:pPr>
              <w:tabs>
                <w:tab w:val="left" w:pos="288"/>
                <w:tab w:val="left" w:pos="4752"/>
              </w:tabs>
              <w:spacing w:line="240" w:lineRule="exact"/>
              <w:jc w:val="center"/>
              <w:rPr>
                <w:rFonts w:ascii="Calibri" w:eastAsia="Calibri" w:hAnsi="Calibri"/>
                <w:color w:val="auto"/>
                <w:sz w:val="22"/>
                <w:szCs w:val="22"/>
              </w:rPr>
            </w:pPr>
            <w:r>
              <w:rPr>
                <w:rFonts w:ascii="Calibri" w:eastAsia="Calibri" w:hAnsi="Calibri"/>
                <w:color w:val="auto"/>
                <w:sz w:val="22"/>
                <w:szCs w:val="22"/>
              </w:rPr>
              <w:t>§4.71a Rating</w:t>
            </w:r>
            <w:r w:rsidR="002359D6" w:rsidRPr="00EE2A3A">
              <w:rPr>
                <w:rFonts w:ascii="Calibri" w:eastAsia="Calibri" w:hAnsi="Calibri"/>
                <w:color w:val="auto"/>
                <w:sz w:val="22"/>
                <w:szCs w:val="22"/>
              </w:rPr>
              <w:t xml:space="preserve"> </w:t>
            </w:r>
          </w:p>
        </w:tc>
        <w:tc>
          <w:tcPr>
            <w:tcW w:w="2074" w:type="dxa"/>
            <w:tcBorders>
              <w:top w:val="single" w:sz="4" w:space="0" w:color="000000"/>
              <w:left w:val="single" w:sz="4" w:space="0" w:color="000000"/>
              <w:bottom w:val="single" w:sz="4" w:space="0" w:color="000000"/>
              <w:right w:val="single" w:sz="4" w:space="0" w:color="000000"/>
            </w:tcBorders>
            <w:hideMark/>
          </w:tcPr>
          <w:p w:rsidR="0046260D" w:rsidRPr="00EE2A3A" w:rsidRDefault="002359D6" w:rsidP="001B7F7A">
            <w:pPr>
              <w:tabs>
                <w:tab w:val="left" w:pos="288"/>
                <w:tab w:val="left" w:pos="4752"/>
              </w:tabs>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20</w:t>
            </w:r>
            <w:r w:rsidR="0046260D" w:rsidRPr="00EE2A3A">
              <w:rPr>
                <w:rFonts w:ascii="Calibri" w:eastAsia="Calibri" w:hAnsi="Calibri"/>
                <w:color w:val="auto"/>
                <w:sz w:val="22"/>
                <w:szCs w:val="22"/>
              </w:rPr>
              <w:t>%</w:t>
            </w:r>
            <w:r w:rsidRPr="00EE2A3A">
              <w:rPr>
                <w:rFonts w:ascii="Calibri" w:eastAsia="Calibri" w:hAnsi="Calibri"/>
                <w:color w:val="auto"/>
                <w:sz w:val="22"/>
                <w:szCs w:val="22"/>
              </w:rPr>
              <w:t xml:space="preserve"> (moderate)</w:t>
            </w:r>
          </w:p>
        </w:tc>
        <w:tc>
          <w:tcPr>
            <w:tcW w:w="2121" w:type="dxa"/>
            <w:tcBorders>
              <w:top w:val="single" w:sz="4" w:space="0" w:color="000000"/>
              <w:left w:val="single" w:sz="4" w:space="0" w:color="000000"/>
              <w:bottom w:val="single" w:sz="4" w:space="0" w:color="000000"/>
              <w:right w:val="single" w:sz="4" w:space="0" w:color="000000"/>
            </w:tcBorders>
            <w:vAlign w:val="center"/>
          </w:tcPr>
          <w:p w:rsidR="002359D6" w:rsidRPr="00EE2A3A" w:rsidRDefault="002359D6" w:rsidP="00AE711F">
            <w:pPr>
              <w:tabs>
                <w:tab w:val="left" w:pos="288"/>
                <w:tab w:val="left" w:pos="4752"/>
              </w:tabs>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10</w:t>
            </w:r>
            <w:r w:rsidR="0046260D" w:rsidRPr="00EE2A3A">
              <w:rPr>
                <w:rFonts w:ascii="Calibri" w:eastAsia="Calibri" w:hAnsi="Calibri"/>
                <w:color w:val="auto"/>
                <w:sz w:val="22"/>
                <w:szCs w:val="22"/>
              </w:rPr>
              <w:t>%</w:t>
            </w:r>
            <w:r w:rsidRPr="00EE2A3A">
              <w:rPr>
                <w:rFonts w:ascii="Calibri" w:eastAsia="Calibri" w:hAnsi="Calibri"/>
                <w:color w:val="auto"/>
                <w:sz w:val="22"/>
                <w:szCs w:val="22"/>
              </w:rPr>
              <w:t xml:space="preserve"> (slight)</w:t>
            </w:r>
          </w:p>
        </w:tc>
        <w:tc>
          <w:tcPr>
            <w:tcW w:w="2178" w:type="dxa"/>
            <w:tcBorders>
              <w:top w:val="single" w:sz="4" w:space="0" w:color="000000"/>
              <w:left w:val="single" w:sz="4" w:space="0" w:color="000000"/>
              <w:bottom w:val="single" w:sz="4" w:space="0" w:color="000000"/>
              <w:right w:val="single" w:sz="4" w:space="0" w:color="000000"/>
            </w:tcBorders>
            <w:vAlign w:val="center"/>
            <w:hideMark/>
          </w:tcPr>
          <w:p w:rsidR="002359D6" w:rsidRPr="00EE2A3A" w:rsidRDefault="002359D6" w:rsidP="00AE711F">
            <w:pPr>
              <w:tabs>
                <w:tab w:val="left" w:pos="288"/>
                <w:tab w:val="left" w:pos="4752"/>
              </w:tabs>
              <w:spacing w:line="240" w:lineRule="exact"/>
              <w:jc w:val="center"/>
              <w:rPr>
                <w:rFonts w:ascii="Calibri" w:eastAsia="Calibri" w:hAnsi="Calibri"/>
                <w:color w:val="auto"/>
                <w:sz w:val="22"/>
                <w:szCs w:val="22"/>
              </w:rPr>
            </w:pPr>
            <w:r w:rsidRPr="00EE2A3A">
              <w:rPr>
                <w:rFonts w:ascii="Calibri" w:eastAsia="Calibri" w:hAnsi="Calibri"/>
                <w:color w:val="auto"/>
                <w:sz w:val="22"/>
                <w:szCs w:val="22"/>
              </w:rPr>
              <w:t>10</w:t>
            </w:r>
            <w:r w:rsidR="0046260D" w:rsidRPr="00EE2A3A">
              <w:rPr>
                <w:rFonts w:ascii="Calibri" w:eastAsia="Calibri" w:hAnsi="Calibri"/>
                <w:color w:val="auto"/>
                <w:sz w:val="22"/>
                <w:szCs w:val="22"/>
              </w:rPr>
              <w:t>%</w:t>
            </w:r>
            <w:r w:rsidRPr="00EE2A3A">
              <w:rPr>
                <w:rFonts w:ascii="Calibri" w:eastAsia="Calibri" w:hAnsi="Calibri"/>
                <w:color w:val="auto"/>
                <w:sz w:val="22"/>
                <w:szCs w:val="22"/>
              </w:rPr>
              <w:t xml:space="preserve"> (slight)</w:t>
            </w:r>
          </w:p>
        </w:tc>
      </w:tr>
    </w:tbl>
    <w:p w:rsidR="00FC796F" w:rsidRDefault="00FC796F" w:rsidP="001B7F7A">
      <w:pPr>
        <w:tabs>
          <w:tab w:val="left" w:pos="288"/>
          <w:tab w:val="left" w:pos="4752"/>
        </w:tabs>
        <w:spacing w:line="240" w:lineRule="exact"/>
        <w:jc w:val="both"/>
        <w:rPr>
          <w:rFonts w:asciiTheme="minorHAnsi" w:hAnsiTheme="minorHAnsi"/>
          <w:color w:val="auto"/>
        </w:rPr>
      </w:pPr>
    </w:p>
    <w:p w:rsidR="00CB7084" w:rsidRPr="00FD00F6" w:rsidRDefault="007E7059" w:rsidP="00AB4E16">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rPr>
        <w:t>Once again, t</w:t>
      </w:r>
      <w:r w:rsidR="00AB4E16">
        <w:rPr>
          <w:rFonts w:asciiTheme="minorHAnsi" w:hAnsiTheme="minorHAnsi" w:cstheme="minorHAnsi"/>
          <w:color w:val="auto"/>
          <w:szCs w:val="24"/>
        </w:rPr>
        <w:t xml:space="preserve">he Board reviewed all the evidence.  The Army PEB had adjudicated the </w:t>
      </w:r>
      <w:r>
        <w:rPr>
          <w:rFonts w:asciiTheme="minorHAnsi" w:hAnsiTheme="minorHAnsi" w:cstheme="minorHAnsi"/>
          <w:color w:val="auto"/>
          <w:szCs w:val="24"/>
        </w:rPr>
        <w:t>neck pain</w:t>
      </w:r>
      <w:r w:rsidR="00EE7A94">
        <w:rPr>
          <w:rFonts w:asciiTheme="minorHAnsi" w:hAnsiTheme="minorHAnsi" w:cstheme="minorHAnsi"/>
          <w:color w:val="auto"/>
          <w:szCs w:val="24"/>
        </w:rPr>
        <w:t xml:space="preserve">, </w:t>
      </w:r>
      <w:r>
        <w:rPr>
          <w:rFonts w:asciiTheme="minorHAnsi" w:hAnsiTheme="minorHAnsi" w:cstheme="minorHAnsi"/>
          <w:color w:val="auto"/>
          <w:szCs w:val="24"/>
        </w:rPr>
        <w:t>upper back pain</w:t>
      </w:r>
      <w:r w:rsidR="00EE7A94">
        <w:rPr>
          <w:rFonts w:asciiTheme="minorHAnsi" w:hAnsiTheme="minorHAnsi" w:cstheme="minorHAnsi"/>
          <w:color w:val="auto"/>
          <w:szCs w:val="24"/>
        </w:rPr>
        <w:t>, and arm pain</w:t>
      </w:r>
      <w:r>
        <w:rPr>
          <w:rFonts w:asciiTheme="minorHAnsi" w:hAnsiTheme="minorHAnsi" w:cstheme="minorHAnsi"/>
          <w:color w:val="auto"/>
          <w:szCs w:val="24"/>
        </w:rPr>
        <w:t xml:space="preserve"> </w:t>
      </w:r>
      <w:r w:rsidR="00AB4E16">
        <w:rPr>
          <w:rFonts w:asciiTheme="minorHAnsi" w:hAnsiTheme="minorHAnsi" w:cstheme="minorHAnsi"/>
          <w:color w:val="auto"/>
          <w:szCs w:val="24"/>
        </w:rPr>
        <w:t xml:space="preserve">as a single unfitting condition </w:t>
      </w:r>
      <w:r w:rsidR="00AB4E16" w:rsidRPr="00D9715C">
        <w:rPr>
          <w:rFonts w:asciiTheme="minorHAnsi" w:hAnsiTheme="minorHAnsi" w:cstheme="minorHAnsi"/>
          <w:color w:val="auto"/>
          <w:szCs w:val="24"/>
        </w:rPr>
        <w:t>u</w:t>
      </w:r>
      <w:r w:rsidR="00AB4E16">
        <w:rPr>
          <w:rFonts w:asciiTheme="minorHAnsi" w:hAnsiTheme="minorHAnsi" w:cstheme="minorHAnsi"/>
          <w:color w:val="auto"/>
          <w:szCs w:val="24"/>
        </w:rPr>
        <w:t>sing VASRD code</w:t>
      </w:r>
      <w:r w:rsidR="00AB4E16" w:rsidRPr="00D9715C">
        <w:rPr>
          <w:rFonts w:asciiTheme="minorHAnsi" w:hAnsiTheme="minorHAnsi" w:cstheme="minorHAnsi"/>
          <w:color w:val="auto"/>
          <w:szCs w:val="24"/>
        </w:rPr>
        <w:t xml:space="preserve"> </w:t>
      </w:r>
      <w:r>
        <w:rPr>
          <w:rFonts w:asciiTheme="minorHAnsi" w:hAnsiTheme="minorHAnsi" w:cstheme="minorHAnsi"/>
          <w:color w:val="auto"/>
          <w:szCs w:val="24"/>
        </w:rPr>
        <w:t>5293-</w:t>
      </w:r>
      <w:r w:rsidR="00AB4E16" w:rsidRPr="00D9715C">
        <w:rPr>
          <w:rFonts w:asciiTheme="minorHAnsi" w:hAnsiTheme="minorHAnsi" w:cstheme="minorHAnsi"/>
          <w:color w:val="auto"/>
          <w:szCs w:val="24"/>
        </w:rPr>
        <w:t>5003</w:t>
      </w:r>
      <w:r>
        <w:rPr>
          <w:rFonts w:asciiTheme="minorHAnsi" w:hAnsiTheme="minorHAnsi" w:cstheme="minorHAnsi"/>
          <w:color w:val="auto"/>
          <w:szCs w:val="24"/>
        </w:rPr>
        <w:t xml:space="preserve">. </w:t>
      </w:r>
      <w:r w:rsidR="00AB4E16" w:rsidRPr="009F3644">
        <w:rPr>
          <w:rFonts w:asciiTheme="minorHAnsi" w:hAnsiTheme="minorHAnsi"/>
          <w:color w:val="auto"/>
          <w:szCs w:val="24"/>
        </w:rPr>
        <w:t>The Board</w:t>
      </w:r>
      <w:r w:rsidR="00AB4E16">
        <w:rPr>
          <w:rFonts w:asciiTheme="minorHAnsi" w:hAnsiTheme="minorHAnsi"/>
          <w:color w:val="auto"/>
          <w:szCs w:val="24"/>
        </w:rPr>
        <w:t xml:space="preserve"> evaluated whether or not it was appropriate for the</w:t>
      </w:r>
      <w:r>
        <w:rPr>
          <w:rFonts w:asciiTheme="minorHAnsi" w:hAnsiTheme="minorHAnsi"/>
          <w:color w:val="auto"/>
          <w:szCs w:val="24"/>
        </w:rPr>
        <w:t>se</w:t>
      </w:r>
      <w:r w:rsidR="00AB4E16">
        <w:rPr>
          <w:rFonts w:asciiTheme="minorHAnsi" w:hAnsiTheme="minorHAnsi"/>
          <w:color w:val="auto"/>
          <w:szCs w:val="24"/>
        </w:rPr>
        <w:t xml:space="preserve"> </w:t>
      </w:r>
      <w:r>
        <w:rPr>
          <w:rFonts w:asciiTheme="minorHAnsi" w:hAnsiTheme="minorHAnsi"/>
          <w:color w:val="auto"/>
          <w:szCs w:val="24"/>
        </w:rPr>
        <w:t>conditions</w:t>
      </w:r>
      <w:r w:rsidR="00AB4E16">
        <w:rPr>
          <w:rFonts w:asciiTheme="minorHAnsi" w:hAnsiTheme="minorHAnsi"/>
          <w:color w:val="auto"/>
          <w:szCs w:val="24"/>
        </w:rPr>
        <w:t xml:space="preserve"> to be “bundled</w:t>
      </w:r>
      <w:r w:rsidR="00EE7A94">
        <w:rPr>
          <w:rFonts w:asciiTheme="minorHAnsi" w:hAnsiTheme="minorHAnsi"/>
          <w:color w:val="auto"/>
          <w:szCs w:val="24"/>
        </w:rPr>
        <w:t>.”  The B</w:t>
      </w:r>
      <w:r w:rsidR="00AB4E16">
        <w:rPr>
          <w:rFonts w:asciiTheme="minorHAnsi" w:hAnsiTheme="minorHAnsi"/>
          <w:color w:val="auto"/>
          <w:szCs w:val="24"/>
        </w:rPr>
        <w:t>oard must determine if the P</w:t>
      </w:r>
      <w:r w:rsidR="00AB4E16" w:rsidRPr="009F3644">
        <w:rPr>
          <w:rFonts w:asciiTheme="minorHAnsi" w:hAnsiTheme="minorHAnsi"/>
          <w:color w:val="auto"/>
          <w:szCs w:val="24"/>
        </w:rPr>
        <w:t xml:space="preserve">EB’s approach of combining </w:t>
      </w:r>
      <w:r w:rsidR="00AB4E16">
        <w:rPr>
          <w:rFonts w:asciiTheme="minorHAnsi" w:hAnsiTheme="minorHAnsi"/>
          <w:color w:val="auto"/>
          <w:szCs w:val="24"/>
        </w:rPr>
        <w:t xml:space="preserve">the </w:t>
      </w:r>
      <w:r w:rsidR="00AB4E16" w:rsidRPr="009F3644">
        <w:rPr>
          <w:rFonts w:asciiTheme="minorHAnsi" w:hAnsiTheme="minorHAnsi"/>
          <w:color w:val="auto"/>
          <w:szCs w:val="24"/>
        </w:rPr>
        <w:t xml:space="preserve">conditions under a single rating was justified in lieu of separate ratings. </w:t>
      </w:r>
      <w:r w:rsidR="00AB4E16">
        <w:rPr>
          <w:rFonts w:asciiTheme="minorHAnsi" w:hAnsiTheme="minorHAnsi"/>
          <w:color w:val="auto"/>
          <w:szCs w:val="24"/>
        </w:rPr>
        <w:t xml:space="preserve"> </w:t>
      </w:r>
      <w:r>
        <w:rPr>
          <w:rFonts w:asciiTheme="minorHAnsi" w:hAnsiTheme="minorHAnsi"/>
          <w:color w:val="auto"/>
          <w:szCs w:val="24"/>
        </w:rPr>
        <w:t xml:space="preserve">As noted above, </w:t>
      </w:r>
      <w:r w:rsidR="00AB4E16">
        <w:rPr>
          <w:rFonts w:asciiTheme="minorHAnsi" w:hAnsiTheme="minorHAnsi"/>
          <w:color w:val="auto"/>
          <w:szCs w:val="24"/>
        </w:rPr>
        <w:t>t</w:t>
      </w:r>
      <w:r w:rsidR="00AB4E16" w:rsidRPr="009F3644">
        <w:rPr>
          <w:rFonts w:asciiTheme="minorHAnsi" w:hAnsiTheme="minorHAnsi"/>
          <w:color w:val="auto"/>
          <w:szCs w:val="24"/>
        </w:rPr>
        <w:t xml:space="preserve">he Board must apply separate codes and ratings in its recommendations if compensable ratings for each condition are achieved IAW VASRD </w:t>
      </w:r>
      <w:r w:rsidR="00AB4E16">
        <w:rPr>
          <w:rFonts w:asciiTheme="minorHAnsi" w:hAnsiTheme="minorHAnsi"/>
          <w:color w:val="auto"/>
          <w:szCs w:val="24"/>
        </w:rPr>
        <w:t>guidelines</w:t>
      </w:r>
      <w:r w:rsidR="00AB4E16" w:rsidRPr="009F3644">
        <w:rPr>
          <w:rFonts w:asciiTheme="minorHAnsi" w:hAnsiTheme="minorHAnsi"/>
          <w:color w:val="auto"/>
          <w:szCs w:val="24"/>
        </w:rPr>
        <w:t>.</w:t>
      </w:r>
      <w:r w:rsidR="00AB4E16">
        <w:rPr>
          <w:rFonts w:asciiTheme="minorHAnsi" w:hAnsiTheme="minorHAnsi"/>
          <w:color w:val="auto"/>
          <w:szCs w:val="24"/>
        </w:rPr>
        <w:t xml:space="preserve"> </w:t>
      </w:r>
      <w:r w:rsidR="00AB4E16" w:rsidRPr="009F3644">
        <w:rPr>
          <w:rFonts w:asciiTheme="minorHAnsi" w:hAnsiTheme="minorHAnsi"/>
          <w:color w:val="auto"/>
          <w:szCs w:val="24"/>
        </w:rPr>
        <w:t xml:space="preserve"> If the Board judges that two or more separate ratings are warranted in such cases, however, it must satisfy the requirement that each </w:t>
      </w:r>
      <w:r w:rsidR="00C24F59">
        <w:rPr>
          <w:rFonts w:asciiTheme="minorHAnsi" w:hAnsiTheme="minorHAnsi"/>
          <w:color w:val="auto"/>
          <w:szCs w:val="24"/>
        </w:rPr>
        <w:t>“unbundled”</w:t>
      </w:r>
      <w:r w:rsidR="00AB4E16" w:rsidRPr="009F3644">
        <w:rPr>
          <w:rFonts w:asciiTheme="minorHAnsi" w:hAnsiTheme="minorHAnsi"/>
          <w:color w:val="auto"/>
          <w:szCs w:val="24"/>
        </w:rPr>
        <w:t xml:space="preserve"> condition was unfitting in and of itself.</w:t>
      </w:r>
      <w:r w:rsidR="00AB4E16">
        <w:rPr>
          <w:rFonts w:asciiTheme="minorHAnsi" w:hAnsiTheme="minorHAnsi"/>
          <w:color w:val="auto"/>
          <w:szCs w:val="24"/>
        </w:rPr>
        <w:t xml:space="preserve"> </w:t>
      </w:r>
      <w:r w:rsidR="00AB4E16" w:rsidRPr="009F3644">
        <w:rPr>
          <w:rFonts w:asciiTheme="minorHAnsi" w:hAnsiTheme="minorHAnsi"/>
          <w:color w:val="auto"/>
          <w:szCs w:val="24"/>
        </w:rPr>
        <w:t xml:space="preserve"> </w:t>
      </w:r>
      <w:r w:rsidR="00AB4E16">
        <w:rPr>
          <w:rFonts w:asciiTheme="minorHAnsi" w:hAnsiTheme="minorHAnsi"/>
          <w:color w:val="auto"/>
          <w:szCs w:val="24"/>
        </w:rPr>
        <w:t xml:space="preserve">The </w:t>
      </w:r>
      <w:r>
        <w:rPr>
          <w:rFonts w:asciiTheme="minorHAnsi" w:hAnsiTheme="minorHAnsi"/>
          <w:color w:val="auto"/>
          <w:szCs w:val="24"/>
        </w:rPr>
        <w:t xml:space="preserve">evidence </w:t>
      </w:r>
      <w:r w:rsidR="00AB4E16">
        <w:rPr>
          <w:rFonts w:asciiTheme="minorHAnsi" w:hAnsiTheme="minorHAnsi"/>
          <w:color w:val="auto"/>
          <w:szCs w:val="24"/>
        </w:rPr>
        <w:t xml:space="preserve">clearly </w:t>
      </w:r>
      <w:r>
        <w:rPr>
          <w:rFonts w:asciiTheme="minorHAnsi" w:hAnsiTheme="minorHAnsi"/>
          <w:color w:val="auto"/>
          <w:szCs w:val="24"/>
        </w:rPr>
        <w:t xml:space="preserve">shows that the CI </w:t>
      </w:r>
      <w:r w:rsidR="00AB4E16">
        <w:rPr>
          <w:rFonts w:asciiTheme="minorHAnsi" w:hAnsiTheme="minorHAnsi"/>
          <w:color w:val="auto"/>
          <w:szCs w:val="24"/>
        </w:rPr>
        <w:t xml:space="preserve">had </w:t>
      </w:r>
      <w:r>
        <w:rPr>
          <w:rFonts w:asciiTheme="minorHAnsi" w:hAnsiTheme="minorHAnsi"/>
          <w:color w:val="auto"/>
          <w:szCs w:val="24"/>
        </w:rPr>
        <w:t>pain</w:t>
      </w:r>
      <w:r w:rsidR="00AB4E16">
        <w:rPr>
          <w:rFonts w:asciiTheme="minorHAnsi" w:hAnsiTheme="minorHAnsi"/>
          <w:color w:val="auto"/>
          <w:szCs w:val="24"/>
        </w:rPr>
        <w:t xml:space="preserve"> in </w:t>
      </w:r>
      <w:r>
        <w:rPr>
          <w:rFonts w:asciiTheme="minorHAnsi" w:hAnsiTheme="minorHAnsi"/>
          <w:color w:val="auto"/>
          <w:szCs w:val="24"/>
        </w:rPr>
        <w:t>his neck</w:t>
      </w:r>
      <w:r w:rsidR="00EE7A94">
        <w:rPr>
          <w:rFonts w:asciiTheme="minorHAnsi" w:hAnsiTheme="minorHAnsi"/>
          <w:color w:val="auto"/>
          <w:szCs w:val="24"/>
        </w:rPr>
        <w:t xml:space="preserve"> and left arm</w:t>
      </w:r>
      <w:r>
        <w:rPr>
          <w:rFonts w:asciiTheme="minorHAnsi" w:hAnsiTheme="minorHAnsi"/>
          <w:color w:val="auto"/>
          <w:szCs w:val="24"/>
        </w:rPr>
        <w:t xml:space="preserve">, as well as his upper back region.  </w:t>
      </w:r>
      <w:r w:rsidR="00EE7A94">
        <w:rPr>
          <w:rFonts w:asciiTheme="minorHAnsi" w:hAnsiTheme="minorHAnsi"/>
          <w:color w:val="auto"/>
          <w:szCs w:val="24"/>
        </w:rPr>
        <w:t>I</w:t>
      </w:r>
      <w:r>
        <w:rPr>
          <w:rFonts w:asciiTheme="minorHAnsi" w:hAnsiTheme="minorHAnsi"/>
          <w:color w:val="auto"/>
          <w:szCs w:val="24"/>
        </w:rPr>
        <w:t xml:space="preserve">t </w:t>
      </w:r>
      <w:r w:rsidR="00B43CFA">
        <w:rPr>
          <w:rFonts w:asciiTheme="minorHAnsi" w:hAnsiTheme="minorHAnsi"/>
          <w:color w:val="auto"/>
          <w:szCs w:val="24"/>
        </w:rPr>
        <w:t>was</w:t>
      </w:r>
      <w:r w:rsidR="00CB7084">
        <w:rPr>
          <w:rFonts w:asciiTheme="minorHAnsi" w:hAnsiTheme="minorHAnsi"/>
          <w:color w:val="auto"/>
          <w:szCs w:val="24"/>
        </w:rPr>
        <w:t xml:space="preserve"> also</w:t>
      </w:r>
      <w:r>
        <w:rPr>
          <w:rFonts w:asciiTheme="minorHAnsi" w:hAnsiTheme="minorHAnsi"/>
          <w:color w:val="auto"/>
          <w:szCs w:val="24"/>
        </w:rPr>
        <w:t xml:space="preserve"> clear from the treatment record that the neck </w:t>
      </w:r>
      <w:r w:rsidR="00EE7A94">
        <w:rPr>
          <w:rFonts w:asciiTheme="minorHAnsi" w:hAnsiTheme="minorHAnsi"/>
          <w:color w:val="auto"/>
          <w:szCs w:val="24"/>
        </w:rPr>
        <w:t>condition</w:t>
      </w:r>
      <w:r>
        <w:rPr>
          <w:rFonts w:asciiTheme="minorHAnsi" w:hAnsiTheme="minorHAnsi"/>
          <w:color w:val="auto"/>
          <w:szCs w:val="24"/>
        </w:rPr>
        <w:t xml:space="preserve"> caused him greater discomfort and disability than the upper back pain.</w:t>
      </w:r>
      <w:r w:rsidR="00FD00F6">
        <w:rPr>
          <w:rFonts w:asciiTheme="minorHAnsi" w:hAnsiTheme="minorHAnsi"/>
          <w:color w:val="auto"/>
          <w:szCs w:val="24"/>
        </w:rPr>
        <w:t xml:space="preserve">  </w:t>
      </w:r>
      <w:r w:rsidR="00AB4E16">
        <w:rPr>
          <w:rFonts w:asciiTheme="minorHAnsi" w:hAnsiTheme="minorHAnsi"/>
          <w:color w:val="auto"/>
          <w:szCs w:val="24"/>
        </w:rPr>
        <w:t xml:space="preserve">With regard to </w:t>
      </w:r>
      <w:r w:rsidR="00C24F59">
        <w:rPr>
          <w:rFonts w:asciiTheme="minorHAnsi" w:hAnsiTheme="minorHAnsi"/>
          <w:color w:val="auto"/>
          <w:szCs w:val="24"/>
        </w:rPr>
        <w:t>“</w:t>
      </w:r>
      <w:r w:rsidR="00AB4E16" w:rsidRPr="009F3644">
        <w:rPr>
          <w:rFonts w:asciiTheme="minorHAnsi" w:hAnsiTheme="minorHAnsi"/>
          <w:color w:val="auto"/>
          <w:szCs w:val="24"/>
        </w:rPr>
        <w:t>unbundl</w:t>
      </w:r>
      <w:r w:rsidR="00AB4E16">
        <w:rPr>
          <w:rFonts w:asciiTheme="minorHAnsi" w:hAnsiTheme="minorHAnsi"/>
          <w:color w:val="auto"/>
          <w:szCs w:val="24"/>
        </w:rPr>
        <w:t>ing,</w:t>
      </w:r>
      <w:r w:rsidR="00C24F59">
        <w:rPr>
          <w:rFonts w:asciiTheme="minorHAnsi" w:hAnsiTheme="minorHAnsi"/>
          <w:color w:val="auto"/>
          <w:szCs w:val="24"/>
        </w:rPr>
        <w:t>”</w:t>
      </w:r>
      <w:r w:rsidR="00AB4E16" w:rsidRPr="009F3644">
        <w:rPr>
          <w:rFonts w:asciiTheme="minorHAnsi" w:hAnsiTheme="minorHAnsi"/>
          <w:color w:val="auto"/>
          <w:szCs w:val="24"/>
        </w:rPr>
        <w:t xml:space="preserve"> </w:t>
      </w:r>
      <w:r w:rsidR="00AB4E16">
        <w:rPr>
          <w:rFonts w:asciiTheme="minorHAnsi" w:hAnsiTheme="minorHAnsi"/>
          <w:color w:val="auto"/>
          <w:szCs w:val="24"/>
        </w:rPr>
        <w:t xml:space="preserve">the key issue therefore, was whether </w:t>
      </w:r>
      <w:r w:rsidR="00FB30F3">
        <w:rPr>
          <w:rFonts w:asciiTheme="minorHAnsi" w:hAnsiTheme="minorHAnsi"/>
          <w:color w:val="auto"/>
          <w:szCs w:val="24"/>
        </w:rPr>
        <w:t xml:space="preserve">the back pain was separately unfitting, and whether </w:t>
      </w:r>
      <w:r w:rsidR="00AB4E16">
        <w:rPr>
          <w:rFonts w:asciiTheme="minorHAnsi" w:hAnsiTheme="minorHAnsi"/>
          <w:color w:val="auto"/>
          <w:szCs w:val="24"/>
        </w:rPr>
        <w:t xml:space="preserve">a compensable evaluation could be granted for the </w:t>
      </w:r>
      <w:r w:rsidR="00CB7084">
        <w:rPr>
          <w:rFonts w:asciiTheme="minorHAnsi" w:hAnsiTheme="minorHAnsi"/>
          <w:color w:val="auto"/>
          <w:szCs w:val="24"/>
        </w:rPr>
        <w:t>back pain</w:t>
      </w:r>
      <w:r w:rsidR="00AB4E16">
        <w:rPr>
          <w:rFonts w:asciiTheme="minorHAnsi" w:hAnsiTheme="minorHAnsi"/>
          <w:color w:val="auto"/>
          <w:szCs w:val="24"/>
        </w:rPr>
        <w:t xml:space="preserve">.  </w:t>
      </w:r>
      <w:r w:rsidR="00AB4E16" w:rsidRPr="00AE6606">
        <w:rPr>
          <w:rFonts w:ascii="Calibri" w:hAnsi="Calibri" w:cs="Calibri"/>
          <w:color w:val="auto"/>
          <w:szCs w:val="24"/>
        </w:rPr>
        <w:t xml:space="preserve">Based on the evidence in the treatment record, the Board </w:t>
      </w:r>
      <w:r w:rsidR="00CB7084">
        <w:rPr>
          <w:rFonts w:ascii="Calibri" w:hAnsi="Calibri" w:cs="Calibri"/>
          <w:color w:val="auto"/>
          <w:szCs w:val="24"/>
        </w:rPr>
        <w:t xml:space="preserve">determined that the upper back pain did not, in and of itself, cause a clinically significant limitation of motion.  The Board also </w:t>
      </w:r>
      <w:r w:rsidR="00AB4E16" w:rsidRPr="00AE6606">
        <w:rPr>
          <w:rFonts w:ascii="Calibri" w:hAnsi="Calibri" w:cs="Calibri"/>
          <w:color w:val="auto"/>
          <w:szCs w:val="24"/>
        </w:rPr>
        <w:t xml:space="preserve">concluded that the CI’s </w:t>
      </w:r>
      <w:r w:rsidR="00CB7084">
        <w:rPr>
          <w:rFonts w:ascii="Calibri" w:hAnsi="Calibri" w:cs="Calibri"/>
          <w:color w:val="auto"/>
          <w:szCs w:val="24"/>
        </w:rPr>
        <w:t xml:space="preserve">upper back </w:t>
      </w:r>
      <w:r w:rsidR="00AB4E16" w:rsidRPr="00AE6606">
        <w:rPr>
          <w:rFonts w:ascii="Calibri" w:hAnsi="Calibri" w:cs="Calibri"/>
          <w:color w:val="auto"/>
          <w:szCs w:val="24"/>
        </w:rPr>
        <w:t xml:space="preserve">pain did </w:t>
      </w:r>
      <w:r w:rsidR="00CB7084">
        <w:rPr>
          <w:rFonts w:ascii="Calibri" w:hAnsi="Calibri" w:cs="Calibri"/>
          <w:color w:val="auto"/>
          <w:szCs w:val="24"/>
        </w:rPr>
        <w:t xml:space="preserve">not </w:t>
      </w:r>
      <w:r w:rsidR="00AB4E16" w:rsidRPr="00AE6606">
        <w:rPr>
          <w:rFonts w:ascii="Calibri" w:hAnsi="Calibri" w:cs="Calibri"/>
          <w:color w:val="auto"/>
          <w:szCs w:val="24"/>
        </w:rPr>
        <w:t xml:space="preserve">meet the intent of </w:t>
      </w:r>
      <w:r w:rsidR="00AB4E16">
        <w:rPr>
          <w:rFonts w:ascii="Calibri" w:hAnsi="Calibri" w:cs="Calibri"/>
          <w:color w:val="auto"/>
          <w:szCs w:val="24"/>
        </w:rPr>
        <w:t xml:space="preserve">VASRD </w:t>
      </w:r>
      <w:r w:rsidR="00AB4E16" w:rsidRPr="00AE6606">
        <w:rPr>
          <w:rFonts w:ascii="Calibri" w:eastAsia="Calibri" w:hAnsi="Calibri" w:cs="Calibri"/>
          <w:color w:val="auto"/>
          <w:szCs w:val="24"/>
        </w:rPr>
        <w:t>§4.59 (</w:t>
      </w:r>
      <w:r w:rsidR="00C24F59">
        <w:rPr>
          <w:rFonts w:ascii="Calibri" w:eastAsia="Calibri" w:hAnsi="Calibri" w:cs="Calibri"/>
          <w:color w:val="auto"/>
          <w:szCs w:val="24"/>
        </w:rPr>
        <w:t>p</w:t>
      </w:r>
      <w:r w:rsidR="00AB4E16" w:rsidRPr="00AE6606">
        <w:rPr>
          <w:rFonts w:ascii="Calibri" w:eastAsia="Calibri" w:hAnsi="Calibri" w:cs="Calibri"/>
          <w:color w:val="auto"/>
          <w:szCs w:val="24"/>
        </w:rPr>
        <w:t>ainful motion) since “the intent of the schedule is to recognize painful mot</w:t>
      </w:r>
      <w:r w:rsidR="00AB4E16" w:rsidRPr="00AE6606">
        <w:rPr>
          <w:rFonts w:ascii="Calibri" w:hAnsi="Calibri" w:cs="Calibri"/>
          <w:color w:val="auto"/>
          <w:szCs w:val="24"/>
        </w:rPr>
        <w:t>ion with joint or periarticular pathology as productive of disability.”  The</w:t>
      </w:r>
      <w:r w:rsidR="00AB4E16">
        <w:rPr>
          <w:rFonts w:ascii="Calibri" w:hAnsi="Calibri" w:cs="Calibri"/>
          <w:color w:val="auto"/>
          <w:szCs w:val="24"/>
        </w:rPr>
        <w:t xml:space="preserve"> Board found that there was </w:t>
      </w:r>
      <w:r w:rsidR="00CB7084">
        <w:rPr>
          <w:rFonts w:ascii="Calibri" w:hAnsi="Calibri" w:cs="Calibri"/>
          <w:color w:val="auto"/>
          <w:szCs w:val="24"/>
        </w:rPr>
        <w:t>in</w:t>
      </w:r>
      <w:r w:rsidR="00AB4E16">
        <w:rPr>
          <w:rFonts w:ascii="Calibri" w:hAnsi="Calibri" w:cs="Calibri"/>
          <w:color w:val="auto"/>
          <w:szCs w:val="24"/>
        </w:rPr>
        <w:t xml:space="preserve">sufficient </w:t>
      </w:r>
      <w:r w:rsidR="00AB4E16" w:rsidRPr="00AE6606">
        <w:rPr>
          <w:rFonts w:ascii="Calibri" w:hAnsi="Calibri" w:cs="Calibri"/>
          <w:color w:val="auto"/>
          <w:szCs w:val="24"/>
        </w:rPr>
        <w:t xml:space="preserve">documentation of painful motion and </w:t>
      </w:r>
      <w:r w:rsidR="00CB7084">
        <w:rPr>
          <w:rFonts w:ascii="Calibri" w:hAnsi="Calibri" w:cs="Calibri"/>
          <w:color w:val="auto"/>
          <w:szCs w:val="24"/>
        </w:rPr>
        <w:t>spinal</w:t>
      </w:r>
      <w:r w:rsidR="00AB4E16" w:rsidRPr="00AE6606">
        <w:rPr>
          <w:rFonts w:ascii="Calibri" w:hAnsi="Calibri" w:cs="Calibri"/>
          <w:color w:val="auto"/>
          <w:szCs w:val="24"/>
        </w:rPr>
        <w:t xml:space="preserve"> pathology</w:t>
      </w:r>
      <w:r w:rsidR="00AB4E16">
        <w:rPr>
          <w:rFonts w:ascii="Calibri" w:hAnsi="Calibri" w:cs="Calibri"/>
          <w:color w:val="auto"/>
          <w:szCs w:val="24"/>
        </w:rPr>
        <w:t xml:space="preserve"> for the </w:t>
      </w:r>
      <w:r w:rsidR="00CB7084">
        <w:rPr>
          <w:rFonts w:ascii="Calibri" w:hAnsi="Calibri" w:cs="Calibri"/>
          <w:color w:val="auto"/>
          <w:szCs w:val="24"/>
        </w:rPr>
        <w:t>upper back region</w:t>
      </w:r>
      <w:r w:rsidR="00AB4E16" w:rsidRPr="00AE6606">
        <w:rPr>
          <w:rFonts w:ascii="Calibri" w:hAnsi="Calibri" w:cs="Calibri"/>
          <w:color w:val="auto"/>
          <w:szCs w:val="24"/>
        </w:rPr>
        <w:t xml:space="preserve">.  After due deliberation, the Board agreed that the evidence did </w:t>
      </w:r>
      <w:r w:rsidR="00CB7084">
        <w:rPr>
          <w:rFonts w:ascii="Calibri" w:hAnsi="Calibri" w:cs="Calibri"/>
          <w:color w:val="auto"/>
          <w:szCs w:val="24"/>
        </w:rPr>
        <w:t xml:space="preserve">not </w:t>
      </w:r>
      <w:r w:rsidR="00AB4E16" w:rsidRPr="00AE6606">
        <w:rPr>
          <w:rFonts w:ascii="Calibri" w:hAnsi="Calibri" w:cs="Calibri"/>
          <w:color w:val="auto"/>
          <w:szCs w:val="24"/>
        </w:rPr>
        <w:t xml:space="preserve">support a conclusion that the </w:t>
      </w:r>
      <w:r w:rsidR="00CB7084">
        <w:rPr>
          <w:rFonts w:ascii="Calibri" w:hAnsi="Calibri" w:cs="Calibri"/>
          <w:color w:val="auto"/>
          <w:szCs w:val="24"/>
        </w:rPr>
        <w:t>back</w:t>
      </w:r>
      <w:r w:rsidR="00AB4E16" w:rsidRPr="00AE6606">
        <w:rPr>
          <w:rFonts w:ascii="Calibri" w:hAnsi="Calibri" w:cs="Calibri"/>
          <w:color w:val="auto"/>
          <w:szCs w:val="24"/>
        </w:rPr>
        <w:t xml:space="preserve"> pain, separately, would have rendered the CI incapable of </w:t>
      </w:r>
      <w:r w:rsidR="000F2C15">
        <w:rPr>
          <w:rFonts w:ascii="Calibri" w:hAnsi="Calibri" w:cs="Calibri"/>
          <w:color w:val="auto"/>
          <w:szCs w:val="24"/>
        </w:rPr>
        <w:t xml:space="preserve">fully </w:t>
      </w:r>
      <w:r w:rsidR="00AB4E16" w:rsidRPr="00AE6606">
        <w:rPr>
          <w:rFonts w:ascii="Calibri" w:hAnsi="Calibri" w:cs="Calibri"/>
          <w:color w:val="auto"/>
          <w:szCs w:val="24"/>
        </w:rPr>
        <w:t>performing his military duties</w:t>
      </w:r>
      <w:r w:rsidR="00AB4E16">
        <w:rPr>
          <w:rFonts w:ascii="Calibri" w:hAnsi="Calibri" w:cs="Calibri"/>
          <w:color w:val="auto"/>
          <w:szCs w:val="24"/>
        </w:rPr>
        <w:t>, and meeting physical fitness standards.</w:t>
      </w:r>
      <w:r w:rsidR="000F2C15">
        <w:rPr>
          <w:rFonts w:ascii="Calibri" w:hAnsi="Calibri" w:cs="Calibri"/>
          <w:color w:val="auto"/>
          <w:szCs w:val="24"/>
        </w:rPr>
        <w:t xml:space="preserve">  Therefore, the upper back pain was not unfitting at the time of separation from service.</w:t>
      </w:r>
      <w:r w:rsidR="00AB4E16">
        <w:rPr>
          <w:rFonts w:ascii="Calibri" w:hAnsi="Calibri" w:cs="Calibri"/>
          <w:color w:val="auto"/>
          <w:szCs w:val="24"/>
        </w:rPr>
        <w:t xml:space="preserve">  </w:t>
      </w:r>
    </w:p>
    <w:p w:rsidR="00CB7084" w:rsidRDefault="00CB7084" w:rsidP="00AB4E16">
      <w:pPr>
        <w:tabs>
          <w:tab w:val="left" w:pos="288"/>
          <w:tab w:val="left" w:pos="4752"/>
        </w:tabs>
        <w:spacing w:line="240" w:lineRule="exact"/>
        <w:jc w:val="both"/>
        <w:rPr>
          <w:rFonts w:ascii="Calibri" w:hAnsi="Calibri" w:cs="Calibri"/>
          <w:color w:val="auto"/>
          <w:szCs w:val="24"/>
        </w:rPr>
      </w:pPr>
    </w:p>
    <w:p w:rsidR="00B3701A" w:rsidRDefault="00AB4E16" w:rsidP="00FD00F6">
      <w:pPr>
        <w:tabs>
          <w:tab w:val="left" w:pos="288"/>
          <w:tab w:val="left" w:pos="4752"/>
        </w:tabs>
        <w:spacing w:line="240" w:lineRule="exact"/>
        <w:jc w:val="both"/>
        <w:rPr>
          <w:rFonts w:ascii="Calibri" w:hAnsi="Calibri" w:cs="Calibri"/>
          <w:color w:val="auto"/>
          <w:szCs w:val="24"/>
        </w:rPr>
      </w:pPr>
      <w:r w:rsidRPr="00FD00F6">
        <w:rPr>
          <w:rFonts w:ascii="Calibri" w:hAnsi="Calibri" w:cs="Calibri"/>
          <w:color w:val="auto"/>
          <w:szCs w:val="24"/>
        </w:rPr>
        <w:t xml:space="preserve">The Board </w:t>
      </w:r>
      <w:r w:rsidR="00FD00F6">
        <w:rPr>
          <w:rFonts w:ascii="Calibri" w:hAnsi="Calibri" w:cs="Calibri"/>
          <w:color w:val="auto"/>
          <w:szCs w:val="24"/>
        </w:rPr>
        <w:t xml:space="preserve">then </w:t>
      </w:r>
      <w:r w:rsidR="00FD00F6" w:rsidRPr="00FD00F6">
        <w:rPr>
          <w:rFonts w:ascii="Calibri" w:hAnsi="Calibri" w:cs="Calibri"/>
          <w:color w:val="auto"/>
          <w:szCs w:val="24"/>
        </w:rPr>
        <w:t xml:space="preserve">directed its attention to the CI’s neck </w:t>
      </w:r>
      <w:r w:rsidR="00EE7A94">
        <w:rPr>
          <w:rFonts w:ascii="Calibri" w:hAnsi="Calibri" w:cs="Calibri"/>
          <w:color w:val="auto"/>
          <w:szCs w:val="24"/>
        </w:rPr>
        <w:t xml:space="preserve">and arm </w:t>
      </w:r>
      <w:r w:rsidR="00BC3F23">
        <w:rPr>
          <w:rFonts w:ascii="Calibri" w:hAnsi="Calibri" w:cs="Calibri"/>
          <w:color w:val="auto"/>
          <w:szCs w:val="24"/>
        </w:rPr>
        <w:t>condition</w:t>
      </w:r>
      <w:r w:rsidR="00FD00F6" w:rsidRPr="00FD00F6">
        <w:rPr>
          <w:rFonts w:ascii="Calibri" w:hAnsi="Calibri" w:cs="Calibri"/>
          <w:color w:val="auto"/>
          <w:szCs w:val="24"/>
        </w:rPr>
        <w:t xml:space="preserve">.  The VASRD coding and rating standards for the spine, which were in effect at the time of separation, were changed </w:t>
      </w:r>
      <w:r w:rsidR="00FD00F6">
        <w:rPr>
          <w:rFonts w:ascii="Calibri" w:hAnsi="Calibri" w:cs="Calibri"/>
          <w:color w:val="auto"/>
          <w:szCs w:val="24"/>
        </w:rPr>
        <w:t xml:space="preserve">to the current standards in </w:t>
      </w:r>
      <w:r w:rsidR="00FD00F6" w:rsidRPr="00FD00F6">
        <w:rPr>
          <w:rFonts w:ascii="Calibri" w:hAnsi="Calibri" w:cs="Calibri"/>
          <w:color w:val="auto"/>
          <w:szCs w:val="24"/>
        </w:rPr>
        <w:t>September 2003.  The older standards were subject to the rater’s opinion regarding degree of severity, whereas the current standards specify rating thresholds in actual degrees of ROM impairment.  The Board must comply with the DoDI 6040.44 requirement for rating IAW the VASRD in effect at the time of separation from service.</w:t>
      </w:r>
      <w:r w:rsidR="00FB30F3">
        <w:rPr>
          <w:rFonts w:ascii="Calibri" w:hAnsi="Calibri" w:cs="Calibri"/>
          <w:color w:val="auto"/>
          <w:szCs w:val="24"/>
        </w:rPr>
        <w:t xml:space="preserve">  </w:t>
      </w:r>
      <w:r w:rsidR="00FD00F6" w:rsidRPr="00FD00F6">
        <w:rPr>
          <w:rFonts w:ascii="Calibri" w:hAnsi="Calibri" w:cs="Calibri"/>
          <w:color w:val="auto"/>
          <w:szCs w:val="24"/>
        </w:rPr>
        <w:t xml:space="preserve">The </w:t>
      </w:r>
      <w:r w:rsidR="00FD00F6">
        <w:rPr>
          <w:rFonts w:ascii="Calibri" w:hAnsi="Calibri" w:cs="Calibri"/>
          <w:color w:val="auto"/>
          <w:szCs w:val="24"/>
        </w:rPr>
        <w:t xml:space="preserve">Board noted the disparity between the </w:t>
      </w:r>
      <w:r w:rsidR="00DE493C">
        <w:rPr>
          <w:rFonts w:ascii="Calibri" w:hAnsi="Calibri" w:cs="Calibri"/>
          <w:color w:val="auto"/>
          <w:szCs w:val="24"/>
        </w:rPr>
        <w:t xml:space="preserve">cervical spine </w:t>
      </w:r>
      <w:r w:rsidR="00FD00F6">
        <w:rPr>
          <w:rFonts w:ascii="Calibri" w:hAnsi="Calibri" w:cs="Calibri"/>
          <w:color w:val="auto"/>
          <w:szCs w:val="24"/>
        </w:rPr>
        <w:t>ROM exams.  The March 2003</w:t>
      </w:r>
      <w:r w:rsidR="00FD00F6" w:rsidRPr="00FD00F6">
        <w:rPr>
          <w:rFonts w:ascii="Calibri" w:hAnsi="Calibri" w:cs="Calibri"/>
          <w:color w:val="auto"/>
          <w:szCs w:val="24"/>
        </w:rPr>
        <w:t xml:space="preserve"> MEB </w:t>
      </w:r>
      <w:r w:rsidR="00FD00F6">
        <w:rPr>
          <w:rFonts w:ascii="Calibri" w:hAnsi="Calibri" w:cs="Calibri"/>
          <w:color w:val="auto"/>
          <w:szCs w:val="24"/>
        </w:rPr>
        <w:t xml:space="preserve">goniometric </w:t>
      </w:r>
      <w:r w:rsidR="00FD00F6" w:rsidRPr="00FD00F6">
        <w:rPr>
          <w:rFonts w:ascii="Calibri" w:hAnsi="Calibri" w:cs="Calibri"/>
          <w:color w:val="auto"/>
          <w:szCs w:val="24"/>
        </w:rPr>
        <w:t xml:space="preserve">exam </w:t>
      </w:r>
      <w:r w:rsidR="00FD00F6">
        <w:rPr>
          <w:rFonts w:ascii="Calibri" w:hAnsi="Calibri" w:cs="Calibri"/>
          <w:color w:val="auto"/>
          <w:szCs w:val="24"/>
        </w:rPr>
        <w:t>showed</w:t>
      </w:r>
      <w:r w:rsidR="00FD00F6" w:rsidRPr="00FD00F6">
        <w:rPr>
          <w:rFonts w:ascii="Calibri" w:hAnsi="Calibri" w:cs="Calibri"/>
          <w:color w:val="auto"/>
          <w:szCs w:val="24"/>
        </w:rPr>
        <w:t xml:space="preserve"> </w:t>
      </w:r>
      <w:r w:rsidR="00BC3F23">
        <w:rPr>
          <w:rFonts w:ascii="Calibri" w:hAnsi="Calibri" w:cs="Calibri"/>
          <w:color w:val="auto"/>
          <w:szCs w:val="24"/>
        </w:rPr>
        <w:t xml:space="preserve">moderate </w:t>
      </w:r>
      <w:r w:rsidR="00FD00F6" w:rsidRPr="00FD00F6">
        <w:rPr>
          <w:rFonts w:ascii="Calibri" w:hAnsi="Calibri" w:cs="Calibri"/>
          <w:color w:val="auto"/>
          <w:szCs w:val="24"/>
        </w:rPr>
        <w:t xml:space="preserve">limitation of </w:t>
      </w:r>
      <w:r w:rsidR="00FD00F6">
        <w:rPr>
          <w:rFonts w:ascii="Calibri" w:hAnsi="Calibri" w:cs="Calibri"/>
          <w:color w:val="auto"/>
          <w:szCs w:val="24"/>
        </w:rPr>
        <w:t xml:space="preserve">cervical </w:t>
      </w:r>
      <w:r w:rsidR="00BC3F23">
        <w:rPr>
          <w:rFonts w:ascii="Calibri" w:hAnsi="Calibri" w:cs="Calibri"/>
          <w:color w:val="auto"/>
          <w:szCs w:val="24"/>
        </w:rPr>
        <w:t>flexion</w:t>
      </w:r>
      <w:r w:rsidR="00FD00F6" w:rsidRPr="00FD00F6">
        <w:rPr>
          <w:rFonts w:ascii="Calibri" w:hAnsi="Calibri" w:cs="Calibri"/>
          <w:color w:val="auto"/>
          <w:szCs w:val="24"/>
        </w:rPr>
        <w:t xml:space="preserve">.  </w:t>
      </w:r>
      <w:r w:rsidR="00B3701A">
        <w:rPr>
          <w:rFonts w:ascii="Calibri" w:hAnsi="Calibri" w:cs="Calibri"/>
          <w:color w:val="auto"/>
          <w:szCs w:val="24"/>
        </w:rPr>
        <w:t>Six</w:t>
      </w:r>
      <w:r w:rsidR="00FD00F6" w:rsidRPr="00FD00F6">
        <w:rPr>
          <w:rFonts w:ascii="Calibri" w:hAnsi="Calibri" w:cs="Calibri"/>
          <w:color w:val="auto"/>
          <w:szCs w:val="24"/>
        </w:rPr>
        <w:t xml:space="preserve"> months later, the VA C&amp;P exam</w:t>
      </w:r>
      <w:r w:rsidR="00B3701A">
        <w:rPr>
          <w:rFonts w:ascii="Calibri" w:hAnsi="Calibri" w:cs="Calibri"/>
          <w:color w:val="auto"/>
          <w:szCs w:val="24"/>
        </w:rPr>
        <w:t>s</w:t>
      </w:r>
      <w:r w:rsidR="00FD00F6" w:rsidRPr="00FD00F6">
        <w:rPr>
          <w:rFonts w:ascii="Calibri" w:hAnsi="Calibri" w:cs="Calibri"/>
          <w:color w:val="auto"/>
          <w:szCs w:val="24"/>
        </w:rPr>
        <w:t xml:space="preserve"> </w:t>
      </w:r>
      <w:r w:rsidR="00DE493C">
        <w:rPr>
          <w:rFonts w:ascii="Calibri" w:hAnsi="Calibri" w:cs="Calibri"/>
          <w:color w:val="auto"/>
          <w:szCs w:val="24"/>
        </w:rPr>
        <w:t>showed</w:t>
      </w:r>
      <w:r w:rsidR="00FD00F6" w:rsidRPr="00FD00F6">
        <w:rPr>
          <w:rFonts w:ascii="Calibri" w:hAnsi="Calibri" w:cs="Calibri"/>
          <w:color w:val="auto"/>
          <w:szCs w:val="24"/>
        </w:rPr>
        <w:t xml:space="preserve"> </w:t>
      </w:r>
      <w:r w:rsidR="00B3701A">
        <w:rPr>
          <w:rFonts w:ascii="Calibri" w:hAnsi="Calibri" w:cs="Calibri"/>
          <w:color w:val="auto"/>
          <w:szCs w:val="24"/>
        </w:rPr>
        <w:t xml:space="preserve">much improved cervical </w:t>
      </w:r>
      <w:r w:rsidR="00FD00F6" w:rsidRPr="00FD00F6">
        <w:rPr>
          <w:rFonts w:ascii="Calibri" w:hAnsi="Calibri" w:cs="Calibri"/>
          <w:color w:val="auto"/>
          <w:szCs w:val="24"/>
        </w:rPr>
        <w:t>ROM</w:t>
      </w:r>
      <w:r w:rsidR="00B3701A">
        <w:rPr>
          <w:rFonts w:ascii="Calibri" w:hAnsi="Calibri" w:cs="Calibri"/>
          <w:color w:val="auto"/>
          <w:szCs w:val="24"/>
        </w:rPr>
        <w:t xml:space="preserve">.  Forward flexion was normal, </w:t>
      </w:r>
      <w:r w:rsidR="00BC3F23">
        <w:rPr>
          <w:rFonts w:ascii="Calibri" w:hAnsi="Calibri" w:cs="Calibri"/>
          <w:color w:val="auto"/>
          <w:szCs w:val="24"/>
        </w:rPr>
        <w:t xml:space="preserve">without any limitation.  It is clear from the evidence in the treatment record that the CI’s neck ROM improved dramatically during the six months from March to September 2003.  The Board determined that the VA C&amp;P exams performed in September 2003 had greater probative value.  Both </w:t>
      </w:r>
      <w:r w:rsidR="00834736">
        <w:rPr>
          <w:rFonts w:ascii="Calibri" w:hAnsi="Calibri" w:cs="Calibri"/>
          <w:color w:val="auto"/>
          <w:szCs w:val="24"/>
        </w:rPr>
        <w:t xml:space="preserve">of the September 2003 </w:t>
      </w:r>
      <w:r w:rsidR="00BC3F23">
        <w:rPr>
          <w:rFonts w:ascii="Calibri" w:hAnsi="Calibri" w:cs="Calibri"/>
          <w:color w:val="auto"/>
          <w:szCs w:val="24"/>
        </w:rPr>
        <w:t xml:space="preserve">C&amp;P neck exams were thorough, were performed by specialists, and were closer </w:t>
      </w:r>
      <w:r w:rsidR="00834736">
        <w:rPr>
          <w:rFonts w:ascii="Calibri" w:hAnsi="Calibri" w:cs="Calibri"/>
          <w:color w:val="auto"/>
          <w:szCs w:val="24"/>
        </w:rPr>
        <w:t>in temporal pro</w:t>
      </w:r>
      <w:r w:rsidR="00B73120">
        <w:rPr>
          <w:rFonts w:ascii="Calibri" w:hAnsi="Calibri" w:cs="Calibri"/>
          <w:color w:val="auto"/>
          <w:szCs w:val="24"/>
        </w:rPr>
        <w:t xml:space="preserve">ximity </w:t>
      </w:r>
      <w:r w:rsidR="00834736">
        <w:rPr>
          <w:rFonts w:ascii="Calibri" w:hAnsi="Calibri" w:cs="Calibri"/>
          <w:color w:val="auto"/>
          <w:szCs w:val="24"/>
        </w:rPr>
        <w:t>to the</w:t>
      </w:r>
      <w:r w:rsidR="00B73120">
        <w:rPr>
          <w:rFonts w:ascii="Calibri" w:hAnsi="Calibri" w:cs="Calibri"/>
          <w:color w:val="auto"/>
          <w:szCs w:val="24"/>
        </w:rPr>
        <w:t xml:space="preserve"> actual date of separation, than the MEB exam.</w:t>
      </w:r>
      <w:r w:rsidR="00834736">
        <w:rPr>
          <w:rFonts w:ascii="Calibri" w:hAnsi="Calibri" w:cs="Calibri"/>
          <w:color w:val="auto"/>
          <w:szCs w:val="24"/>
        </w:rPr>
        <w:t xml:space="preserve"> </w:t>
      </w:r>
      <w:r w:rsidR="00BC3F23">
        <w:rPr>
          <w:rFonts w:ascii="Calibri" w:hAnsi="Calibri" w:cs="Calibri"/>
          <w:color w:val="auto"/>
          <w:szCs w:val="24"/>
        </w:rPr>
        <w:t xml:space="preserve">  </w:t>
      </w:r>
      <w:r w:rsidR="00FD00F6" w:rsidRPr="00FD00F6">
        <w:rPr>
          <w:rFonts w:ascii="Calibri" w:hAnsi="Calibri" w:cs="Calibri"/>
          <w:color w:val="auto"/>
          <w:szCs w:val="24"/>
        </w:rPr>
        <w:t xml:space="preserve">   </w:t>
      </w:r>
    </w:p>
    <w:p w:rsidR="00B3701A" w:rsidRDefault="00B3701A" w:rsidP="00FD00F6">
      <w:pPr>
        <w:tabs>
          <w:tab w:val="left" w:pos="288"/>
          <w:tab w:val="left" w:pos="4752"/>
        </w:tabs>
        <w:spacing w:line="240" w:lineRule="exact"/>
        <w:jc w:val="both"/>
        <w:rPr>
          <w:rFonts w:ascii="Calibri" w:hAnsi="Calibri" w:cs="Calibri"/>
          <w:color w:val="auto"/>
          <w:szCs w:val="24"/>
        </w:rPr>
      </w:pPr>
    </w:p>
    <w:p w:rsidR="00FD00F6" w:rsidRPr="00AD6D98" w:rsidRDefault="00FD00F6" w:rsidP="00FD00F6">
      <w:pPr>
        <w:tabs>
          <w:tab w:val="left" w:pos="288"/>
          <w:tab w:val="left" w:pos="4752"/>
        </w:tabs>
        <w:spacing w:line="240" w:lineRule="exact"/>
        <w:jc w:val="both"/>
        <w:rPr>
          <w:rFonts w:ascii="Calibri" w:hAnsi="Calibri" w:cs="Calibri"/>
          <w:color w:val="auto"/>
          <w:szCs w:val="24"/>
        </w:rPr>
      </w:pPr>
      <w:r w:rsidRPr="00FD00F6">
        <w:rPr>
          <w:rFonts w:ascii="Calibri" w:hAnsi="Calibri" w:cs="Calibri"/>
          <w:color w:val="auto"/>
          <w:szCs w:val="24"/>
        </w:rPr>
        <w:t xml:space="preserve">The Army PEB and the VA chose different coding options for the </w:t>
      </w:r>
      <w:r w:rsidR="00DE493C">
        <w:rPr>
          <w:rFonts w:ascii="Calibri" w:hAnsi="Calibri" w:cs="Calibri"/>
          <w:color w:val="auto"/>
          <w:szCs w:val="24"/>
        </w:rPr>
        <w:t>neck</w:t>
      </w:r>
      <w:r w:rsidR="00E5235C">
        <w:rPr>
          <w:rFonts w:ascii="Calibri" w:hAnsi="Calibri" w:cs="Calibri"/>
          <w:color w:val="auto"/>
          <w:szCs w:val="24"/>
        </w:rPr>
        <w:t xml:space="preserve"> </w:t>
      </w:r>
      <w:r w:rsidRPr="00FD00F6">
        <w:rPr>
          <w:rFonts w:ascii="Calibri" w:hAnsi="Calibri" w:cs="Calibri"/>
          <w:color w:val="auto"/>
          <w:szCs w:val="24"/>
        </w:rPr>
        <w:t>condition</w:t>
      </w:r>
      <w:r w:rsidR="00E5235C">
        <w:rPr>
          <w:rFonts w:ascii="Calibri" w:hAnsi="Calibri" w:cs="Calibri"/>
          <w:color w:val="auto"/>
          <w:szCs w:val="24"/>
        </w:rPr>
        <w:t>.</w:t>
      </w:r>
      <w:r w:rsidRPr="00FD00F6">
        <w:rPr>
          <w:rFonts w:ascii="Calibri" w:hAnsi="Calibri" w:cs="Calibri"/>
          <w:color w:val="auto"/>
          <w:szCs w:val="24"/>
        </w:rPr>
        <w:t xml:space="preserve">  </w:t>
      </w:r>
      <w:r w:rsidR="00E5235C">
        <w:rPr>
          <w:rFonts w:ascii="Calibri" w:hAnsi="Calibri" w:cs="Calibri"/>
          <w:color w:val="auto"/>
          <w:szCs w:val="24"/>
        </w:rPr>
        <w:t>As elaborated above, t</w:t>
      </w:r>
      <w:r w:rsidRPr="00FD00F6">
        <w:rPr>
          <w:rFonts w:ascii="Calibri" w:hAnsi="Calibri" w:cs="Calibri"/>
          <w:color w:val="auto"/>
          <w:szCs w:val="24"/>
        </w:rPr>
        <w:t xml:space="preserve">he Board determined that there was insufficient evidence of significant thoracodorsal spine impairment to justify rating the thoracic spine separately, under code 5291.  The treatment record also contained insufficient evidence to support a higher rating using code 5293 (intervertebral disc syndrome).  </w:t>
      </w:r>
      <w:r w:rsidR="002E5EC9">
        <w:rPr>
          <w:rFonts w:ascii="Calibri" w:hAnsi="Calibri" w:cs="Calibri"/>
          <w:color w:val="auto"/>
          <w:szCs w:val="24"/>
        </w:rPr>
        <w:t xml:space="preserve">The Board also determined that his radicular symptoms were </w:t>
      </w:r>
      <w:r w:rsidR="00B43CFA">
        <w:rPr>
          <w:rFonts w:ascii="Calibri" w:hAnsi="Calibri" w:cs="Calibri"/>
          <w:color w:val="auto"/>
          <w:szCs w:val="24"/>
        </w:rPr>
        <w:t xml:space="preserve">primarily </w:t>
      </w:r>
      <w:r w:rsidR="002E5EC9">
        <w:rPr>
          <w:rFonts w:ascii="Calibri" w:hAnsi="Calibri" w:cs="Calibri"/>
          <w:color w:val="auto"/>
          <w:szCs w:val="24"/>
        </w:rPr>
        <w:t xml:space="preserve">subjective, and there was insufficient </w:t>
      </w:r>
      <w:r w:rsidR="00B43CFA">
        <w:rPr>
          <w:rFonts w:ascii="Calibri" w:hAnsi="Calibri" w:cs="Calibri"/>
          <w:color w:val="auto"/>
          <w:szCs w:val="24"/>
        </w:rPr>
        <w:t xml:space="preserve">objective </w:t>
      </w:r>
      <w:r w:rsidR="000F2C15">
        <w:rPr>
          <w:rFonts w:ascii="Calibri" w:hAnsi="Calibri" w:cs="Calibri"/>
          <w:color w:val="auto"/>
          <w:szCs w:val="24"/>
        </w:rPr>
        <w:t xml:space="preserve">evidence of an </w:t>
      </w:r>
      <w:r w:rsidR="002E5EC9">
        <w:rPr>
          <w:rFonts w:ascii="Calibri" w:hAnsi="Calibri" w:cs="Calibri"/>
          <w:color w:val="auto"/>
          <w:szCs w:val="24"/>
        </w:rPr>
        <w:t xml:space="preserve">unfitting, ratable peripheral nerve impairment.  </w:t>
      </w:r>
      <w:r w:rsidRPr="00FD00F6">
        <w:rPr>
          <w:rFonts w:ascii="Calibri" w:hAnsi="Calibri" w:cs="Calibri"/>
          <w:color w:val="auto"/>
          <w:szCs w:val="24"/>
        </w:rPr>
        <w:t xml:space="preserve">After due deliberation, consideration of all the evidence, and </w:t>
      </w:r>
      <w:r w:rsidRPr="00FD00F6">
        <w:rPr>
          <w:rFonts w:ascii="Calibri" w:hAnsi="Calibri" w:cs="Calibri"/>
          <w:color w:val="auto"/>
          <w:szCs w:val="24"/>
        </w:rPr>
        <w:lastRenderedPageBreak/>
        <w:t>mindful of VASRD §4.3 (</w:t>
      </w:r>
      <w:r w:rsidR="00C24F59">
        <w:rPr>
          <w:rFonts w:ascii="Calibri" w:hAnsi="Calibri" w:cs="Calibri"/>
          <w:color w:val="auto"/>
          <w:szCs w:val="24"/>
        </w:rPr>
        <w:t>r</w:t>
      </w:r>
      <w:r w:rsidRPr="00FD00F6">
        <w:rPr>
          <w:rFonts w:ascii="Calibri" w:hAnsi="Calibri" w:cs="Calibri"/>
          <w:color w:val="auto"/>
          <w:szCs w:val="24"/>
        </w:rPr>
        <w:t xml:space="preserve">easonable doubt), the Board unanimously recommends a rating of 10% for the </w:t>
      </w:r>
      <w:r w:rsidR="00AD6D98">
        <w:rPr>
          <w:rFonts w:ascii="Calibri" w:hAnsi="Calibri" w:cs="Calibri"/>
          <w:color w:val="auto"/>
          <w:szCs w:val="24"/>
        </w:rPr>
        <w:t xml:space="preserve">cervical spine </w:t>
      </w:r>
      <w:r w:rsidRPr="00FD00F6">
        <w:rPr>
          <w:rFonts w:ascii="Calibri" w:hAnsi="Calibri" w:cs="Calibri"/>
          <w:color w:val="auto"/>
          <w:szCs w:val="24"/>
        </w:rPr>
        <w:t>condition, based on VASRD §4.40 (</w:t>
      </w:r>
      <w:r w:rsidR="00C24F59">
        <w:rPr>
          <w:rFonts w:ascii="Calibri" w:hAnsi="Calibri" w:cs="Calibri"/>
          <w:color w:val="auto"/>
          <w:szCs w:val="24"/>
        </w:rPr>
        <w:t>f</w:t>
      </w:r>
      <w:r w:rsidRPr="00FD00F6">
        <w:rPr>
          <w:rFonts w:ascii="Calibri" w:hAnsi="Calibri" w:cs="Calibri"/>
          <w:color w:val="auto"/>
          <w:szCs w:val="24"/>
        </w:rPr>
        <w:t>unctional loss), §4.59 (</w:t>
      </w:r>
      <w:r w:rsidR="00C24F59">
        <w:rPr>
          <w:rFonts w:ascii="Calibri" w:hAnsi="Calibri" w:cs="Calibri"/>
          <w:color w:val="auto"/>
          <w:szCs w:val="24"/>
        </w:rPr>
        <w:t>p</w:t>
      </w:r>
      <w:r w:rsidRPr="00FD00F6">
        <w:rPr>
          <w:rFonts w:ascii="Calibri" w:hAnsi="Calibri" w:cs="Calibri"/>
          <w:color w:val="auto"/>
          <w:szCs w:val="24"/>
        </w:rPr>
        <w:t>ainful motion), and §4.71a (</w:t>
      </w:r>
      <w:r w:rsidR="00C24F59">
        <w:rPr>
          <w:rFonts w:ascii="Calibri" w:hAnsi="Calibri" w:cs="Calibri"/>
          <w:color w:val="auto"/>
          <w:szCs w:val="24"/>
        </w:rPr>
        <w:t>m</w:t>
      </w:r>
      <w:r w:rsidRPr="00FD00F6">
        <w:rPr>
          <w:rFonts w:ascii="Calibri" w:hAnsi="Calibri" w:cs="Calibri"/>
          <w:color w:val="auto"/>
          <w:szCs w:val="24"/>
        </w:rPr>
        <w:t>usculoskeleta</w:t>
      </w:r>
      <w:r w:rsidR="00A368FC">
        <w:rPr>
          <w:rFonts w:ascii="Calibri" w:hAnsi="Calibri" w:cs="Calibri"/>
          <w:color w:val="auto"/>
          <w:szCs w:val="24"/>
        </w:rPr>
        <w:t xml:space="preserve">l system). </w:t>
      </w:r>
    </w:p>
    <w:p w:rsidR="00FD00F6" w:rsidRPr="00C5692E" w:rsidRDefault="00FD00F6" w:rsidP="00FD00F6">
      <w:pPr>
        <w:tabs>
          <w:tab w:val="left" w:pos="288"/>
          <w:tab w:val="left" w:pos="4752"/>
        </w:tabs>
        <w:spacing w:line="240" w:lineRule="exact"/>
        <w:jc w:val="both"/>
        <w:rPr>
          <w:rFonts w:asciiTheme="minorHAnsi" w:hAnsiTheme="minorHAnsi"/>
          <w:color w:val="auto"/>
          <w:szCs w:val="24"/>
        </w:rPr>
      </w:pPr>
    </w:p>
    <w:p w:rsidR="00737283" w:rsidRDefault="00737283" w:rsidP="001B7F7A">
      <w:pPr>
        <w:spacing w:line="240" w:lineRule="exact"/>
        <w:jc w:val="both"/>
        <w:rPr>
          <w:rFonts w:asciiTheme="minorHAnsi" w:eastAsia="HiddenHorzOCR" w:hAnsiTheme="minorHAnsi"/>
          <w:color w:val="auto"/>
          <w:szCs w:val="24"/>
        </w:rPr>
      </w:pPr>
      <w:r w:rsidRPr="00737283">
        <w:rPr>
          <w:rFonts w:asciiTheme="minorHAnsi" w:eastAsia="HiddenHorzOCR" w:hAnsiTheme="minorHAnsi"/>
          <w:color w:val="auto"/>
          <w:szCs w:val="24"/>
          <w:u w:val="single"/>
        </w:rPr>
        <w:t xml:space="preserve">Other </w:t>
      </w:r>
      <w:r w:rsidR="001C769B">
        <w:rPr>
          <w:rFonts w:asciiTheme="minorHAnsi" w:eastAsia="HiddenHorzOCR" w:hAnsiTheme="minorHAnsi"/>
          <w:color w:val="auto"/>
          <w:szCs w:val="24"/>
          <w:u w:val="single"/>
        </w:rPr>
        <w:t>MEB</w:t>
      </w:r>
      <w:r w:rsidR="00A6427F" w:rsidRPr="00737283">
        <w:rPr>
          <w:rFonts w:asciiTheme="minorHAnsi" w:eastAsia="HiddenHorzOCR" w:hAnsiTheme="minorHAnsi"/>
          <w:color w:val="auto"/>
          <w:szCs w:val="24"/>
          <w:u w:val="single"/>
        </w:rPr>
        <w:t xml:space="preserve"> Conditions</w:t>
      </w:r>
      <w:r w:rsidR="003E4423">
        <w:rPr>
          <w:rFonts w:asciiTheme="minorHAnsi" w:eastAsia="HiddenHorzOCR" w:hAnsiTheme="minorHAnsi"/>
          <w:color w:val="auto"/>
          <w:szCs w:val="24"/>
        </w:rPr>
        <w:t>.</w:t>
      </w:r>
      <w:r w:rsidR="00C56D89">
        <w:rPr>
          <w:rFonts w:asciiTheme="minorHAnsi" w:eastAsia="HiddenHorzOCR" w:hAnsiTheme="minorHAnsi"/>
          <w:color w:val="auto"/>
          <w:szCs w:val="24"/>
        </w:rPr>
        <w:t xml:space="preserve">  </w:t>
      </w:r>
      <w:r w:rsidR="0092601D">
        <w:rPr>
          <w:rFonts w:asciiTheme="minorHAnsi" w:eastAsia="HiddenHorzOCR" w:hAnsiTheme="minorHAnsi"/>
          <w:color w:val="auto"/>
          <w:szCs w:val="24"/>
        </w:rPr>
        <w:t>T</w:t>
      </w:r>
      <w:r w:rsidR="00900FF3">
        <w:rPr>
          <w:rFonts w:asciiTheme="minorHAnsi" w:eastAsia="HiddenHorzOCR" w:hAnsiTheme="minorHAnsi"/>
          <w:color w:val="auto"/>
          <w:szCs w:val="24"/>
        </w:rPr>
        <w:t>he other t</w:t>
      </w:r>
      <w:r w:rsidR="001C769B">
        <w:rPr>
          <w:rFonts w:asciiTheme="minorHAnsi" w:eastAsia="HiddenHorzOCR" w:hAnsiTheme="minorHAnsi"/>
          <w:color w:val="auto"/>
          <w:szCs w:val="24"/>
        </w:rPr>
        <w:t>wo</w:t>
      </w:r>
      <w:r w:rsidR="0092601D">
        <w:rPr>
          <w:rFonts w:asciiTheme="minorHAnsi" w:eastAsia="HiddenHorzOCR" w:hAnsiTheme="minorHAnsi"/>
          <w:color w:val="auto"/>
          <w:szCs w:val="24"/>
        </w:rPr>
        <w:t xml:space="preserve"> </w:t>
      </w:r>
      <w:r w:rsidR="001C769B">
        <w:rPr>
          <w:rFonts w:asciiTheme="minorHAnsi" w:eastAsia="HiddenHorzOCR" w:hAnsiTheme="minorHAnsi"/>
          <w:color w:val="auto"/>
          <w:szCs w:val="24"/>
        </w:rPr>
        <w:t xml:space="preserve">MEB </w:t>
      </w:r>
      <w:r w:rsidR="0092601D">
        <w:rPr>
          <w:rFonts w:asciiTheme="minorHAnsi" w:eastAsia="HiddenHorzOCR" w:hAnsiTheme="minorHAnsi"/>
          <w:color w:val="auto"/>
          <w:szCs w:val="24"/>
        </w:rPr>
        <w:t>condition</w:t>
      </w:r>
      <w:r w:rsidR="001C769B">
        <w:rPr>
          <w:rFonts w:asciiTheme="minorHAnsi" w:eastAsia="HiddenHorzOCR" w:hAnsiTheme="minorHAnsi"/>
          <w:color w:val="auto"/>
          <w:szCs w:val="24"/>
        </w:rPr>
        <w:t xml:space="preserve">s (migraine headache, and </w:t>
      </w:r>
      <w:r w:rsidR="001B7F7A">
        <w:rPr>
          <w:rFonts w:asciiTheme="minorHAnsi" w:eastAsia="HiddenHorzOCR" w:hAnsiTheme="minorHAnsi"/>
          <w:color w:val="auto"/>
          <w:szCs w:val="24"/>
        </w:rPr>
        <w:t>testicular</w:t>
      </w:r>
      <w:r w:rsidR="0092601D">
        <w:rPr>
          <w:rFonts w:asciiTheme="minorHAnsi" w:eastAsia="HiddenHorzOCR" w:hAnsiTheme="minorHAnsi"/>
          <w:color w:val="auto"/>
          <w:szCs w:val="24"/>
        </w:rPr>
        <w:t xml:space="preserve"> pain with erectile dysfunction</w:t>
      </w:r>
      <w:r w:rsidR="001C769B">
        <w:rPr>
          <w:rFonts w:asciiTheme="minorHAnsi" w:eastAsia="HiddenHorzOCR" w:hAnsiTheme="minorHAnsi"/>
          <w:color w:val="auto"/>
          <w:szCs w:val="24"/>
        </w:rPr>
        <w:t xml:space="preserve">) were </w:t>
      </w:r>
      <w:r w:rsidR="004F681C" w:rsidRPr="00737283">
        <w:rPr>
          <w:rFonts w:asciiTheme="minorHAnsi" w:eastAsia="HiddenHorzOCR" w:hAnsiTheme="minorHAnsi"/>
          <w:color w:val="auto"/>
          <w:szCs w:val="24"/>
        </w:rPr>
        <w:t xml:space="preserve">reviewed by the action officer and considered by the Board. </w:t>
      </w:r>
      <w:r w:rsidR="004F681C">
        <w:rPr>
          <w:rFonts w:asciiTheme="minorHAnsi" w:eastAsia="HiddenHorzOCR" w:hAnsiTheme="minorHAnsi"/>
          <w:color w:val="auto"/>
          <w:szCs w:val="24"/>
        </w:rPr>
        <w:t xml:space="preserve"> </w:t>
      </w:r>
      <w:r w:rsidR="0092601D">
        <w:rPr>
          <w:rFonts w:asciiTheme="minorHAnsi" w:eastAsia="HiddenHorzOCR" w:hAnsiTheme="minorHAnsi"/>
          <w:color w:val="auto"/>
          <w:szCs w:val="24"/>
        </w:rPr>
        <w:t xml:space="preserve">There </w:t>
      </w:r>
      <w:r w:rsidR="001C769B">
        <w:rPr>
          <w:rFonts w:asciiTheme="minorHAnsi" w:eastAsia="HiddenHorzOCR" w:hAnsiTheme="minorHAnsi"/>
          <w:color w:val="auto"/>
          <w:szCs w:val="24"/>
        </w:rPr>
        <w:t xml:space="preserve">was insufficient evidence in </w:t>
      </w:r>
      <w:r w:rsidR="0092601D">
        <w:rPr>
          <w:rFonts w:asciiTheme="minorHAnsi" w:eastAsia="HiddenHorzOCR" w:hAnsiTheme="minorHAnsi"/>
          <w:color w:val="auto"/>
          <w:szCs w:val="24"/>
        </w:rPr>
        <w:t>the record that th</w:t>
      </w:r>
      <w:r w:rsidR="001C769B">
        <w:rPr>
          <w:rFonts w:asciiTheme="minorHAnsi" w:eastAsia="HiddenHorzOCR" w:hAnsiTheme="minorHAnsi"/>
          <w:color w:val="auto"/>
          <w:szCs w:val="24"/>
        </w:rPr>
        <w:t>ese</w:t>
      </w:r>
      <w:r w:rsidR="0092601D">
        <w:rPr>
          <w:rFonts w:asciiTheme="minorHAnsi" w:eastAsia="HiddenHorzOCR" w:hAnsiTheme="minorHAnsi"/>
          <w:color w:val="auto"/>
          <w:szCs w:val="24"/>
        </w:rPr>
        <w:t xml:space="preserve"> condition</w:t>
      </w:r>
      <w:r w:rsidR="001C769B">
        <w:rPr>
          <w:rFonts w:asciiTheme="minorHAnsi" w:eastAsia="HiddenHorzOCR" w:hAnsiTheme="minorHAnsi"/>
          <w:color w:val="auto"/>
          <w:szCs w:val="24"/>
        </w:rPr>
        <w:t>s</w:t>
      </w:r>
      <w:r w:rsidR="0092601D">
        <w:rPr>
          <w:rFonts w:asciiTheme="minorHAnsi" w:eastAsia="HiddenHorzOCR" w:hAnsiTheme="minorHAnsi"/>
          <w:color w:val="auto"/>
          <w:szCs w:val="24"/>
        </w:rPr>
        <w:t xml:space="preserve"> significantly</w:t>
      </w:r>
      <w:r w:rsidR="004F681C">
        <w:rPr>
          <w:rFonts w:asciiTheme="minorHAnsi" w:eastAsia="HiddenHorzOCR" w:hAnsiTheme="minorHAnsi"/>
          <w:color w:val="auto"/>
          <w:szCs w:val="24"/>
        </w:rPr>
        <w:t xml:space="preserve"> interfered with satisfactory performance of </w:t>
      </w:r>
      <w:r w:rsidR="00900FF3">
        <w:rPr>
          <w:rFonts w:asciiTheme="minorHAnsi" w:eastAsia="HiddenHorzOCR" w:hAnsiTheme="minorHAnsi"/>
          <w:color w:val="auto"/>
          <w:szCs w:val="24"/>
        </w:rPr>
        <w:t>military duties</w:t>
      </w:r>
      <w:r w:rsidR="004F681C">
        <w:rPr>
          <w:rFonts w:asciiTheme="minorHAnsi" w:eastAsia="HiddenHorzOCR" w:hAnsiTheme="minorHAnsi"/>
          <w:color w:val="auto"/>
          <w:szCs w:val="24"/>
        </w:rPr>
        <w:t xml:space="preserve">.  </w:t>
      </w:r>
      <w:r w:rsidRPr="00737283">
        <w:rPr>
          <w:rFonts w:asciiTheme="minorHAnsi" w:eastAsia="HiddenHorzOCR" w:hAnsiTheme="minorHAnsi"/>
          <w:color w:val="auto"/>
          <w:szCs w:val="24"/>
        </w:rPr>
        <w:t>All evidence considered, there is not reasonable doubt in the CI’s favor supporting re</w:t>
      </w:r>
      <w:r w:rsidR="00900FF3">
        <w:rPr>
          <w:rFonts w:asciiTheme="minorHAnsi" w:eastAsia="HiddenHorzOCR" w:hAnsiTheme="minorHAnsi"/>
          <w:color w:val="auto"/>
          <w:szCs w:val="24"/>
        </w:rPr>
        <w:t>versal</w:t>
      </w:r>
      <w:r w:rsidRPr="00737283">
        <w:rPr>
          <w:rFonts w:asciiTheme="minorHAnsi" w:eastAsia="HiddenHorzOCR" w:hAnsiTheme="minorHAnsi"/>
          <w:color w:val="auto"/>
          <w:szCs w:val="24"/>
        </w:rPr>
        <w:t xml:space="preserve"> of the PEB </w:t>
      </w:r>
      <w:r w:rsidR="004F681C">
        <w:rPr>
          <w:rFonts w:asciiTheme="minorHAnsi" w:eastAsia="HiddenHorzOCR" w:hAnsiTheme="minorHAnsi"/>
          <w:color w:val="auto"/>
          <w:szCs w:val="24"/>
        </w:rPr>
        <w:t xml:space="preserve">adjudication </w:t>
      </w:r>
      <w:r w:rsidR="00900FF3">
        <w:rPr>
          <w:rFonts w:asciiTheme="minorHAnsi" w:eastAsia="HiddenHorzOCR" w:hAnsiTheme="minorHAnsi"/>
          <w:color w:val="auto"/>
          <w:szCs w:val="24"/>
        </w:rPr>
        <w:t>of these two</w:t>
      </w:r>
      <w:r w:rsidR="004F681C">
        <w:rPr>
          <w:rFonts w:asciiTheme="minorHAnsi" w:eastAsia="HiddenHorzOCR" w:hAnsiTheme="minorHAnsi"/>
          <w:color w:val="auto"/>
          <w:szCs w:val="24"/>
        </w:rPr>
        <w:t xml:space="preserve"> condition</w:t>
      </w:r>
      <w:r w:rsidR="00900FF3">
        <w:rPr>
          <w:rFonts w:asciiTheme="minorHAnsi" w:eastAsia="HiddenHorzOCR" w:hAnsiTheme="minorHAnsi"/>
          <w:color w:val="auto"/>
          <w:szCs w:val="24"/>
        </w:rPr>
        <w:t>s</w:t>
      </w:r>
      <w:r w:rsidRPr="00737283">
        <w:rPr>
          <w:rFonts w:asciiTheme="minorHAnsi" w:eastAsia="HiddenHorzOCR" w:hAnsiTheme="minorHAnsi"/>
          <w:color w:val="auto"/>
          <w:szCs w:val="24"/>
        </w:rPr>
        <w:t>.</w:t>
      </w:r>
    </w:p>
    <w:p w:rsidR="00737283" w:rsidRDefault="00737283" w:rsidP="001B7F7A">
      <w:pPr>
        <w:spacing w:line="240" w:lineRule="exact"/>
        <w:jc w:val="both"/>
        <w:rPr>
          <w:rFonts w:asciiTheme="minorHAnsi" w:eastAsia="HiddenHorzOCR" w:hAnsiTheme="minorHAnsi"/>
          <w:color w:val="auto"/>
          <w:szCs w:val="24"/>
        </w:rPr>
      </w:pPr>
    </w:p>
    <w:p w:rsidR="00737283" w:rsidRDefault="00737283" w:rsidP="001B7F7A">
      <w:pPr>
        <w:tabs>
          <w:tab w:val="left" w:pos="288"/>
          <w:tab w:val="left" w:pos="4752"/>
        </w:tabs>
        <w:spacing w:line="240" w:lineRule="exact"/>
        <w:jc w:val="both"/>
        <w:rPr>
          <w:rFonts w:asciiTheme="minorHAnsi" w:hAnsiTheme="minorHAnsi"/>
          <w:color w:val="auto"/>
          <w:szCs w:val="24"/>
        </w:rPr>
      </w:pPr>
      <w:r w:rsidRPr="00737283">
        <w:rPr>
          <w:rFonts w:asciiTheme="minorHAnsi" w:hAnsiTheme="minorHAnsi"/>
          <w:color w:val="auto"/>
          <w:szCs w:val="24"/>
          <w:u w:val="single"/>
        </w:rPr>
        <w:t>Remaining Conditions</w:t>
      </w:r>
      <w:r w:rsidR="003E4423">
        <w:rPr>
          <w:rFonts w:asciiTheme="minorHAnsi" w:hAnsiTheme="minorHAnsi"/>
          <w:color w:val="auto"/>
          <w:szCs w:val="24"/>
        </w:rPr>
        <w:t>.</w:t>
      </w:r>
      <w:r w:rsidR="00C56D89">
        <w:rPr>
          <w:rFonts w:asciiTheme="minorHAnsi" w:hAnsiTheme="minorHAnsi"/>
          <w:color w:val="auto"/>
          <w:szCs w:val="24"/>
        </w:rPr>
        <w:t xml:space="preserve"> </w:t>
      </w:r>
      <w:r w:rsidRPr="00737283">
        <w:rPr>
          <w:rFonts w:asciiTheme="minorHAnsi" w:hAnsiTheme="minorHAnsi"/>
          <w:color w:val="auto"/>
          <w:szCs w:val="24"/>
        </w:rPr>
        <w:t xml:space="preserve"> </w:t>
      </w:r>
      <w:r w:rsidR="001943C2">
        <w:rPr>
          <w:rFonts w:asciiTheme="minorHAnsi" w:hAnsiTheme="minorHAnsi"/>
          <w:color w:val="auto"/>
          <w:szCs w:val="24"/>
        </w:rPr>
        <w:t>Bronchitis, sinusitis, high blood pressure, low back pain</w:t>
      </w:r>
      <w:r w:rsidR="00900FF3">
        <w:rPr>
          <w:rFonts w:asciiTheme="minorHAnsi" w:hAnsiTheme="minorHAnsi"/>
          <w:color w:val="auto"/>
          <w:szCs w:val="24"/>
        </w:rPr>
        <w:t xml:space="preserve"> (LBP)</w:t>
      </w:r>
      <w:r w:rsidR="001943C2">
        <w:rPr>
          <w:rFonts w:asciiTheme="minorHAnsi" w:hAnsiTheme="minorHAnsi"/>
          <w:color w:val="auto"/>
          <w:szCs w:val="24"/>
        </w:rPr>
        <w:t xml:space="preserve">, left shoulder pain and several other conditions were noted in the DES file.  </w:t>
      </w:r>
      <w:r w:rsidR="001943C2" w:rsidRPr="00737283">
        <w:rPr>
          <w:rFonts w:asciiTheme="minorHAnsi" w:hAnsiTheme="minorHAnsi"/>
          <w:color w:val="auto"/>
          <w:szCs w:val="24"/>
        </w:rPr>
        <w:t>These conditions were reviewed by the action officer and considered by the Board.  It was determined that none could be argued as unfitting and</w:t>
      </w:r>
      <w:r w:rsidR="001943C2">
        <w:rPr>
          <w:rFonts w:asciiTheme="minorHAnsi" w:hAnsiTheme="minorHAnsi"/>
          <w:color w:val="auto"/>
          <w:szCs w:val="24"/>
        </w:rPr>
        <w:t xml:space="preserve"> subject to separation rating.  </w:t>
      </w:r>
      <w:r w:rsidR="001943C2" w:rsidRPr="00737283">
        <w:rPr>
          <w:rFonts w:asciiTheme="minorHAnsi" w:hAnsiTheme="minorHAnsi"/>
          <w:color w:val="auto"/>
          <w:szCs w:val="24"/>
        </w:rPr>
        <w:t>The Board, therefore, has no reasonable basis for recommending any additional unfitting conditions for separation rating.</w:t>
      </w:r>
    </w:p>
    <w:p w:rsidR="000B0995" w:rsidRPr="00CD5BD7" w:rsidRDefault="000B0995" w:rsidP="001B7F7A">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B7F7A">
      <w:pPr>
        <w:tabs>
          <w:tab w:val="left" w:pos="288"/>
          <w:tab w:val="left" w:pos="4752"/>
        </w:tabs>
        <w:spacing w:line="240" w:lineRule="exact"/>
        <w:rPr>
          <w:rFonts w:ascii="Calibri" w:hAnsi="Calibri"/>
          <w:color w:val="000080"/>
          <w:szCs w:val="24"/>
        </w:rPr>
      </w:pPr>
    </w:p>
    <w:p w:rsidR="00737283" w:rsidRPr="004A49BE" w:rsidRDefault="00737283" w:rsidP="004A49BE">
      <w:pPr>
        <w:tabs>
          <w:tab w:val="left" w:pos="288"/>
          <w:tab w:val="left" w:pos="4752"/>
        </w:tabs>
        <w:spacing w:line="240" w:lineRule="exact"/>
        <w:jc w:val="both"/>
        <w:rPr>
          <w:rFonts w:asciiTheme="minorHAnsi" w:hAnsiTheme="minorHAnsi"/>
          <w:color w:val="auto"/>
          <w:szCs w:val="24"/>
        </w:rPr>
      </w:pPr>
      <w:r w:rsidRPr="00737283">
        <w:rPr>
          <w:rFonts w:asciiTheme="minorHAnsi" w:hAnsiTheme="minorHAnsi"/>
          <w:color w:val="auto"/>
          <w:szCs w:val="24"/>
          <w:u w:val="single"/>
        </w:rPr>
        <w:t>BOARD FINDINGS</w:t>
      </w:r>
      <w:r w:rsidRPr="00737283">
        <w:rPr>
          <w:rFonts w:asciiTheme="minorHAnsi" w:hAnsiTheme="minorHAnsi"/>
          <w:color w:val="auto"/>
          <w:szCs w:val="24"/>
        </w:rPr>
        <w:t>:</w:t>
      </w:r>
      <w:r w:rsidRPr="0073728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54EFD">
        <w:rPr>
          <w:rFonts w:asciiTheme="minorHAnsi" w:eastAsiaTheme="minorHAnsi" w:hAnsiTheme="minorHAnsi"/>
          <w:color w:val="auto"/>
          <w:szCs w:val="24"/>
        </w:rPr>
        <w:t xml:space="preserve">  </w:t>
      </w:r>
      <w:r w:rsidR="007044D1" w:rsidRPr="00361BE6">
        <w:rPr>
          <w:rFonts w:asciiTheme="minorHAnsi" w:hAnsiTheme="minorHAnsi" w:cstheme="minorHAnsi"/>
          <w:color w:val="auto"/>
          <w:szCs w:val="24"/>
        </w:rPr>
        <w:t>I</w:t>
      </w:r>
      <w:r w:rsidR="00361BE6">
        <w:rPr>
          <w:rFonts w:asciiTheme="minorHAnsi" w:hAnsiTheme="minorHAnsi" w:cstheme="minorHAnsi"/>
          <w:color w:val="auto"/>
          <w:szCs w:val="24"/>
        </w:rPr>
        <w:t>n the matter of the bilateral knee</w:t>
      </w:r>
      <w:r w:rsidR="007044D1" w:rsidRPr="00361BE6">
        <w:rPr>
          <w:rFonts w:asciiTheme="minorHAnsi" w:hAnsiTheme="minorHAnsi" w:cstheme="minorHAnsi"/>
          <w:color w:val="auto"/>
          <w:szCs w:val="24"/>
        </w:rPr>
        <w:t xml:space="preserve"> </w:t>
      </w:r>
      <w:r w:rsidR="00900FF3">
        <w:rPr>
          <w:rFonts w:asciiTheme="minorHAnsi" w:hAnsiTheme="minorHAnsi" w:cstheme="minorHAnsi"/>
          <w:color w:val="auto"/>
          <w:szCs w:val="24"/>
        </w:rPr>
        <w:t>pain</w:t>
      </w:r>
      <w:r w:rsidR="007044D1" w:rsidRPr="00361BE6">
        <w:rPr>
          <w:rFonts w:asciiTheme="minorHAnsi" w:hAnsiTheme="minorHAnsi" w:cstheme="minorHAnsi"/>
          <w:color w:val="auto"/>
          <w:szCs w:val="24"/>
        </w:rPr>
        <w:t xml:space="preserve">, the Board unanimously recommends that each </w:t>
      </w:r>
      <w:r w:rsidR="00B43CFA">
        <w:rPr>
          <w:rFonts w:asciiTheme="minorHAnsi" w:hAnsiTheme="minorHAnsi" w:cstheme="minorHAnsi"/>
          <w:color w:val="auto"/>
          <w:szCs w:val="24"/>
        </w:rPr>
        <w:t>knee</w:t>
      </w:r>
      <w:r w:rsidR="007044D1" w:rsidRPr="00361BE6">
        <w:rPr>
          <w:rFonts w:asciiTheme="minorHAnsi" w:hAnsiTheme="minorHAnsi" w:cstheme="minorHAnsi"/>
          <w:color w:val="auto"/>
          <w:szCs w:val="24"/>
        </w:rPr>
        <w:t xml:space="preserve"> be </w:t>
      </w:r>
      <w:r w:rsidR="00B43CFA">
        <w:rPr>
          <w:rFonts w:asciiTheme="minorHAnsi" w:hAnsiTheme="minorHAnsi" w:cstheme="minorHAnsi"/>
          <w:color w:val="auto"/>
          <w:szCs w:val="24"/>
        </w:rPr>
        <w:t xml:space="preserve">considered </w:t>
      </w:r>
      <w:r w:rsidR="007044D1" w:rsidRPr="00361BE6">
        <w:rPr>
          <w:rFonts w:asciiTheme="minorHAnsi" w:hAnsiTheme="minorHAnsi" w:cstheme="minorHAnsi"/>
          <w:color w:val="auto"/>
          <w:szCs w:val="24"/>
        </w:rPr>
        <w:t xml:space="preserve">separately </w:t>
      </w:r>
      <w:r w:rsidR="00B43CFA">
        <w:rPr>
          <w:rFonts w:asciiTheme="minorHAnsi" w:hAnsiTheme="minorHAnsi" w:cstheme="minorHAnsi"/>
          <w:color w:val="auto"/>
          <w:szCs w:val="24"/>
        </w:rPr>
        <w:t xml:space="preserve">unfitting, and coded </w:t>
      </w:r>
      <w:r w:rsidR="00361BE6">
        <w:rPr>
          <w:rFonts w:asciiTheme="minorHAnsi" w:hAnsiTheme="minorHAnsi" w:cstheme="minorHAnsi"/>
          <w:color w:val="auto"/>
          <w:szCs w:val="24"/>
        </w:rPr>
        <w:t>5299-5003</w:t>
      </w:r>
      <w:r w:rsidR="00B43CFA">
        <w:rPr>
          <w:rFonts w:asciiTheme="minorHAnsi" w:hAnsiTheme="minorHAnsi" w:cstheme="minorHAnsi"/>
          <w:color w:val="auto"/>
          <w:szCs w:val="24"/>
        </w:rPr>
        <w:t>.  Each knee (right and left) warrants a</w:t>
      </w:r>
      <w:r w:rsidR="00361BE6">
        <w:rPr>
          <w:rFonts w:asciiTheme="minorHAnsi" w:hAnsiTheme="minorHAnsi" w:cstheme="minorHAnsi"/>
          <w:color w:val="auto"/>
          <w:szCs w:val="24"/>
        </w:rPr>
        <w:t xml:space="preserve"> rat</w:t>
      </w:r>
      <w:r w:rsidR="00B43CFA">
        <w:rPr>
          <w:rFonts w:asciiTheme="minorHAnsi" w:hAnsiTheme="minorHAnsi" w:cstheme="minorHAnsi"/>
          <w:color w:val="auto"/>
          <w:szCs w:val="24"/>
        </w:rPr>
        <w:t xml:space="preserve">ing of </w:t>
      </w:r>
      <w:r w:rsidR="00361BE6">
        <w:rPr>
          <w:rFonts w:asciiTheme="minorHAnsi" w:hAnsiTheme="minorHAnsi" w:cstheme="minorHAnsi"/>
          <w:color w:val="auto"/>
          <w:szCs w:val="24"/>
        </w:rPr>
        <w:t xml:space="preserve">10%, </w:t>
      </w:r>
      <w:r w:rsidR="00B43CFA">
        <w:rPr>
          <w:rFonts w:asciiTheme="minorHAnsi" w:hAnsiTheme="minorHAnsi" w:cstheme="minorHAnsi"/>
          <w:color w:val="auto"/>
          <w:szCs w:val="24"/>
        </w:rPr>
        <w:t>IAW</w:t>
      </w:r>
      <w:r w:rsidR="007044D1" w:rsidRPr="00361BE6">
        <w:rPr>
          <w:rFonts w:asciiTheme="minorHAnsi" w:hAnsiTheme="minorHAnsi" w:cstheme="minorHAnsi"/>
          <w:color w:val="auto"/>
          <w:szCs w:val="24"/>
        </w:rPr>
        <w:t xml:space="preserve"> VASRD </w:t>
      </w:r>
      <w:r w:rsidR="004A49BE" w:rsidRPr="00AE6606">
        <w:rPr>
          <w:rFonts w:ascii="Calibri" w:eastAsia="Calibri" w:hAnsi="Calibri" w:cs="Calibri"/>
          <w:color w:val="auto"/>
          <w:szCs w:val="24"/>
        </w:rPr>
        <w:t>§4.</w:t>
      </w:r>
      <w:r w:rsidR="004A49BE">
        <w:rPr>
          <w:rFonts w:ascii="Calibri" w:eastAsia="Calibri" w:hAnsi="Calibri" w:cs="Calibri"/>
          <w:color w:val="auto"/>
          <w:szCs w:val="24"/>
        </w:rPr>
        <w:t>40,</w:t>
      </w:r>
      <w:r w:rsidR="004A49BE" w:rsidRPr="00D64B1E">
        <w:rPr>
          <w:rFonts w:ascii="Calibri" w:hAnsi="Calibri" w:cs="Calibri"/>
          <w:color w:val="auto"/>
          <w:szCs w:val="24"/>
        </w:rPr>
        <w:t xml:space="preserve"> </w:t>
      </w:r>
      <w:r w:rsidR="004A49BE" w:rsidRPr="00AE6606">
        <w:rPr>
          <w:rFonts w:ascii="Calibri" w:eastAsia="Calibri" w:hAnsi="Calibri" w:cs="Calibri"/>
          <w:color w:val="auto"/>
          <w:szCs w:val="24"/>
        </w:rPr>
        <w:t>§4.</w:t>
      </w:r>
      <w:r w:rsidR="004A49BE">
        <w:rPr>
          <w:rFonts w:ascii="Calibri" w:eastAsia="Calibri" w:hAnsi="Calibri" w:cs="Calibri"/>
          <w:color w:val="auto"/>
          <w:szCs w:val="24"/>
        </w:rPr>
        <w:t>45,</w:t>
      </w:r>
      <w:r w:rsidR="004A49BE" w:rsidRPr="00AE6606">
        <w:rPr>
          <w:rFonts w:ascii="Calibri" w:eastAsia="Calibri" w:hAnsi="Calibri" w:cs="Calibri"/>
          <w:color w:val="auto"/>
          <w:szCs w:val="24"/>
        </w:rPr>
        <w:t xml:space="preserve"> §4.59</w:t>
      </w:r>
      <w:r w:rsidR="004A49BE">
        <w:rPr>
          <w:rFonts w:ascii="Calibri" w:eastAsia="Calibri" w:hAnsi="Calibri" w:cs="Calibri"/>
          <w:color w:val="auto"/>
          <w:szCs w:val="24"/>
        </w:rPr>
        <w:t xml:space="preserve">, and </w:t>
      </w:r>
      <w:r w:rsidR="004A49BE" w:rsidRPr="00AE6606">
        <w:rPr>
          <w:rFonts w:ascii="Calibri" w:eastAsia="Calibri" w:hAnsi="Calibri" w:cs="Calibri"/>
          <w:color w:val="auto"/>
          <w:szCs w:val="24"/>
        </w:rPr>
        <w:t>§4.</w:t>
      </w:r>
      <w:r w:rsidR="004A49BE">
        <w:rPr>
          <w:rFonts w:ascii="Calibri" w:eastAsia="Calibri" w:hAnsi="Calibri" w:cs="Calibri"/>
          <w:color w:val="auto"/>
          <w:szCs w:val="24"/>
        </w:rPr>
        <w:t>71a.</w:t>
      </w:r>
      <w:r w:rsidR="004A49BE">
        <w:rPr>
          <w:rFonts w:asciiTheme="minorHAnsi" w:hAnsiTheme="minorHAnsi"/>
          <w:color w:val="auto"/>
          <w:szCs w:val="24"/>
        </w:rPr>
        <w:t xml:space="preserve">  </w:t>
      </w:r>
      <w:r w:rsidR="00A54EFD">
        <w:rPr>
          <w:rFonts w:asciiTheme="minorHAnsi" w:eastAsiaTheme="minorHAnsi" w:hAnsiTheme="minorHAnsi"/>
          <w:color w:val="auto"/>
          <w:szCs w:val="24"/>
        </w:rPr>
        <w:t>In the matter of the neck</w:t>
      </w:r>
      <w:r w:rsidR="004A49BE">
        <w:rPr>
          <w:rFonts w:asciiTheme="minorHAnsi" w:eastAsiaTheme="minorHAnsi" w:hAnsiTheme="minorHAnsi"/>
          <w:color w:val="auto"/>
          <w:szCs w:val="24"/>
        </w:rPr>
        <w:t>, back, and arm</w:t>
      </w:r>
      <w:r w:rsidR="00A54EFD">
        <w:rPr>
          <w:rFonts w:asciiTheme="minorHAnsi" w:eastAsiaTheme="minorHAnsi" w:hAnsiTheme="minorHAnsi"/>
          <w:color w:val="auto"/>
          <w:szCs w:val="24"/>
        </w:rPr>
        <w:t xml:space="preserve"> pain</w:t>
      </w:r>
      <w:r w:rsidR="004A49BE">
        <w:rPr>
          <w:rFonts w:asciiTheme="minorHAnsi" w:eastAsiaTheme="minorHAnsi" w:hAnsiTheme="minorHAnsi"/>
          <w:color w:val="auto"/>
          <w:szCs w:val="24"/>
        </w:rPr>
        <w:t xml:space="preserve">; the </w:t>
      </w:r>
      <w:r w:rsidR="00A54EFD">
        <w:rPr>
          <w:rFonts w:ascii="Calibri" w:eastAsia="Calibri" w:hAnsi="Calibri"/>
          <w:color w:val="auto"/>
          <w:szCs w:val="24"/>
        </w:rPr>
        <w:t>Board unanimously</w:t>
      </w:r>
      <w:r w:rsidR="00A54EFD" w:rsidRPr="001B3161">
        <w:rPr>
          <w:rFonts w:ascii="Calibri" w:eastAsia="Calibri" w:hAnsi="Calibri"/>
          <w:color w:val="auto"/>
          <w:szCs w:val="24"/>
        </w:rPr>
        <w:t xml:space="preserve"> recommends</w:t>
      </w:r>
      <w:r w:rsidR="00361BE6">
        <w:rPr>
          <w:rFonts w:ascii="Calibri" w:eastAsia="Calibri" w:hAnsi="Calibri"/>
          <w:color w:val="auto"/>
          <w:szCs w:val="24"/>
        </w:rPr>
        <w:t xml:space="preserve"> a rating of 1</w:t>
      </w:r>
      <w:r w:rsidR="00A54EFD">
        <w:rPr>
          <w:rFonts w:ascii="Calibri" w:eastAsia="Calibri" w:hAnsi="Calibri"/>
          <w:color w:val="auto"/>
          <w:szCs w:val="24"/>
        </w:rPr>
        <w:t>0%, coded 5290</w:t>
      </w:r>
      <w:r w:rsidR="004A49BE">
        <w:rPr>
          <w:rFonts w:ascii="Calibri" w:eastAsia="Calibri" w:hAnsi="Calibri"/>
          <w:color w:val="auto"/>
          <w:szCs w:val="24"/>
        </w:rPr>
        <w:t xml:space="preserve"> IAW VASRD </w:t>
      </w:r>
      <w:r w:rsidR="004A49BE" w:rsidRPr="00AE6606">
        <w:rPr>
          <w:rFonts w:ascii="Calibri" w:eastAsia="Calibri" w:hAnsi="Calibri" w:cs="Calibri"/>
          <w:color w:val="auto"/>
          <w:szCs w:val="24"/>
        </w:rPr>
        <w:t>§4.</w:t>
      </w:r>
      <w:r w:rsidR="004A49BE">
        <w:rPr>
          <w:rFonts w:ascii="Calibri" w:eastAsia="Calibri" w:hAnsi="Calibri" w:cs="Calibri"/>
          <w:color w:val="auto"/>
          <w:szCs w:val="24"/>
        </w:rPr>
        <w:t>40,</w:t>
      </w:r>
      <w:r w:rsidR="004A49BE" w:rsidRPr="00D64B1E">
        <w:rPr>
          <w:rFonts w:ascii="Calibri" w:hAnsi="Calibri" w:cs="Calibri"/>
          <w:color w:val="auto"/>
          <w:szCs w:val="24"/>
        </w:rPr>
        <w:t xml:space="preserve"> </w:t>
      </w:r>
      <w:r w:rsidR="004A49BE" w:rsidRPr="00AE6606">
        <w:rPr>
          <w:rFonts w:ascii="Calibri" w:eastAsia="Calibri" w:hAnsi="Calibri" w:cs="Calibri"/>
          <w:color w:val="auto"/>
          <w:szCs w:val="24"/>
        </w:rPr>
        <w:t>§4.59</w:t>
      </w:r>
      <w:r w:rsidR="004A49BE">
        <w:rPr>
          <w:rFonts w:ascii="Calibri" w:eastAsia="Calibri" w:hAnsi="Calibri" w:cs="Calibri"/>
          <w:color w:val="auto"/>
          <w:szCs w:val="24"/>
        </w:rPr>
        <w:t xml:space="preserve">, and </w:t>
      </w:r>
      <w:r w:rsidR="004A49BE" w:rsidRPr="00AE6606">
        <w:rPr>
          <w:rFonts w:ascii="Calibri" w:eastAsia="Calibri" w:hAnsi="Calibri" w:cs="Calibri"/>
          <w:color w:val="auto"/>
          <w:szCs w:val="24"/>
        </w:rPr>
        <w:t>§4.</w:t>
      </w:r>
      <w:r w:rsidR="004A49BE">
        <w:rPr>
          <w:rFonts w:ascii="Calibri" w:eastAsia="Calibri" w:hAnsi="Calibri" w:cs="Calibri"/>
          <w:color w:val="auto"/>
          <w:szCs w:val="24"/>
        </w:rPr>
        <w:t>71a.</w:t>
      </w:r>
      <w:r w:rsidR="004A49BE">
        <w:rPr>
          <w:rFonts w:asciiTheme="minorHAnsi" w:hAnsiTheme="minorHAnsi"/>
          <w:color w:val="auto"/>
          <w:szCs w:val="24"/>
        </w:rPr>
        <w:t xml:space="preserve">  </w:t>
      </w:r>
      <w:r w:rsidR="00A54EFD">
        <w:rPr>
          <w:rFonts w:ascii="Calibri" w:eastAsia="Calibri" w:hAnsi="Calibri"/>
          <w:color w:val="auto"/>
          <w:szCs w:val="24"/>
        </w:rPr>
        <w:t>In the matter of the migraine headaches, testic</w:t>
      </w:r>
      <w:r w:rsidR="001B7F7A">
        <w:rPr>
          <w:rFonts w:ascii="Calibri" w:eastAsia="Calibri" w:hAnsi="Calibri"/>
          <w:color w:val="auto"/>
          <w:szCs w:val="24"/>
        </w:rPr>
        <w:t>ular</w:t>
      </w:r>
      <w:r w:rsidR="00A54EFD">
        <w:rPr>
          <w:rFonts w:ascii="Calibri" w:eastAsia="Calibri" w:hAnsi="Calibri"/>
          <w:color w:val="auto"/>
          <w:szCs w:val="24"/>
        </w:rPr>
        <w:t xml:space="preserve"> pain, </w:t>
      </w:r>
      <w:r w:rsidR="004A49BE">
        <w:rPr>
          <w:rFonts w:asciiTheme="minorHAnsi" w:eastAsia="HiddenHorzOCR" w:hAnsiTheme="minorHAnsi"/>
          <w:color w:val="auto"/>
          <w:szCs w:val="24"/>
        </w:rPr>
        <w:t>erectile dysfunction,</w:t>
      </w:r>
      <w:r w:rsidR="004A49BE">
        <w:rPr>
          <w:rFonts w:asciiTheme="minorHAnsi" w:hAnsiTheme="minorHAnsi"/>
          <w:color w:val="auto"/>
          <w:szCs w:val="24"/>
        </w:rPr>
        <w:t xml:space="preserve"> </w:t>
      </w:r>
      <w:r w:rsidR="00A54EFD">
        <w:rPr>
          <w:rFonts w:asciiTheme="minorHAnsi" w:hAnsiTheme="minorHAnsi"/>
          <w:color w:val="auto"/>
          <w:szCs w:val="24"/>
        </w:rPr>
        <w:t xml:space="preserve">bronchitis, sinusitis, high blood pressure, </w:t>
      </w:r>
      <w:r w:rsidR="00900FF3">
        <w:rPr>
          <w:rFonts w:asciiTheme="minorHAnsi" w:hAnsiTheme="minorHAnsi"/>
          <w:color w:val="auto"/>
          <w:szCs w:val="24"/>
        </w:rPr>
        <w:t>LBP</w:t>
      </w:r>
      <w:r w:rsidR="00A54EFD">
        <w:rPr>
          <w:rFonts w:asciiTheme="minorHAnsi" w:hAnsiTheme="minorHAnsi"/>
          <w:color w:val="auto"/>
          <w:szCs w:val="24"/>
        </w:rPr>
        <w:t xml:space="preserve">, left shoulder pain, </w:t>
      </w:r>
      <w:r w:rsidR="00A54EFD">
        <w:rPr>
          <w:rFonts w:ascii="Calibri" w:hAnsi="Calibri"/>
          <w:color w:val="auto"/>
          <w:szCs w:val="24"/>
        </w:rPr>
        <w:t>or any other</w:t>
      </w:r>
      <w:r w:rsidR="00A54EFD" w:rsidRPr="00AE3316">
        <w:rPr>
          <w:rFonts w:ascii="Calibri" w:hAnsi="Calibri"/>
          <w:color w:val="auto"/>
          <w:szCs w:val="24"/>
        </w:rPr>
        <w:t xml:space="preserve"> conditions</w:t>
      </w:r>
      <w:r w:rsidR="00A54EFD">
        <w:rPr>
          <w:rFonts w:ascii="Calibri" w:hAnsi="Calibri"/>
          <w:color w:val="auto"/>
          <w:szCs w:val="24"/>
        </w:rPr>
        <w:t xml:space="preserve"> eligible for consideration</w:t>
      </w:r>
      <w:r w:rsidR="00A54EFD" w:rsidRPr="00AE3316">
        <w:rPr>
          <w:rFonts w:ascii="Calibri" w:hAnsi="Calibri"/>
          <w:color w:val="auto"/>
          <w:szCs w:val="24"/>
        </w:rPr>
        <w:t xml:space="preserve">; the Board </w:t>
      </w:r>
      <w:r w:rsidR="00A54EFD" w:rsidRPr="001236EC">
        <w:rPr>
          <w:rFonts w:ascii="Calibri" w:hAnsi="Calibri"/>
          <w:color w:val="auto"/>
          <w:szCs w:val="24"/>
        </w:rPr>
        <w:t xml:space="preserve">unanimously </w:t>
      </w:r>
      <w:r w:rsidR="00A54EFD" w:rsidRPr="00AE3316">
        <w:rPr>
          <w:rFonts w:ascii="Calibri" w:hAnsi="Calibri"/>
          <w:color w:val="auto"/>
          <w:szCs w:val="24"/>
        </w:rPr>
        <w:t>agrees that it cannot</w:t>
      </w:r>
      <w:r w:rsidR="00A54EFD" w:rsidRPr="00AE3316">
        <w:rPr>
          <w:rFonts w:ascii="Calibri" w:hAnsi="Calibri"/>
          <w:color w:val="000080"/>
          <w:szCs w:val="24"/>
        </w:rPr>
        <w:t xml:space="preserve"> </w:t>
      </w:r>
      <w:r w:rsidR="00A54EFD" w:rsidRPr="00AE3316">
        <w:rPr>
          <w:rFonts w:ascii="Calibri" w:hAnsi="Calibri"/>
          <w:color w:val="auto"/>
          <w:szCs w:val="24"/>
        </w:rPr>
        <w:t>recommend a</w:t>
      </w:r>
      <w:r w:rsidR="00A54EFD">
        <w:rPr>
          <w:rFonts w:ascii="Calibri" w:hAnsi="Calibri"/>
          <w:color w:val="auto"/>
          <w:szCs w:val="24"/>
        </w:rPr>
        <w:t>ny</w:t>
      </w:r>
      <w:r w:rsidR="00A54EFD" w:rsidRPr="00AE3316">
        <w:rPr>
          <w:rFonts w:ascii="Calibri" w:hAnsi="Calibri"/>
          <w:color w:val="auto"/>
          <w:szCs w:val="24"/>
        </w:rPr>
        <w:t xml:space="preserve"> finding</w:t>
      </w:r>
      <w:r w:rsidR="00A54EFD">
        <w:rPr>
          <w:rFonts w:ascii="Calibri" w:hAnsi="Calibri"/>
          <w:color w:val="auto"/>
          <w:szCs w:val="24"/>
        </w:rPr>
        <w:t>s</w:t>
      </w:r>
      <w:r w:rsidR="00A54EFD" w:rsidRPr="00AE3316">
        <w:rPr>
          <w:rFonts w:ascii="Calibri" w:hAnsi="Calibri"/>
          <w:color w:val="auto"/>
          <w:szCs w:val="24"/>
        </w:rPr>
        <w:t xml:space="preserve"> of unfit for additional rating at separation.</w:t>
      </w:r>
    </w:p>
    <w:p w:rsidR="00106AD8" w:rsidRDefault="00106AD8" w:rsidP="001B7F7A">
      <w:pPr>
        <w:pBdr>
          <w:bottom w:val="single" w:sz="12" w:space="1" w:color="auto"/>
        </w:pBdr>
        <w:tabs>
          <w:tab w:val="left" w:pos="288"/>
          <w:tab w:val="left" w:pos="4752"/>
        </w:tabs>
        <w:spacing w:line="240" w:lineRule="exact"/>
        <w:rPr>
          <w:rFonts w:ascii="Calibri" w:hAnsi="Calibri"/>
          <w:color w:val="000080"/>
          <w:szCs w:val="24"/>
        </w:rPr>
      </w:pPr>
    </w:p>
    <w:p w:rsidR="00A54EFD" w:rsidRDefault="00A54EFD" w:rsidP="001B7F7A">
      <w:pPr>
        <w:tabs>
          <w:tab w:val="left" w:pos="288"/>
          <w:tab w:val="left" w:pos="4752"/>
        </w:tabs>
        <w:spacing w:line="240" w:lineRule="exact"/>
        <w:rPr>
          <w:rFonts w:ascii="Calibri" w:hAnsi="Calibri"/>
          <w:color w:val="000080"/>
          <w:szCs w:val="24"/>
        </w:rPr>
      </w:pPr>
    </w:p>
    <w:p w:rsidR="001943C2" w:rsidRPr="00BB77AA" w:rsidRDefault="00A54EFD" w:rsidP="004A49BE">
      <w:pPr>
        <w:tabs>
          <w:tab w:val="left" w:pos="288"/>
          <w:tab w:val="left" w:pos="4752"/>
        </w:tabs>
        <w:spacing w:line="240" w:lineRule="exact"/>
        <w:jc w:val="both"/>
        <w:rPr>
          <w:rFonts w:ascii="Calibri" w:hAnsi="Calibri"/>
          <w:color w:val="000080"/>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9E1E0D">
        <w:rPr>
          <w:rFonts w:asciiTheme="minorHAnsi" w:hAnsiTheme="minorHAnsi"/>
          <w:color w:val="auto"/>
          <w:szCs w:val="24"/>
        </w:rPr>
        <w:t xml:space="preserve">  </w:t>
      </w:r>
      <w:r w:rsidR="001943C2" w:rsidRPr="00DD469B">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3A77A0" w:rsidRPr="00DD469B" w:rsidRDefault="003A77A0" w:rsidP="001B7F7A">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0"/>
        <w:gridCol w:w="2250"/>
        <w:gridCol w:w="1170"/>
      </w:tblGrid>
      <w:tr w:rsidR="00DD469B" w:rsidRPr="00DD469B" w:rsidTr="00252A2F">
        <w:trPr>
          <w:trHeight w:val="233"/>
          <w:jc w:val="center"/>
        </w:trPr>
        <w:tc>
          <w:tcPr>
            <w:tcW w:w="5940" w:type="dxa"/>
            <w:shd w:val="clear" w:color="auto" w:fill="D9D9D9"/>
            <w:vAlign w:val="center"/>
          </w:tcPr>
          <w:p w:rsidR="00DD469B" w:rsidRPr="00DD469B" w:rsidRDefault="00DD469B" w:rsidP="001B7F7A">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UNFITTING CONDITION</w:t>
            </w:r>
          </w:p>
        </w:tc>
        <w:tc>
          <w:tcPr>
            <w:tcW w:w="2250" w:type="dxa"/>
            <w:shd w:val="clear" w:color="auto" w:fill="D9D9D9"/>
            <w:vAlign w:val="center"/>
          </w:tcPr>
          <w:p w:rsidR="00DD469B" w:rsidRPr="00DD469B" w:rsidRDefault="00DD469B" w:rsidP="001B7F7A">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VASRD CODE</w:t>
            </w:r>
          </w:p>
        </w:tc>
        <w:tc>
          <w:tcPr>
            <w:tcW w:w="1170" w:type="dxa"/>
            <w:shd w:val="clear" w:color="auto" w:fill="D9D9D9"/>
            <w:vAlign w:val="center"/>
          </w:tcPr>
          <w:p w:rsidR="00DD469B" w:rsidRPr="00DD469B" w:rsidRDefault="00DD469B" w:rsidP="001B7F7A">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RATING</w:t>
            </w:r>
          </w:p>
        </w:tc>
      </w:tr>
      <w:tr w:rsidR="00DD469B" w:rsidRPr="00DD469B" w:rsidTr="00252A2F">
        <w:trPr>
          <w:jc w:val="center"/>
        </w:trPr>
        <w:tc>
          <w:tcPr>
            <w:tcW w:w="5940" w:type="dxa"/>
            <w:vAlign w:val="center"/>
          </w:tcPr>
          <w:p w:rsidR="00DD469B" w:rsidRPr="00DD469B" w:rsidRDefault="00361BE6" w:rsidP="001B7F7A">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Right </w:t>
            </w:r>
            <w:r w:rsidR="00BB77AA">
              <w:rPr>
                <w:rFonts w:asciiTheme="minorHAnsi" w:hAnsiTheme="minorHAnsi"/>
                <w:color w:val="auto"/>
                <w:szCs w:val="24"/>
              </w:rPr>
              <w:t>Knee Pain</w:t>
            </w:r>
          </w:p>
        </w:tc>
        <w:tc>
          <w:tcPr>
            <w:tcW w:w="2250" w:type="dxa"/>
            <w:vAlign w:val="center"/>
          </w:tcPr>
          <w:p w:rsidR="00DD469B" w:rsidRPr="00DD469B" w:rsidRDefault="00361BE6" w:rsidP="001B7F7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w:t>
            </w:r>
            <w:r w:rsidR="00BB77AA">
              <w:rPr>
                <w:rFonts w:asciiTheme="minorHAnsi" w:hAnsiTheme="minorHAnsi"/>
                <w:color w:val="auto"/>
                <w:szCs w:val="24"/>
              </w:rPr>
              <w:t>5003</w:t>
            </w:r>
          </w:p>
        </w:tc>
        <w:tc>
          <w:tcPr>
            <w:tcW w:w="1170" w:type="dxa"/>
            <w:vAlign w:val="center"/>
          </w:tcPr>
          <w:p w:rsidR="00DD469B" w:rsidRPr="00DD469B" w:rsidRDefault="00BB77AA" w:rsidP="001B7F7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DD469B" w:rsidRPr="00DD469B">
              <w:rPr>
                <w:rFonts w:asciiTheme="minorHAnsi" w:hAnsiTheme="minorHAnsi"/>
                <w:color w:val="auto"/>
                <w:szCs w:val="24"/>
              </w:rPr>
              <w:t>%</w:t>
            </w:r>
          </w:p>
        </w:tc>
      </w:tr>
      <w:tr w:rsidR="00361BE6" w:rsidRPr="00DD469B" w:rsidTr="00252A2F">
        <w:trPr>
          <w:jc w:val="center"/>
        </w:trPr>
        <w:tc>
          <w:tcPr>
            <w:tcW w:w="5940" w:type="dxa"/>
            <w:vAlign w:val="center"/>
          </w:tcPr>
          <w:p w:rsidR="00361BE6" w:rsidRDefault="00361BE6" w:rsidP="001B7F7A">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Left Knee Pain</w:t>
            </w:r>
          </w:p>
        </w:tc>
        <w:tc>
          <w:tcPr>
            <w:tcW w:w="2250" w:type="dxa"/>
            <w:vAlign w:val="center"/>
          </w:tcPr>
          <w:p w:rsidR="00361BE6" w:rsidRDefault="00361BE6" w:rsidP="001B7F7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5299-5003</w:t>
            </w:r>
          </w:p>
        </w:tc>
        <w:tc>
          <w:tcPr>
            <w:tcW w:w="1170" w:type="dxa"/>
            <w:vAlign w:val="center"/>
          </w:tcPr>
          <w:p w:rsidR="00361BE6" w:rsidRDefault="00361BE6" w:rsidP="001B7F7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BB77AA" w:rsidRPr="00DD469B" w:rsidTr="00252A2F">
        <w:trPr>
          <w:jc w:val="center"/>
        </w:trPr>
        <w:tc>
          <w:tcPr>
            <w:tcW w:w="5940" w:type="dxa"/>
            <w:vAlign w:val="center"/>
          </w:tcPr>
          <w:p w:rsidR="00BB77AA" w:rsidRPr="00DD469B" w:rsidRDefault="00361BE6" w:rsidP="004A49BE">
            <w:pPr>
              <w:tabs>
                <w:tab w:val="left" w:pos="288"/>
                <w:tab w:val="left" w:pos="4752"/>
              </w:tabs>
              <w:spacing w:line="240" w:lineRule="exact"/>
              <w:rPr>
                <w:rFonts w:asciiTheme="minorHAnsi" w:hAnsiTheme="minorHAnsi"/>
                <w:color w:val="auto"/>
                <w:szCs w:val="24"/>
                <w:highlight w:val="yellow"/>
              </w:rPr>
            </w:pPr>
            <w:r>
              <w:rPr>
                <w:rFonts w:asciiTheme="minorHAnsi" w:hAnsiTheme="minorHAnsi"/>
                <w:color w:val="auto"/>
                <w:szCs w:val="24"/>
              </w:rPr>
              <w:t xml:space="preserve">Chronic </w:t>
            </w:r>
            <w:r w:rsidR="00BB77AA">
              <w:rPr>
                <w:rFonts w:asciiTheme="minorHAnsi" w:hAnsiTheme="minorHAnsi"/>
                <w:color w:val="auto"/>
                <w:szCs w:val="24"/>
              </w:rPr>
              <w:t>Cervical</w:t>
            </w:r>
            <w:r w:rsidR="004A49BE">
              <w:rPr>
                <w:rFonts w:asciiTheme="minorHAnsi" w:hAnsiTheme="minorHAnsi"/>
                <w:color w:val="auto"/>
                <w:szCs w:val="24"/>
              </w:rPr>
              <w:t>,</w:t>
            </w:r>
            <w:r w:rsidR="00BB77AA">
              <w:rPr>
                <w:rFonts w:asciiTheme="minorHAnsi" w:hAnsiTheme="minorHAnsi"/>
                <w:color w:val="auto"/>
                <w:szCs w:val="24"/>
              </w:rPr>
              <w:t xml:space="preserve"> </w:t>
            </w:r>
            <w:r w:rsidR="00CC1592">
              <w:rPr>
                <w:rFonts w:asciiTheme="minorHAnsi" w:hAnsiTheme="minorHAnsi"/>
                <w:color w:val="auto"/>
                <w:szCs w:val="24"/>
              </w:rPr>
              <w:t>Upper Thoracic</w:t>
            </w:r>
            <w:r w:rsidR="004A49BE">
              <w:rPr>
                <w:rFonts w:asciiTheme="minorHAnsi" w:hAnsiTheme="minorHAnsi"/>
                <w:color w:val="auto"/>
                <w:szCs w:val="24"/>
              </w:rPr>
              <w:t>, and Left Arm</w:t>
            </w:r>
            <w:r w:rsidR="00CC1592">
              <w:rPr>
                <w:rFonts w:asciiTheme="minorHAnsi" w:hAnsiTheme="minorHAnsi"/>
                <w:color w:val="auto"/>
                <w:szCs w:val="24"/>
              </w:rPr>
              <w:t xml:space="preserve"> </w:t>
            </w:r>
            <w:r w:rsidR="00BB77AA" w:rsidRPr="00BB77AA">
              <w:rPr>
                <w:rFonts w:asciiTheme="minorHAnsi" w:hAnsiTheme="minorHAnsi"/>
                <w:color w:val="auto"/>
                <w:szCs w:val="24"/>
              </w:rPr>
              <w:t>Pain</w:t>
            </w:r>
          </w:p>
        </w:tc>
        <w:tc>
          <w:tcPr>
            <w:tcW w:w="2250" w:type="dxa"/>
            <w:vAlign w:val="center"/>
          </w:tcPr>
          <w:p w:rsidR="00BB77AA" w:rsidRPr="00DD469B" w:rsidRDefault="00BB77AA" w:rsidP="001B7F7A">
            <w:pPr>
              <w:tabs>
                <w:tab w:val="left" w:pos="288"/>
                <w:tab w:val="left" w:pos="4752"/>
              </w:tabs>
              <w:spacing w:line="240" w:lineRule="exact"/>
              <w:jc w:val="center"/>
              <w:rPr>
                <w:rFonts w:asciiTheme="minorHAnsi" w:hAnsiTheme="minorHAnsi"/>
                <w:color w:val="auto"/>
                <w:szCs w:val="24"/>
                <w:highlight w:val="yellow"/>
              </w:rPr>
            </w:pPr>
            <w:r w:rsidRPr="00BB77AA">
              <w:rPr>
                <w:rFonts w:asciiTheme="minorHAnsi" w:hAnsiTheme="minorHAnsi"/>
                <w:color w:val="auto"/>
                <w:szCs w:val="24"/>
              </w:rPr>
              <w:t>5290</w:t>
            </w:r>
          </w:p>
        </w:tc>
        <w:tc>
          <w:tcPr>
            <w:tcW w:w="1170" w:type="dxa"/>
            <w:vAlign w:val="center"/>
          </w:tcPr>
          <w:p w:rsidR="00BB77AA" w:rsidRPr="00DD469B" w:rsidRDefault="00361BE6" w:rsidP="001B7F7A">
            <w:pPr>
              <w:tabs>
                <w:tab w:val="left" w:pos="288"/>
                <w:tab w:val="left" w:pos="4752"/>
              </w:tabs>
              <w:spacing w:line="240" w:lineRule="exact"/>
              <w:jc w:val="center"/>
              <w:rPr>
                <w:rFonts w:asciiTheme="minorHAnsi" w:hAnsiTheme="minorHAnsi"/>
                <w:color w:val="auto"/>
                <w:szCs w:val="24"/>
                <w:highlight w:val="yellow"/>
              </w:rPr>
            </w:pPr>
            <w:r>
              <w:rPr>
                <w:rFonts w:asciiTheme="minorHAnsi" w:hAnsiTheme="minorHAnsi"/>
                <w:color w:val="auto"/>
                <w:szCs w:val="24"/>
              </w:rPr>
              <w:t>1</w:t>
            </w:r>
            <w:r w:rsidR="00BB77AA" w:rsidRPr="00BB77AA">
              <w:rPr>
                <w:rFonts w:asciiTheme="minorHAnsi" w:hAnsiTheme="minorHAnsi"/>
                <w:color w:val="auto"/>
                <w:szCs w:val="24"/>
              </w:rPr>
              <w:t>0%</w:t>
            </w:r>
          </w:p>
        </w:tc>
      </w:tr>
      <w:tr w:rsidR="00DD469B" w:rsidRPr="00DD469B" w:rsidTr="00252A2F">
        <w:tblPrEx>
          <w:tblLook w:val="0000"/>
        </w:tblPrEx>
        <w:trPr>
          <w:gridBefore w:val="1"/>
          <w:wBefore w:w="5940" w:type="dxa"/>
          <w:trHeight w:val="152"/>
          <w:jc w:val="center"/>
        </w:trPr>
        <w:tc>
          <w:tcPr>
            <w:tcW w:w="2250" w:type="dxa"/>
            <w:tcBorders>
              <w:left w:val="single" w:sz="4" w:space="0" w:color="auto"/>
              <w:bottom w:val="single" w:sz="4" w:space="0" w:color="000000"/>
            </w:tcBorders>
            <w:shd w:val="clear" w:color="auto" w:fill="D9D9D9" w:themeFill="background1" w:themeFillShade="D9"/>
            <w:vAlign w:val="center"/>
          </w:tcPr>
          <w:p w:rsidR="00DD469B" w:rsidRPr="00DD469B" w:rsidRDefault="00252A2F" w:rsidP="001B7F7A">
            <w:pPr>
              <w:tabs>
                <w:tab w:val="left" w:pos="288"/>
                <w:tab w:val="left" w:pos="4752"/>
              </w:tabs>
              <w:spacing w:line="240" w:lineRule="exact"/>
              <w:jc w:val="center"/>
              <w:rPr>
                <w:rFonts w:asciiTheme="minorHAnsi" w:hAnsiTheme="minorHAnsi"/>
                <w:b/>
                <w:color w:val="auto"/>
                <w:szCs w:val="24"/>
              </w:rPr>
            </w:pPr>
            <w:r w:rsidRPr="00BE2AB8">
              <w:rPr>
                <w:rFonts w:asciiTheme="minorHAnsi" w:hAnsiTheme="minorHAnsi"/>
                <w:b/>
                <w:color w:val="auto"/>
                <w:szCs w:val="24"/>
              </w:rPr>
              <w:t>COMBINED (Incorporating BLF)</w:t>
            </w:r>
          </w:p>
        </w:tc>
        <w:tc>
          <w:tcPr>
            <w:tcW w:w="1170" w:type="dxa"/>
            <w:tcBorders>
              <w:bottom w:val="single" w:sz="4" w:space="0" w:color="000000"/>
            </w:tcBorders>
            <w:shd w:val="clear" w:color="auto" w:fill="D9D9D9" w:themeFill="background1" w:themeFillShade="D9"/>
            <w:vAlign w:val="center"/>
          </w:tcPr>
          <w:p w:rsidR="00DD469B" w:rsidRPr="00DD469B" w:rsidRDefault="00BB77AA" w:rsidP="001B7F7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30</w:t>
            </w:r>
            <w:r w:rsidR="00DD469B" w:rsidRPr="00DD469B">
              <w:rPr>
                <w:rFonts w:asciiTheme="minorHAnsi" w:hAnsiTheme="minorHAnsi"/>
                <w:b/>
                <w:color w:val="auto"/>
                <w:szCs w:val="24"/>
              </w:rPr>
              <w:t>%</w:t>
            </w:r>
          </w:p>
        </w:tc>
      </w:tr>
    </w:tbl>
    <w:p w:rsidR="00DD469B" w:rsidRPr="00DD469B" w:rsidRDefault="00DD469B" w:rsidP="001B7F7A">
      <w:pPr>
        <w:pBdr>
          <w:bottom w:val="single" w:sz="12" w:space="1" w:color="auto"/>
        </w:pBdr>
        <w:tabs>
          <w:tab w:val="left" w:pos="288"/>
          <w:tab w:val="left" w:pos="1710"/>
        </w:tabs>
        <w:spacing w:line="240" w:lineRule="exact"/>
        <w:jc w:val="both"/>
        <w:rPr>
          <w:rFonts w:asciiTheme="minorHAnsi" w:hAnsiTheme="minorHAnsi"/>
          <w:color w:val="auto"/>
          <w:szCs w:val="24"/>
          <w:highlight w:val="yellow"/>
        </w:rPr>
      </w:pPr>
    </w:p>
    <w:p w:rsidR="00A416A5" w:rsidRDefault="00A416A5" w:rsidP="001B7F7A">
      <w:pPr>
        <w:tabs>
          <w:tab w:val="left" w:pos="288"/>
          <w:tab w:val="left" w:pos="4752"/>
        </w:tabs>
        <w:spacing w:line="240" w:lineRule="exact"/>
        <w:jc w:val="both"/>
        <w:rPr>
          <w:rFonts w:asciiTheme="minorHAnsi" w:hAnsiTheme="minorHAnsi"/>
          <w:color w:val="auto"/>
        </w:rPr>
      </w:pPr>
    </w:p>
    <w:p w:rsidR="00DD469B" w:rsidRPr="00DD469B" w:rsidRDefault="00DD469B" w:rsidP="001B7F7A">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The following documentary evidence was considered:</w:t>
      </w:r>
    </w:p>
    <w:p w:rsidR="00DD469B" w:rsidRPr="00DD469B" w:rsidRDefault="00DD469B" w:rsidP="001B7F7A">
      <w:pPr>
        <w:tabs>
          <w:tab w:val="left" w:pos="288"/>
          <w:tab w:val="left" w:pos="4752"/>
        </w:tabs>
        <w:spacing w:line="240" w:lineRule="exact"/>
        <w:jc w:val="both"/>
        <w:rPr>
          <w:rFonts w:asciiTheme="minorHAnsi" w:hAnsiTheme="minorHAnsi"/>
          <w:color w:val="auto"/>
        </w:rPr>
      </w:pPr>
    </w:p>
    <w:p w:rsidR="00DD469B" w:rsidRPr="00DD469B" w:rsidRDefault="00DD469B" w:rsidP="001B7F7A">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A.  DD Form </w:t>
      </w:r>
      <w:r w:rsidR="00876B37" w:rsidRPr="00DD469B">
        <w:rPr>
          <w:rFonts w:asciiTheme="minorHAnsi" w:hAnsiTheme="minorHAnsi"/>
          <w:color w:val="auto"/>
        </w:rPr>
        <w:t>294</w:t>
      </w:r>
      <w:r w:rsidRPr="00DD469B">
        <w:rPr>
          <w:rFonts w:asciiTheme="minorHAnsi" w:hAnsiTheme="minorHAnsi"/>
          <w:color w:val="auto"/>
        </w:rPr>
        <w:t xml:space="preserve"> dated 20</w:t>
      </w:r>
      <w:r w:rsidR="00876B37">
        <w:rPr>
          <w:rFonts w:asciiTheme="minorHAnsi" w:hAnsiTheme="minorHAnsi"/>
          <w:color w:val="auto"/>
        </w:rPr>
        <w:t>101010</w:t>
      </w:r>
      <w:r w:rsidR="00B8323C">
        <w:rPr>
          <w:rFonts w:asciiTheme="minorHAnsi" w:hAnsiTheme="minorHAnsi"/>
          <w:color w:val="auto"/>
        </w:rPr>
        <w:t xml:space="preserve"> w/</w:t>
      </w:r>
      <w:proofErr w:type="spellStart"/>
      <w:r w:rsidR="00B8323C">
        <w:rPr>
          <w:rFonts w:asciiTheme="minorHAnsi" w:hAnsiTheme="minorHAnsi"/>
          <w:color w:val="auto"/>
        </w:rPr>
        <w:t>atchs</w:t>
      </w:r>
      <w:proofErr w:type="spellEnd"/>
    </w:p>
    <w:p w:rsidR="00DD469B" w:rsidRPr="00DD469B" w:rsidRDefault="00DD469B" w:rsidP="001B7F7A">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B.  Service </w:t>
      </w:r>
      <w:r w:rsidR="00B8323C">
        <w:rPr>
          <w:rFonts w:asciiTheme="minorHAnsi" w:hAnsiTheme="minorHAnsi"/>
          <w:color w:val="auto"/>
        </w:rPr>
        <w:t>Treatment Record</w:t>
      </w:r>
    </w:p>
    <w:p w:rsidR="00DD469B" w:rsidRPr="00DD469B" w:rsidRDefault="00DD469B" w:rsidP="001B7F7A">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Exhibit C.  Department of Vet</w:t>
      </w:r>
      <w:r w:rsidR="00C56D89">
        <w:rPr>
          <w:rFonts w:asciiTheme="minorHAnsi" w:hAnsiTheme="minorHAnsi"/>
          <w:color w:val="auto"/>
        </w:rPr>
        <w:t>erans' Affairs Treatment Record</w:t>
      </w:r>
    </w:p>
    <w:p w:rsidR="00DD469B" w:rsidRPr="00DD469B" w:rsidRDefault="00DD469B" w:rsidP="001B7F7A">
      <w:pPr>
        <w:tabs>
          <w:tab w:val="left" w:pos="288"/>
          <w:tab w:val="left" w:pos="4752"/>
        </w:tabs>
        <w:spacing w:line="240" w:lineRule="exact"/>
        <w:jc w:val="both"/>
        <w:rPr>
          <w:rFonts w:asciiTheme="minorHAnsi" w:hAnsiTheme="minorHAnsi"/>
          <w:color w:val="auto"/>
        </w:rPr>
      </w:pPr>
    </w:p>
    <w:p w:rsidR="00DD469B" w:rsidRPr="00DD469B" w:rsidRDefault="00DD469B" w:rsidP="001B7F7A">
      <w:pPr>
        <w:tabs>
          <w:tab w:val="left" w:pos="288"/>
          <w:tab w:val="left" w:pos="4752"/>
        </w:tabs>
        <w:spacing w:line="240" w:lineRule="exact"/>
        <w:jc w:val="both"/>
        <w:rPr>
          <w:rFonts w:asciiTheme="minorHAnsi" w:hAnsiTheme="minorHAnsi"/>
          <w:color w:val="auto"/>
        </w:rPr>
      </w:pPr>
    </w:p>
    <w:p w:rsidR="00DD469B" w:rsidRPr="00DD469B" w:rsidRDefault="00DD469B" w:rsidP="001B7F7A">
      <w:pPr>
        <w:tabs>
          <w:tab w:val="left" w:pos="0"/>
          <w:tab w:val="left" w:pos="4320"/>
        </w:tabs>
        <w:spacing w:line="240" w:lineRule="exact"/>
        <w:jc w:val="both"/>
        <w:rPr>
          <w:rFonts w:asciiTheme="minorHAnsi" w:hAnsiTheme="minorHAnsi"/>
          <w:color w:val="auto"/>
        </w:rPr>
      </w:pPr>
      <w:r w:rsidRPr="00DD469B">
        <w:rPr>
          <w:rFonts w:asciiTheme="minorHAnsi" w:hAnsiTheme="minorHAnsi"/>
          <w:color w:val="auto"/>
        </w:rPr>
        <w:t xml:space="preserve">                             </w:t>
      </w:r>
      <w:r w:rsidRPr="00DD469B">
        <w:rPr>
          <w:rFonts w:asciiTheme="minorHAnsi" w:hAnsiTheme="minorHAnsi"/>
          <w:color w:val="auto"/>
        </w:rPr>
        <w:tab/>
      </w:r>
      <w:r w:rsidRPr="00DD469B">
        <w:rPr>
          <w:rFonts w:asciiTheme="minorHAnsi" w:hAnsiTheme="minorHAnsi"/>
          <w:color w:val="auto"/>
        </w:rPr>
        <w:tab/>
      </w:r>
      <w:r w:rsidR="00A416A5">
        <w:rPr>
          <w:rFonts w:asciiTheme="minorHAnsi" w:hAnsiTheme="minorHAnsi"/>
          <w:color w:val="auto"/>
        </w:rPr>
        <w:t>President</w:t>
      </w:r>
    </w:p>
    <w:p w:rsidR="00FE2692" w:rsidRDefault="00DD469B" w:rsidP="001B7F7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DD469B">
        <w:rPr>
          <w:rFonts w:asciiTheme="minorHAnsi" w:hAnsiTheme="minorHAnsi"/>
          <w:color w:val="auto"/>
        </w:rPr>
        <w:tab/>
        <w:t xml:space="preserve">                           </w:t>
      </w:r>
      <w:r w:rsidRPr="00DD469B">
        <w:rPr>
          <w:rFonts w:asciiTheme="minorHAnsi" w:hAnsiTheme="minorHAnsi"/>
          <w:color w:val="auto"/>
        </w:rPr>
        <w:tab/>
      </w:r>
      <w:r w:rsidR="00876B37">
        <w:rPr>
          <w:rFonts w:asciiTheme="minorHAnsi" w:hAnsiTheme="minorHAnsi"/>
          <w:color w:val="auto"/>
        </w:rPr>
        <w:t xml:space="preserve"> </w:t>
      </w:r>
      <w:r w:rsidR="00876B37">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t>Physical Disability Board of Review</w:t>
      </w:r>
    </w:p>
    <w:p w:rsidR="00FE2692" w:rsidRDefault="00FE2692">
      <w:pPr>
        <w:rPr>
          <w:rFonts w:asciiTheme="minorHAnsi" w:hAnsiTheme="minorHAnsi"/>
          <w:color w:val="auto"/>
        </w:rPr>
      </w:pPr>
      <w:r>
        <w:rPr>
          <w:rFonts w:asciiTheme="minorHAnsi" w:hAnsiTheme="minorHAnsi"/>
          <w:color w:val="auto"/>
        </w:rPr>
        <w:br w:type="page"/>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lastRenderedPageBreak/>
        <w:t>SFMR-RB</w:t>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 xml:space="preserve">MEMORANDUM FOR Commander, US Army Physical Disability Agency </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 xml:space="preserve">SUBJECT:  Department of Defense Physical Disability Board of Review Recommendation </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1.  Under the authority of Title 10, United States Code, section 1554(a), I approve the enclosed recommendation of the Department of Defense Physical Disability Board of Review (</w:t>
      </w:r>
      <w:proofErr w:type="spellStart"/>
      <w:r w:rsidRPr="00FE2692">
        <w:rPr>
          <w:rFonts w:asciiTheme="minorHAnsi" w:hAnsiTheme="minorHAnsi"/>
          <w:color w:val="auto"/>
        </w:rPr>
        <w:t>DoD</w:t>
      </w:r>
      <w:proofErr w:type="spellEnd"/>
      <w:r w:rsidRPr="00FE2692">
        <w:rPr>
          <w:rFonts w:asciiTheme="minorHAnsi" w:hAnsiTheme="minorHAnsi"/>
          <w:color w:val="auto"/>
        </w:rPr>
        <w:t xml:space="preserve"> PDBR) pertaining to the individual named in the subject line above to </w:t>
      </w:r>
      <w:proofErr w:type="spellStart"/>
      <w:r w:rsidRPr="00FE2692">
        <w:rPr>
          <w:rFonts w:asciiTheme="minorHAnsi" w:hAnsiTheme="minorHAnsi"/>
          <w:color w:val="auto"/>
        </w:rPr>
        <w:t>recharacterize</w:t>
      </w:r>
      <w:proofErr w:type="spellEnd"/>
      <w:r w:rsidRPr="00FE2692">
        <w:rPr>
          <w:rFonts w:asciiTheme="minorHAnsi" w:hAnsiTheme="minorHAnsi"/>
          <w:color w:val="auto"/>
        </w:rPr>
        <w:t xml:space="preserve"> the individual’s separation as a permanent disability retirement with the combined disability rating of 30% effective the date of the individual’s original medical separation for disability with severance pay.  </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2.  I direct that all the Department of the Army records of the individual concerned be corrected accordingly no later than 120 days from the date of this memorandum:</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ab/>
        <w:t>a.  Providing a correction to the individual’s separation document showing that the individual was separated by reason of permanent disability retirement effective the date of the original medical separation for disability with severance pay.</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ab/>
      </w:r>
      <w:proofErr w:type="gramStart"/>
      <w:r w:rsidRPr="00FE2692">
        <w:rPr>
          <w:rFonts w:asciiTheme="minorHAnsi" w:hAnsiTheme="minorHAnsi"/>
          <w:color w:val="auto"/>
        </w:rPr>
        <w:t>b.  Providing</w:t>
      </w:r>
      <w:proofErr w:type="gramEnd"/>
      <w:r w:rsidRPr="00FE2692">
        <w:rPr>
          <w:rFonts w:asciiTheme="minorHAnsi" w:hAnsiTheme="minorHAnsi"/>
          <w:color w:val="auto"/>
        </w:rPr>
        <w:t xml:space="preserve"> orders showing that the individual was retired with permanent disability effective the date of the original medical separation for disability with severance pay.</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ab/>
      </w:r>
      <w:proofErr w:type="gramStart"/>
      <w:r w:rsidRPr="00FE2692">
        <w:rPr>
          <w:rFonts w:asciiTheme="minorHAnsi" w:hAnsiTheme="minorHAnsi"/>
          <w:color w:val="auto"/>
        </w:rPr>
        <w:t>c.  Adjusting</w:t>
      </w:r>
      <w:proofErr w:type="gramEnd"/>
      <w:r w:rsidRPr="00FE2692">
        <w:rPr>
          <w:rFonts w:asciiTheme="minorHAnsi" w:hAnsiTheme="minorHAnsi"/>
          <w:color w:val="auto"/>
        </w:rPr>
        <w:t xml:space="preserve"> pay and allowances accordingly.  Pay and allowance adjustment will account for recoupment of severance pay, and payment of permanent retired pay at 30% effective the date of the original medical separation for disability with severance pay.</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ab/>
      </w:r>
      <w:proofErr w:type="gramStart"/>
      <w:r w:rsidRPr="00FE2692">
        <w:rPr>
          <w:rFonts w:asciiTheme="minorHAnsi" w:hAnsiTheme="minorHAnsi"/>
          <w:color w:val="auto"/>
        </w:rPr>
        <w:t xml:space="preserve">d.  </w:t>
      </w:r>
      <w:proofErr w:type="gramEnd"/>
      <w:r w:rsidRPr="00FE2692">
        <w:rPr>
          <w:rFonts w:asciiTheme="minorHAnsi" w:hAnsiTheme="minorHAnsi"/>
          <w:color w:val="auto"/>
        </w:rPr>
        <w:t>Affording the individual the opportunity to elect Survivor Benefit Plan (SBP) and medical TRICARE retiree options.</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BY ORDER OF THE SECRETARY OF THE ARMY:</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bookmarkStart w:id="0" w:name="OLE_LINK3"/>
      <w:bookmarkStart w:id="1" w:name="OLE_LINK4"/>
      <w:r w:rsidRPr="00FE2692">
        <w:rPr>
          <w:rFonts w:asciiTheme="minorHAnsi" w:hAnsiTheme="minorHAnsi"/>
          <w:color w:val="auto"/>
        </w:rPr>
        <w:t>Encl</w:t>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t xml:space="preserve">     Deputy Assistant Secretary</w:t>
      </w:r>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r>
      <w:r w:rsidRPr="00FE2692">
        <w:rPr>
          <w:rFonts w:asciiTheme="minorHAnsi" w:hAnsiTheme="minorHAnsi"/>
          <w:color w:val="auto"/>
        </w:rPr>
        <w:tab/>
        <w:t xml:space="preserve">         (Army Review Boards)</w:t>
      </w:r>
      <w:bookmarkEnd w:id="0"/>
      <w:bookmarkEnd w:id="1"/>
    </w:p>
    <w:p w:rsidR="00FE2692" w:rsidRPr="00FE2692" w:rsidRDefault="00FE2692" w:rsidP="00FE269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43DCA" w:rsidRDefault="00A43DCA" w:rsidP="001B7F7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43DCA"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CA" w:rsidRDefault="002D57CA">
      <w:r>
        <w:separator/>
      </w:r>
    </w:p>
  </w:endnote>
  <w:endnote w:type="continuationSeparator" w:id="0">
    <w:p w:rsidR="002D57CA" w:rsidRDefault="002D5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5F" w:rsidRDefault="00FD2644">
    <w:pPr>
      <w:pStyle w:val="Footer"/>
      <w:framePr w:wrap="around" w:vAnchor="text" w:hAnchor="margin" w:xAlign="center" w:y="1"/>
      <w:rPr>
        <w:rStyle w:val="PageNumber"/>
      </w:rPr>
    </w:pPr>
    <w:r>
      <w:rPr>
        <w:rStyle w:val="PageNumber"/>
      </w:rPr>
      <w:fldChar w:fldCharType="begin"/>
    </w:r>
    <w:r w:rsidR="002E3F5F">
      <w:rPr>
        <w:rStyle w:val="PageNumber"/>
      </w:rPr>
      <w:instrText xml:space="preserve">PAGE  </w:instrText>
    </w:r>
    <w:r>
      <w:rPr>
        <w:rStyle w:val="PageNumber"/>
      </w:rPr>
      <w:fldChar w:fldCharType="separate"/>
    </w:r>
    <w:r w:rsidR="002E3F5F">
      <w:rPr>
        <w:rStyle w:val="PageNumber"/>
        <w:noProof/>
      </w:rPr>
      <w:t>2</w:t>
    </w:r>
    <w:r>
      <w:rPr>
        <w:rStyle w:val="PageNumber"/>
      </w:rPr>
      <w:fldChar w:fldCharType="end"/>
    </w:r>
  </w:p>
  <w:p w:rsidR="002E3F5F" w:rsidRDefault="002E3F5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5F" w:rsidRPr="00AC713F" w:rsidRDefault="00FD2644">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E3F5F"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E2692">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2E3F5F" w:rsidRPr="00396779" w:rsidRDefault="002E3F5F"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1001184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CA" w:rsidRDefault="002D57CA">
      <w:r>
        <w:separator/>
      </w:r>
    </w:p>
  </w:footnote>
  <w:footnote w:type="continuationSeparator" w:id="0">
    <w:p w:rsidR="002D57CA" w:rsidRDefault="002D5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6978"/>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176C"/>
    <w:rsid w:val="00022CF3"/>
    <w:rsid w:val="00023913"/>
    <w:rsid w:val="00023D43"/>
    <w:rsid w:val="00032E07"/>
    <w:rsid w:val="000332CA"/>
    <w:rsid w:val="0003374E"/>
    <w:rsid w:val="000344E6"/>
    <w:rsid w:val="00035C3A"/>
    <w:rsid w:val="00036E4B"/>
    <w:rsid w:val="000379D0"/>
    <w:rsid w:val="00040E2E"/>
    <w:rsid w:val="00040FC4"/>
    <w:rsid w:val="000414C7"/>
    <w:rsid w:val="00041598"/>
    <w:rsid w:val="000416F8"/>
    <w:rsid w:val="00042C26"/>
    <w:rsid w:val="00043382"/>
    <w:rsid w:val="00044623"/>
    <w:rsid w:val="00051622"/>
    <w:rsid w:val="00052234"/>
    <w:rsid w:val="00053D7C"/>
    <w:rsid w:val="000577C9"/>
    <w:rsid w:val="000600EE"/>
    <w:rsid w:val="0006431E"/>
    <w:rsid w:val="00065E21"/>
    <w:rsid w:val="00065EA0"/>
    <w:rsid w:val="00067570"/>
    <w:rsid w:val="00071D69"/>
    <w:rsid w:val="00072433"/>
    <w:rsid w:val="00075702"/>
    <w:rsid w:val="000775C2"/>
    <w:rsid w:val="000806AD"/>
    <w:rsid w:val="00081D83"/>
    <w:rsid w:val="00082482"/>
    <w:rsid w:val="00087051"/>
    <w:rsid w:val="0008708B"/>
    <w:rsid w:val="00092619"/>
    <w:rsid w:val="00092C66"/>
    <w:rsid w:val="000943E8"/>
    <w:rsid w:val="00094E4F"/>
    <w:rsid w:val="000A2BCE"/>
    <w:rsid w:val="000A41E3"/>
    <w:rsid w:val="000A4BBA"/>
    <w:rsid w:val="000A5071"/>
    <w:rsid w:val="000B0995"/>
    <w:rsid w:val="000B4C99"/>
    <w:rsid w:val="000C06F6"/>
    <w:rsid w:val="000C1D34"/>
    <w:rsid w:val="000C2362"/>
    <w:rsid w:val="000C3C13"/>
    <w:rsid w:val="000C53F9"/>
    <w:rsid w:val="000C5813"/>
    <w:rsid w:val="000C6FCA"/>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E7FFD"/>
    <w:rsid w:val="000F02BE"/>
    <w:rsid w:val="000F2C15"/>
    <w:rsid w:val="000F427B"/>
    <w:rsid w:val="000F7181"/>
    <w:rsid w:val="001008C1"/>
    <w:rsid w:val="001023DB"/>
    <w:rsid w:val="00103CCF"/>
    <w:rsid w:val="0010417F"/>
    <w:rsid w:val="001042D2"/>
    <w:rsid w:val="0010530E"/>
    <w:rsid w:val="00105C07"/>
    <w:rsid w:val="00106AD8"/>
    <w:rsid w:val="00107EC5"/>
    <w:rsid w:val="001103CD"/>
    <w:rsid w:val="001118D9"/>
    <w:rsid w:val="001121B8"/>
    <w:rsid w:val="00114F20"/>
    <w:rsid w:val="00115192"/>
    <w:rsid w:val="001211AF"/>
    <w:rsid w:val="001219DF"/>
    <w:rsid w:val="00122ABE"/>
    <w:rsid w:val="001231DC"/>
    <w:rsid w:val="001272AE"/>
    <w:rsid w:val="001315DD"/>
    <w:rsid w:val="0013525F"/>
    <w:rsid w:val="00135385"/>
    <w:rsid w:val="001364D1"/>
    <w:rsid w:val="00142EBA"/>
    <w:rsid w:val="00143B79"/>
    <w:rsid w:val="00146F50"/>
    <w:rsid w:val="00150B8A"/>
    <w:rsid w:val="00150DCB"/>
    <w:rsid w:val="00151912"/>
    <w:rsid w:val="00153740"/>
    <w:rsid w:val="001541C5"/>
    <w:rsid w:val="0015623F"/>
    <w:rsid w:val="00156585"/>
    <w:rsid w:val="00156BA9"/>
    <w:rsid w:val="00161761"/>
    <w:rsid w:val="00166182"/>
    <w:rsid w:val="001721B3"/>
    <w:rsid w:val="001745DD"/>
    <w:rsid w:val="00177659"/>
    <w:rsid w:val="001779E5"/>
    <w:rsid w:val="00182A4C"/>
    <w:rsid w:val="00183F77"/>
    <w:rsid w:val="001844D8"/>
    <w:rsid w:val="00185DA8"/>
    <w:rsid w:val="00185ECB"/>
    <w:rsid w:val="001865E0"/>
    <w:rsid w:val="001870F0"/>
    <w:rsid w:val="00190E48"/>
    <w:rsid w:val="0019273F"/>
    <w:rsid w:val="00192F08"/>
    <w:rsid w:val="00193814"/>
    <w:rsid w:val="00193AD5"/>
    <w:rsid w:val="0019423F"/>
    <w:rsid w:val="001943C2"/>
    <w:rsid w:val="00194930"/>
    <w:rsid w:val="001A08CD"/>
    <w:rsid w:val="001A0A1E"/>
    <w:rsid w:val="001A3B3E"/>
    <w:rsid w:val="001A5320"/>
    <w:rsid w:val="001A5E62"/>
    <w:rsid w:val="001A6848"/>
    <w:rsid w:val="001A7538"/>
    <w:rsid w:val="001B05BA"/>
    <w:rsid w:val="001B0B1A"/>
    <w:rsid w:val="001B4EC2"/>
    <w:rsid w:val="001B5B59"/>
    <w:rsid w:val="001B60E0"/>
    <w:rsid w:val="001B771C"/>
    <w:rsid w:val="001B7C8C"/>
    <w:rsid w:val="001B7F7A"/>
    <w:rsid w:val="001C181A"/>
    <w:rsid w:val="001C1877"/>
    <w:rsid w:val="001C2053"/>
    <w:rsid w:val="001C252F"/>
    <w:rsid w:val="001C28D1"/>
    <w:rsid w:val="001C5CFC"/>
    <w:rsid w:val="001C7418"/>
    <w:rsid w:val="001C769B"/>
    <w:rsid w:val="001C7EBE"/>
    <w:rsid w:val="001D0051"/>
    <w:rsid w:val="001D2224"/>
    <w:rsid w:val="001D31AA"/>
    <w:rsid w:val="001D4C52"/>
    <w:rsid w:val="001D4F88"/>
    <w:rsid w:val="001D68CF"/>
    <w:rsid w:val="001D6A8C"/>
    <w:rsid w:val="001D7A56"/>
    <w:rsid w:val="001E15C0"/>
    <w:rsid w:val="001E18E0"/>
    <w:rsid w:val="001E18E2"/>
    <w:rsid w:val="001E19D0"/>
    <w:rsid w:val="001E2A30"/>
    <w:rsid w:val="001F2E9E"/>
    <w:rsid w:val="00200AA0"/>
    <w:rsid w:val="00202325"/>
    <w:rsid w:val="00202736"/>
    <w:rsid w:val="00203652"/>
    <w:rsid w:val="00205B4F"/>
    <w:rsid w:val="002060B6"/>
    <w:rsid w:val="002066B5"/>
    <w:rsid w:val="002119B6"/>
    <w:rsid w:val="00212A9F"/>
    <w:rsid w:val="00212B40"/>
    <w:rsid w:val="00213BD0"/>
    <w:rsid w:val="002149C9"/>
    <w:rsid w:val="00215ED6"/>
    <w:rsid w:val="00216049"/>
    <w:rsid w:val="00217485"/>
    <w:rsid w:val="00217606"/>
    <w:rsid w:val="00217C09"/>
    <w:rsid w:val="00220F5C"/>
    <w:rsid w:val="00225196"/>
    <w:rsid w:val="00225CB4"/>
    <w:rsid w:val="002271AF"/>
    <w:rsid w:val="002272CA"/>
    <w:rsid w:val="0023049F"/>
    <w:rsid w:val="002316F6"/>
    <w:rsid w:val="00232C9B"/>
    <w:rsid w:val="00232F09"/>
    <w:rsid w:val="002335D5"/>
    <w:rsid w:val="002338CA"/>
    <w:rsid w:val="00233FE5"/>
    <w:rsid w:val="002345B7"/>
    <w:rsid w:val="00234B3B"/>
    <w:rsid w:val="002359D6"/>
    <w:rsid w:val="00240729"/>
    <w:rsid w:val="0024174E"/>
    <w:rsid w:val="0024227D"/>
    <w:rsid w:val="00242D14"/>
    <w:rsid w:val="00246860"/>
    <w:rsid w:val="00246DFF"/>
    <w:rsid w:val="00246E89"/>
    <w:rsid w:val="0025183C"/>
    <w:rsid w:val="002528EC"/>
    <w:rsid w:val="00252A2F"/>
    <w:rsid w:val="00252E39"/>
    <w:rsid w:val="00255049"/>
    <w:rsid w:val="00257DE5"/>
    <w:rsid w:val="00260531"/>
    <w:rsid w:val="0026318D"/>
    <w:rsid w:val="00270864"/>
    <w:rsid w:val="002712F7"/>
    <w:rsid w:val="0027159C"/>
    <w:rsid w:val="00274549"/>
    <w:rsid w:val="00274E46"/>
    <w:rsid w:val="00276C86"/>
    <w:rsid w:val="002810A4"/>
    <w:rsid w:val="00284A26"/>
    <w:rsid w:val="00284A7F"/>
    <w:rsid w:val="00287006"/>
    <w:rsid w:val="00287A36"/>
    <w:rsid w:val="002909F9"/>
    <w:rsid w:val="00292AB2"/>
    <w:rsid w:val="00294437"/>
    <w:rsid w:val="002A13BF"/>
    <w:rsid w:val="002A3237"/>
    <w:rsid w:val="002A58B7"/>
    <w:rsid w:val="002A5943"/>
    <w:rsid w:val="002A5C3C"/>
    <w:rsid w:val="002A685E"/>
    <w:rsid w:val="002A72C7"/>
    <w:rsid w:val="002B03B2"/>
    <w:rsid w:val="002B0749"/>
    <w:rsid w:val="002B2645"/>
    <w:rsid w:val="002B4A7D"/>
    <w:rsid w:val="002B6FA0"/>
    <w:rsid w:val="002C22B3"/>
    <w:rsid w:val="002C5F10"/>
    <w:rsid w:val="002C6E5B"/>
    <w:rsid w:val="002D18B4"/>
    <w:rsid w:val="002D231A"/>
    <w:rsid w:val="002D4D5E"/>
    <w:rsid w:val="002D57CA"/>
    <w:rsid w:val="002E1877"/>
    <w:rsid w:val="002E1C31"/>
    <w:rsid w:val="002E333A"/>
    <w:rsid w:val="002E3474"/>
    <w:rsid w:val="002E3F5F"/>
    <w:rsid w:val="002E400C"/>
    <w:rsid w:val="002E49C3"/>
    <w:rsid w:val="002E5114"/>
    <w:rsid w:val="002E5EC9"/>
    <w:rsid w:val="002E7570"/>
    <w:rsid w:val="002E764B"/>
    <w:rsid w:val="002F0E28"/>
    <w:rsid w:val="002F2868"/>
    <w:rsid w:val="002F287E"/>
    <w:rsid w:val="002F2D63"/>
    <w:rsid w:val="002F7F81"/>
    <w:rsid w:val="00300359"/>
    <w:rsid w:val="00300A36"/>
    <w:rsid w:val="0030170C"/>
    <w:rsid w:val="0030678B"/>
    <w:rsid w:val="00310CD7"/>
    <w:rsid w:val="00315C5B"/>
    <w:rsid w:val="00316956"/>
    <w:rsid w:val="0032136A"/>
    <w:rsid w:val="003227EC"/>
    <w:rsid w:val="00323E42"/>
    <w:rsid w:val="00323E70"/>
    <w:rsid w:val="00325BA2"/>
    <w:rsid w:val="00326C08"/>
    <w:rsid w:val="00326F7F"/>
    <w:rsid w:val="003320E8"/>
    <w:rsid w:val="0033334F"/>
    <w:rsid w:val="0033555E"/>
    <w:rsid w:val="00336805"/>
    <w:rsid w:val="00337351"/>
    <w:rsid w:val="00341A54"/>
    <w:rsid w:val="0034669F"/>
    <w:rsid w:val="00351498"/>
    <w:rsid w:val="00352B22"/>
    <w:rsid w:val="00354547"/>
    <w:rsid w:val="003567DE"/>
    <w:rsid w:val="003574F3"/>
    <w:rsid w:val="00361BE6"/>
    <w:rsid w:val="0036319E"/>
    <w:rsid w:val="003632A4"/>
    <w:rsid w:val="00363362"/>
    <w:rsid w:val="00367D4F"/>
    <w:rsid w:val="00370743"/>
    <w:rsid w:val="00370EF5"/>
    <w:rsid w:val="0037135B"/>
    <w:rsid w:val="003720B7"/>
    <w:rsid w:val="00372251"/>
    <w:rsid w:val="00373029"/>
    <w:rsid w:val="00373B06"/>
    <w:rsid w:val="0037520D"/>
    <w:rsid w:val="00375724"/>
    <w:rsid w:val="00375809"/>
    <w:rsid w:val="0037628C"/>
    <w:rsid w:val="00376B81"/>
    <w:rsid w:val="00377BD2"/>
    <w:rsid w:val="003821E1"/>
    <w:rsid w:val="00384866"/>
    <w:rsid w:val="003857D4"/>
    <w:rsid w:val="00385D6F"/>
    <w:rsid w:val="00387095"/>
    <w:rsid w:val="00390092"/>
    <w:rsid w:val="00390EED"/>
    <w:rsid w:val="00393651"/>
    <w:rsid w:val="00395E12"/>
    <w:rsid w:val="00396779"/>
    <w:rsid w:val="003974C8"/>
    <w:rsid w:val="00397DB7"/>
    <w:rsid w:val="003A27B2"/>
    <w:rsid w:val="003A40B4"/>
    <w:rsid w:val="003A41BA"/>
    <w:rsid w:val="003A5284"/>
    <w:rsid w:val="003A6A99"/>
    <w:rsid w:val="003A77A0"/>
    <w:rsid w:val="003A7FF8"/>
    <w:rsid w:val="003B17AC"/>
    <w:rsid w:val="003B227A"/>
    <w:rsid w:val="003B5854"/>
    <w:rsid w:val="003B6764"/>
    <w:rsid w:val="003C205F"/>
    <w:rsid w:val="003C3F1E"/>
    <w:rsid w:val="003C6068"/>
    <w:rsid w:val="003D2BA3"/>
    <w:rsid w:val="003D3C22"/>
    <w:rsid w:val="003D7089"/>
    <w:rsid w:val="003D7DDB"/>
    <w:rsid w:val="003E02C7"/>
    <w:rsid w:val="003E0543"/>
    <w:rsid w:val="003E076F"/>
    <w:rsid w:val="003E0B5A"/>
    <w:rsid w:val="003E31E3"/>
    <w:rsid w:val="003E4423"/>
    <w:rsid w:val="003E46D1"/>
    <w:rsid w:val="003E6214"/>
    <w:rsid w:val="003F070E"/>
    <w:rsid w:val="003F58B0"/>
    <w:rsid w:val="004007E9"/>
    <w:rsid w:val="00401825"/>
    <w:rsid w:val="00401BBC"/>
    <w:rsid w:val="00403BFB"/>
    <w:rsid w:val="00404B45"/>
    <w:rsid w:val="00404D2C"/>
    <w:rsid w:val="00406CC5"/>
    <w:rsid w:val="004074A4"/>
    <w:rsid w:val="004101B2"/>
    <w:rsid w:val="004123D7"/>
    <w:rsid w:val="00412658"/>
    <w:rsid w:val="004172DB"/>
    <w:rsid w:val="00421485"/>
    <w:rsid w:val="00422B75"/>
    <w:rsid w:val="00433F36"/>
    <w:rsid w:val="0043503A"/>
    <w:rsid w:val="0044203D"/>
    <w:rsid w:val="0044384F"/>
    <w:rsid w:val="00444F80"/>
    <w:rsid w:val="00446018"/>
    <w:rsid w:val="004543BC"/>
    <w:rsid w:val="0045645D"/>
    <w:rsid w:val="004574C6"/>
    <w:rsid w:val="00457BCF"/>
    <w:rsid w:val="00457DCE"/>
    <w:rsid w:val="00460E3F"/>
    <w:rsid w:val="0046260D"/>
    <w:rsid w:val="00462F68"/>
    <w:rsid w:val="00466CED"/>
    <w:rsid w:val="00467592"/>
    <w:rsid w:val="00467690"/>
    <w:rsid w:val="004718E7"/>
    <w:rsid w:val="0047207F"/>
    <w:rsid w:val="00472535"/>
    <w:rsid w:val="004761CC"/>
    <w:rsid w:val="00480D4A"/>
    <w:rsid w:val="00481DA1"/>
    <w:rsid w:val="00484212"/>
    <w:rsid w:val="00485BC5"/>
    <w:rsid w:val="0049255F"/>
    <w:rsid w:val="004943A0"/>
    <w:rsid w:val="0049445D"/>
    <w:rsid w:val="00495350"/>
    <w:rsid w:val="00497156"/>
    <w:rsid w:val="004A0C79"/>
    <w:rsid w:val="004A24D2"/>
    <w:rsid w:val="004A3214"/>
    <w:rsid w:val="004A4136"/>
    <w:rsid w:val="004A417B"/>
    <w:rsid w:val="004A4222"/>
    <w:rsid w:val="004A49BE"/>
    <w:rsid w:val="004A65DE"/>
    <w:rsid w:val="004B03F3"/>
    <w:rsid w:val="004B0CC9"/>
    <w:rsid w:val="004B2536"/>
    <w:rsid w:val="004B6AF3"/>
    <w:rsid w:val="004B715E"/>
    <w:rsid w:val="004B7169"/>
    <w:rsid w:val="004B79C9"/>
    <w:rsid w:val="004C132A"/>
    <w:rsid w:val="004C4658"/>
    <w:rsid w:val="004C5E33"/>
    <w:rsid w:val="004C6CDA"/>
    <w:rsid w:val="004D10D4"/>
    <w:rsid w:val="004D16BD"/>
    <w:rsid w:val="004D2AAB"/>
    <w:rsid w:val="004D6F2B"/>
    <w:rsid w:val="004E0248"/>
    <w:rsid w:val="004E21A3"/>
    <w:rsid w:val="004E32EA"/>
    <w:rsid w:val="004E6866"/>
    <w:rsid w:val="004F3222"/>
    <w:rsid w:val="004F3BFA"/>
    <w:rsid w:val="004F4852"/>
    <w:rsid w:val="004F681C"/>
    <w:rsid w:val="005000AB"/>
    <w:rsid w:val="005025EE"/>
    <w:rsid w:val="00506E66"/>
    <w:rsid w:val="00507389"/>
    <w:rsid w:val="00510588"/>
    <w:rsid w:val="0051146C"/>
    <w:rsid w:val="00514449"/>
    <w:rsid w:val="005157BD"/>
    <w:rsid w:val="005214A3"/>
    <w:rsid w:val="005219B2"/>
    <w:rsid w:val="005222E7"/>
    <w:rsid w:val="00523A8B"/>
    <w:rsid w:val="00523E04"/>
    <w:rsid w:val="0052590B"/>
    <w:rsid w:val="00526591"/>
    <w:rsid w:val="00527178"/>
    <w:rsid w:val="0052787A"/>
    <w:rsid w:val="005278CB"/>
    <w:rsid w:val="00534D42"/>
    <w:rsid w:val="005350A5"/>
    <w:rsid w:val="00536379"/>
    <w:rsid w:val="00537238"/>
    <w:rsid w:val="005400C5"/>
    <w:rsid w:val="00540BEF"/>
    <w:rsid w:val="00542C9A"/>
    <w:rsid w:val="005436C2"/>
    <w:rsid w:val="005442D4"/>
    <w:rsid w:val="0054586A"/>
    <w:rsid w:val="0054631F"/>
    <w:rsid w:val="005524B9"/>
    <w:rsid w:val="0055288D"/>
    <w:rsid w:val="005540B8"/>
    <w:rsid w:val="00555259"/>
    <w:rsid w:val="00560D57"/>
    <w:rsid w:val="00562A94"/>
    <w:rsid w:val="005668BA"/>
    <w:rsid w:val="00567FC8"/>
    <w:rsid w:val="005709F7"/>
    <w:rsid w:val="005710A9"/>
    <w:rsid w:val="00571D1B"/>
    <w:rsid w:val="005738F5"/>
    <w:rsid w:val="00573D31"/>
    <w:rsid w:val="0058039C"/>
    <w:rsid w:val="00584C08"/>
    <w:rsid w:val="00593043"/>
    <w:rsid w:val="00595BF0"/>
    <w:rsid w:val="005A1846"/>
    <w:rsid w:val="005A258C"/>
    <w:rsid w:val="005A3560"/>
    <w:rsid w:val="005A464E"/>
    <w:rsid w:val="005A5711"/>
    <w:rsid w:val="005A6C99"/>
    <w:rsid w:val="005A7D5D"/>
    <w:rsid w:val="005B011A"/>
    <w:rsid w:val="005B1D8F"/>
    <w:rsid w:val="005B1E94"/>
    <w:rsid w:val="005B5B3D"/>
    <w:rsid w:val="005B64CF"/>
    <w:rsid w:val="005C09FE"/>
    <w:rsid w:val="005C16F3"/>
    <w:rsid w:val="005C18BE"/>
    <w:rsid w:val="005C2540"/>
    <w:rsid w:val="005C3339"/>
    <w:rsid w:val="005C3758"/>
    <w:rsid w:val="005E2E89"/>
    <w:rsid w:val="005E3064"/>
    <w:rsid w:val="005E72B2"/>
    <w:rsid w:val="005F1115"/>
    <w:rsid w:val="005F1AB6"/>
    <w:rsid w:val="005F26BA"/>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BDC"/>
    <w:rsid w:val="006418C9"/>
    <w:rsid w:val="00641D0D"/>
    <w:rsid w:val="00642BD6"/>
    <w:rsid w:val="00643234"/>
    <w:rsid w:val="00645046"/>
    <w:rsid w:val="0064527A"/>
    <w:rsid w:val="00645A34"/>
    <w:rsid w:val="00645EA2"/>
    <w:rsid w:val="0065030A"/>
    <w:rsid w:val="006535A1"/>
    <w:rsid w:val="00653CCA"/>
    <w:rsid w:val="00653D2D"/>
    <w:rsid w:val="00653F54"/>
    <w:rsid w:val="0065449B"/>
    <w:rsid w:val="0065461E"/>
    <w:rsid w:val="006573F2"/>
    <w:rsid w:val="00662F08"/>
    <w:rsid w:val="00663589"/>
    <w:rsid w:val="006708E3"/>
    <w:rsid w:val="00670B37"/>
    <w:rsid w:val="00670DDC"/>
    <w:rsid w:val="00671756"/>
    <w:rsid w:val="00671EB4"/>
    <w:rsid w:val="0067443B"/>
    <w:rsid w:val="006773AC"/>
    <w:rsid w:val="0067775E"/>
    <w:rsid w:val="00684E2B"/>
    <w:rsid w:val="00685F2E"/>
    <w:rsid w:val="00690FDA"/>
    <w:rsid w:val="00691E61"/>
    <w:rsid w:val="00693C5E"/>
    <w:rsid w:val="00694EEA"/>
    <w:rsid w:val="006955B4"/>
    <w:rsid w:val="00696476"/>
    <w:rsid w:val="006A10FA"/>
    <w:rsid w:val="006A40E6"/>
    <w:rsid w:val="006A5C07"/>
    <w:rsid w:val="006A5C4F"/>
    <w:rsid w:val="006A75FA"/>
    <w:rsid w:val="006A7782"/>
    <w:rsid w:val="006B07D5"/>
    <w:rsid w:val="006B1309"/>
    <w:rsid w:val="006B3923"/>
    <w:rsid w:val="006B3F3E"/>
    <w:rsid w:val="006B5923"/>
    <w:rsid w:val="006B67D9"/>
    <w:rsid w:val="006B6C14"/>
    <w:rsid w:val="006B715E"/>
    <w:rsid w:val="006C1D6E"/>
    <w:rsid w:val="006C2EF6"/>
    <w:rsid w:val="006C3A68"/>
    <w:rsid w:val="006C6AB1"/>
    <w:rsid w:val="006D115B"/>
    <w:rsid w:val="006D2D39"/>
    <w:rsid w:val="006D4E0E"/>
    <w:rsid w:val="006D5CE2"/>
    <w:rsid w:val="006E06D1"/>
    <w:rsid w:val="006E1313"/>
    <w:rsid w:val="006E2DC8"/>
    <w:rsid w:val="006E7356"/>
    <w:rsid w:val="006E77C8"/>
    <w:rsid w:val="006F149D"/>
    <w:rsid w:val="006F1A46"/>
    <w:rsid w:val="006F48FC"/>
    <w:rsid w:val="006F4F06"/>
    <w:rsid w:val="006F5A4E"/>
    <w:rsid w:val="006F6005"/>
    <w:rsid w:val="006F6243"/>
    <w:rsid w:val="00703B6C"/>
    <w:rsid w:val="007044D1"/>
    <w:rsid w:val="00705C40"/>
    <w:rsid w:val="00706482"/>
    <w:rsid w:val="00706BEF"/>
    <w:rsid w:val="00707ECE"/>
    <w:rsid w:val="00710CE8"/>
    <w:rsid w:val="007116BC"/>
    <w:rsid w:val="0071519B"/>
    <w:rsid w:val="007165CE"/>
    <w:rsid w:val="00720968"/>
    <w:rsid w:val="00721705"/>
    <w:rsid w:val="00721D12"/>
    <w:rsid w:val="00721F8B"/>
    <w:rsid w:val="007237CE"/>
    <w:rsid w:val="00724688"/>
    <w:rsid w:val="0073062D"/>
    <w:rsid w:val="0073254D"/>
    <w:rsid w:val="00736A49"/>
    <w:rsid w:val="00737283"/>
    <w:rsid w:val="007419A1"/>
    <w:rsid w:val="00743B71"/>
    <w:rsid w:val="00743C2D"/>
    <w:rsid w:val="00743E36"/>
    <w:rsid w:val="007446F7"/>
    <w:rsid w:val="00744EBB"/>
    <w:rsid w:val="00745B0A"/>
    <w:rsid w:val="007468AC"/>
    <w:rsid w:val="00746AE2"/>
    <w:rsid w:val="00750C82"/>
    <w:rsid w:val="00750F79"/>
    <w:rsid w:val="0076100C"/>
    <w:rsid w:val="007612A5"/>
    <w:rsid w:val="00763F95"/>
    <w:rsid w:val="007651ED"/>
    <w:rsid w:val="00766C87"/>
    <w:rsid w:val="00773825"/>
    <w:rsid w:val="00780378"/>
    <w:rsid w:val="00781BD4"/>
    <w:rsid w:val="00784832"/>
    <w:rsid w:val="00785D77"/>
    <w:rsid w:val="00786111"/>
    <w:rsid w:val="00791F1E"/>
    <w:rsid w:val="00794F3D"/>
    <w:rsid w:val="00795476"/>
    <w:rsid w:val="00796045"/>
    <w:rsid w:val="007968AC"/>
    <w:rsid w:val="007969AB"/>
    <w:rsid w:val="00797882"/>
    <w:rsid w:val="007A0B39"/>
    <w:rsid w:val="007A14A4"/>
    <w:rsid w:val="007A168F"/>
    <w:rsid w:val="007A28E4"/>
    <w:rsid w:val="007A3BB3"/>
    <w:rsid w:val="007A5AD1"/>
    <w:rsid w:val="007A5B7B"/>
    <w:rsid w:val="007B0A06"/>
    <w:rsid w:val="007B2DDE"/>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59AB"/>
    <w:rsid w:val="007E7059"/>
    <w:rsid w:val="007E71B1"/>
    <w:rsid w:val="007E7B4E"/>
    <w:rsid w:val="007F0CE2"/>
    <w:rsid w:val="007F0EFF"/>
    <w:rsid w:val="007F0FB4"/>
    <w:rsid w:val="007F1375"/>
    <w:rsid w:val="008013EC"/>
    <w:rsid w:val="0080234D"/>
    <w:rsid w:val="00803850"/>
    <w:rsid w:val="00804385"/>
    <w:rsid w:val="00805AFD"/>
    <w:rsid w:val="008078D8"/>
    <w:rsid w:val="00811D5B"/>
    <w:rsid w:val="00817713"/>
    <w:rsid w:val="0082171F"/>
    <w:rsid w:val="008220F1"/>
    <w:rsid w:val="0082340B"/>
    <w:rsid w:val="008252D9"/>
    <w:rsid w:val="00827DB6"/>
    <w:rsid w:val="008304B2"/>
    <w:rsid w:val="00830999"/>
    <w:rsid w:val="00830D5E"/>
    <w:rsid w:val="00830F69"/>
    <w:rsid w:val="00833418"/>
    <w:rsid w:val="00834458"/>
    <w:rsid w:val="00834736"/>
    <w:rsid w:val="00835841"/>
    <w:rsid w:val="00837465"/>
    <w:rsid w:val="00841243"/>
    <w:rsid w:val="00841457"/>
    <w:rsid w:val="0084374E"/>
    <w:rsid w:val="00844842"/>
    <w:rsid w:val="00844DD0"/>
    <w:rsid w:val="00845F32"/>
    <w:rsid w:val="0085089F"/>
    <w:rsid w:val="00851A0E"/>
    <w:rsid w:val="0085206E"/>
    <w:rsid w:val="00852AD4"/>
    <w:rsid w:val="00852BA8"/>
    <w:rsid w:val="00853718"/>
    <w:rsid w:val="008541EF"/>
    <w:rsid w:val="00856AC7"/>
    <w:rsid w:val="00856FA4"/>
    <w:rsid w:val="0086162B"/>
    <w:rsid w:val="00861D5C"/>
    <w:rsid w:val="00864683"/>
    <w:rsid w:val="00865207"/>
    <w:rsid w:val="008656A7"/>
    <w:rsid w:val="00866231"/>
    <w:rsid w:val="008664EF"/>
    <w:rsid w:val="00871262"/>
    <w:rsid w:val="00871D4E"/>
    <w:rsid w:val="00871E7B"/>
    <w:rsid w:val="00875B51"/>
    <w:rsid w:val="00875F2D"/>
    <w:rsid w:val="008764DC"/>
    <w:rsid w:val="00876B37"/>
    <w:rsid w:val="00882CC2"/>
    <w:rsid w:val="00883930"/>
    <w:rsid w:val="00884A30"/>
    <w:rsid w:val="00896535"/>
    <w:rsid w:val="00896683"/>
    <w:rsid w:val="0089750B"/>
    <w:rsid w:val="00897589"/>
    <w:rsid w:val="008A63A9"/>
    <w:rsid w:val="008A7F7E"/>
    <w:rsid w:val="008B04DB"/>
    <w:rsid w:val="008B27FD"/>
    <w:rsid w:val="008B3AF2"/>
    <w:rsid w:val="008B446D"/>
    <w:rsid w:val="008B49AA"/>
    <w:rsid w:val="008B515D"/>
    <w:rsid w:val="008B5D31"/>
    <w:rsid w:val="008B6705"/>
    <w:rsid w:val="008C22F3"/>
    <w:rsid w:val="008C32FE"/>
    <w:rsid w:val="008D795D"/>
    <w:rsid w:val="008D7B07"/>
    <w:rsid w:val="008E1E94"/>
    <w:rsid w:val="008E2D99"/>
    <w:rsid w:val="008E4A60"/>
    <w:rsid w:val="008E744D"/>
    <w:rsid w:val="008E7BDF"/>
    <w:rsid w:val="008F1E08"/>
    <w:rsid w:val="008F3B1F"/>
    <w:rsid w:val="00900D8F"/>
    <w:rsid w:val="00900FF3"/>
    <w:rsid w:val="009014E3"/>
    <w:rsid w:val="009026E8"/>
    <w:rsid w:val="00903CDE"/>
    <w:rsid w:val="00906EB7"/>
    <w:rsid w:val="009102BF"/>
    <w:rsid w:val="00911490"/>
    <w:rsid w:val="009115F2"/>
    <w:rsid w:val="00914ADB"/>
    <w:rsid w:val="0091747B"/>
    <w:rsid w:val="009218B5"/>
    <w:rsid w:val="00923B25"/>
    <w:rsid w:val="0092402E"/>
    <w:rsid w:val="009259BA"/>
    <w:rsid w:val="0092601D"/>
    <w:rsid w:val="00926FCB"/>
    <w:rsid w:val="0093311A"/>
    <w:rsid w:val="00942645"/>
    <w:rsid w:val="00946263"/>
    <w:rsid w:val="00950A3A"/>
    <w:rsid w:val="0095340A"/>
    <w:rsid w:val="00954581"/>
    <w:rsid w:val="0095466C"/>
    <w:rsid w:val="00954E5B"/>
    <w:rsid w:val="009576BC"/>
    <w:rsid w:val="00960357"/>
    <w:rsid w:val="00960E36"/>
    <w:rsid w:val="0096168C"/>
    <w:rsid w:val="00961840"/>
    <w:rsid w:val="00962F2D"/>
    <w:rsid w:val="00966145"/>
    <w:rsid w:val="00966959"/>
    <w:rsid w:val="009672CD"/>
    <w:rsid w:val="00972996"/>
    <w:rsid w:val="009732B8"/>
    <w:rsid w:val="00975C72"/>
    <w:rsid w:val="00976869"/>
    <w:rsid w:val="00976881"/>
    <w:rsid w:val="00977740"/>
    <w:rsid w:val="00977CB4"/>
    <w:rsid w:val="00980112"/>
    <w:rsid w:val="009809B8"/>
    <w:rsid w:val="0098222D"/>
    <w:rsid w:val="00985099"/>
    <w:rsid w:val="0099421F"/>
    <w:rsid w:val="0099689A"/>
    <w:rsid w:val="009A0DE3"/>
    <w:rsid w:val="009A1643"/>
    <w:rsid w:val="009A202B"/>
    <w:rsid w:val="009A215A"/>
    <w:rsid w:val="009A2E97"/>
    <w:rsid w:val="009A49D3"/>
    <w:rsid w:val="009A4F1B"/>
    <w:rsid w:val="009A66C5"/>
    <w:rsid w:val="009A79BA"/>
    <w:rsid w:val="009B14D1"/>
    <w:rsid w:val="009B1534"/>
    <w:rsid w:val="009B4963"/>
    <w:rsid w:val="009B4A3B"/>
    <w:rsid w:val="009B69D3"/>
    <w:rsid w:val="009B7BA7"/>
    <w:rsid w:val="009B7F2F"/>
    <w:rsid w:val="009C0938"/>
    <w:rsid w:val="009C22C8"/>
    <w:rsid w:val="009C3F82"/>
    <w:rsid w:val="009C72DD"/>
    <w:rsid w:val="009C763A"/>
    <w:rsid w:val="009C7DF5"/>
    <w:rsid w:val="009D056C"/>
    <w:rsid w:val="009D060F"/>
    <w:rsid w:val="009D1ADE"/>
    <w:rsid w:val="009D37CA"/>
    <w:rsid w:val="009D6747"/>
    <w:rsid w:val="009D6758"/>
    <w:rsid w:val="009D76D4"/>
    <w:rsid w:val="009E09D0"/>
    <w:rsid w:val="009E0FCF"/>
    <w:rsid w:val="009E1283"/>
    <w:rsid w:val="009E1E0D"/>
    <w:rsid w:val="009E3A7F"/>
    <w:rsid w:val="009E57B1"/>
    <w:rsid w:val="009E6379"/>
    <w:rsid w:val="009F205F"/>
    <w:rsid w:val="009F7809"/>
    <w:rsid w:val="009F7AF5"/>
    <w:rsid w:val="00A00D14"/>
    <w:rsid w:val="00A01408"/>
    <w:rsid w:val="00A01E1E"/>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11D"/>
    <w:rsid w:val="00A23B89"/>
    <w:rsid w:val="00A23FE3"/>
    <w:rsid w:val="00A248C3"/>
    <w:rsid w:val="00A2496E"/>
    <w:rsid w:val="00A258B7"/>
    <w:rsid w:val="00A32743"/>
    <w:rsid w:val="00A368FC"/>
    <w:rsid w:val="00A414A9"/>
    <w:rsid w:val="00A416A5"/>
    <w:rsid w:val="00A43DCA"/>
    <w:rsid w:val="00A44CCA"/>
    <w:rsid w:val="00A44D75"/>
    <w:rsid w:val="00A4612C"/>
    <w:rsid w:val="00A47CF1"/>
    <w:rsid w:val="00A50418"/>
    <w:rsid w:val="00A5464D"/>
    <w:rsid w:val="00A54A47"/>
    <w:rsid w:val="00A54EFD"/>
    <w:rsid w:val="00A55D82"/>
    <w:rsid w:val="00A56D26"/>
    <w:rsid w:val="00A571A7"/>
    <w:rsid w:val="00A608FB"/>
    <w:rsid w:val="00A60D83"/>
    <w:rsid w:val="00A60F68"/>
    <w:rsid w:val="00A63DF3"/>
    <w:rsid w:val="00A6427F"/>
    <w:rsid w:val="00A65C78"/>
    <w:rsid w:val="00A660A8"/>
    <w:rsid w:val="00A67591"/>
    <w:rsid w:val="00A67CA6"/>
    <w:rsid w:val="00A70E7B"/>
    <w:rsid w:val="00A7101A"/>
    <w:rsid w:val="00A7124F"/>
    <w:rsid w:val="00A73B84"/>
    <w:rsid w:val="00A7411D"/>
    <w:rsid w:val="00A74572"/>
    <w:rsid w:val="00A76094"/>
    <w:rsid w:val="00A768E2"/>
    <w:rsid w:val="00A82C52"/>
    <w:rsid w:val="00A83967"/>
    <w:rsid w:val="00A86CB6"/>
    <w:rsid w:val="00A90D55"/>
    <w:rsid w:val="00A944D8"/>
    <w:rsid w:val="00A959E7"/>
    <w:rsid w:val="00A95BBA"/>
    <w:rsid w:val="00A961EE"/>
    <w:rsid w:val="00AA04B3"/>
    <w:rsid w:val="00AA0E42"/>
    <w:rsid w:val="00AA1253"/>
    <w:rsid w:val="00AA1ED0"/>
    <w:rsid w:val="00AA289E"/>
    <w:rsid w:val="00AA28EF"/>
    <w:rsid w:val="00AA3593"/>
    <w:rsid w:val="00AA38CA"/>
    <w:rsid w:val="00AA493E"/>
    <w:rsid w:val="00AA5719"/>
    <w:rsid w:val="00AA73AF"/>
    <w:rsid w:val="00AB0A8A"/>
    <w:rsid w:val="00AB1754"/>
    <w:rsid w:val="00AB27DD"/>
    <w:rsid w:val="00AB29EF"/>
    <w:rsid w:val="00AB4E16"/>
    <w:rsid w:val="00AC439D"/>
    <w:rsid w:val="00AC630A"/>
    <w:rsid w:val="00AC713F"/>
    <w:rsid w:val="00AD067E"/>
    <w:rsid w:val="00AD2801"/>
    <w:rsid w:val="00AD6870"/>
    <w:rsid w:val="00AD68C5"/>
    <w:rsid w:val="00AD6D98"/>
    <w:rsid w:val="00AE1273"/>
    <w:rsid w:val="00AE2D29"/>
    <w:rsid w:val="00AE4624"/>
    <w:rsid w:val="00AE5E14"/>
    <w:rsid w:val="00AE6115"/>
    <w:rsid w:val="00AE625B"/>
    <w:rsid w:val="00AE6606"/>
    <w:rsid w:val="00AE711F"/>
    <w:rsid w:val="00AF1668"/>
    <w:rsid w:val="00AF4FA5"/>
    <w:rsid w:val="00B0237A"/>
    <w:rsid w:val="00B07955"/>
    <w:rsid w:val="00B126D9"/>
    <w:rsid w:val="00B140B8"/>
    <w:rsid w:val="00B14FAA"/>
    <w:rsid w:val="00B159A2"/>
    <w:rsid w:val="00B15D30"/>
    <w:rsid w:val="00B20624"/>
    <w:rsid w:val="00B23436"/>
    <w:rsid w:val="00B237F1"/>
    <w:rsid w:val="00B2495E"/>
    <w:rsid w:val="00B24F33"/>
    <w:rsid w:val="00B26354"/>
    <w:rsid w:val="00B26CA0"/>
    <w:rsid w:val="00B315EC"/>
    <w:rsid w:val="00B32179"/>
    <w:rsid w:val="00B33007"/>
    <w:rsid w:val="00B331A9"/>
    <w:rsid w:val="00B36569"/>
    <w:rsid w:val="00B3701A"/>
    <w:rsid w:val="00B40A05"/>
    <w:rsid w:val="00B40A3E"/>
    <w:rsid w:val="00B427BB"/>
    <w:rsid w:val="00B43CFA"/>
    <w:rsid w:val="00B43E56"/>
    <w:rsid w:val="00B449EE"/>
    <w:rsid w:val="00B47234"/>
    <w:rsid w:val="00B50227"/>
    <w:rsid w:val="00B50510"/>
    <w:rsid w:val="00B51FB2"/>
    <w:rsid w:val="00B522CD"/>
    <w:rsid w:val="00B55143"/>
    <w:rsid w:val="00B555C8"/>
    <w:rsid w:val="00B55917"/>
    <w:rsid w:val="00B56055"/>
    <w:rsid w:val="00B63CBC"/>
    <w:rsid w:val="00B643A6"/>
    <w:rsid w:val="00B64DD6"/>
    <w:rsid w:val="00B6710C"/>
    <w:rsid w:val="00B67E84"/>
    <w:rsid w:val="00B71723"/>
    <w:rsid w:val="00B72076"/>
    <w:rsid w:val="00B72303"/>
    <w:rsid w:val="00B72C72"/>
    <w:rsid w:val="00B73120"/>
    <w:rsid w:val="00B82277"/>
    <w:rsid w:val="00B8321F"/>
    <w:rsid w:val="00B8323C"/>
    <w:rsid w:val="00B91676"/>
    <w:rsid w:val="00B949C1"/>
    <w:rsid w:val="00B95833"/>
    <w:rsid w:val="00BA1824"/>
    <w:rsid w:val="00BA2D98"/>
    <w:rsid w:val="00BA30D1"/>
    <w:rsid w:val="00BA30E1"/>
    <w:rsid w:val="00BA4609"/>
    <w:rsid w:val="00BA4AF9"/>
    <w:rsid w:val="00BA5BE2"/>
    <w:rsid w:val="00BA7F46"/>
    <w:rsid w:val="00BB0A0A"/>
    <w:rsid w:val="00BB133C"/>
    <w:rsid w:val="00BB45B5"/>
    <w:rsid w:val="00BB6064"/>
    <w:rsid w:val="00BB77AA"/>
    <w:rsid w:val="00BC09D1"/>
    <w:rsid w:val="00BC1CF3"/>
    <w:rsid w:val="00BC3036"/>
    <w:rsid w:val="00BC3573"/>
    <w:rsid w:val="00BC3F23"/>
    <w:rsid w:val="00BC7F82"/>
    <w:rsid w:val="00BD40AB"/>
    <w:rsid w:val="00BD4A7C"/>
    <w:rsid w:val="00BD6297"/>
    <w:rsid w:val="00BD6806"/>
    <w:rsid w:val="00BD7433"/>
    <w:rsid w:val="00BD7831"/>
    <w:rsid w:val="00BD7C10"/>
    <w:rsid w:val="00BE046F"/>
    <w:rsid w:val="00BE0DEB"/>
    <w:rsid w:val="00BE2FC1"/>
    <w:rsid w:val="00BE6365"/>
    <w:rsid w:val="00BE6F57"/>
    <w:rsid w:val="00BF0B7F"/>
    <w:rsid w:val="00BF4720"/>
    <w:rsid w:val="00BF4F49"/>
    <w:rsid w:val="00BF51F0"/>
    <w:rsid w:val="00BF7B4F"/>
    <w:rsid w:val="00BF7B63"/>
    <w:rsid w:val="00C038EC"/>
    <w:rsid w:val="00C05C6D"/>
    <w:rsid w:val="00C11007"/>
    <w:rsid w:val="00C1122B"/>
    <w:rsid w:val="00C114AC"/>
    <w:rsid w:val="00C13B34"/>
    <w:rsid w:val="00C13F26"/>
    <w:rsid w:val="00C1474E"/>
    <w:rsid w:val="00C15CDB"/>
    <w:rsid w:val="00C16E9F"/>
    <w:rsid w:val="00C1713D"/>
    <w:rsid w:val="00C177F1"/>
    <w:rsid w:val="00C17EE6"/>
    <w:rsid w:val="00C22F3A"/>
    <w:rsid w:val="00C23311"/>
    <w:rsid w:val="00C24F59"/>
    <w:rsid w:val="00C25978"/>
    <w:rsid w:val="00C261C6"/>
    <w:rsid w:val="00C26E7C"/>
    <w:rsid w:val="00C276CD"/>
    <w:rsid w:val="00C30A97"/>
    <w:rsid w:val="00C31DDC"/>
    <w:rsid w:val="00C34326"/>
    <w:rsid w:val="00C36201"/>
    <w:rsid w:val="00C368E8"/>
    <w:rsid w:val="00C36C3D"/>
    <w:rsid w:val="00C372C7"/>
    <w:rsid w:val="00C42443"/>
    <w:rsid w:val="00C42CBA"/>
    <w:rsid w:val="00C43426"/>
    <w:rsid w:val="00C5019E"/>
    <w:rsid w:val="00C5377C"/>
    <w:rsid w:val="00C53E8A"/>
    <w:rsid w:val="00C54DF3"/>
    <w:rsid w:val="00C560A7"/>
    <w:rsid w:val="00C5692E"/>
    <w:rsid w:val="00C56D89"/>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46FD"/>
    <w:rsid w:val="00C9650E"/>
    <w:rsid w:val="00CA068D"/>
    <w:rsid w:val="00CA1228"/>
    <w:rsid w:val="00CA282D"/>
    <w:rsid w:val="00CA4670"/>
    <w:rsid w:val="00CA6B1A"/>
    <w:rsid w:val="00CB20DC"/>
    <w:rsid w:val="00CB23DC"/>
    <w:rsid w:val="00CB2487"/>
    <w:rsid w:val="00CB28E2"/>
    <w:rsid w:val="00CB7084"/>
    <w:rsid w:val="00CB7A3E"/>
    <w:rsid w:val="00CB7FF7"/>
    <w:rsid w:val="00CC0890"/>
    <w:rsid w:val="00CC0D0E"/>
    <w:rsid w:val="00CC1592"/>
    <w:rsid w:val="00CC19B3"/>
    <w:rsid w:val="00CC2044"/>
    <w:rsid w:val="00CC39D2"/>
    <w:rsid w:val="00CC69EC"/>
    <w:rsid w:val="00CD15BE"/>
    <w:rsid w:val="00CD1EF2"/>
    <w:rsid w:val="00CD32BD"/>
    <w:rsid w:val="00CD34C7"/>
    <w:rsid w:val="00CD5653"/>
    <w:rsid w:val="00CD5E6D"/>
    <w:rsid w:val="00CD63C8"/>
    <w:rsid w:val="00CD6658"/>
    <w:rsid w:val="00CE3F39"/>
    <w:rsid w:val="00CF158D"/>
    <w:rsid w:val="00CF1C69"/>
    <w:rsid w:val="00CF4394"/>
    <w:rsid w:val="00CF618D"/>
    <w:rsid w:val="00D000A9"/>
    <w:rsid w:val="00D005DB"/>
    <w:rsid w:val="00D0064E"/>
    <w:rsid w:val="00D00981"/>
    <w:rsid w:val="00D02596"/>
    <w:rsid w:val="00D0280D"/>
    <w:rsid w:val="00D037ED"/>
    <w:rsid w:val="00D07A72"/>
    <w:rsid w:val="00D10577"/>
    <w:rsid w:val="00D1323B"/>
    <w:rsid w:val="00D14BAE"/>
    <w:rsid w:val="00D1648B"/>
    <w:rsid w:val="00D16819"/>
    <w:rsid w:val="00D17DD9"/>
    <w:rsid w:val="00D20AC0"/>
    <w:rsid w:val="00D2234D"/>
    <w:rsid w:val="00D2321B"/>
    <w:rsid w:val="00D23DE4"/>
    <w:rsid w:val="00D26873"/>
    <w:rsid w:val="00D31683"/>
    <w:rsid w:val="00D336C8"/>
    <w:rsid w:val="00D339E8"/>
    <w:rsid w:val="00D34076"/>
    <w:rsid w:val="00D3662E"/>
    <w:rsid w:val="00D40B1F"/>
    <w:rsid w:val="00D40D75"/>
    <w:rsid w:val="00D449F0"/>
    <w:rsid w:val="00D50C8C"/>
    <w:rsid w:val="00D52393"/>
    <w:rsid w:val="00D523E4"/>
    <w:rsid w:val="00D5279D"/>
    <w:rsid w:val="00D52A1B"/>
    <w:rsid w:val="00D52FCC"/>
    <w:rsid w:val="00D53F14"/>
    <w:rsid w:val="00D54BE4"/>
    <w:rsid w:val="00D560DC"/>
    <w:rsid w:val="00D60483"/>
    <w:rsid w:val="00D610FC"/>
    <w:rsid w:val="00D61ABB"/>
    <w:rsid w:val="00D6261F"/>
    <w:rsid w:val="00D63577"/>
    <w:rsid w:val="00D64B1E"/>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2DD7"/>
    <w:rsid w:val="00D9706F"/>
    <w:rsid w:val="00D9715C"/>
    <w:rsid w:val="00D972D4"/>
    <w:rsid w:val="00DA195B"/>
    <w:rsid w:val="00DA6B55"/>
    <w:rsid w:val="00DA6B97"/>
    <w:rsid w:val="00DB0015"/>
    <w:rsid w:val="00DB2AAD"/>
    <w:rsid w:val="00DB626D"/>
    <w:rsid w:val="00DB6365"/>
    <w:rsid w:val="00DC0BF1"/>
    <w:rsid w:val="00DC236D"/>
    <w:rsid w:val="00DC41C3"/>
    <w:rsid w:val="00DC77FE"/>
    <w:rsid w:val="00DD1124"/>
    <w:rsid w:val="00DD286D"/>
    <w:rsid w:val="00DD2CAF"/>
    <w:rsid w:val="00DD3593"/>
    <w:rsid w:val="00DD469B"/>
    <w:rsid w:val="00DD64E0"/>
    <w:rsid w:val="00DE0C67"/>
    <w:rsid w:val="00DE493C"/>
    <w:rsid w:val="00DE6952"/>
    <w:rsid w:val="00DE7E74"/>
    <w:rsid w:val="00DF071B"/>
    <w:rsid w:val="00DF6272"/>
    <w:rsid w:val="00DF6EF8"/>
    <w:rsid w:val="00E00A69"/>
    <w:rsid w:val="00E017F0"/>
    <w:rsid w:val="00E01A0E"/>
    <w:rsid w:val="00E02397"/>
    <w:rsid w:val="00E041E4"/>
    <w:rsid w:val="00E1012B"/>
    <w:rsid w:val="00E103C8"/>
    <w:rsid w:val="00E1085B"/>
    <w:rsid w:val="00E1308B"/>
    <w:rsid w:val="00E14581"/>
    <w:rsid w:val="00E15364"/>
    <w:rsid w:val="00E15539"/>
    <w:rsid w:val="00E16541"/>
    <w:rsid w:val="00E2536E"/>
    <w:rsid w:val="00E25B8A"/>
    <w:rsid w:val="00E25ECA"/>
    <w:rsid w:val="00E2632B"/>
    <w:rsid w:val="00E322F7"/>
    <w:rsid w:val="00E3369B"/>
    <w:rsid w:val="00E36D76"/>
    <w:rsid w:val="00E405EA"/>
    <w:rsid w:val="00E408B7"/>
    <w:rsid w:val="00E41637"/>
    <w:rsid w:val="00E42789"/>
    <w:rsid w:val="00E43F59"/>
    <w:rsid w:val="00E464F0"/>
    <w:rsid w:val="00E50BEB"/>
    <w:rsid w:val="00E5235C"/>
    <w:rsid w:val="00E548FA"/>
    <w:rsid w:val="00E57ED4"/>
    <w:rsid w:val="00E6092F"/>
    <w:rsid w:val="00E62049"/>
    <w:rsid w:val="00E629DA"/>
    <w:rsid w:val="00E6469F"/>
    <w:rsid w:val="00E665A9"/>
    <w:rsid w:val="00E670F8"/>
    <w:rsid w:val="00E67FAC"/>
    <w:rsid w:val="00E7200B"/>
    <w:rsid w:val="00E738CB"/>
    <w:rsid w:val="00E73C88"/>
    <w:rsid w:val="00E74437"/>
    <w:rsid w:val="00E7443D"/>
    <w:rsid w:val="00E75FB9"/>
    <w:rsid w:val="00E81C3E"/>
    <w:rsid w:val="00E82B6D"/>
    <w:rsid w:val="00E90753"/>
    <w:rsid w:val="00EA1177"/>
    <w:rsid w:val="00EA118B"/>
    <w:rsid w:val="00EA11B6"/>
    <w:rsid w:val="00EA2181"/>
    <w:rsid w:val="00EA2DD8"/>
    <w:rsid w:val="00EA4475"/>
    <w:rsid w:val="00EA681F"/>
    <w:rsid w:val="00EB1191"/>
    <w:rsid w:val="00EB3307"/>
    <w:rsid w:val="00EB3823"/>
    <w:rsid w:val="00EB4757"/>
    <w:rsid w:val="00EB47D8"/>
    <w:rsid w:val="00EB57D3"/>
    <w:rsid w:val="00EB5EFD"/>
    <w:rsid w:val="00EB679F"/>
    <w:rsid w:val="00EB76E4"/>
    <w:rsid w:val="00EC0E65"/>
    <w:rsid w:val="00EC2938"/>
    <w:rsid w:val="00EC38EF"/>
    <w:rsid w:val="00EC50C9"/>
    <w:rsid w:val="00EC58B4"/>
    <w:rsid w:val="00EC5BB2"/>
    <w:rsid w:val="00ED07F0"/>
    <w:rsid w:val="00ED12F0"/>
    <w:rsid w:val="00ED4193"/>
    <w:rsid w:val="00ED4773"/>
    <w:rsid w:val="00ED664B"/>
    <w:rsid w:val="00ED6A61"/>
    <w:rsid w:val="00EE03BB"/>
    <w:rsid w:val="00EE0B44"/>
    <w:rsid w:val="00EE1703"/>
    <w:rsid w:val="00EE2A3A"/>
    <w:rsid w:val="00EE6FE0"/>
    <w:rsid w:val="00EE704A"/>
    <w:rsid w:val="00EE7840"/>
    <w:rsid w:val="00EE7A94"/>
    <w:rsid w:val="00EF4C74"/>
    <w:rsid w:val="00EF5268"/>
    <w:rsid w:val="00EF608E"/>
    <w:rsid w:val="00F0044B"/>
    <w:rsid w:val="00F04957"/>
    <w:rsid w:val="00F05807"/>
    <w:rsid w:val="00F07052"/>
    <w:rsid w:val="00F0706C"/>
    <w:rsid w:val="00F11EBE"/>
    <w:rsid w:val="00F12BA8"/>
    <w:rsid w:val="00F130D0"/>
    <w:rsid w:val="00F14933"/>
    <w:rsid w:val="00F1516A"/>
    <w:rsid w:val="00F17E7C"/>
    <w:rsid w:val="00F22A26"/>
    <w:rsid w:val="00F23677"/>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54D97"/>
    <w:rsid w:val="00F60DDA"/>
    <w:rsid w:val="00F649AC"/>
    <w:rsid w:val="00F6636A"/>
    <w:rsid w:val="00F667C5"/>
    <w:rsid w:val="00F67E31"/>
    <w:rsid w:val="00F718A8"/>
    <w:rsid w:val="00F72183"/>
    <w:rsid w:val="00F76D01"/>
    <w:rsid w:val="00F81C35"/>
    <w:rsid w:val="00F82981"/>
    <w:rsid w:val="00F8311F"/>
    <w:rsid w:val="00F83248"/>
    <w:rsid w:val="00F83376"/>
    <w:rsid w:val="00F853AE"/>
    <w:rsid w:val="00F90AAF"/>
    <w:rsid w:val="00F93C74"/>
    <w:rsid w:val="00F93DCC"/>
    <w:rsid w:val="00F9435D"/>
    <w:rsid w:val="00F97740"/>
    <w:rsid w:val="00FA2F7B"/>
    <w:rsid w:val="00FA3C97"/>
    <w:rsid w:val="00FA4F05"/>
    <w:rsid w:val="00FA78C8"/>
    <w:rsid w:val="00FB09FE"/>
    <w:rsid w:val="00FB101D"/>
    <w:rsid w:val="00FB1725"/>
    <w:rsid w:val="00FB30F3"/>
    <w:rsid w:val="00FB593A"/>
    <w:rsid w:val="00FB6410"/>
    <w:rsid w:val="00FB6E82"/>
    <w:rsid w:val="00FB7C35"/>
    <w:rsid w:val="00FC0042"/>
    <w:rsid w:val="00FC2A13"/>
    <w:rsid w:val="00FC4284"/>
    <w:rsid w:val="00FC4576"/>
    <w:rsid w:val="00FC78FB"/>
    <w:rsid w:val="00FC796F"/>
    <w:rsid w:val="00FC7DBC"/>
    <w:rsid w:val="00FD00F6"/>
    <w:rsid w:val="00FD076A"/>
    <w:rsid w:val="00FD0AA0"/>
    <w:rsid w:val="00FD0AEF"/>
    <w:rsid w:val="00FD1D5A"/>
    <w:rsid w:val="00FD2644"/>
    <w:rsid w:val="00FD5059"/>
    <w:rsid w:val="00FD554D"/>
    <w:rsid w:val="00FD6D42"/>
    <w:rsid w:val="00FE2692"/>
    <w:rsid w:val="00FE6469"/>
    <w:rsid w:val="00FF0EFB"/>
    <w:rsid w:val="00FF0FF7"/>
    <w:rsid w:val="00FF10A2"/>
    <w:rsid w:val="00FF1438"/>
    <w:rsid w:val="00FF3A38"/>
    <w:rsid w:val="00FF3C25"/>
    <w:rsid w:val="00FF5D8A"/>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3A77A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284581898">
      <w:bodyDiv w:val="1"/>
      <w:marLeft w:val="0"/>
      <w:marRight w:val="0"/>
      <w:marTop w:val="0"/>
      <w:marBottom w:val="0"/>
      <w:divBdr>
        <w:top w:val="none" w:sz="0" w:space="0" w:color="auto"/>
        <w:left w:val="none" w:sz="0" w:space="0" w:color="auto"/>
        <w:bottom w:val="none" w:sz="0" w:space="0" w:color="auto"/>
        <w:right w:val="none" w:sz="0" w:space="0" w:color="auto"/>
      </w:divBdr>
    </w:div>
    <w:div w:id="44650412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79284537">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92596269">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229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B34F-2FBF-4CDD-8CEB-858A9745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2012-02-22T18:09:00Z</cp:lastPrinted>
  <dcterms:created xsi:type="dcterms:W3CDTF">2012-02-23T05:10:00Z</dcterms:created>
  <dcterms:modified xsi:type="dcterms:W3CDTF">2012-04-02T21:03:00Z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