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3C53E8">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810DBF">
        <w:rPr>
          <w:caps/>
          <w:color w:val="000000" w:themeColor="text1"/>
        </w:rPr>
        <w:t>xxxxxxxxx</w:t>
      </w:r>
      <w:r w:rsidR="008C2AFE">
        <w:rPr>
          <w:caps/>
          <w:color w:val="000000" w:themeColor="text1"/>
        </w:rPr>
        <w:tab/>
      </w:r>
      <w:r w:rsidR="007A18FE">
        <w:rPr>
          <w:caps/>
          <w:color w:val="000000" w:themeColor="text1"/>
        </w:rPr>
        <w:t xml:space="preserve">                    </w:t>
      </w:r>
      <w:r w:rsidR="009B57BA">
        <w:rPr>
          <w:caps/>
          <w:color w:val="000000" w:themeColor="text1"/>
        </w:rPr>
        <w:t xml:space="preserve">    </w:t>
      </w:r>
      <w:r w:rsidRPr="001F29F9">
        <w:rPr>
          <w:caps/>
          <w:color w:val="000000" w:themeColor="text1"/>
        </w:rPr>
        <w:t xml:space="preserve">BRANCH OF SERVICE: </w:t>
      </w:r>
      <w:r w:rsidR="008C2AFE" w:rsidRPr="002815D1">
        <w:rPr>
          <w:caps/>
          <w:color w:val="000000" w:themeColor="text1"/>
        </w:rPr>
        <w:t>air force</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 xml:space="preserve">ASE NUMBER:  </w:t>
      </w:r>
      <w:r w:rsidR="008C2AFE" w:rsidRPr="002815D1">
        <w:rPr>
          <w:caps/>
          <w:color w:val="000000" w:themeColor="text1"/>
        </w:rPr>
        <w:t>PD1001182</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7A18FE">
        <w:rPr>
          <w:color w:val="000000" w:themeColor="text1"/>
        </w:rPr>
        <w:t xml:space="preserve">                    </w:t>
      </w:r>
      <w:r w:rsidR="009B57BA">
        <w:rPr>
          <w:color w:val="000000" w:themeColor="text1"/>
        </w:rPr>
        <w:t xml:space="preserve">    </w:t>
      </w:r>
      <w:r w:rsidR="00DE3AAD" w:rsidRPr="001F29F9">
        <w:rPr>
          <w:color w:val="000000" w:themeColor="text1"/>
        </w:rPr>
        <w:t xml:space="preserve">SEPARATION DATE:  </w:t>
      </w:r>
      <w:r w:rsidR="008C2AFE" w:rsidRPr="002815D1">
        <w:rPr>
          <w:color w:val="000000" w:themeColor="text1"/>
        </w:rPr>
        <w:t>20051114</w:t>
      </w:r>
    </w:p>
    <w:p w:rsidR="003B2143" w:rsidRPr="001F29F9" w:rsidRDefault="007A18FE" w:rsidP="00BF0E94">
      <w:pPr>
        <w:tabs>
          <w:tab w:val="left" w:pos="288"/>
          <w:tab w:val="left" w:pos="5130"/>
        </w:tabs>
        <w:jc w:val="both"/>
        <w:rPr>
          <w:color w:val="000000" w:themeColor="text1"/>
        </w:rPr>
      </w:pPr>
      <w:r>
        <w:rPr>
          <w:caps/>
          <w:color w:val="000000" w:themeColor="text1"/>
        </w:rPr>
        <w:t>BOARD DATE:  2012</w:t>
      </w:r>
      <w:r w:rsidR="00D35589">
        <w:rPr>
          <w:caps/>
          <w:color w:val="000000" w:themeColor="text1"/>
        </w:rPr>
        <w:t>0207</w:t>
      </w:r>
      <w:r w:rsidR="003B2143" w:rsidRPr="001F29F9">
        <w:rPr>
          <w:caps/>
          <w:color w:val="000000" w:themeColor="text1"/>
        </w:rPr>
        <w:tab/>
      </w:r>
    </w:p>
    <w:p w:rsidR="00660964" w:rsidRPr="001F29F9" w:rsidRDefault="00660964" w:rsidP="00660964">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8C2AFE" w:rsidRPr="002815D1">
        <w:rPr>
          <w:color w:val="000000" w:themeColor="text1"/>
        </w:rPr>
        <w:t xml:space="preserve">Data extracted from the available evidence of record reflects that this covered individual (CI) </w:t>
      </w:r>
      <w:r w:rsidR="008C2AFE" w:rsidRPr="002815D1">
        <w:rPr>
          <w:color w:val="000000" w:themeColor="text1"/>
          <w:szCs w:val="24"/>
        </w:rPr>
        <w:t>was an active duty SRA/E-4 (4T051, Medical Laboratory Journeyman), medically separated for reflex sympathetic dystrophy (</w:t>
      </w:r>
      <w:r w:rsidR="003C7621">
        <w:rPr>
          <w:color w:val="000000" w:themeColor="text1"/>
          <w:szCs w:val="24"/>
        </w:rPr>
        <w:t>RSD</w:t>
      </w:r>
      <w:r w:rsidR="008C2AFE" w:rsidRPr="002815D1">
        <w:rPr>
          <w:color w:val="000000" w:themeColor="text1"/>
          <w:szCs w:val="24"/>
        </w:rPr>
        <w:t>) associated with depression</w:t>
      </w:r>
      <w:r w:rsidR="008C2AFE">
        <w:rPr>
          <w:color w:val="000000" w:themeColor="text1"/>
          <w:szCs w:val="24"/>
        </w:rPr>
        <w:t>.</w:t>
      </w:r>
      <w:r w:rsidR="00BC32A0">
        <w:rPr>
          <w:color w:val="000000" w:themeColor="text1"/>
          <w:szCs w:val="24"/>
        </w:rPr>
        <w:t xml:space="preserve">  </w:t>
      </w:r>
      <w:r w:rsidR="008C2AFE" w:rsidRPr="002815D1">
        <w:rPr>
          <w:color w:val="000000" w:themeColor="text1"/>
          <w:szCs w:val="24"/>
        </w:rPr>
        <w:t>He did not respond adequately to treatment and was unable to perform within his Air Force Specialty (AFS) or meet physical fitness standa</w:t>
      </w:r>
      <w:r w:rsidR="00D35589">
        <w:rPr>
          <w:color w:val="000000" w:themeColor="text1"/>
          <w:szCs w:val="24"/>
        </w:rPr>
        <w:t>rds</w:t>
      </w:r>
      <w:r w:rsidR="008C2AFE" w:rsidRPr="002815D1">
        <w:rPr>
          <w:color w:val="000000" w:themeColor="text1"/>
          <w:szCs w:val="24"/>
        </w:rPr>
        <w:t>.  He was issued a permanent U2</w:t>
      </w:r>
      <w:r w:rsidR="003C434D">
        <w:rPr>
          <w:color w:val="000000" w:themeColor="text1"/>
          <w:szCs w:val="24"/>
        </w:rPr>
        <w:t>/</w:t>
      </w:r>
      <w:r w:rsidR="008C2AFE" w:rsidRPr="002815D1">
        <w:rPr>
          <w:color w:val="000000" w:themeColor="text1"/>
          <w:szCs w:val="24"/>
        </w:rPr>
        <w:t>L4 profile and underwent a Medical Evaluation Board (MEB).</w:t>
      </w:r>
      <w:r w:rsidR="00BC32A0">
        <w:rPr>
          <w:color w:val="000000" w:themeColor="text1"/>
          <w:szCs w:val="24"/>
        </w:rPr>
        <w:t xml:space="preserve">  </w:t>
      </w:r>
      <w:r w:rsidR="0015345B">
        <w:rPr>
          <w:color w:val="000000" w:themeColor="text1"/>
          <w:szCs w:val="24"/>
        </w:rPr>
        <w:t>Depression</w:t>
      </w:r>
      <w:r w:rsidR="004029BC">
        <w:rPr>
          <w:color w:val="000000" w:themeColor="text1"/>
          <w:szCs w:val="24"/>
        </w:rPr>
        <w:t xml:space="preserve"> and </w:t>
      </w:r>
      <w:r w:rsidR="00BB6B14">
        <w:rPr>
          <w:color w:val="000000" w:themeColor="text1"/>
          <w:szCs w:val="24"/>
        </w:rPr>
        <w:t>p</w:t>
      </w:r>
      <w:r w:rsidR="004029BC">
        <w:rPr>
          <w:color w:val="000000" w:themeColor="text1"/>
          <w:szCs w:val="24"/>
        </w:rPr>
        <w:t>ain disorder</w:t>
      </w:r>
      <w:r w:rsidR="0015345B">
        <w:rPr>
          <w:color w:val="000000" w:themeColor="text1"/>
          <w:szCs w:val="24"/>
        </w:rPr>
        <w:t xml:space="preserve">, </w:t>
      </w:r>
      <w:r w:rsidR="003C7621">
        <w:rPr>
          <w:color w:val="000000" w:themeColor="text1"/>
          <w:szCs w:val="24"/>
        </w:rPr>
        <w:t xml:space="preserve">RSD </w:t>
      </w:r>
      <w:r w:rsidR="008C2AFE" w:rsidRPr="002815D1">
        <w:rPr>
          <w:color w:val="000000" w:themeColor="text1"/>
          <w:szCs w:val="24"/>
        </w:rPr>
        <w:t xml:space="preserve">and </w:t>
      </w:r>
      <w:r w:rsidR="007A18FE">
        <w:rPr>
          <w:color w:val="000000" w:themeColor="text1"/>
          <w:szCs w:val="24"/>
        </w:rPr>
        <w:t>g</w:t>
      </w:r>
      <w:r w:rsidR="008C2AFE">
        <w:rPr>
          <w:color w:val="000000" w:themeColor="text1"/>
          <w:szCs w:val="24"/>
        </w:rPr>
        <w:t>astro</w:t>
      </w:r>
      <w:r w:rsidR="007A18FE">
        <w:rPr>
          <w:color w:val="000000" w:themeColor="text1"/>
          <w:szCs w:val="24"/>
        </w:rPr>
        <w:t>-esophageal r</w:t>
      </w:r>
      <w:r w:rsidR="00920FAA">
        <w:rPr>
          <w:color w:val="000000" w:themeColor="text1"/>
          <w:szCs w:val="24"/>
        </w:rPr>
        <w:t>efl</w:t>
      </w:r>
      <w:r w:rsidR="00E033BA">
        <w:rPr>
          <w:color w:val="000000" w:themeColor="text1"/>
          <w:szCs w:val="24"/>
        </w:rPr>
        <w:t xml:space="preserve">ux </w:t>
      </w:r>
      <w:r w:rsidR="007A18FE">
        <w:rPr>
          <w:color w:val="000000" w:themeColor="text1"/>
          <w:szCs w:val="24"/>
        </w:rPr>
        <w:t>d</w:t>
      </w:r>
      <w:r w:rsidR="008C2AFE" w:rsidRPr="002815D1">
        <w:rPr>
          <w:color w:val="000000" w:themeColor="text1"/>
          <w:szCs w:val="24"/>
        </w:rPr>
        <w:t>isease</w:t>
      </w:r>
      <w:r w:rsidR="00E033BA">
        <w:rPr>
          <w:color w:val="000000" w:themeColor="text1"/>
          <w:szCs w:val="24"/>
        </w:rPr>
        <w:t xml:space="preserve"> (GERD)</w:t>
      </w:r>
      <w:r w:rsidR="008C2AFE" w:rsidRPr="002815D1">
        <w:rPr>
          <w:color w:val="000000" w:themeColor="text1"/>
          <w:szCs w:val="24"/>
        </w:rPr>
        <w:t xml:space="preserve"> were forwarded to the Physical Evaluation Board (PEB) as medically unacceptable IAW AFI 48-123.</w:t>
      </w:r>
      <w:r w:rsidR="00BC32A0">
        <w:rPr>
          <w:color w:val="000000" w:themeColor="text1"/>
          <w:szCs w:val="24"/>
        </w:rPr>
        <w:t xml:space="preserve">  </w:t>
      </w:r>
      <w:r w:rsidR="008C2AFE" w:rsidRPr="002815D1">
        <w:rPr>
          <w:color w:val="000000" w:themeColor="text1"/>
          <w:szCs w:val="24"/>
        </w:rPr>
        <w:t>No other conditions appeared on the MEB’s submission.  Other conditions included in the Disability Evaluation System (DES) packet will be discussed below.</w:t>
      </w:r>
      <w:r w:rsidR="00BC32A0">
        <w:rPr>
          <w:color w:val="000000" w:themeColor="text1"/>
          <w:szCs w:val="24"/>
        </w:rPr>
        <w:t xml:space="preserve">  </w:t>
      </w:r>
      <w:r w:rsidR="00920FAA" w:rsidRPr="002815D1">
        <w:rPr>
          <w:color w:val="000000" w:themeColor="text1"/>
          <w:szCs w:val="24"/>
        </w:rPr>
        <w:t xml:space="preserve">The PEB adjudicated the </w:t>
      </w:r>
      <w:r w:rsidR="00BC32A0" w:rsidRPr="002815D1">
        <w:rPr>
          <w:color w:val="000000" w:themeColor="text1"/>
          <w:szCs w:val="24"/>
        </w:rPr>
        <w:t xml:space="preserve">reflex sympathetic dystrophy </w:t>
      </w:r>
      <w:r w:rsidR="00920FAA" w:rsidRPr="002815D1">
        <w:rPr>
          <w:color w:val="000000" w:themeColor="text1"/>
          <w:szCs w:val="24"/>
        </w:rPr>
        <w:t>(</w:t>
      </w:r>
      <w:r w:rsidR="00BB6B14">
        <w:rPr>
          <w:color w:val="000000" w:themeColor="text1"/>
          <w:szCs w:val="24"/>
        </w:rPr>
        <w:t>p</w:t>
      </w:r>
      <w:r w:rsidR="00920FAA" w:rsidRPr="002815D1">
        <w:rPr>
          <w:color w:val="000000" w:themeColor="text1"/>
          <w:szCs w:val="24"/>
        </w:rPr>
        <w:t xml:space="preserve">ain </w:t>
      </w:r>
      <w:r w:rsidR="00BB6B14">
        <w:rPr>
          <w:color w:val="000000" w:themeColor="text1"/>
          <w:szCs w:val="24"/>
        </w:rPr>
        <w:t>d</w:t>
      </w:r>
      <w:r w:rsidR="00920FAA" w:rsidRPr="002815D1">
        <w:rPr>
          <w:color w:val="000000" w:themeColor="text1"/>
          <w:szCs w:val="24"/>
        </w:rPr>
        <w:t xml:space="preserve">isorder) </w:t>
      </w:r>
      <w:r w:rsidR="00BC32A0" w:rsidRPr="002815D1">
        <w:rPr>
          <w:color w:val="000000" w:themeColor="text1"/>
          <w:szCs w:val="24"/>
        </w:rPr>
        <w:t>associated with depression</w:t>
      </w:r>
      <w:r w:rsidR="00920FAA" w:rsidRPr="002815D1">
        <w:rPr>
          <w:color w:val="000000" w:themeColor="text1"/>
          <w:szCs w:val="24"/>
        </w:rPr>
        <w:t xml:space="preserve"> condition as unfitting, rated </w:t>
      </w:r>
      <w:r w:rsidR="00E82C6A">
        <w:rPr>
          <w:color w:val="000000" w:themeColor="text1"/>
          <w:szCs w:val="24"/>
        </w:rPr>
        <w:t xml:space="preserve">at </w:t>
      </w:r>
      <w:r w:rsidR="00920FAA" w:rsidRPr="002815D1">
        <w:rPr>
          <w:color w:val="000000" w:themeColor="text1"/>
          <w:szCs w:val="24"/>
        </w:rPr>
        <w:t>10%</w:t>
      </w:r>
      <w:r w:rsidR="00742401">
        <w:rPr>
          <w:color w:val="000000" w:themeColor="text1"/>
          <w:szCs w:val="24"/>
        </w:rPr>
        <w:t xml:space="preserve">. </w:t>
      </w:r>
      <w:r w:rsidR="002A3DE9">
        <w:rPr>
          <w:color w:val="000000" w:themeColor="text1"/>
          <w:szCs w:val="24"/>
        </w:rPr>
        <w:t xml:space="preserve"> The PEB also adjudicated four c</w:t>
      </w:r>
      <w:r w:rsidR="00742401">
        <w:rPr>
          <w:color w:val="000000" w:themeColor="text1"/>
          <w:szCs w:val="24"/>
        </w:rPr>
        <w:t xml:space="preserve">ategory II conditions (conditions that can be unfitting, but are not currently compensable or ratable) and two </w:t>
      </w:r>
      <w:r w:rsidR="002A3DE9">
        <w:rPr>
          <w:color w:val="000000" w:themeColor="text1"/>
          <w:szCs w:val="24"/>
        </w:rPr>
        <w:t>c</w:t>
      </w:r>
      <w:r w:rsidR="00742401">
        <w:rPr>
          <w:color w:val="000000" w:themeColor="text1"/>
          <w:szCs w:val="24"/>
        </w:rPr>
        <w:t>ategory III conditions (conditions that are not separately unfitting and not compensable or ratable) as charted below</w:t>
      </w:r>
      <w:r w:rsidR="00014ECF">
        <w:rPr>
          <w:color w:val="000000" w:themeColor="text1"/>
          <w:szCs w:val="24"/>
        </w:rPr>
        <w:t>.</w:t>
      </w:r>
      <w:r w:rsidR="00920FAA" w:rsidRPr="002815D1">
        <w:rPr>
          <w:color w:val="000000" w:themeColor="text1"/>
          <w:szCs w:val="24"/>
        </w:rPr>
        <w:t xml:space="preserve"> </w:t>
      </w:r>
      <w:r w:rsidR="00014ECF">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920FAA">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534C56">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B2299F">
        <w:rPr>
          <w:color w:val="000000" w:themeColor="text1"/>
        </w:rPr>
        <w:t xml:space="preserve"> </w:t>
      </w:r>
      <w:r w:rsidR="005C4048">
        <w:rPr>
          <w:color w:val="000000" w:themeColor="text1"/>
        </w:rPr>
        <w:t xml:space="preserve"> The CI stated: “</w:t>
      </w:r>
      <w:r w:rsidR="00534C56">
        <w:rPr>
          <w:color w:val="000000" w:themeColor="text1"/>
        </w:rPr>
        <w:t xml:space="preserve">Discrepancy between Air Force </w:t>
      </w:r>
      <w:r w:rsidR="005C4048">
        <w:rPr>
          <w:color w:val="000000" w:themeColor="text1"/>
        </w:rPr>
        <w:t xml:space="preserve">Disability Rating </w:t>
      </w:r>
      <w:r w:rsidR="00534C56">
        <w:rPr>
          <w:color w:val="000000" w:themeColor="text1"/>
        </w:rPr>
        <w:t xml:space="preserve">and VA </w:t>
      </w:r>
      <w:r w:rsidR="005C4048">
        <w:rPr>
          <w:color w:val="000000" w:themeColor="text1"/>
        </w:rPr>
        <w:t>Disability Rating</w:t>
      </w:r>
      <w:r w:rsidR="00534C56">
        <w:rPr>
          <w:color w:val="000000" w:themeColor="text1"/>
        </w:rPr>
        <w:t>, dated 03MAY2007</w:t>
      </w:r>
      <w:r w:rsidR="002A3DE9">
        <w:rPr>
          <w:color w:val="000000" w:themeColor="text1"/>
        </w:rPr>
        <w:t>.</w:t>
      </w:r>
      <w:r w:rsidR="00534C56">
        <w:rPr>
          <w:color w:val="000000" w:themeColor="text1"/>
        </w:rPr>
        <w:t>”</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7A18FE" w:rsidRDefault="007F0AB7" w:rsidP="00BF0E94">
      <w:pPr>
        <w:jc w:val="left"/>
        <w:rPr>
          <w:i/>
          <w:color w:val="000000" w:themeColor="text1"/>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7A18FE" w:rsidRPr="007A18FE">
        <w:rPr>
          <w:color w:val="000000" w:themeColor="text1"/>
        </w:rPr>
        <w:t xml:space="preserve"> </w:t>
      </w:r>
    </w:p>
    <w:p w:rsidR="00534C56" w:rsidRDefault="00534C56" w:rsidP="00BF0E94">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250"/>
        <w:gridCol w:w="1152"/>
        <w:gridCol w:w="18"/>
        <w:gridCol w:w="810"/>
        <w:gridCol w:w="990"/>
      </w:tblGrid>
      <w:tr w:rsidR="00534C56" w:rsidRPr="001F29F9" w:rsidTr="000C442A">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534C56" w:rsidRPr="00D51154" w:rsidRDefault="00534C56" w:rsidP="000C442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Service IPEB – Dated 20050928</w:t>
            </w:r>
          </w:p>
        </w:tc>
        <w:tc>
          <w:tcPr>
            <w:tcW w:w="5220" w:type="dxa"/>
            <w:gridSpan w:val="5"/>
            <w:tcBorders>
              <w:left w:val="thinThickThinSmallGap" w:sz="24" w:space="0" w:color="auto"/>
            </w:tcBorders>
            <w:shd w:val="clear" w:color="auto" w:fill="D9D9D9" w:themeFill="background1" w:themeFillShade="D9"/>
            <w:vAlign w:val="center"/>
          </w:tcPr>
          <w:p w:rsidR="00534C56" w:rsidRDefault="00534C56" w:rsidP="00B2299F">
            <w:pPr>
              <w:spacing w:line="180" w:lineRule="exact"/>
              <w:contextualSpacing/>
              <w:jc w:val="both"/>
              <w:rPr>
                <w:rFonts w:cstheme="minorHAnsi"/>
                <w:b/>
                <w:color w:val="000000" w:themeColor="text1"/>
                <w:sz w:val="18"/>
                <w:szCs w:val="18"/>
              </w:rPr>
            </w:pPr>
            <w:r w:rsidRPr="00D51154">
              <w:rPr>
                <w:rFonts w:cstheme="minorHAnsi"/>
                <w:b/>
                <w:color w:val="000000" w:themeColor="text1"/>
                <w:sz w:val="18"/>
                <w:szCs w:val="18"/>
              </w:rPr>
              <w:t xml:space="preserve">VA </w:t>
            </w:r>
            <w:r w:rsidR="005152B8">
              <w:rPr>
                <w:rFonts w:cstheme="minorHAnsi"/>
                <w:b/>
                <w:color w:val="000000" w:themeColor="text1"/>
                <w:sz w:val="18"/>
                <w:szCs w:val="18"/>
              </w:rPr>
              <w:t xml:space="preserve">Gen. </w:t>
            </w:r>
            <w:r w:rsidRPr="00D51154">
              <w:rPr>
                <w:rFonts w:cstheme="minorHAnsi"/>
                <w:b/>
                <w:color w:val="000000" w:themeColor="text1"/>
                <w:sz w:val="18"/>
                <w:szCs w:val="18"/>
              </w:rPr>
              <w:t>(1 Mo. After Separation) – All Effective Date 20051115</w:t>
            </w:r>
          </w:p>
          <w:p w:rsidR="005152B8" w:rsidRDefault="005152B8" w:rsidP="00B2299F">
            <w:pPr>
              <w:spacing w:line="180" w:lineRule="exact"/>
              <w:contextualSpacing/>
              <w:jc w:val="both"/>
              <w:rPr>
                <w:rFonts w:cstheme="minorHAnsi"/>
                <w:b/>
                <w:color w:val="000000" w:themeColor="text1"/>
                <w:sz w:val="18"/>
                <w:szCs w:val="18"/>
              </w:rPr>
            </w:pPr>
            <w:r w:rsidRPr="00D51154">
              <w:rPr>
                <w:rFonts w:cstheme="minorHAnsi"/>
                <w:b/>
                <w:color w:val="000000" w:themeColor="text1"/>
                <w:sz w:val="18"/>
                <w:szCs w:val="18"/>
              </w:rPr>
              <w:t>VA</w:t>
            </w:r>
            <w:r>
              <w:rPr>
                <w:rFonts w:cstheme="minorHAnsi"/>
                <w:b/>
                <w:color w:val="000000" w:themeColor="text1"/>
                <w:sz w:val="18"/>
                <w:szCs w:val="18"/>
              </w:rPr>
              <w:t xml:space="preserve"> Psych</w:t>
            </w:r>
            <w:r w:rsidRPr="00D51154">
              <w:rPr>
                <w:rFonts w:cstheme="minorHAnsi"/>
                <w:b/>
                <w:color w:val="000000" w:themeColor="text1"/>
                <w:sz w:val="18"/>
                <w:szCs w:val="18"/>
              </w:rPr>
              <w:t xml:space="preserve"> (</w:t>
            </w:r>
            <w:r>
              <w:rPr>
                <w:rFonts w:cstheme="minorHAnsi"/>
                <w:b/>
                <w:color w:val="000000" w:themeColor="text1"/>
                <w:sz w:val="18"/>
                <w:szCs w:val="18"/>
              </w:rPr>
              <w:t>12</w:t>
            </w:r>
            <w:r w:rsidR="00B2299F">
              <w:rPr>
                <w:rFonts w:cstheme="minorHAnsi"/>
                <w:b/>
                <w:color w:val="000000" w:themeColor="text1"/>
                <w:sz w:val="18"/>
                <w:szCs w:val="18"/>
              </w:rPr>
              <w:t xml:space="preserve"> Mo. After Separation) –</w:t>
            </w:r>
            <w:r w:rsidRPr="00D51154">
              <w:rPr>
                <w:rFonts w:cstheme="minorHAnsi"/>
                <w:b/>
                <w:color w:val="000000" w:themeColor="text1"/>
                <w:sz w:val="18"/>
                <w:szCs w:val="18"/>
              </w:rPr>
              <w:t xml:space="preserve"> Effective Date 20051115</w:t>
            </w:r>
          </w:p>
          <w:p w:rsidR="005152B8" w:rsidRPr="00D51154" w:rsidRDefault="005152B8" w:rsidP="000C442A">
            <w:pPr>
              <w:spacing w:line="180" w:lineRule="exact"/>
              <w:contextualSpacing/>
              <w:rPr>
                <w:rFonts w:cstheme="minorHAnsi"/>
                <w:b/>
                <w:color w:val="000000" w:themeColor="text1"/>
                <w:sz w:val="18"/>
                <w:szCs w:val="18"/>
              </w:rPr>
            </w:pPr>
          </w:p>
        </w:tc>
      </w:tr>
      <w:tr w:rsidR="00534C56" w:rsidRPr="001F29F9" w:rsidTr="00F06813">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534C56" w:rsidRPr="001F29F9" w:rsidRDefault="00534C56" w:rsidP="0086000A">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Condition</w:t>
            </w:r>
          </w:p>
        </w:tc>
        <w:tc>
          <w:tcPr>
            <w:tcW w:w="1170" w:type="dxa"/>
            <w:gridSpan w:val="2"/>
            <w:tcBorders>
              <w:bottom w:val="single" w:sz="4" w:space="0" w:color="000000" w:themeColor="text1"/>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Code</w:t>
            </w:r>
          </w:p>
        </w:tc>
        <w:tc>
          <w:tcPr>
            <w:tcW w:w="810" w:type="dxa"/>
            <w:tcBorders>
              <w:bottom w:val="single" w:sz="4" w:space="0" w:color="000000" w:themeColor="text1"/>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534C56" w:rsidRPr="00D51154" w:rsidRDefault="00534C56" w:rsidP="0086000A">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Exam</w:t>
            </w:r>
          </w:p>
        </w:tc>
      </w:tr>
      <w:tr w:rsidR="00534C56" w:rsidRPr="001F29F9" w:rsidTr="001E2AD0">
        <w:trPr>
          <w:trHeight w:val="287"/>
          <w:jc w:val="center"/>
        </w:trPr>
        <w:tc>
          <w:tcPr>
            <w:tcW w:w="2178" w:type="dxa"/>
            <w:vMerge w:val="restart"/>
            <w:tcBorders>
              <w:right w:val="single" w:sz="4" w:space="0" w:color="auto"/>
            </w:tcBorders>
            <w:shd w:val="clear" w:color="auto" w:fill="FFFFFF" w:themeFill="background1"/>
            <w:vAlign w:val="center"/>
          </w:tcPr>
          <w:p w:rsidR="00534C56" w:rsidRPr="001F29F9" w:rsidRDefault="00534C56" w:rsidP="0086000A">
            <w:pPr>
              <w:spacing w:line="180" w:lineRule="exact"/>
              <w:contextualSpacing/>
              <w:jc w:val="left"/>
              <w:rPr>
                <w:rFonts w:ascii="Calibri" w:eastAsia="Times New Roman" w:hAnsi="Calibri" w:cs="Calibri"/>
                <w:color w:val="000000" w:themeColor="text1"/>
                <w:sz w:val="18"/>
                <w:szCs w:val="18"/>
              </w:rPr>
            </w:pPr>
            <w:r w:rsidRPr="00C60F63">
              <w:rPr>
                <w:rFonts w:ascii="Calibri" w:hAnsi="Calibri" w:cs="Calibri"/>
                <w:color w:val="000000" w:themeColor="text1"/>
                <w:sz w:val="18"/>
                <w:szCs w:val="18"/>
              </w:rPr>
              <w:t>Reflex Sympathetic Dystrophy (Pain Disorder) Associated with Depression</w:t>
            </w:r>
          </w:p>
        </w:tc>
        <w:tc>
          <w:tcPr>
            <w:tcW w:w="1080" w:type="dxa"/>
            <w:vMerge w:val="restart"/>
            <w:tcBorders>
              <w:left w:val="single" w:sz="4" w:space="0" w:color="auto"/>
            </w:tcBorders>
            <w:shd w:val="clear" w:color="auto" w:fill="FFFFFF" w:themeFill="background1"/>
            <w:vAlign w:val="center"/>
          </w:tcPr>
          <w:p w:rsidR="00534C56" w:rsidRPr="00D51154" w:rsidRDefault="00534C56" w:rsidP="001E2AD0">
            <w:pPr>
              <w:spacing w:line="180" w:lineRule="exact"/>
              <w:contextualSpacing/>
              <w:rPr>
                <w:rFonts w:eastAsia="Times New Roman" w:cstheme="minorHAnsi"/>
                <w:color w:val="auto"/>
                <w:sz w:val="18"/>
                <w:szCs w:val="18"/>
              </w:rPr>
            </w:pPr>
            <w:r w:rsidRPr="00D51154">
              <w:rPr>
                <w:rFonts w:cstheme="minorHAnsi"/>
                <w:color w:val="auto"/>
                <w:sz w:val="18"/>
                <w:szCs w:val="18"/>
              </w:rPr>
              <w:t>8599-8520</w:t>
            </w:r>
          </w:p>
        </w:tc>
        <w:tc>
          <w:tcPr>
            <w:tcW w:w="900" w:type="dxa"/>
            <w:vMerge w:val="restart"/>
            <w:tcBorders>
              <w:right w:val="thinThickThinSmallGap" w:sz="24" w:space="0" w:color="auto"/>
            </w:tcBorders>
            <w:shd w:val="clear" w:color="auto" w:fill="FFFFFF" w:themeFill="background1"/>
            <w:vAlign w:val="center"/>
          </w:tcPr>
          <w:p w:rsidR="00534C56" w:rsidRPr="00D51154" w:rsidRDefault="00534C56" w:rsidP="0086000A">
            <w:pPr>
              <w:spacing w:line="180" w:lineRule="exact"/>
              <w:rPr>
                <w:rFonts w:eastAsia="Times New Roman" w:cstheme="minorHAnsi"/>
                <w:color w:val="auto"/>
                <w:sz w:val="18"/>
                <w:szCs w:val="18"/>
              </w:rPr>
            </w:pPr>
            <w:r w:rsidRPr="00D51154">
              <w:rPr>
                <w:rFonts w:cstheme="minorHAnsi"/>
                <w:color w:val="auto"/>
                <w:sz w:val="18"/>
                <w:szCs w:val="18"/>
              </w:rPr>
              <w:t>10%</w:t>
            </w:r>
          </w:p>
        </w:tc>
        <w:tc>
          <w:tcPr>
            <w:tcW w:w="2250" w:type="dxa"/>
            <w:tcBorders>
              <w:left w:val="thinThickThinSmallGap" w:sz="24" w:space="0" w:color="auto"/>
            </w:tcBorders>
            <w:shd w:val="clear" w:color="auto" w:fill="FFFFFF" w:themeFill="background1"/>
            <w:vAlign w:val="center"/>
          </w:tcPr>
          <w:p w:rsidR="00534C56" w:rsidRPr="00D51154" w:rsidRDefault="00E82C6A" w:rsidP="0086000A">
            <w:pPr>
              <w:spacing w:line="180" w:lineRule="exact"/>
              <w:contextualSpacing/>
              <w:jc w:val="left"/>
              <w:rPr>
                <w:rFonts w:cstheme="minorHAnsi"/>
                <w:color w:val="auto"/>
                <w:sz w:val="18"/>
                <w:szCs w:val="18"/>
              </w:rPr>
            </w:pPr>
            <w:r>
              <w:rPr>
                <w:rFonts w:cstheme="minorHAnsi"/>
                <w:color w:val="auto"/>
                <w:sz w:val="18"/>
                <w:szCs w:val="18"/>
              </w:rPr>
              <w:t>Complex Pain Syndrome, Right</w:t>
            </w:r>
            <w:r w:rsidR="00534C56" w:rsidRPr="00D51154">
              <w:rPr>
                <w:rFonts w:cstheme="minorHAnsi"/>
                <w:color w:val="auto"/>
                <w:sz w:val="18"/>
                <w:szCs w:val="18"/>
              </w:rPr>
              <w:t xml:space="preserve"> Leg</w:t>
            </w:r>
          </w:p>
        </w:tc>
        <w:tc>
          <w:tcPr>
            <w:tcW w:w="1170" w:type="dxa"/>
            <w:gridSpan w:val="2"/>
            <w:shd w:val="clear" w:color="auto" w:fill="FFFFFF" w:themeFill="background1"/>
            <w:vAlign w:val="center"/>
          </w:tcPr>
          <w:p w:rsidR="00534C56" w:rsidRPr="00D51154" w:rsidRDefault="00534C56" w:rsidP="00F06813">
            <w:pPr>
              <w:spacing w:line="180" w:lineRule="exact"/>
              <w:contextualSpacing/>
              <w:rPr>
                <w:rFonts w:cstheme="minorHAnsi"/>
                <w:color w:val="auto"/>
                <w:sz w:val="18"/>
                <w:szCs w:val="18"/>
              </w:rPr>
            </w:pPr>
            <w:r w:rsidRPr="00D51154">
              <w:rPr>
                <w:rFonts w:cstheme="minorHAnsi"/>
                <w:color w:val="auto"/>
                <w:sz w:val="18"/>
                <w:szCs w:val="18"/>
              </w:rPr>
              <w:t>8520</w:t>
            </w:r>
          </w:p>
        </w:tc>
        <w:tc>
          <w:tcPr>
            <w:tcW w:w="810" w:type="dxa"/>
            <w:shd w:val="clear" w:color="auto" w:fill="FFFFFF" w:themeFill="background1"/>
            <w:vAlign w:val="center"/>
          </w:tcPr>
          <w:p w:rsidR="00534C56" w:rsidRPr="00D51154" w:rsidRDefault="00534C56" w:rsidP="00F06813">
            <w:pPr>
              <w:spacing w:line="180" w:lineRule="exact"/>
              <w:contextualSpacing/>
              <w:rPr>
                <w:rFonts w:cstheme="minorHAnsi"/>
                <w:color w:val="auto"/>
                <w:sz w:val="18"/>
                <w:szCs w:val="18"/>
              </w:rPr>
            </w:pPr>
            <w:r w:rsidRPr="00D51154">
              <w:rPr>
                <w:rFonts w:cstheme="minorHAnsi"/>
                <w:color w:val="auto"/>
                <w:sz w:val="18"/>
                <w:szCs w:val="18"/>
              </w:rPr>
              <w:t>10%</w:t>
            </w:r>
          </w:p>
        </w:tc>
        <w:tc>
          <w:tcPr>
            <w:tcW w:w="990" w:type="dxa"/>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000000" w:themeColor="text1"/>
                <w:sz w:val="18"/>
                <w:szCs w:val="18"/>
              </w:rPr>
            </w:pPr>
            <w:r w:rsidRPr="00D51154">
              <w:rPr>
                <w:rFonts w:eastAsia="Times New Roman" w:cstheme="minorHAnsi"/>
                <w:color w:val="000000" w:themeColor="text1"/>
                <w:sz w:val="18"/>
                <w:szCs w:val="18"/>
              </w:rPr>
              <w:t>20051205</w:t>
            </w:r>
          </w:p>
        </w:tc>
      </w:tr>
      <w:tr w:rsidR="00534C56" w:rsidRPr="001F29F9" w:rsidTr="001E2AD0">
        <w:trPr>
          <w:trHeight w:val="287"/>
          <w:jc w:val="center"/>
        </w:trPr>
        <w:tc>
          <w:tcPr>
            <w:tcW w:w="2178" w:type="dxa"/>
            <w:vMerge/>
            <w:tcBorders>
              <w:right w:val="single" w:sz="4" w:space="0" w:color="auto"/>
            </w:tcBorders>
            <w:shd w:val="clear" w:color="auto" w:fill="FFFFFF" w:themeFill="background1"/>
            <w:vAlign w:val="center"/>
          </w:tcPr>
          <w:p w:rsidR="00534C56" w:rsidRPr="00C60F63" w:rsidRDefault="00534C56" w:rsidP="0086000A">
            <w:pPr>
              <w:spacing w:line="180" w:lineRule="exact"/>
              <w:contextualSpacing/>
              <w:jc w:val="left"/>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534C56" w:rsidRPr="00D51154" w:rsidRDefault="00534C56" w:rsidP="001E2AD0">
            <w:pPr>
              <w:spacing w:line="180" w:lineRule="exact"/>
              <w:contextualSpacing/>
              <w:rPr>
                <w:rFonts w:cstheme="minorHAnsi"/>
                <w:color w:val="auto"/>
                <w:sz w:val="18"/>
                <w:szCs w:val="18"/>
              </w:rPr>
            </w:pPr>
          </w:p>
        </w:tc>
        <w:tc>
          <w:tcPr>
            <w:tcW w:w="900" w:type="dxa"/>
            <w:vMerge/>
            <w:tcBorders>
              <w:right w:val="thinThickThinSmallGap" w:sz="24" w:space="0" w:color="auto"/>
            </w:tcBorders>
            <w:shd w:val="clear" w:color="auto" w:fill="FFFFFF" w:themeFill="background1"/>
            <w:vAlign w:val="center"/>
          </w:tcPr>
          <w:p w:rsidR="00534C56" w:rsidRPr="00D51154" w:rsidRDefault="00534C56" w:rsidP="0086000A">
            <w:pPr>
              <w:spacing w:line="180" w:lineRule="exact"/>
              <w:rPr>
                <w:rFonts w:cstheme="minorHAnsi"/>
                <w:color w:val="auto"/>
                <w:sz w:val="18"/>
                <w:szCs w:val="18"/>
              </w:rPr>
            </w:pPr>
          </w:p>
        </w:tc>
        <w:tc>
          <w:tcPr>
            <w:tcW w:w="2250" w:type="dxa"/>
            <w:tcBorders>
              <w:left w:val="thinThickThinSmallGap" w:sz="24" w:space="0" w:color="auto"/>
            </w:tcBorders>
            <w:shd w:val="clear" w:color="auto" w:fill="FFFFFF" w:themeFill="background1"/>
            <w:vAlign w:val="center"/>
          </w:tcPr>
          <w:p w:rsidR="00534C56" w:rsidRPr="00D51154" w:rsidRDefault="00534C56" w:rsidP="0086000A">
            <w:pPr>
              <w:spacing w:line="180" w:lineRule="exact"/>
              <w:contextualSpacing/>
              <w:jc w:val="left"/>
              <w:rPr>
                <w:rFonts w:eastAsia="Times New Roman" w:cstheme="minorHAnsi"/>
                <w:color w:val="auto"/>
                <w:sz w:val="18"/>
                <w:szCs w:val="18"/>
              </w:rPr>
            </w:pPr>
            <w:r w:rsidRPr="00D51154">
              <w:rPr>
                <w:rFonts w:cstheme="minorHAnsi"/>
                <w:color w:val="auto"/>
                <w:sz w:val="18"/>
                <w:szCs w:val="18"/>
              </w:rPr>
              <w:t xml:space="preserve">Depression </w:t>
            </w:r>
            <w:r>
              <w:rPr>
                <w:rFonts w:cstheme="minorHAnsi"/>
                <w:color w:val="auto"/>
                <w:sz w:val="18"/>
                <w:szCs w:val="18"/>
              </w:rPr>
              <w:t>a</w:t>
            </w:r>
            <w:r w:rsidRPr="00D51154">
              <w:rPr>
                <w:rFonts w:cstheme="minorHAnsi"/>
                <w:color w:val="auto"/>
                <w:sz w:val="18"/>
                <w:szCs w:val="18"/>
              </w:rPr>
              <w:t>nd Anxiety</w:t>
            </w:r>
          </w:p>
        </w:tc>
        <w:tc>
          <w:tcPr>
            <w:tcW w:w="1170" w:type="dxa"/>
            <w:gridSpan w:val="2"/>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eastAsia="Times New Roman" w:cstheme="minorHAnsi"/>
                <w:color w:val="auto"/>
                <w:sz w:val="18"/>
                <w:szCs w:val="18"/>
              </w:rPr>
              <w:t>9434</w:t>
            </w:r>
          </w:p>
        </w:tc>
        <w:tc>
          <w:tcPr>
            <w:tcW w:w="810" w:type="dxa"/>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cstheme="minorHAnsi"/>
                <w:color w:val="auto"/>
                <w:sz w:val="18"/>
                <w:szCs w:val="18"/>
              </w:rPr>
              <w:t>30%</w:t>
            </w:r>
          </w:p>
        </w:tc>
        <w:tc>
          <w:tcPr>
            <w:tcW w:w="990" w:type="dxa"/>
            <w:shd w:val="clear" w:color="auto" w:fill="FFFFFF" w:themeFill="background1"/>
            <w:vAlign w:val="center"/>
          </w:tcPr>
          <w:p w:rsidR="00534C56" w:rsidRPr="00D35589" w:rsidRDefault="00534C56" w:rsidP="00F06813">
            <w:pPr>
              <w:spacing w:line="180" w:lineRule="exact"/>
              <w:contextualSpacing/>
              <w:rPr>
                <w:rFonts w:cstheme="minorHAnsi"/>
                <w:color w:val="000000" w:themeColor="text1"/>
                <w:sz w:val="18"/>
                <w:szCs w:val="18"/>
              </w:rPr>
            </w:pPr>
            <w:r w:rsidRPr="00D35589">
              <w:rPr>
                <w:rFonts w:cstheme="minorHAnsi"/>
                <w:color w:val="000000" w:themeColor="text1"/>
                <w:sz w:val="18"/>
                <w:szCs w:val="18"/>
              </w:rPr>
              <w:t>20060119</w:t>
            </w:r>
          </w:p>
        </w:tc>
      </w:tr>
      <w:tr w:rsidR="00534C56" w:rsidRPr="001F29F9" w:rsidTr="001E2AD0">
        <w:trPr>
          <w:trHeight w:val="287"/>
          <w:jc w:val="center"/>
        </w:trPr>
        <w:tc>
          <w:tcPr>
            <w:tcW w:w="2178" w:type="dxa"/>
            <w:tcBorders>
              <w:right w:val="single" w:sz="4" w:space="0" w:color="auto"/>
            </w:tcBorders>
            <w:shd w:val="clear" w:color="auto" w:fill="FFFFFF" w:themeFill="background1"/>
            <w:vAlign w:val="center"/>
          </w:tcPr>
          <w:p w:rsidR="00534C56" w:rsidRPr="002815D1" w:rsidRDefault="00534C56" w:rsidP="0086000A">
            <w:pPr>
              <w:spacing w:line="180" w:lineRule="exact"/>
              <w:contextualSpacing/>
              <w:jc w:val="left"/>
              <w:rPr>
                <w:rFonts w:eastAsia="Times New Roman" w:cstheme="minorHAnsi"/>
                <w:color w:val="auto"/>
                <w:sz w:val="18"/>
                <w:szCs w:val="18"/>
              </w:rPr>
            </w:pPr>
            <w:r w:rsidRPr="002815D1">
              <w:rPr>
                <w:rFonts w:cstheme="minorHAnsi"/>
                <w:color w:val="auto"/>
                <w:sz w:val="18"/>
                <w:szCs w:val="18"/>
              </w:rPr>
              <w:t>Chondromalacia</w:t>
            </w:r>
          </w:p>
        </w:tc>
        <w:tc>
          <w:tcPr>
            <w:tcW w:w="1080" w:type="dxa"/>
            <w:tcBorders>
              <w:left w:val="single" w:sz="4" w:space="0" w:color="auto"/>
            </w:tcBorders>
            <w:shd w:val="clear" w:color="auto" w:fill="FFFFFF" w:themeFill="background1"/>
            <w:vAlign w:val="center"/>
          </w:tcPr>
          <w:p w:rsidR="00534C56" w:rsidRPr="00D51154" w:rsidRDefault="00534C56" w:rsidP="001E2AD0">
            <w:pPr>
              <w:spacing w:line="180" w:lineRule="exact"/>
              <w:contextualSpacing/>
              <w:rPr>
                <w:rFonts w:eastAsia="Times New Roman" w:cstheme="minorHAnsi"/>
                <w:color w:val="auto"/>
                <w:sz w:val="18"/>
                <w:szCs w:val="18"/>
              </w:rPr>
            </w:pPr>
            <w:r w:rsidRPr="00D51154">
              <w:rPr>
                <w:rFonts w:cstheme="minorHAnsi"/>
                <w:color w:val="auto"/>
                <w:sz w:val="18"/>
                <w:szCs w:val="18"/>
              </w:rPr>
              <w:t>5299-5003</w:t>
            </w:r>
          </w:p>
        </w:tc>
        <w:tc>
          <w:tcPr>
            <w:tcW w:w="900" w:type="dxa"/>
            <w:vMerge w:val="restart"/>
            <w:tcBorders>
              <w:right w:val="thinThickThinSmallGap" w:sz="24" w:space="0" w:color="auto"/>
            </w:tcBorders>
            <w:shd w:val="clear" w:color="auto" w:fill="FFFFFF" w:themeFill="background1"/>
            <w:vAlign w:val="center"/>
          </w:tcPr>
          <w:p w:rsidR="00534C56" w:rsidRPr="00D51154" w:rsidRDefault="00534C56" w:rsidP="0086000A">
            <w:pPr>
              <w:spacing w:line="180" w:lineRule="exact"/>
              <w:rPr>
                <w:rFonts w:eastAsia="Times New Roman" w:cstheme="minorHAnsi"/>
                <w:color w:val="auto"/>
                <w:sz w:val="18"/>
                <w:szCs w:val="18"/>
              </w:rPr>
            </w:pPr>
            <w:r w:rsidRPr="00D51154">
              <w:rPr>
                <w:rFonts w:eastAsia="Times New Roman" w:cstheme="minorHAnsi"/>
                <w:color w:val="auto"/>
                <w:sz w:val="18"/>
                <w:szCs w:val="18"/>
              </w:rPr>
              <w:t>CAT II</w:t>
            </w:r>
          </w:p>
        </w:tc>
        <w:tc>
          <w:tcPr>
            <w:tcW w:w="2250" w:type="dxa"/>
            <w:tcBorders>
              <w:left w:val="thinThickThinSmallGap" w:sz="24" w:space="0" w:color="auto"/>
              <w:right w:val="single" w:sz="4" w:space="0" w:color="auto"/>
            </w:tcBorders>
            <w:shd w:val="clear" w:color="auto" w:fill="FFFFFF" w:themeFill="background1"/>
            <w:vAlign w:val="center"/>
          </w:tcPr>
          <w:p w:rsidR="00534C56" w:rsidRPr="00D51154" w:rsidRDefault="00534C56" w:rsidP="00F06813">
            <w:pPr>
              <w:spacing w:line="180" w:lineRule="exact"/>
              <w:contextualSpacing/>
              <w:jc w:val="left"/>
              <w:rPr>
                <w:rFonts w:eastAsia="Times New Roman" w:cstheme="minorHAnsi"/>
                <w:color w:val="auto"/>
                <w:sz w:val="18"/>
                <w:szCs w:val="18"/>
              </w:rPr>
            </w:pPr>
            <w:r>
              <w:rPr>
                <w:rFonts w:cstheme="minorHAnsi"/>
                <w:color w:val="auto"/>
                <w:sz w:val="18"/>
                <w:szCs w:val="18"/>
              </w:rPr>
              <w:t>Right Knee Torn Meniscus</w:t>
            </w:r>
          </w:p>
        </w:tc>
        <w:tc>
          <w:tcPr>
            <w:tcW w:w="1170" w:type="dxa"/>
            <w:gridSpan w:val="2"/>
            <w:tcBorders>
              <w:left w:val="single" w:sz="4" w:space="0" w:color="auto"/>
            </w:tcBorders>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cstheme="minorHAnsi"/>
                <w:color w:val="auto"/>
                <w:sz w:val="18"/>
                <w:szCs w:val="18"/>
              </w:rPr>
              <w:t>5261</w:t>
            </w:r>
          </w:p>
        </w:tc>
        <w:tc>
          <w:tcPr>
            <w:tcW w:w="810" w:type="dxa"/>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cstheme="minorHAnsi"/>
                <w:color w:val="auto"/>
                <w:sz w:val="18"/>
                <w:szCs w:val="18"/>
              </w:rPr>
              <w:t>20%</w:t>
            </w:r>
          </w:p>
        </w:tc>
        <w:tc>
          <w:tcPr>
            <w:tcW w:w="990" w:type="dxa"/>
            <w:shd w:val="clear" w:color="auto" w:fill="FFFFFF" w:themeFill="background1"/>
            <w:vAlign w:val="center"/>
          </w:tcPr>
          <w:p w:rsidR="00534C56" w:rsidRPr="00D51154" w:rsidRDefault="00534C56" w:rsidP="00F06813">
            <w:pPr>
              <w:spacing w:line="180" w:lineRule="exact"/>
              <w:rPr>
                <w:rFonts w:cstheme="minorHAnsi"/>
                <w:sz w:val="18"/>
                <w:szCs w:val="18"/>
              </w:rPr>
            </w:pPr>
            <w:r w:rsidRPr="00D51154">
              <w:rPr>
                <w:rFonts w:eastAsia="Times New Roman" w:cstheme="minorHAnsi"/>
                <w:color w:val="000000" w:themeColor="text1"/>
                <w:sz w:val="18"/>
                <w:szCs w:val="18"/>
              </w:rPr>
              <w:t>20051205</w:t>
            </w:r>
          </w:p>
        </w:tc>
      </w:tr>
      <w:tr w:rsidR="00534C56" w:rsidRPr="001F29F9" w:rsidTr="001E2AD0">
        <w:trPr>
          <w:trHeight w:val="287"/>
          <w:jc w:val="center"/>
        </w:trPr>
        <w:tc>
          <w:tcPr>
            <w:tcW w:w="2178" w:type="dxa"/>
            <w:tcBorders>
              <w:right w:val="single" w:sz="4" w:space="0" w:color="auto"/>
            </w:tcBorders>
            <w:shd w:val="clear" w:color="auto" w:fill="FFFFFF" w:themeFill="background1"/>
            <w:vAlign w:val="center"/>
          </w:tcPr>
          <w:p w:rsidR="00534C56" w:rsidRPr="002815D1" w:rsidRDefault="00F06813" w:rsidP="0086000A">
            <w:pPr>
              <w:spacing w:line="180" w:lineRule="exact"/>
              <w:contextualSpacing/>
              <w:jc w:val="left"/>
              <w:rPr>
                <w:rFonts w:eastAsia="Times New Roman" w:cstheme="minorHAnsi"/>
                <w:color w:val="auto"/>
                <w:sz w:val="18"/>
                <w:szCs w:val="18"/>
              </w:rPr>
            </w:pPr>
            <w:r>
              <w:rPr>
                <w:rFonts w:cstheme="minorHAnsi"/>
                <w:color w:val="auto"/>
                <w:sz w:val="18"/>
                <w:szCs w:val="18"/>
              </w:rPr>
              <w:t>GERD</w:t>
            </w:r>
          </w:p>
        </w:tc>
        <w:tc>
          <w:tcPr>
            <w:tcW w:w="1080" w:type="dxa"/>
            <w:tcBorders>
              <w:left w:val="single" w:sz="4" w:space="0" w:color="auto"/>
            </w:tcBorders>
            <w:shd w:val="clear" w:color="auto" w:fill="FFFFFF" w:themeFill="background1"/>
            <w:vAlign w:val="center"/>
          </w:tcPr>
          <w:p w:rsidR="00534C56" w:rsidRPr="00D51154" w:rsidRDefault="00534C56" w:rsidP="001E2AD0">
            <w:pPr>
              <w:spacing w:line="180" w:lineRule="exact"/>
              <w:contextualSpacing/>
              <w:rPr>
                <w:rFonts w:eastAsia="Times New Roman" w:cstheme="minorHAnsi"/>
                <w:color w:val="auto"/>
                <w:sz w:val="18"/>
                <w:szCs w:val="18"/>
              </w:rPr>
            </w:pPr>
            <w:r w:rsidRPr="00D51154">
              <w:rPr>
                <w:rFonts w:cstheme="minorHAnsi"/>
                <w:color w:val="auto"/>
                <w:sz w:val="18"/>
                <w:szCs w:val="18"/>
              </w:rPr>
              <w:t>7399-7346</w:t>
            </w:r>
          </w:p>
        </w:tc>
        <w:tc>
          <w:tcPr>
            <w:tcW w:w="900" w:type="dxa"/>
            <w:vMerge/>
            <w:tcBorders>
              <w:right w:val="thinThickThinSmallGap" w:sz="24" w:space="0" w:color="auto"/>
            </w:tcBorders>
            <w:shd w:val="clear" w:color="auto" w:fill="FFFFFF" w:themeFill="background1"/>
            <w:vAlign w:val="center"/>
          </w:tcPr>
          <w:p w:rsidR="00534C56" w:rsidRPr="00D51154" w:rsidRDefault="00534C56" w:rsidP="0086000A">
            <w:pPr>
              <w:spacing w:line="180" w:lineRule="exact"/>
              <w:contextualSpacing/>
              <w:rPr>
                <w:rFonts w:eastAsia="Times New Roman" w:cstheme="minorHAnsi"/>
                <w:color w:val="auto"/>
                <w:sz w:val="18"/>
                <w:szCs w:val="18"/>
                <w:highlight w:val="yellow"/>
              </w:rPr>
            </w:pPr>
          </w:p>
        </w:tc>
        <w:tc>
          <w:tcPr>
            <w:tcW w:w="2250" w:type="dxa"/>
            <w:tcBorders>
              <w:left w:val="thinThickThinSmallGap" w:sz="24" w:space="0" w:color="auto"/>
              <w:bottom w:val="single" w:sz="4" w:space="0" w:color="000000" w:themeColor="text1"/>
              <w:right w:val="single" w:sz="4" w:space="0" w:color="auto"/>
            </w:tcBorders>
            <w:shd w:val="clear" w:color="auto" w:fill="FFFFFF" w:themeFill="background1"/>
            <w:vAlign w:val="center"/>
          </w:tcPr>
          <w:p w:rsidR="00534C56" w:rsidRPr="00D51154" w:rsidRDefault="00F06813" w:rsidP="0086000A">
            <w:pPr>
              <w:spacing w:line="180" w:lineRule="exact"/>
              <w:contextualSpacing/>
              <w:jc w:val="left"/>
              <w:rPr>
                <w:rFonts w:eastAsia="Times New Roman" w:cstheme="minorHAnsi"/>
                <w:color w:val="auto"/>
                <w:sz w:val="18"/>
                <w:szCs w:val="18"/>
              </w:rPr>
            </w:pPr>
            <w:r>
              <w:rPr>
                <w:rFonts w:cstheme="minorHAnsi"/>
                <w:color w:val="auto"/>
                <w:sz w:val="18"/>
                <w:szCs w:val="18"/>
              </w:rPr>
              <w:t>GERD</w:t>
            </w:r>
          </w:p>
        </w:tc>
        <w:tc>
          <w:tcPr>
            <w:tcW w:w="1170" w:type="dxa"/>
            <w:gridSpan w:val="2"/>
            <w:tcBorders>
              <w:left w:val="single" w:sz="4" w:space="0" w:color="auto"/>
              <w:bottom w:val="single" w:sz="4" w:space="0" w:color="000000" w:themeColor="text1"/>
            </w:tcBorders>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cstheme="minorHAnsi"/>
                <w:color w:val="auto"/>
                <w:sz w:val="18"/>
                <w:szCs w:val="18"/>
              </w:rPr>
              <w:t>7346</w:t>
            </w:r>
          </w:p>
        </w:tc>
        <w:tc>
          <w:tcPr>
            <w:tcW w:w="810" w:type="dxa"/>
            <w:tcBorders>
              <w:bottom w:val="single" w:sz="4" w:space="0" w:color="000000" w:themeColor="text1"/>
            </w:tcBorders>
            <w:shd w:val="clear" w:color="auto" w:fill="FFFFFF" w:themeFill="background1"/>
            <w:vAlign w:val="center"/>
          </w:tcPr>
          <w:p w:rsidR="00534C56" w:rsidRPr="00D51154" w:rsidRDefault="00534C56" w:rsidP="00F06813">
            <w:pPr>
              <w:spacing w:line="180" w:lineRule="exact"/>
              <w:contextualSpacing/>
              <w:rPr>
                <w:rFonts w:eastAsia="Times New Roman" w:cstheme="minorHAnsi"/>
                <w:color w:val="auto"/>
                <w:sz w:val="18"/>
                <w:szCs w:val="18"/>
              </w:rPr>
            </w:pPr>
            <w:r w:rsidRPr="00D51154">
              <w:rPr>
                <w:rFonts w:cstheme="minorHAnsi"/>
                <w:color w:val="auto"/>
                <w:sz w:val="18"/>
                <w:szCs w:val="18"/>
              </w:rPr>
              <w:t>0%</w:t>
            </w:r>
          </w:p>
        </w:tc>
        <w:tc>
          <w:tcPr>
            <w:tcW w:w="990" w:type="dxa"/>
            <w:tcBorders>
              <w:bottom w:val="single" w:sz="4" w:space="0" w:color="000000" w:themeColor="text1"/>
            </w:tcBorders>
            <w:shd w:val="clear" w:color="auto" w:fill="FFFFFF" w:themeFill="background1"/>
            <w:vAlign w:val="center"/>
          </w:tcPr>
          <w:p w:rsidR="00534C56" w:rsidRPr="00D51154" w:rsidRDefault="00534C56" w:rsidP="00F06813">
            <w:pPr>
              <w:spacing w:line="180" w:lineRule="exact"/>
              <w:rPr>
                <w:rFonts w:cstheme="minorHAnsi"/>
                <w:sz w:val="18"/>
                <w:szCs w:val="18"/>
              </w:rPr>
            </w:pPr>
            <w:r w:rsidRPr="00D51154">
              <w:rPr>
                <w:rFonts w:eastAsia="Times New Roman" w:cstheme="minorHAnsi"/>
                <w:color w:val="000000" w:themeColor="text1"/>
                <w:sz w:val="18"/>
                <w:szCs w:val="18"/>
              </w:rPr>
              <w:t>20051205</w:t>
            </w:r>
          </w:p>
        </w:tc>
      </w:tr>
      <w:tr w:rsidR="00F06813" w:rsidRPr="001F29F9" w:rsidTr="001E2AD0">
        <w:trPr>
          <w:trHeight w:val="287"/>
          <w:jc w:val="center"/>
        </w:trPr>
        <w:tc>
          <w:tcPr>
            <w:tcW w:w="2178" w:type="dxa"/>
            <w:tcBorders>
              <w:right w:val="single" w:sz="4" w:space="0" w:color="auto"/>
            </w:tcBorders>
            <w:shd w:val="clear" w:color="auto" w:fill="FFFFFF" w:themeFill="background1"/>
            <w:vAlign w:val="center"/>
          </w:tcPr>
          <w:p w:rsidR="00F06813" w:rsidRPr="002815D1" w:rsidRDefault="00F06813" w:rsidP="00F06813">
            <w:pPr>
              <w:spacing w:line="180" w:lineRule="exact"/>
              <w:contextualSpacing/>
              <w:jc w:val="left"/>
              <w:rPr>
                <w:rFonts w:cstheme="minorHAnsi"/>
                <w:color w:val="auto"/>
                <w:sz w:val="18"/>
                <w:szCs w:val="18"/>
              </w:rPr>
            </w:pPr>
            <w:r w:rsidRPr="002815D1">
              <w:rPr>
                <w:rFonts w:cstheme="minorHAnsi"/>
                <w:color w:val="auto"/>
                <w:sz w:val="18"/>
                <w:szCs w:val="18"/>
              </w:rPr>
              <w:t>Headaches</w:t>
            </w:r>
          </w:p>
        </w:tc>
        <w:tc>
          <w:tcPr>
            <w:tcW w:w="1080" w:type="dxa"/>
            <w:tcBorders>
              <w:left w:val="single" w:sz="4" w:space="0" w:color="auto"/>
            </w:tcBorders>
            <w:shd w:val="clear" w:color="auto" w:fill="FFFFFF" w:themeFill="background1"/>
            <w:vAlign w:val="center"/>
          </w:tcPr>
          <w:p w:rsidR="00F06813" w:rsidRPr="00D51154" w:rsidRDefault="00F06813" w:rsidP="001E2AD0">
            <w:pPr>
              <w:spacing w:line="180" w:lineRule="exact"/>
              <w:contextualSpacing/>
              <w:rPr>
                <w:rFonts w:cstheme="minorHAnsi"/>
                <w:color w:val="auto"/>
                <w:sz w:val="18"/>
                <w:szCs w:val="18"/>
              </w:rPr>
            </w:pPr>
            <w:r w:rsidRPr="00D51154">
              <w:rPr>
                <w:rFonts w:cstheme="minorHAnsi"/>
                <w:color w:val="auto"/>
                <w:sz w:val="18"/>
                <w:szCs w:val="18"/>
              </w:rPr>
              <w:t>8199-8100</w:t>
            </w:r>
          </w:p>
        </w:tc>
        <w:tc>
          <w:tcPr>
            <w:tcW w:w="900" w:type="dxa"/>
            <w:vMerge/>
            <w:tcBorders>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eastAsia="Times New Roman" w:cstheme="minorHAnsi"/>
                <w:color w:val="auto"/>
                <w:sz w:val="18"/>
                <w:szCs w:val="18"/>
                <w:highlight w:val="yellow"/>
              </w:rPr>
            </w:pPr>
          </w:p>
        </w:tc>
        <w:tc>
          <w:tcPr>
            <w:tcW w:w="2250" w:type="dxa"/>
            <w:tcBorders>
              <w:left w:val="thinThickThinSmallGap" w:sz="24" w:space="0" w:color="auto"/>
              <w:right w:val="single" w:sz="4" w:space="0" w:color="auto"/>
            </w:tcBorders>
            <w:shd w:val="clear" w:color="auto" w:fill="FFFFFF" w:themeFill="background1"/>
            <w:vAlign w:val="center"/>
          </w:tcPr>
          <w:p w:rsidR="00F06813" w:rsidRPr="00D51154" w:rsidRDefault="00F06813" w:rsidP="00F06813">
            <w:pPr>
              <w:spacing w:line="180" w:lineRule="exact"/>
              <w:contextualSpacing/>
              <w:jc w:val="left"/>
              <w:rPr>
                <w:rFonts w:cstheme="minorHAnsi"/>
                <w:color w:val="auto"/>
                <w:sz w:val="18"/>
                <w:szCs w:val="18"/>
              </w:rPr>
            </w:pPr>
            <w:r w:rsidRPr="00D51154">
              <w:rPr>
                <w:rFonts w:cstheme="minorHAnsi"/>
                <w:color w:val="auto"/>
                <w:sz w:val="18"/>
                <w:szCs w:val="18"/>
              </w:rPr>
              <w:t>Migraine Headaches</w:t>
            </w:r>
          </w:p>
        </w:tc>
        <w:tc>
          <w:tcPr>
            <w:tcW w:w="1170" w:type="dxa"/>
            <w:gridSpan w:val="2"/>
            <w:tcBorders>
              <w:left w:val="single" w:sz="4" w:space="0" w:color="auto"/>
              <w:right w:val="single" w:sz="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8100</w:t>
            </w:r>
          </w:p>
        </w:tc>
        <w:tc>
          <w:tcPr>
            <w:tcW w:w="810" w:type="dxa"/>
            <w:tcBorders>
              <w:left w:val="single" w:sz="4" w:space="0" w:color="auto"/>
              <w:right w:val="single" w:sz="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30%</w:t>
            </w:r>
          </w:p>
        </w:tc>
        <w:tc>
          <w:tcPr>
            <w:tcW w:w="990" w:type="dxa"/>
            <w:tcBorders>
              <w:left w:val="single" w:sz="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r w:rsidRPr="00D51154">
              <w:rPr>
                <w:rFonts w:eastAsia="Times New Roman" w:cstheme="minorHAnsi"/>
                <w:color w:val="000000" w:themeColor="text1"/>
                <w:sz w:val="18"/>
                <w:szCs w:val="18"/>
              </w:rPr>
              <w:t>20051205</w:t>
            </w:r>
          </w:p>
        </w:tc>
      </w:tr>
      <w:tr w:rsidR="00F06813" w:rsidRPr="001F29F9" w:rsidTr="001E2AD0">
        <w:trPr>
          <w:trHeight w:val="287"/>
          <w:jc w:val="center"/>
        </w:trPr>
        <w:tc>
          <w:tcPr>
            <w:tcW w:w="2178" w:type="dxa"/>
            <w:tcBorders>
              <w:right w:val="single" w:sz="4" w:space="0" w:color="auto"/>
            </w:tcBorders>
            <w:shd w:val="clear" w:color="auto" w:fill="FFFFFF" w:themeFill="background1"/>
            <w:vAlign w:val="center"/>
          </w:tcPr>
          <w:p w:rsidR="00F06813" w:rsidRPr="002815D1" w:rsidRDefault="00F06813" w:rsidP="00F06813">
            <w:pPr>
              <w:spacing w:line="180" w:lineRule="exact"/>
              <w:contextualSpacing/>
              <w:jc w:val="left"/>
              <w:rPr>
                <w:rFonts w:eastAsia="Times New Roman" w:cstheme="minorHAnsi"/>
                <w:color w:val="auto"/>
                <w:sz w:val="18"/>
                <w:szCs w:val="18"/>
              </w:rPr>
            </w:pPr>
            <w:r w:rsidRPr="002815D1">
              <w:rPr>
                <w:rFonts w:cstheme="minorHAnsi"/>
                <w:color w:val="auto"/>
                <w:sz w:val="18"/>
                <w:szCs w:val="18"/>
              </w:rPr>
              <w:t>Seasonal Allergic Rhinitis</w:t>
            </w:r>
            <w:r w:rsidR="004012EF">
              <w:rPr>
                <w:rFonts w:cstheme="minorHAnsi"/>
                <w:color w:val="auto"/>
                <w:sz w:val="18"/>
                <w:szCs w:val="18"/>
              </w:rPr>
              <w:t xml:space="preserve"> (SAR)</w:t>
            </w:r>
          </w:p>
        </w:tc>
        <w:tc>
          <w:tcPr>
            <w:tcW w:w="1080" w:type="dxa"/>
            <w:tcBorders>
              <w:left w:val="single" w:sz="4" w:space="0" w:color="auto"/>
            </w:tcBorders>
            <w:shd w:val="clear" w:color="auto" w:fill="FFFFFF" w:themeFill="background1"/>
            <w:vAlign w:val="center"/>
          </w:tcPr>
          <w:p w:rsidR="00F06813" w:rsidRPr="00D51154" w:rsidRDefault="00F06813" w:rsidP="001E2AD0">
            <w:pPr>
              <w:spacing w:line="180" w:lineRule="exact"/>
              <w:contextualSpacing/>
              <w:rPr>
                <w:rFonts w:eastAsia="Times New Roman" w:cstheme="minorHAnsi"/>
                <w:color w:val="auto"/>
                <w:sz w:val="18"/>
                <w:szCs w:val="18"/>
              </w:rPr>
            </w:pPr>
            <w:r w:rsidRPr="00D51154">
              <w:rPr>
                <w:rFonts w:cstheme="minorHAnsi"/>
                <w:color w:val="auto"/>
                <w:sz w:val="18"/>
                <w:szCs w:val="18"/>
              </w:rPr>
              <w:t>6522</w:t>
            </w:r>
          </w:p>
        </w:tc>
        <w:tc>
          <w:tcPr>
            <w:tcW w:w="900" w:type="dxa"/>
            <w:vMerge/>
            <w:tcBorders>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highlight w:val="yellow"/>
              </w:rPr>
            </w:pPr>
          </w:p>
        </w:tc>
        <w:tc>
          <w:tcPr>
            <w:tcW w:w="5220" w:type="dxa"/>
            <w:gridSpan w:val="5"/>
            <w:tcBorders>
              <w:lef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r w:rsidRPr="00D51154">
              <w:rPr>
                <w:rFonts w:eastAsia="Times New Roman" w:cstheme="minorHAnsi"/>
                <w:color w:val="auto"/>
                <w:sz w:val="18"/>
                <w:szCs w:val="18"/>
              </w:rPr>
              <w:t>NO V</w:t>
            </w:r>
            <w:r>
              <w:rPr>
                <w:rFonts w:eastAsia="Times New Roman" w:cstheme="minorHAnsi"/>
                <w:color w:val="auto"/>
                <w:sz w:val="18"/>
                <w:szCs w:val="18"/>
              </w:rPr>
              <w:t>A</w:t>
            </w:r>
            <w:r w:rsidRPr="00D51154">
              <w:rPr>
                <w:rFonts w:eastAsia="Times New Roman" w:cstheme="minorHAnsi"/>
                <w:color w:val="auto"/>
                <w:sz w:val="18"/>
                <w:szCs w:val="18"/>
              </w:rPr>
              <w:t xml:space="preserve"> ENTRY</w:t>
            </w:r>
          </w:p>
        </w:tc>
      </w:tr>
      <w:tr w:rsidR="00F06813" w:rsidRPr="001F29F9" w:rsidTr="0086000A">
        <w:trPr>
          <w:trHeight w:val="287"/>
          <w:jc w:val="center"/>
        </w:trPr>
        <w:tc>
          <w:tcPr>
            <w:tcW w:w="2178" w:type="dxa"/>
            <w:tcBorders>
              <w:right w:val="single" w:sz="4" w:space="0" w:color="auto"/>
            </w:tcBorders>
            <w:shd w:val="clear" w:color="auto" w:fill="FFFFFF" w:themeFill="background1"/>
            <w:vAlign w:val="center"/>
          </w:tcPr>
          <w:p w:rsidR="00F06813" w:rsidRPr="002815D1" w:rsidRDefault="00F06813" w:rsidP="00F06813">
            <w:pPr>
              <w:spacing w:line="180" w:lineRule="exact"/>
              <w:contextualSpacing/>
              <w:jc w:val="left"/>
              <w:rPr>
                <w:rFonts w:cstheme="minorHAnsi"/>
                <w:color w:val="auto"/>
                <w:sz w:val="18"/>
                <w:szCs w:val="18"/>
              </w:rPr>
            </w:pPr>
            <w:r w:rsidRPr="002815D1">
              <w:rPr>
                <w:rFonts w:cstheme="minorHAnsi"/>
                <w:color w:val="auto"/>
                <w:sz w:val="18"/>
                <w:szCs w:val="18"/>
              </w:rPr>
              <w:t xml:space="preserve">Obesity </w:t>
            </w:r>
          </w:p>
        </w:tc>
        <w:tc>
          <w:tcPr>
            <w:tcW w:w="1980" w:type="dxa"/>
            <w:gridSpan w:val="2"/>
            <w:vMerge w:val="restart"/>
            <w:tcBorders>
              <w:left w:val="single" w:sz="4" w:space="0" w:color="auto"/>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highlight w:val="yellow"/>
              </w:rPr>
            </w:pPr>
            <w:r w:rsidRPr="00D51154">
              <w:rPr>
                <w:rFonts w:cstheme="minorHAnsi"/>
                <w:bCs/>
                <w:color w:val="auto"/>
                <w:sz w:val="18"/>
                <w:szCs w:val="18"/>
              </w:rPr>
              <w:t>CAT III</w:t>
            </w:r>
          </w:p>
        </w:tc>
        <w:tc>
          <w:tcPr>
            <w:tcW w:w="5220" w:type="dxa"/>
            <w:gridSpan w:val="5"/>
            <w:tcBorders>
              <w:lef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r w:rsidRPr="00D51154">
              <w:rPr>
                <w:rFonts w:eastAsia="Times New Roman" w:cstheme="minorHAnsi"/>
                <w:color w:val="auto"/>
                <w:sz w:val="18"/>
                <w:szCs w:val="18"/>
              </w:rPr>
              <w:t>NO VA ENTRY</w:t>
            </w:r>
          </w:p>
        </w:tc>
      </w:tr>
      <w:tr w:rsidR="00F06813" w:rsidRPr="001F29F9" w:rsidTr="0086000A">
        <w:trPr>
          <w:trHeight w:val="287"/>
          <w:jc w:val="center"/>
        </w:trPr>
        <w:tc>
          <w:tcPr>
            <w:tcW w:w="2178" w:type="dxa"/>
            <w:tcBorders>
              <w:right w:val="single" w:sz="4" w:space="0" w:color="auto"/>
            </w:tcBorders>
            <w:shd w:val="clear" w:color="auto" w:fill="FFFFFF" w:themeFill="background1"/>
            <w:vAlign w:val="center"/>
          </w:tcPr>
          <w:p w:rsidR="00F06813" w:rsidRPr="002815D1" w:rsidRDefault="00F06813" w:rsidP="00F06813">
            <w:pPr>
              <w:spacing w:line="180" w:lineRule="exact"/>
              <w:contextualSpacing/>
              <w:jc w:val="left"/>
              <w:rPr>
                <w:rFonts w:cstheme="minorHAnsi"/>
                <w:color w:val="auto"/>
                <w:sz w:val="18"/>
                <w:szCs w:val="18"/>
              </w:rPr>
            </w:pPr>
            <w:r w:rsidRPr="002815D1">
              <w:rPr>
                <w:rFonts w:cstheme="minorHAnsi"/>
                <w:color w:val="auto"/>
                <w:sz w:val="18"/>
                <w:szCs w:val="18"/>
              </w:rPr>
              <w:t>Narcotic Dependence</w:t>
            </w:r>
          </w:p>
        </w:tc>
        <w:tc>
          <w:tcPr>
            <w:tcW w:w="1980" w:type="dxa"/>
            <w:gridSpan w:val="2"/>
            <w:vMerge/>
            <w:tcBorders>
              <w:left w:val="single" w:sz="4" w:space="0" w:color="auto"/>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p>
        </w:tc>
        <w:tc>
          <w:tcPr>
            <w:tcW w:w="5220" w:type="dxa"/>
            <w:gridSpan w:val="5"/>
            <w:tcBorders>
              <w:lef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r w:rsidRPr="00D51154">
              <w:rPr>
                <w:rFonts w:eastAsia="Times New Roman" w:cstheme="minorHAnsi"/>
                <w:color w:val="auto"/>
                <w:sz w:val="18"/>
                <w:szCs w:val="18"/>
              </w:rPr>
              <w:t>NO VA ENTRY</w:t>
            </w:r>
          </w:p>
        </w:tc>
      </w:tr>
      <w:tr w:rsidR="00F06813" w:rsidRPr="001F29F9" w:rsidTr="00F06813">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r w:rsidRPr="00D51154">
              <w:rPr>
                <w:rFonts w:cstheme="minorHAnsi"/>
                <w:color w:val="000000" w:themeColor="text1"/>
                <w:sz w:val="18"/>
                <w:szCs w:val="18"/>
              </w:rPr>
              <w:t>↓No Additional MEB/PEB Entries↓</w:t>
            </w:r>
          </w:p>
        </w:tc>
        <w:tc>
          <w:tcPr>
            <w:tcW w:w="2250" w:type="dxa"/>
            <w:tcBorders>
              <w:left w:val="thinThickThinSmallGap" w:sz="24" w:space="0" w:color="auto"/>
              <w:right w:val="single" w:sz="4" w:space="0" w:color="auto"/>
            </w:tcBorders>
            <w:shd w:val="clear" w:color="auto" w:fill="FFFFFF" w:themeFill="background1"/>
            <w:vAlign w:val="center"/>
          </w:tcPr>
          <w:p w:rsidR="00F06813" w:rsidRPr="00D51154" w:rsidRDefault="00F06813" w:rsidP="00F06813">
            <w:pPr>
              <w:spacing w:line="180" w:lineRule="exact"/>
              <w:contextualSpacing/>
              <w:jc w:val="left"/>
              <w:rPr>
                <w:rFonts w:cstheme="minorHAnsi"/>
                <w:color w:val="auto"/>
                <w:sz w:val="18"/>
                <w:szCs w:val="18"/>
              </w:rPr>
            </w:pPr>
            <w:r w:rsidRPr="00D51154">
              <w:rPr>
                <w:rFonts w:cstheme="minorHAnsi"/>
                <w:color w:val="auto"/>
                <w:sz w:val="18"/>
                <w:szCs w:val="18"/>
              </w:rPr>
              <w:t>Fibromyalgia</w:t>
            </w:r>
          </w:p>
        </w:tc>
        <w:tc>
          <w:tcPr>
            <w:tcW w:w="1152" w:type="dxa"/>
            <w:tcBorders>
              <w:left w:val="single" w:sz="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5025</w:t>
            </w:r>
          </w:p>
        </w:tc>
        <w:tc>
          <w:tcPr>
            <w:tcW w:w="828" w:type="dxa"/>
            <w:gridSpan w:val="2"/>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40%</w:t>
            </w:r>
          </w:p>
        </w:tc>
        <w:tc>
          <w:tcPr>
            <w:tcW w:w="990" w:type="dxa"/>
            <w:shd w:val="clear" w:color="auto" w:fill="FFFFFF" w:themeFill="background1"/>
            <w:vAlign w:val="center"/>
          </w:tcPr>
          <w:p w:rsidR="00F06813" w:rsidRPr="00D51154" w:rsidRDefault="00F06813" w:rsidP="00F06813">
            <w:pPr>
              <w:spacing w:line="180" w:lineRule="exact"/>
              <w:rPr>
                <w:rFonts w:cstheme="minorHAnsi"/>
                <w:sz w:val="18"/>
                <w:szCs w:val="18"/>
              </w:rPr>
            </w:pPr>
            <w:r w:rsidRPr="00D51154">
              <w:rPr>
                <w:rFonts w:eastAsia="Times New Roman" w:cstheme="minorHAnsi"/>
                <w:color w:val="000000" w:themeColor="text1"/>
                <w:sz w:val="18"/>
                <w:szCs w:val="18"/>
              </w:rPr>
              <w:t>20051205</w:t>
            </w:r>
          </w:p>
        </w:tc>
      </w:tr>
      <w:tr w:rsidR="00F06813" w:rsidRPr="001F29F9" w:rsidTr="00F06813">
        <w:trPr>
          <w:trHeight w:val="287"/>
          <w:jc w:val="center"/>
        </w:trPr>
        <w:tc>
          <w:tcPr>
            <w:tcW w:w="4158" w:type="dxa"/>
            <w:gridSpan w:val="3"/>
            <w:vMerge/>
            <w:tcBorders>
              <w:right w:val="thinThickThinSmallGap" w:sz="2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000000" w:themeColor="text1"/>
                <w:sz w:val="18"/>
                <w:szCs w:val="18"/>
                <w:highlight w:val="yellow"/>
              </w:rPr>
            </w:pPr>
          </w:p>
        </w:tc>
        <w:tc>
          <w:tcPr>
            <w:tcW w:w="2250" w:type="dxa"/>
            <w:tcBorders>
              <w:left w:val="thinThickThinSmallGap" w:sz="24" w:space="0" w:color="auto"/>
              <w:right w:val="single" w:sz="4" w:space="0" w:color="auto"/>
            </w:tcBorders>
            <w:shd w:val="clear" w:color="auto" w:fill="FFFFFF" w:themeFill="background1"/>
            <w:vAlign w:val="center"/>
          </w:tcPr>
          <w:p w:rsidR="00F06813" w:rsidRPr="00D51154" w:rsidRDefault="00F06813" w:rsidP="00F06813">
            <w:pPr>
              <w:spacing w:line="180" w:lineRule="exact"/>
              <w:contextualSpacing/>
              <w:jc w:val="left"/>
              <w:rPr>
                <w:rFonts w:cstheme="minorHAnsi"/>
                <w:color w:val="auto"/>
                <w:sz w:val="18"/>
                <w:szCs w:val="18"/>
              </w:rPr>
            </w:pPr>
            <w:r w:rsidRPr="00D51154">
              <w:rPr>
                <w:rFonts w:cstheme="minorHAnsi"/>
                <w:color w:val="auto"/>
                <w:sz w:val="18"/>
                <w:szCs w:val="18"/>
              </w:rPr>
              <w:t>Intervertebral Disk Syndrome</w:t>
            </w:r>
            <w:r w:rsidR="00742401">
              <w:rPr>
                <w:rFonts w:cstheme="minorHAnsi"/>
                <w:color w:val="auto"/>
                <w:sz w:val="18"/>
                <w:szCs w:val="18"/>
              </w:rPr>
              <w:t xml:space="preserve"> w spinal stenosis</w:t>
            </w:r>
          </w:p>
        </w:tc>
        <w:tc>
          <w:tcPr>
            <w:tcW w:w="1152" w:type="dxa"/>
            <w:tcBorders>
              <w:left w:val="single" w:sz="4" w:space="0" w:color="auto"/>
            </w:tcBorders>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5238</w:t>
            </w:r>
          </w:p>
        </w:tc>
        <w:tc>
          <w:tcPr>
            <w:tcW w:w="828" w:type="dxa"/>
            <w:gridSpan w:val="2"/>
            <w:shd w:val="clear" w:color="auto" w:fill="FFFFFF" w:themeFill="background1"/>
            <w:vAlign w:val="center"/>
          </w:tcPr>
          <w:p w:rsidR="00F06813" w:rsidRPr="00D51154" w:rsidRDefault="00F06813" w:rsidP="00F06813">
            <w:pPr>
              <w:spacing w:line="180" w:lineRule="exact"/>
              <w:contextualSpacing/>
              <w:rPr>
                <w:rFonts w:cstheme="minorHAnsi"/>
                <w:color w:val="auto"/>
                <w:sz w:val="18"/>
                <w:szCs w:val="18"/>
              </w:rPr>
            </w:pPr>
            <w:r w:rsidRPr="00D51154">
              <w:rPr>
                <w:rFonts w:cstheme="minorHAnsi"/>
                <w:color w:val="auto"/>
                <w:sz w:val="18"/>
                <w:szCs w:val="18"/>
              </w:rPr>
              <w:t>40%</w:t>
            </w:r>
          </w:p>
        </w:tc>
        <w:tc>
          <w:tcPr>
            <w:tcW w:w="990" w:type="dxa"/>
            <w:shd w:val="clear" w:color="auto" w:fill="FFFFFF" w:themeFill="background1"/>
            <w:vAlign w:val="center"/>
          </w:tcPr>
          <w:p w:rsidR="00F06813" w:rsidRPr="00D51154" w:rsidRDefault="00F06813" w:rsidP="00F06813">
            <w:pPr>
              <w:spacing w:line="180" w:lineRule="exact"/>
              <w:rPr>
                <w:rFonts w:cstheme="minorHAnsi"/>
                <w:sz w:val="18"/>
                <w:szCs w:val="18"/>
              </w:rPr>
            </w:pPr>
            <w:r w:rsidRPr="00D51154">
              <w:rPr>
                <w:rFonts w:eastAsia="Times New Roman" w:cstheme="minorHAnsi"/>
                <w:color w:val="000000" w:themeColor="text1"/>
                <w:sz w:val="18"/>
                <w:szCs w:val="18"/>
              </w:rPr>
              <w:t>20051205</w:t>
            </w:r>
          </w:p>
        </w:tc>
      </w:tr>
      <w:tr w:rsidR="00F06813" w:rsidRPr="001F29F9" w:rsidTr="0086000A">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06813" w:rsidRPr="00D51154" w:rsidRDefault="00F06813" w:rsidP="00F06813">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Combined:  10%</w:t>
            </w:r>
          </w:p>
        </w:tc>
        <w:tc>
          <w:tcPr>
            <w:tcW w:w="5220" w:type="dxa"/>
            <w:gridSpan w:val="5"/>
            <w:tcBorders>
              <w:left w:val="thinThickThinSmallGap" w:sz="24" w:space="0" w:color="auto"/>
            </w:tcBorders>
            <w:shd w:val="clear" w:color="auto" w:fill="D9D9D9" w:themeFill="background1" w:themeFillShade="D9"/>
            <w:vAlign w:val="center"/>
          </w:tcPr>
          <w:p w:rsidR="00F06813" w:rsidRPr="00D51154" w:rsidRDefault="00F06813" w:rsidP="00F06813">
            <w:pPr>
              <w:spacing w:line="180" w:lineRule="exact"/>
              <w:contextualSpacing/>
              <w:rPr>
                <w:rFonts w:cstheme="minorHAnsi"/>
                <w:b/>
                <w:color w:val="000000" w:themeColor="text1"/>
                <w:sz w:val="18"/>
                <w:szCs w:val="18"/>
              </w:rPr>
            </w:pPr>
            <w:r w:rsidRPr="00D51154">
              <w:rPr>
                <w:rFonts w:cstheme="minorHAnsi"/>
                <w:b/>
                <w:color w:val="000000" w:themeColor="text1"/>
                <w:sz w:val="18"/>
                <w:szCs w:val="18"/>
              </w:rPr>
              <w:t>Combined:  90%</w:t>
            </w:r>
          </w:p>
        </w:tc>
      </w:tr>
    </w:tbl>
    <w:p w:rsidR="004174F0" w:rsidRPr="00411399" w:rsidRDefault="004174F0" w:rsidP="00BF0E94">
      <w:pPr>
        <w:pBdr>
          <w:bottom w:val="single" w:sz="12" w:space="1" w:color="auto"/>
        </w:pBdr>
        <w:tabs>
          <w:tab w:val="left" w:pos="288"/>
          <w:tab w:val="left" w:pos="4752"/>
        </w:tabs>
        <w:jc w:val="both"/>
        <w:rPr>
          <w:color w:val="000000" w:themeColor="text1"/>
          <w:sz w:val="18"/>
          <w:szCs w:val="18"/>
        </w:rPr>
      </w:pPr>
    </w:p>
    <w:p w:rsidR="00411399" w:rsidRPr="001F29F9" w:rsidRDefault="00411399" w:rsidP="00BF0E94">
      <w:pPr>
        <w:pBdr>
          <w:bottom w:val="single" w:sz="12" w:space="1" w:color="auto"/>
        </w:pBdr>
        <w:tabs>
          <w:tab w:val="left" w:pos="288"/>
          <w:tab w:val="left" w:pos="4752"/>
        </w:tabs>
        <w:jc w:val="both"/>
        <w:rPr>
          <w:color w:val="000000" w:themeColor="text1"/>
        </w:rPr>
      </w:pPr>
    </w:p>
    <w:p w:rsidR="009369A6" w:rsidRPr="001F29F9" w:rsidRDefault="009369A6" w:rsidP="009369A6">
      <w:pPr>
        <w:rPr>
          <w:color w:val="000000" w:themeColor="text1"/>
          <w:szCs w:val="24"/>
          <w:u w:val="single"/>
        </w:rPr>
      </w:pPr>
    </w:p>
    <w:p w:rsidR="00B505E9" w:rsidRPr="00B505E9" w:rsidRDefault="002C6E5B" w:rsidP="009B57BA">
      <w:pPr>
        <w:jc w:val="both"/>
        <w:rPr>
          <w:color w:val="000000" w:themeColor="text1"/>
          <w:szCs w:val="24"/>
        </w:rPr>
      </w:pPr>
      <w:r w:rsidRPr="003A448D">
        <w:rPr>
          <w:color w:val="000000" w:themeColor="text1"/>
          <w:szCs w:val="24"/>
          <w:u w:val="single"/>
        </w:rPr>
        <w:lastRenderedPageBreak/>
        <w:t>ANALYSIS SUMMARY</w:t>
      </w:r>
      <w:r w:rsidRPr="001F29F9">
        <w:rPr>
          <w:color w:val="000000" w:themeColor="text1"/>
          <w:szCs w:val="24"/>
        </w:rPr>
        <w:t>:</w:t>
      </w:r>
      <w:r w:rsidR="00B505E9">
        <w:rPr>
          <w:color w:val="000000" w:themeColor="text1"/>
          <w:szCs w:val="24"/>
        </w:rPr>
        <w:t xml:space="preserve">  </w:t>
      </w:r>
      <w:r w:rsidR="006B5012" w:rsidRPr="003A448D">
        <w:rPr>
          <w:color w:val="000000" w:themeColor="text1"/>
          <w:szCs w:val="24"/>
        </w:rPr>
        <w:t xml:space="preserve">The </w:t>
      </w:r>
      <w:r w:rsidR="002A3DE9">
        <w:rPr>
          <w:color w:val="000000" w:themeColor="text1"/>
          <w:szCs w:val="24"/>
        </w:rPr>
        <w:t>Disability Evaluation System (</w:t>
      </w:r>
      <w:r w:rsidR="006B5012" w:rsidRPr="003A448D">
        <w:rPr>
          <w:color w:val="000000" w:themeColor="text1"/>
          <w:szCs w:val="24"/>
        </w:rPr>
        <w:t>DES) is responsible for maintaining a fit and vital fighting force.</w:t>
      </w:r>
      <w:r w:rsidR="00760E99" w:rsidRPr="003A448D">
        <w:rPr>
          <w:color w:val="000000" w:themeColor="text1"/>
          <w:szCs w:val="24"/>
        </w:rPr>
        <w:t xml:space="preserve"> </w:t>
      </w:r>
      <w:r w:rsidR="002A3DE9">
        <w:rPr>
          <w:color w:val="000000" w:themeColor="text1"/>
          <w:szCs w:val="24"/>
        </w:rPr>
        <w:t xml:space="preserve"> While the </w:t>
      </w:r>
      <w:r w:rsidR="006B5012" w:rsidRPr="003A448D">
        <w:rPr>
          <w:color w:val="000000" w:themeColor="text1"/>
          <w:szCs w:val="24"/>
        </w:rPr>
        <w:t xml:space="preserve">DES considers all of the </w:t>
      </w:r>
      <w:r w:rsidR="004923E5">
        <w:rPr>
          <w:color w:val="000000" w:themeColor="text1"/>
          <w:szCs w:val="24"/>
        </w:rPr>
        <w:t>s</w:t>
      </w:r>
      <w:r w:rsidR="006B5012" w:rsidRPr="003A448D">
        <w:rPr>
          <w:color w:val="000000" w:themeColor="text1"/>
          <w:szCs w:val="24"/>
        </w:rPr>
        <w:t xml:space="preserve">ervice member's medical conditions, compensation can only be offered for those medical conditions that cut short a </w:t>
      </w:r>
      <w:r w:rsidR="004923E5">
        <w:rPr>
          <w:color w:val="000000" w:themeColor="text1"/>
          <w:szCs w:val="24"/>
        </w:rPr>
        <w:t>s</w:t>
      </w:r>
      <w:r w:rsidR="006B5012" w:rsidRPr="003A448D">
        <w:rPr>
          <w:color w:val="000000" w:themeColor="text1"/>
          <w:szCs w:val="24"/>
        </w:rPr>
        <w:t xml:space="preserve">ervice member’s career, and then only to the degree of severity present at the time of final disposition. </w:t>
      </w:r>
      <w:r w:rsidR="00760E99" w:rsidRPr="003A448D">
        <w:rPr>
          <w:color w:val="000000" w:themeColor="text1"/>
          <w:szCs w:val="24"/>
        </w:rPr>
        <w:t xml:space="preserve"> </w:t>
      </w:r>
      <w:r w:rsidR="006B5012" w:rsidRPr="003A448D">
        <w:rPr>
          <w:color w:val="000000" w:themeColor="text1"/>
          <w:szCs w:val="24"/>
        </w:rPr>
        <w:t>However</w:t>
      </w:r>
      <w:r w:rsidR="00B2299F" w:rsidRPr="003A448D">
        <w:rPr>
          <w:color w:val="000000" w:themeColor="text1"/>
          <w:szCs w:val="24"/>
        </w:rPr>
        <w:t>,</w:t>
      </w:r>
      <w:r w:rsidR="006B5012" w:rsidRPr="003A448D">
        <w:rPr>
          <w:color w:val="000000" w:themeColor="text1"/>
          <w:szCs w:val="24"/>
        </w:rPr>
        <w:t xml:space="preserve"> the Department of Veteran</w:t>
      </w:r>
      <w:r w:rsidR="002A3DE9">
        <w:rPr>
          <w:color w:val="000000" w:themeColor="text1"/>
          <w:szCs w:val="24"/>
        </w:rPr>
        <w:t>s’</w:t>
      </w:r>
      <w:r w:rsidR="006B5012" w:rsidRPr="003A448D">
        <w:rPr>
          <w:color w:val="000000" w:themeColor="text1"/>
          <w:szCs w:val="24"/>
        </w:rPr>
        <w:t xml:space="preserve"> Affairs (DVA), operating under a different set of laws (Title 38, United States Code), is empowered to compensate </w:t>
      </w:r>
      <w:r w:rsidR="004923E5">
        <w:rPr>
          <w:color w:val="000000" w:themeColor="text1"/>
          <w:szCs w:val="24"/>
        </w:rPr>
        <w:t>service-</w:t>
      </w:r>
      <w:r w:rsidR="006B5012" w:rsidRPr="003A448D">
        <w:rPr>
          <w:color w:val="000000" w:themeColor="text1"/>
          <w:szCs w:val="24"/>
        </w:rPr>
        <w:t xml:space="preserve">connected conditions and to periodically re-evaluate said conditions for the purpose of adjusting the veteran’s disability rating should </w:t>
      </w:r>
      <w:r w:rsidR="002A3DE9">
        <w:rPr>
          <w:color w:val="000000" w:themeColor="text1"/>
          <w:szCs w:val="24"/>
        </w:rPr>
        <w:t>the</w:t>
      </w:r>
      <w:r w:rsidR="006B5012" w:rsidRPr="003A448D">
        <w:rPr>
          <w:color w:val="000000" w:themeColor="text1"/>
          <w:szCs w:val="24"/>
        </w:rPr>
        <w:t xml:space="preserve"> degree of impairment vary over time.</w:t>
      </w:r>
    </w:p>
    <w:p w:rsidR="00B85345" w:rsidRPr="001F29F9" w:rsidRDefault="00B85345" w:rsidP="009B57BA">
      <w:pPr>
        <w:jc w:val="both"/>
        <w:rPr>
          <w:color w:val="000000" w:themeColor="text1"/>
          <w:szCs w:val="24"/>
        </w:rPr>
      </w:pPr>
    </w:p>
    <w:p w:rsidR="0037702C" w:rsidRDefault="00AE413F" w:rsidP="009B57BA">
      <w:pPr>
        <w:jc w:val="both"/>
        <w:rPr>
          <w:color w:val="000000" w:themeColor="text1"/>
          <w:szCs w:val="24"/>
        </w:rPr>
      </w:pPr>
      <w:r w:rsidRPr="003A448D">
        <w:rPr>
          <w:color w:val="000000" w:themeColor="text1"/>
          <w:szCs w:val="24"/>
          <w:u w:val="single"/>
        </w:rPr>
        <w:t>Reflex Sympathetic Dystrophy</w:t>
      </w:r>
      <w:r w:rsidR="006C65D0" w:rsidRPr="003A448D">
        <w:rPr>
          <w:color w:val="000000" w:themeColor="text1"/>
          <w:szCs w:val="24"/>
          <w:u w:val="single"/>
        </w:rPr>
        <w:t xml:space="preserve"> (Pain Disorder)</w:t>
      </w:r>
      <w:r w:rsidR="000C442A" w:rsidRPr="003A448D">
        <w:rPr>
          <w:color w:val="000000" w:themeColor="text1"/>
          <w:szCs w:val="24"/>
          <w:u w:val="single"/>
        </w:rPr>
        <w:t xml:space="preserve"> Associated with Depression</w:t>
      </w:r>
      <w:r>
        <w:rPr>
          <w:color w:val="000000" w:themeColor="text1"/>
          <w:szCs w:val="24"/>
        </w:rPr>
        <w:t xml:space="preserve">:  </w:t>
      </w:r>
      <w:r w:rsidR="00B053E1">
        <w:rPr>
          <w:color w:val="000000" w:themeColor="text1"/>
          <w:szCs w:val="24"/>
        </w:rPr>
        <w:t xml:space="preserve">The CI initially presented with a four day history of right knee pain after he felt a “pop” while climbing stairs 11 May 2003.  He was treated conservatively for a possible lateral </w:t>
      </w:r>
      <w:proofErr w:type="spellStart"/>
      <w:r w:rsidR="00B053E1">
        <w:rPr>
          <w:color w:val="000000" w:themeColor="text1"/>
          <w:szCs w:val="24"/>
        </w:rPr>
        <w:t>meniscal</w:t>
      </w:r>
      <w:proofErr w:type="spellEnd"/>
      <w:r w:rsidR="00B053E1">
        <w:rPr>
          <w:color w:val="000000" w:themeColor="text1"/>
          <w:szCs w:val="24"/>
        </w:rPr>
        <w:t xml:space="preserve"> tear and </w:t>
      </w:r>
      <w:proofErr w:type="spellStart"/>
      <w:r w:rsidR="00B053E1">
        <w:rPr>
          <w:color w:val="000000" w:themeColor="text1"/>
          <w:szCs w:val="24"/>
        </w:rPr>
        <w:t>retinacular</w:t>
      </w:r>
      <w:proofErr w:type="spellEnd"/>
      <w:r w:rsidR="00B053E1">
        <w:rPr>
          <w:color w:val="000000" w:themeColor="text1"/>
          <w:szCs w:val="24"/>
        </w:rPr>
        <w:t xml:space="preserve"> strain.  At a physical therapy (PT) evaluation one month later, he was noted to have injured the same knee ten years earlier</w:t>
      </w:r>
      <w:r w:rsidR="00E82C6A">
        <w:rPr>
          <w:color w:val="000000" w:themeColor="text1"/>
          <w:szCs w:val="24"/>
        </w:rPr>
        <w:t xml:space="preserve"> at which time a large bruise was present.  The therapist also documented that the CI was walking up the stairs and heard an audible “pop” without any twisting.</w:t>
      </w:r>
      <w:r w:rsidR="00B053E1">
        <w:rPr>
          <w:color w:val="000000" w:themeColor="text1"/>
          <w:szCs w:val="24"/>
        </w:rPr>
        <w:t xml:space="preserve">  Despite PT, activity modification and medications, his pain persisted.  Imaging, including multiple radiographs and MRI</w:t>
      </w:r>
      <w:r w:rsidR="00766761">
        <w:rPr>
          <w:color w:val="000000" w:themeColor="text1"/>
          <w:szCs w:val="24"/>
        </w:rPr>
        <w:t>, was</w:t>
      </w:r>
      <w:r w:rsidR="00B053E1">
        <w:rPr>
          <w:color w:val="000000" w:themeColor="text1"/>
          <w:szCs w:val="24"/>
        </w:rPr>
        <w:t xml:space="preserve"> essentially normal other than increased signal in both menisci without evidence of tear.  He re-injured his knee while running in August 2003 and again in November 2003.  </w:t>
      </w:r>
      <w:r w:rsidR="00370F48">
        <w:rPr>
          <w:color w:val="000000" w:themeColor="text1"/>
          <w:szCs w:val="24"/>
        </w:rPr>
        <w:t xml:space="preserve">On 21 January 2004 a diagnostic and therapeutic arthroscopy </w:t>
      </w:r>
      <w:r w:rsidR="00C96B78">
        <w:rPr>
          <w:color w:val="000000" w:themeColor="text1"/>
          <w:szCs w:val="24"/>
        </w:rPr>
        <w:t>reveal</w:t>
      </w:r>
      <w:r w:rsidR="00370F48">
        <w:rPr>
          <w:color w:val="000000" w:themeColor="text1"/>
          <w:szCs w:val="24"/>
        </w:rPr>
        <w:t xml:space="preserve">ed a small central tear of the medial meniscus and </w:t>
      </w:r>
      <w:proofErr w:type="spellStart"/>
      <w:r w:rsidR="00370F48">
        <w:rPr>
          <w:color w:val="000000" w:themeColor="text1"/>
          <w:szCs w:val="24"/>
        </w:rPr>
        <w:t>plica</w:t>
      </w:r>
      <w:proofErr w:type="spellEnd"/>
      <w:r w:rsidR="00370F48">
        <w:rPr>
          <w:color w:val="000000" w:themeColor="text1"/>
          <w:szCs w:val="24"/>
        </w:rPr>
        <w:t xml:space="preserve"> along the medial femoral </w:t>
      </w:r>
      <w:proofErr w:type="spellStart"/>
      <w:r w:rsidR="00370F48">
        <w:rPr>
          <w:color w:val="000000" w:themeColor="text1"/>
          <w:szCs w:val="24"/>
        </w:rPr>
        <w:t>condyle</w:t>
      </w:r>
      <w:proofErr w:type="spellEnd"/>
      <w:r w:rsidR="00370F48">
        <w:rPr>
          <w:color w:val="000000" w:themeColor="text1"/>
          <w:szCs w:val="24"/>
        </w:rPr>
        <w:t>, both of which were repaired</w:t>
      </w:r>
      <w:r w:rsidR="00766761">
        <w:rPr>
          <w:color w:val="000000" w:themeColor="text1"/>
          <w:szCs w:val="24"/>
        </w:rPr>
        <w:t xml:space="preserve"> during the arthroscopy</w:t>
      </w:r>
      <w:r w:rsidR="00370F48">
        <w:rPr>
          <w:color w:val="000000" w:themeColor="text1"/>
          <w:szCs w:val="24"/>
        </w:rPr>
        <w:t xml:space="preserve">.  </w:t>
      </w:r>
      <w:r w:rsidR="00766761">
        <w:rPr>
          <w:color w:val="000000" w:themeColor="text1"/>
          <w:szCs w:val="24"/>
        </w:rPr>
        <w:t>At his two week post-operative check, h</w:t>
      </w:r>
      <w:r w:rsidR="00370F48">
        <w:rPr>
          <w:color w:val="000000" w:themeColor="text1"/>
          <w:szCs w:val="24"/>
        </w:rPr>
        <w:t>e was released to full activities as tolerated.  Three weeks later, while doing push-ups, he noted a pop in the right knee.</w:t>
      </w:r>
      <w:r w:rsidR="002A3DE9">
        <w:rPr>
          <w:color w:val="000000" w:themeColor="text1"/>
          <w:szCs w:val="24"/>
        </w:rPr>
        <w:t xml:space="preserve">  On exam, he had limited range-of-</w:t>
      </w:r>
      <w:r w:rsidR="00370F48">
        <w:rPr>
          <w:color w:val="000000" w:themeColor="text1"/>
          <w:szCs w:val="24"/>
        </w:rPr>
        <w:t>motion (ROM) due to pain and was given a knee immobilizer.  No swelling was noted and imaging was normal.  At a follow-up orthopedic exam, one week later, he was found to have a moderate effusion and medial joint line tenderness, but otherwise a normal post-procedure exam</w:t>
      </w:r>
      <w:r w:rsidR="00E82C6A">
        <w:rPr>
          <w:color w:val="000000" w:themeColor="text1"/>
          <w:szCs w:val="24"/>
        </w:rPr>
        <w:t xml:space="preserve"> other than poor tone of his quadriceps </w:t>
      </w:r>
      <w:r w:rsidR="00370F48">
        <w:rPr>
          <w:color w:val="000000" w:themeColor="text1"/>
          <w:szCs w:val="24"/>
        </w:rPr>
        <w:t>bi</w:t>
      </w:r>
      <w:r w:rsidR="00766761">
        <w:rPr>
          <w:color w:val="000000" w:themeColor="text1"/>
          <w:szCs w:val="24"/>
        </w:rPr>
        <w:t>laterally.  I</w:t>
      </w:r>
      <w:r w:rsidR="00370F48">
        <w:rPr>
          <w:color w:val="000000" w:themeColor="text1"/>
          <w:szCs w:val="24"/>
        </w:rPr>
        <w:t>n April 2004</w:t>
      </w:r>
      <w:r w:rsidR="00E82C6A">
        <w:rPr>
          <w:color w:val="000000" w:themeColor="text1"/>
          <w:szCs w:val="24"/>
        </w:rPr>
        <w:t>,</w:t>
      </w:r>
      <w:r w:rsidR="00370F48">
        <w:rPr>
          <w:color w:val="000000" w:themeColor="text1"/>
          <w:szCs w:val="24"/>
        </w:rPr>
        <w:t xml:space="preserve"> </w:t>
      </w:r>
      <w:r w:rsidR="00766761">
        <w:rPr>
          <w:color w:val="000000" w:themeColor="text1"/>
          <w:szCs w:val="24"/>
        </w:rPr>
        <w:t xml:space="preserve">he was seen </w:t>
      </w:r>
      <w:r w:rsidR="00370F48">
        <w:rPr>
          <w:color w:val="000000" w:themeColor="text1"/>
          <w:szCs w:val="24"/>
        </w:rPr>
        <w:t xml:space="preserve">after </w:t>
      </w:r>
      <w:r w:rsidR="00A56F28">
        <w:rPr>
          <w:color w:val="000000" w:themeColor="text1"/>
          <w:szCs w:val="24"/>
        </w:rPr>
        <w:t>a</w:t>
      </w:r>
      <w:r w:rsidR="00370F48">
        <w:rPr>
          <w:color w:val="000000" w:themeColor="text1"/>
          <w:szCs w:val="24"/>
        </w:rPr>
        <w:t xml:space="preserve"> hyper-extension injury</w:t>
      </w:r>
      <w:r w:rsidR="00E82C6A">
        <w:rPr>
          <w:color w:val="000000" w:themeColor="text1"/>
          <w:szCs w:val="24"/>
        </w:rPr>
        <w:t xml:space="preserve">.  At that visit he complained of </w:t>
      </w:r>
      <w:r w:rsidR="00370F48">
        <w:rPr>
          <w:color w:val="000000" w:themeColor="text1"/>
          <w:szCs w:val="24"/>
        </w:rPr>
        <w:t xml:space="preserve">decreased sensation of the </w:t>
      </w:r>
      <w:r w:rsidR="00A56F28">
        <w:rPr>
          <w:color w:val="000000" w:themeColor="text1"/>
          <w:szCs w:val="24"/>
        </w:rPr>
        <w:t xml:space="preserve">right lower extremity (RLE) </w:t>
      </w:r>
      <w:r w:rsidR="00E82C6A">
        <w:rPr>
          <w:color w:val="000000" w:themeColor="text1"/>
          <w:szCs w:val="24"/>
        </w:rPr>
        <w:t xml:space="preserve">in a stocking distribution.  </w:t>
      </w:r>
      <w:r w:rsidR="00A56F28">
        <w:rPr>
          <w:color w:val="000000" w:themeColor="text1"/>
          <w:szCs w:val="24"/>
        </w:rPr>
        <w:t xml:space="preserve">A repeat MRI showed the post-surgical truncation of the medial meniscus, but was otherwise unremarkable.  A neurological evaluation </w:t>
      </w:r>
      <w:r w:rsidR="003D0149">
        <w:rPr>
          <w:color w:val="000000" w:themeColor="text1"/>
          <w:szCs w:val="24"/>
        </w:rPr>
        <w:t xml:space="preserve">(4 May 2004) </w:t>
      </w:r>
      <w:r w:rsidR="00A56F28">
        <w:rPr>
          <w:color w:val="000000" w:themeColor="text1"/>
          <w:szCs w:val="24"/>
        </w:rPr>
        <w:t xml:space="preserve">noted the sensory </w:t>
      </w:r>
      <w:proofErr w:type="spellStart"/>
      <w:r w:rsidR="00A56F28">
        <w:rPr>
          <w:color w:val="000000" w:themeColor="text1"/>
          <w:szCs w:val="24"/>
        </w:rPr>
        <w:t>allodynia</w:t>
      </w:r>
      <w:proofErr w:type="spellEnd"/>
      <w:r w:rsidR="007E6DDE">
        <w:rPr>
          <w:color w:val="000000" w:themeColor="text1"/>
          <w:szCs w:val="24"/>
        </w:rPr>
        <w:t xml:space="preserve"> (pain to a stimulus that does not normally cause pain) </w:t>
      </w:r>
      <w:r w:rsidR="00A56F28">
        <w:rPr>
          <w:color w:val="000000" w:themeColor="text1"/>
          <w:szCs w:val="24"/>
        </w:rPr>
        <w:t xml:space="preserve">without motor changes.  A bone scan </w:t>
      </w:r>
      <w:r w:rsidR="002A3DE9">
        <w:rPr>
          <w:color w:val="000000" w:themeColor="text1"/>
          <w:szCs w:val="24"/>
        </w:rPr>
        <w:t xml:space="preserve">   </w:t>
      </w:r>
      <w:r w:rsidR="0059303A">
        <w:rPr>
          <w:color w:val="000000" w:themeColor="text1"/>
          <w:szCs w:val="24"/>
        </w:rPr>
        <w:t xml:space="preserve">12 July 2004 </w:t>
      </w:r>
      <w:r w:rsidR="00A56F28">
        <w:rPr>
          <w:color w:val="000000" w:themeColor="text1"/>
          <w:szCs w:val="24"/>
        </w:rPr>
        <w:t>was significant</w:t>
      </w:r>
      <w:r w:rsidR="00766761">
        <w:rPr>
          <w:color w:val="000000" w:themeColor="text1"/>
          <w:szCs w:val="24"/>
        </w:rPr>
        <w:t xml:space="preserve"> only</w:t>
      </w:r>
      <w:r w:rsidR="00A56F28">
        <w:rPr>
          <w:color w:val="000000" w:themeColor="text1"/>
          <w:szCs w:val="24"/>
        </w:rPr>
        <w:t xml:space="preserve"> for increased uptake at the right knee con</w:t>
      </w:r>
      <w:r w:rsidR="0059303A">
        <w:rPr>
          <w:color w:val="000000" w:themeColor="text1"/>
          <w:szCs w:val="24"/>
        </w:rPr>
        <w:t xml:space="preserve">sistent with the prior surgery but did not show </w:t>
      </w:r>
      <w:r w:rsidR="00DA09FD">
        <w:rPr>
          <w:color w:val="000000" w:themeColor="text1"/>
          <w:szCs w:val="24"/>
        </w:rPr>
        <w:t xml:space="preserve">blood flow </w:t>
      </w:r>
      <w:r w:rsidR="0059303A">
        <w:rPr>
          <w:color w:val="000000" w:themeColor="text1"/>
          <w:szCs w:val="24"/>
        </w:rPr>
        <w:t xml:space="preserve">changes associated with </w:t>
      </w:r>
      <w:r w:rsidR="003A448D">
        <w:rPr>
          <w:color w:val="000000" w:themeColor="text1"/>
          <w:szCs w:val="24"/>
        </w:rPr>
        <w:t>reflex sympathetic dystrophy (</w:t>
      </w:r>
      <w:r w:rsidR="0059303A">
        <w:rPr>
          <w:color w:val="000000" w:themeColor="text1"/>
          <w:szCs w:val="24"/>
        </w:rPr>
        <w:t>RSD</w:t>
      </w:r>
      <w:r w:rsidR="003A448D">
        <w:rPr>
          <w:color w:val="000000" w:themeColor="text1"/>
          <w:szCs w:val="24"/>
        </w:rPr>
        <w:t>)</w:t>
      </w:r>
      <w:r w:rsidR="0059303A">
        <w:rPr>
          <w:color w:val="000000" w:themeColor="text1"/>
          <w:szCs w:val="24"/>
        </w:rPr>
        <w:t xml:space="preserve">.  </w:t>
      </w:r>
      <w:r w:rsidR="00A56F28">
        <w:rPr>
          <w:color w:val="000000" w:themeColor="text1"/>
          <w:szCs w:val="24"/>
        </w:rPr>
        <w:t xml:space="preserve">A follow-up orthopedic exam </w:t>
      </w:r>
      <w:r w:rsidR="00766761">
        <w:rPr>
          <w:color w:val="000000" w:themeColor="text1"/>
          <w:szCs w:val="24"/>
        </w:rPr>
        <w:t xml:space="preserve">documented </w:t>
      </w:r>
      <w:r w:rsidR="00A56F28">
        <w:rPr>
          <w:color w:val="000000" w:themeColor="text1"/>
          <w:szCs w:val="24"/>
        </w:rPr>
        <w:t>non-anatomic pain, but a</w:t>
      </w:r>
      <w:r w:rsidR="00766761">
        <w:rPr>
          <w:color w:val="000000" w:themeColor="text1"/>
          <w:szCs w:val="24"/>
        </w:rPr>
        <w:t>n otherwise</w:t>
      </w:r>
      <w:r w:rsidR="00A56F28">
        <w:rPr>
          <w:color w:val="000000" w:themeColor="text1"/>
          <w:szCs w:val="24"/>
        </w:rPr>
        <w:t xml:space="preserve"> normal exam with full ROM, ligame</w:t>
      </w:r>
      <w:r w:rsidR="00C96B78">
        <w:rPr>
          <w:color w:val="000000" w:themeColor="text1"/>
          <w:szCs w:val="24"/>
        </w:rPr>
        <w:t xml:space="preserve">ntous stability, intact </w:t>
      </w:r>
      <w:r w:rsidR="00C96B78" w:rsidRPr="008768E5">
        <w:rPr>
          <w:color w:val="000000" w:themeColor="text1"/>
          <w:szCs w:val="24"/>
        </w:rPr>
        <w:t>menisci</w:t>
      </w:r>
      <w:r w:rsidR="00A56F28" w:rsidRPr="008768E5">
        <w:rPr>
          <w:color w:val="000000" w:themeColor="text1"/>
          <w:szCs w:val="24"/>
        </w:rPr>
        <w:t xml:space="preserve"> and no ef</w:t>
      </w:r>
      <w:r w:rsidR="008C6E7A" w:rsidRPr="008768E5">
        <w:rPr>
          <w:color w:val="000000" w:themeColor="text1"/>
          <w:szCs w:val="24"/>
        </w:rPr>
        <w:t xml:space="preserve">fusion.  He was diagnosed with </w:t>
      </w:r>
      <w:r w:rsidR="00660964" w:rsidRPr="008768E5">
        <w:rPr>
          <w:color w:val="000000" w:themeColor="text1"/>
          <w:szCs w:val="24"/>
        </w:rPr>
        <w:t>reflex sympathetic dystrophy (</w:t>
      </w:r>
      <w:r w:rsidR="00A56F28" w:rsidRPr="008768E5">
        <w:rPr>
          <w:color w:val="000000" w:themeColor="text1"/>
          <w:szCs w:val="24"/>
        </w:rPr>
        <w:t>R</w:t>
      </w:r>
      <w:r w:rsidR="00660964" w:rsidRPr="008768E5">
        <w:rPr>
          <w:color w:val="000000" w:themeColor="text1"/>
          <w:szCs w:val="24"/>
        </w:rPr>
        <w:t>S</w:t>
      </w:r>
      <w:r w:rsidR="00A56F28" w:rsidRPr="008768E5">
        <w:rPr>
          <w:color w:val="000000" w:themeColor="text1"/>
          <w:szCs w:val="24"/>
        </w:rPr>
        <w:t>D</w:t>
      </w:r>
      <w:r w:rsidR="00660964" w:rsidRPr="008768E5">
        <w:rPr>
          <w:color w:val="000000" w:themeColor="text1"/>
          <w:szCs w:val="24"/>
        </w:rPr>
        <w:t>)</w:t>
      </w:r>
      <w:r w:rsidR="00766761" w:rsidRPr="008768E5">
        <w:rPr>
          <w:color w:val="000000" w:themeColor="text1"/>
          <w:szCs w:val="24"/>
        </w:rPr>
        <w:t>.  Subsequently,</w:t>
      </w:r>
      <w:r w:rsidR="00766761">
        <w:rPr>
          <w:color w:val="000000" w:themeColor="text1"/>
          <w:szCs w:val="24"/>
        </w:rPr>
        <w:t xml:space="preserve"> </w:t>
      </w:r>
      <w:r w:rsidR="00DA09FD">
        <w:rPr>
          <w:color w:val="000000" w:themeColor="text1"/>
          <w:szCs w:val="24"/>
        </w:rPr>
        <w:t xml:space="preserve">in September 2004 </w:t>
      </w:r>
      <w:r w:rsidR="00E22B34">
        <w:rPr>
          <w:color w:val="000000" w:themeColor="text1"/>
          <w:szCs w:val="24"/>
        </w:rPr>
        <w:t xml:space="preserve">he </w:t>
      </w:r>
      <w:r w:rsidR="003A448D">
        <w:rPr>
          <w:color w:val="000000" w:themeColor="text1"/>
          <w:szCs w:val="24"/>
        </w:rPr>
        <w:t xml:space="preserve">reported </w:t>
      </w:r>
      <w:r w:rsidR="00E22B34">
        <w:rPr>
          <w:color w:val="000000" w:themeColor="text1"/>
          <w:szCs w:val="24"/>
        </w:rPr>
        <w:t>pain in all four extremities and the back</w:t>
      </w:r>
      <w:r w:rsidR="00041F6C">
        <w:rPr>
          <w:color w:val="000000" w:themeColor="text1"/>
          <w:szCs w:val="24"/>
        </w:rPr>
        <w:t xml:space="preserve">; the pain was described as “burning” and </w:t>
      </w:r>
      <w:r w:rsidR="00766761">
        <w:rPr>
          <w:color w:val="000000" w:themeColor="text1"/>
          <w:szCs w:val="24"/>
        </w:rPr>
        <w:t xml:space="preserve">was </w:t>
      </w:r>
      <w:r w:rsidR="00041F6C">
        <w:rPr>
          <w:color w:val="000000" w:themeColor="text1"/>
          <w:szCs w:val="24"/>
        </w:rPr>
        <w:t>present constantly, but aggravated by temperature change and light touch</w:t>
      </w:r>
      <w:r w:rsidR="00CA361D">
        <w:rPr>
          <w:color w:val="000000" w:themeColor="text1"/>
          <w:szCs w:val="24"/>
        </w:rPr>
        <w:t xml:space="preserve">.  </w:t>
      </w:r>
      <w:r w:rsidR="00E22B34">
        <w:rPr>
          <w:color w:val="000000" w:themeColor="text1"/>
          <w:szCs w:val="24"/>
        </w:rPr>
        <w:t>He also complained of “blacking out” secondary to the pain</w:t>
      </w:r>
      <w:r w:rsidR="00A56F28">
        <w:rPr>
          <w:color w:val="000000" w:themeColor="text1"/>
          <w:szCs w:val="24"/>
        </w:rPr>
        <w:t xml:space="preserve">.  </w:t>
      </w:r>
      <w:r w:rsidR="00E22B34">
        <w:rPr>
          <w:color w:val="000000" w:themeColor="text1"/>
          <w:szCs w:val="24"/>
        </w:rPr>
        <w:t>He was seen again in neurology on 3 November 2004</w:t>
      </w:r>
      <w:r w:rsidR="00C96B78">
        <w:rPr>
          <w:color w:val="000000" w:themeColor="text1"/>
          <w:szCs w:val="24"/>
        </w:rPr>
        <w:t>.  A</w:t>
      </w:r>
      <w:r w:rsidR="00E22B34">
        <w:rPr>
          <w:color w:val="000000" w:themeColor="text1"/>
          <w:szCs w:val="24"/>
        </w:rPr>
        <w:t xml:space="preserve"> normal neurological exam was documented other than some limitation in motor testing thought to be secondary to pain.  The CI also complained of daily headaches </w:t>
      </w:r>
      <w:r w:rsidR="00C96B78">
        <w:rPr>
          <w:color w:val="000000" w:themeColor="text1"/>
          <w:szCs w:val="24"/>
        </w:rPr>
        <w:t xml:space="preserve">which were thought to be both tension </w:t>
      </w:r>
      <w:r w:rsidR="00E22B34">
        <w:rPr>
          <w:color w:val="000000" w:themeColor="text1"/>
          <w:szCs w:val="24"/>
        </w:rPr>
        <w:t xml:space="preserve">and cluster headaches.  </w:t>
      </w:r>
      <w:r w:rsidR="00A56F28">
        <w:rPr>
          <w:color w:val="000000" w:themeColor="text1"/>
          <w:szCs w:val="24"/>
        </w:rPr>
        <w:t xml:space="preserve">Nerve conduction velocity/electromyogram (NCV/EMG) </w:t>
      </w:r>
      <w:r w:rsidR="00041F6C">
        <w:rPr>
          <w:color w:val="000000" w:themeColor="text1"/>
          <w:szCs w:val="24"/>
        </w:rPr>
        <w:t xml:space="preserve">testing </w:t>
      </w:r>
      <w:r w:rsidR="00A56F28">
        <w:rPr>
          <w:color w:val="000000" w:themeColor="text1"/>
          <w:szCs w:val="24"/>
        </w:rPr>
        <w:t xml:space="preserve">was normal other than mild fasciculation of the </w:t>
      </w:r>
      <w:proofErr w:type="spellStart"/>
      <w:r w:rsidR="00A56F28">
        <w:rPr>
          <w:color w:val="000000" w:themeColor="text1"/>
          <w:szCs w:val="24"/>
        </w:rPr>
        <w:t>vastus</w:t>
      </w:r>
      <w:proofErr w:type="spellEnd"/>
      <w:r w:rsidR="00A56F28">
        <w:rPr>
          <w:color w:val="000000" w:themeColor="text1"/>
          <w:szCs w:val="24"/>
        </w:rPr>
        <w:t xml:space="preserve"> </w:t>
      </w:r>
      <w:proofErr w:type="spellStart"/>
      <w:r w:rsidR="00A56F28">
        <w:rPr>
          <w:color w:val="000000" w:themeColor="text1"/>
          <w:szCs w:val="24"/>
        </w:rPr>
        <w:t>lateralis</w:t>
      </w:r>
      <w:proofErr w:type="spellEnd"/>
      <w:r w:rsidR="00A56F28">
        <w:rPr>
          <w:color w:val="000000" w:themeColor="text1"/>
          <w:szCs w:val="24"/>
        </w:rPr>
        <w:t>.</w:t>
      </w:r>
      <w:r w:rsidR="00E22B34">
        <w:rPr>
          <w:color w:val="000000" w:themeColor="text1"/>
          <w:szCs w:val="24"/>
        </w:rPr>
        <w:t xml:space="preserve">  The NCV was </w:t>
      </w:r>
      <w:r w:rsidR="0040368C">
        <w:rPr>
          <w:color w:val="000000" w:themeColor="text1"/>
          <w:szCs w:val="24"/>
        </w:rPr>
        <w:t xml:space="preserve">done for </w:t>
      </w:r>
      <w:r w:rsidR="00E22B34">
        <w:rPr>
          <w:color w:val="000000" w:themeColor="text1"/>
          <w:szCs w:val="24"/>
        </w:rPr>
        <w:t xml:space="preserve">all four extremities whereas the EMG only for the affected RLE.  </w:t>
      </w:r>
      <w:r w:rsidR="00041F6C">
        <w:rPr>
          <w:color w:val="000000" w:themeColor="text1"/>
          <w:szCs w:val="24"/>
        </w:rPr>
        <w:t xml:space="preserve">Trials of different </w:t>
      </w:r>
      <w:r w:rsidR="003A448D">
        <w:rPr>
          <w:color w:val="000000" w:themeColor="text1"/>
          <w:szCs w:val="24"/>
        </w:rPr>
        <w:t xml:space="preserve">medications </w:t>
      </w:r>
      <w:r w:rsidR="00041F6C">
        <w:rPr>
          <w:color w:val="000000" w:themeColor="text1"/>
          <w:szCs w:val="24"/>
        </w:rPr>
        <w:t xml:space="preserve">provided partial relief, but </w:t>
      </w:r>
      <w:r w:rsidR="00766761">
        <w:rPr>
          <w:color w:val="000000" w:themeColor="text1"/>
          <w:szCs w:val="24"/>
        </w:rPr>
        <w:t xml:space="preserve">analgesia </w:t>
      </w:r>
      <w:r w:rsidR="0040368C">
        <w:rPr>
          <w:color w:val="000000" w:themeColor="text1"/>
          <w:szCs w:val="24"/>
        </w:rPr>
        <w:t>had to be</w:t>
      </w:r>
      <w:r w:rsidR="00F61C84">
        <w:rPr>
          <w:color w:val="000000" w:themeColor="text1"/>
          <w:szCs w:val="24"/>
        </w:rPr>
        <w:t xml:space="preserve"> balanced against sedation.  Relief was obtained with </w:t>
      </w:r>
      <w:proofErr w:type="spellStart"/>
      <w:r w:rsidR="008C6E7A">
        <w:rPr>
          <w:color w:val="000000" w:themeColor="text1"/>
          <w:szCs w:val="24"/>
        </w:rPr>
        <w:t>Toradol</w:t>
      </w:r>
      <w:proofErr w:type="spellEnd"/>
      <w:r w:rsidR="008C6E7A">
        <w:rPr>
          <w:color w:val="000000" w:themeColor="text1"/>
          <w:szCs w:val="24"/>
        </w:rPr>
        <w:t xml:space="preserve"> and </w:t>
      </w:r>
      <w:r w:rsidR="00F61C84">
        <w:rPr>
          <w:color w:val="000000" w:themeColor="text1"/>
          <w:szCs w:val="24"/>
        </w:rPr>
        <w:t>narcotics</w:t>
      </w:r>
      <w:r w:rsidR="0040368C">
        <w:rPr>
          <w:color w:val="000000" w:themeColor="text1"/>
          <w:szCs w:val="24"/>
        </w:rPr>
        <w:t>,</w:t>
      </w:r>
      <w:r w:rsidR="002A3DE9">
        <w:rPr>
          <w:color w:val="000000" w:themeColor="text1"/>
          <w:szCs w:val="24"/>
        </w:rPr>
        <w:t xml:space="preserve"> including M</w:t>
      </w:r>
      <w:r w:rsidR="00F61C84">
        <w:rPr>
          <w:color w:val="000000" w:themeColor="text1"/>
          <w:szCs w:val="24"/>
        </w:rPr>
        <w:t xml:space="preserve">orphine.  The CI was referred to a pain center where </w:t>
      </w:r>
      <w:r w:rsidR="00DA09FD">
        <w:rPr>
          <w:color w:val="000000" w:themeColor="text1"/>
          <w:szCs w:val="24"/>
        </w:rPr>
        <w:t xml:space="preserve">spinal </w:t>
      </w:r>
      <w:r w:rsidR="00F61C84">
        <w:rPr>
          <w:color w:val="000000" w:themeColor="text1"/>
          <w:szCs w:val="24"/>
        </w:rPr>
        <w:t>blocks</w:t>
      </w:r>
      <w:r w:rsidR="00DA09FD" w:rsidRPr="00DA09FD">
        <w:rPr>
          <w:color w:val="000000" w:themeColor="text1"/>
          <w:szCs w:val="24"/>
        </w:rPr>
        <w:t xml:space="preserve"> </w:t>
      </w:r>
      <w:r w:rsidR="00F61C84">
        <w:rPr>
          <w:color w:val="000000" w:themeColor="text1"/>
          <w:szCs w:val="24"/>
        </w:rPr>
        <w:t>provided some relief</w:t>
      </w:r>
      <w:r w:rsidR="0040368C">
        <w:rPr>
          <w:color w:val="000000" w:themeColor="text1"/>
          <w:szCs w:val="24"/>
        </w:rPr>
        <w:t>.</w:t>
      </w:r>
      <w:r w:rsidR="000D745C">
        <w:rPr>
          <w:color w:val="000000" w:themeColor="text1"/>
          <w:szCs w:val="24"/>
        </w:rPr>
        <w:t xml:space="preserve"> </w:t>
      </w:r>
      <w:r w:rsidR="00DA09FD">
        <w:rPr>
          <w:color w:val="000000" w:themeColor="text1"/>
          <w:szCs w:val="24"/>
        </w:rPr>
        <w:t xml:space="preserve"> </w:t>
      </w:r>
      <w:r w:rsidR="0040368C">
        <w:rPr>
          <w:color w:val="000000" w:themeColor="text1"/>
          <w:szCs w:val="24"/>
        </w:rPr>
        <w:t xml:space="preserve">He had also had some relief from </w:t>
      </w:r>
      <w:r w:rsidR="00F61C84">
        <w:rPr>
          <w:color w:val="000000" w:themeColor="text1"/>
          <w:szCs w:val="24"/>
        </w:rPr>
        <w:t xml:space="preserve">hypnosis previously.  A </w:t>
      </w:r>
      <w:r w:rsidR="00DF377F">
        <w:rPr>
          <w:color w:val="000000" w:themeColor="text1"/>
          <w:szCs w:val="24"/>
        </w:rPr>
        <w:t xml:space="preserve">repeat </w:t>
      </w:r>
      <w:r w:rsidR="00C96B78">
        <w:rPr>
          <w:color w:val="000000" w:themeColor="text1"/>
          <w:szCs w:val="24"/>
        </w:rPr>
        <w:t xml:space="preserve">three phase </w:t>
      </w:r>
      <w:r w:rsidR="00F61C84">
        <w:rPr>
          <w:color w:val="000000" w:themeColor="text1"/>
          <w:szCs w:val="24"/>
        </w:rPr>
        <w:t xml:space="preserve">bone scan </w:t>
      </w:r>
      <w:r w:rsidR="00DF377F">
        <w:rPr>
          <w:color w:val="000000" w:themeColor="text1"/>
          <w:szCs w:val="24"/>
        </w:rPr>
        <w:t xml:space="preserve">June 2005, </w:t>
      </w:r>
      <w:r w:rsidR="00F61C84">
        <w:rPr>
          <w:color w:val="000000" w:themeColor="text1"/>
          <w:szCs w:val="24"/>
        </w:rPr>
        <w:t xml:space="preserve">to </w:t>
      </w:r>
      <w:r w:rsidR="000F4561">
        <w:rPr>
          <w:color w:val="000000" w:themeColor="text1"/>
          <w:szCs w:val="24"/>
        </w:rPr>
        <w:t>evaluate for the presence of RSD</w:t>
      </w:r>
      <w:r w:rsidR="00F61C84">
        <w:rPr>
          <w:color w:val="000000" w:themeColor="text1"/>
          <w:szCs w:val="24"/>
        </w:rPr>
        <w:t xml:space="preserve"> was </w:t>
      </w:r>
      <w:r w:rsidR="0051575B">
        <w:rPr>
          <w:color w:val="000000" w:themeColor="text1"/>
          <w:szCs w:val="24"/>
        </w:rPr>
        <w:t xml:space="preserve">again </w:t>
      </w:r>
      <w:r w:rsidR="00F61C84">
        <w:rPr>
          <w:color w:val="000000" w:themeColor="text1"/>
          <w:szCs w:val="24"/>
        </w:rPr>
        <w:t>negative.</w:t>
      </w:r>
      <w:r w:rsidR="00DF377F">
        <w:rPr>
          <w:color w:val="000000" w:themeColor="text1"/>
          <w:szCs w:val="24"/>
        </w:rPr>
        <w:t xml:space="preserve"> </w:t>
      </w:r>
      <w:r w:rsidR="008768E5">
        <w:rPr>
          <w:color w:val="000000" w:themeColor="text1"/>
          <w:szCs w:val="24"/>
        </w:rPr>
        <w:t xml:space="preserve"> </w:t>
      </w:r>
      <w:r w:rsidR="008C6E7A">
        <w:rPr>
          <w:color w:val="000000" w:themeColor="text1"/>
          <w:szCs w:val="24"/>
        </w:rPr>
        <w:t>The final neurology evaluation</w:t>
      </w:r>
      <w:r w:rsidR="00C96B78">
        <w:rPr>
          <w:color w:val="000000" w:themeColor="text1"/>
          <w:szCs w:val="24"/>
        </w:rPr>
        <w:t xml:space="preserve"> in service, two months</w:t>
      </w:r>
      <w:r w:rsidR="008C6E7A">
        <w:rPr>
          <w:color w:val="000000" w:themeColor="text1"/>
          <w:szCs w:val="24"/>
        </w:rPr>
        <w:t xml:space="preserve"> prior to separation</w:t>
      </w:r>
      <w:r w:rsidR="00C96B78">
        <w:rPr>
          <w:color w:val="000000" w:themeColor="text1"/>
          <w:szCs w:val="24"/>
        </w:rPr>
        <w:t>,</w:t>
      </w:r>
      <w:r w:rsidR="000F4561">
        <w:rPr>
          <w:color w:val="000000" w:themeColor="text1"/>
          <w:szCs w:val="24"/>
        </w:rPr>
        <w:t xml:space="preserve"> noted </w:t>
      </w:r>
      <w:r w:rsidR="000F4561" w:rsidRPr="008768E5">
        <w:rPr>
          <w:color w:val="000000" w:themeColor="text1"/>
          <w:szCs w:val="24"/>
        </w:rPr>
        <w:t>the R</w:t>
      </w:r>
      <w:r w:rsidR="008C6E7A" w:rsidRPr="008768E5">
        <w:rPr>
          <w:color w:val="000000" w:themeColor="text1"/>
          <w:szCs w:val="24"/>
        </w:rPr>
        <w:t>S</w:t>
      </w:r>
      <w:r w:rsidR="000F4561" w:rsidRPr="008768E5">
        <w:rPr>
          <w:color w:val="000000" w:themeColor="text1"/>
          <w:szCs w:val="24"/>
        </w:rPr>
        <w:t>D</w:t>
      </w:r>
      <w:r w:rsidR="008C6E7A" w:rsidRPr="008768E5">
        <w:rPr>
          <w:color w:val="000000" w:themeColor="text1"/>
          <w:szCs w:val="24"/>
        </w:rPr>
        <w:t xml:space="preserve"> was a questionable diagnosis</w:t>
      </w:r>
      <w:r w:rsidR="0051575B">
        <w:rPr>
          <w:color w:val="000000" w:themeColor="text1"/>
          <w:szCs w:val="24"/>
        </w:rPr>
        <w:t>.</w:t>
      </w:r>
      <w:r w:rsidR="00CA361D">
        <w:rPr>
          <w:color w:val="000000" w:themeColor="text1"/>
          <w:szCs w:val="24"/>
        </w:rPr>
        <w:t xml:space="preserve">  Although the initial post-operative right lower leg symptoms were compatible with the condition, the absence of objective findings </w:t>
      </w:r>
      <w:r w:rsidR="0037702C">
        <w:rPr>
          <w:color w:val="000000" w:themeColor="text1"/>
          <w:szCs w:val="24"/>
        </w:rPr>
        <w:t xml:space="preserve">after prolonged symptoms and </w:t>
      </w:r>
      <w:r w:rsidR="00CA361D">
        <w:rPr>
          <w:color w:val="000000" w:themeColor="text1"/>
          <w:szCs w:val="24"/>
        </w:rPr>
        <w:t xml:space="preserve">the generalized symptoms were not consistent with the condition.  </w:t>
      </w:r>
      <w:r w:rsidR="0051575B">
        <w:rPr>
          <w:color w:val="000000" w:themeColor="text1"/>
          <w:szCs w:val="24"/>
        </w:rPr>
        <w:t xml:space="preserve">The neurologist opined </w:t>
      </w:r>
      <w:r w:rsidR="008C6E7A" w:rsidRPr="008768E5">
        <w:rPr>
          <w:color w:val="000000" w:themeColor="text1"/>
          <w:szCs w:val="24"/>
        </w:rPr>
        <w:t xml:space="preserve">that fibromyalgia </w:t>
      </w:r>
      <w:r w:rsidR="0051575B">
        <w:rPr>
          <w:color w:val="000000" w:themeColor="text1"/>
          <w:szCs w:val="24"/>
        </w:rPr>
        <w:t xml:space="preserve">may be </w:t>
      </w:r>
      <w:r w:rsidR="008C6E7A" w:rsidRPr="008768E5">
        <w:rPr>
          <w:color w:val="000000" w:themeColor="text1"/>
          <w:szCs w:val="24"/>
        </w:rPr>
        <w:t>a more appropriate</w:t>
      </w:r>
      <w:r w:rsidR="000D745C" w:rsidRPr="008768E5">
        <w:rPr>
          <w:color w:val="000000" w:themeColor="text1"/>
          <w:szCs w:val="24"/>
        </w:rPr>
        <w:t xml:space="preserve"> diagnosis based on the presence of diffuse pain that</w:t>
      </w:r>
      <w:r w:rsidR="000D745C">
        <w:rPr>
          <w:color w:val="000000" w:themeColor="text1"/>
          <w:szCs w:val="24"/>
        </w:rPr>
        <w:t xml:space="preserve"> was not consistent with RSD.</w:t>
      </w:r>
      <w:r w:rsidR="00CA361D">
        <w:rPr>
          <w:color w:val="000000" w:themeColor="text1"/>
          <w:szCs w:val="24"/>
        </w:rPr>
        <w:t xml:space="preserve">  However tender </w:t>
      </w:r>
      <w:r w:rsidR="00687511">
        <w:rPr>
          <w:color w:val="000000" w:themeColor="text1"/>
          <w:szCs w:val="24"/>
        </w:rPr>
        <w:t xml:space="preserve">points </w:t>
      </w:r>
      <w:r w:rsidR="0051575B">
        <w:rPr>
          <w:color w:val="000000" w:themeColor="text1"/>
          <w:szCs w:val="24"/>
        </w:rPr>
        <w:lastRenderedPageBreak/>
        <w:t xml:space="preserve">characteristic of fibromyalgia </w:t>
      </w:r>
      <w:r w:rsidR="00687511">
        <w:rPr>
          <w:color w:val="000000" w:themeColor="text1"/>
          <w:szCs w:val="24"/>
        </w:rPr>
        <w:t>were not documented at this exam</w:t>
      </w:r>
      <w:r w:rsidR="00CA361D">
        <w:rPr>
          <w:color w:val="000000" w:themeColor="text1"/>
          <w:szCs w:val="24"/>
        </w:rPr>
        <w:t xml:space="preserve"> and other examinations documented tenderness in areas that are not consistent with the diagnosis.  The psychiatry examiner noted psychological factors contributing to the pain complaints and listed a diagnosis of pain disorder on Axis I of the five axis psychiatric diagnoses.  </w:t>
      </w:r>
      <w:r w:rsidR="00687511">
        <w:rPr>
          <w:color w:val="000000" w:themeColor="text1"/>
          <w:szCs w:val="24"/>
        </w:rPr>
        <w:t xml:space="preserve">The MEB </w:t>
      </w:r>
      <w:r w:rsidR="00BB6B14">
        <w:rPr>
          <w:color w:val="000000" w:themeColor="text1"/>
          <w:szCs w:val="24"/>
        </w:rPr>
        <w:t xml:space="preserve">narrative summary </w:t>
      </w:r>
      <w:r w:rsidR="00687511">
        <w:rPr>
          <w:color w:val="000000" w:themeColor="text1"/>
          <w:szCs w:val="24"/>
        </w:rPr>
        <w:t xml:space="preserve">was undated, but refers to a pain management note which was dated 16 June 2005 and most likely accomplished between this exam </w:t>
      </w:r>
      <w:r w:rsidR="00766761">
        <w:rPr>
          <w:color w:val="000000" w:themeColor="text1"/>
          <w:szCs w:val="24"/>
        </w:rPr>
        <w:t>and</w:t>
      </w:r>
      <w:r w:rsidR="00687511">
        <w:rPr>
          <w:color w:val="000000" w:themeColor="text1"/>
          <w:szCs w:val="24"/>
        </w:rPr>
        <w:t xml:space="preserve"> the MEB on 14 September 2005.  It noted bilateral quadriceps and hamstring atrophy, central obesity and limited flexibility, but without effusion, edema or ecchymos</w:t>
      </w:r>
      <w:r w:rsidR="008C4193">
        <w:rPr>
          <w:color w:val="000000" w:themeColor="text1"/>
          <w:szCs w:val="24"/>
        </w:rPr>
        <w:t>e</w:t>
      </w:r>
      <w:r w:rsidR="00687511">
        <w:rPr>
          <w:color w:val="000000" w:themeColor="text1"/>
          <w:szCs w:val="24"/>
        </w:rPr>
        <w:t>s</w:t>
      </w:r>
      <w:r w:rsidR="0040368C">
        <w:rPr>
          <w:color w:val="000000" w:themeColor="text1"/>
          <w:szCs w:val="24"/>
        </w:rPr>
        <w:t>.  P</w:t>
      </w:r>
      <w:r w:rsidR="00687511">
        <w:rPr>
          <w:color w:val="000000" w:themeColor="text1"/>
          <w:szCs w:val="24"/>
        </w:rPr>
        <w:t>assive ROM</w:t>
      </w:r>
      <w:r w:rsidR="0040368C">
        <w:rPr>
          <w:color w:val="000000" w:themeColor="text1"/>
          <w:szCs w:val="24"/>
        </w:rPr>
        <w:t>, d</w:t>
      </w:r>
      <w:r w:rsidR="00687511">
        <w:rPr>
          <w:color w:val="000000" w:themeColor="text1"/>
          <w:szCs w:val="24"/>
        </w:rPr>
        <w:t>eep tendon reflexes (DTRs) and sensory exam</w:t>
      </w:r>
      <w:r w:rsidR="0040368C">
        <w:rPr>
          <w:color w:val="000000" w:themeColor="text1"/>
          <w:szCs w:val="24"/>
        </w:rPr>
        <w:t>s</w:t>
      </w:r>
      <w:r w:rsidR="00687511">
        <w:rPr>
          <w:color w:val="000000" w:themeColor="text1"/>
          <w:szCs w:val="24"/>
        </w:rPr>
        <w:t xml:space="preserve"> were normal.  </w:t>
      </w:r>
    </w:p>
    <w:p w:rsidR="0037702C" w:rsidRDefault="0037702C" w:rsidP="009B57BA">
      <w:pPr>
        <w:jc w:val="both"/>
        <w:rPr>
          <w:color w:val="000000" w:themeColor="text1"/>
          <w:szCs w:val="24"/>
        </w:rPr>
      </w:pPr>
    </w:p>
    <w:p w:rsidR="0051575B" w:rsidRDefault="00687511" w:rsidP="009B57BA">
      <w:pPr>
        <w:jc w:val="both"/>
        <w:rPr>
          <w:color w:val="000000" w:themeColor="text1"/>
          <w:szCs w:val="24"/>
        </w:rPr>
      </w:pPr>
      <w:r>
        <w:rPr>
          <w:color w:val="000000" w:themeColor="text1"/>
          <w:szCs w:val="24"/>
        </w:rPr>
        <w:t xml:space="preserve">The VA </w:t>
      </w:r>
      <w:r w:rsidR="002A3DE9">
        <w:rPr>
          <w:color w:val="000000" w:themeColor="text1"/>
          <w:szCs w:val="24"/>
        </w:rPr>
        <w:t>C</w:t>
      </w:r>
      <w:r>
        <w:rPr>
          <w:color w:val="000000" w:themeColor="text1"/>
          <w:szCs w:val="24"/>
        </w:rPr>
        <w:t xml:space="preserve">ompensation and </w:t>
      </w:r>
      <w:r w:rsidR="002A3DE9">
        <w:rPr>
          <w:color w:val="000000" w:themeColor="text1"/>
          <w:szCs w:val="24"/>
        </w:rPr>
        <w:t>P</w:t>
      </w:r>
      <w:r>
        <w:rPr>
          <w:color w:val="000000" w:themeColor="text1"/>
          <w:szCs w:val="24"/>
        </w:rPr>
        <w:t xml:space="preserve">ension </w:t>
      </w:r>
      <w:r w:rsidR="007812C5">
        <w:rPr>
          <w:color w:val="000000" w:themeColor="text1"/>
          <w:szCs w:val="24"/>
        </w:rPr>
        <w:t xml:space="preserve">(C&amp;P) </w:t>
      </w:r>
      <w:r>
        <w:rPr>
          <w:color w:val="000000" w:themeColor="text1"/>
          <w:szCs w:val="24"/>
        </w:rPr>
        <w:t>exam was on 5 December 2005, three weeks after separation.  It noted that</w:t>
      </w:r>
      <w:r w:rsidR="000F4561">
        <w:rPr>
          <w:color w:val="000000" w:themeColor="text1"/>
          <w:szCs w:val="24"/>
        </w:rPr>
        <w:t xml:space="preserve"> the CI had been treated for RSD</w:t>
      </w:r>
      <w:r>
        <w:rPr>
          <w:color w:val="000000" w:themeColor="text1"/>
          <w:szCs w:val="24"/>
        </w:rPr>
        <w:t xml:space="preserve"> with </w:t>
      </w:r>
      <w:r w:rsidR="006A273C">
        <w:rPr>
          <w:color w:val="000000" w:themeColor="text1"/>
          <w:szCs w:val="24"/>
        </w:rPr>
        <w:t xml:space="preserve">changes in hair and nail growth, but that had then been diagnosed with </w:t>
      </w:r>
      <w:r w:rsidR="00082F83">
        <w:rPr>
          <w:color w:val="000000" w:themeColor="text1"/>
          <w:szCs w:val="24"/>
        </w:rPr>
        <w:t>fibromyalgia</w:t>
      </w:r>
      <w:r w:rsidR="006A273C">
        <w:rPr>
          <w:color w:val="000000" w:themeColor="text1"/>
          <w:szCs w:val="24"/>
        </w:rPr>
        <w:t xml:space="preserve"> for “severe and disseminated </w:t>
      </w:r>
      <w:proofErr w:type="spellStart"/>
      <w:r w:rsidR="006A273C">
        <w:rPr>
          <w:color w:val="000000" w:themeColor="text1"/>
          <w:szCs w:val="24"/>
        </w:rPr>
        <w:t>arthralgias</w:t>
      </w:r>
      <w:proofErr w:type="spellEnd"/>
      <w:r w:rsidR="006A273C">
        <w:rPr>
          <w:color w:val="000000" w:themeColor="text1"/>
          <w:szCs w:val="24"/>
        </w:rPr>
        <w:t xml:space="preserve"> and </w:t>
      </w:r>
      <w:proofErr w:type="spellStart"/>
      <w:r w:rsidR="006A273C">
        <w:rPr>
          <w:color w:val="000000" w:themeColor="text1"/>
          <w:szCs w:val="24"/>
        </w:rPr>
        <w:t>myalgias</w:t>
      </w:r>
      <w:proofErr w:type="spellEnd"/>
      <w:r w:rsidR="002A3DE9">
        <w:rPr>
          <w:color w:val="000000" w:themeColor="text1"/>
          <w:szCs w:val="24"/>
        </w:rPr>
        <w:t>.</w:t>
      </w:r>
      <w:r w:rsidR="006A273C">
        <w:rPr>
          <w:color w:val="000000" w:themeColor="text1"/>
          <w:szCs w:val="24"/>
        </w:rPr>
        <w:t xml:space="preserve">”  The CI reported that he was only working 20 hours a week, napping </w:t>
      </w:r>
      <w:r w:rsidR="002A3DE9">
        <w:rPr>
          <w:color w:val="000000" w:themeColor="text1"/>
          <w:szCs w:val="24"/>
        </w:rPr>
        <w:t>three to four</w:t>
      </w:r>
      <w:r w:rsidR="006A273C">
        <w:rPr>
          <w:color w:val="000000" w:themeColor="text1"/>
          <w:szCs w:val="24"/>
        </w:rPr>
        <w:t xml:space="preserve"> hours a day and suffered from poor sleep, GERD, headaches and depression.  He noted constant </w:t>
      </w:r>
      <w:proofErr w:type="spellStart"/>
      <w:r w:rsidR="006A273C">
        <w:rPr>
          <w:color w:val="000000" w:themeColor="text1"/>
          <w:szCs w:val="24"/>
        </w:rPr>
        <w:t>cephalgia</w:t>
      </w:r>
      <w:proofErr w:type="spellEnd"/>
      <w:r w:rsidR="006A273C">
        <w:rPr>
          <w:color w:val="000000" w:themeColor="text1"/>
          <w:szCs w:val="24"/>
        </w:rPr>
        <w:t xml:space="preserve"> with exacerbations several times a week lasting </w:t>
      </w:r>
      <w:r w:rsidR="002A3DE9">
        <w:rPr>
          <w:color w:val="000000" w:themeColor="text1"/>
          <w:szCs w:val="24"/>
        </w:rPr>
        <w:t>six to eight</w:t>
      </w:r>
      <w:r w:rsidR="006A273C">
        <w:rPr>
          <w:color w:val="000000" w:themeColor="text1"/>
          <w:szCs w:val="24"/>
        </w:rPr>
        <w:t xml:space="preserve"> hours.  He estimated that he had lost 60 days from work over the previous 12 months.  On exam, he was noted to have an antalgic gait and to use a cane </w:t>
      </w:r>
      <w:r w:rsidR="00B54430">
        <w:rPr>
          <w:color w:val="000000" w:themeColor="text1"/>
          <w:szCs w:val="24"/>
        </w:rPr>
        <w:t xml:space="preserve">which he </w:t>
      </w:r>
      <w:r w:rsidR="006A273C">
        <w:rPr>
          <w:color w:val="000000" w:themeColor="text1"/>
          <w:szCs w:val="24"/>
        </w:rPr>
        <w:t xml:space="preserve">held with the right hand.  Examination of the lower extremities showed no </w:t>
      </w:r>
      <w:r w:rsidR="0037702C">
        <w:rPr>
          <w:color w:val="000000" w:themeColor="text1"/>
          <w:szCs w:val="24"/>
        </w:rPr>
        <w:t xml:space="preserve">abnormal findings such as </w:t>
      </w:r>
      <w:r w:rsidR="006A273C">
        <w:rPr>
          <w:color w:val="000000" w:themeColor="text1"/>
          <w:szCs w:val="24"/>
        </w:rPr>
        <w:t>dependant edema, varicosities or stasis changes.  No specific comment was made regarding hair or nail loss.  He was noted to be “clearly in pain with every motion.”  He had</w:t>
      </w:r>
      <w:r w:rsidR="00887AF1">
        <w:rPr>
          <w:color w:val="000000" w:themeColor="text1"/>
          <w:szCs w:val="24"/>
        </w:rPr>
        <w:t xml:space="preserve"> “</w:t>
      </w:r>
      <w:r w:rsidR="006A273C">
        <w:rPr>
          <w:color w:val="000000" w:themeColor="text1"/>
          <w:szCs w:val="24"/>
        </w:rPr>
        <w:t>tenderness in multiple sites over the upper and lower thorax, arms, forearms, thighs and calves as well as over the skull.”  ROM of the neck was full with “obvious pain in all planes</w:t>
      </w:r>
      <w:r w:rsidR="002A3DE9">
        <w:rPr>
          <w:color w:val="000000" w:themeColor="text1"/>
          <w:szCs w:val="24"/>
        </w:rPr>
        <w:t>.</w:t>
      </w:r>
      <w:r w:rsidR="006A273C">
        <w:rPr>
          <w:color w:val="000000" w:themeColor="text1"/>
          <w:szCs w:val="24"/>
        </w:rPr>
        <w:t xml:space="preserve">”  Painful motion was noted for the back, </w:t>
      </w:r>
      <w:r w:rsidR="00766761">
        <w:rPr>
          <w:color w:val="000000" w:themeColor="text1"/>
          <w:szCs w:val="24"/>
        </w:rPr>
        <w:t>shoulders</w:t>
      </w:r>
      <w:r w:rsidR="006A273C">
        <w:rPr>
          <w:color w:val="000000" w:themeColor="text1"/>
          <w:szCs w:val="24"/>
        </w:rPr>
        <w:t>, hips, knees and ankles.</w:t>
      </w:r>
      <w:r w:rsidR="008B1CA0">
        <w:rPr>
          <w:color w:val="000000" w:themeColor="text1"/>
          <w:szCs w:val="24"/>
        </w:rPr>
        <w:t xml:space="preserve">  DTRs were normal as was the motor exam.  Sensory exam showed painful </w:t>
      </w:r>
      <w:proofErr w:type="spellStart"/>
      <w:r w:rsidR="008B1CA0" w:rsidRPr="008768E5">
        <w:rPr>
          <w:color w:val="000000" w:themeColor="text1"/>
          <w:szCs w:val="24"/>
        </w:rPr>
        <w:t>dysethesia</w:t>
      </w:r>
      <w:proofErr w:type="spellEnd"/>
      <w:r w:rsidR="008B1CA0" w:rsidRPr="008768E5">
        <w:rPr>
          <w:color w:val="000000" w:themeColor="text1"/>
          <w:szCs w:val="24"/>
        </w:rPr>
        <w:t xml:space="preserve"> </w:t>
      </w:r>
      <w:r w:rsidR="008B1CA0">
        <w:rPr>
          <w:color w:val="000000" w:themeColor="text1"/>
          <w:szCs w:val="24"/>
        </w:rPr>
        <w:t>of all extremities.  No abnormal wear of the shoes was seen.  No muscle atrophy was documented.</w:t>
      </w:r>
      <w:r w:rsidR="006A273C">
        <w:rPr>
          <w:color w:val="000000" w:themeColor="text1"/>
          <w:szCs w:val="24"/>
        </w:rPr>
        <w:t xml:space="preserve">  </w:t>
      </w:r>
      <w:r w:rsidR="008B1CA0">
        <w:rPr>
          <w:color w:val="000000" w:themeColor="text1"/>
          <w:szCs w:val="24"/>
        </w:rPr>
        <w:t>Imagi</w:t>
      </w:r>
      <w:r w:rsidR="0037702C">
        <w:rPr>
          <w:color w:val="000000" w:themeColor="text1"/>
          <w:szCs w:val="24"/>
        </w:rPr>
        <w:t>ng of the right knee was normal (without bone changes associated with chronic RSD).</w:t>
      </w:r>
      <w:r w:rsidR="008B1CA0">
        <w:rPr>
          <w:color w:val="000000" w:themeColor="text1"/>
          <w:szCs w:val="24"/>
        </w:rPr>
        <w:t xml:space="preserve">  </w:t>
      </w:r>
      <w:r w:rsidR="0037702C">
        <w:rPr>
          <w:color w:val="000000" w:themeColor="text1"/>
          <w:szCs w:val="24"/>
        </w:rPr>
        <w:t>Although remote from the time of separation, t</w:t>
      </w:r>
      <w:r w:rsidR="008B1CA0">
        <w:rPr>
          <w:color w:val="000000" w:themeColor="text1"/>
          <w:szCs w:val="24"/>
        </w:rPr>
        <w:t>he Board notes that at a follow-up exam on 6 January 2010 for fibromyalgia, accomplished by a surgeon, he was</w:t>
      </w:r>
      <w:r w:rsidR="00B54430">
        <w:rPr>
          <w:color w:val="000000" w:themeColor="text1"/>
          <w:szCs w:val="24"/>
        </w:rPr>
        <w:t xml:space="preserve"> again </w:t>
      </w:r>
      <w:r w:rsidR="008B1CA0">
        <w:rPr>
          <w:color w:val="000000" w:themeColor="text1"/>
          <w:szCs w:val="24"/>
        </w:rPr>
        <w:t xml:space="preserve">noted to use </w:t>
      </w:r>
      <w:r w:rsidR="00B54430">
        <w:rPr>
          <w:color w:val="000000" w:themeColor="text1"/>
          <w:szCs w:val="24"/>
        </w:rPr>
        <w:t>a cane with an antalgic gait.  However, n</w:t>
      </w:r>
      <w:r w:rsidR="008B1CA0">
        <w:rPr>
          <w:color w:val="000000" w:themeColor="text1"/>
          <w:szCs w:val="24"/>
        </w:rPr>
        <w:t>o muscle atrophy was present</w:t>
      </w:r>
      <w:r w:rsidR="00B54430">
        <w:rPr>
          <w:color w:val="000000" w:themeColor="text1"/>
          <w:szCs w:val="24"/>
        </w:rPr>
        <w:t xml:space="preserve"> and both</w:t>
      </w:r>
      <w:r w:rsidR="008B1CA0">
        <w:rPr>
          <w:color w:val="000000" w:themeColor="text1"/>
          <w:szCs w:val="24"/>
        </w:rPr>
        <w:t xml:space="preserve"> strength and tone were normal.  DTRs were normal as was the sensory exam</w:t>
      </w:r>
      <w:r w:rsidR="0051575B">
        <w:rPr>
          <w:color w:val="000000" w:themeColor="text1"/>
          <w:szCs w:val="24"/>
        </w:rPr>
        <w:t>ination.</w:t>
      </w:r>
      <w:r w:rsidR="007D1E5D">
        <w:rPr>
          <w:color w:val="000000" w:themeColor="text1"/>
          <w:szCs w:val="24"/>
        </w:rPr>
        <w:t xml:space="preserve"> </w:t>
      </w:r>
      <w:r w:rsidR="006A273C">
        <w:rPr>
          <w:color w:val="000000" w:themeColor="text1"/>
          <w:szCs w:val="24"/>
        </w:rPr>
        <w:t xml:space="preserve"> </w:t>
      </w:r>
    </w:p>
    <w:p w:rsidR="0051575B" w:rsidRDefault="0051575B" w:rsidP="009B57BA">
      <w:pPr>
        <w:jc w:val="both"/>
        <w:rPr>
          <w:color w:val="000000" w:themeColor="text1"/>
          <w:szCs w:val="24"/>
        </w:rPr>
      </w:pPr>
    </w:p>
    <w:p w:rsidR="0051575B" w:rsidRDefault="000F4561" w:rsidP="009B57BA">
      <w:pPr>
        <w:jc w:val="both"/>
        <w:rPr>
          <w:color w:val="000000" w:themeColor="text1"/>
          <w:szCs w:val="24"/>
        </w:rPr>
      </w:pPr>
      <w:r>
        <w:rPr>
          <w:color w:val="000000" w:themeColor="text1"/>
          <w:szCs w:val="24"/>
        </w:rPr>
        <w:t xml:space="preserve">The PEB </w:t>
      </w:r>
      <w:r w:rsidR="008768E5">
        <w:rPr>
          <w:color w:val="000000" w:themeColor="text1"/>
          <w:szCs w:val="24"/>
        </w:rPr>
        <w:t xml:space="preserve">and VA both </w:t>
      </w:r>
      <w:r>
        <w:rPr>
          <w:color w:val="000000" w:themeColor="text1"/>
          <w:szCs w:val="24"/>
        </w:rPr>
        <w:t>rated the RSD</w:t>
      </w:r>
      <w:r w:rsidR="00887AF1">
        <w:rPr>
          <w:color w:val="000000" w:themeColor="text1"/>
          <w:szCs w:val="24"/>
        </w:rPr>
        <w:t xml:space="preserve"> condition at 10%</w:t>
      </w:r>
      <w:r w:rsidR="008768E5">
        <w:rPr>
          <w:color w:val="000000" w:themeColor="text1"/>
          <w:szCs w:val="24"/>
        </w:rPr>
        <w:t xml:space="preserve">.  The PEB </w:t>
      </w:r>
      <w:r w:rsidR="00887AF1">
        <w:rPr>
          <w:color w:val="000000" w:themeColor="text1"/>
          <w:szCs w:val="24"/>
        </w:rPr>
        <w:t>coded it 8599-8520</w:t>
      </w:r>
      <w:r w:rsidR="008768E5">
        <w:rPr>
          <w:color w:val="000000" w:themeColor="text1"/>
          <w:szCs w:val="24"/>
        </w:rPr>
        <w:t xml:space="preserve">; the VA </w:t>
      </w:r>
      <w:r w:rsidR="00887AF1">
        <w:rPr>
          <w:color w:val="000000" w:themeColor="text1"/>
          <w:szCs w:val="24"/>
        </w:rPr>
        <w:t xml:space="preserve">  </w:t>
      </w:r>
      <w:r w:rsidR="008768E5">
        <w:rPr>
          <w:color w:val="000000" w:themeColor="text1"/>
          <w:szCs w:val="24"/>
        </w:rPr>
        <w:t xml:space="preserve">coded it 8520 </w:t>
      </w:r>
      <w:r w:rsidR="0037702C">
        <w:rPr>
          <w:color w:val="000000" w:themeColor="text1"/>
          <w:szCs w:val="24"/>
        </w:rPr>
        <w:t>(</w:t>
      </w:r>
      <w:r w:rsidR="008768E5">
        <w:rPr>
          <w:color w:val="000000" w:themeColor="text1"/>
          <w:szCs w:val="24"/>
        </w:rPr>
        <w:t xml:space="preserve">and </w:t>
      </w:r>
      <w:r w:rsidR="0051575B">
        <w:rPr>
          <w:color w:val="000000" w:themeColor="text1"/>
          <w:szCs w:val="24"/>
        </w:rPr>
        <w:t xml:space="preserve">used the most current terminology for the condition, </w:t>
      </w:r>
      <w:r w:rsidR="00BD2193">
        <w:rPr>
          <w:color w:val="000000" w:themeColor="text1"/>
          <w:szCs w:val="24"/>
        </w:rPr>
        <w:t>complex re</w:t>
      </w:r>
      <w:r w:rsidR="008768E5">
        <w:rPr>
          <w:color w:val="000000" w:themeColor="text1"/>
          <w:szCs w:val="24"/>
        </w:rPr>
        <w:t>gional pain syndrome</w:t>
      </w:r>
      <w:r w:rsidR="0037702C">
        <w:rPr>
          <w:color w:val="000000" w:themeColor="text1"/>
          <w:szCs w:val="24"/>
        </w:rPr>
        <w:t>)</w:t>
      </w:r>
      <w:r w:rsidR="0051575B">
        <w:rPr>
          <w:color w:val="000000" w:themeColor="text1"/>
          <w:szCs w:val="24"/>
        </w:rPr>
        <w:t>.</w:t>
      </w:r>
      <w:r w:rsidR="007D1E5D">
        <w:rPr>
          <w:color w:val="000000" w:themeColor="text1"/>
          <w:szCs w:val="24"/>
        </w:rPr>
        <w:t xml:space="preserve">  T</w:t>
      </w:r>
      <w:r w:rsidR="00BD2193">
        <w:rPr>
          <w:color w:val="000000" w:themeColor="text1"/>
          <w:szCs w:val="24"/>
        </w:rPr>
        <w:t xml:space="preserve">he VA also awarded a 40% disability rating for fibromyalgia, coded 5025, and attributed most of the symptoms to it which the </w:t>
      </w:r>
      <w:r>
        <w:rPr>
          <w:color w:val="000000" w:themeColor="text1"/>
          <w:szCs w:val="24"/>
        </w:rPr>
        <w:t>PEB had considered under the RSD</w:t>
      </w:r>
      <w:r w:rsidR="00BD2193">
        <w:rPr>
          <w:color w:val="000000" w:themeColor="text1"/>
          <w:szCs w:val="24"/>
        </w:rPr>
        <w:t xml:space="preserve">.  The Board notes that the diagnosis of fibromyalgia </w:t>
      </w:r>
      <w:r w:rsidR="00287212">
        <w:rPr>
          <w:color w:val="000000" w:themeColor="text1"/>
          <w:szCs w:val="24"/>
        </w:rPr>
        <w:t>was</w:t>
      </w:r>
      <w:r w:rsidR="00FA6460">
        <w:rPr>
          <w:color w:val="000000" w:themeColor="text1"/>
          <w:szCs w:val="24"/>
        </w:rPr>
        <w:t xml:space="preserve"> based on a single neurology note two months prior</w:t>
      </w:r>
      <w:r w:rsidR="00E632A4">
        <w:rPr>
          <w:color w:val="000000" w:themeColor="text1"/>
          <w:szCs w:val="24"/>
        </w:rPr>
        <w:t xml:space="preserve"> to separation which stated</w:t>
      </w:r>
      <w:r w:rsidR="00FA6460">
        <w:rPr>
          <w:color w:val="000000" w:themeColor="text1"/>
          <w:szCs w:val="24"/>
        </w:rPr>
        <w:t xml:space="preserve"> “fibromyalgia is a more appropriate diagnosis</w:t>
      </w:r>
      <w:r w:rsidR="002A3DE9">
        <w:rPr>
          <w:color w:val="000000" w:themeColor="text1"/>
          <w:szCs w:val="24"/>
        </w:rPr>
        <w:t>.</w:t>
      </w:r>
      <w:r w:rsidR="00FA6460">
        <w:rPr>
          <w:color w:val="000000" w:themeColor="text1"/>
          <w:szCs w:val="24"/>
        </w:rPr>
        <w:t>”</w:t>
      </w:r>
      <w:r w:rsidR="00BD2193">
        <w:rPr>
          <w:color w:val="000000" w:themeColor="text1"/>
          <w:szCs w:val="24"/>
        </w:rPr>
        <w:t xml:space="preserve">  </w:t>
      </w:r>
      <w:r w:rsidR="00EE08C8">
        <w:rPr>
          <w:color w:val="000000" w:themeColor="text1"/>
          <w:szCs w:val="24"/>
        </w:rPr>
        <w:t>While the neurologist opined this diagnosis was more appropriate than RSD because of a complaint of diffuse pain</w:t>
      </w:r>
      <w:r w:rsidR="00EE08C8" w:rsidRPr="00287212">
        <w:rPr>
          <w:color w:val="000000" w:themeColor="text1"/>
          <w:szCs w:val="24"/>
        </w:rPr>
        <w:t>,</w:t>
      </w:r>
      <w:r w:rsidR="00287212">
        <w:rPr>
          <w:color w:val="000000" w:themeColor="text1"/>
          <w:szCs w:val="24"/>
        </w:rPr>
        <w:t xml:space="preserve"> </w:t>
      </w:r>
      <w:r w:rsidR="00EE08C8" w:rsidRPr="00287212">
        <w:rPr>
          <w:color w:val="000000" w:themeColor="text1"/>
          <w:szCs w:val="24"/>
        </w:rPr>
        <w:t>there was tenderness diffusely</w:t>
      </w:r>
      <w:r w:rsidR="00157542" w:rsidRPr="00287212">
        <w:rPr>
          <w:color w:val="000000" w:themeColor="text1"/>
          <w:szCs w:val="24"/>
        </w:rPr>
        <w:t xml:space="preserve"> in locations not typical for </w:t>
      </w:r>
      <w:r w:rsidR="00EE08C8" w:rsidRPr="00287212">
        <w:rPr>
          <w:color w:val="000000" w:themeColor="text1"/>
          <w:szCs w:val="24"/>
        </w:rPr>
        <w:t>fibromyalgia</w:t>
      </w:r>
      <w:r w:rsidR="0051575B">
        <w:rPr>
          <w:color w:val="000000" w:themeColor="text1"/>
          <w:szCs w:val="24"/>
        </w:rPr>
        <w:t>.  F</w:t>
      </w:r>
      <w:r w:rsidR="00EE08C8" w:rsidRPr="00287212">
        <w:rPr>
          <w:color w:val="000000" w:themeColor="text1"/>
          <w:szCs w:val="24"/>
        </w:rPr>
        <w:t>urthermore</w:t>
      </w:r>
      <w:r w:rsidR="00287212">
        <w:rPr>
          <w:color w:val="000000" w:themeColor="text1"/>
          <w:szCs w:val="24"/>
        </w:rPr>
        <w:t>,</w:t>
      </w:r>
      <w:r w:rsidR="00EE08C8" w:rsidRPr="00287212">
        <w:rPr>
          <w:color w:val="000000" w:themeColor="text1"/>
          <w:szCs w:val="24"/>
        </w:rPr>
        <w:t xml:space="preserve"> he lacked other </w:t>
      </w:r>
      <w:r w:rsidR="0051575B">
        <w:rPr>
          <w:color w:val="000000" w:themeColor="text1"/>
          <w:szCs w:val="24"/>
        </w:rPr>
        <w:t xml:space="preserve">key </w:t>
      </w:r>
      <w:r w:rsidR="00EE08C8" w:rsidRPr="00287212">
        <w:rPr>
          <w:color w:val="000000" w:themeColor="text1"/>
          <w:szCs w:val="24"/>
        </w:rPr>
        <w:t>features of FMS</w:t>
      </w:r>
      <w:r w:rsidR="0051575B">
        <w:rPr>
          <w:color w:val="000000" w:themeColor="text1"/>
          <w:szCs w:val="24"/>
        </w:rPr>
        <w:t xml:space="preserve">, and his </w:t>
      </w:r>
      <w:r w:rsidR="00287212">
        <w:rPr>
          <w:color w:val="000000" w:themeColor="text1"/>
          <w:szCs w:val="24"/>
        </w:rPr>
        <w:t>excellent</w:t>
      </w:r>
      <w:r w:rsidR="0051575B">
        <w:rPr>
          <w:color w:val="000000" w:themeColor="text1"/>
          <w:szCs w:val="24"/>
        </w:rPr>
        <w:t xml:space="preserve"> duty performance also argued against significant associated symptoms of the condition</w:t>
      </w:r>
      <w:r w:rsidR="00287212">
        <w:rPr>
          <w:color w:val="000000" w:themeColor="text1"/>
          <w:szCs w:val="24"/>
        </w:rPr>
        <w:t>.</w:t>
      </w:r>
      <w:r w:rsidR="0051575B">
        <w:rPr>
          <w:color w:val="000000" w:themeColor="text1"/>
          <w:szCs w:val="24"/>
        </w:rPr>
        <w:t xml:space="preserve">  </w:t>
      </w:r>
    </w:p>
    <w:p w:rsidR="00CA361D" w:rsidRDefault="00CA361D" w:rsidP="009B57BA">
      <w:pPr>
        <w:jc w:val="both"/>
        <w:rPr>
          <w:color w:val="000000" w:themeColor="text1"/>
          <w:szCs w:val="24"/>
          <w:highlight w:val="yellow"/>
        </w:rPr>
      </w:pPr>
    </w:p>
    <w:p w:rsidR="00E31D06" w:rsidRPr="00287212" w:rsidRDefault="00FA5427" w:rsidP="009B57BA">
      <w:pPr>
        <w:jc w:val="both"/>
        <w:rPr>
          <w:color w:val="000000" w:themeColor="text1"/>
          <w:szCs w:val="24"/>
        </w:rPr>
      </w:pPr>
      <w:r>
        <w:rPr>
          <w:color w:val="000000" w:themeColor="text1"/>
          <w:szCs w:val="24"/>
        </w:rPr>
        <w:t>The Board then considered the PEB adjudication o</w:t>
      </w:r>
      <w:r w:rsidR="000F4561">
        <w:rPr>
          <w:color w:val="000000" w:themeColor="text1"/>
          <w:szCs w:val="24"/>
        </w:rPr>
        <w:t>f a 10% disability rating for R</w:t>
      </w:r>
      <w:r>
        <w:rPr>
          <w:color w:val="000000" w:themeColor="text1"/>
          <w:szCs w:val="24"/>
        </w:rPr>
        <w:t>S</w:t>
      </w:r>
      <w:r w:rsidR="000F4561">
        <w:rPr>
          <w:color w:val="000000" w:themeColor="text1"/>
          <w:szCs w:val="24"/>
        </w:rPr>
        <w:t>D</w:t>
      </w:r>
      <w:r>
        <w:rPr>
          <w:color w:val="000000" w:themeColor="text1"/>
          <w:szCs w:val="24"/>
        </w:rPr>
        <w:t xml:space="preserve">.  </w:t>
      </w:r>
      <w:r w:rsidR="001A33F1">
        <w:rPr>
          <w:color w:val="000000" w:themeColor="text1"/>
          <w:szCs w:val="24"/>
        </w:rPr>
        <w:t>The Board noted that the commander had restricted his duties to preclude prolonged standing and that his work schedule was condensed to 0800-1600 to allow for transport to and from work.  Nonetheless, the CI worked a full shift.  It noted that he had been placed on quarters twice for a total of 96 hours in the previous 12 months</w:t>
      </w:r>
      <w:r w:rsidR="00287212">
        <w:rPr>
          <w:color w:val="000000" w:themeColor="text1"/>
          <w:szCs w:val="24"/>
        </w:rPr>
        <w:t xml:space="preserve">.  </w:t>
      </w:r>
      <w:r w:rsidR="001A33F1">
        <w:rPr>
          <w:color w:val="000000" w:themeColor="text1"/>
          <w:szCs w:val="24"/>
        </w:rPr>
        <w:t xml:space="preserve">The Board considered the severity of the subjective complaints </w:t>
      </w:r>
      <w:r w:rsidR="00FA6460">
        <w:rPr>
          <w:color w:val="000000" w:themeColor="text1"/>
          <w:szCs w:val="24"/>
        </w:rPr>
        <w:t>and noted</w:t>
      </w:r>
      <w:r w:rsidR="001A33F1">
        <w:rPr>
          <w:color w:val="000000" w:themeColor="text1"/>
          <w:szCs w:val="24"/>
        </w:rPr>
        <w:t xml:space="preserve"> the paucity of objective findings: absence of skin findings, n</w:t>
      </w:r>
      <w:r w:rsidR="00543BD5">
        <w:rPr>
          <w:color w:val="000000" w:themeColor="text1"/>
          <w:szCs w:val="24"/>
        </w:rPr>
        <w:t>or</w:t>
      </w:r>
      <w:r w:rsidR="001A33F1">
        <w:rPr>
          <w:color w:val="000000" w:themeColor="text1"/>
          <w:szCs w:val="24"/>
        </w:rPr>
        <w:t>m</w:t>
      </w:r>
      <w:r w:rsidR="00543BD5">
        <w:rPr>
          <w:color w:val="000000" w:themeColor="text1"/>
          <w:szCs w:val="24"/>
        </w:rPr>
        <w:t>a</w:t>
      </w:r>
      <w:r w:rsidR="001A33F1">
        <w:rPr>
          <w:color w:val="000000" w:themeColor="text1"/>
          <w:szCs w:val="24"/>
        </w:rPr>
        <w:t xml:space="preserve">l imaging and NCV/EMG, absence of </w:t>
      </w:r>
      <w:r w:rsidR="001A33F1" w:rsidRPr="00287212">
        <w:rPr>
          <w:color w:val="000000" w:themeColor="text1"/>
          <w:szCs w:val="24"/>
        </w:rPr>
        <w:t>abnormal wear</w:t>
      </w:r>
      <w:r w:rsidR="00287212" w:rsidRPr="00287212">
        <w:rPr>
          <w:color w:val="000000" w:themeColor="text1"/>
          <w:szCs w:val="24"/>
        </w:rPr>
        <w:t xml:space="preserve"> of</w:t>
      </w:r>
      <w:r w:rsidR="00287212">
        <w:rPr>
          <w:color w:val="000000" w:themeColor="text1"/>
          <w:szCs w:val="24"/>
        </w:rPr>
        <w:t xml:space="preserve"> shoes</w:t>
      </w:r>
      <w:r w:rsidR="001A33F1">
        <w:rPr>
          <w:color w:val="000000" w:themeColor="text1"/>
          <w:szCs w:val="24"/>
        </w:rPr>
        <w:t xml:space="preserve">, absence of muscle atrophy on both VA exams </w:t>
      </w:r>
      <w:r w:rsidR="00FB1957">
        <w:rPr>
          <w:color w:val="000000" w:themeColor="text1"/>
          <w:szCs w:val="24"/>
        </w:rPr>
        <w:t>including one almost five years after separation, and n</w:t>
      </w:r>
      <w:r w:rsidR="00543BD5">
        <w:rPr>
          <w:color w:val="000000" w:themeColor="text1"/>
          <w:szCs w:val="24"/>
        </w:rPr>
        <w:t>or</w:t>
      </w:r>
      <w:r w:rsidR="00FB1957">
        <w:rPr>
          <w:color w:val="000000" w:themeColor="text1"/>
          <w:szCs w:val="24"/>
        </w:rPr>
        <w:t>m</w:t>
      </w:r>
      <w:r w:rsidR="00543BD5">
        <w:rPr>
          <w:color w:val="000000" w:themeColor="text1"/>
          <w:szCs w:val="24"/>
        </w:rPr>
        <w:t>a</w:t>
      </w:r>
      <w:r w:rsidR="00FB1957">
        <w:rPr>
          <w:color w:val="000000" w:themeColor="text1"/>
          <w:szCs w:val="24"/>
        </w:rPr>
        <w:t xml:space="preserve">l DTRs.  The limitations in ROM and motor function were both attributed to pain.  The Board considered the inconsistencies between the </w:t>
      </w:r>
      <w:r w:rsidR="00287212">
        <w:rPr>
          <w:color w:val="000000" w:themeColor="text1"/>
          <w:szCs w:val="24"/>
        </w:rPr>
        <w:t>histories</w:t>
      </w:r>
      <w:r w:rsidR="00FB1957">
        <w:rPr>
          <w:color w:val="000000" w:themeColor="text1"/>
          <w:szCs w:val="24"/>
        </w:rPr>
        <w:t xml:space="preserve"> provided to the VA with the service treatment re</w:t>
      </w:r>
      <w:r w:rsidR="00D8792B">
        <w:rPr>
          <w:color w:val="000000" w:themeColor="text1"/>
          <w:szCs w:val="24"/>
        </w:rPr>
        <w:t xml:space="preserve">cord.  </w:t>
      </w:r>
      <w:r w:rsidR="00E632A4">
        <w:rPr>
          <w:color w:val="000000" w:themeColor="text1"/>
          <w:szCs w:val="24"/>
        </w:rPr>
        <w:t>The Board</w:t>
      </w:r>
      <w:r w:rsidR="00FB1957">
        <w:rPr>
          <w:color w:val="000000" w:themeColor="text1"/>
          <w:szCs w:val="24"/>
        </w:rPr>
        <w:t xml:space="preserve"> also noted the </w:t>
      </w:r>
      <w:r w:rsidR="00AE20F1">
        <w:rPr>
          <w:color w:val="000000" w:themeColor="text1"/>
          <w:szCs w:val="24"/>
        </w:rPr>
        <w:t>laudatory</w:t>
      </w:r>
      <w:r w:rsidR="00EE08C8">
        <w:rPr>
          <w:color w:val="000000" w:themeColor="text1"/>
          <w:szCs w:val="24"/>
        </w:rPr>
        <w:t xml:space="preserve"> enlisted </w:t>
      </w:r>
      <w:r w:rsidR="00FB1957">
        <w:rPr>
          <w:color w:val="000000" w:themeColor="text1"/>
          <w:szCs w:val="24"/>
        </w:rPr>
        <w:t>performance report</w:t>
      </w:r>
      <w:r w:rsidR="00EE08C8">
        <w:rPr>
          <w:color w:val="000000" w:themeColor="text1"/>
          <w:szCs w:val="24"/>
        </w:rPr>
        <w:t xml:space="preserve"> for the one year period ending 23 October 2005, three weeks before separation.</w:t>
      </w:r>
      <w:r w:rsidR="00FB1957">
        <w:rPr>
          <w:color w:val="000000" w:themeColor="text1"/>
          <w:szCs w:val="24"/>
        </w:rPr>
        <w:t xml:space="preserve">  </w:t>
      </w:r>
      <w:r w:rsidR="00EE08C8">
        <w:rPr>
          <w:color w:val="000000" w:themeColor="text1"/>
          <w:szCs w:val="24"/>
        </w:rPr>
        <w:t xml:space="preserve">Although restricted to sedentary activities </w:t>
      </w:r>
      <w:r w:rsidR="00EE08C8">
        <w:rPr>
          <w:color w:val="000000" w:themeColor="text1"/>
          <w:szCs w:val="24"/>
        </w:rPr>
        <w:lastRenderedPageBreak/>
        <w:t xml:space="preserve">the CI received highest marks in all categories with a recommendation for immediate promotion.  </w:t>
      </w:r>
      <w:r w:rsidR="00D8792B" w:rsidRPr="00287212">
        <w:rPr>
          <w:color w:val="000000" w:themeColor="text1"/>
          <w:szCs w:val="24"/>
        </w:rPr>
        <w:t>All evidence considered</w:t>
      </w:r>
      <w:proofErr w:type="gramStart"/>
      <w:r w:rsidR="00D8792B" w:rsidRPr="00287212">
        <w:rPr>
          <w:color w:val="000000" w:themeColor="text1"/>
          <w:szCs w:val="24"/>
        </w:rPr>
        <w:t>,</w:t>
      </w:r>
      <w:proofErr w:type="gramEnd"/>
      <w:r w:rsidR="00D8792B" w:rsidRPr="00287212">
        <w:rPr>
          <w:color w:val="000000" w:themeColor="text1"/>
          <w:szCs w:val="24"/>
        </w:rPr>
        <w:t xml:space="preserve"> there is not reasonable doubt in the CI’s favor supporting re</w:t>
      </w:r>
      <w:r w:rsidR="002902AA" w:rsidRPr="00287212">
        <w:rPr>
          <w:color w:val="000000" w:themeColor="text1"/>
          <w:szCs w:val="24"/>
        </w:rPr>
        <w:t>-</w:t>
      </w:r>
      <w:r w:rsidR="00D8792B" w:rsidRPr="00287212">
        <w:rPr>
          <w:color w:val="000000" w:themeColor="text1"/>
          <w:szCs w:val="24"/>
        </w:rPr>
        <w:t>characterization of the PEB fitness adjudication.</w:t>
      </w:r>
      <w:r w:rsidR="002902AA" w:rsidRPr="00287212">
        <w:rPr>
          <w:color w:val="000000" w:themeColor="text1"/>
          <w:szCs w:val="24"/>
        </w:rPr>
        <w:t xml:space="preserve">  </w:t>
      </w:r>
    </w:p>
    <w:p w:rsidR="00157542" w:rsidRDefault="00157542" w:rsidP="009B57BA">
      <w:pPr>
        <w:jc w:val="both"/>
        <w:rPr>
          <w:color w:val="000000" w:themeColor="text1"/>
          <w:szCs w:val="24"/>
        </w:rPr>
      </w:pPr>
    </w:p>
    <w:p w:rsidR="00C53C69" w:rsidRPr="00993EA9" w:rsidRDefault="00D8792B" w:rsidP="009B57BA">
      <w:pPr>
        <w:jc w:val="both"/>
        <w:rPr>
          <w:color w:val="000000" w:themeColor="text1"/>
          <w:szCs w:val="24"/>
        </w:rPr>
      </w:pPr>
      <w:proofErr w:type="gramStart"/>
      <w:r w:rsidRPr="00D8792B">
        <w:rPr>
          <w:color w:val="000000" w:themeColor="text1"/>
          <w:szCs w:val="24"/>
          <w:u w:val="single"/>
        </w:rPr>
        <w:t>Depression</w:t>
      </w:r>
      <w:r w:rsidR="005F2DC3">
        <w:rPr>
          <w:color w:val="000000" w:themeColor="text1"/>
          <w:szCs w:val="24"/>
          <w:u w:val="single"/>
        </w:rPr>
        <w:t xml:space="preserve"> (and anxiety)</w:t>
      </w:r>
      <w:r>
        <w:rPr>
          <w:color w:val="000000" w:themeColor="text1"/>
          <w:szCs w:val="24"/>
        </w:rPr>
        <w:t>.</w:t>
      </w:r>
      <w:proofErr w:type="gramEnd"/>
      <w:r>
        <w:rPr>
          <w:color w:val="000000" w:themeColor="text1"/>
          <w:szCs w:val="24"/>
        </w:rPr>
        <w:t xml:space="preserve">  The PEB adjudicated the </w:t>
      </w:r>
      <w:r w:rsidR="00EE08C8">
        <w:rPr>
          <w:color w:val="000000" w:themeColor="text1"/>
          <w:szCs w:val="24"/>
        </w:rPr>
        <w:t xml:space="preserve">depression </w:t>
      </w:r>
      <w:r>
        <w:rPr>
          <w:color w:val="000000" w:themeColor="text1"/>
          <w:szCs w:val="24"/>
        </w:rPr>
        <w:t xml:space="preserve">condition as associated with </w:t>
      </w:r>
      <w:r w:rsidR="00EE08C8">
        <w:rPr>
          <w:color w:val="000000" w:themeColor="text1"/>
          <w:szCs w:val="24"/>
        </w:rPr>
        <w:t>RSD</w:t>
      </w:r>
      <w:r>
        <w:rPr>
          <w:color w:val="000000" w:themeColor="text1"/>
          <w:szCs w:val="24"/>
        </w:rPr>
        <w:t>, but did not rate the conditions separately.  The Board</w:t>
      </w:r>
      <w:r w:rsidR="003C763B">
        <w:rPr>
          <w:color w:val="000000" w:themeColor="text1"/>
          <w:szCs w:val="24"/>
        </w:rPr>
        <w:t>,</w:t>
      </w:r>
      <w:r>
        <w:rPr>
          <w:color w:val="000000" w:themeColor="text1"/>
          <w:szCs w:val="24"/>
        </w:rPr>
        <w:t xml:space="preserve"> therefore</w:t>
      </w:r>
      <w:r w:rsidR="003C763B">
        <w:rPr>
          <w:color w:val="000000" w:themeColor="text1"/>
          <w:szCs w:val="24"/>
        </w:rPr>
        <w:t xml:space="preserve">, </w:t>
      </w:r>
      <w:r>
        <w:rPr>
          <w:color w:val="000000" w:themeColor="text1"/>
          <w:szCs w:val="24"/>
        </w:rPr>
        <w:t>considered if the depression was a separately unfitting condition.</w:t>
      </w:r>
      <w:r w:rsidR="003C763B">
        <w:rPr>
          <w:color w:val="000000" w:themeColor="text1"/>
          <w:szCs w:val="24"/>
        </w:rPr>
        <w:t xml:space="preserve">  The CI initially presented </w:t>
      </w:r>
      <w:r w:rsidR="003C763B" w:rsidRPr="00993EA9">
        <w:rPr>
          <w:color w:val="000000" w:themeColor="text1"/>
          <w:szCs w:val="24"/>
        </w:rPr>
        <w:t xml:space="preserve">to </w:t>
      </w:r>
      <w:r w:rsidR="002A3DE9">
        <w:rPr>
          <w:color w:val="000000" w:themeColor="text1"/>
          <w:szCs w:val="24"/>
        </w:rPr>
        <w:t>l</w:t>
      </w:r>
      <w:r w:rsidR="003C763B" w:rsidRPr="00993EA9">
        <w:rPr>
          <w:color w:val="000000" w:themeColor="text1"/>
          <w:szCs w:val="24"/>
        </w:rPr>
        <w:t>i</w:t>
      </w:r>
      <w:r w:rsidR="00EE08C8" w:rsidRPr="00993EA9">
        <w:rPr>
          <w:color w:val="000000" w:themeColor="text1"/>
          <w:szCs w:val="24"/>
        </w:rPr>
        <w:t>f</w:t>
      </w:r>
      <w:r w:rsidR="003C763B" w:rsidRPr="00993EA9">
        <w:rPr>
          <w:color w:val="000000" w:themeColor="text1"/>
          <w:szCs w:val="24"/>
        </w:rPr>
        <w:t xml:space="preserve">e </w:t>
      </w:r>
      <w:r w:rsidR="002A3DE9">
        <w:rPr>
          <w:color w:val="000000" w:themeColor="text1"/>
          <w:szCs w:val="24"/>
        </w:rPr>
        <w:t>s</w:t>
      </w:r>
      <w:r w:rsidR="003C763B" w:rsidRPr="00993EA9">
        <w:rPr>
          <w:color w:val="000000" w:themeColor="text1"/>
          <w:szCs w:val="24"/>
        </w:rPr>
        <w:t xml:space="preserve">kills </w:t>
      </w:r>
      <w:r w:rsidR="002A3DE9">
        <w:rPr>
          <w:color w:val="000000" w:themeColor="text1"/>
          <w:szCs w:val="24"/>
        </w:rPr>
        <w:t>c</w:t>
      </w:r>
      <w:r w:rsidR="00EE08C8" w:rsidRPr="00993EA9">
        <w:rPr>
          <w:color w:val="000000" w:themeColor="text1"/>
          <w:szCs w:val="24"/>
        </w:rPr>
        <w:t xml:space="preserve">linic </w:t>
      </w:r>
      <w:r w:rsidR="003C763B" w:rsidRPr="00993EA9">
        <w:rPr>
          <w:color w:val="000000" w:themeColor="text1"/>
          <w:szCs w:val="24"/>
        </w:rPr>
        <w:t>on</w:t>
      </w:r>
      <w:r w:rsidR="003C763B">
        <w:rPr>
          <w:color w:val="000000" w:themeColor="text1"/>
          <w:szCs w:val="24"/>
        </w:rPr>
        <w:t xml:space="preserve"> 13 September 2004 feeling “overwhelmed and helpless” from his pain.  He was noted to have depression and anxiety.  An MPI (multi-</w:t>
      </w:r>
      <w:r w:rsidR="00B27561">
        <w:rPr>
          <w:color w:val="000000" w:themeColor="text1"/>
          <w:szCs w:val="24"/>
        </w:rPr>
        <w:t>dimensional pain</w:t>
      </w:r>
      <w:r w:rsidR="003C763B">
        <w:rPr>
          <w:color w:val="000000" w:themeColor="text1"/>
          <w:szCs w:val="24"/>
        </w:rPr>
        <w:t xml:space="preserve"> inventory) noted that he had a dysfunctional coping style in managing his pain.  He was taught pain management techniques with fair success</w:t>
      </w:r>
      <w:r w:rsidR="00B27561">
        <w:rPr>
          <w:color w:val="000000" w:themeColor="text1"/>
          <w:szCs w:val="24"/>
        </w:rPr>
        <w:t xml:space="preserve"> and </w:t>
      </w:r>
      <w:r w:rsidR="003C763B">
        <w:rPr>
          <w:color w:val="000000" w:themeColor="text1"/>
          <w:szCs w:val="24"/>
        </w:rPr>
        <w:t>stopped attending treatment sessions in late 2004</w:t>
      </w:r>
      <w:r w:rsidR="00B27561">
        <w:rPr>
          <w:color w:val="000000" w:themeColor="text1"/>
          <w:szCs w:val="24"/>
        </w:rPr>
        <w:t>,</w:t>
      </w:r>
      <w:r w:rsidR="003C763B">
        <w:rPr>
          <w:color w:val="000000" w:themeColor="text1"/>
          <w:szCs w:val="24"/>
        </w:rPr>
        <w:t xml:space="preserve"> leading to disenrollment in Jan</w:t>
      </w:r>
      <w:r w:rsidR="00E31D06">
        <w:rPr>
          <w:color w:val="000000" w:themeColor="text1"/>
          <w:szCs w:val="24"/>
        </w:rPr>
        <w:t xml:space="preserve">uary </w:t>
      </w:r>
      <w:r w:rsidR="003C763B">
        <w:rPr>
          <w:color w:val="000000" w:themeColor="text1"/>
          <w:szCs w:val="24"/>
        </w:rPr>
        <w:t xml:space="preserve">2005.  The MEB psychiatric evaluation on 24 August 2005 noted that he had a significant improvement in his mood and </w:t>
      </w:r>
      <w:r w:rsidR="007812C5">
        <w:rPr>
          <w:color w:val="000000" w:themeColor="text1"/>
          <w:szCs w:val="24"/>
        </w:rPr>
        <w:t xml:space="preserve">that he </w:t>
      </w:r>
      <w:r w:rsidR="003C763B">
        <w:rPr>
          <w:color w:val="000000" w:themeColor="text1"/>
          <w:szCs w:val="24"/>
        </w:rPr>
        <w:t xml:space="preserve">denied depression or </w:t>
      </w:r>
      <w:proofErr w:type="spellStart"/>
      <w:r w:rsidR="003C763B">
        <w:rPr>
          <w:color w:val="000000" w:themeColor="text1"/>
          <w:szCs w:val="24"/>
        </w:rPr>
        <w:t>neuro</w:t>
      </w:r>
      <w:proofErr w:type="spellEnd"/>
      <w:r w:rsidR="00AE20F1">
        <w:rPr>
          <w:color w:val="000000" w:themeColor="text1"/>
          <w:szCs w:val="24"/>
        </w:rPr>
        <w:t>-</w:t>
      </w:r>
      <w:r w:rsidR="003C763B">
        <w:rPr>
          <w:color w:val="000000" w:themeColor="text1"/>
          <w:szCs w:val="24"/>
        </w:rPr>
        <w:t>vegetative signs.  He was thought to have to have had a major depressive disorder, in partial remission</w:t>
      </w:r>
      <w:r w:rsidR="007812C5">
        <w:rPr>
          <w:color w:val="000000" w:themeColor="text1"/>
          <w:szCs w:val="24"/>
        </w:rPr>
        <w:t>,</w:t>
      </w:r>
      <w:r w:rsidR="003C763B">
        <w:rPr>
          <w:color w:val="000000" w:themeColor="text1"/>
          <w:szCs w:val="24"/>
        </w:rPr>
        <w:t xml:space="preserve"> and was assigned a S3 profile.  A </w:t>
      </w:r>
      <w:r w:rsidR="004923E5">
        <w:rPr>
          <w:color w:val="000000" w:themeColor="text1"/>
          <w:szCs w:val="24"/>
        </w:rPr>
        <w:t>G</w:t>
      </w:r>
      <w:r w:rsidR="003C763B">
        <w:rPr>
          <w:color w:val="000000" w:themeColor="text1"/>
          <w:szCs w:val="24"/>
        </w:rPr>
        <w:t xml:space="preserve">lobal </w:t>
      </w:r>
      <w:r w:rsidR="004923E5">
        <w:rPr>
          <w:color w:val="000000" w:themeColor="text1"/>
          <w:szCs w:val="24"/>
        </w:rPr>
        <w:t>A</w:t>
      </w:r>
      <w:r w:rsidR="003C763B">
        <w:rPr>
          <w:color w:val="000000" w:themeColor="text1"/>
          <w:szCs w:val="24"/>
        </w:rPr>
        <w:t xml:space="preserve">ssessment of </w:t>
      </w:r>
      <w:r w:rsidR="004923E5">
        <w:rPr>
          <w:color w:val="000000" w:themeColor="text1"/>
          <w:szCs w:val="24"/>
        </w:rPr>
        <w:t>F</w:t>
      </w:r>
      <w:r w:rsidR="003C763B">
        <w:rPr>
          <w:color w:val="000000" w:themeColor="text1"/>
          <w:szCs w:val="24"/>
        </w:rPr>
        <w:t>unction</w:t>
      </w:r>
      <w:r w:rsidR="00B27561">
        <w:rPr>
          <w:color w:val="000000" w:themeColor="text1"/>
          <w:szCs w:val="24"/>
        </w:rPr>
        <w:t xml:space="preserve"> (GAF) </w:t>
      </w:r>
      <w:r w:rsidR="003C763B">
        <w:rPr>
          <w:color w:val="000000" w:themeColor="text1"/>
          <w:szCs w:val="24"/>
        </w:rPr>
        <w:t xml:space="preserve">score of 75 was assigned, </w:t>
      </w:r>
      <w:r w:rsidR="006275A6">
        <w:rPr>
          <w:color w:val="000000" w:themeColor="text1"/>
          <w:szCs w:val="24"/>
        </w:rPr>
        <w:t>consistent</w:t>
      </w:r>
      <w:r w:rsidR="003C763B">
        <w:rPr>
          <w:color w:val="000000" w:themeColor="text1"/>
          <w:szCs w:val="24"/>
        </w:rPr>
        <w:t xml:space="preserve"> with either transient symptoms or slight impairment of function.  No further treatment in mental health was deemed necessary.  At his next profile</w:t>
      </w:r>
      <w:r w:rsidR="006275A6">
        <w:rPr>
          <w:color w:val="000000" w:themeColor="text1"/>
          <w:szCs w:val="24"/>
        </w:rPr>
        <w:t xml:space="preserve"> on 21 September 2005, he was noted to be S1 and only profiled for </w:t>
      </w:r>
      <w:r w:rsidR="007812C5">
        <w:rPr>
          <w:color w:val="000000" w:themeColor="text1"/>
          <w:szCs w:val="24"/>
        </w:rPr>
        <w:t xml:space="preserve">his </w:t>
      </w:r>
      <w:r w:rsidR="006275A6">
        <w:rPr>
          <w:color w:val="000000" w:themeColor="text1"/>
          <w:szCs w:val="24"/>
        </w:rPr>
        <w:t>physical limitations</w:t>
      </w:r>
      <w:r w:rsidR="003C763B">
        <w:rPr>
          <w:color w:val="000000" w:themeColor="text1"/>
          <w:szCs w:val="24"/>
        </w:rPr>
        <w:t>.</w:t>
      </w:r>
      <w:r w:rsidR="006275A6">
        <w:rPr>
          <w:color w:val="000000" w:themeColor="text1"/>
          <w:szCs w:val="24"/>
        </w:rPr>
        <w:t xml:space="preserve">  </w:t>
      </w:r>
      <w:proofErr w:type="gramStart"/>
      <w:r w:rsidR="006275A6">
        <w:rPr>
          <w:color w:val="000000" w:themeColor="text1"/>
          <w:szCs w:val="24"/>
        </w:rPr>
        <w:t>The performance report which closed out 23 October 2005, three weeks prior to separation, recommended promotion ahead of his peers and described him as an “</w:t>
      </w:r>
      <w:r w:rsidR="002A3DE9">
        <w:rPr>
          <w:color w:val="000000" w:themeColor="text1"/>
          <w:szCs w:val="24"/>
        </w:rPr>
        <w:t>e</w:t>
      </w:r>
      <w:r w:rsidR="006275A6">
        <w:rPr>
          <w:color w:val="000000" w:themeColor="text1"/>
          <w:szCs w:val="24"/>
        </w:rPr>
        <w:t xml:space="preserve">lite </w:t>
      </w:r>
      <w:r w:rsidR="002A3DE9">
        <w:rPr>
          <w:color w:val="000000" w:themeColor="text1"/>
          <w:szCs w:val="24"/>
        </w:rPr>
        <w:t>a</w:t>
      </w:r>
      <w:r w:rsidR="006275A6">
        <w:rPr>
          <w:color w:val="000000" w:themeColor="text1"/>
          <w:szCs w:val="24"/>
        </w:rPr>
        <w:t>irman” and “</w:t>
      </w:r>
      <w:r w:rsidR="002A3DE9">
        <w:rPr>
          <w:color w:val="000000" w:themeColor="text1"/>
          <w:szCs w:val="24"/>
        </w:rPr>
        <w:t>t</w:t>
      </w:r>
      <w:r w:rsidR="006275A6">
        <w:rPr>
          <w:color w:val="000000" w:themeColor="text1"/>
          <w:szCs w:val="24"/>
        </w:rPr>
        <w:t xml:space="preserve">op </w:t>
      </w:r>
      <w:r w:rsidR="002A3DE9">
        <w:rPr>
          <w:color w:val="000000" w:themeColor="text1"/>
          <w:szCs w:val="24"/>
        </w:rPr>
        <w:t>p</w:t>
      </w:r>
      <w:r w:rsidR="006275A6">
        <w:rPr>
          <w:color w:val="000000" w:themeColor="text1"/>
          <w:szCs w:val="24"/>
        </w:rPr>
        <w:t>erformer</w:t>
      </w:r>
      <w:r w:rsidR="002A3DE9">
        <w:rPr>
          <w:color w:val="000000" w:themeColor="text1"/>
          <w:szCs w:val="24"/>
        </w:rPr>
        <w:t>.</w:t>
      </w:r>
      <w:r w:rsidR="006275A6">
        <w:rPr>
          <w:color w:val="000000" w:themeColor="text1"/>
          <w:szCs w:val="24"/>
        </w:rPr>
        <w:t>”</w:t>
      </w:r>
      <w:proofErr w:type="gramEnd"/>
      <w:r w:rsidR="00EE199F">
        <w:rPr>
          <w:color w:val="000000" w:themeColor="text1"/>
          <w:szCs w:val="24"/>
        </w:rPr>
        <w:t xml:space="preserve">  </w:t>
      </w:r>
      <w:r w:rsidR="006275A6">
        <w:rPr>
          <w:color w:val="000000" w:themeColor="text1"/>
          <w:szCs w:val="24"/>
        </w:rPr>
        <w:t xml:space="preserve">The Board acknowledges that the CI was still </w:t>
      </w:r>
      <w:r w:rsidR="00B27561">
        <w:rPr>
          <w:color w:val="000000" w:themeColor="text1"/>
          <w:szCs w:val="24"/>
        </w:rPr>
        <w:t>o</w:t>
      </w:r>
      <w:r w:rsidR="006275A6">
        <w:rPr>
          <w:color w:val="000000" w:themeColor="text1"/>
          <w:szCs w:val="24"/>
        </w:rPr>
        <w:t>n medications for the chronic pain issues, some of which are also used for depression</w:t>
      </w:r>
      <w:r w:rsidR="00FA6460">
        <w:rPr>
          <w:color w:val="000000" w:themeColor="text1"/>
          <w:szCs w:val="24"/>
        </w:rPr>
        <w:t>, and makes note of the significant problems he had from his depression four years after separation</w:t>
      </w:r>
      <w:r w:rsidR="006275A6">
        <w:rPr>
          <w:color w:val="000000" w:themeColor="text1"/>
          <w:szCs w:val="24"/>
        </w:rPr>
        <w:t xml:space="preserve">. </w:t>
      </w:r>
      <w:r w:rsidR="00EE199F">
        <w:rPr>
          <w:color w:val="000000" w:themeColor="text1"/>
          <w:szCs w:val="24"/>
        </w:rPr>
        <w:t xml:space="preserve"> </w:t>
      </w:r>
      <w:r w:rsidR="006275A6">
        <w:rPr>
          <w:color w:val="000000" w:themeColor="text1"/>
          <w:szCs w:val="24"/>
        </w:rPr>
        <w:t xml:space="preserve">However, the evidence does not support </w:t>
      </w:r>
      <w:r w:rsidR="00B27561">
        <w:rPr>
          <w:color w:val="000000" w:themeColor="text1"/>
          <w:szCs w:val="24"/>
        </w:rPr>
        <w:t>a contention of significant</w:t>
      </w:r>
      <w:r w:rsidR="006275A6">
        <w:rPr>
          <w:color w:val="000000" w:themeColor="text1"/>
          <w:szCs w:val="24"/>
        </w:rPr>
        <w:t xml:space="preserve"> duty impairment from his </w:t>
      </w:r>
      <w:r w:rsidR="00EE199F">
        <w:rPr>
          <w:color w:val="000000" w:themeColor="text1"/>
          <w:szCs w:val="24"/>
        </w:rPr>
        <w:t xml:space="preserve">mental </w:t>
      </w:r>
      <w:r w:rsidR="006275A6">
        <w:rPr>
          <w:color w:val="000000" w:themeColor="text1"/>
          <w:szCs w:val="24"/>
        </w:rPr>
        <w:t>health issues</w:t>
      </w:r>
      <w:r w:rsidR="00FA6460">
        <w:rPr>
          <w:color w:val="000000" w:themeColor="text1"/>
          <w:szCs w:val="24"/>
        </w:rPr>
        <w:t xml:space="preserve"> at the time of separation</w:t>
      </w:r>
      <w:r w:rsidR="006275A6">
        <w:rPr>
          <w:color w:val="000000" w:themeColor="text1"/>
          <w:szCs w:val="24"/>
        </w:rPr>
        <w:t>.</w:t>
      </w:r>
      <w:r w:rsidR="00A64886">
        <w:rPr>
          <w:color w:val="000000" w:themeColor="text1"/>
          <w:szCs w:val="24"/>
        </w:rPr>
        <w:t xml:space="preserve">  </w:t>
      </w:r>
      <w:r w:rsidR="006275A6">
        <w:rPr>
          <w:color w:val="000000" w:themeColor="text1"/>
          <w:szCs w:val="24"/>
        </w:rPr>
        <w:t xml:space="preserve">Rather, the record </w:t>
      </w:r>
      <w:r w:rsidR="000F3EF5">
        <w:rPr>
          <w:color w:val="000000" w:themeColor="text1"/>
          <w:szCs w:val="24"/>
        </w:rPr>
        <w:t xml:space="preserve">reflects </w:t>
      </w:r>
      <w:r w:rsidR="006275A6">
        <w:rPr>
          <w:color w:val="000000" w:themeColor="text1"/>
          <w:szCs w:val="24"/>
        </w:rPr>
        <w:t xml:space="preserve">superior </w:t>
      </w:r>
      <w:r w:rsidR="000F3EF5">
        <w:rPr>
          <w:color w:val="000000" w:themeColor="text1"/>
          <w:szCs w:val="24"/>
        </w:rPr>
        <w:t xml:space="preserve">duty </w:t>
      </w:r>
      <w:r w:rsidR="006275A6">
        <w:rPr>
          <w:color w:val="000000" w:themeColor="text1"/>
          <w:szCs w:val="24"/>
        </w:rPr>
        <w:t xml:space="preserve">performance despite the </w:t>
      </w:r>
      <w:r w:rsidR="00EE199F">
        <w:rPr>
          <w:color w:val="000000" w:themeColor="text1"/>
          <w:szCs w:val="24"/>
        </w:rPr>
        <w:t xml:space="preserve">presence of depression and generalized pain disorder.  </w:t>
      </w:r>
      <w:r w:rsidR="007812C5">
        <w:rPr>
          <w:color w:val="000000" w:themeColor="text1"/>
          <w:szCs w:val="24"/>
        </w:rPr>
        <w:t>Th</w:t>
      </w:r>
      <w:r w:rsidR="0040368C">
        <w:rPr>
          <w:color w:val="000000" w:themeColor="text1"/>
          <w:szCs w:val="24"/>
        </w:rPr>
        <w:t>e VA C&amp;P</w:t>
      </w:r>
      <w:r w:rsidR="00E31D06">
        <w:rPr>
          <w:color w:val="000000" w:themeColor="text1"/>
          <w:szCs w:val="24"/>
        </w:rPr>
        <w:t xml:space="preserve"> examination </w:t>
      </w:r>
      <w:r w:rsidR="0040368C">
        <w:rPr>
          <w:color w:val="000000" w:themeColor="text1"/>
          <w:szCs w:val="24"/>
        </w:rPr>
        <w:t>is nei</w:t>
      </w:r>
      <w:r w:rsidR="007812C5">
        <w:rPr>
          <w:color w:val="000000" w:themeColor="text1"/>
          <w:szCs w:val="24"/>
        </w:rPr>
        <w:t>t</w:t>
      </w:r>
      <w:r w:rsidR="0040368C">
        <w:rPr>
          <w:color w:val="000000" w:themeColor="text1"/>
          <w:szCs w:val="24"/>
        </w:rPr>
        <w:t>her</w:t>
      </w:r>
      <w:r w:rsidR="007812C5">
        <w:rPr>
          <w:color w:val="000000" w:themeColor="text1"/>
          <w:szCs w:val="24"/>
        </w:rPr>
        <w:t xml:space="preserve"> consistent with the degree of symptom</w:t>
      </w:r>
      <w:r w:rsidR="00EE199F">
        <w:rPr>
          <w:color w:val="000000" w:themeColor="text1"/>
          <w:szCs w:val="24"/>
        </w:rPr>
        <w:t>a</w:t>
      </w:r>
      <w:r w:rsidR="007812C5">
        <w:rPr>
          <w:color w:val="000000" w:themeColor="text1"/>
          <w:szCs w:val="24"/>
        </w:rPr>
        <w:t xml:space="preserve">tology documented by the MEB examiner nor </w:t>
      </w:r>
      <w:r w:rsidR="0040368C">
        <w:rPr>
          <w:color w:val="000000" w:themeColor="text1"/>
          <w:szCs w:val="24"/>
        </w:rPr>
        <w:t xml:space="preserve">the work performance seen </w:t>
      </w:r>
      <w:r w:rsidR="007812C5">
        <w:rPr>
          <w:color w:val="000000" w:themeColor="text1"/>
          <w:szCs w:val="24"/>
        </w:rPr>
        <w:t>by his supervisors.</w:t>
      </w:r>
      <w:r w:rsidR="00A64886">
        <w:rPr>
          <w:color w:val="000000" w:themeColor="text1"/>
          <w:szCs w:val="24"/>
        </w:rPr>
        <w:t xml:space="preserve">  </w:t>
      </w:r>
      <w:r w:rsidR="007704CA" w:rsidRPr="00A64886">
        <w:rPr>
          <w:color w:val="000000" w:themeColor="text1"/>
          <w:szCs w:val="24"/>
        </w:rPr>
        <w:t xml:space="preserve">Although not </w:t>
      </w:r>
      <w:r w:rsidR="00EE199F" w:rsidRPr="00A64886">
        <w:rPr>
          <w:color w:val="000000" w:themeColor="text1"/>
          <w:szCs w:val="24"/>
        </w:rPr>
        <w:t xml:space="preserve">a diagnosis referred to </w:t>
      </w:r>
      <w:r w:rsidR="007704CA" w:rsidRPr="00A64886">
        <w:rPr>
          <w:color w:val="000000" w:themeColor="text1"/>
          <w:szCs w:val="24"/>
        </w:rPr>
        <w:t xml:space="preserve">the PEB, the Board discussed </w:t>
      </w:r>
      <w:r w:rsidR="00EE199F" w:rsidRPr="00A64886">
        <w:rPr>
          <w:color w:val="000000" w:themeColor="text1"/>
          <w:szCs w:val="24"/>
        </w:rPr>
        <w:t xml:space="preserve">the </w:t>
      </w:r>
      <w:r w:rsidR="00A64886" w:rsidRPr="00A64886">
        <w:rPr>
          <w:color w:val="000000" w:themeColor="text1"/>
          <w:szCs w:val="24"/>
        </w:rPr>
        <w:t xml:space="preserve">possible </w:t>
      </w:r>
      <w:r w:rsidR="00EE199F" w:rsidRPr="00A64886">
        <w:rPr>
          <w:color w:val="000000" w:themeColor="text1"/>
          <w:szCs w:val="24"/>
        </w:rPr>
        <w:t xml:space="preserve">diagnosis of fibromyalgia and the generalized symptoms.  The Board concluded the generalized symptoms were </w:t>
      </w:r>
      <w:r w:rsidR="00A64886" w:rsidRPr="00A64886">
        <w:rPr>
          <w:color w:val="000000" w:themeColor="text1"/>
          <w:szCs w:val="24"/>
        </w:rPr>
        <w:t xml:space="preserve">appropriately included and </w:t>
      </w:r>
      <w:r w:rsidR="00EE199F" w:rsidRPr="00A64886">
        <w:rPr>
          <w:color w:val="000000" w:themeColor="text1"/>
          <w:szCs w:val="24"/>
        </w:rPr>
        <w:t>considered</w:t>
      </w:r>
      <w:r w:rsidR="00A64886" w:rsidRPr="00A64886">
        <w:rPr>
          <w:color w:val="000000" w:themeColor="text1"/>
          <w:szCs w:val="24"/>
        </w:rPr>
        <w:t xml:space="preserve"> with the depression and pain disorder diagnoses on the Axis I diagnosis.  </w:t>
      </w:r>
      <w:r w:rsidR="006275A6" w:rsidRPr="00993EA9">
        <w:rPr>
          <w:color w:val="000000" w:themeColor="text1"/>
          <w:szCs w:val="24"/>
        </w:rPr>
        <w:t>All evidence considered</w:t>
      </w:r>
      <w:proofErr w:type="gramStart"/>
      <w:r w:rsidR="006275A6" w:rsidRPr="00993EA9">
        <w:rPr>
          <w:color w:val="000000" w:themeColor="text1"/>
          <w:szCs w:val="24"/>
        </w:rPr>
        <w:t>,</w:t>
      </w:r>
      <w:proofErr w:type="gramEnd"/>
      <w:r w:rsidR="006275A6" w:rsidRPr="00993EA9">
        <w:rPr>
          <w:color w:val="000000" w:themeColor="text1"/>
          <w:szCs w:val="24"/>
        </w:rPr>
        <w:t xml:space="preserve"> there is not reasonable doubt in the CI’s favor supporting the addition of depression as a separately unfitting condition</w:t>
      </w:r>
      <w:r w:rsidR="00993EA9">
        <w:rPr>
          <w:color w:val="000000" w:themeColor="text1"/>
          <w:szCs w:val="24"/>
        </w:rPr>
        <w:t>.</w:t>
      </w:r>
    </w:p>
    <w:p w:rsidR="003025D5" w:rsidRPr="003025D5" w:rsidRDefault="003025D5" w:rsidP="003025D5">
      <w:pPr>
        <w:jc w:val="both"/>
        <w:rPr>
          <w:rFonts w:eastAsia="HiddenHorzOCR"/>
          <w:b/>
          <w:color w:val="000000" w:themeColor="text1"/>
          <w:szCs w:val="24"/>
          <w:u w:val="single"/>
        </w:rPr>
      </w:pPr>
      <w:r>
        <w:rPr>
          <w:rFonts w:eastAsia="HiddenHorzOCR"/>
          <w:b/>
          <w:color w:val="000000" w:themeColor="text1"/>
          <w:szCs w:val="24"/>
          <w:u w:val="single"/>
        </w:rPr>
        <w:t>______________________________________________________________________________</w:t>
      </w:r>
    </w:p>
    <w:p w:rsidR="003025D5" w:rsidRDefault="003025D5" w:rsidP="003025D5">
      <w:pPr>
        <w:jc w:val="both"/>
        <w:rPr>
          <w:rFonts w:eastAsia="HiddenHorzOCR"/>
          <w:color w:val="000000" w:themeColor="text1"/>
          <w:szCs w:val="24"/>
          <w:u w:val="single"/>
        </w:rPr>
      </w:pPr>
    </w:p>
    <w:p w:rsidR="003025D5" w:rsidRDefault="003025D5" w:rsidP="009B57BA">
      <w:pPr>
        <w:jc w:val="both"/>
        <w:rPr>
          <w:color w:val="000000" w:themeColor="text1"/>
          <w:szCs w:val="24"/>
        </w:rPr>
      </w:pPr>
      <w:proofErr w:type="gramStart"/>
      <w:r w:rsidRPr="00DD7EBD">
        <w:rPr>
          <w:rFonts w:eastAsia="HiddenHorzOCR"/>
          <w:color w:val="000000" w:themeColor="text1"/>
          <w:szCs w:val="24"/>
          <w:u w:val="single"/>
        </w:rPr>
        <w:t>Other PEB Conditions</w:t>
      </w:r>
      <w:r w:rsidRPr="00DD7EBD">
        <w:rPr>
          <w:rFonts w:eastAsia="HiddenHorzOCR"/>
          <w:color w:val="000000" w:themeColor="text1"/>
          <w:szCs w:val="24"/>
        </w:rPr>
        <w:t>.</w:t>
      </w:r>
      <w:proofErr w:type="gramEnd"/>
      <w:r w:rsidRPr="00DD7EBD">
        <w:rPr>
          <w:rFonts w:eastAsia="HiddenHorzOCR"/>
          <w:color w:val="000000" w:themeColor="text1"/>
          <w:szCs w:val="24"/>
        </w:rPr>
        <w:t xml:space="preserve">  </w:t>
      </w:r>
      <w:r w:rsidRPr="00DD7EBD">
        <w:rPr>
          <w:color w:val="000000" w:themeColor="text1"/>
          <w:szCs w:val="24"/>
        </w:rPr>
        <w:t>The other conditions forwarded by the MEB and adjudicated as not unfitting by the PEB were the following: chondromalacia, gastroesophageal reflux disease (GERD), seasonal allergic rhinitis (SAR), headaches, obesity, and narcotic dependence.  With the exception of the chondromalacia condition, the</w:t>
      </w:r>
      <w:r w:rsidR="0040368C">
        <w:rPr>
          <w:color w:val="000000" w:themeColor="text1"/>
          <w:szCs w:val="24"/>
        </w:rPr>
        <w:t>se</w:t>
      </w:r>
      <w:r w:rsidRPr="00DD7EBD">
        <w:rPr>
          <w:color w:val="000000" w:themeColor="text1"/>
          <w:szCs w:val="24"/>
        </w:rPr>
        <w:t xml:space="preserve"> conditions were not profiled, implicated in the commander’s statement or noted as failing retention standa</w:t>
      </w:r>
      <w:r w:rsidR="00D35589">
        <w:rPr>
          <w:color w:val="000000" w:themeColor="text1"/>
          <w:szCs w:val="24"/>
        </w:rPr>
        <w:t>rds</w:t>
      </w:r>
      <w:r w:rsidRPr="00DD7EBD">
        <w:rPr>
          <w:color w:val="000000" w:themeColor="text1"/>
          <w:szCs w:val="24"/>
        </w:rPr>
        <w:t xml:space="preserve">.  </w:t>
      </w:r>
    </w:p>
    <w:p w:rsidR="002A3DE9" w:rsidRPr="00DD7EBD" w:rsidRDefault="002A3DE9" w:rsidP="009B57BA">
      <w:pPr>
        <w:jc w:val="both"/>
        <w:rPr>
          <w:color w:val="000000" w:themeColor="text1"/>
          <w:szCs w:val="24"/>
          <w:u w:val="single"/>
        </w:rPr>
      </w:pPr>
    </w:p>
    <w:p w:rsidR="00B2299F" w:rsidRDefault="003F2EEE" w:rsidP="004923E5">
      <w:pPr>
        <w:jc w:val="both"/>
        <w:rPr>
          <w:color w:val="auto"/>
          <w:szCs w:val="24"/>
        </w:rPr>
      </w:pPr>
      <w:proofErr w:type="gramStart"/>
      <w:r w:rsidRPr="00DD7EBD">
        <w:rPr>
          <w:color w:val="000000" w:themeColor="text1"/>
          <w:szCs w:val="24"/>
          <w:u w:val="single"/>
        </w:rPr>
        <w:t xml:space="preserve">Right </w:t>
      </w:r>
      <w:r w:rsidR="0080588E" w:rsidRPr="00DD7EBD">
        <w:rPr>
          <w:color w:val="000000" w:themeColor="text1"/>
          <w:szCs w:val="24"/>
          <w:u w:val="single"/>
        </w:rPr>
        <w:t xml:space="preserve">Knee </w:t>
      </w:r>
      <w:proofErr w:type="spellStart"/>
      <w:r w:rsidR="002902AA" w:rsidRPr="00DD7EBD">
        <w:rPr>
          <w:color w:val="000000" w:themeColor="text1"/>
          <w:szCs w:val="24"/>
          <w:u w:val="single"/>
        </w:rPr>
        <w:t>Chondromalacia</w:t>
      </w:r>
      <w:proofErr w:type="spellEnd"/>
      <w:r w:rsidR="002902AA" w:rsidRPr="00DD7EBD">
        <w:rPr>
          <w:color w:val="000000" w:themeColor="text1"/>
          <w:szCs w:val="24"/>
          <w:u w:val="single"/>
        </w:rPr>
        <w:t xml:space="preserve"> </w:t>
      </w:r>
      <w:r w:rsidRPr="00DD7EBD">
        <w:rPr>
          <w:color w:val="000000" w:themeColor="text1"/>
          <w:szCs w:val="24"/>
          <w:u w:val="single"/>
        </w:rPr>
        <w:t>Condition</w:t>
      </w:r>
      <w:r w:rsidRPr="00DD7EBD">
        <w:rPr>
          <w:color w:val="000000" w:themeColor="text1"/>
          <w:szCs w:val="24"/>
        </w:rPr>
        <w:t>.</w:t>
      </w:r>
      <w:proofErr w:type="gramEnd"/>
      <w:r w:rsidRPr="00DD7EBD">
        <w:rPr>
          <w:color w:val="000000" w:themeColor="text1"/>
          <w:szCs w:val="24"/>
        </w:rPr>
        <w:t xml:space="preserve"> </w:t>
      </w:r>
      <w:r w:rsidR="0040368C">
        <w:rPr>
          <w:color w:val="000000" w:themeColor="text1"/>
          <w:szCs w:val="24"/>
        </w:rPr>
        <w:t xml:space="preserve"> </w:t>
      </w:r>
      <w:r w:rsidR="002902AA" w:rsidRPr="00DD7EBD">
        <w:rPr>
          <w:color w:val="auto"/>
          <w:szCs w:val="24"/>
        </w:rPr>
        <w:t>The PEB adjudicated this as a category II condition.</w:t>
      </w:r>
      <w:r w:rsidR="00DD7EBD" w:rsidRPr="00DD7EBD">
        <w:rPr>
          <w:color w:val="auto"/>
          <w:szCs w:val="24"/>
        </w:rPr>
        <w:t xml:space="preserve">  The CI had a successful debridement of </w:t>
      </w:r>
      <w:proofErr w:type="spellStart"/>
      <w:r w:rsidR="00DD7EBD" w:rsidRPr="00DD7EBD">
        <w:rPr>
          <w:color w:val="auto"/>
          <w:szCs w:val="24"/>
        </w:rPr>
        <w:t>plica</w:t>
      </w:r>
      <w:proofErr w:type="spellEnd"/>
      <w:r w:rsidR="00DD7EBD" w:rsidRPr="00DD7EBD">
        <w:rPr>
          <w:color w:val="auto"/>
          <w:szCs w:val="24"/>
        </w:rPr>
        <w:t xml:space="preserve"> and the anterior medial meniscus of the right knee in early 2004.  The CI </w:t>
      </w:r>
      <w:r w:rsidR="007812C5">
        <w:rPr>
          <w:color w:val="auto"/>
          <w:szCs w:val="24"/>
        </w:rPr>
        <w:t>re</w:t>
      </w:r>
      <w:r w:rsidR="007812C5" w:rsidRPr="00DD7EBD">
        <w:rPr>
          <w:color w:val="auto"/>
          <w:szCs w:val="24"/>
        </w:rPr>
        <w:t>injured</w:t>
      </w:r>
      <w:r w:rsidR="00DD7EBD" w:rsidRPr="00DD7EBD">
        <w:rPr>
          <w:color w:val="auto"/>
          <w:szCs w:val="24"/>
        </w:rPr>
        <w:t xml:space="preserve"> the knee several times, but responded well to conservative management.  </w:t>
      </w:r>
      <w:r w:rsidR="002902AA" w:rsidRPr="00DD7EBD">
        <w:rPr>
          <w:color w:val="auto"/>
          <w:szCs w:val="24"/>
        </w:rPr>
        <w:t xml:space="preserve">The Board notes that the CI had an antalgic gait and utilized a cane.  However, these findings </w:t>
      </w:r>
      <w:r w:rsidR="00DD7EBD" w:rsidRPr="00DD7EBD">
        <w:rPr>
          <w:color w:val="auto"/>
          <w:szCs w:val="24"/>
        </w:rPr>
        <w:t>have</w:t>
      </w:r>
      <w:r w:rsidR="002902AA" w:rsidRPr="00DD7EBD">
        <w:rPr>
          <w:color w:val="auto"/>
          <w:szCs w:val="24"/>
        </w:rPr>
        <w:t xml:space="preserve"> already been attributed to the </w:t>
      </w:r>
      <w:r w:rsidR="00C14FDA">
        <w:rPr>
          <w:color w:val="auto"/>
          <w:szCs w:val="24"/>
        </w:rPr>
        <w:t>RSD</w:t>
      </w:r>
      <w:r w:rsidR="002902AA" w:rsidRPr="00DD7EBD">
        <w:rPr>
          <w:color w:val="auto"/>
          <w:szCs w:val="24"/>
        </w:rPr>
        <w:t xml:space="preserve"> condition and utilized in its rating</w:t>
      </w:r>
      <w:r w:rsidR="0040368C">
        <w:rPr>
          <w:color w:val="auto"/>
          <w:szCs w:val="24"/>
        </w:rPr>
        <w:t xml:space="preserve"> and cannot be used for a separate condition IAW </w:t>
      </w:r>
      <w:r w:rsidR="0040368C" w:rsidRPr="008B710C">
        <w:rPr>
          <w:color w:val="auto"/>
          <w:szCs w:val="24"/>
        </w:rPr>
        <w:t xml:space="preserve">VASRD </w:t>
      </w:r>
      <w:r w:rsidR="008B710C" w:rsidRPr="008B710C">
        <w:rPr>
          <w:color w:val="auto"/>
          <w:szCs w:val="24"/>
        </w:rPr>
        <w:t>§</w:t>
      </w:r>
      <w:r w:rsidR="0040368C" w:rsidRPr="008B710C">
        <w:rPr>
          <w:color w:val="auto"/>
          <w:szCs w:val="24"/>
        </w:rPr>
        <w:t>4.14</w:t>
      </w:r>
      <w:r w:rsidR="008B710C">
        <w:rPr>
          <w:color w:val="auto"/>
          <w:szCs w:val="24"/>
        </w:rPr>
        <w:t xml:space="preserve"> (avoidance of p</w:t>
      </w:r>
      <w:r w:rsidR="00E31D06">
        <w:rPr>
          <w:color w:val="auto"/>
          <w:szCs w:val="24"/>
        </w:rPr>
        <w:t>yra</w:t>
      </w:r>
      <w:r w:rsidR="008B710C">
        <w:rPr>
          <w:color w:val="auto"/>
          <w:szCs w:val="24"/>
        </w:rPr>
        <w:t>miding)</w:t>
      </w:r>
      <w:r w:rsidR="002902AA" w:rsidRPr="00DD7EBD">
        <w:rPr>
          <w:color w:val="auto"/>
          <w:szCs w:val="24"/>
        </w:rPr>
        <w:t xml:space="preserve">.  </w:t>
      </w:r>
      <w:r w:rsidR="007812C5">
        <w:rPr>
          <w:color w:val="auto"/>
          <w:szCs w:val="24"/>
        </w:rPr>
        <w:t>W</w:t>
      </w:r>
      <w:r w:rsidR="002902AA" w:rsidRPr="00DD7EBD">
        <w:rPr>
          <w:color w:val="auto"/>
          <w:szCs w:val="24"/>
        </w:rPr>
        <w:t xml:space="preserve">hile the CI was seen on a regular basis for the chronic pain from the </w:t>
      </w:r>
      <w:r w:rsidR="00C14FDA">
        <w:rPr>
          <w:color w:val="auto"/>
          <w:szCs w:val="24"/>
        </w:rPr>
        <w:t>RSD</w:t>
      </w:r>
      <w:r w:rsidR="002902AA" w:rsidRPr="00DD7EBD">
        <w:rPr>
          <w:color w:val="auto"/>
          <w:szCs w:val="24"/>
        </w:rPr>
        <w:t xml:space="preserve">, the last visit for the right knee </w:t>
      </w:r>
      <w:r w:rsidR="00DD7EBD" w:rsidRPr="00DD7EBD">
        <w:rPr>
          <w:color w:val="auto"/>
          <w:szCs w:val="24"/>
        </w:rPr>
        <w:t xml:space="preserve">independent of the </w:t>
      </w:r>
      <w:r w:rsidR="00C14FDA">
        <w:rPr>
          <w:color w:val="auto"/>
          <w:szCs w:val="24"/>
        </w:rPr>
        <w:t>RSD</w:t>
      </w:r>
      <w:r w:rsidR="00DD7EBD" w:rsidRPr="00DD7EBD">
        <w:rPr>
          <w:color w:val="auto"/>
          <w:szCs w:val="24"/>
        </w:rPr>
        <w:t xml:space="preserve"> </w:t>
      </w:r>
      <w:r w:rsidR="002902AA" w:rsidRPr="00DD7EBD">
        <w:rPr>
          <w:color w:val="auto"/>
          <w:szCs w:val="24"/>
        </w:rPr>
        <w:t xml:space="preserve">was over one </w:t>
      </w:r>
      <w:r w:rsidR="003025D5" w:rsidRPr="00DD7EBD">
        <w:rPr>
          <w:color w:val="auto"/>
          <w:szCs w:val="24"/>
        </w:rPr>
        <w:t>year prior to separation.  An o</w:t>
      </w:r>
      <w:r w:rsidR="002902AA" w:rsidRPr="00DD7EBD">
        <w:rPr>
          <w:color w:val="auto"/>
          <w:szCs w:val="24"/>
        </w:rPr>
        <w:t>rthopedic exam was normal</w:t>
      </w:r>
      <w:r w:rsidR="008B710C">
        <w:rPr>
          <w:color w:val="auto"/>
          <w:szCs w:val="24"/>
        </w:rPr>
        <w:t xml:space="preserve">.  There was </w:t>
      </w:r>
      <w:r w:rsidR="002902AA" w:rsidRPr="00DD7EBD">
        <w:rPr>
          <w:color w:val="auto"/>
          <w:szCs w:val="24"/>
        </w:rPr>
        <w:t>no effusion or erythema, range of motion</w:t>
      </w:r>
      <w:r w:rsidR="008B710C" w:rsidRPr="008B710C">
        <w:rPr>
          <w:color w:val="auto"/>
          <w:szCs w:val="24"/>
        </w:rPr>
        <w:t xml:space="preserve"> </w:t>
      </w:r>
      <w:r w:rsidR="008B710C" w:rsidRPr="00DD7EBD">
        <w:rPr>
          <w:color w:val="auto"/>
          <w:szCs w:val="24"/>
        </w:rPr>
        <w:t>full</w:t>
      </w:r>
      <w:r w:rsidR="002902AA" w:rsidRPr="00DD7EBD">
        <w:rPr>
          <w:color w:val="auto"/>
          <w:szCs w:val="24"/>
        </w:rPr>
        <w:t xml:space="preserve">, focal tenderness </w:t>
      </w:r>
      <w:r w:rsidR="008B710C">
        <w:rPr>
          <w:color w:val="auto"/>
          <w:szCs w:val="24"/>
        </w:rPr>
        <w:t xml:space="preserve">absent </w:t>
      </w:r>
      <w:r w:rsidR="002902AA" w:rsidRPr="00DD7EBD">
        <w:rPr>
          <w:color w:val="auto"/>
          <w:szCs w:val="24"/>
        </w:rPr>
        <w:t>(but with global pain over the knee to movement)</w:t>
      </w:r>
      <w:proofErr w:type="gramStart"/>
      <w:r w:rsidR="002902AA" w:rsidRPr="00DD7EBD">
        <w:rPr>
          <w:color w:val="auto"/>
          <w:szCs w:val="24"/>
        </w:rPr>
        <w:t>,</w:t>
      </w:r>
      <w:proofErr w:type="gramEnd"/>
      <w:r w:rsidR="002902AA" w:rsidRPr="00DD7EBD">
        <w:rPr>
          <w:color w:val="auto"/>
          <w:szCs w:val="24"/>
        </w:rPr>
        <w:t xml:space="preserve"> ligaments were stable and McMurray negative.  Imaging including plain films, MRI and bone scan was significant only for expected post-operative changes.  </w:t>
      </w:r>
      <w:r w:rsidR="00543BD5">
        <w:rPr>
          <w:color w:val="auto"/>
          <w:szCs w:val="24"/>
        </w:rPr>
        <w:t xml:space="preserve">The MEB exam noted normal range of motion.  </w:t>
      </w:r>
    </w:p>
    <w:p w:rsidR="002A3DE9" w:rsidRDefault="002A3DE9" w:rsidP="009B57BA">
      <w:pPr>
        <w:ind w:firstLine="720"/>
        <w:jc w:val="both"/>
        <w:rPr>
          <w:color w:val="auto"/>
          <w:szCs w:val="24"/>
        </w:rPr>
      </w:pPr>
    </w:p>
    <w:p w:rsidR="002A3DE9" w:rsidRDefault="002A3DE9" w:rsidP="009B57BA">
      <w:pPr>
        <w:ind w:firstLine="720"/>
        <w:jc w:val="both"/>
        <w:rPr>
          <w:color w:val="auto"/>
          <w:szCs w:val="24"/>
        </w:rPr>
      </w:pPr>
    </w:p>
    <w:p w:rsidR="003025D5" w:rsidRPr="00DD7EBD" w:rsidRDefault="003025D5" w:rsidP="004923E5">
      <w:pPr>
        <w:jc w:val="both"/>
        <w:rPr>
          <w:rFonts w:asciiTheme="minorHAnsi" w:hAnsiTheme="minorHAnsi" w:cs="Times New Roman"/>
          <w:color w:val="auto"/>
          <w:szCs w:val="24"/>
        </w:rPr>
      </w:pPr>
      <w:proofErr w:type="gramStart"/>
      <w:r w:rsidRPr="00DD7EBD">
        <w:rPr>
          <w:rFonts w:asciiTheme="minorHAnsi" w:hAnsiTheme="minorHAnsi" w:cs="Times New Roman"/>
          <w:color w:val="auto"/>
          <w:szCs w:val="24"/>
          <w:u w:val="single"/>
        </w:rPr>
        <w:lastRenderedPageBreak/>
        <w:t>GERD</w:t>
      </w:r>
      <w:r w:rsidRPr="00DD7EBD">
        <w:rPr>
          <w:rFonts w:asciiTheme="minorHAnsi" w:hAnsiTheme="minorHAnsi" w:cs="Times New Roman"/>
          <w:color w:val="auto"/>
          <w:szCs w:val="24"/>
        </w:rPr>
        <w:t>.</w:t>
      </w:r>
      <w:proofErr w:type="gramEnd"/>
      <w:r w:rsidRPr="00DD7EBD">
        <w:rPr>
          <w:rFonts w:asciiTheme="minorHAnsi" w:hAnsiTheme="minorHAnsi" w:cs="Times New Roman"/>
          <w:color w:val="auto"/>
          <w:szCs w:val="24"/>
        </w:rPr>
        <w:t xml:space="preserve">  The Board notes that the CI was diagnosed with GERD one year prior to separation.  Two months prior to separation, he presented for evaluation of a possible gastrointestinal bleed.  Colonoscopy and esophageal gastro-</w:t>
      </w:r>
      <w:proofErr w:type="spellStart"/>
      <w:r w:rsidRPr="00DD7EBD">
        <w:rPr>
          <w:rFonts w:asciiTheme="minorHAnsi" w:hAnsiTheme="minorHAnsi" w:cs="Times New Roman"/>
          <w:color w:val="auto"/>
          <w:szCs w:val="24"/>
        </w:rPr>
        <w:t>duodenoscopy</w:t>
      </w:r>
      <w:proofErr w:type="spellEnd"/>
      <w:r w:rsidRPr="00DD7EBD">
        <w:rPr>
          <w:rFonts w:asciiTheme="minorHAnsi" w:hAnsiTheme="minorHAnsi" w:cs="Times New Roman"/>
          <w:color w:val="auto"/>
          <w:szCs w:val="24"/>
        </w:rPr>
        <w:t xml:space="preserve"> were unremarkable except for mild duodenitis.  He was advised to continue his </w:t>
      </w:r>
      <w:r w:rsidR="007812C5" w:rsidRPr="00DD7EBD">
        <w:rPr>
          <w:rFonts w:asciiTheme="minorHAnsi" w:hAnsiTheme="minorHAnsi" w:cs="Times New Roman"/>
          <w:color w:val="auto"/>
          <w:szCs w:val="24"/>
        </w:rPr>
        <w:t>medications</w:t>
      </w:r>
      <w:r w:rsidR="007812C5">
        <w:rPr>
          <w:rFonts w:asciiTheme="minorHAnsi" w:hAnsiTheme="minorHAnsi" w:cs="Times New Roman"/>
          <w:color w:val="auto"/>
          <w:szCs w:val="24"/>
        </w:rPr>
        <w:t xml:space="preserve">; </w:t>
      </w:r>
      <w:r w:rsidRPr="00DD7EBD">
        <w:rPr>
          <w:rFonts w:asciiTheme="minorHAnsi" w:hAnsiTheme="minorHAnsi" w:cs="Times New Roman"/>
          <w:color w:val="auto"/>
          <w:szCs w:val="24"/>
        </w:rPr>
        <w:t>no duty restrictions</w:t>
      </w:r>
      <w:r w:rsidR="007812C5">
        <w:rPr>
          <w:rFonts w:asciiTheme="minorHAnsi" w:hAnsiTheme="minorHAnsi" w:cs="Times New Roman"/>
          <w:color w:val="auto"/>
          <w:szCs w:val="24"/>
        </w:rPr>
        <w:t xml:space="preserve"> were given</w:t>
      </w:r>
      <w:r w:rsidRPr="00DD7EBD">
        <w:rPr>
          <w:rFonts w:asciiTheme="minorHAnsi" w:hAnsiTheme="minorHAnsi" w:cs="Times New Roman"/>
          <w:color w:val="auto"/>
          <w:szCs w:val="24"/>
        </w:rPr>
        <w:t>.</w:t>
      </w:r>
    </w:p>
    <w:p w:rsidR="004923E5" w:rsidRDefault="004923E5" w:rsidP="004923E5">
      <w:pPr>
        <w:jc w:val="both"/>
        <w:rPr>
          <w:rFonts w:asciiTheme="minorHAnsi" w:hAnsiTheme="minorHAnsi" w:cs="Times New Roman"/>
          <w:color w:val="auto"/>
          <w:szCs w:val="24"/>
          <w:u w:val="single"/>
        </w:rPr>
      </w:pPr>
    </w:p>
    <w:p w:rsidR="003025D5" w:rsidRDefault="003025D5" w:rsidP="004923E5">
      <w:pPr>
        <w:jc w:val="both"/>
        <w:rPr>
          <w:rFonts w:asciiTheme="minorHAnsi" w:hAnsiTheme="minorHAnsi" w:cs="Times New Roman"/>
          <w:color w:val="auto"/>
          <w:szCs w:val="24"/>
        </w:rPr>
      </w:pPr>
      <w:proofErr w:type="gramStart"/>
      <w:r w:rsidRPr="00DD7EBD">
        <w:rPr>
          <w:rFonts w:asciiTheme="minorHAnsi" w:hAnsiTheme="minorHAnsi" w:cs="Times New Roman"/>
          <w:color w:val="auto"/>
          <w:szCs w:val="24"/>
          <w:u w:val="single"/>
        </w:rPr>
        <w:t>SAR</w:t>
      </w:r>
      <w:r w:rsidRPr="00DD7EBD">
        <w:rPr>
          <w:rFonts w:asciiTheme="minorHAnsi" w:hAnsiTheme="minorHAnsi" w:cs="Times New Roman"/>
          <w:color w:val="auto"/>
          <w:szCs w:val="24"/>
        </w:rPr>
        <w:t>.</w:t>
      </w:r>
      <w:proofErr w:type="gramEnd"/>
      <w:r w:rsidRPr="00DD7EBD">
        <w:rPr>
          <w:rFonts w:asciiTheme="minorHAnsi" w:hAnsiTheme="minorHAnsi" w:cs="Times New Roman"/>
          <w:color w:val="auto"/>
          <w:szCs w:val="24"/>
        </w:rPr>
        <w:t xml:space="preserve">  SAR was noted on the MEB summary, but was not found elsewhere in the medical record.  There is no evidence of duty impairment </w:t>
      </w:r>
      <w:r w:rsidR="007812C5">
        <w:rPr>
          <w:rFonts w:asciiTheme="minorHAnsi" w:hAnsiTheme="minorHAnsi" w:cs="Times New Roman"/>
          <w:color w:val="auto"/>
          <w:szCs w:val="24"/>
        </w:rPr>
        <w:t xml:space="preserve">from or even medical care for </w:t>
      </w:r>
      <w:r w:rsidRPr="00DD7EBD">
        <w:rPr>
          <w:rFonts w:asciiTheme="minorHAnsi" w:hAnsiTheme="minorHAnsi" w:cs="Times New Roman"/>
          <w:color w:val="auto"/>
          <w:szCs w:val="24"/>
        </w:rPr>
        <w:t>this condition.</w:t>
      </w:r>
    </w:p>
    <w:p w:rsidR="004923E5" w:rsidRDefault="004923E5" w:rsidP="004923E5">
      <w:pPr>
        <w:jc w:val="both"/>
        <w:rPr>
          <w:rFonts w:asciiTheme="minorHAnsi" w:hAnsiTheme="minorHAnsi" w:cs="Times New Roman"/>
          <w:color w:val="auto"/>
          <w:szCs w:val="24"/>
        </w:rPr>
      </w:pPr>
    </w:p>
    <w:p w:rsidR="003025D5" w:rsidRPr="00DD7EBD" w:rsidRDefault="003025D5" w:rsidP="004923E5">
      <w:pPr>
        <w:jc w:val="both"/>
        <w:rPr>
          <w:rFonts w:asciiTheme="minorHAnsi" w:hAnsiTheme="minorHAnsi" w:cs="Times New Roman"/>
          <w:color w:val="auto"/>
          <w:szCs w:val="24"/>
        </w:rPr>
      </w:pPr>
      <w:proofErr w:type="gramStart"/>
      <w:r w:rsidRPr="007812C5">
        <w:rPr>
          <w:rFonts w:asciiTheme="minorHAnsi" w:hAnsiTheme="minorHAnsi" w:cs="Times New Roman"/>
          <w:color w:val="auto"/>
          <w:szCs w:val="24"/>
          <w:u w:val="single"/>
        </w:rPr>
        <w:t>Headaches</w:t>
      </w:r>
      <w:r w:rsidRPr="00DD7EBD">
        <w:rPr>
          <w:rFonts w:asciiTheme="minorHAnsi" w:hAnsiTheme="minorHAnsi" w:cs="Times New Roman"/>
          <w:color w:val="auto"/>
          <w:szCs w:val="24"/>
        </w:rPr>
        <w:t>.</w:t>
      </w:r>
      <w:proofErr w:type="gramEnd"/>
      <w:r w:rsidR="005F2DC3" w:rsidRPr="00DD7EBD">
        <w:rPr>
          <w:rFonts w:asciiTheme="minorHAnsi" w:hAnsiTheme="minorHAnsi" w:cs="Times New Roman"/>
          <w:color w:val="auto"/>
          <w:szCs w:val="24"/>
        </w:rPr>
        <w:t xml:space="preserve">  The CI was given diagnoses of occipital neuralgia, tension headaches, migraines and cluster headaches during various visits.  There is no record of the CI leaving work secondary to a headache.  He was </w:t>
      </w:r>
      <w:r w:rsidR="007812C5">
        <w:rPr>
          <w:rFonts w:asciiTheme="minorHAnsi" w:hAnsiTheme="minorHAnsi" w:cs="Times New Roman"/>
          <w:color w:val="auto"/>
          <w:szCs w:val="24"/>
        </w:rPr>
        <w:t xml:space="preserve">seen in the emergency room twice.  The second time was during duty hours and he was </w:t>
      </w:r>
      <w:r w:rsidR="005F2DC3" w:rsidRPr="00DD7EBD">
        <w:rPr>
          <w:rFonts w:asciiTheme="minorHAnsi" w:hAnsiTheme="minorHAnsi" w:cs="Times New Roman"/>
          <w:color w:val="auto"/>
          <w:szCs w:val="24"/>
        </w:rPr>
        <w:t>sent home on 24 hour quarters</w:t>
      </w:r>
      <w:r w:rsidR="00117B90">
        <w:rPr>
          <w:rFonts w:asciiTheme="minorHAnsi" w:hAnsiTheme="minorHAnsi" w:cs="Times New Roman"/>
          <w:color w:val="auto"/>
          <w:szCs w:val="24"/>
        </w:rPr>
        <w:t xml:space="preserve">.  This is the only instance documented in which he was placed on quarters for headaches </w:t>
      </w:r>
      <w:r w:rsidR="007812C5">
        <w:rPr>
          <w:rFonts w:asciiTheme="minorHAnsi" w:hAnsiTheme="minorHAnsi" w:cs="Times New Roman"/>
          <w:color w:val="auto"/>
          <w:szCs w:val="24"/>
        </w:rPr>
        <w:t>in the 12 months prior to separation</w:t>
      </w:r>
      <w:r w:rsidR="005F2DC3" w:rsidRPr="00DD7EBD">
        <w:rPr>
          <w:rFonts w:asciiTheme="minorHAnsi" w:hAnsiTheme="minorHAnsi" w:cs="Times New Roman"/>
          <w:color w:val="auto"/>
          <w:szCs w:val="24"/>
        </w:rPr>
        <w:t>.  The different treatment notes address different medical management options for a chronic problem.  While the record supports a chronic problem from headaches, it does not support significant duty impairment or time away from work, even for medical management.</w:t>
      </w:r>
    </w:p>
    <w:p w:rsidR="002A3DE9" w:rsidRDefault="002902AA" w:rsidP="009B57BA">
      <w:pPr>
        <w:jc w:val="both"/>
        <w:rPr>
          <w:color w:val="auto"/>
          <w:szCs w:val="24"/>
        </w:rPr>
      </w:pPr>
      <w:r w:rsidRPr="00DD7EBD">
        <w:rPr>
          <w:color w:val="auto"/>
          <w:szCs w:val="24"/>
        </w:rPr>
        <w:t xml:space="preserve"> </w:t>
      </w:r>
      <w:r w:rsidR="005F2DC3" w:rsidRPr="00DD7EBD">
        <w:rPr>
          <w:color w:val="auto"/>
          <w:szCs w:val="24"/>
        </w:rPr>
        <w:tab/>
      </w:r>
    </w:p>
    <w:p w:rsidR="005F2DC3" w:rsidRPr="00DD7EBD" w:rsidRDefault="005F2DC3" w:rsidP="009B57BA">
      <w:pPr>
        <w:jc w:val="both"/>
        <w:rPr>
          <w:color w:val="000000" w:themeColor="text1"/>
          <w:szCs w:val="24"/>
        </w:rPr>
      </w:pPr>
      <w:proofErr w:type="gramStart"/>
      <w:r w:rsidRPr="00117B90">
        <w:rPr>
          <w:color w:val="000000" w:themeColor="text1"/>
          <w:szCs w:val="24"/>
          <w:u w:val="single"/>
        </w:rPr>
        <w:t>Obesity and narcotic dependence</w:t>
      </w:r>
      <w:r w:rsidR="00117B90">
        <w:rPr>
          <w:color w:val="000000" w:themeColor="text1"/>
          <w:szCs w:val="24"/>
        </w:rPr>
        <w:t>.</w:t>
      </w:r>
      <w:proofErr w:type="gramEnd"/>
      <w:r w:rsidR="00117B90">
        <w:rPr>
          <w:color w:val="000000" w:themeColor="text1"/>
          <w:szCs w:val="24"/>
        </w:rPr>
        <w:t xml:space="preserve">  These</w:t>
      </w:r>
      <w:r w:rsidRPr="00DD7EBD">
        <w:rPr>
          <w:color w:val="000000" w:themeColor="text1"/>
          <w:szCs w:val="24"/>
        </w:rPr>
        <w:t xml:space="preserve"> were rated </w:t>
      </w:r>
      <w:proofErr w:type="gramStart"/>
      <w:r w:rsidRPr="00DD7EBD">
        <w:rPr>
          <w:color w:val="000000" w:themeColor="text1"/>
          <w:szCs w:val="24"/>
        </w:rPr>
        <w:t xml:space="preserve">as </w:t>
      </w:r>
      <w:r w:rsidR="008F11CB">
        <w:rPr>
          <w:color w:val="000000" w:themeColor="text1"/>
          <w:szCs w:val="24"/>
        </w:rPr>
        <w:t>c</w:t>
      </w:r>
      <w:r w:rsidRPr="00DD7EBD">
        <w:rPr>
          <w:color w:val="000000" w:themeColor="text1"/>
          <w:szCs w:val="24"/>
        </w:rPr>
        <w:t>at</w:t>
      </w:r>
      <w:r w:rsidR="008F11CB">
        <w:rPr>
          <w:color w:val="000000" w:themeColor="text1"/>
          <w:szCs w:val="24"/>
        </w:rPr>
        <w:t>egory</w:t>
      </w:r>
      <w:proofErr w:type="gramEnd"/>
      <w:r w:rsidR="008F11CB">
        <w:rPr>
          <w:color w:val="000000" w:themeColor="text1"/>
          <w:szCs w:val="24"/>
        </w:rPr>
        <w:t xml:space="preserve"> </w:t>
      </w:r>
      <w:r w:rsidRPr="00DD7EBD">
        <w:rPr>
          <w:color w:val="000000" w:themeColor="text1"/>
          <w:szCs w:val="24"/>
        </w:rPr>
        <w:t xml:space="preserve">III conditions which are not separately unfitting nor compensable or ratable conditions IAW both DoDI and VA regulations.  Therefore, </w:t>
      </w:r>
      <w:r w:rsidR="00117B90">
        <w:rPr>
          <w:color w:val="000000" w:themeColor="text1"/>
          <w:szCs w:val="24"/>
        </w:rPr>
        <w:t>there is no basis for further consideration</w:t>
      </w:r>
      <w:r w:rsidRPr="00DD7EBD">
        <w:rPr>
          <w:color w:val="000000" w:themeColor="text1"/>
          <w:szCs w:val="24"/>
        </w:rPr>
        <w:t xml:space="preserve">. </w:t>
      </w:r>
    </w:p>
    <w:p w:rsidR="005F2DC3" w:rsidRDefault="005F2DC3" w:rsidP="009B57BA">
      <w:pPr>
        <w:jc w:val="both"/>
        <w:rPr>
          <w:color w:val="auto"/>
          <w:sz w:val="23"/>
          <w:szCs w:val="23"/>
        </w:rPr>
      </w:pPr>
    </w:p>
    <w:p w:rsidR="003025D5" w:rsidRPr="001F29F9" w:rsidRDefault="003025D5" w:rsidP="009B57BA">
      <w:pPr>
        <w:jc w:val="both"/>
        <w:rPr>
          <w:color w:val="000000" w:themeColor="text1"/>
          <w:szCs w:val="24"/>
        </w:rPr>
      </w:pPr>
      <w:r w:rsidRPr="00EE1AEC">
        <w:rPr>
          <w:color w:val="000000" w:themeColor="text1"/>
          <w:szCs w:val="24"/>
        </w:rPr>
        <w:t xml:space="preserve">All </w:t>
      </w:r>
      <w:r w:rsidR="005F2DC3">
        <w:rPr>
          <w:color w:val="000000" w:themeColor="text1"/>
          <w:szCs w:val="24"/>
        </w:rPr>
        <w:t xml:space="preserve">conditions </w:t>
      </w:r>
      <w:r w:rsidRPr="00EE1AEC">
        <w:rPr>
          <w:color w:val="000000" w:themeColor="text1"/>
          <w:szCs w:val="24"/>
        </w:rPr>
        <w:t>were reviewed by the action officer and</w:t>
      </w:r>
      <w:r w:rsidRPr="001F29F9">
        <w:rPr>
          <w:color w:val="000000" w:themeColor="text1"/>
          <w:szCs w:val="24"/>
        </w:rPr>
        <w:t xml:space="preserve"> considered by the Board.  There was no indication from the record that any of these conditions significantly interfered with satisfactory duty performance</w:t>
      </w:r>
      <w:r w:rsidR="00117B90">
        <w:rPr>
          <w:color w:val="000000" w:themeColor="text1"/>
          <w:szCs w:val="24"/>
        </w:rPr>
        <w:t xml:space="preserve"> to a degree which could be considered unfitting</w:t>
      </w:r>
      <w:r w:rsidRPr="001F29F9">
        <w:rPr>
          <w:color w:val="000000" w:themeColor="text1"/>
          <w:szCs w:val="24"/>
        </w:rPr>
        <w:t>.  All evidence considered</w:t>
      </w:r>
      <w:proofErr w:type="gramStart"/>
      <w:r w:rsidRPr="001F29F9">
        <w:rPr>
          <w:color w:val="000000" w:themeColor="text1"/>
          <w:szCs w:val="24"/>
        </w:rPr>
        <w:t>,</w:t>
      </w:r>
      <w:proofErr w:type="gramEnd"/>
      <w:r w:rsidRPr="001F29F9">
        <w:rPr>
          <w:color w:val="000000" w:themeColor="text1"/>
          <w:szCs w:val="24"/>
        </w:rPr>
        <w:t xml:space="preserve"> there is not reasonable doubt in the CI’s favor supporting re</w:t>
      </w:r>
      <w:r w:rsidR="005F2DC3">
        <w:rPr>
          <w:color w:val="000000" w:themeColor="text1"/>
          <w:szCs w:val="24"/>
        </w:rPr>
        <w:t>-</w:t>
      </w:r>
      <w:r w:rsidRPr="001F29F9">
        <w:rPr>
          <w:color w:val="000000" w:themeColor="text1"/>
          <w:szCs w:val="24"/>
        </w:rPr>
        <w:t>characterization of the PEB fitness adjudication for any of the stated conditions.</w:t>
      </w:r>
    </w:p>
    <w:p w:rsidR="0086000A" w:rsidRPr="009B57BA" w:rsidRDefault="0086000A" w:rsidP="009B57BA">
      <w:pPr>
        <w:jc w:val="both"/>
        <w:rPr>
          <w:color w:val="000000" w:themeColor="text1"/>
          <w:szCs w:val="24"/>
        </w:rPr>
      </w:pPr>
    </w:p>
    <w:p w:rsidR="00A02AA8" w:rsidRPr="001F29F9" w:rsidRDefault="00EC337D" w:rsidP="003A1DCD">
      <w:pPr>
        <w:jc w:val="both"/>
        <w:rPr>
          <w:color w:val="000000" w:themeColor="text1"/>
          <w:szCs w:val="24"/>
        </w:rPr>
      </w:pPr>
      <w:proofErr w:type="gramStart"/>
      <w:r w:rsidRPr="009B57BA">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w:t>
      </w:r>
      <w:r w:rsidR="00A02AA8" w:rsidRPr="001F29F9">
        <w:rPr>
          <w:color w:val="000000" w:themeColor="text1"/>
          <w:szCs w:val="24"/>
        </w:rPr>
        <w:t xml:space="preserve">Other conditions identified in the DES file were </w:t>
      </w:r>
      <w:r w:rsidR="00B07846">
        <w:rPr>
          <w:color w:val="000000" w:themeColor="text1"/>
          <w:szCs w:val="24"/>
        </w:rPr>
        <w:t>herniated discs and spinal stenosis</w:t>
      </w:r>
      <w:r w:rsidR="00A02AA8" w:rsidRPr="001F29F9">
        <w:rPr>
          <w:color w:val="000000" w:themeColor="text1"/>
          <w:szCs w:val="24"/>
        </w:rPr>
        <w:t xml:space="preserve">.  </w:t>
      </w:r>
      <w:r w:rsidR="00B07846">
        <w:rPr>
          <w:color w:val="000000" w:themeColor="text1"/>
          <w:szCs w:val="24"/>
        </w:rPr>
        <w:t>The Board notes that the CI was placed on quarters for back pain one time for 24 hours</w:t>
      </w:r>
      <w:r w:rsidR="00DD7EBD">
        <w:rPr>
          <w:color w:val="000000" w:themeColor="text1"/>
          <w:szCs w:val="24"/>
        </w:rPr>
        <w:t xml:space="preserve"> in the year prior to separation</w:t>
      </w:r>
      <w:r w:rsidR="00B07846">
        <w:rPr>
          <w:color w:val="000000" w:themeColor="text1"/>
          <w:szCs w:val="24"/>
        </w:rPr>
        <w:t xml:space="preserve">.  A MRI showed minimal disc bulging at L3-4, L4-5, and L5-S1.  </w:t>
      </w:r>
      <w:r w:rsidR="007A2DFE">
        <w:rPr>
          <w:color w:val="000000" w:themeColor="text1"/>
          <w:szCs w:val="24"/>
        </w:rPr>
        <w:t xml:space="preserve">There were no radicular symptoms.  This degree of disc degeneration is </w:t>
      </w:r>
      <w:r w:rsidR="00117B90">
        <w:rPr>
          <w:color w:val="000000" w:themeColor="text1"/>
          <w:szCs w:val="24"/>
        </w:rPr>
        <w:t>not un</w:t>
      </w:r>
      <w:r w:rsidR="007A2DFE">
        <w:rPr>
          <w:color w:val="000000" w:themeColor="text1"/>
          <w:szCs w:val="24"/>
        </w:rPr>
        <w:t xml:space="preserve">common finding in the age group of the CI and correlates poorly with back pain. </w:t>
      </w:r>
      <w:r w:rsidR="008B710C">
        <w:rPr>
          <w:color w:val="000000" w:themeColor="text1"/>
          <w:szCs w:val="24"/>
        </w:rPr>
        <w:t xml:space="preserve"> </w:t>
      </w:r>
      <w:r w:rsidR="007A2DFE">
        <w:rPr>
          <w:color w:val="000000" w:themeColor="text1"/>
          <w:szCs w:val="24"/>
        </w:rPr>
        <w:t xml:space="preserve">The spinal stenosis at L3-4 was noted to be congenital.  </w:t>
      </w:r>
      <w:r w:rsidR="00A02AA8" w:rsidRPr="003A1DCD">
        <w:rPr>
          <w:color w:val="000000" w:themeColor="text1"/>
          <w:szCs w:val="24"/>
        </w:rPr>
        <w:t xml:space="preserve">Several additional non-acute conditions or medical complaints were also documented.  None of these conditions were clinically or occupationally </w:t>
      </w:r>
      <w:r w:rsidR="008F11CB">
        <w:rPr>
          <w:color w:val="000000" w:themeColor="text1"/>
          <w:szCs w:val="24"/>
        </w:rPr>
        <w:t xml:space="preserve">significant </w:t>
      </w:r>
      <w:r w:rsidR="00A02AA8" w:rsidRPr="003A1DCD">
        <w:rPr>
          <w:color w:val="000000" w:themeColor="text1"/>
          <w:szCs w:val="24"/>
        </w:rPr>
        <w:t>during the MEB period</w:t>
      </w:r>
      <w:r w:rsidR="0080588E" w:rsidRPr="003A1DCD">
        <w:rPr>
          <w:color w:val="000000" w:themeColor="text1"/>
          <w:szCs w:val="24"/>
        </w:rPr>
        <w:t>,</w:t>
      </w:r>
      <w:r w:rsidR="00A02AA8" w:rsidRPr="003A1DCD">
        <w:rPr>
          <w:color w:val="000000" w:themeColor="text1"/>
          <w:szCs w:val="24"/>
        </w:rPr>
        <w:t xml:space="preserve"> none carried attached profiles</w:t>
      </w:r>
      <w:r w:rsidR="0080588E" w:rsidRPr="003A1DCD">
        <w:rPr>
          <w:color w:val="000000" w:themeColor="text1"/>
          <w:szCs w:val="24"/>
        </w:rPr>
        <w:t>,</w:t>
      </w:r>
      <w:r w:rsidR="00A02AA8" w:rsidRPr="003A1DCD">
        <w:rPr>
          <w:color w:val="000000" w:themeColor="text1"/>
          <w:szCs w:val="24"/>
        </w:rPr>
        <w:t xml:space="preserve"> and none were implicated in the </w:t>
      </w:r>
      <w:r w:rsidR="0080588E" w:rsidRPr="003A1DCD">
        <w:rPr>
          <w:color w:val="000000" w:themeColor="text1"/>
          <w:szCs w:val="24"/>
        </w:rPr>
        <w:t>c</w:t>
      </w:r>
      <w:r w:rsidR="00A02AA8" w:rsidRPr="003A1DCD">
        <w:rPr>
          <w:color w:val="000000" w:themeColor="text1"/>
          <w:szCs w:val="24"/>
        </w:rPr>
        <w:t>ommander’s statement</w:t>
      </w:r>
      <w:r w:rsidR="00A02AA8"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00A02AA8" w:rsidRPr="001F29F9">
        <w:rPr>
          <w:color w:val="000000" w:themeColor="text1"/>
          <w:szCs w:val="24"/>
        </w:rPr>
        <w:t xml:space="preserve">and considered by the Board.  It was determined that none could be argued as unfitting and subject to </w:t>
      </w:r>
      <w:r w:rsidR="00A02AA8" w:rsidRPr="003A1DCD">
        <w:rPr>
          <w:color w:val="000000" w:themeColor="text1"/>
          <w:szCs w:val="24"/>
        </w:rPr>
        <w:t xml:space="preserve">separation rating.  </w:t>
      </w:r>
      <w:r w:rsidR="00DD7EBD">
        <w:rPr>
          <w:color w:val="000000" w:themeColor="text1"/>
          <w:szCs w:val="24"/>
        </w:rPr>
        <w:t>No additional</w:t>
      </w:r>
      <w:r w:rsidR="00A02AA8" w:rsidRPr="003A1DCD">
        <w:rPr>
          <w:color w:val="000000" w:themeColor="text1"/>
          <w:szCs w:val="24"/>
        </w:rPr>
        <w:t xml:space="preserve"> conditions were</w:t>
      </w:r>
      <w:r w:rsidR="00A02AA8" w:rsidRPr="001F29F9">
        <w:rPr>
          <w:color w:val="000000" w:themeColor="text1"/>
          <w:szCs w:val="24"/>
        </w:rPr>
        <w:t xml:space="preserve"> noted in the VA proximal to separation,</w:t>
      </w:r>
      <w:r w:rsidR="00DD7EBD">
        <w:rPr>
          <w:color w:val="000000" w:themeColor="text1"/>
          <w:szCs w:val="24"/>
        </w:rPr>
        <w:t xml:space="preserve"> other than what has already been discussed above</w:t>
      </w:r>
      <w:r w:rsidR="00A02AA8" w:rsidRPr="001F29F9">
        <w:rPr>
          <w:color w:val="000000" w:themeColor="text1"/>
          <w:szCs w:val="24"/>
        </w:rPr>
        <w:t>.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3C53E8" w:rsidRPr="003C53E8" w:rsidRDefault="00C56FC8" w:rsidP="009B57BA">
      <w:pPr>
        <w:jc w:val="both"/>
        <w:rPr>
          <w:rFonts w:asciiTheme="minorHAnsi" w:hAnsiTheme="minorHAnsi" w:cs="Times New Roman"/>
          <w:color w:val="auto"/>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3C53E8" w:rsidRPr="003C53E8">
        <w:rPr>
          <w:rFonts w:asciiTheme="minorHAnsi" w:eastAsiaTheme="minorHAnsi" w:hAnsiTheme="minorHAnsi" w:cs="Times New Roman"/>
          <w:color w:val="auto"/>
          <w:szCs w:val="24"/>
        </w:rPr>
        <w:t xml:space="preserve">. </w:t>
      </w:r>
      <w:r w:rsidR="008B710C">
        <w:rPr>
          <w:rFonts w:asciiTheme="minorHAnsi" w:eastAsiaTheme="minorHAnsi" w:hAnsiTheme="minorHAnsi" w:cs="Times New Roman"/>
          <w:color w:val="auto"/>
          <w:szCs w:val="24"/>
        </w:rPr>
        <w:t xml:space="preserve"> </w:t>
      </w:r>
      <w:r w:rsidR="00E31D06" w:rsidRPr="00993EA9">
        <w:rPr>
          <w:rFonts w:asciiTheme="minorHAnsi" w:eastAsiaTheme="minorHAnsi" w:hAnsiTheme="minorHAnsi" w:cs="Times New Roman"/>
          <w:color w:val="auto"/>
          <w:szCs w:val="24"/>
        </w:rPr>
        <w:t xml:space="preserve">In the matter of the </w:t>
      </w:r>
      <w:r w:rsidR="00C14FDA" w:rsidRPr="00993EA9">
        <w:rPr>
          <w:rFonts w:asciiTheme="minorHAnsi" w:eastAsiaTheme="minorHAnsi" w:hAnsiTheme="minorHAnsi" w:cs="Times New Roman"/>
          <w:color w:val="auto"/>
          <w:szCs w:val="24"/>
        </w:rPr>
        <w:t>RSD</w:t>
      </w:r>
      <w:r w:rsidR="00E31D06" w:rsidRPr="00993EA9">
        <w:rPr>
          <w:rFonts w:asciiTheme="minorHAnsi" w:eastAsiaTheme="minorHAnsi" w:hAnsiTheme="minorHAnsi" w:cs="Times New Roman"/>
          <w:color w:val="auto"/>
          <w:szCs w:val="24"/>
        </w:rPr>
        <w:t xml:space="preserve"> condition and </w:t>
      </w:r>
      <w:r w:rsidR="00E31D06" w:rsidRPr="00993EA9">
        <w:rPr>
          <w:rFonts w:asciiTheme="minorHAnsi" w:hAnsiTheme="minorHAnsi" w:cs="Times New Roman"/>
          <w:color w:val="auto"/>
          <w:szCs w:val="24"/>
        </w:rPr>
        <w:t>IAW VASRD §4.124</w:t>
      </w:r>
      <w:r w:rsidR="00E31D06" w:rsidRPr="00993EA9">
        <w:rPr>
          <w:rFonts w:asciiTheme="minorHAnsi" w:eastAsiaTheme="minorHAnsi" w:hAnsiTheme="minorHAnsi" w:cs="Times New Roman"/>
          <w:color w:val="auto"/>
          <w:szCs w:val="24"/>
        </w:rPr>
        <w:t xml:space="preserve">, </w:t>
      </w:r>
      <w:r w:rsidR="009B57BA" w:rsidRPr="00993EA9">
        <w:rPr>
          <w:rFonts w:asciiTheme="minorHAnsi" w:eastAsiaTheme="minorHAnsi" w:hAnsiTheme="minorHAnsi" w:cs="Times New Roman"/>
          <w:color w:val="auto"/>
          <w:szCs w:val="24"/>
        </w:rPr>
        <w:t xml:space="preserve">the Board unanimously recommends </w:t>
      </w:r>
      <w:r w:rsidR="00E31D06" w:rsidRPr="00993EA9">
        <w:rPr>
          <w:rFonts w:asciiTheme="minorHAnsi" w:eastAsiaTheme="minorHAnsi" w:hAnsiTheme="minorHAnsi" w:cs="Times New Roman"/>
          <w:color w:val="auto"/>
          <w:szCs w:val="24"/>
        </w:rPr>
        <w:t>no change in the PEB adjudication</w:t>
      </w:r>
      <w:r w:rsidR="009B57BA" w:rsidRPr="00993EA9">
        <w:rPr>
          <w:rFonts w:asciiTheme="minorHAnsi" w:eastAsiaTheme="minorHAnsi" w:hAnsiTheme="minorHAnsi" w:cs="Times New Roman"/>
          <w:color w:val="auto"/>
          <w:szCs w:val="24"/>
        </w:rPr>
        <w:t>.</w:t>
      </w:r>
      <w:r w:rsidR="00993EA9">
        <w:rPr>
          <w:rFonts w:asciiTheme="minorHAnsi" w:eastAsiaTheme="minorHAnsi" w:hAnsiTheme="minorHAnsi" w:cs="Times New Roman"/>
          <w:color w:val="auto"/>
          <w:szCs w:val="24"/>
        </w:rPr>
        <w:t xml:space="preserve">  </w:t>
      </w:r>
      <w:r w:rsidR="00E31D06" w:rsidRPr="00993EA9">
        <w:rPr>
          <w:rFonts w:asciiTheme="minorHAnsi" w:hAnsiTheme="minorHAnsi" w:cs="Times New Roman"/>
          <w:color w:val="auto"/>
          <w:szCs w:val="24"/>
        </w:rPr>
        <w:t>In the mat</w:t>
      </w:r>
      <w:r w:rsidR="009B57BA" w:rsidRPr="00993EA9">
        <w:rPr>
          <w:rFonts w:asciiTheme="minorHAnsi" w:hAnsiTheme="minorHAnsi" w:cs="Times New Roman"/>
          <w:color w:val="auto"/>
          <w:szCs w:val="24"/>
        </w:rPr>
        <w:t>ter of the depression condition the Board unanimously recommends</w:t>
      </w:r>
      <w:r w:rsidR="00E31D06" w:rsidRPr="00993EA9">
        <w:rPr>
          <w:rFonts w:asciiTheme="minorHAnsi" w:hAnsiTheme="minorHAnsi" w:cs="Times New Roman"/>
          <w:color w:val="auto"/>
          <w:szCs w:val="24"/>
        </w:rPr>
        <w:t xml:space="preserve"> </w:t>
      </w:r>
      <w:r w:rsidR="00E31D06" w:rsidRPr="00993EA9">
        <w:rPr>
          <w:rFonts w:asciiTheme="minorHAnsi" w:eastAsiaTheme="minorHAnsi" w:hAnsiTheme="minorHAnsi" w:cs="Times New Roman"/>
          <w:color w:val="auto"/>
          <w:szCs w:val="24"/>
        </w:rPr>
        <w:t>no change in the PEB adjudication</w:t>
      </w:r>
      <w:r w:rsidR="009B57BA" w:rsidRPr="00993EA9">
        <w:rPr>
          <w:rFonts w:asciiTheme="minorHAnsi" w:eastAsiaTheme="minorHAnsi" w:hAnsiTheme="minorHAnsi" w:cs="Times New Roman"/>
          <w:color w:val="auto"/>
          <w:szCs w:val="24"/>
        </w:rPr>
        <w:t>.</w:t>
      </w:r>
      <w:r w:rsidR="00993EA9">
        <w:rPr>
          <w:rFonts w:asciiTheme="minorHAnsi" w:eastAsiaTheme="minorHAnsi" w:hAnsiTheme="minorHAnsi" w:cs="Times New Roman"/>
          <w:color w:val="auto"/>
          <w:szCs w:val="24"/>
        </w:rPr>
        <w:t xml:space="preserve"> </w:t>
      </w:r>
      <w:r w:rsidR="009B57BA" w:rsidRPr="00993EA9">
        <w:rPr>
          <w:rFonts w:asciiTheme="minorHAnsi" w:eastAsiaTheme="minorHAnsi" w:hAnsiTheme="minorHAnsi" w:cs="Times New Roman"/>
          <w:color w:val="auto"/>
          <w:szCs w:val="24"/>
        </w:rPr>
        <w:t xml:space="preserve"> </w:t>
      </w:r>
      <w:r w:rsidR="003C53E8" w:rsidRPr="00993EA9">
        <w:rPr>
          <w:rFonts w:asciiTheme="minorHAnsi" w:hAnsiTheme="minorHAnsi" w:cs="Times New Roman"/>
          <w:color w:val="auto"/>
          <w:szCs w:val="24"/>
        </w:rPr>
        <w:t xml:space="preserve">In the matter of the </w:t>
      </w:r>
      <w:r w:rsidR="00117B90" w:rsidRPr="00993EA9">
        <w:rPr>
          <w:rFonts w:asciiTheme="minorHAnsi" w:hAnsiTheme="minorHAnsi" w:cs="Times New Roman"/>
          <w:color w:val="auto"/>
          <w:szCs w:val="24"/>
        </w:rPr>
        <w:t>right knee, GERD, SAR, head</w:t>
      </w:r>
      <w:r w:rsidR="007F7E8A" w:rsidRPr="00993EA9">
        <w:rPr>
          <w:rFonts w:asciiTheme="minorHAnsi" w:hAnsiTheme="minorHAnsi" w:cs="Times New Roman"/>
          <w:color w:val="auto"/>
          <w:szCs w:val="24"/>
        </w:rPr>
        <w:t>ache</w:t>
      </w:r>
      <w:r w:rsidR="00117B90" w:rsidRPr="00993EA9">
        <w:rPr>
          <w:rFonts w:asciiTheme="minorHAnsi" w:hAnsiTheme="minorHAnsi" w:cs="Times New Roman"/>
          <w:color w:val="auto"/>
          <w:szCs w:val="24"/>
        </w:rPr>
        <w:t>s</w:t>
      </w:r>
      <w:r w:rsidR="007F7E8A" w:rsidRPr="00993EA9">
        <w:rPr>
          <w:rFonts w:asciiTheme="minorHAnsi" w:hAnsiTheme="minorHAnsi" w:cs="Times New Roman"/>
          <w:color w:val="auto"/>
          <w:szCs w:val="24"/>
        </w:rPr>
        <w:t>, obesity, narcotic dependence</w:t>
      </w:r>
      <w:r w:rsidR="008F11CB">
        <w:rPr>
          <w:rFonts w:asciiTheme="minorHAnsi" w:hAnsiTheme="minorHAnsi" w:cs="Times New Roman"/>
          <w:color w:val="auto"/>
          <w:szCs w:val="24"/>
        </w:rPr>
        <w:t xml:space="preserve">, </w:t>
      </w:r>
      <w:r w:rsidR="007F7E8A" w:rsidRPr="00993EA9">
        <w:rPr>
          <w:rFonts w:asciiTheme="minorHAnsi" w:hAnsiTheme="minorHAnsi" w:cs="Times New Roman"/>
          <w:color w:val="auto"/>
          <w:szCs w:val="24"/>
        </w:rPr>
        <w:t>back conditions</w:t>
      </w:r>
      <w:r w:rsidR="008F11CB">
        <w:rPr>
          <w:rFonts w:asciiTheme="minorHAnsi" w:hAnsiTheme="minorHAnsi" w:cs="Times New Roman"/>
          <w:color w:val="auto"/>
          <w:szCs w:val="24"/>
        </w:rPr>
        <w:t xml:space="preserve">, or </w:t>
      </w:r>
      <w:r w:rsidR="008F11CB" w:rsidRPr="00E8007F">
        <w:rPr>
          <w:rFonts w:asciiTheme="minorHAnsi" w:eastAsiaTheme="minorHAnsi" w:hAnsiTheme="minorHAnsi"/>
          <w:color w:val="auto"/>
          <w:szCs w:val="24"/>
        </w:rPr>
        <w:t>any other medical conditions e</w:t>
      </w:r>
      <w:r w:rsidR="008F11CB">
        <w:rPr>
          <w:rFonts w:asciiTheme="minorHAnsi" w:eastAsiaTheme="minorHAnsi" w:hAnsiTheme="minorHAnsi"/>
          <w:color w:val="auto"/>
          <w:szCs w:val="24"/>
        </w:rPr>
        <w:t>ligible for Board consideration</w:t>
      </w:r>
      <w:r w:rsidR="003C53E8" w:rsidRPr="00993EA9">
        <w:rPr>
          <w:rFonts w:asciiTheme="minorHAnsi" w:hAnsiTheme="minorHAnsi" w:cs="Times New Roman"/>
          <w:color w:val="auto"/>
          <w:szCs w:val="24"/>
        </w:rPr>
        <w:t>, the Board unanimously agrees that it cannot</w:t>
      </w:r>
      <w:r w:rsidR="003C53E8" w:rsidRPr="00993EA9">
        <w:rPr>
          <w:rFonts w:asciiTheme="minorHAnsi" w:hAnsiTheme="minorHAnsi" w:cs="Times New Roman"/>
          <w:color w:val="000080"/>
          <w:szCs w:val="24"/>
        </w:rPr>
        <w:t xml:space="preserve"> </w:t>
      </w:r>
      <w:r w:rsidR="003C53E8" w:rsidRPr="00993EA9">
        <w:rPr>
          <w:rFonts w:asciiTheme="minorHAnsi" w:hAnsiTheme="minorHAnsi" w:cs="Times New Roman"/>
          <w:color w:val="auto"/>
          <w:szCs w:val="24"/>
        </w:rPr>
        <w:t>recommend a finding of unfit for additional rating at separation.</w:t>
      </w:r>
      <w:r w:rsidR="003C53E8" w:rsidRPr="003C53E8">
        <w:rPr>
          <w:rFonts w:asciiTheme="minorHAnsi" w:hAnsiTheme="minorHAnsi" w:cs="Times New Roman"/>
          <w:color w:val="auto"/>
          <w:szCs w:val="24"/>
        </w:rPr>
        <w:t xml:space="preserve">  </w:t>
      </w:r>
    </w:p>
    <w:p w:rsidR="006B4AA2" w:rsidRPr="001F29F9" w:rsidRDefault="00C56FC8" w:rsidP="007F7E8A">
      <w:pPr>
        <w:jc w:val="left"/>
        <w:rPr>
          <w:color w:val="000000" w:themeColor="text1"/>
          <w:szCs w:val="24"/>
        </w:rPr>
      </w:pPr>
      <w:r w:rsidRPr="001F29F9">
        <w:rPr>
          <w:color w:val="000000" w:themeColor="text1"/>
          <w:szCs w:val="24"/>
          <w:u w:val="single"/>
        </w:rPr>
        <w:lastRenderedPageBreak/>
        <w:t>RECOMMENDATION</w:t>
      </w:r>
      <w:r w:rsidRPr="001F29F9">
        <w:rPr>
          <w:color w:val="000000" w:themeColor="text1"/>
          <w:szCs w:val="24"/>
        </w:rPr>
        <w:t>:</w:t>
      </w:r>
      <w:r w:rsidR="007F7E8A">
        <w:rPr>
          <w:color w:val="000000" w:themeColor="text1"/>
          <w:szCs w:val="24"/>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C14FDA" w:rsidP="002A3DE9">
            <w:pPr>
              <w:tabs>
                <w:tab w:val="left" w:pos="288"/>
                <w:tab w:val="left" w:pos="4752"/>
              </w:tabs>
              <w:jc w:val="left"/>
              <w:rPr>
                <w:color w:val="000000" w:themeColor="text1"/>
                <w:szCs w:val="24"/>
              </w:rPr>
            </w:pPr>
            <w:r>
              <w:rPr>
                <w:color w:val="000000" w:themeColor="text1"/>
                <w:szCs w:val="24"/>
              </w:rPr>
              <w:t>RSD</w:t>
            </w:r>
            <w:r w:rsidR="007F7E8A">
              <w:rPr>
                <w:color w:val="000000" w:themeColor="text1"/>
                <w:szCs w:val="24"/>
              </w:rPr>
              <w:t xml:space="preserve"> with </w:t>
            </w:r>
            <w:r w:rsidR="002A3DE9">
              <w:rPr>
                <w:color w:val="000000" w:themeColor="text1"/>
                <w:szCs w:val="24"/>
              </w:rPr>
              <w:t>D</w:t>
            </w:r>
            <w:r w:rsidR="007F7E8A">
              <w:rPr>
                <w:color w:val="000000" w:themeColor="text1"/>
                <w:szCs w:val="24"/>
              </w:rPr>
              <w:t>epression</w:t>
            </w:r>
          </w:p>
        </w:tc>
        <w:tc>
          <w:tcPr>
            <w:tcW w:w="1710" w:type="dxa"/>
            <w:vAlign w:val="center"/>
          </w:tcPr>
          <w:p w:rsidR="00A95BBA" w:rsidRPr="001F29F9" w:rsidRDefault="007F7E8A" w:rsidP="00BF0E94">
            <w:pPr>
              <w:tabs>
                <w:tab w:val="left" w:pos="288"/>
                <w:tab w:val="left" w:pos="4752"/>
              </w:tabs>
              <w:rPr>
                <w:color w:val="000000" w:themeColor="text1"/>
                <w:szCs w:val="24"/>
              </w:rPr>
            </w:pPr>
            <w:r>
              <w:rPr>
                <w:color w:val="000000" w:themeColor="text1"/>
                <w:szCs w:val="24"/>
              </w:rPr>
              <w:t>8599-8520</w:t>
            </w:r>
          </w:p>
        </w:tc>
        <w:tc>
          <w:tcPr>
            <w:tcW w:w="1170" w:type="dxa"/>
            <w:vAlign w:val="center"/>
          </w:tcPr>
          <w:p w:rsidR="00A95BBA" w:rsidRPr="00993EA9" w:rsidRDefault="007F7E8A" w:rsidP="00BF0E94">
            <w:pPr>
              <w:tabs>
                <w:tab w:val="left" w:pos="288"/>
                <w:tab w:val="left" w:pos="4752"/>
              </w:tabs>
              <w:rPr>
                <w:color w:val="000000" w:themeColor="text1"/>
                <w:szCs w:val="24"/>
              </w:rPr>
            </w:pPr>
            <w:r w:rsidRPr="00993EA9">
              <w:rPr>
                <w:color w:val="000000" w:themeColor="text1"/>
                <w:szCs w:val="24"/>
              </w:rPr>
              <w:t>1</w:t>
            </w:r>
            <w:r w:rsidR="00A95BBA" w:rsidRPr="00993EA9">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993EA9" w:rsidRDefault="007F7E8A" w:rsidP="00BF0E94">
            <w:pPr>
              <w:tabs>
                <w:tab w:val="left" w:pos="288"/>
                <w:tab w:val="left" w:pos="4752"/>
              </w:tabs>
              <w:rPr>
                <w:b/>
                <w:color w:val="000000" w:themeColor="text1"/>
                <w:szCs w:val="24"/>
              </w:rPr>
            </w:pPr>
            <w:r w:rsidRPr="00993EA9">
              <w:rPr>
                <w:b/>
                <w:color w:val="000000" w:themeColor="text1"/>
                <w:szCs w:val="24"/>
              </w:rPr>
              <w:t>1</w:t>
            </w:r>
            <w:r w:rsidR="00A95BBA" w:rsidRPr="00993EA9">
              <w:rPr>
                <w:b/>
                <w:color w:val="000000" w:themeColor="text1"/>
                <w:szCs w:val="24"/>
              </w:rPr>
              <w:t>0%</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DD5B35">
        <w:rPr>
          <w:color w:val="000000" w:themeColor="text1"/>
          <w:szCs w:val="24"/>
        </w:rPr>
        <w:t>01018</w:t>
      </w:r>
      <w:r w:rsidR="002A3DE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2A3DE9">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2A3DE9">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810DBF">
      <w:pPr>
        <w:tabs>
          <w:tab w:val="left" w:pos="288"/>
          <w:tab w:val="left" w:pos="4752"/>
        </w:tabs>
        <w:jc w:val="left"/>
        <w:rPr>
          <w:color w:val="000000" w:themeColor="text1"/>
        </w:rPr>
      </w:pPr>
    </w:p>
    <w:p w:rsidR="00114F20" w:rsidRPr="001F29F9" w:rsidRDefault="00114F20" w:rsidP="00810DBF">
      <w:pPr>
        <w:tabs>
          <w:tab w:val="left" w:pos="288"/>
          <w:tab w:val="left" w:pos="4752"/>
        </w:tabs>
        <w:jc w:val="left"/>
        <w:rPr>
          <w:color w:val="000000" w:themeColor="text1"/>
        </w:rPr>
      </w:pPr>
    </w:p>
    <w:p w:rsidR="00E3077F" w:rsidRPr="001F29F9" w:rsidRDefault="00220FA9" w:rsidP="00810DBF">
      <w:pPr>
        <w:tabs>
          <w:tab w:val="left" w:pos="0"/>
          <w:tab w:val="left" w:pos="4320"/>
        </w:tabs>
        <w:jc w:val="left"/>
        <w:rPr>
          <w:color w:val="000000" w:themeColor="text1"/>
          <w:szCs w:val="24"/>
        </w:rPr>
      </w:pPr>
      <w:r w:rsidRPr="001F29F9">
        <w:rPr>
          <w:color w:val="000000" w:themeColor="text1"/>
          <w:szCs w:val="24"/>
        </w:rPr>
        <w:tab/>
      </w:r>
      <w:r w:rsidR="008E3C90" w:rsidRPr="001F29F9">
        <w:rPr>
          <w:color w:val="000000" w:themeColor="text1"/>
          <w:szCs w:val="24"/>
        </w:rPr>
        <w:t xml:space="preserve">           </w:t>
      </w:r>
      <w:proofErr w:type="spellStart"/>
      <w:proofErr w:type="gramStart"/>
      <w:r w:rsidR="00810DBF">
        <w:rPr>
          <w:color w:val="000000" w:themeColor="text1"/>
          <w:szCs w:val="24"/>
        </w:rPr>
        <w:t>xxxxxxxxxx</w:t>
      </w:r>
      <w:proofErr w:type="spellEnd"/>
      <w:proofErr w:type="gramEnd"/>
    </w:p>
    <w:p w:rsidR="002F195B" w:rsidRPr="001F29F9" w:rsidRDefault="00220FA9" w:rsidP="00810DBF">
      <w:pPr>
        <w:tabs>
          <w:tab w:val="left" w:pos="0"/>
          <w:tab w:val="left" w:pos="4320"/>
        </w:tabs>
        <w:jc w:val="left"/>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810DBF">
      <w:pPr>
        <w:tabs>
          <w:tab w:val="left" w:pos="0"/>
          <w:tab w:val="left" w:pos="4320"/>
        </w:tabs>
        <w:jc w:val="left"/>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DC1607" w:rsidRDefault="00DC1607" w:rsidP="00810DBF">
      <w:pPr>
        <w:jc w:val="left"/>
        <w:rPr>
          <w:color w:val="000000" w:themeColor="text1"/>
          <w:szCs w:val="24"/>
          <w:u w:val="single"/>
        </w:rPr>
      </w:pPr>
    </w:p>
    <w:p w:rsidR="00810DBF" w:rsidRDefault="00810DBF">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9B57BA" w:rsidRDefault="009B57BA" w:rsidP="00810DBF">
      <w:pPr>
        <w:autoSpaceDE w:val="0"/>
        <w:autoSpaceDN w:val="0"/>
        <w:adjustRightInd w:val="0"/>
        <w:spacing w:line="240" w:lineRule="auto"/>
        <w:jc w:val="left"/>
        <w:rPr>
          <w:rFonts w:ascii="Times New Roman" w:hAnsi="Times New Roman" w:cs="Times New Roman"/>
          <w:b/>
          <w:bCs/>
          <w:color w:val="000000"/>
          <w:sz w:val="23"/>
          <w:szCs w:val="23"/>
        </w:rPr>
      </w:pPr>
    </w:p>
    <w:p w:rsidR="00810DBF" w:rsidRDefault="00810DBF" w:rsidP="00810DBF">
      <w:pPr>
        <w:tabs>
          <w:tab w:val="left" w:pos="576"/>
        </w:tabs>
        <w:ind w:right="-1080"/>
        <w:jc w:val="left"/>
        <w:rPr>
          <w:rFonts w:ascii="Times New Roman" w:hAnsi="Times New Roman"/>
          <w:color w:val="auto"/>
        </w:rPr>
      </w:pPr>
      <w:r>
        <w:rPr>
          <w:rFonts w:ascii="Times New Roman" w:hAnsi="Times New Roman"/>
          <w:color w:val="auto"/>
        </w:rPr>
        <w:t>SAF/MRB</w:t>
      </w:r>
    </w:p>
    <w:p w:rsidR="00810DBF" w:rsidRDefault="00810DBF" w:rsidP="00810DBF">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810DBF" w:rsidRDefault="00810DBF" w:rsidP="00810DBF">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810DBF" w:rsidRDefault="00810DBF" w:rsidP="00810DBF">
      <w:pPr>
        <w:tabs>
          <w:tab w:val="left" w:pos="576"/>
        </w:tabs>
        <w:ind w:right="-1080"/>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r>
        <w:rPr>
          <w:rFonts w:ascii="Times New Roman" w:hAnsi="Times New Roman"/>
          <w:color w:val="auto"/>
        </w:rPr>
        <w:t>Dear XXXXXXXX:</w:t>
      </w: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w:t>
      </w:r>
      <w:proofErr w:type="gramStart"/>
      <w:r>
        <w:rPr>
          <w:rFonts w:ascii="Times New Roman" w:hAnsi="Times New Roman"/>
          <w:color w:val="auto"/>
        </w:rPr>
        <w:t>  1554a</w:t>
      </w:r>
      <w:proofErr w:type="gramEnd"/>
      <w:r>
        <w:rPr>
          <w:rFonts w:ascii="Times New Roman" w:hAnsi="Times New Roman"/>
          <w:color w:val="auto"/>
        </w:rPr>
        <w:t>), PDBR Case Number PD-2010-01182</w:t>
      </w:r>
    </w:p>
    <w:p w:rsidR="00810DBF" w:rsidRDefault="00810DBF" w:rsidP="00810DBF">
      <w:pPr>
        <w:tabs>
          <w:tab w:val="left" w:pos="720"/>
        </w:tabs>
        <w:jc w:val="left"/>
        <w:rPr>
          <w:rFonts w:ascii="Times New Roman" w:hAnsi="Times New Roman"/>
          <w:color w:val="auto"/>
        </w:rPr>
      </w:pPr>
    </w:p>
    <w:p w:rsidR="00810DBF" w:rsidRDefault="00810DBF" w:rsidP="00810DBF">
      <w:pPr>
        <w:tabs>
          <w:tab w:val="left" w:pos="720"/>
        </w:tabs>
        <w:jc w:val="left"/>
        <w:rPr>
          <w:rFonts w:ascii="Times New Roman" w:hAnsi="Times New Roman"/>
          <w:color w:val="auto"/>
        </w:rPr>
      </w:pPr>
      <w:r>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810DBF" w:rsidRDefault="00810DBF" w:rsidP="00810DBF">
      <w:pPr>
        <w:pStyle w:val="BodyText2"/>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ind w:right="-1080"/>
        <w:jc w:val="left"/>
        <w:rPr>
          <w:rFonts w:ascii="Times New Roman" w:hAnsi="Times New Roman"/>
          <w:color w:val="auto"/>
        </w:rPr>
      </w:pPr>
    </w:p>
    <w:p w:rsidR="00810DBF" w:rsidRDefault="00810DBF" w:rsidP="00810DBF">
      <w:pPr>
        <w:tabs>
          <w:tab w:val="left" w:pos="720"/>
        </w:tabs>
        <w:ind w:left="5040" w:right="-1080"/>
        <w:jc w:val="left"/>
        <w:rPr>
          <w:rFonts w:ascii="Times New Roman" w:hAnsi="Times New Roman"/>
          <w:color w:val="auto"/>
        </w:rPr>
      </w:pPr>
      <w:r>
        <w:rPr>
          <w:rFonts w:ascii="Times New Roman" w:hAnsi="Times New Roman"/>
          <w:color w:val="auto"/>
        </w:rPr>
        <w:t>Director</w:t>
      </w:r>
    </w:p>
    <w:p w:rsidR="00810DBF" w:rsidRDefault="00810DBF" w:rsidP="00810DBF">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9B57BA" w:rsidRDefault="00810DBF" w:rsidP="00DD5B35">
      <w:pPr>
        <w:autoSpaceDE w:val="0"/>
        <w:autoSpaceDN w:val="0"/>
        <w:adjustRightInd w:val="0"/>
        <w:spacing w:line="240" w:lineRule="auto"/>
        <w:jc w:val="left"/>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 </w:t>
      </w:r>
    </w:p>
    <w:sectPr w:rsidR="009B57BA"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CE3" w:rsidRDefault="00297CE3">
      <w:r>
        <w:separator/>
      </w:r>
    </w:p>
  </w:endnote>
  <w:endnote w:type="continuationSeparator" w:id="0">
    <w:p w:rsidR="00297CE3" w:rsidRDefault="00297C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7704CA" w:rsidRPr="00374247" w:rsidRDefault="007704CA" w:rsidP="00374247">
        <w:pPr>
          <w:pStyle w:val="Footer"/>
          <w:ind w:firstLine="4320"/>
          <w:rPr>
            <w:color w:val="auto"/>
            <w:szCs w:val="24"/>
          </w:rPr>
        </w:pPr>
        <w:r w:rsidRPr="00374247">
          <w:rPr>
            <w:color w:val="auto"/>
            <w:szCs w:val="24"/>
          </w:rPr>
          <w:t xml:space="preserve">   </w:t>
        </w:r>
        <w:r w:rsidR="00326085" w:rsidRPr="00374247">
          <w:rPr>
            <w:color w:val="auto"/>
            <w:szCs w:val="24"/>
          </w:rPr>
          <w:fldChar w:fldCharType="begin"/>
        </w:r>
        <w:r w:rsidRPr="00374247">
          <w:rPr>
            <w:color w:val="auto"/>
            <w:szCs w:val="24"/>
          </w:rPr>
          <w:instrText xml:space="preserve"> PAGE   \* MERGEFORMAT </w:instrText>
        </w:r>
        <w:r w:rsidR="00326085" w:rsidRPr="00374247">
          <w:rPr>
            <w:color w:val="auto"/>
            <w:szCs w:val="24"/>
          </w:rPr>
          <w:fldChar w:fldCharType="separate"/>
        </w:r>
        <w:r w:rsidR="00810DBF" w:rsidRPr="00810DBF">
          <w:rPr>
            <w:noProof/>
            <w:color w:val="auto"/>
          </w:rPr>
          <w:t>6</w:t>
        </w:r>
        <w:r w:rsidR="00326085"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001182</w:t>
        </w:r>
      </w:p>
    </w:sdtContent>
  </w:sdt>
  <w:p w:rsidR="007704CA" w:rsidRPr="00684CE6" w:rsidRDefault="007704C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CE3" w:rsidRDefault="00297CE3">
      <w:r>
        <w:separator/>
      </w:r>
    </w:p>
  </w:footnote>
  <w:footnote w:type="continuationSeparator" w:id="0">
    <w:p w:rsidR="00297CE3" w:rsidRDefault="00297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279F7"/>
    <w:multiLevelType w:val="hybridMultilevel"/>
    <w:tmpl w:val="16645600"/>
    <w:lvl w:ilvl="0" w:tplc="A68CCC82">
      <w:start w:val="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0649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471"/>
    <w:rsid w:val="00010ABA"/>
    <w:rsid w:val="00010B0F"/>
    <w:rsid w:val="00012428"/>
    <w:rsid w:val="00012733"/>
    <w:rsid w:val="00013417"/>
    <w:rsid w:val="000145C2"/>
    <w:rsid w:val="0001473F"/>
    <w:rsid w:val="00014A47"/>
    <w:rsid w:val="00014A9E"/>
    <w:rsid w:val="00014D7D"/>
    <w:rsid w:val="00014ECF"/>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1F6C"/>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6B5"/>
    <w:rsid w:val="00067854"/>
    <w:rsid w:val="00070DED"/>
    <w:rsid w:val="00072433"/>
    <w:rsid w:val="00072B3E"/>
    <w:rsid w:val="0007488B"/>
    <w:rsid w:val="00075702"/>
    <w:rsid w:val="00075A0C"/>
    <w:rsid w:val="000775C2"/>
    <w:rsid w:val="00077835"/>
    <w:rsid w:val="000806AD"/>
    <w:rsid w:val="00080BDF"/>
    <w:rsid w:val="00080C57"/>
    <w:rsid w:val="00082482"/>
    <w:rsid w:val="00082CA0"/>
    <w:rsid w:val="00082F83"/>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42A"/>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45C"/>
    <w:rsid w:val="000D7D55"/>
    <w:rsid w:val="000E0993"/>
    <w:rsid w:val="000E244C"/>
    <w:rsid w:val="000E2E50"/>
    <w:rsid w:val="000E37E0"/>
    <w:rsid w:val="000E3F20"/>
    <w:rsid w:val="000E4C25"/>
    <w:rsid w:val="000E4CBF"/>
    <w:rsid w:val="000E5577"/>
    <w:rsid w:val="000E7034"/>
    <w:rsid w:val="000F02BE"/>
    <w:rsid w:val="000F0928"/>
    <w:rsid w:val="000F0B3D"/>
    <w:rsid w:val="000F1E65"/>
    <w:rsid w:val="000F3EF5"/>
    <w:rsid w:val="000F427B"/>
    <w:rsid w:val="000F43D0"/>
    <w:rsid w:val="000F4561"/>
    <w:rsid w:val="000F4F18"/>
    <w:rsid w:val="000F688E"/>
    <w:rsid w:val="000F7181"/>
    <w:rsid w:val="000F7581"/>
    <w:rsid w:val="0010022F"/>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0B4B"/>
    <w:rsid w:val="00113D2A"/>
    <w:rsid w:val="00114F20"/>
    <w:rsid w:val="0011590B"/>
    <w:rsid w:val="00117B90"/>
    <w:rsid w:val="00120240"/>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45B"/>
    <w:rsid w:val="00153740"/>
    <w:rsid w:val="001537D8"/>
    <w:rsid w:val="00153D88"/>
    <w:rsid w:val="001541C5"/>
    <w:rsid w:val="0015623F"/>
    <w:rsid w:val="00156585"/>
    <w:rsid w:val="00156BA9"/>
    <w:rsid w:val="00157542"/>
    <w:rsid w:val="00161642"/>
    <w:rsid w:val="00161761"/>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C95"/>
    <w:rsid w:val="00185DA8"/>
    <w:rsid w:val="00185ECB"/>
    <w:rsid w:val="001865E0"/>
    <w:rsid w:val="001870F0"/>
    <w:rsid w:val="00190E48"/>
    <w:rsid w:val="0019102E"/>
    <w:rsid w:val="0019114B"/>
    <w:rsid w:val="0019273F"/>
    <w:rsid w:val="00193814"/>
    <w:rsid w:val="00193AAB"/>
    <w:rsid w:val="00193AD5"/>
    <w:rsid w:val="00194930"/>
    <w:rsid w:val="00195AAC"/>
    <w:rsid w:val="001A025E"/>
    <w:rsid w:val="001A08CD"/>
    <w:rsid w:val="001A0A1E"/>
    <w:rsid w:val="001A2182"/>
    <w:rsid w:val="001A323E"/>
    <w:rsid w:val="001A33F1"/>
    <w:rsid w:val="001A5320"/>
    <w:rsid w:val="001A5E62"/>
    <w:rsid w:val="001A6848"/>
    <w:rsid w:val="001A7538"/>
    <w:rsid w:val="001B06FB"/>
    <w:rsid w:val="001B0B1A"/>
    <w:rsid w:val="001B20E6"/>
    <w:rsid w:val="001B3EFF"/>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AD0"/>
    <w:rsid w:val="001E2FF1"/>
    <w:rsid w:val="001E3FE1"/>
    <w:rsid w:val="001E41FE"/>
    <w:rsid w:val="001E635C"/>
    <w:rsid w:val="001F0297"/>
    <w:rsid w:val="001F29F9"/>
    <w:rsid w:val="001F3037"/>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3FC3"/>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D97"/>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87212"/>
    <w:rsid w:val="002902AA"/>
    <w:rsid w:val="0029030A"/>
    <w:rsid w:val="00291405"/>
    <w:rsid w:val="00292397"/>
    <w:rsid w:val="00292AB2"/>
    <w:rsid w:val="00292B82"/>
    <w:rsid w:val="00293DB6"/>
    <w:rsid w:val="00293FE8"/>
    <w:rsid w:val="00294437"/>
    <w:rsid w:val="00296686"/>
    <w:rsid w:val="00297A00"/>
    <w:rsid w:val="00297A45"/>
    <w:rsid w:val="00297CE3"/>
    <w:rsid w:val="00297DEA"/>
    <w:rsid w:val="00297E20"/>
    <w:rsid w:val="002A233F"/>
    <w:rsid w:val="002A3237"/>
    <w:rsid w:val="002A3DE9"/>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25D5"/>
    <w:rsid w:val="00305272"/>
    <w:rsid w:val="00305856"/>
    <w:rsid w:val="00305867"/>
    <w:rsid w:val="0030678B"/>
    <w:rsid w:val="00306D16"/>
    <w:rsid w:val="0030700A"/>
    <w:rsid w:val="00307595"/>
    <w:rsid w:val="00307DA6"/>
    <w:rsid w:val="00310CD7"/>
    <w:rsid w:val="00313C3A"/>
    <w:rsid w:val="00313D7A"/>
    <w:rsid w:val="003155FB"/>
    <w:rsid w:val="0032136A"/>
    <w:rsid w:val="003224D8"/>
    <w:rsid w:val="00323A90"/>
    <w:rsid w:val="00323E70"/>
    <w:rsid w:val="003258A7"/>
    <w:rsid w:val="00325BA2"/>
    <w:rsid w:val="00326085"/>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4DAD"/>
    <w:rsid w:val="00365767"/>
    <w:rsid w:val="003659C0"/>
    <w:rsid w:val="003660DF"/>
    <w:rsid w:val="00367D4F"/>
    <w:rsid w:val="00370743"/>
    <w:rsid w:val="00370EF5"/>
    <w:rsid w:val="00370F48"/>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02C"/>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1DCD"/>
    <w:rsid w:val="003A27B2"/>
    <w:rsid w:val="003A40B4"/>
    <w:rsid w:val="003A41BA"/>
    <w:rsid w:val="003A448D"/>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434D"/>
    <w:rsid w:val="003C5046"/>
    <w:rsid w:val="003C53E8"/>
    <w:rsid w:val="003C5B54"/>
    <w:rsid w:val="003C6068"/>
    <w:rsid w:val="003C7621"/>
    <w:rsid w:val="003C763B"/>
    <w:rsid w:val="003C7AEC"/>
    <w:rsid w:val="003D0149"/>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2EF"/>
    <w:rsid w:val="00401825"/>
    <w:rsid w:val="00401BBC"/>
    <w:rsid w:val="004026FC"/>
    <w:rsid w:val="004029BC"/>
    <w:rsid w:val="0040368C"/>
    <w:rsid w:val="00403BFB"/>
    <w:rsid w:val="00404B45"/>
    <w:rsid w:val="00404FBD"/>
    <w:rsid w:val="0040555F"/>
    <w:rsid w:val="00405BCF"/>
    <w:rsid w:val="004068E0"/>
    <w:rsid w:val="00406CC5"/>
    <w:rsid w:val="00406FCA"/>
    <w:rsid w:val="004074A4"/>
    <w:rsid w:val="004101B2"/>
    <w:rsid w:val="00411399"/>
    <w:rsid w:val="004123D7"/>
    <w:rsid w:val="00412658"/>
    <w:rsid w:val="004129DA"/>
    <w:rsid w:val="00415EA4"/>
    <w:rsid w:val="0041604B"/>
    <w:rsid w:val="004172DB"/>
    <w:rsid w:val="004174F0"/>
    <w:rsid w:val="00420A1D"/>
    <w:rsid w:val="00420B1E"/>
    <w:rsid w:val="004211FD"/>
    <w:rsid w:val="00421485"/>
    <w:rsid w:val="004216DA"/>
    <w:rsid w:val="00421B58"/>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6784"/>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3E5"/>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2B8"/>
    <w:rsid w:val="00515419"/>
    <w:rsid w:val="0051575B"/>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C56"/>
    <w:rsid w:val="00534D42"/>
    <w:rsid w:val="005350A5"/>
    <w:rsid w:val="00536379"/>
    <w:rsid w:val="00537238"/>
    <w:rsid w:val="005400C5"/>
    <w:rsid w:val="005404CD"/>
    <w:rsid w:val="00540BE0"/>
    <w:rsid w:val="00540BEF"/>
    <w:rsid w:val="00542B34"/>
    <w:rsid w:val="00542C9A"/>
    <w:rsid w:val="005436C2"/>
    <w:rsid w:val="00543BD5"/>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F0F"/>
    <w:rsid w:val="005854F9"/>
    <w:rsid w:val="00586EC6"/>
    <w:rsid w:val="00587DDE"/>
    <w:rsid w:val="0059303A"/>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048"/>
    <w:rsid w:val="005C4D72"/>
    <w:rsid w:val="005C50C1"/>
    <w:rsid w:val="005C62C2"/>
    <w:rsid w:val="005D2306"/>
    <w:rsid w:val="005D2562"/>
    <w:rsid w:val="005D2666"/>
    <w:rsid w:val="005D4548"/>
    <w:rsid w:val="005D4A74"/>
    <w:rsid w:val="005D5E91"/>
    <w:rsid w:val="005D67EF"/>
    <w:rsid w:val="005E0C47"/>
    <w:rsid w:val="005E3064"/>
    <w:rsid w:val="005E3BAB"/>
    <w:rsid w:val="005E54DC"/>
    <w:rsid w:val="005E5970"/>
    <w:rsid w:val="005E65DC"/>
    <w:rsid w:val="005E6AEE"/>
    <w:rsid w:val="005E72B2"/>
    <w:rsid w:val="005E79A0"/>
    <w:rsid w:val="005F097E"/>
    <w:rsid w:val="005F1115"/>
    <w:rsid w:val="005F1AB6"/>
    <w:rsid w:val="005F27F2"/>
    <w:rsid w:val="005F2B27"/>
    <w:rsid w:val="005F2DC3"/>
    <w:rsid w:val="005F3567"/>
    <w:rsid w:val="005F3AFE"/>
    <w:rsid w:val="005F424D"/>
    <w:rsid w:val="005F55F5"/>
    <w:rsid w:val="005F5899"/>
    <w:rsid w:val="005F5EC1"/>
    <w:rsid w:val="005F67A9"/>
    <w:rsid w:val="005F6B6D"/>
    <w:rsid w:val="005F73CA"/>
    <w:rsid w:val="006008F8"/>
    <w:rsid w:val="00600E50"/>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275A6"/>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0964"/>
    <w:rsid w:val="00661BA2"/>
    <w:rsid w:val="00662AD0"/>
    <w:rsid w:val="00662F08"/>
    <w:rsid w:val="00663589"/>
    <w:rsid w:val="00664427"/>
    <w:rsid w:val="00664840"/>
    <w:rsid w:val="006649CD"/>
    <w:rsid w:val="00665D75"/>
    <w:rsid w:val="006708E3"/>
    <w:rsid w:val="00670DDC"/>
    <w:rsid w:val="00671389"/>
    <w:rsid w:val="006718AD"/>
    <w:rsid w:val="00671EB4"/>
    <w:rsid w:val="00673CDC"/>
    <w:rsid w:val="0067443B"/>
    <w:rsid w:val="006770AA"/>
    <w:rsid w:val="0068098E"/>
    <w:rsid w:val="006810BD"/>
    <w:rsid w:val="00682486"/>
    <w:rsid w:val="006833A7"/>
    <w:rsid w:val="00684CE6"/>
    <w:rsid w:val="00684E2B"/>
    <w:rsid w:val="006857A0"/>
    <w:rsid w:val="00686AA3"/>
    <w:rsid w:val="00687511"/>
    <w:rsid w:val="00687C7E"/>
    <w:rsid w:val="00687D3D"/>
    <w:rsid w:val="00690569"/>
    <w:rsid w:val="00690FDA"/>
    <w:rsid w:val="00691E61"/>
    <w:rsid w:val="00692180"/>
    <w:rsid w:val="006937C6"/>
    <w:rsid w:val="00693C5E"/>
    <w:rsid w:val="00693CEE"/>
    <w:rsid w:val="00694EEA"/>
    <w:rsid w:val="006955B4"/>
    <w:rsid w:val="00695DEF"/>
    <w:rsid w:val="00696476"/>
    <w:rsid w:val="00696C74"/>
    <w:rsid w:val="00697C9B"/>
    <w:rsid w:val="006A10FA"/>
    <w:rsid w:val="006A12E0"/>
    <w:rsid w:val="006A273C"/>
    <w:rsid w:val="006A40E6"/>
    <w:rsid w:val="006A516B"/>
    <w:rsid w:val="006A5362"/>
    <w:rsid w:val="006A543A"/>
    <w:rsid w:val="006A5C07"/>
    <w:rsid w:val="006A75FA"/>
    <w:rsid w:val="006B07D5"/>
    <w:rsid w:val="006B121E"/>
    <w:rsid w:val="006B1309"/>
    <w:rsid w:val="006B31E6"/>
    <w:rsid w:val="006B3923"/>
    <w:rsid w:val="006B3F3E"/>
    <w:rsid w:val="006B4AA2"/>
    <w:rsid w:val="006B4C4D"/>
    <w:rsid w:val="006B5012"/>
    <w:rsid w:val="006B53C4"/>
    <w:rsid w:val="006B586B"/>
    <w:rsid w:val="006B5923"/>
    <w:rsid w:val="006B67D9"/>
    <w:rsid w:val="006B6C14"/>
    <w:rsid w:val="006B7159"/>
    <w:rsid w:val="006B715E"/>
    <w:rsid w:val="006C1D6E"/>
    <w:rsid w:val="006C2EF6"/>
    <w:rsid w:val="006C3A68"/>
    <w:rsid w:val="006C3A9E"/>
    <w:rsid w:val="006C3B08"/>
    <w:rsid w:val="006C65D0"/>
    <w:rsid w:val="006C6AB1"/>
    <w:rsid w:val="006C6E6B"/>
    <w:rsid w:val="006C73D4"/>
    <w:rsid w:val="006D01A8"/>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258F"/>
    <w:rsid w:val="006F45A0"/>
    <w:rsid w:val="006F4F06"/>
    <w:rsid w:val="006F570E"/>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034"/>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1916"/>
    <w:rsid w:val="0073254D"/>
    <w:rsid w:val="00733BA0"/>
    <w:rsid w:val="007340F3"/>
    <w:rsid w:val="007347BB"/>
    <w:rsid w:val="00735704"/>
    <w:rsid w:val="00736A49"/>
    <w:rsid w:val="007419A1"/>
    <w:rsid w:val="0074240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5679B"/>
    <w:rsid w:val="00760E99"/>
    <w:rsid w:val="0076100C"/>
    <w:rsid w:val="007612A5"/>
    <w:rsid w:val="00763CAE"/>
    <w:rsid w:val="00763F95"/>
    <w:rsid w:val="007651ED"/>
    <w:rsid w:val="00766761"/>
    <w:rsid w:val="00766C87"/>
    <w:rsid w:val="007704CA"/>
    <w:rsid w:val="00771043"/>
    <w:rsid w:val="0077272B"/>
    <w:rsid w:val="00773AF7"/>
    <w:rsid w:val="00774FFD"/>
    <w:rsid w:val="00780378"/>
    <w:rsid w:val="0078085E"/>
    <w:rsid w:val="007812C5"/>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36DF"/>
    <w:rsid w:val="00794ADE"/>
    <w:rsid w:val="00794F3D"/>
    <w:rsid w:val="00795CE9"/>
    <w:rsid w:val="00796045"/>
    <w:rsid w:val="007968AC"/>
    <w:rsid w:val="007969AB"/>
    <w:rsid w:val="007973D8"/>
    <w:rsid w:val="00797801"/>
    <w:rsid w:val="007A0861"/>
    <w:rsid w:val="007A0B39"/>
    <w:rsid w:val="007A14A4"/>
    <w:rsid w:val="007A168F"/>
    <w:rsid w:val="007A18FE"/>
    <w:rsid w:val="007A2346"/>
    <w:rsid w:val="007A28E4"/>
    <w:rsid w:val="007A2DFE"/>
    <w:rsid w:val="007A3BB3"/>
    <w:rsid w:val="007A3F91"/>
    <w:rsid w:val="007A3F9C"/>
    <w:rsid w:val="007A5AD1"/>
    <w:rsid w:val="007A5B7B"/>
    <w:rsid w:val="007A65A9"/>
    <w:rsid w:val="007A72E1"/>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E5D"/>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DDE"/>
    <w:rsid w:val="007E71B1"/>
    <w:rsid w:val="007E7B4E"/>
    <w:rsid w:val="007E7F02"/>
    <w:rsid w:val="007F0292"/>
    <w:rsid w:val="007F0722"/>
    <w:rsid w:val="007F0837"/>
    <w:rsid w:val="007F0AB7"/>
    <w:rsid w:val="007F0CE2"/>
    <w:rsid w:val="007F0EFF"/>
    <w:rsid w:val="007F1375"/>
    <w:rsid w:val="007F1AFD"/>
    <w:rsid w:val="007F30E4"/>
    <w:rsid w:val="007F7E8A"/>
    <w:rsid w:val="0080064F"/>
    <w:rsid w:val="00801B85"/>
    <w:rsid w:val="00803850"/>
    <w:rsid w:val="008039E8"/>
    <w:rsid w:val="00804385"/>
    <w:rsid w:val="00804E0E"/>
    <w:rsid w:val="008051EB"/>
    <w:rsid w:val="0080588E"/>
    <w:rsid w:val="00805AFD"/>
    <w:rsid w:val="00806397"/>
    <w:rsid w:val="008078D8"/>
    <w:rsid w:val="0080798E"/>
    <w:rsid w:val="00810DBF"/>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276B"/>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00A"/>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6F1"/>
    <w:rsid w:val="00875B50"/>
    <w:rsid w:val="00875B51"/>
    <w:rsid w:val="00875F2D"/>
    <w:rsid w:val="008762E7"/>
    <w:rsid w:val="008764DC"/>
    <w:rsid w:val="008768E5"/>
    <w:rsid w:val="00882CC2"/>
    <w:rsid w:val="00883103"/>
    <w:rsid w:val="0088325A"/>
    <w:rsid w:val="00883930"/>
    <w:rsid w:val="00883B14"/>
    <w:rsid w:val="00884535"/>
    <w:rsid w:val="00887AF1"/>
    <w:rsid w:val="008902BE"/>
    <w:rsid w:val="0089038F"/>
    <w:rsid w:val="00890CDA"/>
    <w:rsid w:val="00891BBA"/>
    <w:rsid w:val="00892079"/>
    <w:rsid w:val="008928AB"/>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195"/>
    <w:rsid w:val="008B04DB"/>
    <w:rsid w:val="008B09B4"/>
    <w:rsid w:val="008B1B11"/>
    <w:rsid w:val="008B1CA0"/>
    <w:rsid w:val="008B1DF4"/>
    <w:rsid w:val="008B27FD"/>
    <w:rsid w:val="008B2FDB"/>
    <w:rsid w:val="008B3AF2"/>
    <w:rsid w:val="008B446D"/>
    <w:rsid w:val="008B515D"/>
    <w:rsid w:val="008B5D31"/>
    <w:rsid w:val="008B6705"/>
    <w:rsid w:val="008B710C"/>
    <w:rsid w:val="008C22F3"/>
    <w:rsid w:val="008C2AFE"/>
    <w:rsid w:val="008C3223"/>
    <w:rsid w:val="008C3FD0"/>
    <w:rsid w:val="008C4193"/>
    <w:rsid w:val="008C4F01"/>
    <w:rsid w:val="008C5152"/>
    <w:rsid w:val="008C6645"/>
    <w:rsid w:val="008C6E7A"/>
    <w:rsid w:val="008C710E"/>
    <w:rsid w:val="008D00AC"/>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1CB"/>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0FAA"/>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335"/>
    <w:rsid w:val="00942645"/>
    <w:rsid w:val="009461E6"/>
    <w:rsid w:val="00950A3A"/>
    <w:rsid w:val="00952CC5"/>
    <w:rsid w:val="0095340A"/>
    <w:rsid w:val="00953AF6"/>
    <w:rsid w:val="0095423E"/>
    <w:rsid w:val="00954581"/>
    <w:rsid w:val="0095466C"/>
    <w:rsid w:val="00954E5B"/>
    <w:rsid w:val="00955100"/>
    <w:rsid w:val="00955316"/>
    <w:rsid w:val="00955E45"/>
    <w:rsid w:val="00955EB1"/>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3EA9"/>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3E3E"/>
    <w:rsid w:val="009B4963"/>
    <w:rsid w:val="009B4A3B"/>
    <w:rsid w:val="009B57BA"/>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52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23C"/>
    <w:rsid w:val="00A47CF1"/>
    <w:rsid w:val="00A50418"/>
    <w:rsid w:val="00A50B17"/>
    <w:rsid w:val="00A53A9B"/>
    <w:rsid w:val="00A54A47"/>
    <w:rsid w:val="00A56D26"/>
    <w:rsid w:val="00A56F28"/>
    <w:rsid w:val="00A571A7"/>
    <w:rsid w:val="00A5749A"/>
    <w:rsid w:val="00A575E1"/>
    <w:rsid w:val="00A57BA8"/>
    <w:rsid w:val="00A57C35"/>
    <w:rsid w:val="00A608FB"/>
    <w:rsid w:val="00A60AF4"/>
    <w:rsid w:val="00A60D83"/>
    <w:rsid w:val="00A60F68"/>
    <w:rsid w:val="00A63DF3"/>
    <w:rsid w:val="00A64886"/>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2AEB"/>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C8D"/>
    <w:rsid w:val="00AA3D75"/>
    <w:rsid w:val="00AA493E"/>
    <w:rsid w:val="00AA73AF"/>
    <w:rsid w:val="00AB062D"/>
    <w:rsid w:val="00AB0A8A"/>
    <w:rsid w:val="00AB1754"/>
    <w:rsid w:val="00AB1F8D"/>
    <w:rsid w:val="00AB27DD"/>
    <w:rsid w:val="00AB4BA4"/>
    <w:rsid w:val="00AB592E"/>
    <w:rsid w:val="00AC0C1C"/>
    <w:rsid w:val="00AC1305"/>
    <w:rsid w:val="00AC36C6"/>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0F1"/>
    <w:rsid w:val="00AE2540"/>
    <w:rsid w:val="00AE2CF4"/>
    <w:rsid w:val="00AE2D29"/>
    <w:rsid w:val="00AE2F15"/>
    <w:rsid w:val="00AE413F"/>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3E1"/>
    <w:rsid w:val="00B06930"/>
    <w:rsid w:val="00B0773A"/>
    <w:rsid w:val="00B07846"/>
    <w:rsid w:val="00B07955"/>
    <w:rsid w:val="00B1176B"/>
    <w:rsid w:val="00B140B8"/>
    <w:rsid w:val="00B14FAA"/>
    <w:rsid w:val="00B15BED"/>
    <w:rsid w:val="00B15D30"/>
    <w:rsid w:val="00B15F09"/>
    <w:rsid w:val="00B16D18"/>
    <w:rsid w:val="00B177DE"/>
    <w:rsid w:val="00B20624"/>
    <w:rsid w:val="00B21F2F"/>
    <w:rsid w:val="00B2299F"/>
    <w:rsid w:val="00B23436"/>
    <w:rsid w:val="00B237F1"/>
    <w:rsid w:val="00B23F10"/>
    <w:rsid w:val="00B24328"/>
    <w:rsid w:val="00B24ED4"/>
    <w:rsid w:val="00B24F33"/>
    <w:rsid w:val="00B26354"/>
    <w:rsid w:val="00B26CA0"/>
    <w:rsid w:val="00B27561"/>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05E9"/>
    <w:rsid w:val="00B522CD"/>
    <w:rsid w:val="00B54430"/>
    <w:rsid w:val="00B55143"/>
    <w:rsid w:val="00B553B2"/>
    <w:rsid w:val="00B555C8"/>
    <w:rsid w:val="00B55917"/>
    <w:rsid w:val="00B55D87"/>
    <w:rsid w:val="00B5646A"/>
    <w:rsid w:val="00B56F3D"/>
    <w:rsid w:val="00B57921"/>
    <w:rsid w:val="00B57E78"/>
    <w:rsid w:val="00B57EB8"/>
    <w:rsid w:val="00B609F6"/>
    <w:rsid w:val="00B60BD0"/>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85345"/>
    <w:rsid w:val="00B8773C"/>
    <w:rsid w:val="00B91676"/>
    <w:rsid w:val="00B92500"/>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2BF2"/>
    <w:rsid w:val="00BB45B5"/>
    <w:rsid w:val="00BB4DDE"/>
    <w:rsid w:val="00BB6064"/>
    <w:rsid w:val="00BB65CE"/>
    <w:rsid w:val="00BB6B14"/>
    <w:rsid w:val="00BB7012"/>
    <w:rsid w:val="00BC09D1"/>
    <w:rsid w:val="00BC1CF3"/>
    <w:rsid w:val="00BC2BE0"/>
    <w:rsid w:val="00BC32A0"/>
    <w:rsid w:val="00BC3573"/>
    <w:rsid w:val="00BC5860"/>
    <w:rsid w:val="00BC7F82"/>
    <w:rsid w:val="00BD1844"/>
    <w:rsid w:val="00BD2193"/>
    <w:rsid w:val="00BD2A49"/>
    <w:rsid w:val="00BD3683"/>
    <w:rsid w:val="00BD40AB"/>
    <w:rsid w:val="00BD40DE"/>
    <w:rsid w:val="00BD6297"/>
    <w:rsid w:val="00BD6806"/>
    <w:rsid w:val="00BD6939"/>
    <w:rsid w:val="00BD7433"/>
    <w:rsid w:val="00BD7831"/>
    <w:rsid w:val="00BD7C10"/>
    <w:rsid w:val="00BE046F"/>
    <w:rsid w:val="00BE0DEB"/>
    <w:rsid w:val="00BE229C"/>
    <w:rsid w:val="00BE29A9"/>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4FDA"/>
    <w:rsid w:val="00C157AA"/>
    <w:rsid w:val="00C162E1"/>
    <w:rsid w:val="00C16BE4"/>
    <w:rsid w:val="00C16E9F"/>
    <w:rsid w:val="00C1713D"/>
    <w:rsid w:val="00C17523"/>
    <w:rsid w:val="00C177F1"/>
    <w:rsid w:val="00C17EE6"/>
    <w:rsid w:val="00C217F7"/>
    <w:rsid w:val="00C2272E"/>
    <w:rsid w:val="00C22F3A"/>
    <w:rsid w:val="00C23311"/>
    <w:rsid w:val="00C24AD9"/>
    <w:rsid w:val="00C251CB"/>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5D6E"/>
    <w:rsid w:val="00C4652E"/>
    <w:rsid w:val="00C472C7"/>
    <w:rsid w:val="00C5019E"/>
    <w:rsid w:val="00C50C8C"/>
    <w:rsid w:val="00C51962"/>
    <w:rsid w:val="00C5377C"/>
    <w:rsid w:val="00C53C69"/>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3E"/>
    <w:rsid w:val="00C932C5"/>
    <w:rsid w:val="00C94CB6"/>
    <w:rsid w:val="00C95299"/>
    <w:rsid w:val="00C95A72"/>
    <w:rsid w:val="00C9650E"/>
    <w:rsid w:val="00C96B78"/>
    <w:rsid w:val="00C97000"/>
    <w:rsid w:val="00C975BD"/>
    <w:rsid w:val="00CA068D"/>
    <w:rsid w:val="00CA08DF"/>
    <w:rsid w:val="00CA1228"/>
    <w:rsid w:val="00CA1C73"/>
    <w:rsid w:val="00CA282D"/>
    <w:rsid w:val="00CA361D"/>
    <w:rsid w:val="00CA3F73"/>
    <w:rsid w:val="00CA4670"/>
    <w:rsid w:val="00CA5F89"/>
    <w:rsid w:val="00CA68EE"/>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E4326"/>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5589"/>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105"/>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92B"/>
    <w:rsid w:val="00D91040"/>
    <w:rsid w:val="00D910C2"/>
    <w:rsid w:val="00D9168C"/>
    <w:rsid w:val="00D9189B"/>
    <w:rsid w:val="00D91DA6"/>
    <w:rsid w:val="00D921A0"/>
    <w:rsid w:val="00D93A41"/>
    <w:rsid w:val="00D93B9A"/>
    <w:rsid w:val="00D95984"/>
    <w:rsid w:val="00D95C64"/>
    <w:rsid w:val="00D9706F"/>
    <w:rsid w:val="00D972D4"/>
    <w:rsid w:val="00DA0336"/>
    <w:rsid w:val="00DA09FD"/>
    <w:rsid w:val="00DA0FE3"/>
    <w:rsid w:val="00DA169E"/>
    <w:rsid w:val="00DA195B"/>
    <w:rsid w:val="00DA27F3"/>
    <w:rsid w:val="00DA2D1E"/>
    <w:rsid w:val="00DA3EC8"/>
    <w:rsid w:val="00DA40C1"/>
    <w:rsid w:val="00DA5564"/>
    <w:rsid w:val="00DA5580"/>
    <w:rsid w:val="00DA6B55"/>
    <w:rsid w:val="00DA6B97"/>
    <w:rsid w:val="00DA6CEE"/>
    <w:rsid w:val="00DB0015"/>
    <w:rsid w:val="00DB0359"/>
    <w:rsid w:val="00DB0ABB"/>
    <w:rsid w:val="00DB1D01"/>
    <w:rsid w:val="00DB2AAD"/>
    <w:rsid w:val="00DB44E2"/>
    <w:rsid w:val="00DB4A6D"/>
    <w:rsid w:val="00DB5941"/>
    <w:rsid w:val="00DB626D"/>
    <w:rsid w:val="00DB6365"/>
    <w:rsid w:val="00DB756C"/>
    <w:rsid w:val="00DC07B7"/>
    <w:rsid w:val="00DC0BF1"/>
    <w:rsid w:val="00DC1607"/>
    <w:rsid w:val="00DC17F2"/>
    <w:rsid w:val="00DC1A24"/>
    <w:rsid w:val="00DC4001"/>
    <w:rsid w:val="00DC41C3"/>
    <w:rsid w:val="00DC4A3C"/>
    <w:rsid w:val="00DC4FA4"/>
    <w:rsid w:val="00DC5B37"/>
    <w:rsid w:val="00DD286D"/>
    <w:rsid w:val="00DD2CAF"/>
    <w:rsid w:val="00DD3593"/>
    <w:rsid w:val="00DD5B35"/>
    <w:rsid w:val="00DD64E0"/>
    <w:rsid w:val="00DD775C"/>
    <w:rsid w:val="00DD7BE0"/>
    <w:rsid w:val="00DD7EBD"/>
    <w:rsid w:val="00DE0C67"/>
    <w:rsid w:val="00DE3AAD"/>
    <w:rsid w:val="00DE598A"/>
    <w:rsid w:val="00DE6952"/>
    <w:rsid w:val="00DE6FBE"/>
    <w:rsid w:val="00DE7A7D"/>
    <w:rsid w:val="00DE7E74"/>
    <w:rsid w:val="00DF071B"/>
    <w:rsid w:val="00DF377F"/>
    <w:rsid w:val="00DF5C84"/>
    <w:rsid w:val="00DF5EC0"/>
    <w:rsid w:val="00DF6EF8"/>
    <w:rsid w:val="00DF6EFE"/>
    <w:rsid w:val="00E00A69"/>
    <w:rsid w:val="00E017BC"/>
    <w:rsid w:val="00E017F0"/>
    <w:rsid w:val="00E01A0E"/>
    <w:rsid w:val="00E025FE"/>
    <w:rsid w:val="00E033BA"/>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2B34"/>
    <w:rsid w:val="00E2421B"/>
    <w:rsid w:val="00E242AF"/>
    <w:rsid w:val="00E24849"/>
    <w:rsid w:val="00E2536E"/>
    <w:rsid w:val="00E25A99"/>
    <w:rsid w:val="00E25B8A"/>
    <w:rsid w:val="00E25EF8"/>
    <w:rsid w:val="00E2632B"/>
    <w:rsid w:val="00E26F75"/>
    <w:rsid w:val="00E27423"/>
    <w:rsid w:val="00E3077F"/>
    <w:rsid w:val="00E31D06"/>
    <w:rsid w:val="00E322F7"/>
    <w:rsid w:val="00E3369B"/>
    <w:rsid w:val="00E362D2"/>
    <w:rsid w:val="00E36D76"/>
    <w:rsid w:val="00E4033B"/>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32A4"/>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2C6A"/>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32C1"/>
    <w:rsid w:val="00ED4773"/>
    <w:rsid w:val="00ED5284"/>
    <w:rsid w:val="00ED664B"/>
    <w:rsid w:val="00ED6A61"/>
    <w:rsid w:val="00ED768E"/>
    <w:rsid w:val="00ED7DA4"/>
    <w:rsid w:val="00EE03BB"/>
    <w:rsid w:val="00EE0552"/>
    <w:rsid w:val="00EE08C8"/>
    <w:rsid w:val="00EE0B44"/>
    <w:rsid w:val="00EE125D"/>
    <w:rsid w:val="00EE199F"/>
    <w:rsid w:val="00EE1AEC"/>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6813"/>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84"/>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86316"/>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27"/>
    <w:rsid w:val="00FA54F8"/>
    <w:rsid w:val="00FA6460"/>
    <w:rsid w:val="00FA78C8"/>
    <w:rsid w:val="00FA7A2F"/>
    <w:rsid w:val="00FB09FE"/>
    <w:rsid w:val="00FB0E80"/>
    <w:rsid w:val="00FB101D"/>
    <w:rsid w:val="00FB1725"/>
    <w:rsid w:val="00FB1957"/>
    <w:rsid w:val="00FB2493"/>
    <w:rsid w:val="00FB42B7"/>
    <w:rsid w:val="00FB4484"/>
    <w:rsid w:val="00FB593A"/>
    <w:rsid w:val="00FB6410"/>
    <w:rsid w:val="00FB6E82"/>
    <w:rsid w:val="00FB792E"/>
    <w:rsid w:val="00FB7CF0"/>
    <w:rsid w:val="00FC0042"/>
    <w:rsid w:val="00FC178C"/>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22"/>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rsid w:val="00810DBF"/>
    <w:pPr>
      <w:spacing w:after="120" w:line="480" w:lineRule="auto"/>
    </w:pPr>
  </w:style>
  <w:style w:type="character" w:customStyle="1" w:styleId="BodyText2Char">
    <w:name w:val="Body Text 2 Char"/>
    <w:basedOn w:val="DefaultParagraphFont"/>
    <w:link w:val="BodyText2"/>
    <w:rsid w:val="00810DB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62727420">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6387596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10017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F882-B451-461E-8C0E-02A3ECA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2012-05-10T14:40:00Z</dcterms:created>
  <dcterms:modified xsi:type="dcterms:W3CDTF">2012-05-10T14:40:00Z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