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2C11F7" w:rsidRDefault="00F629C0" w:rsidP="003156DF">
      <w:pPr>
        <w:tabs>
          <w:tab w:val="left" w:pos="288"/>
          <w:tab w:val="left" w:pos="4680"/>
          <w:tab w:val="left" w:pos="5130"/>
          <w:tab w:val="left" w:pos="6300"/>
          <w:tab w:val="left" w:pos="9270"/>
        </w:tabs>
        <w:spacing w:line="240" w:lineRule="exact"/>
        <w:rPr>
          <w:rFonts w:asciiTheme="minorHAnsi" w:hAnsiTheme="minorHAnsi"/>
          <w:caps/>
          <w:color w:val="auto"/>
        </w:rPr>
      </w:pPr>
      <w:r w:rsidRPr="002C11F7">
        <w:rPr>
          <w:rFonts w:asciiTheme="minorHAnsi" w:hAnsiTheme="minorHAnsi"/>
          <w:caps/>
          <w:color w:val="auto"/>
        </w:rPr>
        <w:t xml:space="preserve">NAME:  </w:t>
      </w:r>
      <w:r w:rsidR="004216DA" w:rsidRPr="002C11F7">
        <w:rPr>
          <w:rFonts w:asciiTheme="minorHAnsi" w:hAnsiTheme="minorHAnsi"/>
          <w:caps/>
          <w:color w:val="auto"/>
        </w:rPr>
        <w:t xml:space="preserve">            </w:t>
      </w:r>
      <w:r w:rsidR="00332DE3" w:rsidRPr="002C11F7">
        <w:rPr>
          <w:rFonts w:asciiTheme="minorHAnsi" w:hAnsiTheme="minorHAnsi"/>
          <w:caps/>
          <w:color w:val="auto"/>
        </w:rPr>
        <w:t xml:space="preserve"> </w:t>
      </w:r>
      <w:r w:rsidR="007949FE" w:rsidRPr="002C11F7">
        <w:rPr>
          <w:rFonts w:asciiTheme="minorHAnsi" w:hAnsiTheme="minorHAnsi"/>
          <w:caps/>
          <w:color w:val="auto"/>
        </w:rPr>
        <w:t xml:space="preserve"> </w:t>
      </w:r>
      <w:r w:rsidR="007949FE" w:rsidRPr="002C11F7">
        <w:rPr>
          <w:rFonts w:asciiTheme="minorHAnsi" w:hAnsiTheme="minorHAnsi"/>
          <w:caps/>
          <w:color w:val="auto"/>
        </w:rPr>
        <w:tab/>
      </w:r>
      <w:r w:rsidR="00C1170C">
        <w:rPr>
          <w:rFonts w:asciiTheme="minorHAnsi" w:hAnsiTheme="minorHAnsi"/>
          <w:caps/>
          <w:color w:val="auto"/>
        </w:rPr>
        <w:t xml:space="preserve">                             </w:t>
      </w:r>
      <w:r w:rsidRPr="002C11F7">
        <w:rPr>
          <w:rFonts w:asciiTheme="minorHAnsi" w:hAnsiTheme="minorHAnsi"/>
          <w:caps/>
          <w:color w:val="auto"/>
        </w:rPr>
        <w:t xml:space="preserve">BRANCH OF SERVICE: </w:t>
      </w:r>
      <w:r w:rsidR="004C24C5" w:rsidRPr="002C11F7">
        <w:rPr>
          <w:rFonts w:asciiTheme="minorHAnsi" w:hAnsiTheme="minorHAnsi"/>
          <w:caps/>
          <w:color w:val="auto"/>
        </w:rPr>
        <w:t xml:space="preserve"> </w:t>
      </w:r>
      <w:r w:rsidR="00332DE3" w:rsidRPr="002C11F7">
        <w:rPr>
          <w:rFonts w:asciiTheme="minorHAnsi" w:hAnsiTheme="minorHAnsi"/>
          <w:caps/>
          <w:color w:val="auto"/>
        </w:rPr>
        <w:t>Army</w:t>
      </w:r>
    </w:p>
    <w:p w:rsidR="00DE3AAD" w:rsidRPr="002C11F7" w:rsidRDefault="00012733" w:rsidP="003156DF">
      <w:pPr>
        <w:tabs>
          <w:tab w:val="left" w:pos="288"/>
          <w:tab w:val="left" w:pos="4680"/>
          <w:tab w:val="left" w:pos="5130"/>
          <w:tab w:val="left" w:pos="6300"/>
          <w:tab w:val="left" w:pos="9270"/>
        </w:tabs>
        <w:spacing w:line="240" w:lineRule="exact"/>
        <w:rPr>
          <w:rFonts w:asciiTheme="minorHAnsi" w:hAnsiTheme="minorHAnsi"/>
          <w:caps/>
          <w:color w:val="auto"/>
        </w:rPr>
      </w:pPr>
      <w:r w:rsidRPr="002C11F7">
        <w:rPr>
          <w:rFonts w:asciiTheme="minorHAnsi" w:hAnsiTheme="minorHAnsi"/>
          <w:caps/>
          <w:color w:val="auto"/>
        </w:rPr>
        <w:t>C</w:t>
      </w:r>
      <w:r w:rsidR="00DE3AAD" w:rsidRPr="002C11F7">
        <w:rPr>
          <w:rFonts w:asciiTheme="minorHAnsi" w:hAnsiTheme="minorHAnsi"/>
          <w:caps/>
          <w:color w:val="auto"/>
        </w:rPr>
        <w:t>ASE NUMBER:  PD</w:t>
      </w:r>
      <w:r w:rsidR="007949FE" w:rsidRPr="002C11F7">
        <w:rPr>
          <w:rFonts w:asciiTheme="minorHAnsi" w:hAnsiTheme="minorHAnsi"/>
          <w:caps/>
          <w:color w:val="auto"/>
        </w:rPr>
        <w:t xml:space="preserve">1001171       </w:t>
      </w:r>
      <w:r w:rsidR="007949FE" w:rsidRPr="002C11F7">
        <w:rPr>
          <w:rFonts w:asciiTheme="minorHAnsi" w:hAnsiTheme="minorHAnsi"/>
          <w:caps/>
          <w:color w:val="auto"/>
        </w:rPr>
        <w:tab/>
        <w:t>Date of Placement on TDRL:  200</w:t>
      </w:r>
      <w:r w:rsidR="003156DF" w:rsidRPr="002C11F7">
        <w:rPr>
          <w:rFonts w:asciiTheme="minorHAnsi" w:hAnsiTheme="minorHAnsi"/>
          <w:caps/>
          <w:color w:val="auto"/>
        </w:rPr>
        <w:t>5090</w:t>
      </w:r>
      <w:r w:rsidR="00AC7A79" w:rsidRPr="002C11F7">
        <w:rPr>
          <w:rFonts w:asciiTheme="minorHAnsi" w:hAnsiTheme="minorHAnsi"/>
          <w:caps/>
          <w:color w:val="auto"/>
        </w:rPr>
        <w:t>5</w:t>
      </w:r>
      <w:r w:rsidR="00DE3AAD" w:rsidRPr="002C11F7">
        <w:rPr>
          <w:rFonts w:asciiTheme="minorHAnsi" w:hAnsiTheme="minorHAnsi"/>
          <w:color w:val="auto"/>
        </w:rPr>
        <w:t xml:space="preserve">    </w:t>
      </w:r>
      <w:r w:rsidR="004D7B6F" w:rsidRPr="002C11F7">
        <w:rPr>
          <w:rFonts w:asciiTheme="minorHAnsi" w:hAnsiTheme="minorHAnsi"/>
          <w:color w:val="auto"/>
        </w:rPr>
        <w:t xml:space="preserve">         </w:t>
      </w:r>
    </w:p>
    <w:p w:rsidR="004F3639" w:rsidRPr="002C11F7" w:rsidRDefault="004F3639" w:rsidP="003156DF">
      <w:pPr>
        <w:tabs>
          <w:tab w:val="left" w:pos="288"/>
          <w:tab w:val="left" w:pos="4680"/>
          <w:tab w:val="left" w:pos="5040"/>
        </w:tabs>
        <w:spacing w:line="240" w:lineRule="exact"/>
        <w:rPr>
          <w:rFonts w:asciiTheme="minorHAnsi" w:hAnsiTheme="minorHAnsi"/>
          <w:color w:val="auto"/>
        </w:rPr>
      </w:pPr>
      <w:r w:rsidRPr="002C11F7">
        <w:rPr>
          <w:rFonts w:asciiTheme="minorHAnsi" w:hAnsiTheme="minorHAnsi"/>
          <w:caps/>
          <w:color w:val="auto"/>
        </w:rPr>
        <w:t>BOARD DATE:  2011</w:t>
      </w:r>
      <w:r w:rsidR="009E6B34" w:rsidRPr="002C11F7">
        <w:rPr>
          <w:rFonts w:asciiTheme="minorHAnsi" w:hAnsiTheme="minorHAnsi"/>
          <w:caps/>
          <w:color w:val="auto"/>
        </w:rPr>
        <w:t>1218</w:t>
      </w:r>
      <w:r w:rsidR="004D7B6F" w:rsidRPr="002C11F7">
        <w:rPr>
          <w:rFonts w:asciiTheme="minorHAnsi" w:hAnsiTheme="minorHAnsi"/>
          <w:caps/>
          <w:color w:val="auto"/>
        </w:rPr>
        <w:t xml:space="preserve">                              </w:t>
      </w:r>
      <w:r w:rsidR="007949FE" w:rsidRPr="002C11F7">
        <w:rPr>
          <w:rFonts w:asciiTheme="minorHAnsi" w:hAnsiTheme="minorHAnsi"/>
          <w:caps/>
          <w:color w:val="auto"/>
        </w:rPr>
        <w:tab/>
      </w:r>
      <w:r w:rsidR="007949FE" w:rsidRPr="002C11F7">
        <w:rPr>
          <w:rFonts w:asciiTheme="minorHAnsi" w:hAnsiTheme="minorHAnsi"/>
          <w:color w:val="auto"/>
        </w:rPr>
        <w:t>DATE OF PERMANENT SEPARATION:  200</w:t>
      </w:r>
      <w:r w:rsidR="00DA0434" w:rsidRPr="002C11F7">
        <w:rPr>
          <w:rFonts w:asciiTheme="minorHAnsi" w:hAnsiTheme="minorHAnsi"/>
          <w:color w:val="auto"/>
        </w:rPr>
        <w:t>70309</w:t>
      </w:r>
    </w:p>
    <w:p w:rsidR="008E0D8F" w:rsidRPr="002C11F7"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2C11F7" w:rsidRDefault="003F1206" w:rsidP="00510F9C">
      <w:pPr>
        <w:tabs>
          <w:tab w:val="left" w:pos="288"/>
          <w:tab w:val="left" w:pos="4752"/>
        </w:tabs>
        <w:spacing w:line="240" w:lineRule="exact"/>
        <w:jc w:val="both"/>
        <w:rPr>
          <w:rFonts w:asciiTheme="minorHAnsi" w:hAnsiTheme="minorHAnsi"/>
          <w:color w:val="auto"/>
        </w:rPr>
      </w:pPr>
    </w:p>
    <w:p w:rsidR="00EB05CA" w:rsidRDefault="00EB05CA" w:rsidP="00EB05CA">
      <w:pPr>
        <w:tabs>
          <w:tab w:val="left" w:pos="288"/>
          <w:tab w:val="left" w:pos="4752"/>
        </w:tabs>
        <w:spacing w:line="240" w:lineRule="exact"/>
        <w:jc w:val="both"/>
        <w:rPr>
          <w:rFonts w:asciiTheme="minorHAnsi" w:hAnsiTheme="minorHAnsi"/>
          <w:color w:val="auto"/>
        </w:rPr>
      </w:pPr>
      <w:r w:rsidRPr="002C11F7">
        <w:rPr>
          <w:rFonts w:asciiTheme="minorHAnsi" w:hAnsiTheme="minorHAnsi"/>
          <w:color w:val="auto"/>
          <w:u w:val="single"/>
        </w:rPr>
        <w:t>SUMMARY OF CASE</w:t>
      </w:r>
      <w:r w:rsidRPr="002C11F7">
        <w:rPr>
          <w:rFonts w:asciiTheme="minorHAnsi" w:hAnsiTheme="minorHAnsi"/>
          <w:color w:val="auto"/>
        </w:rPr>
        <w:t xml:space="preserve">:  Data extracted from the available evidence of record reflects that this covered individual (CI) </w:t>
      </w:r>
      <w:r w:rsidRPr="002C11F7">
        <w:rPr>
          <w:rFonts w:asciiTheme="minorHAnsi" w:hAnsiTheme="minorHAnsi"/>
          <w:color w:val="auto"/>
          <w:szCs w:val="24"/>
        </w:rPr>
        <w:t>was an active duty SPC/E-4 (25U, Signal Support) medically separated for asthma</w:t>
      </w:r>
      <w:r w:rsidRPr="002C11F7">
        <w:rPr>
          <w:rFonts w:asciiTheme="minorHAnsi" w:hAnsiTheme="minorHAnsi"/>
          <w:i/>
          <w:color w:val="auto"/>
          <w:szCs w:val="24"/>
        </w:rPr>
        <w:t>.</w:t>
      </w:r>
      <w:r w:rsidRPr="002C11F7">
        <w:rPr>
          <w:rFonts w:asciiTheme="minorHAnsi" w:hAnsiTheme="minorHAnsi"/>
          <w:color w:val="auto"/>
          <w:szCs w:val="24"/>
        </w:rPr>
        <w:t xml:space="preserve">  The CI stated that he had no history of respiratory problems until returning from a 2003-2004 deployment to Kuwait.  He was diagnosed with asthma by pulmonary function testing (PFT), and did not respond adequately to treatment for co</w:t>
      </w:r>
      <w:r w:rsidR="0066606F">
        <w:rPr>
          <w:rFonts w:asciiTheme="minorHAnsi" w:hAnsiTheme="minorHAnsi"/>
          <w:color w:val="auto"/>
          <w:szCs w:val="24"/>
        </w:rPr>
        <w:t>ntinued performance within his m</w:t>
      </w:r>
      <w:r w:rsidRPr="002C11F7">
        <w:rPr>
          <w:rFonts w:asciiTheme="minorHAnsi" w:hAnsiTheme="minorHAnsi"/>
          <w:color w:val="auto"/>
          <w:szCs w:val="24"/>
        </w:rPr>
        <w:t xml:space="preserve">ilitary </w:t>
      </w:r>
      <w:r w:rsidR="0066606F">
        <w:rPr>
          <w:rFonts w:asciiTheme="minorHAnsi" w:hAnsiTheme="minorHAnsi"/>
          <w:color w:val="auto"/>
          <w:szCs w:val="24"/>
        </w:rPr>
        <w:t>o</w:t>
      </w:r>
      <w:r w:rsidRPr="002C11F7">
        <w:rPr>
          <w:rFonts w:asciiTheme="minorHAnsi" w:hAnsiTheme="minorHAnsi"/>
          <w:color w:val="auto"/>
          <w:szCs w:val="24"/>
        </w:rPr>
        <w:t xml:space="preserve">ccupational </w:t>
      </w:r>
      <w:r w:rsidR="0066606F">
        <w:rPr>
          <w:rFonts w:asciiTheme="minorHAnsi" w:hAnsiTheme="minorHAnsi"/>
          <w:color w:val="auto"/>
          <w:szCs w:val="24"/>
        </w:rPr>
        <w:t>s</w:t>
      </w:r>
      <w:r w:rsidRPr="002C11F7">
        <w:rPr>
          <w:rFonts w:asciiTheme="minorHAnsi" w:hAnsiTheme="minorHAnsi"/>
          <w:color w:val="auto"/>
          <w:szCs w:val="24"/>
        </w:rPr>
        <w:t>pecialty (MOS).  He was issued a permanent P3 profile and underwent a Medical Evaluation Board (MEB).  Asthma</w:t>
      </w:r>
      <w:r w:rsidR="00DA3BD9" w:rsidRPr="002C11F7">
        <w:rPr>
          <w:rFonts w:asciiTheme="minorHAnsi" w:hAnsiTheme="minorHAnsi"/>
          <w:color w:val="auto"/>
          <w:szCs w:val="24"/>
        </w:rPr>
        <w:t xml:space="preserve"> </w:t>
      </w:r>
      <w:r w:rsidRPr="002C11F7">
        <w:rPr>
          <w:rFonts w:asciiTheme="minorHAnsi" w:hAnsiTheme="minorHAnsi"/>
          <w:color w:val="auto"/>
          <w:szCs w:val="24"/>
        </w:rPr>
        <w:t xml:space="preserve">was forwarded to the Physical Evaluation Board (PEB) as </w:t>
      </w:r>
      <w:r w:rsidR="00DA3BD9" w:rsidRPr="002C11F7">
        <w:rPr>
          <w:rFonts w:asciiTheme="minorHAnsi" w:hAnsiTheme="minorHAnsi"/>
          <w:color w:val="auto"/>
          <w:szCs w:val="24"/>
        </w:rPr>
        <w:t xml:space="preserve">a </w:t>
      </w:r>
      <w:r w:rsidRPr="002C11F7">
        <w:rPr>
          <w:rFonts w:asciiTheme="minorHAnsi" w:hAnsiTheme="minorHAnsi"/>
          <w:color w:val="auto"/>
          <w:szCs w:val="24"/>
        </w:rPr>
        <w:t xml:space="preserve">medically unacceptable </w:t>
      </w:r>
      <w:r w:rsidR="00DA3BD9" w:rsidRPr="002C11F7">
        <w:rPr>
          <w:rFonts w:asciiTheme="minorHAnsi" w:hAnsiTheme="minorHAnsi"/>
          <w:color w:val="auto"/>
          <w:szCs w:val="24"/>
        </w:rPr>
        <w:t xml:space="preserve">condition </w:t>
      </w:r>
      <w:r w:rsidRPr="002C11F7">
        <w:rPr>
          <w:rFonts w:asciiTheme="minorHAnsi" w:hAnsiTheme="minorHAnsi"/>
          <w:color w:val="auto"/>
          <w:szCs w:val="24"/>
        </w:rPr>
        <w:t>IAW</w:t>
      </w:r>
      <w:r w:rsidRPr="004D0247">
        <w:rPr>
          <w:rFonts w:asciiTheme="minorHAnsi" w:hAnsiTheme="minorHAnsi"/>
          <w:color w:val="auto"/>
          <w:szCs w:val="24"/>
        </w:rPr>
        <w:t xml:space="preserve"> AR 40-501.</w:t>
      </w:r>
      <w:r>
        <w:rPr>
          <w:rFonts w:asciiTheme="minorHAnsi" w:hAnsiTheme="minorHAnsi"/>
          <w:color w:val="auto"/>
          <w:szCs w:val="24"/>
        </w:rPr>
        <w:t xml:space="preserve">  </w:t>
      </w:r>
      <w:r w:rsidRPr="004D0247">
        <w:rPr>
          <w:rFonts w:asciiTheme="minorHAnsi" w:hAnsiTheme="minorHAnsi"/>
          <w:color w:val="auto"/>
          <w:szCs w:val="24"/>
        </w:rPr>
        <w:t xml:space="preserve">Other conditions included in the Disability Evaluation System (DES) </w:t>
      </w:r>
      <w:r w:rsidR="009E6B34">
        <w:rPr>
          <w:rFonts w:asciiTheme="minorHAnsi" w:hAnsiTheme="minorHAnsi"/>
          <w:color w:val="auto"/>
          <w:szCs w:val="24"/>
        </w:rPr>
        <w:t>file</w:t>
      </w:r>
      <w:r w:rsidRPr="004D0247">
        <w:rPr>
          <w:rFonts w:asciiTheme="minorHAnsi" w:hAnsiTheme="minorHAnsi"/>
          <w:color w:val="auto"/>
          <w:szCs w:val="24"/>
        </w:rPr>
        <w:t xml:space="preserve"> will be discussed below.</w:t>
      </w:r>
      <w:r>
        <w:rPr>
          <w:rFonts w:asciiTheme="minorHAnsi" w:hAnsiTheme="minorHAnsi"/>
          <w:color w:val="auto"/>
          <w:szCs w:val="24"/>
        </w:rPr>
        <w:t xml:space="preserve">  </w:t>
      </w:r>
      <w:r w:rsidRPr="004D0247">
        <w:rPr>
          <w:rFonts w:asciiTheme="minorHAnsi" w:hAnsiTheme="minorHAnsi"/>
          <w:color w:val="auto"/>
          <w:szCs w:val="24"/>
        </w:rPr>
        <w:t xml:space="preserve">The Informal PEB </w:t>
      </w:r>
      <w:r>
        <w:rPr>
          <w:rFonts w:asciiTheme="minorHAnsi" w:hAnsiTheme="minorHAnsi"/>
          <w:color w:val="auto"/>
          <w:szCs w:val="24"/>
        </w:rPr>
        <w:t xml:space="preserve">(IPEB) </w:t>
      </w:r>
      <w:r w:rsidRPr="004D0247">
        <w:rPr>
          <w:rFonts w:asciiTheme="minorHAnsi" w:hAnsiTheme="minorHAnsi"/>
          <w:color w:val="auto"/>
          <w:szCs w:val="24"/>
        </w:rPr>
        <w:t>adjudicated the</w:t>
      </w:r>
      <w:r>
        <w:rPr>
          <w:rFonts w:asciiTheme="minorHAnsi" w:hAnsiTheme="minorHAnsi"/>
          <w:color w:val="auto"/>
          <w:szCs w:val="24"/>
        </w:rPr>
        <w:t xml:space="preserve"> a</w:t>
      </w:r>
      <w:r w:rsidRPr="004D0247">
        <w:rPr>
          <w:rFonts w:asciiTheme="minorHAnsi" w:hAnsiTheme="minorHAnsi"/>
          <w:color w:val="auto"/>
          <w:szCs w:val="24"/>
        </w:rPr>
        <w:t xml:space="preserve">sthma condition as unfitting, rated </w:t>
      </w:r>
      <w:r>
        <w:rPr>
          <w:rFonts w:asciiTheme="minorHAnsi" w:hAnsiTheme="minorHAnsi"/>
          <w:color w:val="auto"/>
          <w:szCs w:val="24"/>
        </w:rPr>
        <w:t>3</w:t>
      </w:r>
      <w:r w:rsidRPr="004D0247">
        <w:rPr>
          <w:rFonts w:asciiTheme="minorHAnsi" w:hAnsiTheme="minorHAnsi"/>
          <w:color w:val="auto"/>
          <w:szCs w:val="24"/>
        </w:rPr>
        <w:t>0%</w:t>
      </w:r>
      <w:r>
        <w:rPr>
          <w:rFonts w:asciiTheme="minorHAnsi" w:hAnsiTheme="minorHAnsi"/>
          <w:color w:val="auto"/>
          <w:szCs w:val="24"/>
        </w:rPr>
        <w:t>,</w:t>
      </w:r>
      <w:r w:rsidRPr="004D0247">
        <w:rPr>
          <w:rFonts w:asciiTheme="minorHAnsi" w:hAnsiTheme="minorHAnsi"/>
          <w:color w:val="auto"/>
          <w:szCs w:val="24"/>
        </w:rPr>
        <w:t xml:space="preserve"> with application of </w:t>
      </w:r>
      <w:r>
        <w:rPr>
          <w:rFonts w:asciiTheme="minorHAnsi" w:hAnsiTheme="minorHAnsi"/>
          <w:color w:val="auto"/>
          <w:szCs w:val="24"/>
        </w:rPr>
        <w:t>the Veterans</w:t>
      </w:r>
      <w:r w:rsidRPr="004D0247">
        <w:rPr>
          <w:rFonts w:asciiTheme="minorHAnsi" w:hAnsiTheme="minorHAnsi"/>
          <w:color w:val="auto"/>
          <w:szCs w:val="24"/>
        </w:rPr>
        <w:t xml:space="preserve"> Administration Schedule for Rating Disabilities (VASRD)</w:t>
      </w:r>
      <w:r>
        <w:rPr>
          <w:rFonts w:asciiTheme="minorHAnsi" w:hAnsiTheme="minorHAnsi"/>
          <w:color w:val="auto"/>
          <w:szCs w:val="24"/>
        </w:rPr>
        <w:t xml:space="preserve">.  The </w:t>
      </w:r>
      <w:r w:rsidRPr="004D0247">
        <w:rPr>
          <w:rFonts w:asciiTheme="minorHAnsi" w:hAnsiTheme="minorHAnsi"/>
          <w:color w:val="auto"/>
          <w:szCs w:val="24"/>
        </w:rPr>
        <w:t xml:space="preserve">CI was placed on </w:t>
      </w:r>
      <w:r>
        <w:rPr>
          <w:rFonts w:asciiTheme="minorHAnsi" w:hAnsiTheme="minorHAnsi"/>
          <w:color w:val="auto"/>
          <w:szCs w:val="24"/>
        </w:rPr>
        <w:t xml:space="preserve">the </w:t>
      </w:r>
      <w:r w:rsidRPr="004D0247">
        <w:rPr>
          <w:rFonts w:asciiTheme="minorHAnsi" w:hAnsiTheme="minorHAnsi"/>
          <w:color w:val="auto"/>
          <w:szCs w:val="24"/>
        </w:rPr>
        <w:t xml:space="preserve">Temporary Disability Retired List (TDRL) </w:t>
      </w:r>
      <w:r>
        <w:rPr>
          <w:rFonts w:asciiTheme="minorHAnsi" w:hAnsiTheme="minorHAnsi"/>
          <w:color w:val="auto"/>
          <w:szCs w:val="24"/>
        </w:rPr>
        <w:t xml:space="preserve">in September 2005 and was reevaluated in </w:t>
      </w:r>
      <w:r w:rsidR="0066606F">
        <w:rPr>
          <w:rFonts w:asciiTheme="minorHAnsi" w:hAnsiTheme="minorHAnsi"/>
          <w:color w:val="auto"/>
          <w:szCs w:val="24"/>
        </w:rPr>
        <w:t xml:space="preserve">        </w:t>
      </w:r>
      <w:r>
        <w:rPr>
          <w:rFonts w:asciiTheme="minorHAnsi" w:hAnsiTheme="minorHAnsi"/>
          <w:color w:val="auto"/>
          <w:szCs w:val="24"/>
        </w:rPr>
        <w:t>October 2006</w:t>
      </w:r>
      <w:r w:rsidRPr="004D0247">
        <w:rPr>
          <w:rFonts w:asciiTheme="minorHAnsi" w:hAnsiTheme="minorHAnsi"/>
          <w:color w:val="auto"/>
          <w:szCs w:val="24"/>
        </w:rPr>
        <w:t>.</w:t>
      </w:r>
      <w:r>
        <w:rPr>
          <w:rFonts w:asciiTheme="minorHAnsi" w:hAnsiTheme="minorHAnsi"/>
          <w:color w:val="auto"/>
          <w:szCs w:val="24"/>
        </w:rPr>
        <w:t xml:space="preserve">  Based on this evaluation, the IPEB determined that the CI’s asthma </w:t>
      </w:r>
      <w:r w:rsidRPr="00C722CC">
        <w:rPr>
          <w:rFonts w:asciiTheme="minorHAnsi" w:hAnsiTheme="minorHAnsi"/>
          <w:color w:val="auto"/>
          <w:szCs w:val="24"/>
        </w:rPr>
        <w:t xml:space="preserve">condition </w:t>
      </w:r>
      <w:r>
        <w:rPr>
          <w:rFonts w:asciiTheme="minorHAnsi" w:hAnsiTheme="minorHAnsi"/>
          <w:color w:val="auto"/>
          <w:szCs w:val="24"/>
        </w:rPr>
        <w:t xml:space="preserve">was sufficiently </w:t>
      </w:r>
      <w:r w:rsidRPr="00C722CC">
        <w:rPr>
          <w:rFonts w:asciiTheme="minorHAnsi" w:hAnsiTheme="minorHAnsi"/>
          <w:color w:val="auto"/>
          <w:szCs w:val="24"/>
        </w:rPr>
        <w:t xml:space="preserve">stable </w:t>
      </w:r>
      <w:r>
        <w:rPr>
          <w:rFonts w:asciiTheme="minorHAnsi" w:hAnsiTheme="minorHAnsi"/>
          <w:color w:val="auto"/>
          <w:szCs w:val="24"/>
        </w:rPr>
        <w:t>for final adjudication and found the condi</w:t>
      </w:r>
      <w:r w:rsidR="00DA3BD9">
        <w:rPr>
          <w:rFonts w:asciiTheme="minorHAnsi" w:hAnsiTheme="minorHAnsi"/>
          <w:color w:val="auto"/>
          <w:szCs w:val="24"/>
        </w:rPr>
        <w:t>tion to be unfitting, rated 10% IAW</w:t>
      </w:r>
      <w:r>
        <w:rPr>
          <w:rFonts w:asciiTheme="minorHAnsi" w:hAnsiTheme="minorHAnsi"/>
          <w:color w:val="auto"/>
          <w:szCs w:val="24"/>
        </w:rPr>
        <w:t xml:space="preserve"> </w:t>
      </w:r>
      <w:r w:rsidR="00DA3BD9">
        <w:rPr>
          <w:rFonts w:asciiTheme="minorHAnsi" w:hAnsiTheme="minorHAnsi"/>
          <w:color w:val="auto"/>
          <w:szCs w:val="24"/>
        </w:rPr>
        <w:t>the</w:t>
      </w:r>
      <w:r>
        <w:rPr>
          <w:rFonts w:asciiTheme="minorHAnsi" w:hAnsiTheme="minorHAnsi"/>
          <w:color w:val="auto"/>
          <w:szCs w:val="24"/>
        </w:rPr>
        <w:t xml:space="preserve"> VASRD.  </w:t>
      </w:r>
      <w:r w:rsidRPr="00861D5C">
        <w:rPr>
          <w:rFonts w:asciiTheme="minorHAnsi" w:hAnsiTheme="minorHAnsi"/>
          <w:color w:val="auto"/>
        </w:rPr>
        <w:t xml:space="preserve">The CI </w:t>
      </w:r>
      <w:r w:rsidRPr="0001048F">
        <w:rPr>
          <w:rFonts w:asciiTheme="minorHAnsi" w:hAnsiTheme="minorHAnsi"/>
          <w:color w:val="auto"/>
        </w:rPr>
        <w:t xml:space="preserve">appealed </w:t>
      </w:r>
      <w:r>
        <w:rPr>
          <w:rFonts w:asciiTheme="minorHAnsi" w:hAnsiTheme="minorHAnsi"/>
          <w:color w:val="auto"/>
        </w:rPr>
        <w:t xml:space="preserve">to a Formal PEB (FPEB) which concurred with the 10% rating.  </w:t>
      </w:r>
      <w:r w:rsidRPr="004543C9">
        <w:rPr>
          <w:rFonts w:asciiTheme="minorHAnsi" w:hAnsiTheme="minorHAnsi"/>
          <w:color w:val="auto"/>
        </w:rPr>
        <w:t xml:space="preserve">The case was then forwarded to the </w:t>
      </w:r>
      <w:r>
        <w:rPr>
          <w:rFonts w:asciiTheme="minorHAnsi" w:hAnsiTheme="minorHAnsi"/>
          <w:color w:val="auto"/>
        </w:rPr>
        <w:t xml:space="preserve">US Army Physical Disability Agency (USAPDA) which </w:t>
      </w:r>
      <w:r w:rsidR="0004326C">
        <w:rPr>
          <w:rFonts w:asciiTheme="minorHAnsi" w:hAnsiTheme="minorHAnsi"/>
          <w:color w:val="auto"/>
        </w:rPr>
        <w:t>reaffirmed</w:t>
      </w:r>
      <w:r w:rsidRPr="004543C9">
        <w:rPr>
          <w:rFonts w:asciiTheme="minorHAnsi" w:hAnsiTheme="minorHAnsi"/>
          <w:color w:val="auto"/>
        </w:rPr>
        <w:t xml:space="preserve"> the PEB’s findings and recommendations.  The CI was </w:t>
      </w:r>
      <w:r>
        <w:rPr>
          <w:rFonts w:asciiTheme="minorHAnsi" w:hAnsiTheme="minorHAnsi"/>
          <w:color w:val="auto"/>
        </w:rPr>
        <w:t>then</w:t>
      </w:r>
      <w:r w:rsidRPr="004543C9">
        <w:rPr>
          <w:rFonts w:asciiTheme="minorHAnsi" w:hAnsiTheme="minorHAnsi"/>
          <w:color w:val="auto"/>
        </w:rPr>
        <w:t xml:space="preserve"> medically separat</w:t>
      </w:r>
      <w:r>
        <w:rPr>
          <w:rFonts w:asciiTheme="minorHAnsi" w:hAnsiTheme="minorHAnsi"/>
          <w:color w:val="auto"/>
        </w:rPr>
        <w:t>ed with a 10% disability rating</w:t>
      </w:r>
      <w:r w:rsidRPr="00C472C7">
        <w:rPr>
          <w:rFonts w:asciiTheme="minorHAnsi" w:hAnsi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C10374" w:rsidRDefault="002C6E5B" w:rsidP="00510F9C">
      <w:pPr>
        <w:tabs>
          <w:tab w:val="left" w:pos="288"/>
          <w:tab w:val="left" w:pos="4752"/>
        </w:tabs>
        <w:spacing w:line="240" w:lineRule="exact"/>
        <w:jc w:val="both"/>
        <w:rPr>
          <w:rFonts w:eastAsiaTheme="minorHAnsi" w:cstheme="minorBidi"/>
          <w:color w:val="auto"/>
          <w:szCs w:val="24"/>
        </w:rPr>
      </w:pPr>
      <w:r w:rsidRPr="00C10374">
        <w:rPr>
          <w:rFonts w:asciiTheme="minorHAnsi" w:hAnsiTheme="minorHAnsi"/>
          <w:color w:val="auto"/>
          <w:u w:val="single"/>
        </w:rPr>
        <w:t>CI CONTENTION</w:t>
      </w:r>
      <w:r w:rsidRPr="00C10374">
        <w:rPr>
          <w:rFonts w:asciiTheme="minorHAnsi" w:hAnsiTheme="minorHAnsi"/>
          <w:color w:val="auto"/>
        </w:rPr>
        <w:t>:</w:t>
      </w:r>
      <w:r w:rsidR="00057019" w:rsidRPr="00C10374">
        <w:rPr>
          <w:rFonts w:asciiTheme="minorHAnsi" w:hAnsiTheme="minorHAnsi"/>
          <w:color w:val="auto"/>
        </w:rPr>
        <w:t xml:space="preserve">  The CI states: “</w:t>
      </w:r>
      <w:r w:rsidR="00B70A19" w:rsidRPr="00C10374">
        <w:rPr>
          <w:rFonts w:asciiTheme="minorHAnsi" w:hAnsiTheme="minorHAnsi"/>
          <w:color w:val="auto"/>
        </w:rPr>
        <w:t xml:space="preserve">It was a split determination of the PEB Board, I ask about why only one condition was being rated when there was multiple.  The answer was that DA would make that determination which it never did.  My request to the board was retention.  I had 9 years of service and I did not want to leave the service.  The VA rated me on both conditions with a combined rating of 70%.”  </w:t>
      </w:r>
      <w:r w:rsidR="00337BFF" w:rsidRPr="00C10374">
        <w:rPr>
          <w:rFonts w:asciiTheme="minorHAnsi" w:hAnsiTheme="minorHAnsi"/>
          <w:color w:val="auto"/>
        </w:rPr>
        <w:t xml:space="preserve">Although not specifically stated, it may be assumed that ‘both conditions’ refers to asthma and post-traumatic stress disorder (PTSD).  </w:t>
      </w:r>
      <w:r w:rsidR="00ED5284" w:rsidRPr="00C10374">
        <w:rPr>
          <w:rFonts w:eastAsiaTheme="minorHAnsi" w:cstheme="minorBidi"/>
          <w:color w:val="auto"/>
          <w:szCs w:val="24"/>
        </w:rPr>
        <w:t>He elaborates no specific contentions regarding rating or coding and mentions no additionally contended conditions.</w:t>
      </w:r>
    </w:p>
    <w:p w:rsidR="003E1682" w:rsidRPr="00C10374" w:rsidRDefault="003E1682" w:rsidP="00510F9C">
      <w:pPr>
        <w:pBdr>
          <w:bottom w:val="single" w:sz="12" w:space="1" w:color="auto"/>
        </w:pBdr>
        <w:spacing w:line="240" w:lineRule="exact"/>
        <w:rPr>
          <w:rFonts w:asciiTheme="minorHAnsi" w:hAnsiTheme="minorHAnsi"/>
          <w:color w:val="auto"/>
          <w:u w:val="single"/>
        </w:rPr>
      </w:pPr>
    </w:p>
    <w:p w:rsidR="007949FE" w:rsidRPr="00C10374" w:rsidRDefault="007949FE" w:rsidP="00510F9C">
      <w:pPr>
        <w:spacing w:line="240" w:lineRule="exact"/>
        <w:rPr>
          <w:rFonts w:asciiTheme="minorHAnsi" w:hAnsiTheme="minorHAnsi"/>
          <w:color w:val="auto"/>
          <w:u w:val="single"/>
        </w:rPr>
      </w:pPr>
    </w:p>
    <w:p w:rsidR="002338CA" w:rsidRPr="00C10374" w:rsidRDefault="007F0AB7" w:rsidP="00510F9C">
      <w:pPr>
        <w:spacing w:line="240" w:lineRule="exact"/>
        <w:rPr>
          <w:rFonts w:asciiTheme="minorHAnsi" w:hAnsiTheme="minorHAnsi"/>
          <w:color w:val="auto"/>
        </w:rPr>
      </w:pPr>
      <w:r w:rsidRPr="00C10374">
        <w:rPr>
          <w:rFonts w:asciiTheme="minorHAnsi" w:hAnsiTheme="minorHAnsi"/>
          <w:color w:val="auto"/>
          <w:u w:val="single"/>
        </w:rPr>
        <w:t>R</w:t>
      </w:r>
      <w:r w:rsidR="002C6E5B" w:rsidRPr="00C10374">
        <w:rPr>
          <w:rFonts w:asciiTheme="minorHAnsi" w:hAnsiTheme="minorHAnsi"/>
          <w:color w:val="auto"/>
          <w:u w:val="single"/>
        </w:rPr>
        <w:t>ATING COMPARISON</w:t>
      </w:r>
      <w:r w:rsidR="002C6E5B" w:rsidRPr="00C10374">
        <w:rPr>
          <w:rFonts w:asciiTheme="minorHAnsi" w:hAnsiTheme="minorHAnsi"/>
          <w:color w:val="auto"/>
        </w:rPr>
        <w:t>:</w:t>
      </w:r>
    </w:p>
    <w:p w:rsidR="007949FE" w:rsidRPr="00C10374" w:rsidRDefault="007949FE" w:rsidP="007949FE">
      <w:pPr>
        <w:tabs>
          <w:tab w:val="left" w:pos="288"/>
          <w:tab w:val="left" w:pos="4752"/>
        </w:tabs>
        <w:spacing w:line="240" w:lineRule="exact"/>
        <w:jc w:val="both"/>
        <w:rPr>
          <w:rFonts w:asciiTheme="minorHAnsi" w:hAnsiTheme="minorHAnsi"/>
          <w:b/>
          <w:color w:val="auto"/>
          <w:szCs w:val="24"/>
          <w:u w:val="single"/>
        </w:rPr>
      </w:pPr>
    </w:p>
    <w:tbl>
      <w:tblPr>
        <w:tblStyle w:val="TableGrid"/>
        <w:tblW w:w="9395" w:type="dxa"/>
        <w:jc w:val="center"/>
        <w:tblInd w:w="387" w:type="dxa"/>
        <w:tblLayout w:type="fixed"/>
        <w:tblLook w:val="04A0"/>
      </w:tblPr>
      <w:tblGrid>
        <w:gridCol w:w="2409"/>
        <w:gridCol w:w="651"/>
        <w:gridCol w:w="699"/>
        <w:gridCol w:w="622"/>
        <w:gridCol w:w="2297"/>
        <w:gridCol w:w="810"/>
        <w:gridCol w:w="900"/>
        <w:gridCol w:w="1007"/>
      </w:tblGrid>
      <w:tr w:rsidR="00B70A19" w:rsidRPr="00C10374" w:rsidTr="00F075B8">
        <w:trPr>
          <w:trHeight w:val="233"/>
          <w:jc w:val="center"/>
        </w:trPr>
        <w:tc>
          <w:tcPr>
            <w:tcW w:w="4381" w:type="dxa"/>
            <w:gridSpan w:val="4"/>
            <w:tcBorders>
              <w:right w:val="thinThickThinSmallGap" w:sz="24" w:space="0" w:color="auto"/>
            </w:tcBorders>
            <w:shd w:val="clear" w:color="auto" w:fill="D9D9D9" w:themeFill="background1" w:themeFillShade="D9"/>
            <w:vAlign w:val="center"/>
          </w:tcPr>
          <w:p w:rsidR="00B70A19" w:rsidRPr="00C10374" w:rsidRDefault="00B70A19" w:rsidP="00897DC1">
            <w:pPr>
              <w:spacing w:line="240" w:lineRule="exact"/>
              <w:contextualSpacing/>
              <w:jc w:val="center"/>
              <w:rPr>
                <w:b/>
                <w:color w:val="auto"/>
                <w:sz w:val="20"/>
                <w:szCs w:val="20"/>
              </w:rPr>
            </w:pPr>
            <w:r w:rsidRPr="00C10374">
              <w:rPr>
                <w:b/>
                <w:color w:val="auto"/>
                <w:sz w:val="20"/>
                <w:szCs w:val="20"/>
              </w:rPr>
              <w:t>Final Service FPEB – Dated 20070309</w:t>
            </w:r>
          </w:p>
        </w:tc>
        <w:tc>
          <w:tcPr>
            <w:tcW w:w="5014" w:type="dxa"/>
            <w:gridSpan w:val="4"/>
            <w:tcBorders>
              <w:left w:val="thinThickThinSmallGap" w:sz="24" w:space="0" w:color="auto"/>
            </w:tcBorders>
            <w:shd w:val="clear" w:color="auto" w:fill="D9D9D9" w:themeFill="background1" w:themeFillShade="D9"/>
            <w:vAlign w:val="center"/>
          </w:tcPr>
          <w:p w:rsidR="00B70A19" w:rsidRPr="00C10374" w:rsidRDefault="00897DC1" w:rsidP="00337BFF">
            <w:pPr>
              <w:spacing w:line="240" w:lineRule="exact"/>
              <w:contextualSpacing/>
              <w:jc w:val="center"/>
              <w:rPr>
                <w:b/>
                <w:color w:val="auto"/>
                <w:sz w:val="20"/>
                <w:szCs w:val="20"/>
              </w:rPr>
            </w:pPr>
            <w:r w:rsidRPr="00C10374">
              <w:rPr>
                <w:b/>
                <w:color w:val="auto"/>
                <w:sz w:val="20"/>
                <w:szCs w:val="20"/>
              </w:rPr>
              <w:t>VA</w:t>
            </w:r>
            <w:r w:rsidR="00B70A19" w:rsidRPr="00C10374">
              <w:rPr>
                <w:b/>
                <w:color w:val="auto"/>
                <w:sz w:val="20"/>
                <w:szCs w:val="20"/>
              </w:rPr>
              <w:t xml:space="preserve"> – All Effective 20050905</w:t>
            </w:r>
          </w:p>
        </w:tc>
      </w:tr>
      <w:tr w:rsidR="00337BFF" w:rsidRPr="00C10374" w:rsidTr="00585D58">
        <w:trPr>
          <w:trHeight w:val="233"/>
          <w:jc w:val="center"/>
        </w:trPr>
        <w:tc>
          <w:tcPr>
            <w:tcW w:w="2409" w:type="dxa"/>
            <w:tcBorders>
              <w:bottom w:val="single" w:sz="4" w:space="0" w:color="000000" w:themeColor="text1"/>
            </w:tcBorders>
            <w:shd w:val="clear" w:color="auto" w:fill="D9D9D9" w:themeFill="background1" w:themeFillShade="D9"/>
            <w:vAlign w:val="center"/>
          </w:tcPr>
          <w:p w:rsidR="00337BFF" w:rsidRPr="00C10374" w:rsidRDefault="00337BFF" w:rsidP="00897DC1">
            <w:pPr>
              <w:spacing w:line="220" w:lineRule="exact"/>
              <w:contextualSpacing/>
              <w:jc w:val="center"/>
              <w:rPr>
                <w:b/>
                <w:color w:val="auto"/>
                <w:sz w:val="20"/>
                <w:szCs w:val="20"/>
              </w:rPr>
            </w:pPr>
            <w:r w:rsidRPr="00C10374">
              <w:rPr>
                <w:b/>
                <w:color w:val="auto"/>
                <w:sz w:val="20"/>
                <w:szCs w:val="20"/>
              </w:rPr>
              <w:t>Condition</w:t>
            </w:r>
          </w:p>
        </w:tc>
        <w:tc>
          <w:tcPr>
            <w:tcW w:w="651" w:type="dxa"/>
            <w:vMerge w:val="restart"/>
            <w:shd w:val="clear" w:color="auto" w:fill="D9D9D9" w:themeFill="background1" w:themeFillShade="D9"/>
            <w:vAlign w:val="center"/>
          </w:tcPr>
          <w:p w:rsidR="00337BFF" w:rsidRPr="00C10374" w:rsidRDefault="00337BFF" w:rsidP="00897DC1">
            <w:pPr>
              <w:spacing w:line="220" w:lineRule="exact"/>
              <w:contextualSpacing/>
              <w:jc w:val="center"/>
              <w:rPr>
                <w:b/>
                <w:color w:val="auto"/>
                <w:sz w:val="20"/>
                <w:szCs w:val="20"/>
              </w:rPr>
            </w:pPr>
            <w:r w:rsidRPr="00C10374">
              <w:rPr>
                <w:b/>
                <w:color w:val="auto"/>
                <w:sz w:val="20"/>
                <w:szCs w:val="20"/>
              </w:rPr>
              <w:t>Code</w:t>
            </w:r>
          </w:p>
        </w:tc>
        <w:tc>
          <w:tcPr>
            <w:tcW w:w="1321"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337BFF" w:rsidRPr="00C10374" w:rsidRDefault="00337BFF" w:rsidP="00897DC1">
            <w:pPr>
              <w:spacing w:line="220" w:lineRule="exact"/>
              <w:contextualSpacing/>
              <w:jc w:val="center"/>
              <w:rPr>
                <w:b/>
                <w:color w:val="auto"/>
                <w:sz w:val="20"/>
                <w:szCs w:val="20"/>
              </w:rPr>
            </w:pPr>
            <w:r w:rsidRPr="00C10374">
              <w:rPr>
                <w:b/>
                <w:color w:val="auto"/>
                <w:sz w:val="20"/>
                <w:szCs w:val="20"/>
              </w:rPr>
              <w:t>Rating</w:t>
            </w:r>
          </w:p>
        </w:tc>
        <w:tc>
          <w:tcPr>
            <w:tcW w:w="2297" w:type="dxa"/>
            <w:vMerge w:val="restart"/>
            <w:tcBorders>
              <w:left w:val="thinThickThinSmallGap" w:sz="24" w:space="0" w:color="auto"/>
            </w:tcBorders>
            <w:shd w:val="clear" w:color="auto" w:fill="D9D9D9" w:themeFill="background1" w:themeFillShade="D9"/>
            <w:vAlign w:val="center"/>
          </w:tcPr>
          <w:p w:rsidR="00337BFF" w:rsidRPr="00C10374" w:rsidRDefault="00337BFF" w:rsidP="00897DC1">
            <w:pPr>
              <w:spacing w:line="220" w:lineRule="exact"/>
              <w:contextualSpacing/>
              <w:jc w:val="center"/>
              <w:rPr>
                <w:b/>
                <w:color w:val="auto"/>
                <w:sz w:val="20"/>
                <w:szCs w:val="20"/>
              </w:rPr>
            </w:pPr>
            <w:r w:rsidRPr="00C10374">
              <w:rPr>
                <w:b/>
                <w:color w:val="auto"/>
                <w:sz w:val="20"/>
                <w:szCs w:val="20"/>
              </w:rPr>
              <w:t>Condition</w:t>
            </w:r>
          </w:p>
        </w:tc>
        <w:tc>
          <w:tcPr>
            <w:tcW w:w="810" w:type="dxa"/>
            <w:vMerge w:val="restart"/>
            <w:shd w:val="clear" w:color="auto" w:fill="D9D9D9" w:themeFill="background1" w:themeFillShade="D9"/>
            <w:vAlign w:val="center"/>
          </w:tcPr>
          <w:p w:rsidR="00337BFF" w:rsidRPr="00C10374" w:rsidRDefault="00337BFF" w:rsidP="00897DC1">
            <w:pPr>
              <w:spacing w:line="220" w:lineRule="exact"/>
              <w:contextualSpacing/>
              <w:jc w:val="center"/>
              <w:rPr>
                <w:b/>
                <w:color w:val="auto"/>
                <w:sz w:val="20"/>
                <w:szCs w:val="20"/>
              </w:rPr>
            </w:pPr>
            <w:r w:rsidRPr="00C10374">
              <w:rPr>
                <w:b/>
                <w:color w:val="auto"/>
                <w:sz w:val="20"/>
                <w:szCs w:val="20"/>
              </w:rPr>
              <w:t>Code</w:t>
            </w:r>
          </w:p>
        </w:tc>
        <w:tc>
          <w:tcPr>
            <w:tcW w:w="900" w:type="dxa"/>
            <w:vMerge w:val="restart"/>
            <w:shd w:val="clear" w:color="auto" w:fill="D9D9D9" w:themeFill="background1" w:themeFillShade="D9"/>
            <w:vAlign w:val="center"/>
          </w:tcPr>
          <w:p w:rsidR="00337BFF" w:rsidRPr="00C10374" w:rsidRDefault="00337BFF" w:rsidP="00897DC1">
            <w:pPr>
              <w:spacing w:line="220" w:lineRule="exact"/>
              <w:contextualSpacing/>
              <w:jc w:val="center"/>
              <w:rPr>
                <w:b/>
                <w:color w:val="auto"/>
                <w:sz w:val="20"/>
                <w:szCs w:val="20"/>
              </w:rPr>
            </w:pPr>
            <w:r w:rsidRPr="00C10374">
              <w:rPr>
                <w:b/>
                <w:color w:val="auto"/>
                <w:sz w:val="20"/>
                <w:szCs w:val="20"/>
              </w:rPr>
              <w:t>Rating</w:t>
            </w:r>
          </w:p>
        </w:tc>
        <w:tc>
          <w:tcPr>
            <w:tcW w:w="1007" w:type="dxa"/>
            <w:vMerge w:val="restart"/>
            <w:shd w:val="clear" w:color="auto" w:fill="D9D9D9" w:themeFill="background1" w:themeFillShade="D9"/>
            <w:vAlign w:val="center"/>
          </w:tcPr>
          <w:p w:rsidR="00337BFF" w:rsidRPr="00C10374" w:rsidRDefault="00337BFF" w:rsidP="00897DC1">
            <w:pPr>
              <w:spacing w:line="220" w:lineRule="exact"/>
              <w:contextualSpacing/>
              <w:jc w:val="center"/>
              <w:rPr>
                <w:b/>
                <w:color w:val="auto"/>
                <w:sz w:val="20"/>
                <w:szCs w:val="20"/>
              </w:rPr>
            </w:pPr>
            <w:r w:rsidRPr="00C10374">
              <w:rPr>
                <w:b/>
                <w:color w:val="auto"/>
                <w:sz w:val="20"/>
                <w:szCs w:val="20"/>
              </w:rPr>
              <w:t>Exam</w:t>
            </w:r>
          </w:p>
        </w:tc>
      </w:tr>
      <w:tr w:rsidR="00337BFF" w:rsidRPr="00C10374" w:rsidTr="00F075B8">
        <w:trPr>
          <w:trHeight w:val="152"/>
          <w:jc w:val="center"/>
        </w:trPr>
        <w:tc>
          <w:tcPr>
            <w:tcW w:w="2409" w:type="dxa"/>
            <w:shd w:val="clear" w:color="auto" w:fill="D9D9D9" w:themeFill="background1" w:themeFillShade="D9"/>
            <w:vAlign w:val="center"/>
          </w:tcPr>
          <w:p w:rsidR="00337BFF" w:rsidRPr="00C10374" w:rsidRDefault="00337BFF" w:rsidP="00691721">
            <w:pPr>
              <w:spacing w:line="220" w:lineRule="exact"/>
              <w:contextualSpacing/>
              <w:jc w:val="center"/>
              <w:rPr>
                <w:b/>
                <w:color w:val="auto"/>
                <w:sz w:val="20"/>
                <w:szCs w:val="20"/>
              </w:rPr>
            </w:pPr>
            <w:r w:rsidRPr="00C10374">
              <w:rPr>
                <w:b/>
                <w:color w:val="auto"/>
                <w:sz w:val="20"/>
                <w:szCs w:val="20"/>
              </w:rPr>
              <w:t>On TDRL – 2005</w:t>
            </w:r>
            <w:r w:rsidR="00691721">
              <w:rPr>
                <w:b/>
                <w:color w:val="auto"/>
                <w:sz w:val="20"/>
                <w:szCs w:val="20"/>
              </w:rPr>
              <w:t>0905</w:t>
            </w:r>
          </w:p>
        </w:tc>
        <w:tc>
          <w:tcPr>
            <w:tcW w:w="651" w:type="dxa"/>
            <w:vMerge/>
            <w:shd w:val="clear" w:color="auto" w:fill="D9D9D9" w:themeFill="background1" w:themeFillShade="D9"/>
            <w:vAlign w:val="center"/>
          </w:tcPr>
          <w:p w:rsidR="00337BFF" w:rsidRPr="00C10374" w:rsidRDefault="00337BFF" w:rsidP="00897DC1">
            <w:pPr>
              <w:spacing w:line="220" w:lineRule="exact"/>
              <w:contextualSpacing/>
              <w:jc w:val="center"/>
              <w:rPr>
                <w:color w:val="auto"/>
                <w:sz w:val="20"/>
                <w:szCs w:val="20"/>
              </w:rPr>
            </w:pPr>
          </w:p>
        </w:tc>
        <w:tc>
          <w:tcPr>
            <w:tcW w:w="699" w:type="dxa"/>
            <w:tcBorders>
              <w:right w:val="single" w:sz="4" w:space="0" w:color="auto"/>
            </w:tcBorders>
            <w:shd w:val="clear" w:color="auto" w:fill="D9D9D9" w:themeFill="background1" w:themeFillShade="D9"/>
            <w:vAlign w:val="center"/>
          </w:tcPr>
          <w:p w:rsidR="00337BFF" w:rsidRPr="00C10374" w:rsidRDefault="00337BFF" w:rsidP="00897DC1">
            <w:pPr>
              <w:spacing w:line="220" w:lineRule="exact"/>
              <w:contextualSpacing/>
              <w:jc w:val="center"/>
              <w:rPr>
                <w:b/>
                <w:color w:val="auto"/>
                <w:sz w:val="20"/>
                <w:szCs w:val="20"/>
              </w:rPr>
            </w:pPr>
            <w:r w:rsidRPr="00C10374">
              <w:rPr>
                <w:b/>
                <w:color w:val="auto"/>
                <w:sz w:val="20"/>
                <w:szCs w:val="20"/>
              </w:rPr>
              <w:t>TDRL</w:t>
            </w:r>
          </w:p>
        </w:tc>
        <w:tc>
          <w:tcPr>
            <w:tcW w:w="622" w:type="dxa"/>
            <w:tcBorders>
              <w:left w:val="single" w:sz="4" w:space="0" w:color="auto"/>
              <w:right w:val="thinThickThinSmallGap" w:sz="24" w:space="0" w:color="auto"/>
            </w:tcBorders>
            <w:shd w:val="clear" w:color="auto" w:fill="D9D9D9" w:themeFill="background1" w:themeFillShade="D9"/>
            <w:vAlign w:val="center"/>
          </w:tcPr>
          <w:p w:rsidR="00337BFF" w:rsidRPr="00C10374" w:rsidRDefault="00337BFF" w:rsidP="00897DC1">
            <w:pPr>
              <w:tabs>
                <w:tab w:val="left" w:pos="206"/>
                <w:tab w:val="center" w:pos="387"/>
              </w:tabs>
              <w:spacing w:line="220" w:lineRule="exact"/>
              <w:contextualSpacing/>
              <w:jc w:val="center"/>
              <w:rPr>
                <w:b/>
                <w:color w:val="auto"/>
                <w:sz w:val="20"/>
                <w:szCs w:val="20"/>
              </w:rPr>
            </w:pPr>
            <w:r w:rsidRPr="00C10374">
              <w:rPr>
                <w:b/>
                <w:color w:val="auto"/>
                <w:sz w:val="20"/>
                <w:szCs w:val="20"/>
              </w:rPr>
              <w:t>SEP</w:t>
            </w:r>
          </w:p>
        </w:tc>
        <w:tc>
          <w:tcPr>
            <w:tcW w:w="2297" w:type="dxa"/>
            <w:vMerge/>
            <w:tcBorders>
              <w:left w:val="thinThickThinSmallGap" w:sz="24" w:space="0" w:color="auto"/>
            </w:tcBorders>
            <w:shd w:val="clear" w:color="auto" w:fill="D9D9D9" w:themeFill="background1" w:themeFillShade="D9"/>
            <w:vAlign w:val="center"/>
          </w:tcPr>
          <w:p w:rsidR="00337BFF" w:rsidRPr="00C10374" w:rsidRDefault="00337BFF" w:rsidP="00897DC1">
            <w:pPr>
              <w:spacing w:line="220" w:lineRule="exact"/>
              <w:contextualSpacing/>
              <w:jc w:val="center"/>
              <w:rPr>
                <w:b/>
                <w:color w:val="auto"/>
                <w:sz w:val="20"/>
                <w:szCs w:val="20"/>
              </w:rPr>
            </w:pPr>
          </w:p>
        </w:tc>
        <w:tc>
          <w:tcPr>
            <w:tcW w:w="810" w:type="dxa"/>
            <w:vMerge/>
            <w:shd w:val="clear" w:color="auto" w:fill="C6D9F1" w:themeFill="text2" w:themeFillTint="33"/>
            <w:vAlign w:val="center"/>
          </w:tcPr>
          <w:p w:rsidR="00337BFF" w:rsidRPr="00C10374" w:rsidRDefault="00337BFF" w:rsidP="00897DC1">
            <w:pPr>
              <w:spacing w:line="220" w:lineRule="exact"/>
              <w:contextualSpacing/>
              <w:jc w:val="center"/>
              <w:rPr>
                <w:color w:val="auto"/>
                <w:sz w:val="20"/>
                <w:szCs w:val="20"/>
              </w:rPr>
            </w:pPr>
          </w:p>
        </w:tc>
        <w:tc>
          <w:tcPr>
            <w:tcW w:w="900" w:type="dxa"/>
            <w:vMerge/>
            <w:shd w:val="clear" w:color="auto" w:fill="C6D9F1" w:themeFill="text2" w:themeFillTint="33"/>
            <w:vAlign w:val="center"/>
          </w:tcPr>
          <w:p w:rsidR="00337BFF" w:rsidRPr="00C10374" w:rsidRDefault="00337BFF" w:rsidP="00897DC1">
            <w:pPr>
              <w:spacing w:line="220" w:lineRule="exact"/>
              <w:contextualSpacing/>
              <w:jc w:val="center"/>
              <w:rPr>
                <w:color w:val="auto"/>
                <w:sz w:val="20"/>
                <w:szCs w:val="20"/>
              </w:rPr>
            </w:pPr>
          </w:p>
        </w:tc>
        <w:tc>
          <w:tcPr>
            <w:tcW w:w="1007" w:type="dxa"/>
            <w:vMerge/>
            <w:shd w:val="clear" w:color="auto" w:fill="C6D9F1" w:themeFill="text2" w:themeFillTint="33"/>
            <w:vAlign w:val="center"/>
          </w:tcPr>
          <w:p w:rsidR="00337BFF" w:rsidRPr="00C10374" w:rsidRDefault="00337BFF" w:rsidP="00897DC1">
            <w:pPr>
              <w:spacing w:line="220" w:lineRule="exact"/>
              <w:contextualSpacing/>
              <w:jc w:val="center"/>
              <w:rPr>
                <w:color w:val="auto"/>
                <w:sz w:val="20"/>
                <w:szCs w:val="20"/>
              </w:rPr>
            </w:pPr>
          </w:p>
        </w:tc>
      </w:tr>
      <w:tr w:rsidR="00A46F21" w:rsidRPr="00C10374" w:rsidTr="00F075B8">
        <w:trPr>
          <w:trHeight w:val="58"/>
          <w:jc w:val="center"/>
        </w:trPr>
        <w:tc>
          <w:tcPr>
            <w:tcW w:w="2409" w:type="dxa"/>
            <w:tcBorders>
              <w:right w:val="single" w:sz="4" w:space="0" w:color="auto"/>
            </w:tcBorders>
            <w:shd w:val="clear" w:color="auto" w:fill="FFFFFF" w:themeFill="background1"/>
            <w:vAlign w:val="center"/>
          </w:tcPr>
          <w:p w:rsidR="00B70A19" w:rsidRPr="00C10374" w:rsidRDefault="00B70A19" w:rsidP="00897DC1">
            <w:pPr>
              <w:spacing w:line="220" w:lineRule="exact"/>
              <w:contextualSpacing/>
              <w:rPr>
                <w:color w:val="auto"/>
                <w:sz w:val="18"/>
                <w:szCs w:val="18"/>
              </w:rPr>
            </w:pPr>
            <w:r w:rsidRPr="00C10374">
              <w:rPr>
                <w:color w:val="auto"/>
                <w:sz w:val="18"/>
                <w:szCs w:val="18"/>
              </w:rPr>
              <w:t>Asthma</w:t>
            </w:r>
          </w:p>
        </w:tc>
        <w:tc>
          <w:tcPr>
            <w:tcW w:w="651" w:type="dxa"/>
            <w:tcBorders>
              <w:left w:val="single" w:sz="4" w:space="0" w:color="auto"/>
            </w:tcBorders>
            <w:shd w:val="clear" w:color="auto" w:fill="FFFFFF" w:themeFill="background1"/>
            <w:vAlign w:val="center"/>
          </w:tcPr>
          <w:p w:rsidR="00B70A19" w:rsidRPr="00C10374" w:rsidRDefault="00B70A19" w:rsidP="00897DC1">
            <w:pPr>
              <w:spacing w:line="220" w:lineRule="exact"/>
              <w:contextualSpacing/>
              <w:jc w:val="center"/>
              <w:rPr>
                <w:color w:val="auto"/>
                <w:sz w:val="18"/>
                <w:szCs w:val="18"/>
              </w:rPr>
            </w:pPr>
            <w:r w:rsidRPr="00C10374">
              <w:rPr>
                <w:color w:val="auto"/>
                <w:sz w:val="18"/>
                <w:szCs w:val="18"/>
              </w:rPr>
              <w:t>6602</w:t>
            </w:r>
          </w:p>
        </w:tc>
        <w:tc>
          <w:tcPr>
            <w:tcW w:w="699" w:type="dxa"/>
            <w:tcBorders>
              <w:right w:val="single" w:sz="4" w:space="0" w:color="auto"/>
            </w:tcBorders>
            <w:shd w:val="clear" w:color="auto" w:fill="FFFFFF" w:themeFill="background1"/>
            <w:vAlign w:val="center"/>
          </w:tcPr>
          <w:p w:rsidR="00B70A19" w:rsidRPr="00C10374" w:rsidRDefault="00B70A19" w:rsidP="00897DC1">
            <w:pPr>
              <w:spacing w:line="220" w:lineRule="exact"/>
              <w:jc w:val="center"/>
              <w:rPr>
                <w:color w:val="auto"/>
              </w:rPr>
            </w:pPr>
            <w:r w:rsidRPr="00C10374">
              <w:rPr>
                <w:color w:val="auto"/>
                <w:sz w:val="18"/>
                <w:szCs w:val="18"/>
              </w:rPr>
              <w:t>30%</w:t>
            </w:r>
          </w:p>
        </w:tc>
        <w:tc>
          <w:tcPr>
            <w:tcW w:w="622" w:type="dxa"/>
            <w:tcBorders>
              <w:left w:val="single" w:sz="4" w:space="0" w:color="auto"/>
              <w:right w:val="thinThickThinSmallGap" w:sz="24" w:space="0" w:color="auto"/>
            </w:tcBorders>
            <w:shd w:val="clear" w:color="auto" w:fill="FFFFFF" w:themeFill="background1"/>
            <w:vAlign w:val="center"/>
          </w:tcPr>
          <w:p w:rsidR="00B70A19" w:rsidRPr="00C10374" w:rsidRDefault="00B70A19" w:rsidP="00897DC1">
            <w:pPr>
              <w:spacing w:line="220" w:lineRule="exact"/>
              <w:jc w:val="center"/>
              <w:rPr>
                <w:color w:val="auto"/>
              </w:rPr>
            </w:pPr>
            <w:r w:rsidRPr="00C10374">
              <w:rPr>
                <w:color w:val="auto"/>
                <w:sz w:val="18"/>
                <w:szCs w:val="18"/>
              </w:rPr>
              <w:t>10%</w:t>
            </w:r>
          </w:p>
        </w:tc>
        <w:tc>
          <w:tcPr>
            <w:tcW w:w="2297" w:type="dxa"/>
            <w:tcBorders>
              <w:left w:val="thinThickThinSmallGap" w:sz="24" w:space="0" w:color="auto"/>
            </w:tcBorders>
            <w:shd w:val="clear" w:color="auto" w:fill="FFFFFF" w:themeFill="background1"/>
            <w:vAlign w:val="center"/>
          </w:tcPr>
          <w:p w:rsidR="00B70A19" w:rsidRPr="00C10374" w:rsidRDefault="00B70A19" w:rsidP="00897DC1">
            <w:pPr>
              <w:spacing w:line="220" w:lineRule="exact"/>
              <w:contextualSpacing/>
              <w:rPr>
                <w:rFonts w:cstheme="minorHAnsi"/>
                <w:color w:val="auto"/>
                <w:sz w:val="18"/>
                <w:szCs w:val="18"/>
              </w:rPr>
            </w:pPr>
            <w:r w:rsidRPr="00C10374">
              <w:rPr>
                <w:rFonts w:cstheme="minorHAnsi"/>
                <w:color w:val="auto"/>
                <w:sz w:val="18"/>
                <w:szCs w:val="18"/>
              </w:rPr>
              <w:t>Asthma</w:t>
            </w:r>
          </w:p>
        </w:tc>
        <w:tc>
          <w:tcPr>
            <w:tcW w:w="810" w:type="dxa"/>
            <w:shd w:val="clear" w:color="auto" w:fill="FFFFFF" w:themeFill="background1"/>
            <w:vAlign w:val="center"/>
          </w:tcPr>
          <w:p w:rsidR="00B70A19" w:rsidRPr="00C10374" w:rsidRDefault="00B70A19" w:rsidP="00897DC1">
            <w:pPr>
              <w:spacing w:line="220" w:lineRule="exact"/>
              <w:contextualSpacing/>
              <w:jc w:val="center"/>
              <w:rPr>
                <w:rFonts w:cstheme="minorHAnsi"/>
                <w:color w:val="auto"/>
                <w:sz w:val="18"/>
                <w:szCs w:val="18"/>
              </w:rPr>
            </w:pPr>
            <w:r w:rsidRPr="00C10374">
              <w:rPr>
                <w:rFonts w:cstheme="minorHAnsi"/>
                <w:color w:val="auto"/>
                <w:sz w:val="18"/>
                <w:szCs w:val="18"/>
              </w:rPr>
              <w:t>6602</w:t>
            </w:r>
          </w:p>
        </w:tc>
        <w:tc>
          <w:tcPr>
            <w:tcW w:w="900" w:type="dxa"/>
            <w:shd w:val="clear" w:color="auto" w:fill="FFFFFF" w:themeFill="background1"/>
            <w:vAlign w:val="center"/>
          </w:tcPr>
          <w:p w:rsidR="00B70A19" w:rsidRPr="00C10374" w:rsidRDefault="00B70A19" w:rsidP="00897DC1">
            <w:pPr>
              <w:spacing w:line="220" w:lineRule="exact"/>
              <w:contextualSpacing/>
              <w:jc w:val="center"/>
              <w:rPr>
                <w:rFonts w:cstheme="minorHAnsi"/>
                <w:color w:val="auto"/>
                <w:sz w:val="18"/>
                <w:szCs w:val="18"/>
              </w:rPr>
            </w:pPr>
            <w:r w:rsidRPr="00C10374">
              <w:rPr>
                <w:rFonts w:cstheme="minorHAnsi"/>
                <w:color w:val="auto"/>
                <w:sz w:val="18"/>
                <w:szCs w:val="18"/>
              </w:rPr>
              <w:t>30%</w:t>
            </w:r>
            <w:r w:rsidR="00897DC1" w:rsidRPr="00C10374">
              <w:rPr>
                <w:rFonts w:cstheme="minorHAnsi"/>
                <w:color w:val="auto"/>
                <w:sz w:val="18"/>
                <w:szCs w:val="18"/>
              </w:rPr>
              <w:t>*</w:t>
            </w:r>
          </w:p>
        </w:tc>
        <w:tc>
          <w:tcPr>
            <w:tcW w:w="1007" w:type="dxa"/>
            <w:shd w:val="clear" w:color="auto" w:fill="FFFFFF" w:themeFill="background1"/>
            <w:vAlign w:val="center"/>
          </w:tcPr>
          <w:p w:rsidR="00B70A19" w:rsidRPr="00C10374" w:rsidRDefault="00B70A19" w:rsidP="00897DC1">
            <w:pPr>
              <w:spacing w:line="220" w:lineRule="exact"/>
              <w:contextualSpacing/>
              <w:jc w:val="center"/>
              <w:rPr>
                <w:rFonts w:cstheme="minorHAnsi"/>
                <w:color w:val="auto"/>
                <w:sz w:val="18"/>
                <w:szCs w:val="18"/>
              </w:rPr>
            </w:pPr>
            <w:r w:rsidRPr="00C10374">
              <w:rPr>
                <w:rFonts w:cstheme="minorHAnsi"/>
                <w:color w:val="auto"/>
                <w:sz w:val="18"/>
                <w:szCs w:val="18"/>
              </w:rPr>
              <w:t>STR</w:t>
            </w:r>
          </w:p>
        </w:tc>
      </w:tr>
      <w:tr w:rsidR="00897DC1" w:rsidRPr="00FF1022" w:rsidTr="00585D58">
        <w:trPr>
          <w:trHeight w:val="58"/>
          <w:jc w:val="center"/>
        </w:trPr>
        <w:tc>
          <w:tcPr>
            <w:tcW w:w="4381" w:type="dxa"/>
            <w:gridSpan w:val="4"/>
            <w:vMerge w:val="restart"/>
            <w:tcBorders>
              <w:right w:val="thinThickThinSmallGap" w:sz="24" w:space="0" w:color="auto"/>
            </w:tcBorders>
            <w:shd w:val="clear" w:color="auto" w:fill="FFFFFF" w:themeFill="background1"/>
            <w:vAlign w:val="center"/>
          </w:tcPr>
          <w:p w:rsidR="00897DC1" w:rsidRPr="00C10374" w:rsidRDefault="00897DC1" w:rsidP="00897DC1">
            <w:pPr>
              <w:spacing w:line="220" w:lineRule="exact"/>
              <w:contextualSpacing/>
              <w:jc w:val="center"/>
              <w:rPr>
                <w:color w:val="auto"/>
                <w:sz w:val="18"/>
                <w:szCs w:val="18"/>
              </w:rPr>
            </w:pPr>
            <w:r w:rsidRPr="00C10374">
              <w:rPr>
                <w:color w:val="auto"/>
                <w:sz w:val="18"/>
                <w:szCs w:val="18"/>
              </w:rPr>
              <w:t>No Additional MEB/PEB Entries</w:t>
            </w:r>
          </w:p>
        </w:tc>
        <w:tc>
          <w:tcPr>
            <w:tcW w:w="2297" w:type="dxa"/>
            <w:tcBorders>
              <w:left w:val="thinThickThinSmallGap" w:sz="24" w:space="0" w:color="auto"/>
            </w:tcBorders>
            <w:shd w:val="clear" w:color="auto" w:fill="FFFFFF" w:themeFill="background1"/>
            <w:vAlign w:val="center"/>
          </w:tcPr>
          <w:p w:rsidR="00897DC1" w:rsidRPr="00C10374" w:rsidRDefault="00897DC1" w:rsidP="00897DC1">
            <w:pPr>
              <w:spacing w:line="220" w:lineRule="exact"/>
              <w:contextualSpacing/>
              <w:rPr>
                <w:rFonts w:cstheme="minorHAnsi"/>
                <w:color w:val="auto"/>
                <w:sz w:val="18"/>
                <w:szCs w:val="18"/>
              </w:rPr>
            </w:pPr>
            <w:r w:rsidRPr="00C10374">
              <w:rPr>
                <w:rFonts w:cstheme="minorHAnsi"/>
                <w:color w:val="auto"/>
                <w:sz w:val="18"/>
                <w:szCs w:val="18"/>
              </w:rPr>
              <w:t>PTSD</w:t>
            </w:r>
          </w:p>
        </w:tc>
        <w:tc>
          <w:tcPr>
            <w:tcW w:w="810" w:type="dxa"/>
            <w:shd w:val="clear" w:color="auto" w:fill="FFFFFF" w:themeFill="background1"/>
            <w:vAlign w:val="center"/>
          </w:tcPr>
          <w:p w:rsidR="00897DC1" w:rsidRPr="00C10374" w:rsidRDefault="00897DC1" w:rsidP="00897DC1">
            <w:pPr>
              <w:spacing w:line="220" w:lineRule="exact"/>
              <w:contextualSpacing/>
              <w:jc w:val="center"/>
              <w:rPr>
                <w:rFonts w:cstheme="minorHAnsi"/>
                <w:color w:val="auto"/>
                <w:sz w:val="18"/>
                <w:szCs w:val="18"/>
              </w:rPr>
            </w:pPr>
            <w:r w:rsidRPr="00C10374">
              <w:rPr>
                <w:rFonts w:cstheme="minorHAnsi"/>
                <w:color w:val="auto"/>
                <w:sz w:val="18"/>
                <w:szCs w:val="18"/>
              </w:rPr>
              <w:t>9411</w:t>
            </w:r>
          </w:p>
        </w:tc>
        <w:tc>
          <w:tcPr>
            <w:tcW w:w="900" w:type="dxa"/>
            <w:shd w:val="clear" w:color="auto" w:fill="FFFFFF" w:themeFill="background1"/>
            <w:vAlign w:val="center"/>
          </w:tcPr>
          <w:p w:rsidR="00897DC1" w:rsidRPr="00C10374" w:rsidRDefault="00897DC1" w:rsidP="00897DC1">
            <w:pPr>
              <w:spacing w:line="220" w:lineRule="exact"/>
              <w:contextualSpacing/>
              <w:jc w:val="center"/>
              <w:rPr>
                <w:rFonts w:cstheme="minorHAnsi"/>
                <w:color w:val="auto"/>
                <w:sz w:val="18"/>
                <w:szCs w:val="18"/>
              </w:rPr>
            </w:pPr>
            <w:r w:rsidRPr="00C10374">
              <w:rPr>
                <w:rFonts w:cstheme="minorHAnsi"/>
                <w:color w:val="auto"/>
                <w:sz w:val="18"/>
                <w:szCs w:val="18"/>
              </w:rPr>
              <w:t>50%*</w:t>
            </w:r>
          </w:p>
        </w:tc>
        <w:tc>
          <w:tcPr>
            <w:tcW w:w="1007" w:type="dxa"/>
            <w:shd w:val="clear" w:color="auto" w:fill="FFFFFF" w:themeFill="background1"/>
            <w:vAlign w:val="center"/>
          </w:tcPr>
          <w:p w:rsidR="00897DC1" w:rsidRPr="00FC3D37" w:rsidRDefault="00897DC1" w:rsidP="00897DC1">
            <w:pPr>
              <w:spacing w:line="220" w:lineRule="exact"/>
              <w:contextualSpacing/>
              <w:jc w:val="center"/>
              <w:rPr>
                <w:rFonts w:cstheme="minorHAnsi"/>
                <w:color w:val="auto"/>
                <w:sz w:val="18"/>
                <w:szCs w:val="18"/>
              </w:rPr>
            </w:pPr>
            <w:r w:rsidRPr="00C10374">
              <w:rPr>
                <w:rFonts w:cstheme="minorHAnsi"/>
                <w:color w:val="auto"/>
                <w:sz w:val="18"/>
                <w:szCs w:val="18"/>
              </w:rPr>
              <w:t>20090416</w:t>
            </w:r>
          </w:p>
        </w:tc>
      </w:tr>
      <w:tr w:rsidR="00897DC1" w:rsidRPr="00FF1022" w:rsidTr="00F075B8">
        <w:trPr>
          <w:trHeight w:val="188"/>
          <w:jc w:val="center"/>
        </w:trPr>
        <w:tc>
          <w:tcPr>
            <w:tcW w:w="4381" w:type="dxa"/>
            <w:gridSpan w:val="4"/>
            <w:vMerge/>
            <w:tcBorders>
              <w:bottom w:val="single" w:sz="4" w:space="0" w:color="000000" w:themeColor="text1"/>
              <w:right w:val="thinThickThinSmallGap" w:sz="24" w:space="0" w:color="auto"/>
            </w:tcBorders>
            <w:shd w:val="clear" w:color="auto" w:fill="FFFFFF" w:themeFill="background1"/>
            <w:vAlign w:val="center"/>
          </w:tcPr>
          <w:p w:rsidR="00897DC1" w:rsidRPr="0042528C" w:rsidRDefault="00897DC1" w:rsidP="00897DC1">
            <w:pPr>
              <w:spacing w:line="220" w:lineRule="exact"/>
              <w:contextualSpacing/>
              <w:jc w:val="center"/>
              <w:rPr>
                <w:color w:val="auto"/>
                <w:sz w:val="18"/>
                <w:szCs w:val="18"/>
              </w:rPr>
            </w:pPr>
          </w:p>
        </w:tc>
        <w:tc>
          <w:tcPr>
            <w:tcW w:w="4007" w:type="dxa"/>
            <w:gridSpan w:val="3"/>
            <w:tcBorders>
              <w:left w:val="thinThickThinSmallGap" w:sz="24" w:space="0" w:color="auto"/>
              <w:bottom w:val="single" w:sz="4" w:space="0" w:color="000000" w:themeColor="text1"/>
            </w:tcBorders>
            <w:shd w:val="clear" w:color="auto" w:fill="FFFFFF" w:themeFill="background1"/>
            <w:vAlign w:val="center"/>
          </w:tcPr>
          <w:p w:rsidR="00897DC1" w:rsidRPr="006E2357" w:rsidRDefault="00897DC1" w:rsidP="00897DC1">
            <w:pPr>
              <w:spacing w:line="220" w:lineRule="exact"/>
              <w:contextualSpacing/>
              <w:jc w:val="center"/>
              <w:rPr>
                <w:color w:val="auto"/>
                <w:sz w:val="18"/>
                <w:szCs w:val="18"/>
              </w:rPr>
            </w:pPr>
            <w:r w:rsidRPr="006E2357">
              <w:rPr>
                <w:rFonts w:cs="Times New Roman"/>
                <w:color w:val="auto"/>
                <w:sz w:val="18"/>
                <w:szCs w:val="18"/>
              </w:rPr>
              <w:t xml:space="preserve">Not Service Connected x </w:t>
            </w:r>
            <w:r>
              <w:rPr>
                <w:rFonts w:cs="Times New Roman"/>
                <w:color w:val="auto"/>
                <w:sz w:val="18"/>
                <w:szCs w:val="18"/>
              </w:rPr>
              <w:t>5</w:t>
            </w:r>
          </w:p>
        </w:tc>
        <w:tc>
          <w:tcPr>
            <w:tcW w:w="1007" w:type="dxa"/>
            <w:tcBorders>
              <w:bottom w:val="single" w:sz="4" w:space="0" w:color="000000" w:themeColor="text1"/>
            </w:tcBorders>
            <w:shd w:val="clear" w:color="auto" w:fill="FFFFFF" w:themeFill="background1"/>
            <w:vAlign w:val="center"/>
          </w:tcPr>
          <w:p w:rsidR="00897DC1" w:rsidRPr="006E2357" w:rsidRDefault="00897DC1" w:rsidP="00897DC1">
            <w:pPr>
              <w:spacing w:line="220" w:lineRule="exact"/>
              <w:contextualSpacing/>
              <w:jc w:val="center"/>
              <w:rPr>
                <w:color w:val="auto"/>
                <w:sz w:val="18"/>
                <w:szCs w:val="18"/>
              </w:rPr>
            </w:pPr>
            <w:r w:rsidRPr="006E2357">
              <w:rPr>
                <w:color w:val="auto"/>
                <w:sz w:val="18"/>
                <w:szCs w:val="18"/>
              </w:rPr>
              <w:t>STR</w:t>
            </w:r>
          </w:p>
        </w:tc>
      </w:tr>
      <w:tr w:rsidR="00B70A19" w:rsidRPr="00FF1022" w:rsidTr="00F075B8">
        <w:trPr>
          <w:trHeight w:val="242"/>
          <w:jc w:val="center"/>
        </w:trPr>
        <w:tc>
          <w:tcPr>
            <w:tcW w:w="4381" w:type="dxa"/>
            <w:gridSpan w:val="4"/>
            <w:tcBorders>
              <w:right w:val="thinThickThinSmallGap" w:sz="24" w:space="0" w:color="auto"/>
            </w:tcBorders>
            <w:shd w:val="clear" w:color="auto" w:fill="D9D9D9" w:themeFill="background1" w:themeFillShade="D9"/>
            <w:vAlign w:val="center"/>
          </w:tcPr>
          <w:p w:rsidR="00B70A19" w:rsidRPr="00B06930" w:rsidRDefault="00B70A19" w:rsidP="00897DC1">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10</w:t>
            </w:r>
            <w:r w:rsidRPr="00B06930">
              <w:rPr>
                <w:b/>
                <w:color w:val="auto"/>
                <w:sz w:val="20"/>
                <w:szCs w:val="20"/>
              </w:rPr>
              <w:t>%</w:t>
            </w:r>
          </w:p>
        </w:tc>
        <w:tc>
          <w:tcPr>
            <w:tcW w:w="5014" w:type="dxa"/>
            <w:gridSpan w:val="4"/>
            <w:tcBorders>
              <w:left w:val="thinThickThinSmallGap" w:sz="24" w:space="0" w:color="auto"/>
            </w:tcBorders>
            <w:shd w:val="clear" w:color="auto" w:fill="D9D9D9" w:themeFill="background1" w:themeFillShade="D9"/>
            <w:vAlign w:val="center"/>
          </w:tcPr>
          <w:p w:rsidR="00B70A19" w:rsidRPr="006E2357" w:rsidRDefault="00B70A19" w:rsidP="00897DC1">
            <w:pPr>
              <w:spacing w:line="240" w:lineRule="exact"/>
              <w:contextualSpacing/>
              <w:jc w:val="center"/>
              <w:rPr>
                <w:b/>
                <w:color w:val="auto"/>
                <w:sz w:val="20"/>
                <w:szCs w:val="20"/>
              </w:rPr>
            </w:pPr>
            <w:r w:rsidRPr="006E2357">
              <w:rPr>
                <w:b/>
                <w:color w:val="auto"/>
                <w:sz w:val="20"/>
                <w:szCs w:val="20"/>
              </w:rPr>
              <w:t xml:space="preserve">Combined:  </w:t>
            </w:r>
            <w:r>
              <w:rPr>
                <w:b/>
                <w:color w:val="auto"/>
                <w:sz w:val="20"/>
                <w:szCs w:val="20"/>
              </w:rPr>
              <w:t>7</w:t>
            </w:r>
            <w:r w:rsidRPr="006E2357">
              <w:rPr>
                <w:b/>
                <w:color w:val="auto"/>
                <w:sz w:val="20"/>
                <w:szCs w:val="20"/>
              </w:rPr>
              <w:t>0%</w:t>
            </w:r>
            <w:r w:rsidR="00897DC1">
              <w:rPr>
                <w:b/>
                <w:color w:val="auto"/>
                <w:sz w:val="20"/>
                <w:szCs w:val="20"/>
              </w:rPr>
              <w:t>*</w:t>
            </w:r>
          </w:p>
        </w:tc>
      </w:tr>
    </w:tbl>
    <w:p w:rsidR="00B70A19" w:rsidRDefault="00B70A19" w:rsidP="00897DC1">
      <w:pPr>
        <w:pBdr>
          <w:bottom w:val="single" w:sz="12" w:space="2" w:color="auto"/>
        </w:pBdr>
        <w:tabs>
          <w:tab w:val="left" w:pos="288"/>
          <w:tab w:val="left" w:pos="4752"/>
        </w:tabs>
        <w:spacing w:line="180" w:lineRule="exact"/>
        <w:jc w:val="both"/>
        <w:rPr>
          <w:rFonts w:asciiTheme="minorHAnsi" w:hAnsiTheme="minorHAnsi"/>
          <w:color w:val="auto"/>
          <w:sz w:val="18"/>
          <w:szCs w:val="18"/>
        </w:rPr>
      </w:pPr>
      <w:r w:rsidRPr="006937C6">
        <w:rPr>
          <w:rFonts w:asciiTheme="minorHAnsi" w:hAnsiTheme="minorHAnsi"/>
          <w:color w:val="auto"/>
          <w:sz w:val="18"/>
          <w:szCs w:val="18"/>
        </w:rPr>
        <w:t xml:space="preserve">* </w:t>
      </w:r>
      <w:r w:rsidR="00897DC1">
        <w:rPr>
          <w:rFonts w:asciiTheme="minorHAnsi" w:hAnsiTheme="minorHAnsi"/>
          <w:color w:val="auto"/>
          <w:sz w:val="18"/>
          <w:szCs w:val="18"/>
        </w:rPr>
        <w:t>Asthma</w:t>
      </w:r>
      <w:r w:rsidRPr="006937C6">
        <w:rPr>
          <w:rFonts w:asciiTheme="minorHAnsi" w:hAnsiTheme="minorHAnsi"/>
          <w:color w:val="auto"/>
          <w:sz w:val="18"/>
          <w:szCs w:val="18"/>
        </w:rPr>
        <w:t xml:space="preserve"> rating based on </w:t>
      </w:r>
      <w:r w:rsidR="00897DC1">
        <w:rPr>
          <w:rFonts w:asciiTheme="minorHAnsi" w:hAnsiTheme="minorHAnsi"/>
          <w:color w:val="auto"/>
          <w:sz w:val="18"/>
          <w:szCs w:val="18"/>
        </w:rPr>
        <w:t xml:space="preserve">Service treatment record (STR) at the time of TDRL placement; PTSD and combined ratings based on </w:t>
      </w:r>
      <w:r w:rsidRPr="006937C6">
        <w:rPr>
          <w:rFonts w:asciiTheme="minorHAnsi" w:hAnsiTheme="minorHAnsi"/>
          <w:color w:val="auto"/>
          <w:sz w:val="18"/>
          <w:szCs w:val="18"/>
        </w:rPr>
        <w:t xml:space="preserve">most proximate </w:t>
      </w:r>
      <w:r w:rsidR="00897DC1" w:rsidRPr="006937C6">
        <w:rPr>
          <w:rFonts w:asciiTheme="minorHAnsi" w:hAnsiTheme="minorHAnsi"/>
          <w:color w:val="auto"/>
          <w:sz w:val="18"/>
          <w:szCs w:val="18"/>
        </w:rPr>
        <w:t xml:space="preserve">exam </w:t>
      </w:r>
      <w:r w:rsidR="00897DC1">
        <w:rPr>
          <w:rFonts w:asciiTheme="minorHAnsi" w:hAnsiTheme="minorHAnsi"/>
          <w:color w:val="auto"/>
          <w:sz w:val="18"/>
          <w:szCs w:val="18"/>
        </w:rPr>
        <w:t>following</w:t>
      </w:r>
      <w:r w:rsidRPr="006937C6">
        <w:rPr>
          <w:rFonts w:asciiTheme="minorHAnsi" w:hAnsiTheme="minorHAnsi"/>
          <w:color w:val="auto"/>
          <w:sz w:val="18"/>
          <w:szCs w:val="18"/>
        </w:rPr>
        <w:t xml:space="preserve"> permanent separation</w:t>
      </w:r>
      <w:r w:rsidR="00897DC1">
        <w:rPr>
          <w:rFonts w:asciiTheme="minorHAnsi" w:hAnsiTheme="minorHAnsi"/>
          <w:color w:val="auto"/>
          <w:sz w:val="18"/>
          <w:szCs w:val="18"/>
        </w:rPr>
        <w:t xml:space="preserve"> (&gt; 2 years) and rating decision of 20090430.</w:t>
      </w:r>
      <w:r w:rsidR="00EB05CA">
        <w:rPr>
          <w:rFonts w:asciiTheme="minorHAnsi" w:hAnsiTheme="minorHAnsi"/>
          <w:color w:val="auto"/>
          <w:sz w:val="18"/>
          <w:szCs w:val="18"/>
        </w:rPr>
        <w:t xml:space="preserve">  The most proximate VA exam for asthma following permanent separation was &gt; 3 years later.</w:t>
      </w:r>
    </w:p>
    <w:p w:rsidR="00897DC1" w:rsidRDefault="00897DC1" w:rsidP="00B70A19">
      <w:pPr>
        <w:pBdr>
          <w:bottom w:val="single" w:sz="12" w:space="2" w:color="auto"/>
        </w:pBdr>
        <w:tabs>
          <w:tab w:val="left" w:pos="288"/>
          <w:tab w:val="left" w:pos="4752"/>
        </w:tabs>
        <w:spacing w:line="240" w:lineRule="exact"/>
        <w:jc w:val="both"/>
        <w:rPr>
          <w:rFonts w:asciiTheme="minorHAnsi" w:hAnsiTheme="minorHAnsi"/>
          <w:color w:val="auto"/>
          <w:sz w:val="18"/>
          <w:szCs w:val="18"/>
        </w:rPr>
      </w:pPr>
    </w:p>
    <w:p w:rsidR="00B70A19" w:rsidRDefault="00B70A19" w:rsidP="007949FE">
      <w:pPr>
        <w:tabs>
          <w:tab w:val="left" w:pos="288"/>
          <w:tab w:val="left" w:pos="4752"/>
        </w:tabs>
        <w:spacing w:line="240" w:lineRule="exact"/>
        <w:jc w:val="both"/>
        <w:rPr>
          <w:rFonts w:asciiTheme="minorHAnsi" w:hAnsiTheme="minorHAnsi"/>
          <w:b/>
          <w:color w:val="auto"/>
          <w:szCs w:val="24"/>
          <w:u w:val="single"/>
        </w:rPr>
      </w:pPr>
    </w:p>
    <w:p w:rsidR="002C6E5B" w:rsidRDefault="002C6E5B" w:rsidP="006E0B35">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6E0B35">
        <w:rPr>
          <w:rFonts w:asciiTheme="minorHAnsi" w:hAnsiTheme="minorHAnsi"/>
          <w:color w:val="auto"/>
          <w:szCs w:val="24"/>
        </w:rPr>
        <w:t xml:space="preserve">  </w:t>
      </w:r>
      <w:r w:rsidR="006E0B35" w:rsidRPr="006E0B35">
        <w:rPr>
          <w:rFonts w:asciiTheme="minorHAnsi" w:hAnsiTheme="minorHAnsi"/>
          <w:color w:val="auto"/>
          <w:szCs w:val="24"/>
        </w:rPr>
        <w:t>The Board acknowledges the CI’s contention that suggests Service ratings should have been conferred for other conditions documented at the time of separation. The Board wishes to clarify that it is subject to the same laws for Service disability entitlemen</w:t>
      </w:r>
      <w:r w:rsidR="0066606F">
        <w:rPr>
          <w:rFonts w:asciiTheme="minorHAnsi" w:hAnsiTheme="minorHAnsi"/>
          <w:color w:val="auto"/>
          <w:szCs w:val="24"/>
        </w:rPr>
        <w:t>ts as those under which the Disability Evaluation System (</w:t>
      </w:r>
      <w:r w:rsidR="006E0B35" w:rsidRPr="006E0B35">
        <w:rPr>
          <w:rFonts w:asciiTheme="minorHAnsi" w:hAnsiTheme="minorHAnsi"/>
          <w:color w:val="auto"/>
          <w:szCs w:val="24"/>
        </w:rPr>
        <w:t xml:space="preserve">DES) operates. </w:t>
      </w:r>
      <w:r w:rsidR="006E0B35">
        <w:rPr>
          <w:rFonts w:asciiTheme="minorHAnsi" w:hAnsiTheme="minorHAnsi"/>
          <w:color w:val="auto"/>
          <w:szCs w:val="24"/>
        </w:rPr>
        <w:t xml:space="preserve"> </w:t>
      </w:r>
      <w:r w:rsidR="0066606F">
        <w:rPr>
          <w:rFonts w:asciiTheme="minorHAnsi" w:hAnsiTheme="minorHAnsi"/>
          <w:color w:val="auto"/>
          <w:szCs w:val="24"/>
        </w:rPr>
        <w:t xml:space="preserve">While the </w:t>
      </w:r>
      <w:r w:rsidR="006E0B35" w:rsidRPr="006E0B35">
        <w:rPr>
          <w:rFonts w:asciiTheme="minorHAnsi" w:hAnsiTheme="minorHAnsi"/>
          <w:color w:val="auto"/>
          <w:szCs w:val="24"/>
        </w:rPr>
        <w:t xml:space="preserve">DES considers all of the service member's medical conditions, compensation can only be offered for those conditions that cut short a service member’s career, and then only to the degree of severity present at the time of final disposition. </w:t>
      </w:r>
      <w:r w:rsidR="006E0B35">
        <w:rPr>
          <w:rFonts w:asciiTheme="minorHAnsi" w:hAnsiTheme="minorHAnsi"/>
          <w:color w:val="auto"/>
          <w:szCs w:val="24"/>
        </w:rPr>
        <w:t xml:space="preserve"> </w:t>
      </w:r>
      <w:r w:rsidR="006E0B35" w:rsidRPr="006E0B35">
        <w:rPr>
          <w:rFonts w:asciiTheme="minorHAnsi" w:hAnsiTheme="minorHAnsi"/>
          <w:color w:val="auto"/>
          <w:szCs w:val="24"/>
        </w:rPr>
        <w:t>However the Department of Veteran</w:t>
      </w:r>
      <w:r w:rsidR="006E0B35">
        <w:rPr>
          <w:rFonts w:asciiTheme="minorHAnsi" w:hAnsiTheme="minorHAnsi"/>
          <w:color w:val="auto"/>
          <w:szCs w:val="24"/>
        </w:rPr>
        <w:t>s</w:t>
      </w:r>
      <w:r w:rsidR="0066606F">
        <w:rPr>
          <w:rFonts w:asciiTheme="minorHAnsi" w:hAnsiTheme="minorHAnsi"/>
          <w:color w:val="auto"/>
          <w:szCs w:val="24"/>
        </w:rPr>
        <w:t>’</w:t>
      </w:r>
      <w:r w:rsidR="006E0B35" w:rsidRPr="006E0B35">
        <w:rPr>
          <w:rFonts w:asciiTheme="minorHAnsi" w:hAnsiTheme="minorHAnsi"/>
          <w:color w:val="auto"/>
          <w:szCs w:val="24"/>
        </w:rPr>
        <w:t xml:space="preserve"> Affairs</w:t>
      </w:r>
      <w:r w:rsidR="0066606F">
        <w:rPr>
          <w:rFonts w:asciiTheme="minorHAnsi" w:hAnsiTheme="minorHAnsi"/>
          <w:color w:val="auto"/>
          <w:szCs w:val="24"/>
        </w:rPr>
        <w:t xml:space="preserve"> (VA)</w:t>
      </w:r>
      <w:r w:rsidR="006E0B35" w:rsidRPr="006E0B35">
        <w:rPr>
          <w:rFonts w:asciiTheme="minorHAnsi" w:hAnsiTheme="minorHAnsi"/>
          <w:color w:val="auto"/>
          <w:szCs w:val="24"/>
        </w:rPr>
        <w:t xml:space="preserve">, operating under a different set of laws (Title 38, United States Code), is empowered to compensate all service connected conditions and to periodically reevaluate said conditions for the purpose of adjusting the </w:t>
      </w:r>
      <w:r w:rsidR="0066606F">
        <w:rPr>
          <w:rFonts w:asciiTheme="minorHAnsi" w:hAnsiTheme="minorHAnsi"/>
          <w:color w:val="auto"/>
          <w:szCs w:val="24"/>
        </w:rPr>
        <w:t>V</w:t>
      </w:r>
      <w:r w:rsidR="006E0B35" w:rsidRPr="006E0B35">
        <w:rPr>
          <w:rFonts w:asciiTheme="minorHAnsi" w:hAnsiTheme="minorHAnsi"/>
          <w:color w:val="auto"/>
          <w:szCs w:val="24"/>
        </w:rPr>
        <w:t>eteran’s disability rating should his degree of impairment vary over time.</w:t>
      </w:r>
      <w:r w:rsidR="00DA3BD9">
        <w:rPr>
          <w:rFonts w:asciiTheme="minorHAnsi" w:hAnsiTheme="minorHAnsi"/>
          <w:color w:val="auto"/>
          <w:szCs w:val="24"/>
        </w:rPr>
        <w:t xml:space="preserve">  </w:t>
      </w:r>
      <w:r w:rsidR="00DA3BD9" w:rsidRPr="00DA3BD9">
        <w:rPr>
          <w:rFonts w:asciiTheme="minorHAnsi" w:hAnsiTheme="minorHAnsi"/>
          <w:color w:val="auto"/>
          <w:szCs w:val="24"/>
        </w:rPr>
        <w:t xml:space="preserve">The Board </w:t>
      </w:r>
      <w:r w:rsidR="00FB219C">
        <w:rPr>
          <w:rFonts w:asciiTheme="minorHAnsi" w:hAnsiTheme="minorHAnsi"/>
          <w:color w:val="auto"/>
          <w:szCs w:val="24"/>
        </w:rPr>
        <w:t>further clarifies</w:t>
      </w:r>
      <w:r w:rsidR="00DA3BD9" w:rsidRPr="00DA3BD9">
        <w:rPr>
          <w:rFonts w:asciiTheme="minorHAnsi" w:hAnsiTheme="minorHAnsi"/>
          <w:color w:val="auto"/>
          <w:szCs w:val="24"/>
        </w:rPr>
        <w:t xml:space="preserve"> that, in cases involving a period of TDRL,</w:t>
      </w:r>
      <w:r w:rsidR="00DA3BD9">
        <w:rPr>
          <w:rFonts w:asciiTheme="minorHAnsi" w:hAnsiTheme="minorHAnsi"/>
          <w:color w:val="auto"/>
          <w:szCs w:val="24"/>
        </w:rPr>
        <w:t xml:space="preserve"> </w:t>
      </w:r>
      <w:r w:rsidR="00FB219C">
        <w:rPr>
          <w:rFonts w:asciiTheme="minorHAnsi" w:hAnsiTheme="minorHAnsi"/>
          <w:color w:val="auto"/>
          <w:szCs w:val="24"/>
        </w:rPr>
        <w:t>it</w:t>
      </w:r>
      <w:r w:rsidR="00DA3BD9" w:rsidRPr="00DA3BD9">
        <w:rPr>
          <w:rFonts w:asciiTheme="minorHAnsi" w:hAnsiTheme="minorHAnsi"/>
          <w:color w:val="auto"/>
          <w:szCs w:val="24"/>
        </w:rPr>
        <w:t xml:space="preserve"> must also adhere to the DES standard that only those conditions which were present and unfitting at the time of temporary retirement may be considered for </w:t>
      </w:r>
      <w:r w:rsidR="00DA3BD9">
        <w:rPr>
          <w:rFonts w:asciiTheme="minorHAnsi" w:hAnsiTheme="minorHAnsi"/>
          <w:color w:val="auto"/>
          <w:szCs w:val="24"/>
        </w:rPr>
        <w:t>Service rating</w:t>
      </w:r>
      <w:r w:rsidR="00FB219C">
        <w:rPr>
          <w:rFonts w:asciiTheme="minorHAnsi" w:hAnsiTheme="minorHAnsi"/>
          <w:color w:val="auto"/>
          <w:szCs w:val="24"/>
        </w:rPr>
        <w:t>;</w:t>
      </w:r>
      <w:r w:rsidR="00DA3BD9" w:rsidRPr="00DA3BD9">
        <w:rPr>
          <w:rFonts w:asciiTheme="minorHAnsi" w:hAnsiTheme="minorHAnsi"/>
          <w:color w:val="auto"/>
          <w:szCs w:val="24"/>
        </w:rPr>
        <w:t xml:space="preserve"> </w:t>
      </w:r>
      <w:r w:rsidR="00DA3BD9">
        <w:rPr>
          <w:rFonts w:asciiTheme="minorHAnsi" w:hAnsiTheme="minorHAnsi"/>
          <w:color w:val="auto"/>
          <w:szCs w:val="24"/>
        </w:rPr>
        <w:t xml:space="preserve">regardless of their status </w:t>
      </w:r>
      <w:r w:rsidR="00DA3BD9" w:rsidRPr="00DA3BD9">
        <w:rPr>
          <w:rFonts w:asciiTheme="minorHAnsi" w:hAnsiTheme="minorHAnsi"/>
          <w:color w:val="auto"/>
          <w:szCs w:val="24"/>
        </w:rPr>
        <w:t>at t</w:t>
      </w:r>
      <w:r w:rsidR="00DA3BD9">
        <w:rPr>
          <w:rFonts w:asciiTheme="minorHAnsi" w:hAnsiTheme="minorHAnsi"/>
          <w:color w:val="auto"/>
          <w:szCs w:val="24"/>
        </w:rPr>
        <w:t>he time of permanent separation</w:t>
      </w:r>
      <w:r w:rsidR="00DA3BD9" w:rsidRPr="00DA3BD9">
        <w:rPr>
          <w:rFonts w:asciiTheme="minorHAnsi" w:hAnsiTheme="minorHAnsi"/>
          <w:color w:val="auto"/>
          <w:szCs w:val="24"/>
        </w:rPr>
        <w:t>.</w:t>
      </w:r>
    </w:p>
    <w:p w:rsidR="004C60A3" w:rsidRDefault="004C60A3" w:rsidP="00510F9C">
      <w:pPr>
        <w:spacing w:line="240" w:lineRule="exact"/>
        <w:rPr>
          <w:rFonts w:asciiTheme="minorHAnsi" w:hAnsiTheme="minorHAnsi"/>
          <w:color w:val="auto"/>
          <w:szCs w:val="24"/>
        </w:rPr>
      </w:pPr>
    </w:p>
    <w:p w:rsidR="00585D58" w:rsidRDefault="00E37F73" w:rsidP="00585D58">
      <w:pPr>
        <w:tabs>
          <w:tab w:val="left" w:pos="288"/>
          <w:tab w:val="left" w:pos="4752"/>
        </w:tabs>
        <w:spacing w:line="240" w:lineRule="exact"/>
        <w:jc w:val="both"/>
        <w:rPr>
          <w:rFonts w:asciiTheme="minorHAnsi" w:hAnsiTheme="minorHAnsi"/>
          <w:color w:val="auto"/>
          <w:szCs w:val="24"/>
        </w:rPr>
      </w:pPr>
      <w:proofErr w:type="gramStart"/>
      <w:r w:rsidRPr="00585D58">
        <w:rPr>
          <w:rFonts w:asciiTheme="minorHAnsi" w:hAnsiTheme="minorHAnsi" w:cstheme="minorHAnsi"/>
          <w:color w:val="auto"/>
          <w:szCs w:val="24"/>
          <w:u w:val="single"/>
        </w:rPr>
        <w:t>Asthma</w:t>
      </w:r>
      <w:r w:rsidRPr="00585D58">
        <w:rPr>
          <w:rFonts w:asciiTheme="minorHAnsi" w:hAnsiTheme="minorHAnsi" w:cstheme="minorHAnsi"/>
          <w:color w:val="auto"/>
          <w:szCs w:val="24"/>
        </w:rPr>
        <w:t>.</w:t>
      </w:r>
      <w:proofErr w:type="gramEnd"/>
      <w:r w:rsidRPr="00585D58">
        <w:rPr>
          <w:rFonts w:asciiTheme="minorHAnsi" w:hAnsiTheme="minorHAnsi" w:cstheme="minorHAnsi"/>
          <w:color w:val="auto"/>
          <w:szCs w:val="24"/>
        </w:rPr>
        <w:t xml:space="preserve">  </w:t>
      </w:r>
      <w:r w:rsidR="00585D58">
        <w:rPr>
          <w:rFonts w:asciiTheme="minorHAnsi" w:hAnsiTheme="minorHAnsi" w:cstheme="minorHAnsi"/>
          <w:color w:val="auto"/>
          <w:szCs w:val="24"/>
        </w:rPr>
        <w:t>The CI’s asthma was a new development since returning from a one year tour in Kuwait.  While in theater he was exposed</w:t>
      </w:r>
      <w:r w:rsidR="00585D58" w:rsidRPr="00F1050C">
        <w:rPr>
          <w:rFonts w:asciiTheme="minorHAnsi" w:hAnsiTheme="minorHAnsi"/>
          <w:color w:val="auto"/>
          <w:szCs w:val="24"/>
        </w:rPr>
        <w:t xml:space="preserve"> to smoke from an oil refinery for three weeks and to </w:t>
      </w:r>
      <w:r w:rsidR="00585D58">
        <w:rPr>
          <w:rFonts w:asciiTheme="minorHAnsi" w:hAnsiTheme="minorHAnsi"/>
          <w:color w:val="auto"/>
          <w:szCs w:val="24"/>
        </w:rPr>
        <w:t>other noxious fumes</w:t>
      </w:r>
      <w:r w:rsidR="00585D58" w:rsidRPr="00F1050C">
        <w:rPr>
          <w:rFonts w:asciiTheme="minorHAnsi" w:hAnsiTheme="minorHAnsi"/>
          <w:color w:val="auto"/>
          <w:szCs w:val="24"/>
        </w:rPr>
        <w:t>.</w:t>
      </w:r>
      <w:r w:rsidR="00585D58">
        <w:rPr>
          <w:rFonts w:asciiTheme="minorHAnsi" w:hAnsiTheme="minorHAnsi"/>
          <w:color w:val="auto"/>
          <w:szCs w:val="24"/>
        </w:rPr>
        <w:t xml:space="preserve">  Upon redeployment he noted dyspnea on exertion, some resting shortness of breath nocturnally, and declining aerobic tolerance on </w:t>
      </w:r>
      <w:r w:rsidR="009E6B34">
        <w:rPr>
          <w:rFonts w:asciiTheme="minorHAnsi" w:hAnsiTheme="minorHAnsi"/>
          <w:color w:val="auto"/>
          <w:szCs w:val="24"/>
        </w:rPr>
        <w:t xml:space="preserve">physical </w:t>
      </w:r>
      <w:r w:rsidR="00585D58">
        <w:rPr>
          <w:rFonts w:asciiTheme="minorHAnsi" w:hAnsiTheme="minorHAnsi"/>
          <w:color w:val="auto"/>
          <w:szCs w:val="24"/>
        </w:rPr>
        <w:t xml:space="preserve">fitness tests.  He was referred to the </w:t>
      </w:r>
      <w:r w:rsidR="003A2E28">
        <w:rPr>
          <w:rFonts w:asciiTheme="minorHAnsi" w:hAnsiTheme="minorHAnsi"/>
          <w:color w:val="auto"/>
          <w:szCs w:val="24"/>
        </w:rPr>
        <w:t>a</w:t>
      </w:r>
      <w:r w:rsidR="00585D58">
        <w:rPr>
          <w:rFonts w:asciiTheme="minorHAnsi" w:hAnsiTheme="minorHAnsi"/>
          <w:color w:val="auto"/>
          <w:szCs w:val="24"/>
        </w:rPr>
        <w:t xml:space="preserve">llergy clinic and underwent a thorough evaluation.  </w:t>
      </w:r>
      <w:r w:rsidR="009E6B34">
        <w:rPr>
          <w:rFonts w:asciiTheme="minorHAnsi" w:hAnsiTheme="minorHAnsi"/>
          <w:color w:val="auto"/>
          <w:szCs w:val="24"/>
        </w:rPr>
        <w:t xml:space="preserve">Inducible bronchospasm </w:t>
      </w:r>
      <w:r w:rsidR="008316A3">
        <w:rPr>
          <w:rFonts w:asciiTheme="minorHAnsi" w:hAnsiTheme="minorHAnsi"/>
          <w:color w:val="auto"/>
          <w:szCs w:val="24"/>
        </w:rPr>
        <w:t xml:space="preserve">was confirmed by a methacholine challenge test; and </w:t>
      </w:r>
      <w:r w:rsidR="008316A3">
        <w:rPr>
          <w:rFonts w:asciiTheme="minorHAnsi" w:hAnsiTheme="minorHAnsi" w:cstheme="minorHAnsi"/>
          <w:color w:val="auto"/>
          <w:szCs w:val="24"/>
        </w:rPr>
        <w:t xml:space="preserve">lung volumes were mildly decreased with a normal </w:t>
      </w:r>
      <w:r w:rsidR="008316A3">
        <w:rPr>
          <w:rFonts w:asciiTheme="minorHAnsi" w:hAnsiTheme="minorHAnsi"/>
          <w:color w:val="auto"/>
          <w:szCs w:val="24"/>
        </w:rPr>
        <w:t>d</w:t>
      </w:r>
      <w:r w:rsidR="008316A3" w:rsidRPr="00F1050C">
        <w:rPr>
          <w:rFonts w:asciiTheme="minorHAnsi" w:hAnsiTheme="minorHAnsi"/>
          <w:color w:val="auto"/>
          <w:szCs w:val="24"/>
        </w:rPr>
        <w:t xml:space="preserve">iffusing capacity for carbon monoxide </w:t>
      </w:r>
      <w:r w:rsidR="008316A3">
        <w:rPr>
          <w:rFonts w:asciiTheme="minorHAnsi" w:hAnsiTheme="minorHAnsi"/>
          <w:color w:val="auto"/>
          <w:szCs w:val="24"/>
        </w:rPr>
        <w:t>(</w:t>
      </w:r>
      <w:r w:rsidR="008316A3">
        <w:rPr>
          <w:rFonts w:asciiTheme="minorHAnsi" w:hAnsiTheme="minorHAnsi" w:cstheme="minorHAnsi"/>
          <w:color w:val="auto"/>
          <w:szCs w:val="24"/>
        </w:rPr>
        <w:t xml:space="preserve">DLCO) suggesting a mixed obstructive </w:t>
      </w:r>
      <w:r w:rsidR="009E6B34">
        <w:rPr>
          <w:rFonts w:asciiTheme="minorHAnsi" w:hAnsiTheme="minorHAnsi" w:cstheme="minorHAnsi"/>
          <w:color w:val="auto"/>
          <w:szCs w:val="24"/>
        </w:rPr>
        <w:t xml:space="preserve">(asthma) and restrictive </w:t>
      </w:r>
      <w:r w:rsidR="008316A3">
        <w:rPr>
          <w:rFonts w:asciiTheme="minorHAnsi" w:hAnsiTheme="minorHAnsi" w:cstheme="minorHAnsi"/>
          <w:color w:val="auto"/>
          <w:szCs w:val="24"/>
        </w:rPr>
        <w:t xml:space="preserve">pattern.  Exercise induced </w:t>
      </w:r>
      <w:proofErr w:type="spellStart"/>
      <w:r w:rsidR="008316A3">
        <w:rPr>
          <w:rFonts w:asciiTheme="minorHAnsi" w:hAnsiTheme="minorHAnsi" w:cstheme="minorHAnsi"/>
          <w:color w:val="auto"/>
          <w:szCs w:val="24"/>
        </w:rPr>
        <w:t>bronchospasm</w:t>
      </w:r>
      <w:proofErr w:type="spellEnd"/>
      <w:r w:rsidR="003A2E28">
        <w:rPr>
          <w:rFonts w:asciiTheme="minorHAnsi" w:hAnsiTheme="minorHAnsi" w:cstheme="minorHAnsi"/>
          <w:color w:val="auto"/>
          <w:szCs w:val="24"/>
        </w:rPr>
        <w:t>,</w:t>
      </w:r>
      <w:r w:rsidR="008316A3">
        <w:rPr>
          <w:rFonts w:asciiTheme="minorHAnsi" w:hAnsiTheme="minorHAnsi" w:cstheme="minorHAnsi"/>
          <w:color w:val="auto"/>
          <w:szCs w:val="24"/>
        </w:rPr>
        <w:t xml:space="preserve"> however, was a persistent feature documented in Service clinical entries.  </w:t>
      </w:r>
      <w:r w:rsidR="003A2E28">
        <w:rPr>
          <w:rFonts w:asciiTheme="minorHAnsi" w:hAnsiTheme="minorHAnsi" w:cstheme="minorHAnsi"/>
          <w:color w:val="auto"/>
          <w:szCs w:val="24"/>
        </w:rPr>
        <w:t>The CI</w:t>
      </w:r>
      <w:r w:rsidR="00585D58">
        <w:rPr>
          <w:rFonts w:asciiTheme="minorHAnsi" w:hAnsiTheme="minorHAnsi"/>
          <w:color w:val="auto"/>
          <w:szCs w:val="24"/>
        </w:rPr>
        <w:t xml:space="preserve"> was placed on </w:t>
      </w:r>
      <w:r w:rsidR="003A2E28">
        <w:rPr>
          <w:rFonts w:asciiTheme="minorHAnsi" w:hAnsiTheme="minorHAnsi"/>
          <w:color w:val="auto"/>
          <w:szCs w:val="24"/>
        </w:rPr>
        <w:t xml:space="preserve">the </w:t>
      </w:r>
      <w:r w:rsidR="00585D58">
        <w:rPr>
          <w:rFonts w:asciiTheme="minorHAnsi" w:hAnsiTheme="minorHAnsi"/>
          <w:color w:val="auto"/>
          <w:szCs w:val="24"/>
        </w:rPr>
        <w:t xml:space="preserve">TDRL while undergoing aggressive therapy and failed to respond four months into this trial.  He remained unable to pass fitness standards or tolerate the required chemical protective mask.  There were two PFT evaluations in evidence, as referenced in the rating discussion.  Both of these were Service examinations; no VA PFTs are in evidence.  </w:t>
      </w:r>
      <w:r w:rsidR="008316A3">
        <w:rPr>
          <w:rFonts w:asciiTheme="minorHAnsi" w:hAnsiTheme="minorHAnsi"/>
          <w:color w:val="auto"/>
          <w:szCs w:val="24"/>
        </w:rPr>
        <w:t>The ratable parameters from these two exams are charted below.  Measurements of DLCO and other parameters did not affect rating and are omitted.</w:t>
      </w:r>
    </w:p>
    <w:p w:rsidR="00F80B01" w:rsidRDefault="00F80B01" w:rsidP="00F80B01">
      <w:pPr>
        <w:tabs>
          <w:tab w:val="left" w:pos="288"/>
          <w:tab w:val="left" w:pos="4752"/>
        </w:tabs>
        <w:spacing w:line="240" w:lineRule="exact"/>
        <w:rPr>
          <w:rFonts w:asciiTheme="minorHAnsi" w:hAnsiTheme="minorHAnsi"/>
          <w:color w:val="auto"/>
          <w:szCs w:val="24"/>
        </w:rPr>
      </w:pP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7"/>
        <w:gridCol w:w="2475"/>
        <w:gridCol w:w="2426"/>
      </w:tblGrid>
      <w:tr w:rsidR="00F80B01" w:rsidRPr="00C10374" w:rsidTr="00F80B01">
        <w:trPr>
          <w:jc w:val="center"/>
        </w:trPr>
        <w:tc>
          <w:tcPr>
            <w:tcW w:w="199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80B01" w:rsidRPr="00C10374" w:rsidRDefault="00F80B01" w:rsidP="00585D58">
            <w:pPr>
              <w:spacing w:line="240" w:lineRule="exact"/>
              <w:contextualSpacing/>
              <w:jc w:val="center"/>
              <w:rPr>
                <w:rFonts w:asciiTheme="minorHAnsi" w:eastAsia="Calibri" w:hAnsiTheme="minorHAnsi"/>
                <w:b/>
                <w:color w:val="auto"/>
                <w:sz w:val="22"/>
                <w:szCs w:val="22"/>
              </w:rPr>
            </w:pPr>
            <w:r w:rsidRPr="00C10374">
              <w:rPr>
                <w:rFonts w:asciiTheme="minorHAnsi" w:eastAsia="Calibri" w:hAnsiTheme="minorHAnsi"/>
                <w:b/>
                <w:color w:val="auto"/>
                <w:sz w:val="22"/>
                <w:szCs w:val="22"/>
              </w:rPr>
              <w:t>Service PFTs*</w:t>
            </w:r>
          </w:p>
        </w:tc>
        <w:tc>
          <w:tcPr>
            <w:tcW w:w="2475" w:type="dxa"/>
            <w:tcBorders>
              <w:top w:val="single" w:sz="4" w:space="0" w:color="000000"/>
              <w:left w:val="single" w:sz="4" w:space="0" w:color="000000"/>
              <w:bottom w:val="single" w:sz="4" w:space="0" w:color="000000"/>
              <w:right w:val="single" w:sz="4" w:space="0" w:color="000000"/>
            </w:tcBorders>
            <w:shd w:val="pct15" w:color="auto" w:fill="auto"/>
            <w:vAlign w:val="center"/>
          </w:tcPr>
          <w:p w:rsidR="00F80B01" w:rsidRPr="00C10374" w:rsidRDefault="00F80B01" w:rsidP="00F80B01">
            <w:pPr>
              <w:spacing w:line="240" w:lineRule="exact"/>
              <w:contextualSpacing/>
              <w:jc w:val="center"/>
              <w:rPr>
                <w:rFonts w:asciiTheme="minorHAnsi" w:eastAsia="Calibri" w:hAnsiTheme="minorHAnsi"/>
                <w:b/>
                <w:color w:val="auto"/>
                <w:sz w:val="22"/>
                <w:szCs w:val="22"/>
              </w:rPr>
            </w:pPr>
            <w:r w:rsidRPr="00C10374">
              <w:rPr>
                <w:rFonts w:asciiTheme="minorHAnsi" w:eastAsia="Calibri" w:hAnsiTheme="minorHAnsi"/>
                <w:b/>
                <w:color w:val="auto"/>
                <w:sz w:val="22"/>
                <w:szCs w:val="22"/>
              </w:rPr>
              <w:t>Entry TDRL (3 Mo. Prior)</w:t>
            </w:r>
          </w:p>
        </w:tc>
        <w:tc>
          <w:tcPr>
            <w:tcW w:w="24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80B01" w:rsidRPr="00C10374" w:rsidRDefault="00F80B01" w:rsidP="00585D58">
            <w:pPr>
              <w:spacing w:line="240" w:lineRule="exact"/>
              <w:contextualSpacing/>
              <w:jc w:val="center"/>
              <w:rPr>
                <w:rFonts w:asciiTheme="minorHAnsi" w:eastAsia="Calibri" w:hAnsiTheme="minorHAnsi"/>
                <w:b/>
                <w:color w:val="auto"/>
                <w:sz w:val="22"/>
                <w:szCs w:val="22"/>
              </w:rPr>
            </w:pPr>
            <w:r w:rsidRPr="00C10374">
              <w:rPr>
                <w:rFonts w:asciiTheme="minorHAnsi" w:eastAsia="Calibri" w:hAnsiTheme="minorHAnsi"/>
                <w:b/>
                <w:color w:val="auto"/>
                <w:sz w:val="22"/>
                <w:szCs w:val="22"/>
              </w:rPr>
              <w:t>Separation (5 Mo. Prior)</w:t>
            </w:r>
          </w:p>
        </w:tc>
      </w:tr>
      <w:tr w:rsidR="00F80B01" w:rsidRPr="00C10374" w:rsidTr="00F80B01">
        <w:trPr>
          <w:trHeight w:val="67"/>
          <w:jc w:val="center"/>
        </w:trPr>
        <w:tc>
          <w:tcPr>
            <w:tcW w:w="1997" w:type="dxa"/>
            <w:tcBorders>
              <w:top w:val="single" w:sz="4" w:space="0" w:color="000000"/>
              <w:left w:val="single" w:sz="4" w:space="0" w:color="000000"/>
              <w:bottom w:val="single" w:sz="4" w:space="0" w:color="000000"/>
              <w:right w:val="single" w:sz="4" w:space="0" w:color="000000"/>
            </w:tcBorders>
            <w:vAlign w:val="center"/>
          </w:tcPr>
          <w:p w:rsidR="00F80B01" w:rsidRPr="00C10374" w:rsidRDefault="00F80B01" w:rsidP="00585D58">
            <w:pPr>
              <w:spacing w:line="240" w:lineRule="exact"/>
              <w:contextualSpacing/>
              <w:jc w:val="center"/>
              <w:rPr>
                <w:rFonts w:asciiTheme="minorHAnsi" w:eastAsia="Calibri" w:hAnsiTheme="minorHAnsi"/>
                <w:color w:val="auto"/>
                <w:sz w:val="22"/>
                <w:szCs w:val="22"/>
              </w:rPr>
            </w:pPr>
            <w:r w:rsidRPr="00C10374">
              <w:rPr>
                <w:rFonts w:asciiTheme="minorHAnsi" w:eastAsia="Calibri" w:hAnsiTheme="minorHAnsi"/>
                <w:color w:val="auto"/>
                <w:sz w:val="22"/>
                <w:szCs w:val="22"/>
              </w:rPr>
              <w:t>FEV1 (% Predicted)</w:t>
            </w:r>
          </w:p>
        </w:tc>
        <w:tc>
          <w:tcPr>
            <w:tcW w:w="2475" w:type="dxa"/>
            <w:tcBorders>
              <w:top w:val="single" w:sz="4" w:space="0" w:color="000000"/>
              <w:left w:val="single" w:sz="4" w:space="0" w:color="000000"/>
              <w:bottom w:val="single" w:sz="4" w:space="0" w:color="000000"/>
              <w:right w:val="single" w:sz="4" w:space="0" w:color="000000"/>
            </w:tcBorders>
            <w:vAlign w:val="center"/>
          </w:tcPr>
          <w:p w:rsidR="00F80B01" w:rsidRPr="00C10374" w:rsidRDefault="00F80B01" w:rsidP="00585D58">
            <w:pPr>
              <w:spacing w:line="240" w:lineRule="exact"/>
              <w:contextualSpacing/>
              <w:jc w:val="center"/>
              <w:rPr>
                <w:rFonts w:asciiTheme="minorHAnsi" w:eastAsia="Calibri" w:hAnsiTheme="minorHAnsi"/>
                <w:color w:val="auto"/>
                <w:sz w:val="22"/>
                <w:szCs w:val="22"/>
              </w:rPr>
            </w:pPr>
            <w:r w:rsidRPr="00C10374">
              <w:rPr>
                <w:rFonts w:asciiTheme="minorHAnsi" w:eastAsia="Calibri" w:hAnsiTheme="minorHAnsi"/>
                <w:color w:val="auto"/>
                <w:sz w:val="22"/>
                <w:szCs w:val="22"/>
              </w:rPr>
              <w:t>77%</w:t>
            </w:r>
          </w:p>
        </w:tc>
        <w:tc>
          <w:tcPr>
            <w:tcW w:w="2426" w:type="dxa"/>
            <w:tcBorders>
              <w:top w:val="single" w:sz="4" w:space="0" w:color="000000"/>
              <w:left w:val="single" w:sz="4" w:space="0" w:color="000000"/>
              <w:bottom w:val="single" w:sz="4" w:space="0" w:color="000000"/>
              <w:right w:val="single" w:sz="4" w:space="0" w:color="000000"/>
            </w:tcBorders>
            <w:vAlign w:val="center"/>
          </w:tcPr>
          <w:p w:rsidR="00F80B01" w:rsidRPr="00C10374" w:rsidRDefault="00F80B01" w:rsidP="00585D58">
            <w:pPr>
              <w:spacing w:line="240" w:lineRule="exact"/>
              <w:contextualSpacing/>
              <w:jc w:val="center"/>
              <w:rPr>
                <w:rFonts w:asciiTheme="minorHAnsi" w:eastAsia="Calibri" w:hAnsiTheme="minorHAnsi"/>
                <w:color w:val="auto"/>
                <w:sz w:val="22"/>
                <w:szCs w:val="22"/>
              </w:rPr>
            </w:pPr>
            <w:r w:rsidRPr="00C10374">
              <w:rPr>
                <w:rFonts w:asciiTheme="minorHAnsi" w:eastAsia="Calibri" w:hAnsiTheme="minorHAnsi"/>
                <w:color w:val="auto"/>
                <w:sz w:val="22"/>
                <w:szCs w:val="22"/>
              </w:rPr>
              <w:t>76%</w:t>
            </w:r>
          </w:p>
        </w:tc>
      </w:tr>
      <w:tr w:rsidR="00F80B01" w:rsidRPr="0015546E" w:rsidTr="00F80B01">
        <w:trPr>
          <w:jc w:val="center"/>
        </w:trPr>
        <w:tc>
          <w:tcPr>
            <w:tcW w:w="1997" w:type="dxa"/>
            <w:tcBorders>
              <w:top w:val="single" w:sz="4" w:space="0" w:color="000000"/>
              <w:left w:val="single" w:sz="4" w:space="0" w:color="000000"/>
              <w:bottom w:val="single" w:sz="4" w:space="0" w:color="000000"/>
              <w:right w:val="single" w:sz="4" w:space="0" w:color="000000"/>
            </w:tcBorders>
            <w:vAlign w:val="center"/>
          </w:tcPr>
          <w:p w:rsidR="00F80B01" w:rsidRPr="0015546E" w:rsidRDefault="00F80B01" w:rsidP="00585D58">
            <w:pPr>
              <w:spacing w:line="240" w:lineRule="exact"/>
              <w:contextualSpacing/>
              <w:jc w:val="center"/>
              <w:rPr>
                <w:rFonts w:asciiTheme="minorHAnsi" w:eastAsia="Calibri" w:hAnsiTheme="minorHAnsi"/>
                <w:color w:val="auto"/>
                <w:sz w:val="22"/>
                <w:szCs w:val="22"/>
              </w:rPr>
            </w:pPr>
            <w:r w:rsidRPr="0015546E">
              <w:rPr>
                <w:rFonts w:asciiTheme="minorHAnsi" w:eastAsia="Calibri" w:hAnsiTheme="minorHAnsi"/>
                <w:color w:val="auto"/>
                <w:sz w:val="22"/>
                <w:szCs w:val="22"/>
              </w:rPr>
              <w:t>FEV1/FVC</w:t>
            </w:r>
          </w:p>
        </w:tc>
        <w:tc>
          <w:tcPr>
            <w:tcW w:w="2475" w:type="dxa"/>
            <w:tcBorders>
              <w:top w:val="single" w:sz="4" w:space="0" w:color="000000"/>
              <w:left w:val="single" w:sz="4" w:space="0" w:color="000000"/>
              <w:bottom w:val="single" w:sz="4" w:space="0" w:color="000000"/>
              <w:right w:val="single" w:sz="4" w:space="0" w:color="000000"/>
            </w:tcBorders>
            <w:vAlign w:val="center"/>
          </w:tcPr>
          <w:p w:rsidR="00F80B01" w:rsidRPr="0015546E" w:rsidRDefault="00F80B01" w:rsidP="00585D58">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78</w:t>
            </w:r>
            <w:r w:rsidRPr="0015546E">
              <w:rPr>
                <w:rFonts w:asciiTheme="minorHAnsi" w:eastAsia="Calibri" w:hAnsiTheme="minorHAnsi"/>
                <w:color w:val="auto"/>
                <w:sz w:val="22"/>
                <w:szCs w:val="22"/>
              </w:rPr>
              <w:t>%</w:t>
            </w:r>
          </w:p>
        </w:tc>
        <w:tc>
          <w:tcPr>
            <w:tcW w:w="2426" w:type="dxa"/>
            <w:tcBorders>
              <w:top w:val="single" w:sz="4" w:space="0" w:color="000000"/>
              <w:left w:val="single" w:sz="4" w:space="0" w:color="000000"/>
              <w:bottom w:val="single" w:sz="4" w:space="0" w:color="000000"/>
              <w:right w:val="single" w:sz="4" w:space="0" w:color="000000"/>
            </w:tcBorders>
            <w:vAlign w:val="center"/>
          </w:tcPr>
          <w:p w:rsidR="00F80B01" w:rsidRPr="0015546E" w:rsidRDefault="00F80B01" w:rsidP="00585D58">
            <w:pPr>
              <w:spacing w:line="240" w:lineRule="exact"/>
              <w:contextualSpacing/>
              <w:jc w:val="center"/>
              <w:rPr>
                <w:rFonts w:asciiTheme="minorHAnsi" w:eastAsia="Calibri" w:hAnsiTheme="minorHAnsi"/>
                <w:color w:val="auto"/>
                <w:sz w:val="22"/>
                <w:szCs w:val="22"/>
              </w:rPr>
            </w:pPr>
            <w:r w:rsidRPr="0015546E">
              <w:rPr>
                <w:rFonts w:asciiTheme="minorHAnsi" w:eastAsia="Calibri" w:hAnsiTheme="minorHAnsi"/>
                <w:color w:val="auto"/>
                <w:sz w:val="22"/>
                <w:szCs w:val="22"/>
              </w:rPr>
              <w:t>8</w:t>
            </w:r>
            <w:r>
              <w:rPr>
                <w:rFonts w:asciiTheme="minorHAnsi" w:eastAsia="Calibri" w:hAnsiTheme="minorHAnsi"/>
                <w:color w:val="auto"/>
                <w:sz w:val="22"/>
                <w:szCs w:val="22"/>
              </w:rPr>
              <w:t>1</w:t>
            </w:r>
            <w:r w:rsidRPr="0015546E">
              <w:rPr>
                <w:rFonts w:asciiTheme="minorHAnsi" w:eastAsia="Calibri" w:hAnsiTheme="minorHAnsi"/>
                <w:color w:val="auto"/>
                <w:sz w:val="22"/>
                <w:szCs w:val="22"/>
              </w:rPr>
              <w:t>%</w:t>
            </w:r>
          </w:p>
        </w:tc>
      </w:tr>
      <w:tr w:rsidR="00F80B01" w:rsidRPr="0015546E" w:rsidTr="00F80B01">
        <w:trPr>
          <w:jc w:val="center"/>
        </w:trPr>
        <w:tc>
          <w:tcPr>
            <w:tcW w:w="1997" w:type="dxa"/>
            <w:tcBorders>
              <w:top w:val="single" w:sz="4" w:space="0" w:color="000000"/>
              <w:left w:val="single" w:sz="4" w:space="0" w:color="000000"/>
              <w:bottom w:val="single" w:sz="4" w:space="0" w:color="000000"/>
              <w:right w:val="single" w:sz="4" w:space="0" w:color="000000"/>
            </w:tcBorders>
            <w:vAlign w:val="center"/>
          </w:tcPr>
          <w:p w:rsidR="00F80B01" w:rsidRPr="0015546E" w:rsidRDefault="00F80B01" w:rsidP="00585D58">
            <w:pPr>
              <w:spacing w:line="240" w:lineRule="exact"/>
              <w:contextualSpacing/>
              <w:jc w:val="center"/>
              <w:rPr>
                <w:rFonts w:asciiTheme="minorHAnsi" w:eastAsia="Calibri" w:hAnsiTheme="minorHAnsi" w:cstheme="minorHAnsi"/>
                <w:color w:val="auto"/>
                <w:sz w:val="22"/>
                <w:szCs w:val="22"/>
              </w:rPr>
            </w:pPr>
            <w:r w:rsidRPr="0015546E">
              <w:rPr>
                <w:rFonts w:asciiTheme="minorHAnsi" w:eastAsia="Calibri" w:hAnsiTheme="minorHAnsi" w:cstheme="minorHAnsi"/>
                <w:color w:val="auto"/>
                <w:sz w:val="22"/>
                <w:szCs w:val="22"/>
              </w:rPr>
              <w:t>§</w:t>
            </w:r>
            <w:r w:rsidRPr="0015546E">
              <w:rPr>
                <w:rFonts w:asciiTheme="minorHAnsi" w:hAnsiTheme="minorHAnsi" w:cstheme="minorHAnsi"/>
                <w:color w:val="auto"/>
                <w:sz w:val="22"/>
                <w:szCs w:val="22"/>
              </w:rPr>
              <w:t xml:space="preserve">4.97 </w:t>
            </w:r>
            <w:r w:rsidRPr="0015546E">
              <w:rPr>
                <w:rFonts w:asciiTheme="minorHAnsi" w:eastAsia="Calibri" w:hAnsiTheme="minorHAnsi" w:cstheme="minorHAnsi"/>
                <w:color w:val="auto"/>
                <w:sz w:val="22"/>
                <w:szCs w:val="22"/>
              </w:rPr>
              <w:t>Rating</w:t>
            </w:r>
            <w:r>
              <w:rPr>
                <w:rFonts w:asciiTheme="minorHAnsi" w:eastAsia="Calibri" w:hAnsiTheme="minorHAnsi" w:cstheme="minorHAnsi"/>
                <w:color w:val="auto"/>
                <w:sz w:val="22"/>
                <w:szCs w:val="22"/>
              </w:rPr>
              <w:t>*</w:t>
            </w:r>
          </w:p>
        </w:tc>
        <w:tc>
          <w:tcPr>
            <w:tcW w:w="2475" w:type="dxa"/>
            <w:tcBorders>
              <w:top w:val="single" w:sz="4" w:space="0" w:color="000000"/>
              <w:left w:val="single" w:sz="4" w:space="0" w:color="000000"/>
              <w:bottom w:val="single" w:sz="4" w:space="0" w:color="000000"/>
              <w:right w:val="single" w:sz="4" w:space="0" w:color="000000"/>
            </w:tcBorders>
            <w:vAlign w:val="center"/>
          </w:tcPr>
          <w:p w:rsidR="00F80B01" w:rsidRPr="0015546E" w:rsidRDefault="00F80B01" w:rsidP="00585D58">
            <w:pPr>
              <w:spacing w:line="240" w:lineRule="exact"/>
              <w:contextualSpacing/>
              <w:jc w:val="cente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1</w:t>
            </w:r>
            <w:r w:rsidRPr="0015546E">
              <w:rPr>
                <w:rFonts w:asciiTheme="minorHAnsi" w:eastAsia="Calibri" w:hAnsiTheme="minorHAnsi" w:cstheme="minorHAnsi"/>
                <w:color w:val="auto"/>
                <w:sz w:val="22"/>
                <w:szCs w:val="22"/>
              </w:rPr>
              <w:t>0%</w:t>
            </w:r>
          </w:p>
        </w:tc>
        <w:tc>
          <w:tcPr>
            <w:tcW w:w="2426" w:type="dxa"/>
            <w:tcBorders>
              <w:top w:val="single" w:sz="4" w:space="0" w:color="000000"/>
              <w:left w:val="single" w:sz="4" w:space="0" w:color="000000"/>
              <w:bottom w:val="single" w:sz="4" w:space="0" w:color="000000"/>
              <w:right w:val="single" w:sz="4" w:space="0" w:color="000000"/>
            </w:tcBorders>
            <w:vAlign w:val="center"/>
          </w:tcPr>
          <w:p w:rsidR="00F80B01" w:rsidRPr="0015546E" w:rsidRDefault="00F80B01" w:rsidP="00585D58">
            <w:pPr>
              <w:spacing w:line="240" w:lineRule="exact"/>
              <w:jc w:val="center"/>
              <w:rPr>
                <w:sz w:val="22"/>
                <w:szCs w:val="22"/>
              </w:rPr>
            </w:pPr>
            <w:r>
              <w:rPr>
                <w:rFonts w:asciiTheme="minorHAnsi" w:eastAsia="Calibri" w:hAnsiTheme="minorHAnsi" w:cstheme="minorHAnsi"/>
                <w:color w:val="auto"/>
                <w:sz w:val="22"/>
                <w:szCs w:val="22"/>
              </w:rPr>
              <w:t>1</w:t>
            </w:r>
            <w:r w:rsidRPr="0015546E">
              <w:rPr>
                <w:rFonts w:asciiTheme="minorHAnsi" w:eastAsia="Calibri" w:hAnsiTheme="minorHAnsi" w:cstheme="minorHAnsi"/>
                <w:color w:val="auto"/>
                <w:sz w:val="22"/>
                <w:szCs w:val="22"/>
              </w:rPr>
              <w:t>0%</w:t>
            </w:r>
          </w:p>
        </w:tc>
      </w:tr>
    </w:tbl>
    <w:p w:rsidR="00F80B01" w:rsidRPr="0004326C" w:rsidRDefault="0004326C" w:rsidP="00F80B01">
      <w:pPr>
        <w:autoSpaceDE w:val="0"/>
        <w:autoSpaceDN w:val="0"/>
        <w:adjustRightInd w:val="0"/>
        <w:spacing w:line="240" w:lineRule="exact"/>
        <w:jc w:val="both"/>
        <w:rPr>
          <w:rFonts w:asciiTheme="minorHAnsi" w:hAnsiTheme="minorHAnsi"/>
          <w:color w:val="auto"/>
          <w:sz w:val="22"/>
          <w:szCs w:val="22"/>
        </w:rPr>
      </w:pPr>
      <w:r>
        <w:rPr>
          <w:rFonts w:asciiTheme="minorHAnsi" w:hAnsiTheme="minorHAnsi"/>
          <w:color w:val="auto"/>
          <w:sz w:val="22"/>
          <w:szCs w:val="22"/>
        </w:rPr>
        <w:t xml:space="preserve">                    </w:t>
      </w:r>
      <w:r w:rsidR="00F80B01">
        <w:rPr>
          <w:rFonts w:asciiTheme="minorHAnsi" w:hAnsiTheme="minorHAnsi"/>
          <w:color w:val="auto"/>
          <w:sz w:val="22"/>
          <w:szCs w:val="22"/>
        </w:rPr>
        <w:t xml:space="preserve"> </w:t>
      </w:r>
      <w:r w:rsidR="00F80B01" w:rsidRPr="008F31F5">
        <w:rPr>
          <w:rFonts w:asciiTheme="minorHAnsi" w:hAnsiTheme="minorHAnsi"/>
          <w:color w:val="auto"/>
          <w:sz w:val="22"/>
          <w:szCs w:val="22"/>
        </w:rPr>
        <w:t xml:space="preserve">* </w:t>
      </w:r>
      <w:r>
        <w:rPr>
          <w:rFonts w:asciiTheme="minorHAnsi" w:hAnsiTheme="minorHAnsi"/>
          <w:color w:val="auto"/>
          <w:sz w:val="22"/>
          <w:szCs w:val="22"/>
        </w:rPr>
        <w:t xml:space="preserve">Rating per </w:t>
      </w:r>
      <w:r w:rsidR="00F80B01" w:rsidRPr="008F31F5">
        <w:rPr>
          <w:rFonts w:asciiTheme="minorHAnsi" w:hAnsiTheme="minorHAnsi"/>
          <w:color w:val="auto"/>
          <w:sz w:val="22"/>
          <w:szCs w:val="22"/>
        </w:rPr>
        <w:t>PFT criteria alone</w:t>
      </w:r>
      <w:r w:rsidR="00F80B01">
        <w:rPr>
          <w:rFonts w:asciiTheme="minorHAnsi" w:hAnsiTheme="minorHAnsi"/>
          <w:color w:val="auto"/>
          <w:sz w:val="22"/>
          <w:szCs w:val="22"/>
        </w:rPr>
        <w:t>; all 30% ratings stipulated treatment criteria.</w:t>
      </w:r>
    </w:p>
    <w:p w:rsidR="00F80B01" w:rsidRPr="009C3353" w:rsidRDefault="00F80B01" w:rsidP="00F80B01">
      <w:pPr>
        <w:tabs>
          <w:tab w:val="left" w:pos="288"/>
          <w:tab w:val="left" w:pos="4752"/>
        </w:tabs>
        <w:spacing w:line="240" w:lineRule="exact"/>
        <w:rPr>
          <w:rFonts w:asciiTheme="minorHAnsi" w:hAnsiTheme="minorHAnsi" w:cstheme="minorHAnsi"/>
          <w:color w:val="auto"/>
          <w:szCs w:val="24"/>
        </w:rPr>
      </w:pPr>
    </w:p>
    <w:p w:rsidR="00D361A2" w:rsidRDefault="007249A6" w:rsidP="00D361A2">
      <w:pPr>
        <w:tabs>
          <w:tab w:val="left" w:pos="288"/>
          <w:tab w:val="left" w:pos="4752"/>
        </w:tabs>
        <w:spacing w:line="240" w:lineRule="exact"/>
        <w:jc w:val="both"/>
        <w:rPr>
          <w:rFonts w:asciiTheme="minorHAnsi" w:hAnsiTheme="minorHAnsi" w:cstheme="minorHAnsi"/>
          <w:color w:val="auto"/>
          <w:szCs w:val="24"/>
        </w:rPr>
      </w:pPr>
      <w:r w:rsidRPr="00D361A2">
        <w:rPr>
          <w:rFonts w:asciiTheme="minorHAnsi" w:hAnsiTheme="minorHAnsi" w:cstheme="minorHAnsi"/>
          <w:color w:val="auto"/>
          <w:szCs w:val="24"/>
        </w:rPr>
        <w:t>It is clear that objective PFT parameters</w:t>
      </w:r>
      <w:r w:rsidR="00D361A2">
        <w:rPr>
          <w:rFonts w:asciiTheme="minorHAnsi" w:hAnsiTheme="minorHAnsi" w:cstheme="minorHAnsi"/>
          <w:color w:val="auto"/>
          <w:szCs w:val="24"/>
        </w:rPr>
        <w:t>, in themselves,</w:t>
      </w:r>
      <w:r w:rsidRPr="00D361A2">
        <w:rPr>
          <w:rFonts w:asciiTheme="minorHAnsi" w:hAnsiTheme="minorHAnsi" w:cstheme="minorHAnsi"/>
          <w:color w:val="auto"/>
          <w:szCs w:val="24"/>
        </w:rPr>
        <w:t xml:space="preserve"> would support only 10% ratings for both the TDRL period and at separation.  The PEB’s TDRL rating of 30% was derived from the treatment criteria elaborated </w:t>
      </w:r>
      <w:r w:rsidR="00D361A2" w:rsidRPr="00D361A2">
        <w:rPr>
          <w:rFonts w:asciiTheme="minorHAnsi" w:hAnsiTheme="minorHAnsi" w:cstheme="minorHAnsi"/>
          <w:color w:val="auto"/>
          <w:szCs w:val="24"/>
        </w:rPr>
        <w:t>in</w:t>
      </w:r>
      <w:r w:rsidRPr="00D361A2">
        <w:rPr>
          <w:rFonts w:asciiTheme="minorHAnsi" w:hAnsiTheme="minorHAnsi" w:cstheme="minorHAnsi"/>
          <w:color w:val="auto"/>
          <w:szCs w:val="24"/>
        </w:rPr>
        <w:t xml:space="preserve"> VASRD </w:t>
      </w:r>
      <w:r>
        <w:rPr>
          <w:rFonts w:asciiTheme="minorHAnsi" w:hAnsiTheme="minorHAnsi" w:cstheme="minorHAnsi"/>
          <w:color w:val="auto"/>
          <w:szCs w:val="24"/>
        </w:rPr>
        <w:t>§</w:t>
      </w:r>
      <w:r w:rsidRPr="00D361A2">
        <w:rPr>
          <w:rFonts w:asciiTheme="minorHAnsi" w:hAnsiTheme="minorHAnsi" w:cstheme="minorHAnsi"/>
          <w:color w:val="auto"/>
          <w:szCs w:val="24"/>
        </w:rPr>
        <w:t xml:space="preserve">4.97 </w:t>
      </w:r>
      <w:r w:rsidR="00D361A2" w:rsidRPr="00D361A2">
        <w:rPr>
          <w:rFonts w:asciiTheme="minorHAnsi" w:hAnsiTheme="minorHAnsi" w:cstheme="minorHAnsi"/>
          <w:color w:val="auto"/>
          <w:szCs w:val="24"/>
        </w:rPr>
        <w:t>for that rating</w:t>
      </w:r>
      <w:r w:rsidR="00D361A2">
        <w:rPr>
          <w:rFonts w:asciiTheme="minorHAnsi" w:hAnsiTheme="minorHAnsi" w:cstheme="minorHAnsi"/>
          <w:color w:val="auto"/>
          <w:szCs w:val="24"/>
        </w:rPr>
        <w:t xml:space="preserve"> under the 6602 (asthma) code</w:t>
      </w:r>
      <w:r w:rsidR="00D361A2" w:rsidRPr="00D361A2">
        <w:rPr>
          <w:rFonts w:asciiTheme="minorHAnsi" w:hAnsiTheme="minorHAnsi" w:cstheme="minorHAnsi"/>
          <w:color w:val="auto"/>
          <w:szCs w:val="24"/>
        </w:rPr>
        <w:t>; i.e., “</w:t>
      </w:r>
      <w:r w:rsidR="00D361A2" w:rsidRPr="00AE2830">
        <w:rPr>
          <w:rFonts w:asciiTheme="minorHAnsi" w:hAnsiTheme="minorHAnsi" w:cstheme="minorHAnsi"/>
          <w:color w:val="auto"/>
          <w:szCs w:val="24"/>
        </w:rPr>
        <w:t>daily inhalational or oral bronchodilator therapy, or; inhalational anti-inflammatory medication</w:t>
      </w:r>
      <w:r w:rsidR="00855CB7">
        <w:rPr>
          <w:rFonts w:asciiTheme="minorHAnsi" w:hAnsiTheme="minorHAnsi" w:cstheme="minorHAnsi"/>
          <w:color w:val="auto"/>
          <w:szCs w:val="24"/>
        </w:rPr>
        <w:t>;</w:t>
      </w:r>
      <w:r w:rsidR="00A148ED">
        <w:rPr>
          <w:rFonts w:asciiTheme="minorHAnsi" w:hAnsiTheme="minorHAnsi" w:cstheme="minorHAnsi"/>
          <w:color w:val="auto"/>
          <w:szCs w:val="24"/>
        </w:rPr>
        <w:t>” whereas the 10% rating designates “</w:t>
      </w:r>
      <w:r w:rsidR="00A148ED" w:rsidRPr="00442549">
        <w:rPr>
          <w:rFonts w:asciiTheme="minorHAnsi" w:hAnsiTheme="minorHAnsi" w:cstheme="minorHAnsi"/>
          <w:color w:val="auto"/>
          <w:szCs w:val="24"/>
        </w:rPr>
        <w:t>intermittent inhalational or oral bronchodilator therapy</w:t>
      </w:r>
      <w:r w:rsidR="00855CB7">
        <w:rPr>
          <w:rFonts w:asciiTheme="minorHAnsi" w:hAnsiTheme="minorHAnsi" w:cstheme="minorHAnsi"/>
          <w:color w:val="auto"/>
          <w:szCs w:val="24"/>
        </w:rPr>
        <w:t>.</w:t>
      </w:r>
      <w:r w:rsidR="00A148ED">
        <w:rPr>
          <w:rFonts w:asciiTheme="minorHAnsi" w:hAnsiTheme="minorHAnsi" w:cstheme="minorHAnsi"/>
          <w:color w:val="auto"/>
          <w:szCs w:val="24"/>
        </w:rPr>
        <w:t xml:space="preserve">”  </w:t>
      </w:r>
      <w:r w:rsidR="00D361A2">
        <w:rPr>
          <w:rFonts w:asciiTheme="minorHAnsi" w:hAnsiTheme="minorHAnsi" w:cstheme="minorHAnsi"/>
          <w:color w:val="auto"/>
          <w:szCs w:val="24"/>
        </w:rPr>
        <w:t>The PEB’s DA Form 199 conferring the 30% rating (required for placement on TDRL) stated “on daily inhalational therapy</w:t>
      </w:r>
      <w:r w:rsidR="00855CB7">
        <w:rPr>
          <w:rFonts w:asciiTheme="minorHAnsi" w:hAnsiTheme="minorHAnsi" w:cstheme="minorHAnsi"/>
          <w:color w:val="auto"/>
          <w:szCs w:val="24"/>
        </w:rPr>
        <w:t>.</w:t>
      </w:r>
      <w:r w:rsidR="00D361A2">
        <w:rPr>
          <w:rFonts w:asciiTheme="minorHAnsi" w:hAnsiTheme="minorHAnsi" w:cstheme="minorHAnsi"/>
          <w:color w:val="auto"/>
          <w:szCs w:val="24"/>
        </w:rPr>
        <w:t>”  This treatment regimen was</w:t>
      </w:r>
      <w:r w:rsidR="00F02D01">
        <w:rPr>
          <w:rFonts w:asciiTheme="minorHAnsi" w:hAnsiTheme="minorHAnsi" w:cstheme="minorHAnsi"/>
          <w:color w:val="auto"/>
          <w:szCs w:val="24"/>
        </w:rPr>
        <w:t xml:space="preserve"> documented in</w:t>
      </w:r>
      <w:r w:rsidR="00D361A2">
        <w:rPr>
          <w:rFonts w:asciiTheme="minorHAnsi" w:hAnsiTheme="minorHAnsi" w:cstheme="minorHAnsi"/>
          <w:color w:val="auto"/>
          <w:szCs w:val="24"/>
        </w:rPr>
        <w:t xml:space="preserve"> the </w:t>
      </w:r>
      <w:r w:rsidR="00F02D01">
        <w:rPr>
          <w:rFonts w:asciiTheme="minorHAnsi" w:hAnsiTheme="minorHAnsi" w:cstheme="minorHAnsi"/>
          <w:color w:val="auto"/>
          <w:szCs w:val="24"/>
        </w:rPr>
        <w:t xml:space="preserve">MEB’s </w:t>
      </w:r>
      <w:r w:rsidR="00D361A2">
        <w:rPr>
          <w:rFonts w:asciiTheme="minorHAnsi" w:hAnsiTheme="minorHAnsi" w:cstheme="minorHAnsi"/>
          <w:color w:val="auto"/>
          <w:szCs w:val="24"/>
        </w:rPr>
        <w:t xml:space="preserve">narrative summary (NARSUM).   </w:t>
      </w:r>
      <w:r w:rsidR="00F02D01">
        <w:rPr>
          <w:rFonts w:asciiTheme="minorHAnsi" w:hAnsiTheme="minorHAnsi" w:cstheme="minorHAnsi"/>
          <w:color w:val="auto"/>
          <w:szCs w:val="24"/>
        </w:rPr>
        <w:t xml:space="preserve">The </w:t>
      </w:r>
      <w:r w:rsidR="00FB232E">
        <w:rPr>
          <w:rFonts w:asciiTheme="minorHAnsi" w:hAnsiTheme="minorHAnsi" w:cstheme="minorHAnsi"/>
          <w:color w:val="auto"/>
          <w:szCs w:val="24"/>
        </w:rPr>
        <w:t xml:space="preserve">DA Form 199 entry by the </w:t>
      </w:r>
      <w:r w:rsidR="00F02D01">
        <w:rPr>
          <w:rFonts w:asciiTheme="minorHAnsi" w:hAnsiTheme="minorHAnsi" w:cstheme="minorHAnsi"/>
          <w:color w:val="auto"/>
          <w:szCs w:val="24"/>
        </w:rPr>
        <w:t xml:space="preserve">IPEB </w:t>
      </w:r>
      <w:r w:rsidR="00FB232E">
        <w:rPr>
          <w:rFonts w:asciiTheme="minorHAnsi" w:hAnsiTheme="minorHAnsi" w:cstheme="minorHAnsi"/>
          <w:color w:val="auto"/>
          <w:szCs w:val="24"/>
        </w:rPr>
        <w:t>(</w:t>
      </w:r>
      <w:r w:rsidR="0066606F">
        <w:rPr>
          <w:rFonts w:asciiTheme="minorHAnsi" w:hAnsiTheme="minorHAnsi" w:cstheme="minorHAnsi"/>
          <w:color w:val="auto"/>
          <w:szCs w:val="24"/>
        </w:rPr>
        <w:t>14 November 2006</w:t>
      </w:r>
      <w:r w:rsidR="00FB232E">
        <w:rPr>
          <w:rFonts w:asciiTheme="minorHAnsi" w:hAnsiTheme="minorHAnsi" w:cstheme="minorHAnsi"/>
          <w:color w:val="auto"/>
          <w:szCs w:val="24"/>
        </w:rPr>
        <w:t xml:space="preserve">) which recommended permanent separation at 10%, however, referenced evidence from the medication profile which was inconsistent with daily treatment.  The subsequent FPEB, after hearing formal testimony, and the USAPDA on review both arrived at the same conclusion; i.e., that the objective pharmacy evidence did not support the CI’s contention that he was maintaining a daily treatment regimen.  It is noted that one member of the FPEB dissented in this conclusion and </w:t>
      </w:r>
      <w:r w:rsidR="00857C4D">
        <w:rPr>
          <w:rFonts w:asciiTheme="minorHAnsi" w:hAnsiTheme="minorHAnsi" w:cstheme="minorHAnsi"/>
          <w:color w:val="auto"/>
          <w:szCs w:val="24"/>
        </w:rPr>
        <w:t>submitted</w:t>
      </w:r>
      <w:r w:rsidR="00FB232E">
        <w:rPr>
          <w:rFonts w:asciiTheme="minorHAnsi" w:hAnsiTheme="minorHAnsi" w:cstheme="minorHAnsi"/>
          <w:color w:val="auto"/>
          <w:szCs w:val="24"/>
        </w:rPr>
        <w:t xml:space="preserve"> a m</w:t>
      </w:r>
      <w:r w:rsidR="00857C4D">
        <w:rPr>
          <w:rFonts w:asciiTheme="minorHAnsi" w:hAnsiTheme="minorHAnsi" w:cstheme="minorHAnsi"/>
          <w:color w:val="auto"/>
          <w:szCs w:val="24"/>
        </w:rPr>
        <w:t>inority opinion</w:t>
      </w:r>
      <w:r w:rsidR="0048711C">
        <w:rPr>
          <w:rFonts w:asciiTheme="minorHAnsi" w:hAnsiTheme="minorHAnsi" w:cstheme="minorHAnsi"/>
          <w:color w:val="auto"/>
          <w:szCs w:val="24"/>
        </w:rPr>
        <w:t xml:space="preserve"> </w:t>
      </w:r>
      <w:r w:rsidR="00135381">
        <w:rPr>
          <w:rFonts w:asciiTheme="minorHAnsi" w:hAnsiTheme="minorHAnsi" w:cstheme="minorHAnsi"/>
          <w:color w:val="auto"/>
          <w:szCs w:val="24"/>
        </w:rPr>
        <w:t xml:space="preserve">(hereafter referred to as MO) </w:t>
      </w:r>
      <w:r w:rsidR="00857C4D">
        <w:rPr>
          <w:rFonts w:asciiTheme="minorHAnsi" w:hAnsiTheme="minorHAnsi" w:cstheme="minorHAnsi"/>
          <w:color w:val="auto"/>
          <w:szCs w:val="24"/>
        </w:rPr>
        <w:t xml:space="preserve">which was reviewed by the Board.  Since this is clearly a pivotal question for the Board to address in this case, the available evidence </w:t>
      </w:r>
      <w:r w:rsidR="0004326C">
        <w:rPr>
          <w:rFonts w:asciiTheme="minorHAnsi" w:hAnsiTheme="minorHAnsi" w:cstheme="minorHAnsi"/>
          <w:color w:val="auto"/>
          <w:szCs w:val="24"/>
        </w:rPr>
        <w:t>was carefully reviewed and the prescribed</w:t>
      </w:r>
      <w:r w:rsidR="00857C4D">
        <w:rPr>
          <w:rFonts w:asciiTheme="minorHAnsi" w:hAnsiTheme="minorHAnsi" w:cstheme="minorHAnsi"/>
          <w:color w:val="auto"/>
          <w:szCs w:val="24"/>
        </w:rPr>
        <w:t xml:space="preserve"> </w:t>
      </w:r>
      <w:r w:rsidR="0004326C">
        <w:rPr>
          <w:rFonts w:asciiTheme="minorHAnsi" w:hAnsiTheme="minorHAnsi" w:cstheme="minorHAnsi"/>
          <w:color w:val="auto"/>
          <w:szCs w:val="24"/>
        </w:rPr>
        <w:t xml:space="preserve">pharmacy </w:t>
      </w:r>
      <w:r w:rsidR="00857C4D">
        <w:rPr>
          <w:rFonts w:asciiTheme="minorHAnsi" w:hAnsiTheme="minorHAnsi" w:cstheme="minorHAnsi"/>
          <w:color w:val="auto"/>
          <w:szCs w:val="24"/>
        </w:rPr>
        <w:t xml:space="preserve">procedural policies underlying the evidence reflected in the crucial medication log was independently investigated.  </w:t>
      </w:r>
    </w:p>
    <w:p w:rsidR="00857C4D" w:rsidRDefault="00857C4D" w:rsidP="00D361A2">
      <w:pPr>
        <w:tabs>
          <w:tab w:val="left" w:pos="288"/>
          <w:tab w:val="left" w:pos="4752"/>
        </w:tabs>
        <w:spacing w:line="240" w:lineRule="exact"/>
        <w:jc w:val="both"/>
        <w:rPr>
          <w:rFonts w:asciiTheme="minorHAnsi" w:hAnsiTheme="minorHAnsi" w:cstheme="minorHAnsi"/>
          <w:color w:val="auto"/>
          <w:szCs w:val="24"/>
        </w:rPr>
      </w:pPr>
    </w:p>
    <w:p w:rsidR="00857C4D" w:rsidRDefault="00837A41" w:rsidP="00D361A2">
      <w:pPr>
        <w:tabs>
          <w:tab w:val="left" w:pos="288"/>
          <w:tab w:val="left" w:pos="4752"/>
        </w:tabs>
        <w:spacing w:line="240" w:lineRule="exact"/>
        <w:jc w:val="both"/>
        <w:rPr>
          <w:rFonts w:asciiTheme="minorHAnsi" w:hAnsiTheme="minorHAnsi" w:cstheme="minorHAnsi"/>
          <w:color w:val="auto"/>
          <w:szCs w:val="24"/>
        </w:rPr>
      </w:pPr>
      <w:r>
        <w:rPr>
          <w:rFonts w:asciiTheme="minorHAnsi" w:hAnsiTheme="minorHAnsi" w:cstheme="minorHAnsi"/>
          <w:color w:val="auto"/>
          <w:szCs w:val="24"/>
        </w:rPr>
        <w:t xml:space="preserve">The evidence on record pertinent to this issue is as follows.  The TDRL examiner cited asthma medications of Singulair™ (oral anti-inflammatory), Advair™ (inhaled bronchodilator/anti-inflammatory) and </w:t>
      </w:r>
      <w:r w:rsidRPr="00F1050C">
        <w:rPr>
          <w:rFonts w:asciiTheme="minorHAnsi" w:hAnsiTheme="minorHAnsi"/>
          <w:color w:val="auto"/>
          <w:szCs w:val="24"/>
        </w:rPr>
        <w:t>albuterol (inhaled bronchodilator)</w:t>
      </w:r>
      <w:r>
        <w:rPr>
          <w:rFonts w:asciiTheme="minorHAnsi" w:hAnsiTheme="minorHAnsi"/>
          <w:color w:val="auto"/>
          <w:szCs w:val="24"/>
        </w:rPr>
        <w:t>.  Dosing and compliance were not documented, other than a comment that the albuterol inhaler was emplo</w:t>
      </w:r>
      <w:r w:rsidR="00F85A7E">
        <w:rPr>
          <w:rFonts w:asciiTheme="minorHAnsi" w:hAnsiTheme="minorHAnsi"/>
          <w:color w:val="auto"/>
          <w:szCs w:val="24"/>
        </w:rPr>
        <w:t>yed “every other day average</w:t>
      </w:r>
      <w:r w:rsidR="00422265">
        <w:rPr>
          <w:rFonts w:asciiTheme="minorHAnsi" w:hAnsiTheme="minorHAnsi"/>
          <w:color w:val="auto"/>
          <w:szCs w:val="24"/>
        </w:rPr>
        <w:t>.</w:t>
      </w:r>
      <w:r w:rsidR="00F85A7E">
        <w:rPr>
          <w:rFonts w:asciiTheme="minorHAnsi" w:hAnsiTheme="minorHAnsi"/>
          <w:color w:val="auto"/>
          <w:szCs w:val="24"/>
        </w:rPr>
        <w:t xml:space="preserve">” </w:t>
      </w:r>
      <w:r w:rsidR="00576394">
        <w:rPr>
          <w:rFonts w:asciiTheme="minorHAnsi" w:hAnsiTheme="minorHAnsi"/>
          <w:color w:val="auto"/>
          <w:szCs w:val="24"/>
        </w:rPr>
        <w:t xml:space="preserve"> </w:t>
      </w:r>
      <w:r w:rsidR="0048711C">
        <w:rPr>
          <w:rFonts w:asciiTheme="minorHAnsi" w:hAnsiTheme="minorHAnsi"/>
          <w:color w:val="auto"/>
          <w:szCs w:val="24"/>
        </w:rPr>
        <w:t xml:space="preserve">Although the clinical record is not in evidence, the </w:t>
      </w:r>
      <w:r w:rsidR="00135381">
        <w:rPr>
          <w:rFonts w:asciiTheme="minorHAnsi" w:hAnsiTheme="minorHAnsi"/>
          <w:color w:val="auto"/>
          <w:szCs w:val="24"/>
        </w:rPr>
        <w:t>MO</w:t>
      </w:r>
      <w:r w:rsidR="0048711C">
        <w:rPr>
          <w:rFonts w:asciiTheme="minorHAnsi" w:hAnsiTheme="minorHAnsi" w:cstheme="minorHAnsi"/>
          <w:color w:val="auto"/>
          <w:szCs w:val="24"/>
        </w:rPr>
        <w:t xml:space="preserve"> documents testimony that the CI had recently seen a provider </w:t>
      </w:r>
      <w:r w:rsidR="00135381">
        <w:rPr>
          <w:rFonts w:asciiTheme="minorHAnsi" w:hAnsiTheme="minorHAnsi" w:cstheme="minorHAnsi"/>
          <w:color w:val="auto"/>
          <w:szCs w:val="24"/>
        </w:rPr>
        <w:t xml:space="preserve">who prescribed a change in medications.  The medication log documents new prescriptions for </w:t>
      </w:r>
      <w:proofErr w:type="spellStart"/>
      <w:r w:rsidR="00135381">
        <w:rPr>
          <w:rFonts w:asciiTheme="minorHAnsi" w:hAnsiTheme="minorHAnsi" w:cstheme="minorHAnsi"/>
          <w:color w:val="auto"/>
          <w:szCs w:val="24"/>
        </w:rPr>
        <w:t>Pulmicort</w:t>
      </w:r>
      <w:proofErr w:type="spellEnd"/>
      <w:r w:rsidR="00135381">
        <w:rPr>
          <w:rFonts w:asciiTheme="minorHAnsi" w:hAnsiTheme="minorHAnsi" w:cstheme="minorHAnsi"/>
          <w:color w:val="auto"/>
          <w:szCs w:val="24"/>
        </w:rPr>
        <w:t xml:space="preserve">™ (inhaled steroid) and </w:t>
      </w:r>
      <w:proofErr w:type="spellStart"/>
      <w:r w:rsidR="00135381">
        <w:rPr>
          <w:rFonts w:asciiTheme="minorHAnsi" w:hAnsiTheme="minorHAnsi" w:cstheme="minorHAnsi"/>
          <w:color w:val="auto"/>
          <w:szCs w:val="24"/>
        </w:rPr>
        <w:t>Foradil</w:t>
      </w:r>
      <w:proofErr w:type="spellEnd"/>
      <w:r w:rsidR="00135381">
        <w:rPr>
          <w:rFonts w:asciiTheme="minorHAnsi" w:hAnsiTheme="minorHAnsi" w:cstheme="minorHAnsi"/>
          <w:color w:val="auto"/>
          <w:szCs w:val="24"/>
        </w:rPr>
        <w:t xml:space="preserve">™ (inhaled long-acting bronchodilator) filled on </w:t>
      </w:r>
      <w:r w:rsidR="0066606F">
        <w:rPr>
          <w:rFonts w:asciiTheme="minorHAnsi" w:hAnsiTheme="minorHAnsi" w:cstheme="minorHAnsi"/>
          <w:color w:val="auto"/>
          <w:szCs w:val="24"/>
        </w:rPr>
        <w:t>22 December 2006</w:t>
      </w:r>
      <w:r w:rsidR="00135381">
        <w:rPr>
          <w:rFonts w:asciiTheme="minorHAnsi" w:hAnsiTheme="minorHAnsi" w:cstheme="minorHAnsi"/>
          <w:color w:val="auto"/>
          <w:szCs w:val="24"/>
        </w:rPr>
        <w:t xml:space="preserve"> (14 weeks pre-separation).  The </w:t>
      </w:r>
      <w:r w:rsidR="00B34C1B">
        <w:rPr>
          <w:rFonts w:asciiTheme="minorHAnsi" w:hAnsiTheme="minorHAnsi" w:cstheme="minorHAnsi"/>
          <w:color w:val="auto"/>
          <w:szCs w:val="24"/>
        </w:rPr>
        <w:t>MO documents CI testimony</w:t>
      </w:r>
      <w:r w:rsidR="00135381">
        <w:rPr>
          <w:rFonts w:asciiTheme="minorHAnsi" w:hAnsiTheme="minorHAnsi" w:cstheme="minorHAnsi"/>
          <w:color w:val="auto"/>
          <w:szCs w:val="24"/>
        </w:rPr>
        <w:t xml:space="preserve"> that he had been consistently using daily medications, but could not document refills since he </w:t>
      </w:r>
      <w:r w:rsidR="00B34C1B">
        <w:rPr>
          <w:rFonts w:asciiTheme="minorHAnsi" w:hAnsiTheme="minorHAnsi" w:cstheme="minorHAnsi"/>
          <w:color w:val="auto"/>
          <w:szCs w:val="24"/>
        </w:rPr>
        <w:t>“had to turn in his containers to get his refills</w:t>
      </w:r>
      <w:r w:rsidR="00A821A7">
        <w:rPr>
          <w:rFonts w:asciiTheme="minorHAnsi" w:hAnsiTheme="minorHAnsi" w:cstheme="minorHAnsi"/>
          <w:color w:val="auto"/>
          <w:szCs w:val="24"/>
        </w:rPr>
        <w:t>.</w:t>
      </w:r>
      <w:r w:rsidR="00B34C1B">
        <w:rPr>
          <w:rFonts w:asciiTheme="minorHAnsi" w:hAnsiTheme="minorHAnsi" w:cstheme="minorHAnsi"/>
          <w:color w:val="auto"/>
          <w:szCs w:val="24"/>
        </w:rPr>
        <w:t xml:space="preserve">”  </w:t>
      </w:r>
      <w:r w:rsidR="004127F4">
        <w:rPr>
          <w:rFonts w:asciiTheme="minorHAnsi" w:hAnsiTheme="minorHAnsi" w:cstheme="minorHAnsi"/>
          <w:color w:val="auto"/>
          <w:szCs w:val="24"/>
        </w:rPr>
        <w:t>T</w:t>
      </w:r>
      <w:r w:rsidR="00B34C1B">
        <w:rPr>
          <w:rFonts w:asciiTheme="minorHAnsi" w:hAnsiTheme="minorHAnsi" w:cstheme="minorHAnsi"/>
          <w:color w:val="auto"/>
          <w:szCs w:val="24"/>
        </w:rPr>
        <w:t xml:space="preserve">he CI provided </w:t>
      </w:r>
      <w:r w:rsidR="0066606F">
        <w:rPr>
          <w:rFonts w:asciiTheme="minorHAnsi" w:hAnsiTheme="minorHAnsi" w:cstheme="minorHAnsi"/>
          <w:color w:val="auto"/>
          <w:szCs w:val="24"/>
        </w:rPr>
        <w:t xml:space="preserve">prescription labels to the FPEB </w:t>
      </w:r>
      <w:r w:rsidR="00B34C1B">
        <w:rPr>
          <w:rFonts w:asciiTheme="minorHAnsi" w:hAnsiTheme="minorHAnsi" w:cstheme="minorHAnsi"/>
          <w:color w:val="auto"/>
          <w:szCs w:val="24"/>
        </w:rPr>
        <w:t>demonstrating that “he was actually taking the new medication</w:t>
      </w:r>
      <w:r w:rsidR="00AB749F">
        <w:rPr>
          <w:rFonts w:asciiTheme="minorHAnsi" w:hAnsiTheme="minorHAnsi" w:cstheme="minorHAnsi"/>
          <w:color w:val="auto"/>
          <w:szCs w:val="24"/>
        </w:rPr>
        <w:t>.</w:t>
      </w:r>
      <w:r w:rsidR="00B34C1B">
        <w:rPr>
          <w:rFonts w:asciiTheme="minorHAnsi" w:hAnsiTheme="minorHAnsi" w:cstheme="minorHAnsi"/>
          <w:color w:val="auto"/>
          <w:szCs w:val="24"/>
        </w:rPr>
        <w:t>”</w:t>
      </w:r>
      <w:r w:rsidR="0004326C">
        <w:rPr>
          <w:rFonts w:asciiTheme="minorHAnsi" w:hAnsiTheme="minorHAnsi" w:cstheme="minorHAnsi"/>
          <w:color w:val="auto"/>
          <w:szCs w:val="24"/>
        </w:rPr>
        <w:t xml:space="preserve">  The MO did not address the question as to how the CI was able to retain these labels in light of his testimony that </w:t>
      </w:r>
      <w:r w:rsidR="0030666A">
        <w:rPr>
          <w:rFonts w:asciiTheme="minorHAnsi" w:hAnsiTheme="minorHAnsi" w:cstheme="minorHAnsi"/>
          <w:color w:val="auto"/>
          <w:szCs w:val="24"/>
        </w:rPr>
        <w:t>the earlier refills were reclaimed and unavailable</w:t>
      </w:r>
      <w:r w:rsidR="00B34C1B">
        <w:rPr>
          <w:rFonts w:asciiTheme="minorHAnsi" w:hAnsiTheme="minorHAnsi" w:cstheme="minorHAnsi"/>
          <w:color w:val="auto"/>
          <w:szCs w:val="24"/>
        </w:rPr>
        <w:t xml:space="preserve">.  </w:t>
      </w:r>
      <w:r w:rsidR="00A148ED">
        <w:rPr>
          <w:rFonts w:asciiTheme="minorHAnsi" w:hAnsiTheme="minorHAnsi" w:cstheme="minorHAnsi"/>
          <w:color w:val="auto"/>
          <w:szCs w:val="24"/>
        </w:rPr>
        <w:t>There are clinical entries</w:t>
      </w:r>
      <w:r w:rsidR="0030666A">
        <w:rPr>
          <w:rFonts w:asciiTheme="minorHAnsi" w:hAnsiTheme="minorHAnsi" w:cstheme="minorHAnsi"/>
          <w:color w:val="auto"/>
          <w:szCs w:val="24"/>
        </w:rPr>
        <w:t>,</w:t>
      </w:r>
      <w:r w:rsidR="00A651AE">
        <w:rPr>
          <w:rFonts w:asciiTheme="minorHAnsi" w:hAnsiTheme="minorHAnsi" w:cstheme="minorHAnsi"/>
          <w:color w:val="auto"/>
          <w:szCs w:val="24"/>
        </w:rPr>
        <w:t xml:space="preserve"> </w:t>
      </w:r>
      <w:r w:rsidR="00A148ED">
        <w:rPr>
          <w:rFonts w:asciiTheme="minorHAnsi" w:hAnsiTheme="minorHAnsi" w:cstheme="minorHAnsi"/>
          <w:color w:val="auto"/>
          <w:szCs w:val="24"/>
        </w:rPr>
        <w:t xml:space="preserve">preceding and following the 12 month rating period prior to separation </w:t>
      </w:r>
      <w:r w:rsidR="0030666A">
        <w:rPr>
          <w:rFonts w:asciiTheme="minorHAnsi" w:hAnsiTheme="minorHAnsi" w:cstheme="minorHAnsi"/>
          <w:color w:val="auto"/>
          <w:szCs w:val="24"/>
        </w:rPr>
        <w:t xml:space="preserve">(by significant intervals), </w:t>
      </w:r>
      <w:r w:rsidR="00A148ED">
        <w:rPr>
          <w:rFonts w:asciiTheme="minorHAnsi" w:hAnsiTheme="minorHAnsi" w:cstheme="minorHAnsi"/>
          <w:color w:val="auto"/>
          <w:szCs w:val="24"/>
        </w:rPr>
        <w:t>which comment on daily compliance.  There are no outpatient entries on record during the rating interval.  The probative medication log itself</w:t>
      </w:r>
      <w:r w:rsidR="0030666A">
        <w:rPr>
          <w:rFonts w:asciiTheme="minorHAnsi" w:hAnsiTheme="minorHAnsi" w:cstheme="minorHAnsi"/>
          <w:color w:val="auto"/>
          <w:szCs w:val="24"/>
        </w:rPr>
        <w:t xml:space="preserve"> </w:t>
      </w:r>
      <w:r w:rsidR="00A148ED">
        <w:rPr>
          <w:rFonts w:asciiTheme="minorHAnsi" w:hAnsiTheme="minorHAnsi" w:cstheme="minorHAnsi"/>
          <w:color w:val="auto"/>
          <w:szCs w:val="24"/>
        </w:rPr>
        <w:t>documents</w:t>
      </w:r>
      <w:r w:rsidR="0030666A">
        <w:rPr>
          <w:rFonts w:asciiTheme="minorHAnsi" w:hAnsiTheme="minorHAnsi" w:cstheme="minorHAnsi"/>
          <w:color w:val="auto"/>
          <w:szCs w:val="24"/>
        </w:rPr>
        <w:t>:</w:t>
      </w:r>
      <w:r w:rsidR="00A148ED">
        <w:rPr>
          <w:rFonts w:asciiTheme="minorHAnsi" w:hAnsiTheme="minorHAnsi" w:cstheme="minorHAnsi"/>
          <w:color w:val="auto"/>
          <w:szCs w:val="24"/>
        </w:rPr>
        <w:t xml:space="preserve"> December fills </w:t>
      </w:r>
      <w:r w:rsidR="00A651AE">
        <w:rPr>
          <w:rFonts w:asciiTheme="minorHAnsi" w:hAnsiTheme="minorHAnsi" w:cstheme="minorHAnsi"/>
          <w:color w:val="auto"/>
          <w:szCs w:val="24"/>
        </w:rPr>
        <w:t xml:space="preserve">of </w:t>
      </w:r>
      <w:proofErr w:type="spellStart"/>
      <w:r w:rsidR="0066606F">
        <w:rPr>
          <w:rFonts w:asciiTheme="minorHAnsi" w:hAnsiTheme="minorHAnsi" w:cstheme="minorHAnsi"/>
          <w:color w:val="auto"/>
          <w:szCs w:val="24"/>
        </w:rPr>
        <w:t>A</w:t>
      </w:r>
      <w:r w:rsidR="00A651AE">
        <w:rPr>
          <w:rFonts w:asciiTheme="minorHAnsi" w:hAnsiTheme="minorHAnsi" w:cstheme="minorHAnsi"/>
          <w:color w:val="auto"/>
          <w:szCs w:val="24"/>
        </w:rPr>
        <w:t>lbuterol</w:t>
      </w:r>
      <w:proofErr w:type="spellEnd"/>
      <w:r w:rsidR="00A651AE">
        <w:rPr>
          <w:rFonts w:asciiTheme="minorHAnsi" w:hAnsiTheme="minorHAnsi" w:cstheme="minorHAnsi"/>
          <w:color w:val="auto"/>
          <w:szCs w:val="24"/>
        </w:rPr>
        <w:t xml:space="preserve"> and </w:t>
      </w:r>
      <w:proofErr w:type="spellStart"/>
      <w:r w:rsidR="00A651AE">
        <w:rPr>
          <w:rFonts w:asciiTheme="minorHAnsi" w:hAnsiTheme="minorHAnsi" w:cstheme="minorHAnsi"/>
          <w:color w:val="auto"/>
          <w:szCs w:val="24"/>
        </w:rPr>
        <w:t>Advair</w:t>
      </w:r>
      <w:proofErr w:type="spellEnd"/>
      <w:r w:rsidR="00A651AE">
        <w:rPr>
          <w:rFonts w:asciiTheme="minorHAnsi" w:hAnsiTheme="minorHAnsi" w:cstheme="minorHAnsi"/>
          <w:color w:val="auto"/>
          <w:szCs w:val="24"/>
        </w:rPr>
        <w:t>™</w:t>
      </w:r>
      <w:r w:rsidR="0030666A">
        <w:rPr>
          <w:rFonts w:asciiTheme="minorHAnsi" w:hAnsiTheme="minorHAnsi" w:cstheme="minorHAnsi"/>
          <w:color w:val="auto"/>
          <w:szCs w:val="24"/>
        </w:rPr>
        <w:t xml:space="preserve"> (presumably replaced by the new medications one week later)</w:t>
      </w:r>
      <w:r w:rsidR="00A651AE">
        <w:rPr>
          <w:rFonts w:asciiTheme="minorHAnsi" w:hAnsiTheme="minorHAnsi" w:cstheme="minorHAnsi"/>
          <w:color w:val="auto"/>
          <w:szCs w:val="24"/>
        </w:rPr>
        <w:t>; fills for Advair™ 5 months earlier</w:t>
      </w:r>
      <w:r w:rsidR="00D668A8">
        <w:rPr>
          <w:rFonts w:asciiTheme="minorHAnsi" w:hAnsiTheme="minorHAnsi" w:cstheme="minorHAnsi"/>
          <w:color w:val="auto"/>
          <w:szCs w:val="24"/>
        </w:rPr>
        <w:t>;</w:t>
      </w:r>
      <w:r w:rsidR="00A651AE">
        <w:rPr>
          <w:rFonts w:asciiTheme="minorHAnsi" w:hAnsiTheme="minorHAnsi" w:cstheme="minorHAnsi"/>
          <w:color w:val="auto"/>
          <w:szCs w:val="24"/>
        </w:rPr>
        <w:t xml:space="preserve"> and</w:t>
      </w:r>
      <w:r w:rsidR="00D668A8">
        <w:rPr>
          <w:rFonts w:asciiTheme="minorHAnsi" w:hAnsiTheme="minorHAnsi" w:cstheme="minorHAnsi"/>
          <w:color w:val="auto"/>
          <w:szCs w:val="24"/>
        </w:rPr>
        <w:t>, for</w:t>
      </w:r>
      <w:r w:rsidR="00A651AE">
        <w:rPr>
          <w:rFonts w:asciiTheme="minorHAnsi" w:hAnsiTheme="minorHAnsi" w:cstheme="minorHAnsi"/>
          <w:color w:val="auto"/>
          <w:szCs w:val="24"/>
        </w:rPr>
        <w:t xml:space="preserve"> </w:t>
      </w:r>
      <w:proofErr w:type="spellStart"/>
      <w:r w:rsidR="0066606F">
        <w:rPr>
          <w:rFonts w:asciiTheme="minorHAnsi" w:hAnsiTheme="minorHAnsi" w:cstheme="minorHAnsi"/>
          <w:color w:val="auto"/>
          <w:szCs w:val="24"/>
        </w:rPr>
        <w:t>A</w:t>
      </w:r>
      <w:r w:rsidR="00A651AE">
        <w:rPr>
          <w:rFonts w:asciiTheme="minorHAnsi" w:hAnsiTheme="minorHAnsi" w:cstheme="minorHAnsi"/>
          <w:color w:val="auto"/>
          <w:szCs w:val="24"/>
        </w:rPr>
        <w:t>lbuterol</w:t>
      </w:r>
      <w:proofErr w:type="spellEnd"/>
      <w:r w:rsidR="00A651AE">
        <w:rPr>
          <w:rFonts w:asciiTheme="minorHAnsi" w:hAnsiTheme="minorHAnsi" w:cstheme="minorHAnsi"/>
          <w:color w:val="auto"/>
          <w:szCs w:val="24"/>
        </w:rPr>
        <w:t xml:space="preserve"> </w:t>
      </w:r>
      <w:r w:rsidR="0066606F">
        <w:rPr>
          <w:rFonts w:asciiTheme="minorHAnsi" w:hAnsiTheme="minorHAnsi" w:cstheme="minorHAnsi"/>
          <w:color w:val="auto"/>
          <w:szCs w:val="24"/>
        </w:rPr>
        <w:t>nine</w:t>
      </w:r>
      <w:r w:rsidR="004127F4">
        <w:rPr>
          <w:rFonts w:asciiTheme="minorHAnsi" w:hAnsiTheme="minorHAnsi" w:cstheme="minorHAnsi"/>
          <w:color w:val="auto"/>
          <w:szCs w:val="24"/>
        </w:rPr>
        <w:t xml:space="preserve"> months earlier.  There are additional records from </w:t>
      </w:r>
      <w:r w:rsidR="00F85A7E">
        <w:rPr>
          <w:rFonts w:asciiTheme="minorHAnsi" w:hAnsiTheme="minorHAnsi" w:cstheme="minorHAnsi"/>
          <w:color w:val="auto"/>
          <w:szCs w:val="24"/>
        </w:rPr>
        <w:t xml:space="preserve">the </w:t>
      </w:r>
      <w:r w:rsidR="003C6895">
        <w:rPr>
          <w:rFonts w:asciiTheme="minorHAnsi" w:hAnsiTheme="minorHAnsi" w:cstheme="minorHAnsi"/>
          <w:color w:val="auto"/>
          <w:szCs w:val="24"/>
        </w:rPr>
        <w:t>afterhours</w:t>
      </w:r>
      <w:r w:rsidR="00F85A7E">
        <w:rPr>
          <w:rFonts w:asciiTheme="minorHAnsi" w:hAnsiTheme="minorHAnsi" w:cstheme="minorHAnsi"/>
          <w:color w:val="auto"/>
          <w:szCs w:val="24"/>
        </w:rPr>
        <w:t xml:space="preserve"> pharmacy and inpatient pharmacy as well</w:t>
      </w:r>
      <w:r w:rsidR="004127F4">
        <w:rPr>
          <w:rFonts w:asciiTheme="minorHAnsi" w:hAnsiTheme="minorHAnsi" w:cstheme="minorHAnsi"/>
          <w:color w:val="auto"/>
          <w:szCs w:val="24"/>
        </w:rPr>
        <w:t xml:space="preserve"> documenting a second</w:t>
      </w:r>
      <w:r w:rsidR="00F85A7E">
        <w:rPr>
          <w:rFonts w:asciiTheme="minorHAnsi" w:hAnsiTheme="minorHAnsi" w:cstheme="minorHAnsi"/>
          <w:color w:val="auto"/>
          <w:szCs w:val="24"/>
        </w:rPr>
        <w:t xml:space="preserve"> and third</w:t>
      </w:r>
      <w:r w:rsidR="004127F4">
        <w:rPr>
          <w:rFonts w:asciiTheme="minorHAnsi" w:hAnsiTheme="minorHAnsi" w:cstheme="minorHAnsi"/>
          <w:color w:val="auto"/>
          <w:szCs w:val="24"/>
        </w:rPr>
        <w:t xml:space="preserve"> source for obtaining prescriptions</w:t>
      </w:r>
      <w:r w:rsidR="00F85A7E">
        <w:rPr>
          <w:rFonts w:asciiTheme="minorHAnsi" w:hAnsiTheme="minorHAnsi" w:cstheme="minorHAnsi"/>
          <w:color w:val="auto"/>
          <w:szCs w:val="24"/>
        </w:rPr>
        <w:t>.</w:t>
      </w:r>
      <w:r w:rsidR="004127F4">
        <w:rPr>
          <w:rFonts w:asciiTheme="minorHAnsi" w:hAnsiTheme="minorHAnsi" w:cstheme="minorHAnsi"/>
          <w:color w:val="auto"/>
          <w:szCs w:val="24"/>
        </w:rPr>
        <w:t xml:space="preserve">  </w:t>
      </w:r>
      <w:r w:rsidR="00D668A8">
        <w:rPr>
          <w:rFonts w:asciiTheme="minorHAnsi" w:hAnsiTheme="minorHAnsi" w:cstheme="minorHAnsi"/>
          <w:color w:val="auto"/>
          <w:szCs w:val="24"/>
        </w:rPr>
        <w:t xml:space="preserve">The </w:t>
      </w:r>
      <w:r w:rsidR="00F85A7E">
        <w:rPr>
          <w:rFonts w:asciiTheme="minorHAnsi" w:hAnsiTheme="minorHAnsi" w:cstheme="minorHAnsi"/>
          <w:color w:val="auto"/>
          <w:szCs w:val="24"/>
        </w:rPr>
        <w:t>outpatient m</w:t>
      </w:r>
      <w:r w:rsidR="00D668A8">
        <w:rPr>
          <w:rFonts w:asciiTheme="minorHAnsi" w:hAnsiTheme="minorHAnsi" w:cstheme="minorHAnsi"/>
          <w:color w:val="auto"/>
          <w:szCs w:val="24"/>
        </w:rPr>
        <w:t xml:space="preserve">edication log </w:t>
      </w:r>
      <w:r w:rsidR="00F85A7E">
        <w:rPr>
          <w:rFonts w:asciiTheme="minorHAnsi" w:hAnsiTheme="minorHAnsi" w:cstheme="minorHAnsi"/>
          <w:color w:val="auto"/>
          <w:szCs w:val="24"/>
        </w:rPr>
        <w:t>document prescribed refills sufficient for monthly maintenance of all asthma medications, but indicates</w:t>
      </w:r>
      <w:r w:rsidR="00D668A8">
        <w:rPr>
          <w:rFonts w:asciiTheme="minorHAnsi" w:hAnsiTheme="minorHAnsi" w:cstheme="minorHAnsi"/>
          <w:color w:val="auto"/>
          <w:szCs w:val="24"/>
        </w:rPr>
        <w:t xml:space="preserve"> th</w:t>
      </w:r>
      <w:r w:rsidR="00F85A7E">
        <w:rPr>
          <w:rFonts w:asciiTheme="minorHAnsi" w:hAnsiTheme="minorHAnsi" w:cstheme="minorHAnsi"/>
          <w:color w:val="auto"/>
          <w:szCs w:val="24"/>
        </w:rPr>
        <w:t xml:space="preserve">at no refills were dispensed.  </w:t>
      </w:r>
      <w:r w:rsidR="00D668A8">
        <w:rPr>
          <w:rFonts w:asciiTheme="minorHAnsi" w:hAnsiTheme="minorHAnsi" w:cstheme="minorHAnsi"/>
          <w:color w:val="auto"/>
          <w:szCs w:val="24"/>
        </w:rPr>
        <w:t xml:space="preserve">Per Board staff inquiry regarding the medication log methodology, if correct procedure was followed, it may be assumed that </w:t>
      </w:r>
      <w:r w:rsidR="0066606F">
        <w:rPr>
          <w:rFonts w:asciiTheme="minorHAnsi" w:hAnsiTheme="minorHAnsi" w:cstheme="minorHAnsi"/>
          <w:color w:val="auto"/>
          <w:szCs w:val="24"/>
        </w:rPr>
        <w:t>no refills were dispensed.   On 12 October 2006</w:t>
      </w:r>
      <w:r w:rsidR="00D668A8">
        <w:rPr>
          <w:rFonts w:asciiTheme="minorHAnsi" w:hAnsiTheme="minorHAnsi" w:cstheme="minorHAnsi"/>
          <w:color w:val="auto"/>
          <w:szCs w:val="24"/>
        </w:rPr>
        <w:t xml:space="preserve"> (preceding the contested IPEB), the CI acknowledged by signature that the medication log (including the afterhours</w:t>
      </w:r>
      <w:r w:rsidR="00F85A7E">
        <w:rPr>
          <w:rFonts w:asciiTheme="minorHAnsi" w:hAnsiTheme="minorHAnsi" w:cstheme="minorHAnsi"/>
          <w:color w:val="auto"/>
          <w:szCs w:val="24"/>
        </w:rPr>
        <w:t xml:space="preserve"> and inpatient</w:t>
      </w:r>
      <w:r w:rsidR="00D668A8">
        <w:rPr>
          <w:rFonts w:asciiTheme="minorHAnsi" w:hAnsiTheme="minorHAnsi" w:cstheme="minorHAnsi"/>
          <w:color w:val="auto"/>
          <w:szCs w:val="24"/>
        </w:rPr>
        <w:t xml:space="preserve"> record)</w:t>
      </w:r>
      <w:r w:rsidR="00304E30">
        <w:rPr>
          <w:rFonts w:asciiTheme="minorHAnsi" w:hAnsiTheme="minorHAnsi" w:cstheme="minorHAnsi"/>
          <w:color w:val="auto"/>
          <w:szCs w:val="24"/>
        </w:rPr>
        <w:t xml:space="preserve"> was his sole source of medication.</w:t>
      </w:r>
      <w:r w:rsidR="00260046">
        <w:rPr>
          <w:rFonts w:asciiTheme="minorHAnsi" w:hAnsiTheme="minorHAnsi" w:cstheme="minorHAnsi"/>
          <w:color w:val="auto"/>
          <w:szCs w:val="24"/>
        </w:rPr>
        <w:t xml:space="preserve">  On </w:t>
      </w:r>
      <w:r w:rsidR="0066606F">
        <w:rPr>
          <w:rFonts w:asciiTheme="minorHAnsi" w:hAnsiTheme="minorHAnsi" w:cstheme="minorHAnsi"/>
          <w:color w:val="auto"/>
          <w:szCs w:val="24"/>
        </w:rPr>
        <w:t>25 January 2001</w:t>
      </w:r>
      <w:r w:rsidR="00260046">
        <w:rPr>
          <w:rFonts w:asciiTheme="minorHAnsi" w:hAnsiTheme="minorHAnsi" w:cstheme="minorHAnsi"/>
          <w:color w:val="auto"/>
          <w:szCs w:val="24"/>
        </w:rPr>
        <w:t>, the USAPDA requested confirmation from the CI’s hospital command that the asthma medications were being dispensed.  This cited a “note from the pharmacist that he has not picked up any medication</w:t>
      </w:r>
      <w:r w:rsidR="00AB749F">
        <w:rPr>
          <w:rFonts w:asciiTheme="minorHAnsi" w:hAnsiTheme="minorHAnsi" w:cstheme="minorHAnsi"/>
          <w:color w:val="auto"/>
          <w:szCs w:val="24"/>
        </w:rPr>
        <w:t>.</w:t>
      </w:r>
      <w:r w:rsidR="00260046">
        <w:rPr>
          <w:rFonts w:asciiTheme="minorHAnsi" w:hAnsiTheme="minorHAnsi" w:cstheme="minorHAnsi"/>
          <w:color w:val="auto"/>
          <w:szCs w:val="24"/>
        </w:rPr>
        <w:t>”  Neither the referenced note nor a command response is in evidence.</w:t>
      </w:r>
    </w:p>
    <w:p w:rsidR="00304E30" w:rsidRDefault="00304E30" w:rsidP="00D361A2">
      <w:pPr>
        <w:tabs>
          <w:tab w:val="left" w:pos="288"/>
          <w:tab w:val="left" w:pos="4752"/>
        </w:tabs>
        <w:spacing w:line="240" w:lineRule="exact"/>
        <w:jc w:val="both"/>
        <w:rPr>
          <w:rFonts w:asciiTheme="minorHAnsi" w:hAnsiTheme="minorHAnsi" w:cstheme="minorHAnsi"/>
          <w:color w:val="auto"/>
          <w:szCs w:val="24"/>
        </w:rPr>
      </w:pPr>
    </w:p>
    <w:p w:rsidR="00764EA4" w:rsidRPr="00846857" w:rsidRDefault="00FE482A" w:rsidP="00475251">
      <w:pPr>
        <w:tabs>
          <w:tab w:val="left" w:pos="288"/>
          <w:tab w:val="left" w:pos="4752"/>
        </w:tabs>
        <w:spacing w:line="240" w:lineRule="exact"/>
        <w:jc w:val="both"/>
        <w:rPr>
          <w:rFonts w:asciiTheme="minorHAnsi" w:hAnsiTheme="minorHAnsi" w:cstheme="minorHAnsi"/>
          <w:color w:val="auto"/>
          <w:szCs w:val="24"/>
        </w:rPr>
      </w:pPr>
      <w:r w:rsidRPr="000F0BD1">
        <w:rPr>
          <w:rFonts w:asciiTheme="minorHAnsi" w:hAnsiTheme="minorHAnsi"/>
          <w:color w:val="auto"/>
          <w:szCs w:val="24"/>
        </w:rPr>
        <w:t xml:space="preserve">The Board directs its attention to its rating recommendations based on the evidence just described.  </w:t>
      </w:r>
      <w:r w:rsidR="00304E30">
        <w:rPr>
          <w:rFonts w:asciiTheme="minorHAnsi" w:hAnsiTheme="minorHAnsi" w:cstheme="minorHAnsi"/>
          <w:color w:val="auto"/>
          <w:szCs w:val="24"/>
        </w:rPr>
        <w:t xml:space="preserve">First it is noted that the Board entertained rating under the analogous 6845 code for restrictive lung disease (based on the mixed picture previously cited), but ascertained that this would yield only a 10% rating.  </w:t>
      </w:r>
      <w:r w:rsidR="005B244B" w:rsidRPr="000F0BD1">
        <w:rPr>
          <w:rFonts w:asciiTheme="minorHAnsi" w:hAnsiTheme="minorHAnsi" w:cstheme="minorHAnsi"/>
          <w:color w:val="auto"/>
          <w:szCs w:val="24"/>
        </w:rPr>
        <w:t xml:space="preserve">Reverting to </w:t>
      </w:r>
      <w:r w:rsidR="005B244B" w:rsidRPr="000F0BD1">
        <w:rPr>
          <w:rFonts w:asciiTheme="minorHAnsi" w:hAnsiTheme="minorHAnsi"/>
          <w:color w:val="auto"/>
          <w:szCs w:val="24"/>
        </w:rPr>
        <w:t>6602, t</w:t>
      </w:r>
      <w:r w:rsidR="006845CE">
        <w:rPr>
          <w:rFonts w:asciiTheme="minorHAnsi" w:hAnsiTheme="minorHAnsi" w:cstheme="minorHAnsi"/>
          <w:color w:val="auto"/>
          <w:szCs w:val="24"/>
        </w:rPr>
        <w:t>here was no evidence for any §</w:t>
      </w:r>
      <w:r w:rsidR="006845CE" w:rsidRPr="00D361A2">
        <w:rPr>
          <w:rFonts w:asciiTheme="minorHAnsi" w:hAnsiTheme="minorHAnsi" w:cstheme="minorHAnsi"/>
          <w:color w:val="auto"/>
          <w:szCs w:val="24"/>
        </w:rPr>
        <w:t xml:space="preserve">4.97 </w:t>
      </w:r>
      <w:r w:rsidR="006845CE">
        <w:rPr>
          <w:rFonts w:asciiTheme="minorHAnsi" w:hAnsiTheme="minorHAnsi" w:cstheme="minorHAnsi"/>
          <w:color w:val="auto"/>
          <w:szCs w:val="24"/>
        </w:rPr>
        <w:t>criteria supporting a rating higher than 30% (</w:t>
      </w:r>
      <w:r w:rsidR="006845CE" w:rsidRPr="000F0BD1">
        <w:rPr>
          <w:rFonts w:asciiTheme="minorHAnsi" w:hAnsiTheme="minorHAnsi" w:cstheme="minorHAnsi"/>
          <w:color w:val="auto"/>
          <w:szCs w:val="24"/>
        </w:rPr>
        <w:t>respiratory failure, frequent exacerbations requiring physician intervention, daily use of high dose corticosteroids</w:t>
      </w:r>
      <w:r w:rsidR="006845CE">
        <w:rPr>
          <w:rFonts w:asciiTheme="minorHAnsi" w:hAnsiTheme="minorHAnsi" w:cstheme="minorHAnsi"/>
          <w:color w:val="auto"/>
          <w:szCs w:val="24"/>
        </w:rPr>
        <w:t>,</w:t>
      </w:r>
      <w:r w:rsidR="006845CE" w:rsidRPr="000F0BD1">
        <w:rPr>
          <w:rFonts w:asciiTheme="minorHAnsi" w:hAnsiTheme="minorHAnsi" w:cstheme="minorHAnsi"/>
          <w:color w:val="auto"/>
          <w:szCs w:val="24"/>
        </w:rPr>
        <w:t xml:space="preserve"> immune-suppressive medications, or frequent use of systemic corticosteroids</w:t>
      </w:r>
      <w:r w:rsidR="006845CE">
        <w:rPr>
          <w:rFonts w:asciiTheme="minorHAnsi" w:hAnsiTheme="minorHAnsi" w:cstheme="minorHAnsi"/>
          <w:color w:val="auto"/>
          <w:szCs w:val="24"/>
        </w:rPr>
        <w:t>)</w:t>
      </w:r>
      <w:r w:rsidR="006845CE" w:rsidRPr="000F0BD1">
        <w:rPr>
          <w:rFonts w:asciiTheme="minorHAnsi" w:hAnsiTheme="minorHAnsi" w:cstheme="minorHAnsi"/>
          <w:color w:val="auto"/>
          <w:szCs w:val="24"/>
        </w:rPr>
        <w:t xml:space="preserve">.  </w:t>
      </w:r>
      <w:r w:rsidR="00240EF4" w:rsidRPr="000F0BD1">
        <w:rPr>
          <w:rFonts w:asciiTheme="minorHAnsi" w:hAnsiTheme="minorHAnsi" w:cstheme="minorHAnsi"/>
          <w:color w:val="auto"/>
          <w:szCs w:val="24"/>
        </w:rPr>
        <w:t xml:space="preserve"> </w:t>
      </w:r>
      <w:r w:rsidR="006845CE">
        <w:rPr>
          <w:rFonts w:asciiTheme="minorHAnsi" w:hAnsiTheme="minorHAnsi" w:cstheme="minorHAnsi"/>
          <w:color w:val="auto"/>
          <w:szCs w:val="24"/>
        </w:rPr>
        <w:t>T</w:t>
      </w:r>
      <w:r w:rsidR="006845CE" w:rsidRPr="006845CE">
        <w:rPr>
          <w:rFonts w:asciiTheme="minorHAnsi" w:hAnsiTheme="minorHAnsi" w:cstheme="minorHAnsi"/>
          <w:color w:val="auto"/>
          <w:szCs w:val="24"/>
        </w:rPr>
        <w:t>he Board devoted ample attention to the issue of whether the requirement for daily bronchodilator and/or anti-inflammatory therapy was met in this case, as that is the pivotal criteria between a 10% or 30% rating IAW VASRD §4.97.  It is acknowledged that the VASRD is somewhat outdated for asthma since modern treatment has expanded to include many treatment agents not employed when the existing rating criteria were promulgated.  Contemporary regimens routinely employ daily maintenance with a variety of inhaled steroid (anti-inflammatory) and/or bronchodilator agents.  The VA generally concedes the 30% rating if there is a prescription for any of these agents; and, the Board’s precedent has been to follow suit, even though it is clear that this encompasses many cases of relatively mild disease associated with minimal limitations and disability.  The Board</w:t>
      </w:r>
      <w:r w:rsidR="006845CE">
        <w:rPr>
          <w:rFonts w:asciiTheme="minorHAnsi" w:hAnsiTheme="minorHAnsi" w:cstheme="minorHAnsi"/>
          <w:color w:val="auto"/>
          <w:szCs w:val="24"/>
        </w:rPr>
        <w:t xml:space="preserve">, </w:t>
      </w:r>
      <w:r w:rsidR="006845CE" w:rsidRPr="006845CE">
        <w:rPr>
          <w:rFonts w:asciiTheme="minorHAnsi" w:hAnsiTheme="minorHAnsi" w:cstheme="minorHAnsi"/>
          <w:color w:val="auto"/>
          <w:szCs w:val="24"/>
        </w:rPr>
        <w:t>however</w:t>
      </w:r>
      <w:r w:rsidR="006845CE">
        <w:rPr>
          <w:rFonts w:asciiTheme="minorHAnsi" w:hAnsiTheme="minorHAnsi" w:cstheme="minorHAnsi"/>
          <w:color w:val="auto"/>
          <w:szCs w:val="24"/>
        </w:rPr>
        <w:t>,</w:t>
      </w:r>
      <w:r w:rsidR="006845CE" w:rsidRPr="006845CE">
        <w:rPr>
          <w:rFonts w:asciiTheme="minorHAnsi" w:hAnsiTheme="minorHAnsi" w:cstheme="minorHAnsi"/>
          <w:color w:val="auto"/>
          <w:szCs w:val="24"/>
        </w:rPr>
        <w:t xml:space="preserve"> does take the reasonable position that the evidence in such cases should satisfy an assumption that the treatment regimen supporting the higher rating is necessary to maintain good control of the condition.  That question is only raised in cases where there is evidence that the condition is well controlled in spite of documented non-compliance or only sporadic use of the medications in question.  It was debated as to whether it was satisfactorily established in this case that </w:t>
      </w:r>
      <w:r w:rsidR="006845CE" w:rsidRPr="0066606F">
        <w:rPr>
          <w:rFonts w:asciiTheme="minorHAnsi" w:hAnsiTheme="minorHAnsi" w:cstheme="minorHAnsi"/>
          <w:color w:val="auto"/>
          <w:szCs w:val="24"/>
        </w:rPr>
        <w:t xml:space="preserve">the CI, although clearly prescribed treatments meeting the 30% criteria, actually required </w:t>
      </w:r>
      <w:r w:rsidR="006845CE" w:rsidRPr="0066606F">
        <w:rPr>
          <w:rFonts w:asciiTheme="minorHAnsi" w:hAnsiTheme="minorHAnsi" w:cstheme="minorHAnsi"/>
          <w:iCs/>
          <w:color w:val="auto"/>
          <w:szCs w:val="24"/>
        </w:rPr>
        <w:t xml:space="preserve">(as specified in the VASRD rating language) </w:t>
      </w:r>
      <w:r w:rsidR="006845CE" w:rsidRPr="0066606F">
        <w:rPr>
          <w:rFonts w:asciiTheme="minorHAnsi" w:hAnsiTheme="minorHAnsi" w:cstheme="minorHAnsi"/>
          <w:color w:val="auto"/>
          <w:szCs w:val="24"/>
        </w:rPr>
        <w:t>the daily regimen to maintain the good control evidenced in his PFT</w:t>
      </w:r>
      <w:r w:rsidR="006845CE" w:rsidRPr="006845CE">
        <w:rPr>
          <w:rFonts w:asciiTheme="minorHAnsi" w:hAnsiTheme="minorHAnsi" w:cstheme="minorHAnsi"/>
          <w:color w:val="auto"/>
          <w:szCs w:val="24"/>
        </w:rPr>
        <w:t xml:space="preserve"> </w:t>
      </w:r>
      <w:r w:rsidR="006845CE" w:rsidRPr="00846857">
        <w:rPr>
          <w:rFonts w:asciiTheme="minorHAnsi" w:hAnsiTheme="minorHAnsi" w:cstheme="minorHAnsi"/>
          <w:color w:val="auto"/>
          <w:szCs w:val="24"/>
        </w:rPr>
        <w:t>results.</w:t>
      </w:r>
      <w:r w:rsidR="00F85A7E" w:rsidRPr="00846857">
        <w:rPr>
          <w:rFonts w:asciiTheme="minorHAnsi" w:hAnsiTheme="minorHAnsi" w:cstheme="minorHAnsi"/>
          <w:color w:val="auto"/>
          <w:szCs w:val="24"/>
        </w:rPr>
        <w:t xml:space="preserve">  </w:t>
      </w:r>
      <w:r w:rsidR="00846857">
        <w:rPr>
          <w:rFonts w:asciiTheme="minorHAnsi" w:hAnsiTheme="minorHAnsi" w:cstheme="minorHAnsi"/>
          <w:color w:val="auto"/>
          <w:szCs w:val="24"/>
        </w:rPr>
        <w:t xml:space="preserve">It is clear that the </w:t>
      </w:r>
      <w:r w:rsidR="00F85A7E" w:rsidRPr="00846857">
        <w:rPr>
          <w:rFonts w:asciiTheme="minorHAnsi" w:hAnsiTheme="minorHAnsi" w:cstheme="minorHAnsi"/>
          <w:color w:val="auto"/>
          <w:szCs w:val="24"/>
        </w:rPr>
        <w:t>medication log</w:t>
      </w:r>
      <w:r w:rsidR="009D07D4" w:rsidRPr="00846857">
        <w:rPr>
          <w:rFonts w:asciiTheme="minorHAnsi" w:hAnsiTheme="minorHAnsi" w:cstheme="minorHAnsi"/>
          <w:color w:val="auto"/>
          <w:szCs w:val="24"/>
        </w:rPr>
        <w:t>s</w:t>
      </w:r>
      <w:r w:rsidR="00F85A7E" w:rsidRPr="00846857">
        <w:rPr>
          <w:rFonts w:asciiTheme="minorHAnsi" w:hAnsiTheme="minorHAnsi" w:cstheme="minorHAnsi"/>
          <w:color w:val="auto"/>
          <w:szCs w:val="24"/>
        </w:rPr>
        <w:t xml:space="preserve"> </w:t>
      </w:r>
      <w:r w:rsidR="00846857">
        <w:rPr>
          <w:rFonts w:asciiTheme="minorHAnsi" w:hAnsiTheme="minorHAnsi" w:cstheme="minorHAnsi"/>
          <w:color w:val="auto"/>
          <w:szCs w:val="24"/>
        </w:rPr>
        <w:t>document</w:t>
      </w:r>
      <w:r w:rsidR="009D07D4" w:rsidRPr="00846857">
        <w:rPr>
          <w:rFonts w:asciiTheme="minorHAnsi" w:hAnsiTheme="minorHAnsi" w:cstheme="minorHAnsi"/>
          <w:color w:val="auto"/>
          <w:szCs w:val="24"/>
        </w:rPr>
        <w:t xml:space="preserve"> sporadic use of asthma medications </w:t>
      </w:r>
      <w:r w:rsidR="00846857">
        <w:rPr>
          <w:rFonts w:asciiTheme="minorHAnsi" w:hAnsiTheme="minorHAnsi" w:cstheme="minorHAnsi"/>
          <w:color w:val="auto"/>
          <w:szCs w:val="24"/>
        </w:rPr>
        <w:t>and</w:t>
      </w:r>
      <w:r w:rsidR="009D07D4" w:rsidRPr="00846857">
        <w:rPr>
          <w:rFonts w:asciiTheme="minorHAnsi" w:hAnsiTheme="minorHAnsi" w:cstheme="minorHAnsi"/>
          <w:color w:val="auto"/>
          <w:szCs w:val="24"/>
        </w:rPr>
        <w:t xml:space="preserve"> no refills prior to the IPEB.  </w:t>
      </w:r>
      <w:r w:rsidR="00846857">
        <w:rPr>
          <w:rFonts w:asciiTheme="minorHAnsi" w:hAnsiTheme="minorHAnsi" w:cstheme="minorHAnsi"/>
          <w:color w:val="auto"/>
          <w:szCs w:val="24"/>
        </w:rPr>
        <w:t xml:space="preserve">The preponderance of the evidence supports the accuracy of those logs, and the CI himself confirmed that they were </w:t>
      </w:r>
      <w:r w:rsidR="00A27767">
        <w:rPr>
          <w:rFonts w:asciiTheme="minorHAnsi" w:hAnsiTheme="minorHAnsi" w:cstheme="minorHAnsi"/>
          <w:color w:val="auto"/>
          <w:szCs w:val="24"/>
        </w:rPr>
        <w:t>his</w:t>
      </w:r>
      <w:r w:rsidR="00846857">
        <w:rPr>
          <w:rFonts w:asciiTheme="minorHAnsi" w:hAnsiTheme="minorHAnsi" w:cstheme="minorHAnsi"/>
          <w:color w:val="auto"/>
          <w:szCs w:val="24"/>
        </w:rPr>
        <w:t xml:space="preserve"> only source of his prescriptions.  </w:t>
      </w:r>
      <w:r w:rsidR="00A27767">
        <w:rPr>
          <w:rFonts w:asciiTheme="minorHAnsi" w:hAnsiTheme="minorHAnsi" w:cstheme="minorHAnsi"/>
          <w:color w:val="auto"/>
          <w:szCs w:val="24"/>
        </w:rPr>
        <w:t xml:space="preserve">Even if the CI was unable to obtain personal copies of refills during this period, the automated log should have captured the refills to which he attested.  </w:t>
      </w:r>
      <w:r w:rsidR="00846857">
        <w:rPr>
          <w:rFonts w:asciiTheme="minorHAnsi" w:hAnsiTheme="minorHAnsi" w:cstheme="minorHAnsi"/>
          <w:color w:val="auto"/>
          <w:szCs w:val="24"/>
        </w:rPr>
        <w:t xml:space="preserve">All members concurred that </w:t>
      </w:r>
      <w:r w:rsidR="003C6895">
        <w:rPr>
          <w:rFonts w:asciiTheme="minorHAnsi" w:hAnsiTheme="minorHAnsi" w:cstheme="minorHAnsi"/>
          <w:color w:val="auto"/>
          <w:szCs w:val="24"/>
        </w:rPr>
        <w:t>t</w:t>
      </w:r>
      <w:r w:rsidR="00846857">
        <w:rPr>
          <w:rFonts w:asciiTheme="minorHAnsi" w:hAnsiTheme="minorHAnsi" w:cstheme="minorHAnsi"/>
          <w:color w:val="auto"/>
          <w:szCs w:val="24"/>
        </w:rPr>
        <w:t xml:space="preserve">he period after the IPEB could not be considered </w:t>
      </w:r>
      <w:r w:rsidR="00A27767">
        <w:rPr>
          <w:rFonts w:asciiTheme="minorHAnsi" w:hAnsiTheme="minorHAnsi" w:cstheme="minorHAnsi"/>
          <w:color w:val="auto"/>
          <w:szCs w:val="24"/>
        </w:rPr>
        <w:t xml:space="preserve">highly probative, since </w:t>
      </w:r>
      <w:r w:rsidR="003C6895">
        <w:rPr>
          <w:rFonts w:asciiTheme="minorHAnsi" w:hAnsiTheme="minorHAnsi" w:cstheme="minorHAnsi"/>
          <w:color w:val="auto"/>
          <w:szCs w:val="24"/>
        </w:rPr>
        <w:t xml:space="preserve">subsequent </w:t>
      </w:r>
      <w:r w:rsidR="00A27767">
        <w:rPr>
          <w:rFonts w:asciiTheme="minorHAnsi" w:hAnsiTheme="minorHAnsi" w:cstheme="minorHAnsi"/>
          <w:color w:val="auto"/>
          <w:szCs w:val="24"/>
        </w:rPr>
        <w:t>medication use was subject to secondary gain behavior</w:t>
      </w:r>
      <w:r w:rsidR="003C6895">
        <w:rPr>
          <w:rFonts w:asciiTheme="minorHAnsi" w:hAnsiTheme="minorHAnsi" w:cstheme="minorHAnsi"/>
          <w:color w:val="auto"/>
          <w:szCs w:val="24"/>
        </w:rPr>
        <w:t>;</w:t>
      </w:r>
      <w:r w:rsidR="00A27767">
        <w:rPr>
          <w:rFonts w:asciiTheme="minorHAnsi" w:hAnsiTheme="minorHAnsi" w:cstheme="minorHAnsi"/>
          <w:color w:val="auto"/>
          <w:szCs w:val="24"/>
        </w:rPr>
        <w:t xml:space="preserve"> </w:t>
      </w:r>
      <w:r w:rsidR="003C6895">
        <w:rPr>
          <w:rFonts w:asciiTheme="minorHAnsi" w:hAnsiTheme="minorHAnsi" w:cstheme="minorHAnsi"/>
          <w:color w:val="auto"/>
          <w:szCs w:val="24"/>
        </w:rPr>
        <w:t>and,</w:t>
      </w:r>
      <w:r w:rsidR="00A27767">
        <w:rPr>
          <w:rFonts w:asciiTheme="minorHAnsi" w:hAnsiTheme="minorHAnsi" w:cstheme="minorHAnsi"/>
          <w:color w:val="auto"/>
          <w:szCs w:val="24"/>
        </w:rPr>
        <w:t xml:space="preserve"> there is no </w:t>
      </w:r>
      <w:r w:rsidR="003C6895">
        <w:rPr>
          <w:rFonts w:asciiTheme="minorHAnsi" w:hAnsiTheme="minorHAnsi" w:cstheme="minorHAnsi"/>
          <w:color w:val="auto"/>
          <w:szCs w:val="24"/>
        </w:rPr>
        <w:t>evidence for exacerbation of the disease process itself imposing a requirement for more frequent treatment</w:t>
      </w:r>
      <w:r w:rsidR="00A27767">
        <w:rPr>
          <w:rFonts w:asciiTheme="minorHAnsi" w:hAnsiTheme="minorHAnsi" w:cstheme="minorHAnsi"/>
          <w:color w:val="auto"/>
          <w:szCs w:val="24"/>
        </w:rPr>
        <w:t xml:space="preserve">.  </w:t>
      </w:r>
      <w:r w:rsidR="009D07D4" w:rsidRPr="00846857">
        <w:rPr>
          <w:rFonts w:asciiTheme="minorHAnsi" w:hAnsiTheme="minorHAnsi" w:cstheme="minorHAnsi"/>
          <w:color w:val="auto"/>
          <w:szCs w:val="24"/>
        </w:rPr>
        <w:t xml:space="preserve">Despite the CI seeking care for his asthma condition in 2004 and 2005, there were no Service treatment records reflecting chronic or acute asthma care while on TDRL </w:t>
      </w:r>
      <w:r w:rsidR="003C6895">
        <w:rPr>
          <w:rFonts w:asciiTheme="minorHAnsi" w:hAnsiTheme="minorHAnsi" w:cstheme="minorHAnsi"/>
          <w:color w:val="auto"/>
          <w:szCs w:val="24"/>
        </w:rPr>
        <w:t xml:space="preserve">and during the </w:t>
      </w:r>
      <w:r w:rsidR="003C6895" w:rsidRPr="006845CE">
        <w:rPr>
          <w:rFonts w:asciiTheme="minorHAnsi" w:hAnsiTheme="minorHAnsi" w:cstheme="minorHAnsi"/>
          <w:color w:val="auto"/>
          <w:szCs w:val="24"/>
        </w:rPr>
        <w:t>§4.97</w:t>
      </w:r>
      <w:r w:rsidR="003C6895">
        <w:rPr>
          <w:rFonts w:asciiTheme="minorHAnsi" w:hAnsiTheme="minorHAnsi" w:cstheme="minorHAnsi"/>
          <w:color w:val="auto"/>
          <w:szCs w:val="24"/>
        </w:rPr>
        <w:t xml:space="preserve"> rating interval of 12 months</w:t>
      </w:r>
      <w:r w:rsidR="009D07D4" w:rsidRPr="00846857">
        <w:rPr>
          <w:rFonts w:asciiTheme="minorHAnsi" w:hAnsiTheme="minorHAnsi" w:cstheme="minorHAnsi"/>
          <w:color w:val="auto"/>
          <w:szCs w:val="24"/>
        </w:rPr>
        <w:t xml:space="preserve">.  </w:t>
      </w:r>
      <w:r w:rsidR="003C6895">
        <w:rPr>
          <w:rFonts w:asciiTheme="minorHAnsi" w:hAnsiTheme="minorHAnsi" w:cstheme="minorHAnsi"/>
          <w:color w:val="auto"/>
          <w:szCs w:val="24"/>
        </w:rPr>
        <w:t>Since the CI attested that he was not receiving medication outside his military facility, it may be presumed that the Service records captured all routine visits.</w:t>
      </w:r>
      <w:r w:rsidR="00E13F9D" w:rsidRPr="00846857">
        <w:rPr>
          <w:rFonts w:asciiTheme="minorHAnsi" w:hAnsiTheme="minorHAnsi" w:cstheme="minorHAnsi"/>
          <w:color w:val="auto"/>
          <w:szCs w:val="24"/>
        </w:rPr>
        <w:t xml:space="preserve"> Therefore the Board considered the period leading up to </w:t>
      </w:r>
      <w:r w:rsidR="003C6895">
        <w:rPr>
          <w:rFonts w:asciiTheme="minorHAnsi" w:hAnsiTheme="minorHAnsi" w:cstheme="minorHAnsi"/>
          <w:color w:val="auto"/>
          <w:szCs w:val="24"/>
        </w:rPr>
        <w:t>permanent separation after</w:t>
      </w:r>
      <w:r w:rsidR="00D2727B" w:rsidRPr="00846857">
        <w:rPr>
          <w:rFonts w:asciiTheme="minorHAnsi" w:hAnsiTheme="minorHAnsi" w:cstheme="minorHAnsi"/>
          <w:color w:val="auto"/>
          <w:szCs w:val="24"/>
        </w:rPr>
        <w:t xml:space="preserve"> </w:t>
      </w:r>
      <w:r w:rsidR="00E13F9D" w:rsidRPr="00846857">
        <w:rPr>
          <w:rFonts w:asciiTheme="minorHAnsi" w:hAnsiTheme="minorHAnsi" w:cstheme="minorHAnsi"/>
          <w:color w:val="auto"/>
          <w:szCs w:val="24"/>
        </w:rPr>
        <w:t xml:space="preserve">TDRL as a period </w:t>
      </w:r>
      <w:r w:rsidR="00093266">
        <w:rPr>
          <w:rFonts w:asciiTheme="minorHAnsi" w:hAnsiTheme="minorHAnsi" w:cstheme="minorHAnsi"/>
          <w:color w:val="auto"/>
          <w:szCs w:val="24"/>
        </w:rPr>
        <w:t>requiring little medical care and only</w:t>
      </w:r>
      <w:r w:rsidR="00E13F9D" w:rsidRPr="00846857">
        <w:rPr>
          <w:rFonts w:asciiTheme="minorHAnsi" w:hAnsiTheme="minorHAnsi" w:cstheme="minorHAnsi"/>
          <w:color w:val="auto"/>
          <w:szCs w:val="24"/>
        </w:rPr>
        <w:t xml:space="preserve"> intermittent use of asthma medications</w:t>
      </w:r>
      <w:r w:rsidR="00022CCD" w:rsidRPr="00846857">
        <w:rPr>
          <w:rFonts w:asciiTheme="minorHAnsi" w:hAnsiTheme="minorHAnsi" w:cstheme="minorHAnsi"/>
          <w:color w:val="auto"/>
          <w:szCs w:val="24"/>
        </w:rPr>
        <w:t>.  T</w:t>
      </w:r>
      <w:r w:rsidR="00E13F9D" w:rsidRPr="00846857">
        <w:rPr>
          <w:rFonts w:asciiTheme="minorHAnsi" w:hAnsiTheme="minorHAnsi" w:cstheme="minorHAnsi"/>
          <w:color w:val="auto"/>
          <w:szCs w:val="24"/>
        </w:rPr>
        <w:t xml:space="preserve">he TDRL PFT </w:t>
      </w:r>
      <w:r w:rsidR="00764142">
        <w:rPr>
          <w:rFonts w:asciiTheme="minorHAnsi" w:hAnsiTheme="minorHAnsi" w:cstheme="minorHAnsi"/>
          <w:color w:val="auto"/>
          <w:szCs w:val="24"/>
        </w:rPr>
        <w:t>was performed prior to the IPEB</w:t>
      </w:r>
      <w:r w:rsidR="00D534EA">
        <w:rPr>
          <w:rFonts w:asciiTheme="minorHAnsi" w:hAnsiTheme="minorHAnsi" w:cstheme="minorHAnsi"/>
          <w:color w:val="auto"/>
          <w:szCs w:val="24"/>
        </w:rPr>
        <w:t>, during the most probative period for pharmacy evidence,</w:t>
      </w:r>
      <w:r w:rsidR="00764142">
        <w:rPr>
          <w:rFonts w:asciiTheme="minorHAnsi" w:hAnsiTheme="minorHAnsi" w:cstheme="minorHAnsi"/>
          <w:color w:val="auto"/>
          <w:szCs w:val="24"/>
        </w:rPr>
        <w:t xml:space="preserve"> and </w:t>
      </w:r>
      <w:r w:rsidR="00E13F9D" w:rsidRPr="00846857">
        <w:rPr>
          <w:rFonts w:asciiTheme="minorHAnsi" w:hAnsiTheme="minorHAnsi" w:cstheme="minorHAnsi"/>
          <w:color w:val="auto"/>
          <w:szCs w:val="24"/>
        </w:rPr>
        <w:t xml:space="preserve">reflected mild obstruction without daily medication use.  </w:t>
      </w:r>
      <w:r w:rsidR="00022CCD" w:rsidRPr="00846857">
        <w:rPr>
          <w:rFonts w:asciiTheme="minorHAnsi" w:hAnsiTheme="minorHAnsi" w:cstheme="minorHAnsi"/>
          <w:color w:val="auto"/>
          <w:szCs w:val="24"/>
        </w:rPr>
        <w:t>The FPEB</w:t>
      </w:r>
      <w:r w:rsidR="00764142" w:rsidRPr="00764142">
        <w:rPr>
          <w:rFonts w:asciiTheme="minorHAnsi" w:hAnsiTheme="minorHAnsi" w:cstheme="minorHAnsi"/>
          <w:color w:val="auto"/>
          <w:szCs w:val="24"/>
        </w:rPr>
        <w:t xml:space="preserve"> </w:t>
      </w:r>
      <w:r w:rsidR="00764142" w:rsidRPr="00846857">
        <w:rPr>
          <w:rFonts w:asciiTheme="minorHAnsi" w:hAnsiTheme="minorHAnsi" w:cstheme="minorHAnsi"/>
          <w:color w:val="auto"/>
          <w:szCs w:val="24"/>
        </w:rPr>
        <w:t>and the USAPDA</w:t>
      </w:r>
      <w:r w:rsidR="00764142">
        <w:rPr>
          <w:rFonts w:asciiTheme="minorHAnsi" w:hAnsiTheme="minorHAnsi" w:cstheme="minorHAnsi"/>
          <w:color w:val="auto"/>
          <w:szCs w:val="24"/>
        </w:rPr>
        <w:t>, armed</w:t>
      </w:r>
      <w:r w:rsidR="00022CCD" w:rsidRPr="00846857">
        <w:rPr>
          <w:rFonts w:asciiTheme="minorHAnsi" w:hAnsiTheme="minorHAnsi" w:cstheme="minorHAnsi"/>
          <w:color w:val="auto"/>
          <w:szCs w:val="24"/>
        </w:rPr>
        <w:t xml:space="preserve"> with all the evidence </w:t>
      </w:r>
      <w:r w:rsidR="00764142">
        <w:rPr>
          <w:rFonts w:asciiTheme="minorHAnsi" w:hAnsiTheme="minorHAnsi" w:cstheme="minorHAnsi"/>
          <w:color w:val="auto"/>
          <w:szCs w:val="24"/>
        </w:rPr>
        <w:t xml:space="preserve">available to this Board plus the benefit of </w:t>
      </w:r>
      <w:r w:rsidR="00022CCD" w:rsidRPr="00846857">
        <w:rPr>
          <w:rFonts w:asciiTheme="minorHAnsi" w:hAnsiTheme="minorHAnsi" w:cstheme="minorHAnsi"/>
          <w:color w:val="auto"/>
          <w:szCs w:val="24"/>
        </w:rPr>
        <w:t>testimony</w:t>
      </w:r>
      <w:r w:rsidR="00764142">
        <w:rPr>
          <w:rFonts w:asciiTheme="minorHAnsi" w:hAnsiTheme="minorHAnsi" w:cstheme="minorHAnsi"/>
          <w:color w:val="auto"/>
          <w:szCs w:val="24"/>
        </w:rPr>
        <w:t xml:space="preserve"> not in evidence, </w:t>
      </w:r>
      <w:r w:rsidR="00022CCD" w:rsidRPr="00846857">
        <w:rPr>
          <w:rFonts w:asciiTheme="minorHAnsi" w:hAnsiTheme="minorHAnsi" w:cstheme="minorHAnsi"/>
          <w:color w:val="auto"/>
          <w:szCs w:val="24"/>
        </w:rPr>
        <w:t xml:space="preserve">thoroughly addressed the </w:t>
      </w:r>
      <w:r w:rsidR="00D2727B" w:rsidRPr="00846857">
        <w:rPr>
          <w:rFonts w:asciiTheme="minorHAnsi" w:hAnsiTheme="minorHAnsi" w:cstheme="minorHAnsi"/>
          <w:color w:val="auto"/>
          <w:szCs w:val="24"/>
        </w:rPr>
        <w:t>medication</w:t>
      </w:r>
      <w:r w:rsidR="00FA1162" w:rsidRPr="00846857">
        <w:rPr>
          <w:rFonts w:asciiTheme="minorHAnsi" w:hAnsiTheme="minorHAnsi" w:cstheme="minorHAnsi"/>
          <w:color w:val="auto"/>
          <w:szCs w:val="24"/>
        </w:rPr>
        <w:t xml:space="preserve"> </w:t>
      </w:r>
      <w:r w:rsidR="00022CCD" w:rsidRPr="00846857">
        <w:rPr>
          <w:rFonts w:asciiTheme="minorHAnsi" w:hAnsiTheme="minorHAnsi" w:cstheme="minorHAnsi"/>
          <w:color w:val="auto"/>
          <w:szCs w:val="24"/>
        </w:rPr>
        <w:t>compliance issue</w:t>
      </w:r>
      <w:r w:rsidR="00764142">
        <w:rPr>
          <w:rFonts w:asciiTheme="minorHAnsi" w:hAnsiTheme="minorHAnsi" w:cstheme="minorHAnsi"/>
          <w:color w:val="auto"/>
          <w:szCs w:val="24"/>
        </w:rPr>
        <w:t>;</w:t>
      </w:r>
      <w:r w:rsidR="00022CCD" w:rsidRPr="00846857">
        <w:rPr>
          <w:rFonts w:asciiTheme="minorHAnsi" w:hAnsiTheme="minorHAnsi" w:cstheme="minorHAnsi"/>
          <w:color w:val="auto"/>
          <w:szCs w:val="24"/>
        </w:rPr>
        <w:t xml:space="preserve"> and</w:t>
      </w:r>
      <w:r w:rsidR="00764142">
        <w:rPr>
          <w:rFonts w:asciiTheme="minorHAnsi" w:hAnsiTheme="minorHAnsi" w:cstheme="minorHAnsi"/>
          <w:color w:val="auto"/>
          <w:szCs w:val="24"/>
        </w:rPr>
        <w:t>,</w:t>
      </w:r>
      <w:r w:rsidR="00022CCD" w:rsidRPr="00846857">
        <w:rPr>
          <w:rFonts w:asciiTheme="minorHAnsi" w:hAnsiTheme="minorHAnsi" w:cstheme="minorHAnsi"/>
          <w:color w:val="auto"/>
          <w:szCs w:val="24"/>
        </w:rPr>
        <w:t xml:space="preserve"> </w:t>
      </w:r>
      <w:r w:rsidR="00764142">
        <w:rPr>
          <w:rFonts w:asciiTheme="minorHAnsi" w:hAnsiTheme="minorHAnsi" w:cstheme="minorHAnsi"/>
          <w:color w:val="auto"/>
          <w:szCs w:val="24"/>
        </w:rPr>
        <w:t xml:space="preserve">the Board finds no opposing evidence or adequate </w:t>
      </w:r>
      <w:r w:rsidR="00D534EA">
        <w:rPr>
          <w:rFonts w:asciiTheme="minorHAnsi" w:hAnsiTheme="minorHAnsi" w:cstheme="minorHAnsi"/>
          <w:color w:val="auto"/>
          <w:szCs w:val="24"/>
        </w:rPr>
        <w:t>support in the FPEB minority opinion</w:t>
      </w:r>
      <w:r w:rsidR="00764142">
        <w:rPr>
          <w:rFonts w:asciiTheme="minorHAnsi" w:hAnsiTheme="minorHAnsi" w:cstheme="minorHAnsi"/>
          <w:color w:val="auto"/>
          <w:szCs w:val="24"/>
        </w:rPr>
        <w:t xml:space="preserve"> to conclude </w:t>
      </w:r>
      <w:r w:rsidR="00D534EA">
        <w:rPr>
          <w:rFonts w:asciiTheme="minorHAnsi" w:hAnsiTheme="minorHAnsi" w:cstheme="minorHAnsi"/>
          <w:color w:val="auto"/>
          <w:szCs w:val="24"/>
        </w:rPr>
        <w:t>that the CI was using and requiring daily treatment during the rating period</w:t>
      </w:r>
      <w:r w:rsidR="00DA510E">
        <w:rPr>
          <w:rFonts w:asciiTheme="minorHAnsi" w:hAnsiTheme="minorHAnsi" w:cstheme="minorHAnsi"/>
          <w:color w:val="auto"/>
          <w:szCs w:val="24"/>
        </w:rPr>
        <w:t xml:space="preserve"> contrary to those findings</w:t>
      </w:r>
      <w:r w:rsidR="00022CCD" w:rsidRPr="00846857">
        <w:rPr>
          <w:rFonts w:asciiTheme="minorHAnsi" w:hAnsiTheme="minorHAnsi" w:cstheme="minorHAnsi"/>
          <w:color w:val="auto"/>
          <w:szCs w:val="24"/>
        </w:rPr>
        <w:t xml:space="preserve">.  The Board </w:t>
      </w:r>
      <w:r w:rsidR="00D534EA">
        <w:rPr>
          <w:rFonts w:asciiTheme="minorHAnsi" w:hAnsiTheme="minorHAnsi" w:cstheme="minorHAnsi"/>
          <w:color w:val="auto"/>
          <w:szCs w:val="24"/>
        </w:rPr>
        <w:t>therefore</w:t>
      </w:r>
      <w:r w:rsidR="00022CCD" w:rsidRPr="00846857">
        <w:rPr>
          <w:rFonts w:asciiTheme="minorHAnsi" w:hAnsiTheme="minorHAnsi" w:cstheme="minorHAnsi"/>
          <w:color w:val="auto"/>
          <w:szCs w:val="24"/>
        </w:rPr>
        <w:t>, a</w:t>
      </w:r>
      <w:r w:rsidR="00D534EA">
        <w:rPr>
          <w:rFonts w:asciiTheme="minorHAnsi" w:hAnsiTheme="minorHAnsi" w:cstheme="minorHAnsi"/>
          <w:color w:val="auto"/>
          <w:szCs w:val="24"/>
        </w:rPr>
        <w:t xml:space="preserve">fter comprehensive deliberation and </w:t>
      </w:r>
      <w:r w:rsidR="00093266">
        <w:rPr>
          <w:rFonts w:asciiTheme="minorHAnsi" w:hAnsiTheme="minorHAnsi" w:cstheme="minorHAnsi"/>
          <w:color w:val="auto"/>
          <w:szCs w:val="24"/>
        </w:rPr>
        <w:t>relying on</w:t>
      </w:r>
      <w:r w:rsidR="00D534EA">
        <w:rPr>
          <w:rFonts w:asciiTheme="minorHAnsi" w:hAnsiTheme="minorHAnsi" w:cstheme="minorHAnsi"/>
          <w:color w:val="auto"/>
          <w:szCs w:val="24"/>
        </w:rPr>
        <w:t xml:space="preserve"> the preponderance of the evidence,</w:t>
      </w:r>
      <w:r w:rsidR="00022CCD" w:rsidRPr="00846857">
        <w:rPr>
          <w:rFonts w:asciiTheme="minorHAnsi" w:hAnsiTheme="minorHAnsi" w:cstheme="minorHAnsi"/>
          <w:color w:val="auto"/>
          <w:szCs w:val="24"/>
        </w:rPr>
        <w:t xml:space="preserve"> </w:t>
      </w:r>
      <w:r w:rsidR="00D534EA">
        <w:rPr>
          <w:rFonts w:asciiTheme="minorHAnsi" w:hAnsiTheme="minorHAnsi" w:cstheme="minorHAnsi"/>
          <w:color w:val="auto"/>
          <w:szCs w:val="24"/>
        </w:rPr>
        <w:t>does</w:t>
      </w:r>
      <w:r w:rsidR="00022CCD" w:rsidRPr="00846857">
        <w:rPr>
          <w:rFonts w:asciiTheme="minorHAnsi" w:hAnsiTheme="minorHAnsi"/>
          <w:color w:val="auto"/>
          <w:szCs w:val="24"/>
        </w:rPr>
        <w:t xml:space="preserve"> not </w:t>
      </w:r>
      <w:r w:rsidR="00D534EA">
        <w:rPr>
          <w:rFonts w:asciiTheme="minorHAnsi" w:hAnsiTheme="minorHAnsi"/>
          <w:color w:val="auto"/>
          <w:szCs w:val="24"/>
        </w:rPr>
        <w:t xml:space="preserve">find adequate </w:t>
      </w:r>
      <w:r w:rsidR="00022CCD" w:rsidRPr="00846857">
        <w:rPr>
          <w:rFonts w:asciiTheme="minorHAnsi" w:hAnsiTheme="minorHAnsi"/>
          <w:color w:val="auto"/>
          <w:szCs w:val="24"/>
        </w:rPr>
        <w:t xml:space="preserve">reasonable doubt in the CI’s favor supporting recharacterization of the </w:t>
      </w:r>
      <w:r w:rsidR="00D534EA">
        <w:rPr>
          <w:rFonts w:asciiTheme="minorHAnsi" w:hAnsiTheme="minorHAnsi"/>
          <w:color w:val="auto"/>
          <w:szCs w:val="24"/>
        </w:rPr>
        <w:t>F</w:t>
      </w:r>
      <w:r w:rsidR="00022CCD" w:rsidRPr="00846857">
        <w:rPr>
          <w:rFonts w:asciiTheme="minorHAnsi" w:hAnsiTheme="minorHAnsi"/>
          <w:color w:val="auto"/>
          <w:szCs w:val="24"/>
        </w:rPr>
        <w:t>PEB</w:t>
      </w:r>
      <w:r w:rsidR="00D534EA">
        <w:rPr>
          <w:rFonts w:asciiTheme="minorHAnsi" w:hAnsiTheme="minorHAnsi"/>
          <w:color w:val="auto"/>
          <w:szCs w:val="24"/>
        </w:rPr>
        <w:t>’s permanent</w:t>
      </w:r>
      <w:r w:rsidR="00022CCD" w:rsidRPr="00846857">
        <w:rPr>
          <w:rFonts w:asciiTheme="minorHAnsi" w:hAnsiTheme="minorHAnsi"/>
          <w:color w:val="auto"/>
          <w:szCs w:val="24"/>
        </w:rPr>
        <w:t xml:space="preserve"> </w:t>
      </w:r>
      <w:r w:rsidR="00D534EA">
        <w:rPr>
          <w:rFonts w:asciiTheme="minorHAnsi" w:hAnsiTheme="minorHAnsi"/>
          <w:color w:val="auto"/>
          <w:szCs w:val="24"/>
        </w:rPr>
        <w:t>rating</w:t>
      </w:r>
      <w:r w:rsidR="00022CCD" w:rsidRPr="00846857">
        <w:rPr>
          <w:rFonts w:asciiTheme="minorHAnsi" w:hAnsiTheme="minorHAnsi"/>
          <w:color w:val="auto"/>
          <w:szCs w:val="24"/>
        </w:rPr>
        <w:t xml:space="preserve"> adjudication for the asthma condition.</w:t>
      </w:r>
      <w:r w:rsidR="00022CCD" w:rsidRPr="00846857">
        <w:rPr>
          <w:rFonts w:asciiTheme="minorHAnsi" w:hAnsiTheme="minorHAnsi" w:cstheme="minorHAnsi"/>
          <w:color w:val="auto"/>
          <w:szCs w:val="24"/>
        </w:rPr>
        <w:t xml:space="preserve"> </w:t>
      </w:r>
    </w:p>
    <w:p w:rsidR="009F5B39" w:rsidRDefault="009F5B39" w:rsidP="00475251">
      <w:pPr>
        <w:tabs>
          <w:tab w:val="left" w:pos="288"/>
          <w:tab w:val="left" w:pos="4752"/>
        </w:tabs>
        <w:spacing w:line="240" w:lineRule="exact"/>
        <w:jc w:val="both"/>
        <w:rPr>
          <w:rFonts w:asciiTheme="minorHAnsi" w:hAnsiTheme="minorHAnsi" w:cstheme="minorHAnsi"/>
          <w:color w:val="auto"/>
          <w:szCs w:val="24"/>
        </w:rPr>
      </w:pPr>
    </w:p>
    <w:p w:rsidR="007C11A6" w:rsidRPr="00DB3CBE" w:rsidRDefault="007C11A6" w:rsidP="00475251">
      <w:pPr>
        <w:tabs>
          <w:tab w:val="left" w:pos="288"/>
          <w:tab w:val="left" w:pos="4752"/>
        </w:tabs>
        <w:spacing w:line="240" w:lineRule="exact"/>
        <w:jc w:val="both"/>
        <w:rPr>
          <w:rFonts w:asciiTheme="minorHAnsi" w:hAnsiTheme="minorHAnsi"/>
          <w:color w:val="auto"/>
          <w:szCs w:val="24"/>
        </w:rPr>
      </w:pPr>
      <w:proofErr w:type="gramStart"/>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w:t>
      </w:r>
      <w:proofErr w:type="gramEnd"/>
      <w:r w:rsidRPr="00664296">
        <w:rPr>
          <w:rFonts w:asciiTheme="minorHAnsi" w:eastAsia="HiddenHorzOCR" w:hAnsiTheme="minorHAnsi"/>
          <w:color w:val="auto"/>
          <w:szCs w:val="24"/>
        </w:rPr>
        <w:t xml:space="preserve">  The CI’s application </w:t>
      </w:r>
      <w:r>
        <w:rPr>
          <w:rFonts w:asciiTheme="minorHAnsi" w:eastAsia="HiddenHorzOCR" w:hAnsiTheme="minorHAnsi"/>
          <w:color w:val="auto"/>
          <w:szCs w:val="24"/>
        </w:rPr>
        <w:t>asserts that a compensable rating</w:t>
      </w:r>
      <w:r w:rsidRPr="00664296">
        <w:rPr>
          <w:rFonts w:asciiTheme="minorHAnsi" w:eastAsia="HiddenHorzOCR" w:hAnsiTheme="minorHAnsi"/>
          <w:color w:val="auto"/>
          <w:szCs w:val="24"/>
        </w:rPr>
        <w:t xml:space="preserve"> should be </w:t>
      </w:r>
      <w:r w:rsidRPr="007C11A6">
        <w:rPr>
          <w:rFonts w:asciiTheme="minorHAnsi" w:eastAsia="HiddenHorzOCR" w:hAnsiTheme="minorHAnsi"/>
          <w:color w:val="auto"/>
          <w:szCs w:val="24"/>
        </w:rPr>
        <w:t>considered for PTSD</w:t>
      </w:r>
      <w:r>
        <w:rPr>
          <w:rFonts w:asciiTheme="minorHAnsi" w:eastAsia="HiddenHorzOCR" w:hAnsiTheme="minorHAnsi"/>
          <w:color w:val="auto"/>
          <w:szCs w:val="24"/>
        </w:rPr>
        <w:t>/</w:t>
      </w:r>
      <w:r w:rsidR="00FC2CAF">
        <w:rPr>
          <w:rFonts w:asciiTheme="minorHAnsi" w:eastAsia="HiddenHorzOCR" w:hAnsiTheme="minorHAnsi"/>
          <w:color w:val="auto"/>
          <w:szCs w:val="24"/>
        </w:rPr>
        <w:t>d</w:t>
      </w:r>
      <w:r>
        <w:rPr>
          <w:rFonts w:asciiTheme="minorHAnsi" w:eastAsia="HiddenHorzOCR" w:hAnsiTheme="minorHAnsi"/>
          <w:color w:val="auto"/>
          <w:szCs w:val="24"/>
        </w:rPr>
        <w:t>epression</w:t>
      </w:r>
      <w:r w:rsidRPr="007C11A6">
        <w:rPr>
          <w:rFonts w:asciiTheme="minorHAnsi" w:eastAsia="HiddenHorzOCR" w:hAnsiTheme="minorHAnsi"/>
          <w:color w:val="auto"/>
          <w:szCs w:val="24"/>
        </w:rPr>
        <w:t>.</w:t>
      </w:r>
      <w:r w:rsidRPr="00664296">
        <w:rPr>
          <w:rFonts w:asciiTheme="minorHAnsi" w:eastAsia="HiddenHorzOCR" w:hAnsiTheme="minorHAnsi"/>
          <w:color w:val="auto"/>
          <w:szCs w:val="24"/>
        </w:rPr>
        <w:t xml:space="preserve">  </w:t>
      </w:r>
      <w:r w:rsidRPr="00291B81">
        <w:rPr>
          <w:rFonts w:asciiTheme="minorHAnsi" w:hAnsiTheme="minorHAnsi"/>
          <w:color w:val="auto"/>
          <w:szCs w:val="24"/>
        </w:rPr>
        <w:t xml:space="preserve">There was </w:t>
      </w:r>
      <w:r>
        <w:rPr>
          <w:rFonts w:asciiTheme="minorHAnsi" w:hAnsiTheme="minorHAnsi"/>
          <w:color w:val="auto"/>
          <w:szCs w:val="24"/>
        </w:rPr>
        <w:t xml:space="preserve">a paucity of clinical entries in the Service file </w:t>
      </w:r>
      <w:r w:rsidRPr="00291B81">
        <w:rPr>
          <w:rFonts w:asciiTheme="minorHAnsi" w:hAnsiTheme="minorHAnsi"/>
          <w:color w:val="auto"/>
          <w:szCs w:val="24"/>
        </w:rPr>
        <w:t xml:space="preserve">related to PTSD, depression, or any other mental health diagnosis.  A note in September 2003 indicated that the CI was seen emergently because he was “thinking about hurting himself.”  He was diagnosed with an adjustment disorder and referred to mental health for evaluation, but this evaluation was not documented in the records.  The MEB examination documented that the CI was on medications for chronic depression, but </w:t>
      </w:r>
      <w:r>
        <w:rPr>
          <w:rFonts w:asciiTheme="minorHAnsi" w:hAnsiTheme="minorHAnsi"/>
          <w:color w:val="auto"/>
          <w:szCs w:val="24"/>
        </w:rPr>
        <w:t>stated</w:t>
      </w:r>
      <w:r w:rsidRPr="00291B81">
        <w:rPr>
          <w:rFonts w:asciiTheme="minorHAnsi" w:hAnsiTheme="minorHAnsi"/>
          <w:color w:val="auto"/>
          <w:szCs w:val="24"/>
        </w:rPr>
        <w:t xml:space="preserve"> that his symptoms were well-controlled.  The CI documented on his </w:t>
      </w:r>
      <w:r>
        <w:rPr>
          <w:rFonts w:asciiTheme="minorHAnsi" w:hAnsiTheme="minorHAnsi"/>
          <w:color w:val="auto"/>
          <w:szCs w:val="24"/>
        </w:rPr>
        <w:t xml:space="preserve">last </w:t>
      </w:r>
      <w:r w:rsidRPr="00291B81">
        <w:rPr>
          <w:rFonts w:asciiTheme="minorHAnsi" w:hAnsiTheme="minorHAnsi"/>
          <w:color w:val="auto"/>
          <w:szCs w:val="24"/>
        </w:rPr>
        <w:t>post deployment health assessment that he considered his health very good</w:t>
      </w:r>
      <w:r>
        <w:rPr>
          <w:rFonts w:asciiTheme="minorHAnsi" w:hAnsiTheme="minorHAnsi"/>
          <w:color w:val="auto"/>
          <w:szCs w:val="24"/>
        </w:rPr>
        <w:t>,</w:t>
      </w:r>
      <w:r w:rsidRPr="00291B81">
        <w:rPr>
          <w:rFonts w:asciiTheme="minorHAnsi" w:hAnsiTheme="minorHAnsi"/>
          <w:color w:val="auto"/>
          <w:szCs w:val="24"/>
        </w:rPr>
        <w:t xml:space="preserve"> and did not indicate that he had any medical or mental health issues related to the deployment.  </w:t>
      </w:r>
      <w:r>
        <w:rPr>
          <w:rFonts w:asciiTheme="minorHAnsi" w:hAnsiTheme="minorHAnsi"/>
          <w:color w:val="auto"/>
          <w:szCs w:val="24"/>
        </w:rPr>
        <w:t xml:space="preserve">He likewise did not acknowledge the exposures subsequently documented as Criterion </w:t>
      </w:r>
      <w:proofErr w:type="gramStart"/>
      <w:r>
        <w:rPr>
          <w:rFonts w:asciiTheme="minorHAnsi" w:hAnsiTheme="minorHAnsi"/>
          <w:color w:val="auto"/>
          <w:szCs w:val="24"/>
        </w:rPr>
        <w:t>A</w:t>
      </w:r>
      <w:proofErr w:type="gramEnd"/>
      <w:r>
        <w:rPr>
          <w:rFonts w:asciiTheme="minorHAnsi" w:hAnsiTheme="minorHAnsi"/>
          <w:color w:val="auto"/>
          <w:szCs w:val="24"/>
        </w:rPr>
        <w:t xml:space="preserve"> stressors for PTSD.  The Board notes historical discrepancies among entries addressing his PTSD and subsequently claimed traumatic brain injury conditions</w:t>
      </w:r>
      <w:r w:rsidR="00310F76">
        <w:rPr>
          <w:rFonts w:asciiTheme="minorHAnsi" w:hAnsiTheme="minorHAnsi"/>
          <w:color w:val="auto"/>
          <w:szCs w:val="24"/>
        </w:rPr>
        <w:t xml:space="preserve">. </w:t>
      </w:r>
      <w:r w:rsidRPr="00291B81">
        <w:rPr>
          <w:rFonts w:asciiTheme="minorHAnsi" w:hAnsiTheme="minorHAnsi"/>
          <w:color w:val="auto"/>
          <w:szCs w:val="24"/>
        </w:rPr>
        <w:t xml:space="preserve"> </w:t>
      </w:r>
      <w:r>
        <w:rPr>
          <w:rFonts w:asciiTheme="minorHAnsi" w:hAnsiTheme="minorHAnsi"/>
          <w:color w:val="auto"/>
          <w:szCs w:val="24"/>
        </w:rPr>
        <w:t>The PTSD/</w:t>
      </w:r>
      <w:r w:rsidRPr="00291B81">
        <w:rPr>
          <w:rFonts w:asciiTheme="minorHAnsi" w:hAnsiTheme="minorHAnsi"/>
          <w:color w:val="auto"/>
          <w:szCs w:val="24"/>
        </w:rPr>
        <w:t>depression was</w:t>
      </w:r>
      <w:r>
        <w:rPr>
          <w:rFonts w:asciiTheme="minorHAnsi" w:hAnsiTheme="minorHAnsi"/>
          <w:color w:val="auto"/>
          <w:szCs w:val="24"/>
        </w:rPr>
        <w:t xml:space="preserve"> not</w:t>
      </w:r>
      <w:r w:rsidRPr="00291B81">
        <w:rPr>
          <w:rFonts w:asciiTheme="minorHAnsi" w:hAnsiTheme="minorHAnsi"/>
          <w:color w:val="auto"/>
          <w:szCs w:val="24"/>
        </w:rPr>
        <w:t xml:space="preserve"> of clinical or occupational significance </w:t>
      </w:r>
      <w:r>
        <w:rPr>
          <w:rFonts w:asciiTheme="minorHAnsi" w:hAnsiTheme="minorHAnsi"/>
          <w:color w:val="auto"/>
          <w:szCs w:val="24"/>
        </w:rPr>
        <w:t>during the MEB period;</w:t>
      </w:r>
      <w:r w:rsidRPr="00291B81">
        <w:rPr>
          <w:rFonts w:asciiTheme="minorHAnsi" w:hAnsiTheme="minorHAnsi"/>
          <w:color w:val="auto"/>
          <w:szCs w:val="24"/>
        </w:rPr>
        <w:t xml:space="preserve"> </w:t>
      </w:r>
      <w:r>
        <w:rPr>
          <w:rFonts w:asciiTheme="minorHAnsi" w:hAnsiTheme="minorHAnsi"/>
          <w:color w:val="auto"/>
          <w:szCs w:val="24"/>
        </w:rPr>
        <w:t>nor</w:t>
      </w:r>
      <w:r w:rsidRPr="00291B81">
        <w:rPr>
          <w:rFonts w:asciiTheme="minorHAnsi" w:hAnsiTheme="minorHAnsi"/>
          <w:color w:val="auto"/>
          <w:szCs w:val="24"/>
        </w:rPr>
        <w:t xml:space="preserve"> carried attached profiles</w:t>
      </w:r>
      <w:r>
        <w:rPr>
          <w:rFonts w:asciiTheme="minorHAnsi" w:hAnsiTheme="minorHAnsi"/>
          <w:color w:val="auto"/>
          <w:szCs w:val="24"/>
        </w:rPr>
        <w:t>;</w:t>
      </w:r>
      <w:r w:rsidRPr="00291B81">
        <w:rPr>
          <w:rFonts w:asciiTheme="minorHAnsi" w:hAnsiTheme="minorHAnsi"/>
          <w:color w:val="auto"/>
          <w:szCs w:val="24"/>
        </w:rPr>
        <w:t xml:space="preserve"> </w:t>
      </w:r>
      <w:r>
        <w:rPr>
          <w:rFonts w:asciiTheme="minorHAnsi" w:hAnsiTheme="minorHAnsi"/>
          <w:color w:val="auto"/>
          <w:szCs w:val="24"/>
        </w:rPr>
        <w:t>nor</w:t>
      </w:r>
      <w:r w:rsidRPr="00291B81">
        <w:rPr>
          <w:rFonts w:asciiTheme="minorHAnsi" w:hAnsiTheme="minorHAnsi"/>
          <w:color w:val="auto"/>
          <w:szCs w:val="24"/>
        </w:rPr>
        <w:t xml:space="preserve"> was implicated in the </w:t>
      </w:r>
      <w:r w:rsidR="00FC2CAF">
        <w:rPr>
          <w:rFonts w:asciiTheme="minorHAnsi" w:hAnsiTheme="minorHAnsi"/>
          <w:color w:val="auto"/>
          <w:szCs w:val="24"/>
        </w:rPr>
        <w:t>c</w:t>
      </w:r>
      <w:r w:rsidRPr="00291B81">
        <w:rPr>
          <w:rFonts w:asciiTheme="minorHAnsi" w:hAnsiTheme="minorHAnsi"/>
          <w:color w:val="auto"/>
          <w:szCs w:val="24"/>
        </w:rPr>
        <w:t>ommander’s statement.</w:t>
      </w:r>
      <w:r w:rsidRPr="007C11A6">
        <w:rPr>
          <w:rFonts w:asciiTheme="minorHAnsi" w:eastAsia="HiddenHorzOCR" w:hAnsiTheme="minorHAnsi"/>
          <w:color w:val="auto"/>
          <w:szCs w:val="24"/>
        </w:rPr>
        <w:t xml:space="preserve"> </w:t>
      </w:r>
      <w:r>
        <w:rPr>
          <w:rFonts w:asciiTheme="minorHAnsi" w:hAnsiTheme="minorHAnsi"/>
          <w:color w:val="auto"/>
          <w:szCs w:val="24"/>
        </w:rPr>
        <w:t xml:space="preserve"> </w:t>
      </w:r>
      <w:r w:rsidR="00DB3CBE">
        <w:rPr>
          <w:rFonts w:asciiTheme="minorHAnsi" w:hAnsiTheme="minorHAnsi"/>
          <w:color w:val="auto"/>
          <w:szCs w:val="24"/>
        </w:rPr>
        <w:t>This condition was</w:t>
      </w:r>
      <w:r w:rsidRPr="00664296">
        <w:rPr>
          <w:rFonts w:asciiTheme="minorHAnsi" w:hAnsiTheme="minorHAnsi"/>
          <w:color w:val="auto"/>
          <w:szCs w:val="24"/>
        </w:rPr>
        <w:t xml:space="preserve"> reviewed by the </w:t>
      </w:r>
      <w:r w:rsidR="00FC2CAF">
        <w:rPr>
          <w:rFonts w:asciiTheme="minorHAnsi" w:hAnsiTheme="minorHAnsi"/>
          <w:color w:val="auto"/>
          <w:szCs w:val="24"/>
        </w:rPr>
        <w:t>a</w:t>
      </w:r>
      <w:r w:rsidRPr="00664296">
        <w:rPr>
          <w:rFonts w:asciiTheme="minorHAnsi" w:hAnsiTheme="minorHAnsi"/>
          <w:color w:val="auto"/>
          <w:szCs w:val="24"/>
        </w:rPr>
        <w:t xml:space="preserve">ction </w:t>
      </w:r>
      <w:r w:rsidR="00FC2CAF">
        <w:rPr>
          <w:rFonts w:asciiTheme="minorHAnsi" w:hAnsiTheme="minorHAnsi"/>
          <w:color w:val="auto"/>
          <w:szCs w:val="24"/>
        </w:rPr>
        <w:t>o</w:t>
      </w:r>
      <w:r w:rsidRPr="00664296">
        <w:rPr>
          <w:rFonts w:asciiTheme="minorHAnsi" w:hAnsiTheme="minorHAnsi"/>
          <w:color w:val="auto"/>
          <w:szCs w:val="24"/>
        </w:rPr>
        <w:t xml:space="preserve">fficer and considered by the Board.  There was no evidence for concluding that </w:t>
      </w:r>
      <w:r w:rsidR="00DB3CBE">
        <w:rPr>
          <w:rFonts w:asciiTheme="minorHAnsi" w:hAnsiTheme="minorHAnsi"/>
          <w:color w:val="auto"/>
          <w:szCs w:val="24"/>
        </w:rPr>
        <w:t xml:space="preserve">PTSD/depression </w:t>
      </w:r>
      <w:r w:rsidRPr="00664296">
        <w:rPr>
          <w:rFonts w:asciiTheme="minorHAnsi" w:hAnsiTheme="minorHAnsi"/>
          <w:color w:val="auto"/>
          <w:szCs w:val="24"/>
        </w:rPr>
        <w:t xml:space="preserve">interfered with duty performance to a degree that could be argued as unfitting.  The Board determined therefore that </w:t>
      </w:r>
      <w:r w:rsidR="00DB3CBE">
        <w:rPr>
          <w:rFonts w:asciiTheme="minorHAnsi" w:hAnsiTheme="minorHAnsi"/>
          <w:color w:val="auto"/>
          <w:szCs w:val="24"/>
        </w:rPr>
        <w:t>PTSD/depression was</w:t>
      </w:r>
      <w:r w:rsidRPr="00664296">
        <w:rPr>
          <w:rFonts w:asciiTheme="minorHAnsi" w:hAnsiTheme="minorHAnsi"/>
          <w:color w:val="auto"/>
          <w:szCs w:val="24"/>
        </w:rPr>
        <w:t xml:space="preserve"> </w:t>
      </w:r>
      <w:r w:rsidR="00DB3CBE">
        <w:rPr>
          <w:rFonts w:asciiTheme="minorHAnsi" w:hAnsiTheme="minorHAnsi"/>
          <w:color w:val="auto"/>
          <w:szCs w:val="24"/>
        </w:rPr>
        <w:t xml:space="preserve">not </w:t>
      </w:r>
      <w:r w:rsidRPr="00664296">
        <w:rPr>
          <w:rFonts w:asciiTheme="minorHAnsi" w:hAnsiTheme="minorHAnsi"/>
          <w:color w:val="auto"/>
          <w:szCs w:val="24"/>
        </w:rPr>
        <w:t>subject to Service disability rating.</w:t>
      </w:r>
    </w:p>
    <w:p w:rsidR="00240EF4" w:rsidRPr="009F5B39" w:rsidRDefault="00240EF4" w:rsidP="00475251">
      <w:pPr>
        <w:tabs>
          <w:tab w:val="left" w:pos="288"/>
          <w:tab w:val="left" w:pos="4752"/>
        </w:tabs>
        <w:spacing w:line="240" w:lineRule="exact"/>
        <w:jc w:val="both"/>
        <w:rPr>
          <w:rFonts w:asciiTheme="minorHAnsi" w:hAnsiTheme="minorHAnsi" w:cstheme="minorHAnsi"/>
          <w:color w:val="auto"/>
          <w:szCs w:val="24"/>
          <w:highlight w:val="green"/>
        </w:rPr>
      </w:pPr>
    </w:p>
    <w:p w:rsidR="002B7645" w:rsidRDefault="00664296" w:rsidP="00664296">
      <w:pPr>
        <w:spacing w:line="240" w:lineRule="exact"/>
        <w:jc w:val="both"/>
        <w:rPr>
          <w:rFonts w:asciiTheme="minorHAnsi" w:hAnsiTheme="minorHAnsi"/>
          <w:color w:val="auto"/>
          <w:szCs w:val="24"/>
        </w:rPr>
      </w:pPr>
      <w:proofErr w:type="gramStart"/>
      <w:r w:rsidRPr="00291B81">
        <w:rPr>
          <w:rFonts w:asciiTheme="minorHAnsi" w:hAnsiTheme="minorHAnsi"/>
          <w:color w:val="auto"/>
          <w:szCs w:val="24"/>
          <w:u w:val="single"/>
        </w:rPr>
        <w:t>Remaining Conditions</w:t>
      </w:r>
      <w:r w:rsidRPr="00291B81">
        <w:rPr>
          <w:rFonts w:asciiTheme="minorHAnsi" w:hAnsiTheme="minorHAnsi"/>
          <w:color w:val="auto"/>
          <w:szCs w:val="24"/>
        </w:rPr>
        <w:t>.</w:t>
      </w:r>
      <w:proofErr w:type="gramEnd"/>
      <w:r w:rsidRPr="00291B81">
        <w:rPr>
          <w:rFonts w:asciiTheme="minorHAnsi" w:hAnsiTheme="minorHAnsi"/>
          <w:color w:val="auto"/>
          <w:szCs w:val="24"/>
        </w:rPr>
        <w:t xml:space="preserve">  </w:t>
      </w:r>
      <w:r w:rsidR="007C11A6">
        <w:rPr>
          <w:rFonts w:asciiTheme="minorHAnsi" w:hAnsiTheme="minorHAnsi"/>
          <w:color w:val="auto"/>
          <w:szCs w:val="24"/>
        </w:rPr>
        <w:t>The o</w:t>
      </w:r>
      <w:r w:rsidRPr="00291B81">
        <w:rPr>
          <w:rFonts w:asciiTheme="minorHAnsi" w:hAnsiTheme="minorHAnsi"/>
          <w:color w:val="auto"/>
          <w:szCs w:val="24"/>
        </w:rPr>
        <w:t xml:space="preserve">ther </w:t>
      </w:r>
      <w:r w:rsidR="00DB3CBE" w:rsidRPr="00291B81">
        <w:rPr>
          <w:rFonts w:asciiTheme="minorHAnsi" w:hAnsiTheme="minorHAnsi"/>
          <w:color w:val="auto"/>
          <w:szCs w:val="24"/>
        </w:rPr>
        <w:t>condition identified in the DES file was</w:t>
      </w:r>
      <w:r w:rsidRPr="00291B81">
        <w:rPr>
          <w:rFonts w:asciiTheme="minorHAnsi" w:hAnsiTheme="minorHAnsi"/>
          <w:color w:val="auto"/>
          <w:szCs w:val="24"/>
        </w:rPr>
        <w:t xml:space="preserve"> </w:t>
      </w:r>
      <w:r w:rsidR="007C11A6">
        <w:rPr>
          <w:rFonts w:asciiTheme="minorHAnsi" w:hAnsiTheme="minorHAnsi"/>
          <w:color w:val="auto"/>
          <w:szCs w:val="24"/>
        </w:rPr>
        <w:t xml:space="preserve">seborrheic dermatitis.  Several other </w:t>
      </w:r>
      <w:r w:rsidR="00542EC5" w:rsidRPr="00291B81">
        <w:rPr>
          <w:rFonts w:asciiTheme="minorHAnsi" w:hAnsiTheme="minorHAnsi"/>
          <w:color w:val="auto"/>
          <w:szCs w:val="24"/>
        </w:rPr>
        <w:t xml:space="preserve">non-acute conditions or medical complaints were also documented.  </w:t>
      </w:r>
      <w:r w:rsidR="00DB3CBE">
        <w:rPr>
          <w:rFonts w:asciiTheme="minorHAnsi" w:hAnsiTheme="minorHAnsi"/>
          <w:color w:val="auto"/>
          <w:szCs w:val="24"/>
        </w:rPr>
        <w:t>None of</w:t>
      </w:r>
      <w:r w:rsidR="00497769" w:rsidRPr="00291B81">
        <w:rPr>
          <w:rFonts w:asciiTheme="minorHAnsi" w:hAnsiTheme="minorHAnsi"/>
          <w:color w:val="auto"/>
          <w:szCs w:val="24"/>
        </w:rPr>
        <w:t xml:space="preserve"> the</w:t>
      </w:r>
      <w:r w:rsidR="00DB3CBE">
        <w:rPr>
          <w:rFonts w:asciiTheme="minorHAnsi" w:hAnsiTheme="minorHAnsi"/>
          <w:color w:val="auto"/>
          <w:szCs w:val="24"/>
        </w:rPr>
        <w:t>se</w:t>
      </w:r>
      <w:r w:rsidR="00497769" w:rsidRPr="00291B81">
        <w:rPr>
          <w:rFonts w:asciiTheme="minorHAnsi" w:hAnsiTheme="minorHAnsi"/>
          <w:color w:val="auto"/>
          <w:szCs w:val="24"/>
        </w:rPr>
        <w:t xml:space="preserve"> conditions </w:t>
      </w:r>
      <w:r w:rsidRPr="00291B81">
        <w:rPr>
          <w:rFonts w:asciiTheme="minorHAnsi" w:hAnsiTheme="minorHAnsi"/>
          <w:color w:val="auto"/>
          <w:szCs w:val="24"/>
        </w:rPr>
        <w:t xml:space="preserve">were </w:t>
      </w:r>
      <w:r w:rsidR="00497769" w:rsidRPr="00291B81">
        <w:rPr>
          <w:rFonts w:asciiTheme="minorHAnsi" w:hAnsiTheme="minorHAnsi"/>
          <w:color w:val="auto"/>
          <w:szCs w:val="24"/>
        </w:rPr>
        <w:t xml:space="preserve">noted to be of </w:t>
      </w:r>
      <w:r w:rsidR="00A03D73" w:rsidRPr="00291B81">
        <w:rPr>
          <w:rFonts w:asciiTheme="minorHAnsi" w:hAnsiTheme="minorHAnsi"/>
          <w:color w:val="auto"/>
          <w:szCs w:val="24"/>
        </w:rPr>
        <w:t xml:space="preserve">clinical or occupational significance </w:t>
      </w:r>
      <w:r w:rsidR="00F574A7">
        <w:rPr>
          <w:rFonts w:asciiTheme="minorHAnsi" w:hAnsiTheme="minorHAnsi"/>
          <w:color w:val="auto"/>
          <w:szCs w:val="24"/>
        </w:rPr>
        <w:t>during the MEB period;</w:t>
      </w:r>
      <w:r w:rsidRPr="00291B81">
        <w:rPr>
          <w:rFonts w:asciiTheme="minorHAnsi" w:hAnsiTheme="minorHAnsi"/>
          <w:color w:val="auto"/>
          <w:szCs w:val="24"/>
        </w:rPr>
        <w:t xml:space="preserve"> none carried attached profiles</w:t>
      </w:r>
      <w:r w:rsidR="00F574A7">
        <w:rPr>
          <w:rFonts w:asciiTheme="minorHAnsi" w:hAnsiTheme="minorHAnsi"/>
          <w:color w:val="auto"/>
          <w:szCs w:val="24"/>
        </w:rPr>
        <w:t>;</w:t>
      </w:r>
      <w:r w:rsidR="00497769" w:rsidRPr="00291B81">
        <w:rPr>
          <w:rFonts w:asciiTheme="minorHAnsi" w:hAnsiTheme="minorHAnsi"/>
          <w:color w:val="auto"/>
          <w:szCs w:val="24"/>
        </w:rPr>
        <w:t xml:space="preserve"> and none wer</w:t>
      </w:r>
      <w:r w:rsidRPr="00291B81">
        <w:rPr>
          <w:rFonts w:asciiTheme="minorHAnsi" w:hAnsiTheme="minorHAnsi"/>
          <w:color w:val="auto"/>
          <w:szCs w:val="24"/>
        </w:rPr>
        <w:t xml:space="preserve">e implicated in the </w:t>
      </w:r>
      <w:r w:rsidR="00FC2CAF">
        <w:rPr>
          <w:rFonts w:asciiTheme="minorHAnsi" w:hAnsiTheme="minorHAnsi"/>
          <w:color w:val="auto"/>
          <w:szCs w:val="24"/>
        </w:rPr>
        <w:t>c</w:t>
      </w:r>
      <w:r w:rsidRPr="00291B81">
        <w:rPr>
          <w:rFonts w:asciiTheme="minorHAnsi" w:hAnsiTheme="minorHAnsi"/>
          <w:color w:val="auto"/>
          <w:szCs w:val="24"/>
        </w:rPr>
        <w:t>ommander’s statement</w:t>
      </w:r>
      <w:r w:rsidR="00497769" w:rsidRPr="00291B81">
        <w:rPr>
          <w:rFonts w:asciiTheme="minorHAnsi" w:hAnsiTheme="minorHAnsi"/>
          <w:color w:val="auto"/>
          <w:szCs w:val="24"/>
        </w:rPr>
        <w:t xml:space="preserve">.  </w:t>
      </w:r>
      <w:r w:rsidRPr="00291B81">
        <w:rPr>
          <w:rFonts w:asciiTheme="minorHAnsi" w:hAnsiTheme="minorHAnsi"/>
          <w:color w:val="auto"/>
          <w:szCs w:val="24"/>
        </w:rPr>
        <w:t xml:space="preserve">These conditions were reviewed by the </w:t>
      </w:r>
      <w:r w:rsidR="00FC2CAF">
        <w:rPr>
          <w:rFonts w:asciiTheme="minorHAnsi" w:hAnsiTheme="minorHAnsi"/>
          <w:color w:val="auto"/>
          <w:szCs w:val="24"/>
        </w:rPr>
        <w:t>a</w:t>
      </w:r>
      <w:r w:rsidR="00497769" w:rsidRPr="00291B81">
        <w:rPr>
          <w:rFonts w:asciiTheme="minorHAnsi" w:hAnsiTheme="minorHAnsi"/>
          <w:color w:val="auto"/>
          <w:szCs w:val="24"/>
        </w:rPr>
        <w:t xml:space="preserve">ction </w:t>
      </w:r>
      <w:r w:rsidR="00FC2CAF">
        <w:rPr>
          <w:rFonts w:asciiTheme="minorHAnsi" w:hAnsiTheme="minorHAnsi"/>
          <w:color w:val="auto"/>
          <w:szCs w:val="24"/>
        </w:rPr>
        <w:t>o</w:t>
      </w:r>
      <w:r w:rsidRPr="00291B81">
        <w:rPr>
          <w:rFonts w:asciiTheme="minorHAnsi" w:hAnsiTheme="minorHAnsi"/>
          <w:color w:val="auto"/>
          <w:szCs w:val="24"/>
        </w:rPr>
        <w:t>fficer 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64296" w:rsidRPr="00664296" w:rsidRDefault="00C56FC8" w:rsidP="00C03990">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97769">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The Board did not surmise from the record or PEB ruling in this case that any prerogatives outside the VASRD were exercised.</w:t>
      </w:r>
      <w:r w:rsidR="00497769">
        <w:rPr>
          <w:rFonts w:asciiTheme="minorHAnsi" w:eastAsiaTheme="minorHAnsi" w:hAnsiTheme="minorHAnsi"/>
          <w:color w:val="auto"/>
          <w:szCs w:val="24"/>
        </w:rPr>
        <w:t xml:space="preserve"> </w:t>
      </w:r>
      <w:r w:rsidR="00CE28E4">
        <w:rPr>
          <w:rFonts w:asciiTheme="minorHAnsi" w:eastAsiaTheme="minorHAnsi" w:hAnsiTheme="minorHAnsi"/>
          <w:color w:val="auto"/>
          <w:szCs w:val="24"/>
        </w:rPr>
        <w:t xml:space="preserve"> </w:t>
      </w:r>
      <w:r w:rsidR="00CE28E4" w:rsidRPr="00664296">
        <w:rPr>
          <w:rFonts w:asciiTheme="minorHAnsi" w:hAnsiTheme="minorHAnsi"/>
          <w:color w:val="auto"/>
        </w:rPr>
        <w:t xml:space="preserve">In the matter of the </w:t>
      </w:r>
      <w:r w:rsidR="00CE28E4">
        <w:rPr>
          <w:rFonts w:asciiTheme="minorHAnsi" w:hAnsiTheme="minorHAnsi"/>
          <w:color w:val="auto"/>
        </w:rPr>
        <w:t xml:space="preserve">asthma </w:t>
      </w:r>
      <w:r w:rsidR="00CE28E4" w:rsidRPr="00664296">
        <w:rPr>
          <w:rFonts w:asciiTheme="minorHAnsi" w:hAnsiTheme="minorHAnsi"/>
          <w:color w:val="auto"/>
        </w:rPr>
        <w:t xml:space="preserve">condition, the Board </w:t>
      </w:r>
      <w:r w:rsidR="00CE28E4" w:rsidRPr="00DB3CBE">
        <w:rPr>
          <w:rFonts w:asciiTheme="minorHAnsi" w:hAnsiTheme="minorHAnsi"/>
          <w:color w:val="auto"/>
        </w:rPr>
        <w:t>unanimously</w:t>
      </w:r>
      <w:r w:rsidR="00F574A7">
        <w:rPr>
          <w:rFonts w:asciiTheme="minorHAnsi" w:hAnsiTheme="minorHAnsi"/>
          <w:color w:val="auto"/>
        </w:rPr>
        <w:t xml:space="preserve"> recommends </w:t>
      </w:r>
      <w:r w:rsidR="00CE28E4" w:rsidRPr="00664296">
        <w:rPr>
          <w:rFonts w:asciiTheme="minorHAnsi" w:hAnsiTheme="minorHAnsi"/>
          <w:color w:val="auto"/>
        </w:rPr>
        <w:t xml:space="preserve">separation rating after TDRL of </w:t>
      </w:r>
      <w:r w:rsidR="00291B81" w:rsidRPr="00DB3CBE">
        <w:rPr>
          <w:rFonts w:asciiTheme="minorHAnsi" w:hAnsiTheme="minorHAnsi"/>
          <w:color w:val="auto"/>
        </w:rPr>
        <w:t>10%</w:t>
      </w:r>
      <w:r w:rsidR="00C94F87">
        <w:rPr>
          <w:rFonts w:asciiTheme="minorHAnsi" w:hAnsiTheme="minorHAnsi"/>
          <w:color w:val="auto"/>
        </w:rPr>
        <w:t xml:space="preserve"> </w:t>
      </w:r>
      <w:r w:rsidR="00CE28E4" w:rsidRPr="00DB3CBE">
        <w:rPr>
          <w:rFonts w:asciiTheme="minorHAnsi" w:hAnsiTheme="minorHAnsi"/>
          <w:color w:val="auto"/>
        </w:rPr>
        <w:t>coded</w:t>
      </w:r>
      <w:r w:rsidR="00CE28E4" w:rsidRPr="00664296">
        <w:rPr>
          <w:rFonts w:asciiTheme="minorHAnsi" w:hAnsiTheme="minorHAnsi"/>
          <w:color w:val="auto"/>
        </w:rPr>
        <w:t xml:space="preserve"> </w:t>
      </w:r>
      <w:r w:rsidR="00CE28E4">
        <w:rPr>
          <w:rFonts w:asciiTheme="minorHAnsi" w:hAnsiTheme="minorHAnsi"/>
          <w:color w:val="auto"/>
        </w:rPr>
        <w:t>6602</w:t>
      </w:r>
      <w:r w:rsidR="00CE28E4" w:rsidRPr="00664296">
        <w:rPr>
          <w:rFonts w:asciiTheme="minorHAnsi" w:hAnsiTheme="minorHAnsi"/>
          <w:color w:val="auto"/>
        </w:rPr>
        <w:t xml:space="preserve"> IAW </w:t>
      </w:r>
      <w:r w:rsidR="00CE28E4" w:rsidRPr="00F574A7">
        <w:rPr>
          <w:rFonts w:asciiTheme="minorHAnsi" w:hAnsiTheme="minorHAnsi"/>
          <w:color w:val="auto"/>
        </w:rPr>
        <w:t>VASRD §</w:t>
      </w:r>
      <w:r w:rsidR="00CE28E4" w:rsidRPr="00F574A7">
        <w:rPr>
          <w:rFonts w:asciiTheme="minorHAnsi" w:hAnsiTheme="minorHAnsi"/>
          <w:color w:val="auto"/>
          <w:szCs w:val="24"/>
        </w:rPr>
        <w:t>4.97</w:t>
      </w:r>
      <w:r w:rsidR="00CE28E4" w:rsidRPr="00F574A7">
        <w:rPr>
          <w:rFonts w:asciiTheme="minorHAnsi" w:hAnsiTheme="minorHAnsi"/>
          <w:color w:val="auto"/>
        </w:rPr>
        <w:t>.</w:t>
      </w:r>
      <w:r w:rsidR="00291B81" w:rsidRPr="00F574A7">
        <w:rPr>
          <w:rFonts w:asciiTheme="minorHAnsi" w:hAnsiTheme="minorHAnsi"/>
          <w:color w:val="auto"/>
        </w:rPr>
        <w:t xml:space="preserve">  </w:t>
      </w:r>
      <w:r w:rsidR="00291B81" w:rsidRPr="00F574A7">
        <w:rPr>
          <w:rFonts w:asciiTheme="minorHAnsi" w:hAnsiTheme="minorHAnsi"/>
          <w:color w:val="auto"/>
          <w:szCs w:val="24"/>
        </w:rPr>
        <w:t>In the</w:t>
      </w:r>
      <w:r w:rsidR="00291B81" w:rsidRPr="00664296">
        <w:rPr>
          <w:rFonts w:asciiTheme="minorHAnsi" w:hAnsiTheme="minorHAnsi"/>
          <w:color w:val="auto"/>
          <w:szCs w:val="24"/>
        </w:rPr>
        <w:t xml:space="preserve"> matter of the </w:t>
      </w:r>
      <w:r w:rsidR="00291B81">
        <w:rPr>
          <w:rFonts w:asciiTheme="minorHAnsi" w:hAnsiTheme="minorHAnsi"/>
          <w:color w:val="auto"/>
          <w:szCs w:val="24"/>
        </w:rPr>
        <w:t xml:space="preserve">PTSD, depression, </w:t>
      </w:r>
      <w:r w:rsidR="00291B81" w:rsidRPr="00291B81">
        <w:rPr>
          <w:rFonts w:asciiTheme="minorHAnsi" w:hAnsiTheme="minorHAnsi"/>
          <w:color w:val="auto"/>
          <w:szCs w:val="24"/>
        </w:rPr>
        <w:t xml:space="preserve">seborrheic dermatitis, </w:t>
      </w:r>
      <w:r w:rsidR="00291B81" w:rsidRPr="00664296">
        <w:rPr>
          <w:rFonts w:asciiTheme="minorHAnsi" w:hAnsiTheme="minorHAnsi"/>
          <w:color w:val="auto"/>
          <w:szCs w:val="24"/>
        </w:rPr>
        <w:t>or any other medical conditions eligible for Board consideration</w:t>
      </w:r>
      <w:r w:rsidR="00C013EE">
        <w:rPr>
          <w:rFonts w:asciiTheme="minorHAnsi" w:hAnsiTheme="minorHAnsi"/>
          <w:color w:val="auto"/>
          <w:szCs w:val="24"/>
        </w:rPr>
        <w:t>,</w:t>
      </w:r>
      <w:r w:rsidR="00291B81" w:rsidRPr="00664296">
        <w:rPr>
          <w:rFonts w:asciiTheme="minorHAnsi" w:hAnsiTheme="minorHAnsi"/>
          <w:color w:val="auto"/>
          <w:szCs w:val="24"/>
        </w:rPr>
        <w:t xml:space="preserve"> the </w:t>
      </w:r>
      <w:r w:rsidR="00291B81" w:rsidRPr="00DB3CBE">
        <w:rPr>
          <w:rFonts w:asciiTheme="minorHAnsi" w:hAnsiTheme="minorHAnsi"/>
          <w:color w:val="auto"/>
          <w:szCs w:val="24"/>
        </w:rPr>
        <w:t xml:space="preserve">Board unanimously </w:t>
      </w:r>
      <w:r w:rsidR="00291B81" w:rsidRPr="00664296">
        <w:rPr>
          <w:rFonts w:asciiTheme="minorHAnsi" w:hAnsiTheme="minorHAnsi"/>
          <w:color w:val="auto"/>
          <w:szCs w:val="24"/>
        </w:rPr>
        <w:t>agrees that it cannot</w:t>
      </w:r>
      <w:r w:rsidR="00291B81" w:rsidRPr="00664296">
        <w:rPr>
          <w:rFonts w:asciiTheme="minorHAnsi" w:hAnsiTheme="minorHAnsi"/>
          <w:color w:val="000080"/>
          <w:szCs w:val="24"/>
        </w:rPr>
        <w:t xml:space="preserve"> </w:t>
      </w:r>
      <w:r w:rsidR="00291B81" w:rsidRPr="00664296">
        <w:rPr>
          <w:rFonts w:asciiTheme="minorHAnsi" w:hAnsiTheme="minorHAnsi"/>
          <w:color w:val="auto"/>
          <w:szCs w:val="24"/>
        </w:rPr>
        <w:t>recommend any findings of unfit for additional rating at separation.</w:t>
      </w:r>
      <w:r w:rsidR="00291B81">
        <w:rPr>
          <w:rFonts w:asciiTheme="minorHAnsi" w:hAnsiTheme="minorHAnsi"/>
          <w:color w:val="auto"/>
          <w:szCs w:val="24"/>
        </w:rPr>
        <w:t xml:space="preserve">  </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6B4AA2" w:rsidRPr="00DB3CBE" w:rsidRDefault="00C56FC8" w:rsidP="00C03990">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DB3CBE">
        <w:rPr>
          <w:rFonts w:asciiTheme="minorHAnsi" w:hAnsiTheme="minorHAnsi"/>
          <w:color w:val="auto"/>
          <w:szCs w:val="24"/>
        </w:rPr>
        <w:t>:</w:t>
      </w:r>
      <w:r w:rsidRPr="00DB3CBE">
        <w:rPr>
          <w:rFonts w:asciiTheme="minorHAnsi" w:hAnsiTheme="minorHAnsi"/>
          <w:color w:val="000080"/>
          <w:szCs w:val="24"/>
        </w:rPr>
        <w:t xml:space="preserve"> </w:t>
      </w:r>
      <w:r w:rsidR="00DB3CBE" w:rsidRPr="00DB3CBE">
        <w:rPr>
          <w:rFonts w:asciiTheme="minorHAnsi" w:hAnsiTheme="minorHAnsi"/>
          <w:color w:val="auto"/>
        </w:rPr>
        <w:t xml:space="preserve"> </w:t>
      </w:r>
      <w:r w:rsidRPr="00DB3CBE">
        <w:rPr>
          <w:rFonts w:asciiTheme="minorHAnsi" w:hAnsiTheme="minorHAnsi"/>
          <w:color w:val="auto"/>
          <w:szCs w:val="24"/>
        </w:rPr>
        <w:t>The Board</w:t>
      </w:r>
      <w:r w:rsidR="006A543A" w:rsidRPr="00DB3CBE">
        <w:rPr>
          <w:rFonts w:asciiTheme="minorHAnsi" w:hAnsiTheme="minorHAnsi"/>
          <w:color w:val="auto"/>
          <w:szCs w:val="24"/>
        </w:rPr>
        <w:t>,</w:t>
      </w:r>
      <w:r w:rsidRPr="00DB3CBE">
        <w:rPr>
          <w:rFonts w:asciiTheme="minorHAnsi" w:hAnsiTheme="minorHAnsi"/>
          <w:color w:val="auto"/>
          <w:szCs w:val="24"/>
        </w:rPr>
        <w:t xml:space="preserve"> therefore</w:t>
      </w:r>
      <w:r w:rsidR="006A543A" w:rsidRPr="00DB3CBE">
        <w:rPr>
          <w:rFonts w:asciiTheme="minorHAnsi" w:hAnsiTheme="minorHAnsi"/>
          <w:color w:val="auto"/>
          <w:szCs w:val="24"/>
        </w:rPr>
        <w:t>,</w:t>
      </w:r>
      <w:r w:rsidRPr="00DB3CBE">
        <w:rPr>
          <w:rFonts w:asciiTheme="minorHAnsi" w:hAnsiTheme="minorHAnsi"/>
          <w:color w:val="auto"/>
          <w:szCs w:val="24"/>
        </w:rPr>
        <w:t xml:space="preserve"> recommends that there be no recharacterization of the CI’s disability and separation determination</w:t>
      </w:r>
      <w:r w:rsidR="008C3FD0" w:rsidRPr="00DB3CBE">
        <w:rPr>
          <w:rFonts w:asciiTheme="minorHAnsi" w:hAnsiTheme="minorHAnsi"/>
          <w:color w:val="auto"/>
          <w:szCs w:val="24"/>
        </w:rPr>
        <w:t>,</w:t>
      </w:r>
      <w:r w:rsidR="00BD2A49" w:rsidRPr="00DB3CBE">
        <w:rPr>
          <w:rFonts w:asciiTheme="minorHAnsi" w:hAnsiTheme="minorHAnsi"/>
          <w:color w:val="auto"/>
          <w:szCs w:val="24"/>
        </w:rPr>
        <w:t xml:space="preserve"> as follows:</w:t>
      </w:r>
      <w:r w:rsidR="003604A5">
        <w:rPr>
          <w:rFonts w:asciiTheme="minorHAnsi" w:hAnsiTheme="minorHAnsi"/>
          <w:color w:val="auto"/>
          <w:szCs w:val="24"/>
        </w:rPr>
        <w:t xml:space="preserve"> </w:t>
      </w:r>
    </w:p>
    <w:p w:rsidR="00DB0015" w:rsidRPr="00AF01B2" w:rsidRDefault="00DB0015"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AF01B2" w:rsidTr="00EF6C4A">
        <w:trPr>
          <w:jc w:val="center"/>
        </w:trPr>
        <w:tc>
          <w:tcPr>
            <w:tcW w:w="495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TDRL RATING</w:t>
            </w:r>
          </w:p>
        </w:tc>
        <w:tc>
          <w:tcPr>
            <w:tcW w:w="1530" w:type="dxa"/>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DB0015" w:rsidRPr="00AF01B2" w:rsidTr="00EF6C4A">
        <w:trPr>
          <w:trHeight w:val="188"/>
          <w:jc w:val="center"/>
        </w:trPr>
        <w:tc>
          <w:tcPr>
            <w:tcW w:w="4950" w:type="dxa"/>
            <w:vAlign w:val="center"/>
          </w:tcPr>
          <w:p w:rsidR="00DB0015" w:rsidRPr="00AF01B2" w:rsidRDefault="00C03990" w:rsidP="00E80386">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Asthma</w:t>
            </w:r>
          </w:p>
        </w:tc>
        <w:tc>
          <w:tcPr>
            <w:tcW w:w="1710" w:type="dxa"/>
            <w:tcBorders>
              <w:bottom w:val="single" w:sz="4" w:space="0" w:color="000000"/>
            </w:tcBorders>
            <w:vAlign w:val="center"/>
          </w:tcPr>
          <w:p w:rsidR="00DB0015" w:rsidRPr="00AF01B2" w:rsidRDefault="00C03990" w:rsidP="00EF6C4A">
            <w:pPr>
              <w:tabs>
                <w:tab w:val="left" w:pos="288"/>
                <w:tab w:val="left" w:pos="4752"/>
              </w:tabs>
              <w:spacing w:line="240" w:lineRule="exact"/>
              <w:jc w:val="center"/>
              <w:rPr>
                <w:rFonts w:asciiTheme="minorHAnsi" w:hAnsiTheme="minorHAnsi"/>
                <w:color w:val="auto"/>
                <w:szCs w:val="24"/>
              </w:rPr>
            </w:pPr>
            <w:r w:rsidRPr="00F574A7">
              <w:rPr>
                <w:rFonts w:asciiTheme="minorHAnsi" w:hAnsiTheme="minorHAnsi"/>
                <w:color w:val="auto"/>
                <w:szCs w:val="24"/>
              </w:rPr>
              <w:t>6602</w:t>
            </w:r>
          </w:p>
        </w:tc>
        <w:tc>
          <w:tcPr>
            <w:tcW w:w="1170" w:type="dxa"/>
            <w:tcBorders>
              <w:bottom w:val="single" w:sz="4" w:space="0" w:color="000000"/>
            </w:tcBorders>
            <w:vAlign w:val="center"/>
          </w:tcPr>
          <w:p w:rsidR="00DB0015" w:rsidRPr="00AF01B2" w:rsidRDefault="00C03990"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00DB0015" w:rsidRPr="00AF01B2">
              <w:rPr>
                <w:rFonts w:asciiTheme="minorHAnsi" w:hAnsiTheme="minorHAnsi"/>
                <w:color w:val="auto"/>
                <w:szCs w:val="24"/>
              </w:rPr>
              <w:t>0%</w:t>
            </w:r>
          </w:p>
        </w:tc>
        <w:tc>
          <w:tcPr>
            <w:tcW w:w="1530" w:type="dxa"/>
            <w:tcBorders>
              <w:bottom w:val="single" w:sz="4" w:space="0" w:color="000000"/>
            </w:tcBorders>
            <w:vAlign w:val="center"/>
          </w:tcPr>
          <w:p w:rsidR="00DB0015" w:rsidRPr="00DB3CBE" w:rsidRDefault="00C03990" w:rsidP="00DB3CBE">
            <w:pPr>
              <w:tabs>
                <w:tab w:val="left" w:pos="288"/>
                <w:tab w:val="left" w:pos="4752"/>
              </w:tabs>
              <w:spacing w:line="240" w:lineRule="exact"/>
              <w:jc w:val="center"/>
              <w:rPr>
                <w:rFonts w:asciiTheme="minorHAnsi" w:hAnsiTheme="minorHAnsi"/>
                <w:color w:val="auto"/>
                <w:szCs w:val="24"/>
              </w:rPr>
            </w:pPr>
            <w:r w:rsidRPr="00DB3CBE">
              <w:rPr>
                <w:rFonts w:asciiTheme="minorHAnsi" w:hAnsiTheme="minorHAnsi"/>
                <w:color w:val="auto"/>
                <w:szCs w:val="24"/>
              </w:rPr>
              <w:t>10</w:t>
            </w:r>
            <w:r w:rsidR="00DB0015" w:rsidRPr="00DB3CBE">
              <w:rPr>
                <w:rFonts w:asciiTheme="minorHAnsi" w:hAnsiTheme="minorHAnsi"/>
                <w:color w:val="auto"/>
                <w:szCs w:val="24"/>
              </w:rPr>
              <w:t>%</w:t>
            </w:r>
          </w:p>
        </w:tc>
      </w:tr>
      <w:tr w:rsidR="00DB0015" w:rsidRPr="00AF01B2"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DB0015" w:rsidRPr="00AF01B2" w:rsidRDefault="00C03990" w:rsidP="00EF6C4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007E71B1" w:rsidRPr="00AF01B2">
              <w:rPr>
                <w:rFonts w:asciiTheme="minorHAnsi" w:hAnsiTheme="minorHAnsi"/>
                <w:b/>
                <w:color w:val="auto"/>
                <w:szCs w:val="24"/>
              </w:rPr>
              <w:t>0</w:t>
            </w:r>
            <w:r w:rsidR="00DB0015" w:rsidRPr="00AF01B2">
              <w:rPr>
                <w:rFonts w:asciiTheme="minorHAnsi" w:hAnsiTheme="minorHAnsi"/>
                <w:b/>
                <w:color w:val="auto"/>
                <w:szCs w:val="24"/>
              </w:rPr>
              <w:t>%</w:t>
            </w:r>
          </w:p>
        </w:tc>
        <w:tc>
          <w:tcPr>
            <w:tcW w:w="1530" w:type="dxa"/>
            <w:shd w:val="pct15" w:color="auto" w:fill="auto"/>
            <w:vAlign w:val="center"/>
          </w:tcPr>
          <w:p w:rsidR="00DB0015" w:rsidRPr="00DB3CBE" w:rsidRDefault="00C03990" w:rsidP="00DB3CBE">
            <w:pPr>
              <w:tabs>
                <w:tab w:val="left" w:pos="288"/>
                <w:tab w:val="left" w:pos="4752"/>
              </w:tabs>
              <w:spacing w:line="240" w:lineRule="exact"/>
              <w:jc w:val="center"/>
              <w:rPr>
                <w:rFonts w:asciiTheme="minorHAnsi" w:hAnsiTheme="minorHAnsi"/>
                <w:b/>
                <w:color w:val="auto"/>
                <w:szCs w:val="24"/>
              </w:rPr>
            </w:pPr>
            <w:r w:rsidRPr="00DB3CBE">
              <w:rPr>
                <w:rFonts w:asciiTheme="minorHAnsi" w:hAnsiTheme="minorHAnsi"/>
                <w:b/>
                <w:color w:val="auto"/>
                <w:szCs w:val="24"/>
              </w:rPr>
              <w:t>1</w:t>
            </w:r>
            <w:r w:rsidR="007E71B1" w:rsidRPr="00DB3CBE">
              <w:rPr>
                <w:rFonts w:asciiTheme="minorHAnsi" w:hAnsiTheme="minorHAnsi"/>
                <w:b/>
                <w:color w:val="auto"/>
                <w:szCs w:val="24"/>
              </w:rPr>
              <w:t>0</w:t>
            </w:r>
            <w:r w:rsidR="00DB0015" w:rsidRPr="00DB3CBE">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B70A19">
        <w:rPr>
          <w:rFonts w:asciiTheme="minorHAnsi" w:hAnsiTheme="minorHAnsi"/>
          <w:color w:val="auto"/>
        </w:rPr>
        <w:t>1</w:t>
      </w:r>
      <w:r w:rsidR="007E59E3">
        <w:rPr>
          <w:rFonts w:asciiTheme="minorHAnsi" w:hAnsiTheme="minorHAnsi"/>
          <w:color w:val="auto"/>
        </w:rPr>
        <w:t>0</w:t>
      </w:r>
      <w:r w:rsidR="00B70A19">
        <w:rPr>
          <w:rFonts w:asciiTheme="minorHAnsi" w:hAnsiTheme="minorHAnsi"/>
          <w:color w:val="auto"/>
        </w:rPr>
        <w:t>0924</w:t>
      </w:r>
      <w:r w:rsidR="00FC2CAF">
        <w:rPr>
          <w:rFonts w:asciiTheme="minorHAnsi" w:hAnsiTheme="minorHAnsi"/>
          <w:color w:val="auto"/>
        </w:rPr>
        <w:t>, w/</w:t>
      </w:r>
      <w:proofErr w:type="spellStart"/>
      <w:r w:rsidR="00FC2CAF">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FC2CAF">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FC2CAF">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458D5" w:rsidRDefault="00FB1725" w:rsidP="001458D5">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1458D5" w:rsidRDefault="001458D5">
      <w:pPr>
        <w:rPr>
          <w:rFonts w:asciiTheme="minorHAnsi" w:hAnsiTheme="minorHAnsi"/>
          <w:color w:val="auto"/>
        </w:rPr>
      </w:pPr>
      <w:r>
        <w:rPr>
          <w:rFonts w:asciiTheme="minorHAnsi" w:hAnsiTheme="minorHAnsi"/>
          <w:color w:val="auto"/>
        </w:rPr>
        <w:br w:type="page"/>
      </w:r>
    </w:p>
    <w:p w:rsidR="00664296" w:rsidRPr="00DB3CBE" w:rsidRDefault="00664296" w:rsidP="001458D5">
      <w:pPr>
        <w:tabs>
          <w:tab w:val="left" w:pos="0"/>
          <w:tab w:val="left" w:pos="4320"/>
        </w:tabs>
        <w:spacing w:line="240" w:lineRule="exact"/>
        <w:jc w:val="both"/>
        <w:rPr>
          <w:rFonts w:asciiTheme="minorHAnsi" w:hAnsiTheme="minorHAnsi"/>
          <w:color w:val="auto"/>
        </w:rPr>
      </w:pPr>
    </w:p>
    <w:p w:rsidR="00AF3B4C" w:rsidRDefault="00C1170C" w:rsidP="00510F9C">
      <w:pPr>
        <w:spacing w:line="240" w:lineRule="exact"/>
        <w:rPr>
          <w:rFonts w:ascii="Times New Roman" w:hAnsi="Times New Roman"/>
          <w:b/>
          <w:color w:val="auto"/>
          <w:szCs w:val="24"/>
        </w:rPr>
      </w:pPr>
      <w:r w:rsidRPr="00BD6B15">
        <w:rPr>
          <w:rFonts w:ascii="Times New Roman" w:hAnsi="Times New Roman"/>
          <w:b/>
          <w:color w:val="auto"/>
          <w:szCs w:val="24"/>
        </w:rPr>
        <w:object w:dxaOrig="10073" w:dyaOrig="9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479.5pt" o:ole="">
            <v:imagedata r:id="rId8" o:title=""/>
          </v:shape>
          <o:OLEObject Type="Embed" ProgID="Word.Document.12" ShapeID="_x0000_i1025" DrawAspect="Content" ObjectID="_1390717947" r:id="rId9">
            <o:FieldCodes>\s</o:FieldCodes>
          </o:OLEObject>
        </w:object>
      </w:r>
      <w:r w:rsidR="007C08B2">
        <w:rPr>
          <w:rFonts w:ascii="Times New Roman" w:hAnsi="Times New Roman"/>
          <w:b/>
          <w:noProof/>
          <w:color w:val="auto"/>
          <w:szCs w:val="24"/>
        </w:rPr>
        <w:drawing>
          <wp:anchor distT="0" distB="0" distL="114300" distR="114300" simplePos="0" relativeHeight="251658240" behindDoc="0" locked="0" layoutInCell="1" allowOverlap="1">
            <wp:simplePos x="933450" y="-7268817"/>
            <wp:positionH relativeFrom="margin">
              <wp:align>left</wp:align>
            </wp:positionH>
            <wp:positionV relativeFrom="margin">
              <wp:align>top</wp:align>
            </wp:positionV>
            <wp:extent cx="5944428" cy="773926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4428" cy="7739269"/>
                    </a:xfrm>
                    <a:prstGeom prst="rect">
                      <a:avLst/>
                    </a:prstGeom>
                    <a:noFill/>
                    <a:ln w="9525">
                      <a:noFill/>
                      <a:miter lim="800000"/>
                      <a:headEnd/>
                      <a:tailEnd/>
                    </a:ln>
                  </pic:spPr>
                </pic:pic>
              </a:graphicData>
            </a:graphic>
          </wp:anchor>
        </w:drawing>
      </w:r>
    </w:p>
    <w:sectPr w:rsidR="00AF3B4C" w:rsidSect="002A5C3C">
      <w:footerReference w:type="defaul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143" w:rsidRDefault="00C24143">
      <w:r>
        <w:separator/>
      </w:r>
    </w:p>
  </w:endnote>
  <w:endnote w:type="continuationSeparator" w:id="0">
    <w:p w:rsidR="00C24143" w:rsidRDefault="00C24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C6895" w:rsidRPr="00684CE6" w:rsidRDefault="00BD6B15" w:rsidP="00F65ED5">
        <w:pPr>
          <w:pStyle w:val="Footer"/>
          <w:jc w:val="right"/>
          <w:rPr>
            <w:color w:val="auto"/>
          </w:rPr>
        </w:pPr>
        <w:r w:rsidRPr="00684CE6">
          <w:rPr>
            <w:color w:val="auto"/>
          </w:rPr>
          <w:fldChar w:fldCharType="begin"/>
        </w:r>
        <w:r w:rsidR="003C6895" w:rsidRPr="00684CE6">
          <w:rPr>
            <w:color w:val="auto"/>
          </w:rPr>
          <w:instrText xml:space="preserve"> PAGE   \* MERGEFORMAT </w:instrText>
        </w:r>
        <w:r w:rsidRPr="00684CE6">
          <w:rPr>
            <w:color w:val="auto"/>
          </w:rPr>
          <w:fldChar w:fldCharType="separate"/>
        </w:r>
        <w:r w:rsidR="007C08B2">
          <w:rPr>
            <w:noProof/>
            <w:color w:val="auto"/>
          </w:rPr>
          <w:t>5</w:t>
        </w:r>
        <w:r w:rsidRPr="00684CE6">
          <w:rPr>
            <w:color w:val="auto"/>
          </w:rPr>
          <w:fldChar w:fldCharType="end"/>
        </w:r>
        <w:r w:rsidR="003C6895" w:rsidRPr="00684CE6">
          <w:rPr>
            <w:color w:val="auto"/>
          </w:rPr>
          <w:t xml:space="preserve">                                                           </w:t>
        </w:r>
        <w:r w:rsidR="003C6895" w:rsidRPr="00FD6C41">
          <w:rPr>
            <w:rFonts w:asciiTheme="minorHAnsi" w:hAnsiTheme="minorHAnsi"/>
            <w:caps/>
            <w:color w:val="auto"/>
          </w:rPr>
          <w:t>PD</w:t>
        </w:r>
        <w:r w:rsidR="003C6895">
          <w:rPr>
            <w:rFonts w:asciiTheme="minorHAnsi" w:hAnsiTheme="minorHAnsi"/>
            <w:caps/>
            <w:color w:val="auto"/>
          </w:rPr>
          <w:t>1001171</w:t>
        </w:r>
      </w:p>
    </w:sdtContent>
  </w:sdt>
  <w:p w:rsidR="003C6895" w:rsidRPr="00684CE6" w:rsidRDefault="003C689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143" w:rsidRDefault="00C24143">
      <w:r>
        <w:separator/>
      </w:r>
    </w:p>
  </w:footnote>
  <w:footnote w:type="continuationSeparator" w:id="0">
    <w:p w:rsidR="00C24143" w:rsidRDefault="00C24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69D"/>
    <w:multiLevelType w:val="multilevel"/>
    <w:tmpl w:val="72D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2418D"/>
    <w:multiLevelType w:val="multilevel"/>
    <w:tmpl w:val="12C4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530EF"/>
    <w:multiLevelType w:val="multilevel"/>
    <w:tmpl w:val="1CD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8"/>
  </w:num>
  <w:num w:numId="5">
    <w:abstractNumId w:val="5"/>
  </w:num>
  <w:num w:numId="6">
    <w:abstractNumId w:val="10"/>
  </w:num>
  <w:num w:numId="7">
    <w:abstractNumId w:val="1"/>
  </w:num>
  <w:num w:numId="8">
    <w:abstractNumId w:val="7"/>
  </w:num>
  <w:num w:numId="9">
    <w:abstractNumId w:val="17"/>
  </w:num>
  <w:num w:numId="10">
    <w:abstractNumId w:val="12"/>
  </w:num>
  <w:num w:numId="11">
    <w:abstractNumId w:val="6"/>
  </w:num>
  <w:num w:numId="12">
    <w:abstractNumId w:val="15"/>
  </w:num>
  <w:num w:numId="13">
    <w:abstractNumId w:val="9"/>
  </w:num>
  <w:num w:numId="14">
    <w:abstractNumId w:val="16"/>
  </w:num>
  <w:num w:numId="15">
    <w:abstractNumId w:val="21"/>
  </w:num>
  <w:num w:numId="16">
    <w:abstractNumId w:val="2"/>
  </w:num>
  <w:num w:numId="17">
    <w:abstractNumId w:val="18"/>
  </w:num>
  <w:num w:numId="18">
    <w:abstractNumId w:val="11"/>
  </w:num>
  <w:num w:numId="19">
    <w:abstractNumId w:val="14"/>
  </w:num>
  <w:num w:numId="20">
    <w:abstractNumId w:val="3"/>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0097"/>
  </w:hdrShapeDefaults>
  <w:footnotePr>
    <w:numRestart w:val="eachSect"/>
    <w:footnote w:id="-1"/>
    <w:footnote w:id="0"/>
  </w:footnotePr>
  <w:endnotePr>
    <w:endnote w:id="-1"/>
    <w:endnote w:id="0"/>
  </w:endnotePr>
  <w:compat/>
  <w:rsids>
    <w:rsidRoot w:val="001C28D1"/>
    <w:rsid w:val="00002356"/>
    <w:rsid w:val="000024F5"/>
    <w:rsid w:val="000042A0"/>
    <w:rsid w:val="000042F2"/>
    <w:rsid w:val="000059FA"/>
    <w:rsid w:val="00006186"/>
    <w:rsid w:val="00006F87"/>
    <w:rsid w:val="00007107"/>
    <w:rsid w:val="00010ABA"/>
    <w:rsid w:val="00010B0F"/>
    <w:rsid w:val="00012428"/>
    <w:rsid w:val="00012733"/>
    <w:rsid w:val="00013417"/>
    <w:rsid w:val="000145C2"/>
    <w:rsid w:val="0001473F"/>
    <w:rsid w:val="00014A9E"/>
    <w:rsid w:val="00020784"/>
    <w:rsid w:val="00021361"/>
    <w:rsid w:val="00021D4B"/>
    <w:rsid w:val="00022CCD"/>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26C"/>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14EF"/>
    <w:rsid w:val="00072433"/>
    <w:rsid w:val="0007488B"/>
    <w:rsid w:val="00075702"/>
    <w:rsid w:val="00075A0C"/>
    <w:rsid w:val="000775C2"/>
    <w:rsid w:val="000806AD"/>
    <w:rsid w:val="00080BDF"/>
    <w:rsid w:val="00082482"/>
    <w:rsid w:val="00084CF2"/>
    <w:rsid w:val="00085D7B"/>
    <w:rsid w:val="0008708B"/>
    <w:rsid w:val="00092619"/>
    <w:rsid w:val="00092C66"/>
    <w:rsid w:val="00093266"/>
    <w:rsid w:val="00093C91"/>
    <w:rsid w:val="000949DD"/>
    <w:rsid w:val="00094E4F"/>
    <w:rsid w:val="000962E2"/>
    <w:rsid w:val="000A2BCE"/>
    <w:rsid w:val="000A33C8"/>
    <w:rsid w:val="000A41E3"/>
    <w:rsid w:val="000A4BBA"/>
    <w:rsid w:val="000A5071"/>
    <w:rsid w:val="000B0AD2"/>
    <w:rsid w:val="000B1020"/>
    <w:rsid w:val="000B1022"/>
    <w:rsid w:val="000B2FB8"/>
    <w:rsid w:val="000B4C99"/>
    <w:rsid w:val="000B5051"/>
    <w:rsid w:val="000C06F6"/>
    <w:rsid w:val="000C1802"/>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BF3"/>
    <w:rsid w:val="000D7D55"/>
    <w:rsid w:val="000E0993"/>
    <w:rsid w:val="000E2091"/>
    <w:rsid w:val="000E2E50"/>
    <w:rsid w:val="000E37E0"/>
    <w:rsid w:val="000E3F20"/>
    <w:rsid w:val="000E4CBF"/>
    <w:rsid w:val="000E5577"/>
    <w:rsid w:val="000E7034"/>
    <w:rsid w:val="000F02BE"/>
    <w:rsid w:val="000F0928"/>
    <w:rsid w:val="000F0BD1"/>
    <w:rsid w:val="000F427B"/>
    <w:rsid w:val="000F43D0"/>
    <w:rsid w:val="000F4F18"/>
    <w:rsid w:val="000F56EE"/>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1"/>
    <w:rsid w:val="00135385"/>
    <w:rsid w:val="001364D1"/>
    <w:rsid w:val="001374C7"/>
    <w:rsid w:val="001421FD"/>
    <w:rsid w:val="001425C8"/>
    <w:rsid w:val="00142EBA"/>
    <w:rsid w:val="00143393"/>
    <w:rsid w:val="00143B79"/>
    <w:rsid w:val="001458D5"/>
    <w:rsid w:val="00145965"/>
    <w:rsid w:val="00150A7C"/>
    <w:rsid w:val="00150B8A"/>
    <w:rsid w:val="00150DCB"/>
    <w:rsid w:val="00151912"/>
    <w:rsid w:val="00153740"/>
    <w:rsid w:val="00153D88"/>
    <w:rsid w:val="001541C5"/>
    <w:rsid w:val="0015623F"/>
    <w:rsid w:val="00156585"/>
    <w:rsid w:val="00156BA9"/>
    <w:rsid w:val="00161642"/>
    <w:rsid w:val="00161761"/>
    <w:rsid w:val="00162E08"/>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580"/>
    <w:rsid w:val="00193814"/>
    <w:rsid w:val="00193AAB"/>
    <w:rsid w:val="00193AD5"/>
    <w:rsid w:val="00194930"/>
    <w:rsid w:val="00195AAC"/>
    <w:rsid w:val="001969FE"/>
    <w:rsid w:val="001A025E"/>
    <w:rsid w:val="001A08CD"/>
    <w:rsid w:val="001A0A1E"/>
    <w:rsid w:val="001A2182"/>
    <w:rsid w:val="001A323E"/>
    <w:rsid w:val="001A5320"/>
    <w:rsid w:val="001A5E62"/>
    <w:rsid w:val="001A6848"/>
    <w:rsid w:val="001A7538"/>
    <w:rsid w:val="001B06FB"/>
    <w:rsid w:val="001B0732"/>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043F"/>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4B1"/>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0EF4"/>
    <w:rsid w:val="0024174E"/>
    <w:rsid w:val="00242238"/>
    <w:rsid w:val="0024227D"/>
    <w:rsid w:val="00242D14"/>
    <w:rsid w:val="002432F4"/>
    <w:rsid w:val="00246860"/>
    <w:rsid w:val="002468D9"/>
    <w:rsid w:val="00246DFF"/>
    <w:rsid w:val="00246E89"/>
    <w:rsid w:val="0025183C"/>
    <w:rsid w:val="00252351"/>
    <w:rsid w:val="002528EC"/>
    <w:rsid w:val="00253EAA"/>
    <w:rsid w:val="002545BD"/>
    <w:rsid w:val="00255049"/>
    <w:rsid w:val="00257AFF"/>
    <w:rsid w:val="00257DE5"/>
    <w:rsid w:val="00260046"/>
    <w:rsid w:val="00260531"/>
    <w:rsid w:val="00260B9A"/>
    <w:rsid w:val="00262EA5"/>
    <w:rsid w:val="0026318D"/>
    <w:rsid w:val="00264148"/>
    <w:rsid w:val="002658FD"/>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1B81"/>
    <w:rsid w:val="00292397"/>
    <w:rsid w:val="00292AB2"/>
    <w:rsid w:val="00293DB6"/>
    <w:rsid w:val="00293FE8"/>
    <w:rsid w:val="00294437"/>
    <w:rsid w:val="0029541F"/>
    <w:rsid w:val="00297A45"/>
    <w:rsid w:val="00297E20"/>
    <w:rsid w:val="002A233F"/>
    <w:rsid w:val="002A3237"/>
    <w:rsid w:val="002A4119"/>
    <w:rsid w:val="002A58B7"/>
    <w:rsid w:val="002A5943"/>
    <w:rsid w:val="002A5C3C"/>
    <w:rsid w:val="002A685E"/>
    <w:rsid w:val="002A6936"/>
    <w:rsid w:val="002A72C7"/>
    <w:rsid w:val="002B0204"/>
    <w:rsid w:val="002B03B2"/>
    <w:rsid w:val="002B0749"/>
    <w:rsid w:val="002B10FA"/>
    <w:rsid w:val="002B2645"/>
    <w:rsid w:val="002B303A"/>
    <w:rsid w:val="002B32E9"/>
    <w:rsid w:val="002B4E22"/>
    <w:rsid w:val="002B6FA0"/>
    <w:rsid w:val="002B7645"/>
    <w:rsid w:val="002B7AF5"/>
    <w:rsid w:val="002C0DEA"/>
    <w:rsid w:val="002C11F7"/>
    <w:rsid w:val="002C34F6"/>
    <w:rsid w:val="002C3B6D"/>
    <w:rsid w:val="002C492D"/>
    <w:rsid w:val="002C5D9D"/>
    <w:rsid w:val="002C5F10"/>
    <w:rsid w:val="002C6E5B"/>
    <w:rsid w:val="002D08F3"/>
    <w:rsid w:val="002D18B4"/>
    <w:rsid w:val="002D231A"/>
    <w:rsid w:val="002D33F3"/>
    <w:rsid w:val="002D5330"/>
    <w:rsid w:val="002D5F57"/>
    <w:rsid w:val="002D73D4"/>
    <w:rsid w:val="002D7787"/>
    <w:rsid w:val="002E1877"/>
    <w:rsid w:val="002E1C31"/>
    <w:rsid w:val="002E2E0F"/>
    <w:rsid w:val="002E3108"/>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68F"/>
    <w:rsid w:val="002F7F81"/>
    <w:rsid w:val="003002BC"/>
    <w:rsid w:val="00300A36"/>
    <w:rsid w:val="00301B45"/>
    <w:rsid w:val="00304E30"/>
    <w:rsid w:val="00305856"/>
    <w:rsid w:val="0030666A"/>
    <w:rsid w:val="0030678B"/>
    <w:rsid w:val="00306D16"/>
    <w:rsid w:val="00307595"/>
    <w:rsid w:val="00310CD7"/>
    <w:rsid w:val="00310F76"/>
    <w:rsid w:val="00313D7A"/>
    <w:rsid w:val="003156DF"/>
    <w:rsid w:val="00320363"/>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37BFF"/>
    <w:rsid w:val="00341A54"/>
    <w:rsid w:val="00344A4F"/>
    <w:rsid w:val="00344D17"/>
    <w:rsid w:val="0034669F"/>
    <w:rsid w:val="00350428"/>
    <w:rsid w:val="0035098C"/>
    <w:rsid w:val="00351498"/>
    <w:rsid w:val="00352B22"/>
    <w:rsid w:val="00352CBF"/>
    <w:rsid w:val="00354547"/>
    <w:rsid w:val="003549F5"/>
    <w:rsid w:val="003567DE"/>
    <w:rsid w:val="003574F3"/>
    <w:rsid w:val="00357831"/>
    <w:rsid w:val="00357AF0"/>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860"/>
    <w:rsid w:val="00386D43"/>
    <w:rsid w:val="00387095"/>
    <w:rsid w:val="00387E95"/>
    <w:rsid w:val="00390092"/>
    <w:rsid w:val="00391858"/>
    <w:rsid w:val="00391E4D"/>
    <w:rsid w:val="00393651"/>
    <w:rsid w:val="00394926"/>
    <w:rsid w:val="00394FF9"/>
    <w:rsid w:val="00395651"/>
    <w:rsid w:val="00395E12"/>
    <w:rsid w:val="003962A8"/>
    <w:rsid w:val="00396779"/>
    <w:rsid w:val="00397DB7"/>
    <w:rsid w:val="003A27B2"/>
    <w:rsid w:val="003A2E28"/>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2DA0"/>
    <w:rsid w:val="003C4841"/>
    <w:rsid w:val="003C5046"/>
    <w:rsid w:val="003C6068"/>
    <w:rsid w:val="003C6895"/>
    <w:rsid w:val="003C7829"/>
    <w:rsid w:val="003C7AEC"/>
    <w:rsid w:val="003D2BA3"/>
    <w:rsid w:val="003D316B"/>
    <w:rsid w:val="003D3C22"/>
    <w:rsid w:val="003D56A0"/>
    <w:rsid w:val="003D69F5"/>
    <w:rsid w:val="003D7089"/>
    <w:rsid w:val="003D7DDB"/>
    <w:rsid w:val="003D7DFE"/>
    <w:rsid w:val="003E024F"/>
    <w:rsid w:val="003E02C7"/>
    <w:rsid w:val="003E0543"/>
    <w:rsid w:val="003E061D"/>
    <w:rsid w:val="003E0B5A"/>
    <w:rsid w:val="003E1682"/>
    <w:rsid w:val="003E28C7"/>
    <w:rsid w:val="003E31E3"/>
    <w:rsid w:val="003E3E93"/>
    <w:rsid w:val="003E46D1"/>
    <w:rsid w:val="003E6214"/>
    <w:rsid w:val="003E6A96"/>
    <w:rsid w:val="003F070E"/>
    <w:rsid w:val="003F1206"/>
    <w:rsid w:val="003F241D"/>
    <w:rsid w:val="003F28DB"/>
    <w:rsid w:val="003F2EEE"/>
    <w:rsid w:val="003F58B0"/>
    <w:rsid w:val="003F6173"/>
    <w:rsid w:val="003F776F"/>
    <w:rsid w:val="004007E9"/>
    <w:rsid w:val="00400810"/>
    <w:rsid w:val="00401825"/>
    <w:rsid w:val="00401BBC"/>
    <w:rsid w:val="00403BFB"/>
    <w:rsid w:val="00404B45"/>
    <w:rsid w:val="00405BCF"/>
    <w:rsid w:val="00406CC5"/>
    <w:rsid w:val="004074A4"/>
    <w:rsid w:val="004101B2"/>
    <w:rsid w:val="004123D7"/>
    <w:rsid w:val="00412658"/>
    <w:rsid w:val="004127F4"/>
    <w:rsid w:val="004129DA"/>
    <w:rsid w:val="00415EA4"/>
    <w:rsid w:val="0041604B"/>
    <w:rsid w:val="004170DF"/>
    <w:rsid w:val="004172DB"/>
    <w:rsid w:val="0042076E"/>
    <w:rsid w:val="00420A1D"/>
    <w:rsid w:val="00421485"/>
    <w:rsid w:val="004216DA"/>
    <w:rsid w:val="00421E30"/>
    <w:rsid w:val="00422265"/>
    <w:rsid w:val="004224F8"/>
    <w:rsid w:val="00422B75"/>
    <w:rsid w:val="00424612"/>
    <w:rsid w:val="0042528C"/>
    <w:rsid w:val="00425672"/>
    <w:rsid w:val="00425A6A"/>
    <w:rsid w:val="00427F54"/>
    <w:rsid w:val="004316FD"/>
    <w:rsid w:val="00431E8C"/>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45F"/>
    <w:rsid w:val="00460E3F"/>
    <w:rsid w:val="0046111A"/>
    <w:rsid w:val="00462F68"/>
    <w:rsid w:val="0046369B"/>
    <w:rsid w:val="004640E9"/>
    <w:rsid w:val="00466CED"/>
    <w:rsid w:val="00466EB5"/>
    <w:rsid w:val="00467592"/>
    <w:rsid w:val="00467690"/>
    <w:rsid w:val="004718E7"/>
    <w:rsid w:val="00472289"/>
    <w:rsid w:val="00472535"/>
    <w:rsid w:val="00475251"/>
    <w:rsid w:val="004761CC"/>
    <w:rsid w:val="004766C9"/>
    <w:rsid w:val="00480D4A"/>
    <w:rsid w:val="00481DA1"/>
    <w:rsid w:val="00483A2B"/>
    <w:rsid w:val="00484212"/>
    <w:rsid w:val="00484BA9"/>
    <w:rsid w:val="004850A3"/>
    <w:rsid w:val="0048599A"/>
    <w:rsid w:val="00486818"/>
    <w:rsid w:val="0048711C"/>
    <w:rsid w:val="0049255F"/>
    <w:rsid w:val="0049445D"/>
    <w:rsid w:val="004952CF"/>
    <w:rsid w:val="00495350"/>
    <w:rsid w:val="00495E3C"/>
    <w:rsid w:val="00497156"/>
    <w:rsid w:val="00497769"/>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D7B6F"/>
    <w:rsid w:val="004E0248"/>
    <w:rsid w:val="004E21A3"/>
    <w:rsid w:val="004E32EA"/>
    <w:rsid w:val="004E6866"/>
    <w:rsid w:val="004F02D4"/>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1BFA"/>
    <w:rsid w:val="005120D1"/>
    <w:rsid w:val="0051220B"/>
    <w:rsid w:val="00512253"/>
    <w:rsid w:val="00512484"/>
    <w:rsid w:val="00514449"/>
    <w:rsid w:val="00514D1F"/>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2EC5"/>
    <w:rsid w:val="005436C2"/>
    <w:rsid w:val="005442D4"/>
    <w:rsid w:val="0054586A"/>
    <w:rsid w:val="0054631F"/>
    <w:rsid w:val="00546C24"/>
    <w:rsid w:val="005471BA"/>
    <w:rsid w:val="00547BE6"/>
    <w:rsid w:val="0055034F"/>
    <w:rsid w:val="0055288D"/>
    <w:rsid w:val="00555259"/>
    <w:rsid w:val="00555C66"/>
    <w:rsid w:val="005569EF"/>
    <w:rsid w:val="00556BDE"/>
    <w:rsid w:val="00557873"/>
    <w:rsid w:val="00560D57"/>
    <w:rsid w:val="00562A94"/>
    <w:rsid w:val="0056398D"/>
    <w:rsid w:val="00563FAD"/>
    <w:rsid w:val="005701C1"/>
    <w:rsid w:val="005703BF"/>
    <w:rsid w:val="00570754"/>
    <w:rsid w:val="005709F7"/>
    <w:rsid w:val="005710A9"/>
    <w:rsid w:val="00571B11"/>
    <w:rsid w:val="00571D1B"/>
    <w:rsid w:val="00571DA3"/>
    <w:rsid w:val="005738F5"/>
    <w:rsid w:val="00573D34"/>
    <w:rsid w:val="00575963"/>
    <w:rsid w:val="00575EBE"/>
    <w:rsid w:val="00576394"/>
    <w:rsid w:val="0058039C"/>
    <w:rsid w:val="00580A63"/>
    <w:rsid w:val="00583379"/>
    <w:rsid w:val="0058417C"/>
    <w:rsid w:val="00585D58"/>
    <w:rsid w:val="00586668"/>
    <w:rsid w:val="00586EC6"/>
    <w:rsid w:val="00587DDE"/>
    <w:rsid w:val="00593043"/>
    <w:rsid w:val="005958D0"/>
    <w:rsid w:val="00595B60"/>
    <w:rsid w:val="00595BF0"/>
    <w:rsid w:val="00597E16"/>
    <w:rsid w:val="005A0B1D"/>
    <w:rsid w:val="005A1846"/>
    <w:rsid w:val="005A2380"/>
    <w:rsid w:val="005A258C"/>
    <w:rsid w:val="005A3560"/>
    <w:rsid w:val="005A464E"/>
    <w:rsid w:val="005A62FC"/>
    <w:rsid w:val="005A6C99"/>
    <w:rsid w:val="005A7D5D"/>
    <w:rsid w:val="005B0040"/>
    <w:rsid w:val="005B011A"/>
    <w:rsid w:val="005B0283"/>
    <w:rsid w:val="005B1ADA"/>
    <w:rsid w:val="005B1D8F"/>
    <w:rsid w:val="005B1E94"/>
    <w:rsid w:val="005B244B"/>
    <w:rsid w:val="005B5B3D"/>
    <w:rsid w:val="005B64CF"/>
    <w:rsid w:val="005C0E87"/>
    <w:rsid w:val="005C16F3"/>
    <w:rsid w:val="005C3758"/>
    <w:rsid w:val="005C4D72"/>
    <w:rsid w:val="005C50C1"/>
    <w:rsid w:val="005C62C2"/>
    <w:rsid w:val="005C6583"/>
    <w:rsid w:val="005D22F6"/>
    <w:rsid w:val="005D2306"/>
    <w:rsid w:val="005D4A74"/>
    <w:rsid w:val="005D5E91"/>
    <w:rsid w:val="005D6268"/>
    <w:rsid w:val="005D67EF"/>
    <w:rsid w:val="005E3064"/>
    <w:rsid w:val="005E6AEE"/>
    <w:rsid w:val="005E72B2"/>
    <w:rsid w:val="005F1115"/>
    <w:rsid w:val="005F1AB6"/>
    <w:rsid w:val="005F2079"/>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165D"/>
    <w:rsid w:val="00612FB0"/>
    <w:rsid w:val="0061356D"/>
    <w:rsid w:val="00613E26"/>
    <w:rsid w:val="00615641"/>
    <w:rsid w:val="00616959"/>
    <w:rsid w:val="0062036E"/>
    <w:rsid w:val="006211D0"/>
    <w:rsid w:val="00621595"/>
    <w:rsid w:val="00622079"/>
    <w:rsid w:val="0062359D"/>
    <w:rsid w:val="00623634"/>
    <w:rsid w:val="00624D0C"/>
    <w:rsid w:val="006274B4"/>
    <w:rsid w:val="006307BA"/>
    <w:rsid w:val="006315BA"/>
    <w:rsid w:val="006335E2"/>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171"/>
    <w:rsid w:val="006555E7"/>
    <w:rsid w:val="006560B6"/>
    <w:rsid w:val="006564BD"/>
    <w:rsid w:val="006573F2"/>
    <w:rsid w:val="00662AD0"/>
    <w:rsid w:val="00662F08"/>
    <w:rsid w:val="00663589"/>
    <w:rsid w:val="00664296"/>
    <w:rsid w:val="006649CD"/>
    <w:rsid w:val="00665D75"/>
    <w:rsid w:val="0066606F"/>
    <w:rsid w:val="006708E3"/>
    <w:rsid w:val="00670DDC"/>
    <w:rsid w:val="00671389"/>
    <w:rsid w:val="00671EB4"/>
    <w:rsid w:val="00673CDC"/>
    <w:rsid w:val="0067443B"/>
    <w:rsid w:val="006770AA"/>
    <w:rsid w:val="00682486"/>
    <w:rsid w:val="006840ED"/>
    <w:rsid w:val="006845CE"/>
    <w:rsid w:val="00684CE6"/>
    <w:rsid w:val="00684E2B"/>
    <w:rsid w:val="00687C7E"/>
    <w:rsid w:val="00690569"/>
    <w:rsid w:val="00690FDA"/>
    <w:rsid w:val="00691721"/>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8DB"/>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344B"/>
    <w:rsid w:val="006D4250"/>
    <w:rsid w:val="006D4E0E"/>
    <w:rsid w:val="006D5861"/>
    <w:rsid w:val="006D5CE2"/>
    <w:rsid w:val="006D7854"/>
    <w:rsid w:val="006E06D1"/>
    <w:rsid w:val="006E0B35"/>
    <w:rsid w:val="006E1313"/>
    <w:rsid w:val="006E2DC8"/>
    <w:rsid w:val="006E7356"/>
    <w:rsid w:val="006E77C8"/>
    <w:rsid w:val="006F0F9C"/>
    <w:rsid w:val="006F149D"/>
    <w:rsid w:val="006F1A46"/>
    <w:rsid w:val="006F2278"/>
    <w:rsid w:val="006F4F06"/>
    <w:rsid w:val="006F5A4E"/>
    <w:rsid w:val="006F5D37"/>
    <w:rsid w:val="006F6005"/>
    <w:rsid w:val="007005EA"/>
    <w:rsid w:val="00703B6C"/>
    <w:rsid w:val="00703BB0"/>
    <w:rsid w:val="007040E8"/>
    <w:rsid w:val="00704519"/>
    <w:rsid w:val="00704C88"/>
    <w:rsid w:val="00704EA1"/>
    <w:rsid w:val="00705C40"/>
    <w:rsid w:val="00706482"/>
    <w:rsid w:val="00706754"/>
    <w:rsid w:val="00706BEF"/>
    <w:rsid w:val="00707ECE"/>
    <w:rsid w:val="00710CE8"/>
    <w:rsid w:val="00711350"/>
    <w:rsid w:val="007116BC"/>
    <w:rsid w:val="00711961"/>
    <w:rsid w:val="00711CA6"/>
    <w:rsid w:val="00711F39"/>
    <w:rsid w:val="007165CE"/>
    <w:rsid w:val="00717CEB"/>
    <w:rsid w:val="0072035D"/>
    <w:rsid w:val="00720968"/>
    <w:rsid w:val="00721705"/>
    <w:rsid w:val="00721B7A"/>
    <w:rsid w:val="00721D12"/>
    <w:rsid w:val="00721F8B"/>
    <w:rsid w:val="007237CE"/>
    <w:rsid w:val="00724688"/>
    <w:rsid w:val="007249A6"/>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4142"/>
    <w:rsid w:val="00764EA4"/>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7198"/>
    <w:rsid w:val="00790963"/>
    <w:rsid w:val="0079154B"/>
    <w:rsid w:val="00791F1E"/>
    <w:rsid w:val="007927BE"/>
    <w:rsid w:val="007935B8"/>
    <w:rsid w:val="0079379D"/>
    <w:rsid w:val="007949FE"/>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178"/>
    <w:rsid w:val="007B5C5C"/>
    <w:rsid w:val="007B6CE0"/>
    <w:rsid w:val="007B7B37"/>
    <w:rsid w:val="007B7C41"/>
    <w:rsid w:val="007C05C5"/>
    <w:rsid w:val="007C08B2"/>
    <w:rsid w:val="007C11A6"/>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4F1C"/>
    <w:rsid w:val="007D568A"/>
    <w:rsid w:val="007D574E"/>
    <w:rsid w:val="007D57C0"/>
    <w:rsid w:val="007D67CB"/>
    <w:rsid w:val="007D6BFE"/>
    <w:rsid w:val="007E2046"/>
    <w:rsid w:val="007E332D"/>
    <w:rsid w:val="007E3883"/>
    <w:rsid w:val="007E3E68"/>
    <w:rsid w:val="007E4876"/>
    <w:rsid w:val="007E48CD"/>
    <w:rsid w:val="007E4ACB"/>
    <w:rsid w:val="007E4F61"/>
    <w:rsid w:val="007E4FBB"/>
    <w:rsid w:val="007E55BF"/>
    <w:rsid w:val="007E59E3"/>
    <w:rsid w:val="007E5E39"/>
    <w:rsid w:val="007E6C2D"/>
    <w:rsid w:val="007E71B1"/>
    <w:rsid w:val="007E7B4E"/>
    <w:rsid w:val="007E7F02"/>
    <w:rsid w:val="007F0292"/>
    <w:rsid w:val="007F09E4"/>
    <w:rsid w:val="007F0AB7"/>
    <w:rsid w:val="007F0CE2"/>
    <w:rsid w:val="007F0EFF"/>
    <w:rsid w:val="007F1375"/>
    <w:rsid w:val="007F1AFD"/>
    <w:rsid w:val="007F30E4"/>
    <w:rsid w:val="007F7B87"/>
    <w:rsid w:val="008004F2"/>
    <w:rsid w:val="0080064F"/>
    <w:rsid w:val="00801AF0"/>
    <w:rsid w:val="00801B85"/>
    <w:rsid w:val="00801E68"/>
    <w:rsid w:val="00803850"/>
    <w:rsid w:val="008039E8"/>
    <w:rsid w:val="00804385"/>
    <w:rsid w:val="00804E0E"/>
    <w:rsid w:val="0080548D"/>
    <w:rsid w:val="00805AFD"/>
    <w:rsid w:val="008078D8"/>
    <w:rsid w:val="0080798E"/>
    <w:rsid w:val="00811D5B"/>
    <w:rsid w:val="00813C51"/>
    <w:rsid w:val="00816CCB"/>
    <w:rsid w:val="00817572"/>
    <w:rsid w:val="00817713"/>
    <w:rsid w:val="008208C3"/>
    <w:rsid w:val="008220F1"/>
    <w:rsid w:val="0082340B"/>
    <w:rsid w:val="00823D6A"/>
    <w:rsid w:val="00826442"/>
    <w:rsid w:val="008275C3"/>
    <w:rsid w:val="00827B29"/>
    <w:rsid w:val="00827DB6"/>
    <w:rsid w:val="008304B2"/>
    <w:rsid w:val="00830999"/>
    <w:rsid w:val="00830D5E"/>
    <w:rsid w:val="00830F69"/>
    <w:rsid w:val="008316A3"/>
    <w:rsid w:val="008324D9"/>
    <w:rsid w:val="00833418"/>
    <w:rsid w:val="0083387F"/>
    <w:rsid w:val="00834458"/>
    <w:rsid w:val="00834AEA"/>
    <w:rsid w:val="00835841"/>
    <w:rsid w:val="00835BF8"/>
    <w:rsid w:val="00835FB7"/>
    <w:rsid w:val="008361D1"/>
    <w:rsid w:val="00837465"/>
    <w:rsid w:val="00837769"/>
    <w:rsid w:val="00837A41"/>
    <w:rsid w:val="0084002E"/>
    <w:rsid w:val="00840159"/>
    <w:rsid w:val="00840621"/>
    <w:rsid w:val="00841243"/>
    <w:rsid w:val="00841457"/>
    <w:rsid w:val="0084374E"/>
    <w:rsid w:val="00844842"/>
    <w:rsid w:val="00844A53"/>
    <w:rsid w:val="00844B99"/>
    <w:rsid w:val="00844DD0"/>
    <w:rsid w:val="008455C8"/>
    <w:rsid w:val="00846407"/>
    <w:rsid w:val="00846857"/>
    <w:rsid w:val="0085006A"/>
    <w:rsid w:val="0085089F"/>
    <w:rsid w:val="0085206E"/>
    <w:rsid w:val="00852273"/>
    <w:rsid w:val="0085293D"/>
    <w:rsid w:val="00852AD4"/>
    <w:rsid w:val="00852BA8"/>
    <w:rsid w:val="00852BF0"/>
    <w:rsid w:val="00853718"/>
    <w:rsid w:val="008541EF"/>
    <w:rsid w:val="00855CB7"/>
    <w:rsid w:val="00856AC7"/>
    <w:rsid w:val="00856FA4"/>
    <w:rsid w:val="00857C4D"/>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DC1"/>
    <w:rsid w:val="008A0D4F"/>
    <w:rsid w:val="008A2D08"/>
    <w:rsid w:val="008A39D7"/>
    <w:rsid w:val="008A55DE"/>
    <w:rsid w:val="008A5729"/>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15CB"/>
    <w:rsid w:val="008D29E7"/>
    <w:rsid w:val="008D4185"/>
    <w:rsid w:val="008D5104"/>
    <w:rsid w:val="008D75F4"/>
    <w:rsid w:val="008D795D"/>
    <w:rsid w:val="008D7B07"/>
    <w:rsid w:val="008D7E1E"/>
    <w:rsid w:val="008E0D8F"/>
    <w:rsid w:val="008E0F4E"/>
    <w:rsid w:val="008E1E94"/>
    <w:rsid w:val="008E2AA1"/>
    <w:rsid w:val="008E2D99"/>
    <w:rsid w:val="008E30D4"/>
    <w:rsid w:val="008E38B0"/>
    <w:rsid w:val="008E4448"/>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0B4E"/>
    <w:rsid w:val="0096168C"/>
    <w:rsid w:val="00961840"/>
    <w:rsid w:val="009625E3"/>
    <w:rsid w:val="00962F2D"/>
    <w:rsid w:val="00963382"/>
    <w:rsid w:val="00963A7A"/>
    <w:rsid w:val="00964520"/>
    <w:rsid w:val="009672CD"/>
    <w:rsid w:val="00972996"/>
    <w:rsid w:val="009732B8"/>
    <w:rsid w:val="00974647"/>
    <w:rsid w:val="0097514A"/>
    <w:rsid w:val="009759C2"/>
    <w:rsid w:val="00975C72"/>
    <w:rsid w:val="00976869"/>
    <w:rsid w:val="00977740"/>
    <w:rsid w:val="00977B1C"/>
    <w:rsid w:val="00977CB4"/>
    <w:rsid w:val="009809B8"/>
    <w:rsid w:val="00981086"/>
    <w:rsid w:val="009818AF"/>
    <w:rsid w:val="00981B1C"/>
    <w:rsid w:val="0098222D"/>
    <w:rsid w:val="00983007"/>
    <w:rsid w:val="00984364"/>
    <w:rsid w:val="00985099"/>
    <w:rsid w:val="00985D32"/>
    <w:rsid w:val="00986514"/>
    <w:rsid w:val="00986FCC"/>
    <w:rsid w:val="009935C3"/>
    <w:rsid w:val="0099421F"/>
    <w:rsid w:val="00994FC8"/>
    <w:rsid w:val="009A0DE3"/>
    <w:rsid w:val="009A1643"/>
    <w:rsid w:val="009A215A"/>
    <w:rsid w:val="009A2A73"/>
    <w:rsid w:val="009A49D3"/>
    <w:rsid w:val="009A4F1B"/>
    <w:rsid w:val="009A55CA"/>
    <w:rsid w:val="009A66C5"/>
    <w:rsid w:val="009A66E7"/>
    <w:rsid w:val="009A79BA"/>
    <w:rsid w:val="009B14D1"/>
    <w:rsid w:val="009B1534"/>
    <w:rsid w:val="009B4963"/>
    <w:rsid w:val="009B4A3B"/>
    <w:rsid w:val="009B5F98"/>
    <w:rsid w:val="009B69D3"/>
    <w:rsid w:val="009B6C60"/>
    <w:rsid w:val="009B7BA7"/>
    <w:rsid w:val="009B7C01"/>
    <w:rsid w:val="009C0938"/>
    <w:rsid w:val="009C0C22"/>
    <w:rsid w:val="009C15D9"/>
    <w:rsid w:val="009C22C8"/>
    <w:rsid w:val="009C3F82"/>
    <w:rsid w:val="009C582A"/>
    <w:rsid w:val="009C5C56"/>
    <w:rsid w:val="009C72DD"/>
    <w:rsid w:val="009C78FD"/>
    <w:rsid w:val="009C7CB3"/>
    <w:rsid w:val="009C7DF5"/>
    <w:rsid w:val="009D056C"/>
    <w:rsid w:val="009D060F"/>
    <w:rsid w:val="009D07D4"/>
    <w:rsid w:val="009D1ADE"/>
    <w:rsid w:val="009D3652"/>
    <w:rsid w:val="009D37CA"/>
    <w:rsid w:val="009D4229"/>
    <w:rsid w:val="009D4268"/>
    <w:rsid w:val="009D702E"/>
    <w:rsid w:val="009D7065"/>
    <w:rsid w:val="009E09D0"/>
    <w:rsid w:val="009E1283"/>
    <w:rsid w:val="009E3A7F"/>
    <w:rsid w:val="009E4C9B"/>
    <w:rsid w:val="009E4DFC"/>
    <w:rsid w:val="009E5789"/>
    <w:rsid w:val="009E57B1"/>
    <w:rsid w:val="009E6379"/>
    <w:rsid w:val="009E6B34"/>
    <w:rsid w:val="009F020F"/>
    <w:rsid w:val="009F3B63"/>
    <w:rsid w:val="009F43E2"/>
    <w:rsid w:val="009F4576"/>
    <w:rsid w:val="009F5B39"/>
    <w:rsid w:val="009F6292"/>
    <w:rsid w:val="009F7809"/>
    <w:rsid w:val="009F7AF5"/>
    <w:rsid w:val="00A006F1"/>
    <w:rsid w:val="00A007A7"/>
    <w:rsid w:val="00A00D14"/>
    <w:rsid w:val="00A01408"/>
    <w:rsid w:val="00A02457"/>
    <w:rsid w:val="00A03190"/>
    <w:rsid w:val="00A03D73"/>
    <w:rsid w:val="00A0404B"/>
    <w:rsid w:val="00A06F66"/>
    <w:rsid w:val="00A0798C"/>
    <w:rsid w:val="00A07BDD"/>
    <w:rsid w:val="00A07F12"/>
    <w:rsid w:val="00A11047"/>
    <w:rsid w:val="00A1105B"/>
    <w:rsid w:val="00A1213C"/>
    <w:rsid w:val="00A130E8"/>
    <w:rsid w:val="00A148ED"/>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27767"/>
    <w:rsid w:val="00A31FE2"/>
    <w:rsid w:val="00A32743"/>
    <w:rsid w:val="00A32B10"/>
    <w:rsid w:val="00A3756D"/>
    <w:rsid w:val="00A40FFB"/>
    <w:rsid w:val="00A41468"/>
    <w:rsid w:val="00A414A9"/>
    <w:rsid w:val="00A44141"/>
    <w:rsid w:val="00A44CCA"/>
    <w:rsid w:val="00A44D75"/>
    <w:rsid w:val="00A46F21"/>
    <w:rsid w:val="00A47CF1"/>
    <w:rsid w:val="00A50418"/>
    <w:rsid w:val="00A54A47"/>
    <w:rsid w:val="00A56120"/>
    <w:rsid w:val="00A56D26"/>
    <w:rsid w:val="00A571A7"/>
    <w:rsid w:val="00A5749A"/>
    <w:rsid w:val="00A57BA8"/>
    <w:rsid w:val="00A608FB"/>
    <w:rsid w:val="00A60D83"/>
    <w:rsid w:val="00A60F68"/>
    <w:rsid w:val="00A63DF3"/>
    <w:rsid w:val="00A650BF"/>
    <w:rsid w:val="00A651AE"/>
    <w:rsid w:val="00A65C78"/>
    <w:rsid w:val="00A660A8"/>
    <w:rsid w:val="00A66A45"/>
    <w:rsid w:val="00A67591"/>
    <w:rsid w:val="00A67CA6"/>
    <w:rsid w:val="00A70E7B"/>
    <w:rsid w:val="00A717EA"/>
    <w:rsid w:val="00A73B84"/>
    <w:rsid w:val="00A7411D"/>
    <w:rsid w:val="00A756C4"/>
    <w:rsid w:val="00A7592B"/>
    <w:rsid w:val="00A76094"/>
    <w:rsid w:val="00A768E2"/>
    <w:rsid w:val="00A821A7"/>
    <w:rsid w:val="00A82C52"/>
    <w:rsid w:val="00A838E8"/>
    <w:rsid w:val="00A83C15"/>
    <w:rsid w:val="00A83DED"/>
    <w:rsid w:val="00A84EC4"/>
    <w:rsid w:val="00A86CB6"/>
    <w:rsid w:val="00A86E80"/>
    <w:rsid w:val="00A90D55"/>
    <w:rsid w:val="00A944D8"/>
    <w:rsid w:val="00A959E7"/>
    <w:rsid w:val="00A95BBA"/>
    <w:rsid w:val="00A95EE9"/>
    <w:rsid w:val="00A961EE"/>
    <w:rsid w:val="00A97C6D"/>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749F"/>
    <w:rsid w:val="00AC0120"/>
    <w:rsid w:val="00AC1F9F"/>
    <w:rsid w:val="00AC37BE"/>
    <w:rsid w:val="00AC439D"/>
    <w:rsid w:val="00AC62CC"/>
    <w:rsid w:val="00AC6575"/>
    <w:rsid w:val="00AC6646"/>
    <w:rsid w:val="00AC713F"/>
    <w:rsid w:val="00AC7329"/>
    <w:rsid w:val="00AC7A79"/>
    <w:rsid w:val="00AC7D96"/>
    <w:rsid w:val="00AD00E4"/>
    <w:rsid w:val="00AD067E"/>
    <w:rsid w:val="00AD168B"/>
    <w:rsid w:val="00AD1B4E"/>
    <w:rsid w:val="00AD2801"/>
    <w:rsid w:val="00AD3496"/>
    <w:rsid w:val="00AD49A1"/>
    <w:rsid w:val="00AD4E52"/>
    <w:rsid w:val="00AD5771"/>
    <w:rsid w:val="00AD5879"/>
    <w:rsid w:val="00AD6870"/>
    <w:rsid w:val="00AD68C5"/>
    <w:rsid w:val="00AD7F8F"/>
    <w:rsid w:val="00AE0BF9"/>
    <w:rsid w:val="00AE1273"/>
    <w:rsid w:val="00AE157D"/>
    <w:rsid w:val="00AE18C5"/>
    <w:rsid w:val="00AE2CF4"/>
    <w:rsid w:val="00AE2D29"/>
    <w:rsid w:val="00AE2F15"/>
    <w:rsid w:val="00AE3FFA"/>
    <w:rsid w:val="00AE4624"/>
    <w:rsid w:val="00AE4B3E"/>
    <w:rsid w:val="00AE5E14"/>
    <w:rsid w:val="00AE6115"/>
    <w:rsid w:val="00AE625B"/>
    <w:rsid w:val="00AF01B2"/>
    <w:rsid w:val="00AF1103"/>
    <w:rsid w:val="00AF1668"/>
    <w:rsid w:val="00AF28DE"/>
    <w:rsid w:val="00AF3B4C"/>
    <w:rsid w:val="00AF4FA5"/>
    <w:rsid w:val="00AF6ECC"/>
    <w:rsid w:val="00B010ED"/>
    <w:rsid w:val="00B022DC"/>
    <w:rsid w:val="00B04562"/>
    <w:rsid w:val="00B0472F"/>
    <w:rsid w:val="00B055E9"/>
    <w:rsid w:val="00B057F8"/>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0E56"/>
    <w:rsid w:val="00B31965"/>
    <w:rsid w:val="00B32179"/>
    <w:rsid w:val="00B32341"/>
    <w:rsid w:val="00B32C2B"/>
    <w:rsid w:val="00B33007"/>
    <w:rsid w:val="00B331A9"/>
    <w:rsid w:val="00B33498"/>
    <w:rsid w:val="00B33598"/>
    <w:rsid w:val="00B34C1B"/>
    <w:rsid w:val="00B36569"/>
    <w:rsid w:val="00B37345"/>
    <w:rsid w:val="00B37791"/>
    <w:rsid w:val="00B37F53"/>
    <w:rsid w:val="00B40A05"/>
    <w:rsid w:val="00B40A3E"/>
    <w:rsid w:val="00B427BB"/>
    <w:rsid w:val="00B43BA2"/>
    <w:rsid w:val="00B449EE"/>
    <w:rsid w:val="00B454AE"/>
    <w:rsid w:val="00B50227"/>
    <w:rsid w:val="00B50510"/>
    <w:rsid w:val="00B51878"/>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2DA"/>
    <w:rsid w:val="00B70A19"/>
    <w:rsid w:val="00B72076"/>
    <w:rsid w:val="00B72303"/>
    <w:rsid w:val="00B72C72"/>
    <w:rsid w:val="00B72ED9"/>
    <w:rsid w:val="00B731E4"/>
    <w:rsid w:val="00B751CE"/>
    <w:rsid w:val="00B75A8B"/>
    <w:rsid w:val="00B75B61"/>
    <w:rsid w:val="00B76603"/>
    <w:rsid w:val="00B76796"/>
    <w:rsid w:val="00B771E0"/>
    <w:rsid w:val="00B7793B"/>
    <w:rsid w:val="00B77EE7"/>
    <w:rsid w:val="00B80EDD"/>
    <w:rsid w:val="00B812BD"/>
    <w:rsid w:val="00B81964"/>
    <w:rsid w:val="00B81B0D"/>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6D5E"/>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1873"/>
    <w:rsid w:val="00BD2A49"/>
    <w:rsid w:val="00BD3683"/>
    <w:rsid w:val="00BD40AB"/>
    <w:rsid w:val="00BD6297"/>
    <w:rsid w:val="00BD6806"/>
    <w:rsid w:val="00BD6B15"/>
    <w:rsid w:val="00BD7433"/>
    <w:rsid w:val="00BD7831"/>
    <w:rsid w:val="00BD7C10"/>
    <w:rsid w:val="00BE046F"/>
    <w:rsid w:val="00BE0DEB"/>
    <w:rsid w:val="00BE2010"/>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13EE"/>
    <w:rsid w:val="00C0359D"/>
    <w:rsid w:val="00C038EC"/>
    <w:rsid w:val="00C03990"/>
    <w:rsid w:val="00C05C6D"/>
    <w:rsid w:val="00C072D7"/>
    <w:rsid w:val="00C10374"/>
    <w:rsid w:val="00C104DB"/>
    <w:rsid w:val="00C10F5B"/>
    <w:rsid w:val="00C1122B"/>
    <w:rsid w:val="00C1170C"/>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143"/>
    <w:rsid w:val="00C24AD9"/>
    <w:rsid w:val="00C25978"/>
    <w:rsid w:val="00C261C6"/>
    <w:rsid w:val="00C26621"/>
    <w:rsid w:val="00C26E7C"/>
    <w:rsid w:val="00C276CD"/>
    <w:rsid w:val="00C27827"/>
    <w:rsid w:val="00C305F2"/>
    <w:rsid w:val="00C30A97"/>
    <w:rsid w:val="00C3158A"/>
    <w:rsid w:val="00C31DDC"/>
    <w:rsid w:val="00C3223A"/>
    <w:rsid w:val="00C34168"/>
    <w:rsid w:val="00C34326"/>
    <w:rsid w:val="00C34CEB"/>
    <w:rsid w:val="00C36201"/>
    <w:rsid w:val="00C368E8"/>
    <w:rsid w:val="00C36C3D"/>
    <w:rsid w:val="00C372C7"/>
    <w:rsid w:val="00C4006C"/>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22CC"/>
    <w:rsid w:val="00C74D3A"/>
    <w:rsid w:val="00C75F3D"/>
    <w:rsid w:val="00C80511"/>
    <w:rsid w:val="00C826F5"/>
    <w:rsid w:val="00C83740"/>
    <w:rsid w:val="00C84AD1"/>
    <w:rsid w:val="00C85579"/>
    <w:rsid w:val="00C862F1"/>
    <w:rsid w:val="00C863E5"/>
    <w:rsid w:val="00C87BE6"/>
    <w:rsid w:val="00C87F76"/>
    <w:rsid w:val="00C900F0"/>
    <w:rsid w:val="00C931FC"/>
    <w:rsid w:val="00C932C5"/>
    <w:rsid w:val="00C94CB6"/>
    <w:rsid w:val="00C94F87"/>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A12"/>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8E4"/>
    <w:rsid w:val="00CE3722"/>
    <w:rsid w:val="00CF158D"/>
    <w:rsid w:val="00CF2166"/>
    <w:rsid w:val="00CF3252"/>
    <w:rsid w:val="00CF4340"/>
    <w:rsid w:val="00CF4394"/>
    <w:rsid w:val="00CF48B4"/>
    <w:rsid w:val="00CF51E6"/>
    <w:rsid w:val="00D000A9"/>
    <w:rsid w:val="00D00384"/>
    <w:rsid w:val="00D005DB"/>
    <w:rsid w:val="00D0064E"/>
    <w:rsid w:val="00D00981"/>
    <w:rsid w:val="00D02596"/>
    <w:rsid w:val="00D0280D"/>
    <w:rsid w:val="00D02AEF"/>
    <w:rsid w:val="00D05669"/>
    <w:rsid w:val="00D061EB"/>
    <w:rsid w:val="00D06952"/>
    <w:rsid w:val="00D07A72"/>
    <w:rsid w:val="00D10577"/>
    <w:rsid w:val="00D119C6"/>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727B"/>
    <w:rsid w:val="00D31683"/>
    <w:rsid w:val="00D32103"/>
    <w:rsid w:val="00D336C8"/>
    <w:rsid w:val="00D339E8"/>
    <w:rsid w:val="00D361A2"/>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4EA"/>
    <w:rsid w:val="00D53F14"/>
    <w:rsid w:val="00D54BE4"/>
    <w:rsid w:val="00D54DDB"/>
    <w:rsid w:val="00D554BC"/>
    <w:rsid w:val="00D55C52"/>
    <w:rsid w:val="00D560DC"/>
    <w:rsid w:val="00D56602"/>
    <w:rsid w:val="00D60483"/>
    <w:rsid w:val="00D61ABB"/>
    <w:rsid w:val="00D62D5C"/>
    <w:rsid w:val="00D63577"/>
    <w:rsid w:val="00D668A8"/>
    <w:rsid w:val="00D67FD7"/>
    <w:rsid w:val="00D700A1"/>
    <w:rsid w:val="00D72410"/>
    <w:rsid w:val="00D73D53"/>
    <w:rsid w:val="00D7408A"/>
    <w:rsid w:val="00D74261"/>
    <w:rsid w:val="00D7441B"/>
    <w:rsid w:val="00D75589"/>
    <w:rsid w:val="00D76AB2"/>
    <w:rsid w:val="00D80490"/>
    <w:rsid w:val="00D829AD"/>
    <w:rsid w:val="00D82EE2"/>
    <w:rsid w:val="00D83D1B"/>
    <w:rsid w:val="00D84133"/>
    <w:rsid w:val="00D8545C"/>
    <w:rsid w:val="00D85C17"/>
    <w:rsid w:val="00D86E57"/>
    <w:rsid w:val="00D87788"/>
    <w:rsid w:val="00D877C8"/>
    <w:rsid w:val="00D91040"/>
    <w:rsid w:val="00D910C2"/>
    <w:rsid w:val="00D9168C"/>
    <w:rsid w:val="00D9189B"/>
    <w:rsid w:val="00D91ABB"/>
    <w:rsid w:val="00D91DA6"/>
    <w:rsid w:val="00D921A0"/>
    <w:rsid w:val="00D937E3"/>
    <w:rsid w:val="00D93A41"/>
    <w:rsid w:val="00D93B9A"/>
    <w:rsid w:val="00D95984"/>
    <w:rsid w:val="00D95C64"/>
    <w:rsid w:val="00D9706F"/>
    <w:rsid w:val="00D972D4"/>
    <w:rsid w:val="00DA0434"/>
    <w:rsid w:val="00DA195B"/>
    <w:rsid w:val="00DA27F3"/>
    <w:rsid w:val="00DA2D1E"/>
    <w:rsid w:val="00DA3BD9"/>
    <w:rsid w:val="00DA3EC8"/>
    <w:rsid w:val="00DA40C1"/>
    <w:rsid w:val="00DA510E"/>
    <w:rsid w:val="00DA5564"/>
    <w:rsid w:val="00DA6B55"/>
    <w:rsid w:val="00DA6B97"/>
    <w:rsid w:val="00DA6CEE"/>
    <w:rsid w:val="00DB0015"/>
    <w:rsid w:val="00DB0359"/>
    <w:rsid w:val="00DB0ABB"/>
    <w:rsid w:val="00DB2AAD"/>
    <w:rsid w:val="00DB3CBE"/>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1C5"/>
    <w:rsid w:val="00DD3593"/>
    <w:rsid w:val="00DD64E0"/>
    <w:rsid w:val="00DD7BE0"/>
    <w:rsid w:val="00DE04E8"/>
    <w:rsid w:val="00DE0C67"/>
    <w:rsid w:val="00DE1980"/>
    <w:rsid w:val="00DE3AAD"/>
    <w:rsid w:val="00DE598A"/>
    <w:rsid w:val="00DE6952"/>
    <w:rsid w:val="00DE7E74"/>
    <w:rsid w:val="00DF071B"/>
    <w:rsid w:val="00DF5C84"/>
    <w:rsid w:val="00DF6EF8"/>
    <w:rsid w:val="00E008C5"/>
    <w:rsid w:val="00E00A69"/>
    <w:rsid w:val="00E017BC"/>
    <w:rsid w:val="00E017F0"/>
    <w:rsid w:val="00E01A0E"/>
    <w:rsid w:val="00E0346A"/>
    <w:rsid w:val="00E041E4"/>
    <w:rsid w:val="00E04AEE"/>
    <w:rsid w:val="00E1012B"/>
    <w:rsid w:val="00E103C8"/>
    <w:rsid w:val="00E1085B"/>
    <w:rsid w:val="00E1308B"/>
    <w:rsid w:val="00E132E9"/>
    <w:rsid w:val="00E13F9D"/>
    <w:rsid w:val="00E14581"/>
    <w:rsid w:val="00E14623"/>
    <w:rsid w:val="00E15539"/>
    <w:rsid w:val="00E16541"/>
    <w:rsid w:val="00E17EC9"/>
    <w:rsid w:val="00E202F4"/>
    <w:rsid w:val="00E207C3"/>
    <w:rsid w:val="00E21386"/>
    <w:rsid w:val="00E242AF"/>
    <w:rsid w:val="00E24849"/>
    <w:rsid w:val="00E24CB6"/>
    <w:rsid w:val="00E2536E"/>
    <w:rsid w:val="00E25B8A"/>
    <w:rsid w:val="00E25EF8"/>
    <w:rsid w:val="00E2632B"/>
    <w:rsid w:val="00E26F75"/>
    <w:rsid w:val="00E27423"/>
    <w:rsid w:val="00E322F7"/>
    <w:rsid w:val="00E3369B"/>
    <w:rsid w:val="00E362D2"/>
    <w:rsid w:val="00E36D76"/>
    <w:rsid w:val="00E37F73"/>
    <w:rsid w:val="00E40478"/>
    <w:rsid w:val="00E405EA"/>
    <w:rsid w:val="00E408B7"/>
    <w:rsid w:val="00E41637"/>
    <w:rsid w:val="00E42789"/>
    <w:rsid w:val="00E42825"/>
    <w:rsid w:val="00E43F59"/>
    <w:rsid w:val="00E464F0"/>
    <w:rsid w:val="00E46EF3"/>
    <w:rsid w:val="00E47013"/>
    <w:rsid w:val="00E47370"/>
    <w:rsid w:val="00E473E9"/>
    <w:rsid w:val="00E47B47"/>
    <w:rsid w:val="00E50BEB"/>
    <w:rsid w:val="00E52394"/>
    <w:rsid w:val="00E548FA"/>
    <w:rsid w:val="00E5674A"/>
    <w:rsid w:val="00E57703"/>
    <w:rsid w:val="00E57ED4"/>
    <w:rsid w:val="00E57FED"/>
    <w:rsid w:val="00E6092F"/>
    <w:rsid w:val="00E60BD0"/>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5CA"/>
    <w:rsid w:val="00EB06A6"/>
    <w:rsid w:val="00EB3307"/>
    <w:rsid w:val="00EB3823"/>
    <w:rsid w:val="00EB466D"/>
    <w:rsid w:val="00EB47D8"/>
    <w:rsid w:val="00EB57D3"/>
    <w:rsid w:val="00EB5EFD"/>
    <w:rsid w:val="00EB679F"/>
    <w:rsid w:val="00EB76E4"/>
    <w:rsid w:val="00EC0E65"/>
    <w:rsid w:val="00EC1251"/>
    <w:rsid w:val="00EC2030"/>
    <w:rsid w:val="00EC2938"/>
    <w:rsid w:val="00EC337D"/>
    <w:rsid w:val="00EC38EF"/>
    <w:rsid w:val="00EC50C9"/>
    <w:rsid w:val="00EC58B4"/>
    <w:rsid w:val="00EC5BB2"/>
    <w:rsid w:val="00ED02E8"/>
    <w:rsid w:val="00ED12F0"/>
    <w:rsid w:val="00ED290C"/>
    <w:rsid w:val="00ED2A6C"/>
    <w:rsid w:val="00ED4773"/>
    <w:rsid w:val="00ED5284"/>
    <w:rsid w:val="00ED664B"/>
    <w:rsid w:val="00ED6A61"/>
    <w:rsid w:val="00ED7DA4"/>
    <w:rsid w:val="00EE03BB"/>
    <w:rsid w:val="00EE0552"/>
    <w:rsid w:val="00EE0932"/>
    <w:rsid w:val="00EE0B44"/>
    <w:rsid w:val="00EE125D"/>
    <w:rsid w:val="00EE23DE"/>
    <w:rsid w:val="00EE48BB"/>
    <w:rsid w:val="00EE63FB"/>
    <w:rsid w:val="00EE6FE0"/>
    <w:rsid w:val="00EE704A"/>
    <w:rsid w:val="00EE7840"/>
    <w:rsid w:val="00EF2E75"/>
    <w:rsid w:val="00EF4C74"/>
    <w:rsid w:val="00EF5268"/>
    <w:rsid w:val="00EF608E"/>
    <w:rsid w:val="00EF6C4A"/>
    <w:rsid w:val="00F0044B"/>
    <w:rsid w:val="00F02D01"/>
    <w:rsid w:val="00F03525"/>
    <w:rsid w:val="00F0424D"/>
    <w:rsid w:val="00F04957"/>
    <w:rsid w:val="00F05807"/>
    <w:rsid w:val="00F06451"/>
    <w:rsid w:val="00F07052"/>
    <w:rsid w:val="00F0706C"/>
    <w:rsid w:val="00F075B8"/>
    <w:rsid w:val="00F1050C"/>
    <w:rsid w:val="00F11EBE"/>
    <w:rsid w:val="00F12293"/>
    <w:rsid w:val="00F12BA8"/>
    <w:rsid w:val="00F130D0"/>
    <w:rsid w:val="00F14933"/>
    <w:rsid w:val="00F1516A"/>
    <w:rsid w:val="00F15EE5"/>
    <w:rsid w:val="00F171F9"/>
    <w:rsid w:val="00F1737C"/>
    <w:rsid w:val="00F21904"/>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574A7"/>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01"/>
    <w:rsid w:val="00F80B43"/>
    <w:rsid w:val="00F81C35"/>
    <w:rsid w:val="00F82981"/>
    <w:rsid w:val="00F8311F"/>
    <w:rsid w:val="00F83248"/>
    <w:rsid w:val="00F83376"/>
    <w:rsid w:val="00F83945"/>
    <w:rsid w:val="00F853AE"/>
    <w:rsid w:val="00F85A7E"/>
    <w:rsid w:val="00F908D5"/>
    <w:rsid w:val="00F913B9"/>
    <w:rsid w:val="00F9141D"/>
    <w:rsid w:val="00F92AB9"/>
    <w:rsid w:val="00F93C74"/>
    <w:rsid w:val="00F93DCC"/>
    <w:rsid w:val="00F9435D"/>
    <w:rsid w:val="00F966F9"/>
    <w:rsid w:val="00F96F61"/>
    <w:rsid w:val="00F97740"/>
    <w:rsid w:val="00FA0C8F"/>
    <w:rsid w:val="00FA1162"/>
    <w:rsid w:val="00FA1969"/>
    <w:rsid w:val="00FA2AA9"/>
    <w:rsid w:val="00FA2DEF"/>
    <w:rsid w:val="00FA2F7B"/>
    <w:rsid w:val="00FA3C97"/>
    <w:rsid w:val="00FA3D30"/>
    <w:rsid w:val="00FA4B49"/>
    <w:rsid w:val="00FA54F8"/>
    <w:rsid w:val="00FA78C8"/>
    <w:rsid w:val="00FA7A2F"/>
    <w:rsid w:val="00FB09FE"/>
    <w:rsid w:val="00FB0E80"/>
    <w:rsid w:val="00FB101D"/>
    <w:rsid w:val="00FB1725"/>
    <w:rsid w:val="00FB219C"/>
    <w:rsid w:val="00FB232E"/>
    <w:rsid w:val="00FB2493"/>
    <w:rsid w:val="00FB42B7"/>
    <w:rsid w:val="00FB4484"/>
    <w:rsid w:val="00FB593A"/>
    <w:rsid w:val="00FB5FF7"/>
    <w:rsid w:val="00FB6410"/>
    <w:rsid w:val="00FB6E82"/>
    <w:rsid w:val="00FB792E"/>
    <w:rsid w:val="00FB7CF0"/>
    <w:rsid w:val="00FC0042"/>
    <w:rsid w:val="00FC10EC"/>
    <w:rsid w:val="00FC1E67"/>
    <w:rsid w:val="00FC2A13"/>
    <w:rsid w:val="00FC2CAF"/>
    <w:rsid w:val="00FC4079"/>
    <w:rsid w:val="00FC4284"/>
    <w:rsid w:val="00FC4576"/>
    <w:rsid w:val="00FC5FF5"/>
    <w:rsid w:val="00FC6285"/>
    <w:rsid w:val="00FC78FB"/>
    <w:rsid w:val="00FC7DBC"/>
    <w:rsid w:val="00FD076A"/>
    <w:rsid w:val="00FD0AA0"/>
    <w:rsid w:val="00FD1665"/>
    <w:rsid w:val="00FD1D5A"/>
    <w:rsid w:val="00FD5059"/>
    <w:rsid w:val="00FD554D"/>
    <w:rsid w:val="00FD5BCC"/>
    <w:rsid w:val="00FD5FEE"/>
    <w:rsid w:val="00FD7B23"/>
    <w:rsid w:val="00FE2A48"/>
    <w:rsid w:val="00FE482A"/>
    <w:rsid w:val="00FE5D0A"/>
    <w:rsid w:val="00FE6469"/>
    <w:rsid w:val="00FF05D0"/>
    <w:rsid w:val="00FF06CE"/>
    <w:rsid w:val="00FF0FF7"/>
    <w:rsid w:val="00FF1022"/>
    <w:rsid w:val="00FF10A2"/>
    <w:rsid w:val="00FF1438"/>
    <w:rsid w:val="00FF3A38"/>
    <w:rsid w:val="00FF3C25"/>
    <w:rsid w:val="00FF4129"/>
    <w:rsid w:val="00FF44F7"/>
    <w:rsid w:val="00FF4C90"/>
    <w:rsid w:val="00FF52CE"/>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1">
    <w:name w:val="heading 1"/>
    <w:basedOn w:val="Normal"/>
    <w:link w:val="Heading1Char"/>
    <w:uiPriority w:val="9"/>
    <w:qFormat/>
    <w:rsid w:val="008004F2"/>
    <w:pPr>
      <w:spacing w:before="100" w:beforeAutospacing="1" w:after="100" w:afterAutospacing="1"/>
      <w:outlineLvl w:val="0"/>
    </w:pPr>
    <w:rPr>
      <w:rFonts w:ascii="Georgia" w:hAnsi="Georgia"/>
      <w:b/>
      <w:bCs/>
      <w:color w:val="3E3E3E"/>
      <w:kern w:val="36"/>
      <w:sz w:val="30"/>
      <w:szCs w:val="30"/>
    </w:rPr>
  </w:style>
  <w:style w:type="paragraph" w:styleId="Heading2">
    <w:name w:val="heading 2"/>
    <w:basedOn w:val="Normal"/>
    <w:link w:val="Heading2Char"/>
    <w:uiPriority w:val="9"/>
    <w:qFormat/>
    <w:rsid w:val="008004F2"/>
    <w:pPr>
      <w:spacing w:before="100" w:beforeAutospacing="1" w:after="100" w:afterAutospacing="1"/>
      <w:outlineLvl w:val="1"/>
    </w:pPr>
    <w:rPr>
      <w:rFonts w:ascii="Verdana" w:hAnsi="Verdana"/>
      <w:b/>
      <w:bCs/>
      <w:color w:val="4D4A42"/>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ing1Char">
    <w:name w:val="Heading 1 Char"/>
    <w:basedOn w:val="DefaultParagraphFont"/>
    <w:link w:val="Heading1"/>
    <w:uiPriority w:val="9"/>
    <w:rsid w:val="008004F2"/>
    <w:rPr>
      <w:rFonts w:ascii="Georgia" w:hAnsi="Georgia"/>
      <w:b/>
      <w:bCs/>
      <w:color w:val="3E3E3E"/>
      <w:kern w:val="36"/>
      <w:sz w:val="30"/>
      <w:szCs w:val="30"/>
    </w:rPr>
  </w:style>
  <w:style w:type="character" w:customStyle="1" w:styleId="Heading2Char">
    <w:name w:val="Heading 2 Char"/>
    <w:basedOn w:val="DefaultParagraphFont"/>
    <w:link w:val="Heading2"/>
    <w:uiPriority w:val="9"/>
    <w:rsid w:val="008004F2"/>
    <w:rPr>
      <w:rFonts w:ascii="Verdana" w:hAnsi="Verdana"/>
      <w:b/>
      <w:bCs/>
      <w:color w:val="4D4A42"/>
      <w:sz w:val="19"/>
      <w:szCs w:val="19"/>
    </w:rPr>
  </w:style>
  <w:style w:type="character" w:styleId="Strong">
    <w:name w:val="Strong"/>
    <w:basedOn w:val="DefaultParagraphFont"/>
    <w:uiPriority w:val="22"/>
    <w:qFormat/>
    <w:rsid w:val="008004F2"/>
    <w:rPr>
      <w:b/>
      <w:bCs/>
    </w:rPr>
  </w:style>
  <w:style w:type="character" w:customStyle="1" w:styleId="fn">
    <w:name w:val="fn"/>
    <w:basedOn w:val="DefaultParagraphFont"/>
    <w:rsid w:val="008004F2"/>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36994352">
      <w:bodyDiv w:val="1"/>
      <w:marLeft w:val="0"/>
      <w:marRight w:val="0"/>
      <w:marTop w:val="0"/>
      <w:marBottom w:val="0"/>
      <w:divBdr>
        <w:top w:val="none" w:sz="0" w:space="0" w:color="auto"/>
        <w:left w:val="none" w:sz="0" w:space="0" w:color="auto"/>
        <w:bottom w:val="none" w:sz="0" w:space="0" w:color="auto"/>
        <w:right w:val="none" w:sz="0" w:space="0" w:color="auto"/>
      </w:divBdr>
      <w:divsChild>
        <w:div w:id="1126004368">
          <w:marLeft w:val="0"/>
          <w:marRight w:val="0"/>
          <w:marTop w:val="0"/>
          <w:marBottom w:val="180"/>
          <w:divBdr>
            <w:top w:val="single" w:sz="18" w:space="0" w:color="FF3300"/>
            <w:left w:val="none" w:sz="0" w:space="0" w:color="auto"/>
            <w:bottom w:val="none" w:sz="0" w:space="0" w:color="auto"/>
            <w:right w:val="none" w:sz="0" w:space="0" w:color="auto"/>
          </w:divBdr>
          <w:divsChild>
            <w:div w:id="1199003110">
              <w:marLeft w:val="0"/>
              <w:marRight w:val="4814"/>
              <w:marTop w:val="165"/>
              <w:marBottom w:val="165"/>
              <w:divBdr>
                <w:top w:val="none" w:sz="0" w:space="0" w:color="auto"/>
                <w:left w:val="none" w:sz="0" w:space="0" w:color="auto"/>
                <w:bottom w:val="none" w:sz="0" w:space="0" w:color="auto"/>
                <w:right w:val="none" w:sz="0" w:space="0" w:color="auto"/>
              </w:divBdr>
            </w:div>
            <w:div w:id="843056409">
              <w:marLeft w:val="0"/>
              <w:marRight w:val="0"/>
              <w:marTop w:val="0"/>
              <w:marBottom w:val="0"/>
              <w:divBdr>
                <w:top w:val="single" w:sz="6" w:space="3" w:color="E5E5E5"/>
                <w:left w:val="none" w:sz="0" w:space="0" w:color="auto"/>
                <w:bottom w:val="single" w:sz="6" w:space="3" w:color="E5E5E5"/>
                <w:right w:val="none" w:sz="0" w:space="0" w:color="auto"/>
              </w:divBdr>
              <w:divsChild>
                <w:div w:id="123356655">
                  <w:marLeft w:val="0"/>
                  <w:marRight w:val="0"/>
                  <w:marTop w:val="0"/>
                  <w:marBottom w:val="0"/>
                  <w:divBdr>
                    <w:top w:val="none" w:sz="0" w:space="0" w:color="auto"/>
                    <w:left w:val="none" w:sz="0" w:space="0" w:color="auto"/>
                    <w:bottom w:val="none" w:sz="0" w:space="0" w:color="auto"/>
                    <w:right w:val="none" w:sz="0" w:space="0" w:color="auto"/>
                  </w:divBdr>
                </w:div>
              </w:divsChild>
            </w:div>
            <w:div w:id="647562325">
              <w:marLeft w:val="0"/>
              <w:marRight w:val="0"/>
              <w:marTop w:val="0"/>
              <w:marBottom w:val="0"/>
              <w:divBdr>
                <w:top w:val="none" w:sz="0" w:space="0" w:color="auto"/>
                <w:left w:val="none" w:sz="0" w:space="0" w:color="auto"/>
                <w:bottom w:val="none" w:sz="0" w:space="0" w:color="auto"/>
                <w:right w:val="none" w:sz="0" w:space="0" w:color="auto"/>
              </w:divBdr>
              <w:divsChild>
                <w:div w:id="1284112458">
                  <w:marLeft w:val="0"/>
                  <w:marRight w:val="-4608"/>
                  <w:marTop w:val="0"/>
                  <w:marBottom w:val="0"/>
                  <w:divBdr>
                    <w:top w:val="none" w:sz="0" w:space="0" w:color="auto"/>
                    <w:left w:val="none" w:sz="0" w:space="0" w:color="auto"/>
                    <w:bottom w:val="none" w:sz="0" w:space="0" w:color="auto"/>
                    <w:right w:val="none" w:sz="0" w:space="0" w:color="auto"/>
                  </w:divBdr>
                  <w:divsChild>
                    <w:div w:id="11077707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45242851">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58617630">
      <w:bodyDiv w:val="1"/>
      <w:marLeft w:val="0"/>
      <w:marRight w:val="0"/>
      <w:marTop w:val="0"/>
      <w:marBottom w:val="0"/>
      <w:divBdr>
        <w:top w:val="none" w:sz="0" w:space="0" w:color="auto"/>
        <w:left w:val="none" w:sz="0" w:space="0" w:color="auto"/>
        <w:bottom w:val="none" w:sz="0" w:space="0" w:color="auto"/>
        <w:right w:val="none" w:sz="0" w:space="0" w:color="auto"/>
      </w:divBdr>
      <w:divsChild>
        <w:div w:id="460343283">
          <w:marLeft w:val="0"/>
          <w:marRight w:val="0"/>
          <w:marTop w:val="0"/>
          <w:marBottom w:val="0"/>
          <w:divBdr>
            <w:top w:val="none" w:sz="0" w:space="0" w:color="auto"/>
            <w:left w:val="none" w:sz="0" w:space="0" w:color="auto"/>
            <w:bottom w:val="none" w:sz="0" w:space="0" w:color="auto"/>
            <w:right w:val="none" w:sz="0" w:space="0" w:color="auto"/>
          </w:divBdr>
          <w:divsChild>
            <w:div w:id="1138959153">
              <w:marLeft w:val="0"/>
              <w:marRight w:val="0"/>
              <w:marTop w:val="0"/>
              <w:marBottom w:val="0"/>
              <w:divBdr>
                <w:top w:val="none" w:sz="0" w:space="0" w:color="auto"/>
                <w:left w:val="none" w:sz="0" w:space="0" w:color="auto"/>
                <w:bottom w:val="none" w:sz="0" w:space="0" w:color="auto"/>
                <w:right w:val="none" w:sz="0" w:space="0" w:color="auto"/>
              </w:divBdr>
              <w:divsChild>
                <w:div w:id="1398430148">
                  <w:marLeft w:val="0"/>
                  <w:marRight w:val="0"/>
                  <w:marTop w:val="0"/>
                  <w:marBottom w:val="0"/>
                  <w:divBdr>
                    <w:top w:val="none" w:sz="0" w:space="0" w:color="auto"/>
                    <w:left w:val="none" w:sz="0" w:space="0" w:color="auto"/>
                    <w:bottom w:val="none" w:sz="0" w:space="0" w:color="auto"/>
                    <w:right w:val="none" w:sz="0" w:space="0" w:color="auto"/>
                  </w:divBdr>
                  <w:divsChild>
                    <w:div w:id="188110783">
                      <w:marLeft w:val="0"/>
                      <w:marRight w:val="0"/>
                      <w:marTop w:val="0"/>
                      <w:marBottom w:val="0"/>
                      <w:divBdr>
                        <w:top w:val="none" w:sz="0" w:space="0" w:color="auto"/>
                        <w:left w:val="none" w:sz="0" w:space="0" w:color="auto"/>
                        <w:bottom w:val="none" w:sz="0" w:space="0" w:color="auto"/>
                        <w:right w:val="none" w:sz="0" w:space="0" w:color="auto"/>
                      </w:divBdr>
                      <w:divsChild>
                        <w:div w:id="1512144198">
                          <w:marLeft w:val="0"/>
                          <w:marRight w:val="0"/>
                          <w:marTop w:val="0"/>
                          <w:marBottom w:val="0"/>
                          <w:divBdr>
                            <w:top w:val="none" w:sz="0" w:space="0" w:color="auto"/>
                            <w:left w:val="none" w:sz="0" w:space="0" w:color="auto"/>
                            <w:bottom w:val="none" w:sz="0" w:space="0" w:color="auto"/>
                            <w:right w:val="none" w:sz="0" w:space="0" w:color="auto"/>
                          </w:divBdr>
                          <w:divsChild>
                            <w:div w:id="536044300">
                              <w:marLeft w:val="0"/>
                              <w:marRight w:val="0"/>
                              <w:marTop w:val="0"/>
                              <w:marBottom w:val="0"/>
                              <w:divBdr>
                                <w:top w:val="none" w:sz="0" w:space="0" w:color="auto"/>
                                <w:left w:val="none" w:sz="0" w:space="0" w:color="auto"/>
                                <w:bottom w:val="none" w:sz="0" w:space="0" w:color="auto"/>
                                <w:right w:val="none" w:sz="0" w:space="0" w:color="auto"/>
                              </w:divBdr>
                              <w:divsChild>
                                <w:div w:id="1904564428">
                                  <w:marLeft w:val="0"/>
                                  <w:marRight w:val="0"/>
                                  <w:marTop w:val="0"/>
                                  <w:marBottom w:val="0"/>
                                  <w:divBdr>
                                    <w:top w:val="none" w:sz="0" w:space="0" w:color="auto"/>
                                    <w:left w:val="none" w:sz="0" w:space="0" w:color="auto"/>
                                    <w:bottom w:val="none" w:sz="0" w:space="0" w:color="auto"/>
                                    <w:right w:val="none" w:sz="0" w:space="0" w:color="auto"/>
                                  </w:divBdr>
                                  <w:divsChild>
                                    <w:div w:id="3726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319578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34559200">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59847895">
      <w:bodyDiv w:val="1"/>
      <w:marLeft w:val="0"/>
      <w:marRight w:val="0"/>
      <w:marTop w:val="0"/>
      <w:marBottom w:val="0"/>
      <w:divBdr>
        <w:top w:val="none" w:sz="0" w:space="0" w:color="auto"/>
        <w:left w:val="none" w:sz="0" w:space="0" w:color="auto"/>
        <w:bottom w:val="none" w:sz="0" w:space="0" w:color="auto"/>
        <w:right w:val="none" w:sz="0" w:space="0" w:color="auto"/>
      </w:divBdr>
      <w:divsChild>
        <w:div w:id="671185798">
          <w:marLeft w:val="0"/>
          <w:marRight w:val="0"/>
          <w:marTop w:val="0"/>
          <w:marBottom w:val="0"/>
          <w:divBdr>
            <w:top w:val="none" w:sz="0" w:space="0" w:color="auto"/>
            <w:left w:val="none" w:sz="0" w:space="0" w:color="auto"/>
            <w:bottom w:val="none" w:sz="0" w:space="0" w:color="auto"/>
            <w:right w:val="none" w:sz="0" w:space="0" w:color="auto"/>
          </w:divBdr>
          <w:divsChild>
            <w:div w:id="1058358291">
              <w:marLeft w:val="0"/>
              <w:marRight w:val="0"/>
              <w:marTop w:val="0"/>
              <w:marBottom w:val="0"/>
              <w:divBdr>
                <w:top w:val="none" w:sz="0" w:space="0" w:color="auto"/>
                <w:left w:val="none" w:sz="0" w:space="0" w:color="auto"/>
                <w:bottom w:val="none" w:sz="0" w:space="0" w:color="auto"/>
                <w:right w:val="none" w:sz="0" w:space="0" w:color="auto"/>
              </w:divBdr>
              <w:divsChild>
                <w:div w:id="2032609548">
                  <w:marLeft w:val="0"/>
                  <w:marRight w:val="0"/>
                  <w:marTop w:val="0"/>
                  <w:marBottom w:val="0"/>
                  <w:divBdr>
                    <w:top w:val="none" w:sz="0" w:space="0" w:color="auto"/>
                    <w:left w:val="none" w:sz="0" w:space="0" w:color="auto"/>
                    <w:bottom w:val="none" w:sz="0" w:space="0" w:color="auto"/>
                    <w:right w:val="none" w:sz="0" w:space="0" w:color="auto"/>
                  </w:divBdr>
                  <w:divsChild>
                    <w:div w:id="855459504">
                      <w:marLeft w:val="0"/>
                      <w:marRight w:val="0"/>
                      <w:marTop w:val="0"/>
                      <w:marBottom w:val="0"/>
                      <w:divBdr>
                        <w:top w:val="none" w:sz="0" w:space="0" w:color="auto"/>
                        <w:left w:val="none" w:sz="0" w:space="0" w:color="auto"/>
                        <w:bottom w:val="none" w:sz="0" w:space="0" w:color="auto"/>
                        <w:right w:val="none" w:sz="0" w:space="0" w:color="auto"/>
                      </w:divBdr>
                      <w:divsChild>
                        <w:div w:id="710769821">
                          <w:marLeft w:val="0"/>
                          <w:marRight w:val="0"/>
                          <w:marTop w:val="0"/>
                          <w:marBottom w:val="0"/>
                          <w:divBdr>
                            <w:top w:val="none" w:sz="0" w:space="0" w:color="auto"/>
                            <w:left w:val="none" w:sz="0" w:space="0" w:color="auto"/>
                            <w:bottom w:val="none" w:sz="0" w:space="0" w:color="auto"/>
                            <w:right w:val="none" w:sz="0" w:space="0" w:color="auto"/>
                          </w:divBdr>
                          <w:divsChild>
                            <w:div w:id="718020938">
                              <w:marLeft w:val="0"/>
                              <w:marRight w:val="0"/>
                              <w:marTop w:val="0"/>
                              <w:marBottom w:val="0"/>
                              <w:divBdr>
                                <w:top w:val="none" w:sz="0" w:space="0" w:color="auto"/>
                                <w:left w:val="none" w:sz="0" w:space="0" w:color="auto"/>
                                <w:bottom w:val="none" w:sz="0" w:space="0" w:color="auto"/>
                                <w:right w:val="none" w:sz="0" w:space="0" w:color="auto"/>
                              </w:divBdr>
                              <w:divsChild>
                                <w:div w:id="461768746">
                                  <w:marLeft w:val="0"/>
                                  <w:marRight w:val="0"/>
                                  <w:marTop w:val="0"/>
                                  <w:marBottom w:val="0"/>
                                  <w:divBdr>
                                    <w:top w:val="none" w:sz="0" w:space="0" w:color="auto"/>
                                    <w:left w:val="none" w:sz="0" w:space="0" w:color="auto"/>
                                    <w:bottom w:val="none" w:sz="0" w:space="0" w:color="auto"/>
                                    <w:right w:val="none" w:sz="0" w:space="0" w:color="auto"/>
                                  </w:divBdr>
                                  <w:divsChild>
                                    <w:div w:id="5759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15E7-D675-4802-85F6-1B5A74C5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2719</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3</cp:revision>
  <cp:lastPrinted>2011-12-22T12:30:00Z</cp:lastPrinted>
  <dcterms:created xsi:type="dcterms:W3CDTF">2012-02-14T14:26:00Z</dcterms:created>
  <dcterms:modified xsi:type="dcterms:W3CDTF">2012-02-14T14:46:00Z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