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26C5C" w:rsidRDefault="00540BEF" w:rsidP="00190E48">
      <w:pPr>
        <w:tabs>
          <w:tab w:val="left" w:pos="288"/>
          <w:tab w:val="left" w:pos="4752"/>
        </w:tabs>
        <w:spacing w:line="240" w:lineRule="exact"/>
        <w:jc w:val="center"/>
        <w:rPr>
          <w:rFonts w:asciiTheme="minorHAnsi" w:hAnsiTheme="minorHAnsi"/>
          <w:color w:val="auto"/>
        </w:rPr>
      </w:pPr>
      <w:r w:rsidRPr="00D26C5C">
        <w:rPr>
          <w:rFonts w:asciiTheme="minorHAnsi" w:hAnsiTheme="minorHAnsi"/>
          <w:color w:val="auto"/>
        </w:rPr>
        <w:t>RECORD OF PROCEEDINGS</w:t>
      </w:r>
    </w:p>
    <w:p w:rsidR="00540BEF" w:rsidRPr="00D26C5C" w:rsidRDefault="00540BEF" w:rsidP="00190E48">
      <w:pPr>
        <w:tabs>
          <w:tab w:val="left" w:pos="288"/>
          <w:tab w:val="left" w:pos="4752"/>
        </w:tabs>
        <w:spacing w:line="240" w:lineRule="exact"/>
        <w:jc w:val="center"/>
        <w:rPr>
          <w:rFonts w:asciiTheme="minorHAnsi" w:hAnsiTheme="minorHAnsi"/>
          <w:color w:val="auto"/>
        </w:rPr>
      </w:pPr>
      <w:r w:rsidRPr="00D26C5C">
        <w:rPr>
          <w:rFonts w:asciiTheme="minorHAnsi" w:hAnsiTheme="minorHAnsi"/>
          <w:color w:val="auto"/>
        </w:rPr>
        <w:t>PHYSICAL DISABILITY BOARD OF REVIEW</w:t>
      </w:r>
    </w:p>
    <w:p w:rsidR="00540BEF" w:rsidRPr="00D26C5C" w:rsidRDefault="00540BEF" w:rsidP="00190E48">
      <w:pPr>
        <w:tabs>
          <w:tab w:val="left" w:pos="288"/>
          <w:tab w:val="left" w:pos="4752"/>
        </w:tabs>
        <w:spacing w:line="240" w:lineRule="exact"/>
        <w:jc w:val="both"/>
        <w:rPr>
          <w:rFonts w:asciiTheme="minorHAnsi" w:hAnsiTheme="minorHAnsi"/>
          <w:caps/>
          <w:color w:val="auto"/>
        </w:rPr>
      </w:pPr>
    </w:p>
    <w:p w:rsidR="009F2D1A" w:rsidRPr="00D26C5C" w:rsidRDefault="00566712" w:rsidP="000F3863">
      <w:pPr>
        <w:tabs>
          <w:tab w:val="left" w:pos="288"/>
          <w:tab w:val="left" w:pos="5580"/>
          <w:tab w:val="left" w:pos="9270"/>
        </w:tabs>
        <w:spacing w:line="240" w:lineRule="exact"/>
        <w:jc w:val="both"/>
        <w:rPr>
          <w:rFonts w:asciiTheme="minorHAnsi" w:hAnsiTheme="minorHAnsi"/>
          <w:caps/>
          <w:color w:val="auto"/>
        </w:rPr>
      </w:pPr>
      <w:r w:rsidRPr="00D26C5C">
        <w:rPr>
          <w:rFonts w:asciiTheme="minorHAnsi" w:hAnsiTheme="minorHAnsi"/>
          <w:caps/>
          <w:color w:val="auto"/>
        </w:rPr>
        <w:t xml:space="preserve">NAME:  </w:t>
      </w:r>
      <w:r w:rsidR="000F3863">
        <w:rPr>
          <w:rFonts w:asciiTheme="minorHAnsi" w:hAnsiTheme="minorHAnsi"/>
          <w:caps/>
          <w:color w:val="auto"/>
        </w:rPr>
        <w:t xml:space="preserve"> </w:t>
      </w:r>
      <w:r w:rsidR="007C743C" w:rsidRPr="00D26C5C">
        <w:rPr>
          <w:rFonts w:asciiTheme="minorHAnsi" w:hAnsiTheme="minorHAnsi"/>
          <w:caps/>
          <w:color w:val="auto"/>
        </w:rPr>
        <w:t xml:space="preserve">             </w:t>
      </w:r>
      <w:r w:rsidR="00AF3F66" w:rsidRPr="00D26C5C">
        <w:rPr>
          <w:rFonts w:asciiTheme="minorHAnsi" w:hAnsiTheme="minorHAnsi"/>
          <w:caps/>
          <w:color w:val="auto"/>
        </w:rPr>
        <w:t xml:space="preserve">                                  </w:t>
      </w:r>
      <w:r w:rsidR="00DD07CD" w:rsidRPr="00D26C5C">
        <w:rPr>
          <w:rFonts w:asciiTheme="minorHAnsi" w:hAnsiTheme="minorHAnsi"/>
          <w:caps/>
          <w:color w:val="auto"/>
        </w:rPr>
        <w:t xml:space="preserve">    </w:t>
      </w:r>
      <w:r w:rsidR="009F2D1A" w:rsidRPr="00D26C5C">
        <w:rPr>
          <w:rFonts w:asciiTheme="minorHAnsi" w:hAnsiTheme="minorHAnsi"/>
          <w:caps/>
          <w:color w:val="auto"/>
        </w:rPr>
        <w:t xml:space="preserve"> </w:t>
      </w:r>
      <w:r w:rsidR="00DD07CD" w:rsidRPr="00D26C5C">
        <w:rPr>
          <w:rFonts w:asciiTheme="minorHAnsi" w:hAnsiTheme="minorHAnsi"/>
          <w:caps/>
          <w:color w:val="auto"/>
        </w:rPr>
        <w:t xml:space="preserve"> </w:t>
      </w:r>
      <w:r w:rsidR="000F3863">
        <w:rPr>
          <w:rFonts w:asciiTheme="minorHAnsi" w:hAnsiTheme="minorHAnsi"/>
          <w:caps/>
          <w:color w:val="auto"/>
        </w:rPr>
        <w:tab/>
      </w:r>
      <w:r w:rsidR="00AF3F66" w:rsidRPr="00D26C5C">
        <w:rPr>
          <w:rFonts w:asciiTheme="minorHAnsi" w:hAnsiTheme="minorHAnsi"/>
          <w:caps/>
          <w:color w:val="auto"/>
        </w:rPr>
        <w:t>b</w:t>
      </w:r>
      <w:r w:rsidR="001E669C" w:rsidRPr="00D26C5C">
        <w:rPr>
          <w:rFonts w:asciiTheme="minorHAnsi" w:hAnsiTheme="minorHAnsi"/>
          <w:caps/>
          <w:color w:val="auto"/>
        </w:rPr>
        <w:t xml:space="preserve">RANCH OF SERVICE: </w:t>
      </w:r>
      <w:r w:rsidR="00AF3F66" w:rsidRPr="00D26C5C">
        <w:rPr>
          <w:rFonts w:asciiTheme="minorHAnsi" w:hAnsiTheme="minorHAnsi"/>
          <w:caps/>
          <w:color w:val="auto"/>
        </w:rPr>
        <w:t xml:space="preserve"> </w:t>
      </w:r>
      <w:r w:rsidR="001E669C" w:rsidRPr="00D26C5C">
        <w:rPr>
          <w:rFonts w:asciiTheme="minorHAnsi" w:hAnsiTheme="minorHAnsi"/>
          <w:caps/>
          <w:color w:val="auto"/>
        </w:rPr>
        <w:t>marine corps</w:t>
      </w:r>
    </w:p>
    <w:p w:rsidR="001E669C" w:rsidRPr="00D26C5C"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D26C5C">
        <w:rPr>
          <w:rFonts w:asciiTheme="minorHAnsi" w:hAnsiTheme="minorHAnsi"/>
          <w:caps/>
          <w:color w:val="auto"/>
        </w:rPr>
        <w:t>CASE NUMBER:  PD</w:t>
      </w:r>
      <w:r w:rsidR="00AF3F66" w:rsidRPr="00D26C5C">
        <w:rPr>
          <w:rFonts w:asciiTheme="minorHAnsi" w:hAnsiTheme="minorHAnsi"/>
          <w:caps/>
          <w:color w:val="auto"/>
        </w:rPr>
        <w:t>1001121</w:t>
      </w:r>
      <w:r w:rsidRPr="00D26C5C">
        <w:rPr>
          <w:rFonts w:asciiTheme="minorHAnsi" w:hAnsiTheme="minorHAnsi"/>
          <w:color w:val="auto"/>
        </w:rPr>
        <w:tab/>
      </w:r>
      <w:r w:rsidR="00566712" w:rsidRPr="00D26C5C">
        <w:rPr>
          <w:rFonts w:asciiTheme="minorHAnsi" w:hAnsiTheme="minorHAnsi"/>
          <w:color w:val="auto"/>
        </w:rPr>
        <w:t xml:space="preserve">                             </w:t>
      </w:r>
      <w:r w:rsidR="00F27E3B" w:rsidRPr="00D26C5C">
        <w:rPr>
          <w:rFonts w:asciiTheme="minorHAnsi" w:hAnsiTheme="minorHAnsi"/>
          <w:color w:val="auto"/>
        </w:rPr>
        <w:t xml:space="preserve">  </w:t>
      </w:r>
      <w:r w:rsidR="00566712" w:rsidRPr="00D26C5C">
        <w:rPr>
          <w:rFonts w:asciiTheme="minorHAnsi" w:hAnsiTheme="minorHAnsi"/>
          <w:color w:val="auto"/>
        </w:rPr>
        <w:t>TDRL ENTRY DATE:</w:t>
      </w:r>
      <w:r w:rsidR="00F27E3B" w:rsidRPr="00D26C5C">
        <w:rPr>
          <w:rFonts w:asciiTheme="minorHAnsi" w:hAnsiTheme="minorHAnsi"/>
          <w:color w:val="auto"/>
        </w:rPr>
        <w:t xml:space="preserve"> </w:t>
      </w:r>
      <w:r w:rsidRPr="00D26C5C">
        <w:rPr>
          <w:rFonts w:asciiTheme="minorHAnsi" w:hAnsiTheme="minorHAnsi"/>
          <w:color w:val="auto"/>
        </w:rPr>
        <w:t xml:space="preserve"> </w:t>
      </w:r>
      <w:r w:rsidR="00AF3F66" w:rsidRPr="00D26C5C">
        <w:rPr>
          <w:rFonts w:asciiTheme="minorHAnsi" w:hAnsiTheme="minorHAnsi"/>
          <w:color w:val="auto"/>
        </w:rPr>
        <w:t>20061014</w:t>
      </w:r>
    </w:p>
    <w:p w:rsidR="004A15D1" w:rsidRPr="00D26C5C" w:rsidRDefault="001E669C" w:rsidP="001E669C">
      <w:pPr>
        <w:tabs>
          <w:tab w:val="left" w:pos="288"/>
          <w:tab w:val="left" w:pos="5130"/>
        </w:tabs>
        <w:spacing w:line="240" w:lineRule="exact"/>
        <w:jc w:val="both"/>
        <w:rPr>
          <w:rFonts w:asciiTheme="minorHAnsi" w:hAnsiTheme="minorHAnsi"/>
          <w:caps/>
          <w:color w:val="auto"/>
        </w:rPr>
      </w:pPr>
      <w:r w:rsidRPr="00D26C5C">
        <w:rPr>
          <w:rFonts w:asciiTheme="minorHAnsi" w:hAnsiTheme="minorHAnsi"/>
          <w:caps/>
          <w:color w:val="auto"/>
        </w:rPr>
        <w:t>BOARD DATE:  2011</w:t>
      </w:r>
      <w:r w:rsidR="00B55327" w:rsidRPr="00D26C5C">
        <w:rPr>
          <w:rFonts w:asciiTheme="minorHAnsi" w:hAnsiTheme="minorHAnsi"/>
          <w:caps/>
          <w:color w:val="auto"/>
        </w:rPr>
        <w:t>1102</w:t>
      </w:r>
      <w:r w:rsidR="002C55B1" w:rsidRPr="00D26C5C">
        <w:rPr>
          <w:rFonts w:asciiTheme="minorHAnsi" w:hAnsiTheme="minorHAnsi"/>
          <w:caps/>
          <w:color w:val="auto"/>
        </w:rPr>
        <w:t xml:space="preserve">                                                  </w:t>
      </w:r>
      <w:r w:rsidR="009F2D1A" w:rsidRPr="00D26C5C">
        <w:rPr>
          <w:rFonts w:asciiTheme="minorHAnsi" w:hAnsiTheme="minorHAnsi"/>
          <w:caps/>
          <w:color w:val="auto"/>
        </w:rPr>
        <w:t xml:space="preserve">      </w:t>
      </w:r>
      <w:r w:rsidR="002C55B1" w:rsidRPr="00D26C5C">
        <w:rPr>
          <w:rFonts w:asciiTheme="minorHAnsi" w:hAnsiTheme="minorHAnsi"/>
          <w:caps/>
          <w:color w:val="auto"/>
        </w:rPr>
        <w:t xml:space="preserve">                </w:t>
      </w:r>
      <w:r w:rsidR="00F27E3B" w:rsidRPr="00D26C5C">
        <w:rPr>
          <w:rFonts w:asciiTheme="minorHAnsi" w:hAnsiTheme="minorHAnsi"/>
          <w:caps/>
          <w:color w:val="auto"/>
        </w:rPr>
        <w:t xml:space="preserve"> </w:t>
      </w:r>
      <w:r w:rsidR="00061B90" w:rsidRPr="00D26C5C">
        <w:rPr>
          <w:rFonts w:asciiTheme="minorHAnsi" w:hAnsiTheme="minorHAnsi"/>
          <w:caps/>
          <w:color w:val="auto"/>
        </w:rPr>
        <w:t xml:space="preserve">    </w:t>
      </w:r>
      <w:r w:rsidR="00F27E3B" w:rsidRPr="00D26C5C">
        <w:rPr>
          <w:rFonts w:asciiTheme="minorHAnsi" w:hAnsiTheme="minorHAnsi"/>
          <w:caps/>
          <w:color w:val="auto"/>
        </w:rPr>
        <w:t xml:space="preserve"> </w:t>
      </w:r>
      <w:r w:rsidR="009F2D1A" w:rsidRPr="00D26C5C">
        <w:rPr>
          <w:rFonts w:asciiTheme="minorHAnsi" w:hAnsiTheme="minorHAnsi"/>
          <w:caps/>
          <w:color w:val="auto"/>
        </w:rPr>
        <w:t>Tdrl exit date:  20090209</w:t>
      </w:r>
    </w:p>
    <w:p w:rsidR="001E669C" w:rsidRPr="00D26C5C" w:rsidRDefault="001E669C"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106AD8" w:rsidRPr="00D26C5C" w:rsidRDefault="00106AD8" w:rsidP="00106AD8">
      <w:pPr>
        <w:tabs>
          <w:tab w:val="left" w:pos="288"/>
          <w:tab w:val="left" w:pos="4752"/>
        </w:tabs>
        <w:spacing w:line="240" w:lineRule="exact"/>
        <w:rPr>
          <w:rFonts w:ascii="Calibri" w:hAnsi="Calibri"/>
          <w:color w:val="auto"/>
          <w:szCs w:val="24"/>
        </w:rPr>
      </w:pPr>
    </w:p>
    <w:p w:rsidR="00AF3F66" w:rsidRPr="00D26C5C" w:rsidRDefault="002C6E5B" w:rsidP="0075000E">
      <w:pPr>
        <w:tabs>
          <w:tab w:val="left" w:pos="288"/>
          <w:tab w:val="left" w:pos="4752"/>
        </w:tabs>
        <w:spacing w:line="240" w:lineRule="exact"/>
        <w:jc w:val="both"/>
        <w:rPr>
          <w:rFonts w:asciiTheme="minorHAnsi" w:hAnsiTheme="minorHAnsi"/>
          <w:color w:val="auto"/>
          <w:szCs w:val="24"/>
        </w:rPr>
      </w:pPr>
      <w:r w:rsidRPr="00D26C5C">
        <w:rPr>
          <w:rFonts w:asciiTheme="minorHAnsi" w:hAnsiTheme="minorHAnsi"/>
          <w:color w:val="auto"/>
          <w:u w:val="single"/>
        </w:rPr>
        <w:t>SUMMARY OF CASE</w:t>
      </w:r>
      <w:r w:rsidRPr="00D26C5C">
        <w:rPr>
          <w:rFonts w:asciiTheme="minorHAnsi" w:hAnsiTheme="minorHAnsi"/>
          <w:color w:val="auto"/>
        </w:rPr>
        <w:t xml:space="preserve">:  </w:t>
      </w:r>
      <w:r w:rsidR="00AF3F66" w:rsidRPr="00D26C5C">
        <w:rPr>
          <w:rFonts w:asciiTheme="minorHAnsi" w:hAnsiTheme="minorHAnsi"/>
          <w:color w:val="auto"/>
        </w:rPr>
        <w:t xml:space="preserve">Data extracted from the available evidence of record reflects that this covered individual (CI) </w:t>
      </w:r>
      <w:r w:rsidR="00AF3F66" w:rsidRPr="00D26C5C">
        <w:rPr>
          <w:rFonts w:asciiTheme="minorHAnsi" w:hAnsiTheme="minorHAnsi"/>
          <w:color w:val="auto"/>
          <w:szCs w:val="24"/>
        </w:rPr>
        <w:t xml:space="preserve">was an active duty member, PFC/E-3 (9900 / Basic Marine), medically separated for T12 </w:t>
      </w:r>
      <w:r w:rsidR="001E14C0" w:rsidRPr="00D26C5C">
        <w:rPr>
          <w:rFonts w:asciiTheme="minorHAnsi" w:hAnsiTheme="minorHAnsi"/>
          <w:color w:val="auto"/>
          <w:szCs w:val="24"/>
        </w:rPr>
        <w:t xml:space="preserve">(thoracic spine) </w:t>
      </w:r>
      <w:r w:rsidR="00AF3F66" w:rsidRPr="00D26C5C">
        <w:rPr>
          <w:rFonts w:asciiTheme="minorHAnsi" w:hAnsiTheme="minorHAnsi"/>
          <w:color w:val="auto"/>
          <w:szCs w:val="24"/>
        </w:rPr>
        <w:t xml:space="preserve">burst fracture.  In </w:t>
      </w:r>
      <w:r w:rsidR="00C33A45" w:rsidRPr="00D26C5C">
        <w:rPr>
          <w:rFonts w:asciiTheme="minorHAnsi" w:hAnsiTheme="minorHAnsi"/>
          <w:color w:val="auto"/>
          <w:szCs w:val="24"/>
        </w:rPr>
        <w:t xml:space="preserve">July </w:t>
      </w:r>
      <w:r w:rsidR="00AF3F66" w:rsidRPr="00D26C5C">
        <w:rPr>
          <w:rFonts w:asciiTheme="minorHAnsi" w:hAnsiTheme="minorHAnsi"/>
          <w:color w:val="auto"/>
          <w:szCs w:val="24"/>
        </w:rPr>
        <w:t xml:space="preserve">2006, the CI fell approximately 15 feet to the ground while fast roping at a repel tower on day 49 of recruit training, sustaining a compression fracture at T12 with no neurological </w:t>
      </w:r>
      <w:r w:rsidR="00F27E3B" w:rsidRPr="00D26C5C">
        <w:rPr>
          <w:rFonts w:asciiTheme="minorHAnsi" w:hAnsiTheme="minorHAnsi"/>
          <w:color w:val="auto"/>
          <w:szCs w:val="24"/>
        </w:rPr>
        <w:t>symptoms.  T</w:t>
      </w:r>
      <w:r w:rsidR="005F5201" w:rsidRPr="00D26C5C">
        <w:rPr>
          <w:rFonts w:asciiTheme="minorHAnsi" w:hAnsiTheme="minorHAnsi"/>
          <w:color w:val="auto"/>
          <w:szCs w:val="24"/>
        </w:rPr>
        <w:t>he</w:t>
      </w:r>
      <w:r w:rsidR="00F27E3B" w:rsidRPr="00D26C5C">
        <w:rPr>
          <w:rFonts w:asciiTheme="minorHAnsi" w:hAnsiTheme="minorHAnsi"/>
          <w:color w:val="auto"/>
          <w:szCs w:val="24"/>
        </w:rPr>
        <w:t xml:space="preserve"> CI</w:t>
      </w:r>
      <w:r w:rsidR="005F5201" w:rsidRPr="00D26C5C">
        <w:rPr>
          <w:rFonts w:asciiTheme="minorHAnsi" w:hAnsiTheme="minorHAnsi"/>
          <w:color w:val="auto"/>
          <w:szCs w:val="24"/>
        </w:rPr>
        <w:t xml:space="preserve"> was treated by </w:t>
      </w:r>
      <w:r w:rsidR="00AB1C23">
        <w:rPr>
          <w:rFonts w:asciiTheme="minorHAnsi" w:hAnsiTheme="minorHAnsi"/>
          <w:color w:val="auto"/>
          <w:szCs w:val="24"/>
        </w:rPr>
        <w:t>o</w:t>
      </w:r>
      <w:r w:rsidR="0075000E" w:rsidRPr="00D26C5C">
        <w:rPr>
          <w:rFonts w:asciiTheme="minorHAnsi" w:hAnsiTheme="minorHAnsi"/>
          <w:color w:val="auto"/>
          <w:szCs w:val="24"/>
        </w:rPr>
        <w:t>rthopedics</w:t>
      </w:r>
      <w:r w:rsidR="005F5201" w:rsidRPr="00D26C5C">
        <w:rPr>
          <w:rFonts w:asciiTheme="minorHAnsi" w:hAnsiTheme="minorHAnsi"/>
          <w:color w:val="auto"/>
          <w:szCs w:val="24"/>
        </w:rPr>
        <w:t xml:space="preserve"> with pain management,</w:t>
      </w:r>
      <w:r w:rsidR="00AF3F66" w:rsidRPr="00D26C5C">
        <w:rPr>
          <w:rFonts w:asciiTheme="minorHAnsi" w:hAnsiTheme="minorHAnsi"/>
          <w:color w:val="auto"/>
          <w:szCs w:val="24"/>
        </w:rPr>
        <w:t xml:space="preserve"> physical </w:t>
      </w:r>
      <w:r w:rsidR="0075000E" w:rsidRPr="00D26C5C">
        <w:rPr>
          <w:rFonts w:asciiTheme="minorHAnsi" w:hAnsiTheme="minorHAnsi"/>
          <w:color w:val="auto"/>
          <w:szCs w:val="24"/>
        </w:rPr>
        <w:t>therapy (</w:t>
      </w:r>
      <w:r w:rsidR="005F5201" w:rsidRPr="00D26C5C">
        <w:rPr>
          <w:rFonts w:asciiTheme="minorHAnsi" w:hAnsiTheme="minorHAnsi"/>
          <w:color w:val="auto"/>
          <w:szCs w:val="24"/>
        </w:rPr>
        <w:t>PT)</w:t>
      </w:r>
      <w:r w:rsidR="00AF3F66" w:rsidRPr="00D26C5C">
        <w:rPr>
          <w:rFonts w:asciiTheme="minorHAnsi" w:hAnsiTheme="minorHAnsi"/>
          <w:color w:val="auto"/>
          <w:szCs w:val="24"/>
        </w:rPr>
        <w:t xml:space="preserve">, and placed in a </w:t>
      </w:r>
      <w:r w:rsidR="001E14C0" w:rsidRPr="00D26C5C">
        <w:rPr>
          <w:rFonts w:asciiTheme="minorHAnsi" w:hAnsiTheme="minorHAnsi"/>
          <w:color w:val="auto"/>
          <w:szCs w:val="24"/>
        </w:rPr>
        <w:t>brace</w:t>
      </w:r>
      <w:r w:rsidR="0075000E" w:rsidRPr="00D26C5C">
        <w:rPr>
          <w:rFonts w:asciiTheme="minorHAnsi" w:hAnsiTheme="minorHAnsi"/>
          <w:color w:val="auto"/>
          <w:szCs w:val="24"/>
        </w:rPr>
        <w:t xml:space="preserve"> (</w:t>
      </w:r>
      <w:r w:rsidR="00A07676" w:rsidRPr="00D26C5C">
        <w:rPr>
          <w:rFonts w:asciiTheme="minorHAnsi" w:hAnsiTheme="minorHAnsi"/>
          <w:color w:val="auto"/>
          <w:szCs w:val="24"/>
        </w:rPr>
        <w:t>TLSO-</w:t>
      </w:r>
      <w:r w:rsidR="00AB1C23">
        <w:rPr>
          <w:rFonts w:asciiTheme="minorHAnsi" w:hAnsiTheme="minorHAnsi"/>
          <w:color w:val="auto"/>
          <w:szCs w:val="24"/>
        </w:rPr>
        <w:t xml:space="preserve">thoracic lumbar sacral </w:t>
      </w:r>
      <w:proofErr w:type="spellStart"/>
      <w:r w:rsidR="00AB1C23">
        <w:rPr>
          <w:rFonts w:asciiTheme="minorHAnsi" w:hAnsiTheme="minorHAnsi"/>
          <w:color w:val="auto"/>
          <w:szCs w:val="24"/>
        </w:rPr>
        <w:t>o</w:t>
      </w:r>
      <w:r w:rsidR="005F5201" w:rsidRPr="00D26C5C">
        <w:rPr>
          <w:rFonts w:asciiTheme="minorHAnsi" w:hAnsiTheme="minorHAnsi"/>
          <w:color w:val="auto"/>
          <w:szCs w:val="24"/>
        </w:rPr>
        <w:t>rthosis</w:t>
      </w:r>
      <w:proofErr w:type="spellEnd"/>
      <w:r w:rsidR="005F5201" w:rsidRPr="00D26C5C">
        <w:rPr>
          <w:rFonts w:asciiTheme="minorHAnsi" w:hAnsiTheme="minorHAnsi"/>
          <w:color w:val="auto"/>
          <w:szCs w:val="24"/>
        </w:rPr>
        <w:t>)</w:t>
      </w:r>
      <w:r w:rsidR="00AF3F66" w:rsidRPr="00D26C5C">
        <w:rPr>
          <w:rFonts w:asciiTheme="minorHAnsi" w:hAnsiTheme="minorHAnsi"/>
          <w:color w:val="auto"/>
          <w:szCs w:val="24"/>
        </w:rPr>
        <w:t>.  The CI did not respond adequately to treatment and was unable to perform within her military occupational specialty (MOS), or mee</w:t>
      </w:r>
      <w:r w:rsidR="00F27E3B" w:rsidRPr="00D26C5C">
        <w:rPr>
          <w:rFonts w:asciiTheme="minorHAnsi" w:hAnsiTheme="minorHAnsi"/>
          <w:color w:val="auto"/>
          <w:szCs w:val="24"/>
        </w:rPr>
        <w:t>t physical fitness standards.  T</w:t>
      </w:r>
      <w:r w:rsidR="00AF3F66" w:rsidRPr="00D26C5C">
        <w:rPr>
          <w:rFonts w:asciiTheme="minorHAnsi" w:hAnsiTheme="minorHAnsi"/>
          <w:color w:val="auto"/>
          <w:szCs w:val="24"/>
        </w:rPr>
        <w:t xml:space="preserve">he </w:t>
      </w:r>
      <w:r w:rsidR="00F27E3B" w:rsidRPr="00D26C5C">
        <w:rPr>
          <w:rFonts w:asciiTheme="minorHAnsi" w:hAnsiTheme="minorHAnsi"/>
          <w:color w:val="auto"/>
          <w:szCs w:val="24"/>
        </w:rPr>
        <w:t xml:space="preserve">CI </w:t>
      </w:r>
      <w:r w:rsidR="00AF3F66" w:rsidRPr="00D26C5C">
        <w:rPr>
          <w:rFonts w:asciiTheme="minorHAnsi" w:hAnsiTheme="minorHAnsi"/>
          <w:color w:val="auto"/>
          <w:szCs w:val="24"/>
        </w:rPr>
        <w:t xml:space="preserve">was placed on limited </w:t>
      </w:r>
      <w:r w:rsidR="0075000E" w:rsidRPr="00D26C5C">
        <w:rPr>
          <w:rFonts w:asciiTheme="minorHAnsi" w:hAnsiTheme="minorHAnsi"/>
          <w:color w:val="auto"/>
          <w:szCs w:val="24"/>
        </w:rPr>
        <w:t>duty (</w:t>
      </w:r>
      <w:r w:rsidR="005F5201" w:rsidRPr="00D26C5C">
        <w:rPr>
          <w:rFonts w:asciiTheme="minorHAnsi" w:hAnsiTheme="minorHAnsi"/>
          <w:color w:val="auto"/>
          <w:szCs w:val="24"/>
        </w:rPr>
        <w:t>LIMDU)</w:t>
      </w:r>
      <w:r w:rsidR="00AF3F66" w:rsidRPr="00D26C5C">
        <w:rPr>
          <w:rFonts w:asciiTheme="minorHAnsi" w:hAnsiTheme="minorHAnsi"/>
          <w:color w:val="auto"/>
          <w:szCs w:val="24"/>
        </w:rPr>
        <w:t xml:space="preserve"> and underwent a Medical Evaluat</w:t>
      </w:r>
      <w:r w:rsidR="005F5201" w:rsidRPr="00D26C5C">
        <w:rPr>
          <w:rFonts w:asciiTheme="minorHAnsi" w:hAnsiTheme="minorHAnsi"/>
          <w:color w:val="auto"/>
          <w:szCs w:val="24"/>
        </w:rPr>
        <w:t>ion Board (MEB).  The MEB found</w:t>
      </w:r>
      <w:r w:rsidR="00AF3F66" w:rsidRPr="00D26C5C">
        <w:rPr>
          <w:rFonts w:asciiTheme="minorHAnsi" w:hAnsiTheme="minorHAnsi"/>
          <w:color w:val="auto"/>
          <w:szCs w:val="24"/>
        </w:rPr>
        <w:t xml:space="preserve"> </w:t>
      </w:r>
      <w:r w:rsidR="009C6772">
        <w:rPr>
          <w:rFonts w:asciiTheme="minorHAnsi" w:hAnsiTheme="minorHAnsi"/>
          <w:color w:val="auto"/>
          <w:szCs w:val="24"/>
        </w:rPr>
        <w:t>“closed f</w:t>
      </w:r>
      <w:r w:rsidR="005F5201" w:rsidRPr="00D26C5C">
        <w:rPr>
          <w:rFonts w:asciiTheme="minorHAnsi" w:hAnsiTheme="minorHAnsi"/>
          <w:color w:val="auto"/>
          <w:szCs w:val="24"/>
        </w:rPr>
        <w:t>racture (</w:t>
      </w:r>
      <w:proofErr w:type="gramStart"/>
      <w:r w:rsidR="00AF3F66" w:rsidRPr="00D26C5C">
        <w:rPr>
          <w:rFonts w:asciiTheme="minorHAnsi" w:hAnsiTheme="minorHAnsi"/>
          <w:color w:val="auto"/>
          <w:szCs w:val="24"/>
        </w:rPr>
        <w:t>Fx</w:t>
      </w:r>
      <w:proofErr w:type="gramEnd"/>
      <w:r w:rsidR="009C6772">
        <w:rPr>
          <w:rFonts w:asciiTheme="minorHAnsi" w:hAnsiTheme="minorHAnsi"/>
          <w:color w:val="auto"/>
          <w:szCs w:val="24"/>
        </w:rPr>
        <w:t>) of dorsal (thoracic) vertebra without mention of spinal c</w:t>
      </w:r>
      <w:r w:rsidR="005F5201" w:rsidRPr="00D26C5C">
        <w:rPr>
          <w:rFonts w:asciiTheme="minorHAnsi" w:hAnsiTheme="minorHAnsi"/>
          <w:color w:val="auto"/>
          <w:szCs w:val="24"/>
        </w:rPr>
        <w:t xml:space="preserve">ord </w:t>
      </w:r>
      <w:r w:rsidR="009C6772">
        <w:rPr>
          <w:rFonts w:asciiTheme="minorHAnsi" w:hAnsiTheme="minorHAnsi"/>
          <w:color w:val="auto"/>
          <w:szCs w:val="24"/>
        </w:rPr>
        <w:t>i</w:t>
      </w:r>
      <w:r w:rsidR="009C6772" w:rsidRPr="00D26C5C">
        <w:rPr>
          <w:rFonts w:asciiTheme="minorHAnsi" w:hAnsiTheme="minorHAnsi"/>
          <w:color w:val="auto"/>
          <w:szCs w:val="24"/>
        </w:rPr>
        <w:t>njury “and</w:t>
      </w:r>
      <w:r w:rsidR="00AF3F66" w:rsidRPr="00D26C5C">
        <w:rPr>
          <w:rFonts w:asciiTheme="minorHAnsi" w:hAnsiTheme="minorHAnsi"/>
          <w:color w:val="auto"/>
          <w:szCs w:val="24"/>
        </w:rPr>
        <w:t xml:space="preserve"> </w:t>
      </w:r>
      <w:r w:rsidR="001E14C0" w:rsidRPr="00D26C5C">
        <w:rPr>
          <w:rFonts w:asciiTheme="minorHAnsi" w:hAnsiTheme="minorHAnsi"/>
          <w:color w:val="auto"/>
          <w:szCs w:val="24"/>
        </w:rPr>
        <w:t>“</w:t>
      </w:r>
      <w:r w:rsidR="009C6772">
        <w:rPr>
          <w:rFonts w:asciiTheme="minorHAnsi" w:hAnsiTheme="minorHAnsi"/>
          <w:color w:val="auto"/>
          <w:szCs w:val="24"/>
        </w:rPr>
        <w:t>unspecified site of ankle sprain and closed fracture of p</w:t>
      </w:r>
      <w:r w:rsidR="005F5201" w:rsidRPr="00D26C5C">
        <w:rPr>
          <w:rFonts w:asciiTheme="minorHAnsi" w:hAnsiTheme="minorHAnsi"/>
          <w:color w:val="auto"/>
          <w:szCs w:val="24"/>
        </w:rPr>
        <w:t>ubis</w:t>
      </w:r>
      <w:r w:rsidR="00AF3F66" w:rsidRPr="00D26C5C">
        <w:rPr>
          <w:rFonts w:asciiTheme="minorHAnsi" w:hAnsiTheme="minorHAnsi"/>
          <w:color w:val="auto"/>
          <w:szCs w:val="24"/>
        </w:rPr>
        <w:t xml:space="preserve">” </w:t>
      </w:r>
      <w:r w:rsidR="00B2707F" w:rsidRPr="00D26C5C">
        <w:rPr>
          <w:rFonts w:asciiTheme="minorHAnsi" w:hAnsiTheme="minorHAnsi"/>
          <w:color w:val="auto"/>
          <w:szCs w:val="24"/>
        </w:rPr>
        <w:t>to the Physical Evaluation Board (PEB) for final disposition on NAVMED 6100/1</w:t>
      </w:r>
      <w:r w:rsidR="00835FB1" w:rsidRPr="00D26C5C">
        <w:rPr>
          <w:rFonts w:asciiTheme="minorHAnsi" w:hAnsiTheme="minorHAnsi"/>
          <w:color w:val="auto"/>
          <w:szCs w:val="24"/>
        </w:rPr>
        <w:t xml:space="preserve">.  </w:t>
      </w:r>
      <w:r w:rsidR="00BD1BB6" w:rsidRPr="00D26C5C">
        <w:rPr>
          <w:rFonts w:asciiTheme="minorHAnsi" w:hAnsiTheme="minorHAnsi"/>
          <w:color w:val="auto"/>
          <w:szCs w:val="24"/>
        </w:rPr>
        <w:t>The PEB found the CI’s medical and physical impairment prevented her from reasonable performance of duties and her condition was not sufficiently</w:t>
      </w:r>
      <w:r w:rsidR="00F27E3B" w:rsidRPr="00D26C5C">
        <w:rPr>
          <w:rFonts w:asciiTheme="minorHAnsi" w:hAnsiTheme="minorHAnsi"/>
          <w:color w:val="auto"/>
          <w:szCs w:val="24"/>
        </w:rPr>
        <w:t xml:space="preserve"> stable for final adjudication.</w:t>
      </w:r>
      <w:r w:rsidR="001E14C0" w:rsidRPr="00D26C5C">
        <w:rPr>
          <w:rFonts w:asciiTheme="minorHAnsi" w:hAnsiTheme="minorHAnsi"/>
          <w:color w:val="auto"/>
          <w:szCs w:val="24"/>
        </w:rPr>
        <w:t xml:space="preserve">  </w:t>
      </w:r>
      <w:r w:rsidR="00F27E3B" w:rsidRPr="00D26C5C">
        <w:rPr>
          <w:rFonts w:asciiTheme="minorHAnsi" w:hAnsiTheme="minorHAnsi"/>
          <w:color w:val="auto"/>
          <w:szCs w:val="24"/>
        </w:rPr>
        <w:t xml:space="preserve">The CI </w:t>
      </w:r>
      <w:r w:rsidR="00BD1BB6" w:rsidRPr="00D26C5C">
        <w:rPr>
          <w:rFonts w:asciiTheme="minorHAnsi" w:hAnsiTheme="minorHAnsi"/>
          <w:color w:val="auto"/>
          <w:szCs w:val="24"/>
        </w:rPr>
        <w:t xml:space="preserve">was placed on Temporary Disability Retired List (TDRL) on </w:t>
      </w:r>
      <w:r w:rsidR="009C6772">
        <w:rPr>
          <w:rFonts w:asciiTheme="minorHAnsi" w:hAnsiTheme="minorHAnsi"/>
          <w:color w:val="auto"/>
          <w:szCs w:val="24"/>
        </w:rPr>
        <w:t>14 October 2006</w:t>
      </w:r>
      <w:r w:rsidR="001E14C0" w:rsidRPr="00D26C5C">
        <w:rPr>
          <w:rFonts w:asciiTheme="minorHAnsi" w:hAnsiTheme="minorHAnsi"/>
          <w:color w:val="auto"/>
          <w:szCs w:val="24"/>
        </w:rPr>
        <w:t xml:space="preserve"> at 30% for the T12 burst fracture</w:t>
      </w:r>
      <w:r w:rsidR="00BD1BB6" w:rsidRPr="00D26C5C">
        <w:rPr>
          <w:rFonts w:asciiTheme="minorHAnsi" w:hAnsiTheme="minorHAnsi"/>
          <w:color w:val="auto"/>
          <w:szCs w:val="24"/>
        </w:rPr>
        <w:t xml:space="preserve">. </w:t>
      </w:r>
      <w:r w:rsidR="00F27E3B" w:rsidRPr="00D26C5C">
        <w:rPr>
          <w:rFonts w:asciiTheme="minorHAnsi" w:hAnsiTheme="minorHAnsi"/>
          <w:color w:val="auto"/>
          <w:szCs w:val="24"/>
        </w:rPr>
        <w:t xml:space="preserve"> </w:t>
      </w:r>
      <w:r w:rsidR="00BD1BB6" w:rsidRPr="00D26C5C">
        <w:rPr>
          <w:rFonts w:asciiTheme="minorHAnsi" w:hAnsiTheme="minorHAnsi"/>
          <w:color w:val="auto"/>
          <w:szCs w:val="24"/>
        </w:rPr>
        <w:t xml:space="preserve">The CI was reevaluated on </w:t>
      </w:r>
      <w:r w:rsidR="009C6772">
        <w:rPr>
          <w:rFonts w:asciiTheme="minorHAnsi" w:hAnsiTheme="minorHAnsi"/>
          <w:color w:val="auto"/>
          <w:szCs w:val="24"/>
        </w:rPr>
        <w:t>24 June 2008</w:t>
      </w:r>
      <w:r w:rsidR="00BD1BB6" w:rsidRPr="00D26C5C">
        <w:rPr>
          <w:rFonts w:asciiTheme="minorHAnsi" w:hAnsiTheme="minorHAnsi"/>
          <w:color w:val="auto"/>
          <w:szCs w:val="24"/>
        </w:rPr>
        <w:t xml:space="preserve"> and a subsequent PEB adjudicated the T12 burst as unfit rated at 10% with probable application of SECNAVINST 1850.4E and Veterans Administration Schedule for Rating Disabilities (VASRD).</w:t>
      </w:r>
      <w:r w:rsidR="00D43E49" w:rsidRPr="00D26C5C">
        <w:rPr>
          <w:rFonts w:asciiTheme="minorHAnsi" w:hAnsiTheme="minorHAnsi"/>
          <w:color w:val="auto"/>
          <w:szCs w:val="24"/>
        </w:rPr>
        <w:t xml:space="preserve">  </w:t>
      </w:r>
      <w:r w:rsidR="00BD1BB6" w:rsidRPr="00D26C5C">
        <w:rPr>
          <w:rFonts w:asciiTheme="minorHAnsi" w:hAnsiTheme="minorHAnsi"/>
          <w:color w:val="auto"/>
          <w:szCs w:val="24"/>
        </w:rPr>
        <w:t xml:space="preserve">The </w:t>
      </w:r>
      <w:r w:rsidR="0075000E" w:rsidRPr="00D26C5C">
        <w:rPr>
          <w:rFonts w:asciiTheme="minorHAnsi" w:hAnsiTheme="minorHAnsi"/>
          <w:color w:val="auto"/>
          <w:szCs w:val="24"/>
        </w:rPr>
        <w:t>PEB adjudicated</w:t>
      </w:r>
      <w:r w:rsidR="009C6772">
        <w:rPr>
          <w:rFonts w:asciiTheme="minorHAnsi" w:hAnsiTheme="minorHAnsi"/>
          <w:color w:val="auto"/>
          <w:szCs w:val="24"/>
        </w:rPr>
        <w:t xml:space="preserve"> the “right inferior pubic </w:t>
      </w:r>
      <w:proofErr w:type="spellStart"/>
      <w:r w:rsidR="009C6772">
        <w:rPr>
          <w:rFonts w:asciiTheme="minorHAnsi" w:hAnsiTheme="minorHAnsi"/>
          <w:color w:val="auto"/>
          <w:szCs w:val="24"/>
        </w:rPr>
        <w:t>rami</w:t>
      </w:r>
      <w:proofErr w:type="spellEnd"/>
      <w:r w:rsidR="009C6772">
        <w:rPr>
          <w:rFonts w:asciiTheme="minorHAnsi" w:hAnsiTheme="minorHAnsi"/>
          <w:color w:val="auto"/>
          <w:szCs w:val="24"/>
        </w:rPr>
        <w:t xml:space="preserve"> stress fracture and left ankle sprain grade 1” as c</w:t>
      </w:r>
      <w:r w:rsidR="00D43E49" w:rsidRPr="00D26C5C">
        <w:rPr>
          <w:rFonts w:asciiTheme="minorHAnsi" w:hAnsiTheme="minorHAnsi"/>
          <w:color w:val="auto"/>
          <w:szCs w:val="24"/>
        </w:rPr>
        <w:t xml:space="preserve">ategory </w:t>
      </w:r>
      <w:r w:rsidR="0075000E" w:rsidRPr="00D26C5C">
        <w:rPr>
          <w:rFonts w:asciiTheme="minorHAnsi" w:hAnsiTheme="minorHAnsi"/>
          <w:color w:val="auto"/>
          <w:szCs w:val="24"/>
        </w:rPr>
        <w:t>III (</w:t>
      </w:r>
      <w:r w:rsidR="00D43E49" w:rsidRPr="00D26C5C">
        <w:rPr>
          <w:rFonts w:asciiTheme="minorHAnsi" w:hAnsiTheme="minorHAnsi"/>
          <w:color w:val="auto"/>
          <w:szCs w:val="24"/>
        </w:rPr>
        <w:t xml:space="preserve">“Conditions that are not separately unfitting and do not contribute to the unfitting condition” (s)).  </w:t>
      </w:r>
      <w:r w:rsidR="00AF3F66" w:rsidRPr="00D26C5C">
        <w:rPr>
          <w:rFonts w:asciiTheme="minorHAnsi" w:hAnsiTheme="minorHAnsi"/>
          <w:color w:val="auto"/>
          <w:szCs w:val="24"/>
        </w:rPr>
        <w:t>The CI made no appeals and was medically separated with a 10% disability rating.</w:t>
      </w:r>
      <w:r w:rsidR="001E14C0" w:rsidRPr="00D26C5C">
        <w:rPr>
          <w:rFonts w:asciiTheme="minorHAnsi" w:hAnsiTheme="minorHAnsi"/>
          <w:color w:val="auto"/>
          <w:szCs w:val="24"/>
        </w:rPr>
        <w:t xml:space="preserve"> </w:t>
      </w:r>
    </w:p>
    <w:p w:rsidR="00106AD8" w:rsidRPr="00D26C5C" w:rsidRDefault="00106AD8" w:rsidP="0075000E">
      <w:pPr>
        <w:pBdr>
          <w:bottom w:val="single" w:sz="12" w:space="1" w:color="auto"/>
        </w:pBdr>
        <w:tabs>
          <w:tab w:val="left" w:pos="288"/>
          <w:tab w:val="left" w:pos="4752"/>
        </w:tabs>
        <w:spacing w:line="240" w:lineRule="exact"/>
        <w:jc w:val="both"/>
        <w:rPr>
          <w:rFonts w:ascii="Calibri" w:hAnsi="Calibri"/>
          <w:color w:val="auto"/>
          <w:szCs w:val="24"/>
        </w:rPr>
      </w:pPr>
    </w:p>
    <w:p w:rsidR="00106AD8" w:rsidRPr="00D26C5C" w:rsidRDefault="00106AD8" w:rsidP="0075000E">
      <w:pPr>
        <w:tabs>
          <w:tab w:val="left" w:pos="288"/>
          <w:tab w:val="left" w:pos="4752"/>
        </w:tabs>
        <w:spacing w:line="240" w:lineRule="exact"/>
        <w:jc w:val="both"/>
        <w:rPr>
          <w:rFonts w:ascii="Calibri" w:hAnsi="Calibri"/>
          <w:color w:val="auto"/>
          <w:szCs w:val="24"/>
        </w:rPr>
      </w:pPr>
    </w:p>
    <w:p w:rsidR="00AF3F66" w:rsidRPr="00D26C5C" w:rsidRDefault="002C6E5B" w:rsidP="0075000E">
      <w:pPr>
        <w:tabs>
          <w:tab w:val="left" w:pos="288"/>
          <w:tab w:val="left" w:pos="4752"/>
        </w:tabs>
        <w:spacing w:line="240" w:lineRule="exact"/>
        <w:jc w:val="both"/>
        <w:rPr>
          <w:rFonts w:asciiTheme="minorHAnsi" w:eastAsiaTheme="minorHAnsi" w:hAnsiTheme="minorHAnsi" w:cstheme="minorHAnsi"/>
          <w:color w:val="auto"/>
          <w:szCs w:val="24"/>
        </w:rPr>
      </w:pPr>
      <w:r w:rsidRPr="00D26C5C">
        <w:rPr>
          <w:rFonts w:asciiTheme="minorHAnsi" w:hAnsiTheme="minorHAnsi"/>
          <w:color w:val="auto"/>
          <w:u w:val="single"/>
        </w:rPr>
        <w:t>CI CONTENTION</w:t>
      </w:r>
      <w:r w:rsidR="00F27E3B" w:rsidRPr="00D26C5C">
        <w:rPr>
          <w:rFonts w:asciiTheme="minorHAnsi" w:hAnsiTheme="minorHAnsi"/>
          <w:color w:val="auto"/>
        </w:rPr>
        <w:t xml:space="preserve">: </w:t>
      </w:r>
      <w:r w:rsidR="00AF3F66" w:rsidRPr="00D26C5C">
        <w:rPr>
          <w:rFonts w:asciiTheme="minorHAnsi" w:hAnsiTheme="minorHAnsi"/>
          <w:color w:val="auto"/>
        </w:rPr>
        <w:t xml:space="preserve"> </w:t>
      </w:r>
      <w:r w:rsidR="00AF3F66" w:rsidRPr="00D26C5C">
        <w:rPr>
          <w:rFonts w:asciiTheme="minorHAnsi" w:hAnsiTheme="minorHAnsi" w:cstheme="minorHAnsi"/>
          <w:color w:val="auto"/>
        </w:rPr>
        <w:t xml:space="preserve">The CI states: “I feel that I am unfit.  But also deserve a higher rating-I was shown the x-rays in final decision.  I’m not physically able to do so much in a work day.  </w:t>
      </w:r>
      <w:proofErr w:type="gramStart"/>
      <w:r w:rsidR="00AF3F66" w:rsidRPr="00D26C5C">
        <w:rPr>
          <w:rFonts w:asciiTheme="minorHAnsi" w:hAnsiTheme="minorHAnsi" w:cstheme="minorHAnsi"/>
          <w:color w:val="auto"/>
        </w:rPr>
        <w:t>As in lifting, exercising and running etc.”</w:t>
      </w:r>
      <w:proofErr w:type="gramEnd"/>
      <w:r w:rsidR="00AF3F66" w:rsidRPr="00D26C5C">
        <w:rPr>
          <w:rFonts w:asciiTheme="minorHAnsi" w:hAnsiTheme="minorHAnsi" w:cstheme="minorHAnsi"/>
          <w:color w:val="auto"/>
        </w:rPr>
        <w:t xml:space="preserve"> </w:t>
      </w:r>
      <w:r w:rsidR="00FD2044" w:rsidRPr="00D26C5C">
        <w:rPr>
          <w:rFonts w:asciiTheme="minorHAnsi" w:eastAsiaTheme="minorHAnsi" w:hAnsiTheme="minorHAnsi" w:cstheme="minorHAnsi"/>
          <w:color w:val="auto"/>
          <w:szCs w:val="24"/>
        </w:rPr>
        <w:t xml:space="preserve"> Sh</w:t>
      </w:r>
      <w:r w:rsidR="00AF3F66" w:rsidRPr="00D26C5C">
        <w:rPr>
          <w:rFonts w:asciiTheme="minorHAnsi" w:eastAsiaTheme="minorHAnsi" w:hAnsiTheme="minorHAnsi" w:cstheme="minorHAnsi"/>
          <w:color w:val="auto"/>
          <w:szCs w:val="24"/>
        </w:rPr>
        <w:t>e elaborates no specific contentions regarding rating EXCEPT “My rating is at 30% from the VA” or coding and mentions no additionally contended conditions.</w:t>
      </w:r>
    </w:p>
    <w:p w:rsidR="00106AD8" w:rsidRPr="00D26C5C" w:rsidRDefault="00106AD8" w:rsidP="00106AD8">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D26C5C" w:rsidRDefault="00106AD8" w:rsidP="00106AD8">
      <w:pPr>
        <w:tabs>
          <w:tab w:val="left" w:pos="288"/>
          <w:tab w:val="left" w:pos="4752"/>
        </w:tabs>
        <w:spacing w:line="240" w:lineRule="exact"/>
        <w:rPr>
          <w:rFonts w:ascii="Calibri" w:hAnsi="Calibri"/>
          <w:color w:val="auto"/>
          <w:szCs w:val="24"/>
        </w:rPr>
      </w:pPr>
    </w:p>
    <w:p w:rsidR="00106AD8" w:rsidRPr="00D26C5C" w:rsidRDefault="002C6E5B" w:rsidP="00AF3F66">
      <w:pPr>
        <w:rPr>
          <w:rFonts w:asciiTheme="minorHAnsi" w:hAnsiTheme="minorHAnsi"/>
          <w:color w:val="auto"/>
        </w:rPr>
      </w:pPr>
      <w:r w:rsidRPr="00D26C5C">
        <w:rPr>
          <w:rFonts w:asciiTheme="minorHAnsi" w:hAnsiTheme="minorHAnsi"/>
          <w:color w:val="auto"/>
          <w:u w:val="single"/>
        </w:rPr>
        <w:t>RATING COMPARISON</w:t>
      </w:r>
      <w:r w:rsidRPr="00D26C5C">
        <w:rPr>
          <w:rFonts w:asciiTheme="minorHAnsi" w:hAnsiTheme="minorHAnsi"/>
          <w:color w:val="auto"/>
        </w:rPr>
        <w:t>:</w:t>
      </w:r>
      <w:r w:rsidR="001E669C" w:rsidRPr="00D26C5C">
        <w:rPr>
          <w:rFonts w:asciiTheme="minorHAnsi" w:hAnsiTheme="minorHAnsi"/>
          <w:color w:val="auto"/>
        </w:rPr>
        <w:t xml:space="preserve"> </w:t>
      </w:r>
      <w:r w:rsidR="005F5600" w:rsidRPr="00D26C5C">
        <w:rPr>
          <w:rFonts w:asciiTheme="minorHAnsi" w:hAnsiTheme="minorHAnsi"/>
          <w:color w:val="auto"/>
        </w:rPr>
        <w:t xml:space="preserve"> </w:t>
      </w:r>
    </w:p>
    <w:p w:rsidR="00F27E3B" w:rsidRPr="00D26C5C" w:rsidRDefault="00F27E3B" w:rsidP="00F27E3B">
      <w:pPr>
        <w:rPr>
          <w:rFonts w:asciiTheme="minorHAnsi" w:hAnsiTheme="minorHAnsi"/>
          <w:b/>
          <w:color w:val="auto"/>
          <w:szCs w:val="24"/>
          <w:u w:val="single"/>
        </w:rPr>
      </w:pPr>
    </w:p>
    <w:tbl>
      <w:tblPr>
        <w:tblStyle w:val="TableGrid"/>
        <w:tblW w:w="9375" w:type="dxa"/>
        <w:jc w:val="center"/>
        <w:tblInd w:w="945" w:type="dxa"/>
        <w:tblLayout w:type="fixed"/>
        <w:tblLook w:val="04A0"/>
      </w:tblPr>
      <w:tblGrid>
        <w:gridCol w:w="1988"/>
        <w:gridCol w:w="900"/>
        <w:gridCol w:w="900"/>
        <w:gridCol w:w="630"/>
        <w:gridCol w:w="2070"/>
        <w:gridCol w:w="1080"/>
        <w:gridCol w:w="810"/>
        <w:gridCol w:w="997"/>
      </w:tblGrid>
      <w:tr w:rsidR="00AF3F66" w:rsidRPr="00D26C5C" w:rsidTr="00AF3F66">
        <w:trPr>
          <w:trHeight w:val="233"/>
          <w:jc w:val="center"/>
        </w:trPr>
        <w:tc>
          <w:tcPr>
            <w:tcW w:w="4418"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Final Service IPEB – Dated 20081014</w:t>
            </w:r>
          </w:p>
        </w:tc>
        <w:tc>
          <w:tcPr>
            <w:tcW w:w="4957"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VA* – All Effective Date 20061015</w:t>
            </w:r>
          </w:p>
        </w:tc>
      </w:tr>
      <w:tr w:rsidR="00AF3F66" w:rsidRPr="00D26C5C" w:rsidTr="009F2D1A">
        <w:trPr>
          <w:trHeight w:val="233"/>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Condition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Code</w:t>
            </w:r>
          </w:p>
        </w:tc>
        <w:tc>
          <w:tcPr>
            <w:tcW w:w="153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Rating</w:t>
            </w:r>
          </w:p>
        </w:tc>
        <w:tc>
          <w:tcPr>
            <w:tcW w:w="2070" w:type="dxa"/>
            <w:vMerge w:val="restar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Condition</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Code</w:t>
            </w:r>
          </w:p>
        </w:tc>
        <w:tc>
          <w:tcPr>
            <w:tcW w:w="8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Rating</w:t>
            </w:r>
          </w:p>
        </w:tc>
        <w:tc>
          <w:tcPr>
            <w:tcW w:w="9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Exam</w:t>
            </w:r>
          </w:p>
        </w:tc>
      </w:tr>
      <w:tr w:rsidR="00AF3F66" w:rsidRPr="00D26C5C" w:rsidTr="009F2D1A">
        <w:trPr>
          <w:trHeight w:val="152"/>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On TDRL – 20061014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F3F66" w:rsidRPr="00D26C5C" w:rsidRDefault="00AF3F66">
            <w:pPr>
              <w:spacing w:line="200" w:lineRule="exact"/>
              <w:jc w:val="center"/>
              <w:rPr>
                <w:color w:val="auto"/>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TDRL</w:t>
            </w:r>
            <w:r w:rsidR="009F2D1A" w:rsidRPr="00D26C5C">
              <w:rPr>
                <w:b/>
                <w:color w:val="auto"/>
                <w:sz w:val="20"/>
                <w:szCs w:val="20"/>
              </w:rPr>
              <w:t>-In</w:t>
            </w:r>
          </w:p>
        </w:tc>
        <w:tc>
          <w:tcPr>
            <w:tcW w:w="630" w:type="dxa"/>
            <w:tcBorders>
              <w:top w:val="single" w:sz="4" w:space="0" w:color="000000" w:themeColor="text1"/>
              <w:left w:val="single" w:sz="4" w:space="0" w:color="auto"/>
              <w:bottom w:val="single" w:sz="4" w:space="0" w:color="000000" w:themeColor="text1"/>
              <w:right w:val="thinThickThinSmallGap" w:sz="24" w:space="0" w:color="auto"/>
            </w:tcBorders>
            <w:shd w:val="clear" w:color="auto" w:fill="D9D9D9" w:themeFill="background1" w:themeFillShade="D9"/>
            <w:vAlign w:val="center"/>
            <w:hideMark/>
          </w:tcPr>
          <w:p w:rsidR="00AF3F66" w:rsidRPr="00D26C5C" w:rsidRDefault="009F2D1A">
            <w:pPr>
              <w:tabs>
                <w:tab w:val="left" w:pos="206"/>
                <w:tab w:val="center" w:pos="387"/>
              </w:tabs>
              <w:spacing w:line="200" w:lineRule="exact"/>
              <w:jc w:val="center"/>
              <w:rPr>
                <w:b/>
                <w:color w:val="auto"/>
                <w:sz w:val="20"/>
                <w:szCs w:val="20"/>
              </w:rPr>
            </w:pPr>
            <w:r w:rsidRPr="00D26C5C">
              <w:rPr>
                <w:b/>
                <w:color w:val="auto"/>
                <w:sz w:val="20"/>
                <w:szCs w:val="20"/>
              </w:rPr>
              <w:t>Exit</w:t>
            </w:r>
          </w:p>
        </w:tc>
        <w:tc>
          <w:tcPr>
            <w:tcW w:w="2070" w:type="dxa"/>
            <w:vMerge/>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vAlign w:val="center"/>
            <w:hideMark/>
          </w:tcPr>
          <w:p w:rsidR="00AF3F66" w:rsidRPr="00D26C5C" w:rsidRDefault="00AF3F66">
            <w:pPr>
              <w:rPr>
                <w:b/>
                <w:color w:val="auto"/>
                <w:sz w:val="20"/>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F66" w:rsidRPr="00D26C5C" w:rsidRDefault="00AF3F66">
            <w:pPr>
              <w:rPr>
                <w:b/>
                <w:color w:val="auto"/>
                <w:sz w:val="20"/>
              </w:rPr>
            </w:pP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F66" w:rsidRPr="00D26C5C" w:rsidRDefault="00AF3F66">
            <w:pPr>
              <w:rPr>
                <w:b/>
                <w:color w:val="auto"/>
                <w:sz w:val="20"/>
              </w:rPr>
            </w:pPr>
          </w:p>
        </w:tc>
        <w:tc>
          <w:tcPr>
            <w:tcW w:w="9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3F66" w:rsidRPr="00D26C5C" w:rsidRDefault="00AF3F66">
            <w:pPr>
              <w:rPr>
                <w:b/>
                <w:color w:val="auto"/>
                <w:sz w:val="20"/>
              </w:rPr>
            </w:pPr>
          </w:p>
        </w:tc>
      </w:tr>
      <w:tr w:rsidR="00AF3F66" w:rsidRPr="00D26C5C" w:rsidTr="009F2D1A">
        <w:trPr>
          <w:trHeight w:val="125"/>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F3F66" w:rsidRPr="00D26C5C" w:rsidRDefault="00AF3F66" w:rsidP="009F2D1A">
            <w:pPr>
              <w:spacing w:line="180" w:lineRule="exact"/>
              <w:rPr>
                <w:color w:val="auto"/>
                <w:sz w:val="18"/>
                <w:szCs w:val="18"/>
              </w:rPr>
            </w:pPr>
            <w:r w:rsidRPr="00D26C5C">
              <w:rPr>
                <w:color w:val="auto"/>
                <w:sz w:val="18"/>
                <w:szCs w:val="18"/>
              </w:rPr>
              <w:t>T12 Burst Fx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F3F66" w:rsidRPr="00D26C5C" w:rsidRDefault="00AF3F66" w:rsidP="009F2D1A">
            <w:pPr>
              <w:spacing w:line="180" w:lineRule="exact"/>
              <w:jc w:val="center"/>
              <w:rPr>
                <w:color w:val="auto"/>
                <w:sz w:val="18"/>
                <w:szCs w:val="18"/>
              </w:rPr>
            </w:pPr>
            <w:r w:rsidRPr="00D26C5C">
              <w:rPr>
                <w:color w:val="auto"/>
                <w:sz w:val="18"/>
                <w:szCs w:val="18"/>
              </w:rPr>
              <w:t>5235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F3F66" w:rsidRPr="00D26C5C" w:rsidRDefault="00AF3F66" w:rsidP="009F2D1A">
            <w:pPr>
              <w:spacing w:line="180" w:lineRule="exact"/>
              <w:jc w:val="center"/>
              <w:rPr>
                <w:color w:val="auto"/>
              </w:rPr>
            </w:pPr>
            <w:r w:rsidRPr="00D26C5C">
              <w:rPr>
                <w:color w:val="auto"/>
                <w:sz w:val="18"/>
                <w:szCs w:val="18"/>
              </w:rPr>
              <w:t>30%</w:t>
            </w:r>
          </w:p>
        </w:tc>
        <w:tc>
          <w:tcPr>
            <w:tcW w:w="630" w:type="dxa"/>
            <w:tcBorders>
              <w:top w:val="single" w:sz="4" w:space="0" w:color="000000" w:themeColor="text1"/>
              <w:left w:val="single" w:sz="4" w:space="0" w:color="auto"/>
              <w:bottom w:val="single" w:sz="4" w:space="0" w:color="000000" w:themeColor="text1"/>
              <w:right w:val="thinThickThinSmallGap" w:sz="24" w:space="0" w:color="auto"/>
            </w:tcBorders>
            <w:shd w:val="clear" w:color="auto" w:fill="FFFFFF" w:themeFill="background1"/>
            <w:vAlign w:val="center"/>
            <w:hideMark/>
          </w:tcPr>
          <w:p w:rsidR="00AF3F66" w:rsidRPr="00D26C5C" w:rsidRDefault="00AF3F66" w:rsidP="009F2D1A">
            <w:pPr>
              <w:spacing w:line="180" w:lineRule="exact"/>
              <w:jc w:val="center"/>
              <w:rPr>
                <w:color w:val="auto"/>
              </w:rPr>
            </w:pPr>
            <w:r w:rsidRPr="00D26C5C">
              <w:rPr>
                <w:color w:val="auto"/>
                <w:sz w:val="18"/>
                <w:szCs w:val="18"/>
              </w:rPr>
              <w:t>10%</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AF3F66" w:rsidRPr="00D26C5C" w:rsidRDefault="00AF3F66" w:rsidP="009F2D1A">
            <w:pPr>
              <w:spacing w:line="180" w:lineRule="exact"/>
              <w:jc w:val="both"/>
              <w:rPr>
                <w:color w:val="auto"/>
                <w:sz w:val="18"/>
                <w:szCs w:val="18"/>
              </w:rPr>
            </w:pPr>
            <w:r w:rsidRPr="00D26C5C">
              <w:rPr>
                <w:color w:val="auto"/>
                <w:sz w:val="18"/>
                <w:szCs w:val="18"/>
              </w:rPr>
              <w:t xml:space="preserve">T-12 </w:t>
            </w:r>
            <w:r w:rsidR="009F2D1A" w:rsidRPr="00D26C5C">
              <w:rPr>
                <w:color w:val="auto"/>
                <w:sz w:val="18"/>
                <w:szCs w:val="18"/>
              </w:rPr>
              <w:t>&amp;</w:t>
            </w:r>
            <w:r w:rsidRPr="00D26C5C">
              <w:rPr>
                <w:color w:val="auto"/>
                <w:sz w:val="18"/>
                <w:szCs w:val="18"/>
              </w:rPr>
              <w:t xml:space="preserve"> L-1 Compression Fx </w:t>
            </w:r>
            <w:r w:rsidR="009F2D1A" w:rsidRPr="00D26C5C">
              <w:rPr>
                <w:color w:val="auto"/>
                <w:sz w:val="18"/>
                <w:szCs w:val="18"/>
              </w:rPr>
              <w:t>&amp;</w:t>
            </w:r>
            <w:r w:rsidRPr="00D26C5C">
              <w:rPr>
                <w:color w:val="auto"/>
                <w:sz w:val="18"/>
                <w:szCs w:val="18"/>
              </w:rPr>
              <w:t xml:space="preserve"> Spondylosis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F3F66" w:rsidRPr="00D26C5C" w:rsidRDefault="00AF3F66" w:rsidP="009F2D1A">
            <w:pPr>
              <w:spacing w:line="180" w:lineRule="exact"/>
              <w:jc w:val="center"/>
              <w:rPr>
                <w:color w:val="auto"/>
                <w:sz w:val="18"/>
                <w:szCs w:val="18"/>
              </w:rPr>
            </w:pPr>
            <w:r w:rsidRPr="00D26C5C">
              <w:rPr>
                <w:color w:val="auto"/>
                <w:sz w:val="18"/>
                <w:szCs w:val="18"/>
              </w:rPr>
              <w:t>5010-5235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F3F66" w:rsidRPr="00D26C5C" w:rsidRDefault="00AF3F66" w:rsidP="009F2D1A">
            <w:pPr>
              <w:spacing w:line="180" w:lineRule="exact"/>
              <w:jc w:val="center"/>
              <w:rPr>
                <w:color w:val="auto"/>
                <w:sz w:val="18"/>
                <w:szCs w:val="18"/>
              </w:rPr>
            </w:pPr>
            <w:r w:rsidRPr="00D26C5C">
              <w:rPr>
                <w:color w:val="auto"/>
                <w:sz w:val="18"/>
                <w:szCs w:val="18"/>
              </w:rPr>
              <w:t>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F3F66" w:rsidRPr="00D26C5C" w:rsidRDefault="00AF3F66" w:rsidP="009F2D1A">
            <w:pPr>
              <w:spacing w:line="180" w:lineRule="exact"/>
              <w:jc w:val="center"/>
              <w:rPr>
                <w:color w:val="auto"/>
                <w:sz w:val="18"/>
                <w:szCs w:val="18"/>
              </w:rPr>
            </w:pPr>
            <w:r w:rsidRPr="00D26C5C">
              <w:rPr>
                <w:color w:val="auto"/>
                <w:sz w:val="18"/>
                <w:szCs w:val="18"/>
              </w:rPr>
              <w:t>20070402</w:t>
            </w:r>
          </w:p>
        </w:tc>
      </w:tr>
      <w:tr w:rsidR="00AF3F66" w:rsidRPr="00D26C5C" w:rsidTr="009F2D1A">
        <w:trPr>
          <w:trHeight w:val="125"/>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F3F66" w:rsidRPr="00D26C5C" w:rsidRDefault="00AF3F66" w:rsidP="009F2D1A">
            <w:pPr>
              <w:spacing w:line="180" w:lineRule="exact"/>
              <w:jc w:val="both"/>
              <w:rPr>
                <w:color w:val="auto"/>
                <w:sz w:val="18"/>
                <w:szCs w:val="18"/>
              </w:rPr>
            </w:pPr>
            <w:r w:rsidRPr="00D26C5C">
              <w:rPr>
                <w:color w:val="auto"/>
                <w:sz w:val="18"/>
                <w:szCs w:val="18"/>
              </w:rPr>
              <w:t>Right Inferior Pubic Rami Stress Fx</w:t>
            </w:r>
          </w:p>
        </w:tc>
        <w:tc>
          <w:tcPr>
            <w:tcW w:w="2430" w:type="dxa"/>
            <w:gridSpan w:val="3"/>
            <w:tcBorders>
              <w:top w:val="single" w:sz="4" w:space="0" w:color="000000" w:themeColor="text1"/>
              <w:left w:val="single" w:sz="4" w:space="0" w:color="auto"/>
              <w:bottom w:val="single" w:sz="4" w:space="0" w:color="000000" w:themeColor="text1"/>
              <w:right w:val="thinThickThinSmallGap" w:sz="24" w:space="0" w:color="auto"/>
            </w:tcBorders>
            <w:shd w:val="clear" w:color="auto" w:fill="FFFFFF" w:themeFill="background1"/>
            <w:vAlign w:val="center"/>
            <w:hideMark/>
          </w:tcPr>
          <w:p w:rsidR="00AF3F66" w:rsidRPr="00D26C5C" w:rsidRDefault="00AF3F66" w:rsidP="009F2D1A">
            <w:pPr>
              <w:spacing w:line="180" w:lineRule="exact"/>
              <w:jc w:val="center"/>
              <w:rPr>
                <w:color w:val="auto"/>
                <w:sz w:val="18"/>
                <w:szCs w:val="18"/>
              </w:rPr>
            </w:pPr>
            <w:r w:rsidRPr="00D26C5C">
              <w:rPr>
                <w:color w:val="auto"/>
                <w:sz w:val="18"/>
                <w:szCs w:val="18"/>
              </w:rPr>
              <w:t>Cat III</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AF3F66" w:rsidRPr="00D26C5C" w:rsidRDefault="00AF3F66" w:rsidP="009F2D1A">
            <w:pPr>
              <w:spacing w:line="180" w:lineRule="exact"/>
              <w:jc w:val="both"/>
              <w:rPr>
                <w:color w:val="auto"/>
                <w:sz w:val="18"/>
                <w:szCs w:val="18"/>
              </w:rPr>
            </w:pPr>
            <w:r w:rsidRPr="00D26C5C">
              <w:rPr>
                <w:color w:val="auto"/>
                <w:sz w:val="18"/>
                <w:szCs w:val="18"/>
              </w:rPr>
              <w:t>Right Inferior Pubic Ramus Stress Fx</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F3F66" w:rsidRPr="00D26C5C" w:rsidRDefault="00AF3F66" w:rsidP="009F2D1A">
            <w:pPr>
              <w:spacing w:line="180" w:lineRule="exact"/>
              <w:jc w:val="center"/>
              <w:rPr>
                <w:color w:val="auto"/>
                <w:sz w:val="18"/>
                <w:szCs w:val="18"/>
              </w:rPr>
            </w:pPr>
            <w:r w:rsidRPr="00D26C5C">
              <w:rPr>
                <w:color w:val="auto"/>
                <w:sz w:val="18"/>
                <w:szCs w:val="18"/>
              </w:rPr>
              <w:t>5299-5255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F3F66" w:rsidRPr="00D26C5C" w:rsidRDefault="00AF3F66" w:rsidP="009F2D1A">
            <w:pPr>
              <w:spacing w:line="180" w:lineRule="exact"/>
              <w:jc w:val="center"/>
              <w:rPr>
                <w:color w:val="auto"/>
                <w:sz w:val="18"/>
                <w:szCs w:val="18"/>
              </w:rPr>
            </w:pPr>
            <w:r w:rsidRPr="00D26C5C">
              <w:rPr>
                <w:color w:val="auto"/>
                <w:sz w:val="18"/>
                <w:szCs w:val="18"/>
              </w:rPr>
              <w:t>10%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F3F66" w:rsidRPr="00D26C5C" w:rsidRDefault="00AF3F66" w:rsidP="009F2D1A">
            <w:pPr>
              <w:spacing w:line="180" w:lineRule="exact"/>
              <w:jc w:val="center"/>
              <w:rPr>
                <w:color w:val="auto"/>
                <w:sz w:val="18"/>
                <w:szCs w:val="18"/>
              </w:rPr>
            </w:pPr>
            <w:r w:rsidRPr="00D26C5C">
              <w:rPr>
                <w:color w:val="auto"/>
                <w:sz w:val="18"/>
                <w:szCs w:val="18"/>
              </w:rPr>
              <w:t>20070402</w:t>
            </w:r>
          </w:p>
        </w:tc>
      </w:tr>
      <w:tr w:rsidR="009F2D1A" w:rsidRPr="00D26C5C" w:rsidTr="009F2D1A">
        <w:trPr>
          <w:trHeight w:val="125"/>
          <w:jc w:val="center"/>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F2D1A" w:rsidRPr="00D26C5C" w:rsidRDefault="009F2D1A" w:rsidP="009F2D1A">
            <w:pPr>
              <w:spacing w:line="180" w:lineRule="exact"/>
              <w:jc w:val="both"/>
              <w:rPr>
                <w:color w:val="auto"/>
                <w:sz w:val="18"/>
                <w:szCs w:val="18"/>
              </w:rPr>
            </w:pPr>
            <w:r w:rsidRPr="00D26C5C">
              <w:rPr>
                <w:color w:val="auto"/>
                <w:sz w:val="18"/>
                <w:szCs w:val="18"/>
              </w:rPr>
              <w:t>L. Ankle Sprain, Gr. 1</w:t>
            </w:r>
          </w:p>
        </w:tc>
        <w:tc>
          <w:tcPr>
            <w:tcW w:w="2430" w:type="dxa"/>
            <w:gridSpan w:val="3"/>
            <w:tcBorders>
              <w:top w:val="single" w:sz="4" w:space="0" w:color="000000" w:themeColor="text1"/>
              <w:left w:val="single" w:sz="4" w:space="0" w:color="auto"/>
              <w:bottom w:val="single" w:sz="4" w:space="0" w:color="000000" w:themeColor="text1"/>
              <w:right w:val="thinThickThinSmallGap" w:sz="24" w:space="0" w:color="auto"/>
            </w:tcBorders>
            <w:shd w:val="clear" w:color="auto" w:fill="FFFFFF" w:themeFill="background1"/>
            <w:vAlign w:val="center"/>
            <w:hideMark/>
          </w:tcPr>
          <w:p w:rsidR="009F2D1A" w:rsidRPr="00D26C5C" w:rsidRDefault="009F2D1A" w:rsidP="009F2D1A">
            <w:pPr>
              <w:spacing w:line="180" w:lineRule="exact"/>
              <w:jc w:val="center"/>
              <w:rPr>
                <w:color w:val="auto"/>
              </w:rPr>
            </w:pPr>
            <w:r w:rsidRPr="00D26C5C">
              <w:rPr>
                <w:color w:val="auto"/>
                <w:sz w:val="18"/>
                <w:szCs w:val="18"/>
              </w:rPr>
              <w:t>Cat III</w:t>
            </w:r>
          </w:p>
        </w:tc>
        <w:tc>
          <w:tcPr>
            <w:tcW w:w="3960" w:type="dxa"/>
            <w:gridSpan w:val="3"/>
            <w:tcBorders>
              <w:top w:val="single" w:sz="4" w:space="0" w:color="000000" w:themeColor="text1"/>
              <w:left w:val="thinThickThinSmallGap" w:sz="24" w:space="0" w:color="000000" w:themeColor="text1"/>
              <w:bottom w:val="single" w:sz="4" w:space="0" w:color="000000" w:themeColor="text1"/>
              <w:right w:val="single" w:sz="4" w:space="0" w:color="auto"/>
            </w:tcBorders>
            <w:shd w:val="clear" w:color="auto" w:fill="FFFFFF" w:themeFill="background1"/>
            <w:hideMark/>
          </w:tcPr>
          <w:p w:rsidR="009F2D1A" w:rsidRPr="00D26C5C" w:rsidRDefault="009F2D1A" w:rsidP="009F2D1A">
            <w:pPr>
              <w:spacing w:line="180" w:lineRule="exact"/>
              <w:jc w:val="center"/>
              <w:rPr>
                <w:color w:val="auto"/>
                <w:sz w:val="18"/>
                <w:szCs w:val="18"/>
              </w:rPr>
            </w:pPr>
            <w:r w:rsidRPr="00D26C5C">
              <w:rPr>
                <w:color w:val="auto"/>
                <w:sz w:val="18"/>
                <w:szCs w:val="18"/>
              </w:rPr>
              <w:t>No VA Entry</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rsidR="009F2D1A" w:rsidRPr="00D26C5C" w:rsidRDefault="009F2D1A" w:rsidP="009F2D1A">
            <w:pPr>
              <w:spacing w:line="180" w:lineRule="exact"/>
              <w:jc w:val="center"/>
              <w:rPr>
                <w:color w:val="auto"/>
                <w:sz w:val="18"/>
                <w:szCs w:val="18"/>
              </w:rPr>
            </w:pPr>
            <w:r w:rsidRPr="00D26C5C">
              <w:rPr>
                <w:color w:val="auto"/>
                <w:sz w:val="18"/>
                <w:szCs w:val="18"/>
              </w:rPr>
              <w:t>20070402</w:t>
            </w:r>
          </w:p>
        </w:tc>
      </w:tr>
      <w:tr w:rsidR="00AF3F66" w:rsidRPr="00D26C5C" w:rsidTr="009F2D1A">
        <w:trPr>
          <w:trHeight w:val="188"/>
          <w:jc w:val="center"/>
        </w:trPr>
        <w:tc>
          <w:tcPr>
            <w:tcW w:w="4418"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F3F66" w:rsidRPr="00D26C5C" w:rsidRDefault="00AF3F66" w:rsidP="009F2D1A">
            <w:pPr>
              <w:spacing w:line="180" w:lineRule="exact"/>
              <w:jc w:val="center"/>
              <w:rPr>
                <w:color w:val="auto"/>
                <w:sz w:val="18"/>
                <w:szCs w:val="18"/>
              </w:rPr>
            </w:pPr>
            <w:r w:rsidRPr="00D26C5C">
              <w:rPr>
                <w:color w:val="auto"/>
                <w:sz w:val="18"/>
                <w:szCs w:val="18"/>
              </w:rPr>
              <w:t>↓No Additional MEB/PEB Entries↓</w:t>
            </w:r>
          </w:p>
        </w:tc>
        <w:tc>
          <w:tcPr>
            <w:tcW w:w="396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AF3F66" w:rsidRPr="00D26C5C" w:rsidRDefault="00AF3F66" w:rsidP="009F2D1A">
            <w:pPr>
              <w:spacing w:line="180" w:lineRule="exact"/>
              <w:jc w:val="center"/>
              <w:rPr>
                <w:color w:val="auto"/>
                <w:sz w:val="18"/>
                <w:szCs w:val="18"/>
              </w:rPr>
            </w:pPr>
            <w:r w:rsidRPr="00D26C5C">
              <w:rPr>
                <w:rFonts w:cs="Times New Roman"/>
                <w:color w:val="auto"/>
                <w:sz w:val="18"/>
                <w:szCs w:val="18"/>
              </w:rPr>
              <w:t>0% x 0</w:t>
            </w:r>
            <w:r w:rsidR="009F2D1A" w:rsidRPr="00D26C5C">
              <w:rPr>
                <w:rFonts w:cs="Times New Roman"/>
                <w:color w:val="auto"/>
                <w:sz w:val="18"/>
                <w:szCs w:val="18"/>
              </w:rPr>
              <w:t xml:space="preserve"> </w:t>
            </w:r>
            <w:r w:rsidRPr="00D26C5C">
              <w:rPr>
                <w:rFonts w:cs="Times New Roman"/>
                <w:color w:val="auto"/>
                <w:sz w:val="18"/>
                <w:szCs w:val="18"/>
              </w:rPr>
              <w:t>/</w:t>
            </w:r>
            <w:r w:rsidR="009F2D1A" w:rsidRPr="00D26C5C">
              <w:rPr>
                <w:rFonts w:cs="Times New Roman"/>
                <w:color w:val="auto"/>
                <w:sz w:val="18"/>
                <w:szCs w:val="18"/>
              </w:rPr>
              <w:t xml:space="preserve"> </w:t>
            </w:r>
            <w:r w:rsidRPr="00D26C5C">
              <w:rPr>
                <w:rFonts w:cs="Times New Roman"/>
                <w:color w:val="auto"/>
                <w:sz w:val="18"/>
                <w:szCs w:val="18"/>
              </w:rPr>
              <w:t>Not Service Connected x 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F3F66" w:rsidRPr="00D26C5C" w:rsidRDefault="00AF3F66" w:rsidP="009F2D1A">
            <w:pPr>
              <w:spacing w:line="180" w:lineRule="exact"/>
              <w:jc w:val="center"/>
              <w:rPr>
                <w:color w:val="auto"/>
                <w:sz w:val="18"/>
                <w:szCs w:val="18"/>
              </w:rPr>
            </w:pPr>
            <w:r w:rsidRPr="00D26C5C">
              <w:rPr>
                <w:color w:val="auto"/>
                <w:sz w:val="18"/>
                <w:szCs w:val="18"/>
              </w:rPr>
              <w:t>20070402</w:t>
            </w:r>
          </w:p>
        </w:tc>
      </w:tr>
      <w:tr w:rsidR="00AF3F66" w:rsidRPr="00D26C5C" w:rsidTr="00AF3F66">
        <w:trPr>
          <w:trHeight w:val="242"/>
          <w:jc w:val="center"/>
        </w:trPr>
        <w:tc>
          <w:tcPr>
            <w:tcW w:w="4418"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Combined:  10%</w:t>
            </w:r>
          </w:p>
        </w:tc>
        <w:tc>
          <w:tcPr>
            <w:tcW w:w="4957"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F3F66" w:rsidRPr="00D26C5C" w:rsidRDefault="00AF3F66">
            <w:pPr>
              <w:spacing w:line="200" w:lineRule="exact"/>
              <w:jc w:val="center"/>
              <w:rPr>
                <w:b/>
                <w:color w:val="auto"/>
                <w:sz w:val="20"/>
                <w:szCs w:val="20"/>
              </w:rPr>
            </w:pPr>
            <w:r w:rsidRPr="00D26C5C">
              <w:rPr>
                <w:b/>
                <w:color w:val="auto"/>
                <w:sz w:val="20"/>
                <w:szCs w:val="20"/>
              </w:rPr>
              <w:t>Combined:  30%</w:t>
            </w:r>
          </w:p>
        </w:tc>
      </w:tr>
    </w:tbl>
    <w:p w:rsidR="009F2D1A" w:rsidRPr="00D26C5C" w:rsidRDefault="009F2D1A" w:rsidP="009F2D1A">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9F2D1A" w:rsidRPr="00D26C5C" w:rsidRDefault="009F2D1A" w:rsidP="009F2D1A">
      <w:pPr>
        <w:tabs>
          <w:tab w:val="left" w:pos="288"/>
          <w:tab w:val="left" w:pos="4752"/>
        </w:tabs>
        <w:spacing w:line="240" w:lineRule="exact"/>
        <w:rPr>
          <w:rFonts w:ascii="Calibri" w:hAnsi="Calibri"/>
          <w:color w:val="auto"/>
          <w:szCs w:val="24"/>
        </w:rPr>
      </w:pPr>
    </w:p>
    <w:p w:rsidR="00061B90" w:rsidRPr="00D26C5C" w:rsidRDefault="00061B90">
      <w:pPr>
        <w:rPr>
          <w:rFonts w:asciiTheme="minorHAnsi" w:hAnsiTheme="minorHAnsi"/>
          <w:color w:val="auto"/>
          <w:szCs w:val="24"/>
          <w:u w:val="single"/>
        </w:rPr>
      </w:pPr>
      <w:r w:rsidRPr="00D26C5C">
        <w:rPr>
          <w:rFonts w:asciiTheme="minorHAnsi" w:hAnsiTheme="minorHAnsi"/>
          <w:color w:val="auto"/>
          <w:szCs w:val="24"/>
          <w:u w:val="single"/>
        </w:rPr>
        <w:br w:type="page"/>
      </w:r>
    </w:p>
    <w:p w:rsidR="00D3662E" w:rsidRPr="00D26C5C" w:rsidRDefault="002C6E5B" w:rsidP="0075000E">
      <w:pPr>
        <w:tabs>
          <w:tab w:val="left" w:pos="288"/>
          <w:tab w:val="left" w:pos="4752"/>
        </w:tabs>
        <w:spacing w:line="240" w:lineRule="exact"/>
        <w:jc w:val="both"/>
        <w:rPr>
          <w:rFonts w:asciiTheme="minorHAnsi" w:hAnsiTheme="minorHAnsi" w:cstheme="minorHAnsi"/>
          <w:color w:val="auto"/>
          <w:szCs w:val="24"/>
        </w:rPr>
      </w:pPr>
      <w:r w:rsidRPr="00D26C5C">
        <w:rPr>
          <w:rFonts w:asciiTheme="minorHAnsi" w:hAnsiTheme="minorHAnsi"/>
          <w:color w:val="auto"/>
          <w:szCs w:val="24"/>
          <w:u w:val="single"/>
        </w:rPr>
        <w:lastRenderedPageBreak/>
        <w:t>ANALYSIS SUMMARY</w:t>
      </w:r>
      <w:r w:rsidRPr="00D26C5C">
        <w:rPr>
          <w:rFonts w:asciiTheme="minorHAnsi" w:hAnsiTheme="minorHAnsi" w:cstheme="minorHAnsi"/>
          <w:color w:val="auto"/>
          <w:szCs w:val="24"/>
        </w:rPr>
        <w:t>:</w:t>
      </w:r>
      <w:r w:rsidR="00C276CD" w:rsidRPr="00D26C5C">
        <w:rPr>
          <w:rFonts w:asciiTheme="minorHAnsi" w:hAnsiTheme="minorHAnsi" w:cstheme="minorHAnsi"/>
          <w:color w:val="auto"/>
          <w:szCs w:val="24"/>
        </w:rPr>
        <w:t xml:space="preserve">  </w:t>
      </w:r>
      <w:r w:rsidR="00D43E49" w:rsidRPr="00D26C5C">
        <w:rPr>
          <w:rFonts w:asciiTheme="minorHAnsi" w:hAnsiTheme="minorHAnsi" w:cstheme="minorHAnsi"/>
          <w:color w:val="auto"/>
          <w:szCs w:val="24"/>
        </w:rPr>
        <w:t xml:space="preserve">The Board acknowledges the CI’s contention </w:t>
      </w:r>
      <w:r w:rsidR="00E93564" w:rsidRPr="00D26C5C">
        <w:rPr>
          <w:rFonts w:asciiTheme="minorHAnsi" w:hAnsiTheme="minorHAnsi" w:cstheme="minorHAnsi"/>
          <w:color w:val="auto"/>
          <w:szCs w:val="24"/>
        </w:rPr>
        <w:t>that h</w:t>
      </w:r>
      <w:r w:rsidR="001E14C0" w:rsidRPr="00D26C5C">
        <w:rPr>
          <w:rFonts w:asciiTheme="minorHAnsi" w:hAnsiTheme="minorHAnsi" w:cstheme="minorHAnsi"/>
          <w:color w:val="auto"/>
          <w:szCs w:val="24"/>
        </w:rPr>
        <w:t>er</w:t>
      </w:r>
      <w:r w:rsidR="00E93564" w:rsidRPr="00D26C5C">
        <w:rPr>
          <w:rFonts w:asciiTheme="minorHAnsi" w:hAnsiTheme="minorHAnsi" w:cstheme="minorHAnsi"/>
          <w:color w:val="auto"/>
          <w:szCs w:val="24"/>
        </w:rPr>
        <w:t xml:space="preserve"> combined VA rating of 3</w:t>
      </w:r>
      <w:r w:rsidR="00D43E49" w:rsidRPr="00D26C5C">
        <w:rPr>
          <w:rFonts w:asciiTheme="minorHAnsi" w:hAnsiTheme="minorHAnsi" w:cstheme="minorHAnsi"/>
          <w:color w:val="auto"/>
          <w:szCs w:val="24"/>
        </w:rPr>
        <w:t>0%</w:t>
      </w:r>
      <w:r w:rsidR="00E93564" w:rsidRPr="00D26C5C">
        <w:rPr>
          <w:rFonts w:asciiTheme="minorHAnsi" w:hAnsiTheme="minorHAnsi" w:cstheme="minorHAnsi"/>
          <w:color w:val="auto"/>
          <w:szCs w:val="24"/>
        </w:rPr>
        <w:t xml:space="preserve"> differs considerably from the 1</w:t>
      </w:r>
      <w:r w:rsidR="00D43E49" w:rsidRPr="00D26C5C">
        <w:rPr>
          <w:rFonts w:asciiTheme="minorHAnsi" w:hAnsiTheme="minorHAnsi" w:cstheme="minorHAnsi"/>
          <w:color w:val="auto"/>
          <w:szCs w:val="24"/>
        </w:rPr>
        <w:t xml:space="preserve">0% combined rating conferred by the </w:t>
      </w:r>
      <w:r w:rsidR="001E14C0" w:rsidRPr="00D26C5C">
        <w:rPr>
          <w:rFonts w:asciiTheme="minorHAnsi" w:hAnsiTheme="minorHAnsi" w:cstheme="minorHAnsi"/>
          <w:color w:val="auto"/>
          <w:szCs w:val="24"/>
        </w:rPr>
        <w:t>Navy</w:t>
      </w:r>
      <w:r w:rsidR="00D43E49" w:rsidRPr="00D26C5C">
        <w:rPr>
          <w:rFonts w:asciiTheme="minorHAnsi" w:hAnsiTheme="minorHAnsi" w:cstheme="minorHAnsi"/>
          <w:color w:val="auto"/>
          <w:szCs w:val="24"/>
        </w:rPr>
        <w:t>; but, must emphasize that the Board’s recommendations are confined to those conditions determined to be unfitting at the time of the CI’s placement on TDRL.</w:t>
      </w:r>
      <w:r w:rsidR="00F27E3B" w:rsidRPr="00D26C5C">
        <w:rPr>
          <w:rFonts w:asciiTheme="minorHAnsi" w:hAnsiTheme="minorHAnsi" w:cstheme="minorHAnsi"/>
          <w:color w:val="auto"/>
          <w:szCs w:val="24"/>
        </w:rPr>
        <w:t xml:space="preserve"> </w:t>
      </w:r>
      <w:r w:rsidR="00D43E49" w:rsidRPr="00D26C5C">
        <w:rPr>
          <w:rFonts w:asciiTheme="minorHAnsi" w:hAnsiTheme="minorHAnsi" w:cstheme="minorHAnsi"/>
          <w:color w:val="auto"/>
          <w:szCs w:val="24"/>
        </w:rPr>
        <w:t xml:space="preserve"> Unlike the VA which provides compensation for all service connected conditions, the DES (and by extension the Board) provides compensation only for those conditions determined to render the member incapable of further military duty. </w:t>
      </w:r>
      <w:r w:rsidR="00F27E3B" w:rsidRPr="00D26C5C">
        <w:rPr>
          <w:rFonts w:asciiTheme="minorHAnsi" w:hAnsiTheme="minorHAnsi" w:cstheme="minorHAnsi"/>
          <w:color w:val="auto"/>
          <w:szCs w:val="24"/>
        </w:rPr>
        <w:t xml:space="preserve"> </w:t>
      </w:r>
      <w:r w:rsidR="00D43E49" w:rsidRPr="00D26C5C">
        <w:rPr>
          <w:rFonts w:asciiTheme="minorHAnsi" w:hAnsiTheme="minorHAnsi" w:cstheme="minorHAnsi"/>
          <w:color w:val="auto"/>
          <w:szCs w:val="24"/>
        </w:rPr>
        <w:t>The Board may review the appropriateness of the PEB’s fitness adjudications for all conditions at the onset of TDRL, but does not have the prerogative of recommending a rating for conditions which did not become unfitting until after that point.</w:t>
      </w:r>
      <w:r w:rsidR="00F27E3B" w:rsidRPr="00D26C5C">
        <w:rPr>
          <w:rFonts w:asciiTheme="minorHAnsi" w:hAnsiTheme="minorHAnsi" w:cstheme="minorHAnsi"/>
          <w:color w:val="auto"/>
          <w:szCs w:val="24"/>
        </w:rPr>
        <w:t xml:space="preserve"> </w:t>
      </w:r>
      <w:r w:rsidR="00D43E49" w:rsidRPr="00D26C5C">
        <w:rPr>
          <w:rFonts w:asciiTheme="minorHAnsi" w:hAnsiTheme="minorHAnsi" w:cstheme="minorHAnsi"/>
          <w:color w:val="auto"/>
          <w:szCs w:val="24"/>
        </w:rPr>
        <w:t xml:space="preserve"> It should be noted, however, that conditions determined to be unfitting at the time of temporary retirement are subject to a change in that determination (i.e., no longer unfitting) at the time of permanent separation.</w:t>
      </w:r>
      <w:r w:rsidR="00F27E3B" w:rsidRPr="00D26C5C">
        <w:rPr>
          <w:rFonts w:asciiTheme="minorHAnsi" w:hAnsiTheme="minorHAnsi" w:cstheme="minorHAnsi"/>
          <w:color w:val="auto"/>
          <w:szCs w:val="24"/>
        </w:rPr>
        <w:t xml:space="preserve"> </w:t>
      </w:r>
      <w:r w:rsidR="00D43E49" w:rsidRPr="00D26C5C">
        <w:rPr>
          <w:rFonts w:asciiTheme="minorHAnsi" w:hAnsiTheme="minorHAnsi" w:cstheme="minorHAnsi"/>
          <w:color w:val="auto"/>
          <w:szCs w:val="24"/>
        </w:rPr>
        <w:t xml:space="preserve"> In cases encompassing a period of TDRL, although the Board’s review of fitness adjudications is relevant to the time of temporary retirement, the Board’s rating recommendations are based on severity evidenced at the time of permanent separation. </w:t>
      </w:r>
      <w:r w:rsidR="00F27E3B" w:rsidRPr="00D26C5C">
        <w:rPr>
          <w:rFonts w:asciiTheme="minorHAnsi" w:hAnsiTheme="minorHAnsi" w:cstheme="minorHAnsi"/>
          <w:color w:val="auto"/>
          <w:szCs w:val="24"/>
        </w:rPr>
        <w:t xml:space="preserve"> </w:t>
      </w:r>
      <w:r w:rsidR="00D43E49" w:rsidRPr="00D26C5C">
        <w:rPr>
          <w:rFonts w:asciiTheme="minorHAnsi" w:hAnsiTheme="minorHAnsi" w:cstheme="minorHAnsi"/>
          <w:color w:val="auto"/>
          <w:szCs w:val="24"/>
        </w:rPr>
        <w:t>The VA’s initial rating evaluation was based on severity evidenced at the time of t</w:t>
      </w:r>
      <w:r w:rsidR="00E93564" w:rsidRPr="00D26C5C">
        <w:rPr>
          <w:rFonts w:asciiTheme="minorHAnsi" w:hAnsiTheme="minorHAnsi" w:cstheme="minorHAnsi"/>
          <w:color w:val="auto"/>
          <w:szCs w:val="24"/>
        </w:rPr>
        <w:t>emporary retirement, which was 28</w:t>
      </w:r>
      <w:r w:rsidR="00D43E49" w:rsidRPr="00D26C5C">
        <w:rPr>
          <w:rFonts w:asciiTheme="minorHAnsi" w:hAnsiTheme="minorHAnsi" w:cstheme="minorHAnsi"/>
          <w:color w:val="auto"/>
          <w:szCs w:val="24"/>
        </w:rPr>
        <w:t xml:space="preserve"> months prior to permanent separation; and, the first subsequent </w:t>
      </w:r>
      <w:r w:rsidR="00E93564" w:rsidRPr="00D26C5C">
        <w:rPr>
          <w:rFonts w:asciiTheme="minorHAnsi" w:hAnsiTheme="minorHAnsi" w:cstheme="minorHAnsi"/>
          <w:color w:val="auto"/>
          <w:szCs w:val="24"/>
        </w:rPr>
        <w:t>VA evaluation was performed 6</w:t>
      </w:r>
      <w:r w:rsidR="00D43E49" w:rsidRPr="00D26C5C">
        <w:rPr>
          <w:rFonts w:asciiTheme="minorHAnsi" w:hAnsiTheme="minorHAnsi" w:cstheme="minorHAnsi"/>
          <w:color w:val="auto"/>
          <w:szCs w:val="24"/>
        </w:rPr>
        <w:t xml:space="preserve"> months after permanent separation.</w:t>
      </w:r>
      <w:r w:rsidR="001E14C0" w:rsidRPr="00D26C5C">
        <w:rPr>
          <w:rFonts w:asciiTheme="minorHAnsi" w:hAnsiTheme="minorHAnsi" w:cstheme="minorHAnsi"/>
          <w:color w:val="auto"/>
          <w:szCs w:val="24"/>
        </w:rPr>
        <w:t xml:space="preserve"> </w:t>
      </w:r>
      <w:r w:rsidR="00D43E49" w:rsidRPr="00D26C5C">
        <w:rPr>
          <w:rFonts w:asciiTheme="minorHAnsi" w:hAnsiTheme="minorHAnsi" w:cstheme="minorHAnsi"/>
          <w:color w:val="auto"/>
          <w:szCs w:val="24"/>
        </w:rPr>
        <w:t xml:space="preserve"> DoDI 6040.44, under which the Board operates, specifies a 12-month interval for special consideration to VA findings. </w:t>
      </w:r>
      <w:r w:rsidR="00F27E3B" w:rsidRPr="00D26C5C">
        <w:rPr>
          <w:rFonts w:asciiTheme="minorHAnsi" w:hAnsiTheme="minorHAnsi" w:cstheme="minorHAnsi"/>
          <w:color w:val="auto"/>
          <w:szCs w:val="24"/>
        </w:rPr>
        <w:t xml:space="preserve"> </w:t>
      </w:r>
      <w:r w:rsidR="00D43E49" w:rsidRPr="00D26C5C">
        <w:rPr>
          <w:rFonts w:asciiTheme="minorHAnsi" w:hAnsiTheme="minorHAnsi" w:cstheme="minorHAnsi"/>
          <w:color w:val="auto"/>
          <w:szCs w:val="24"/>
        </w:rPr>
        <w:t>This does not mean that the VA clinical evidence at the time of temporary retirement and VA evaluations after permanent separation were disregarded; but, in matters germane to the severity of the CI’s conditions and disability at the time of h</w:t>
      </w:r>
      <w:r w:rsidR="001E14C0" w:rsidRPr="00D26C5C">
        <w:rPr>
          <w:rFonts w:asciiTheme="minorHAnsi" w:hAnsiTheme="minorHAnsi" w:cstheme="minorHAnsi"/>
          <w:color w:val="auto"/>
          <w:szCs w:val="24"/>
        </w:rPr>
        <w:t>er</w:t>
      </w:r>
      <w:r w:rsidR="00D43E49" w:rsidRPr="00D26C5C">
        <w:rPr>
          <w:rFonts w:asciiTheme="minorHAnsi" w:hAnsiTheme="minorHAnsi" w:cstheme="minorHAnsi"/>
          <w:color w:val="auto"/>
          <w:szCs w:val="24"/>
        </w:rPr>
        <w:t xml:space="preserve"> permanent separation, the information in the service record proximal to that date </w:t>
      </w:r>
      <w:r w:rsidR="009C6772">
        <w:rPr>
          <w:rFonts w:asciiTheme="minorHAnsi" w:hAnsiTheme="minorHAnsi" w:cstheme="minorHAnsi"/>
          <w:color w:val="auto"/>
          <w:szCs w:val="24"/>
        </w:rPr>
        <w:t>(</w:t>
      </w:r>
      <w:r w:rsidR="009C6772">
        <w:rPr>
          <w:rFonts w:asciiTheme="minorHAnsi" w:hAnsiTheme="minorHAnsi"/>
          <w:caps/>
          <w:color w:val="auto"/>
        </w:rPr>
        <w:t xml:space="preserve">9 </w:t>
      </w:r>
      <w:r w:rsidR="009C6772">
        <w:rPr>
          <w:rFonts w:asciiTheme="minorHAnsi" w:hAnsiTheme="minorHAnsi" w:cstheme="minorHAnsi"/>
          <w:color w:val="auto"/>
          <w:szCs w:val="24"/>
        </w:rPr>
        <w:t>February</w:t>
      </w:r>
      <w:r w:rsidR="009C6772">
        <w:rPr>
          <w:rFonts w:asciiTheme="minorHAnsi" w:hAnsiTheme="minorHAnsi"/>
          <w:caps/>
          <w:color w:val="auto"/>
        </w:rPr>
        <w:t xml:space="preserve"> 2009</w:t>
      </w:r>
      <w:r w:rsidR="00D43E49" w:rsidRPr="00D26C5C">
        <w:rPr>
          <w:rFonts w:asciiTheme="minorHAnsi" w:hAnsiTheme="minorHAnsi" w:cstheme="minorHAnsi"/>
          <w:color w:val="auto"/>
          <w:szCs w:val="24"/>
        </w:rPr>
        <w:t>) was assigned proportionately more probative value as a basis for the Board’s rating recommendations.</w:t>
      </w:r>
      <w:r w:rsidR="009F521A" w:rsidRPr="00D26C5C">
        <w:rPr>
          <w:rFonts w:asciiTheme="minorHAnsi" w:hAnsiTheme="minorHAnsi" w:cstheme="minorHAnsi"/>
          <w:color w:val="auto"/>
          <w:szCs w:val="24"/>
        </w:rPr>
        <w:t xml:space="preserve">  </w:t>
      </w:r>
    </w:p>
    <w:p w:rsidR="009C6772" w:rsidRDefault="009C6772" w:rsidP="0075000E">
      <w:pPr>
        <w:tabs>
          <w:tab w:val="left" w:pos="288"/>
          <w:tab w:val="left" w:pos="4752"/>
        </w:tabs>
        <w:spacing w:line="240" w:lineRule="exact"/>
        <w:jc w:val="both"/>
        <w:rPr>
          <w:rFonts w:asciiTheme="minorHAnsi" w:hAnsiTheme="minorHAnsi" w:cstheme="minorHAnsi"/>
          <w:color w:val="auto"/>
          <w:szCs w:val="24"/>
        </w:rPr>
      </w:pPr>
    </w:p>
    <w:p w:rsidR="009C22C8" w:rsidRPr="00D26C5C" w:rsidRDefault="00AF3F66" w:rsidP="0075000E">
      <w:pPr>
        <w:tabs>
          <w:tab w:val="left" w:pos="288"/>
          <w:tab w:val="left" w:pos="4752"/>
        </w:tabs>
        <w:spacing w:line="240" w:lineRule="exact"/>
        <w:jc w:val="both"/>
        <w:rPr>
          <w:rFonts w:asciiTheme="minorHAnsi" w:hAnsiTheme="minorHAnsi"/>
          <w:color w:val="auto"/>
          <w:szCs w:val="24"/>
        </w:rPr>
      </w:pPr>
      <w:r w:rsidRPr="00D26C5C">
        <w:rPr>
          <w:rFonts w:asciiTheme="minorHAnsi" w:hAnsiTheme="minorHAnsi" w:cstheme="minorHAnsi"/>
          <w:color w:val="auto"/>
          <w:szCs w:val="24"/>
          <w:u w:val="single"/>
        </w:rPr>
        <w:t xml:space="preserve">T12 Burst </w:t>
      </w:r>
      <w:r w:rsidR="0075000E" w:rsidRPr="00D26C5C">
        <w:rPr>
          <w:rFonts w:asciiTheme="minorHAnsi" w:hAnsiTheme="minorHAnsi" w:cstheme="minorHAnsi"/>
          <w:color w:val="auto"/>
          <w:szCs w:val="24"/>
          <w:u w:val="single"/>
        </w:rPr>
        <w:t>FX</w:t>
      </w:r>
      <w:r w:rsidRPr="00D26C5C">
        <w:rPr>
          <w:rFonts w:asciiTheme="minorHAnsi" w:hAnsiTheme="minorHAnsi" w:cstheme="minorHAnsi"/>
          <w:color w:val="auto"/>
          <w:szCs w:val="24"/>
          <w:u w:val="single"/>
        </w:rPr>
        <w:t xml:space="preserve"> </w:t>
      </w:r>
      <w:r w:rsidR="002C6E5B" w:rsidRPr="00D26C5C">
        <w:rPr>
          <w:rFonts w:asciiTheme="minorHAnsi" w:hAnsiTheme="minorHAnsi" w:cstheme="minorHAnsi"/>
          <w:color w:val="auto"/>
          <w:szCs w:val="24"/>
          <w:u w:val="single"/>
        </w:rPr>
        <w:t>Condition</w:t>
      </w:r>
      <w:r w:rsidR="009C6772">
        <w:rPr>
          <w:rFonts w:asciiTheme="minorHAnsi" w:hAnsiTheme="minorHAnsi" w:cstheme="minorHAnsi"/>
          <w:color w:val="auto"/>
          <w:szCs w:val="24"/>
        </w:rPr>
        <w:t>:</w:t>
      </w:r>
      <w:r w:rsidR="002C6E5B" w:rsidRPr="00D26C5C">
        <w:rPr>
          <w:rFonts w:asciiTheme="minorHAnsi" w:hAnsiTheme="minorHAnsi" w:cstheme="minorHAnsi"/>
          <w:color w:val="auto"/>
          <w:szCs w:val="24"/>
        </w:rPr>
        <w:t xml:space="preserve">  </w:t>
      </w:r>
      <w:r w:rsidR="009F521A" w:rsidRPr="00D26C5C">
        <w:rPr>
          <w:rFonts w:asciiTheme="minorHAnsi" w:hAnsiTheme="minorHAnsi" w:cstheme="minorHAnsi"/>
          <w:color w:val="auto"/>
          <w:szCs w:val="24"/>
        </w:rPr>
        <w:t xml:space="preserve">The Board considered the PEB diagnosis of T12 burst fracture administratively final:  there was mixed evidence of T12 compression fracture or L1 compression fracture diagnoses, however, any/all diagnoses would be rated and coded equivalently.  </w:t>
      </w:r>
      <w:r w:rsidR="007C6046" w:rsidRPr="00D26C5C">
        <w:rPr>
          <w:rFonts w:asciiTheme="minorHAnsi" w:hAnsiTheme="minorHAnsi" w:cstheme="minorHAnsi"/>
          <w:color w:val="auto"/>
          <w:szCs w:val="24"/>
        </w:rPr>
        <w:t xml:space="preserve">There were </w:t>
      </w:r>
      <w:r w:rsidR="00A94633" w:rsidRPr="00D26C5C">
        <w:rPr>
          <w:rFonts w:asciiTheme="minorHAnsi" w:hAnsiTheme="minorHAnsi" w:cstheme="minorHAnsi"/>
          <w:color w:val="auto"/>
          <w:szCs w:val="24"/>
        </w:rPr>
        <w:t xml:space="preserve">three exams and two </w:t>
      </w:r>
      <w:r w:rsidR="007C6046" w:rsidRPr="00D26C5C">
        <w:rPr>
          <w:rFonts w:asciiTheme="minorHAnsi" w:hAnsiTheme="minorHAnsi" w:cstheme="minorHAnsi"/>
          <w:color w:val="auto"/>
          <w:szCs w:val="24"/>
        </w:rPr>
        <w:t xml:space="preserve">goniometric range-of-motion (ROM) evaluations in evidence which the Board </w:t>
      </w:r>
      <w:r w:rsidR="00743E36" w:rsidRPr="00D26C5C">
        <w:rPr>
          <w:rFonts w:asciiTheme="minorHAnsi" w:hAnsiTheme="minorHAnsi" w:cstheme="minorHAnsi"/>
          <w:color w:val="auto"/>
          <w:szCs w:val="24"/>
        </w:rPr>
        <w:t>weighed in arriving at its rating recommendation</w:t>
      </w:r>
      <w:r w:rsidRPr="00D26C5C">
        <w:rPr>
          <w:rFonts w:asciiTheme="minorHAnsi" w:hAnsiTheme="minorHAnsi" w:cstheme="minorHAnsi"/>
          <w:color w:val="auto"/>
          <w:szCs w:val="24"/>
        </w:rPr>
        <w:t xml:space="preserve">.  </w:t>
      </w:r>
      <w:r w:rsidR="00A94633" w:rsidRPr="00D26C5C">
        <w:rPr>
          <w:rFonts w:asciiTheme="minorHAnsi" w:hAnsiTheme="minorHAnsi" w:cstheme="minorHAnsi"/>
          <w:color w:val="auto"/>
          <w:szCs w:val="24"/>
        </w:rPr>
        <w:t>T</w:t>
      </w:r>
      <w:r w:rsidR="009C22C8" w:rsidRPr="00D26C5C">
        <w:rPr>
          <w:rFonts w:asciiTheme="minorHAnsi" w:hAnsiTheme="minorHAnsi" w:cstheme="minorHAnsi"/>
          <w:color w:val="auto"/>
          <w:szCs w:val="24"/>
        </w:rPr>
        <w:t>hese exams</w:t>
      </w:r>
      <w:r w:rsidR="009C22C8" w:rsidRPr="00D26C5C">
        <w:rPr>
          <w:rFonts w:asciiTheme="minorHAnsi" w:hAnsiTheme="minorHAnsi"/>
          <w:color w:val="auto"/>
          <w:szCs w:val="24"/>
        </w:rPr>
        <w:t xml:space="preserve"> are summarized in the chart below.</w:t>
      </w:r>
    </w:p>
    <w:p w:rsidR="00F27E3B" w:rsidRPr="00D26C5C" w:rsidRDefault="00F27E3B">
      <w:pPr>
        <w:rPr>
          <w:rFonts w:asciiTheme="minorHAnsi" w:eastAsiaTheme="minorHAnsi" w:hAnsiTheme="minorHAnsi" w:cstheme="minorBidi"/>
          <w:color w:val="auto"/>
          <w:sz w:val="18"/>
          <w:szCs w:val="18"/>
        </w:rPr>
      </w:pPr>
    </w:p>
    <w:tbl>
      <w:tblPr>
        <w:tblW w:w="8934" w:type="dxa"/>
        <w:jc w:val="center"/>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2372"/>
        <w:gridCol w:w="2521"/>
        <w:gridCol w:w="2184"/>
      </w:tblGrid>
      <w:tr w:rsidR="00740EEC" w:rsidRPr="00D26C5C" w:rsidTr="00496FC4">
        <w:trPr>
          <w:jc w:val="center"/>
        </w:trPr>
        <w:tc>
          <w:tcPr>
            <w:tcW w:w="185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40EEC" w:rsidRPr="00D26C5C" w:rsidRDefault="00740EEC">
            <w:pPr>
              <w:pStyle w:val="ListParagraph"/>
              <w:spacing w:after="0" w:line="200" w:lineRule="exact"/>
              <w:ind w:left="0"/>
              <w:jc w:val="center"/>
              <w:rPr>
                <w:rFonts w:eastAsia="Calibri" w:cs="Times New Roman"/>
                <w:b/>
                <w:sz w:val="18"/>
                <w:szCs w:val="18"/>
              </w:rPr>
            </w:pPr>
            <w:r w:rsidRPr="00D26C5C">
              <w:rPr>
                <w:rFonts w:eastAsia="Calibri"/>
                <w:sz w:val="18"/>
                <w:szCs w:val="18"/>
              </w:rPr>
              <w:t>Goniometric ROM - Thoracolumbar</w:t>
            </w:r>
          </w:p>
        </w:tc>
        <w:tc>
          <w:tcPr>
            <w:tcW w:w="237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40EEC" w:rsidRPr="00D26C5C" w:rsidRDefault="00740EEC" w:rsidP="00061B90">
            <w:pPr>
              <w:spacing w:line="20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MEB ~ 2 Mo. Pre-</w:t>
            </w:r>
            <w:r w:rsidR="009F2D1A" w:rsidRPr="00D26C5C">
              <w:rPr>
                <w:rFonts w:asciiTheme="minorHAnsi" w:eastAsia="Calibri" w:hAnsiTheme="minorHAnsi"/>
                <w:color w:val="auto"/>
                <w:sz w:val="18"/>
                <w:szCs w:val="18"/>
              </w:rPr>
              <w:t>TDRL</w:t>
            </w:r>
          </w:p>
        </w:tc>
        <w:tc>
          <w:tcPr>
            <w:tcW w:w="252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73AE4" w:rsidRPr="00D26C5C" w:rsidRDefault="00740EEC">
            <w:pPr>
              <w:spacing w:line="20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VA</w:t>
            </w:r>
            <w:r w:rsidRPr="00D26C5C">
              <w:rPr>
                <w:rFonts w:asciiTheme="minorHAnsi" w:eastAsiaTheme="minorHAnsi" w:hAnsiTheme="minorHAnsi" w:cstheme="minorBidi"/>
                <w:color w:val="auto"/>
                <w:sz w:val="18"/>
                <w:szCs w:val="18"/>
              </w:rPr>
              <w:t xml:space="preserve"> C&amp;P </w:t>
            </w:r>
            <w:r w:rsidRPr="00D26C5C">
              <w:rPr>
                <w:rFonts w:asciiTheme="minorHAnsi" w:eastAsia="Calibri" w:hAnsiTheme="minorHAnsi"/>
                <w:color w:val="auto"/>
                <w:sz w:val="18"/>
                <w:szCs w:val="18"/>
              </w:rPr>
              <w:t xml:space="preserve">~ </w:t>
            </w:r>
            <w:r w:rsidR="00873AE4" w:rsidRPr="00D26C5C">
              <w:rPr>
                <w:rFonts w:asciiTheme="minorHAnsi" w:eastAsia="Calibri" w:hAnsiTheme="minorHAnsi"/>
                <w:color w:val="auto"/>
                <w:sz w:val="18"/>
                <w:szCs w:val="18"/>
              </w:rPr>
              <w:t>6 Mo. After TDRL</w:t>
            </w:r>
          </w:p>
          <w:p w:rsidR="00740EEC" w:rsidRPr="00D26C5C" w:rsidRDefault="00873AE4" w:rsidP="00061B90">
            <w:pPr>
              <w:spacing w:line="200" w:lineRule="exact"/>
              <w:jc w:val="center"/>
              <w:rPr>
                <w:rFonts w:asciiTheme="minorHAnsi" w:eastAsiaTheme="minorHAnsi" w:hAnsiTheme="minorHAnsi" w:cstheme="minorBidi"/>
                <w:color w:val="auto"/>
                <w:sz w:val="18"/>
                <w:szCs w:val="18"/>
              </w:rPr>
            </w:pPr>
            <w:r w:rsidRPr="00D26C5C">
              <w:rPr>
                <w:rFonts w:asciiTheme="minorHAnsi" w:eastAsia="Calibri" w:hAnsiTheme="minorHAnsi"/>
                <w:color w:val="auto"/>
                <w:sz w:val="18"/>
                <w:szCs w:val="18"/>
              </w:rPr>
              <w:t xml:space="preserve">~ </w:t>
            </w:r>
            <w:r w:rsidR="00496FC4" w:rsidRPr="00D26C5C">
              <w:rPr>
                <w:rFonts w:asciiTheme="minorHAnsi" w:eastAsia="Calibri" w:hAnsiTheme="minorHAnsi"/>
                <w:color w:val="auto"/>
                <w:sz w:val="18"/>
                <w:szCs w:val="18"/>
              </w:rPr>
              <w:t>22</w:t>
            </w:r>
            <w:r w:rsidR="00740EEC" w:rsidRPr="00D26C5C">
              <w:rPr>
                <w:rFonts w:asciiTheme="minorHAnsi" w:eastAsia="Calibri" w:hAnsiTheme="minorHAnsi"/>
                <w:color w:val="auto"/>
                <w:sz w:val="18"/>
                <w:szCs w:val="18"/>
              </w:rPr>
              <w:t xml:space="preserve"> Mo. </w:t>
            </w:r>
            <w:r w:rsidR="00496FC4" w:rsidRPr="00D26C5C">
              <w:rPr>
                <w:rFonts w:asciiTheme="minorHAnsi" w:eastAsia="Calibri" w:hAnsiTheme="minorHAnsi"/>
                <w:color w:val="auto"/>
                <w:sz w:val="18"/>
                <w:szCs w:val="18"/>
              </w:rPr>
              <w:t>Pre</w:t>
            </w:r>
            <w:r w:rsidR="00740EEC" w:rsidRPr="00D26C5C">
              <w:rPr>
                <w:rFonts w:asciiTheme="minorHAnsi" w:eastAsia="Calibri" w:hAnsiTheme="minorHAnsi"/>
                <w:color w:val="auto"/>
                <w:sz w:val="18"/>
                <w:szCs w:val="18"/>
              </w:rPr>
              <w:t>-</w:t>
            </w:r>
            <w:r w:rsidR="009F2D1A" w:rsidRPr="00D26C5C">
              <w:rPr>
                <w:rFonts w:asciiTheme="minorHAnsi" w:eastAsia="Calibri" w:hAnsiTheme="minorHAnsi"/>
                <w:color w:val="auto"/>
                <w:sz w:val="18"/>
                <w:szCs w:val="18"/>
              </w:rPr>
              <w:t>TDRL</w:t>
            </w:r>
            <w:r w:rsidR="00496FC4" w:rsidRPr="00D26C5C">
              <w:rPr>
                <w:rFonts w:asciiTheme="minorHAnsi" w:eastAsia="Calibri" w:hAnsiTheme="minorHAnsi"/>
                <w:color w:val="auto"/>
                <w:sz w:val="18"/>
                <w:szCs w:val="18"/>
              </w:rPr>
              <w:t xml:space="preserve"> Exit</w:t>
            </w:r>
          </w:p>
        </w:tc>
        <w:tc>
          <w:tcPr>
            <w:tcW w:w="2184" w:type="dxa"/>
            <w:tcBorders>
              <w:top w:val="single" w:sz="4" w:space="0" w:color="000000"/>
              <w:left w:val="single" w:sz="4" w:space="0" w:color="000000"/>
              <w:bottom w:val="single" w:sz="4" w:space="0" w:color="000000"/>
              <w:right w:val="single" w:sz="4" w:space="0" w:color="000000"/>
            </w:tcBorders>
            <w:shd w:val="pct15" w:color="auto" w:fill="auto"/>
            <w:vAlign w:val="center"/>
          </w:tcPr>
          <w:p w:rsidR="00740EEC" w:rsidRPr="00D26C5C" w:rsidRDefault="00740EEC" w:rsidP="00061B90">
            <w:pPr>
              <w:spacing w:line="20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 xml:space="preserve">PT ~ </w:t>
            </w:r>
            <w:r w:rsidR="00496FC4" w:rsidRPr="00D26C5C">
              <w:rPr>
                <w:rFonts w:asciiTheme="minorHAnsi" w:eastAsia="Calibri" w:hAnsiTheme="minorHAnsi"/>
                <w:color w:val="auto"/>
                <w:sz w:val="18"/>
                <w:szCs w:val="18"/>
              </w:rPr>
              <w:t>8</w:t>
            </w:r>
            <w:r w:rsidRPr="00D26C5C">
              <w:rPr>
                <w:rFonts w:asciiTheme="minorHAnsi" w:eastAsia="Calibri" w:hAnsiTheme="minorHAnsi"/>
                <w:color w:val="auto"/>
                <w:sz w:val="18"/>
                <w:szCs w:val="18"/>
              </w:rPr>
              <w:t xml:space="preserve"> Mo. </w:t>
            </w:r>
            <w:r w:rsidR="00496FC4" w:rsidRPr="00D26C5C">
              <w:rPr>
                <w:rFonts w:asciiTheme="minorHAnsi" w:eastAsia="Calibri" w:hAnsiTheme="minorHAnsi"/>
                <w:color w:val="auto"/>
                <w:sz w:val="18"/>
                <w:szCs w:val="18"/>
              </w:rPr>
              <w:t>Pre-TDRL Exit</w:t>
            </w:r>
          </w:p>
        </w:tc>
      </w:tr>
      <w:tr w:rsidR="00740EEC" w:rsidRPr="00D26C5C" w:rsidTr="00496FC4">
        <w:trPr>
          <w:jc w:val="center"/>
        </w:trPr>
        <w:tc>
          <w:tcPr>
            <w:tcW w:w="1857"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pStyle w:val="ListParagraph"/>
              <w:spacing w:after="0" w:line="180" w:lineRule="exact"/>
              <w:ind w:left="0"/>
              <w:jc w:val="center"/>
              <w:rPr>
                <w:rFonts w:eastAsia="Calibri" w:cs="Times New Roman"/>
                <w:sz w:val="18"/>
                <w:szCs w:val="18"/>
              </w:rPr>
            </w:pPr>
            <w:r w:rsidRPr="00D26C5C">
              <w:rPr>
                <w:rFonts w:eastAsia="Calibri" w:cs="Times New Roman"/>
                <w:sz w:val="18"/>
                <w:szCs w:val="18"/>
              </w:rPr>
              <w:t>Flex (0-90)</w:t>
            </w:r>
          </w:p>
        </w:tc>
        <w:tc>
          <w:tcPr>
            <w:tcW w:w="2372" w:type="dxa"/>
            <w:vMerge w:val="restart"/>
            <w:tcBorders>
              <w:top w:val="single" w:sz="4" w:space="0" w:color="000000"/>
              <w:left w:val="single" w:sz="4" w:space="0" w:color="000000"/>
              <w:bottom w:val="single" w:sz="4" w:space="0" w:color="000000"/>
              <w:right w:val="single" w:sz="4" w:space="0" w:color="000000"/>
            </w:tcBorders>
            <w:vAlign w:val="center"/>
            <w:hideMark/>
          </w:tcPr>
          <w:p w:rsidR="00873AE4" w:rsidRPr="00D26C5C" w:rsidRDefault="00873AE4"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 xml:space="preserve">In TLSO Brace:  </w:t>
            </w:r>
          </w:p>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Not measured</w:t>
            </w: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50⁰</w:t>
            </w:r>
          </w:p>
        </w:tc>
        <w:tc>
          <w:tcPr>
            <w:tcW w:w="2184" w:type="dxa"/>
            <w:tcBorders>
              <w:top w:val="single" w:sz="4" w:space="0" w:color="000000"/>
              <w:left w:val="single" w:sz="4" w:space="0" w:color="000000"/>
              <w:bottom w:val="single" w:sz="4" w:space="0" w:color="000000"/>
              <w:right w:val="single" w:sz="4" w:space="0" w:color="000000"/>
            </w:tcBorders>
            <w:vAlign w:val="center"/>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 xml:space="preserve">65⁰ </w:t>
            </w:r>
          </w:p>
        </w:tc>
      </w:tr>
      <w:tr w:rsidR="00740EEC" w:rsidRPr="00D26C5C" w:rsidTr="00496FC4">
        <w:trPr>
          <w:jc w:val="center"/>
        </w:trPr>
        <w:tc>
          <w:tcPr>
            <w:tcW w:w="1857"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pStyle w:val="ListParagraph"/>
              <w:spacing w:after="0" w:line="180" w:lineRule="exact"/>
              <w:ind w:left="0"/>
              <w:jc w:val="center"/>
              <w:rPr>
                <w:rFonts w:eastAsia="Calibri" w:cs="Times New Roman"/>
                <w:sz w:val="18"/>
                <w:szCs w:val="18"/>
              </w:rPr>
            </w:pPr>
            <w:r w:rsidRPr="00D26C5C">
              <w:rPr>
                <w:rFonts w:eastAsia="Calibri" w:cs="Times New Roman"/>
                <w:sz w:val="18"/>
                <w:szCs w:val="18"/>
              </w:rPr>
              <w:t>Ext (0-30)</w:t>
            </w:r>
          </w:p>
        </w:tc>
        <w:tc>
          <w:tcPr>
            <w:tcW w:w="2372" w:type="dxa"/>
            <w:vMerge/>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rPr>
                <w:rFonts w:asciiTheme="minorHAnsi" w:eastAsia="Calibri" w:hAnsiTheme="minorHAnsi"/>
                <w:color w:val="auto"/>
                <w:sz w:val="18"/>
                <w:szCs w:val="18"/>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20⁰</w:t>
            </w:r>
          </w:p>
        </w:tc>
        <w:tc>
          <w:tcPr>
            <w:tcW w:w="2184" w:type="dxa"/>
            <w:tcBorders>
              <w:top w:val="single" w:sz="4" w:space="0" w:color="000000"/>
              <w:left w:val="single" w:sz="4" w:space="0" w:color="000000"/>
              <w:bottom w:val="single" w:sz="4" w:space="0" w:color="000000"/>
              <w:right w:val="single" w:sz="4" w:space="0" w:color="000000"/>
            </w:tcBorders>
            <w:vAlign w:val="center"/>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 xml:space="preserve">15⁰ </w:t>
            </w:r>
          </w:p>
        </w:tc>
      </w:tr>
      <w:tr w:rsidR="00740EEC" w:rsidRPr="00D26C5C" w:rsidTr="00496FC4">
        <w:trPr>
          <w:trHeight w:val="188"/>
          <w:jc w:val="center"/>
        </w:trPr>
        <w:tc>
          <w:tcPr>
            <w:tcW w:w="1857"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pStyle w:val="ListParagraph"/>
              <w:spacing w:after="0" w:line="180" w:lineRule="exact"/>
              <w:ind w:left="0"/>
              <w:jc w:val="center"/>
              <w:rPr>
                <w:rFonts w:eastAsia="Calibri" w:cs="Times New Roman"/>
                <w:sz w:val="18"/>
                <w:szCs w:val="18"/>
              </w:rPr>
            </w:pPr>
            <w:r w:rsidRPr="00D26C5C">
              <w:rPr>
                <w:rFonts w:eastAsia="Calibri" w:cs="Times New Roman"/>
                <w:sz w:val="18"/>
                <w:szCs w:val="18"/>
              </w:rPr>
              <w:t>R Lat Flex (0-30)</w:t>
            </w:r>
          </w:p>
        </w:tc>
        <w:tc>
          <w:tcPr>
            <w:tcW w:w="2372" w:type="dxa"/>
            <w:vMerge/>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rPr>
                <w:rFonts w:asciiTheme="minorHAnsi" w:eastAsia="Calibri" w:hAnsiTheme="minorHAnsi"/>
                <w:color w:val="auto"/>
                <w:sz w:val="18"/>
                <w:szCs w:val="18"/>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25⁰</w:t>
            </w:r>
          </w:p>
        </w:tc>
        <w:tc>
          <w:tcPr>
            <w:tcW w:w="2184" w:type="dxa"/>
            <w:tcBorders>
              <w:top w:val="single" w:sz="4" w:space="0" w:color="000000"/>
              <w:left w:val="single" w:sz="4" w:space="0" w:color="000000"/>
              <w:bottom w:val="single" w:sz="4" w:space="0" w:color="000000"/>
              <w:right w:val="single" w:sz="4" w:space="0" w:color="000000"/>
            </w:tcBorders>
            <w:vAlign w:val="center"/>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 xml:space="preserve">30⁰ </w:t>
            </w:r>
          </w:p>
        </w:tc>
      </w:tr>
      <w:tr w:rsidR="00740EEC" w:rsidRPr="00D26C5C" w:rsidTr="00496FC4">
        <w:trPr>
          <w:jc w:val="center"/>
        </w:trPr>
        <w:tc>
          <w:tcPr>
            <w:tcW w:w="1857"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pStyle w:val="ListParagraph"/>
              <w:spacing w:after="0" w:line="180" w:lineRule="exact"/>
              <w:ind w:left="0"/>
              <w:jc w:val="center"/>
              <w:rPr>
                <w:rFonts w:eastAsia="Calibri" w:cs="Times New Roman"/>
                <w:sz w:val="18"/>
                <w:szCs w:val="18"/>
              </w:rPr>
            </w:pPr>
            <w:r w:rsidRPr="00D26C5C">
              <w:rPr>
                <w:rFonts w:eastAsia="Calibri" w:cs="Times New Roman"/>
                <w:sz w:val="18"/>
                <w:szCs w:val="18"/>
              </w:rPr>
              <w:t>L Lat Flex 0-30)</w:t>
            </w:r>
          </w:p>
        </w:tc>
        <w:tc>
          <w:tcPr>
            <w:tcW w:w="2372" w:type="dxa"/>
            <w:vMerge/>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rPr>
                <w:rFonts w:asciiTheme="minorHAnsi" w:eastAsia="Calibri" w:hAnsiTheme="minorHAnsi"/>
                <w:color w:val="auto"/>
                <w:sz w:val="18"/>
                <w:szCs w:val="18"/>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25⁰</w:t>
            </w:r>
          </w:p>
        </w:tc>
        <w:tc>
          <w:tcPr>
            <w:tcW w:w="2184" w:type="dxa"/>
            <w:tcBorders>
              <w:top w:val="single" w:sz="4" w:space="0" w:color="000000"/>
              <w:left w:val="single" w:sz="4" w:space="0" w:color="000000"/>
              <w:bottom w:val="single" w:sz="4" w:space="0" w:color="000000"/>
              <w:right w:val="single" w:sz="4" w:space="0" w:color="000000"/>
            </w:tcBorders>
            <w:vAlign w:val="center"/>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25⁰</w:t>
            </w:r>
          </w:p>
        </w:tc>
      </w:tr>
      <w:tr w:rsidR="00740EEC" w:rsidRPr="00D26C5C" w:rsidTr="00496FC4">
        <w:trPr>
          <w:jc w:val="center"/>
        </w:trPr>
        <w:tc>
          <w:tcPr>
            <w:tcW w:w="1857"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pStyle w:val="ListParagraph"/>
              <w:spacing w:after="0" w:line="180" w:lineRule="exact"/>
              <w:ind w:left="0"/>
              <w:jc w:val="center"/>
              <w:rPr>
                <w:rFonts w:eastAsia="Calibri" w:cs="Times New Roman"/>
                <w:sz w:val="18"/>
                <w:szCs w:val="18"/>
              </w:rPr>
            </w:pPr>
            <w:r w:rsidRPr="00D26C5C">
              <w:rPr>
                <w:rFonts w:eastAsia="Calibri" w:cs="Times New Roman"/>
                <w:sz w:val="18"/>
                <w:szCs w:val="18"/>
              </w:rPr>
              <w:t>R Rotation (0-30)</w:t>
            </w:r>
          </w:p>
        </w:tc>
        <w:tc>
          <w:tcPr>
            <w:tcW w:w="2372" w:type="dxa"/>
            <w:vMerge/>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rPr>
                <w:rFonts w:asciiTheme="minorHAnsi" w:eastAsia="Calibri" w:hAnsiTheme="minorHAnsi"/>
                <w:color w:val="auto"/>
                <w:sz w:val="18"/>
                <w:szCs w:val="18"/>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30⁰</w:t>
            </w:r>
          </w:p>
        </w:tc>
        <w:tc>
          <w:tcPr>
            <w:tcW w:w="2184" w:type="dxa"/>
            <w:tcBorders>
              <w:top w:val="single" w:sz="4" w:space="0" w:color="000000"/>
              <w:left w:val="single" w:sz="4" w:space="0" w:color="000000"/>
              <w:bottom w:val="single" w:sz="4" w:space="0" w:color="000000"/>
              <w:right w:val="single" w:sz="4" w:space="0" w:color="000000"/>
            </w:tcBorders>
            <w:vAlign w:val="center"/>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 xml:space="preserve">30⁰ </w:t>
            </w:r>
          </w:p>
        </w:tc>
      </w:tr>
      <w:tr w:rsidR="00740EEC" w:rsidRPr="00D26C5C" w:rsidTr="00496FC4">
        <w:trPr>
          <w:jc w:val="center"/>
        </w:trPr>
        <w:tc>
          <w:tcPr>
            <w:tcW w:w="1857"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pStyle w:val="ListParagraph"/>
              <w:spacing w:after="0" w:line="180" w:lineRule="exact"/>
              <w:ind w:left="0"/>
              <w:jc w:val="center"/>
              <w:rPr>
                <w:rFonts w:eastAsia="Calibri" w:cs="Times New Roman"/>
                <w:sz w:val="18"/>
                <w:szCs w:val="18"/>
              </w:rPr>
            </w:pPr>
            <w:r w:rsidRPr="00D26C5C">
              <w:rPr>
                <w:rFonts w:eastAsia="Calibri" w:cs="Times New Roman"/>
                <w:sz w:val="18"/>
                <w:szCs w:val="18"/>
              </w:rPr>
              <w:t>L Rotation (0-30)</w:t>
            </w:r>
          </w:p>
        </w:tc>
        <w:tc>
          <w:tcPr>
            <w:tcW w:w="2372" w:type="dxa"/>
            <w:vMerge/>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rPr>
                <w:rFonts w:asciiTheme="minorHAnsi" w:eastAsia="Calibri" w:hAnsiTheme="minorHAnsi"/>
                <w:color w:val="auto"/>
                <w:sz w:val="18"/>
                <w:szCs w:val="18"/>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30⁰</w:t>
            </w:r>
          </w:p>
        </w:tc>
        <w:tc>
          <w:tcPr>
            <w:tcW w:w="2184" w:type="dxa"/>
            <w:tcBorders>
              <w:top w:val="single" w:sz="4" w:space="0" w:color="000000"/>
              <w:left w:val="single" w:sz="4" w:space="0" w:color="000000"/>
              <w:bottom w:val="single" w:sz="4" w:space="0" w:color="000000"/>
              <w:right w:val="single" w:sz="4" w:space="0" w:color="000000"/>
            </w:tcBorders>
            <w:vAlign w:val="center"/>
          </w:tcPr>
          <w:p w:rsidR="00740EEC" w:rsidRPr="00D26C5C" w:rsidRDefault="00740EEC" w:rsidP="00496FC4">
            <w:pPr>
              <w:spacing w:line="180" w:lineRule="exact"/>
              <w:jc w:val="center"/>
              <w:rPr>
                <w:rFonts w:asciiTheme="minorHAnsi" w:eastAsia="Calibri" w:hAnsiTheme="minorHAnsi"/>
                <w:color w:val="auto"/>
                <w:sz w:val="18"/>
                <w:szCs w:val="18"/>
              </w:rPr>
            </w:pPr>
            <w:r w:rsidRPr="00D26C5C">
              <w:rPr>
                <w:rFonts w:asciiTheme="minorHAnsi" w:eastAsia="Calibri" w:hAnsiTheme="minorHAnsi"/>
                <w:color w:val="auto"/>
                <w:sz w:val="18"/>
                <w:szCs w:val="18"/>
              </w:rPr>
              <w:t>35⁰</w:t>
            </w:r>
            <w:r w:rsidR="00496FC4" w:rsidRPr="00D26C5C">
              <w:rPr>
                <w:rFonts w:asciiTheme="minorHAnsi" w:eastAsia="Calibri" w:hAnsiTheme="minorHAnsi"/>
                <w:color w:val="auto"/>
                <w:sz w:val="18"/>
                <w:szCs w:val="18"/>
              </w:rPr>
              <w:t xml:space="preserve"> (30⁰)</w:t>
            </w:r>
            <w:r w:rsidRPr="00D26C5C">
              <w:rPr>
                <w:rFonts w:asciiTheme="minorHAnsi" w:eastAsia="Calibri" w:hAnsiTheme="minorHAnsi"/>
                <w:color w:val="auto"/>
                <w:sz w:val="18"/>
                <w:szCs w:val="18"/>
              </w:rPr>
              <w:t xml:space="preserve"> </w:t>
            </w:r>
          </w:p>
        </w:tc>
      </w:tr>
      <w:tr w:rsidR="00740EEC" w:rsidRPr="00D26C5C" w:rsidTr="00496FC4">
        <w:trPr>
          <w:jc w:val="center"/>
        </w:trPr>
        <w:tc>
          <w:tcPr>
            <w:tcW w:w="1857"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pStyle w:val="ListParagraph"/>
              <w:spacing w:after="0" w:line="180" w:lineRule="exact"/>
              <w:ind w:left="0"/>
              <w:jc w:val="center"/>
              <w:rPr>
                <w:rFonts w:eastAsia="Calibri" w:cs="Times New Roman"/>
                <w:sz w:val="18"/>
                <w:szCs w:val="18"/>
              </w:rPr>
            </w:pPr>
            <w:r w:rsidRPr="00D26C5C">
              <w:rPr>
                <w:rFonts w:eastAsia="Calibri" w:cs="Times New Roman"/>
                <w:sz w:val="18"/>
                <w:szCs w:val="18"/>
              </w:rPr>
              <w:t>COMBINED (240)</w:t>
            </w:r>
          </w:p>
        </w:tc>
        <w:tc>
          <w:tcPr>
            <w:tcW w:w="2372" w:type="dxa"/>
            <w:vMerge/>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rPr>
                <w:rFonts w:asciiTheme="minorHAnsi" w:eastAsia="Calibri" w:hAnsiTheme="minorHAnsi"/>
                <w:color w:val="auto"/>
                <w:sz w:val="18"/>
                <w:szCs w:val="18"/>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spacing w:line="180" w:lineRule="exact"/>
              <w:jc w:val="center"/>
              <w:rPr>
                <w:rFonts w:asciiTheme="minorHAnsi" w:hAnsiTheme="minorHAnsi"/>
                <w:color w:val="auto"/>
                <w:sz w:val="18"/>
                <w:szCs w:val="18"/>
              </w:rPr>
            </w:pPr>
            <w:r w:rsidRPr="00D26C5C">
              <w:rPr>
                <w:rFonts w:asciiTheme="minorHAnsi" w:eastAsia="Calibri" w:hAnsiTheme="minorHAnsi"/>
                <w:color w:val="auto"/>
                <w:sz w:val="18"/>
                <w:szCs w:val="18"/>
              </w:rPr>
              <w:t>180⁰</w:t>
            </w:r>
          </w:p>
        </w:tc>
        <w:tc>
          <w:tcPr>
            <w:tcW w:w="2184" w:type="dxa"/>
            <w:tcBorders>
              <w:top w:val="single" w:sz="4" w:space="0" w:color="000000"/>
              <w:left w:val="single" w:sz="4" w:space="0" w:color="000000"/>
              <w:bottom w:val="single" w:sz="4" w:space="0" w:color="000000"/>
              <w:right w:val="single" w:sz="4" w:space="0" w:color="000000"/>
            </w:tcBorders>
            <w:vAlign w:val="center"/>
          </w:tcPr>
          <w:p w:rsidR="00740EEC" w:rsidRPr="00D26C5C" w:rsidRDefault="00496FC4" w:rsidP="00496FC4">
            <w:pPr>
              <w:pStyle w:val="ListParagraph"/>
              <w:spacing w:after="0" w:line="180" w:lineRule="exact"/>
              <w:ind w:left="0"/>
              <w:jc w:val="center"/>
              <w:rPr>
                <w:rFonts w:eastAsia="Calibri" w:cs="Times New Roman"/>
                <w:sz w:val="18"/>
                <w:szCs w:val="18"/>
              </w:rPr>
            </w:pPr>
            <w:r w:rsidRPr="00D26C5C">
              <w:rPr>
                <w:rFonts w:eastAsia="Calibri" w:cs="Times New Roman"/>
                <w:sz w:val="18"/>
                <w:szCs w:val="18"/>
              </w:rPr>
              <w:t>195</w:t>
            </w:r>
            <w:r w:rsidR="00740EEC" w:rsidRPr="00D26C5C">
              <w:rPr>
                <w:rFonts w:eastAsia="Calibri" w:cs="Times New Roman"/>
                <w:sz w:val="18"/>
                <w:szCs w:val="18"/>
              </w:rPr>
              <w:t>⁰</w:t>
            </w:r>
          </w:p>
        </w:tc>
      </w:tr>
      <w:tr w:rsidR="00740EEC" w:rsidRPr="00D26C5C" w:rsidTr="00496FC4">
        <w:trPr>
          <w:jc w:val="center"/>
        </w:trPr>
        <w:tc>
          <w:tcPr>
            <w:tcW w:w="1857"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pStyle w:val="ListParagraph"/>
              <w:spacing w:after="0" w:line="180" w:lineRule="exact"/>
              <w:ind w:left="0"/>
              <w:jc w:val="center"/>
              <w:rPr>
                <w:rFonts w:eastAsia="Calibri" w:cs="Times New Roman"/>
                <w:sz w:val="18"/>
                <w:szCs w:val="18"/>
              </w:rPr>
            </w:pPr>
            <w:r w:rsidRPr="00D26C5C">
              <w:rPr>
                <w:rFonts w:eastAsia="Calibri" w:cs="Times New Roman"/>
                <w:sz w:val="18"/>
                <w:szCs w:val="18"/>
              </w:rPr>
              <w:t>Comment</w:t>
            </w:r>
          </w:p>
        </w:tc>
        <w:tc>
          <w:tcPr>
            <w:tcW w:w="2372"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tabs>
                <w:tab w:val="left" w:pos="288"/>
                <w:tab w:val="left" w:pos="4752"/>
              </w:tabs>
              <w:spacing w:line="180" w:lineRule="exact"/>
              <w:rPr>
                <w:rFonts w:asciiTheme="minorHAnsi" w:eastAsiaTheme="minorHAnsi" w:hAnsiTheme="minorHAnsi"/>
                <w:color w:val="auto"/>
                <w:sz w:val="18"/>
                <w:szCs w:val="18"/>
              </w:rPr>
            </w:pPr>
            <w:r w:rsidRPr="00D26C5C">
              <w:rPr>
                <w:rFonts w:asciiTheme="minorHAnsi" w:eastAsiaTheme="minorHAnsi" w:hAnsiTheme="minorHAnsi"/>
                <w:color w:val="auto"/>
                <w:sz w:val="18"/>
                <w:szCs w:val="18"/>
              </w:rPr>
              <w:t>Normal gait – non-antalgic</w:t>
            </w:r>
            <w:r w:rsidR="00496FC4" w:rsidRPr="00D26C5C">
              <w:rPr>
                <w:rFonts w:asciiTheme="minorHAnsi" w:eastAsiaTheme="minorHAnsi" w:hAnsiTheme="minorHAnsi"/>
                <w:color w:val="auto"/>
                <w:sz w:val="18"/>
                <w:szCs w:val="18"/>
              </w:rPr>
              <w:t>;</w:t>
            </w:r>
            <w:r w:rsidRPr="00D26C5C">
              <w:rPr>
                <w:rFonts w:asciiTheme="minorHAnsi" w:eastAsiaTheme="minorHAnsi" w:hAnsiTheme="minorHAnsi"/>
                <w:color w:val="auto"/>
                <w:sz w:val="18"/>
                <w:szCs w:val="18"/>
              </w:rPr>
              <w:t xml:space="preserve"> </w:t>
            </w:r>
            <w:r w:rsidR="00496FC4" w:rsidRPr="00D26C5C">
              <w:rPr>
                <w:rFonts w:asciiTheme="minorHAnsi" w:eastAsiaTheme="minorHAnsi" w:hAnsiTheme="minorHAnsi"/>
                <w:color w:val="auto"/>
                <w:sz w:val="18"/>
                <w:szCs w:val="18"/>
              </w:rPr>
              <w:t>t</w:t>
            </w:r>
            <w:r w:rsidRPr="00D26C5C">
              <w:rPr>
                <w:rFonts w:asciiTheme="minorHAnsi" w:eastAsiaTheme="minorHAnsi" w:hAnsiTheme="minorHAnsi"/>
                <w:color w:val="auto"/>
                <w:sz w:val="18"/>
                <w:szCs w:val="18"/>
              </w:rPr>
              <w:t xml:space="preserve">enderness </w:t>
            </w:r>
            <w:r w:rsidR="0075000E" w:rsidRPr="00D26C5C">
              <w:rPr>
                <w:rFonts w:asciiTheme="minorHAnsi" w:eastAsiaTheme="minorHAnsi" w:hAnsiTheme="minorHAnsi"/>
                <w:color w:val="auto"/>
                <w:sz w:val="18"/>
                <w:szCs w:val="18"/>
              </w:rPr>
              <w:t>mid thoracic</w:t>
            </w:r>
            <w:r w:rsidRPr="00D26C5C">
              <w:rPr>
                <w:rFonts w:asciiTheme="minorHAnsi" w:eastAsiaTheme="minorHAnsi" w:hAnsiTheme="minorHAnsi"/>
                <w:color w:val="auto"/>
                <w:sz w:val="18"/>
                <w:szCs w:val="18"/>
              </w:rPr>
              <w:t xml:space="preserve"> and paraspinal region and </w:t>
            </w:r>
            <w:r w:rsidR="0075000E" w:rsidRPr="00D26C5C">
              <w:rPr>
                <w:rFonts w:asciiTheme="minorHAnsi" w:eastAsiaTheme="minorHAnsi" w:hAnsiTheme="minorHAnsi"/>
                <w:color w:val="auto"/>
                <w:sz w:val="18"/>
                <w:szCs w:val="18"/>
              </w:rPr>
              <w:t>mid thoracic</w:t>
            </w:r>
            <w:r w:rsidRPr="00D26C5C">
              <w:rPr>
                <w:rFonts w:asciiTheme="minorHAnsi" w:eastAsiaTheme="minorHAnsi" w:hAnsiTheme="minorHAnsi"/>
                <w:color w:val="auto"/>
                <w:sz w:val="18"/>
                <w:szCs w:val="18"/>
              </w:rPr>
              <w:t xml:space="preserve"> both left and right down sacrum and paraspinal region to sacrum on left and right</w:t>
            </w:r>
            <w:r w:rsidR="00496FC4" w:rsidRPr="00D26C5C">
              <w:rPr>
                <w:rFonts w:asciiTheme="minorHAnsi" w:eastAsiaTheme="minorHAnsi" w:hAnsiTheme="minorHAnsi"/>
                <w:color w:val="auto"/>
                <w:sz w:val="18"/>
                <w:szCs w:val="18"/>
              </w:rPr>
              <w:t>;</w:t>
            </w:r>
            <w:r w:rsidRPr="00D26C5C">
              <w:rPr>
                <w:rFonts w:asciiTheme="minorHAnsi" w:eastAsiaTheme="minorHAnsi" w:hAnsiTheme="minorHAnsi"/>
                <w:color w:val="auto"/>
                <w:sz w:val="18"/>
                <w:szCs w:val="18"/>
              </w:rPr>
              <w:t xml:space="preserve"> </w:t>
            </w:r>
            <w:r w:rsidR="00496FC4" w:rsidRPr="00D26C5C">
              <w:rPr>
                <w:rFonts w:asciiTheme="minorHAnsi" w:eastAsiaTheme="minorHAnsi" w:hAnsiTheme="minorHAnsi"/>
                <w:color w:val="auto"/>
                <w:sz w:val="18"/>
                <w:szCs w:val="18"/>
              </w:rPr>
              <w:t>n</w:t>
            </w:r>
            <w:r w:rsidRPr="00D26C5C">
              <w:rPr>
                <w:rFonts w:asciiTheme="minorHAnsi" w:eastAsiaTheme="minorHAnsi" w:hAnsiTheme="minorHAnsi"/>
                <w:color w:val="auto"/>
                <w:sz w:val="18"/>
                <w:szCs w:val="18"/>
              </w:rPr>
              <w:t>egative straight leg raise and cross straight leg raise test bilaterally</w:t>
            </w: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tabs>
                <w:tab w:val="left" w:pos="288"/>
                <w:tab w:val="left" w:pos="4752"/>
              </w:tabs>
              <w:spacing w:line="180" w:lineRule="exact"/>
              <w:rPr>
                <w:rFonts w:asciiTheme="minorHAnsi" w:eastAsiaTheme="minorHAnsi" w:hAnsiTheme="minorHAnsi"/>
                <w:color w:val="auto"/>
                <w:sz w:val="18"/>
                <w:szCs w:val="18"/>
              </w:rPr>
            </w:pPr>
            <w:r w:rsidRPr="00D26C5C">
              <w:rPr>
                <w:rFonts w:asciiTheme="minorHAnsi" w:eastAsiaTheme="minorHAnsi" w:hAnsiTheme="minorHAnsi"/>
                <w:color w:val="auto"/>
                <w:sz w:val="18"/>
                <w:szCs w:val="18"/>
              </w:rPr>
              <w:t>Gait and posture WNL</w:t>
            </w:r>
            <w:r w:rsidR="00496FC4" w:rsidRPr="00D26C5C">
              <w:rPr>
                <w:rFonts w:asciiTheme="minorHAnsi" w:eastAsiaTheme="minorHAnsi" w:hAnsiTheme="minorHAnsi"/>
                <w:color w:val="auto"/>
                <w:sz w:val="18"/>
                <w:szCs w:val="18"/>
              </w:rPr>
              <w:t>; d</w:t>
            </w:r>
            <w:r w:rsidRPr="00D26C5C">
              <w:rPr>
                <w:rFonts w:asciiTheme="minorHAnsi" w:eastAsiaTheme="minorHAnsi" w:hAnsiTheme="minorHAnsi"/>
                <w:color w:val="auto"/>
                <w:sz w:val="18"/>
                <w:szCs w:val="18"/>
              </w:rPr>
              <w:t xml:space="preserve">ecreased and painful ROM; </w:t>
            </w:r>
            <w:r w:rsidR="00496FC4" w:rsidRPr="00D26C5C">
              <w:rPr>
                <w:rFonts w:asciiTheme="minorHAnsi" w:eastAsiaTheme="minorHAnsi" w:hAnsiTheme="minorHAnsi"/>
                <w:color w:val="auto"/>
                <w:sz w:val="18"/>
                <w:szCs w:val="18"/>
              </w:rPr>
              <w:t>n</w:t>
            </w:r>
            <w:r w:rsidRPr="00D26C5C">
              <w:rPr>
                <w:rFonts w:asciiTheme="minorHAnsi" w:eastAsiaTheme="minorHAnsi" w:hAnsiTheme="minorHAnsi"/>
                <w:color w:val="auto"/>
                <w:sz w:val="18"/>
                <w:szCs w:val="18"/>
              </w:rPr>
              <w:t>o radiating pain, muscle spasm or tenderness</w:t>
            </w:r>
            <w:r w:rsidR="00496FC4" w:rsidRPr="00D26C5C">
              <w:rPr>
                <w:rFonts w:asciiTheme="minorHAnsi" w:eastAsiaTheme="minorHAnsi" w:hAnsiTheme="minorHAnsi"/>
                <w:color w:val="auto"/>
                <w:sz w:val="18"/>
                <w:szCs w:val="18"/>
              </w:rPr>
              <w:t>;</w:t>
            </w:r>
            <w:r w:rsidRPr="00D26C5C">
              <w:rPr>
                <w:rFonts w:asciiTheme="minorHAnsi" w:eastAsiaTheme="minorHAnsi" w:hAnsiTheme="minorHAnsi"/>
                <w:color w:val="auto"/>
                <w:sz w:val="18"/>
                <w:szCs w:val="18"/>
              </w:rPr>
              <w:t xml:space="preserve"> </w:t>
            </w:r>
            <w:r w:rsidR="00496FC4" w:rsidRPr="00D26C5C">
              <w:rPr>
                <w:rFonts w:asciiTheme="minorHAnsi" w:eastAsiaTheme="minorHAnsi" w:hAnsiTheme="minorHAnsi"/>
                <w:color w:val="auto"/>
                <w:sz w:val="18"/>
                <w:szCs w:val="18"/>
              </w:rPr>
              <w:t>n</w:t>
            </w:r>
            <w:r w:rsidRPr="00D26C5C">
              <w:rPr>
                <w:rFonts w:asciiTheme="minorHAnsi" w:eastAsiaTheme="minorHAnsi" w:hAnsiTheme="minorHAnsi"/>
                <w:color w:val="auto"/>
                <w:sz w:val="18"/>
                <w:szCs w:val="18"/>
              </w:rPr>
              <w:t>egative straight leg raising test bilaterally</w:t>
            </w:r>
          </w:p>
        </w:tc>
        <w:tc>
          <w:tcPr>
            <w:tcW w:w="2184" w:type="dxa"/>
            <w:tcBorders>
              <w:top w:val="single" w:sz="4" w:space="0" w:color="000000"/>
              <w:left w:val="single" w:sz="4" w:space="0" w:color="000000"/>
              <w:bottom w:val="single" w:sz="4" w:space="0" w:color="000000"/>
              <w:right w:val="single" w:sz="4" w:space="0" w:color="000000"/>
            </w:tcBorders>
            <w:vAlign w:val="center"/>
          </w:tcPr>
          <w:p w:rsidR="00740EEC" w:rsidRPr="00D26C5C" w:rsidRDefault="00740EEC" w:rsidP="00496FC4">
            <w:pPr>
              <w:tabs>
                <w:tab w:val="left" w:pos="288"/>
                <w:tab w:val="left" w:pos="4752"/>
              </w:tabs>
              <w:spacing w:line="180" w:lineRule="exact"/>
              <w:rPr>
                <w:rFonts w:asciiTheme="minorHAnsi" w:eastAsiaTheme="minorHAnsi" w:hAnsiTheme="minorHAnsi"/>
                <w:color w:val="auto"/>
                <w:sz w:val="18"/>
                <w:szCs w:val="18"/>
              </w:rPr>
            </w:pPr>
            <w:r w:rsidRPr="00D26C5C">
              <w:rPr>
                <w:rFonts w:asciiTheme="minorHAnsi" w:eastAsiaTheme="minorHAnsi" w:hAnsiTheme="minorHAnsi"/>
                <w:color w:val="auto"/>
                <w:sz w:val="18"/>
                <w:szCs w:val="18"/>
              </w:rPr>
              <w:t>Increased pain during ROM</w:t>
            </w:r>
            <w:r w:rsidR="00496FC4" w:rsidRPr="00D26C5C">
              <w:rPr>
                <w:rFonts w:asciiTheme="minorHAnsi" w:eastAsiaTheme="minorHAnsi" w:hAnsiTheme="minorHAnsi"/>
                <w:color w:val="auto"/>
                <w:sz w:val="18"/>
                <w:szCs w:val="18"/>
              </w:rPr>
              <w:t>; all ROMs increased w</w:t>
            </w:r>
            <w:r w:rsidR="00A07676" w:rsidRPr="00D26C5C">
              <w:rPr>
                <w:rFonts w:asciiTheme="minorHAnsi" w:eastAsiaTheme="minorHAnsi" w:hAnsiTheme="minorHAnsi"/>
                <w:color w:val="auto"/>
                <w:sz w:val="18"/>
                <w:szCs w:val="18"/>
              </w:rPr>
              <w:t>/</w:t>
            </w:r>
            <w:r w:rsidR="00496FC4" w:rsidRPr="00D26C5C">
              <w:rPr>
                <w:rFonts w:asciiTheme="minorHAnsi" w:eastAsiaTheme="minorHAnsi" w:hAnsiTheme="minorHAnsi"/>
                <w:color w:val="auto"/>
                <w:sz w:val="18"/>
                <w:szCs w:val="18"/>
              </w:rPr>
              <w:t xml:space="preserve"> repetition; u</w:t>
            </w:r>
            <w:r w:rsidRPr="00D26C5C">
              <w:rPr>
                <w:rFonts w:asciiTheme="minorHAnsi" w:eastAsiaTheme="minorHAnsi" w:hAnsiTheme="minorHAnsi"/>
                <w:color w:val="auto"/>
                <w:sz w:val="18"/>
                <w:szCs w:val="18"/>
              </w:rPr>
              <w:t>nable to perform single leg hop</w:t>
            </w:r>
            <w:r w:rsidR="002258F0" w:rsidRPr="00D26C5C">
              <w:rPr>
                <w:rFonts w:asciiTheme="minorHAnsi" w:eastAsiaTheme="minorHAnsi" w:hAnsiTheme="minorHAnsi"/>
                <w:color w:val="auto"/>
                <w:sz w:val="18"/>
                <w:szCs w:val="18"/>
              </w:rPr>
              <w:t xml:space="preserve"> </w:t>
            </w:r>
            <w:r w:rsidRPr="00D26C5C">
              <w:rPr>
                <w:rFonts w:asciiTheme="minorHAnsi" w:eastAsiaTheme="minorHAnsi" w:hAnsiTheme="minorHAnsi"/>
                <w:color w:val="auto"/>
                <w:sz w:val="18"/>
                <w:szCs w:val="18"/>
              </w:rPr>
              <w:t>x3; double leg hops x6</w:t>
            </w:r>
            <w:r w:rsidR="00496FC4" w:rsidRPr="00D26C5C">
              <w:rPr>
                <w:rFonts w:asciiTheme="minorHAnsi" w:eastAsiaTheme="minorHAnsi" w:hAnsiTheme="minorHAnsi"/>
                <w:color w:val="auto"/>
                <w:sz w:val="18"/>
                <w:szCs w:val="18"/>
              </w:rPr>
              <w:t>; pain in low back and sacrum with prolonged sitting</w:t>
            </w:r>
          </w:p>
        </w:tc>
      </w:tr>
      <w:tr w:rsidR="00740EEC" w:rsidRPr="00D26C5C" w:rsidTr="00496FC4">
        <w:trPr>
          <w:jc w:val="center"/>
        </w:trPr>
        <w:tc>
          <w:tcPr>
            <w:tcW w:w="1857"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pStyle w:val="ListParagraph"/>
              <w:spacing w:after="0" w:line="180" w:lineRule="exact"/>
              <w:ind w:left="0"/>
              <w:jc w:val="center"/>
              <w:rPr>
                <w:rFonts w:eastAsia="Calibri" w:cs="Times New Roman"/>
                <w:sz w:val="18"/>
                <w:szCs w:val="18"/>
              </w:rPr>
            </w:pPr>
            <w:r w:rsidRPr="00D26C5C">
              <w:rPr>
                <w:rFonts w:eastAsia="Calibri" w:cs="Times New Roman"/>
                <w:sz w:val="18"/>
                <w:szCs w:val="18"/>
              </w:rPr>
              <w:t>§4.71a Rating</w:t>
            </w:r>
          </w:p>
        </w:tc>
        <w:tc>
          <w:tcPr>
            <w:tcW w:w="2372"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873AE4" w:rsidP="00496FC4">
            <w:pPr>
              <w:tabs>
                <w:tab w:val="left" w:pos="288"/>
                <w:tab w:val="left" w:pos="4752"/>
              </w:tabs>
              <w:spacing w:line="180" w:lineRule="exact"/>
              <w:jc w:val="center"/>
              <w:rPr>
                <w:rFonts w:asciiTheme="minorHAnsi" w:eastAsiaTheme="minorHAnsi" w:hAnsiTheme="minorHAnsi"/>
                <w:color w:val="auto"/>
                <w:sz w:val="18"/>
                <w:szCs w:val="18"/>
              </w:rPr>
            </w:pPr>
            <w:r w:rsidRPr="00D26C5C">
              <w:rPr>
                <w:rFonts w:asciiTheme="minorHAnsi" w:eastAsiaTheme="minorHAnsi" w:hAnsiTheme="minorHAnsi"/>
                <w:color w:val="auto"/>
                <w:sz w:val="18"/>
                <w:szCs w:val="18"/>
              </w:rPr>
              <w:t>40%</w:t>
            </w:r>
            <w:r w:rsidR="00496FC4" w:rsidRPr="00D26C5C">
              <w:rPr>
                <w:rFonts w:asciiTheme="minorHAnsi" w:eastAsiaTheme="minorHAnsi" w:hAnsiTheme="minorHAnsi"/>
                <w:color w:val="auto"/>
                <w:sz w:val="18"/>
                <w:szCs w:val="18"/>
              </w:rPr>
              <w:t xml:space="preserve"> (</w:t>
            </w:r>
            <w:r w:rsidR="0075000E" w:rsidRPr="00D26C5C">
              <w:rPr>
                <w:rFonts w:asciiTheme="minorHAnsi" w:eastAsiaTheme="minorHAnsi" w:hAnsiTheme="minorHAnsi"/>
                <w:color w:val="auto"/>
                <w:sz w:val="18"/>
                <w:szCs w:val="18"/>
              </w:rPr>
              <w:t>PEB</w:t>
            </w:r>
            <w:r w:rsidR="00740EEC" w:rsidRPr="00D26C5C">
              <w:rPr>
                <w:rFonts w:asciiTheme="minorHAnsi" w:eastAsiaTheme="minorHAnsi" w:hAnsiTheme="minorHAnsi"/>
                <w:color w:val="auto"/>
                <w:sz w:val="18"/>
                <w:szCs w:val="18"/>
              </w:rPr>
              <w:t xml:space="preserve"> 30</w:t>
            </w:r>
            <w:r w:rsidR="00496FC4" w:rsidRPr="00D26C5C">
              <w:rPr>
                <w:rFonts w:asciiTheme="minorHAnsi" w:eastAsiaTheme="minorHAnsi" w:hAnsiTheme="minorHAnsi"/>
                <w:color w:val="auto"/>
                <w:sz w:val="18"/>
                <w:szCs w:val="18"/>
              </w:rPr>
              <w:t>%</w:t>
            </w:r>
            <w:r w:rsidR="00740EEC" w:rsidRPr="00D26C5C">
              <w:rPr>
                <w:rFonts w:asciiTheme="minorHAnsi" w:eastAsiaTheme="minorHAnsi" w:hAnsiTheme="minorHAnsi"/>
                <w:color w:val="auto"/>
                <w:sz w:val="18"/>
                <w:szCs w:val="18"/>
              </w:rPr>
              <w:t>)</w:t>
            </w:r>
          </w:p>
        </w:tc>
        <w:tc>
          <w:tcPr>
            <w:tcW w:w="2521" w:type="dxa"/>
            <w:tcBorders>
              <w:top w:val="single" w:sz="4" w:space="0" w:color="000000"/>
              <w:left w:val="single" w:sz="4" w:space="0" w:color="000000"/>
              <w:bottom w:val="single" w:sz="4" w:space="0" w:color="000000"/>
              <w:right w:val="single" w:sz="4" w:space="0" w:color="000000"/>
            </w:tcBorders>
            <w:vAlign w:val="center"/>
            <w:hideMark/>
          </w:tcPr>
          <w:p w:rsidR="00740EEC" w:rsidRPr="00D26C5C" w:rsidRDefault="00740EEC" w:rsidP="00496FC4">
            <w:pPr>
              <w:tabs>
                <w:tab w:val="left" w:pos="288"/>
                <w:tab w:val="left" w:pos="4752"/>
              </w:tabs>
              <w:spacing w:line="180" w:lineRule="exact"/>
              <w:jc w:val="center"/>
              <w:rPr>
                <w:rFonts w:asciiTheme="minorHAnsi" w:eastAsiaTheme="minorHAnsi" w:hAnsiTheme="minorHAnsi"/>
                <w:color w:val="auto"/>
                <w:sz w:val="18"/>
                <w:szCs w:val="18"/>
              </w:rPr>
            </w:pPr>
            <w:r w:rsidRPr="00D26C5C">
              <w:rPr>
                <w:rFonts w:asciiTheme="minorHAnsi" w:eastAsiaTheme="minorHAnsi" w:hAnsiTheme="minorHAnsi"/>
                <w:color w:val="auto"/>
                <w:sz w:val="18"/>
                <w:szCs w:val="18"/>
              </w:rPr>
              <w:t>20%</w:t>
            </w:r>
          </w:p>
        </w:tc>
        <w:tc>
          <w:tcPr>
            <w:tcW w:w="2184" w:type="dxa"/>
            <w:tcBorders>
              <w:top w:val="single" w:sz="4" w:space="0" w:color="000000"/>
              <w:left w:val="single" w:sz="4" w:space="0" w:color="000000"/>
              <w:bottom w:val="single" w:sz="4" w:space="0" w:color="000000"/>
              <w:right w:val="single" w:sz="4" w:space="0" w:color="000000"/>
            </w:tcBorders>
            <w:vAlign w:val="center"/>
          </w:tcPr>
          <w:p w:rsidR="00740EEC" w:rsidRPr="00D26C5C" w:rsidRDefault="00740EEC" w:rsidP="00496FC4">
            <w:pPr>
              <w:tabs>
                <w:tab w:val="left" w:pos="288"/>
                <w:tab w:val="left" w:pos="4752"/>
              </w:tabs>
              <w:spacing w:line="180" w:lineRule="exact"/>
              <w:jc w:val="center"/>
              <w:rPr>
                <w:rFonts w:asciiTheme="minorHAnsi" w:eastAsiaTheme="minorHAnsi" w:hAnsiTheme="minorHAnsi"/>
                <w:color w:val="auto"/>
                <w:sz w:val="18"/>
                <w:szCs w:val="18"/>
              </w:rPr>
            </w:pPr>
            <w:r w:rsidRPr="00D26C5C">
              <w:rPr>
                <w:rFonts w:asciiTheme="minorHAnsi" w:eastAsiaTheme="minorHAnsi" w:hAnsiTheme="minorHAnsi"/>
                <w:color w:val="auto"/>
                <w:sz w:val="18"/>
                <w:szCs w:val="18"/>
              </w:rPr>
              <w:t>10%</w:t>
            </w:r>
          </w:p>
        </w:tc>
      </w:tr>
    </w:tbl>
    <w:p w:rsidR="00AF3F66" w:rsidRPr="00D26C5C" w:rsidRDefault="00AF3F66" w:rsidP="00AF3F66">
      <w:pPr>
        <w:spacing w:line="180" w:lineRule="exact"/>
        <w:rPr>
          <w:rFonts w:asciiTheme="minorHAnsi" w:eastAsiaTheme="minorHAnsi" w:hAnsiTheme="minorHAnsi" w:cstheme="minorBidi"/>
          <w:color w:val="auto"/>
          <w:sz w:val="18"/>
          <w:szCs w:val="18"/>
        </w:rPr>
      </w:pPr>
    </w:p>
    <w:p w:rsidR="007E7B4E" w:rsidRPr="00D26C5C" w:rsidRDefault="00FA78D9" w:rsidP="00B55327">
      <w:pPr>
        <w:tabs>
          <w:tab w:val="left" w:pos="288"/>
          <w:tab w:val="left" w:pos="4752"/>
        </w:tabs>
        <w:spacing w:line="240" w:lineRule="exact"/>
        <w:jc w:val="both"/>
        <w:rPr>
          <w:rFonts w:asciiTheme="minorHAnsi" w:hAnsiTheme="minorHAnsi"/>
          <w:color w:val="auto"/>
          <w:szCs w:val="24"/>
        </w:rPr>
      </w:pPr>
      <w:r w:rsidRPr="00D26C5C">
        <w:rPr>
          <w:rFonts w:asciiTheme="minorHAnsi" w:hAnsiTheme="minorHAnsi"/>
          <w:color w:val="auto"/>
          <w:szCs w:val="24"/>
        </w:rPr>
        <w:t xml:space="preserve">The CI had a thoracic </w:t>
      </w:r>
      <w:r w:rsidR="000105AF">
        <w:rPr>
          <w:rFonts w:asciiTheme="minorHAnsi" w:hAnsiTheme="minorHAnsi"/>
          <w:color w:val="auto"/>
          <w:szCs w:val="24"/>
        </w:rPr>
        <w:t>CT scan in June</w:t>
      </w:r>
      <w:r w:rsidR="00F27E3B" w:rsidRPr="00D26C5C">
        <w:rPr>
          <w:rFonts w:asciiTheme="minorHAnsi" w:hAnsiTheme="minorHAnsi"/>
          <w:color w:val="auto"/>
          <w:szCs w:val="24"/>
        </w:rPr>
        <w:t xml:space="preserve"> 2006 (</w:t>
      </w:r>
      <w:r w:rsidR="000105AF">
        <w:rPr>
          <w:rFonts w:asciiTheme="minorHAnsi" w:hAnsiTheme="minorHAnsi"/>
          <w:color w:val="auto"/>
          <w:szCs w:val="24"/>
        </w:rPr>
        <w:t>24 June 2006</w:t>
      </w:r>
      <w:r w:rsidR="00F27E3B" w:rsidRPr="00D26C5C">
        <w:rPr>
          <w:rFonts w:asciiTheme="minorHAnsi" w:hAnsiTheme="minorHAnsi"/>
          <w:color w:val="auto"/>
          <w:szCs w:val="24"/>
        </w:rPr>
        <w:t>)</w:t>
      </w:r>
      <w:r w:rsidR="00213BD0" w:rsidRPr="00D26C5C">
        <w:rPr>
          <w:rFonts w:asciiTheme="minorHAnsi" w:hAnsiTheme="minorHAnsi"/>
          <w:color w:val="auto"/>
          <w:szCs w:val="24"/>
        </w:rPr>
        <w:t xml:space="preserve"> </w:t>
      </w:r>
      <w:r w:rsidRPr="00D26C5C">
        <w:rPr>
          <w:rFonts w:asciiTheme="minorHAnsi" w:hAnsiTheme="minorHAnsi"/>
          <w:color w:val="auto"/>
          <w:szCs w:val="24"/>
        </w:rPr>
        <w:t xml:space="preserve">which </w:t>
      </w:r>
      <w:r w:rsidR="00147903" w:rsidRPr="00D26C5C">
        <w:rPr>
          <w:rFonts w:asciiTheme="minorHAnsi" w:hAnsiTheme="minorHAnsi"/>
          <w:color w:val="auto"/>
          <w:szCs w:val="24"/>
        </w:rPr>
        <w:t>revealed</w:t>
      </w:r>
      <w:r w:rsidRPr="00D26C5C">
        <w:rPr>
          <w:rFonts w:asciiTheme="minorHAnsi" w:hAnsiTheme="minorHAnsi"/>
          <w:color w:val="auto"/>
          <w:szCs w:val="24"/>
        </w:rPr>
        <w:t xml:space="preserve"> a superior end </w:t>
      </w:r>
      <w:r w:rsidR="00147903" w:rsidRPr="00D26C5C">
        <w:rPr>
          <w:rFonts w:asciiTheme="minorHAnsi" w:hAnsiTheme="minorHAnsi"/>
          <w:color w:val="auto"/>
          <w:szCs w:val="24"/>
        </w:rPr>
        <w:t>plate</w:t>
      </w:r>
      <w:r w:rsidRPr="00D26C5C">
        <w:rPr>
          <w:rFonts w:asciiTheme="minorHAnsi" w:hAnsiTheme="minorHAnsi"/>
          <w:color w:val="auto"/>
          <w:szCs w:val="24"/>
        </w:rPr>
        <w:t xml:space="preserve"> compression fracture at T</w:t>
      </w:r>
      <w:r w:rsidR="00796203" w:rsidRPr="00D26C5C">
        <w:rPr>
          <w:rFonts w:asciiTheme="minorHAnsi" w:hAnsiTheme="minorHAnsi"/>
          <w:color w:val="auto"/>
          <w:szCs w:val="24"/>
        </w:rPr>
        <w:t>-</w:t>
      </w:r>
      <w:r w:rsidRPr="00D26C5C">
        <w:rPr>
          <w:rFonts w:asciiTheme="minorHAnsi" w:hAnsiTheme="minorHAnsi"/>
          <w:color w:val="auto"/>
          <w:szCs w:val="24"/>
        </w:rPr>
        <w:t>12</w:t>
      </w:r>
      <w:r w:rsidR="00796203" w:rsidRPr="00D26C5C">
        <w:rPr>
          <w:rFonts w:asciiTheme="minorHAnsi" w:hAnsiTheme="minorHAnsi"/>
          <w:color w:val="auto"/>
          <w:szCs w:val="24"/>
        </w:rPr>
        <w:t xml:space="preserve"> and body compression of approximately 20%</w:t>
      </w:r>
      <w:r w:rsidRPr="00D26C5C">
        <w:rPr>
          <w:rFonts w:asciiTheme="minorHAnsi" w:hAnsiTheme="minorHAnsi"/>
          <w:color w:val="auto"/>
          <w:szCs w:val="24"/>
        </w:rPr>
        <w:t>.</w:t>
      </w:r>
      <w:r w:rsidR="00F27E3B" w:rsidRPr="00D26C5C">
        <w:rPr>
          <w:rFonts w:asciiTheme="minorHAnsi" w:hAnsiTheme="minorHAnsi"/>
          <w:color w:val="auto"/>
          <w:szCs w:val="24"/>
        </w:rPr>
        <w:t xml:space="preserve"> </w:t>
      </w:r>
      <w:r w:rsidR="00213BD0" w:rsidRPr="00D26C5C">
        <w:rPr>
          <w:rFonts w:asciiTheme="minorHAnsi" w:hAnsiTheme="minorHAnsi"/>
          <w:color w:val="auto"/>
          <w:szCs w:val="24"/>
        </w:rPr>
        <w:t xml:space="preserve"> </w:t>
      </w:r>
      <w:r w:rsidR="00063BF6" w:rsidRPr="00D26C5C">
        <w:rPr>
          <w:rFonts w:asciiTheme="minorHAnsi" w:hAnsiTheme="minorHAnsi"/>
          <w:color w:val="auto"/>
          <w:szCs w:val="24"/>
        </w:rPr>
        <w:t xml:space="preserve">The MEB </w:t>
      </w:r>
      <w:r w:rsidR="0075000E" w:rsidRPr="00D26C5C">
        <w:rPr>
          <w:rFonts w:asciiTheme="minorHAnsi" w:hAnsiTheme="minorHAnsi"/>
          <w:color w:val="auto"/>
          <w:szCs w:val="24"/>
        </w:rPr>
        <w:t>exam</w:t>
      </w:r>
      <w:r w:rsidR="00063BF6" w:rsidRPr="00D26C5C">
        <w:rPr>
          <w:rFonts w:asciiTheme="minorHAnsi" w:hAnsiTheme="minorHAnsi"/>
          <w:color w:val="auto"/>
          <w:szCs w:val="24"/>
        </w:rPr>
        <w:t xml:space="preserve"> two months prior to </w:t>
      </w:r>
      <w:r w:rsidR="001E14C0" w:rsidRPr="00D26C5C">
        <w:rPr>
          <w:rFonts w:asciiTheme="minorHAnsi" w:hAnsiTheme="minorHAnsi"/>
          <w:color w:val="auto"/>
          <w:szCs w:val="24"/>
        </w:rPr>
        <w:t>TDRL entry</w:t>
      </w:r>
      <w:r w:rsidR="00CF3F2B" w:rsidRPr="00D26C5C">
        <w:rPr>
          <w:rFonts w:asciiTheme="minorHAnsi" w:hAnsiTheme="minorHAnsi"/>
          <w:color w:val="auto"/>
          <w:szCs w:val="24"/>
        </w:rPr>
        <w:t xml:space="preserve"> indicated that the CI was wearing her TLSO brace and </w:t>
      </w:r>
      <w:r w:rsidR="0075000E" w:rsidRPr="00D26C5C">
        <w:rPr>
          <w:rFonts w:asciiTheme="minorHAnsi" w:hAnsiTheme="minorHAnsi"/>
          <w:color w:val="auto"/>
          <w:szCs w:val="24"/>
        </w:rPr>
        <w:t>had</w:t>
      </w:r>
      <w:r w:rsidR="00CF3F2B" w:rsidRPr="00D26C5C">
        <w:rPr>
          <w:rFonts w:asciiTheme="minorHAnsi" w:hAnsiTheme="minorHAnsi"/>
          <w:color w:val="auto"/>
          <w:szCs w:val="24"/>
        </w:rPr>
        <w:t xml:space="preserve"> positive tendern</w:t>
      </w:r>
      <w:r w:rsidR="00F27E3B" w:rsidRPr="00D26C5C">
        <w:rPr>
          <w:rFonts w:asciiTheme="minorHAnsi" w:hAnsiTheme="minorHAnsi"/>
          <w:color w:val="auto"/>
          <w:szCs w:val="24"/>
        </w:rPr>
        <w:t>ess to palpation at T</w:t>
      </w:r>
      <w:r w:rsidR="00A07676" w:rsidRPr="00D26C5C">
        <w:rPr>
          <w:rFonts w:asciiTheme="minorHAnsi" w:hAnsiTheme="minorHAnsi"/>
          <w:color w:val="auto"/>
          <w:szCs w:val="24"/>
        </w:rPr>
        <w:t>-</w:t>
      </w:r>
      <w:r w:rsidR="00F27E3B" w:rsidRPr="00D26C5C">
        <w:rPr>
          <w:rFonts w:asciiTheme="minorHAnsi" w:hAnsiTheme="minorHAnsi"/>
          <w:color w:val="auto"/>
          <w:szCs w:val="24"/>
        </w:rPr>
        <w:t>11 and</w:t>
      </w:r>
      <w:r w:rsidR="00A07676" w:rsidRPr="00D26C5C">
        <w:rPr>
          <w:rFonts w:asciiTheme="minorHAnsi" w:hAnsiTheme="minorHAnsi"/>
          <w:color w:val="auto"/>
          <w:szCs w:val="24"/>
        </w:rPr>
        <w:t xml:space="preserve"> T-</w:t>
      </w:r>
      <w:r w:rsidR="00F27E3B" w:rsidRPr="00D26C5C">
        <w:rPr>
          <w:rFonts w:asciiTheme="minorHAnsi" w:hAnsiTheme="minorHAnsi"/>
          <w:color w:val="auto"/>
          <w:szCs w:val="24"/>
        </w:rPr>
        <w:t xml:space="preserve">12.  </w:t>
      </w:r>
      <w:r w:rsidR="00053CEA" w:rsidRPr="00D26C5C">
        <w:rPr>
          <w:rFonts w:asciiTheme="minorHAnsi" w:hAnsiTheme="minorHAnsi"/>
          <w:color w:val="auto"/>
          <w:szCs w:val="24"/>
        </w:rPr>
        <w:t>The CI was placed on TDRL in October 2006</w:t>
      </w:r>
      <w:r w:rsidR="00B55327" w:rsidRPr="00D26C5C">
        <w:rPr>
          <w:rFonts w:asciiTheme="minorHAnsi" w:hAnsiTheme="minorHAnsi"/>
          <w:color w:val="auto"/>
          <w:szCs w:val="24"/>
        </w:rPr>
        <w:t xml:space="preserve">. </w:t>
      </w:r>
      <w:r w:rsidR="00053CEA" w:rsidRPr="00D26C5C">
        <w:rPr>
          <w:rFonts w:asciiTheme="minorHAnsi" w:hAnsiTheme="minorHAnsi"/>
          <w:color w:val="auto"/>
          <w:szCs w:val="24"/>
        </w:rPr>
        <w:t xml:space="preserve"> </w:t>
      </w:r>
      <w:r w:rsidR="00CF3F2B" w:rsidRPr="00D26C5C">
        <w:rPr>
          <w:rFonts w:asciiTheme="minorHAnsi" w:hAnsiTheme="minorHAnsi"/>
          <w:color w:val="auto"/>
          <w:szCs w:val="24"/>
        </w:rPr>
        <w:t>The CI continued to be followed by Orthopedics and PT.  At the VA Compensation &amp; Pension examination</w:t>
      </w:r>
      <w:r w:rsidR="00B55327" w:rsidRPr="00D26C5C">
        <w:rPr>
          <w:rFonts w:asciiTheme="minorHAnsi" w:eastAsia="Calibri" w:hAnsiTheme="minorHAnsi"/>
          <w:color w:val="auto"/>
          <w:sz w:val="18"/>
          <w:szCs w:val="18"/>
        </w:rPr>
        <w:t xml:space="preserve">, </w:t>
      </w:r>
      <w:r w:rsidR="00CF3F2B" w:rsidRPr="00D26C5C">
        <w:rPr>
          <w:rFonts w:asciiTheme="minorHAnsi" w:hAnsiTheme="minorHAnsi"/>
          <w:color w:val="auto"/>
          <w:szCs w:val="24"/>
        </w:rPr>
        <w:t xml:space="preserve">six months after </w:t>
      </w:r>
      <w:r w:rsidR="00A07676" w:rsidRPr="00D26C5C">
        <w:rPr>
          <w:rFonts w:asciiTheme="minorHAnsi" w:hAnsiTheme="minorHAnsi"/>
          <w:color w:val="auto"/>
          <w:szCs w:val="24"/>
        </w:rPr>
        <w:t>TDRL entry</w:t>
      </w:r>
      <w:r w:rsidR="00CF3F2B" w:rsidRPr="00D26C5C">
        <w:rPr>
          <w:rFonts w:asciiTheme="minorHAnsi" w:hAnsiTheme="minorHAnsi"/>
          <w:color w:val="auto"/>
          <w:szCs w:val="24"/>
        </w:rPr>
        <w:t xml:space="preserve">, </w:t>
      </w:r>
      <w:r w:rsidR="00994FFC" w:rsidRPr="00D26C5C">
        <w:rPr>
          <w:rFonts w:asciiTheme="minorHAnsi" w:hAnsiTheme="minorHAnsi"/>
          <w:color w:val="auto"/>
          <w:szCs w:val="24"/>
        </w:rPr>
        <w:t xml:space="preserve">the examiner indicated that the CI still </w:t>
      </w:r>
      <w:r w:rsidR="00053CEA" w:rsidRPr="00D26C5C">
        <w:rPr>
          <w:rFonts w:asciiTheme="minorHAnsi" w:hAnsiTheme="minorHAnsi"/>
          <w:color w:val="auto"/>
          <w:szCs w:val="24"/>
        </w:rPr>
        <w:t>had</w:t>
      </w:r>
      <w:r w:rsidR="00994FFC" w:rsidRPr="00D26C5C">
        <w:rPr>
          <w:rFonts w:asciiTheme="minorHAnsi" w:hAnsiTheme="minorHAnsi"/>
          <w:color w:val="auto"/>
          <w:szCs w:val="24"/>
        </w:rPr>
        <w:t xml:space="preserve"> pain, </w:t>
      </w:r>
      <w:r w:rsidR="0075000E" w:rsidRPr="00D26C5C">
        <w:rPr>
          <w:rFonts w:asciiTheme="minorHAnsi" w:hAnsiTheme="minorHAnsi"/>
          <w:color w:val="auto"/>
          <w:szCs w:val="24"/>
        </w:rPr>
        <w:lastRenderedPageBreak/>
        <w:t>stiffness</w:t>
      </w:r>
      <w:r w:rsidR="00994FFC" w:rsidRPr="00D26C5C">
        <w:rPr>
          <w:rFonts w:asciiTheme="minorHAnsi" w:hAnsiTheme="minorHAnsi"/>
          <w:color w:val="auto"/>
          <w:szCs w:val="24"/>
        </w:rPr>
        <w:t xml:space="preserve"> and weakness in her lower back with monthly incapacitating episodes.</w:t>
      </w:r>
      <w:r w:rsidR="00053CEA" w:rsidRPr="00D26C5C">
        <w:rPr>
          <w:rFonts w:asciiTheme="minorHAnsi" w:hAnsiTheme="minorHAnsi"/>
          <w:color w:val="auto"/>
          <w:szCs w:val="24"/>
        </w:rPr>
        <w:t xml:space="preserve">  The CI further noted that her physician had recommended bed rest as she had one incident of incapacitation of thirty days.  </w:t>
      </w:r>
      <w:r w:rsidR="0075000E" w:rsidRPr="00D26C5C">
        <w:rPr>
          <w:rFonts w:asciiTheme="minorHAnsi" w:hAnsiTheme="minorHAnsi"/>
          <w:color w:val="auto"/>
          <w:szCs w:val="24"/>
        </w:rPr>
        <w:t>The CI was again evaluated for a periodic TDRL evaluation</w:t>
      </w:r>
      <w:r w:rsidR="00A07676" w:rsidRPr="00D26C5C">
        <w:rPr>
          <w:rFonts w:asciiTheme="minorHAnsi" w:hAnsiTheme="minorHAnsi"/>
          <w:color w:val="auto"/>
          <w:szCs w:val="24"/>
        </w:rPr>
        <w:t>20</w:t>
      </w:r>
      <w:r w:rsidR="0075000E" w:rsidRPr="00D26C5C">
        <w:rPr>
          <w:rFonts w:asciiTheme="minorHAnsi" w:hAnsiTheme="minorHAnsi"/>
          <w:color w:val="auto"/>
          <w:szCs w:val="24"/>
        </w:rPr>
        <w:t xml:space="preserve"> months after </w:t>
      </w:r>
      <w:r w:rsidR="00A07676" w:rsidRPr="00D26C5C">
        <w:rPr>
          <w:rFonts w:asciiTheme="minorHAnsi" w:hAnsiTheme="minorHAnsi"/>
          <w:color w:val="auto"/>
          <w:szCs w:val="24"/>
        </w:rPr>
        <w:t>TDRL entry</w:t>
      </w:r>
      <w:r w:rsidR="0075000E" w:rsidRPr="00D26C5C">
        <w:rPr>
          <w:rFonts w:asciiTheme="minorHAnsi" w:hAnsiTheme="minorHAnsi"/>
          <w:color w:val="auto"/>
          <w:szCs w:val="24"/>
        </w:rPr>
        <w:t xml:space="preserve"> and </w:t>
      </w:r>
      <w:r w:rsidR="00A07676" w:rsidRPr="00D26C5C">
        <w:rPr>
          <w:rFonts w:asciiTheme="minorHAnsi" w:hAnsiTheme="minorHAnsi"/>
          <w:color w:val="auto"/>
          <w:szCs w:val="24"/>
        </w:rPr>
        <w:t xml:space="preserve">8 </w:t>
      </w:r>
      <w:r w:rsidR="0075000E" w:rsidRPr="00D26C5C">
        <w:rPr>
          <w:rFonts w:asciiTheme="minorHAnsi" w:hAnsiTheme="minorHAnsi"/>
          <w:color w:val="auto"/>
          <w:szCs w:val="24"/>
        </w:rPr>
        <w:t>months prior to TDRL</w:t>
      </w:r>
      <w:r w:rsidR="00A07676" w:rsidRPr="00D26C5C">
        <w:rPr>
          <w:rFonts w:asciiTheme="minorHAnsi" w:hAnsiTheme="minorHAnsi"/>
          <w:color w:val="auto"/>
          <w:szCs w:val="24"/>
        </w:rPr>
        <w:t xml:space="preserve"> exit</w:t>
      </w:r>
      <w:r w:rsidR="0075000E" w:rsidRPr="00D26C5C">
        <w:rPr>
          <w:rFonts w:asciiTheme="minorHAnsi" w:hAnsiTheme="minorHAnsi"/>
          <w:color w:val="auto"/>
          <w:szCs w:val="24"/>
        </w:rPr>
        <w:t xml:space="preserve">.  </w:t>
      </w:r>
      <w:r w:rsidR="00652E90" w:rsidRPr="00D26C5C">
        <w:rPr>
          <w:rFonts w:asciiTheme="minorHAnsi" w:hAnsiTheme="minorHAnsi"/>
          <w:color w:val="auto"/>
          <w:szCs w:val="24"/>
        </w:rPr>
        <w:t xml:space="preserve">At this </w:t>
      </w:r>
      <w:r w:rsidR="0075000E" w:rsidRPr="00D26C5C">
        <w:rPr>
          <w:rFonts w:asciiTheme="minorHAnsi" w:hAnsiTheme="minorHAnsi"/>
          <w:color w:val="auto"/>
          <w:szCs w:val="24"/>
        </w:rPr>
        <w:t>exam,</w:t>
      </w:r>
      <w:r w:rsidR="00652E90" w:rsidRPr="00D26C5C">
        <w:rPr>
          <w:rFonts w:asciiTheme="minorHAnsi" w:hAnsiTheme="minorHAnsi"/>
          <w:color w:val="auto"/>
          <w:szCs w:val="24"/>
        </w:rPr>
        <w:t xml:space="preserve"> the CI continued to have low</w:t>
      </w:r>
      <w:r w:rsidR="007D49DD" w:rsidRPr="00D26C5C">
        <w:rPr>
          <w:rFonts w:asciiTheme="minorHAnsi" w:hAnsiTheme="minorHAnsi"/>
          <w:color w:val="auto"/>
          <w:szCs w:val="24"/>
        </w:rPr>
        <w:t xml:space="preserve"> back pain and inability to walk far without difficulty.</w:t>
      </w:r>
    </w:p>
    <w:p w:rsidR="008A48A1" w:rsidRPr="00D26C5C" w:rsidRDefault="008A48A1" w:rsidP="00B55327">
      <w:pPr>
        <w:tabs>
          <w:tab w:val="left" w:pos="288"/>
          <w:tab w:val="left" w:pos="4752"/>
        </w:tabs>
        <w:spacing w:line="240" w:lineRule="exact"/>
        <w:jc w:val="both"/>
        <w:rPr>
          <w:rFonts w:asciiTheme="minorHAnsi" w:hAnsiTheme="minorHAnsi"/>
          <w:color w:val="auto"/>
          <w:szCs w:val="24"/>
          <w:u w:val="single"/>
        </w:rPr>
      </w:pPr>
    </w:p>
    <w:p w:rsidR="00873AE4" w:rsidRPr="00D26C5C" w:rsidRDefault="00C74D5C" w:rsidP="00B55327">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r w:rsidRPr="00D26C5C">
        <w:rPr>
          <w:rFonts w:asciiTheme="minorHAnsi" w:hAnsiTheme="minorHAnsi"/>
          <w:sz w:val="24"/>
          <w:szCs w:val="24"/>
        </w:rPr>
        <w:t xml:space="preserve">The PEB and the VA chose different coding options in that the VA chose to </w:t>
      </w:r>
      <w:r w:rsidR="00A07676" w:rsidRPr="00D26C5C">
        <w:rPr>
          <w:rFonts w:asciiTheme="minorHAnsi" w:hAnsiTheme="minorHAnsi"/>
          <w:sz w:val="24"/>
          <w:szCs w:val="24"/>
        </w:rPr>
        <w:t>add</w:t>
      </w:r>
      <w:r w:rsidRPr="00D26C5C">
        <w:rPr>
          <w:rFonts w:asciiTheme="minorHAnsi" w:hAnsiTheme="minorHAnsi"/>
          <w:sz w:val="24"/>
          <w:szCs w:val="24"/>
        </w:rPr>
        <w:t xml:space="preserve"> code 5010 </w:t>
      </w:r>
      <w:r w:rsidR="00A07676" w:rsidRPr="00D26C5C">
        <w:rPr>
          <w:rFonts w:asciiTheme="minorHAnsi" w:hAnsiTheme="minorHAnsi"/>
          <w:sz w:val="24"/>
          <w:szCs w:val="24"/>
        </w:rPr>
        <w:t xml:space="preserve">(due to trauma) </w:t>
      </w:r>
      <w:r w:rsidR="00FD245F" w:rsidRPr="00D26C5C">
        <w:rPr>
          <w:rFonts w:asciiTheme="minorHAnsi" w:hAnsiTheme="minorHAnsi"/>
          <w:sz w:val="24"/>
          <w:szCs w:val="24"/>
        </w:rPr>
        <w:t>to code 5235</w:t>
      </w:r>
      <w:r w:rsidR="00A07676" w:rsidRPr="00D26C5C">
        <w:rPr>
          <w:rFonts w:asciiTheme="minorHAnsi" w:hAnsiTheme="minorHAnsi"/>
          <w:sz w:val="24"/>
          <w:szCs w:val="24"/>
        </w:rPr>
        <w:t>;</w:t>
      </w:r>
      <w:r w:rsidRPr="00D26C5C">
        <w:rPr>
          <w:rFonts w:asciiTheme="minorHAnsi" w:hAnsiTheme="minorHAnsi"/>
          <w:sz w:val="24"/>
          <w:szCs w:val="24"/>
        </w:rPr>
        <w:t xml:space="preserve"> however, both coding options used the same VASRD general formula</w:t>
      </w:r>
      <w:r w:rsidR="00FD245F" w:rsidRPr="00D26C5C">
        <w:rPr>
          <w:rFonts w:asciiTheme="minorHAnsi" w:hAnsiTheme="minorHAnsi"/>
          <w:sz w:val="24"/>
          <w:szCs w:val="24"/>
        </w:rPr>
        <w:t xml:space="preserve"> for </w:t>
      </w:r>
      <w:r w:rsidR="0075000E" w:rsidRPr="00D26C5C">
        <w:rPr>
          <w:rFonts w:asciiTheme="minorHAnsi" w:hAnsiTheme="minorHAnsi"/>
          <w:sz w:val="24"/>
          <w:szCs w:val="24"/>
        </w:rPr>
        <w:t>disease and</w:t>
      </w:r>
      <w:r w:rsidR="00FD245F" w:rsidRPr="00D26C5C">
        <w:rPr>
          <w:rFonts w:asciiTheme="minorHAnsi" w:hAnsiTheme="minorHAnsi"/>
          <w:sz w:val="24"/>
          <w:szCs w:val="24"/>
        </w:rPr>
        <w:t xml:space="preserve"> injuries of the spine such as pain</w:t>
      </w:r>
      <w:r w:rsidRPr="00D26C5C">
        <w:rPr>
          <w:rFonts w:asciiTheme="minorHAnsi" w:hAnsiTheme="minorHAnsi"/>
          <w:sz w:val="24"/>
          <w:szCs w:val="24"/>
        </w:rPr>
        <w:t xml:space="preserve"> </w:t>
      </w:r>
      <w:r w:rsidR="00FD245F" w:rsidRPr="00D26C5C">
        <w:rPr>
          <w:rFonts w:asciiTheme="minorHAnsi" w:hAnsiTheme="minorHAnsi"/>
          <w:sz w:val="24"/>
          <w:szCs w:val="24"/>
        </w:rPr>
        <w:t>(</w:t>
      </w:r>
      <w:r w:rsidR="002258F0" w:rsidRPr="00D26C5C">
        <w:rPr>
          <w:rFonts w:asciiTheme="minorHAnsi" w:hAnsiTheme="minorHAnsi"/>
          <w:sz w:val="24"/>
          <w:szCs w:val="24"/>
        </w:rPr>
        <w:t>whether</w:t>
      </w:r>
      <w:r w:rsidR="00FD245F" w:rsidRPr="00D26C5C">
        <w:rPr>
          <w:rFonts w:asciiTheme="minorHAnsi" w:hAnsiTheme="minorHAnsi"/>
          <w:sz w:val="24"/>
          <w:szCs w:val="24"/>
        </w:rPr>
        <w:t xml:space="preserve"> or not it radiates), stiffness or aching in the </w:t>
      </w:r>
      <w:r w:rsidR="0075000E" w:rsidRPr="00D26C5C">
        <w:rPr>
          <w:rFonts w:asciiTheme="minorHAnsi" w:hAnsiTheme="minorHAnsi"/>
          <w:sz w:val="24"/>
          <w:szCs w:val="24"/>
        </w:rPr>
        <w:t>area</w:t>
      </w:r>
      <w:r w:rsidR="00FD245F" w:rsidRPr="00D26C5C">
        <w:rPr>
          <w:rFonts w:asciiTheme="minorHAnsi" w:hAnsiTheme="minorHAnsi"/>
          <w:sz w:val="24"/>
          <w:szCs w:val="24"/>
        </w:rPr>
        <w:t xml:space="preserve"> of the spine affected by residuals of injury or disease”.  At the time of entry into TDRL, the PEB rated </w:t>
      </w:r>
      <w:r w:rsidR="000105AF">
        <w:rPr>
          <w:rFonts w:asciiTheme="minorHAnsi" w:hAnsiTheme="minorHAnsi"/>
          <w:sz w:val="24"/>
          <w:szCs w:val="24"/>
        </w:rPr>
        <w:t>the T12 b</w:t>
      </w:r>
      <w:r w:rsidR="00061B90" w:rsidRPr="00D26C5C">
        <w:rPr>
          <w:rFonts w:asciiTheme="minorHAnsi" w:hAnsiTheme="minorHAnsi"/>
          <w:sz w:val="24"/>
          <w:szCs w:val="24"/>
        </w:rPr>
        <w:t xml:space="preserve">urst </w:t>
      </w:r>
      <w:proofErr w:type="spellStart"/>
      <w:proofErr w:type="gramStart"/>
      <w:r w:rsidR="00061B90" w:rsidRPr="00D26C5C">
        <w:rPr>
          <w:rFonts w:asciiTheme="minorHAnsi" w:hAnsiTheme="minorHAnsi"/>
          <w:sz w:val="24"/>
          <w:szCs w:val="24"/>
        </w:rPr>
        <w:t>Fx</w:t>
      </w:r>
      <w:proofErr w:type="spellEnd"/>
      <w:proofErr w:type="gramEnd"/>
      <w:r w:rsidR="00061B90" w:rsidRPr="00D26C5C">
        <w:rPr>
          <w:rFonts w:asciiTheme="minorHAnsi" w:hAnsiTheme="minorHAnsi"/>
          <w:sz w:val="24"/>
          <w:szCs w:val="24"/>
        </w:rPr>
        <w:t xml:space="preserve"> at </w:t>
      </w:r>
      <w:r w:rsidR="00FD245F" w:rsidRPr="00D26C5C">
        <w:rPr>
          <w:rFonts w:asciiTheme="minorHAnsi" w:hAnsiTheme="minorHAnsi"/>
          <w:sz w:val="24"/>
          <w:szCs w:val="24"/>
        </w:rPr>
        <w:t xml:space="preserve">30%.  </w:t>
      </w:r>
      <w:r w:rsidR="00873AE4" w:rsidRPr="00D26C5C">
        <w:rPr>
          <w:rFonts w:asciiTheme="minorHAnsi" w:hAnsiTheme="minorHAnsi"/>
          <w:sz w:val="24"/>
          <w:szCs w:val="24"/>
        </w:rPr>
        <w:t xml:space="preserve">Independent rating of the data available could warrant a </w:t>
      </w:r>
      <w:r w:rsidR="00101155" w:rsidRPr="00D26C5C">
        <w:rPr>
          <w:rFonts w:asciiTheme="minorHAnsi" w:hAnsiTheme="minorHAnsi"/>
          <w:sz w:val="24"/>
          <w:szCs w:val="24"/>
        </w:rPr>
        <w:t xml:space="preserve">temporary </w:t>
      </w:r>
      <w:r w:rsidR="00873AE4" w:rsidRPr="00D26C5C">
        <w:rPr>
          <w:rFonts w:asciiTheme="minorHAnsi" w:hAnsiTheme="minorHAnsi"/>
          <w:sz w:val="24"/>
          <w:szCs w:val="24"/>
        </w:rPr>
        <w:t xml:space="preserve">40% rating based on “favorable ankylosis of the entire thoracolumbar spine” as the CI was </w:t>
      </w:r>
      <w:r w:rsidR="00796203" w:rsidRPr="00D26C5C">
        <w:rPr>
          <w:rFonts w:asciiTheme="minorHAnsi" w:hAnsiTheme="minorHAnsi"/>
          <w:sz w:val="24"/>
          <w:szCs w:val="24"/>
        </w:rPr>
        <w:t>using a TLSO brace which effectively immobilized the thoracolumbar spine (</w:t>
      </w:r>
      <w:r w:rsidR="00101155" w:rsidRPr="00D26C5C">
        <w:rPr>
          <w:rFonts w:asciiTheme="minorHAnsi" w:hAnsiTheme="minorHAnsi"/>
          <w:sz w:val="24"/>
          <w:szCs w:val="24"/>
        </w:rPr>
        <w:t xml:space="preserve">temporary, </w:t>
      </w:r>
      <w:r w:rsidR="00796203" w:rsidRPr="00D26C5C">
        <w:rPr>
          <w:rFonts w:asciiTheme="minorHAnsi" w:hAnsiTheme="minorHAnsi"/>
          <w:sz w:val="24"/>
          <w:szCs w:val="24"/>
        </w:rPr>
        <w:t>for healing the T12 compression</w:t>
      </w:r>
      <w:r w:rsidR="00101155" w:rsidRPr="00D26C5C">
        <w:rPr>
          <w:rFonts w:asciiTheme="minorHAnsi" w:hAnsiTheme="minorHAnsi"/>
          <w:sz w:val="24"/>
          <w:szCs w:val="24"/>
        </w:rPr>
        <w:t>/burst</w:t>
      </w:r>
      <w:r w:rsidR="00796203" w:rsidRPr="00D26C5C">
        <w:rPr>
          <w:rFonts w:asciiTheme="minorHAnsi" w:hAnsiTheme="minorHAnsi"/>
          <w:sz w:val="24"/>
          <w:szCs w:val="24"/>
        </w:rPr>
        <w:t xml:space="preserve"> </w:t>
      </w:r>
      <w:proofErr w:type="gramStart"/>
      <w:r w:rsidR="00796203" w:rsidRPr="00D26C5C">
        <w:rPr>
          <w:rFonts w:asciiTheme="minorHAnsi" w:hAnsiTheme="minorHAnsi"/>
          <w:sz w:val="24"/>
          <w:szCs w:val="24"/>
        </w:rPr>
        <w:t>Fx</w:t>
      </w:r>
      <w:proofErr w:type="gramEnd"/>
      <w:r w:rsidR="00796203" w:rsidRPr="00D26C5C">
        <w:rPr>
          <w:rFonts w:asciiTheme="minorHAnsi" w:hAnsiTheme="minorHAnsi"/>
          <w:sz w:val="24"/>
          <w:szCs w:val="24"/>
        </w:rPr>
        <w:t xml:space="preserve">).  </w:t>
      </w:r>
    </w:p>
    <w:p w:rsidR="00873AE4" w:rsidRPr="00D26C5C" w:rsidRDefault="00873AE4" w:rsidP="00B55327">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p>
    <w:p w:rsidR="00061B90" w:rsidRPr="00D26C5C" w:rsidRDefault="00A94633" w:rsidP="00DB76FE">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r w:rsidRPr="00D26C5C">
        <w:rPr>
          <w:rFonts w:asciiTheme="minorHAnsi" w:hAnsiTheme="minorHAnsi"/>
          <w:sz w:val="24"/>
          <w:szCs w:val="24"/>
        </w:rPr>
        <w:t>Although</w:t>
      </w:r>
      <w:r w:rsidR="00A07676" w:rsidRPr="00D26C5C">
        <w:rPr>
          <w:rFonts w:asciiTheme="minorHAnsi" w:hAnsiTheme="minorHAnsi"/>
          <w:sz w:val="24"/>
          <w:szCs w:val="24"/>
        </w:rPr>
        <w:t>,</w:t>
      </w:r>
      <w:r w:rsidRPr="00D26C5C">
        <w:rPr>
          <w:rFonts w:asciiTheme="minorHAnsi" w:hAnsiTheme="minorHAnsi"/>
          <w:sz w:val="24"/>
          <w:szCs w:val="24"/>
        </w:rPr>
        <w:t xml:space="preserve"> there is no 30% </w:t>
      </w:r>
      <w:r w:rsidR="00061B90" w:rsidRPr="00D26C5C">
        <w:rPr>
          <w:rFonts w:asciiTheme="minorHAnsi" w:hAnsiTheme="minorHAnsi"/>
          <w:sz w:val="24"/>
          <w:szCs w:val="24"/>
        </w:rPr>
        <w:t xml:space="preserve">VASRD </w:t>
      </w:r>
      <w:r w:rsidRPr="00D26C5C">
        <w:rPr>
          <w:rFonts w:asciiTheme="minorHAnsi" w:hAnsiTheme="minorHAnsi"/>
          <w:sz w:val="24"/>
          <w:szCs w:val="24"/>
        </w:rPr>
        <w:t>rating under 5235 criteria</w:t>
      </w:r>
      <w:r w:rsidR="00061B90" w:rsidRPr="00D26C5C">
        <w:rPr>
          <w:rFonts w:asciiTheme="minorHAnsi" w:hAnsiTheme="minorHAnsi"/>
          <w:sz w:val="24"/>
          <w:szCs w:val="24"/>
        </w:rPr>
        <w:t xml:space="preserve"> for the thoracolumbar spine (30% is only for cervical </w:t>
      </w:r>
      <w:r w:rsidR="00D26C5C">
        <w:rPr>
          <w:rFonts w:asciiTheme="minorHAnsi" w:hAnsiTheme="minorHAnsi"/>
          <w:sz w:val="24"/>
          <w:szCs w:val="24"/>
        </w:rPr>
        <w:t xml:space="preserve">spine </w:t>
      </w:r>
      <w:r w:rsidR="00061B90" w:rsidRPr="00D26C5C">
        <w:rPr>
          <w:rFonts w:asciiTheme="minorHAnsi" w:hAnsiTheme="minorHAnsi"/>
          <w:sz w:val="24"/>
          <w:szCs w:val="24"/>
        </w:rPr>
        <w:t>pathology)</w:t>
      </w:r>
      <w:r w:rsidRPr="00D26C5C">
        <w:rPr>
          <w:rFonts w:asciiTheme="minorHAnsi" w:hAnsiTheme="minorHAnsi"/>
          <w:sz w:val="24"/>
          <w:szCs w:val="24"/>
        </w:rPr>
        <w:t>, i</w:t>
      </w:r>
      <w:r w:rsidR="00E93564" w:rsidRPr="00D26C5C">
        <w:rPr>
          <w:rFonts w:asciiTheme="minorHAnsi" w:hAnsiTheme="minorHAnsi"/>
          <w:sz w:val="24"/>
          <w:szCs w:val="24"/>
        </w:rPr>
        <w:t xml:space="preserve">t is reasonable to assume that the PEB was hopeful that a trial of TDRL could possibly salvage the </w:t>
      </w:r>
      <w:r w:rsidR="00A07676" w:rsidRPr="00D26C5C">
        <w:rPr>
          <w:rFonts w:asciiTheme="minorHAnsi" w:hAnsiTheme="minorHAnsi"/>
          <w:sz w:val="24"/>
          <w:szCs w:val="24"/>
        </w:rPr>
        <w:t>Marine’s</w:t>
      </w:r>
      <w:r w:rsidR="00E93564" w:rsidRPr="00D26C5C">
        <w:rPr>
          <w:rFonts w:asciiTheme="minorHAnsi" w:hAnsiTheme="minorHAnsi"/>
          <w:sz w:val="24"/>
          <w:szCs w:val="24"/>
        </w:rPr>
        <w:t xml:space="preserve"> career and was liberal with </w:t>
      </w:r>
      <w:r w:rsidR="00A07676" w:rsidRPr="00D26C5C">
        <w:rPr>
          <w:rFonts w:asciiTheme="minorHAnsi" w:hAnsiTheme="minorHAnsi"/>
          <w:sz w:val="24"/>
          <w:szCs w:val="24"/>
        </w:rPr>
        <w:t xml:space="preserve">assigning </w:t>
      </w:r>
      <w:r w:rsidR="00E93564" w:rsidRPr="00D26C5C">
        <w:rPr>
          <w:rFonts w:asciiTheme="minorHAnsi" w:hAnsiTheme="minorHAnsi"/>
          <w:sz w:val="24"/>
          <w:szCs w:val="24"/>
        </w:rPr>
        <w:t>the 30% rating required to pursue that approach.</w:t>
      </w:r>
      <w:r w:rsidR="00F27E3B" w:rsidRPr="00D26C5C">
        <w:rPr>
          <w:rFonts w:asciiTheme="minorHAnsi" w:hAnsiTheme="minorHAnsi"/>
          <w:sz w:val="24"/>
          <w:szCs w:val="24"/>
        </w:rPr>
        <w:t xml:space="preserve"> </w:t>
      </w:r>
      <w:r w:rsidR="005E1110" w:rsidRPr="00D26C5C">
        <w:rPr>
          <w:rFonts w:asciiTheme="minorHAnsi" w:hAnsiTheme="minorHAnsi"/>
          <w:sz w:val="24"/>
          <w:szCs w:val="24"/>
        </w:rPr>
        <w:t xml:space="preserve"> </w:t>
      </w:r>
      <w:r w:rsidR="00061B90" w:rsidRPr="00D26C5C">
        <w:rPr>
          <w:rFonts w:asciiTheme="minorHAnsi" w:hAnsiTheme="minorHAnsi"/>
          <w:sz w:val="24"/>
          <w:szCs w:val="24"/>
        </w:rPr>
        <w:t xml:space="preserve">The CI did not have Intervertebral disc syndrome, and although analogous coding to 5243 is possible, there was insufficient STR documentation to support incapacitating episodes </w:t>
      </w:r>
      <w:r w:rsidR="00DB76FE" w:rsidRPr="00D26C5C">
        <w:rPr>
          <w:rFonts w:asciiTheme="minorHAnsi" w:hAnsiTheme="minorHAnsi"/>
          <w:sz w:val="24"/>
          <w:szCs w:val="24"/>
        </w:rPr>
        <w:t xml:space="preserve">(~ 30 days of bed rest prescribed by a physician; a total duration of at least 4 weeks but less than 6 weeks during the past 12 months) </w:t>
      </w:r>
      <w:r w:rsidR="00061B90" w:rsidRPr="00D26C5C">
        <w:rPr>
          <w:rFonts w:asciiTheme="minorHAnsi" w:hAnsiTheme="minorHAnsi"/>
          <w:sz w:val="24"/>
          <w:szCs w:val="24"/>
        </w:rPr>
        <w:t>noted in the VA C&amp;P exam history</w:t>
      </w:r>
      <w:r w:rsidR="00DB76FE" w:rsidRPr="00D26C5C">
        <w:rPr>
          <w:rFonts w:asciiTheme="minorHAnsi" w:hAnsiTheme="minorHAnsi"/>
          <w:sz w:val="24"/>
          <w:szCs w:val="24"/>
        </w:rPr>
        <w:t>, which could otherwise support a 40% rating under 5299-5243</w:t>
      </w:r>
      <w:r w:rsidR="00061B90" w:rsidRPr="00D26C5C">
        <w:rPr>
          <w:rFonts w:asciiTheme="minorHAnsi" w:hAnsiTheme="minorHAnsi"/>
          <w:sz w:val="24"/>
          <w:szCs w:val="24"/>
        </w:rPr>
        <w:t xml:space="preserve">.  </w:t>
      </w:r>
      <w:r w:rsidR="00DB76FE" w:rsidRPr="00D26C5C">
        <w:rPr>
          <w:rFonts w:asciiTheme="minorHAnsi" w:hAnsiTheme="minorHAnsi"/>
          <w:sz w:val="24"/>
          <w:szCs w:val="24"/>
        </w:rPr>
        <w:t>Code 5243 does not have a</w:t>
      </w:r>
      <w:r w:rsidR="00D26C5C">
        <w:rPr>
          <w:rFonts w:asciiTheme="minorHAnsi" w:hAnsiTheme="minorHAnsi"/>
          <w:sz w:val="24"/>
          <w:szCs w:val="24"/>
        </w:rPr>
        <w:t>ny route to a</w:t>
      </w:r>
      <w:r w:rsidR="00DB76FE" w:rsidRPr="00D26C5C">
        <w:rPr>
          <w:rFonts w:asciiTheme="minorHAnsi" w:hAnsiTheme="minorHAnsi"/>
          <w:sz w:val="24"/>
          <w:szCs w:val="24"/>
        </w:rPr>
        <w:t xml:space="preserve"> 30%</w:t>
      </w:r>
      <w:r w:rsidR="00D26C5C">
        <w:rPr>
          <w:rFonts w:asciiTheme="minorHAnsi" w:hAnsiTheme="minorHAnsi"/>
          <w:sz w:val="24"/>
          <w:szCs w:val="24"/>
        </w:rPr>
        <w:t xml:space="preserve"> rating</w:t>
      </w:r>
      <w:r w:rsidR="00DB76FE" w:rsidRPr="00D26C5C">
        <w:rPr>
          <w:rFonts w:asciiTheme="minorHAnsi" w:hAnsiTheme="minorHAnsi"/>
          <w:sz w:val="24"/>
          <w:szCs w:val="24"/>
        </w:rPr>
        <w:t>.</w:t>
      </w:r>
    </w:p>
    <w:p w:rsidR="00DB76FE" w:rsidRPr="00D26C5C" w:rsidRDefault="00DB76FE" w:rsidP="00061B90">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rPr>
      </w:pPr>
    </w:p>
    <w:p w:rsidR="008A48A1" w:rsidRPr="00D26C5C" w:rsidRDefault="00B55327" w:rsidP="00B55327">
      <w:pPr>
        <w:pStyle w:val="PlainText"/>
        <w:tabs>
          <w:tab w:val="left" w:pos="720"/>
          <w:tab w:val="left" w:pos="1080"/>
          <w:tab w:val="left" w:pos="1350"/>
          <w:tab w:val="left" w:pos="1620"/>
          <w:tab w:val="right" w:leader="dot" w:pos="9180"/>
        </w:tabs>
        <w:spacing w:line="240" w:lineRule="exact"/>
        <w:jc w:val="both"/>
        <w:rPr>
          <w:rFonts w:asciiTheme="minorHAnsi" w:hAnsiTheme="minorHAnsi" w:cstheme="minorHAnsi"/>
          <w:sz w:val="24"/>
          <w:szCs w:val="24"/>
        </w:rPr>
      </w:pPr>
      <w:r w:rsidRPr="00D26C5C">
        <w:rPr>
          <w:rFonts w:asciiTheme="minorHAnsi" w:hAnsiTheme="minorHAnsi"/>
          <w:sz w:val="24"/>
          <w:szCs w:val="24"/>
        </w:rPr>
        <w:t>The Board had a vigorous discussion regarding the PEB 30% temporary rating</w:t>
      </w:r>
      <w:r w:rsidR="00DB76FE" w:rsidRPr="00D26C5C">
        <w:rPr>
          <w:rFonts w:asciiTheme="minorHAnsi" w:hAnsiTheme="minorHAnsi"/>
          <w:sz w:val="24"/>
          <w:szCs w:val="24"/>
        </w:rPr>
        <w:t xml:space="preserve"> which could not be supported by the VASRD</w:t>
      </w:r>
      <w:r w:rsidR="00061B90" w:rsidRPr="00D26C5C">
        <w:rPr>
          <w:rFonts w:asciiTheme="minorHAnsi" w:hAnsiTheme="minorHAnsi"/>
          <w:sz w:val="24"/>
          <w:szCs w:val="24"/>
        </w:rPr>
        <w:t xml:space="preserve">, and </w:t>
      </w:r>
      <w:r w:rsidR="00DB76FE" w:rsidRPr="00D26C5C">
        <w:rPr>
          <w:rFonts w:asciiTheme="minorHAnsi" w:hAnsiTheme="minorHAnsi"/>
          <w:sz w:val="24"/>
          <w:szCs w:val="24"/>
        </w:rPr>
        <w:t xml:space="preserve">deliberated on </w:t>
      </w:r>
      <w:r w:rsidR="00061B90" w:rsidRPr="00D26C5C">
        <w:rPr>
          <w:rFonts w:asciiTheme="minorHAnsi" w:hAnsiTheme="minorHAnsi"/>
          <w:sz w:val="24"/>
          <w:szCs w:val="24"/>
        </w:rPr>
        <w:t>independent rating of the DES data</w:t>
      </w:r>
      <w:r w:rsidRPr="00D26C5C">
        <w:rPr>
          <w:rFonts w:asciiTheme="minorHAnsi" w:hAnsiTheme="minorHAnsi"/>
          <w:sz w:val="24"/>
          <w:szCs w:val="24"/>
        </w:rPr>
        <w:t>.</w:t>
      </w:r>
      <w:r w:rsidR="00061B90" w:rsidRPr="00D26C5C">
        <w:rPr>
          <w:rFonts w:asciiTheme="minorHAnsi" w:hAnsiTheme="minorHAnsi"/>
          <w:sz w:val="24"/>
          <w:szCs w:val="24"/>
        </w:rPr>
        <w:t xml:space="preserve">  </w:t>
      </w:r>
      <w:r w:rsidR="00DB76FE" w:rsidRPr="00D26C5C">
        <w:rPr>
          <w:rFonts w:asciiTheme="minorHAnsi" w:hAnsiTheme="minorHAnsi" w:cstheme="minorHAnsi"/>
          <w:sz w:val="24"/>
          <w:szCs w:val="24"/>
        </w:rPr>
        <w:t xml:space="preserve">By Board precedent and law, the PDBR cannot lower a PEB rating.  </w:t>
      </w:r>
      <w:r w:rsidR="00061B90" w:rsidRPr="00D26C5C">
        <w:rPr>
          <w:rFonts w:asciiTheme="minorHAnsi" w:hAnsiTheme="minorHAnsi" w:cstheme="minorHAnsi"/>
          <w:sz w:val="24"/>
          <w:szCs w:val="24"/>
        </w:rPr>
        <w:t xml:space="preserve">Given that the CI was in a brace allowing zero degrees of thoracolumbar ROM, the Board majority considered the CI’s condition closest </w:t>
      </w:r>
      <w:r w:rsidR="00DB76FE" w:rsidRPr="00D26C5C">
        <w:rPr>
          <w:rFonts w:asciiTheme="minorHAnsi" w:hAnsiTheme="minorHAnsi" w:cstheme="minorHAnsi"/>
          <w:sz w:val="24"/>
          <w:szCs w:val="24"/>
        </w:rPr>
        <w:t xml:space="preserve">to </w:t>
      </w:r>
      <w:r w:rsidR="00061B90" w:rsidRPr="00D26C5C">
        <w:rPr>
          <w:rFonts w:asciiTheme="minorHAnsi" w:hAnsiTheme="minorHAnsi" w:cstheme="minorHAnsi"/>
          <w:sz w:val="24"/>
          <w:szCs w:val="24"/>
        </w:rPr>
        <w:t xml:space="preserve">analogous </w:t>
      </w:r>
      <w:r w:rsidR="00DB76FE" w:rsidRPr="00D26C5C">
        <w:rPr>
          <w:rFonts w:asciiTheme="minorHAnsi" w:hAnsiTheme="minorHAnsi" w:cstheme="minorHAnsi"/>
          <w:sz w:val="24"/>
          <w:szCs w:val="24"/>
        </w:rPr>
        <w:t xml:space="preserve">coding for “favorable ankylosis of </w:t>
      </w:r>
      <w:r w:rsidR="00DB76FE" w:rsidRPr="00D26C5C">
        <w:rPr>
          <w:rFonts w:asciiTheme="minorHAnsi" w:hAnsiTheme="minorHAnsi" w:cstheme="minorHAnsi"/>
          <w:sz w:val="24"/>
          <w:szCs w:val="24"/>
        </w:rPr>
        <w:tab/>
        <w:t xml:space="preserve">the entire thoracolumbar spine”, </w:t>
      </w:r>
      <w:r w:rsidR="00061B90" w:rsidRPr="00D26C5C">
        <w:rPr>
          <w:rFonts w:asciiTheme="minorHAnsi" w:hAnsiTheme="minorHAnsi" w:cstheme="minorHAnsi"/>
          <w:sz w:val="24"/>
          <w:szCs w:val="24"/>
        </w:rPr>
        <w:t>which would be rated at 40%.</w:t>
      </w:r>
      <w:r w:rsidR="00DB76FE" w:rsidRPr="00D26C5C">
        <w:rPr>
          <w:rFonts w:asciiTheme="minorHAnsi" w:hAnsiTheme="minorHAnsi" w:cstheme="minorHAnsi"/>
          <w:sz w:val="24"/>
          <w:szCs w:val="24"/>
        </w:rPr>
        <w:t xml:space="preserve">  </w:t>
      </w:r>
      <w:r w:rsidR="000C035C" w:rsidRPr="00D26C5C">
        <w:rPr>
          <w:rFonts w:asciiTheme="minorHAnsi" w:eastAsia="HiddenHorzOCR" w:hAnsiTheme="minorHAnsi"/>
          <w:sz w:val="24"/>
          <w:szCs w:val="24"/>
        </w:rPr>
        <w:t xml:space="preserve">The Board </w:t>
      </w:r>
      <w:r w:rsidR="00DB76FE" w:rsidRPr="00D26C5C">
        <w:rPr>
          <w:rFonts w:asciiTheme="minorHAnsi" w:eastAsia="HiddenHorzOCR" w:hAnsiTheme="minorHAnsi"/>
          <w:sz w:val="24"/>
          <w:szCs w:val="24"/>
        </w:rPr>
        <w:t xml:space="preserve">next </w:t>
      </w:r>
      <w:r w:rsidR="000C035C" w:rsidRPr="00D26C5C">
        <w:rPr>
          <w:rFonts w:asciiTheme="minorHAnsi" w:eastAsia="HiddenHorzOCR" w:hAnsiTheme="minorHAnsi"/>
          <w:sz w:val="24"/>
          <w:szCs w:val="24"/>
        </w:rPr>
        <w:t>direct</w:t>
      </w:r>
      <w:r w:rsidR="00DB76FE" w:rsidRPr="00D26C5C">
        <w:rPr>
          <w:rFonts w:asciiTheme="minorHAnsi" w:eastAsia="HiddenHorzOCR" w:hAnsiTheme="minorHAnsi"/>
          <w:sz w:val="24"/>
          <w:szCs w:val="24"/>
        </w:rPr>
        <w:t>ed</w:t>
      </w:r>
      <w:r w:rsidR="000C035C" w:rsidRPr="00D26C5C">
        <w:rPr>
          <w:rFonts w:asciiTheme="minorHAnsi" w:eastAsia="HiddenHorzOCR" w:hAnsiTheme="minorHAnsi"/>
          <w:sz w:val="24"/>
          <w:szCs w:val="24"/>
        </w:rPr>
        <w:t xml:space="preserve"> its attention to the final coding and rating recommendation for the thoracolumbar spine condition</w:t>
      </w:r>
      <w:r w:rsidR="00A94633" w:rsidRPr="00D26C5C">
        <w:rPr>
          <w:rFonts w:asciiTheme="minorHAnsi" w:eastAsia="HiddenHorzOCR" w:hAnsiTheme="minorHAnsi"/>
          <w:sz w:val="24"/>
          <w:szCs w:val="24"/>
        </w:rPr>
        <w:t xml:space="preserve"> at TDRL exit</w:t>
      </w:r>
      <w:r w:rsidR="000C035C" w:rsidRPr="00D26C5C">
        <w:rPr>
          <w:rFonts w:asciiTheme="minorHAnsi" w:eastAsia="HiddenHorzOCR" w:hAnsiTheme="minorHAnsi"/>
          <w:sz w:val="24"/>
          <w:szCs w:val="24"/>
        </w:rPr>
        <w:t>.</w:t>
      </w:r>
      <w:r w:rsidR="000C035C" w:rsidRPr="00D26C5C">
        <w:rPr>
          <w:rFonts w:asciiTheme="minorHAnsi" w:eastAsia="HiddenHorzOCR" w:hAnsiTheme="minorHAnsi"/>
          <w:szCs w:val="24"/>
        </w:rPr>
        <w:t xml:space="preserve">  </w:t>
      </w:r>
      <w:r w:rsidR="005E1110" w:rsidRPr="00D26C5C">
        <w:rPr>
          <w:rFonts w:asciiTheme="minorHAnsi" w:hAnsiTheme="minorHAnsi" w:cstheme="minorHAnsi"/>
          <w:sz w:val="24"/>
          <w:szCs w:val="24"/>
        </w:rPr>
        <w:t>The most proximate source of comprehensive evidence to base the permanent separation rating is the MEB exam</w:t>
      </w:r>
      <w:r w:rsidR="005E1110" w:rsidRPr="00D26C5C">
        <w:rPr>
          <w:rFonts w:asciiTheme="minorHAnsi" w:hAnsiTheme="minorHAnsi" w:cstheme="minorHAnsi"/>
          <w:szCs w:val="24"/>
        </w:rPr>
        <w:t xml:space="preserve"> </w:t>
      </w:r>
      <w:r w:rsidR="0011483C" w:rsidRPr="00D26C5C">
        <w:rPr>
          <w:rFonts w:asciiTheme="minorHAnsi" w:hAnsiTheme="minorHAnsi"/>
          <w:sz w:val="24"/>
          <w:szCs w:val="24"/>
        </w:rPr>
        <w:t xml:space="preserve">with PT ROMs </w:t>
      </w:r>
      <w:r w:rsidR="005E1110" w:rsidRPr="00D26C5C">
        <w:rPr>
          <w:rFonts w:asciiTheme="minorHAnsi" w:hAnsiTheme="minorHAnsi"/>
          <w:sz w:val="24"/>
          <w:szCs w:val="24"/>
        </w:rPr>
        <w:t xml:space="preserve">eight months prior to exit </w:t>
      </w:r>
      <w:r w:rsidR="00A94633" w:rsidRPr="00D26C5C">
        <w:rPr>
          <w:rFonts w:asciiTheme="minorHAnsi" w:hAnsiTheme="minorHAnsi"/>
          <w:sz w:val="24"/>
          <w:szCs w:val="24"/>
        </w:rPr>
        <w:t>from</w:t>
      </w:r>
      <w:r w:rsidR="005E1110" w:rsidRPr="00D26C5C">
        <w:rPr>
          <w:rFonts w:asciiTheme="minorHAnsi" w:hAnsiTheme="minorHAnsi"/>
          <w:sz w:val="24"/>
          <w:szCs w:val="24"/>
        </w:rPr>
        <w:t xml:space="preserve"> TDRL</w:t>
      </w:r>
      <w:r w:rsidRPr="00D26C5C">
        <w:rPr>
          <w:rFonts w:asciiTheme="minorHAnsi" w:hAnsiTheme="minorHAnsi"/>
          <w:sz w:val="20"/>
          <w:szCs w:val="20"/>
        </w:rPr>
        <w:t xml:space="preserve">.  </w:t>
      </w:r>
      <w:r w:rsidR="000B6BFC" w:rsidRPr="00D26C5C">
        <w:rPr>
          <w:rFonts w:asciiTheme="minorHAnsi" w:hAnsiTheme="minorHAnsi"/>
          <w:sz w:val="24"/>
          <w:szCs w:val="24"/>
        </w:rPr>
        <w:t>This MEB exam documented that the forward flexion was 65</w:t>
      </w:r>
      <w:r w:rsidR="00A94633" w:rsidRPr="00D26C5C">
        <w:rPr>
          <w:rFonts w:asciiTheme="minorHAnsi" w:hAnsiTheme="minorHAnsi"/>
          <w:sz w:val="24"/>
          <w:szCs w:val="24"/>
        </w:rPr>
        <w:t xml:space="preserve"> </w:t>
      </w:r>
      <w:r w:rsidR="000B6BFC" w:rsidRPr="00D26C5C">
        <w:rPr>
          <w:rFonts w:asciiTheme="minorHAnsi" w:hAnsiTheme="minorHAnsi"/>
          <w:sz w:val="24"/>
          <w:szCs w:val="24"/>
        </w:rPr>
        <w:t>degrees which met the 10% criteria for “</w:t>
      </w:r>
      <w:r w:rsidR="000B6BFC" w:rsidRPr="00D26C5C">
        <w:rPr>
          <w:rFonts w:asciiTheme="minorHAnsi" w:hAnsiTheme="minorHAnsi" w:cstheme="minorHAnsi"/>
          <w:sz w:val="24"/>
          <w:szCs w:val="24"/>
        </w:rPr>
        <w:t>Forward flexion of the thoracolumbar spine greater than 60 degrees but not greater than 85 degrees”.</w:t>
      </w:r>
      <w:r w:rsidR="000B6BFC" w:rsidRPr="00D26C5C">
        <w:rPr>
          <w:rFonts w:asciiTheme="minorHAnsi" w:hAnsiTheme="minorHAnsi"/>
          <w:sz w:val="24"/>
          <w:szCs w:val="24"/>
        </w:rPr>
        <w:t xml:space="preserve">  </w:t>
      </w:r>
      <w:r w:rsidR="000C035C" w:rsidRPr="00D26C5C">
        <w:rPr>
          <w:rFonts w:asciiTheme="minorHAnsi" w:hAnsiTheme="minorHAnsi"/>
          <w:sz w:val="24"/>
          <w:szCs w:val="24"/>
        </w:rPr>
        <w:t xml:space="preserve">After due deliberation, considering all of the evidence, the Board recommends </w:t>
      </w:r>
      <w:r w:rsidRPr="00D26C5C">
        <w:rPr>
          <w:rFonts w:asciiTheme="minorHAnsi" w:hAnsiTheme="minorHAnsi"/>
          <w:sz w:val="24"/>
          <w:szCs w:val="24"/>
        </w:rPr>
        <w:t xml:space="preserve">a </w:t>
      </w:r>
      <w:r w:rsidR="00496FC4" w:rsidRPr="00D26C5C">
        <w:rPr>
          <w:rFonts w:asciiTheme="minorHAnsi" w:hAnsiTheme="minorHAnsi"/>
          <w:sz w:val="24"/>
          <w:szCs w:val="24"/>
        </w:rPr>
        <w:t xml:space="preserve">change in the </w:t>
      </w:r>
      <w:r w:rsidR="00D26C5C" w:rsidRPr="00D26C5C">
        <w:rPr>
          <w:rFonts w:asciiTheme="minorHAnsi" w:hAnsiTheme="minorHAnsi"/>
          <w:sz w:val="24"/>
          <w:szCs w:val="24"/>
        </w:rPr>
        <w:t xml:space="preserve">PEB’s </w:t>
      </w:r>
      <w:r w:rsidR="00101155" w:rsidRPr="00D26C5C">
        <w:rPr>
          <w:rFonts w:asciiTheme="minorHAnsi" w:hAnsiTheme="minorHAnsi"/>
          <w:sz w:val="24"/>
          <w:szCs w:val="24"/>
        </w:rPr>
        <w:t xml:space="preserve">TDRL </w:t>
      </w:r>
      <w:r w:rsidR="00101155" w:rsidRPr="00D26C5C">
        <w:rPr>
          <w:rFonts w:asciiTheme="minorHAnsi" w:hAnsiTheme="minorHAnsi" w:cstheme="minorHAnsi"/>
          <w:sz w:val="24"/>
          <w:szCs w:val="24"/>
        </w:rPr>
        <w:t>entry</w:t>
      </w:r>
      <w:r w:rsidRPr="00D26C5C">
        <w:rPr>
          <w:rFonts w:asciiTheme="minorHAnsi" w:hAnsiTheme="minorHAnsi" w:cstheme="minorHAnsi"/>
          <w:sz w:val="24"/>
          <w:szCs w:val="24"/>
        </w:rPr>
        <w:t xml:space="preserve"> </w:t>
      </w:r>
      <w:r w:rsidR="00D26C5C" w:rsidRPr="00D26C5C">
        <w:rPr>
          <w:rFonts w:asciiTheme="minorHAnsi" w:hAnsiTheme="minorHAnsi" w:cstheme="minorHAnsi"/>
          <w:sz w:val="24"/>
          <w:szCs w:val="24"/>
        </w:rPr>
        <w:t xml:space="preserve">rating </w:t>
      </w:r>
      <w:r w:rsidRPr="00D26C5C">
        <w:rPr>
          <w:rFonts w:asciiTheme="minorHAnsi" w:hAnsiTheme="minorHAnsi" w:cstheme="minorHAnsi"/>
          <w:sz w:val="24"/>
          <w:szCs w:val="24"/>
        </w:rPr>
        <w:t xml:space="preserve">to 40% and </w:t>
      </w:r>
      <w:r w:rsidR="00DB76FE" w:rsidRPr="00D26C5C">
        <w:rPr>
          <w:rFonts w:asciiTheme="minorHAnsi" w:hAnsiTheme="minorHAnsi" w:cstheme="minorHAnsi"/>
          <w:sz w:val="24"/>
          <w:szCs w:val="24"/>
        </w:rPr>
        <w:t xml:space="preserve">no change in the </w:t>
      </w:r>
      <w:r w:rsidR="000C035C" w:rsidRPr="00D26C5C">
        <w:rPr>
          <w:rFonts w:asciiTheme="minorHAnsi" w:hAnsiTheme="minorHAnsi" w:cstheme="minorHAnsi"/>
          <w:sz w:val="24"/>
          <w:szCs w:val="24"/>
        </w:rPr>
        <w:t xml:space="preserve">permanent separation rating </w:t>
      </w:r>
      <w:r w:rsidR="00101155" w:rsidRPr="00D26C5C">
        <w:rPr>
          <w:rFonts w:asciiTheme="minorHAnsi" w:hAnsiTheme="minorHAnsi" w:cstheme="minorHAnsi"/>
          <w:sz w:val="24"/>
          <w:szCs w:val="24"/>
        </w:rPr>
        <w:t xml:space="preserve">at TDRL exit </w:t>
      </w:r>
      <w:r w:rsidR="000C035C" w:rsidRPr="00D26C5C">
        <w:rPr>
          <w:rFonts w:asciiTheme="minorHAnsi" w:hAnsiTheme="minorHAnsi" w:cstheme="minorHAnsi"/>
          <w:sz w:val="24"/>
          <w:szCs w:val="24"/>
        </w:rPr>
        <w:t xml:space="preserve">of 10% coded as 5235 </w:t>
      </w:r>
      <w:r w:rsidR="0011483C" w:rsidRPr="00D26C5C">
        <w:rPr>
          <w:rFonts w:asciiTheme="minorHAnsi" w:hAnsiTheme="minorHAnsi" w:cstheme="minorHAnsi"/>
          <w:sz w:val="24"/>
          <w:szCs w:val="24"/>
        </w:rPr>
        <w:t xml:space="preserve">for the </w:t>
      </w:r>
      <w:r w:rsidR="000C035C" w:rsidRPr="00D26C5C">
        <w:rPr>
          <w:rFonts w:asciiTheme="minorHAnsi" w:hAnsiTheme="minorHAnsi" w:cstheme="minorHAnsi"/>
          <w:sz w:val="24"/>
          <w:szCs w:val="24"/>
        </w:rPr>
        <w:t>T12 Burst Fx.</w:t>
      </w:r>
    </w:p>
    <w:p w:rsidR="00F27E3B" w:rsidRPr="00D26C5C" w:rsidRDefault="00F27E3B" w:rsidP="00B55327">
      <w:pPr>
        <w:tabs>
          <w:tab w:val="left" w:pos="288"/>
          <w:tab w:val="left" w:pos="4752"/>
        </w:tabs>
        <w:spacing w:line="240" w:lineRule="exact"/>
        <w:jc w:val="both"/>
        <w:rPr>
          <w:rFonts w:asciiTheme="minorHAnsi" w:hAnsiTheme="minorHAnsi"/>
          <w:color w:val="auto"/>
          <w:szCs w:val="24"/>
          <w:u w:val="single"/>
        </w:rPr>
      </w:pPr>
    </w:p>
    <w:p w:rsidR="008A48A1" w:rsidRPr="00D26C5C" w:rsidRDefault="00B1768C" w:rsidP="00B55327">
      <w:pPr>
        <w:tabs>
          <w:tab w:val="left" w:pos="288"/>
          <w:tab w:val="left" w:pos="4752"/>
        </w:tabs>
        <w:spacing w:line="240" w:lineRule="exact"/>
        <w:jc w:val="both"/>
        <w:rPr>
          <w:rFonts w:asciiTheme="minorHAnsi" w:hAnsiTheme="minorHAnsi" w:cstheme="minorHAnsi"/>
          <w:color w:val="auto"/>
          <w:szCs w:val="24"/>
          <w:u w:val="single"/>
        </w:rPr>
      </w:pPr>
      <w:r w:rsidRPr="00D26C5C">
        <w:rPr>
          <w:rFonts w:asciiTheme="minorHAnsi" w:hAnsiTheme="minorHAnsi"/>
          <w:color w:val="auto"/>
          <w:szCs w:val="24"/>
          <w:u w:val="single"/>
        </w:rPr>
        <w:t xml:space="preserve">Right Inferior Pubic </w:t>
      </w:r>
      <w:r w:rsidR="0075000E" w:rsidRPr="00D26C5C">
        <w:rPr>
          <w:rFonts w:asciiTheme="minorHAnsi" w:hAnsiTheme="minorHAnsi"/>
          <w:color w:val="auto"/>
          <w:szCs w:val="24"/>
          <w:u w:val="single"/>
        </w:rPr>
        <w:t>Rami (</w:t>
      </w:r>
      <w:r w:rsidR="006B642F" w:rsidRPr="00D26C5C">
        <w:rPr>
          <w:rFonts w:asciiTheme="minorHAnsi" w:hAnsiTheme="minorHAnsi"/>
          <w:color w:val="auto"/>
          <w:szCs w:val="24"/>
          <w:u w:val="single"/>
        </w:rPr>
        <w:t>IPR)</w:t>
      </w:r>
      <w:r w:rsidRPr="00D26C5C">
        <w:rPr>
          <w:rFonts w:asciiTheme="minorHAnsi" w:hAnsiTheme="minorHAnsi"/>
          <w:color w:val="auto"/>
          <w:szCs w:val="24"/>
          <w:u w:val="single"/>
        </w:rPr>
        <w:t xml:space="preserve"> Stress Fracture</w:t>
      </w:r>
      <w:r w:rsidRPr="00D26C5C">
        <w:rPr>
          <w:rFonts w:asciiTheme="minorHAnsi" w:hAnsiTheme="minorHAnsi"/>
          <w:color w:val="auto"/>
          <w:szCs w:val="24"/>
        </w:rPr>
        <w:t xml:space="preserve">:  The PEB found the CI’s Right IPR Stress Fracture as a permanent rating of </w:t>
      </w:r>
      <w:r w:rsidR="0075000E" w:rsidRPr="00D26C5C">
        <w:rPr>
          <w:rFonts w:asciiTheme="minorHAnsi" w:hAnsiTheme="minorHAnsi"/>
          <w:color w:val="auto"/>
          <w:szCs w:val="24"/>
        </w:rPr>
        <w:t>Category</w:t>
      </w:r>
      <w:r w:rsidRPr="00D26C5C">
        <w:rPr>
          <w:rFonts w:asciiTheme="minorHAnsi" w:hAnsiTheme="minorHAnsi"/>
          <w:color w:val="auto"/>
          <w:szCs w:val="24"/>
        </w:rPr>
        <w:t xml:space="preserve"> III </w:t>
      </w:r>
      <w:r w:rsidR="0075000E" w:rsidRPr="00D26C5C">
        <w:rPr>
          <w:rFonts w:asciiTheme="minorHAnsi" w:hAnsiTheme="minorHAnsi"/>
          <w:color w:val="auto"/>
          <w:szCs w:val="24"/>
        </w:rPr>
        <w:t>condition (</w:t>
      </w:r>
      <w:r w:rsidRPr="00D26C5C">
        <w:rPr>
          <w:rFonts w:asciiTheme="minorHAnsi" w:hAnsiTheme="minorHAnsi"/>
          <w:color w:val="auto"/>
          <w:szCs w:val="24"/>
        </w:rPr>
        <w:t>“Conditions that are not separately unfitting and do not contribute to the unfitting condition” (s)).  The CI was noted to have developed right hip pain during her</w:t>
      </w:r>
      <w:r w:rsidR="006B642F" w:rsidRPr="00D26C5C">
        <w:rPr>
          <w:rFonts w:asciiTheme="minorHAnsi" w:hAnsiTheme="minorHAnsi"/>
          <w:color w:val="auto"/>
          <w:szCs w:val="24"/>
        </w:rPr>
        <w:t xml:space="preserve"> initial </w:t>
      </w:r>
      <w:r w:rsidRPr="00D26C5C">
        <w:rPr>
          <w:rFonts w:asciiTheme="minorHAnsi" w:hAnsiTheme="minorHAnsi"/>
          <w:color w:val="auto"/>
          <w:szCs w:val="24"/>
        </w:rPr>
        <w:t>training</w:t>
      </w:r>
      <w:r w:rsidR="006B642F" w:rsidRPr="00D26C5C">
        <w:rPr>
          <w:rFonts w:asciiTheme="minorHAnsi" w:hAnsiTheme="minorHAnsi"/>
          <w:color w:val="auto"/>
          <w:szCs w:val="24"/>
        </w:rPr>
        <w:t xml:space="preserve"> and was diagnosed with a right IPR stress </w:t>
      </w:r>
      <w:r w:rsidR="0075000E" w:rsidRPr="00D26C5C">
        <w:rPr>
          <w:rFonts w:asciiTheme="minorHAnsi" w:hAnsiTheme="minorHAnsi"/>
          <w:color w:val="auto"/>
          <w:szCs w:val="24"/>
        </w:rPr>
        <w:t>fracture</w:t>
      </w:r>
      <w:r w:rsidR="006B642F" w:rsidRPr="00D26C5C">
        <w:rPr>
          <w:rFonts w:asciiTheme="minorHAnsi" w:hAnsiTheme="minorHAnsi"/>
          <w:color w:val="auto"/>
          <w:szCs w:val="24"/>
        </w:rPr>
        <w:t xml:space="preserve"> in May 2006</w:t>
      </w:r>
      <w:r w:rsidR="00B55327" w:rsidRPr="00D26C5C">
        <w:rPr>
          <w:rFonts w:asciiTheme="minorHAnsi" w:hAnsiTheme="minorHAnsi"/>
          <w:color w:val="auto"/>
          <w:szCs w:val="24"/>
        </w:rPr>
        <w:t xml:space="preserve">.  </w:t>
      </w:r>
      <w:r w:rsidR="0011483C" w:rsidRPr="00D26C5C">
        <w:rPr>
          <w:rFonts w:asciiTheme="minorHAnsi" w:hAnsiTheme="minorHAnsi"/>
          <w:color w:val="auto"/>
          <w:szCs w:val="24"/>
        </w:rPr>
        <w:t xml:space="preserve"> </w:t>
      </w:r>
      <w:r w:rsidR="006B642F" w:rsidRPr="00D26C5C">
        <w:rPr>
          <w:rFonts w:asciiTheme="minorHAnsi" w:hAnsiTheme="minorHAnsi"/>
          <w:color w:val="auto"/>
          <w:szCs w:val="24"/>
        </w:rPr>
        <w:t>At the initial MEB exam, the IPR was noted to be healed.  At the VA C&amp;P exam</w:t>
      </w:r>
      <w:r w:rsidR="00B55327" w:rsidRPr="00D26C5C">
        <w:rPr>
          <w:rFonts w:asciiTheme="minorHAnsi" w:hAnsiTheme="minorHAnsi"/>
          <w:color w:val="auto"/>
          <w:szCs w:val="24"/>
        </w:rPr>
        <w:t xml:space="preserve">, </w:t>
      </w:r>
      <w:r w:rsidR="006B642F" w:rsidRPr="00D26C5C">
        <w:rPr>
          <w:rFonts w:asciiTheme="minorHAnsi" w:hAnsiTheme="minorHAnsi"/>
          <w:color w:val="auto"/>
          <w:szCs w:val="24"/>
        </w:rPr>
        <w:t xml:space="preserve">six months after separation, the examiner indicated that the CI still had weakness when sitting too long and lack of endurance when performing any type of physical activity.  At the MEB TDRL evaluation </w:t>
      </w:r>
      <w:r w:rsidR="0011483C" w:rsidRPr="00D26C5C">
        <w:rPr>
          <w:rFonts w:asciiTheme="minorHAnsi" w:hAnsiTheme="minorHAnsi"/>
          <w:color w:val="auto"/>
          <w:szCs w:val="24"/>
        </w:rPr>
        <w:t>20</w:t>
      </w:r>
      <w:r w:rsidR="006B642F" w:rsidRPr="00D26C5C">
        <w:rPr>
          <w:rFonts w:asciiTheme="minorHAnsi" w:hAnsiTheme="minorHAnsi"/>
          <w:color w:val="auto"/>
          <w:szCs w:val="24"/>
        </w:rPr>
        <w:t xml:space="preserve"> months after </w:t>
      </w:r>
      <w:r w:rsidR="0011483C" w:rsidRPr="00D26C5C">
        <w:rPr>
          <w:rFonts w:asciiTheme="minorHAnsi" w:hAnsiTheme="minorHAnsi"/>
          <w:color w:val="auto"/>
          <w:szCs w:val="24"/>
        </w:rPr>
        <w:t>TDRL entry</w:t>
      </w:r>
      <w:r w:rsidR="006B642F" w:rsidRPr="00D26C5C">
        <w:rPr>
          <w:rFonts w:asciiTheme="minorHAnsi" w:hAnsiTheme="minorHAnsi"/>
          <w:color w:val="auto"/>
          <w:szCs w:val="24"/>
        </w:rPr>
        <w:t xml:space="preserve"> and </w:t>
      </w:r>
      <w:r w:rsidR="0011483C" w:rsidRPr="00D26C5C">
        <w:rPr>
          <w:rFonts w:asciiTheme="minorHAnsi" w:hAnsiTheme="minorHAnsi"/>
          <w:color w:val="auto"/>
          <w:szCs w:val="24"/>
        </w:rPr>
        <w:t>9</w:t>
      </w:r>
      <w:r w:rsidR="006B642F" w:rsidRPr="00D26C5C">
        <w:rPr>
          <w:rFonts w:asciiTheme="minorHAnsi" w:hAnsiTheme="minorHAnsi"/>
          <w:color w:val="auto"/>
          <w:szCs w:val="24"/>
        </w:rPr>
        <w:t xml:space="preserve"> months prior to TDRL</w:t>
      </w:r>
      <w:r w:rsidR="0011483C" w:rsidRPr="00D26C5C">
        <w:rPr>
          <w:rFonts w:asciiTheme="minorHAnsi" w:hAnsiTheme="minorHAnsi"/>
          <w:color w:val="auto"/>
          <w:szCs w:val="24"/>
        </w:rPr>
        <w:t xml:space="preserve"> exit</w:t>
      </w:r>
      <w:r w:rsidR="006B642F" w:rsidRPr="00D26C5C">
        <w:rPr>
          <w:rFonts w:asciiTheme="minorHAnsi" w:hAnsiTheme="minorHAnsi"/>
          <w:color w:val="auto"/>
          <w:szCs w:val="24"/>
        </w:rPr>
        <w:t>, the examiner noted that the CI had tenderness over the right thigh</w:t>
      </w:r>
      <w:r w:rsidR="00E159D7" w:rsidRPr="00D26C5C">
        <w:rPr>
          <w:rFonts w:asciiTheme="minorHAnsi" w:hAnsiTheme="minorHAnsi"/>
          <w:color w:val="auto"/>
          <w:szCs w:val="24"/>
        </w:rPr>
        <w:t xml:space="preserve"> </w:t>
      </w:r>
      <w:r w:rsidR="006B642F" w:rsidRPr="00D26C5C">
        <w:rPr>
          <w:rFonts w:asciiTheme="minorHAnsi" w:hAnsiTheme="minorHAnsi"/>
          <w:color w:val="auto"/>
          <w:szCs w:val="24"/>
        </w:rPr>
        <w:t>joints and flexing the right hip gr</w:t>
      </w:r>
      <w:r w:rsidR="00E159D7" w:rsidRPr="00D26C5C">
        <w:rPr>
          <w:rFonts w:asciiTheme="minorHAnsi" w:hAnsiTheme="minorHAnsi"/>
          <w:color w:val="auto"/>
          <w:szCs w:val="24"/>
        </w:rPr>
        <w:t>e</w:t>
      </w:r>
      <w:r w:rsidR="006B642F" w:rsidRPr="00D26C5C">
        <w:rPr>
          <w:rFonts w:asciiTheme="minorHAnsi" w:hAnsiTheme="minorHAnsi"/>
          <w:color w:val="auto"/>
          <w:szCs w:val="24"/>
        </w:rPr>
        <w:t xml:space="preserve">ater than 90 degrees </w:t>
      </w:r>
      <w:r w:rsidR="00E159D7" w:rsidRPr="00D26C5C">
        <w:rPr>
          <w:rFonts w:asciiTheme="minorHAnsi" w:hAnsiTheme="minorHAnsi"/>
          <w:color w:val="auto"/>
          <w:szCs w:val="24"/>
        </w:rPr>
        <w:t>caused her pain in both buttocks.</w:t>
      </w:r>
      <w:r w:rsidR="002258F0" w:rsidRPr="00D26C5C">
        <w:rPr>
          <w:rFonts w:asciiTheme="minorHAnsi" w:hAnsiTheme="minorHAnsi"/>
          <w:color w:val="auto"/>
          <w:szCs w:val="24"/>
        </w:rPr>
        <w:t xml:space="preserve"> </w:t>
      </w:r>
      <w:r w:rsidR="00F27E3B" w:rsidRPr="00D26C5C">
        <w:rPr>
          <w:rFonts w:asciiTheme="minorHAnsi" w:hAnsiTheme="minorHAnsi"/>
          <w:color w:val="auto"/>
          <w:szCs w:val="24"/>
        </w:rPr>
        <w:t xml:space="preserve"> </w:t>
      </w:r>
      <w:r w:rsidR="0075000E" w:rsidRPr="00D26C5C">
        <w:rPr>
          <w:rFonts w:asciiTheme="minorHAnsi" w:hAnsiTheme="minorHAnsi"/>
          <w:color w:val="auto"/>
          <w:szCs w:val="24"/>
        </w:rPr>
        <w:t>All evidence considered there is not reasonable doubt in the CI’s favor supporting recharacterization of the PE</w:t>
      </w:r>
      <w:r w:rsidR="000105AF">
        <w:rPr>
          <w:rFonts w:asciiTheme="minorHAnsi" w:hAnsiTheme="minorHAnsi"/>
          <w:color w:val="auto"/>
          <w:szCs w:val="24"/>
        </w:rPr>
        <w:t>B fitness adjudication for the right IPR stress f</w:t>
      </w:r>
      <w:r w:rsidR="0075000E" w:rsidRPr="00D26C5C">
        <w:rPr>
          <w:rFonts w:asciiTheme="minorHAnsi" w:hAnsiTheme="minorHAnsi"/>
          <w:color w:val="auto"/>
          <w:szCs w:val="24"/>
        </w:rPr>
        <w:t xml:space="preserve">racture condition.  </w:t>
      </w:r>
    </w:p>
    <w:p w:rsidR="008A48A1" w:rsidRPr="00D26C5C" w:rsidRDefault="008A48A1" w:rsidP="00B55327">
      <w:pPr>
        <w:tabs>
          <w:tab w:val="left" w:pos="288"/>
          <w:tab w:val="left" w:pos="4752"/>
        </w:tabs>
        <w:spacing w:line="240" w:lineRule="exact"/>
        <w:jc w:val="both"/>
        <w:rPr>
          <w:rFonts w:asciiTheme="minorHAnsi" w:hAnsiTheme="minorHAnsi" w:cstheme="minorHAnsi"/>
          <w:color w:val="auto"/>
          <w:szCs w:val="24"/>
          <w:u w:val="single"/>
        </w:rPr>
      </w:pPr>
    </w:p>
    <w:p w:rsidR="00FD2044" w:rsidRPr="00D26C5C" w:rsidRDefault="0075000E" w:rsidP="00B55327">
      <w:pPr>
        <w:tabs>
          <w:tab w:val="left" w:pos="288"/>
          <w:tab w:val="left" w:pos="4752"/>
        </w:tabs>
        <w:spacing w:line="240" w:lineRule="exact"/>
        <w:jc w:val="both"/>
        <w:rPr>
          <w:rFonts w:asciiTheme="minorHAnsi" w:hAnsiTheme="minorHAnsi" w:cstheme="minorHAnsi"/>
          <w:color w:val="auto"/>
          <w:szCs w:val="24"/>
          <w:u w:val="single"/>
        </w:rPr>
      </w:pPr>
      <w:r w:rsidRPr="00D26C5C">
        <w:rPr>
          <w:rFonts w:asciiTheme="minorHAnsi" w:hAnsiTheme="minorHAnsi"/>
          <w:color w:val="auto"/>
          <w:szCs w:val="24"/>
          <w:u w:val="single"/>
        </w:rPr>
        <w:lastRenderedPageBreak/>
        <w:t>Left Ankle Sprain Grade 1</w:t>
      </w:r>
      <w:r w:rsidR="00F27E3B" w:rsidRPr="00D26C5C">
        <w:rPr>
          <w:rFonts w:asciiTheme="minorHAnsi" w:hAnsiTheme="minorHAnsi"/>
          <w:color w:val="auto"/>
          <w:szCs w:val="24"/>
        </w:rPr>
        <w:t xml:space="preserve">: </w:t>
      </w:r>
      <w:r w:rsidR="000105AF">
        <w:rPr>
          <w:rFonts w:asciiTheme="minorHAnsi" w:hAnsiTheme="minorHAnsi"/>
          <w:color w:val="auto"/>
          <w:szCs w:val="24"/>
        </w:rPr>
        <w:t xml:space="preserve"> The PEB found the CI’s left ankle sprain g</w:t>
      </w:r>
      <w:r w:rsidRPr="00D26C5C">
        <w:rPr>
          <w:rFonts w:asciiTheme="minorHAnsi" w:hAnsiTheme="minorHAnsi"/>
          <w:color w:val="auto"/>
          <w:szCs w:val="24"/>
        </w:rPr>
        <w:t>rade 1 as a permanent rating of Category III condi</w:t>
      </w:r>
      <w:r w:rsidR="000105AF">
        <w:rPr>
          <w:rFonts w:asciiTheme="minorHAnsi" w:hAnsiTheme="minorHAnsi"/>
          <w:color w:val="auto"/>
          <w:szCs w:val="24"/>
        </w:rPr>
        <w:t>tion (“c</w:t>
      </w:r>
      <w:r w:rsidRPr="00D26C5C">
        <w:rPr>
          <w:rFonts w:asciiTheme="minorHAnsi" w:hAnsiTheme="minorHAnsi"/>
          <w:color w:val="auto"/>
          <w:szCs w:val="24"/>
        </w:rPr>
        <w:t xml:space="preserve">onditions that are not separately unfitting and do not contribute to the unfitting condition” (s)).  </w:t>
      </w:r>
      <w:r w:rsidR="002258F0" w:rsidRPr="00D26C5C">
        <w:rPr>
          <w:rFonts w:asciiTheme="minorHAnsi" w:hAnsiTheme="minorHAnsi"/>
          <w:color w:val="auto"/>
          <w:szCs w:val="24"/>
        </w:rPr>
        <w:t xml:space="preserve">The CI was noted to </w:t>
      </w:r>
      <w:r w:rsidRPr="00D26C5C">
        <w:rPr>
          <w:rFonts w:asciiTheme="minorHAnsi" w:hAnsiTheme="minorHAnsi"/>
          <w:color w:val="auto"/>
          <w:szCs w:val="24"/>
        </w:rPr>
        <w:t>have left</w:t>
      </w:r>
      <w:r w:rsidR="00FD2044" w:rsidRPr="00D26C5C">
        <w:rPr>
          <w:rFonts w:asciiTheme="minorHAnsi" w:hAnsiTheme="minorHAnsi"/>
          <w:color w:val="auto"/>
          <w:szCs w:val="24"/>
        </w:rPr>
        <w:t xml:space="preserve"> ankle pain in July 2006</w:t>
      </w:r>
      <w:r w:rsidR="0011483C" w:rsidRPr="00D26C5C">
        <w:rPr>
          <w:rFonts w:asciiTheme="minorHAnsi" w:hAnsiTheme="minorHAnsi"/>
          <w:color w:val="auto"/>
          <w:szCs w:val="24"/>
        </w:rPr>
        <w:t>;</w:t>
      </w:r>
      <w:r w:rsidR="00FD2044" w:rsidRPr="00D26C5C">
        <w:rPr>
          <w:rFonts w:asciiTheme="minorHAnsi" w:hAnsiTheme="minorHAnsi"/>
          <w:color w:val="auto"/>
          <w:szCs w:val="24"/>
        </w:rPr>
        <w:t xml:space="preserve"> however</w:t>
      </w:r>
      <w:r w:rsidR="0011483C" w:rsidRPr="00D26C5C">
        <w:rPr>
          <w:rFonts w:asciiTheme="minorHAnsi" w:hAnsiTheme="minorHAnsi"/>
          <w:color w:val="auto"/>
          <w:szCs w:val="24"/>
        </w:rPr>
        <w:t>,</w:t>
      </w:r>
      <w:r w:rsidR="00FD2044" w:rsidRPr="00D26C5C">
        <w:rPr>
          <w:rFonts w:asciiTheme="minorHAnsi" w:hAnsiTheme="minorHAnsi"/>
          <w:color w:val="auto"/>
          <w:szCs w:val="24"/>
        </w:rPr>
        <w:t xml:space="preserve"> the x-ray demonstrated no evidence of arthritic or inflammatory changes. </w:t>
      </w:r>
      <w:r w:rsidR="0011483C" w:rsidRPr="00D26C5C">
        <w:rPr>
          <w:rFonts w:asciiTheme="minorHAnsi" w:hAnsiTheme="minorHAnsi"/>
          <w:color w:val="auto"/>
          <w:szCs w:val="24"/>
        </w:rPr>
        <w:t xml:space="preserve"> </w:t>
      </w:r>
      <w:r w:rsidR="00FD2044" w:rsidRPr="00D26C5C">
        <w:rPr>
          <w:rFonts w:asciiTheme="minorHAnsi" w:hAnsiTheme="minorHAnsi"/>
          <w:color w:val="auto"/>
          <w:szCs w:val="24"/>
        </w:rPr>
        <w:t>In the service treatment record (STR) in August 2006</w:t>
      </w:r>
      <w:r w:rsidR="00B55327" w:rsidRPr="00D26C5C">
        <w:rPr>
          <w:rFonts w:asciiTheme="minorHAnsi" w:hAnsiTheme="minorHAnsi"/>
          <w:color w:val="auto"/>
          <w:szCs w:val="24"/>
        </w:rPr>
        <w:t xml:space="preserve">, </w:t>
      </w:r>
      <w:r w:rsidR="00FD2044" w:rsidRPr="00D26C5C">
        <w:rPr>
          <w:rFonts w:asciiTheme="minorHAnsi" w:hAnsiTheme="minorHAnsi"/>
          <w:color w:val="auto"/>
          <w:szCs w:val="24"/>
        </w:rPr>
        <w:t xml:space="preserve">the examiner noted that the left ankle did not hurt anymore. </w:t>
      </w:r>
      <w:r w:rsidR="00F27E3B" w:rsidRPr="00D26C5C">
        <w:rPr>
          <w:rFonts w:asciiTheme="minorHAnsi" w:hAnsiTheme="minorHAnsi"/>
          <w:color w:val="auto"/>
          <w:szCs w:val="24"/>
        </w:rPr>
        <w:t xml:space="preserve"> </w:t>
      </w:r>
      <w:r w:rsidRPr="00D26C5C">
        <w:rPr>
          <w:rFonts w:asciiTheme="minorHAnsi" w:hAnsiTheme="minorHAnsi"/>
          <w:color w:val="auto"/>
          <w:szCs w:val="24"/>
        </w:rPr>
        <w:t>All evidence considered there is not reasonable doubt in the CI’s favor supporting recharacterization of the PE</w:t>
      </w:r>
      <w:r w:rsidR="000105AF">
        <w:rPr>
          <w:rFonts w:asciiTheme="minorHAnsi" w:hAnsiTheme="minorHAnsi"/>
          <w:color w:val="auto"/>
          <w:szCs w:val="24"/>
        </w:rPr>
        <w:t>B fitness adjudication for the l</w:t>
      </w:r>
      <w:r w:rsidRPr="00D26C5C">
        <w:rPr>
          <w:rFonts w:asciiTheme="minorHAnsi" w:hAnsiTheme="minorHAnsi"/>
          <w:color w:val="auto"/>
          <w:szCs w:val="24"/>
        </w:rPr>
        <w:t xml:space="preserve">eft </w:t>
      </w:r>
      <w:r w:rsidR="000105AF">
        <w:rPr>
          <w:rFonts w:asciiTheme="minorHAnsi" w:hAnsiTheme="minorHAnsi"/>
          <w:color w:val="auto"/>
          <w:szCs w:val="24"/>
        </w:rPr>
        <w:t>ankle sprain g</w:t>
      </w:r>
      <w:r w:rsidRPr="00D26C5C">
        <w:rPr>
          <w:rFonts w:asciiTheme="minorHAnsi" w:hAnsiTheme="minorHAnsi"/>
          <w:color w:val="auto"/>
          <w:szCs w:val="24"/>
        </w:rPr>
        <w:t xml:space="preserve">rade 1 condition.  </w:t>
      </w:r>
    </w:p>
    <w:p w:rsidR="008A48A1" w:rsidRPr="00D26C5C" w:rsidRDefault="008A48A1" w:rsidP="00B55327">
      <w:pPr>
        <w:tabs>
          <w:tab w:val="left" w:pos="288"/>
          <w:tab w:val="left" w:pos="4752"/>
        </w:tabs>
        <w:spacing w:line="240" w:lineRule="exact"/>
        <w:jc w:val="both"/>
        <w:rPr>
          <w:rFonts w:asciiTheme="minorHAnsi" w:hAnsiTheme="minorHAnsi"/>
          <w:color w:val="auto"/>
          <w:szCs w:val="24"/>
          <w:u w:val="single"/>
        </w:rPr>
      </w:pPr>
    </w:p>
    <w:p w:rsidR="008A48A1" w:rsidRPr="00D26C5C" w:rsidRDefault="00BF6B7C" w:rsidP="00B55327">
      <w:pPr>
        <w:tabs>
          <w:tab w:val="left" w:pos="288"/>
          <w:tab w:val="left" w:pos="4752"/>
        </w:tabs>
        <w:spacing w:line="240" w:lineRule="exact"/>
        <w:jc w:val="both"/>
        <w:rPr>
          <w:rFonts w:asciiTheme="minorHAnsi" w:hAnsiTheme="minorHAnsi"/>
          <w:color w:val="auto"/>
          <w:szCs w:val="24"/>
          <w:u w:val="single"/>
        </w:rPr>
      </w:pPr>
      <w:r w:rsidRPr="00D26C5C">
        <w:rPr>
          <w:rFonts w:asciiTheme="minorHAnsi" w:hAnsiTheme="minorHAnsi" w:cstheme="minorHAnsi"/>
          <w:color w:val="auto"/>
          <w:szCs w:val="24"/>
          <w:u w:val="single"/>
        </w:rPr>
        <w:t>Remaining Conditions</w:t>
      </w:r>
      <w:r w:rsidR="000105AF">
        <w:rPr>
          <w:rFonts w:asciiTheme="minorHAnsi" w:hAnsiTheme="minorHAnsi" w:cstheme="minorHAnsi"/>
          <w:color w:val="auto"/>
          <w:szCs w:val="24"/>
        </w:rPr>
        <w:t>:</w:t>
      </w:r>
      <w:r w:rsidRPr="00D26C5C">
        <w:rPr>
          <w:rFonts w:asciiTheme="minorHAnsi" w:hAnsiTheme="minorHAnsi"/>
          <w:color w:val="auto"/>
          <w:szCs w:val="24"/>
        </w:rPr>
        <w:t xml:space="preserve"> </w:t>
      </w:r>
      <w:r w:rsidR="0011483C" w:rsidRPr="00D26C5C">
        <w:rPr>
          <w:rFonts w:asciiTheme="minorHAnsi" w:hAnsiTheme="minorHAnsi"/>
          <w:color w:val="auto"/>
          <w:szCs w:val="24"/>
        </w:rPr>
        <w:t xml:space="preserve"> </w:t>
      </w:r>
      <w:r w:rsidRPr="00D26C5C">
        <w:rPr>
          <w:rFonts w:asciiTheme="minorHAnsi" w:hAnsiTheme="minorHAnsi"/>
          <w:color w:val="auto"/>
          <w:szCs w:val="24"/>
        </w:rPr>
        <w:t xml:space="preserve">No conditions were identified in the DES documents other than those addressed above.  No other conditions were service connected with a compensable rating by the VA within twelve months of separation. </w:t>
      </w:r>
      <w:r w:rsidRPr="00D26C5C">
        <w:rPr>
          <w:rFonts w:asciiTheme="minorHAnsi" w:hAnsiTheme="minorHAnsi" w:cstheme="minorHAnsi"/>
          <w:color w:val="auto"/>
          <w:szCs w:val="24"/>
        </w:rPr>
        <w:t xml:space="preserve"> </w:t>
      </w:r>
    </w:p>
    <w:p w:rsidR="00106AD8" w:rsidRPr="00D26C5C" w:rsidRDefault="00106AD8" w:rsidP="00B55327">
      <w:pPr>
        <w:pBdr>
          <w:bottom w:val="single" w:sz="12" w:space="1" w:color="auto"/>
        </w:pBdr>
        <w:tabs>
          <w:tab w:val="left" w:pos="288"/>
          <w:tab w:val="left" w:pos="4752"/>
        </w:tabs>
        <w:spacing w:line="240" w:lineRule="exact"/>
        <w:jc w:val="both"/>
        <w:rPr>
          <w:rFonts w:ascii="Calibri" w:hAnsi="Calibri"/>
          <w:color w:val="auto"/>
          <w:szCs w:val="24"/>
        </w:rPr>
      </w:pPr>
    </w:p>
    <w:p w:rsidR="00106AD8" w:rsidRPr="00D26C5C" w:rsidRDefault="00106AD8" w:rsidP="00B55327">
      <w:pPr>
        <w:tabs>
          <w:tab w:val="left" w:pos="288"/>
          <w:tab w:val="left" w:pos="4752"/>
        </w:tabs>
        <w:spacing w:line="240" w:lineRule="exact"/>
        <w:jc w:val="both"/>
        <w:rPr>
          <w:rFonts w:ascii="Calibri" w:hAnsi="Calibri"/>
          <w:color w:val="auto"/>
          <w:szCs w:val="24"/>
        </w:rPr>
      </w:pPr>
    </w:p>
    <w:p w:rsidR="00BF6B7C" w:rsidRPr="00D26C5C" w:rsidRDefault="00C56FC8" w:rsidP="00B55327">
      <w:pPr>
        <w:spacing w:line="240" w:lineRule="exact"/>
        <w:jc w:val="both"/>
        <w:rPr>
          <w:rFonts w:asciiTheme="minorHAnsi" w:eastAsiaTheme="minorHAnsi" w:hAnsiTheme="minorHAnsi"/>
          <w:color w:val="auto"/>
          <w:szCs w:val="24"/>
        </w:rPr>
      </w:pPr>
      <w:r w:rsidRPr="00D26C5C">
        <w:rPr>
          <w:rFonts w:asciiTheme="minorHAnsi" w:hAnsiTheme="minorHAnsi"/>
          <w:color w:val="auto"/>
          <w:szCs w:val="24"/>
          <w:u w:val="single"/>
        </w:rPr>
        <w:t>BOARD FINDINGS</w:t>
      </w:r>
      <w:r w:rsidRPr="00D26C5C">
        <w:rPr>
          <w:rFonts w:asciiTheme="minorHAnsi" w:hAnsiTheme="minorHAnsi"/>
          <w:color w:val="auto"/>
          <w:szCs w:val="24"/>
        </w:rPr>
        <w:t>:</w:t>
      </w:r>
      <w:r w:rsidRPr="00D26C5C">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BF6B7C" w:rsidRPr="00D26C5C">
        <w:rPr>
          <w:rFonts w:asciiTheme="minorHAnsi" w:eastAsiaTheme="minorHAnsi" w:hAnsiTheme="minorHAnsi"/>
          <w:color w:val="auto"/>
          <w:szCs w:val="24"/>
        </w:rPr>
        <w:t xml:space="preserve"> </w:t>
      </w:r>
      <w:r w:rsidR="0011483C" w:rsidRPr="00D26C5C">
        <w:rPr>
          <w:rFonts w:asciiTheme="minorHAnsi" w:eastAsiaTheme="minorHAnsi" w:hAnsiTheme="minorHAnsi"/>
          <w:color w:val="auto"/>
          <w:szCs w:val="24"/>
        </w:rPr>
        <w:t xml:space="preserve">In the matter of the </w:t>
      </w:r>
      <w:r w:rsidR="000105AF">
        <w:rPr>
          <w:rFonts w:asciiTheme="minorHAnsi" w:hAnsiTheme="minorHAnsi"/>
          <w:color w:val="auto"/>
          <w:szCs w:val="24"/>
        </w:rPr>
        <w:t>T12 burst f</w:t>
      </w:r>
      <w:r w:rsidR="009F521A" w:rsidRPr="00D26C5C">
        <w:rPr>
          <w:rFonts w:asciiTheme="minorHAnsi" w:hAnsiTheme="minorHAnsi"/>
          <w:color w:val="auto"/>
          <w:szCs w:val="24"/>
        </w:rPr>
        <w:t>racture</w:t>
      </w:r>
      <w:r w:rsidR="0011483C" w:rsidRPr="00D26C5C">
        <w:rPr>
          <w:rFonts w:asciiTheme="minorHAnsi" w:hAnsiTheme="minorHAnsi"/>
          <w:color w:val="auto"/>
        </w:rPr>
        <w:t xml:space="preserve"> </w:t>
      </w:r>
      <w:r w:rsidR="0011483C" w:rsidRPr="00D26C5C">
        <w:rPr>
          <w:rFonts w:asciiTheme="minorHAnsi" w:eastAsiaTheme="minorHAnsi" w:hAnsiTheme="minorHAnsi"/>
          <w:color w:val="auto"/>
          <w:szCs w:val="24"/>
        </w:rPr>
        <w:t xml:space="preserve">condition, the Board </w:t>
      </w:r>
      <w:r w:rsidR="00B55327" w:rsidRPr="00D26C5C">
        <w:rPr>
          <w:rFonts w:asciiTheme="minorHAnsi" w:hAnsiTheme="minorHAnsi"/>
          <w:color w:val="auto"/>
          <w:szCs w:val="24"/>
        </w:rPr>
        <w:t>by a vote of 2:1 recommends a change in the PEB adju</w:t>
      </w:r>
      <w:r w:rsidR="00D26C5C" w:rsidRPr="00D26C5C">
        <w:rPr>
          <w:rFonts w:asciiTheme="minorHAnsi" w:hAnsiTheme="minorHAnsi"/>
          <w:color w:val="auto"/>
          <w:szCs w:val="24"/>
        </w:rPr>
        <w:t xml:space="preserve">dication for entry into TDRL </w:t>
      </w:r>
      <w:r w:rsidR="00B55327" w:rsidRPr="00D26C5C">
        <w:rPr>
          <w:rFonts w:asciiTheme="minorHAnsi" w:hAnsiTheme="minorHAnsi"/>
          <w:color w:val="auto"/>
          <w:szCs w:val="24"/>
        </w:rPr>
        <w:t xml:space="preserve">to 40% and </w:t>
      </w:r>
      <w:r w:rsidR="00D26C5C" w:rsidRPr="00D26C5C">
        <w:rPr>
          <w:rFonts w:asciiTheme="minorHAnsi" w:hAnsiTheme="minorHAnsi"/>
          <w:color w:val="auto"/>
          <w:szCs w:val="24"/>
        </w:rPr>
        <w:t xml:space="preserve">no change in the 10% rating </w:t>
      </w:r>
      <w:r w:rsidR="00B55327" w:rsidRPr="00D26C5C">
        <w:rPr>
          <w:rFonts w:asciiTheme="minorHAnsi" w:eastAsiaTheme="minorHAnsi" w:hAnsiTheme="minorHAnsi"/>
          <w:color w:val="auto"/>
          <w:szCs w:val="24"/>
        </w:rPr>
        <w:t>at exit from TDRL</w:t>
      </w:r>
      <w:r w:rsidR="00D26C5C" w:rsidRPr="00D26C5C">
        <w:rPr>
          <w:rFonts w:asciiTheme="minorHAnsi" w:eastAsiaTheme="minorHAnsi" w:hAnsiTheme="minorHAnsi"/>
          <w:color w:val="auto"/>
          <w:szCs w:val="24"/>
        </w:rPr>
        <w:t xml:space="preserve">; both </w:t>
      </w:r>
      <w:r w:rsidR="00B55327" w:rsidRPr="00D26C5C">
        <w:rPr>
          <w:rFonts w:asciiTheme="minorHAnsi" w:eastAsiaTheme="minorHAnsi" w:hAnsiTheme="minorHAnsi"/>
          <w:color w:val="auto"/>
          <w:szCs w:val="24"/>
        </w:rPr>
        <w:t xml:space="preserve"> </w:t>
      </w:r>
      <w:r w:rsidR="00D26C5C" w:rsidRPr="00D26C5C">
        <w:rPr>
          <w:rFonts w:asciiTheme="minorHAnsi" w:hAnsiTheme="minorHAnsi"/>
          <w:color w:val="auto"/>
          <w:szCs w:val="24"/>
        </w:rPr>
        <w:t>IAW VASRD §4.71a</w:t>
      </w:r>
      <w:r w:rsidR="00B55327" w:rsidRPr="00D26C5C">
        <w:rPr>
          <w:rFonts w:asciiTheme="minorHAnsi" w:hAnsiTheme="minorHAnsi"/>
          <w:color w:val="auto"/>
          <w:szCs w:val="24"/>
        </w:rPr>
        <w:t>.</w:t>
      </w:r>
      <w:r w:rsidR="00D26C5C" w:rsidRPr="00D26C5C">
        <w:rPr>
          <w:rFonts w:asciiTheme="minorHAnsi" w:hAnsiTheme="minorHAnsi"/>
          <w:color w:val="auto"/>
          <w:szCs w:val="24"/>
        </w:rPr>
        <w:t xml:space="preserve">  </w:t>
      </w:r>
      <w:r w:rsidR="00B55327" w:rsidRPr="00D26C5C">
        <w:rPr>
          <w:rFonts w:asciiTheme="minorHAnsi" w:hAnsiTheme="minorHAnsi"/>
          <w:color w:val="auto"/>
          <w:szCs w:val="24"/>
        </w:rPr>
        <w:t xml:space="preserve">The single voter </w:t>
      </w:r>
      <w:r w:rsidR="00D26C5C" w:rsidRPr="00D26C5C">
        <w:rPr>
          <w:rFonts w:asciiTheme="minorHAnsi" w:hAnsiTheme="minorHAnsi"/>
          <w:color w:val="auto"/>
          <w:szCs w:val="24"/>
        </w:rPr>
        <w:t xml:space="preserve">for dissent </w:t>
      </w:r>
      <w:r w:rsidR="00B55327" w:rsidRPr="00D26C5C">
        <w:rPr>
          <w:rFonts w:asciiTheme="minorHAnsi" w:hAnsiTheme="minorHAnsi"/>
          <w:color w:val="auto"/>
          <w:szCs w:val="24"/>
        </w:rPr>
        <w:t>who</w:t>
      </w:r>
      <w:r w:rsidR="00D26C5C" w:rsidRPr="00D26C5C">
        <w:rPr>
          <w:rFonts w:asciiTheme="minorHAnsi" w:hAnsiTheme="minorHAnsi"/>
          <w:color w:val="auto"/>
          <w:szCs w:val="24"/>
        </w:rPr>
        <w:t xml:space="preserve"> recommended no recharacterization</w:t>
      </w:r>
      <w:r w:rsidR="00B55327" w:rsidRPr="00D26C5C">
        <w:rPr>
          <w:rFonts w:asciiTheme="minorHAnsi" w:hAnsiTheme="minorHAnsi"/>
          <w:color w:val="auto"/>
          <w:szCs w:val="24"/>
        </w:rPr>
        <w:t xml:space="preserve"> did not elect to submit a minority opinion.</w:t>
      </w:r>
      <w:r w:rsidR="00B55327" w:rsidRPr="00D26C5C">
        <w:rPr>
          <w:rFonts w:asciiTheme="minorHAnsi" w:eastAsiaTheme="minorHAnsi" w:hAnsiTheme="minorHAnsi"/>
          <w:color w:val="auto"/>
          <w:szCs w:val="24"/>
        </w:rPr>
        <w:t xml:space="preserve">  </w:t>
      </w:r>
      <w:r w:rsidR="000105AF">
        <w:rPr>
          <w:rFonts w:asciiTheme="minorHAnsi" w:hAnsiTheme="minorHAnsi"/>
          <w:color w:val="auto"/>
          <w:szCs w:val="24"/>
        </w:rPr>
        <w:t>In the matter of the right IPR stress f</w:t>
      </w:r>
      <w:r w:rsidR="00BF6B7C" w:rsidRPr="00D26C5C">
        <w:rPr>
          <w:rFonts w:asciiTheme="minorHAnsi" w:hAnsiTheme="minorHAnsi"/>
          <w:color w:val="auto"/>
          <w:szCs w:val="24"/>
        </w:rPr>
        <w:t xml:space="preserve">racture </w:t>
      </w:r>
      <w:r w:rsidR="00BF6B7C" w:rsidRPr="00D26C5C">
        <w:rPr>
          <w:rFonts w:asciiTheme="minorHAnsi" w:eastAsiaTheme="minorHAnsi" w:hAnsiTheme="minorHAnsi"/>
          <w:color w:val="auto"/>
          <w:szCs w:val="24"/>
        </w:rPr>
        <w:t xml:space="preserve">and </w:t>
      </w:r>
      <w:r w:rsidR="000105AF">
        <w:rPr>
          <w:rFonts w:asciiTheme="minorHAnsi" w:hAnsiTheme="minorHAnsi"/>
          <w:color w:val="auto"/>
          <w:szCs w:val="24"/>
        </w:rPr>
        <w:t>left ankle s</w:t>
      </w:r>
      <w:r w:rsidR="00BF6B7C" w:rsidRPr="00D26C5C">
        <w:rPr>
          <w:rFonts w:asciiTheme="minorHAnsi" w:hAnsiTheme="minorHAnsi"/>
          <w:color w:val="auto"/>
          <w:szCs w:val="24"/>
        </w:rPr>
        <w:t xml:space="preserve">prain </w:t>
      </w:r>
      <w:r w:rsidR="00BF6B7C" w:rsidRPr="00D26C5C">
        <w:rPr>
          <w:rFonts w:asciiTheme="minorHAnsi" w:eastAsiaTheme="minorHAnsi" w:hAnsiTheme="minorHAnsi"/>
          <w:color w:val="auto"/>
          <w:szCs w:val="24"/>
        </w:rPr>
        <w:t>conditions</w:t>
      </w:r>
      <w:r w:rsidR="00BF6B7C" w:rsidRPr="00D26C5C">
        <w:rPr>
          <w:rFonts w:asciiTheme="minorHAnsi" w:hAnsiTheme="minorHAnsi"/>
          <w:color w:val="auto"/>
          <w:szCs w:val="24"/>
        </w:rPr>
        <w:t xml:space="preserve"> or any other medical conditions eligible for Board consideration; the Board unanimously </w:t>
      </w:r>
      <w:r w:rsidR="00873AE4" w:rsidRPr="00D26C5C">
        <w:rPr>
          <w:rFonts w:asciiTheme="minorHAnsi" w:eastAsiaTheme="minorHAnsi" w:hAnsiTheme="minorHAnsi"/>
          <w:color w:val="auto"/>
          <w:szCs w:val="24"/>
        </w:rPr>
        <w:t>recommends no recharacterization of the PEB adjudications as not unfitting.</w:t>
      </w:r>
      <w:r w:rsidR="00B55327" w:rsidRPr="00D26C5C">
        <w:rPr>
          <w:rFonts w:asciiTheme="minorHAnsi" w:hAnsiTheme="minorHAnsi"/>
          <w:color w:val="auto"/>
          <w:szCs w:val="24"/>
        </w:rPr>
        <w:t xml:space="preserve">  </w:t>
      </w:r>
      <w:r w:rsidR="00BF6B7C" w:rsidRPr="00D26C5C">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106AD8" w:rsidRPr="00D26C5C" w:rsidRDefault="00106AD8" w:rsidP="00B55327">
      <w:pPr>
        <w:pBdr>
          <w:bottom w:val="single" w:sz="12" w:space="1" w:color="auto"/>
        </w:pBdr>
        <w:tabs>
          <w:tab w:val="left" w:pos="288"/>
          <w:tab w:val="left" w:pos="4752"/>
        </w:tabs>
        <w:spacing w:line="240" w:lineRule="exact"/>
        <w:jc w:val="both"/>
        <w:rPr>
          <w:rFonts w:ascii="Calibri" w:hAnsi="Calibri"/>
          <w:color w:val="auto"/>
          <w:szCs w:val="24"/>
        </w:rPr>
      </w:pPr>
    </w:p>
    <w:p w:rsidR="00106AD8" w:rsidRPr="00D26C5C" w:rsidRDefault="00106AD8" w:rsidP="00B55327">
      <w:pPr>
        <w:tabs>
          <w:tab w:val="left" w:pos="288"/>
          <w:tab w:val="left" w:pos="4752"/>
        </w:tabs>
        <w:spacing w:line="240" w:lineRule="exact"/>
        <w:jc w:val="both"/>
        <w:rPr>
          <w:rFonts w:ascii="Calibri" w:hAnsi="Calibri"/>
          <w:color w:val="auto"/>
          <w:szCs w:val="24"/>
        </w:rPr>
      </w:pPr>
    </w:p>
    <w:p w:rsidR="00B55327" w:rsidRPr="00D26C5C" w:rsidRDefault="00C56FC8" w:rsidP="00B55327">
      <w:pPr>
        <w:spacing w:line="240" w:lineRule="exact"/>
        <w:jc w:val="both"/>
        <w:rPr>
          <w:rFonts w:asciiTheme="minorHAnsi" w:hAnsiTheme="minorHAnsi"/>
          <w:color w:val="auto"/>
          <w:szCs w:val="24"/>
        </w:rPr>
      </w:pPr>
      <w:r w:rsidRPr="00D26C5C">
        <w:rPr>
          <w:rFonts w:asciiTheme="minorHAnsi" w:hAnsiTheme="minorHAnsi"/>
          <w:color w:val="auto"/>
          <w:szCs w:val="24"/>
          <w:u w:val="single"/>
        </w:rPr>
        <w:t>RECOMMENDATION</w:t>
      </w:r>
      <w:r w:rsidRPr="00D26C5C">
        <w:rPr>
          <w:rFonts w:asciiTheme="minorHAnsi" w:hAnsiTheme="minorHAnsi"/>
          <w:color w:val="auto"/>
          <w:szCs w:val="24"/>
        </w:rPr>
        <w:t xml:space="preserve">: </w:t>
      </w:r>
      <w:r w:rsidR="001E669C" w:rsidRPr="00D26C5C">
        <w:rPr>
          <w:rFonts w:asciiTheme="minorHAnsi" w:hAnsiTheme="minorHAnsi"/>
          <w:color w:val="auto"/>
          <w:szCs w:val="24"/>
        </w:rPr>
        <w:t xml:space="preserve"> </w:t>
      </w:r>
      <w:r w:rsidR="00B55327" w:rsidRPr="00D26C5C">
        <w:rPr>
          <w:rFonts w:asciiTheme="minorHAnsi" w:hAnsiTheme="minorHAnsi"/>
          <w:color w:val="auto"/>
          <w:szCs w:val="24"/>
        </w:rPr>
        <w:t xml:space="preserve">The Board recommends that the CI’s prior determination be modified as follows, effective as of the date of her prior </w:t>
      </w:r>
      <w:r w:rsidR="00D26C5C" w:rsidRPr="00D26C5C">
        <w:rPr>
          <w:rFonts w:asciiTheme="minorHAnsi" w:hAnsiTheme="minorHAnsi"/>
          <w:color w:val="auto"/>
          <w:szCs w:val="24"/>
        </w:rPr>
        <w:t>DES determinations</w:t>
      </w:r>
      <w:r w:rsidR="00B55327" w:rsidRPr="00D26C5C">
        <w:rPr>
          <w:rFonts w:asciiTheme="minorHAnsi" w:hAnsiTheme="minorHAnsi"/>
          <w:color w:val="auto"/>
          <w:szCs w:val="24"/>
        </w:rPr>
        <w:t>:</w:t>
      </w:r>
    </w:p>
    <w:p w:rsidR="00F27E3B" w:rsidRPr="00D26C5C" w:rsidRDefault="00F27E3B" w:rsidP="00F27E3B">
      <w:pPr>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1E669C" w:rsidRPr="00D26C5C" w:rsidTr="001E669C">
        <w:trPr>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26C5C" w:rsidRDefault="001E669C" w:rsidP="001E669C">
            <w:pPr>
              <w:tabs>
                <w:tab w:val="left" w:pos="288"/>
                <w:tab w:val="left" w:pos="4752"/>
              </w:tabs>
              <w:spacing w:line="240" w:lineRule="exact"/>
              <w:jc w:val="center"/>
              <w:rPr>
                <w:rFonts w:asciiTheme="minorHAnsi" w:hAnsiTheme="minorHAnsi"/>
                <w:b/>
                <w:color w:val="auto"/>
                <w:szCs w:val="24"/>
              </w:rPr>
            </w:pPr>
            <w:r w:rsidRPr="00D26C5C">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26C5C" w:rsidRDefault="001E669C" w:rsidP="001E669C">
            <w:pPr>
              <w:tabs>
                <w:tab w:val="left" w:pos="288"/>
                <w:tab w:val="left" w:pos="4752"/>
              </w:tabs>
              <w:spacing w:line="240" w:lineRule="exact"/>
              <w:jc w:val="center"/>
              <w:rPr>
                <w:rFonts w:asciiTheme="minorHAnsi" w:hAnsiTheme="minorHAnsi"/>
                <w:b/>
                <w:color w:val="auto"/>
                <w:szCs w:val="24"/>
              </w:rPr>
            </w:pPr>
            <w:r w:rsidRPr="00D26C5C">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26C5C" w:rsidRDefault="001E669C" w:rsidP="001E669C">
            <w:pPr>
              <w:tabs>
                <w:tab w:val="left" w:pos="288"/>
                <w:tab w:val="left" w:pos="4752"/>
              </w:tabs>
              <w:spacing w:line="240" w:lineRule="exact"/>
              <w:jc w:val="center"/>
              <w:rPr>
                <w:rFonts w:asciiTheme="minorHAnsi" w:hAnsiTheme="minorHAnsi"/>
                <w:b/>
                <w:color w:val="auto"/>
                <w:szCs w:val="24"/>
              </w:rPr>
            </w:pPr>
            <w:r w:rsidRPr="00D26C5C">
              <w:rPr>
                <w:rFonts w:asciiTheme="minorHAnsi" w:hAnsiTheme="minorHAnsi"/>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E669C" w:rsidRPr="00D26C5C" w:rsidRDefault="001E669C" w:rsidP="001E669C">
            <w:pPr>
              <w:tabs>
                <w:tab w:val="left" w:pos="288"/>
                <w:tab w:val="left" w:pos="4752"/>
              </w:tabs>
              <w:spacing w:line="240" w:lineRule="exact"/>
              <w:jc w:val="center"/>
              <w:rPr>
                <w:rFonts w:asciiTheme="minorHAnsi" w:hAnsiTheme="minorHAnsi"/>
                <w:b/>
                <w:color w:val="auto"/>
                <w:szCs w:val="24"/>
              </w:rPr>
            </w:pPr>
            <w:r w:rsidRPr="00D26C5C">
              <w:rPr>
                <w:rFonts w:asciiTheme="minorHAnsi" w:hAnsiTheme="minorHAnsi"/>
                <w:b/>
                <w:color w:val="auto"/>
                <w:szCs w:val="24"/>
              </w:rPr>
              <w:t>PERMANENT</w:t>
            </w:r>
          </w:p>
          <w:p w:rsidR="001E669C" w:rsidRPr="00D26C5C" w:rsidRDefault="001E669C" w:rsidP="001E669C">
            <w:pPr>
              <w:tabs>
                <w:tab w:val="left" w:pos="288"/>
                <w:tab w:val="left" w:pos="4752"/>
              </w:tabs>
              <w:spacing w:line="240" w:lineRule="exact"/>
              <w:jc w:val="center"/>
              <w:rPr>
                <w:rFonts w:asciiTheme="minorHAnsi" w:hAnsiTheme="minorHAnsi"/>
                <w:b/>
                <w:color w:val="auto"/>
                <w:szCs w:val="24"/>
              </w:rPr>
            </w:pPr>
            <w:r w:rsidRPr="00D26C5C">
              <w:rPr>
                <w:rFonts w:asciiTheme="minorHAnsi" w:hAnsiTheme="minorHAnsi"/>
                <w:b/>
                <w:color w:val="auto"/>
                <w:szCs w:val="24"/>
              </w:rPr>
              <w:t>RATING</w:t>
            </w:r>
          </w:p>
        </w:tc>
      </w:tr>
      <w:tr w:rsidR="001E669C" w:rsidRPr="00D26C5C" w:rsidTr="001E669C">
        <w:trPr>
          <w:trHeight w:val="188"/>
          <w:jc w:val="center"/>
        </w:trPr>
        <w:tc>
          <w:tcPr>
            <w:tcW w:w="4950" w:type="dxa"/>
            <w:tcBorders>
              <w:top w:val="single" w:sz="4" w:space="0" w:color="000000"/>
              <w:left w:val="single" w:sz="4" w:space="0" w:color="000000"/>
              <w:bottom w:val="single" w:sz="4" w:space="0" w:color="000000"/>
              <w:right w:val="single" w:sz="4" w:space="0" w:color="000000"/>
            </w:tcBorders>
            <w:vAlign w:val="center"/>
            <w:hideMark/>
          </w:tcPr>
          <w:p w:rsidR="001E669C" w:rsidRPr="00D26C5C" w:rsidRDefault="0075000E" w:rsidP="009F521A">
            <w:pPr>
              <w:pStyle w:val="PlainText"/>
              <w:tabs>
                <w:tab w:val="left" w:pos="720"/>
                <w:tab w:val="left" w:pos="1080"/>
                <w:tab w:val="left" w:pos="1350"/>
                <w:tab w:val="left" w:pos="1620"/>
                <w:tab w:val="right" w:leader="dot" w:pos="9180"/>
              </w:tabs>
              <w:jc w:val="both"/>
              <w:rPr>
                <w:rFonts w:asciiTheme="minorHAnsi" w:hAnsiTheme="minorHAnsi"/>
                <w:szCs w:val="24"/>
              </w:rPr>
            </w:pPr>
            <w:r w:rsidRPr="00D26C5C">
              <w:rPr>
                <w:rFonts w:asciiTheme="minorHAnsi" w:hAnsiTheme="minorHAnsi"/>
                <w:sz w:val="24"/>
                <w:szCs w:val="24"/>
              </w:rPr>
              <w:t>T12 Burst F</w:t>
            </w:r>
            <w:r w:rsidR="009F521A" w:rsidRPr="00D26C5C">
              <w:rPr>
                <w:rFonts w:asciiTheme="minorHAnsi" w:hAnsiTheme="minorHAnsi"/>
                <w:sz w:val="24"/>
                <w:szCs w:val="24"/>
              </w:rPr>
              <w:t>racture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D26C5C" w:rsidRDefault="0075000E" w:rsidP="001E669C">
            <w:pPr>
              <w:tabs>
                <w:tab w:val="left" w:pos="288"/>
                <w:tab w:val="left" w:pos="4752"/>
              </w:tabs>
              <w:spacing w:line="240" w:lineRule="exact"/>
              <w:jc w:val="center"/>
              <w:rPr>
                <w:rFonts w:asciiTheme="minorHAnsi" w:hAnsiTheme="minorHAnsi"/>
                <w:color w:val="auto"/>
                <w:szCs w:val="24"/>
              </w:rPr>
            </w:pPr>
            <w:r w:rsidRPr="00D26C5C">
              <w:rPr>
                <w:rFonts w:asciiTheme="minorHAnsi" w:hAnsiTheme="minorHAnsi"/>
                <w:color w:val="auto"/>
                <w:szCs w:val="24"/>
              </w:rPr>
              <w:t>5235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D26C5C" w:rsidRDefault="00B55327" w:rsidP="001E669C">
            <w:pPr>
              <w:tabs>
                <w:tab w:val="left" w:pos="288"/>
                <w:tab w:val="left" w:pos="4752"/>
              </w:tabs>
              <w:spacing w:line="240" w:lineRule="exact"/>
              <w:jc w:val="center"/>
              <w:rPr>
                <w:rFonts w:asciiTheme="minorHAnsi" w:hAnsiTheme="minorHAnsi"/>
                <w:color w:val="auto"/>
                <w:szCs w:val="24"/>
              </w:rPr>
            </w:pPr>
            <w:r w:rsidRPr="00D26C5C">
              <w:rPr>
                <w:rFonts w:asciiTheme="minorHAnsi" w:hAnsiTheme="minorHAnsi"/>
                <w:color w:val="auto"/>
                <w:szCs w:val="24"/>
              </w:rPr>
              <w:t>4</w:t>
            </w:r>
            <w:r w:rsidR="001E669C" w:rsidRPr="00D26C5C">
              <w:rPr>
                <w:rFonts w:asciiTheme="minorHAnsi" w:hAnsiTheme="minorHAnsi"/>
                <w:color w:val="auto"/>
                <w:szCs w:val="24"/>
              </w:rPr>
              <w:t>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1E669C" w:rsidRPr="00D26C5C" w:rsidRDefault="0075000E" w:rsidP="001E669C">
            <w:pPr>
              <w:tabs>
                <w:tab w:val="left" w:pos="288"/>
                <w:tab w:val="left" w:pos="4752"/>
              </w:tabs>
              <w:spacing w:line="240" w:lineRule="exact"/>
              <w:jc w:val="center"/>
              <w:rPr>
                <w:rFonts w:asciiTheme="minorHAnsi" w:hAnsiTheme="minorHAnsi"/>
                <w:color w:val="auto"/>
                <w:szCs w:val="24"/>
              </w:rPr>
            </w:pPr>
            <w:r w:rsidRPr="00D26C5C">
              <w:rPr>
                <w:rFonts w:asciiTheme="minorHAnsi" w:hAnsiTheme="minorHAnsi"/>
                <w:color w:val="auto"/>
                <w:szCs w:val="24"/>
              </w:rPr>
              <w:t>1</w:t>
            </w:r>
            <w:r w:rsidR="001E669C" w:rsidRPr="00D26C5C">
              <w:rPr>
                <w:rFonts w:asciiTheme="minorHAnsi" w:hAnsiTheme="minorHAnsi"/>
                <w:color w:val="auto"/>
                <w:szCs w:val="24"/>
              </w:rPr>
              <w:t>0%</w:t>
            </w:r>
          </w:p>
        </w:tc>
      </w:tr>
      <w:tr w:rsidR="001E669C" w:rsidRPr="00D26C5C" w:rsidTr="001E669C">
        <w:trPr>
          <w:gridBefore w:val="1"/>
          <w:wBefore w:w="4950" w:type="dxa"/>
          <w:trHeight w:val="188"/>
          <w:jc w:val="center"/>
        </w:trPr>
        <w:tc>
          <w:tcPr>
            <w:tcW w:w="171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1E669C" w:rsidRPr="00D26C5C" w:rsidRDefault="001E669C" w:rsidP="001E669C">
            <w:pPr>
              <w:tabs>
                <w:tab w:val="left" w:pos="288"/>
                <w:tab w:val="left" w:pos="4752"/>
              </w:tabs>
              <w:spacing w:line="240" w:lineRule="exact"/>
              <w:jc w:val="center"/>
              <w:rPr>
                <w:rFonts w:asciiTheme="minorHAnsi" w:hAnsiTheme="minorHAnsi"/>
                <w:b/>
                <w:color w:val="auto"/>
                <w:szCs w:val="24"/>
              </w:rPr>
            </w:pPr>
            <w:r w:rsidRPr="00D26C5C">
              <w:rPr>
                <w:rFonts w:asciiTheme="minorHAnsi" w:hAnsiTheme="minorHAnsi"/>
                <w:b/>
                <w:color w:val="auto"/>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1E669C" w:rsidRPr="00D26C5C" w:rsidRDefault="00B55327" w:rsidP="001E669C">
            <w:pPr>
              <w:tabs>
                <w:tab w:val="left" w:pos="288"/>
                <w:tab w:val="left" w:pos="4752"/>
              </w:tabs>
              <w:spacing w:line="240" w:lineRule="exact"/>
              <w:jc w:val="center"/>
              <w:rPr>
                <w:rFonts w:asciiTheme="minorHAnsi" w:hAnsiTheme="minorHAnsi"/>
                <w:b/>
                <w:color w:val="auto"/>
                <w:szCs w:val="24"/>
              </w:rPr>
            </w:pPr>
            <w:r w:rsidRPr="00D26C5C">
              <w:rPr>
                <w:rFonts w:asciiTheme="minorHAnsi" w:hAnsiTheme="minorHAnsi"/>
                <w:b/>
                <w:color w:val="auto"/>
                <w:szCs w:val="24"/>
              </w:rPr>
              <w:t>4</w:t>
            </w:r>
            <w:r w:rsidR="001E669C" w:rsidRPr="00D26C5C">
              <w:rPr>
                <w:rFonts w:asciiTheme="minorHAnsi" w:hAnsiTheme="minorHAnsi"/>
                <w:b/>
                <w:color w:val="auto"/>
                <w:szCs w:val="24"/>
              </w:rPr>
              <w:t>0%</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E669C" w:rsidRPr="00D26C5C" w:rsidRDefault="0075000E" w:rsidP="001E669C">
            <w:pPr>
              <w:tabs>
                <w:tab w:val="left" w:pos="288"/>
                <w:tab w:val="left" w:pos="4752"/>
              </w:tabs>
              <w:spacing w:line="240" w:lineRule="exact"/>
              <w:jc w:val="center"/>
              <w:rPr>
                <w:rFonts w:asciiTheme="minorHAnsi" w:hAnsiTheme="minorHAnsi"/>
                <w:b/>
                <w:color w:val="auto"/>
                <w:szCs w:val="24"/>
              </w:rPr>
            </w:pPr>
            <w:r w:rsidRPr="00D26C5C">
              <w:rPr>
                <w:rFonts w:asciiTheme="minorHAnsi" w:hAnsiTheme="minorHAnsi"/>
                <w:b/>
                <w:color w:val="auto"/>
                <w:szCs w:val="24"/>
              </w:rPr>
              <w:t>1</w:t>
            </w:r>
            <w:r w:rsidR="001E669C" w:rsidRPr="00D26C5C">
              <w:rPr>
                <w:rFonts w:asciiTheme="minorHAnsi" w:hAnsiTheme="minorHAnsi"/>
                <w:b/>
                <w:color w:val="auto"/>
                <w:szCs w:val="24"/>
              </w:rPr>
              <w:t>0%</w:t>
            </w:r>
          </w:p>
        </w:tc>
      </w:tr>
    </w:tbl>
    <w:p w:rsidR="00106AD8" w:rsidRPr="00D26C5C" w:rsidRDefault="00285BAC" w:rsidP="00106AD8">
      <w:pPr>
        <w:tabs>
          <w:tab w:val="left" w:pos="288"/>
          <w:tab w:val="left" w:pos="4752"/>
        </w:tabs>
        <w:spacing w:line="240" w:lineRule="exact"/>
        <w:rPr>
          <w:rFonts w:ascii="Calibri" w:hAnsi="Calibri"/>
          <w:color w:val="auto"/>
          <w:szCs w:val="24"/>
        </w:rPr>
      </w:pPr>
      <w:r w:rsidRPr="00D26C5C">
        <w:rPr>
          <w:rFonts w:ascii="Calibri" w:hAnsi="Calibri"/>
          <w:color w:val="auto"/>
          <w:szCs w:val="24"/>
        </w:rPr>
        <w:t>______________________________________________________________________________</w:t>
      </w:r>
    </w:p>
    <w:p w:rsidR="00285BAC" w:rsidRPr="00D26C5C" w:rsidRDefault="00285BAC" w:rsidP="00190E48">
      <w:pPr>
        <w:tabs>
          <w:tab w:val="left" w:pos="288"/>
          <w:tab w:val="left" w:pos="4752"/>
        </w:tabs>
        <w:spacing w:line="240" w:lineRule="exact"/>
        <w:jc w:val="both"/>
        <w:rPr>
          <w:rFonts w:asciiTheme="minorHAnsi" w:hAnsiTheme="minorHAnsi"/>
          <w:color w:val="auto"/>
        </w:rPr>
      </w:pPr>
    </w:p>
    <w:p w:rsidR="00D91DA6" w:rsidRPr="00D26C5C" w:rsidRDefault="00FB1725" w:rsidP="00190E48">
      <w:pPr>
        <w:tabs>
          <w:tab w:val="left" w:pos="288"/>
          <w:tab w:val="left" w:pos="4752"/>
        </w:tabs>
        <w:spacing w:line="240" w:lineRule="exact"/>
        <w:jc w:val="both"/>
        <w:rPr>
          <w:rFonts w:asciiTheme="minorHAnsi" w:hAnsiTheme="minorHAnsi"/>
          <w:color w:val="auto"/>
        </w:rPr>
      </w:pPr>
      <w:r w:rsidRPr="00D26C5C">
        <w:rPr>
          <w:rFonts w:asciiTheme="minorHAnsi" w:hAnsiTheme="minorHAnsi"/>
          <w:color w:val="auto"/>
        </w:rPr>
        <w:t>The following documentary evidence was considered:</w:t>
      </w:r>
    </w:p>
    <w:p w:rsidR="00EB5EFD" w:rsidRPr="00D26C5C" w:rsidRDefault="00EB5EFD" w:rsidP="00190E48">
      <w:pPr>
        <w:tabs>
          <w:tab w:val="left" w:pos="288"/>
          <w:tab w:val="left" w:pos="4752"/>
        </w:tabs>
        <w:spacing w:line="240" w:lineRule="exact"/>
        <w:jc w:val="both"/>
        <w:rPr>
          <w:rFonts w:asciiTheme="minorHAnsi" w:hAnsiTheme="minorHAnsi"/>
          <w:color w:val="auto"/>
        </w:rPr>
      </w:pPr>
    </w:p>
    <w:p w:rsidR="00114F20" w:rsidRPr="00D26C5C" w:rsidRDefault="00FB1725" w:rsidP="00190E48">
      <w:pPr>
        <w:tabs>
          <w:tab w:val="left" w:pos="288"/>
          <w:tab w:val="left" w:pos="4752"/>
        </w:tabs>
        <w:spacing w:line="240" w:lineRule="exact"/>
        <w:jc w:val="both"/>
        <w:rPr>
          <w:rFonts w:asciiTheme="minorHAnsi" w:hAnsiTheme="minorHAnsi"/>
          <w:color w:val="auto"/>
        </w:rPr>
      </w:pPr>
      <w:r w:rsidRPr="00D26C5C">
        <w:rPr>
          <w:rFonts w:asciiTheme="minorHAnsi" w:hAnsiTheme="minorHAnsi"/>
          <w:color w:val="auto"/>
        </w:rPr>
        <w:t xml:space="preserve">Exhibit A.  DD Form 294, dated </w:t>
      </w:r>
      <w:r w:rsidR="00285BAC" w:rsidRPr="00D26C5C">
        <w:rPr>
          <w:rFonts w:asciiTheme="minorHAnsi" w:hAnsiTheme="minorHAnsi"/>
          <w:color w:val="auto"/>
        </w:rPr>
        <w:t>20</w:t>
      </w:r>
      <w:r w:rsidR="005D756E" w:rsidRPr="00D26C5C">
        <w:rPr>
          <w:rFonts w:asciiTheme="minorHAnsi" w:hAnsiTheme="minorHAnsi"/>
          <w:color w:val="auto"/>
        </w:rPr>
        <w:t>101020</w:t>
      </w:r>
      <w:r w:rsidR="000105AF">
        <w:rPr>
          <w:rFonts w:asciiTheme="minorHAnsi" w:hAnsiTheme="minorHAnsi"/>
          <w:color w:val="auto"/>
        </w:rPr>
        <w:t>, w/</w:t>
      </w:r>
      <w:proofErr w:type="spellStart"/>
      <w:r w:rsidR="000105AF">
        <w:rPr>
          <w:rFonts w:asciiTheme="minorHAnsi" w:hAnsiTheme="minorHAnsi"/>
          <w:color w:val="auto"/>
        </w:rPr>
        <w:t>atchs</w:t>
      </w:r>
      <w:proofErr w:type="spellEnd"/>
    </w:p>
    <w:p w:rsidR="00114F20" w:rsidRPr="00D26C5C" w:rsidRDefault="00FB1725" w:rsidP="00190E48">
      <w:pPr>
        <w:tabs>
          <w:tab w:val="left" w:pos="288"/>
          <w:tab w:val="left" w:pos="4752"/>
        </w:tabs>
        <w:spacing w:line="240" w:lineRule="exact"/>
        <w:jc w:val="both"/>
        <w:rPr>
          <w:rFonts w:asciiTheme="minorHAnsi" w:hAnsiTheme="minorHAnsi"/>
          <w:color w:val="auto"/>
        </w:rPr>
      </w:pPr>
      <w:r w:rsidRPr="00D26C5C">
        <w:rPr>
          <w:rFonts w:asciiTheme="minorHAnsi" w:hAnsiTheme="minorHAnsi"/>
          <w:color w:val="auto"/>
        </w:rPr>
        <w:t>Exhib</w:t>
      </w:r>
      <w:r w:rsidR="000105AF">
        <w:rPr>
          <w:rFonts w:asciiTheme="minorHAnsi" w:hAnsiTheme="minorHAnsi"/>
          <w:color w:val="auto"/>
        </w:rPr>
        <w:t>it B.  Service Treatment Record</w:t>
      </w:r>
    </w:p>
    <w:p w:rsidR="00114F20" w:rsidRPr="00D26C5C" w:rsidRDefault="00FB1725" w:rsidP="00190E48">
      <w:pPr>
        <w:tabs>
          <w:tab w:val="left" w:pos="288"/>
          <w:tab w:val="left" w:pos="4752"/>
        </w:tabs>
        <w:spacing w:line="240" w:lineRule="exact"/>
        <w:jc w:val="both"/>
        <w:rPr>
          <w:rFonts w:asciiTheme="minorHAnsi" w:hAnsiTheme="minorHAnsi"/>
          <w:color w:val="auto"/>
        </w:rPr>
      </w:pPr>
      <w:r w:rsidRPr="00D26C5C">
        <w:rPr>
          <w:rFonts w:asciiTheme="minorHAnsi" w:hAnsiTheme="minorHAnsi"/>
          <w:color w:val="auto"/>
        </w:rPr>
        <w:t>Exhibit C.  Department of Vet</w:t>
      </w:r>
      <w:r w:rsidR="000105AF">
        <w:rPr>
          <w:rFonts w:asciiTheme="minorHAnsi" w:hAnsiTheme="minorHAnsi"/>
          <w:color w:val="auto"/>
        </w:rPr>
        <w:t>erans' Affairs Treatment Record</w:t>
      </w:r>
    </w:p>
    <w:p w:rsidR="00D91DA6" w:rsidRPr="00D26C5C" w:rsidRDefault="00D91DA6" w:rsidP="00190E48">
      <w:pPr>
        <w:tabs>
          <w:tab w:val="left" w:pos="288"/>
          <w:tab w:val="left" w:pos="4752"/>
        </w:tabs>
        <w:spacing w:line="240" w:lineRule="exact"/>
        <w:jc w:val="both"/>
        <w:rPr>
          <w:rFonts w:asciiTheme="minorHAnsi" w:hAnsiTheme="minorHAnsi"/>
          <w:color w:val="auto"/>
        </w:rPr>
      </w:pPr>
    </w:p>
    <w:p w:rsidR="00114F20" w:rsidRPr="00D26C5C" w:rsidRDefault="00114F20" w:rsidP="00190E48">
      <w:pPr>
        <w:tabs>
          <w:tab w:val="left" w:pos="288"/>
          <w:tab w:val="left" w:pos="4752"/>
        </w:tabs>
        <w:spacing w:line="240" w:lineRule="exact"/>
        <w:jc w:val="both"/>
        <w:rPr>
          <w:rFonts w:asciiTheme="minorHAnsi" w:hAnsiTheme="minorHAnsi"/>
          <w:color w:val="auto"/>
        </w:rPr>
      </w:pPr>
    </w:p>
    <w:p w:rsidR="00A94633" w:rsidRPr="00D26C5C" w:rsidRDefault="00A94633" w:rsidP="00A94633">
      <w:pPr>
        <w:tabs>
          <w:tab w:val="left" w:pos="0"/>
          <w:tab w:val="left" w:pos="4320"/>
        </w:tabs>
        <w:spacing w:line="240" w:lineRule="exact"/>
        <w:jc w:val="both"/>
        <w:rPr>
          <w:rFonts w:asciiTheme="minorHAnsi" w:hAnsiTheme="minorHAnsi"/>
          <w:color w:val="auto"/>
        </w:rPr>
      </w:pPr>
      <w:r w:rsidRPr="00D26C5C">
        <w:rPr>
          <w:rFonts w:asciiTheme="minorHAnsi" w:hAnsiTheme="minorHAnsi"/>
          <w:color w:val="auto"/>
        </w:rPr>
        <w:tab/>
      </w:r>
      <w:r w:rsidRPr="00D26C5C">
        <w:rPr>
          <w:rFonts w:asciiTheme="minorHAnsi" w:hAnsiTheme="minorHAnsi"/>
          <w:color w:val="auto"/>
        </w:rPr>
        <w:tab/>
        <w:t>President</w:t>
      </w:r>
    </w:p>
    <w:p w:rsidR="000F3863" w:rsidRDefault="00A94633" w:rsidP="00A94633">
      <w:pPr>
        <w:tabs>
          <w:tab w:val="left" w:pos="0"/>
          <w:tab w:val="left" w:pos="4320"/>
        </w:tabs>
        <w:spacing w:line="240" w:lineRule="exact"/>
        <w:jc w:val="both"/>
        <w:rPr>
          <w:rFonts w:asciiTheme="minorHAnsi" w:hAnsiTheme="minorHAnsi"/>
          <w:color w:val="auto"/>
        </w:rPr>
      </w:pPr>
      <w:r w:rsidRPr="00D26C5C">
        <w:rPr>
          <w:rFonts w:asciiTheme="minorHAnsi" w:hAnsiTheme="minorHAnsi"/>
          <w:color w:val="auto"/>
        </w:rPr>
        <w:tab/>
      </w:r>
      <w:r w:rsidRPr="00D26C5C">
        <w:rPr>
          <w:rFonts w:asciiTheme="minorHAnsi" w:hAnsiTheme="minorHAnsi"/>
          <w:color w:val="auto"/>
        </w:rPr>
        <w:tab/>
        <w:t>Physical Disability Board of Review</w:t>
      </w:r>
    </w:p>
    <w:p w:rsidR="000F3863" w:rsidRDefault="000F3863">
      <w:pPr>
        <w:rPr>
          <w:rFonts w:asciiTheme="minorHAnsi" w:hAnsiTheme="minorHAnsi"/>
          <w:color w:val="auto"/>
        </w:rPr>
      </w:pPr>
      <w:r>
        <w:rPr>
          <w:rFonts w:asciiTheme="minorHAnsi" w:hAnsiTheme="minorHAnsi"/>
          <w:color w:val="auto"/>
        </w:rPr>
        <w:br w:type="page"/>
      </w:r>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lastRenderedPageBreak/>
        <w:t>MEMORANDUM FOR DEPUTY COMMANDANT, MANPOWER &amp; RESERVE AFFAIRS</w:t>
      </w:r>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ab/>
        <w:t xml:space="preserve">                          </w:t>
      </w:r>
    </w:p>
    <w:p w:rsidR="000F3863" w:rsidRPr="000F3863" w:rsidRDefault="000F3863" w:rsidP="000F3863">
      <w:pPr>
        <w:rPr>
          <w:rFonts w:ascii="Times New Roman" w:hAnsi="Times New Roman"/>
          <w:color w:val="auto"/>
          <w:sz w:val="20"/>
        </w:rPr>
      </w:pPr>
      <w:proofErr w:type="spellStart"/>
      <w:r w:rsidRPr="000F3863">
        <w:rPr>
          <w:rFonts w:ascii="Times New Roman" w:hAnsi="Times New Roman"/>
          <w:color w:val="auto"/>
          <w:sz w:val="20"/>
        </w:rPr>
        <w:t>Subj</w:t>
      </w:r>
      <w:proofErr w:type="spellEnd"/>
      <w:r w:rsidRPr="000F3863">
        <w:rPr>
          <w:rFonts w:ascii="Times New Roman" w:hAnsi="Times New Roman"/>
          <w:color w:val="auto"/>
          <w:sz w:val="20"/>
        </w:rPr>
        <w:t xml:space="preserve">:  PHYSICAL DISABILITY BOARD OF REVIEW (PDBR) RECOMMENDATIONS          </w:t>
      </w:r>
    </w:p>
    <w:p w:rsidR="000F3863" w:rsidRPr="000F3863" w:rsidRDefault="000F3863" w:rsidP="000F3863">
      <w:pPr>
        <w:rPr>
          <w:rFonts w:ascii="Times New Roman" w:hAnsi="Times New Roman"/>
          <w:color w:val="auto"/>
          <w:sz w:val="20"/>
        </w:rPr>
      </w:pPr>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 xml:space="preserve">Ref:   (a) </w:t>
      </w:r>
      <w:proofErr w:type="spellStart"/>
      <w:r w:rsidRPr="000F3863">
        <w:rPr>
          <w:rFonts w:ascii="Times New Roman" w:hAnsi="Times New Roman"/>
          <w:color w:val="auto"/>
          <w:sz w:val="20"/>
        </w:rPr>
        <w:t>DoDI</w:t>
      </w:r>
      <w:proofErr w:type="spellEnd"/>
      <w:r w:rsidRPr="000F3863">
        <w:rPr>
          <w:rFonts w:ascii="Times New Roman" w:hAnsi="Times New Roman"/>
          <w:color w:val="auto"/>
          <w:sz w:val="20"/>
        </w:rPr>
        <w:t xml:space="preserve"> 6040.44</w:t>
      </w:r>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 xml:space="preserve">          (b) PDBR </w:t>
      </w:r>
      <w:proofErr w:type="spellStart"/>
      <w:r w:rsidRPr="000F3863">
        <w:rPr>
          <w:rFonts w:ascii="Times New Roman" w:hAnsi="Times New Roman"/>
          <w:color w:val="auto"/>
          <w:sz w:val="20"/>
        </w:rPr>
        <w:t>ltr</w:t>
      </w:r>
      <w:proofErr w:type="spellEnd"/>
      <w:r w:rsidRPr="000F3863">
        <w:rPr>
          <w:rFonts w:ascii="Times New Roman" w:hAnsi="Times New Roman"/>
          <w:color w:val="auto"/>
          <w:sz w:val="20"/>
        </w:rPr>
        <w:t xml:space="preserve"> </w:t>
      </w:r>
      <w:proofErr w:type="spellStart"/>
      <w:r w:rsidRPr="000F3863">
        <w:rPr>
          <w:rFonts w:ascii="Times New Roman" w:hAnsi="Times New Roman"/>
          <w:color w:val="auto"/>
          <w:sz w:val="20"/>
        </w:rPr>
        <w:t>dtd</w:t>
      </w:r>
      <w:proofErr w:type="spellEnd"/>
      <w:r w:rsidRPr="000F3863">
        <w:rPr>
          <w:rFonts w:ascii="Times New Roman" w:hAnsi="Times New Roman"/>
          <w:color w:val="auto"/>
          <w:sz w:val="20"/>
        </w:rPr>
        <w:t xml:space="preserve"> 8 Nov 11 </w:t>
      </w:r>
      <w:proofErr w:type="gramStart"/>
      <w:r w:rsidRPr="000F3863">
        <w:rPr>
          <w:rFonts w:ascii="Times New Roman" w:hAnsi="Times New Roman"/>
          <w:color w:val="auto"/>
          <w:sz w:val="20"/>
        </w:rPr>
        <w:t xml:space="preserve">ICO </w:t>
      </w:r>
      <w:r>
        <w:rPr>
          <w:rFonts w:ascii="Times New Roman" w:hAnsi="Times New Roman"/>
          <w:color w:val="auto"/>
          <w:sz w:val="20"/>
        </w:rPr>
        <w:t xml:space="preserve"> XXXXXXXX</w:t>
      </w:r>
      <w:proofErr w:type="gramEnd"/>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 xml:space="preserve">          (c) PDBR </w:t>
      </w:r>
      <w:proofErr w:type="spellStart"/>
      <w:r w:rsidRPr="000F3863">
        <w:rPr>
          <w:rFonts w:ascii="Times New Roman" w:hAnsi="Times New Roman"/>
          <w:color w:val="auto"/>
          <w:sz w:val="20"/>
        </w:rPr>
        <w:t>ltr</w:t>
      </w:r>
      <w:proofErr w:type="spellEnd"/>
      <w:r w:rsidRPr="000F3863">
        <w:rPr>
          <w:rFonts w:ascii="Times New Roman" w:hAnsi="Times New Roman"/>
          <w:color w:val="auto"/>
          <w:sz w:val="20"/>
        </w:rPr>
        <w:t xml:space="preserve"> </w:t>
      </w:r>
      <w:proofErr w:type="spellStart"/>
      <w:r w:rsidRPr="000F3863">
        <w:rPr>
          <w:rFonts w:ascii="Times New Roman" w:hAnsi="Times New Roman"/>
          <w:color w:val="auto"/>
          <w:sz w:val="20"/>
        </w:rPr>
        <w:t>dtd</w:t>
      </w:r>
      <w:proofErr w:type="spellEnd"/>
      <w:r w:rsidRPr="000F3863">
        <w:rPr>
          <w:rFonts w:ascii="Times New Roman" w:hAnsi="Times New Roman"/>
          <w:color w:val="auto"/>
          <w:sz w:val="20"/>
        </w:rPr>
        <w:t xml:space="preserve"> 10 Nov 11 </w:t>
      </w:r>
      <w:proofErr w:type="gramStart"/>
      <w:r w:rsidRPr="000F3863">
        <w:rPr>
          <w:rFonts w:ascii="Times New Roman" w:hAnsi="Times New Roman"/>
          <w:color w:val="auto"/>
          <w:sz w:val="20"/>
        </w:rPr>
        <w:t xml:space="preserve">ICO </w:t>
      </w:r>
      <w:r>
        <w:rPr>
          <w:rFonts w:ascii="Times New Roman" w:hAnsi="Times New Roman"/>
          <w:color w:val="auto"/>
          <w:sz w:val="20"/>
        </w:rPr>
        <w:t xml:space="preserve"> XXXXXXXXXX</w:t>
      </w:r>
      <w:proofErr w:type="gramEnd"/>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 xml:space="preserve">          (d) PDBR </w:t>
      </w:r>
      <w:proofErr w:type="spellStart"/>
      <w:r w:rsidRPr="000F3863">
        <w:rPr>
          <w:rFonts w:ascii="Times New Roman" w:hAnsi="Times New Roman"/>
          <w:color w:val="auto"/>
          <w:sz w:val="20"/>
        </w:rPr>
        <w:t>ltr</w:t>
      </w:r>
      <w:proofErr w:type="spellEnd"/>
      <w:r w:rsidRPr="000F3863">
        <w:rPr>
          <w:rFonts w:ascii="Times New Roman" w:hAnsi="Times New Roman"/>
          <w:color w:val="auto"/>
          <w:sz w:val="20"/>
        </w:rPr>
        <w:t xml:space="preserve"> </w:t>
      </w:r>
      <w:proofErr w:type="spellStart"/>
      <w:r w:rsidRPr="000F3863">
        <w:rPr>
          <w:rFonts w:ascii="Times New Roman" w:hAnsi="Times New Roman"/>
          <w:color w:val="auto"/>
          <w:sz w:val="20"/>
        </w:rPr>
        <w:t>dtd</w:t>
      </w:r>
      <w:proofErr w:type="spellEnd"/>
      <w:r w:rsidRPr="000F3863">
        <w:rPr>
          <w:rFonts w:ascii="Times New Roman" w:hAnsi="Times New Roman"/>
          <w:color w:val="auto"/>
          <w:sz w:val="20"/>
        </w:rPr>
        <w:t xml:space="preserve"> 10 Nov 11 ICO </w:t>
      </w:r>
      <w:r>
        <w:rPr>
          <w:rFonts w:ascii="Times New Roman" w:hAnsi="Times New Roman"/>
          <w:color w:val="auto"/>
          <w:sz w:val="20"/>
        </w:rPr>
        <w:t xml:space="preserve"> </w:t>
      </w:r>
      <w:r w:rsidRPr="000F3863">
        <w:rPr>
          <w:rFonts w:ascii="Times New Roman" w:hAnsi="Times New Roman"/>
          <w:color w:val="auto"/>
          <w:sz w:val="20"/>
        </w:rPr>
        <w:t xml:space="preserve"> </w:t>
      </w:r>
      <w:r>
        <w:rPr>
          <w:rFonts w:ascii="Times New Roman" w:hAnsi="Times New Roman"/>
          <w:color w:val="auto"/>
          <w:sz w:val="20"/>
        </w:rPr>
        <w:t>XXXXXXXXXXXXX</w:t>
      </w:r>
    </w:p>
    <w:p w:rsidR="000F3863" w:rsidRPr="000F3863" w:rsidRDefault="000F3863" w:rsidP="000F3863">
      <w:pPr>
        <w:rPr>
          <w:rFonts w:ascii="Times New Roman" w:hAnsi="Times New Roman"/>
          <w:color w:val="auto"/>
          <w:sz w:val="20"/>
        </w:rPr>
      </w:pPr>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1.  Pursuant to reference (a) I approve the recommendations of the Physical Disability Board of Review set forth in references (b) through (d).</w:t>
      </w:r>
    </w:p>
    <w:p w:rsidR="000F3863" w:rsidRPr="000F3863" w:rsidRDefault="000F3863" w:rsidP="000F3863">
      <w:pPr>
        <w:rPr>
          <w:rFonts w:ascii="Times New Roman" w:hAnsi="Times New Roman"/>
          <w:color w:val="auto"/>
          <w:sz w:val="20"/>
        </w:rPr>
      </w:pPr>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2.  The official records of the following individuals are to be corrected to reflect the stated disposition:</w:t>
      </w:r>
    </w:p>
    <w:p w:rsidR="000F3863" w:rsidRPr="000F3863" w:rsidRDefault="000F3863" w:rsidP="000F3863">
      <w:pPr>
        <w:rPr>
          <w:rFonts w:ascii="Times New Roman" w:hAnsi="Times New Roman"/>
          <w:color w:val="auto"/>
          <w:sz w:val="20"/>
        </w:rPr>
      </w:pPr>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 xml:space="preserve">     a.  </w:t>
      </w:r>
      <w:r>
        <w:rPr>
          <w:rFonts w:ascii="Times New Roman" w:hAnsi="Times New Roman"/>
          <w:color w:val="auto"/>
          <w:sz w:val="20"/>
          <w:u w:val="single"/>
        </w:rPr>
        <w:t xml:space="preserve"> XXXXXXXXX</w:t>
      </w:r>
      <w:r w:rsidRPr="000F3863">
        <w:rPr>
          <w:rFonts w:ascii="Times New Roman" w:hAnsi="Times New Roman"/>
          <w:color w:val="auto"/>
          <w:sz w:val="20"/>
          <w:u w:val="single"/>
        </w:rPr>
        <w:t>1716</w:t>
      </w:r>
      <w:r w:rsidRPr="000F3863">
        <w:rPr>
          <w:rFonts w:ascii="Times New Roman" w:hAnsi="Times New Roman"/>
          <w:color w:val="auto"/>
          <w:sz w:val="20"/>
        </w:rPr>
        <w:t>:  Separation from the Naval Service due to physical disability rated at 20 percent (increased from 10 percent) effective 28 February 2003.</w:t>
      </w:r>
    </w:p>
    <w:p w:rsidR="000F3863" w:rsidRPr="000F3863" w:rsidRDefault="000F3863" w:rsidP="000F3863">
      <w:pPr>
        <w:rPr>
          <w:rFonts w:ascii="Times New Roman" w:hAnsi="Times New Roman"/>
          <w:color w:val="auto"/>
          <w:sz w:val="20"/>
        </w:rPr>
      </w:pPr>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 xml:space="preserve">     b.  </w:t>
      </w:r>
      <w:r>
        <w:rPr>
          <w:rFonts w:ascii="Times New Roman" w:hAnsi="Times New Roman"/>
          <w:color w:val="auto"/>
          <w:sz w:val="20"/>
          <w:u w:val="single"/>
        </w:rPr>
        <w:t xml:space="preserve"> XXXXXXXXXX</w:t>
      </w:r>
      <w:r w:rsidRPr="000F3863">
        <w:rPr>
          <w:rFonts w:ascii="Times New Roman" w:hAnsi="Times New Roman"/>
          <w:color w:val="auto"/>
          <w:sz w:val="20"/>
          <w:u w:val="single"/>
        </w:rPr>
        <w:t>3144</w:t>
      </w:r>
      <w:r w:rsidRPr="000F3863">
        <w:rPr>
          <w:rFonts w:ascii="Times New Roman" w:hAnsi="Times New Roman"/>
          <w:color w:val="auto"/>
          <w:sz w:val="20"/>
        </w:rPr>
        <w:t>:  Correction of records to reflect placement on the Temporary Disability Retired List at 40 percent (increased from 30 percent) with no change to final separation from the Naval Service due to physical disability rated at 10 percent.</w:t>
      </w:r>
    </w:p>
    <w:p w:rsidR="000F3863" w:rsidRPr="000F3863" w:rsidRDefault="000F3863" w:rsidP="000F3863">
      <w:pPr>
        <w:rPr>
          <w:rFonts w:ascii="Times New Roman" w:hAnsi="Times New Roman"/>
          <w:color w:val="auto"/>
          <w:sz w:val="20"/>
        </w:rPr>
      </w:pPr>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 xml:space="preserve">     c.  </w:t>
      </w:r>
      <w:r>
        <w:rPr>
          <w:rFonts w:ascii="Times New Roman" w:hAnsi="Times New Roman"/>
          <w:color w:val="auto"/>
          <w:sz w:val="20"/>
          <w:u w:val="single"/>
        </w:rPr>
        <w:t xml:space="preserve"> </w:t>
      </w:r>
      <w:r w:rsidRPr="000F3863">
        <w:rPr>
          <w:rFonts w:ascii="Times New Roman" w:hAnsi="Times New Roman"/>
          <w:color w:val="auto"/>
          <w:sz w:val="20"/>
          <w:u w:val="single"/>
        </w:rPr>
        <w:t xml:space="preserve"> </w:t>
      </w:r>
      <w:r>
        <w:rPr>
          <w:rFonts w:ascii="Times New Roman" w:hAnsi="Times New Roman"/>
          <w:color w:val="auto"/>
          <w:sz w:val="20"/>
          <w:u w:val="single"/>
        </w:rPr>
        <w:t>XXXXXXXXXXX</w:t>
      </w:r>
      <w:r w:rsidRPr="000F3863">
        <w:rPr>
          <w:rFonts w:ascii="Times New Roman" w:hAnsi="Times New Roman"/>
          <w:color w:val="auto"/>
          <w:sz w:val="20"/>
          <w:u w:val="single"/>
        </w:rPr>
        <w:t>6878</w:t>
      </w:r>
      <w:r w:rsidRPr="000F3863">
        <w:rPr>
          <w:rFonts w:ascii="Times New Roman" w:hAnsi="Times New Roman"/>
          <w:color w:val="auto"/>
          <w:sz w:val="20"/>
        </w:rPr>
        <w:t>: Placement on the Permanent Disability Retired List at 30 percent effective date of discharge (15 July 2002).</w:t>
      </w:r>
    </w:p>
    <w:p w:rsidR="000F3863" w:rsidRPr="000F3863" w:rsidRDefault="000F3863" w:rsidP="000F3863">
      <w:pPr>
        <w:rPr>
          <w:rFonts w:ascii="Times New Roman" w:hAnsi="Times New Roman"/>
          <w:color w:val="auto"/>
          <w:sz w:val="20"/>
        </w:rPr>
      </w:pPr>
    </w:p>
    <w:p w:rsidR="000F3863" w:rsidRPr="000F3863" w:rsidRDefault="000F3863" w:rsidP="000F3863">
      <w:pPr>
        <w:rPr>
          <w:rFonts w:ascii="Times New Roman" w:hAnsi="Times New Roman"/>
          <w:color w:val="auto"/>
          <w:sz w:val="20"/>
        </w:rPr>
      </w:pPr>
      <w:r w:rsidRPr="000F3863">
        <w:rPr>
          <w:rFonts w:ascii="Times New Roman" w:hAnsi="Times New Roman"/>
          <w:color w:val="auto"/>
          <w:sz w:val="20"/>
        </w:rPr>
        <w:t>3.  Please ensure all necessary actions are taken to implement these decisions and the subject members are notified once those actions are completed.</w:t>
      </w:r>
    </w:p>
    <w:p w:rsidR="000F3863" w:rsidRPr="000F3863" w:rsidRDefault="000F3863" w:rsidP="000F3863">
      <w:pPr>
        <w:rPr>
          <w:rFonts w:ascii="Times New Roman" w:hAnsi="Times New Roman"/>
          <w:color w:val="auto"/>
          <w:sz w:val="20"/>
        </w:rPr>
      </w:pPr>
    </w:p>
    <w:p w:rsidR="000F3863" w:rsidRPr="000F3863" w:rsidRDefault="000F3863" w:rsidP="000F3863">
      <w:pPr>
        <w:rPr>
          <w:rFonts w:ascii="Times New Roman" w:hAnsi="Times New Roman"/>
          <w:color w:val="auto"/>
          <w:sz w:val="20"/>
        </w:rPr>
      </w:pPr>
    </w:p>
    <w:p w:rsidR="000F3863" w:rsidRPr="000F3863" w:rsidRDefault="000F3863" w:rsidP="000F3863">
      <w:pPr>
        <w:tabs>
          <w:tab w:val="left" w:pos="4680"/>
        </w:tabs>
        <w:rPr>
          <w:rFonts w:ascii="Times New Roman" w:hAnsi="Times New Roman"/>
          <w:color w:val="auto"/>
          <w:sz w:val="20"/>
        </w:rPr>
      </w:pPr>
      <w:r>
        <w:rPr>
          <w:rFonts w:ascii="Times New Roman" w:hAnsi="Times New Roman"/>
          <w:color w:val="auto"/>
          <w:sz w:val="20"/>
        </w:rPr>
        <w:t xml:space="preserve"> </w:t>
      </w:r>
    </w:p>
    <w:p w:rsidR="000F3863" w:rsidRPr="000F3863" w:rsidRDefault="000F3863" w:rsidP="000F3863">
      <w:pPr>
        <w:tabs>
          <w:tab w:val="left" w:pos="4680"/>
        </w:tabs>
        <w:rPr>
          <w:rFonts w:ascii="Times New Roman" w:hAnsi="Times New Roman"/>
          <w:color w:val="auto"/>
          <w:sz w:val="20"/>
        </w:rPr>
      </w:pPr>
      <w:r w:rsidRPr="000F3863">
        <w:rPr>
          <w:rFonts w:ascii="Times New Roman" w:hAnsi="Times New Roman"/>
          <w:color w:val="auto"/>
          <w:sz w:val="20"/>
        </w:rPr>
        <w:tab/>
        <w:t>Assistant General Counsel</w:t>
      </w:r>
    </w:p>
    <w:p w:rsidR="000F3863" w:rsidRPr="000F3863" w:rsidRDefault="000F3863" w:rsidP="000F3863">
      <w:pPr>
        <w:tabs>
          <w:tab w:val="left" w:pos="4680"/>
        </w:tabs>
        <w:rPr>
          <w:rFonts w:ascii="Times New Roman" w:hAnsi="Times New Roman"/>
          <w:color w:val="auto"/>
          <w:sz w:val="20"/>
        </w:rPr>
      </w:pPr>
      <w:r w:rsidRPr="000F3863">
        <w:rPr>
          <w:rFonts w:ascii="Times New Roman" w:hAnsi="Times New Roman"/>
          <w:color w:val="auto"/>
          <w:sz w:val="20"/>
        </w:rPr>
        <w:tab/>
        <w:t xml:space="preserve">  (Manpower &amp; Reserve Affairs)</w:t>
      </w:r>
    </w:p>
    <w:p w:rsidR="00A94633" w:rsidRPr="00D26C5C" w:rsidRDefault="00A94633" w:rsidP="00A94633">
      <w:pPr>
        <w:tabs>
          <w:tab w:val="left" w:pos="0"/>
          <w:tab w:val="left" w:pos="4320"/>
        </w:tabs>
        <w:spacing w:line="240" w:lineRule="exact"/>
        <w:jc w:val="both"/>
        <w:rPr>
          <w:rFonts w:asciiTheme="minorHAnsi" w:hAnsiTheme="minorHAnsi"/>
          <w:color w:val="auto"/>
        </w:rPr>
      </w:pPr>
    </w:p>
    <w:p w:rsidR="00566712" w:rsidRPr="00D26C5C" w:rsidRDefault="00566712" w:rsidP="00566712">
      <w:pPr>
        <w:tabs>
          <w:tab w:val="left" w:pos="720"/>
          <w:tab w:val="left" w:pos="1080"/>
          <w:tab w:val="left" w:pos="1340"/>
          <w:tab w:val="left" w:pos="1620"/>
          <w:tab w:val="right" w:leader="dot" w:pos="9180"/>
        </w:tabs>
        <w:ind w:right="288"/>
        <w:rPr>
          <w:rFonts w:asciiTheme="minorHAnsi" w:hAnsiTheme="minorHAnsi" w:cstheme="minorHAnsi"/>
          <w:color w:val="auto"/>
          <w:sz w:val="18"/>
          <w:szCs w:val="18"/>
        </w:rPr>
      </w:pPr>
    </w:p>
    <w:sectPr w:rsidR="00566712" w:rsidRPr="00D26C5C"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78" w:rsidRDefault="00303D78">
      <w:r>
        <w:separator/>
      </w:r>
    </w:p>
  </w:endnote>
  <w:endnote w:type="continuationSeparator" w:id="0">
    <w:p w:rsidR="00303D78" w:rsidRDefault="00303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8C" w:rsidRDefault="00480735">
    <w:pPr>
      <w:pStyle w:val="Footer"/>
      <w:framePr w:wrap="around" w:vAnchor="text" w:hAnchor="margin" w:xAlign="center" w:y="1"/>
      <w:rPr>
        <w:rStyle w:val="PageNumber"/>
      </w:rPr>
    </w:pPr>
    <w:r>
      <w:rPr>
        <w:rStyle w:val="PageNumber"/>
      </w:rPr>
      <w:fldChar w:fldCharType="begin"/>
    </w:r>
    <w:r w:rsidR="00B1768C">
      <w:rPr>
        <w:rStyle w:val="PageNumber"/>
      </w:rPr>
      <w:instrText xml:space="preserve">PAGE  </w:instrText>
    </w:r>
    <w:r>
      <w:rPr>
        <w:rStyle w:val="PageNumber"/>
      </w:rPr>
      <w:fldChar w:fldCharType="separate"/>
    </w:r>
    <w:r w:rsidR="00B1768C">
      <w:rPr>
        <w:rStyle w:val="PageNumber"/>
        <w:noProof/>
      </w:rPr>
      <w:t>2</w:t>
    </w:r>
    <w:r>
      <w:rPr>
        <w:rStyle w:val="PageNumber"/>
      </w:rPr>
      <w:fldChar w:fldCharType="end"/>
    </w:r>
  </w:p>
  <w:p w:rsidR="00B1768C" w:rsidRDefault="00B1768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8C" w:rsidRPr="00AC713F" w:rsidRDefault="0048073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1768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F3863">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B1768C" w:rsidRPr="00396779" w:rsidRDefault="00B1768C"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1001121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78" w:rsidRDefault="00303D78">
      <w:r>
        <w:separator/>
      </w:r>
    </w:p>
  </w:footnote>
  <w:footnote w:type="continuationSeparator" w:id="0">
    <w:p w:rsidR="00303D78" w:rsidRDefault="00303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418"/>
  </w:hdrShapeDefaults>
  <w:footnotePr>
    <w:numRestart w:val="eachSect"/>
    <w:footnote w:id="-1"/>
    <w:footnote w:id="0"/>
  </w:footnotePr>
  <w:endnotePr>
    <w:endnote w:id="-1"/>
    <w:endnote w:id="0"/>
  </w:endnotePr>
  <w:compat/>
  <w:rsids>
    <w:rsidRoot w:val="001C28D1"/>
    <w:rsid w:val="000043D3"/>
    <w:rsid w:val="000059FA"/>
    <w:rsid w:val="00006186"/>
    <w:rsid w:val="00006F87"/>
    <w:rsid w:val="000105AF"/>
    <w:rsid w:val="00010ABA"/>
    <w:rsid w:val="00012428"/>
    <w:rsid w:val="00013417"/>
    <w:rsid w:val="000145C2"/>
    <w:rsid w:val="0001473F"/>
    <w:rsid w:val="00014A9E"/>
    <w:rsid w:val="00021361"/>
    <w:rsid w:val="00022CF3"/>
    <w:rsid w:val="00023913"/>
    <w:rsid w:val="00023D43"/>
    <w:rsid w:val="0002488E"/>
    <w:rsid w:val="00032E07"/>
    <w:rsid w:val="000332CA"/>
    <w:rsid w:val="0003374E"/>
    <w:rsid w:val="000344E6"/>
    <w:rsid w:val="00035C3A"/>
    <w:rsid w:val="00036E4B"/>
    <w:rsid w:val="000379D0"/>
    <w:rsid w:val="00040F1B"/>
    <w:rsid w:val="00040FC4"/>
    <w:rsid w:val="000416F8"/>
    <w:rsid w:val="00042C26"/>
    <w:rsid w:val="00043382"/>
    <w:rsid w:val="00044623"/>
    <w:rsid w:val="00051622"/>
    <w:rsid w:val="00052234"/>
    <w:rsid w:val="00053CEA"/>
    <w:rsid w:val="00053D7C"/>
    <w:rsid w:val="00054703"/>
    <w:rsid w:val="00054EB5"/>
    <w:rsid w:val="000577C9"/>
    <w:rsid w:val="00061B90"/>
    <w:rsid w:val="00063BF6"/>
    <w:rsid w:val="0006431E"/>
    <w:rsid w:val="000654CC"/>
    <w:rsid w:val="00065E21"/>
    <w:rsid w:val="00072433"/>
    <w:rsid w:val="00073E2F"/>
    <w:rsid w:val="00075702"/>
    <w:rsid w:val="000775C2"/>
    <w:rsid w:val="000806AD"/>
    <w:rsid w:val="00082482"/>
    <w:rsid w:val="0008708B"/>
    <w:rsid w:val="00092619"/>
    <w:rsid w:val="00092C66"/>
    <w:rsid w:val="00094E4F"/>
    <w:rsid w:val="000A2BCE"/>
    <w:rsid w:val="000A41E3"/>
    <w:rsid w:val="000A4BBA"/>
    <w:rsid w:val="000A5071"/>
    <w:rsid w:val="000B4C99"/>
    <w:rsid w:val="000B6BFC"/>
    <w:rsid w:val="000C035C"/>
    <w:rsid w:val="000C06F6"/>
    <w:rsid w:val="000C1D34"/>
    <w:rsid w:val="000C2362"/>
    <w:rsid w:val="000C3C13"/>
    <w:rsid w:val="000C53F9"/>
    <w:rsid w:val="000C5813"/>
    <w:rsid w:val="000C75CF"/>
    <w:rsid w:val="000C7B83"/>
    <w:rsid w:val="000C7DE4"/>
    <w:rsid w:val="000D15E7"/>
    <w:rsid w:val="000D1A24"/>
    <w:rsid w:val="000D21C7"/>
    <w:rsid w:val="000D248A"/>
    <w:rsid w:val="000D2BA9"/>
    <w:rsid w:val="000D35D8"/>
    <w:rsid w:val="000D43F9"/>
    <w:rsid w:val="000D4717"/>
    <w:rsid w:val="000D6457"/>
    <w:rsid w:val="000D7D55"/>
    <w:rsid w:val="000E0993"/>
    <w:rsid w:val="000E37E0"/>
    <w:rsid w:val="000E7034"/>
    <w:rsid w:val="000F02BE"/>
    <w:rsid w:val="000F0D86"/>
    <w:rsid w:val="000F3863"/>
    <w:rsid w:val="000F427B"/>
    <w:rsid w:val="000F5CA2"/>
    <w:rsid w:val="000F7181"/>
    <w:rsid w:val="001008C1"/>
    <w:rsid w:val="00101155"/>
    <w:rsid w:val="001023DB"/>
    <w:rsid w:val="00103CCF"/>
    <w:rsid w:val="0010417F"/>
    <w:rsid w:val="001042D2"/>
    <w:rsid w:val="0010530E"/>
    <w:rsid w:val="00105C07"/>
    <w:rsid w:val="00106AD8"/>
    <w:rsid w:val="00107EC5"/>
    <w:rsid w:val="001103CD"/>
    <w:rsid w:val="0011483C"/>
    <w:rsid w:val="00114F20"/>
    <w:rsid w:val="001211AF"/>
    <w:rsid w:val="00121337"/>
    <w:rsid w:val="001219DF"/>
    <w:rsid w:val="00122ABE"/>
    <w:rsid w:val="001231DC"/>
    <w:rsid w:val="00123AC6"/>
    <w:rsid w:val="001272AE"/>
    <w:rsid w:val="001315DD"/>
    <w:rsid w:val="00132087"/>
    <w:rsid w:val="0013525F"/>
    <w:rsid w:val="00135385"/>
    <w:rsid w:val="001364D1"/>
    <w:rsid w:val="00142EBA"/>
    <w:rsid w:val="00143B79"/>
    <w:rsid w:val="00147903"/>
    <w:rsid w:val="001501A4"/>
    <w:rsid w:val="00150B8A"/>
    <w:rsid w:val="00150DCB"/>
    <w:rsid w:val="00151912"/>
    <w:rsid w:val="00153740"/>
    <w:rsid w:val="001541C5"/>
    <w:rsid w:val="0015623F"/>
    <w:rsid w:val="00156585"/>
    <w:rsid w:val="00156BA9"/>
    <w:rsid w:val="0016110D"/>
    <w:rsid w:val="00161761"/>
    <w:rsid w:val="00166182"/>
    <w:rsid w:val="00167EF9"/>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B0B1A"/>
    <w:rsid w:val="001B174F"/>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0ABB"/>
    <w:rsid w:val="001E14C0"/>
    <w:rsid w:val="001E15C0"/>
    <w:rsid w:val="001E18E0"/>
    <w:rsid w:val="001E18E2"/>
    <w:rsid w:val="001E19D0"/>
    <w:rsid w:val="001E2A30"/>
    <w:rsid w:val="001E669C"/>
    <w:rsid w:val="00200AA0"/>
    <w:rsid w:val="0020102E"/>
    <w:rsid w:val="00202325"/>
    <w:rsid w:val="00202736"/>
    <w:rsid w:val="00203652"/>
    <w:rsid w:val="00205B4F"/>
    <w:rsid w:val="002060B6"/>
    <w:rsid w:val="002066B5"/>
    <w:rsid w:val="00206E5A"/>
    <w:rsid w:val="002119B6"/>
    <w:rsid w:val="00212B40"/>
    <w:rsid w:val="00213BD0"/>
    <w:rsid w:val="00215ED6"/>
    <w:rsid w:val="00216049"/>
    <w:rsid w:val="00217606"/>
    <w:rsid w:val="00217C09"/>
    <w:rsid w:val="00220F5C"/>
    <w:rsid w:val="00225196"/>
    <w:rsid w:val="002258F0"/>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55B1"/>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3D78"/>
    <w:rsid w:val="0030678B"/>
    <w:rsid w:val="00310CD7"/>
    <w:rsid w:val="0032136A"/>
    <w:rsid w:val="00323E70"/>
    <w:rsid w:val="00325BA2"/>
    <w:rsid w:val="00326C08"/>
    <w:rsid w:val="00326F7F"/>
    <w:rsid w:val="003320E8"/>
    <w:rsid w:val="0033334F"/>
    <w:rsid w:val="0033555E"/>
    <w:rsid w:val="00336805"/>
    <w:rsid w:val="00337351"/>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503A"/>
    <w:rsid w:val="00442043"/>
    <w:rsid w:val="0044384F"/>
    <w:rsid w:val="00444F80"/>
    <w:rsid w:val="00446018"/>
    <w:rsid w:val="004543BC"/>
    <w:rsid w:val="0045645D"/>
    <w:rsid w:val="004574C6"/>
    <w:rsid w:val="00457BCF"/>
    <w:rsid w:val="00457DCE"/>
    <w:rsid w:val="00460E3F"/>
    <w:rsid w:val="00462F68"/>
    <w:rsid w:val="004647E2"/>
    <w:rsid w:val="00466CED"/>
    <w:rsid w:val="00467592"/>
    <w:rsid w:val="00467690"/>
    <w:rsid w:val="004718E7"/>
    <w:rsid w:val="00472535"/>
    <w:rsid w:val="004761CC"/>
    <w:rsid w:val="00480735"/>
    <w:rsid w:val="00480D4A"/>
    <w:rsid w:val="00481DA1"/>
    <w:rsid w:val="00484212"/>
    <w:rsid w:val="0049255F"/>
    <w:rsid w:val="0049445D"/>
    <w:rsid w:val="00495350"/>
    <w:rsid w:val="00496FC4"/>
    <w:rsid w:val="00497156"/>
    <w:rsid w:val="00497FB9"/>
    <w:rsid w:val="004A0C79"/>
    <w:rsid w:val="004A15D1"/>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10588"/>
    <w:rsid w:val="0051146C"/>
    <w:rsid w:val="00511A1F"/>
    <w:rsid w:val="00514449"/>
    <w:rsid w:val="005157BD"/>
    <w:rsid w:val="005166BF"/>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EC5"/>
    <w:rsid w:val="00560D57"/>
    <w:rsid w:val="00562A94"/>
    <w:rsid w:val="005660DA"/>
    <w:rsid w:val="00566712"/>
    <w:rsid w:val="005709F7"/>
    <w:rsid w:val="005710A9"/>
    <w:rsid w:val="00571D1B"/>
    <w:rsid w:val="005738F5"/>
    <w:rsid w:val="0058039C"/>
    <w:rsid w:val="00593043"/>
    <w:rsid w:val="00595BF0"/>
    <w:rsid w:val="005A1846"/>
    <w:rsid w:val="005A258C"/>
    <w:rsid w:val="005A3560"/>
    <w:rsid w:val="005A464E"/>
    <w:rsid w:val="005A56D1"/>
    <w:rsid w:val="005A6C99"/>
    <w:rsid w:val="005A7D5D"/>
    <w:rsid w:val="005B011A"/>
    <w:rsid w:val="005B1D8F"/>
    <w:rsid w:val="005B1E94"/>
    <w:rsid w:val="005B5B3D"/>
    <w:rsid w:val="005B64CF"/>
    <w:rsid w:val="005C16F3"/>
    <w:rsid w:val="005C3758"/>
    <w:rsid w:val="005D756E"/>
    <w:rsid w:val="005E1110"/>
    <w:rsid w:val="005E3064"/>
    <w:rsid w:val="005E72B2"/>
    <w:rsid w:val="005F1115"/>
    <w:rsid w:val="005F1AB6"/>
    <w:rsid w:val="005F27F2"/>
    <w:rsid w:val="005F3AFE"/>
    <w:rsid w:val="005F424D"/>
    <w:rsid w:val="005F5201"/>
    <w:rsid w:val="005F5600"/>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2E90"/>
    <w:rsid w:val="00653D2D"/>
    <w:rsid w:val="006573F2"/>
    <w:rsid w:val="006609AD"/>
    <w:rsid w:val="00662F08"/>
    <w:rsid w:val="00663589"/>
    <w:rsid w:val="006708E3"/>
    <w:rsid w:val="00670DDC"/>
    <w:rsid w:val="00671EB4"/>
    <w:rsid w:val="0067443B"/>
    <w:rsid w:val="00680B2F"/>
    <w:rsid w:val="00684E2B"/>
    <w:rsid w:val="00690FDA"/>
    <w:rsid w:val="00691E61"/>
    <w:rsid w:val="00693C5E"/>
    <w:rsid w:val="00694EEA"/>
    <w:rsid w:val="006955B4"/>
    <w:rsid w:val="00696476"/>
    <w:rsid w:val="006A10FA"/>
    <w:rsid w:val="006A1FF1"/>
    <w:rsid w:val="006A40E6"/>
    <w:rsid w:val="006A5C07"/>
    <w:rsid w:val="006A75FA"/>
    <w:rsid w:val="006B07D5"/>
    <w:rsid w:val="006B1309"/>
    <w:rsid w:val="006B3923"/>
    <w:rsid w:val="006B3F3E"/>
    <w:rsid w:val="006B5923"/>
    <w:rsid w:val="006B642F"/>
    <w:rsid w:val="006B67D9"/>
    <w:rsid w:val="006B6C14"/>
    <w:rsid w:val="006B715E"/>
    <w:rsid w:val="006C0589"/>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70198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0EEC"/>
    <w:rsid w:val="007419A1"/>
    <w:rsid w:val="00743B71"/>
    <w:rsid w:val="00743C2D"/>
    <w:rsid w:val="00743E36"/>
    <w:rsid w:val="007446F7"/>
    <w:rsid w:val="00744EBB"/>
    <w:rsid w:val="00745B0A"/>
    <w:rsid w:val="007468AC"/>
    <w:rsid w:val="00746AE2"/>
    <w:rsid w:val="0075000E"/>
    <w:rsid w:val="00750C82"/>
    <w:rsid w:val="0076100C"/>
    <w:rsid w:val="007612A5"/>
    <w:rsid w:val="00763F95"/>
    <w:rsid w:val="007651ED"/>
    <w:rsid w:val="007658A3"/>
    <w:rsid w:val="00766C87"/>
    <w:rsid w:val="007769C4"/>
    <w:rsid w:val="00781BD4"/>
    <w:rsid w:val="00784832"/>
    <w:rsid w:val="00785D77"/>
    <w:rsid w:val="00786111"/>
    <w:rsid w:val="00791F1E"/>
    <w:rsid w:val="00794F3D"/>
    <w:rsid w:val="00796045"/>
    <w:rsid w:val="00796203"/>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1B43"/>
    <w:rsid w:val="007C433E"/>
    <w:rsid w:val="007C4452"/>
    <w:rsid w:val="007C4B3C"/>
    <w:rsid w:val="007C4DB1"/>
    <w:rsid w:val="007C6046"/>
    <w:rsid w:val="007C743C"/>
    <w:rsid w:val="007D0292"/>
    <w:rsid w:val="007D065E"/>
    <w:rsid w:val="007D21AC"/>
    <w:rsid w:val="007D3882"/>
    <w:rsid w:val="007D49DD"/>
    <w:rsid w:val="007D568A"/>
    <w:rsid w:val="007D574E"/>
    <w:rsid w:val="007D6BFE"/>
    <w:rsid w:val="007E2046"/>
    <w:rsid w:val="007E3883"/>
    <w:rsid w:val="007E4FBB"/>
    <w:rsid w:val="007E55BF"/>
    <w:rsid w:val="007E71B1"/>
    <w:rsid w:val="007E7B4E"/>
    <w:rsid w:val="007E7E09"/>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5FB1"/>
    <w:rsid w:val="00836DE6"/>
    <w:rsid w:val="00837465"/>
    <w:rsid w:val="00841243"/>
    <w:rsid w:val="00841457"/>
    <w:rsid w:val="0084374E"/>
    <w:rsid w:val="00844842"/>
    <w:rsid w:val="00844DD0"/>
    <w:rsid w:val="00847CBE"/>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3AE4"/>
    <w:rsid w:val="00875B51"/>
    <w:rsid w:val="00875F2D"/>
    <w:rsid w:val="008764DC"/>
    <w:rsid w:val="00882CC2"/>
    <w:rsid w:val="00883930"/>
    <w:rsid w:val="00896535"/>
    <w:rsid w:val="00896683"/>
    <w:rsid w:val="0089750B"/>
    <w:rsid w:val="00897589"/>
    <w:rsid w:val="008A48A1"/>
    <w:rsid w:val="008A63A9"/>
    <w:rsid w:val="008A7F7E"/>
    <w:rsid w:val="008B04DB"/>
    <w:rsid w:val="008B27FD"/>
    <w:rsid w:val="008B3AF2"/>
    <w:rsid w:val="008B515D"/>
    <w:rsid w:val="008B5D31"/>
    <w:rsid w:val="008B6705"/>
    <w:rsid w:val="008B6C26"/>
    <w:rsid w:val="008B77C3"/>
    <w:rsid w:val="008B79DB"/>
    <w:rsid w:val="008C22F3"/>
    <w:rsid w:val="008C568C"/>
    <w:rsid w:val="008C7ABD"/>
    <w:rsid w:val="008D795D"/>
    <w:rsid w:val="008D7B07"/>
    <w:rsid w:val="008E11DF"/>
    <w:rsid w:val="008E1E94"/>
    <w:rsid w:val="008E2D99"/>
    <w:rsid w:val="008E4A60"/>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42645"/>
    <w:rsid w:val="00944322"/>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94FFC"/>
    <w:rsid w:val="009A0DE3"/>
    <w:rsid w:val="009A1643"/>
    <w:rsid w:val="009A1916"/>
    <w:rsid w:val="009A215A"/>
    <w:rsid w:val="009A49D3"/>
    <w:rsid w:val="009A4F1B"/>
    <w:rsid w:val="009A66C5"/>
    <w:rsid w:val="009A79BA"/>
    <w:rsid w:val="009B14D1"/>
    <w:rsid w:val="009B1534"/>
    <w:rsid w:val="009B2138"/>
    <w:rsid w:val="009B4963"/>
    <w:rsid w:val="009B4A3B"/>
    <w:rsid w:val="009B69D3"/>
    <w:rsid w:val="009B7BA7"/>
    <w:rsid w:val="009C0938"/>
    <w:rsid w:val="009C0EB4"/>
    <w:rsid w:val="009C22C8"/>
    <w:rsid w:val="009C3F82"/>
    <w:rsid w:val="009C6772"/>
    <w:rsid w:val="009C72DD"/>
    <w:rsid w:val="009C7DF5"/>
    <w:rsid w:val="009D056C"/>
    <w:rsid w:val="009D060F"/>
    <w:rsid w:val="009D08A2"/>
    <w:rsid w:val="009D1ADE"/>
    <w:rsid w:val="009D37CA"/>
    <w:rsid w:val="009E09D0"/>
    <w:rsid w:val="009E1283"/>
    <w:rsid w:val="009E3A7F"/>
    <w:rsid w:val="009E57B1"/>
    <w:rsid w:val="009E5F1C"/>
    <w:rsid w:val="009E6379"/>
    <w:rsid w:val="009F2D1A"/>
    <w:rsid w:val="009F521A"/>
    <w:rsid w:val="009F7809"/>
    <w:rsid w:val="009F7AF5"/>
    <w:rsid w:val="00A00D14"/>
    <w:rsid w:val="00A01408"/>
    <w:rsid w:val="00A02457"/>
    <w:rsid w:val="00A03190"/>
    <w:rsid w:val="00A0404B"/>
    <w:rsid w:val="00A060FB"/>
    <w:rsid w:val="00A07676"/>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24D"/>
    <w:rsid w:val="00A32743"/>
    <w:rsid w:val="00A414A9"/>
    <w:rsid w:val="00A43DE0"/>
    <w:rsid w:val="00A44CCA"/>
    <w:rsid w:val="00A44D75"/>
    <w:rsid w:val="00A47CF1"/>
    <w:rsid w:val="00A50418"/>
    <w:rsid w:val="00A54A47"/>
    <w:rsid w:val="00A56D26"/>
    <w:rsid w:val="00A571A7"/>
    <w:rsid w:val="00A608FB"/>
    <w:rsid w:val="00A60D83"/>
    <w:rsid w:val="00A60F68"/>
    <w:rsid w:val="00A6297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4633"/>
    <w:rsid w:val="00A959E7"/>
    <w:rsid w:val="00A95BBA"/>
    <w:rsid w:val="00A961EE"/>
    <w:rsid w:val="00AA04B3"/>
    <w:rsid w:val="00AA1253"/>
    <w:rsid w:val="00AA1ED0"/>
    <w:rsid w:val="00AA28EF"/>
    <w:rsid w:val="00AA3593"/>
    <w:rsid w:val="00AA38CA"/>
    <w:rsid w:val="00AA493E"/>
    <w:rsid w:val="00AA73AF"/>
    <w:rsid w:val="00AB0A8A"/>
    <w:rsid w:val="00AB1754"/>
    <w:rsid w:val="00AB1C23"/>
    <w:rsid w:val="00AB27DD"/>
    <w:rsid w:val="00AC1831"/>
    <w:rsid w:val="00AC439D"/>
    <w:rsid w:val="00AC713F"/>
    <w:rsid w:val="00AD067E"/>
    <w:rsid w:val="00AD2801"/>
    <w:rsid w:val="00AD6870"/>
    <w:rsid w:val="00AD68C5"/>
    <w:rsid w:val="00AE1273"/>
    <w:rsid w:val="00AE2D29"/>
    <w:rsid w:val="00AE4624"/>
    <w:rsid w:val="00AE53A9"/>
    <w:rsid w:val="00AE5E14"/>
    <w:rsid w:val="00AE6115"/>
    <w:rsid w:val="00AE625B"/>
    <w:rsid w:val="00AF1668"/>
    <w:rsid w:val="00AF3F66"/>
    <w:rsid w:val="00AF4FA5"/>
    <w:rsid w:val="00AF6AAF"/>
    <w:rsid w:val="00B07955"/>
    <w:rsid w:val="00B140B8"/>
    <w:rsid w:val="00B14FAA"/>
    <w:rsid w:val="00B15D30"/>
    <w:rsid w:val="00B1768C"/>
    <w:rsid w:val="00B20624"/>
    <w:rsid w:val="00B23436"/>
    <w:rsid w:val="00B237F1"/>
    <w:rsid w:val="00B26354"/>
    <w:rsid w:val="00B26CA0"/>
    <w:rsid w:val="00B2707F"/>
    <w:rsid w:val="00B32179"/>
    <w:rsid w:val="00B33007"/>
    <w:rsid w:val="00B331A9"/>
    <w:rsid w:val="00B36569"/>
    <w:rsid w:val="00B40A05"/>
    <w:rsid w:val="00B40A3E"/>
    <w:rsid w:val="00B427BB"/>
    <w:rsid w:val="00B449EE"/>
    <w:rsid w:val="00B50227"/>
    <w:rsid w:val="00B50510"/>
    <w:rsid w:val="00B522CD"/>
    <w:rsid w:val="00B55143"/>
    <w:rsid w:val="00B55327"/>
    <w:rsid w:val="00B555C8"/>
    <w:rsid w:val="00B55917"/>
    <w:rsid w:val="00B6123B"/>
    <w:rsid w:val="00B643A6"/>
    <w:rsid w:val="00B64DD6"/>
    <w:rsid w:val="00B6710C"/>
    <w:rsid w:val="00B67E84"/>
    <w:rsid w:val="00B72076"/>
    <w:rsid w:val="00B72303"/>
    <w:rsid w:val="00B72C72"/>
    <w:rsid w:val="00B82277"/>
    <w:rsid w:val="00B86E9A"/>
    <w:rsid w:val="00B91676"/>
    <w:rsid w:val="00B95111"/>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1BB6"/>
    <w:rsid w:val="00BD40AB"/>
    <w:rsid w:val="00BD6297"/>
    <w:rsid w:val="00BD6806"/>
    <w:rsid w:val="00BD7433"/>
    <w:rsid w:val="00BD7831"/>
    <w:rsid w:val="00BD7C10"/>
    <w:rsid w:val="00BE046F"/>
    <w:rsid w:val="00BE0DEB"/>
    <w:rsid w:val="00BE2FC1"/>
    <w:rsid w:val="00BE6365"/>
    <w:rsid w:val="00BF0B7F"/>
    <w:rsid w:val="00BF4720"/>
    <w:rsid w:val="00BF4F49"/>
    <w:rsid w:val="00BF6B7C"/>
    <w:rsid w:val="00BF7B4F"/>
    <w:rsid w:val="00BF7B63"/>
    <w:rsid w:val="00C02C99"/>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3A45"/>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57249"/>
    <w:rsid w:val="00C57BC9"/>
    <w:rsid w:val="00C60F23"/>
    <w:rsid w:val="00C62EB2"/>
    <w:rsid w:val="00C71BEC"/>
    <w:rsid w:val="00C74D3A"/>
    <w:rsid w:val="00C74D5C"/>
    <w:rsid w:val="00C80511"/>
    <w:rsid w:val="00C826F5"/>
    <w:rsid w:val="00C83740"/>
    <w:rsid w:val="00C84AD1"/>
    <w:rsid w:val="00C85579"/>
    <w:rsid w:val="00C85B4E"/>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3F2B"/>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26C5C"/>
    <w:rsid w:val="00D31683"/>
    <w:rsid w:val="00D336C8"/>
    <w:rsid w:val="00D339E8"/>
    <w:rsid w:val="00D3662E"/>
    <w:rsid w:val="00D40B1F"/>
    <w:rsid w:val="00D40D75"/>
    <w:rsid w:val="00D43E49"/>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2E03"/>
    <w:rsid w:val="00DB626D"/>
    <w:rsid w:val="00DB6365"/>
    <w:rsid w:val="00DB76FE"/>
    <w:rsid w:val="00DC0BF1"/>
    <w:rsid w:val="00DC41C3"/>
    <w:rsid w:val="00DC555A"/>
    <w:rsid w:val="00DD07CD"/>
    <w:rsid w:val="00DD286D"/>
    <w:rsid w:val="00DD2CAF"/>
    <w:rsid w:val="00DD3593"/>
    <w:rsid w:val="00DD64E0"/>
    <w:rsid w:val="00DE0C67"/>
    <w:rsid w:val="00DE5A7D"/>
    <w:rsid w:val="00DE6952"/>
    <w:rsid w:val="00DE7E74"/>
    <w:rsid w:val="00DF071B"/>
    <w:rsid w:val="00DF6EF8"/>
    <w:rsid w:val="00E00A69"/>
    <w:rsid w:val="00E017F0"/>
    <w:rsid w:val="00E01A0E"/>
    <w:rsid w:val="00E02794"/>
    <w:rsid w:val="00E041E4"/>
    <w:rsid w:val="00E0492E"/>
    <w:rsid w:val="00E1012B"/>
    <w:rsid w:val="00E103C8"/>
    <w:rsid w:val="00E1085B"/>
    <w:rsid w:val="00E1308B"/>
    <w:rsid w:val="00E14581"/>
    <w:rsid w:val="00E15539"/>
    <w:rsid w:val="00E159D7"/>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0296"/>
    <w:rsid w:val="00E7200B"/>
    <w:rsid w:val="00E738CB"/>
    <w:rsid w:val="00E73C88"/>
    <w:rsid w:val="00E74437"/>
    <w:rsid w:val="00E7443D"/>
    <w:rsid w:val="00E76040"/>
    <w:rsid w:val="00E81C3E"/>
    <w:rsid w:val="00E81F4C"/>
    <w:rsid w:val="00E82B6D"/>
    <w:rsid w:val="00E93564"/>
    <w:rsid w:val="00E93EC1"/>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4951"/>
    <w:rsid w:val="00F1516A"/>
    <w:rsid w:val="00F22A26"/>
    <w:rsid w:val="00F24072"/>
    <w:rsid w:val="00F26432"/>
    <w:rsid w:val="00F27E3B"/>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1C54"/>
    <w:rsid w:val="00F82981"/>
    <w:rsid w:val="00F8311F"/>
    <w:rsid w:val="00F83248"/>
    <w:rsid w:val="00F83376"/>
    <w:rsid w:val="00F853AE"/>
    <w:rsid w:val="00F87CF2"/>
    <w:rsid w:val="00F93C74"/>
    <w:rsid w:val="00F93DCC"/>
    <w:rsid w:val="00F9435D"/>
    <w:rsid w:val="00F97740"/>
    <w:rsid w:val="00FA1987"/>
    <w:rsid w:val="00FA2F7B"/>
    <w:rsid w:val="00FA3C97"/>
    <w:rsid w:val="00FA78C8"/>
    <w:rsid w:val="00FA78D9"/>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2044"/>
    <w:rsid w:val="00FD245F"/>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86254">
      <w:bodyDiv w:val="1"/>
      <w:marLeft w:val="0"/>
      <w:marRight w:val="0"/>
      <w:marTop w:val="0"/>
      <w:marBottom w:val="0"/>
      <w:divBdr>
        <w:top w:val="none" w:sz="0" w:space="0" w:color="auto"/>
        <w:left w:val="none" w:sz="0" w:space="0" w:color="auto"/>
        <w:bottom w:val="none" w:sz="0" w:space="0" w:color="auto"/>
        <w:right w:val="none" w:sz="0" w:space="0" w:color="auto"/>
      </w:divBdr>
    </w:div>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189731140">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477653988">
      <w:bodyDiv w:val="1"/>
      <w:marLeft w:val="0"/>
      <w:marRight w:val="0"/>
      <w:marTop w:val="0"/>
      <w:marBottom w:val="0"/>
      <w:divBdr>
        <w:top w:val="none" w:sz="0" w:space="0" w:color="auto"/>
        <w:left w:val="none" w:sz="0" w:space="0" w:color="auto"/>
        <w:bottom w:val="none" w:sz="0" w:space="0" w:color="auto"/>
        <w:right w:val="none" w:sz="0" w:space="0" w:color="auto"/>
      </w:divBdr>
    </w:div>
    <w:div w:id="484712444">
      <w:bodyDiv w:val="1"/>
      <w:marLeft w:val="0"/>
      <w:marRight w:val="0"/>
      <w:marTop w:val="0"/>
      <w:marBottom w:val="0"/>
      <w:divBdr>
        <w:top w:val="none" w:sz="0" w:space="0" w:color="auto"/>
        <w:left w:val="none" w:sz="0" w:space="0" w:color="auto"/>
        <w:bottom w:val="none" w:sz="0" w:space="0" w:color="auto"/>
        <w:right w:val="none" w:sz="0" w:space="0" w:color="auto"/>
      </w:divBdr>
    </w:div>
    <w:div w:id="487094990">
      <w:bodyDiv w:val="1"/>
      <w:marLeft w:val="0"/>
      <w:marRight w:val="0"/>
      <w:marTop w:val="0"/>
      <w:marBottom w:val="0"/>
      <w:divBdr>
        <w:top w:val="none" w:sz="0" w:space="0" w:color="auto"/>
        <w:left w:val="none" w:sz="0" w:space="0" w:color="auto"/>
        <w:bottom w:val="none" w:sz="0" w:space="0" w:color="auto"/>
        <w:right w:val="none" w:sz="0" w:space="0" w:color="auto"/>
      </w:divBdr>
    </w:div>
    <w:div w:id="50798506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85935578">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336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DC74-8AC5-4431-A7F1-F871E90B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2011-11-04T18:22:00Z</cp:lastPrinted>
  <dcterms:created xsi:type="dcterms:W3CDTF">2011-11-02T21:45:00Z</dcterms:created>
  <dcterms:modified xsi:type="dcterms:W3CDTF">2012-05-23T17:01:00Z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