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F82C91" w:rsidRDefault="00F82C91" w:rsidP="00F82C91">
      <w:pPr>
        <w:tabs>
          <w:tab w:val="left" w:pos="288"/>
          <w:tab w:val="left" w:pos="4680"/>
          <w:tab w:val="left" w:pos="6300"/>
        </w:tabs>
        <w:ind w:right="-1260"/>
        <w:jc w:val="both"/>
        <w:rPr>
          <w:rFonts w:asciiTheme="minorHAnsi" w:hAnsiTheme="minorHAnsi"/>
          <w:caps/>
          <w:color w:val="auto"/>
        </w:rPr>
      </w:pPr>
      <w:r>
        <w:rPr>
          <w:rFonts w:asciiTheme="minorHAnsi" w:hAnsiTheme="minorHAnsi"/>
          <w:caps/>
          <w:color w:val="auto"/>
        </w:rPr>
        <w:t>NAME</w:t>
      </w:r>
      <w:proofErr w:type="gramStart"/>
      <w:r>
        <w:rPr>
          <w:rFonts w:asciiTheme="minorHAnsi" w:hAnsiTheme="minorHAnsi"/>
          <w:caps/>
          <w:color w:val="auto"/>
        </w:rPr>
        <w:t xml:space="preserve">: </w:t>
      </w:r>
      <w:r w:rsidR="00C63E98">
        <w:rPr>
          <w:rFonts w:asciiTheme="minorHAnsi" w:hAnsiTheme="minorHAnsi"/>
          <w:caps/>
          <w:color w:val="auto"/>
        </w:rPr>
        <w:t>.</w:t>
      </w:r>
      <w:r>
        <w:rPr>
          <w:rFonts w:asciiTheme="minorHAnsi" w:hAnsiTheme="minorHAnsi"/>
          <w:caps/>
          <w:color w:val="auto"/>
        </w:rPr>
        <w:tab/>
      </w:r>
      <w:proofErr w:type="gramEnd"/>
      <w:r>
        <w:rPr>
          <w:rFonts w:asciiTheme="minorHAnsi" w:hAnsiTheme="minorHAnsi"/>
          <w:caps/>
          <w:color w:val="auto"/>
        </w:rPr>
        <w:t xml:space="preserve">BRANCH OF SERVICE: </w:t>
      </w:r>
      <w:r w:rsidRPr="0070468B">
        <w:rPr>
          <w:rFonts w:asciiTheme="minorHAnsi" w:hAnsiTheme="minorHAnsi"/>
          <w:caps/>
          <w:color w:val="auto"/>
        </w:rPr>
        <w:t>ARMY</w:t>
      </w:r>
      <w:r>
        <w:rPr>
          <w:rFonts w:asciiTheme="minorHAnsi" w:hAnsiTheme="minorHAnsi"/>
          <w:caps/>
          <w:color w:val="auto"/>
        </w:rPr>
        <w:t xml:space="preserve"> </w:t>
      </w:r>
    </w:p>
    <w:p w:rsidR="00DE3AAD" w:rsidRPr="001F29F9" w:rsidRDefault="00F82C91" w:rsidP="00F82C91">
      <w:pPr>
        <w:tabs>
          <w:tab w:val="left" w:pos="288"/>
          <w:tab w:val="left" w:pos="4166"/>
          <w:tab w:val="left" w:pos="4680"/>
          <w:tab w:val="left" w:pos="5130"/>
          <w:tab w:val="left" w:pos="6300"/>
          <w:tab w:val="left" w:pos="9270"/>
        </w:tabs>
        <w:jc w:val="both"/>
        <w:rPr>
          <w:caps/>
          <w:color w:val="000000" w:themeColor="text1"/>
        </w:rPr>
      </w:pPr>
      <w:r>
        <w:rPr>
          <w:rFonts w:asciiTheme="minorHAnsi" w:hAnsiTheme="minorHAnsi"/>
          <w:caps/>
          <w:color w:val="auto"/>
        </w:rPr>
        <w:t>CASE NUMBER: PD1001103</w:t>
      </w:r>
      <w:r w:rsidR="00DE3AAD" w:rsidRPr="001F29F9">
        <w:rPr>
          <w:color w:val="000000" w:themeColor="text1"/>
        </w:rPr>
        <w:tab/>
      </w:r>
      <w:r>
        <w:rPr>
          <w:color w:val="000000" w:themeColor="text1"/>
        </w:rPr>
        <w:tab/>
      </w:r>
      <w:r w:rsidRPr="001F29F9">
        <w:rPr>
          <w:rFonts w:cs="Times New Roman"/>
          <w:color w:val="000000" w:themeColor="text1"/>
          <w:szCs w:val="24"/>
        </w:rPr>
        <w:t xml:space="preserve">DATE OF PLACEMENT ON TDRL:  </w:t>
      </w:r>
      <w:r w:rsidRPr="001F29F9">
        <w:rPr>
          <w:color w:val="000000" w:themeColor="text1"/>
        </w:rPr>
        <w:t>200</w:t>
      </w:r>
      <w:r w:rsidR="00966514">
        <w:rPr>
          <w:color w:val="000000" w:themeColor="text1"/>
        </w:rPr>
        <w:t>50607</w:t>
      </w:r>
      <w:r w:rsidR="00DE3AAD" w:rsidRPr="001F29F9">
        <w:rPr>
          <w:color w:val="000000" w:themeColor="text1"/>
        </w:rPr>
        <w:t xml:space="preserve">        </w:t>
      </w:r>
      <w:r w:rsidR="00E0346A" w:rsidRPr="001F29F9">
        <w:rPr>
          <w:color w:val="000000" w:themeColor="text1"/>
        </w:rPr>
        <w:t xml:space="preserve">                    </w:t>
      </w:r>
    </w:p>
    <w:p w:rsidR="003B2143" w:rsidRPr="001F29F9" w:rsidRDefault="00CE4605" w:rsidP="00713B1A">
      <w:pPr>
        <w:tabs>
          <w:tab w:val="left" w:pos="288"/>
          <w:tab w:val="left" w:pos="4680"/>
        </w:tabs>
        <w:jc w:val="both"/>
        <w:rPr>
          <w:color w:val="000000" w:themeColor="text1"/>
        </w:rPr>
      </w:pPr>
      <w:r>
        <w:rPr>
          <w:caps/>
          <w:color w:val="000000" w:themeColor="text1"/>
        </w:rPr>
        <w:t>BOARD DATE:  2012</w:t>
      </w:r>
      <w:r w:rsidR="00B90559">
        <w:rPr>
          <w:caps/>
          <w:color w:val="000000" w:themeColor="text1"/>
        </w:rPr>
        <w:t>0127</w:t>
      </w:r>
      <w:r w:rsidR="00713B1A">
        <w:rPr>
          <w:caps/>
          <w:color w:val="000000" w:themeColor="text1"/>
        </w:rPr>
        <w:tab/>
      </w:r>
      <w:r w:rsidR="00713B1A" w:rsidRPr="001F29F9">
        <w:rPr>
          <w:rFonts w:cs="Times New Roman"/>
          <w:caps/>
          <w:color w:val="000000" w:themeColor="text1"/>
          <w:szCs w:val="24"/>
        </w:rPr>
        <w:t xml:space="preserve">Date of Permanent </w:t>
      </w:r>
      <w:r w:rsidR="00713B1A" w:rsidRPr="001F29F9">
        <w:rPr>
          <w:rFonts w:cs="Times New Roman"/>
          <w:color w:val="000000" w:themeColor="text1"/>
          <w:szCs w:val="24"/>
        </w:rPr>
        <w:t xml:space="preserve">SEPARATION:  </w:t>
      </w:r>
      <w:r w:rsidR="00713B1A" w:rsidRPr="001F29F9">
        <w:rPr>
          <w:color w:val="000000" w:themeColor="text1"/>
        </w:rPr>
        <w:t>200</w:t>
      </w:r>
      <w:r w:rsidR="00D66D97">
        <w:rPr>
          <w:color w:val="000000" w:themeColor="text1"/>
        </w:rPr>
        <w:t>70227</w:t>
      </w:r>
    </w:p>
    <w:p w:rsidR="00713B1A" w:rsidRDefault="00713B1A" w:rsidP="00713B1A">
      <w:pPr>
        <w:pBdr>
          <w:bottom w:val="single" w:sz="12" w:space="1" w:color="auto"/>
        </w:pBdr>
        <w:tabs>
          <w:tab w:val="left" w:pos="288"/>
          <w:tab w:val="left" w:pos="4752"/>
        </w:tabs>
        <w:jc w:val="both"/>
        <w:rPr>
          <w:rFonts w:asciiTheme="minorHAnsi" w:hAnsiTheme="minorHAnsi"/>
          <w:color w:val="auto"/>
          <w:u w:val="single"/>
        </w:rPr>
      </w:pPr>
    </w:p>
    <w:p w:rsidR="003F1206" w:rsidRPr="001F29F9" w:rsidRDefault="003F1206" w:rsidP="00BF0E94">
      <w:pPr>
        <w:tabs>
          <w:tab w:val="left" w:pos="288"/>
          <w:tab w:val="left" w:pos="4752"/>
        </w:tabs>
        <w:jc w:val="both"/>
        <w:rPr>
          <w:color w:val="000000" w:themeColor="text1"/>
        </w:rPr>
      </w:pPr>
    </w:p>
    <w:p w:rsidR="002F66BA" w:rsidRPr="00C472C7" w:rsidRDefault="00FB0E80" w:rsidP="002F66BA">
      <w:pPr>
        <w:tabs>
          <w:tab w:val="left" w:pos="288"/>
          <w:tab w:val="left" w:pos="4752"/>
        </w:tabs>
        <w:jc w:val="both"/>
        <w:rPr>
          <w:rFonts w:asciiTheme="minorHAnsi" w:hAnsiTheme="minorHAnsi"/>
          <w:color w:val="auto"/>
          <w:szCs w:val="24"/>
        </w:rPr>
      </w:pPr>
      <w:r w:rsidRPr="001F29F9">
        <w:rPr>
          <w:color w:val="000000" w:themeColor="text1"/>
          <w:u w:val="single"/>
        </w:rPr>
        <w:t>SUMMARY OF CASE</w:t>
      </w:r>
      <w:r w:rsidRPr="001F29F9">
        <w:rPr>
          <w:color w:val="000000" w:themeColor="text1"/>
        </w:rPr>
        <w:t xml:space="preserve">:  </w:t>
      </w:r>
      <w:r w:rsidR="00966514" w:rsidRPr="00FF0EFB">
        <w:rPr>
          <w:rFonts w:asciiTheme="minorHAnsi" w:hAnsiTheme="minorHAnsi"/>
          <w:color w:val="auto"/>
          <w:szCs w:val="24"/>
        </w:rPr>
        <w:t xml:space="preserve">Data extracted from the available evidence of record reflects that this covered individual (CI) </w:t>
      </w:r>
      <w:r w:rsidR="00966514" w:rsidRPr="00396779">
        <w:rPr>
          <w:rFonts w:asciiTheme="minorHAnsi" w:hAnsiTheme="minorHAnsi"/>
          <w:color w:val="auto"/>
          <w:szCs w:val="24"/>
        </w:rPr>
        <w:t xml:space="preserve">was an </w:t>
      </w:r>
      <w:r w:rsidR="00966514" w:rsidRPr="00B51AF0">
        <w:rPr>
          <w:rFonts w:asciiTheme="minorHAnsi" w:hAnsiTheme="minorHAnsi"/>
          <w:color w:val="auto"/>
          <w:szCs w:val="24"/>
        </w:rPr>
        <w:t xml:space="preserve">active duty </w:t>
      </w:r>
      <w:r w:rsidR="00966514">
        <w:rPr>
          <w:rFonts w:asciiTheme="minorHAnsi" w:hAnsiTheme="minorHAnsi"/>
          <w:color w:val="auto"/>
          <w:szCs w:val="24"/>
        </w:rPr>
        <w:t>SSG/E-6 (11B, Infantryman</w:t>
      </w:r>
      <w:r w:rsidR="00966514" w:rsidRPr="00B51AF0">
        <w:rPr>
          <w:rFonts w:asciiTheme="minorHAnsi" w:hAnsiTheme="minorHAnsi"/>
          <w:color w:val="auto"/>
          <w:szCs w:val="24"/>
        </w:rPr>
        <w:t>)</w:t>
      </w:r>
      <w:r w:rsidR="00CE4605">
        <w:rPr>
          <w:rFonts w:asciiTheme="minorHAnsi" w:hAnsiTheme="minorHAnsi"/>
          <w:color w:val="auto"/>
          <w:szCs w:val="24"/>
        </w:rPr>
        <w:t xml:space="preserve"> </w:t>
      </w:r>
      <w:r w:rsidR="00966514" w:rsidRPr="00396779">
        <w:rPr>
          <w:rFonts w:asciiTheme="minorHAnsi" w:hAnsiTheme="minorHAnsi"/>
          <w:color w:val="auto"/>
          <w:szCs w:val="24"/>
        </w:rPr>
        <w:t xml:space="preserve">medically separated </w:t>
      </w:r>
      <w:r w:rsidR="00966514">
        <w:rPr>
          <w:rFonts w:asciiTheme="minorHAnsi" w:hAnsiTheme="minorHAnsi"/>
          <w:color w:val="auto"/>
          <w:szCs w:val="24"/>
        </w:rPr>
        <w:t xml:space="preserve">for </w:t>
      </w:r>
      <w:r w:rsidR="00DC50B7">
        <w:rPr>
          <w:rFonts w:asciiTheme="minorHAnsi" w:hAnsiTheme="minorHAnsi"/>
          <w:color w:val="auto"/>
          <w:szCs w:val="24"/>
        </w:rPr>
        <w:t>post</w:t>
      </w:r>
      <w:r w:rsidR="006852BC">
        <w:rPr>
          <w:rFonts w:asciiTheme="minorHAnsi" w:hAnsiTheme="minorHAnsi"/>
          <w:color w:val="auto"/>
          <w:szCs w:val="24"/>
        </w:rPr>
        <w:t xml:space="preserve">traumatic stress </w:t>
      </w:r>
      <w:r w:rsidR="003E0905">
        <w:rPr>
          <w:rFonts w:asciiTheme="minorHAnsi" w:hAnsiTheme="minorHAnsi"/>
          <w:color w:val="auto"/>
          <w:szCs w:val="24"/>
        </w:rPr>
        <w:t>disorder</w:t>
      </w:r>
      <w:r w:rsidR="006852BC">
        <w:rPr>
          <w:rFonts w:asciiTheme="minorHAnsi" w:hAnsiTheme="minorHAnsi"/>
          <w:color w:val="auto"/>
          <w:szCs w:val="24"/>
        </w:rPr>
        <w:t xml:space="preserve"> (PTSD) and </w:t>
      </w:r>
      <w:r w:rsidR="008643A3">
        <w:rPr>
          <w:rFonts w:asciiTheme="minorHAnsi" w:hAnsiTheme="minorHAnsi"/>
          <w:color w:val="auto"/>
          <w:szCs w:val="24"/>
        </w:rPr>
        <w:t xml:space="preserve">reflex sympathetic dystrophy (RSD) of the right </w:t>
      </w:r>
      <w:r w:rsidR="001B7A7F">
        <w:rPr>
          <w:rFonts w:asciiTheme="minorHAnsi" w:hAnsiTheme="minorHAnsi"/>
          <w:color w:val="auto"/>
          <w:szCs w:val="24"/>
        </w:rPr>
        <w:t xml:space="preserve">(dominant) </w:t>
      </w:r>
      <w:r w:rsidR="008643A3">
        <w:rPr>
          <w:rFonts w:asciiTheme="minorHAnsi" w:hAnsiTheme="minorHAnsi"/>
          <w:color w:val="auto"/>
          <w:szCs w:val="24"/>
        </w:rPr>
        <w:t xml:space="preserve">hand.  </w:t>
      </w:r>
      <w:r w:rsidR="002F66BA">
        <w:rPr>
          <w:rFonts w:asciiTheme="minorHAnsi" w:hAnsiTheme="minorHAnsi"/>
          <w:color w:val="auto"/>
          <w:szCs w:val="24"/>
        </w:rPr>
        <w:t xml:space="preserve">The </w:t>
      </w:r>
      <w:r w:rsidR="008643A3">
        <w:rPr>
          <w:rFonts w:asciiTheme="minorHAnsi" w:hAnsiTheme="minorHAnsi"/>
          <w:color w:val="auto"/>
          <w:szCs w:val="24"/>
        </w:rPr>
        <w:t>conditions were sequelae</w:t>
      </w:r>
      <w:r w:rsidR="006B3BC3">
        <w:rPr>
          <w:rFonts w:asciiTheme="minorHAnsi" w:hAnsiTheme="minorHAnsi"/>
          <w:color w:val="auto"/>
          <w:szCs w:val="24"/>
        </w:rPr>
        <w:t xml:space="preserve"> </w:t>
      </w:r>
      <w:r w:rsidR="002F66BA">
        <w:rPr>
          <w:rFonts w:asciiTheme="minorHAnsi" w:hAnsiTheme="minorHAnsi"/>
          <w:color w:val="auto"/>
          <w:szCs w:val="24"/>
        </w:rPr>
        <w:t xml:space="preserve">of trauma </w:t>
      </w:r>
      <w:r w:rsidR="008643A3">
        <w:rPr>
          <w:rFonts w:asciiTheme="minorHAnsi" w:hAnsiTheme="minorHAnsi"/>
          <w:color w:val="auto"/>
          <w:szCs w:val="24"/>
        </w:rPr>
        <w:t xml:space="preserve">sustained while deployed to Iraq in </w:t>
      </w:r>
      <w:r w:rsidR="008643A3" w:rsidRPr="008643A3">
        <w:rPr>
          <w:rFonts w:asciiTheme="minorHAnsi" w:hAnsiTheme="minorHAnsi"/>
          <w:color w:val="auto"/>
          <w:szCs w:val="24"/>
        </w:rPr>
        <w:t xml:space="preserve">2004.  </w:t>
      </w:r>
      <w:r w:rsidR="000A6509">
        <w:rPr>
          <w:rFonts w:asciiTheme="minorHAnsi" w:hAnsiTheme="minorHAnsi"/>
          <w:color w:val="auto"/>
          <w:szCs w:val="24"/>
        </w:rPr>
        <w:t xml:space="preserve">The </w:t>
      </w:r>
      <w:r w:rsidR="000A6509" w:rsidRPr="00CA70CA">
        <w:rPr>
          <w:rFonts w:asciiTheme="minorHAnsi" w:hAnsiTheme="minorHAnsi"/>
          <w:color w:val="auto"/>
          <w:szCs w:val="24"/>
        </w:rPr>
        <w:t>Diagnostic and Statistical Manual of Mental</w:t>
      </w:r>
      <w:r w:rsidR="000A6509" w:rsidRPr="00017A73">
        <w:rPr>
          <w:rFonts w:asciiTheme="minorHAnsi" w:hAnsiTheme="minorHAnsi"/>
          <w:color w:val="auto"/>
          <w:szCs w:val="24"/>
        </w:rPr>
        <w:t xml:space="preserve"> Disorders (DSM IV) criteria for an Axis I diagnosis of PTSD were met</w:t>
      </w:r>
      <w:r w:rsidR="00CE4605">
        <w:rPr>
          <w:rFonts w:asciiTheme="minorHAnsi" w:hAnsiTheme="minorHAnsi"/>
          <w:color w:val="auto"/>
          <w:szCs w:val="24"/>
        </w:rPr>
        <w:t>,</w:t>
      </w:r>
      <w:r w:rsidR="000A6509">
        <w:rPr>
          <w:rFonts w:asciiTheme="minorHAnsi" w:hAnsiTheme="minorHAnsi"/>
          <w:color w:val="auto"/>
          <w:szCs w:val="24"/>
        </w:rPr>
        <w:t xml:space="preserve"> and specialists in orthopedics</w:t>
      </w:r>
      <w:r w:rsidR="00E0280F">
        <w:rPr>
          <w:rFonts w:asciiTheme="minorHAnsi" w:hAnsiTheme="minorHAnsi"/>
          <w:color w:val="auto"/>
          <w:szCs w:val="24"/>
        </w:rPr>
        <w:t xml:space="preserve"> and </w:t>
      </w:r>
      <w:r w:rsidR="000A6509">
        <w:rPr>
          <w:rFonts w:asciiTheme="minorHAnsi" w:hAnsiTheme="minorHAnsi"/>
          <w:color w:val="auto"/>
          <w:szCs w:val="24"/>
        </w:rPr>
        <w:t>pain management</w:t>
      </w:r>
      <w:r w:rsidR="00E0280F">
        <w:rPr>
          <w:rFonts w:asciiTheme="minorHAnsi" w:hAnsiTheme="minorHAnsi"/>
          <w:color w:val="auto"/>
          <w:szCs w:val="24"/>
        </w:rPr>
        <w:t xml:space="preserve"> </w:t>
      </w:r>
      <w:r w:rsidR="000A6509">
        <w:rPr>
          <w:rFonts w:asciiTheme="minorHAnsi" w:hAnsiTheme="minorHAnsi"/>
          <w:color w:val="auto"/>
          <w:szCs w:val="24"/>
        </w:rPr>
        <w:t xml:space="preserve">concurred with the diagnosis of RSD.  </w:t>
      </w:r>
      <w:r w:rsidR="008643A3">
        <w:rPr>
          <w:rFonts w:asciiTheme="minorHAnsi" w:hAnsiTheme="minorHAnsi"/>
          <w:color w:val="auto"/>
          <w:szCs w:val="24"/>
        </w:rPr>
        <w:t xml:space="preserve">Neither condition </w:t>
      </w:r>
      <w:r w:rsidR="008643A3" w:rsidRPr="001F29F9">
        <w:rPr>
          <w:color w:val="000000" w:themeColor="text1"/>
          <w:szCs w:val="24"/>
        </w:rPr>
        <w:t>respond</w:t>
      </w:r>
      <w:r w:rsidR="008643A3">
        <w:rPr>
          <w:color w:val="000000" w:themeColor="text1"/>
          <w:szCs w:val="24"/>
        </w:rPr>
        <w:t>ed</w:t>
      </w:r>
      <w:r w:rsidR="008643A3" w:rsidRPr="001F29F9">
        <w:rPr>
          <w:color w:val="000000" w:themeColor="text1"/>
          <w:szCs w:val="24"/>
        </w:rPr>
        <w:t xml:space="preserve"> adequately to treatment</w:t>
      </w:r>
      <w:r w:rsidR="008E7966">
        <w:rPr>
          <w:color w:val="000000" w:themeColor="text1"/>
          <w:szCs w:val="24"/>
        </w:rPr>
        <w:t>, and</w:t>
      </w:r>
      <w:r w:rsidR="008643A3" w:rsidRPr="001F29F9">
        <w:rPr>
          <w:color w:val="000000" w:themeColor="text1"/>
          <w:szCs w:val="24"/>
        </w:rPr>
        <w:t xml:space="preserve"> </w:t>
      </w:r>
      <w:r w:rsidR="008643A3">
        <w:rPr>
          <w:color w:val="000000" w:themeColor="text1"/>
          <w:szCs w:val="24"/>
        </w:rPr>
        <w:t xml:space="preserve">the CI </w:t>
      </w:r>
      <w:r w:rsidR="008643A3" w:rsidRPr="001F29F9">
        <w:rPr>
          <w:color w:val="000000" w:themeColor="text1"/>
          <w:szCs w:val="24"/>
        </w:rPr>
        <w:t xml:space="preserve">unable to perform within </w:t>
      </w:r>
      <w:r w:rsidR="008643A3" w:rsidRPr="008643A3">
        <w:rPr>
          <w:color w:val="000000" w:themeColor="text1"/>
          <w:szCs w:val="24"/>
        </w:rPr>
        <w:t xml:space="preserve">his Military Occupational Specialty </w:t>
      </w:r>
      <w:r w:rsidR="00DC50B7">
        <w:rPr>
          <w:color w:val="000000" w:themeColor="text1"/>
          <w:szCs w:val="24"/>
        </w:rPr>
        <w:t xml:space="preserve">(MOS) </w:t>
      </w:r>
      <w:r w:rsidR="008643A3" w:rsidRPr="008643A3">
        <w:rPr>
          <w:color w:val="000000" w:themeColor="text1"/>
          <w:szCs w:val="24"/>
        </w:rPr>
        <w:t>or</w:t>
      </w:r>
      <w:r w:rsidR="008643A3" w:rsidRPr="001F29F9">
        <w:rPr>
          <w:color w:val="000000" w:themeColor="text1"/>
          <w:szCs w:val="24"/>
        </w:rPr>
        <w:t xml:space="preserve"> meet physical fitness standards.  He</w:t>
      </w:r>
      <w:r w:rsidR="008643A3">
        <w:rPr>
          <w:color w:val="000000" w:themeColor="text1"/>
          <w:szCs w:val="24"/>
        </w:rPr>
        <w:t xml:space="preserve"> </w:t>
      </w:r>
      <w:r w:rsidR="008643A3" w:rsidRPr="001F29F9">
        <w:rPr>
          <w:color w:val="000000" w:themeColor="text1"/>
          <w:szCs w:val="24"/>
        </w:rPr>
        <w:t xml:space="preserve">was </w:t>
      </w:r>
      <w:r w:rsidR="008E7966">
        <w:rPr>
          <w:color w:val="000000" w:themeColor="text1"/>
          <w:szCs w:val="24"/>
        </w:rPr>
        <w:t xml:space="preserve">consequently issued permanent U3 and </w:t>
      </w:r>
      <w:r w:rsidR="008643A3" w:rsidRPr="008643A3">
        <w:rPr>
          <w:color w:val="000000" w:themeColor="text1"/>
          <w:szCs w:val="24"/>
        </w:rPr>
        <w:t>S3 profile</w:t>
      </w:r>
      <w:r w:rsidR="008E7966">
        <w:rPr>
          <w:color w:val="000000" w:themeColor="text1"/>
          <w:szCs w:val="24"/>
        </w:rPr>
        <w:t>s,</w:t>
      </w:r>
      <w:r w:rsidR="008643A3" w:rsidRPr="008643A3">
        <w:rPr>
          <w:color w:val="000000" w:themeColor="text1"/>
          <w:szCs w:val="24"/>
        </w:rPr>
        <w:t xml:space="preserve"> and</w:t>
      </w:r>
      <w:r w:rsidR="008643A3" w:rsidRPr="001F29F9">
        <w:rPr>
          <w:color w:val="000000" w:themeColor="text1"/>
          <w:szCs w:val="24"/>
        </w:rPr>
        <w:t xml:space="preserve"> </w:t>
      </w:r>
      <w:r w:rsidR="008E7966">
        <w:rPr>
          <w:color w:val="000000" w:themeColor="text1"/>
          <w:szCs w:val="24"/>
        </w:rPr>
        <w:t>referred for</w:t>
      </w:r>
      <w:r w:rsidR="008643A3" w:rsidRPr="001F29F9">
        <w:rPr>
          <w:color w:val="000000" w:themeColor="text1"/>
          <w:szCs w:val="24"/>
        </w:rPr>
        <w:t xml:space="preserve"> a Medical Evaluation Board (MEB).</w:t>
      </w:r>
      <w:r w:rsidR="008643A3">
        <w:rPr>
          <w:color w:val="000000" w:themeColor="text1"/>
          <w:szCs w:val="24"/>
        </w:rPr>
        <w:t xml:space="preserve">  </w:t>
      </w:r>
      <w:r w:rsidR="00467F6B">
        <w:rPr>
          <w:color w:val="000000" w:themeColor="text1"/>
          <w:szCs w:val="24"/>
        </w:rPr>
        <w:t>PTSD</w:t>
      </w:r>
      <w:r w:rsidR="009D3DF8">
        <w:rPr>
          <w:color w:val="000000" w:themeColor="text1"/>
          <w:szCs w:val="24"/>
        </w:rPr>
        <w:t xml:space="preserve"> and </w:t>
      </w:r>
      <w:r w:rsidR="006B3BC3">
        <w:rPr>
          <w:color w:val="000000" w:themeColor="text1"/>
          <w:szCs w:val="24"/>
        </w:rPr>
        <w:t>ankylosis</w:t>
      </w:r>
      <w:r w:rsidR="002412A8">
        <w:rPr>
          <w:color w:val="000000" w:themeColor="text1"/>
          <w:szCs w:val="24"/>
        </w:rPr>
        <w:t xml:space="preserve"> (frozen joint)</w:t>
      </w:r>
      <w:r w:rsidR="006B3BC3">
        <w:rPr>
          <w:color w:val="000000" w:themeColor="text1"/>
          <w:szCs w:val="24"/>
        </w:rPr>
        <w:t>/</w:t>
      </w:r>
      <w:r w:rsidR="00467F6B">
        <w:rPr>
          <w:color w:val="000000" w:themeColor="text1"/>
          <w:szCs w:val="24"/>
        </w:rPr>
        <w:t>RSD</w:t>
      </w:r>
      <w:r w:rsidR="008E7966">
        <w:rPr>
          <w:color w:val="000000" w:themeColor="text1"/>
          <w:szCs w:val="24"/>
        </w:rPr>
        <w:t xml:space="preserve"> of the right long finger</w:t>
      </w:r>
      <w:r w:rsidR="009D3DF8">
        <w:rPr>
          <w:color w:val="000000" w:themeColor="text1"/>
          <w:szCs w:val="24"/>
        </w:rPr>
        <w:t xml:space="preserve"> </w:t>
      </w:r>
      <w:r w:rsidR="00467F6B">
        <w:rPr>
          <w:color w:val="000000" w:themeColor="text1"/>
          <w:szCs w:val="24"/>
        </w:rPr>
        <w:t>were</w:t>
      </w:r>
      <w:r w:rsidR="00467F6B" w:rsidRPr="00467F6B">
        <w:rPr>
          <w:color w:val="000000" w:themeColor="text1"/>
          <w:szCs w:val="24"/>
        </w:rPr>
        <w:t xml:space="preserve"> </w:t>
      </w:r>
      <w:r w:rsidR="00467F6B" w:rsidRPr="001F29F9">
        <w:rPr>
          <w:color w:val="000000" w:themeColor="text1"/>
          <w:szCs w:val="24"/>
        </w:rPr>
        <w:t xml:space="preserve">forwarded to </w:t>
      </w:r>
      <w:r w:rsidR="00467F6B" w:rsidRPr="002F66BA">
        <w:rPr>
          <w:color w:val="000000" w:themeColor="text1"/>
          <w:szCs w:val="24"/>
        </w:rPr>
        <w:t xml:space="preserve">the </w:t>
      </w:r>
      <w:r w:rsidR="003E0905">
        <w:rPr>
          <w:color w:val="000000" w:themeColor="text1"/>
          <w:szCs w:val="24"/>
        </w:rPr>
        <w:t xml:space="preserve">Informal </w:t>
      </w:r>
      <w:r w:rsidR="00467F6B" w:rsidRPr="002F66BA">
        <w:rPr>
          <w:color w:val="000000" w:themeColor="text1"/>
          <w:szCs w:val="24"/>
        </w:rPr>
        <w:t>Physical Evaluation Board (</w:t>
      </w:r>
      <w:r w:rsidR="003E0905">
        <w:rPr>
          <w:color w:val="000000" w:themeColor="text1"/>
          <w:szCs w:val="24"/>
        </w:rPr>
        <w:t>I</w:t>
      </w:r>
      <w:r w:rsidR="00467F6B" w:rsidRPr="002F66BA">
        <w:rPr>
          <w:color w:val="000000" w:themeColor="text1"/>
          <w:szCs w:val="24"/>
        </w:rPr>
        <w:t xml:space="preserve">PEB) as medically unacceptable </w:t>
      </w:r>
      <w:r w:rsidR="008E7966">
        <w:rPr>
          <w:color w:val="000000" w:themeColor="text1"/>
          <w:szCs w:val="24"/>
        </w:rPr>
        <w:t xml:space="preserve">conditions </w:t>
      </w:r>
      <w:r w:rsidR="00467F6B" w:rsidRPr="002F66BA">
        <w:rPr>
          <w:color w:val="000000" w:themeColor="text1"/>
          <w:szCs w:val="24"/>
        </w:rPr>
        <w:t xml:space="preserve">IAW AR 40-501.  </w:t>
      </w:r>
      <w:r w:rsidR="00966514" w:rsidRPr="002F66BA">
        <w:rPr>
          <w:rFonts w:asciiTheme="minorHAnsi" w:hAnsiTheme="minorHAnsi"/>
          <w:color w:val="auto"/>
          <w:szCs w:val="24"/>
        </w:rPr>
        <w:t xml:space="preserve">No other conditions appeared on the MEB’s submission.  Other conditions included in the NARSUM and </w:t>
      </w:r>
      <w:r w:rsidR="003E0905">
        <w:rPr>
          <w:rFonts w:asciiTheme="minorHAnsi" w:hAnsiTheme="minorHAnsi"/>
          <w:color w:val="auto"/>
          <w:szCs w:val="24"/>
        </w:rPr>
        <w:t>disability Evaluation System (</w:t>
      </w:r>
      <w:r w:rsidR="00966514" w:rsidRPr="002F66BA">
        <w:rPr>
          <w:rFonts w:asciiTheme="minorHAnsi" w:hAnsiTheme="minorHAnsi"/>
          <w:color w:val="auto"/>
          <w:szCs w:val="24"/>
        </w:rPr>
        <w:t>DES</w:t>
      </w:r>
      <w:r w:rsidR="003E0905">
        <w:rPr>
          <w:rFonts w:asciiTheme="minorHAnsi" w:hAnsiTheme="minorHAnsi"/>
          <w:color w:val="auto"/>
          <w:szCs w:val="24"/>
        </w:rPr>
        <w:t>)</w:t>
      </w:r>
      <w:r w:rsidR="00966514" w:rsidRPr="002F66BA">
        <w:rPr>
          <w:rFonts w:asciiTheme="minorHAnsi" w:hAnsiTheme="minorHAnsi"/>
          <w:color w:val="auto"/>
          <w:szCs w:val="24"/>
        </w:rPr>
        <w:t xml:space="preserve"> </w:t>
      </w:r>
      <w:r w:rsidR="008E7966">
        <w:rPr>
          <w:rFonts w:asciiTheme="minorHAnsi" w:hAnsiTheme="minorHAnsi"/>
          <w:color w:val="auto"/>
          <w:szCs w:val="24"/>
        </w:rPr>
        <w:t>file</w:t>
      </w:r>
      <w:r w:rsidR="00966514" w:rsidRPr="002F66BA">
        <w:rPr>
          <w:rFonts w:asciiTheme="minorHAnsi" w:hAnsiTheme="minorHAnsi"/>
          <w:color w:val="auto"/>
          <w:szCs w:val="24"/>
        </w:rPr>
        <w:t xml:space="preserve"> will be discussed below.  The </w:t>
      </w:r>
      <w:r w:rsidR="009D3DF8" w:rsidRPr="002F66BA">
        <w:rPr>
          <w:rFonts w:asciiTheme="minorHAnsi" w:hAnsiTheme="minorHAnsi"/>
          <w:color w:val="auto"/>
          <w:szCs w:val="24"/>
        </w:rPr>
        <w:t xml:space="preserve">IPEB </w:t>
      </w:r>
      <w:r w:rsidR="00966514" w:rsidRPr="002F66BA">
        <w:rPr>
          <w:rFonts w:asciiTheme="minorHAnsi" w:hAnsiTheme="minorHAnsi"/>
          <w:color w:val="auto"/>
          <w:szCs w:val="24"/>
        </w:rPr>
        <w:t xml:space="preserve">adjudicated the PTSD </w:t>
      </w:r>
      <w:r w:rsidR="00467F6B" w:rsidRPr="002F66BA">
        <w:rPr>
          <w:rFonts w:asciiTheme="minorHAnsi" w:hAnsiTheme="minorHAnsi"/>
          <w:color w:val="auto"/>
          <w:szCs w:val="24"/>
        </w:rPr>
        <w:t xml:space="preserve">and </w:t>
      </w:r>
      <w:r w:rsidR="006B3BC3">
        <w:rPr>
          <w:rFonts w:asciiTheme="minorHAnsi" w:hAnsiTheme="minorHAnsi"/>
          <w:color w:val="auto"/>
          <w:szCs w:val="24"/>
        </w:rPr>
        <w:t xml:space="preserve">right </w:t>
      </w:r>
      <w:r w:rsidR="008E7966">
        <w:rPr>
          <w:rFonts w:asciiTheme="minorHAnsi" w:hAnsiTheme="minorHAnsi"/>
          <w:color w:val="auto"/>
          <w:szCs w:val="24"/>
        </w:rPr>
        <w:t>hand</w:t>
      </w:r>
      <w:r w:rsidR="006B3BC3">
        <w:rPr>
          <w:rFonts w:asciiTheme="minorHAnsi" w:hAnsiTheme="minorHAnsi"/>
          <w:color w:val="auto"/>
          <w:szCs w:val="24"/>
        </w:rPr>
        <w:t xml:space="preserve"> c</w:t>
      </w:r>
      <w:r w:rsidR="00966514" w:rsidRPr="002F66BA">
        <w:rPr>
          <w:rFonts w:asciiTheme="minorHAnsi" w:hAnsiTheme="minorHAnsi"/>
          <w:color w:val="auto"/>
          <w:szCs w:val="24"/>
        </w:rPr>
        <w:t>ondition</w:t>
      </w:r>
      <w:r w:rsidR="00467F6B" w:rsidRPr="002F66BA">
        <w:rPr>
          <w:rFonts w:asciiTheme="minorHAnsi" w:hAnsiTheme="minorHAnsi"/>
          <w:color w:val="auto"/>
          <w:szCs w:val="24"/>
        </w:rPr>
        <w:t>s</w:t>
      </w:r>
      <w:r w:rsidR="002327E7" w:rsidRPr="002F66BA">
        <w:rPr>
          <w:rFonts w:asciiTheme="minorHAnsi" w:hAnsiTheme="minorHAnsi"/>
          <w:color w:val="auto"/>
          <w:szCs w:val="24"/>
        </w:rPr>
        <w:t xml:space="preserve"> </w:t>
      </w:r>
      <w:r w:rsidR="00966514" w:rsidRPr="002F66BA">
        <w:rPr>
          <w:rFonts w:asciiTheme="minorHAnsi" w:hAnsiTheme="minorHAnsi"/>
          <w:color w:val="auto"/>
          <w:szCs w:val="24"/>
        </w:rPr>
        <w:t>as unfitting, rated 10% and 10% respectively, with application of Department of Defense Instruction (DoDI) 1332.39</w:t>
      </w:r>
      <w:r w:rsidR="002327E7" w:rsidRPr="002F66BA">
        <w:rPr>
          <w:rFonts w:asciiTheme="minorHAnsi" w:hAnsiTheme="minorHAnsi"/>
          <w:color w:val="auto"/>
          <w:szCs w:val="24"/>
        </w:rPr>
        <w:t xml:space="preserve"> and </w:t>
      </w:r>
      <w:r w:rsidR="008E7966">
        <w:rPr>
          <w:rFonts w:asciiTheme="minorHAnsi" w:hAnsiTheme="minorHAnsi"/>
          <w:color w:val="auto"/>
          <w:szCs w:val="24"/>
        </w:rPr>
        <w:t xml:space="preserve">the </w:t>
      </w:r>
      <w:r w:rsidR="002327E7" w:rsidRPr="002F66BA">
        <w:rPr>
          <w:color w:val="000000" w:themeColor="text1"/>
          <w:szCs w:val="24"/>
        </w:rPr>
        <w:t>Veterans Administration Schedule for Rating Disabilities (VASRD), respectively</w:t>
      </w:r>
      <w:r w:rsidR="00966514" w:rsidRPr="002F66BA">
        <w:rPr>
          <w:rFonts w:asciiTheme="minorHAnsi" w:hAnsiTheme="minorHAnsi"/>
          <w:color w:val="auto"/>
          <w:szCs w:val="24"/>
        </w:rPr>
        <w:t xml:space="preserve">.  </w:t>
      </w:r>
      <w:r w:rsidR="009D3DF8" w:rsidRPr="002F66BA">
        <w:rPr>
          <w:rFonts w:asciiTheme="minorHAnsi" w:hAnsiTheme="minorHAnsi"/>
          <w:color w:val="auto"/>
          <w:szCs w:val="24"/>
        </w:rPr>
        <w:t xml:space="preserve">The CI did not concur with the decision of the IPEB and requested a formal hearing.  </w:t>
      </w:r>
      <w:r w:rsidR="00C15C31" w:rsidRPr="002F66BA">
        <w:rPr>
          <w:rFonts w:asciiTheme="minorHAnsi" w:hAnsiTheme="minorHAnsi"/>
          <w:color w:val="auto"/>
          <w:szCs w:val="24"/>
        </w:rPr>
        <w:t xml:space="preserve">Prior to </w:t>
      </w:r>
      <w:r w:rsidR="00B41C65" w:rsidRPr="002F66BA">
        <w:rPr>
          <w:rFonts w:asciiTheme="minorHAnsi" w:hAnsiTheme="minorHAnsi"/>
          <w:color w:val="auto"/>
          <w:szCs w:val="24"/>
        </w:rPr>
        <w:t xml:space="preserve">convening </w:t>
      </w:r>
      <w:r w:rsidR="00C15C31" w:rsidRPr="002F66BA">
        <w:rPr>
          <w:rFonts w:asciiTheme="minorHAnsi" w:hAnsiTheme="minorHAnsi"/>
          <w:color w:val="auto"/>
          <w:szCs w:val="24"/>
        </w:rPr>
        <w:t xml:space="preserve">the </w:t>
      </w:r>
      <w:r w:rsidR="00BA5EC8">
        <w:rPr>
          <w:rFonts w:asciiTheme="minorHAnsi" w:hAnsiTheme="minorHAnsi"/>
          <w:color w:val="auto"/>
          <w:szCs w:val="24"/>
        </w:rPr>
        <w:t>F</w:t>
      </w:r>
      <w:r w:rsidR="00C15C31" w:rsidRPr="002F66BA">
        <w:rPr>
          <w:rFonts w:asciiTheme="minorHAnsi" w:hAnsiTheme="minorHAnsi"/>
          <w:color w:val="auto"/>
          <w:szCs w:val="24"/>
        </w:rPr>
        <w:t>ormal PEB (FPEB), additional examinations were requested</w:t>
      </w:r>
      <w:r w:rsidR="002F66BA">
        <w:rPr>
          <w:rFonts w:asciiTheme="minorHAnsi" w:hAnsiTheme="minorHAnsi"/>
          <w:color w:val="auto"/>
          <w:szCs w:val="24"/>
        </w:rPr>
        <w:t>; and</w:t>
      </w:r>
      <w:r w:rsidR="008E7966">
        <w:rPr>
          <w:rFonts w:asciiTheme="minorHAnsi" w:hAnsiTheme="minorHAnsi"/>
          <w:color w:val="auto"/>
          <w:szCs w:val="24"/>
        </w:rPr>
        <w:t>,</w:t>
      </w:r>
      <w:r w:rsidR="002F66BA">
        <w:rPr>
          <w:rFonts w:asciiTheme="minorHAnsi" w:hAnsiTheme="minorHAnsi"/>
          <w:color w:val="auto"/>
          <w:szCs w:val="24"/>
        </w:rPr>
        <w:t xml:space="preserve"> a</w:t>
      </w:r>
      <w:r w:rsidR="00C15C31" w:rsidRPr="002F66BA">
        <w:rPr>
          <w:rFonts w:asciiTheme="minorHAnsi" w:hAnsiTheme="minorHAnsi"/>
          <w:color w:val="auto"/>
          <w:szCs w:val="24"/>
        </w:rPr>
        <w:t>s a result</w:t>
      </w:r>
      <w:r w:rsidR="002F66BA">
        <w:rPr>
          <w:rFonts w:asciiTheme="minorHAnsi" w:hAnsiTheme="minorHAnsi"/>
          <w:color w:val="auto"/>
          <w:szCs w:val="24"/>
        </w:rPr>
        <w:t xml:space="preserve">, </w:t>
      </w:r>
      <w:r w:rsidR="00B41C65" w:rsidRPr="002F66BA">
        <w:rPr>
          <w:rFonts w:asciiTheme="minorHAnsi" w:hAnsiTheme="minorHAnsi"/>
          <w:color w:val="auto"/>
          <w:szCs w:val="24"/>
        </w:rPr>
        <w:t>the MEB’s DA</w:t>
      </w:r>
      <w:r w:rsidR="003E0905">
        <w:rPr>
          <w:rFonts w:asciiTheme="minorHAnsi" w:hAnsiTheme="minorHAnsi"/>
          <w:color w:val="auto"/>
          <w:szCs w:val="24"/>
        </w:rPr>
        <w:t> </w:t>
      </w:r>
      <w:r w:rsidR="00B41C65" w:rsidRPr="002F66BA">
        <w:rPr>
          <w:rFonts w:asciiTheme="minorHAnsi" w:hAnsiTheme="minorHAnsi"/>
          <w:color w:val="auto"/>
          <w:szCs w:val="24"/>
        </w:rPr>
        <w:t xml:space="preserve">Form 3947 was modified to include depressive disorder as a third medically unacceptable condition.  The modified MEB submission was </w:t>
      </w:r>
      <w:proofErr w:type="spellStart"/>
      <w:r w:rsidR="00B41C65" w:rsidRPr="002F66BA">
        <w:rPr>
          <w:rFonts w:asciiTheme="minorHAnsi" w:hAnsiTheme="minorHAnsi"/>
          <w:color w:val="auto"/>
          <w:szCs w:val="24"/>
        </w:rPr>
        <w:t>readjudicated</w:t>
      </w:r>
      <w:proofErr w:type="spellEnd"/>
      <w:r w:rsidR="00B41C65" w:rsidRPr="002F66BA">
        <w:rPr>
          <w:rFonts w:asciiTheme="minorHAnsi" w:hAnsiTheme="minorHAnsi"/>
          <w:color w:val="auto"/>
          <w:szCs w:val="24"/>
        </w:rPr>
        <w:t xml:space="preserve"> by the IPEB and there was no change </w:t>
      </w:r>
      <w:r w:rsidR="00C341F4">
        <w:rPr>
          <w:rFonts w:asciiTheme="minorHAnsi" w:hAnsiTheme="minorHAnsi"/>
          <w:color w:val="auto"/>
          <w:szCs w:val="24"/>
        </w:rPr>
        <w:t>in regard to</w:t>
      </w:r>
      <w:r w:rsidR="00B41C65" w:rsidRPr="002F66BA">
        <w:rPr>
          <w:rFonts w:asciiTheme="minorHAnsi" w:hAnsiTheme="minorHAnsi"/>
          <w:color w:val="auto"/>
          <w:szCs w:val="24"/>
        </w:rPr>
        <w:t xml:space="preserve"> the PTSD and </w:t>
      </w:r>
      <w:r w:rsidR="006B3BC3">
        <w:rPr>
          <w:rFonts w:asciiTheme="minorHAnsi" w:hAnsiTheme="minorHAnsi"/>
          <w:color w:val="auto"/>
          <w:szCs w:val="24"/>
        </w:rPr>
        <w:t xml:space="preserve">right long finger </w:t>
      </w:r>
      <w:r w:rsidR="00B90559">
        <w:rPr>
          <w:rFonts w:asciiTheme="minorHAnsi" w:hAnsiTheme="minorHAnsi"/>
          <w:color w:val="auto"/>
          <w:szCs w:val="24"/>
        </w:rPr>
        <w:t>conditions; h</w:t>
      </w:r>
      <w:r w:rsidR="00B41C65" w:rsidRPr="002F66BA">
        <w:rPr>
          <w:rFonts w:asciiTheme="minorHAnsi" w:hAnsiTheme="minorHAnsi"/>
          <w:color w:val="auto"/>
          <w:szCs w:val="24"/>
        </w:rPr>
        <w:t>owever, a third unfitting condition</w:t>
      </w:r>
      <w:r w:rsidR="00B90559">
        <w:rPr>
          <w:rFonts w:asciiTheme="minorHAnsi" w:hAnsiTheme="minorHAnsi"/>
          <w:color w:val="auto"/>
          <w:szCs w:val="24"/>
        </w:rPr>
        <w:t xml:space="preserve"> was</w:t>
      </w:r>
      <w:r w:rsidR="00B90559" w:rsidRPr="00B90559">
        <w:rPr>
          <w:rFonts w:asciiTheme="minorHAnsi" w:hAnsiTheme="minorHAnsi"/>
          <w:color w:val="auto"/>
          <w:szCs w:val="24"/>
        </w:rPr>
        <w:t xml:space="preserve"> </w:t>
      </w:r>
      <w:r w:rsidR="00B90559" w:rsidRPr="002F66BA">
        <w:rPr>
          <w:rFonts w:asciiTheme="minorHAnsi" w:hAnsiTheme="minorHAnsi"/>
          <w:color w:val="auto"/>
          <w:szCs w:val="24"/>
        </w:rPr>
        <w:t>added</w:t>
      </w:r>
      <w:r w:rsidR="00B90559">
        <w:rPr>
          <w:rFonts w:asciiTheme="minorHAnsi" w:hAnsiTheme="minorHAnsi"/>
          <w:color w:val="auto"/>
          <w:szCs w:val="24"/>
        </w:rPr>
        <w:t>:</w:t>
      </w:r>
      <w:r w:rsidR="00B41C65" w:rsidRPr="002F66BA">
        <w:rPr>
          <w:rFonts w:asciiTheme="minorHAnsi" w:hAnsiTheme="minorHAnsi"/>
          <w:color w:val="auto"/>
          <w:szCs w:val="24"/>
        </w:rPr>
        <w:t xml:space="preserve"> right index fin</w:t>
      </w:r>
      <w:r w:rsidR="00B90559">
        <w:rPr>
          <w:rFonts w:asciiTheme="minorHAnsi" w:hAnsiTheme="minorHAnsi"/>
          <w:color w:val="auto"/>
          <w:szCs w:val="24"/>
        </w:rPr>
        <w:t>ger limitation of motion, rated</w:t>
      </w:r>
      <w:r w:rsidR="00B41C65" w:rsidRPr="002F66BA">
        <w:rPr>
          <w:rFonts w:asciiTheme="minorHAnsi" w:hAnsiTheme="minorHAnsi"/>
          <w:color w:val="auto"/>
          <w:szCs w:val="24"/>
        </w:rPr>
        <w:t xml:space="preserve"> 10% with application of </w:t>
      </w:r>
      <w:r w:rsidR="00B90559">
        <w:rPr>
          <w:rFonts w:asciiTheme="minorHAnsi" w:hAnsiTheme="minorHAnsi"/>
          <w:color w:val="auto"/>
          <w:szCs w:val="24"/>
        </w:rPr>
        <w:t xml:space="preserve">the </w:t>
      </w:r>
      <w:r w:rsidR="00B41C65" w:rsidRPr="002F66BA">
        <w:rPr>
          <w:color w:val="000000" w:themeColor="text1"/>
          <w:szCs w:val="24"/>
        </w:rPr>
        <w:t xml:space="preserve">VASRD.  The depressive </w:t>
      </w:r>
      <w:proofErr w:type="spellStart"/>
      <w:r w:rsidR="00B41C65" w:rsidRPr="002F66BA">
        <w:rPr>
          <w:color w:val="000000" w:themeColor="text1"/>
          <w:szCs w:val="24"/>
        </w:rPr>
        <w:t>disoder</w:t>
      </w:r>
      <w:proofErr w:type="spellEnd"/>
      <w:r w:rsidR="00B41C65" w:rsidRPr="002F66BA">
        <w:rPr>
          <w:color w:val="000000" w:themeColor="text1"/>
          <w:szCs w:val="24"/>
        </w:rPr>
        <w:t xml:space="preserve"> was determined to be not independently unfitting.  </w:t>
      </w:r>
      <w:r w:rsidR="009A5D88" w:rsidRPr="002F66BA">
        <w:rPr>
          <w:color w:val="000000" w:themeColor="text1"/>
          <w:szCs w:val="24"/>
        </w:rPr>
        <w:t xml:space="preserve">The CI was </w:t>
      </w:r>
      <w:r w:rsidR="009A5D88" w:rsidRPr="002F66BA">
        <w:rPr>
          <w:rFonts w:asciiTheme="minorHAnsi" w:hAnsiTheme="minorHAnsi"/>
          <w:color w:val="auto"/>
          <w:szCs w:val="24"/>
        </w:rPr>
        <w:t xml:space="preserve">placed on the Temporary Disability Retired List (TDRL) </w:t>
      </w:r>
      <w:r w:rsidR="00B90559">
        <w:rPr>
          <w:rFonts w:asciiTheme="minorHAnsi" w:hAnsiTheme="minorHAnsi"/>
          <w:color w:val="auto"/>
          <w:szCs w:val="24"/>
        </w:rPr>
        <w:t>for a period of 21 months until i</w:t>
      </w:r>
      <w:r w:rsidR="00353ADC">
        <w:rPr>
          <w:rFonts w:asciiTheme="minorHAnsi" w:hAnsiTheme="minorHAnsi"/>
          <w:color w:val="auto"/>
          <w:szCs w:val="24"/>
        </w:rPr>
        <w:t xml:space="preserve">t was </w:t>
      </w:r>
      <w:r w:rsidR="009A5D88" w:rsidRPr="002F66BA">
        <w:rPr>
          <w:rFonts w:asciiTheme="minorHAnsi" w:hAnsiTheme="minorHAnsi"/>
          <w:color w:val="auto"/>
          <w:szCs w:val="24"/>
        </w:rPr>
        <w:t xml:space="preserve">determined that </w:t>
      </w:r>
      <w:r w:rsidR="008E7966">
        <w:rPr>
          <w:rFonts w:asciiTheme="minorHAnsi" w:hAnsiTheme="minorHAnsi"/>
          <w:color w:val="auto"/>
          <w:szCs w:val="24"/>
        </w:rPr>
        <w:t>all</w:t>
      </w:r>
      <w:r w:rsidR="009A5D88" w:rsidRPr="002F66BA">
        <w:rPr>
          <w:rFonts w:asciiTheme="minorHAnsi" w:hAnsiTheme="minorHAnsi"/>
          <w:color w:val="auto"/>
          <w:szCs w:val="24"/>
        </w:rPr>
        <w:t xml:space="preserve"> conditions were sufficiently stable for final adjudication.  The IPEB </w:t>
      </w:r>
      <w:r w:rsidR="00C341F4">
        <w:rPr>
          <w:rFonts w:asciiTheme="minorHAnsi" w:hAnsiTheme="minorHAnsi"/>
          <w:color w:val="auto"/>
          <w:szCs w:val="24"/>
        </w:rPr>
        <w:t xml:space="preserve">at permanent separation </w:t>
      </w:r>
      <w:r w:rsidR="009A5D88" w:rsidRPr="002F66BA">
        <w:rPr>
          <w:rFonts w:asciiTheme="minorHAnsi" w:hAnsiTheme="minorHAnsi"/>
          <w:color w:val="auto"/>
          <w:szCs w:val="24"/>
        </w:rPr>
        <w:t xml:space="preserve">combined the RSD and </w:t>
      </w:r>
      <w:r w:rsidR="00C341F4">
        <w:rPr>
          <w:rFonts w:asciiTheme="minorHAnsi" w:hAnsiTheme="minorHAnsi"/>
          <w:color w:val="auto"/>
          <w:szCs w:val="24"/>
        </w:rPr>
        <w:t>finger</w:t>
      </w:r>
      <w:r w:rsidR="009A5D88" w:rsidRPr="002F66BA">
        <w:rPr>
          <w:rFonts w:asciiTheme="minorHAnsi" w:hAnsiTheme="minorHAnsi"/>
          <w:color w:val="auto"/>
          <w:szCs w:val="24"/>
        </w:rPr>
        <w:t xml:space="preserve"> condition</w:t>
      </w:r>
      <w:r w:rsidR="00C341F4">
        <w:rPr>
          <w:rFonts w:asciiTheme="minorHAnsi" w:hAnsiTheme="minorHAnsi"/>
          <w:color w:val="auto"/>
          <w:szCs w:val="24"/>
        </w:rPr>
        <w:t>s, rated 10% each,</w:t>
      </w:r>
      <w:r w:rsidR="009A5D88" w:rsidRPr="002F66BA">
        <w:rPr>
          <w:rFonts w:asciiTheme="minorHAnsi" w:hAnsiTheme="minorHAnsi"/>
          <w:color w:val="auto"/>
          <w:szCs w:val="24"/>
        </w:rPr>
        <w:t xml:space="preserve"> </w:t>
      </w:r>
      <w:r w:rsidR="00825435" w:rsidRPr="002F66BA">
        <w:rPr>
          <w:rFonts w:asciiTheme="minorHAnsi" w:hAnsiTheme="minorHAnsi"/>
          <w:color w:val="auto"/>
          <w:szCs w:val="24"/>
        </w:rPr>
        <w:t xml:space="preserve">as one unfitting condition </w:t>
      </w:r>
      <w:r w:rsidR="003679A7">
        <w:rPr>
          <w:rFonts w:asciiTheme="minorHAnsi" w:hAnsiTheme="minorHAnsi"/>
          <w:color w:val="auto"/>
          <w:szCs w:val="24"/>
        </w:rPr>
        <w:t>rated</w:t>
      </w:r>
      <w:r w:rsidR="00825435" w:rsidRPr="002F66BA">
        <w:rPr>
          <w:rFonts w:asciiTheme="minorHAnsi" w:hAnsiTheme="minorHAnsi"/>
          <w:color w:val="auto"/>
          <w:szCs w:val="24"/>
        </w:rPr>
        <w:t xml:space="preserve"> 20% with application of </w:t>
      </w:r>
      <w:r w:rsidR="008E7966">
        <w:rPr>
          <w:rFonts w:asciiTheme="minorHAnsi" w:hAnsiTheme="minorHAnsi"/>
          <w:color w:val="auto"/>
          <w:szCs w:val="24"/>
        </w:rPr>
        <w:t xml:space="preserve">the </w:t>
      </w:r>
      <w:r w:rsidR="00825435" w:rsidRPr="002F66BA">
        <w:rPr>
          <w:rFonts w:asciiTheme="minorHAnsi" w:hAnsiTheme="minorHAnsi"/>
          <w:color w:val="auto"/>
          <w:szCs w:val="24"/>
        </w:rPr>
        <w:t xml:space="preserve">VASRD.  The PTSD </w:t>
      </w:r>
      <w:r w:rsidR="008E7966">
        <w:rPr>
          <w:rFonts w:asciiTheme="minorHAnsi" w:hAnsiTheme="minorHAnsi"/>
          <w:color w:val="auto"/>
          <w:szCs w:val="24"/>
        </w:rPr>
        <w:t xml:space="preserve">condition </w:t>
      </w:r>
      <w:r w:rsidR="00825435" w:rsidRPr="002F66BA">
        <w:rPr>
          <w:rFonts w:asciiTheme="minorHAnsi" w:hAnsiTheme="minorHAnsi"/>
          <w:color w:val="auto"/>
          <w:szCs w:val="24"/>
        </w:rPr>
        <w:t xml:space="preserve">was </w:t>
      </w:r>
      <w:r w:rsidR="003679A7">
        <w:rPr>
          <w:rFonts w:asciiTheme="minorHAnsi" w:hAnsiTheme="minorHAnsi"/>
          <w:color w:val="auto"/>
          <w:szCs w:val="24"/>
        </w:rPr>
        <w:t>permanently</w:t>
      </w:r>
      <w:r w:rsidR="00825435" w:rsidRPr="002F66BA">
        <w:rPr>
          <w:rFonts w:asciiTheme="minorHAnsi" w:hAnsiTheme="minorHAnsi"/>
          <w:color w:val="auto"/>
          <w:szCs w:val="24"/>
        </w:rPr>
        <w:t xml:space="preserve"> rated 0%, with presumptive</w:t>
      </w:r>
      <w:r w:rsidR="003679A7">
        <w:rPr>
          <w:rFonts w:asciiTheme="minorHAnsi" w:hAnsiTheme="minorHAnsi"/>
          <w:color w:val="auto"/>
          <w:szCs w:val="24"/>
        </w:rPr>
        <w:t xml:space="preserve"> re-application of DoDI 1332.39; and,</w:t>
      </w:r>
      <w:r w:rsidR="00825435" w:rsidRPr="002F66BA">
        <w:rPr>
          <w:rFonts w:asciiTheme="minorHAnsi" w:hAnsiTheme="minorHAnsi"/>
          <w:color w:val="auto"/>
          <w:szCs w:val="24"/>
        </w:rPr>
        <w:t xml:space="preserve"> </w:t>
      </w:r>
      <w:r w:rsidR="003679A7">
        <w:rPr>
          <w:rFonts w:asciiTheme="minorHAnsi" w:hAnsiTheme="minorHAnsi"/>
          <w:color w:val="auto"/>
          <w:szCs w:val="24"/>
        </w:rPr>
        <w:t>t</w:t>
      </w:r>
      <w:r w:rsidR="002F66BA" w:rsidRPr="002F66BA">
        <w:rPr>
          <w:color w:val="000000" w:themeColor="text1"/>
          <w:szCs w:val="24"/>
        </w:rPr>
        <w:t xml:space="preserve">he depressive disorder was again determined to be not unfitting.  </w:t>
      </w:r>
      <w:r w:rsidR="002F66BA" w:rsidRPr="002F66BA">
        <w:rPr>
          <w:rFonts w:asciiTheme="minorHAnsi" w:hAnsiTheme="minorHAnsi"/>
          <w:color w:val="auto"/>
          <w:szCs w:val="24"/>
        </w:rPr>
        <w:t xml:space="preserve">An appeal for a </w:t>
      </w:r>
      <w:r w:rsidR="00BA5EC8">
        <w:rPr>
          <w:rFonts w:asciiTheme="minorHAnsi" w:hAnsiTheme="minorHAnsi"/>
          <w:color w:val="auto"/>
          <w:szCs w:val="24"/>
        </w:rPr>
        <w:t>F</w:t>
      </w:r>
      <w:r w:rsidR="002F66BA" w:rsidRPr="002F66BA">
        <w:rPr>
          <w:rFonts w:asciiTheme="minorHAnsi" w:hAnsiTheme="minorHAnsi"/>
          <w:color w:val="auto"/>
          <w:szCs w:val="24"/>
        </w:rPr>
        <w:t>ormal PEB was withdrawn</w:t>
      </w:r>
      <w:r w:rsidR="003679A7">
        <w:rPr>
          <w:rFonts w:asciiTheme="minorHAnsi" w:hAnsiTheme="minorHAnsi"/>
          <w:color w:val="auto"/>
          <w:szCs w:val="24"/>
        </w:rPr>
        <w:t>,</w:t>
      </w:r>
      <w:r w:rsidR="002F66BA" w:rsidRPr="002F66BA">
        <w:rPr>
          <w:rFonts w:asciiTheme="minorHAnsi" w:hAnsiTheme="minorHAnsi"/>
          <w:color w:val="auto"/>
          <w:szCs w:val="24"/>
        </w:rPr>
        <w:t xml:space="preserve"> and the CI was </w:t>
      </w:r>
      <w:r w:rsidR="002F66BA" w:rsidRPr="002F66BA">
        <w:rPr>
          <w:rFonts w:asciiTheme="minorHAnsi" w:hAnsiTheme="minorHAnsi"/>
          <w:color w:val="auto"/>
        </w:rPr>
        <w:t>medically separated with a 20% combined disability rating.</w:t>
      </w:r>
      <w:r w:rsidR="002F66BA">
        <w:rPr>
          <w:rFonts w:asciiTheme="minorHAnsi" w:hAnsiTheme="minorHAnsi"/>
          <w:color w:val="auto"/>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D66D97" w:rsidRPr="001F29F9" w:rsidRDefault="002C6E5B" w:rsidP="00D66D97">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353ADC">
        <w:rPr>
          <w:color w:val="000000" w:themeColor="text1"/>
        </w:rPr>
        <w:t xml:space="preserve">  </w:t>
      </w:r>
      <w:r w:rsidR="00353ADC">
        <w:rPr>
          <w:rFonts w:asciiTheme="minorHAnsi" w:hAnsiTheme="minorHAnsi"/>
          <w:color w:val="auto"/>
        </w:rPr>
        <w:t xml:space="preserve">The application states </w:t>
      </w:r>
      <w:r w:rsidR="00353ADC" w:rsidRPr="00396779">
        <w:rPr>
          <w:rFonts w:asciiTheme="minorHAnsi" w:hAnsiTheme="minorHAnsi"/>
          <w:color w:val="auto"/>
          <w:szCs w:val="24"/>
        </w:rPr>
        <w:t xml:space="preserve">“I was assigned less than 50% disability rating by the military for my unfitting PTSD upon discharge from active duty. </w:t>
      </w:r>
      <w:r w:rsidR="00353ADC">
        <w:rPr>
          <w:rFonts w:asciiTheme="minorHAnsi" w:hAnsiTheme="minorHAnsi"/>
          <w:color w:val="auto"/>
          <w:szCs w:val="24"/>
        </w:rPr>
        <w:t xml:space="preserve"> … </w:t>
      </w:r>
      <w:r w:rsidR="00353ADC" w:rsidRPr="00396779">
        <w:rPr>
          <w:rFonts w:asciiTheme="minorHAnsi" w:hAnsiTheme="minorHAnsi"/>
          <w:color w:val="auto"/>
          <w:szCs w:val="24"/>
        </w:rPr>
        <w:t>assign the highest final disability rating applicable consistent with 38 CFR</w:t>
      </w:r>
      <w:r w:rsidR="00353ADC">
        <w:rPr>
          <w:rFonts w:asciiTheme="minorHAnsi" w:hAnsiTheme="minorHAnsi"/>
          <w:color w:val="auto"/>
          <w:szCs w:val="24"/>
        </w:rPr>
        <w:t xml:space="preserve"> </w:t>
      </w:r>
      <w:r w:rsidR="00353ADC" w:rsidRPr="00396779">
        <w:rPr>
          <w:rFonts w:asciiTheme="minorHAnsi" w:hAnsiTheme="minorHAnsi"/>
          <w:color w:val="auto"/>
          <w:szCs w:val="24"/>
        </w:rPr>
        <w:t>4.I29 and DOD policy</w:t>
      </w:r>
      <w:r w:rsidR="00353ADC">
        <w:rPr>
          <w:rFonts w:asciiTheme="minorHAnsi" w:hAnsiTheme="minorHAnsi"/>
          <w:color w:val="auto"/>
          <w:szCs w:val="24"/>
        </w:rPr>
        <w:t>…</w:t>
      </w:r>
      <w:r w:rsidR="00353ADC" w:rsidRPr="00326C08">
        <w:rPr>
          <w:rFonts w:asciiTheme="minorHAnsi" w:hAnsiTheme="minorHAnsi"/>
          <w:color w:val="auto"/>
          <w:szCs w:val="24"/>
        </w:rPr>
        <w:t xml:space="preserve">” </w:t>
      </w:r>
      <w:r w:rsidR="00353ADC">
        <w:rPr>
          <w:rFonts w:asciiTheme="minorHAnsi" w:hAnsiTheme="minorHAnsi"/>
          <w:color w:val="auto"/>
          <w:szCs w:val="24"/>
        </w:rPr>
        <w:t xml:space="preserve"> </w:t>
      </w:r>
      <w:r w:rsidR="00D66D97" w:rsidRPr="001F29F9">
        <w:rPr>
          <w:rFonts w:eastAsiaTheme="minorHAnsi"/>
          <w:color w:val="000000" w:themeColor="text1"/>
          <w:szCs w:val="24"/>
        </w:rPr>
        <w:t>He</w:t>
      </w:r>
      <w:r w:rsidR="00D66D97">
        <w:rPr>
          <w:rFonts w:eastAsiaTheme="minorHAnsi"/>
          <w:color w:val="000000" w:themeColor="text1"/>
          <w:szCs w:val="24"/>
        </w:rPr>
        <w:t xml:space="preserve"> </w:t>
      </w:r>
      <w:r w:rsidR="00D66D97" w:rsidRPr="001F29F9">
        <w:rPr>
          <w:rFonts w:eastAsiaTheme="minorHAnsi"/>
          <w:color w:val="000000" w:themeColor="text1"/>
          <w:szCs w:val="24"/>
        </w:rPr>
        <w:t>additionally lists all of his</w:t>
      </w:r>
      <w:r w:rsidR="00D66D97">
        <w:rPr>
          <w:rFonts w:eastAsiaTheme="minorHAnsi"/>
          <w:color w:val="000000" w:themeColor="text1"/>
          <w:szCs w:val="24"/>
        </w:rPr>
        <w:t xml:space="preserve"> </w:t>
      </w:r>
      <w:r w:rsidR="00D66D97" w:rsidRPr="001F29F9">
        <w:rPr>
          <w:rFonts w:eastAsiaTheme="minorHAnsi"/>
          <w:color w:val="000000" w:themeColor="text1"/>
          <w:szCs w:val="24"/>
        </w:rPr>
        <w:t>VA conditions and ratings as per the rating chart below.  A contention for their inclusion in the separation rating is therefore implied.</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CE4605" w:rsidRDefault="00CE4605">
      <w:pPr>
        <w:rPr>
          <w:color w:val="000000" w:themeColor="text1"/>
          <w:u w:val="single"/>
        </w:rPr>
      </w:pPr>
      <w:r>
        <w:rPr>
          <w:color w:val="000000" w:themeColor="text1"/>
          <w:u w:val="single"/>
        </w:rPr>
        <w:br w:type="page"/>
      </w:r>
    </w:p>
    <w:p w:rsidR="009369A6" w:rsidRPr="001F29F9" w:rsidRDefault="007F0AB7" w:rsidP="00F55072">
      <w:pPr>
        <w:jc w:val="left"/>
        <w:rPr>
          <w:color w:val="000000" w:themeColor="text1"/>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p>
    <w:p w:rsidR="00E57703" w:rsidRPr="001F29F9" w:rsidRDefault="00E57703" w:rsidP="00BF0E94">
      <w:pPr>
        <w:tabs>
          <w:tab w:val="left" w:pos="288"/>
          <w:tab w:val="left" w:pos="4752"/>
        </w:tabs>
        <w:jc w:val="both"/>
        <w:rPr>
          <w:b/>
          <w:color w:val="000000" w:themeColor="text1"/>
          <w:sz w:val="18"/>
          <w:szCs w:val="18"/>
          <w:u w:val="single"/>
        </w:rPr>
      </w:pPr>
    </w:p>
    <w:tbl>
      <w:tblPr>
        <w:tblStyle w:val="TableGrid"/>
        <w:tblpPr w:leftFromText="187" w:rightFromText="187" w:vertAnchor="text" w:tblpXSpec="center" w:tblpY="1"/>
        <w:tblOverlap w:val="never"/>
        <w:tblW w:w="9270" w:type="dxa"/>
        <w:jc w:val="center"/>
        <w:tblLayout w:type="fixed"/>
        <w:tblLook w:val="04A0"/>
      </w:tblPr>
      <w:tblGrid>
        <w:gridCol w:w="1998"/>
        <w:gridCol w:w="1080"/>
        <w:gridCol w:w="720"/>
        <w:gridCol w:w="540"/>
        <w:gridCol w:w="2376"/>
        <w:gridCol w:w="720"/>
        <w:gridCol w:w="810"/>
        <w:gridCol w:w="1026"/>
      </w:tblGrid>
      <w:tr w:rsidR="00BF70A6" w:rsidRPr="001F29F9" w:rsidTr="00CE4605">
        <w:trPr>
          <w:trHeight w:val="233"/>
          <w:jc w:val="center"/>
        </w:trPr>
        <w:tc>
          <w:tcPr>
            <w:tcW w:w="4338" w:type="dxa"/>
            <w:gridSpan w:val="4"/>
            <w:tcBorders>
              <w:right w:val="thinThickThinSmallGap" w:sz="24" w:space="0" w:color="auto"/>
            </w:tcBorders>
            <w:shd w:val="clear" w:color="auto" w:fill="D9D9D9" w:themeFill="background1" w:themeFillShade="D9"/>
            <w:vAlign w:val="center"/>
          </w:tcPr>
          <w:p w:rsidR="00BF70A6" w:rsidRPr="009F6505" w:rsidRDefault="00715C07" w:rsidP="00CE4605">
            <w:pPr>
              <w:contextualSpacing/>
              <w:rPr>
                <w:rFonts w:ascii="Calibri" w:hAnsi="Calibri" w:cstheme="minorHAnsi"/>
                <w:b/>
                <w:color w:val="000000" w:themeColor="text1"/>
                <w:sz w:val="20"/>
                <w:szCs w:val="20"/>
              </w:rPr>
            </w:pPr>
            <w:r w:rsidRPr="004D7D70">
              <w:rPr>
                <w:b/>
                <w:color w:val="auto"/>
                <w:sz w:val="20"/>
                <w:szCs w:val="20"/>
              </w:rPr>
              <w:t xml:space="preserve">Final Service </w:t>
            </w:r>
            <w:r>
              <w:rPr>
                <w:b/>
                <w:color w:val="auto"/>
                <w:sz w:val="20"/>
                <w:szCs w:val="20"/>
              </w:rPr>
              <w:t>I</w:t>
            </w:r>
            <w:r w:rsidRPr="004D7D70">
              <w:rPr>
                <w:b/>
                <w:color w:val="auto"/>
                <w:sz w:val="20"/>
                <w:szCs w:val="20"/>
              </w:rPr>
              <w:t>PEB – Dated 200</w:t>
            </w:r>
            <w:r>
              <w:rPr>
                <w:b/>
                <w:color w:val="auto"/>
                <w:sz w:val="20"/>
                <w:szCs w:val="20"/>
              </w:rPr>
              <w:t>70727</w:t>
            </w:r>
          </w:p>
        </w:tc>
        <w:tc>
          <w:tcPr>
            <w:tcW w:w="4932" w:type="dxa"/>
            <w:gridSpan w:val="4"/>
            <w:tcBorders>
              <w:left w:val="thinThickThinSmallGap" w:sz="24" w:space="0" w:color="auto"/>
            </w:tcBorders>
            <w:shd w:val="clear" w:color="auto" w:fill="D9D9D9" w:themeFill="background1" w:themeFillShade="D9"/>
            <w:vAlign w:val="center"/>
          </w:tcPr>
          <w:p w:rsidR="00BF70A6" w:rsidRPr="009F6505" w:rsidRDefault="00C341F4" w:rsidP="00CE4605">
            <w:pPr>
              <w:contextualSpacing/>
              <w:rPr>
                <w:rFonts w:ascii="Calibri" w:hAnsi="Calibri" w:cstheme="minorHAnsi"/>
                <w:b/>
                <w:color w:val="000000" w:themeColor="text1"/>
                <w:sz w:val="20"/>
                <w:szCs w:val="20"/>
              </w:rPr>
            </w:pPr>
            <w:r>
              <w:rPr>
                <w:b/>
                <w:color w:val="000000" w:themeColor="text1"/>
                <w:sz w:val="20"/>
                <w:szCs w:val="20"/>
              </w:rPr>
              <w:t>VA</w:t>
            </w:r>
            <w:r w:rsidR="00A57C35" w:rsidRPr="009F6505">
              <w:rPr>
                <w:b/>
                <w:color w:val="000000" w:themeColor="text1"/>
                <w:sz w:val="20"/>
                <w:szCs w:val="20"/>
              </w:rPr>
              <w:t xml:space="preserve"> – All Effective Date 200</w:t>
            </w:r>
            <w:r w:rsidR="002A7B64" w:rsidRPr="009F6505">
              <w:rPr>
                <w:b/>
                <w:color w:val="000000" w:themeColor="text1"/>
                <w:sz w:val="20"/>
                <w:szCs w:val="20"/>
              </w:rPr>
              <w:t>50607</w:t>
            </w:r>
          </w:p>
        </w:tc>
      </w:tr>
      <w:tr w:rsidR="00CE4605" w:rsidRPr="001F29F9" w:rsidTr="007368FA">
        <w:trPr>
          <w:trHeight w:val="233"/>
          <w:jc w:val="center"/>
        </w:trPr>
        <w:tc>
          <w:tcPr>
            <w:tcW w:w="1998" w:type="dxa"/>
            <w:tcBorders>
              <w:bottom w:val="single" w:sz="4" w:space="0" w:color="000000" w:themeColor="text1"/>
            </w:tcBorders>
            <w:shd w:val="clear" w:color="auto" w:fill="D9D9D9" w:themeFill="background1" w:themeFillShade="D9"/>
            <w:vAlign w:val="center"/>
          </w:tcPr>
          <w:p w:rsidR="00CE4605" w:rsidRPr="009F6505" w:rsidRDefault="00CE4605" w:rsidP="00CE4605">
            <w:pPr>
              <w:spacing w:line="220" w:lineRule="exact"/>
              <w:contextualSpacing/>
              <w:rPr>
                <w:rFonts w:ascii="Calibri" w:hAnsi="Calibri" w:cstheme="minorHAnsi"/>
                <w:b/>
                <w:color w:val="000000" w:themeColor="text1"/>
                <w:sz w:val="20"/>
                <w:szCs w:val="20"/>
              </w:rPr>
            </w:pPr>
            <w:r w:rsidRPr="009F6505">
              <w:rPr>
                <w:b/>
                <w:color w:val="000000" w:themeColor="text1"/>
                <w:sz w:val="20"/>
                <w:szCs w:val="20"/>
              </w:rPr>
              <w:t>Condition</w:t>
            </w:r>
          </w:p>
        </w:tc>
        <w:tc>
          <w:tcPr>
            <w:tcW w:w="1080" w:type="dxa"/>
            <w:vMerge w:val="restart"/>
            <w:shd w:val="clear" w:color="auto" w:fill="D9D9D9" w:themeFill="background1" w:themeFillShade="D9"/>
            <w:vAlign w:val="center"/>
          </w:tcPr>
          <w:p w:rsidR="00CE4605" w:rsidRPr="009F6505" w:rsidRDefault="00CE4605" w:rsidP="00CE4605">
            <w:pPr>
              <w:spacing w:line="220" w:lineRule="exact"/>
              <w:contextualSpacing/>
              <w:rPr>
                <w:rFonts w:ascii="Calibri" w:hAnsi="Calibri" w:cstheme="minorHAnsi"/>
                <w:b/>
                <w:color w:val="000000" w:themeColor="text1"/>
                <w:sz w:val="20"/>
                <w:szCs w:val="20"/>
              </w:rPr>
            </w:pPr>
            <w:r w:rsidRPr="009F6505">
              <w:rPr>
                <w:b/>
                <w:color w:val="000000" w:themeColor="text1"/>
                <w:sz w:val="20"/>
                <w:szCs w:val="20"/>
              </w:rPr>
              <w:t>Code</w:t>
            </w:r>
          </w:p>
        </w:tc>
        <w:tc>
          <w:tcPr>
            <w:tcW w:w="1260"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CE4605" w:rsidRPr="009F6505" w:rsidRDefault="00CE4605" w:rsidP="00CE4605">
            <w:pPr>
              <w:spacing w:line="220" w:lineRule="exact"/>
              <w:contextualSpacing/>
              <w:rPr>
                <w:rFonts w:ascii="Calibri" w:hAnsi="Calibri" w:cstheme="minorHAnsi"/>
                <w:b/>
                <w:color w:val="000000" w:themeColor="text1"/>
                <w:sz w:val="20"/>
                <w:szCs w:val="20"/>
              </w:rPr>
            </w:pPr>
            <w:r w:rsidRPr="009F6505">
              <w:rPr>
                <w:b/>
                <w:color w:val="000000" w:themeColor="text1"/>
                <w:sz w:val="20"/>
                <w:szCs w:val="20"/>
              </w:rPr>
              <w:t>Rating</w:t>
            </w:r>
          </w:p>
        </w:tc>
        <w:tc>
          <w:tcPr>
            <w:tcW w:w="2376" w:type="dxa"/>
            <w:vMerge w:val="restart"/>
            <w:tcBorders>
              <w:left w:val="thinThickThinSmallGap" w:sz="24" w:space="0" w:color="auto"/>
            </w:tcBorders>
            <w:shd w:val="clear" w:color="auto" w:fill="D9D9D9" w:themeFill="background1" w:themeFillShade="D9"/>
            <w:vAlign w:val="center"/>
          </w:tcPr>
          <w:p w:rsidR="00CE4605" w:rsidRPr="009F6505" w:rsidRDefault="00CE4605" w:rsidP="00CE4605">
            <w:pPr>
              <w:spacing w:line="220" w:lineRule="exact"/>
              <w:contextualSpacing/>
              <w:rPr>
                <w:rFonts w:ascii="Calibri" w:hAnsi="Calibri" w:cstheme="minorHAnsi"/>
                <w:b/>
                <w:color w:val="000000" w:themeColor="text1"/>
                <w:sz w:val="20"/>
                <w:szCs w:val="20"/>
              </w:rPr>
            </w:pPr>
            <w:r w:rsidRPr="009F6505">
              <w:rPr>
                <w:b/>
                <w:color w:val="000000" w:themeColor="text1"/>
                <w:sz w:val="20"/>
                <w:szCs w:val="20"/>
              </w:rPr>
              <w:t>Condition</w:t>
            </w:r>
          </w:p>
        </w:tc>
        <w:tc>
          <w:tcPr>
            <w:tcW w:w="720" w:type="dxa"/>
            <w:vMerge w:val="restart"/>
            <w:shd w:val="clear" w:color="auto" w:fill="D9D9D9" w:themeFill="background1" w:themeFillShade="D9"/>
            <w:vAlign w:val="center"/>
          </w:tcPr>
          <w:p w:rsidR="00CE4605" w:rsidRPr="009F6505" w:rsidRDefault="00CE4605" w:rsidP="00CE4605">
            <w:pPr>
              <w:spacing w:line="220" w:lineRule="exact"/>
              <w:contextualSpacing/>
              <w:rPr>
                <w:rFonts w:ascii="Calibri" w:hAnsi="Calibri" w:cstheme="minorHAnsi"/>
                <w:b/>
                <w:color w:val="000000" w:themeColor="text1"/>
                <w:sz w:val="20"/>
                <w:szCs w:val="20"/>
              </w:rPr>
            </w:pPr>
            <w:r w:rsidRPr="009F6505">
              <w:rPr>
                <w:b/>
                <w:color w:val="000000" w:themeColor="text1"/>
                <w:sz w:val="20"/>
                <w:szCs w:val="20"/>
              </w:rPr>
              <w:t>Code</w:t>
            </w:r>
          </w:p>
        </w:tc>
        <w:tc>
          <w:tcPr>
            <w:tcW w:w="810" w:type="dxa"/>
            <w:vMerge w:val="restart"/>
            <w:shd w:val="clear" w:color="auto" w:fill="D9D9D9" w:themeFill="background1" w:themeFillShade="D9"/>
            <w:vAlign w:val="center"/>
          </w:tcPr>
          <w:p w:rsidR="00CE4605" w:rsidRPr="009F6505" w:rsidRDefault="00CE4605" w:rsidP="00CE4605">
            <w:pPr>
              <w:spacing w:line="220" w:lineRule="exact"/>
              <w:contextualSpacing/>
              <w:rPr>
                <w:rFonts w:ascii="Calibri" w:hAnsi="Calibri" w:cstheme="minorHAnsi"/>
                <w:b/>
                <w:color w:val="000000" w:themeColor="text1"/>
                <w:sz w:val="20"/>
                <w:szCs w:val="20"/>
              </w:rPr>
            </w:pPr>
            <w:r w:rsidRPr="009F6505">
              <w:rPr>
                <w:b/>
                <w:color w:val="000000" w:themeColor="text1"/>
                <w:sz w:val="20"/>
                <w:szCs w:val="20"/>
              </w:rPr>
              <w:t>Rating</w:t>
            </w:r>
          </w:p>
        </w:tc>
        <w:tc>
          <w:tcPr>
            <w:tcW w:w="1026" w:type="dxa"/>
            <w:vMerge w:val="restart"/>
            <w:shd w:val="clear" w:color="auto" w:fill="D9D9D9" w:themeFill="background1" w:themeFillShade="D9"/>
            <w:vAlign w:val="center"/>
          </w:tcPr>
          <w:p w:rsidR="00CE4605" w:rsidRPr="009F6505" w:rsidRDefault="00CE4605" w:rsidP="00CE4605">
            <w:pPr>
              <w:spacing w:line="220" w:lineRule="exact"/>
              <w:contextualSpacing/>
              <w:rPr>
                <w:rFonts w:ascii="Calibri" w:hAnsi="Calibri" w:cstheme="minorHAnsi"/>
                <w:b/>
                <w:color w:val="000000" w:themeColor="text1"/>
                <w:sz w:val="20"/>
                <w:szCs w:val="20"/>
              </w:rPr>
            </w:pPr>
            <w:r w:rsidRPr="009F6505">
              <w:rPr>
                <w:b/>
                <w:color w:val="000000" w:themeColor="text1"/>
                <w:sz w:val="20"/>
                <w:szCs w:val="20"/>
              </w:rPr>
              <w:t>Exam</w:t>
            </w:r>
          </w:p>
        </w:tc>
      </w:tr>
      <w:tr w:rsidR="00CE4605" w:rsidRPr="001F29F9" w:rsidTr="00CE4605">
        <w:trPr>
          <w:trHeight w:val="152"/>
          <w:jc w:val="center"/>
        </w:trPr>
        <w:tc>
          <w:tcPr>
            <w:tcW w:w="1998" w:type="dxa"/>
            <w:shd w:val="clear" w:color="auto" w:fill="D9D9D9" w:themeFill="background1" w:themeFillShade="D9"/>
            <w:vAlign w:val="center"/>
          </w:tcPr>
          <w:p w:rsidR="00CE4605" w:rsidRPr="009F6505" w:rsidRDefault="00CE4605" w:rsidP="00CE4605">
            <w:pPr>
              <w:spacing w:line="220" w:lineRule="exact"/>
              <w:contextualSpacing/>
              <w:rPr>
                <w:rFonts w:ascii="Calibri" w:hAnsi="Calibri" w:cstheme="minorHAnsi"/>
                <w:b/>
                <w:color w:val="000000" w:themeColor="text1"/>
                <w:sz w:val="20"/>
                <w:szCs w:val="20"/>
              </w:rPr>
            </w:pPr>
            <w:r w:rsidRPr="009F6505">
              <w:rPr>
                <w:b/>
                <w:color w:val="000000" w:themeColor="text1"/>
                <w:sz w:val="20"/>
                <w:szCs w:val="20"/>
              </w:rPr>
              <w:t>On TDRL – 20050607</w:t>
            </w:r>
          </w:p>
        </w:tc>
        <w:tc>
          <w:tcPr>
            <w:tcW w:w="1080" w:type="dxa"/>
            <w:vMerge/>
            <w:shd w:val="clear" w:color="auto" w:fill="D9D9D9" w:themeFill="background1" w:themeFillShade="D9"/>
            <w:vAlign w:val="center"/>
          </w:tcPr>
          <w:p w:rsidR="00CE4605" w:rsidRPr="009F6505" w:rsidRDefault="00CE4605" w:rsidP="00CE4605">
            <w:pPr>
              <w:spacing w:line="220" w:lineRule="exact"/>
              <w:contextualSpacing/>
              <w:rPr>
                <w:rFonts w:ascii="Calibri" w:hAnsi="Calibri" w:cstheme="minorHAnsi"/>
                <w:b/>
                <w:color w:val="000000" w:themeColor="text1"/>
                <w:sz w:val="20"/>
                <w:szCs w:val="20"/>
              </w:rPr>
            </w:pPr>
          </w:p>
        </w:tc>
        <w:tc>
          <w:tcPr>
            <w:tcW w:w="720" w:type="dxa"/>
            <w:tcBorders>
              <w:right w:val="single" w:sz="4" w:space="0" w:color="auto"/>
            </w:tcBorders>
            <w:shd w:val="clear" w:color="auto" w:fill="D9D9D9" w:themeFill="background1" w:themeFillShade="D9"/>
            <w:vAlign w:val="center"/>
          </w:tcPr>
          <w:p w:rsidR="00CE4605" w:rsidRPr="009F6505" w:rsidRDefault="00CE4605" w:rsidP="00CE4605">
            <w:pPr>
              <w:spacing w:line="220" w:lineRule="exact"/>
              <w:contextualSpacing/>
              <w:rPr>
                <w:rFonts w:ascii="Calibri" w:hAnsi="Calibri" w:cstheme="minorHAnsi"/>
                <w:b/>
                <w:color w:val="000000" w:themeColor="text1"/>
                <w:sz w:val="20"/>
                <w:szCs w:val="20"/>
              </w:rPr>
            </w:pPr>
            <w:r w:rsidRPr="009F6505">
              <w:rPr>
                <w:b/>
                <w:color w:val="000000" w:themeColor="text1"/>
                <w:sz w:val="20"/>
                <w:szCs w:val="20"/>
              </w:rPr>
              <w:t>TDRL</w:t>
            </w:r>
          </w:p>
        </w:tc>
        <w:tc>
          <w:tcPr>
            <w:tcW w:w="540" w:type="dxa"/>
            <w:tcBorders>
              <w:left w:val="single" w:sz="4" w:space="0" w:color="auto"/>
              <w:right w:val="thinThickThinSmallGap" w:sz="24" w:space="0" w:color="auto"/>
            </w:tcBorders>
            <w:shd w:val="clear" w:color="auto" w:fill="D9D9D9" w:themeFill="background1" w:themeFillShade="D9"/>
            <w:vAlign w:val="center"/>
          </w:tcPr>
          <w:p w:rsidR="00CE4605" w:rsidRPr="009F6505" w:rsidRDefault="00CE4605" w:rsidP="00CE4605">
            <w:pPr>
              <w:tabs>
                <w:tab w:val="left" w:pos="206"/>
                <w:tab w:val="center" w:pos="387"/>
              </w:tabs>
              <w:spacing w:line="220" w:lineRule="exact"/>
              <w:contextualSpacing/>
              <w:rPr>
                <w:rFonts w:ascii="Calibri" w:hAnsi="Calibri" w:cstheme="minorHAnsi"/>
                <w:b/>
                <w:color w:val="000000" w:themeColor="text1"/>
                <w:sz w:val="20"/>
                <w:szCs w:val="20"/>
              </w:rPr>
            </w:pPr>
            <w:r w:rsidRPr="009F6505">
              <w:rPr>
                <w:b/>
                <w:color w:val="000000" w:themeColor="text1"/>
                <w:sz w:val="20"/>
                <w:szCs w:val="20"/>
              </w:rPr>
              <w:t>Sep</w:t>
            </w:r>
          </w:p>
        </w:tc>
        <w:tc>
          <w:tcPr>
            <w:tcW w:w="2376" w:type="dxa"/>
            <w:vMerge/>
            <w:tcBorders>
              <w:left w:val="thinThickThinSmallGap" w:sz="24" w:space="0" w:color="auto"/>
            </w:tcBorders>
            <w:shd w:val="clear" w:color="auto" w:fill="D9D9D9" w:themeFill="background1" w:themeFillShade="D9"/>
            <w:vAlign w:val="center"/>
          </w:tcPr>
          <w:p w:rsidR="00CE4605" w:rsidRPr="001F29F9" w:rsidRDefault="00CE4605" w:rsidP="00CE4605">
            <w:pPr>
              <w:spacing w:line="220" w:lineRule="exact"/>
              <w:contextualSpacing/>
              <w:rPr>
                <w:rFonts w:ascii="Calibri" w:hAnsi="Calibri" w:cstheme="minorHAnsi"/>
                <w:b/>
                <w:color w:val="000000" w:themeColor="text1"/>
                <w:sz w:val="18"/>
                <w:szCs w:val="18"/>
              </w:rPr>
            </w:pPr>
          </w:p>
        </w:tc>
        <w:tc>
          <w:tcPr>
            <w:tcW w:w="720" w:type="dxa"/>
            <w:vMerge/>
            <w:shd w:val="clear" w:color="auto" w:fill="C6D9F1" w:themeFill="text2" w:themeFillTint="33"/>
            <w:vAlign w:val="center"/>
          </w:tcPr>
          <w:p w:rsidR="00CE4605" w:rsidRPr="001F29F9" w:rsidRDefault="00CE4605" w:rsidP="00CE4605">
            <w:pPr>
              <w:spacing w:line="220" w:lineRule="exact"/>
              <w:contextualSpacing/>
              <w:rPr>
                <w:rFonts w:ascii="Calibri" w:hAnsi="Calibri" w:cstheme="minorHAnsi"/>
                <w:b/>
                <w:color w:val="000000" w:themeColor="text1"/>
                <w:sz w:val="18"/>
                <w:szCs w:val="18"/>
              </w:rPr>
            </w:pPr>
          </w:p>
        </w:tc>
        <w:tc>
          <w:tcPr>
            <w:tcW w:w="810" w:type="dxa"/>
            <w:vMerge/>
            <w:shd w:val="clear" w:color="auto" w:fill="C6D9F1" w:themeFill="text2" w:themeFillTint="33"/>
            <w:vAlign w:val="center"/>
          </w:tcPr>
          <w:p w:rsidR="00CE4605" w:rsidRPr="001F29F9" w:rsidRDefault="00CE4605" w:rsidP="00CE4605">
            <w:pPr>
              <w:spacing w:line="220" w:lineRule="exact"/>
              <w:contextualSpacing/>
              <w:rPr>
                <w:rFonts w:ascii="Calibri" w:hAnsi="Calibri" w:cstheme="minorHAnsi"/>
                <w:b/>
                <w:color w:val="000000" w:themeColor="text1"/>
                <w:sz w:val="18"/>
                <w:szCs w:val="18"/>
              </w:rPr>
            </w:pPr>
          </w:p>
        </w:tc>
        <w:tc>
          <w:tcPr>
            <w:tcW w:w="1026" w:type="dxa"/>
            <w:vMerge/>
            <w:shd w:val="clear" w:color="auto" w:fill="C6D9F1" w:themeFill="text2" w:themeFillTint="33"/>
            <w:vAlign w:val="center"/>
          </w:tcPr>
          <w:p w:rsidR="00CE4605" w:rsidRPr="001F29F9" w:rsidRDefault="00CE4605" w:rsidP="00CE4605">
            <w:pPr>
              <w:spacing w:line="220" w:lineRule="exact"/>
              <w:contextualSpacing/>
              <w:rPr>
                <w:rFonts w:ascii="Calibri" w:hAnsi="Calibri" w:cstheme="minorHAnsi"/>
                <w:b/>
                <w:color w:val="000000" w:themeColor="text1"/>
                <w:sz w:val="18"/>
                <w:szCs w:val="18"/>
              </w:rPr>
            </w:pPr>
          </w:p>
        </w:tc>
      </w:tr>
      <w:tr w:rsidR="00CE4605" w:rsidRPr="001F29F9" w:rsidTr="00CE4605">
        <w:trPr>
          <w:trHeight w:val="125"/>
          <w:jc w:val="center"/>
        </w:trPr>
        <w:tc>
          <w:tcPr>
            <w:tcW w:w="1998" w:type="dxa"/>
            <w:tcBorders>
              <w:right w:val="single" w:sz="4" w:space="0" w:color="auto"/>
            </w:tcBorders>
            <w:shd w:val="clear" w:color="auto" w:fill="FFFFFF" w:themeFill="background1"/>
            <w:vAlign w:val="center"/>
          </w:tcPr>
          <w:p w:rsidR="00BC5860" w:rsidRPr="001F29F9" w:rsidRDefault="00F6598A" w:rsidP="00CE4605">
            <w:pPr>
              <w:spacing w:line="220" w:lineRule="exact"/>
              <w:contextualSpacing/>
              <w:jc w:val="left"/>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RSD</w:t>
            </w:r>
            <w:r w:rsidR="003D4ACF">
              <w:rPr>
                <w:rFonts w:ascii="Calibri" w:hAnsi="Calibri" w:cstheme="minorHAnsi"/>
                <w:color w:val="000000" w:themeColor="text1"/>
                <w:sz w:val="18"/>
                <w:szCs w:val="18"/>
              </w:rPr>
              <w:t xml:space="preserve"> </w:t>
            </w:r>
            <w:r>
              <w:rPr>
                <w:rFonts w:ascii="Calibri" w:hAnsi="Calibri" w:cstheme="minorHAnsi"/>
                <w:color w:val="000000" w:themeColor="text1"/>
                <w:sz w:val="18"/>
                <w:szCs w:val="18"/>
              </w:rPr>
              <w:t xml:space="preserve"> R</w:t>
            </w:r>
            <w:r w:rsidR="003D4ACF">
              <w:rPr>
                <w:rFonts w:ascii="Calibri" w:hAnsi="Calibri" w:cstheme="minorHAnsi"/>
                <w:color w:val="000000" w:themeColor="text1"/>
                <w:sz w:val="18"/>
                <w:szCs w:val="18"/>
              </w:rPr>
              <w:t>ight Hand</w:t>
            </w:r>
            <w:r w:rsidR="00C341F4">
              <w:rPr>
                <w:rFonts w:ascii="Calibri" w:hAnsi="Calibri" w:cstheme="minorHAnsi"/>
                <w:color w:val="000000" w:themeColor="text1"/>
                <w:sz w:val="18"/>
                <w:szCs w:val="18"/>
              </w:rPr>
              <w:t>*</w:t>
            </w:r>
          </w:p>
        </w:tc>
        <w:tc>
          <w:tcPr>
            <w:tcW w:w="1080" w:type="dxa"/>
            <w:tcBorders>
              <w:left w:val="single" w:sz="4" w:space="0" w:color="auto"/>
            </w:tcBorders>
            <w:shd w:val="clear" w:color="auto" w:fill="FFFFFF" w:themeFill="background1"/>
            <w:vAlign w:val="center"/>
          </w:tcPr>
          <w:p w:rsidR="00BC5860" w:rsidRPr="001F29F9" w:rsidRDefault="00F6598A" w:rsidP="00CE4605">
            <w:pPr>
              <w:spacing w:line="220" w:lineRule="exact"/>
              <w:contextualSpacing/>
              <w:rPr>
                <w:rFonts w:ascii="Calibri" w:eastAsia="Times New Roman" w:hAnsi="Calibri" w:cstheme="minorHAnsi"/>
                <w:color w:val="000000" w:themeColor="text1"/>
                <w:sz w:val="18"/>
                <w:szCs w:val="18"/>
              </w:rPr>
            </w:pPr>
            <w:r>
              <w:rPr>
                <w:rFonts w:ascii="Calibri" w:eastAsia="Times New Roman" w:hAnsi="Calibri" w:cstheme="minorHAnsi"/>
                <w:color w:val="000000" w:themeColor="text1"/>
                <w:sz w:val="18"/>
                <w:szCs w:val="18"/>
              </w:rPr>
              <w:t>8599-8512</w:t>
            </w:r>
          </w:p>
        </w:tc>
        <w:tc>
          <w:tcPr>
            <w:tcW w:w="720" w:type="dxa"/>
            <w:tcBorders>
              <w:right w:val="single" w:sz="4" w:space="0" w:color="auto"/>
            </w:tcBorders>
            <w:shd w:val="clear" w:color="auto" w:fill="FFFFFF" w:themeFill="background1"/>
            <w:vAlign w:val="center"/>
          </w:tcPr>
          <w:p w:rsidR="00BC5860" w:rsidRPr="001F29F9" w:rsidRDefault="00F6598A" w:rsidP="00CE4605">
            <w:pPr>
              <w:spacing w:line="220" w:lineRule="exact"/>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20</w:t>
            </w:r>
            <w:r w:rsidR="000D2CFD" w:rsidRPr="001F29F9">
              <w:rPr>
                <w:rFonts w:ascii="Calibri" w:hAnsi="Calibri" w:cstheme="minorHAnsi"/>
                <w:color w:val="000000" w:themeColor="text1"/>
                <w:sz w:val="18"/>
                <w:szCs w:val="18"/>
              </w:rPr>
              <w:t>%</w:t>
            </w:r>
          </w:p>
        </w:tc>
        <w:tc>
          <w:tcPr>
            <w:tcW w:w="540" w:type="dxa"/>
            <w:tcBorders>
              <w:left w:val="single" w:sz="4" w:space="0" w:color="auto"/>
              <w:right w:val="thinThickThinSmallGap" w:sz="24" w:space="0" w:color="auto"/>
            </w:tcBorders>
            <w:shd w:val="clear" w:color="auto" w:fill="FFFFFF" w:themeFill="background1"/>
            <w:vAlign w:val="center"/>
          </w:tcPr>
          <w:p w:rsidR="00BC5860" w:rsidRPr="001F29F9" w:rsidRDefault="00F6598A" w:rsidP="00CE4605">
            <w:pPr>
              <w:spacing w:line="220" w:lineRule="exact"/>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20</w:t>
            </w:r>
            <w:r w:rsidR="000D2CFD" w:rsidRPr="001F29F9">
              <w:rPr>
                <w:rFonts w:ascii="Calibri" w:hAnsi="Calibri" w:cstheme="minorHAnsi"/>
                <w:color w:val="000000" w:themeColor="text1"/>
                <w:sz w:val="18"/>
                <w:szCs w:val="18"/>
              </w:rPr>
              <w:t>%</w:t>
            </w:r>
          </w:p>
        </w:tc>
        <w:tc>
          <w:tcPr>
            <w:tcW w:w="2376" w:type="dxa"/>
            <w:tcBorders>
              <w:left w:val="thinThickThinSmallGap" w:sz="24" w:space="0" w:color="auto"/>
            </w:tcBorders>
            <w:shd w:val="clear" w:color="auto" w:fill="FFFFFF" w:themeFill="background1"/>
            <w:vAlign w:val="center"/>
          </w:tcPr>
          <w:p w:rsidR="00BC5860" w:rsidRPr="001F29F9" w:rsidRDefault="002A7B64" w:rsidP="00CE4605">
            <w:pPr>
              <w:spacing w:line="220" w:lineRule="exact"/>
              <w:contextualSpacing/>
              <w:jc w:val="left"/>
              <w:rPr>
                <w:rFonts w:ascii="Calibri" w:eastAsia="Times New Roman" w:hAnsi="Calibri" w:cstheme="minorHAnsi"/>
                <w:color w:val="000000" w:themeColor="text1"/>
                <w:sz w:val="18"/>
                <w:szCs w:val="18"/>
              </w:rPr>
            </w:pPr>
            <w:r>
              <w:rPr>
                <w:rFonts w:ascii="Calibri" w:eastAsia="Times New Roman" w:hAnsi="Calibri" w:cstheme="minorHAnsi"/>
                <w:color w:val="000000" w:themeColor="text1"/>
                <w:sz w:val="18"/>
                <w:szCs w:val="18"/>
              </w:rPr>
              <w:t>Loss of Use of Right Hand</w:t>
            </w:r>
          </w:p>
        </w:tc>
        <w:tc>
          <w:tcPr>
            <w:tcW w:w="720" w:type="dxa"/>
            <w:shd w:val="clear" w:color="auto" w:fill="FFFFFF" w:themeFill="background1"/>
            <w:vAlign w:val="center"/>
          </w:tcPr>
          <w:p w:rsidR="00BC5860" w:rsidRPr="001F29F9" w:rsidRDefault="002A7B64" w:rsidP="00CE4605">
            <w:pPr>
              <w:spacing w:line="220" w:lineRule="exact"/>
              <w:contextualSpacing/>
              <w:rPr>
                <w:rFonts w:ascii="Calibri" w:eastAsia="Times New Roman" w:hAnsi="Calibri" w:cstheme="minorHAnsi"/>
                <w:color w:val="000000" w:themeColor="text1"/>
                <w:sz w:val="18"/>
                <w:szCs w:val="18"/>
              </w:rPr>
            </w:pPr>
            <w:r>
              <w:rPr>
                <w:rFonts w:ascii="Calibri" w:eastAsia="Times New Roman" w:hAnsi="Calibri" w:cstheme="minorHAnsi"/>
                <w:color w:val="000000" w:themeColor="text1"/>
                <w:sz w:val="18"/>
                <w:szCs w:val="18"/>
              </w:rPr>
              <w:t>5125</w:t>
            </w:r>
          </w:p>
        </w:tc>
        <w:tc>
          <w:tcPr>
            <w:tcW w:w="810" w:type="dxa"/>
            <w:shd w:val="clear" w:color="auto" w:fill="FFFFFF" w:themeFill="background1"/>
            <w:vAlign w:val="center"/>
          </w:tcPr>
          <w:p w:rsidR="00BC5860" w:rsidRPr="001F29F9" w:rsidRDefault="002A7B64" w:rsidP="00CE4605">
            <w:pPr>
              <w:spacing w:line="220" w:lineRule="exact"/>
              <w:contextualSpacing/>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70</w:t>
            </w:r>
            <w:r w:rsidR="000D2CFD" w:rsidRPr="001F29F9">
              <w:rPr>
                <w:rFonts w:ascii="Calibri" w:hAnsi="Calibri" w:cstheme="minorHAnsi"/>
                <w:color w:val="000000" w:themeColor="text1"/>
                <w:sz w:val="18"/>
                <w:szCs w:val="18"/>
              </w:rPr>
              <w:t>%</w:t>
            </w:r>
          </w:p>
        </w:tc>
        <w:tc>
          <w:tcPr>
            <w:tcW w:w="1026" w:type="dxa"/>
            <w:shd w:val="clear" w:color="auto" w:fill="FFFFFF" w:themeFill="background1"/>
            <w:vAlign w:val="center"/>
          </w:tcPr>
          <w:p w:rsidR="00BC5860" w:rsidRPr="001F29F9" w:rsidRDefault="000D2CFD" w:rsidP="00CE4605">
            <w:pPr>
              <w:spacing w:line="220" w:lineRule="exact"/>
              <w:contextualSpacing/>
              <w:rPr>
                <w:rFonts w:ascii="Calibri" w:eastAsia="Times New Roman" w:hAnsi="Calibri" w:cstheme="minorHAnsi"/>
                <w:color w:val="000000" w:themeColor="text1"/>
                <w:sz w:val="18"/>
                <w:szCs w:val="18"/>
              </w:rPr>
            </w:pPr>
            <w:r w:rsidRPr="001F29F9">
              <w:rPr>
                <w:rFonts w:ascii="Calibri" w:hAnsi="Calibri" w:cstheme="minorHAnsi"/>
                <w:color w:val="000000" w:themeColor="text1"/>
                <w:sz w:val="18"/>
                <w:szCs w:val="18"/>
              </w:rPr>
              <w:t>200</w:t>
            </w:r>
            <w:r w:rsidR="00F55072">
              <w:rPr>
                <w:rFonts w:ascii="Calibri" w:hAnsi="Calibri" w:cstheme="minorHAnsi"/>
                <w:color w:val="000000" w:themeColor="text1"/>
                <w:sz w:val="18"/>
                <w:szCs w:val="18"/>
              </w:rPr>
              <w:t>50816</w:t>
            </w:r>
          </w:p>
        </w:tc>
      </w:tr>
      <w:tr w:rsidR="00CE4605" w:rsidRPr="001F29F9" w:rsidTr="00CE4605">
        <w:trPr>
          <w:trHeight w:val="125"/>
          <w:jc w:val="center"/>
        </w:trPr>
        <w:tc>
          <w:tcPr>
            <w:tcW w:w="1998" w:type="dxa"/>
            <w:tcBorders>
              <w:right w:val="single" w:sz="4" w:space="0" w:color="auto"/>
            </w:tcBorders>
            <w:shd w:val="clear" w:color="auto" w:fill="FFFFFF" w:themeFill="background1"/>
            <w:vAlign w:val="center"/>
          </w:tcPr>
          <w:p w:rsidR="002A7B64" w:rsidRPr="001F29F9" w:rsidRDefault="002A7B64" w:rsidP="00CE4605">
            <w:pPr>
              <w:spacing w:line="220" w:lineRule="exact"/>
              <w:contextualSpacing/>
              <w:jc w:val="left"/>
              <w:rPr>
                <w:rFonts w:ascii="Calibri" w:eastAsia="Times New Roman" w:hAnsi="Calibri" w:cstheme="minorHAnsi"/>
                <w:color w:val="000000" w:themeColor="text1"/>
                <w:sz w:val="18"/>
                <w:szCs w:val="18"/>
              </w:rPr>
            </w:pPr>
            <w:r>
              <w:rPr>
                <w:rFonts w:ascii="Calibri" w:eastAsia="Times New Roman" w:hAnsi="Calibri" w:cstheme="minorHAnsi"/>
                <w:color w:val="000000" w:themeColor="text1"/>
                <w:sz w:val="18"/>
                <w:szCs w:val="18"/>
              </w:rPr>
              <w:t>P</w:t>
            </w:r>
            <w:r w:rsidR="00BB6E1D">
              <w:rPr>
                <w:rFonts w:ascii="Calibri" w:eastAsia="Times New Roman" w:hAnsi="Calibri" w:cstheme="minorHAnsi"/>
                <w:color w:val="000000" w:themeColor="text1"/>
                <w:sz w:val="18"/>
                <w:szCs w:val="18"/>
              </w:rPr>
              <w:t>TSD</w:t>
            </w:r>
          </w:p>
        </w:tc>
        <w:tc>
          <w:tcPr>
            <w:tcW w:w="1080" w:type="dxa"/>
            <w:tcBorders>
              <w:left w:val="single" w:sz="4" w:space="0" w:color="auto"/>
            </w:tcBorders>
            <w:shd w:val="clear" w:color="auto" w:fill="FFFFFF" w:themeFill="background1"/>
            <w:vAlign w:val="center"/>
          </w:tcPr>
          <w:p w:rsidR="002A7B64" w:rsidRPr="001F29F9" w:rsidRDefault="002A7B64" w:rsidP="00CE4605">
            <w:pPr>
              <w:spacing w:line="220" w:lineRule="exact"/>
              <w:contextualSpacing/>
              <w:rPr>
                <w:rFonts w:ascii="Calibri" w:eastAsia="Times New Roman" w:hAnsi="Calibri" w:cstheme="minorHAnsi"/>
                <w:color w:val="000000" w:themeColor="text1"/>
                <w:sz w:val="18"/>
                <w:szCs w:val="18"/>
              </w:rPr>
            </w:pPr>
            <w:r>
              <w:rPr>
                <w:rFonts w:ascii="Calibri" w:eastAsia="Times New Roman" w:hAnsi="Calibri" w:cstheme="minorHAnsi"/>
                <w:color w:val="000000" w:themeColor="text1"/>
                <w:sz w:val="18"/>
                <w:szCs w:val="18"/>
              </w:rPr>
              <w:t>9411</w:t>
            </w:r>
          </w:p>
        </w:tc>
        <w:tc>
          <w:tcPr>
            <w:tcW w:w="720" w:type="dxa"/>
            <w:tcBorders>
              <w:right w:val="single" w:sz="4" w:space="0" w:color="auto"/>
            </w:tcBorders>
            <w:shd w:val="clear" w:color="auto" w:fill="FFFFFF" w:themeFill="background1"/>
            <w:vAlign w:val="center"/>
          </w:tcPr>
          <w:p w:rsidR="002A7B64" w:rsidRPr="001F29F9" w:rsidRDefault="002A7B64" w:rsidP="00CE4605">
            <w:pPr>
              <w:spacing w:line="220" w:lineRule="exact"/>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10</w:t>
            </w:r>
            <w:r w:rsidRPr="001F29F9">
              <w:rPr>
                <w:rFonts w:ascii="Calibri" w:hAnsi="Calibri" w:cstheme="minorHAnsi"/>
                <w:color w:val="000000" w:themeColor="text1"/>
                <w:sz w:val="18"/>
                <w:szCs w:val="18"/>
              </w:rPr>
              <w:t>%</w:t>
            </w:r>
          </w:p>
        </w:tc>
        <w:tc>
          <w:tcPr>
            <w:tcW w:w="540" w:type="dxa"/>
            <w:tcBorders>
              <w:left w:val="single" w:sz="4" w:space="0" w:color="auto"/>
              <w:right w:val="thinThickThinSmallGap" w:sz="24" w:space="0" w:color="auto"/>
            </w:tcBorders>
            <w:shd w:val="clear" w:color="auto" w:fill="FFFFFF" w:themeFill="background1"/>
            <w:vAlign w:val="center"/>
          </w:tcPr>
          <w:p w:rsidR="002A7B64" w:rsidRPr="001F29F9" w:rsidRDefault="002A7B64" w:rsidP="00CE4605">
            <w:pPr>
              <w:spacing w:line="220" w:lineRule="exact"/>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0</w:t>
            </w:r>
            <w:r w:rsidRPr="001F29F9">
              <w:rPr>
                <w:rFonts w:ascii="Calibri" w:hAnsi="Calibri" w:cstheme="minorHAnsi"/>
                <w:color w:val="000000" w:themeColor="text1"/>
                <w:sz w:val="18"/>
                <w:szCs w:val="18"/>
              </w:rPr>
              <w:t>%</w:t>
            </w:r>
          </w:p>
        </w:tc>
        <w:tc>
          <w:tcPr>
            <w:tcW w:w="2376" w:type="dxa"/>
            <w:vMerge w:val="restart"/>
            <w:tcBorders>
              <w:left w:val="thinThickThinSmallGap" w:sz="24" w:space="0" w:color="auto"/>
            </w:tcBorders>
            <w:shd w:val="clear" w:color="auto" w:fill="FFFFFF" w:themeFill="background1"/>
            <w:vAlign w:val="center"/>
          </w:tcPr>
          <w:p w:rsidR="002A7B64" w:rsidRPr="001F29F9" w:rsidRDefault="002A7B64" w:rsidP="00CE4605">
            <w:pPr>
              <w:spacing w:line="220" w:lineRule="exact"/>
              <w:contextualSpacing/>
              <w:jc w:val="left"/>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PTSD with Depression</w:t>
            </w:r>
          </w:p>
        </w:tc>
        <w:tc>
          <w:tcPr>
            <w:tcW w:w="720" w:type="dxa"/>
            <w:vMerge w:val="restart"/>
            <w:shd w:val="clear" w:color="auto" w:fill="FFFFFF" w:themeFill="background1"/>
            <w:vAlign w:val="center"/>
          </w:tcPr>
          <w:p w:rsidR="002A7B64" w:rsidRPr="001F29F9" w:rsidRDefault="002A7B64" w:rsidP="00CE4605">
            <w:pPr>
              <w:spacing w:line="220" w:lineRule="exact"/>
              <w:contextualSpacing/>
              <w:rPr>
                <w:rFonts w:ascii="Calibri" w:eastAsia="Times New Roman" w:hAnsi="Calibri" w:cstheme="minorHAnsi"/>
                <w:color w:val="000000" w:themeColor="text1"/>
                <w:sz w:val="18"/>
                <w:szCs w:val="18"/>
              </w:rPr>
            </w:pPr>
            <w:r>
              <w:rPr>
                <w:rFonts w:ascii="Calibri" w:eastAsia="Times New Roman" w:hAnsi="Calibri" w:cstheme="minorHAnsi"/>
                <w:color w:val="000000" w:themeColor="text1"/>
                <w:sz w:val="18"/>
                <w:szCs w:val="18"/>
              </w:rPr>
              <w:t>9411</w:t>
            </w:r>
          </w:p>
        </w:tc>
        <w:tc>
          <w:tcPr>
            <w:tcW w:w="810" w:type="dxa"/>
            <w:vMerge w:val="restart"/>
            <w:shd w:val="clear" w:color="auto" w:fill="FFFFFF" w:themeFill="background1"/>
            <w:vAlign w:val="center"/>
          </w:tcPr>
          <w:p w:rsidR="002A7B64" w:rsidRPr="001F29F9" w:rsidRDefault="009F6505" w:rsidP="00CE4605">
            <w:pPr>
              <w:spacing w:line="220" w:lineRule="exact"/>
              <w:contextualSpacing/>
              <w:rPr>
                <w:rFonts w:ascii="Calibri" w:eastAsia="Times New Roman" w:hAnsi="Calibri" w:cstheme="minorHAnsi"/>
                <w:color w:val="000000" w:themeColor="text1"/>
                <w:sz w:val="18"/>
                <w:szCs w:val="18"/>
              </w:rPr>
            </w:pPr>
            <w:r>
              <w:rPr>
                <w:rFonts w:ascii="Calibri" w:eastAsia="Times New Roman" w:hAnsi="Calibri" w:cstheme="minorHAnsi"/>
                <w:color w:val="000000" w:themeColor="text1"/>
                <w:sz w:val="18"/>
                <w:szCs w:val="18"/>
              </w:rPr>
              <w:t>50%</w:t>
            </w:r>
          </w:p>
        </w:tc>
        <w:tc>
          <w:tcPr>
            <w:tcW w:w="1026" w:type="dxa"/>
            <w:vMerge w:val="restart"/>
            <w:shd w:val="clear" w:color="auto" w:fill="FFFFFF" w:themeFill="background1"/>
            <w:vAlign w:val="center"/>
          </w:tcPr>
          <w:p w:rsidR="002A7B64" w:rsidRPr="001F29F9" w:rsidRDefault="00F55072" w:rsidP="00CE4605">
            <w:pPr>
              <w:spacing w:line="220" w:lineRule="exact"/>
              <w:contextualSpacing/>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STR</w:t>
            </w:r>
            <w:r w:rsidR="00CE4605">
              <w:rPr>
                <w:rFonts w:ascii="Calibri" w:hAnsi="Calibri" w:cstheme="minorHAnsi"/>
                <w:color w:val="000000" w:themeColor="text1"/>
                <w:sz w:val="18"/>
                <w:szCs w:val="18"/>
              </w:rPr>
              <w:t>**</w:t>
            </w:r>
          </w:p>
        </w:tc>
      </w:tr>
      <w:tr w:rsidR="002A7B64" w:rsidRPr="001F29F9" w:rsidTr="00CE4605">
        <w:trPr>
          <w:trHeight w:val="188"/>
          <w:jc w:val="center"/>
        </w:trPr>
        <w:tc>
          <w:tcPr>
            <w:tcW w:w="3078" w:type="dxa"/>
            <w:gridSpan w:val="2"/>
            <w:tcBorders>
              <w:right w:val="single" w:sz="4" w:space="0" w:color="auto"/>
            </w:tcBorders>
            <w:shd w:val="clear" w:color="auto" w:fill="FFFFFF" w:themeFill="background1"/>
            <w:vAlign w:val="center"/>
          </w:tcPr>
          <w:p w:rsidR="002A7B64" w:rsidRPr="001F29F9" w:rsidRDefault="002A7B64" w:rsidP="00CE4605">
            <w:pPr>
              <w:spacing w:line="220" w:lineRule="exact"/>
              <w:contextualSpacing/>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Depressive Disorder</w:t>
            </w:r>
          </w:p>
        </w:tc>
        <w:tc>
          <w:tcPr>
            <w:tcW w:w="1260" w:type="dxa"/>
            <w:gridSpan w:val="2"/>
            <w:tcBorders>
              <w:right w:val="thinThickThinSmallGap" w:sz="24" w:space="0" w:color="auto"/>
            </w:tcBorders>
            <w:shd w:val="clear" w:color="auto" w:fill="FFFFFF" w:themeFill="background1"/>
            <w:vAlign w:val="center"/>
          </w:tcPr>
          <w:p w:rsidR="002A7B64" w:rsidRPr="001F29F9" w:rsidRDefault="002A7B64" w:rsidP="00CE4605">
            <w:pPr>
              <w:spacing w:line="220" w:lineRule="exact"/>
              <w:contextualSpacing/>
              <w:rPr>
                <w:rFonts w:ascii="Calibri" w:eastAsia="Times New Roman" w:hAnsi="Calibri" w:cstheme="minorHAnsi"/>
                <w:color w:val="000000" w:themeColor="text1"/>
                <w:sz w:val="18"/>
                <w:szCs w:val="18"/>
              </w:rPr>
            </w:pPr>
            <w:r w:rsidRPr="001F29F9">
              <w:rPr>
                <w:rFonts w:ascii="Calibri" w:hAnsi="Calibri" w:cstheme="minorHAnsi"/>
                <w:color w:val="000000" w:themeColor="text1"/>
                <w:sz w:val="18"/>
                <w:szCs w:val="18"/>
              </w:rPr>
              <w:t>Not Unfitting</w:t>
            </w:r>
          </w:p>
        </w:tc>
        <w:tc>
          <w:tcPr>
            <w:tcW w:w="2376" w:type="dxa"/>
            <w:vMerge/>
            <w:tcBorders>
              <w:left w:val="thinThickThinSmallGap" w:sz="24" w:space="0" w:color="auto"/>
            </w:tcBorders>
            <w:shd w:val="clear" w:color="auto" w:fill="FFFFFF" w:themeFill="background1"/>
            <w:vAlign w:val="center"/>
          </w:tcPr>
          <w:p w:rsidR="002A7B64" w:rsidRPr="001F29F9" w:rsidRDefault="002A7B64" w:rsidP="00CE4605">
            <w:pPr>
              <w:spacing w:line="220" w:lineRule="exact"/>
              <w:contextualSpacing/>
              <w:jc w:val="left"/>
              <w:rPr>
                <w:rFonts w:ascii="Calibri" w:eastAsia="Times New Roman" w:hAnsi="Calibri" w:cstheme="minorHAnsi"/>
                <w:color w:val="000000" w:themeColor="text1"/>
                <w:sz w:val="18"/>
                <w:szCs w:val="18"/>
              </w:rPr>
            </w:pPr>
          </w:p>
        </w:tc>
        <w:tc>
          <w:tcPr>
            <w:tcW w:w="720" w:type="dxa"/>
            <w:vMerge/>
            <w:shd w:val="clear" w:color="auto" w:fill="FFFFFF" w:themeFill="background1"/>
            <w:vAlign w:val="center"/>
          </w:tcPr>
          <w:p w:rsidR="002A7B64" w:rsidRPr="001F29F9" w:rsidRDefault="002A7B64" w:rsidP="00CE4605">
            <w:pPr>
              <w:spacing w:line="220" w:lineRule="exact"/>
              <w:contextualSpacing/>
              <w:rPr>
                <w:rFonts w:ascii="Calibri" w:eastAsia="Times New Roman" w:hAnsi="Calibri" w:cstheme="minorHAnsi"/>
                <w:color w:val="000000" w:themeColor="text1"/>
                <w:sz w:val="18"/>
                <w:szCs w:val="18"/>
              </w:rPr>
            </w:pPr>
          </w:p>
        </w:tc>
        <w:tc>
          <w:tcPr>
            <w:tcW w:w="810" w:type="dxa"/>
            <w:vMerge/>
            <w:shd w:val="clear" w:color="auto" w:fill="FFFFFF" w:themeFill="background1"/>
            <w:vAlign w:val="center"/>
          </w:tcPr>
          <w:p w:rsidR="002A7B64" w:rsidRPr="001F29F9" w:rsidRDefault="002A7B64" w:rsidP="00CE4605">
            <w:pPr>
              <w:spacing w:line="220" w:lineRule="exact"/>
              <w:contextualSpacing/>
              <w:rPr>
                <w:rFonts w:ascii="Calibri" w:eastAsia="Times New Roman" w:hAnsi="Calibri" w:cstheme="minorHAnsi"/>
                <w:color w:val="000000" w:themeColor="text1"/>
                <w:sz w:val="18"/>
                <w:szCs w:val="18"/>
              </w:rPr>
            </w:pPr>
          </w:p>
        </w:tc>
        <w:tc>
          <w:tcPr>
            <w:tcW w:w="1026" w:type="dxa"/>
            <w:vMerge/>
            <w:shd w:val="clear" w:color="auto" w:fill="FFFFFF" w:themeFill="background1"/>
            <w:vAlign w:val="center"/>
          </w:tcPr>
          <w:p w:rsidR="002A7B64" w:rsidRPr="001F29F9" w:rsidRDefault="002A7B64" w:rsidP="00CE4605">
            <w:pPr>
              <w:spacing w:line="220" w:lineRule="exact"/>
              <w:contextualSpacing/>
              <w:rPr>
                <w:rFonts w:ascii="Calibri" w:eastAsia="Times New Roman" w:hAnsi="Calibri" w:cstheme="minorHAnsi"/>
                <w:color w:val="000000" w:themeColor="text1"/>
                <w:sz w:val="18"/>
                <w:szCs w:val="18"/>
              </w:rPr>
            </w:pPr>
          </w:p>
        </w:tc>
      </w:tr>
      <w:tr w:rsidR="00F55072" w:rsidRPr="001F29F9" w:rsidTr="00CE4605">
        <w:trPr>
          <w:trHeight w:val="188"/>
          <w:jc w:val="center"/>
        </w:trPr>
        <w:tc>
          <w:tcPr>
            <w:tcW w:w="4338" w:type="dxa"/>
            <w:gridSpan w:val="4"/>
            <w:vMerge w:val="restart"/>
            <w:tcBorders>
              <w:right w:val="thinThickThinSmallGap" w:sz="24" w:space="0" w:color="auto"/>
            </w:tcBorders>
            <w:shd w:val="clear" w:color="auto" w:fill="FFFFFF" w:themeFill="background1"/>
          </w:tcPr>
          <w:p w:rsidR="00F55072" w:rsidRPr="001F29F9" w:rsidRDefault="00F55072" w:rsidP="00CE4605">
            <w:pPr>
              <w:spacing w:line="220" w:lineRule="exact"/>
              <w:contextualSpacing/>
              <w:rPr>
                <w:color w:val="000000" w:themeColor="text1"/>
                <w:sz w:val="18"/>
                <w:szCs w:val="18"/>
              </w:rPr>
            </w:pPr>
            <w:r w:rsidRPr="001F29F9">
              <w:rPr>
                <w:rFonts w:ascii="Calibri" w:hAnsi="Calibri" w:cstheme="minorHAnsi"/>
                <w:color w:val="000000" w:themeColor="text1"/>
                <w:sz w:val="18"/>
                <w:szCs w:val="18"/>
              </w:rPr>
              <w:t>↓No Additional MEB/PEB Entries↓</w:t>
            </w:r>
          </w:p>
        </w:tc>
        <w:tc>
          <w:tcPr>
            <w:tcW w:w="2376" w:type="dxa"/>
            <w:tcBorders>
              <w:left w:val="thinThickThinSmallGap" w:sz="24" w:space="0" w:color="auto"/>
              <w:right w:val="single" w:sz="4" w:space="0" w:color="auto"/>
            </w:tcBorders>
            <w:shd w:val="clear" w:color="auto" w:fill="FFFFFF" w:themeFill="background1"/>
            <w:vAlign w:val="center"/>
          </w:tcPr>
          <w:p w:rsidR="00F55072" w:rsidRPr="001F29F9" w:rsidRDefault="00F55072" w:rsidP="00CE4605">
            <w:pPr>
              <w:spacing w:line="220" w:lineRule="exact"/>
              <w:contextualSpacing/>
              <w:jc w:val="left"/>
              <w:rPr>
                <w:color w:val="000000" w:themeColor="text1"/>
                <w:sz w:val="18"/>
                <w:szCs w:val="18"/>
              </w:rPr>
            </w:pPr>
            <w:r>
              <w:rPr>
                <w:color w:val="000000" w:themeColor="text1"/>
                <w:sz w:val="18"/>
                <w:szCs w:val="18"/>
              </w:rPr>
              <w:t>Low Back Pain</w:t>
            </w:r>
          </w:p>
        </w:tc>
        <w:tc>
          <w:tcPr>
            <w:tcW w:w="720" w:type="dxa"/>
            <w:tcBorders>
              <w:left w:val="single" w:sz="4" w:space="0" w:color="auto"/>
              <w:right w:val="single" w:sz="4" w:space="0" w:color="auto"/>
            </w:tcBorders>
            <w:shd w:val="clear" w:color="auto" w:fill="FFFFFF" w:themeFill="background1"/>
            <w:vAlign w:val="center"/>
          </w:tcPr>
          <w:p w:rsidR="00F55072" w:rsidRPr="001F29F9" w:rsidRDefault="00F55072" w:rsidP="00CE4605">
            <w:pPr>
              <w:spacing w:line="220" w:lineRule="exact"/>
              <w:contextualSpacing/>
              <w:rPr>
                <w:color w:val="000000" w:themeColor="text1"/>
                <w:sz w:val="18"/>
                <w:szCs w:val="18"/>
              </w:rPr>
            </w:pPr>
            <w:r>
              <w:rPr>
                <w:color w:val="000000" w:themeColor="text1"/>
                <w:sz w:val="18"/>
                <w:szCs w:val="18"/>
              </w:rPr>
              <w:t>5237</w:t>
            </w:r>
          </w:p>
        </w:tc>
        <w:tc>
          <w:tcPr>
            <w:tcW w:w="810" w:type="dxa"/>
            <w:tcBorders>
              <w:left w:val="single" w:sz="4" w:space="0" w:color="auto"/>
            </w:tcBorders>
            <w:shd w:val="clear" w:color="auto" w:fill="FFFFFF" w:themeFill="background1"/>
            <w:vAlign w:val="center"/>
          </w:tcPr>
          <w:p w:rsidR="00F55072" w:rsidRPr="001F29F9" w:rsidRDefault="00F55072" w:rsidP="00CE4605">
            <w:pPr>
              <w:spacing w:line="220" w:lineRule="exact"/>
              <w:contextualSpacing/>
              <w:rPr>
                <w:color w:val="000000" w:themeColor="text1"/>
                <w:sz w:val="18"/>
                <w:szCs w:val="18"/>
              </w:rPr>
            </w:pPr>
            <w:r>
              <w:rPr>
                <w:color w:val="000000" w:themeColor="text1"/>
                <w:sz w:val="18"/>
                <w:szCs w:val="18"/>
              </w:rPr>
              <w:t>10%</w:t>
            </w:r>
          </w:p>
        </w:tc>
        <w:tc>
          <w:tcPr>
            <w:tcW w:w="1026" w:type="dxa"/>
            <w:shd w:val="clear" w:color="auto" w:fill="FFFFFF" w:themeFill="background1"/>
            <w:vAlign w:val="center"/>
          </w:tcPr>
          <w:p w:rsidR="00F55072" w:rsidRPr="001F29F9" w:rsidRDefault="00F55072" w:rsidP="00CE4605">
            <w:pPr>
              <w:spacing w:line="220" w:lineRule="exact"/>
              <w:contextualSpacing/>
              <w:rPr>
                <w:color w:val="000000" w:themeColor="text1"/>
                <w:sz w:val="18"/>
                <w:szCs w:val="18"/>
              </w:rPr>
            </w:pPr>
            <w:r w:rsidRPr="001F29F9">
              <w:rPr>
                <w:rFonts w:ascii="Calibri" w:hAnsi="Calibri" w:cstheme="minorHAnsi"/>
                <w:color w:val="000000" w:themeColor="text1"/>
                <w:sz w:val="18"/>
                <w:szCs w:val="18"/>
              </w:rPr>
              <w:t>200</w:t>
            </w:r>
            <w:r>
              <w:rPr>
                <w:rFonts w:ascii="Calibri" w:hAnsi="Calibri" w:cstheme="minorHAnsi"/>
                <w:color w:val="000000" w:themeColor="text1"/>
                <w:sz w:val="18"/>
                <w:szCs w:val="18"/>
              </w:rPr>
              <w:t>50816</w:t>
            </w:r>
          </w:p>
        </w:tc>
      </w:tr>
      <w:tr w:rsidR="00F55072" w:rsidRPr="001F29F9" w:rsidTr="00CE4605">
        <w:trPr>
          <w:trHeight w:val="188"/>
          <w:jc w:val="center"/>
        </w:trPr>
        <w:tc>
          <w:tcPr>
            <w:tcW w:w="4338" w:type="dxa"/>
            <w:gridSpan w:val="4"/>
            <w:vMerge/>
            <w:tcBorders>
              <w:right w:val="thinThickThinSmallGap" w:sz="24" w:space="0" w:color="auto"/>
            </w:tcBorders>
            <w:shd w:val="clear" w:color="auto" w:fill="FFFFFF" w:themeFill="background1"/>
            <w:vAlign w:val="center"/>
          </w:tcPr>
          <w:p w:rsidR="00F55072" w:rsidRPr="001F29F9" w:rsidRDefault="00F55072" w:rsidP="00CE4605">
            <w:pPr>
              <w:spacing w:line="220" w:lineRule="exact"/>
              <w:contextualSpacing/>
              <w:rPr>
                <w:color w:val="000000" w:themeColor="text1"/>
                <w:sz w:val="18"/>
                <w:szCs w:val="18"/>
              </w:rPr>
            </w:pPr>
          </w:p>
        </w:tc>
        <w:tc>
          <w:tcPr>
            <w:tcW w:w="2376" w:type="dxa"/>
            <w:tcBorders>
              <w:left w:val="thinThickThinSmallGap" w:sz="24" w:space="0" w:color="auto"/>
              <w:right w:val="single" w:sz="4" w:space="0" w:color="auto"/>
            </w:tcBorders>
            <w:shd w:val="clear" w:color="auto" w:fill="FFFFFF" w:themeFill="background1"/>
            <w:vAlign w:val="center"/>
          </w:tcPr>
          <w:p w:rsidR="00F55072" w:rsidRPr="001F29F9" w:rsidRDefault="00F55072" w:rsidP="00CE4605">
            <w:pPr>
              <w:spacing w:line="220" w:lineRule="exact"/>
              <w:contextualSpacing/>
              <w:jc w:val="left"/>
              <w:rPr>
                <w:color w:val="000000" w:themeColor="text1"/>
                <w:sz w:val="18"/>
                <w:szCs w:val="18"/>
              </w:rPr>
            </w:pPr>
            <w:r>
              <w:rPr>
                <w:color w:val="000000" w:themeColor="text1"/>
                <w:sz w:val="18"/>
                <w:szCs w:val="18"/>
              </w:rPr>
              <w:t>R Hip Residuals of Bone Graft</w:t>
            </w:r>
          </w:p>
        </w:tc>
        <w:tc>
          <w:tcPr>
            <w:tcW w:w="720" w:type="dxa"/>
            <w:tcBorders>
              <w:left w:val="single" w:sz="4" w:space="0" w:color="auto"/>
              <w:right w:val="single" w:sz="4" w:space="0" w:color="auto"/>
            </w:tcBorders>
            <w:shd w:val="clear" w:color="auto" w:fill="FFFFFF" w:themeFill="background1"/>
            <w:vAlign w:val="center"/>
          </w:tcPr>
          <w:p w:rsidR="00F55072" w:rsidRPr="001F29F9" w:rsidRDefault="00F55072" w:rsidP="00CE4605">
            <w:pPr>
              <w:spacing w:line="220" w:lineRule="exact"/>
              <w:contextualSpacing/>
              <w:rPr>
                <w:color w:val="000000" w:themeColor="text1"/>
                <w:sz w:val="18"/>
                <w:szCs w:val="18"/>
              </w:rPr>
            </w:pPr>
            <w:r>
              <w:rPr>
                <w:color w:val="000000" w:themeColor="text1"/>
                <w:sz w:val="18"/>
                <w:szCs w:val="18"/>
              </w:rPr>
              <w:t>5252</w:t>
            </w:r>
          </w:p>
        </w:tc>
        <w:tc>
          <w:tcPr>
            <w:tcW w:w="810" w:type="dxa"/>
            <w:tcBorders>
              <w:left w:val="single" w:sz="4" w:space="0" w:color="auto"/>
            </w:tcBorders>
            <w:shd w:val="clear" w:color="auto" w:fill="FFFFFF" w:themeFill="background1"/>
            <w:vAlign w:val="center"/>
          </w:tcPr>
          <w:p w:rsidR="00F55072" w:rsidRPr="001F29F9" w:rsidRDefault="00F55072" w:rsidP="00CE4605">
            <w:pPr>
              <w:spacing w:line="220" w:lineRule="exact"/>
              <w:contextualSpacing/>
              <w:rPr>
                <w:color w:val="000000" w:themeColor="text1"/>
                <w:sz w:val="18"/>
                <w:szCs w:val="18"/>
              </w:rPr>
            </w:pPr>
            <w:r>
              <w:rPr>
                <w:color w:val="000000" w:themeColor="text1"/>
                <w:sz w:val="18"/>
                <w:szCs w:val="18"/>
              </w:rPr>
              <w:t>10%</w:t>
            </w:r>
          </w:p>
        </w:tc>
        <w:tc>
          <w:tcPr>
            <w:tcW w:w="1026" w:type="dxa"/>
            <w:shd w:val="clear" w:color="auto" w:fill="FFFFFF" w:themeFill="background1"/>
            <w:vAlign w:val="center"/>
          </w:tcPr>
          <w:p w:rsidR="00F55072" w:rsidRPr="001F29F9" w:rsidRDefault="00F55072" w:rsidP="00CE4605">
            <w:pPr>
              <w:spacing w:line="220" w:lineRule="exact"/>
              <w:contextualSpacing/>
              <w:rPr>
                <w:color w:val="000000" w:themeColor="text1"/>
                <w:sz w:val="18"/>
                <w:szCs w:val="18"/>
              </w:rPr>
            </w:pPr>
            <w:r w:rsidRPr="001F29F9">
              <w:rPr>
                <w:rFonts w:ascii="Calibri" w:hAnsi="Calibri" w:cstheme="minorHAnsi"/>
                <w:color w:val="000000" w:themeColor="text1"/>
                <w:sz w:val="18"/>
                <w:szCs w:val="18"/>
              </w:rPr>
              <w:t>200</w:t>
            </w:r>
            <w:r>
              <w:rPr>
                <w:rFonts w:ascii="Calibri" w:hAnsi="Calibri" w:cstheme="minorHAnsi"/>
                <w:color w:val="000000" w:themeColor="text1"/>
                <w:sz w:val="18"/>
                <w:szCs w:val="18"/>
              </w:rPr>
              <w:t>50816</w:t>
            </w:r>
          </w:p>
        </w:tc>
      </w:tr>
      <w:tr w:rsidR="00F55072" w:rsidRPr="001F29F9" w:rsidTr="00CE4605">
        <w:trPr>
          <w:trHeight w:val="188"/>
          <w:jc w:val="center"/>
        </w:trPr>
        <w:tc>
          <w:tcPr>
            <w:tcW w:w="4338" w:type="dxa"/>
            <w:gridSpan w:val="4"/>
            <w:vMerge/>
            <w:tcBorders>
              <w:right w:val="thinThickThinSmallGap" w:sz="24" w:space="0" w:color="auto"/>
            </w:tcBorders>
            <w:shd w:val="clear" w:color="auto" w:fill="FFFFFF" w:themeFill="background1"/>
            <w:vAlign w:val="center"/>
          </w:tcPr>
          <w:p w:rsidR="00F55072" w:rsidRPr="001F29F9" w:rsidRDefault="00F55072" w:rsidP="00CE4605">
            <w:pPr>
              <w:spacing w:line="220" w:lineRule="exact"/>
              <w:contextualSpacing/>
              <w:rPr>
                <w:color w:val="000000" w:themeColor="text1"/>
                <w:sz w:val="18"/>
                <w:szCs w:val="18"/>
              </w:rPr>
            </w:pPr>
          </w:p>
        </w:tc>
        <w:tc>
          <w:tcPr>
            <w:tcW w:w="2376" w:type="dxa"/>
            <w:tcBorders>
              <w:left w:val="thinThickThinSmallGap" w:sz="24" w:space="0" w:color="auto"/>
              <w:right w:val="single" w:sz="4" w:space="0" w:color="auto"/>
            </w:tcBorders>
            <w:shd w:val="clear" w:color="auto" w:fill="FFFFFF" w:themeFill="background1"/>
            <w:vAlign w:val="center"/>
          </w:tcPr>
          <w:p w:rsidR="00F55072" w:rsidRPr="001F29F9" w:rsidRDefault="00F55072" w:rsidP="00CE4605">
            <w:pPr>
              <w:spacing w:line="220" w:lineRule="exact"/>
              <w:contextualSpacing/>
              <w:jc w:val="left"/>
              <w:rPr>
                <w:color w:val="000000" w:themeColor="text1"/>
                <w:sz w:val="18"/>
                <w:szCs w:val="18"/>
              </w:rPr>
            </w:pPr>
            <w:r>
              <w:rPr>
                <w:color w:val="000000" w:themeColor="text1"/>
                <w:sz w:val="18"/>
                <w:szCs w:val="18"/>
              </w:rPr>
              <w:t xml:space="preserve">Residuals/ Neck </w:t>
            </w:r>
            <w:r w:rsidR="00CE4605">
              <w:rPr>
                <w:color w:val="000000" w:themeColor="text1"/>
                <w:sz w:val="18"/>
                <w:szCs w:val="18"/>
              </w:rPr>
              <w:t>GSW</w:t>
            </w:r>
          </w:p>
        </w:tc>
        <w:tc>
          <w:tcPr>
            <w:tcW w:w="720" w:type="dxa"/>
            <w:tcBorders>
              <w:left w:val="single" w:sz="4" w:space="0" w:color="auto"/>
              <w:right w:val="single" w:sz="4" w:space="0" w:color="auto"/>
            </w:tcBorders>
            <w:shd w:val="clear" w:color="auto" w:fill="FFFFFF" w:themeFill="background1"/>
            <w:vAlign w:val="center"/>
          </w:tcPr>
          <w:p w:rsidR="00F55072" w:rsidRPr="001F29F9" w:rsidRDefault="00F55072" w:rsidP="00CE4605">
            <w:pPr>
              <w:spacing w:line="220" w:lineRule="exact"/>
              <w:contextualSpacing/>
              <w:rPr>
                <w:color w:val="000000" w:themeColor="text1"/>
                <w:sz w:val="18"/>
                <w:szCs w:val="18"/>
              </w:rPr>
            </w:pPr>
            <w:r>
              <w:rPr>
                <w:color w:val="000000" w:themeColor="text1"/>
                <w:sz w:val="18"/>
                <w:szCs w:val="18"/>
              </w:rPr>
              <w:t>5323</w:t>
            </w:r>
          </w:p>
        </w:tc>
        <w:tc>
          <w:tcPr>
            <w:tcW w:w="810" w:type="dxa"/>
            <w:tcBorders>
              <w:left w:val="single" w:sz="4" w:space="0" w:color="auto"/>
            </w:tcBorders>
            <w:shd w:val="clear" w:color="auto" w:fill="FFFFFF" w:themeFill="background1"/>
            <w:vAlign w:val="center"/>
          </w:tcPr>
          <w:p w:rsidR="00F55072" w:rsidRPr="001F29F9" w:rsidRDefault="00F55072" w:rsidP="00CE4605">
            <w:pPr>
              <w:spacing w:line="220" w:lineRule="exact"/>
              <w:contextualSpacing/>
              <w:rPr>
                <w:color w:val="000000" w:themeColor="text1"/>
                <w:sz w:val="18"/>
                <w:szCs w:val="18"/>
              </w:rPr>
            </w:pPr>
            <w:r>
              <w:rPr>
                <w:color w:val="000000" w:themeColor="text1"/>
                <w:sz w:val="18"/>
                <w:szCs w:val="18"/>
              </w:rPr>
              <w:t>10%</w:t>
            </w:r>
          </w:p>
        </w:tc>
        <w:tc>
          <w:tcPr>
            <w:tcW w:w="1026" w:type="dxa"/>
            <w:shd w:val="clear" w:color="auto" w:fill="FFFFFF" w:themeFill="background1"/>
            <w:vAlign w:val="center"/>
          </w:tcPr>
          <w:p w:rsidR="00F55072" w:rsidRPr="001F29F9" w:rsidRDefault="00F55072" w:rsidP="00CE4605">
            <w:pPr>
              <w:spacing w:line="220" w:lineRule="exact"/>
              <w:contextualSpacing/>
              <w:rPr>
                <w:color w:val="000000" w:themeColor="text1"/>
                <w:sz w:val="18"/>
                <w:szCs w:val="18"/>
              </w:rPr>
            </w:pPr>
            <w:r w:rsidRPr="001F29F9">
              <w:rPr>
                <w:rFonts w:ascii="Calibri" w:hAnsi="Calibri" w:cstheme="minorHAnsi"/>
                <w:color w:val="000000" w:themeColor="text1"/>
                <w:sz w:val="18"/>
                <w:szCs w:val="18"/>
              </w:rPr>
              <w:t>200</w:t>
            </w:r>
            <w:r>
              <w:rPr>
                <w:rFonts w:ascii="Calibri" w:hAnsi="Calibri" w:cstheme="minorHAnsi"/>
                <w:color w:val="000000" w:themeColor="text1"/>
                <w:sz w:val="18"/>
                <w:szCs w:val="18"/>
              </w:rPr>
              <w:t>50816</w:t>
            </w:r>
          </w:p>
        </w:tc>
      </w:tr>
      <w:tr w:rsidR="00F55072" w:rsidRPr="001F29F9" w:rsidTr="00CE4605">
        <w:trPr>
          <w:trHeight w:val="188"/>
          <w:jc w:val="center"/>
        </w:trPr>
        <w:tc>
          <w:tcPr>
            <w:tcW w:w="4338" w:type="dxa"/>
            <w:gridSpan w:val="4"/>
            <w:vMerge/>
            <w:tcBorders>
              <w:right w:val="thinThickThinSmallGap" w:sz="24" w:space="0" w:color="auto"/>
            </w:tcBorders>
            <w:shd w:val="clear" w:color="auto" w:fill="FFFFFF" w:themeFill="background1"/>
            <w:vAlign w:val="center"/>
          </w:tcPr>
          <w:p w:rsidR="00F55072" w:rsidRPr="001F29F9" w:rsidRDefault="00F55072" w:rsidP="00CE4605">
            <w:pPr>
              <w:spacing w:line="220" w:lineRule="exact"/>
              <w:contextualSpacing/>
              <w:rPr>
                <w:color w:val="000000" w:themeColor="text1"/>
                <w:sz w:val="18"/>
                <w:szCs w:val="18"/>
              </w:rPr>
            </w:pPr>
          </w:p>
        </w:tc>
        <w:tc>
          <w:tcPr>
            <w:tcW w:w="2376" w:type="dxa"/>
            <w:tcBorders>
              <w:left w:val="thinThickThinSmallGap" w:sz="24" w:space="0" w:color="auto"/>
              <w:right w:val="single" w:sz="4" w:space="0" w:color="auto"/>
            </w:tcBorders>
            <w:shd w:val="clear" w:color="auto" w:fill="FFFFFF" w:themeFill="background1"/>
            <w:vAlign w:val="center"/>
          </w:tcPr>
          <w:p w:rsidR="00F55072" w:rsidRPr="001F29F9" w:rsidRDefault="00F55072" w:rsidP="00CE4605">
            <w:pPr>
              <w:spacing w:line="220" w:lineRule="exact"/>
              <w:contextualSpacing/>
              <w:jc w:val="left"/>
              <w:rPr>
                <w:color w:val="000000" w:themeColor="text1"/>
                <w:sz w:val="18"/>
                <w:szCs w:val="18"/>
              </w:rPr>
            </w:pPr>
            <w:r>
              <w:rPr>
                <w:color w:val="000000" w:themeColor="text1"/>
                <w:sz w:val="18"/>
                <w:szCs w:val="18"/>
              </w:rPr>
              <w:t>Tinnitus</w:t>
            </w:r>
          </w:p>
        </w:tc>
        <w:tc>
          <w:tcPr>
            <w:tcW w:w="720" w:type="dxa"/>
            <w:tcBorders>
              <w:left w:val="single" w:sz="4" w:space="0" w:color="auto"/>
              <w:right w:val="single" w:sz="4" w:space="0" w:color="auto"/>
            </w:tcBorders>
            <w:shd w:val="clear" w:color="auto" w:fill="FFFFFF" w:themeFill="background1"/>
            <w:vAlign w:val="center"/>
          </w:tcPr>
          <w:p w:rsidR="00F55072" w:rsidRPr="001F29F9" w:rsidRDefault="00F55072" w:rsidP="00CE4605">
            <w:pPr>
              <w:spacing w:line="220" w:lineRule="exact"/>
              <w:contextualSpacing/>
              <w:rPr>
                <w:color w:val="000000" w:themeColor="text1"/>
                <w:sz w:val="18"/>
                <w:szCs w:val="18"/>
              </w:rPr>
            </w:pPr>
            <w:r>
              <w:rPr>
                <w:color w:val="000000" w:themeColor="text1"/>
                <w:sz w:val="18"/>
                <w:szCs w:val="18"/>
              </w:rPr>
              <w:t>6260</w:t>
            </w:r>
          </w:p>
        </w:tc>
        <w:tc>
          <w:tcPr>
            <w:tcW w:w="810" w:type="dxa"/>
            <w:tcBorders>
              <w:left w:val="single" w:sz="4" w:space="0" w:color="auto"/>
            </w:tcBorders>
            <w:shd w:val="clear" w:color="auto" w:fill="FFFFFF" w:themeFill="background1"/>
            <w:vAlign w:val="center"/>
          </w:tcPr>
          <w:p w:rsidR="00F55072" w:rsidRPr="001F29F9" w:rsidRDefault="00F55072" w:rsidP="00CE4605">
            <w:pPr>
              <w:spacing w:line="220" w:lineRule="exact"/>
              <w:contextualSpacing/>
              <w:rPr>
                <w:color w:val="000000" w:themeColor="text1"/>
                <w:sz w:val="18"/>
                <w:szCs w:val="18"/>
              </w:rPr>
            </w:pPr>
            <w:r>
              <w:rPr>
                <w:color w:val="000000" w:themeColor="text1"/>
                <w:sz w:val="18"/>
                <w:szCs w:val="18"/>
              </w:rPr>
              <w:t>10%</w:t>
            </w:r>
          </w:p>
        </w:tc>
        <w:tc>
          <w:tcPr>
            <w:tcW w:w="1026" w:type="dxa"/>
            <w:shd w:val="clear" w:color="auto" w:fill="FFFFFF" w:themeFill="background1"/>
            <w:vAlign w:val="center"/>
          </w:tcPr>
          <w:p w:rsidR="00F55072" w:rsidRPr="001F29F9" w:rsidRDefault="00F55072" w:rsidP="00CE4605">
            <w:pPr>
              <w:spacing w:line="220" w:lineRule="exact"/>
              <w:contextualSpacing/>
              <w:rPr>
                <w:color w:val="000000" w:themeColor="text1"/>
                <w:sz w:val="18"/>
                <w:szCs w:val="18"/>
              </w:rPr>
            </w:pPr>
            <w:r>
              <w:rPr>
                <w:color w:val="000000" w:themeColor="text1"/>
                <w:sz w:val="18"/>
                <w:szCs w:val="18"/>
              </w:rPr>
              <w:t>20050826</w:t>
            </w:r>
          </w:p>
        </w:tc>
      </w:tr>
      <w:tr w:rsidR="00F55072" w:rsidRPr="001F29F9" w:rsidTr="00CE4605">
        <w:trPr>
          <w:trHeight w:val="188"/>
          <w:jc w:val="center"/>
        </w:trPr>
        <w:tc>
          <w:tcPr>
            <w:tcW w:w="4338" w:type="dxa"/>
            <w:gridSpan w:val="4"/>
            <w:vMerge/>
            <w:tcBorders>
              <w:bottom w:val="single" w:sz="4" w:space="0" w:color="000000" w:themeColor="text1"/>
              <w:right w:val="thinThickThinSmallGap" w:sz="24" w:space="0" w:color="auto"/>
            </w:tcBorders>
            <w:shd w:val="clear" w:color="auto" w:fill="FFFFFF" w:themeFill="background1"/>
            <w:vAlign w:val="center"/>
          </w:tcPr>
          <w:p w:rsidR="00F55072" w:rsidRPr="001F29F9" w:rsidRDefault="00F55072" w:rsidP="00CE4605">
            <w:pPr>
              <w:spacing w:line="220" w:lineRule="exact"/>
              <w:contextualSpacing/>
              <w:rPr>
                <w:rFonts w:ascii="Calibri" w:eastAsia="Times New Roman" w:hAnsi="Calibri" w:cstheme="minorHAnsi"/>
                <w:color w:val="000000" w:themeColor="text1"/>
                <w:sz w:val="18"/>
                <w:szCs w:val="18"/>
              </w:rPr>
            </w:pPr>
          </w:p>
        </w:tc>
        <w:tc>
          <w:tcPr>
            <w:tcW w:w="3906" w:type="dxa"/>
            <w:gridSpan w:val="3"/>
            <w:tcBorders>
              <w:left w:val="thinThickThinSmallGap" w:sz="24" w:space="0" w:color="auto"/>
              <w:bottom w:val="single" w:sz="4" w:space="0" w:color="000000" w:themeColor="text1"/>
            </w:tcBorders>
            <w:shd w:val="clear" w:color="auto" w:fill="FFFFFF" w:themeFill="background1"/>
            <w:vAlign w:val="center"/>
          </w:tcPr>
          <w:p w:rsidR="00F55072" w:rsidRPr="001F29F9" w:rsidRDefault="00F55072" w:rsidP="00CE4605">
            <w:pPr>
              <w:spacing w:line="220" w:lineRule="exact"/>
              <w:contextualSpacing/>
              <w:rPr>
                <w:rFonts w:ascii="Calibri" w:eastAsia="Times New Roman" w:hAnsi="Calibri" w:cstheme="minorHAnsi"/>
                <w:color w:val="000000" w:themeColor="text1"/>
                <w:sz w:val="18"/>
                <w:szCs w:val="18"/>
              </w:rPr>
            </w:pPr>
            <w:r w:rsidRPr="001F29F9">
              <w:rPr>
                <w:rFonts w:ascii="Calibri" w:hAnsi="Calibri" w:cstheme="minorHAnsi"/>
                <w:color w:val="000000" w:themeColor="text1"/>
                <w:sz w:val="18"/>
                <w:szCs w:val="18"/>
              </w:rPr>
              <w:t xml:space="preserve">0% x </w:t>
            </w:r>
            <w:r>
              <w:rPr>
                <w:rFonts w:ascii="Calibri" w:hAnsi="Calibri" w:cstheme="minorHAnsi"/>
                <w:color w:val="000000" w:themeColor="text1"/>
                <w:sz w:val="18"/>
                <w:szCs w:val="18"/>
              </w:rPr>
              <w:t>1</w:t>
            </w:r>
            <w:r w:rsidRPr="001F29F9">
              <w:rPr>
                <w:rFonts w:ascii="Calibri" w:hAnsi="Calibri" w:cstheme="minorHAnsi"/>
                <w:color w:val="000000" w:themeColor="text1"/>
                <w:sz w:val="18"/>
                <w:szCs w:val="18"/>
              </w:rPr>
              <w:t xml:space="preserve">/Not Service Connected x </w:t>
            </w:r>
            <w:r>
              <w:rPr>
                <w:rFonts w:ascii="Calibri" w:hAnsi="Calibri" w:cstheme="minorHAnsi"/>
                <w:color w:val="000000" w:themeColor="text1"/>
                <w:sz w:val="18"/>
                <w:szCs w:val="18"/>
              </w:rPr>
              <w:t>8</w:t>
            </w:r>
          </w:p>
        </w:tc>
        <w:tc>
          <w:tcPr>
            <w:tcW w:w="1026" w:type="dxa"/>
            <w:tcBorders>
              <w:bottom w:val="single" w:sz="4" w:space="0" w:color="000000" w:themeColor="text1"/>
            </w:tcBorders>
            <w:shd w:val="clear" w:color="auto" w:fill="FFFFFF" w:themeFill="background1"/>
            <w:vAlign w:val="center"/>
          </w:tcPr>
          <w:p w:rsidR="00F55072" w:rsidRPr="001F29F9" w:rsidRDefault="00F55072" w:rsidP="00CE4605">
            <w:pPr>
              <w:spacing w:line="220" w:lineRule="exact"/>
              <w:contextualSpacing/>
              <w:rPr>
                <w:rFonts w:ascii="Calibri" w:eastAsia="Times New Roman" w:hAnsi="Calibri" w:cstheme="minorHAnsi"/>
                <w:color w:val="000000" w:themeColor="text1"/>
                <w:sz w:val="18"/>
                <w:szCs w:val="18"/>
              </w:rPr>
            </w:pPr>
            <w:r w:rsidRPr="001F29F9">
              <w:rPr>
                <w:rFonts w:ascii="Calibri" w:hAnsi="Calibri" w:cstheme="minorHAnsi"/>
                <w:color w:val="000000" w:themeColor="text1"/>
                <w:sz w:val="18"/>
                <w:szCs w:val="18"/>
              </w:rPr>
              <w:t>200</w:t>
            </w:r>
            <w:r>
              <w:rPr>
                <w:rFonts w:ascii="Calibri" w:hAnsi="Calibri" w:cstheme="minorHAnsi"/>
                <w:color w:val="000000" w:themeColor="text1"/>
                <w:sz w:val="18"/>
                <w:szCs w:val="18"/>
              </w:rPr>
              <w:t>50816</w:t>
            </w:r>
          </w:p>
        </w:tc>
      </w:tr>
      <w:tr w:rsidR="006D4250" w:rsidRPr="001F29F9" w:rsidTr="00CE4605">
        <w:trPr>
          <w:trHeight w:val="242"/>
          <w:jc w:val="center"/>
        </w:trPr>
        <w:tc>
          <w:tcPr>
            <w:tcW w:w="4338" w:type="dxa"/>
            <w:gridSpan w:val="4"/>
            <w:tcBorders>
              <w:right w:val="thinThickThinSmallGap" w:sz="24" w:space="0" w:color="auto"/>
            </w:tcBorders>
            <w:shd w:val="clear" w:color="auto" w:fill="D9D9D9" w:themeFill="background1" w:themeFillShade="D9"/>
          </w:tcPr>
          <w:p w:rsidR="006D4250" w:rsidRPr="009F6505" w:rsidRDefault="003D4ACF" w:rsidP="00CE4605">
            <w:pPr>
              <w:contextualSpacing/>
              <w:rPr>
                <w:rFonts w:ascii="Calibri" w:hAnsi="Calibri" w:cstheme="minorHAnsi"/>
                <w:b/>
                <w:color w:val="000000" w:themeColor="text1"/>
                <w:sz w:val="20"/>
                <w:szCs w:val="20"/>
              </w:rPr>
            </w:pPr>
            <w:r w:rsidRPr="009F6505">
              <w:rPr>
                <w:rFonts w:ascii="Calibri" w:hAnsi="Calibri" w:cstheme="minorHAnsi"/>
                <w:b/>
                <w:color w:val="000000" w:themeColor="text1"/>
                <w:sz w:val="20"/>
                <w:szCs w:val="20"/>
              </w:rPr>
              <w:t xml:space="preserve">Final </w:t>
            </w:r>
            <w:r w:rsidR="006D4250" w:rsidRPr="009F6505">
              <w:rPr>
                <w:rFonts w:ascii="Calibri" w:hAnsi="Calibri" w:cstheme="minorHAnsi"/>
                <w:b/>
                <w:color w:val="000000" w:themeColor="text1"/>
                <w:sz w:val="20"/>
                <w:szCs w:val="20"/>
              </w:rPr>
              <w:t xml:space="preserve">Combined:  </w:t>
            </w:r>
            <w:r w:rsidR="00EF45DB" w:rsidRPr="009F6505">
              <w:rPr>
                <w:rFonts w:ascii="Calibri" w:hAnsi="Calibri" w:cstheme="minorHAnsi"/>
                <w:b/>
                <w:color w:val="000000" w:themeColor="text1"/>
                <w:sz w:val="20"/>
                <w:szCs w:val="20"/>
              </w:rPr>
              <w:t>20</w:t>
            </w:r>
            <w:r w:rsidR="006D4250" w:rsidRPr="009F6505">
              <w:rPr>
                <w:rFonts w:ascii="Calibri" w:hAnsi="Calibri" w:cstheme="minorHAnsi"/>
                <w:b/>
                <w:color w:val="000000" w:themeColor="text1"/>
                <w:sz w:val="20"/>
                <w:szCs w:val="20"/>
              </w:rPr>
              <w:t>%</w:t>
            </w:r>
          </w:p>
        </w:tc>
        <w:tc>
          <w:tcPr>
            <w:tcW w:w="4932" w:type="dxa"/>
            <w:gridSpan w:val="4"/>
            <w:tcBorders>
              <w:left w:val="thinThickThinSmallGap" w:sz="24" w:space="0" w:color="auto"/>
            </w:tcBorders>
            <w:shd w:val="clear" w:color="auto" w:fill="D9D9D9" w:themeFill="background1" w:themeFillShade="D9"/>
          </w:tcPr>
          <w:p w:rsidR="006D4250" w:rsidRPr="009F6505" w:rsidRDefault="006D4250" w:rsidP="00CE4605">
            <w:pPr>
              <w:contextualSpacing/>
              <w:rPr>
                <w:rFonts w:ascii="Calibri" w:hAnsi="Calibri" w:cstheme="minorHAnsi"/>
                <w:b/>
                <w:color w:val="000000" w:themeColor="text1"/>
                <w:sz w:val="20"/>
                <w:szCs w:val="20"/>
              </w:rPr>
            </w:pPr>
            <w:r w:rsidRPr="009F6505">
              <w:rPr>
                <w:rFonts w:ascii="Calibri" w:hAnsi="Calibri" w:cstheme="minorHAnsi"/>
                <w:b/>
                <w:color w:val="000000" w:themeColor="text1"/>
                <w:sz w:val="20"/>
                <w:szCs w:val="20"/>
              </w:rPr>
              <w:t xml:space="preserve">Combined: </w:t>
            </w:r>
            <w:r w:rsidR="009F6505" w:rsidRPr="009F6505">
              <w:rPr>
                <w:rFonts w:ascii="Calibri" w:hAnsi="Calibri" w:cstheme="minorHAnsi"/>
                <w:b/>
                <w:color w:val="000000" w:themeColor="text1"/>
                <w:sz w:val="20"/>
                <w:szCs w:val="20"/>
              </w:rPr>
              <w:t>9</w:t>
            </w:r>
            <w:r w:rsidR="006F0F9C" w:rsidRPr="009F6505">
              <w:rPr>
                <w:rFonts w:ascii="Calibri" w:hAnsi="Calibri" w:cstheme="minorHAnsi"/>
                <w:b/>
                <w:color w:val="000000" w:themeColor="text1"/>
                <w:sz w:val="20"/>
                <w:szCs w:val="20"/>
              </w:rPr>
              <w:t>0</w:t>
            </w:r>
            <w:r w:rsidRPr="009F6505">
              <w:rPr>
                <w:rFonts w:ascii="Calibri" w:hAnsi="Calibri" w:cstheme="minorHAnsi"/>
                <w:b/>
                <w:color w:val="000000" w:themeColor="text1"/>
                <w:sz w:val="20"/>
                <w:szCs w:val="20"/>
              </w:rPr>
              <w:t>%</w:t>
            </w:r>
          </w:p>
        </w:tc>
      </w:tr>
    </w:tbl>
    <w:p w:rsidR="00CE4605" w:rsidRDefault="002A7B64" w:rsidP="00CE4605">
      <w:pPr>
        <w:pBdr>
          <w:bottom w:val="single" w:sz="12" w:space="2" w:color="auto"/>
        </w:pBdr>
        <w:tabs>
          <w:tab w:val="left" w:pos="288"/>
          <w:tab w:val="left" w:pos="4752"/>
        </w:tabs>
        <w:spacing w:line="180" w:lineRule="exact"/>
        <w:jc w:val="both"/>
        <w:rPr>
          <w:color w:val="000000" w:themeColor="text1"/>
          <w:sz w:val="18"/>
          <w:szCs w:val="18"/>
        </w:rPr>
      </w:pPr>
      <w:r>
        <w:rPr>
          <w:color w:val="000000" w:themeColor="text1"/>
          <w:sz w:val="18"/>
          <w:szCs w:val="18"/>
        </w:rPr>
        <w:t>*</w:t>
      </w:r>
      <w:r w:rsidR="00C341F4">
        <w:rPr>
          <w:color w:val="000000" w:themeColor="text1"/>
          <w:sz w:val="18"/>
          <w:szCs w:val="18"/>
        </w:rPr>
        <w:t xml:space="preserve"> </w:t>
      </w:r>
      <w:r>
        <w:rPr>
          <w:color w:val="000000" w:themeColor="text1"/>
          <w:sz w:val="18"/>
          <w:szCs w:val="18"/>
        </w:rPr>
        <w:t xml:space="preserve">At time of placement on TDRL, this condition </w:t>
      </w:r>
      <w:r w:rsidR="00AF5D38">
        <w:rPr>
          <w:color w:val="000000" w:themeColor="text1"/>
          <w:sz w:val="18"/>
          <w:szCs w:val="18"/>
        </w:rPr>
        <w:t xml:space="preserve">was </w:t>
      </w:r>
      <w:r>
        <w:rPr>
          <w:color w:val="000000" w:themeColor="text1"/>
          <w:sz w:val="18"/>
          <w:szCs w:val="18"/>
        </w:rPr>
        <w:t>rated as two conditions – ankylosis with RSD of long finger coded 5226 at</w:t>
      </w:r>
    </w:p>
    <w:p w:rsidR="002A7B64" w:rsidRDefault="00C341F4" w:rsidP="00CE4605">
      <w:pPr>
        <w:pBdr>
          <w:bottom w:val="single" w:sz="12" w:space="2" w:color="auto"/>
        </w:pBdr>
        <w:tabs>
          <w:tab w:val="left" w:pos="288"/>
          <w:tab w:val="left" w:pos="4752"/>
        </w:tabs>
        <w:spacing w:line="180" w:lineRule="exact"/>
        <w:jc w:val="both"/>
        <w:rPr>
          <w:color w:val="000000" w:themeColor="text1"/>
          <w:sz w:val="18"/>
          <w:szCs w:val="18"/>
        </w:rPr>
      </w:pPr>
      <w:r>
        <w:rPr>
          <w:color w:val="000000" w:themeColor="text1"/>
          <w:sz w:val="18"/>
          <w:szCs w:val="18"/>
        </w:rPr>
        <w:t xml:space="preserve">   </w:t>
      </w:r>
      <w:r w:rsidR="002A7B64">
        <w:rPr>
          <w:color w:val="000000" w:themeColor="text1"/>
          <w:sz w:val="18"/>
          <w:szCs w:val="18"/>
        </w:rPr>
        <w:t xml:space="preserve">10% and right index finger limitation of motion coded 5229 at 10%.   </w:t>
      </w:r>
      <w:r>
        <w:rPr>
          <w:color w:val="000000" w:themeColor="text1"/>
          <w:sz w:val="18"/>
          <w:szCs w:val="18"/>
        </w:rPr>
        <w:t>** Service Treatment Record.</w:t>
      </w:r>
    </w:p>
    <w:p w:rsidR="005372C5" w:rsidRPr="002A7B64" w:rsidRDefault="005372C5" w:rsidP="002A7B64">
      <w:pPr>
        <w:pBdr>
          <w:bottom w:val="single" w:sz="12" w:space="2" w:color="auto"/>
        </w:pBdr>
        <w:tabs>
          <w:tab w:val="left" w:pos="288"/>
          <w:tab w:val="left" w:pos="4752"/>
        </w:tabs>
        <w:jc w:val="both"/>
        <w:rPr>
          <w:rFonts w:asciiTheme="minorHAnsi" w:hAnsiTheme="minorHAnsi"/>
          <w:color w:val="auto"/>
          <w:sz w:val="18"/>
          <w:szCs w:val="18"/>
        </w:rPr>
      </w:pPr>
    </w:p>
    <w:p w:rsidR="009369A6" w:rsidRPr="001F29F9" w:rsidRDefault="009369A6" w:rsidP="009369A6">
      <w:pPr>
        <w:rPr>
          <w:color w:val="000000" w:themeColor="text1"/>
          <w:szCs w:val="24"/>
          <w:u w:val="single"/>
        </w:rPr>
      </w:pPr>
    </w:p>
    <w:p w:rsidR="002C6E5B" w:rsidRPr="001F29F9" w:rsidRDefault="002C6E5B" w:rsidP="00AF5D38">
      <w:pPr>
        <w:jc w:val="both"/>
        <w:rPr>
          <w:color w:val="000000" w:themeColor="text1"/>
          <w:szCs w:val="24"/>
          <w:u w:val="single"/>
        </w:rPr>
      </w:pPr>
      <w:r w:rsidRPr="001F29F9">
        <w:rPr>
          <w:color w:val="000000" w:themeColor="text1"/>
          <w:szCs w:val="24"/>
          <w:u w:val="single"/>
        </w:rPr>
        <w:t>ANALYSIS SUMMARY</w:t>
      </w:r>
      <w:r w:rsidRPr="001F29F9">
        <w:rPr>
          <w:color w:val="000000" w:themeColor="text1"/>
          <w:szCs w:val="24"/>
        </w:rPr>
        <w:t>:</w:t>
      </w:r>
      <w:r w:rsidR="00AF5D38">
        <w:rPr>
          <w:color w:val="000000" w:themeColor="text1"/>
          <w:szCs w:val="24"/>
        </w:rPr>
        <w:t xml:space="preserve">  </w:t>
      </w:r>
      <w:r w:rsidR="00AF5D38" w:rsidRPr="00AF5D38">
        <w:rPr>
          <w:color w:val="000000" w:themeColor="text1"/>
          <w:szCs w:val="24"/>
        </w:rPr>
        <w:t xml:space="preserve">The Board acknowledges the CI’s contention that suggests </w:t>
      </w:r>
      <w:r w:rsidR="003E0905">
        <w:rPr>
          <w:color w:val="000000" w:themeColor="text1"/>
          <w:szCs w:val="24"/>
        </w:rPr>
        <w:t>S</w:t>
      </w:r>
      <w:r w:rsidR="00AF5D38" w:rsidRPr="00AF5D38">
        <w:rPr>
          <w:color w:val="000000" w:themeColor="text1"/>
          <w:szCs w:val="24"/>
        </w:rPr>
        <w:t xml:space="preserve">ervice ratings should have been conferred for other conditions documented at the time of separation. The Board wishes to clarify that it is subject to the same laws for service disability entitlements as those under which the DES operates. </w:t>
      </w:r>
      <w:r w:rsidR="00AF5D38">
        <w:rPr>
          <w:color w:val="000000" w:themeColor="text1"/>
          <w:szCs w:val="24"/>
        </w:rPr>
        <w:t xml:space="preserve"> </w:t>
      </w:r>
      <w:r w:rsidR="00AF5D38" w:rsidRPr="00AF5D38">
        <w:rPr>
          <w:color w:val="000000" w:themeColor="text1"/>
          <w:szCs w:val="24"/>
        </w:rPr>
        <w:t xml:space="preserve">While the DES considers all of the service member's medical conditions, compensation can only be offered for those medical conditions that cut short a </w:t>
      </w:r>
      <w:r w:rsidR="003E0905">
        <w:rPr>
          <w:color w:val="000000" w:themeColor="text1"/>
          <w:szCs w:val="24"/>
        </w:rPr>
        <w:t>S</w:t>
      </w:r>
      <w:r w:rsidR="00AF5D38" w:rsidRPr="00AF5D38">
        <w:rPr>
          <w:color w:val="000000" w:themeColor="text1"/>
          <w:szCs w:val="24"/>
        </w:rPr>
        <w:t xml:space="preserve">ervice member’s career, and then only to the degree of severity present at the time of final disposition. </w:t>
      </w:r>
      <w:r w:rsidR="00AF5D38">
        <w:rPr>
          <w:color w:val="000000" w:themeColor="text1"/>
          <w:szCs w:val="24"/>
        </w:rPr>
        <w:t xml:space="preserve"> </w:t>
      </w:r>
      <w:r w:rsidR="00AF5D38" w:rsidRPr="00AF5D38">
        <w:rPr>
          <w:color w:val="000000" w:themeColor="text1"/>
          <w:szCs w:val="24"/>
        </w:rPr>
        <w:t>However the Department of Veteran</w:t>
      </w:r>
      <w:r w:rsidR="00BA5EC8">
        <w:rPr>
          <w:color w:val="000000" w:themeColor="text1"/>
          <w:szCs w:val="24"/>
        </w:rPr>
        <w:t>s’ Affairs (</w:t>
      </w:r>
      <w:r w:rsidR="003E0905">
        <w:rPr>
          <w:color w:val="000000" w:themeColor="text1"/>
          <w:szCs w:val="24"/>
        </w:rPr>
        <w:t>D</w:t>
      </w:r>
      <w:r w:rsidR="00AF5D38" w:rsidRPr="00AF5D38">
        <w:rPr>
          <w:color w:val="000000" w:themeColor="text1"/>
          <w:szCs w:val="24"/>
        </w:rPr>
        <w:t>VA), operating under a different set of laws (Title 38, United States Code), is empowered to compensate all service</w:t>
      </w:r>
      <w:r w:rsidR="003E0905">
        <w:rPr>
          <w:color w:val="000000" w:themeColor="text1"/>
          <w:szCs w:val="24"/>
        </w:rPr>
        <w:t>-</w:t>
      </w:r>
      <w:r w:rsidR="00AF5D38" w:rsidRPr="00AF5D38">
        <w:rPr>
          <w:color w:val="000000" w:themeColor="text1"/>
          <w:szCs w:val="24"/>
        </w:rPr>
        <w:t>connected conditions and to periodically reevaluate said conditions fo</w:t>
      </w:r>
      <w:r w:rsidR="00BA5EC8">
        <w:rPr>
          <w:color w:val="000000" w:themeColor="text1"/>
          <w:szCs w:val="24"/>
        </w:rPr>
        <w:t>r the purpose of adjusting the V</w:t>
      </w:r>
      <w:r w:rsidR="00AF5D38" w:rsidRPr="00AF5D38">
        <w:rPr>
          <w:color w:val="000000" w:themeColor="text1"/>
          <w:szCs w:val="24"/>
        </w:rPr>
        <w:t xml:space="preserve">eteran’s disability rating should </w:t>
      </w:r>
      <w:r w:rsidR="003E0905">
        <w:rPr>
          <w:color w:val="000000" w:themeColor="text1"/>
          <w:szCs w:val="24"/>
        </w:rPr>
        <w:t>the</w:t>
      </w:r>
      <w:r w:rsidR="00AF5D38" w:rsidRPr="00AF5D38">
        <w:rPr>
          <w:color w:val="000000" w:themeColor="text1"/>
          <w:szCs w:val="24"/>
        </w:rPr>
        <w:t xml:space="preserve"> degree of impairment vary over time. </w:t>
      </w:r>
      <w:r w:rsidR="00FC4B8A">
        <w:rPr>
          <w:color w:val="000000" w:themeColor="text1"/>
          <w:szCs w:val="24"/>
        </w:rPr>
        <w:t xml:space="preserve">  </w:t>
      </w:r>
    </w:p>
    <w:p w:rsidR="00010711" w:rsidRPr="001F29F9" w:rsidRDefault="00010711" w:rsidP="00BF0E94">
      <w:pPr>
        <w:jc w:val="left"/>
        <w:rPr>
          <w:color w:val="000000" w:themeColor="text1"/>
          <w:szCs w:val="24"/>
        </w:rPr>
      </w:pPr>
    </w:p>
    <w:p w:rsidR="002412A8" w:rsidRDefault="00FC4B8A" w:rsidP="00A8067F">
      <w:pPr>
        <w:tabs>
          <w:tab w:val="left" w:pos="288"/>
          <w:tab w:val="left" w:pos="4752"/>
        </w:tabs>
        <w:jc w:val="both"/>
        <w:rPr>
          <w:rFonts w:asciiTheme="minorHAnsi" w:hAnsiTheme="minorHAnsi"/>
          <w:color w:val="auto"/>
          <w:szCs w:val="24"/>
        </w:rPr>
      </w:pPr>
      <w:proofErr w:type="gramStart"/>
      <w:r>
        <w:rPr>
          <w:rFonts w:asciiTheme="minorHAnsi" w:hAnsiTheme="minorHAnsi"/>
          <w:color w:val="auto"/>
          <w:szCs w:val="24"/>
          <w:u w:val="single"/>
        </w:rPr>
        <w:t>Right Hand Condition</w:t>
      </w:r>
      <w:r w:rsidR="00A8067F">
        <w:rPr>
          <w:rFonts w:asciiTheme="minorHAnsi" w:hAnsiTheme="minorHAnsi"/>
          <w:color w:val="auto"/>
          <w:szCs w:val="24"/>
        </w:rPr>
        <w:t>.</w:t>
      </w:r>
      <w:proofErr w:type="gramEnd"/>
      <w:r w:rsidR="007E3498">
        <w:rPr>
          <w:rFonts w:asciiTheme="minorHAnsi" w:hAnsiTheme="minorHAnsi"/>
          <w:color w:val="auto"/>
          <w:szCs w:val="24"/>
        </w:rPr>
        <w:t xml:space="preserve"> </w:t>
      </w:r>
      <w:r w:rsidR="00DC1F4B">
        <w:rPr>
          <w:rFonts w:asciiTheme="minorHAnsi" w:hAnsiTheme="minorHAnsi"/>
          <w:color w:val="auto"/>
          <w:szCs w:val="24"/>
        </w:rPr>
        <w:t xml:space="preserve"> </w:t>
      </w:r>
      <w:r w:rsidR="00E0280F">
        <w:rPr>
          <w:rFonts w:asciiTheme="minorHAnsi" w:hAnsiTheme="minorHAnsi"/>
          <w:color w:val="auto"/>
          <w:szCs w:val="24"/>
        </w:rPr>
        <w:t xml:space="preserve">RSD </w:t>
      </w:r>
      <w:r>
        <w:rPr>
          <w:rFonts w:asciiTheme="minorHAnsi" w:hAnsiTheme="minorHAnsi"/>
          <w:color w:val="auto"/>
          <w:szCs w:val="24"/>
        </w:rPr>
        <w:t>(</w:t>
      </w:r>
      <w:r w:rsidR="003679A7">
        <w:rPr>
          <w:rFonts w:asciiTheme="minorHAnsi" w:hAnsiTheme="minorHAnsi"/>
          <w:color w:val="auto"/>
          <w:szCs w:val="24"/>
        </w:rPr>
        <w:t xml:space="preserve">interchangeable with the </w:t>
      </w:r>
      <w:r w:rsidR="008E7966">
        <w:rPr>
          <w:rFonts w:asciiTheme="minorHAnsi" w:hAnsiTheme="minorHAnsi"/>
          <w:color w:val="auto"/>
          <w:szCs w:val="24"/>
        </w:rPr>
        <w:t>currently preferred</w:t>
      </w:r>
      <w:r w:rsidR="003679A7">
        <w:rPr>
          <w:rFonts w:asciiTheme="minorHAnsi" w:hAnsiTheme="minorHAnsi"/>
          <w:color w:val="auto"/>
          <w:szCs w:val="24"/>
        </w:rPr>
        <w:t>, and VA applied,</w:t>
      </w:r>
      <w:r w:rsidR="008E7966">
        <w:rPr>
          <w:rFonts w:asciiTheme="minorHAnsi" w:hAnsiTheme="minorHAnsi"/>
          <w:color w:val="auto"/>
          <w:szCs w:val="24"/>
        </w:rPr>
        <w:t xml:space="preserve"> nomenclature</w:t>
      </w:r>
      <w:r w:rsidR="003679A7">
        <w:rPr>
          <w:rFonts w:asciiTheme="minorHAnsi" w:hAnsiTheme="minorHAnsi"/>
          <w:color w:val="auto"/>
          <w:szCs w:val="24"/>
        </w:rPr>
        <w:t xml:space="preserve"> of </w:t>
      </w:r>
      <w:r w:rsidR="00BA5EC8">
        <w:rPr>
          <w:rFonts w:asciiTheme="minorHAnsi" w:hAnsiTheme="minorHAnsi"/>
          <w:color w:val="auto"/>
          <w:szCs w:val="24"/>
        </w:rPr>
        <w:t>c</w:t>
      </w:r>
      <w:r w:rsidRPr="00FC4B8A">
        <w:rPr>
          <w:rFonts w:asciiTheme="minorHAnsi" w:hAnsiTheme="minorHAnsi"/>
          <w:color w:val="auto"/>
          <w:szCs w:val="24"/>
        </w:rPr>
        <w:t xml:space="preserve">omplex </w:t>
      </w:r>
      <w:r w:rsidR="00BA5EC8">
        <w:rPr>
          <w:rFonts w:asciiTheme="minorHAnsi" w:hAnsiTheme="minorHAnsi"/>
          <w:color w:val="auto"/>
          <w:szCs w:val="24"/>
        </w:rPr>
        <w:t>r</w:t>
      </w:r>
      <w:r w:rsidRPr="00FC4B8A">
        <w:rPr>
          <w:rFonts w:asciiTheme="minorHAnsi" w:hAnsiTheme="minorHAnsi"/>
          <w:color w:val="auto"/>
          <w:szCs w:val="24"/>
        </w:rPr>
        <w:t xml:space="preserve">egional </w:t>
      </w:r>
      <w:r w:rsidR="00BA5EC8">
        <w:rPr>
          <w:rFonts w:asciiTheme="minorHAnsi" w:hAnsiTheme="minorHAnsi"/>
          <w:color w:val="auto"/>
          <w:szCs w:val="24"/>
        </w:rPr>
        <w:t>p</w:t>
      </w:r>
      <w:r w:rsidRPr="00FC4B8A">
        <w:rPr>
          <w:rFonts w:asciiTheme="minorHAnsi" w:hAnsiTheme="minorHAnsi"/>
          <w:color w:val="auto"/>
          <w:szCs w:val="24"/>
        </w:rPr>
        <w:t xml:space="preserve">ain </w:t>
      </w:r>
      <w:r w:rsidR="00BA5EC8">
        <w:rPr>
          <w:rFonts w:asciiTheme="minorHAnsi" w:hAnsiTheme="minorHAnsi"/>
          <w:color w:val="auto"/>
          <w:szCs w:val="24"/>
        </w:rPr>
        <w:t>syndrome, CRPS)</w:t>
      </w:r>
      <w:r w:rsidR="008D3043">
        <w:rPr>
          <w:rFonts w:asciiTheme="minorHAnsi" w:hAnsiTheme="minorHAnsi"/>
          <w:color w:val="auto"/>
          <w:szCs w:val="24"/>
        </w:rPr>
        <w:t xml:space="preserve"> </w:t>
      </w:r>
      <w:r w:rsidR="00A8067F" w:rsidRPr="00FC4B8A">
        <w:rPr>
          <w:rFonts w:asciiTheme="minorHAnsi" w:hAnsiTheme="minorHAnsi"/>
          <w:color w:val="auto"/>
          <w:szCs w:val="24"/>
        </w:rPr>
        <w:t xml:space="preserve">is a fairly uncommon, but well recognized, peripheral nerve dysfunction following </w:t>
      </w:r>
      <w:r w:rsidR="00A8067F">
        <w:rPr>
          <w:rFonts w:asciiTheme="minorHAnsi" w:hAnsiTheme="minorHAnsi"/>
          <w:color w:val="auto"/>
          <w:szCs w:val="24"/>
        </w:rPr>
        <w:t>trauma.  It is characterized by hypersensitivity of the involved nerve</w:t>
      </w:r>
      <w:r w:rsidR="003679A7">
        <w:rPr>
          <w:rFonts w:asciiTheme="minorHAnsi" w:hAnsiTheme="minorHAnsi"/>
          <w:color w:val="auto"/>
          <w:szCs w:val="24"/>
        </w:rPr>
        <w:t>s</w:t>
      </w:r>
      <w:r w:rsidR="00A8067F">
        <w:rPr>
          <w:rFonts w:asciiTheme="minorHAnsi" w:hAnsiTheme="minorHAnsi"/>
          <w:color w:val="auto"/>
          <w:szCs w:val="24"/>
        </w:rPr>
        <w:t xml:space="preserve"> and results in severe persistent pain out of proportion to that expected from the injury.  There are no ancillary or exam findings which are expected to be abnormal or diagnostic.</w:t>
      </w:r>
      <w:r>
        <w:rPr>
          <w:rFonts w:asciiTheme="minorHAnsi" w:hAnsiTheme="minorHAnsi"/>
          <w:color w:val="auto"/>
          <w:szCs w:val="24"/>
        </w:rPr>
        <w:t xml:space="preserve">  The CI’s case is typical </w:t>
      </w:r>
      <w:r w:rsidR="008E7966">
        <w:rPr>
          <w:rFonts w:asciiTheme="minorHAnsi" w:hAnsiTheme="minorHAnsi"/>
          <w:color w:val="auto"/>
          <w:szCs w:val="24"/>
        </w:rPr>
        <w:t xml:space="preserve">for the diagnosis, and his reported severity of symptoms is </w:t>
      </w:r>
      <w:r w:rsidR="007149E7">
        <w:rPr>
          <w:rFonts w:asciiTheme="minorHAnsi" w:hAnsiTheme="minorHAnsi"/>
          <w:color w:val="auto"/>
          <w:szCs w:val="24"/>
        </w:rPr>
        <w:t>concordant</w:t>
      </w:r>
      <w:r w:rsidR="008E7966">
        <w:rPr>
          <w:rFonts w:asciiTheme="minorHAnsi" w:hAnsiTheme="minorHAnsi"/>
          <w:color w:val="auto"/>
          <w:szCs w:val="24"/>
        </w:rPr>
        <w:t xml:space="preserve"> with </w:t>
      </w:r>
      <w:r w:rsidR="007149E7">
        <w:rPr>
          <w:rFonts w:asciiTheme="minorHAnsi" w:hAnsiTheme="minorHAnsi"/>
          <w:color w:val="auto"/>
          <w:szCs w:val="24"/>
        </w:rPr>
        <w:t xml:space="preserve">the condition.  The CI sustained gunshot wounds (GSW) and shrapnel injuries </w:t>
      </w:r>
      <w:r w:rsidRPr="00FC4B8A">
        <w:rPr>
          <w:rFonts w:asciiTheme="minorHAnsi" w:hAnsiTheme="minorHAnsi"/>
          <w:color w:val="auto"/>
          <w:szCs w:val="24"/>
        </w:rPr>
        <w:t>to his neck</w:t>
      </w:r>
      <w:r>
        <w:rPr>
          <w:rFonts w:asciiTheme="minorHAnsi" w:hAnsiTheme="minorHAnsi"/>
          <w:color w:val="auto"/>
          <w:szCs w:val="24"/>
        </w:rPr>
        <w:t>,</w:t>
      </w:r>
      <w:r w:rsidRPr="00FC4B8A">
        <w:rPr>
          <w:rFonts w:asciiTheme="minorHAnsi" w:hAnsiTheme="minorHAnsi"/>
          <w:color w:val="auto"/>
          <w:szCs w:val="24"/>
        </w:rPr>
        <w:t xml:space="preserve"> face</w:t>
      </w:r>
      <w:r>
        <w:rPr>
          <w:rFonts w:asciiTheme="minorHAnsi" w:hAnsiTheme="minorHAnsi"/>
          <w:color w:val="auto"/>
          <w:szCs w:val="24"/>
        </w:rPr>
        <w:t>,</w:t>
      </w:r>
      <w:r w:rsidRPr="00FC4B8A">
        <w:rPr>
          <w:rFonts w:asciiTheme="minorHAnsi" w:hAnsiTheme="minorHAnsi"/>
          <w:color w:val="auto"/>
          <w:szCs w:val="24"/>
        </w:rPr>
        <w:t xml:space="preserve"> and right hand</w:t>
      </w:r>
      <w:r w:rsidR="007149E7">
        <w:rPr>
          <w:rFonts w:asciiTheme="minorHAnsi" w:hAnsiTheme="minorHAnsi"/>
          <w:color w:val="auto"/>
          <w:szCs w:val="24"/>
        </w:rPr>
        <w:t xml:space="preserve"> during combat operations</w:t>
      </w:r>
      <w:r w:rsidRPr="00FC4B8A">
        <w:rPr>
          <w:rFonts w:asciiTheme="minorHAnsi" w:hAnsiTheme="minorHAnsi"/>
          <w:color w:val="auto"/>
          <w:szCs w:val="24"/>
        </w:rPr>
        <w:t xml:space="preserve">.  He </w:t>
      </w:r>
      <w:r w:rsidR="003679A7">
        <w:rPr>
          <w:rFonts w:asciiTheme="minorHAnsi" w:hAnsiTheme="minorHAnsi"/>
          <w:color w:val="auto"/>
          <w:szCs w:val="24"/>
        </w:rPr>
        <w:t>suffered</w:t>
      </w:r>
      <w:r w:rsidRPr="00FC4B8A">
        <w:rPr>
          <w:rFonts w:asciiTheme="minorHAnsi" w:hAnsiTheme="minorHAnsi"/>
          <w:color w:val="auto"/>
          <w:szCs w:val="24"/>
        </w:rPr>
        <w:t xml:space="preserve"> loss of bone in </w:t>
      </w:r>
      <w:r w:rsidR="003679A7">
        <w:rPr>
          <w:rFonts w:asciiTheme="minorHAnsi" w:hAnsiTheme="minorHAnsi"/>
          <w:color w:val="auto"/>
          <w:szCs w:val="24"/>
        </w:rPr>
        <w:t>the</w:t>
      </w:r>
      <w:r w:rsidRPr="00FC4B8A">
        <w:rPr>
          <w:rFonts w:asciiTheme="minorHAnsi" w:hAnsiTheme="minorHAnsi"/>
          <w:color w:val="auto"/>
          <w:szCs w:val="24"/>
        </w:rPr>
        <w:t xml:space="preserve"> right hand</w:t>
      </w:r>
      <w:r>
        <w:rPr>
          <w:rFonts w:asciiTheme="minorHAnsi" w:hAnsiTheme="minorHAnsi"/>
          <w:color w:val="auto"/>
          <w:szCs w:val="24"/>
        </w:rPr>
        <w:t xml:space="preserve"> </w:t>
      </w:r>
      <w:r w:rsidR="003679A7">
        <w:rPr>
          <w:rFonts w:asciiTheme="minorHAnsi" w:hAnsiTheme="minorHAnsi"/>
          <w:color w:val="auto"/>
          <w:szCs w:val="24"/>
        </w:rPr>
        <w:t>which</w:t>
      </w:r>
      <w:r>
        <w:rPr>
          <w:rFonts w:asciiTheme="minorHAnsi" w:hAnsiTheme="minorHAnsi"/>
          <w:color w:val="auto"/>
          <w:szCs w:val="24"/>
        </w:rPr>
        <w:t xml:space="preserve"> required </w:t>
      </w:r>
      <w:r w:rsidRPr="00FC4B8A">
        <w:rPr>
          <w:rFonts w:asciiTheme="minorHAnsi" w:hAnsiTheme="minorHAnsi"/>
          <w:color w:val="auto"/>
          <w:szCs w:val="24"/>
        </w:rPr>
        <w:t xml:space="preserve">fusion of the proximal </w:t>
      </w:r>
      <w:proofErr w:type="spellStart"/>
      <w:r w:rsidRPr="00FC4B8A">
        <w:rPr>
          <w:rFonts w:asciiTheme="minorHAnsi" w:hAnsiTheme="minorHAnsi"/>
          <w:color w:val="auto"/>
          <w:szCs w:val="24"/>
        </w:rPr>
        <w:t>interphalangeal</w:t>
      </w:r>
      <w:proofErr w:type="spellEnd"/>
      <w:r w:rsidR="00AF5D38">
        <w:rPr>
          <w:rFonts w:asciiTheme="minorHAnsi" w:hAnsiTheme="minorHAnsi"/>
          <w:color w:val="auto"/>
          <w:szCs w:val="24"/>
        </w:rPr>
        <w:t xml:space="preserve"> (PIP)</w:t>
      </w:r>
      <w:r w:rsidRPr="00FC4B8A">
        <w:rPr>
          <w:rFonts w:asciiTheme="minorHAnsi" w:hAnsiTheme="minorHAnsi"/>
          <w:color w:val="auto"/>
          <w:szCs w:val="24"/>
        </w:rPr>
        <w:t xml:space="preserve"> joint of the right long finger </w:t>
      </w:r>
      <w:r w:rsidR="007368FA">
        <w:rPr>
          <w:rFonts w:asciiTheme="minorHAnsi" w:hAnsiTheme="minorHAnsi"/>
          <w:color w:val="auto"/>
          <w:szCs w:val="24"/>
        </w:rPr>
        <w:t>via a</w:t>
      </w:r>
      <w:r w:rsidRPr="00FC4B8A">
        <w:rPr>
          <w:rFonts w:asciiTheme="minorHAnsi" w:hAnsiTheme="minorHAnsi"/>
          <w:color w:val="auto"/>
          <w:szCs w:val="24"/>
        </w:rPr>
        <w:t xml:space="preserve"> bone graft from </w:t>
      </w:r>
      <w:r>
        <w:rPr>
          <w:rFonts w:asciiTheme="minorHAnsi" w:hAnsiTheme="minorHAnsi"/>
          <w:color w:val="auto"/>
          <w:szCs w:val="24"/>
        </w:rPr>
        <w:t xml:space="preserve">the </w:t>
      </w:r>
      <w:r w:rsidRPr="00FC4B8A">
        <w:rPr>
          <w:rFonts w:asciiTheme="minorHAnsi" w:hAnsiTheme="minorHAnsi"/>
          <w:color w:val="auto"/>
          <w:szCs w:val="24"/>
        </w:rPr>
        <w:t>right hip</w:t>
      </w:r>
      <w:r>
        <w:rPr>
          <w:rFonts w:asciiTheme="minorHAnsi" w:hAnsiTheme="minorHAnsi"/>
          <w:color w:val="auto"/>
          <w:szCs w:val="24"/>
        </w:rPr>
        <w:t xml:space="preserve">.  He subsequently </w:t>
      </w:r>
      <w:r w:rsidRPr="00FC4B8A">
        <w:rPr>
          <w:rFonts w:asciiTheme="minorHAnsi" w:hAnsiTheme="minorHAnsi"/>
          <w:color w:val="auto"/>
          <w:szCs w:val="24"/>
        </w:rPr>
        <w:t xml:space="preserve">developed </w:t>
      </w:r>
      <w:r w:rsidR="007149E7">
        <w:rPr>
          <w:rFonts w:asciiTheme="minorHAnsi" w:hAnsiTheme="minorHAnsi"/>
          <w:color w:val="auto"/>
          <w:szCs w:val="24"/>
        </w:rPr>
        <w:t>CRPS</w:t>
      </w:r>
      <w:r w:rsidRPr="00FC4B8A">
        <w:rPr>
          <w:rFonts w:asciiTheme="minorHAnsi" w:hAnsiTheme="minorHAnsi"/>
          <w:color w:val="auto"/>
          <w:szCs w:val="24"/>
        </w:rPr>
        <w:t>.</w:t>
      </w:r>
      <w:r>
        <w:rPr>
          <w:rFonts w:asciiTheme="minorHAnsi" w:hAnsiTheme="minorHAnsi"/>
          <w:color w:val="auto"/>
          <w:szCs w:val="24"/>
        </w:rPr>
        <w:t xml:space="preserve">  </w:t>
      </w:r>
      <w:r w:rsidR="007368FA">
        <w:rPr>
          <w:rFonts w:asciiTheme="minorHAnsi" w:hAnsiTheme="minorHAnsi"/>
          <w:color w:val="auto"/>
          <w:szCs w:val="24"/>
        </w:rPr>
        <w:t>The</w:t>
      </w:r>
      <w:r w:rsidRPr="007368FA">
        <w:rPr>
          <w:rFonts w:asciiTheme="minorHAnsi" w:hAnsiTheme="minorHAnsi"/>
          <w:color w:val="auto"/>
          <w:szCs w:val="24"/>
        </w:rPr>
        <w:t xml:space="preserve"> </w:t>
      </w:r>
      <w:r w:rsidR="00A8067F" w:rsidRPr="007368FA">
        <w:rPr>
          <w:rFonts w:asciiTheme="minorHAnsi" w:hAnsiTheme="minorHAnsi"/>
          <w:color w:val="auto"/>
          <w:szCs w:val="24"/>
        </w:rPr>
        <w:t>diagnosis</w:t>
      </w:r>
      <w:r w:rsidR="00A8067F">
        <w:rPr>
          <w:rFonts w:asciiTheme="minorHAnsi" w:hAnsiTheme="minorHAnsi"/>
          <w:color w:val="auto"/>
          <w:szCs w:val="24"/>
        </w:rPr>
        <w:t xml:space="preserve"> was </w:t>
      </w:r>
      <w:r w:rsidR="007368FA">
        <w:rPr>
          <w:rFonts w:asciiTheme="minorHAnsi" w:hAnsiTheme="minorHAnsi"/>
          <w:color w:val="auto"/>
          <w:szCs w:val="24"/>
        </w:rPr>
        <w:t>established</w:t>
      </w:r>
      <w:r w:rsidR="00A8067F">
        <w:rPr>
          <w:rFonts w:asciiTheme="minorHAnsi" w:hAnsiTheme="minorHAnsi"/>
          <w:color w:val="auto"/>
          <w:szCs w:val="24"/>
        </w:rPr>
        <w:t xml:space="preserve"> by </w:t>
      </w:r>
      <w:r w:rsidR="00147861">
        <w:rPr>
          <w:rFonts w:asciiTheme="minorHAnsi" w:hAnsiTheme="minorHAnsi"/>
          <w:color w:val="auto"/>
          <w:szCs w:val="24"/>
        </w:rPr>
        <w:t xml:space="preserve">orthopedic and </w:t>
      </w:r>
      <w:r w:rsidR="007368FA">
        <w:rPr>
          <w:rFonts w:asciiTheme="minorHAnsi" w:hAnsiTheme="minorHAnsi"/>
          <w:color w:val="auto"/>
          <w:szCs w:val="24"/>
        </w:rPr>
        <w:t>physiatrist consultants; with symptoms</w:t>
      </w:r>
      <w:r w:rsidR="007E3498">
        <w:rPr>
          <w:rFonts w:asciiTheme="minorHAnsi" w:hAnsiTheme="minorHAnsi"/>
          <w:color w:val="auto"/>
          <w:szCs w:val="24"/>
        </w:rPr>
        <w:t xml:space="preserve"> </w:t>
      </w:r>
      <w:r w:rsidR="008751BC">
        <w:rPr>
          <w:rFonts w:asciiTheme="minorHAnsi" w:hAnsiTheme="minorHAnsi"/>
          <w:color w:val="auto"/>
          <w:szCs w:val="24"/>
        </w:rPr>
        <w:t xml:space="preserve">of constant pain, </w:t>
      </w:r>
      <w:proofErr w:type="spellStart"/>
      <w:r w:rsidR="008751BC">
        <w:rPr>
          <w:rFonts w:asciiTheme="minorHAnsi" w:hAnsiTheme="minorHAnsi"/>
          <w:color w:val="auto"/>
          <w:szCs w:val="24"/>
        </w:rPr>
        <w:t>allodynia</w:t>
      </w:r>
      <w:proofErr w:type="spellEnd"/>
      <w:r w:rsidR="007368FA">
        <w:rPr>
          <w:rFonts w:asciiTheme="minorHAnsi" w:hAnsiTheme="minorHAnsi"/>
          <w:color w:val="auto"/>
          <w:szCs w:val="24"/>
        </w:rPr>
        <w:t xml:space="preserve"> (pain from light touch or slight pressure)</w:t>
      </w:r>
      <w:r w:rsidR="008751BC">
        <w:rPr>
          <w:rFonts w:asciiTheme="minorHAnsi" w:hAnsiTheme="minorHAnsi"/>
          <w:color w:val="auto"/>
          <w:szCs w:val="24"/>
        </w:rPr>
        <w:t>, temperature asymmetry, skin changes</w:t>
      </w:r>
      <w:r w:rsidR="00BA5EC8">
        <w:rPr>
          <w:rFonts w:asciiTheme="minorHAnsi" w:hAnsiTheme="minorHAnsi"/>
          <w:color w:val="auto"/>
          <w:szCs w:val="24"/>
        </w:rPr>
        <w:t>, weakness, and decreased range-of-</w:t>
      </w:r>
      <w:r w:rsidR="008751BC">
        <w:rPr>
          <w:rFonts w:asciiTheme="minorHAnsi" w:hAnsiTheme="minorHAnsi"/>
          <w:color w:val="auto"/>
          <w:szCs w:val="24"/>
        </w:rPr>
        <w:t>motion</w:t>
      </w:r>
      <w:r w:rsidR="00DC1F4B">
        <w:rPr>
          <w:rFonts w:asciiTheme="minorHAnsi" w:hAnsiTheme="minorHAnsi"/>
          <w:color w:val="auto"/>
          <w:szCs w:val="24"/>
        </w:rPr>
        <w:t xml:space="preserve"> (ROM)</w:t>
      </w:r>
      <w:r w:rsidR="008751BC">
        <w:rPr>
          <w:rFonts w:asciiTheme="minorHAnsi" w:hAnsiTheme="minorHAnsi"/>
          <w:color w:val="auto"/>
          <w:szCs w:val="24"/>
        </w:rPr>
        <w:t xml:space="preserve">.  </w:t>
      </w:r>
      <w:r w:rsidR="007368FA">
        <w:rPr>
          <w:rFonts w:asciiTheme="minorHAnsi" w:hAnsiTheme="minorHAnsi"/>
          <w:color w:val="auto"/>
          <w:szCs w:val="24"/>
        </w:rPr>
        <w:t xml:space="preserve">There was also significantly limited ROM </w:t>
      </w:r>
      <w:r w:rsidR="003679A7">
        <w:rPr>
          <w:rFonts w:asciiTheme="minorHAnsi" w:hAnsiTheme="minorHAnsi"/>
          <w:color w:val="auto"/>
          <w:szCs w:val="24"/>
        </w:rPr>
        <w:t xml:space="preserve">and PIP ankylosis </w:t>
      </w:r>
      <w:r w:rsidR="007368FA">
        <w:rPr>
          <w:rFonts w:asciiTheme="minorHAnsi" w:hAnsiTheme="minorHAnsi"/>
          <w:color w:val="auto"/>
          <w:szCs w:val="24"/>
        </w:rPr>
        <w:t>of the right long finger as a residual of trauma</w:t>
      </w:r>
      <w:r w:rsidR="00D0643C">
        <w:rPr>
          <w:rFonts w:asciiTheme="minorHAnsi" w:hAnsiTheme="minorHAnsi"/>
          <w:color w:val="auto"/>
          <w:szCs w:val="24"/>
        </w:rPr>
        <w:t>, rather than a consequence of CRPS</w:t>
      </w:r>
      <w:r w:rsidR="007368FA">
        <w:rPr>
          <w:rFonts w:asciiTheme="minorHAnsi" w:hAnsiTheme="minorHAnsi"/>
          <w:color w:val="auto"/>
          <w:szCs w:val="24"/>
        </w:rPr>
        <w:t>.  Various trials of treatment directed at CRPS were</w:t>
      </w:r>
      <w:r w:rsidR="00147861">
        <w:rPr>
          <w:rFonts w:asciiTheme="minorHAnsi" w:hAnsiTheme="minorHAnsi"/>
          <w:color w:val="auto"/>
          <w:szCs w:val="24"/>
        </w:rPr>
        <w:t xml:space="preserve"> unsuccessful in relieving the CI’s symptoms.</w:t>
      </w:r>
      <w:r w:rsidR="008751BC">
        <w:rPr>
          <w:rFonts w:asciiTheme="minorHAnsi" w:hAnsiTheme="minorHAnsi"/>
          <w:color w:val="auto"/>
          <w:szCs w:val="24"/>
        </w:rPr>
        <w:t xml:space="preserve">  </w:t>
      </w:r>
      <w:r w:rsidR="003679A7">
        <w:rPr>
          <w:rFonts w:asciiTheme="minorHAnsi" w:hAnsiTheme="minorHAnsi"/>
          <w:color w:val="auto"/>
          <w:szCs w:val="24"/>
        </w:rPr>
        <w:t>At</w:t>
      </w:r>
      <w:r w:rsidR="00A8067F">
        <w:rPr>
          <w:rFonts w:asciiTheme="minorHAnsi" w:hAnsiTheme="minorHAnsi"/>
          <w:color w:val="auto"/>
          <w:szCs w:val="24"/>
        </w:rPr>
        <w:t xml:space="preserve"> the VA </w:t>
      </w:r>
      <w:r w:rsidR="00BA49C6">
        <w:rPr>
          <w:rFonts w:asciiTheme="minorHAnsi" w:hAnsiTheme="minorHAnsi"/>
          <w:color w:val="auto"/>
          <w:szCs w:val="24"/>
        </w:rPr>
        <w:t>Compensation and Pension (</w:t>
      </w:r>
      <w:r w:rsidR="00A8067F">
        <w:rPr>
          <w:rFonts w:asciiTheme="minorHAnsi" w:hAnsiTheme="minorHAnsi"/>
          <w:color w:val="auto"/>
          <w:szCs w:val="24"/>
        </w:rPr>
        <w:t>C&amp;P</w:t>
      </w:r>
      <w:r w:rsidR="00BA49C6">
        <w:rPr>
          <w:rFonts w:asciiTheme="minorHAnsi" w:hAnsiTheme="minorHAnsi"/>
          <w:color w:val="auto"/>
          <w:szCs w:val="24"/>
        </w:rPr>
        <w:t>)</w:t>
      </w:r>
      <w:r w:rsidR="00A8067F">
        <w:rPr>
          <w:rFonts w:asciiTheme="minorHAnsi" w:hAnsiTheme="minorHAnsi"/>
          <w:color w:val="auto"/>
          <w:szCs w:val="24"/>
        </w:rPr>
        <w:t xml:space="preserve"> examination</w:t>
      </w:r>
      <w:r w:rsidR="00DC1F4B">
        <w:rPr>
          <w:rFonts w:asciiTheme="minorHAnsi" w:hAnsiTheme="minorHAnsi"/>
          <w:color w:val="auto"/>
          <w:szCs w:val="24"/>
        </w:rPr>
        <w:t xml:space="preserve"> </w:t>
      </w:r>
      <w:r w:rsidR="003679A7">
        <w:rPr>
          <w:rFonts w:asciiTheme="minorHAnsi" w:hAnsiTheme="minorHAnsi"/>
          <w:color w:val="auto"/>
          <w:szCs w:val="24"/>
        </w:rPr>
        <w:t>(</w:t>
      </w:r>
      <w:r w:rsidR="00BA5EC8">
        <w:rPr>
          <w:rFonts w:asciiTheme="minorHAnsi" w:hAnsiTheme="minorHAnsi"/>
          <w:color w:val="auto"/>
          <w:szCs w:val="24"/>
        </w:rPr>
        <w:t>two</w:t>
      </w:r>
      <w:r w:rsidR="00DC1F4B">
        <w:rPr>
          <w:rFonts w:asciiTheme="minorHAnsi" w:hAnsiTheme="minorHAnsi"/>
          <w:color w:val="auto"/>
          <w:szCs w:val="24"/>
        </w:rPr>
        <w:t xml:space="preserve"> months after </w:t>
      </w:r>
      <w:r w:rsidR="003679A7">
        <w:rPr>
          <w:rFonts w:asciiTheme="minorHAnsi" w:hAnsiTheme="minorHAnsi"/>
          <w:color w:val="auto"/>
          <w:szCs w:val="24"/>
        </w:rPr>
        <w:t>temporary retirement)</w:t>
      </w:r>
      <w:r w:rsidR="00A8067F">
        <w:rPr>
          <w:rFonts w:asciiTheme="minorHAnsi" w:hAnsiTheme="minorHAnsi"/>
          <w:color w:val="auto"/>
          <w:szCs w:val="24"/>
        </w:rPr>
        <w:t xml:space="preserve">, the CI complained of </w:t>
      </w:r>
      <w:r w:rsidR="00DC1F4B">
        <w:rPr>
          <w:rFonts w:asciiTheme="minorHAnsi" w:hAnsiTheme="minorHAnsi"/>
          <w:color w:val="auto"/>
          <w:szCs w:val="24"/>
        </w:rPr>
        <w:t>constant pain that required regular use of narcotics for pain control; loss of ROM; decreased grip and weakness; abnormal se</w:t>
      </w:r>
      <w:r w:rsidR="003E317D">
        <w:rPr>
          <w:rFonts w:asciiTheme="minorHAnsi" w:hAnsiTheme="minorHAnsi"/>
          <w:color w:val="auto"/>
          <w:szCs w:val="24"/>
        </w:rPr>
        <w:t>n</w:t>
      </w:r>
      <w:r w:rsidR="00DC1F4B">
        <w:rPr>
          <w:rFonts w:asciiTheme="minorHAnsi" w:hAnsiTheme="minorHAnsi"/>
          <w:color w:val="auto"/>
          <w:szCs w:val="24"/>
        </w:rPr>
        <w:t xml:space="preserve">sation with tingling and numbness; and loss of use of the right </w:t>
      </w:r>
      <w:r w:rsidR="001B7A7F">
        <w:rPr>
          <w:rFonts w:asciiTheme="minorHAnsi" w:hAnsiTheme="minorHAnsi"/>
          <w:color w:val="auto"/>
          <w:szCs w:val="24"/>
        </w:rPr>
        <w:t>long</w:t>
      </w:r>
      <w:r w:rsidR="00DC1F4B">
        <w:rPr>
          <w:rFonts w:asciiTheme="minorHAnsi" w:hAnsiTheme="minorHAnsi"/>
          <w:color w:val="auto"/>
          <w:szCs w:val="24"/>
        </w:rPr>
        <w:t xml:space="preserve"> finger. </w:t>
      </w:r>
      <w:r w:rsidR="00AF5D38">
        <w:rPr>
          <w:rFonts w:asciiTheme="minorHAnsi" w:hAnsiTheme="minorHAnsi"/>
          <w:color w:val="auto"/>
          <w:szCs w:val="24"/>
        </w:rPr>
        <w:t xml:space="preserve"> The n</w:t>
      </w:r>
      <w:r w:rsidR="0089118B">
        <w:rPr>
          <w:rFonts w:asciiTheme="minorHAnsi" w:hAnsiTheme="minorHAnsi"/>
          <w:color w:val="auto"/>
          <w:szCs w:val="24"/>
        </w:rPr>
        <w:t>eu</w:t>
      </w:r>
      <w:r w:rsidR="00C82AEF">
        <w:rPr>
          <w:rFonts w:asciiTheme="minorHAnsi" w:hAnsiTheme="minorHAnsi"/>
          <w:color w:val="auto"/>
          <w:szCs w:val="24"/>
        </w:rPr>
        <w:t>r</w:t>
      </w:r>
      <w:r w:rsidR="0089118B">
        <w:rPr>
          <w:rFonts w:asciiTheme="minorHAnsi" w:hAnsiTheme="minorHAnsi"/>
          <w:color w:val="auto"/>
          <w:szCs w:val="24"/>
        </w:rPr>
        <w:t xml:space="preserve">ologic exam was positive for </w:t>
      </w:r>
      <w:r w:rsidR="008D3043">
        <w:rPr>
          <w:rFonts w:asciiTheme="minorHAnsi" w:hAnsiTheme="minorHAnsi"/>
          <w:color w:val="auto"/>
          <w:szCs w:val="24"/>
        </w:rPr>
        <w:t xml:space="preserve">decreased </w:t>
      </w:r>
      <w:r w:rsidR="0089118B">
        <w:rPr>
          <w:rFonts w:asciiTheme="minorHAnsi" w:hAnsiTheme="minorHAnsi"/>
          <w:color w:val="auto"/>
          <w:szCs w:val="24"/>
        </w:rPr>
        <w:t xml:space="preserve">grip strength of the right hand </w:t>
      </w:r>
      <w:r w:rsidR="008D3043">
        <w:rPr>
          <w:rFonts w:asciiTheme="minorHAnsi" w:hAnsiTheme="minorHAnsi"/>
          <w:color w:val="auto"/>
          <w:szCs w:val="24"/>
        </w:rPr>
        <w:t>an</w:t>
      </w:r>
      <w:r w:rsidR="0089118B">
        <w:rPr>
          <w:rFonts w:asciiTheme="minorHAnsi" w:hAnsiTheme="minorHAnsi"/>
          <w:color w:val="auto"/>
          <w:szCs w:val="24"/>
        </w:rPr>
        <w:t xml:space="preserve">d decreased pinprick sensation along the back of the right long finger.  </w:t>
      </w:r>
      <w:r w:rsidR="0033248E">
        <w:rPr>
          <w:rFonts w:asciiTheme="minorHAnsi" w:hAnsiTheme="minorHAnsi"/>
          <w:color w:val="auto"/>
          <w:szCs w:val="24"/>
        </w:rPr>
        <w:t xml:space="preserve">The muscle groups impacted by the injury included the intrinsic muscles of the right hand </w:t>
      </w:r>
      <w:r w:rsidR="008D3043">
        <w:rPr>
          <w:rFonts w:asciiTheme="minorHAnsi" w:hAnsiTheme="minorHAnsi"/>
          <w:color w:val="auto"/>
          <w:szCs w:val="24"/>
        </w:rPr>
        <w:t xml:space="preserve">which </w:t>
      </w:r>
      <w:r w:rsidR="0033248E">
        <w:rPr>
          <w:rFonts w:asciiTheme="minorHAnsi" w:hAnsiTheme="minorHAnsi"/>
          <w:color w:val="auto"/>
          <w:szCs w:val="24"/>
        </w:rPr>
        <w:t xml:space="preserve">impaired </w:t>
      </w:r>
      <w:r w:rsidR="008D3043">
        <w:rPr>
          <w:rFonts w:asciiTheme="minorHAnsi" w:hAnsiTheme="minorHAnsi"/>
          <w:color w:val="auto"/>
          <w:szCs w:val="24"/>
        </w:rPr>
        <w:t xml:space="preserve">the CI’s </w:t>
      </w:r>
      <w:r w:rsidR="0033248E">
        <w:rPr>
          <w:rFonts w:asciiTheme="minorHAnsi" w:hAnsiTheme="minorHAnsi"/>
          <w:color w:val="auto"/>
          <w:szCs w:val="24"/>
        </w:rPr>
        <w:t xml:space="preserve">coordination and grip strength.  </w:t>
      </w:r>
      <w:r w:rsidR="00D0643C">
        <w:rPr>
          <w:rFonts w:asciiTheme="minorHAnsi" w:hAnsiTheme="minorHAnsi"/>
          <w:color w:val="auto"/>
          <w:szCs w:val="24"/>
        </w:rPr>
        <w:t>Despite these findings</w:t>
      </w:r>
      <w:r w:rsidR="0089118B">
        <w:rPr>
          <w:rFonts w:asciiTheme="minorHAnsi" w:hAnsiTheme="minorHAnsi"/>
          <w:color w:val="auto"/>
          <w:szCs w:val="24"/>
        </w:rPr>
        <w:t xml:space="preserve">, </w:t>
      </w:r>
      <w:r w:rsidR="00DC1F4B">
        <w:rPr>
          <w:rFonts w:asciiTheme="minorHAnsi" w:hAnsiTheme="minorHAnsi"/>
          <w:color w:val="auto"/>
          <w:szCs w:val="24"/>
        </w:rPr>
        <w:t xml:space="preserve">the CI </w:t>
      </w:r>
      <w:r w:rsidR="0033248E">
        <w:rPr>
          <w:rFonts w:asciiTheme="minorHAnsi" w:hAnsiTheme="minorHAnsi"/>
          <w:color w:val="auto"/>
          <w:szCs w:val="24"/>
        </w:rPr>
        <w:t xml:space="preserve">was able to perform activities of daily living and </w:t>
      </w:r>
      <w:r w:rsidR="001B7A7F">
        <w:rPr>
          <w:rFonts w:asciiTheme="minorHAnsi" w:hAnsiTheme="minorHAnsi"/>
          <w:color w:val="auto"/>
          <w:szCs w:val="24"/>
        </w:rPr>
        <w:t>worked</w:t>
      </w:r>
      <w:r w:rsidR="0089118B">
        <w:rPr>
          <w:rFonts w:asciiTheme="minorHAnsi" w:hAnsiTheme="minorHAnsi"/>
          <w:color w:val="auto"/>
          <w:szCs w:val="24"/>
        </w:rPr>
        <w:t xml:space="preserve"> </w:t>
      </w:r>
      <w:r w:rsidR="001B7A7F">
        <w:rPr>
          <w:rFonts w:asciiTheme="minorHAnsi" w:hAnsiTheme="minorHAnsi"/>
          <w:color w:val="auto"/>
          <w:szCs w:val="24"/>
        </w:rPr>
        <w:t>in assembly at</w:t>
      </w:r>
      <w:r w:rsidR="00D0643C">
        <w:rPr>
          <w:rFonts w:asciiTheme="minorHAnsi" w:hAnsiTheme="minorHAnsi"/>
          <w:color w:val="auto"/>
          <w:szCs w:val="24"/>
        </w:rPr>
        <w:t xml:space="preserve"> a faucet factory; although,</w:t>
      </w:r>
      <w:r w:rsidR="0089118B">
        <w:rPr>
          <w:rFonts w:asciiTheme="minorHAnsi" w:hAnsiTheme="minorHAnsi"/>
          <w:color w:val="auto"/>
          <w:szCs w:val="24"/>
        </w:rPr>
        <w:t xml:space="preserve"> </w:t>
      </w:r>
      <w:r w:rsidR="00D0643C">
        <w:rPr>
          <w:rFonts w:asciiTheme="minorHAnsi" w:hAnsiTheme="minorHAnsi"/>
          <w:color w:val="auto"/>
          <w:szCs w:val="24"/>
        </w:rPr>
        <w:t xml:space="preserve">examples were cited </w:t>
      </w:r>
      <w:r w:rsidR="001B7A7F">
        <w:rPr>
          <w:rFonts w:asciiTheme="minorHAnsi" w:hAnsiTheme="minorHAnsi"/>
          <w:color w:val="auto"/>
          <w:szCs w:val="24"/>
        </w:rPr>
        <w:t>for</w:t>
      </w:r>
      <w:r w:rsidR="00D0643C">
        <w:rPr>
          <w:rFonts w:asciiTheme="minorHAnsi" w:hAnsiTheme="minorHAnsi"/>
          <w:color w:val="auto"/>
          <w:szCs w:val="24"/>
        </w:rPr>
        <w:t xml:space="preserve"> inability to perform common fine motor tasks with the right hand</w:t>
      </w:r>
      <w:r w:rsidR="0089118B">
        <w:rPr>
          <w:rFonts w:asciiTheme="minorHAnsi" w:hAnsiTheme="minorHAnsi"/>
          <w:color w:val="auto"/>
          <w:szCs w:val="24"/>
        </w:rPr>
        <w:t xml:space="preserve">.  The orthopedic addendum to the </w:t>
      </w:r>
      <w:r w:rsidR="00D0643C">
        <w:rPr>
          <w:rFonts w:asciiTheme="minorHAnsi" w:hAnsiTheme="minorHAnsi"/>
          <w:color w:val="auto"/>
          <w:szCs w:val="24"/>
        </w:rPr>
        <w:t xml:space="preserve">narrative summary </w:t>
      </w:r>
      <w:r w:rsidR="0089118B">
        <w:rPr>
          <w:rFonts w:asciiTheme="minorHAnsi" w:hAnsiTheme="minorHAnsi"/>
          <w:color w:val="auto"/>
          <w:szCs w:val="24"/>
        </w:rPr>
        <w:lastRenderedPageBreak/>
        <w:t xml:space="preserve">(NARSUM) </w:t>
      </w:r>
      <w:r w:rsidR="00D0643C">
        <w:rPr>
          <w:rFonts w:asciiTheme="minorHAnsi" w:hAnsiTheme="minorHAnsi"/>
          <w:color w:val="auto"/>
          <w:szCs w:val="24"/>
        </w:rPr>
        <w:t xml:space="preserve">at the time of </w:t>
      </w:r>
      <w:r w:rsidR="002412A8">
        <w:rPr>
          <w:rFonts w:asciiTheme="minorHAnsi" w:hAnsiTheme="minorHAnsi"/>
          <w:color w:val="auto"/>
          <w:szCs w:val="24"/>
        </w:rPr>
        <w:t>temporary retirement</w:t>
      </w:r>
      <w:r w:rsidR="004531AE">
        <w:rPr>
          <w:rFonts w:asciiTheme="minorHAnsi" w:hAnsiTheme="minorHAnsi"/>
          <w:color w:val="auto"/>
          <w:szCs w:val="24"/>
        </w:rPr>
        <w:t xml:space="preserve"> </w:t>
      </w:r>
      <w:r w:rsidR="0089118B">
        <w:rPr>
          <w:rFonts w:asciiTheme="minorHAnsi" w:hAnsiTheme="minorHAnsi"/>
          <w:color w:val="auto"/>
          <w:szCs w:val="24"/>
        </w:rPr>
        <w:t>documented a painful, deform</w:t>
      </w:r>
      <w:r w:rsidR="00013DC5">
        <w:rPr>
          <w:rFonts w:asciiTheme="minorHAnsi" w:hAnsiTheme="minorHAnsi"/>
          <w:color w:val="auto"/>
          <w:szCs w:val="24"/>
        </w:rPr>
        <w:t>e</w:t>
      </w:r>
      <w:r w:rsidR="0089118B">
        <w:rPr>
          <w:rFonts w:asciiTheme="minorHAnsi" w:hAnsiTheme="minorHAnsi"/>
          <w:color w:val="auto"/>
          <w:szCs w:val="24"/>
        </w:rPr>
        <w:t>d right</w:t>
      </w:r>
      <w:r w:rsidR="008D3043">
        <w:rPr>
          <w:rFonts w:asciiTheme="minorHAnsi" w:hAnsiTheme="minorHAnsi"/>
          <w:color w:val="auto"/>
          <w:szCs w:val="24"/>
        </w:rPr>
        <w:t xml:space="preserve"> </w:t>
      </w:r>
      <w:r w:rsidR="0089118B">
        <w:rPr>
          <w:rFonts w:asciiTheme="minorHAnsi" w:hAnsiTheme="minorHAnsi"/>
          <w:color w:val="auto"/>
          <w:szCs w:val="24"/>
        </w:rPr>
        <w:t xml:space="preserve">long finger.  </w:t>
      </w:r>
      <w:r w:rsidR="00013DC5">
        <w:rPr>
          <w:rFonts w:asciiTheme="minorHAnsi" w:hAnsiTheme="minorHAnsi"/>
          <w:color w:val="auto"/>
          <w:szCs w:val="24"/>
        </w:rPr>
        <w:t xml:space="preserve">There was no active motion at the </w:t>
      </w:r>
      <w:r w:rsidR="004531AE">
        <w:rPr>
          <w:rFonts w:asciiTheme="minorHAnsi" w:hAnsiTheme="minorHAnsi"/>
          <w:color w:val="auto"/>
          <w:szCs w:val="24"/>
        </w:rPr>
        <w:t>di</w:t>
      </w:r>
      <w:r w:rsidR="00ED63E7">
        <w:rPr>
          <w:rFonts w:asciiTheme="minorHAnsi" w:hAnsiTheme="minorHAnsi"/>
          <w:color w:val="auto"/>
          <w:szCs w:val="24"/>
        </w:rPr>
        <w:t>s</w:t>
      </w:r>
      <w:r w:rsidR="004531AE">
        <w:rPr>
          <w:rFonts w:asciiTheme="minorHAnsi" w:hAnsiTheme="minorHAnsi"/>
          <w:color w:val="auto"/>
          <w:szCs w:val="24"/>
        </w:rPr>
        <w:t xml:space="preserve">tal </w:t>
      </w:r>
      <w:proofErr w:type="spellStart"/>
      <w:r w:rsidR="004531AE">
        <w:rPr>
          <w:rFonts w:asciiTheme="minorHAnsi" w:hAnsiTheme="minorHAnsi"/>
          <w:color w:val="auto"/>
          <w:szCs w:val="24"/>
        </w:rPr>
        <w:t>interphalangeal</w:t>
      </w:r>
      <w:proofErr w:type="spellEnd"/>
      <w:r w:rsidR="004531AE">
        <w:rPr>
          <w:rFonts w:asciiTheme="minorHAnsi" w:hAnsiTheme="minorHAnsi"/>
          <w:color w:val="auto"/>
          <w:szCs w:val="24"/>
        </w:rPr>
        <w:t xml:space="preserve"> joint (</w:t>
      </w:r>
      <w:r w:rsidR="00013DC5">
        <w:rPr>
          <w:rFonts w:asciiTheme="minorHAnsi" w:hAnsiTheme="minorHAnsi"/>
          <w:color w:val="auto"/>
          <w:szCs w:val="24"/>
        </w:rPr>
        <w:t>DIP</w:t>
      </w:r>
      <w:r w:rsidR="004531AE">
        <w:rPr>
          <w:rFonts w:asciiTheme="minorHAnsi" w:hAnsiTheme="minorHAnsi"/>
          <w:color w:val="auto"/>
          <w:szCs w:val="24"/>
        </w:rPr>
        <w:t>)</w:t>
      </w:r>
      <w:r w:rsidR="00013DC5">
        <w:rPr>
          <w:rFonts w:asciiTheme="minorHAnsi" w:hAnsiTheme="minorHAnsi"/>
          <w:color w:val="auto"/>
          <w:szCs w:val="24"/>
        </w:rPr>
        <w:t xml:space="preserve"> joint and only 10⁰ of passive motion.  The </w:t>
      </w:r>
      <w:r w:rsidR="001B7A7F">
        <w:rPr>
          <w:rFonts w:asciiTheme="minorHAnsi" w:hAnsiTheme="minorHAnsi"/>
          <w:color w:val="auto"/>
          <w:szCs w:val="24"/>
        </w:rPr>
        <w:t>PIP</w:t>
      </w:r>
      <w:r w:rsidR="002412A8">
        <w:rPr>
          <w:rFonts w:asciiTheme="minorHAnsi" w:hAnsiTheme="minorHAnsi"/>
          <w:color w:val="auto"/>
          <w:szCs w:val="24"/>
        </w:rPr>
        <w:t xml:space="preserve"> </w:t>
      </w:r>
      <w:r w:rsidR="00013DC5">
        <w:rPr>
          <w:rFonts w:asciiTheme="minorHAnsi" w:hAnsiTheme="minorHAnsi"/>
          <w:color w:val="auto"/>
          <w:szCs w:val="24"/>
        </w:rPr>
        <w:t>joint was fixed at 40⁰ of flexion and angulated 25⁰ such that the finger significantly overlap</w:t>
      </w:r>
      <w:r w:rsidR="004531AE">
        <w:rPr>
          <w:rFonts w:asciiTheme="minorHAnsi" w:hAnsiTheme="minorHAnsi"/>
          <w:color w:val="auto"/>
          <w:szCs w:val="24"/>
        </w:rPr>
        <w:t xml:space="preserve">ped </w:t>
      </w:r>
      <w:r w:rsidR="00013DC5">
        <w:rPr>
          <w:rFonts w:asciiTheme="minorHAnsi" w:hAnsiTheme="minorHAnsi"/>
          <w:color w:val="auto"/>
          <w:szCs w:val="24"/>
        </w:rPr>
        <w:t xml:space="preserve">the right ring finger.  The </w:t>
      </w:r>
      <w:proofErr w:type="spellStart"/>
      <w:r w:rsidR="004531AE">
        <w:rPr>
          <w:rFonts w:asciiTheme="minorHAnsi" w:hAnsiTheme="minorHAnsi"/>
          <w:color w:val="auto"/>
          <w:szCs w:val="24"/>
        </w:rPr>
        <w:t>metacarpophalangeal</w:t>
      </w:r>
      <w:proofErr w:type="spellEnd"/>
      <w:r w:rsidR="004531AE">
        <w:rPr>
          <w:rFonts w:asciiTheme="minorHAnsi" w:hAnsiTheme="minorHAnsi"/>
          <w:color w:val="auto"/>
          <w:szCs w:val="24"/>
        </w:rPr>
        <w:t xml:space="preserve"> (</w:t>
      </w:r>
      <w:r w:rsidR="00013DC5">
        <w:rPr>
          <w:rFonts w:asciiTheme="minorHAnsi" w:hAnsiTheme="minorHAnsi"/>
          <w:color w:val="auto"/>
          <w:szCs w:val="24"/>
        </w:rPr>
        <w:t>MCP</w:t>
      </w:r>
      <w:r w:rsidR="004531AE">
        <w:rPr>
          <w:rFonts w:asciiTheme="minorHAnsi" w:hAnsiTheme="minorHAnsi"/>
          <w:color w:val="auto"/>
          <w:szCs w:val="24"/>
        </w:rPr>
        <w:t>)</w:t>
      </w:r>
      <w:r w:rsidR="00013DC5">
        <w:rPr>
          <w:rFonts w:asciiTheme="minorHAnsi" w:hAnsiTheme="minorHAnsi"/>
          <w:color w:val="auto"/>
          <w:szCs w:val="24"/>
        </w:rPr>
        <w:t xml:space="preserve"> joint flexe</w:t>
      </w:r>
      <w:r w:rsidR="004531AE">
        <w:rPr>
          <w:rFonts w:asciiTheme="minorHAnsi" w:hAnsiTheme="minorHAnsi"/>
          <w:color w:val="auto"/>
          <w:szCs w:val="24"/>
        </w:rPr>
        <w:t xml:space="preserve">d </w:t>
      </w:r>
      <w:r w:rsidR="00013DC5">
        <w:rPr>
          <w:rFonts w:asciiTheme="minorHAnsi" w:hAnsiTheme="minorHAnsi"/>
          <w:color w:val="auto"/>
          <w:szCs w:val="24"/>
        </w:rPr>
        <w:t>to 85⁰ and extend</w:t>
      </w:r>
      <w:r w:rsidR="004531AE">
        <w:rPr>
          <w:rFonts w:asciiTheme="minorHAnsi" w:hAnsiTheme="minorHAnsi"/>
          <w:color w:val="auto"/>
          <w:szCs w:val="24"/>
        </w:rPr>
        <w:t xml:space="preserve">ed </w:t>
      </w:r>
      <w:r w:rsidR="002412A8">
        <w:rPr>
          <w:rFonts w:asciiTheme="minorHAnsi" w:hAnsiTheme="minorHAnsi"/>
          <w:color w:val="auto"/>
          <w:szCs w:val="24"/>
        </w:rPr>
        <w:t xml:space="preserve">to 0⁰.  The orthopedist </w:t>
      </w:r>
      <w:r w:rsidR="00013DC5">
        <w:rPr>
          <w:rFonts w:asciiTheme="minorHAnsi" w:hAnsiTheme="minorHAnsi"/>
          <w:color w:val="auto"/>
          <w:szCs w:val="24"/>
        </w:rPr>
        <w:t xml:space="preserve">indicated that the ankylosed finger “gets in the way of anything requiring lifting, fine motor control, grasping, writing, and using a keyboard.  He clearly cannot fire a weapon.”  </w:t>
      </w:r>
      <w:r w:rsidR="002412A8">
        <w:rPr>
          <w:rFonts w:asciiTheme="minorHAnsi" w:hAnsiTheme="minorHAnsi"/>
          <w:color w:val="auto"/>
          <w:szCs w:val="24"/>
        </w:rPr>
        <w:t>He further</w:t>
      </w:r>
      <w:r w:rsidR="00013DC5">
        <w:rPr>
          <w:rFonts w:asciiTheme="minorHAnsi" w:hAnsiTheme="minorHAnsi"/>
          <w:color w:val="auto"/>
          <w:szCs w:val="24"/>
        </w:rPr>
        <w:t xml:space="preserve"> opined that the CI’s prognosis was “poor because the hand will always be a function problem</w:t>
      </w:r>
      <w:r w:rsidR="002412A8">
        <w:rPr>
          <w:rFonts w:asciiTheme="minorHAnsi" w:hAnsiTheme="minorHAnsi"/>
          <w:color w:val="auto"/>
          <w:szCs w:val="24"/>
        </w:rPr>
        <w:t>.</w:t>
      </w:r>
      <w:r w:rsidR="00013DC5">
        <w:rPr>
          <w:rFonts w:asciiTheme="minorHAnsi" w:hAnsiTheme="minorHAnsi"/>
          <w:color w:val="auto"/>
          <w:szCs w:val="24"/>
        </w:rPr>
        <w:t xml:space="preserve">”  </w:t>
      </w:r>
      <w:r w:rsidR="001B7A7F">
        <w:rPr>
          <w:rFonts w:asciiTheme="minorHAnsi" w:hAnsiTheme="minorHAnsi"/>
          <w:color w:val="auto"/>
          <w:szCs w:val="24"/>
        </w:rPr>
        <w:t>A</w:t>
      </w:r>
      <w:r w:rsidR="002412A8">
        <w:rPr>
          <w:rFonts w:asciiTheme="minorHAnsi" w:hAnsiTheme="minorHAnsi"/>
          <w:color w:val="auto"/>
          <w:szCs w:val="24"/>
        </w:rPr>
        <w:t xml:space="preserve"> </w:t>
      </w:r>
      <w:r w:rsidR="00C929DE">
        <w:rPr>
          <w:rFonts w:asciiTheme="minorHAnsi" w:hAnsiTheme="minorHAnsi"/>
          <w:color w:val="auto"/>
          <w:szCs w:val="24"/>
        </w:rPr>
        <w:t xml:space="preserve">ROM </w:t>
      </w:r>
      <w:r w:rsidR="002412A8">
        <w:rPr>
          <w:rFonts w:asciiTheme="minorHAnsi" w:hAnsiTheme="minorHAnsi"/>
          <w:color w:val="auto"/>
          <w:szCs w:val="24"/>
        </w:rPr>
        <w:t xml:space="preserve">evaluation </w:t>
      </w:r>
      <w:r w:rsidR="001B7A7F">
        <w:rPr>
          <w:rFonts w:asciiTheme="minorHAnsi" w:hAnsiTheme="minorHAnsi"/>
          <w:color w:val="auto"/>
          <w:szCs w:val="24"/>
        </w:rPr>
        <w:t xml:space="preserve">from </w:t>
      </w:r>
      <w:r w:rsidR="00BA5EC8">
        <w:rPr>
          <w:rFonts w:asciiTheme="minorHAnsi" w:hAnsiTheme="minorHAnsi"/>
          <w:color w:val="auto"/>
          <w:szCs w:val="24"/>
        </w:rPr>
        <w:t>o</w:t>
      </w:r>
      <w:r w:rsidR="001B7A7F">
        <w:rPr>
          <w:rFonts w:asciiTheme="minorHAnsi" w:hAnsiTheme="minorHAnsi"/>
          <w:color w:val="auto"/>
          <w:szCs w:val="24"/>
        </w:rPr>
        <w:t xml:space="preserve">ccupational </w:t>
      </w:r>
      <w:r w:rsidR="00BA5EC8">
        <w:rPr>
          <w:rFonts w:asciiTheme="minorHAnsi" w:hAnsiTheme="minorHAnsi"/>
          <w:color w:val="auto"/>
          <w:szCs w:val="24"/>
        </w:rPr>
        <w:t>m</w:t>
      </w:r>
      <w:r w:rsidR="001B7A7F">
        <w:rPr>
          <w:rFonts w:asciiTheme="minorHAnsi" w:hAnsiTheme="minorHAnsi"/>
          <w:color w:val="auto"/>
          <w:szCs w:val="24"/>
        </w:rPr>
        <w:t xml:space="preserve">edicine more </w:t>
      </w:r>
      <w:r w:rsidR="002412A8">
        <w:rPr>
          <w:rFonts w:asciiTheme="minorHAnsi" w:hAnsiTheme="minorHAnsi"/>
          <w:color w:val="auto"/>
          <w:szCs w:val="24"/>
        </w:rPr>
        <w:t xml:space="preserve">proximate to </w:t>
      </w:r>
      <w:r w:rsidR="001B7A7F">
        <w:rPr>
          <w:rFonts w:asciiTheme="minorHAnsi" w:hAnsiTheme="minorHAnsi"/>
          <w:color w:val="auto"/>
          <w:szCs w:val="24"/>
        </w:rPr>
        <w:t>TDRL placement i</w:t>
      </w:r>
      <w:r w:rsidR="002412A8">
        <w:rPr>
          <w:rFonts w:asciiTheme="minorHAnsi" w:hAnsiTheme="minorHAnsi"/>
          <w:color w:val="auto"/>
          <w:szCs w:val="24"/>
        </w:rPr>
        <w:t>s also in evidence</w:t>
      </w:r>
      <w:r w:rsidR="006332FA">
        <w:rPr>
          <w:rFonts w:asciiTheme="minorHAnsi" w:hAnsiTheme="minorHAnsi"/>
          <w:color w:val="auto"/>
          <w:szCs w:val="24"/>
        </w:rPr>
        <w:t xml:space="preserve"> (</w:t>
      </w:r>
      <w:r w:rsidR="000B028C">
        <w:rPr>
          <w:rFonts w:asciiTheme="minorHAnsi" w:hAnsiTheme="minorHAnsi"/>
          <w:color w:val="auto"/>
          <w:szCs w:val="24"/>
        </w:rPr>
        <w:t xml:space="preserve">requested by the PEB </w:t>
      </w:r>
      <w:r w:rsidR="001B7A7F">
        <w:rPr>
          <w:rFonts w:asciiTheme="minorHAnsi" w:hAnsiTheme="minorHAnsi"/>
          <w:color w:val="auto"/>
          <w:szCs w:val="24"/>
        </w:rPr>
        <w:t>because</w:t>
      </w:r>
      <w:r w:rsidR="000B028C">
        <w:rPr>
          <w:rFonts w:asciiTheme="minorHAnsi" w:hAnsiTheme="minorHAnsi"/>
          <w:color w:val="auto"/>
          <w:szCs w:val="24"/>
        </w:rPr>
        <w:t xml:space="preserve"> the </w:t>
      </w:r>
      <w:r w:rsidR="006332FA">
        <w:rPr>
          <w:rFonts w:asciiTheme="minorHAnsi" w:hAnsiTheme="minorHAnsi"/>
          <w:color w:val="auto"/>
          <w:szCs w:val="24"/>
        </w:rPr>
        <w:t xml:space="preserve">above </w:t>
      </w:r>
      <w:r w:rsidR="000B028C">
        <w:rPr>
          <w:rFonts w:asciiTheme="minorHAnsi" w:hAnsiTheme="minorHAnsi"/>
          <w:color w:val="auto"/>
          <w:szCs w:val="24"/>
        </w:rPr>
        <w:t xml:space="preserve">examination was </w:t>
      </w:r>
      <w:r w:rsidR="006332FA">
        <w:rPr>
          <w:rFonts w:asciiTheme="minorHAnsi" w:hAnsiTheme="minorHAnsi"/>
          <w:color w:val="auto"/>
          <w:szCs w:val="24"/>
        </w:rPr>
        <w:t>now outdated)</w:t>
      </w:r>
      <w:r w:rsidR="002412A8">
        <w:rPr>
          <w:rFonts w:asciiTheme="minorHAnsi" w:hAnsiTheme="minorHAnsi"/>
          <w:color w:val="auto"/>
          <w:szCs w:val="24"/>
        </w:rPr>
        <w:t xml:space="preserve">.  </w:t>
      </w:r>
      <w:r w:rsidR="006332FA">
        <w:rPr>
          <w:rFonts w:asciiTheme="minorHAnsi" w:hAnsiTheme="minorHAnsi"/>
          <w:color w:val="auto"/>
          <w:szCs w:val="24"/>
        </w:rPr>
        <w:t>This more proximate</w:t>
      </w:r>
      <w:r w:rsidR="000B028C">
        <w:rPr>
          <w:rFonts w:asciiTheme="minorHAnsi" w:hAnsiTheme="minorHAnsi"/>
          <w:color w:val="auto"/>
          <w:szCs w:val="24"/>
        </w:rPr>
        <w:t xml:space="preserve"> examination</w:t>
      </w:r>
      <w:r w:rsidR="002412A8">
        <w:rPr>
          <w:rFonts w:asciiTheme="minorHAnsi" w:hAnsiTheme="minorHAnsi"/>
          <w:color w:val="auto"/>
          <w:szCs w:val="24"/>
        </w:rPr>
        <w:t xml:space="preserve"> documented similar marked ROM limitation at the MCP, PIP, and DIP joints of the right long finger; bony ankylosis of the PIP and functional ankylosis of the DIP; and, modest ROM limitations at the </w:t>
      </w:r>
      <w:proofErr w:type="spellStart"/>
      <w:r w:rsidR="002412A8">
        <w:rPr>
          <w:rFonts w:asciiTheme="minorHAnsi" w:hAnsiTheme="minorHAnsi"/>
          <w:color w:val="auto"/>
          <w:szCs w:val="24"/>
        </w:rPr>
        <w:t>contiguious</w:t>
      </w:r>
      <w:proofErr w:type="spellEnd"/>
      <w:r w:rsidR="002412A8">
        <w:rPr>
          <w:rFonts w:asciiTheme="minorHAnsi" w:hAnsiTheme="minorHAnsi"/>
          <w:color w:val="auto"/>
          <w:szCs w:val="24"/>
        </w:rPr>
        <w:t xml:space="preserve"> index and ring fingers.  </w:t>
      </w:r>
    </w:p>
    <w:p w:rsidR="00DC1F4B" w:rsidRDefault="00DC1F4B" w:rsidP="00A8067F">
      <w:pPr>
        <w:tabs>
          <w:tab w:val="left" w:pos="288"/>
          <w:tab w:val="left" w:pos="4752"/>
        </w:tabs>
        <w:jc w:val="both"/>
        <w:rPr>
          <w:rFonts w:asciiTheme="minorHAnsi" w:hAnsiTheme="minorHAnsi"/>
          <w:color w:val="auto"/>
          <w:szCs w:val="24"/>
        </w:rPr>
      </w:pPr>
    </w:p>
    <w:p w:rsidR="008F4494" w:rsidRDefault="000F5ED0" w:rsidP="00A8067F">
      <w:pPr>
        <w:tabs>
          <w:tab w:val="left" w:pos="288"/>
          <w:tab w:val="left" w:pos="4752"/>
        </w:tabs>
        <w:jc w:val="both"/>
        <w:rPr>
          <w:rFonts w:asciiTheme="minorHAnsi" w:hAnsiTheme="minorHAnsi"/>
          <w:color w:val="auto"/>
          <w:szCs w:val="24"/>
        </w:rPr>
      </w:pPr>
      <w:r>
        <w:rPr>
          <w:rFonts w:asciiTheme="minorHAnsi" w:hAnsiTheme="minorHAnsi"/>
          <w:color w:val="auto"/>
          <w:szCs w:val="24"/>
        </w:rPr>
        <w:t xml:space="preserve">At the time of the </w:t>
      </w:r>
      <w:r w:rsidR="000B028C">
        <w:rPr>
          <w:rFonts w:asciiTheme="minorHAnsi" w:hAnsiTheme="minorHAnsi"/>
          <w:color w:val="auto"/>
          <w:szCs w:val="24"/>
        </w:rPr>
        <w:t xml:space="preserve">final </w:t>
      </w:r>
      <w:r>
        <w:rPr>
          <w:rFonts w:asciiTheme="minorHAnsi" w:hAnsiTheme="minorHAnsi"/>
          <w:color w:val="auto"/>
          <w:szCs w:val="24"/>
        </w:rPr>
        <w:t xml:space="preserve">TDRL </w:t>
      </w:r>
      <w:r w:rsidR="000B028C">
        <w:rPr>
          <w:rFonts w:asciiTheme="minorHAnsi" w:hAnsiTheme="minorHAnsi"/>
          <w:color w:val="auto"/>
          <w:szCs w:val="24"/>
        </w:rPr>
        <w:t>evaluation</w:t>
      </w:r>
      <w:r>
        <w:rPr>
          <w:rFonts w:asciiTheme="minorHAnsi" w:hAnsiTheme="minorHAnsi"/>
          <w:color w:val="auto"/>
          <w:szCs w:val="24"/>
        </w:rPr>
        <w:t>, the</w:t>
      </w:r>
      <w:r w:rsidR="002D6A3E">
        <w:rPr>
          <w:rFonts w:asciiTheme="minorHAnsi" w:hAnsiTheme="minorHAnsi"/>
          <w:color w:val="auto"/>
          <w:szCs w:val="24"/>
        </w:rPr>
        <w:t xml:space="preserve"> findings were similar</w:t>
      </w:r>
      <w:r w:rsidR="006332FA">
        <w:rPr>
          <w:rFonts w:asciiTheme="minorHAnsi" w:hAnsiTheme="minorHAnsi"/>
          <w:color w:val="auto"/>
          <w:szCs w:val="24"/>
        </w:rPr>
        <w:t>;</w:t>
      </w:r>
      <w:r w:rsidR="002D6A3E">
        <w:rPr>
          <w:rFonts w:asciiTheme="minorHAnsi" w:hAnsiTheme="minorHAnsi"/>
          <w:color w:val="auto"/>
          <w:szCs w:val="24"/>
        </w:rPr>
        <w:t xml:space="preserve"> but the intensity </w:t>
      </w:r>
      <w:r w:rsidR="000B028C">
        <w:rPr>
          <w:rFonts w:asciiTheme="minorHAnsi" w:hAnsiTheme="minorHAnsi"/>
          <w:color w:val="auto"/>
          <w:szCs w:val="24"/>
        </w:rPr>
        <w:t xml:space="preserve">and location </w:t>
      </w:r>
      <w:r w:rsidR="002D6A3E">
        <w:rPr>
          <w:rFonts w:asciiTheme="minorHAnsi" w:hAnsiTheme="minorHAnsi"/>
          <w:color w:val="auto"/>
          <w:szCs w:val="24"/>
        </w:rPr>
        <w:t xml:space="preserve">of the pain had changed.  The pain </w:t>
      </w:r>
      <w:r w:rsidR="000B028C">
        <w:rPr>
          <w:rFonts w:asciiTheme="minorHAnsi" w:hAnsiTheme="minorHAnsi"/>
          <w:color w:val="auto"/>
          <w:szCs w:val="24"/>
        </w:rPr>
        <w:t xml:space="preserve">was </w:t>
      </w:r>
      <w:r w:rsidR="00383382">
        <w:rPr>
          <w:rFonts w:asciiTheme="minorHAnsi" w:hAnsiTheme="minorHAnsi"/>
          <w:color w:val="auto"/>
          <w:szCs w:val="24"/>
        </w:rPr>
        <w:t>worse</w:t>
      </w:r>
      <w:r w:rsidR="00747C5E">
        <w:rPr>
          <w:rFonts w:asciiTheme="minorHAnsi" w:hAnsiTheme="minorHAnsi"/>
          <w:color w:val="auto"/>
          <w:szCs w:val="24"/>
        </w:rPr>
        <w:t xml:space="preserve"> </w:t>
      </w:r>
      <w:r w:rsidR="000B028C">
        <w:rPr>
          <w:rFonts w:asciiTheme="minorHAnsi" w:hAnsiTheme="minorHAnsi"/>
          <w:color w:val="auto"/>
          <w:szCs w:val="24"/>
        </w:rPr>
        <w:t xml:space="preserve">and was now radiating up the entire arm.  </w:t>
      </w:r>
      <w:r w:rsidR="002D6A3E">
        <w:rPr>
          <w:rFonts w:asciiTheme="minorHAnsi" w:hAnsiTheme="minorHAnsi"/>
          <w:color w:val="auto"/>
          <w:szCs w:val="24"/>
        </w:rPr>
        <w:t xml:space="preserve">Objectively, </w:t>
      </w:r>
      <w:r w:rsidR="000B028C">
        <w:rPr>
          <w:rFonts w:asciiTheme="minorHAnsi" w:hAnsiTheme="minorHAnsi"/>
          <w:color w:val="auto"/>
          <w:szCs w:val="24"/>
        </w:rPr>
        <w:t>the</w:t>
      </w:r>
      <w:r w:rsidR="00383382">
        <w:rPr>
          <w:rFonts w:asciiTheme="minorHAnsi" w:hAnsiTheme="minorHAnsi"/>
          <w:color w:val="auto"/>
          <w:szCs w:val="24"/>
        </w:rPr>
        <w:t xml:space="preserve"> hypersensitivity extended to the entire hand</w:t>
      </w:r>
      <w:r w:rsidR="00BA5EC8">
        <w:rPr>
          <w:rFonts w:asciiTheme="minorHAnsi" w:hAnsiTheme="minorHAnsi"/>
          <w:color w:val="auto"/>
          <w:szCs w:val="24"/>
        </w:rPr>
        <w:t xml:space="preserve"> and</w:t>
      </w:r>
      <w:r w:rsidR="000B028C">
        <w:rPr>
          <w:rFonts w:asciiTheme="minorHAnsi" w:hAnsiTheme="minorHAnsi"/>
          <w:color w:val="auto"/>
          <w:szCs w:val="24"/>
        </w:rPr>
        <w:t xml:space="preserve"> the remaining neurologic findings were similar to those at the time of temporary retirement</w:t>
      </w:r>
      <w:r w:rsidR="006332FA">
        <w:rPr>
          <w:rFonts w:asciiTheme="minorHAnsi" w:hAnsiTheme="minorHAnsi"/>
          <w:color w:val="auto"/>
          <w:szCs w:val="24"/>
        </w:rPr>
        <w:t xml:space="preserve">. </w:t>
      </w:r>
      <w:r w:rsidR="00ED63FC">
        <w:rPr>
          <w:rFonts w:asciiTheme="minorHAnsi" w:hAnsiTheme="minorHAnsi"/>
          <w:color w:val="auto"/>
          <w:szCs w:val="24"/>
        </w:rPr>
        <w:t xml:space="preserve"> </w:t>
      </w:r>
      <w:r w:rsidR="000B028C">
        <w:rPr>
          <w:rFonts w:asciiTheme="minorHAnsi" w:hAnsiTheme="minorHAnsi"/>
          <w:color w:val="auto"/>
          <w:szCs w:val="24"/>
        </w:rPr>
        <w:t xml:space="preserve">The CI had taken a new job as a fork lift operator, but had to reduce his hours due to this pain.  </w:t>
      </w:r>
      <w:r w:rsidR="00747C5E">
        <w:rPr>
          <w:rFonts w:asciiTheme="minorHAnsi" w:hAnsiTheme="minorHAnsi"/>
          <w:color w:val="auto"/>
          <w:szCs w:val="24"/>
        </w:rPr>
        <w:t>Major complaints included limited use of the right hand</w:t>
      </w:r>
      <w:r w:rsidR="000B028C">
        <w:rPr>
          <w:rFonts w:asciiTheme="minorHAnsi" w:hAnsiTheme="minorHAnsi"/>
          <w:color w:val="auto"/>
          <w:szCs w:val="24"/>
        </w:rPr>
        <w:t>,</w:t>
      </w:r>
      <w:r w:rsidR="00747C5E">
        <w:rPr>
          <w:rFonts w:asciiTheme="minorHAnsi" w:hAnsiTheme="minorHAnsi"/>
          <w:color w:val="auto"/>
          <w:szCs w:val="24"/>
        </w:rPr>
        <w:t xml:space="preserve"> </w:t>
      </w:r>
      <w:r w:rsidR="000B028C">
        <w:rPr>
          <w:rFonts w:asciiTheme="minorHAnsi" w:hAnsiTheme="minorHAnsi"/>
          <w:color w:val="auto"/>
          <w:szCs w:val="24"/>
        </w:rPr>
        <w:t>al</w:t>
      </w:r>
      <w:r w:rsidR="00747C5E">
        <w:rPr>
          <w:rFonts w:asciiTheme="minorHAnsi" w:hAnsiTheme="minorHAnsi"/>
          <w:color w:val="auto"/>
          <w:szCs w:val="24"/>
        </w:rPr>
        <w:t xml:space="preserve">though he was able to write and use a computer “somewhat.”  </w:t>
      </w:r>
      <w:r w:rsidR="00ED63FC">
        <w:rPr>
          <w:rFonts w:asciiTheme="minorHAnsi" w:hAnsiTheme="minorHAnsi"/>
          <w:color w:val="auto"/>
          <w:szCs w:val="24"/>
        </w:rPr>
        <w:t>F</w:t>
      </w:r>
      <w:r w:rsidR="000B028C">
        <w:rPr>
          <w:rFonts w:asciiTheme="minorHAnsi" w:hAnsiTheme="minorHAnsi"/>
          <w:color w:val="auto"/>
          <w:szCs w:val="24"/>
        </w:rPr>
        <w:t xml:space="preserve">ormal ROM measurements of the fingers were not repeated at this time, </w:t>
      </w:r>
      <w:r w:rsidR="00ED63FC">
        <w:rPr>
          <w:rFonts w:asciiTheme="minorHAnsi" w:hAnsiTheme="minorHAnsi"/>
          <w:color w:val="auto"/>
          <w:szCs w:val="24"/>
        </w:rPr>
        <w:t>but</w:t>
      </w:r>
      <w:r w:rsidR="000B028C">
        <w:rPr>
          <w:rFonts w:asciiTheme="minorHAnsi" w:hAnsiTheme="minorHAnsi"/>
          <w:color w:val="auto"/>
          <w:szCs w:val="24"/>
        </w:rPr>
        <w:t xml:space="preserve"> informal observations </w:t>
      </w:r>
      <w:r w:rsidR="00ED63FC">
        <w:rPr>
          <w:rFonts w:asciiTheme="minorHAnsi" w:hAnsiTheme="minorHAnsi"/>
          <w:color w:val="auto"/>
          <w:szCs w:val="24"/>
        </w:rPr>
        <w:t>were consistent with previous measurements</w:t>
      </w:r>
      <w:r w:rsidR="000B028C">
        <w:rPr>
          <w:rFonts w:asciiTheme="minorHAnsi" w:hAnsiTheme="minorHAnsi"/>
          <w:color w:val="auto"/>
          <w:szCs w:val="24"/>
        </w:rPr>
        <w:t xml:space="preserve">.  It is also noted that the </w:t>
      </w:r>
      <w:r w:rsidR="00ED63FC">
        <w:rPr>
          <w:rFonts w:asciiTheme="minorHAnsi" w:hAnsiTheme="minorHAnsi"/>
          <w:color w:val="auto"/>
          <w:szCs w:val="24"/>
        </w:rPr>
        <w:t>similar results from the sequential measurements over time, as cited in the MEB evidence, suggest a stable and permanent</w:t>
      </w:r>
      <w:r w:rsidR="000B028C">
        <w:rPr>
          <w:rFonts w:asciiTheme="minorHAnsi" w:hAnsiTheme="minorHAnsi"/>
          <w:color w:val="auto"/>
          <w:szCs w:val="24"/>
        </w:rPr>
        <w:t xml:space="preserve"> </w:t>
      </w:r>
      <w:r w:rsidR="00ED63FC">
        <w:rPr>
          <w:rFonts w:asciiTheme="minorHAnsi" w:hAnsiTheme="minorHAnsi"/>
          <w:color w:val="auto"/>
          <w:szCs w:val="24"/>
        </w:rPr>
        <w:t>functional impairment of</w:t>
      </w:r>
      <w:r w:rsidR="000B028C">
        <w:rPr>
          <w:rFonts w:asciiTheme="minorHAnsi" w:hAnsiTheme="minorHAnsi"/>
          <w:color w:val="auto"/>
          <w:szCs w:val="24"/>
        </w:rPr>
        <w:t xml:space="preserve"> right long finger </w:t>
      </w:r>
      <w:r w:rsidR="00ED63FC">
        <w:rPr>
          <w:rFonts w:asciiTheme="minorHAnsi" w:hAnsiTheme="minorHAnsi"/>
          <w:color w:val="auto"/>
          <w:szCs w:val="24"/>
        </w:rPr>
        <w:t>mobility</w:t>
      </w:r>
      <w:r w:rsidR="000B028C">
        <w:rPr>
          <w:rFonts w:asciiTheme="minorHAnsi" w:hAnsiTheme="minorHAnsi"/>
          <w:color w:val="auto"/>
          <w:szCs w:val="24"/>
        </w:rPr>
        <w:t xml:space="preserve">.  </w:t>
      </w:r>
      <w:r w:rsidR="00747C5E">
        <w:rPr>
          <w:rFonts w:asciiTheme="minorHAnsi" w:hAnsiTheme="minorHAnsi"/>
          <w:color w:val="auto"/>
          <w:szCs w:val="24"/>
        </w:rPr>
        <w:t xml:space="preserve">Diagnoses </w:t>
      </w:r>
      <w:r w:rsidR="000B028C">
        <w:rPr>
          <w:rFonts w:asciiTheme="minorHAnsi" w:hAnsiTheme="minorHAnsi"/>
          <w:color w:val="auto"/>
          <w:szCs w:val="24"/>
        </w:rPr>
        <w:t xml:space="preserve">at the time of permanent separation </w:t>
      </w:r>
      <w:r w:rsidR="00747C5E">
        <w:rPr>
          <w:rFonts w:asciiTheme="minorHAnsi" w:hAnsiTheme="minorHAnsi"/>
          <w:color w:val="auto"/>
          <w:szCs w:val="24"/>
        </w:rPr>
        <w:t xml:space="preserve">included </w:t>
      </w:r>
      <w:r w:rsidR="000B028C">
        <w:rPr>
          <w:rFonts w:asciiTheme="minorHAnsi" w:hAnsiTheme="minorHAnsi"/>
          <w:color w:val="auto"/>
          <w:szCs w:val="24"/>
        </w:rPr>
        <w:t>CRPS</w:t>
      </w:r>
      <w:r w:rsidR="002D6A3E">
        <w:rPr>
          <w:rFonts w:asciiTheme="minorHAnsi" w:hAnsiTheme="minorHAnsi"/>
          <w:color w:val="auto"/>
          <w:szCs w:val="24"/>
        </w:rPr>
        <w:t xml:space="preserve"> affecting the right upper extremity, but predominantly the hand</w:t>
      </w:r>
      <w:r w:rsidR="00ED63E7">
        <w:rPr>
          <w:rFonts w:asciiTheme="minorHAnsi" w:hAnsiTheme="minorHAnsi"/>
          <w:color w:val="auto"/>
          <w:szCs w:val="24"/>
        </w:rPr>
        <w:t xml:space="preserve"> </w:t>
      </w:r>
      <w:r w:rsidR="002D6A3E">
        <w:rPr>
          <w:rFonts w:asciiTheme="minorHAnsi" w:hAnsiTheme="minorHAnsi"/>
          <w:color w:val="auto"/>
          <w:szCs w:val="24"/>
        </w:rPr>
        <w:t>and</w:t>
      </w:r>
      <w:r w:rsidR="00BA5EC8">
        <w:rPr>
          <w:rFonts w:asciiTheme="minorHAnsi" w:hAnsiTheme="minorHAnsi"/>
          <w:color w:val="auto"/>
          <w:szCs w:val="24"/>
        </w:rPr>
        <w:t xml:space="preserve"> </w:t>
      </w:r>
      <w:proofErr w:type="spellStart"/>
      <w:r w:rsidR="002D6A3E">
        <w:rPr>
          <w:rFonts w:asciiTheme="minorHAnsi" w:hAnsiTheme="minorHAnsi"/>
          <w:color w:val="auto"/>
          <w:szCs w:val="24"/>
        </w:rPr>
        <w:t>ankylosis</w:t>
      </w:r>
      <w:proofErr w:type="spellEnd"/>
      <w:r w:rsidR="002D6A3E">
        <w:rPr>
          <w:rFonts w:asciiTheme="minorHAnsi" w:hAnsiTheme="minorHAnsi"/>
          <w:color w:val="auto"/>
          <w:szCs w:val="24"/>
        </w:rPr>
        <w:t xml:space="preserve"> of the PIP joint, right long finger.  </w:t>
      </w:r>
      <w:r w:rsidR="00747C5E">
        <w:rPr>
          <w:rFonts w:asciiTheme="minorHAnsi" w:hAnsiTheme="minorHAnsi"/>
          <w:color w:val="auto"/>
          <w:szCs w:val="24"/>
        </w:rPr>
        <w:t xml:space="preserve">The orthopedic surgeon opined that the condition was stable and </w:t>
      </w:r>
      <w:r w:rsidR="002D6A3E">
        <w:rPr>
          <w:rFonts w:asciiTheme="minorHAnsi" w:hAnsiTheme="minorHAnsi"/>
          <w:color w:val="auto"/>
          <w:szCs w:val="24"/>
        </w:rPr>
        <w:t xml:space="preserve">that the CI </w:t>
      </w:r>
      <w:r w:rsidR="00747C5E">
        <w:rPr>
          <w:rFonts w:asciiTheme="minorHAnsi" w:hAnsiTheme="minorHAnsi"/>
          <w:color w:val="auto"/>
          <w:szCs w:val="24"/>
        </w:rPr>
        <w:t>ha</w:t>
      </w:r>
      <w:r w:rsidR="002D6A3E">
        <w:rPr>
          <w:rFonts w:asciiTheme="minorHAnsi" w:hAnsiTheme="minorHAnsi"/>
          <w:color w:val="auto"/>
          <w:szCs w:val="24"/>
        </w:rPr>
        <w:t>d</w:t>
      </w:r>
      <w:r w:rsidR="00747C5E">
        <w:rPr>
          <w:rFonts w:asciiTheme="minorHAnsi" w:hAnsiTheme="minorHAnsi"/>
          <w:color w:val="auto"/>
          <w:szCs w:val="24"/>
        </w:rPr>
        <w:t xml:space="preserve"> “limited use of his right </w:t>
      </w:r>
      <w:r w:rsidR="00C82AEF">
        <w:rPr>
          <w:rFonts w:asciiTheme="minorHAnsi" w:hAnsiTheme="minorHAnsi"/>
          <w:color w:val="auto"/>
          <w:szCs w:val="24"/>
        </w:rPr>
        <w:t xml:space="preserve">hand </w:t>
      </w:r>
      <w:r w:rsidR="00747C5E">
        <w:rPr>
          <w:rFonts w:asciiTheme="minorHAnsi" w:hAnsiTheme="minorHAnsi"/>
          <w:color w:val="auto"/>
          <w:szCs w:val="24"/>
        </w:rPr>
        <w:t>primarily because of pain but also because of the loss of motion of the long finger.</w:t>
      </w:r>
      <w:r w:rsidR="000B028C">
        <w:rPr>
          <w:rFonts w:asciiTheme="minorHAnsi" w:hAnsiTheme="minorHAnsi"/>
          <w:color w:val="auto"/>
          <w:szCs w:val="24"/>
        </w:rPr>
        <w:t>”</w:t>
      </w:r>
      <w:r w:rsidR="00747C5E">
        <w:rPr>
          <w:rFonts w:asciiTheme="minorHAnsi" w:hAnsiTheme="minorHAnsi"/>
          <w:color w:val="auto"/>
          <w:szCs w:val="24"/>
        </w:rPr>
        <w:t xml:space="preserve">  </w:t>
      </w:r>
    </w:p>
    <w:p w:rsidR="000B028C" w:rsidRDefault="000B028C" w:rsidP="00A8067F">
      <w:pPr>
        <w:tabs>
          <w:tab w:val="left" w:pos="288"/>
          <w:tab w:val="left" w:pos="4752"/>
        </w:tabs>
        <w:jc w:val="both"/>
        <w:rPr>
          <w:rFonts w:asciiTheme="minorHAnsi" w:hAnsiTheme="minorHAnsi"/>
          <w:color w:val="auto"/>
          <w:szCs w:val="24"/>
        </w:rPr>
      </w:pPr>
    </w:p>
    <w:p w:rsidR="00D7111F" w:rsidRDefault="00A8067F" w:rsidP="00A8067F">
      <w:pPr>
        <w:tabs>
          <w:tab w:val="left" w:pos="288"/>
          <w:tab w:val="left" w:pos="4752"/>
        </w:tabs>
        <w:jc w:val="both"/>
        <w:rPr>
          <w:rFonts w:asciiTheme="minorHAnsi" w:hAnsiTheme="minorHAnsi"/>
          <w:color w:val="auto"/>
          <w:szCs w:val="24"/>
        </w:rPr>
      </w:pPr>
      <w:r w:rsidRPr="00964822">
        <w:rPr>
          <w:rFonts w:asciiTheme="minorHAnsi" w:hAnsiTheme="minorHAnsi"/>
          <w:iCs/>
          <w:color w:val="auto"/>
          <w:szCs w:val="24"/>
        </w:rPr>
        <w:t xml:space="preserve">The </w:t>
      </w:r>
      <w:r w:rsidR="008C5D20">
        <w:rPr>
          <w:rFonts w:asciiTheme="minorHAnsi" w:hAnsiTheme="minorHAnsi"/>
          <w:iCs/>
          <w:color w:val="auto"/>
          <w:szCs w:val="24"/>
        </w:rPr>
        <w:t>B</w:t>
      </w:r>
      <w:r w:rsidRPr="00964822">
        <w:rPr>
          <w:rFonts w:asciiTheme="minorHAnsi" w:hAnsiTheme="minorHAnsi"/>
          <w:iCs/>
          <w:color w:val="auto"/>
          <w:szCs w:val="24"/>
        </w:rPr>
        <w:t xml:space="preserve">oard directs its attention to its rating recommendations based on the evidence just described.  </w:t>
      </w:r>
      <w:r w:rsidR="008C5D20">
        <w:rPr>
          <w:rFonts w:asciiTheme="minorHAnsi" w:hAnsiTheme="minorHAnsi"/>
          <w:iCs/>
          <w:color w:val="auto"/>
          <w:szCs w:val="24"/>
        </w:rPr>
        <w:t xml:space="preserve">It </w:t>
      </w:r>
      <w:r w:rsidR="000B028C">
        <w:rPr>
          <w:rFonts w:asciiTheme="minorHAnsi" w:hAnsiTheme="minorHAnsi"/>
          <w:iCs/>
          <w:color w:val="auto"/>
          <w:szCs w:val="24"/>
        </w:rPr>
        <w:t>is</w:t>
      </w:r>
      <w:r w:rsidR="008C5D20">
        <w:rPr>
          <w:rFonts w:asciiTheme="minorHAnsi" w:hAnsiTheme="minorHAnsi"/>
          <w:iCs/>
          <w:color w:val="auto"/>
          <w:szCs w:val="24"/>
        </w:rPr>
        <w:t xml:space="preserve"> clear from the clinical </w:t>
      </w:r>
      <w:r w:rsidR="000B028C">
        <w:rPr>
          <w:rFonts w:asciiTheme="minorHAnsi" w:hAnsiTheme="minorHAnsi"/>
          <w:iCs/>
          <w:color w:val="auto"/>
          <w:szCs w:val="24"/>
        </w:rPr>
        <w:t>records</w:t>
      </w:r>
      <w:r w:rsidR="008C5D20">
        <w:rPr>
          <w:rFonts w:asciiTheme="minorHAnsi" w:hAnsiTheme="minorHAnsi"/>
          <w:iCs/>
          <w:color w:val="auto"/>
          <w:szCs w:val="24"/>
        </w:rPr>
        <w:t xml:space="preserve"> that the </w:t>
      </w:r>
      <w:r w:rsidR="00582024">
        <w:rPr>
          <w:rFonts w:asciiTheme="minorHAnsi" w:hAnsiTheme="minorHAnsi"/>
          <w:iCs/>
          <w:color w:val="auto"/>
          <w:szCs w:val="24"/>
        </w:rPr>
        <w:t xml:space="preserve">CI’s </w:t>
      </w:r>
      <w:r w:rsidR="008C5D20">
        <w:rPr>
          <w:rFonts w:asciiTheme="minorHAnsi" w:hAnsiTheme="minorHAnsi"/>
          <w:iCs/>
          <w:color w:val="auto"/>
          <w:szCs w:val="24"/>
        </w:rPr>
        <w:t xml:space="preserve">functional impairment stemmed </w:t>
      </w:r>
      <w:r w:rsidR="000B028C">
        <w:rPr>
          <w:rFonts w:asciiTheme="minorHAnsi" w:hAnsiTheme="minorHAnsi"/>
          <w:iCs/>
          <w:color w:val="auto"/>
          <w:szCs w:val="24"/>
        </w:rPr>
        <w:t xml:space="preserve">both </w:t>
      </w:r>
      <w:r w:rsidR="00582024">
        <w:rPr>
          <w:rFonts w:asciiTheme="minorHAnsi" w:hAnsiTheme="minorHAnsi"/>
          <w:iCs/>
          <w:color w:val="auto"/>
          <w:szCs w:val="24"/>
        </w:rPr>
        <w:t xml:space="preserve">from the neuropathic </w:t>
      </w:r>
      <w:r w:rsidR="000B028C">
        <w:rPr>
          <w:rFonts w:asciiTheme="minorHAnsi" w:hAnsiTheme="minorHAnsi"/>
          <w:iCs/>
          <w:color w:val="auto"/>
          <w:szCs w:val="24"/>
        </w:rPr>
        <w:t xml:space="preserve">CRPS condition </w:t>
      </w:r>
      <w:r w:rsidR="008C5D20">
        <w:rPr>
          <w:rFonts w:asciiTheme="minorHAnsi" w:hAnsiTheme="minorHAnsi"/>
          <w:iCs/>
          <w:color w:val="auto"/>
          <w:szCs w:val="24"/>
        </w:rPr>
        <w:t xml:space="preserve">and the </w:t>
      </w:r>
      <w:r w:rsidR="000B028C">
        <w:rPr>
          <w:rFonts w:asciiTheme="minorHAnsi" w:hAnsiTheme="minorHAnsi"/>
          <w:iCs/>
          <w:color w:val="auto"/>
          <w:szCs w:val="24"/>
        </w:rPr>
        <w:t>functional impairment of the right long finger;</w:t>
      </w:r>
      <w:r w:rsidR="00582024">
        <w:rPr>
          <w:rFonts w:asciiTheme="minorHAnsi" w:hAnsiTheme="minorHAnsi"/>
          <w:iCs/>
          <w:color w:val="auto"/>
          <w:szCs w:val="24"/>
        </w:rPr>
        <w:t xml:space="preserve"> both sequelae of the </w:t>
      </w:r>
      <w:r w:rsidR="007B13B8">
        <w:rPr>
          <w:rFonts w:asciiTheme="minorHAnsi" w:hAnsiTheme="minorHAnsi"/>
          <w:iCs/>
          <w:color w:val="auto"/>
          <w:szCs w:val="24"/>
        </w:rPr>
        <w:t>combat</w:t>
      </w:r>
      <w:r w:rsidR="00582024">
        <w:rPr>
          <w:rFonts w:asciiTheme="minorHAnsi" w:hAnsiTheme="minorHAnsi"/>
          <w:iCs/>
          <w:color w:val="auto"/>
          <w:szCs w:val="24"/>
        </w:rPr>
        <w:t xml:space="preserve"> injury.  </w:t>
      </w:r>
      <w:r w:rsidR="007B13B8">
        <w:rPr>
          <w:rFonts w:asciiTheme="minorHAnsi" w:hAnsiTheme="minorHAnsi"/>
          <w:color w:val="auto"/>
          <w:szCs w:val="24"/>
        </w:rPr>
        <w:t>As previously note, t</w:t>
      </w:r>
      <w:r w:rsidR="0055159F">
        <w:rPr>
          <w:rFonts w:asciiTheme="minorHAnsi" w:hAnsiTheme="minorHAnsi"/>
          <w:color w:val="auto"/>
          <w:szCs w:val="24"/>
        </w:rPr>
        <w:t xml:space="preserve">he PEB applied different coding </w:t>
      </w:r>
      <w:r w:rsidR="00D7111F">
        <w:rPr>
          <w:rFonts w:asciiTheme="minorHAnsi" w:hAnsiTheme="minorHAnsi"/>
          <w:color w:val="auto"/>
          <w:szCs w:val="24"/>
        </w:rPr>
        <w:t>approaches</w:t>
      </w:r>
      <w:r w:rsidR="0055159F">
        <w:rPr>
          <w:rFonts w:asciiTheme="minorHAnsi" w:hAnsiTheme="minorHAnsi"/>
          <w:color w:val="auto"/>
          <w:szCs w:val="24"/>
        </w:rPr>
        <w:t xml:space="preserve"> at the time </w:t>
      </w:r>
      <w:r w:rsidR="007B13B8">
        <w:rPr>
          <w:rFonts w:asciiTheme="minorHAnsi" w:hAnsiTheme="minorHAnsi"/>
          <w:color w:val="auto"/>
          <w:szCs w:val="24"/>
        </w:rPr>
        <w:t xml:space="preserve">TDRL placement </w:t>
      </w:r>
      <w:r w:rsidR="00D7111F">
        <w:rPr>
          <w:rFonts w:asciiTheme="minorHAnsi" w:hAnsiTheme="minorHAnsi"/>
          <w:color w:val="auto"/>
          <w:szCs w:val="24"/>
        </w:rPr>
        <w:t xml:space="preserve">and </w:t>
      </w:r>
      <w:r w:rsidR="007B13B8">
        <w:rPr>
          <w:rFonts w:asciiTheme="minorHAnsi" w:hAnsiTheme="minorHAnsi"/>
          <w:color w:val="auto"/>
          <w:szCs w:val="24"/>
        </w:rPr>
        <w:t>at final</w:t>
      </w:r>
      <w:r w:rsidR="00D7111F">
        <w:rPr>
          <w:rFonts w:asciiTheme="minorHAnsi" w:hAnsiTheme="minorHAnsi"/>
          <w:color w:val="auto"/>
          <w:szCs w:val="24"/>
        </w:rPr>
        <w:t xml:space="preserve"> separation.  The </w:t>
      </w:r>
      <w:r w:rsidR="007B13B8">
        <w:rPr>
          <w:rFonts w:asciiTheme="minorHAnsi" w:hAnsiTheme="minorHAnsi"/>
          <w:color w:val="auto"/>
          <w:szCs w:val="24"/>
        </w:rPr>
        <w:t>IPEB commencing TDRL</w:t>
      </w:r>
      <w:r w:rsidR="00D7111F">
        <w:rPr>
          <w:rFonts w:asciiTheme="minorHAnsi" w:hAnsiTheme="minorHAnsi"/>
          <w:color w:val="auto"/>
          <w:szCs w:val="24"/>
        </w:rPr>
        <w:t xml:space="preserve"> applied separate 10% ratings for the long and index fingers, </w:t>
      </w:r>
      <w:r w:rsidR="007B13B8">
        <w:rPr>
          <w:rFonts w:asciiTheme="minorHAnsi" w:hAnsiTheme="minorHAnsi"/>
          <w:color w:val="auto"/>
          <w:szCs w:val="24"/>
        </w:rPr>
        <w:t>confining</w:t>
      </w:r>
      <w:r w:rsidR="00D7111F">
        <w:rPr>
          <w:rFonts w:asciiTheme="minorHAnsi" w:hAnsiTheme="minorHAnsi"/>
          <w:color w:val="auto"/>
          <w:szCs w:val="24"/>
        </w:rPr>
        <w:t xml:space="preserve"> RSD </w:t>
      </w:r>
      <w:r w:rsidR="007B13B8">
        <w:rPr>
          <w:rFonts w:asciiTheme="minorHAnsi" w:hAnsiTheme="minorHAnsi"/>
          <w:color w:val="auto"/>
          <w:szCs w:val="24"/>
        </w:rPr>
        <w:t>impairment</w:t>
      </w:r>
      <w:r w:rsidR="00D7111F">
        <w:rPr>
          <w:rFonts w:asciiTheme="minorHAnsi" w:hAnsiTheme="minorHAnsi"/>
          <w:color w:val="auto"/>
          <w:szCs w:val="24"/>
        </w:rPr>
        <w:t xml:space="preserve"> to the long finger.  The permanent rating (although the documented ratable evidence had not significantly changed) incorporated the entire disability </w:t>
      </w:r>
      <w:r w:rsidR="007B13B8">
        <w:rPr>
          <w:rFonts w:asciiTheme="minorHAnsi" w:hAnsiTheme="minorHAnsi"/>
          <w:color w:val="auto"/>
          <w:szCs w:val="24"/>
        </w:rPr>
        <w:t>as</w:t>
      </w:r>
      <w:r w:rsidR="00D7111F">
        <w:rPr>
          <w:rFonts w:asciiTheme="minorHAnsi" w:hAnsiTheme="minorHAnsi"/>
          <w:color w:val="auto"/>
          <w:szCs w:val="24"/>
        </w:rPr>
        <w:t xml:space="preserve"> RSD coded analogously under the peripheral nerve code </w:t>
      </w:r>
      <w:r w:rsidR="00D7111F" w:rsidRPr="0055159F">
        <w:rPr>
          <w:rFonts w:asciiTheme="minorHAnsi" w:hAnsiTheme="minorHAnsi"/>
          <w:color w:val="auto"/>
          <w:szCs w:val="24"/>
        </w:rPr>
        <w:t>8599-8512</w:t>
      </w:r>
      <w:r w:rsidR="00D7111F">
        <w:rPr>
          <w:rFonts w:asciiTheme="minorHAnsi" w:hAnsiTheme="minorHAnsi"/>
          <w:color w:val="auto"/>
          <w:szCs w:val="24"/>
        </w:rPr>
        <w:t xml:space="preserve"> (lower radicular group) </w:t>
      </w:r>
      <w:r w:rsidR="007B13B8">
        <w:rPr>
          <w:rFonts w:asciiTheme="minorHAnsi" w:hAnsiTheme="minorHAnsi"/>
          <w:color w:val="auto"/>
          <w:szCs w:val="24"/>
        </w:rPr>
        <w:t xml:space="preserve">and rated </w:t>
      </w:r>
      <w:r w:rsidR="00D7111F">
        <w:rPr>
          <w:rFonts w:asciiTheme="minorHAnsi" w:hAnsiTheme="minorHAnsi"/>
          <w:color w:val="auto"/>
          <w:szCs w:val="24"/>
        </w:rPr>
        <w:t>at 20% (mild).  The VA (also without any significant evolution of ratable data) initially rated only the right long finger (20% with application of the amputation rule); but, then (incorporating all of the CRPS and finger impairment) conferred a 70% rating under the 5125 code for loss of use of the dominant hand.  All members agreed that the latter VA strategy was far excessive for the significant and well documented residual functional capacity of t</w:t>
      </w:r>
      <w:r w:rsidR="008F1B15">
        <w:rPr>
          <w:rFonts w:asciiTheme="minorHAnsi" w:hAnsiTheme="minorHAnsi"/>
          <w:color w:val="auto"/>
          <w:szCs w:val="24"/>
        </w:rPr>
        <w:t>he hand.  All members did agree</w:t>
      </w:r>
      <w:r w:rsidR="00D7111F">
        <w:rPr>
          <w:rFonts w:asciiTheme="minorHAnsi" w:hAnsiTheme="minorHAnsi"/>
          <w:color w:val="auto"/>
          <w:szCs w:val="24"/>
        </w:rPr>
        <w:t xml:space="preserve"> ho</w:t>
      </w:r>
      <w:r w:rsidR="008F1B15">
        <w:rPr>
          <w:rFonts w:asciiTheme="minorHAnsi" w:hAnsiTheme="minorHAnsi"/>
          <w:color w:val="auto"/>
          <w:szCs w:val="24"/>
        </w:rPr>
        <w:t>wever,</w:t>
      </w:r>
      <w:r w:rsidR="00D7111F">
        <w:rPr>
          <w:rFonts w:asciiTheme="minorHAnsi" w:hAnsiTheme="minorHAnsi"/>
          <w:color w:val="auto"/>
          <w:szCs w:val="24"/>
        </w:rPr>
        <w:t xml:space="preserve"> that both the RSD (CPRS) impairment and the right long finger impairment were well supported by the evidence as separately unfitting and separately ratable conditions for Service disability.  Regarding the finger rating, the specific code </w:t>
      </w:r>
      <w:r w:rsidR="00D7111F" w:rsidRPr="0055159F">
        <w:rPr>
          <w:rFonts w:asciiTheme="minorHAnsi" w:hAnsiTheme="minorHAnsi"/>
          <w:color w:val="auto"/>
          <w:szCs w:val="24"/>
        </w:rPr>
        <w:t xml:space="preserve">5226 </w:t>
      </w:r>
      <w:r w:rsidR="007B13B8">
        <w:rPr>
          <w:rFonts w:asciiTheme="minorHAnsi" w:hAnsiTheme="minorHAnsi"/>
          <w:color w:val="auto"/>
          <w:szCs w:val="24"/>
        </w:rPr>
        <w:t>(l</w:t>
      </w:r>
      <w:r w:rsidR="00D7111F">
        <w:rPr>
          <w:rFonts w:asciiTheme="minorHAnsi" w:hAnsiTheme="minorHAnsi"/>
          <w:color w:val="auto"/>
          <w:szCs w:val="24"/>
        </w:rPr>
        <w:t xml:space="preserve">ong finger, ankylosis of) allows </w:t>
      </w:r>
      <w:proofErr w:type="gramStart"/>
      <w:r w:rsidR="00D7111F">
        <w:rPr>
          <w:rFonts w:asciiTheme="minorHAnsi" w:hAnsiTheme="minorHAnsi"/>
          <w:color w:val="auto"/>
          <w:szCs w:val="24"/>
        </w:rPr>
        <w:t xml:space="preserve">a  </w:t>
      </w:r>
      <w:r w:rsidR="007B13B8">
        <w:rPr>
          <w:rFonts w:asciiTheme="minorHAnsi" w:hAnsiTheme="minorHAnsi"/>
          <w:color w:val="auto"/>
          <w:szCs w:val="24"/>
        </w:rPr>
        <w:t>maximum</w:t>
      </w:r>
      <w:proofErr w:type="gramEnd"/>
      <w:r w:rsidR="007B13B8">
        <w:rPr>
          <w:rFonts w:asciiTheme="minorHAnsi" w:hAnsiTheme="minorHAnsi"/>
          <w:color w:val="auto"/>
          <w:szCs w:val="24"/>
        </w:rPr>
        <w:t xml:space="preserve"> </w:t>
      </w:r>
      <w:r w:rsidR="00D7111F">
        <w:rPr>
          <w:rFonts w:asciiTheme="minorHAnsi" w:hAnsiTheme="minorHAnsi"/>
          <w:color w:val="auto"/>
          <w:szCs w:val="24"/>
        </w:rPr>
        <w:t xml:space="preserve">rating </w:t>
      </w:r>
      <w:r w:rsidR="007B13B8">
        <w:rPr>
          <w:rFonts w:asciiTheme="minorHAnsi" w:hAnsiTheme="minorHAnsi"/>
          <w:color w:val="auto"/>
          <w:szCs w:val="24"/>
        </w:rPr>
        <w:t xml:space="preserve">10% </w:t>
      </w:r>
      <w:r w:rsidR="00D7111F">
        <w:rPr>
          <w:rFonts w:asciiTheme="minorHAnsi" w:hAnsiTheme="minorHAnsi"/>
          <w:color w:val="auto"/>
          <w:szCs w:val="24"/>
        </w:rPr>
        <w:t xml:space="preserve">for </w:t>
      </w:r>
      <w:r w:rsidR="007B13B8">
        <w:rPr>
          <w:rFonts w:asciiTheme="minorHAnsi" w:hAnsiTheme="minorHAnsi"/>
          <w:color w:val="auto"/>
          <w:szCs w:val="24"/>
        </w:rPr>
        <w:t xml:space="preserve">either </w:t>
      </w:r>
      <w:r w:rsidR="00D7111F">
        <w:rPr>
          <w:rFonts w:asciiTheme="minorHAnsi" w:hAnsiTheme="minorHAnsi"/>
          <w:color w:val="auto"/>
          <w:szCs w:val="24"/>
        </w:rPr>
        <w:t xml:space="preserve">favorable or unfavorable ankylosis.  There is no ready rationale for applying the amputation rule, since the pathology is clearly no worse than unfavorable </w:t>
      </w:r>
      <w:proofErr w:type="spellStart"/>
      <w:r w:rsidR="00D7111F">
        <w:rPr>
          <w:rFonts w:asciiTheme="minorHAnsi" w:hAnsiTheme="minorHAnsi"/>
          <w:color w:val="auto"/>
          <w:szCs w:val="24"/>
        </w:rPr>
        <w:t>ankylosis</w:t>
      </w:r>
      <w:proofErr w:type="spellEnd"/>
      <w:r w:rsidR="00D7111F">
        <w:rPr>
          <w:rFonts w:asciiTheme="minorHAnsi" w:hAnsiTheme="minorHAnsi"/>
          <w:color w:val="auto"/>
          <w:szCs w:val="24"/>
        </w:rPr>
        <w:t xml:space="preserve"> of the finger</w:t>
      </w:r>
      <w:r w:rsidR="008F1B15">
        <w:rPr>
          <w:rFonts w:asciiTheme="minorHAnsi" w:hAnsiTheme="minorHAnsi"/>
          <w:color w:val="auto"/>
          <w:szCs w:val="24"/>
        </w:rPr>
        <w:t>,</w:t>
      </w:r>
      <w:r w:rsidR="00D7111F">
        <w:rPr>
          <w:rFonts w:asciiTheme="minorHAnsi" w:hAnsiTheme="minorHAnsi"/>
          <w:color w:val="auto"/>
          <w:szCs w:val="24"/>
        </w:rPr>
        <w:t xml:space="preserve"> and any attendant pain or other impairment would be pyramided </w:t>
      </w:r>
      <w:r w:rsidR="007B13B8">
        <w:rPr>
          <w:rFonts w:asciiTheme="minorHAnsi" w:hAnsiTheme="minorHAnsi"/>
          <w:color w:val="auto"/>
          <w:szCs w:val="24"/>
        </w:rPr>
        <w:t>if incorporated with</w:t>
      </w:r>
      <w:r w:rsidR="00D7111F">
        <w:rPr>
          <w:rFonts w:asciiTheme="minorHAnsi" w:hAnsiTheme="minorHAnsi"/>
          <w:color w:val="auto"/>
          <w:szCs w:val="24"/>
        </w:rPr>
        <w:t xml:space="preserve"> a separate CRPS rating.  Regarding a rating for the CRPS condition, all members agreed that the applicable code was 8599-8512 as applied by the PEB; but, deliberation ensued as to whether the </w:t>
      </w:r>
      <w:r w:rsidR="00D7111F" w:rsidRPr="00AA37D4">
        <w:rPr>
          <w:rFonts w:asciiTheme="minorHAnsi" w:hAnsiTheme="minorHAnsi"/>
          <w:color w:val="auto"/>
          <w:szCs w:val="24"/>
        </w:rPr>
        <w:t xml:space="preserve">20% rating for </w:t>
      </w:r>
      <w:r w:rsidR="008F1B15">
        <w:rPr>
          <w:rFonts w:asciiTheme="minorHAnsi" w:hAnsiTheme="minorHAnsi"/>
          <w:color w:val="auto"/>
          <w:szCs w:val="24"/>
        </w:rPr>
        <w:t>“mild”</w:t>
      </w:r>
      <w:r w:rsidR="00D7111F" w:rsidRPr="00AA37D4">
        <w:rPr>
          <w:rFonts w:asciiTheme="minorHAnsi" w:hAnsiTheme="minorHAnsi"/>
          <w:color w:val="auto"/>
          <w:szCs w:val="24"/>
        </w:rPr>
        <w:t xml:space="preserve"> or the 40% rating for </w:t>
      </w:r>
      <w:r w:rsidR="008F1B15">
        <w:rPr>
          <w:rFonts w:asciiTheme="minorHAnsi" w:hAnsiTheme="minorHAnsi"/>
          <w:color w:val="auto"/>
          <w:szCs w:val="24"/>
        </w:rPr>
        <w:t>“</w:t>
      </w:r>
      <w:r w:rsidR="00D7111F" w:rsidRPr="00AA37D4">
        <w:rPr>
          <w:rFonts w:asciiTheme="minorHAnsi" w:hAnsiTheme="minorHAnsi"/>
          <w:color w:val="auto"/>
          <w:szCs w:val="24"/>
        </w:rPr>
        <w:t>moderate</w:t>
      </w:r>
      <w:r w:rsidR="008F1B15">
        <w:rPr>
          <w:rFonts w:asciiTheme="minorHAnsi" w:hAnsiTheme="minorHAnsi"/>
          <w:color w:val="auto"/>
          <w:szCs w:val="24"/>
        </w:rPr>
        <w:t>”</w:t>
      </w:r>
      <w:r w:rsidR="00D7111F" w:rsidRPr="00AA37D4">
        <w:rPr>
          <w:rFonts w:asciiTheme="minorHAnsi" w:hAnsiTheme="minorHAnsi"/>
          <w:color w:val="auto"/>
          <w:szCs w:val="24"/>
        </w:rPr>
        <w:t xml:space="preserve"> was most consistent with the evidence.  It was concluded that the modest occupational constraints and basic functional integrity (minus the separately rated finger impairment) in </w:t>
      </w:r>
      <w:r w:rsidR="00D7111F" w:rsidRPr="00AA37D4">
        <w:rPr>
          <w:rFonts w:asciiTheme="minorHAnsi" w:hAnsiTheme="minorHAnsi"/>
          <w:color w:val="auto"/>
          <w:szCs w:val="24"/>
        </w:rPr>
        <w:lastRenderedPageBreak/>
        <w:t>evidence was consistent with the 20% rating.</w:t>
      </w:r>
      <w:r w:rsidR="00B713C0" w:rsidRPr="00AA37D4">
        <w:rPr>
          <w:rFonts w:asciiTheme="minorHAnsi" w:hAnsiTheme="minorHAnsi"/>
          <w:color w:val="auto"/>
          <w:szCs w:val="24"/>
        </w:rPr>
        <w:t xml:space="preserve">  After due deliberation, considering all of the evidence and mindful of VASRD §4.3 (reasonable doubt), the Board recommends separate disability ratings attendant to the right hand injury: a 20% rating for </w:t>
      </w:r>
      <w:r w:rsidR="007B13B8" w:rsidRPr="00AA37D4">
        <w:rPr>
          <w:rFonts w:asciiTheme="minorHAnsi" w:hAnsiTheme="minorHAnsi"/>
          <w:color w:val="auto"/>
          <w:szCs w:val="24"/>
        </w:rPr>
        <w:t>RSD (</w:t>
      </w:r>
      <w:r w:rsidR="00B713C0" w:rsidRPr="00AA37D4">
        <w:rPr>
          <w:rFonts w:asciiTheme="minorHAnsi" w:hAnsiTheme="minorHAnsi"/>
          <w:color w:val="auto"/>
          <w:szCs w:val="24"/>
        </w:rPr>
        <w:t>CRPS</w:t>
      </w:r>
      <w:r w:rsidR="007B13B8" w:rsidRPr="00AA37D4">
        <w:rPr>
          <w:rFonts w:asciiTheme="minorHAnsi" w:hAnsiTheme="minorHAnsi"/>
          <w:color w:val="auto"/>
          <w:szCs w:val="24"/>
        </w:rPr>
        <w:t>)</w:t>
      </w:r>
      <w:r w:rsidR="00B713C0" w:rsidRPr="00AA37D4">
        <w:rPr>
          <w:rFonts w:asciiTheme="minorHAnsi" w:hAnsiTheme="minorHAnsi"/>
          <w:color w:val="auto"/>
          <w:szCs w:val="24"/>
        </w:rPr>
        <w:t xml:space="preserve"> coded 8599-8512; and, a 10% rating for the right long finger ankylosis coded 5226.</w:t>
      </w:r>
      <w:r w:rsidR="00AA37D4">
        <w:rPr>
          <w:rFonts w:asciiTheme="minorHAnsi" w:hAnsiTheme="minorHAnsi"/>
          <w:color w:val="auto"/>
          <w:szCs w:val="24"/>
        </w:rPr>
        <w:t xml:space="preserve">  All members agreed that these ratings were fairly applied to the TDRL and permanent recommendations. </w:t>
      </w:r>
    </w:p>
    <w:p w:rsidR="00836AFD" w:rsidRDefault="00836AFD" w:rsidP="00836AFD">
      <w:pPr>
        <w:tabs>
          <w:tab w:val="left" w:pos="288"/>
          <w:tab w:val="left" w:pos="4752"/>
        </w:tabs>
        <w:jc w:val="both"/>
        <w:rPr>
          <w:rFonts w:asciiTheme="minorHAnsi" w:hAnsiTheme="minorHAnsi"/>
          <w:color w:val="auto"/>
          <w:szCs w:val="24"/>
        </w:rPr>
      </w:pPr>
    </w:p>
    <w:p w:rsidR="00FB4F73" w:rsidRDefault="00FB4F73" w:rsidP="00FB4F73">
      <w:pPr>
        <w:tabs>
          <w:tab w:val="left" w:pos="288"/>
          <w:tab w:val="left" w:pos="4752"/>
        </w:tabs>
        <w:jc w:val="both"/>
        <w:rPr>
          <w:rFonts w:asciiTheme="minorHAnsi" w:hAnsiTheme="minorHAnsi"/>
          <w:color w:val="auto"/>
          <w:szCs w:val="24"/>
        </w:rPr>
      </w:pPr>
      <w:r w:rsidRPr="00FB4F73">
        <w:rPr>
          <w:rFonts w:asciiTheme="minorHAnsi" w:hAnsiTheme="minorHAnsi"/>
          <w:color w:val="auto"/>
          <w:szCs w:val="24"/>
          <w:u w:val="single"/>
        </w:rPr>
        <w:t>PTSD</w:t>
      </w:r>
      <w:r>
        <w:rPr>
          <w:rFonts w:asciiTheme="minorHAnsi" w:hAnsiTheme="minorHAnsi"/>
          <w:color w:val="auto"/>
          <w:szCs w:val="24"/>
          <w:u w:val="single"/>
        </w:rPr>
        <w:t xml:space="preserve"> Condition</w:t>
      </w:r>
      <w:r>
        <w:rPr>
          <w:rFonts w:asciiTheme="minorHAnsi" w:hAnsiTheme="minorHAnsi"/>
          <w:color w:val="auto"/>
          <w:szCs w:val="24"/>
        </w:rPr>
        <w:t xml:space="preserve">.  </w:t>
      </w:r>
      <w:r w:rsidRPr="00D1519B">
        <w:rPr>
          <w:rFonts w:asciiTheme="minorHAnsi" w:hAnsiTheme="minorHAnsi"/>
          <w:color w:val="auto"/>
          <w:szCs w:val="24"/>
        </w:rPr>
        <w:t xml:space="preserve">The PEB rating, as described above, was derived from DoDI 1332.39 and preceded the promulgation of the National Defense Authorization Act (NDAA) 2008 mandate for DoD adherence to </w:t>
      </w:r>
      <w:r>
        <w:rPr>
          <w:rFonts w:asciiTheme="minorHAnsi" w:hAnsiTheme="minorHAnsi"/>
          <w:color w:val="auto"/>
          <w:szCs w:val="24"/>
        </w:rPr>
        <w:t xml:space="preserve">the </w:t>
      </w:r>
      <w:r w:rsidRPr="00D1519B">
        <w:rPr>
          <w:rFonts w:asciiTheme="minorHAnsi" w:hAnsiTheme="minorHAnsi"/>
          <w:color w:val="auto"/>
          <w:szCs w:val="24"/>
        </w:rPr>
        <w:t xml:space="preserve">Veterans Administration Schedule for Rating Disabilities (VASRD) §4.129. </w:t>
      </w:r>
      <w:r w:rsidR="00BF3F2A">
        <w:rPr>
          <w:rFonts w:asciiTheme="minorHAnsi" w:hAnsiTheme="minorHAnsi"/>
          <w:color w:val="auto"/>
          <w:szCs w:val="24"/>
        </w:rPr>
        <w:t xml:space="preserve"> </w:t>
      </w:r>
      <w:r w:rsidRPr="00D1519B">
        <w:rPr>
          <w:rFonts w:asciiTheme="minorHAnsi" w:hAnsiTheme="minorHAnsi"/>
          <w:color w:val="auto"/>
          <w:szCs w:val="24"/>
        </w:rPr>
        <w:t xml:space="preserve">IAW </w:t>
      </w:r>
      <w:proofErr w:type="spellStart"/>
      <w:r w:rsidRPr="00D1519B">
        <w:rPr>
          <w:rFonts w:asciiTheme="minorHAnsi" w:hAnsiTheme="minorHAnsi"/>
          <w:color w:val="auto"/>
          <w:szCs w:val="24"/>
        </w:rPr>
        <w:t>DoDI</w:t>
      </w:r>
      <w:proofErr w:type="spellEnd"/>
      <w:r w:rsidRPr="00D1519B">
        <w:rPr>
          <w:rFonts w:asciiTheme="minorHAnsi" w:hAnsiTheme="minorHAnsi"/>
          <w:color w:val="auto"/>
          <w:szCs w:val="24"/>
        </w:rPr>
        <w:t xml:space="preserve"> 6040.44 and </w:t>
      </w:r>
      <w:proofErr w:type="spellStart"/>
      <w:r w:rsidRPr="00D1519B">
        <w:rPr>
          <w:rFonts w:asciiTheme="minorHAnsi" w:hAnsiTheme="minorHAnsi"/>
          <w:color w:val="auto"/>
          <w:szCs w:val="24"/>
        </w:rPr>
        <w:t>DoD</w:t>
      </w:r>
      <w:proofErr w:type="spellEnd"/>
      <w:r w:rsidRPr="00D1519B">
        <w:rPr>
          <w:rFonts w:asciiTheme="minorHAnsi" w:hAnsiTheme="minorHAnsi"/>
          <w:color w:val="auto"/>
          <w:szCs w:val="24"/>
        </w:rPr>
        <w:t xml:space="preserve"> guidance (which applies current VASRD 4.129 to all Board cases), the Board is obligated to recommend a minimum 50% PTSD rating for a retroactive six-month period on the Temporary Disability Retired List (TDRL).</w:t>
      </w:r>
      <w:r>
        <w:rPr>
          <w:rFonts w:asciiTheme="minorHAnsi" w:hAnsiTheme="minorHAnsi"/>
          <w:color w:val="auto"/>
          <w:szCs w:val="24"/>
        </w:rPr>
        <w:t xml:space="preserve">  </w:t>
      </w:r>
      <w:r w:rsidRPr="00D1519B">
        <w:rPr>
          <w:rFonts w:asciiTheme="minorHAnsi" w:hAnsiTheme="minorHAnsi"/>
          <w:color w:val="auto"/>
          <w:szCs w:val="24"/>
        </w:rPr>
        <w:t xml:space="preserve">Since the Service was in compliance with the §4.129 TDRL requirement, the Board need not apply a constructive TDRL rating </w:t>
      </w:r>
      <w:r w:rsidR="008F1B15">
        <w:rPr>
          <w:rFonts w:asciiTheme="minorHAnsi" w:hAnsiTheme="minorHAnsi"/>
          <w:color w:val="auto"/>
          <w:szCs w:val="24"/>
        </w:rPr>
        <w:t>interval in this case; although</w:t>
      </w:r>
      <w:r w:rsidRPr="00D1519B">
        <w:rPr>
          <w:rFonts w:asciiTheme="minorHAnsi" w:hAnsiTheme="minorHAnsi"/>
          <w:color w:val="auto"/>
          <w:szCs w:val="24"/>
        </w:rPr>
        <w:t xml:space="preserve"> the 50% minimum TDRL rating remains applicable</w:t>
      </w:r>
      <w:r w:rsidR="003E0905">
        <w:rPr>
          <w:rFonts w:asciiTheme="minorHAnsi" w:hAnsiTheme="minorHAnsi"/>
          <w:color w:val="auto"/>
          <w:szCs w:val="24"/>
        </w:rPr>
        <w:t xml:space="preserve"> </w:t>
      </w:r>
      <w:r w:rsidR="003E0905">
        <w:rPr>
          <w:rFonts w:eastAsia="Calibri"/>
          <w:color w:val="auto"/>
          <w:szCs w:val="24"/>
        </w:rPr>
        <w:t xml:space="preserve">as held by Federal court in the </w:t>
      </w:r>
      <w:r w:rsidR="003E0905">
        <w:rPr>
          <w:rFonts w:eastAsia="Calibri"/>
          <w:i/>
          <w:color w:val="auto"/>
          <w:szCs w:val="24"/>
        </w:rPr>
        <w:t>Sabo, et al v. United States</w:t>
      </w:r>
      <w:r w:rsidR="003E0905">
        <w:rPr>
          <w:rFonts w:eastAsia="Calibri"/>
          <w:color w:val="auto"/>
          <w:szCs w:val="24"/>
        </w:rPr>
        <w:t xml:space="preserve"> class action settlement.  </w:t>
      </w:r>
      <w:r w:rsidRPr="00D1519B">
        <w:rPr>
          <w:rFonts w:asciiTheme="minorHAnsi" w:hAnsiTheme="minorHAnsi"/>
          <w:color w:val="auto"/>
          <w:szCs w:val="24"/>
        </w:rPr>
        <w:t xml:space="preserve">The Board must then determine the most appropriate fit with VASRD 4.130 criteria at </w:t>
      </w:r>
      <w:r>
        <w:rPr>
          <w:rFonts w:asciiTheme="minorHAnsi" w:hAnsiTheme="minorHAnsi"/>
          <w:color w:val="auto"/>
          <w:szCs w:val="24"/>
        </w:rPr>
        <w:t>the end of the TDRL interval f</w:t>
      </w:r>
      <w:r w:rsidRPr="00D1519B">
        <w:rPr>
          <w:rFonts w:asciiTheme="minorHAnsi" w:hAnsiTheme="minorHAnsi"/>
          <w:color w:val="auto"/>
          <w:szCs w:val="24"/>
        </w:rPr>
        <w:t xml:space="preserve">or its permanent rating recommendation. </w:t>
      </w:r>
      <w:r>
        <w:rPr>
          <w:rFonts w:asciiTheme="minorHAnsi" w:hAnsiTheme="minorHAnsi"/>
          <w:color w:val="auto"/>
          <w:szCs w:val="24"/>
        </w:rPr>
        <w:t xml:space="preserve"> </w:t>
      </w:r>
      <w:r w:rsidRPr="00D1519B">
        <w:rPr>
          <w:rFonts w:asciiTheme="minorHAnsi" w:hAnsiTheme="minorHAnsi"/>
          <w:color w:val="auto"/>
          <w:szCs w:val="24"/>
        </w:rPr>
        <w:t xml:space="preserve">The most proximate source of comprehensive evidence on which to base the permanent rating recommendation in this case is the </w:t>
      </w:r>
      <w:r>
        <w:rPr>
          <w:rFonts w:asciiTheme="minorHAnsi" w:hAnsiTheme="minorHAnsi"/>
          <w:color w:val="auto"/>
          <w:szCs w:val="24"/>
        </w:rPr>
        <w:t xml:space="preserve">TDRL </w:t>
      </w:r>
      <w:r w:rsidR="00157A0F">
        <w:rPr>
          <w:rFonts w:asciiTheme="minorHAnsi" w:hAnsiTheme="minorHAnsi"/>
          <w:color w:val="auto"/>
          <w:szCs w:val="24"/>
        </w:rPr>
        <w:t>psychiatric re-evaluation</w:t>
      </w:r>
      <w:r>
        <w:rPr>
          <w:rFonts w:asciiTheme="minorHAnsi" w:hAnsiTheme="minorHAnsi"/>
          <w:color w:val="auto"/>
          <w:szCs w:val="24"/>
        </w:rPr>
        <w:t xml:space="preserve"> performed </w:t>
      </w:r>
      <w:r w:rsidR="00157A0F">
        <w:rPr>
          <w:rFonts w:asciiTheme="minorHAnsi" w:hAnsiTheme="minorHAnsi"/>
          <w:color w:val="auto"/>
          <w:szCs w:val="24"/>
        </w:rPr>
        <w:t>one</w:t>
      </w:r>
      <w:r>
        <w:rPr>
          <w:rFonts w:asciiTheme="minorHAnsi" w:hAnsiTheme="minorHAnsi"/>
          <w:color w:val="auto"/>
          <w:szCs w:val="24"/>
        </w:rPr>
        <w:t xml:space="preserve"> month prior to permanent separation.</w:t>
      </w:r>
      <w:r w:rsidR="001B7029">
        <w:rPr>
          <w:rFonts w:asciiTheme="minorHAnsi" w:hAnsiTheme="minorHAnsi"/>
          <w:color w:val="auto"/>
          <w:szCs w:val="24"/>
        </w:rPr>
        <w:t xml:space="preserve">  </w:t>
      </w:r>
      <w:r>
        <w:rPr>
          <w:rFonts w:asciiTheme="minorHAnsi" w:hAnsiTheme="minorHAnsi"/>
          <w:color w:val="auto"/>
          <w:szCs w:val="24"/>
        </w:rPr>
        <w:t xml:space="preserve">There were no VA </w:t>
      </w:r>
      <w:r w:rsidR="002C2807">
        <w:rPr>
          <w:rFonts w:asciiTheme="minorHAnsi" w:hAnsiTheme="minorHAnsi"/>
          <w:color w:val="auto"/>
          <w:szCs w:val="24"/>
        </w:rPr>
        <w:t>psychiatric evaluations or treatment</w:t>
      </w:r>
      <w:r>
        <w:rPr>
          <w:rFonts w:asciiTheme="minorHAnsi" w:hAnsiTheme="minorHAnsi"/>
          <w:color w:val="auto"/>
          <w:szCs w:val="24"/>
        </w:rPr>
        <w:t xml:space="preserve"> during the TDRL period.     </w:t>
      </w:r>
    </w:p>
    <w:p w:rsidR="00FB4F73" w:rsidRDefault="00FB4F73" w:rsidP="00FB4F73">
      <w:pPr>
        <w:jc w:val="both"/>
        <w:rPr>
          <w:rFonts w:asciiTheme="minorHAnsi" w:hAnsiTheme="minorHAnsi"/>
          <w:color w:val="auto"/>
          <w:szCs w:val="24"/>
        </w:rPr>
      </w:pPr>
    </w:p>
    <w:p w:rsidR="00731866" w:rsidRDefault="00FB4F73" w:rsidP="00731866">
      <w:pPr>
        <w:tabs>
          <w:tab w:val="left" w:pos="288"/>
          <w:tab w:val="left" w:pos="4752"/>
        </w:tabs>
        <w:jc w:val="both"/>
        <w:rPr>
          <w:rFonts w:asciiTheme="minorHAnsi" w:hAnsiTheme="minorHAnsi"/>
          <w:iCs/>
          <w:color w:val="auto"/>
          <w:szCs w:val="24"/>
        </w:rPr>
      </w:pPr>
      <w:r>
        <w:rPr>
          <w:rFonts w:asciiTheme="minorHAnsi" w:hAnsiTheme="minorHAnsi"/>
          <w:iCs/>
          <w:color w:val="auto"/>
          <w:szCs w:val="24"/>
        </w:rPr>
        <w:t xml:space="preserve">The </w:t>
      </w:r>
      <w:r w:rsidRPr="007F0F3A">
        <w:rPr>
          <w:rFonts w:asciiTheme="minorHAnsi" w:hAnsiTheme="minorHAnsi"/>
          <w:iCs/>
          <w:color w:val="auto"/>
          <w:szCs w:val="24"/>
        </w:rPr>
        <w:t xml:space="preserve">severity of the CI’s PTSD condition </w:t>
      </w:r>
      <w:r w:rsidR="00157A0F">
        <w:rPr>
          <w:rFonts w:asciiTheme="minorHAnsi" w:hAnsiTheme="minorHAnsi"/>
          <w:iCs/>
          <w:color w:val="auto"/>
          <w:szCs w:val="24"/>
        </w:rPr>
        <w:t xml:space="preserve">at the time of temporary retirement </w:t>
      </w:r>
      <w:r>
        <w:rPr>
          <w:rFonts w:asciiTheme="minorHAnsi" w:hAnsiTheme="minorHAnsi"/>
          <w:iCs/>
          <w:color w:val="auto"/>
          <w:szCs w:val="24"/>
        </w:rPr>
        <w:t xml:space="preserve">could best be described as moderate.  The </w:t>
      </w:r>
      <w:proofErr w:type="spellStart"/>
      <w:r w:rsidR="00157A0F">
        <w:rPr>
          <w:rFonts w:asciiTheme="minorHAnsi" w:hAnsiTheme="minorHAnsi"/>
          <w:iCs/>
          <w:color w:val="auto"/>
          <w:szCs w:val="24"/>
        </w:rPr>
        <w:t>psychiactric</w:t>
      </w:r>
      <w:proofErr w:type="spellEnd"/>
      <w:r w:rsidR="00CB0406">
        <w:rPr>
          <w:rFonts w:asciiTheme="minorHAnsi" w:hAnsiTheme="minorHAnsi"/>
          <w:iCs/>
          <w:color w:val="auto"/>
          <w:szCs w:val="24"/>
        </w:rPr>
        <w:t xml:space="preserve"> </w:t>
      </w:r>
      <w:r w:rsidR="00157A0F">
        <w:rPr>
          <w:rFonts w:asciiTheme="minorHAnsi" w:hAnsiTheme="minorHAnsi"/>
          <w:iCs/>
          <w:color w:val="auto"/>
          <w:szCs w:val="24"/>
        </w:rPr>
        <w:t xml:space="preserve">addendum submitted to the MEB </w:t>
      </w:r>
      <w:r>
        <w:rPr>
          <w:rFonts w:asciiTheme="minorHAnsi" w:hAnsiTheme="minorHAnsi"/>
          <w:iCs/>
          <w:color w:val="auto"/>
          <w:szCs w:val="24"/>
        </w:rPr>
        <w:t xml:space="preserve">documented </w:t>
      </w:r>
      <w:r w:rsidR="00731866">
        <w:rPr>
          <w:rFonts w:asciiTheme="minorHAnsi" w:hAnsiTheme="minorHAnsi"/>
          <w:iCs/>
          <w:color w:val="auto"/>
          <w:szCs w:val="24"/>
        </w:rPr>
        <w:t>f</w:t>
      </w:r>
      <w:r w:rsidR="00731866" w:rsidRPr="00731866">
        <w:rPr>
          <w:rFonts w:asciiTheme="minorHAnsi" w:hAnsiTheme="minorHAnsi"/>
          <w:iCs/>
          <w:color w:val="auto"/>
          <w:szCs w:val="24"/>
        </w:rPr>
        <w:t>lashbacks</w:t>
      </w:r>
      <w:r w:rsidR="001B7D6D">
        <w:rPr>
          <w:rFonts w:asciiTheme="minorHAnsi" w:hAnsiTheme="minorHAnsi"/>
          <w:iCs/>
          <w:color w:val="auto"/>
          <w:szCs w:val="24"/>
        </w:rPr>
        <w:t>,</w:t>
      </w:r>
      <w:r w:rsidR="00731866" w:rsidRPr="00731866">
        <w:rPr>
          <w:rFonts w:asciiTheme="minorHAnsi" w:hAnsiTheme="minorHAnsi"/>
          <w:iCs/>
          <w:color w:val="auto"/>
          <w:szCs w:val="24"/>
        </w:rPr>
        <w:t xml:space="preserve"> intrusive memories</w:t>
      </w:r>
      <w:r w:rsidR="001B7D6D">
        <w:rPr>
          <w:rFonts w:asciiTheme="minorHAnsi" w:hAnsiTheme="minorHAnsi"/>
          <w:iCs/>
          <w:color w:val="auto"/>
          <w:szCs w:val="24"/>
        </w:rPr>
        <w:t>,</w:t>
      </w:r>
      <w:r w:rsidR="00731866">
        <w:rPr>
          <w:rFonts w:asciiTheme="minorHAnsi" w:hAnsiTheme="minorHAnsi"/>
          <w:iCs/>
          <w:color w:val="auto"/>
          <w:szCs w:val="24"/>
        </w:rPr>
        <w:t xml:space="preserve"> </w:t>
      </w:r>
      <w:r w:rsidR="001B7D6D">
        <w:rPr>
          <w:rFonts w:asciiTheme="minorHAnsi" w:hAnsiTheme="minorHAnsi"/>
          <w:iCs/>
          <w:color w:val="auto"/>
          <w:szCs w:val="24"/>
        </w:rPr>
        <w:t>phys</w:t>
      </w:r>
      <w:r w:rsidR="007B13B8">
        <w:rPr>
          <w:rFonts w:asciiTheme="minorHAnsi" w:hAnsiTheme="minorHAnsi"/>
          <w:iCs/>
          <w:color w:val="auto"/>
          <w:szCs w:val="24"/>
        </w:rPr>
        <w:t xml:space="preserve">iologic response to triggers, </w:t>
      </w:r>
      <w:r w:rsidR="00725127">
        <w:rPr>
          <w:rFonts w:asciiTheme="minorHAnsi" w:hAnsiTheme="minorHAnsi"/>
          <w:iCs/>
          <w:color w:val="auto"/>
          <w:szCs w:val="24"/>
        </w:rPr>
        <w:t>sleep disturbance/</w:t>
      </w:r>
      <w:r w:rsidR="00731866">
        <w:rPr>
          <w:rFonts w:asciiTheme="minorHAnsi" w:hAnsiTheme="minorHAnsi"/>
          <w:iCs/>
          <w:color w:val="auto"/>
          <w:szCs w:val="24"/>
        </w:rPr>
        <w:t>n</w:t>
      </w:r>
      <w:r w:rsidR="001B7D6D">
        <w:rPr>
          <w:rFonts w:asciiTheme="minorHAnsi" w:hAnsiTheme="minorHAnsi"/>
          <w:iCs/>
          <w:color w:val="auto"/>
          <w:szCs w:val="24"/>
        </w:rPr>
        <w:t>ightmares,</w:t>
      </w:r>
      <w:r w:rsidR="00731866">
        <w:rPr>
          <w:rFonts w:asciiTheme="minorHAnsi" w:hAnsiTheme="minorHAnsi"/>
          <w:iCs/>
          <w:color w:val="auto"/>
          <w:szCs w:val="24"/>
        </w:rPr>
        <w:t xml:space="preserve"> a</w:t>
      </w:r>
      <w:r w:rsidR="00731866" w:rsidRPr="00731866">
        <w:rPr>
          <w:rFonts w:asciiTheme="minorHAnsi" w:hAnsiTheme="minorHAnsi"/>
          <w:iCs/>
          <w:color w:val="auto"/>
          <w:szCs w:val="24"/>
        </w:rPr>
        <w:t>voidance</w:t>
      </w:r>
      <w:r w:rsidR="001B7D6D">
        <w:rPr>
          <w:rFonts w:asciiTheme="minorHAnsi" w:hAnsiTheme="minorHAnsi"/>
          <w:iCs/>
          <w:color w:val="auto"/>
          <w:szCs w:val="24"/>
        </w:rPr>
        <w:t>,</w:t>
      </w:r>
      <w:r w:rsidR="00731866" w:rsidRPr="00731866">
        <w:rPr>
          <w:rFonts w:asciiTheme="minorHAnsi" w:hAnsiTheme="minorHAnsi"/>
          <w:iCs/>
          <w:color w:val="auto"/>
          <w:szCs w:val="24"/>
        </w:rPr>
        <w:t xml:space="preserve"> emo</w:t>
      </w:r>
      <w:r w:rsidR="00731866">
        <w:rPr>
          <w:rFonts w:asciiTheme="minorHAnsi" w:hAnsiTheme="minorHAnsi"/>
          <w:iCs/>
          <w:color w:val="auto"/>
          <w:szCs w:val="24"/>
        </w:rPr>
        <w:t>tional withdra</w:t>
      </w:r>
      <w:r w:rsidR="00731866" w:rsidRPr="00731866">
        <w:rPr>
          <w:rFonts w:asciiTheme="minorHAnsi" w:hAnsiTheme="minorHAnsi"/>
          <w:iCs/>
          <w:color w:val="auto"/>
          <w:szCs w:val="24"/>
        </w:rPr>
        <w:t>wal</w:t>
      </w:r>
      <w:r w:rsidR="001B7D6D">
        <w:rPr>
          <w:rFonts w:asciiTheme="minorHAnsi" w:hAnsiTheme="minorHAnsi"/>
          <w:iCs/>
          <w:color w:val="auto"/>
          <w:szCs w:val="24"/>
        </w:rPr>
        <w:t>,</w:t>
      </w:r>
      <w:r w:rsidR="00731866" w:rsidRPr="00731866">
        <w:rPr>
          <w:rFonts w:asciiTheme="minorHAnsi" w:hAnsiTheme="minorHAnsi"/>
          <w:iCs/>
          <w:color w:val="auto"/>
          <w:szCs w:val="24"/>
        </w:rPr>
        <w:t xml:space="preserve"> </w:t>
      </w:r>
      <w:r w:rsidR="001B7D6D">
        <w:rPr>
          <w:rFonts w:asciiTheme="minorHAnsi" w:hAnsiTheme="minorHAnsi"/>
          <w:iCs/>
          <w:color w:val="auto"/>
          <w:szCs w:val="24"/>
        </w:rPr>
        <w:t>and anhedonia. T</w:t>
      </w:r>
      <w:r>
        <w:rPr>
          <w:rFonts w:asciiTheme="minorHAnsi" w:hAnsiTheme="minorHAnsi"/>
          <w:iCs/>
          <w:color w:val="auto"/>
          <w:szCs w:val="24"/>
        </w:rPr>
        <w:t>he mental status exam (</w:t>
      </w:r>
      <w:r w:rsidRPr="00D6577B">
        <w:rPr>
          <w:rFonts w:asciiTheme="minorHAnsi" w:hAnsiTheme="minorHAnsi"/>
          <w:iCs/>
          <w:color w:val="auto"/>
          <w:szCs w:val="24"/>
        </w:rPr>
        <w:t>MSE</w:t>
      </w:r>
      <w:r>
        <w:rPr>
          <w:rFonts w:asciiTheme="minorHAnsi" w:hAnsiTheme="minorHAnsi"/>
          <w:iCs/>
          <w:color w:val="auto"/>
          <w:szCs w:val="24"/>
        </w:rPr>
        <w:t xml:space="preserve">) documented </w:t>
      </w:r>
      <w:r w:rsidR="001B7D6D">
        <w:rPr>
          <w:rFonts w:asciiTheme="minorHAnsi" w:hAnsiTheme="minorHAnsi"/>
          <w:iCs/>
          <w:color w:val="auto"/>
          <w:szCs w:val="24"/>
        </w:rPr>
        <w:t xml:space="preserve">mood and affect disturbance with </w:t>
      </w:r>
      <w:r w:rsidR="00BF3F2A">
        <w:rPr>
          <w:rFonts w:asciiTheme="minorHAnsi" w:hAnsiTheme="minorHAnsi"/>
          <w:iCs/>
          <w:color w:val="auto"/>
          <w:szCs w:val="24"/>
        </w:rPr>
        <w:t xml:space="preserve">a </w:t>
      </w:r>
      <w:r w:rsidR="00731866" w:rsidRPr="00731866">
        <w:rPr>
          <w:rFonts w:asciiTheme="minorHAnsi" w:hAnsiTheme="minorHAnsi"/>
          <w:iCs/>
          <w:color w:val="auto"/>
          <w:szCs w:val="24"/>
        </w:rPr>
        <w:t>withdrawn but cooperative</w:t>
      </w:r>
      <w:r w:rsidR="001B7D6D">
        <w:rPr>
          <w:rFonts w:asciiTheme="minorHAnsi" w:hAnsiTheme="minorHAnsi"/>
          <w:iCs/>
          <w:color w:val="auto"/>
          <w:szCs w:val="24"/>
        </w:rPr>
        <w:t xml:space="preserve"> attitude, and</w:t>
      </w:r>
      <w:r w:rsidR="00731866">
        <w:rPr>
          <w:rFonts w:asciiTheme="minorHAnsi" w:hAnsiTheme="minorHAnsi"/>
          <w:iCs/>
          <w:color w:val="auto"/>
          <w:szCs w:val="24"/>
        </w:rPr>
        <w:t xml:space="preserve"> moderate </w:t>
      </w:r>
      <w:r w:rsidR="00731866" w:rsidRPr="00731866">
        <w:rPr>
          <w:rFonts w:asciiTheme="minorHAnsi" w:hAnsiTheme="minorHAnsi"/>
          <w:iCs/>
          <w:color w:val="auto"/>
          <w:szCs w:val="24"/>
        </w:rPr>
        <w:t>psychomotor retardation</w:t>
      </w:r>
      <w:r w:rsidR="001B7D6D">
        <w:rPr>
          <w:rFonts w:asciiTheme="minorHAnsi" w:hAnsiTheme="minorHAnsi"/>
          <w:iCs/>
          <w:color w:val="auto"/>
          <w:szCs w:val="24"/>
        </w:rPr>
        <w:t>.</w:t>
      </w:r>
      <w:r w:rsidR="001B7029">
        <w:rPr>
          <w:rFonts w:asciiTheme="minorHAnsi" w:hAnsiTheme="minorHAnsi"/>
          <w:iCs/>
          <w:color w:val="auto"/>
          <w:szCs w:val="24"/>
        </w:rPr>
        <w:t xml:space="preserve">  The rest of the exam was normal</w:t>
      </w:r>
      <w:r w:rsidR="00725127">
        <w:rPr>
          <w:rFonts w:asciiTheme="minorHAnsi" w:hAnsiTheme="minorHAnsi"/>
          <w:iCs/>
          <w:color w:val="auto"/>
          <w:szCs w:val="24"/>
        </w:rPr>
        <w:t>,</w:t>
      </w:r>
      <w:r w:rsidR="001B7029">
        <w:rPr>
          <w:rFonts w:asciiTheme="minorHAnsi" w:hAnsiTheme="minorHAnsi"/>
          <w:iCs/>
          <w:color w:val="auto"/>
          <w:szCs w:val="24"/>
        </w:rPr>
        <w:t xml:space="preserve"> including </w:t>
      </w:r>
      <w:r w:rsidR="001B7D6D">
        <w:rPr>
          <w:rFonts w:asciiTheme="minorHAnsi" w:hAnsiTheme="minorHAnsi"/>
          <w:iCs/>
          <w:color w:val="auto"/>
          <w:szCs w:val="24"/>
        </w:rPr>
        <w:t xml:space="preserve">the absence of </w:t>
      </w:r>
      <w:r w:rsidR="001B7D6D" w:rsidRPr="00731866">
        <w:rPr>
          <w:rFonts w:asciiTheme="minorHAnsi" w:hAnsiTheme="minorHAnsi"/>
          <w:iCs/>
          <w:color w:val="auto"/>
          <w:szCs w:val="24"/>
        </w:rPr>
        <w:t xml:space="preserve">suicidal/homicidal ideation </w:t>
      </w:r>
      <w:r w:rsidR="008F1B15">
        <w:rPr>
          <w:rFonts w:asciiTheme="minorHAnsi" w:hAnsiTheme="minorHAnsi"/>
          <w:iCs/>
          <w:color w:val="auto"/>
          <w:szCs w:val="24"/>
        </w:rPr>
        <w:t>or psychotic/delusional content,</w:t>
      </w:r>
      <w:r w:rsidR="001B7D6D">
        <w:rPr>
          <w:rFonts w:asciiTheme="minorHAnsi" w:hAnsiTheme="minorHAnsi"/>
          <w:iCs/>
          <w:color w:val="auto"/>
          <w:szCs w:val="24"/>
        </w:rPr>
        <w:t xml:space="preserve"> and cognitive performance</w:t>
      </w:r>
      <w:r w:rsidR="00725127" w:rsidRPr="00725127">
        <w:rPr>
          <w:rFonts w:asciiTheme="minorHAnsi" w:hAnsiTheme="minorHAnsi"/>
          <w:iCs/>
          <w:color w:val="auto"/>
          <w:szCs w:val="24"/>
        </w:rPr>
        <w:t xml:space="preserve"> </w:t>
      </w:r>
      <w:r w:rsidR="00725127">
        <w:rPr>
          <w:rFonts w:asciiTheme="minorHAnsi" w:hAnsiTheme="minorHAnsi"/>
          <w:iCs/>
          <w:color w:val="auto"/>
          <w:szCs w:val="24"/>
        </w:rPr>
        <w:t>was normal</w:t>
      </w:r>
      <w:r w:rsidR="001B7D6D">
        <w:rPr>
          <w:rFonts w:asciiTheme="minorHAnsi" w:hAnsiTheme="minorHAnsi"/>
          <w:iCs/>
          <w:color w:val="auto"/>
          <w:szCs w:val="24"/>
        </w:rPr>
        <w:t xml:space="preserve">.  </w:t>
      </w:r>
      <w:r w:rsidR="00CB0406">
        <w:rPr>
          <w:rFonts w:asciiTheme="minorHAnsi" w:hAnsiTheme="minorHAnsi"/>
          <w:iCs/>
          <w:color w:val="auto"/>
          <w:szCs w:val="24"/>
        </w:rPr>
        <w:t xml:space="preserve">The CI was engaged in group therapy and </w:t>
      </w:r>
      <w:r w:rsidR="001B7D6D">
        <w:rPr>
          <w:rFonts w:asciiTheme="minorHAnsi" w:hAnsiTheme="minorHAnsi"/>
          <w:iCs/>
          <w:color w:val="auto"/>
          <w:szCs w:val="24"/>
        </w:rPr>
        <w:t>compliant with</w:t>
      </w:r>
      <w:r w:rsidR="00CB0406">
        <w:rPr>
          <w:rFonts w:asciiTheme="minorHAnsi" w:hAnsiTheme="minorHAnsi"/>
          <w:iCs/>
          <w:color w:val="auto"/>
          <w:szCs w:val="24"/>
        </w:rPr>
        <w:t xml:space="preserve"> psychotherapeutic medications </w:t>
      </w:r>
      <w:r w:rsidR="001B7D6D">
        <w:rPr>
          <w:rFonts w:asciiTheme="minorHAnsi" w:hAnsiTheme="minorHAnsi"/>
          <w:iCs/>
          <w:color w:val="auto"/>
          <w:szCs w:val="24"/>
        </w:rPr>
        <w:t>at the time he was</w:t>
      </w:r>
      <w:r w:rsidR="00CB0406">
        <w:rPr>
          <w:rFonts w:asciiTheme="minorHAnsi" w:hAnsiTheme="minorHAnsi"/>
          <w:iCs/>
          <w:color w:val="auto"/>
          <w:szCs w:val="24"/>
        </w:rPr>
        <w:t xml:space="preserve"> released on TDRL.  </w:t>
      </w:r>
      <w:r w:rsidR="00776541">
        <w:rPr>
          <w:rFonts w:asciiTheme="minorHAnsi" w:hAnsiTheme="minorHAnsi"/>
          <w:iCs/>
          <w:color w:val="auto"/>
          <w:szCs w:val="24"/>
        </w:rPr>
        <w:t>His s</w:t>
      </w:r>
      <w:r w:rsidR="00776541" w:rsidRPr="00776541">
        <w:rPr>
          <w:rFonts w:asciiTheme="minorHAnsi" w:hAnsiTheme="minorHAnsi"/>
          <w:iCs/>
          <w:color w:val="auto"/>
          <w:szCs w:val="24"/>
        </w:rPr>
        <w:t xml:space="preserve">ole occupational responsibility </w:t>
      </w:r>
      <w:r w:rsidR="00776541">
        <w:rPr>
          <w:rFonts w:asciiTheme="minorHAnsi" w:hAnsiTheme="minorHAnsi"/>
          <w:iCs/>
          <w:color w:val="auto"/>
          <w:szCs w:val="24"/>
        </w:rPr>
        <w:t xml:space="preserve">was </w:t>
      </w:r>
      <w:r w:rsidR="00776541" w:rsidRPr="00776541">
        <w:rPr>
          <w:rFonts w:asciiTheme="minorHAnsi" w:hAnsiTheme="minorHAnsi"/>
          <w:iCs/>
          <w:color w:val="auto"/>
          <w:szCs w:val="24"/>
        </w:rPr>
        <w:t>to work a 24-hour staff duty rotation once every five days</w:t>
      </w:r>
      <w:r w:rsidR="001B7D6D">
        <w:rPr>
          <w:rFonts w:asciiTheme="minorHAnsi" w:hAnsiTheme="minorHAnsi"/>
          <w:iCs/>
          <w:color w:val="auto"/>
          <w:szCs w:val="24"/>
        </w:rPr>
        <w:t>, but no psychiatric impairment was documented by the commander.</w:t>
      </w:r>
      <w:r w:rsidR="00776541" w:rsidRPr="00776541">
        <w:rPr>
          <w:rFonts w:asciiTheme="minorHAnsi" w:hAnsiTheme="minorHAnsi"/>
          <w:iCs/>
          <w:color w:val="auto"/>
          <w:szCs w:val="24"/>
        </w:rPr>
        <w:t xml:space="preserve"> </w:t>
      </w:r>
      <w:r w:rsidR="001B7D6D">
        <w:rPr>
          <w:rFonts w:asciiTheme="minorHAnsi" w:hAnsiTheme="minorHAnsi"/>
          <w:iCs/>
          <w:color w:val="auto"/>
          <w:szCs w:val="24"/>
        </w:rPr>
        <w:t xml:space="preserve"> T</w:t>
      </w:r>
      <w:r w:rsidR="00776541">
        <w:rPr>
          <w:rFonts w:asciiTheme="minorHAnsi" w:hAnsiTheme="minorHAnsi"/>
          <w:iCs/>
          <w:color w:val="auto"/>
          <w:szCs w:val="24"/>
        </w:rPr>
        <w:t xml:space="preserve">he Global Assessment of Functioning (GAF) score assigned by the MEB psychiatrist was 53, which </w:t>
      </w:r>
      <w:r w:rsidR="00BF3F2A">
        <w:rPr>
          <w:rFonts w:asciiTheme="minorHAnsi" w:hAnsiTheme="minorHAnsi"/>
          <w:iCs/>
          <w:color w:val="auto"/>
          <w:szCs w:val="24"/>
        </w:rPr>
        <w:t xml:space="preserve">was </w:t>
      </w:r>
      <w:r w:rsidR="00776541">
        <w:rPr>
          <w:rFonts w:asciiTheme="minorHAnsi" w:hAnsiTheme="minorHAnsi"/>
          <w:iCs/>
          <w:color w:val="auto"/>
          <w:szCs w:val="24"/>
        </w:rPr>
        <w:t xml:space="preserve">indicative of moderate </w:t>
      </w:r>
      <w:r w:rsidR="00776541" w:rsidRPr="00D201A3">
        <w:rPr>
          <w:rFonts w:asciiTheme="minorHAnsi" w:hAnsiTheme="minorHAnsi"/>
          <w:iCs/>
          <w:color w:val="auto"/>
          <w:szCs w:val="24"/>
        </w:rPr>
        <w:t>impairment</w:t>
      </w:r>
      <w:r w:rsidR="00776541">
        <w:rPr>
          <w:rFonts w:asciiTheme="minorHAnsi" w:hAnsiTheme="minorHAnsi"/>
          <w:iCs/>
          <w:color w:val="auto"/>
          <w:szCs w:val="24"/>
        </w:rPr>
        <w:t xml:space="preserve">.  </w:t>
      </w:r>
    </w:p>
    <w:p w:rsidR="006F31BD" w:rsidRPr="00731866" w:rsidRDefault="006F31BD" w:rsidP="00731866">
      <w:pPr>
        <w:tabs>
          <w:tab w:val="left" w:pos="288"/>
          <w:tab w:val="left" w:pos="4752"/>
        </w:tabs>
        <w:jc w:val="both"/>
        <w:rPr>
          <w:rFonts w:asciiTheme="minorHAnsi" w:hAnsiTheme="minorHAnsi"/>
          <w:iCs/>
          <w:color w:val="auto"/>
          <w:szCs w:val="24"/>
        </w:rPr>
      </w:pPr>
    </w:p>
    <w:p w:rsidR="00860AF2" w:rsidRDefault="00FB4F73" w:rsidP="00860AF2">
      <w:pPr>
        <w:jc w:val="both"/>
        <w:rPr>
          <w:rFonts w:asciiTheme="minorHAnsi" w:hAnsiTheme="minorHAnsi"/>
          <w:iCs/>
          <w:color w:val="auto"/>
          <w:szCs w:val="24"/>
        </w:rPr>
      </w:pPr>
      <w:r>
        <w:rPr>
          <w:rFonts w:asciiTheme="minorHAnsi" w:hAnsiTheme="minorHAnsi"/>
          <w:iCs/>
          <w:color w:val="auto"/>
          <w:szCs w:val="24"/>
        </w:rPr>
        <w:t xml:space="preserve">At the time of permanent separation, the TDRL psychiatric examiner documented </w:t>
      </w:r>
      <w:r w:rsidR="00860AF2">
        <w:rPr>
          <w:rFonts w:asciiTheme="minorHAnsi" w:hAnsiTheme="minorHAnsi"/>
          <w:iCs/>
          <w:color w:val="auto"/>
          <w:szCs w:val="24"/>
        </w:rPr>
        <w:t xml:space="preserve">the presence of </w:t>
      </w:r>
      <w:r w:rsidR="00860AF2" w:rsidRPr="00860AF2">
        <w:rPr>
          <w:rFonts w:asciiTheme="minorHAnsi" w:hAnsiTheme="minorHAnsi"/>
          <w:iCs/>
          <w:color w:val="auto"/>
          <w:szCs w:val="24"/>
        </w:rPr>
        <w:t xml:space="preserve">chronic </w:t>
      </w:r>
      <w:proofErr w:type="gramStart"/>
      <w:r w:rsidR="00860AF2" w:rsidRPr="00860AF2">
        <w:rPr>
          <w:rFonts w:asciiTheme="minorHAnsi" w:hAnsiTheme="minorHAnsi"/>
          <w:iCs/>
          <w:color w:val="auto"/>
          <w:szCs w:val="24"/>
        </w:rPr>
        <w:t>dysphoria</w:t>
      </w:r>
      <w:r w:rsidR="006F31BD">
        <w:rPr>
          <w:rFonts w:asciiTheme="minorHAnsi" w:hAnsiTheme="minorHAnsi"/>
          <w:iCs/>
          <w:color w:val="auto"/>
          <w:szCs w:val="24"/>
        </w:rPr>
        <w:t>,</w:t>
      </w:r>
      <w:proofErr w:type="gramEnd"/>
      <w:r w:rsidR="00860AF2">
        <w:rPr>
          <w:rFonts w:asciiTheme="minorHAnsi" w:hAnsiTheme="minorHAnsi"/>
          <w:iCs/>
          <w:color w:val="auto"/>
          <w:szCs w:val="24"/>
        </w:rPr>
        <w:t xml:space="preserve"> </w:t>
      </w:r>
      <w:r w:rsidR="00725127">
        <w:rPr>
          <w:rFonts w:asciiTheme="minorHAnsi" w:hAnsiTheme="minorHAnsi"/>
          <w:iCs/>
          <w:color w:val="auto"/>
          <w:szCs w:val="24"/>
        </w:rPr>
        <w:t>sleep disturbance/nightmares</w:t>
      </w:r>
      <w:r w:rsidR="00860AF2">
        <w:rPr>
          <w:rFonts w:asciiTheme="minorHAnsi" w:hAnsiTheme="minorHAnsi"/>
          <w:iCs/>
          <w:color w:val="auto"/>
          <w:szCs w:val="24"/>
        </w:rPr>
        <w:t xml:space="preserve">, </w:t>
      </w:r>
      <w:r w:rsidR="006F31BD">
        <w:rPr>
          <w:rFonts w:asciiTheme="minorHAnsi" w:hAnsiTheme="minorHAnsi"/>
          <w:iCs/>
          <w:color w:val="auto"/>
          <w:szCs w:val="24"/>
        </w:rPr>
        <w:t xml:space="preserve">physiologic </w:t>
      </w:r>
      <w:r w:rsidR="00725127">
        <w:rPr>
          <w:rFonts w:asciiTheme="minorHAnsi" w:hAnsiTheme="minorHAnsi"/>
          <w:iCs/>
          <w:color w:val="auto"/>
          <w:szCs w:val="24"/>
        </w:rPr>
        <w:t>reactions</w:t>
      </w:r>
      <w:r w:rsidR="006F31BD">
        <w:rPr>
          <w:rFonts w:asciiTheme="minorHAnsi" w:hAnsiTheme="minorHAnsi"/>
          <w:iCs/>
          <w:color w:val="auto"/>
          <w:szCs w:val="24"/>
        </w:rPr>
        <w:t xml:space="preserve"> to triggers,</w:t>
      </w:r>
      <w:r w:rsidR="00860AF2" w:rsidRPr="00860AF2">
        <w:rPr>
          <w:rFonts w:asciiTheme="minorHAnsi" w:hAnsiTheme="minorHAnsi"/>
          <w:iCs/>
          <w:color w:val="auto"/>
          <w:szCs w:val="24"/>
        </w:rPr>
        <w:t xml:space="preserve"> </w:t>
      </w:r>
      <w:r w:rsidR="00860AF2">
        <w:rPr>
          <w:rFonts w:asciiTheme="minorHAnsi" w:hAnsiTheme="minorHAnsi"/>
          <w:iCs/>
          <w:color w:val="auto"/>
          <w:szCs w:val="24"/>
        </w:rPr>
        <w:t>and episodic a</w:t>
      </w:r>
      <w:r w:rsidR="00860AF2" w:rsidRPr="00860AF2">
        <w:rPr>
          <w:rFonts w:asciiTheme="minorHAnsi" w:hAnsiTheme="minorHAnsi"/>
          <w:iCs/>
          <w:color w:val="auto"/>
          <w:szCs w:val="24"/>
        </w:rPr>
        <w:t xml:space="preserve">lcohol use </w:t>
      </w:r>
      <w:r w:rsidR="00860AF2">
        <w:rPr>
          <w:rFonts w:asciiTheme="minorHAnsi" w:hAnsiTheme="minorHAnsi"/>
          <w:iCs/>
          <w:color w:val="auto"/>
          <w:szCs w:val="24"/>
        </w:rPr>
        <w:t xml:space="preserve">on </w:t>
      </w:r>
      <w:r w:rsidR="00860AF2" w:rsidRPr="00860AF2">
        <w:rPr>
          <w:rFonts w:asciiTheme="minorHAnsi" w:hAnsiTheme="minorHAnsi"/>
          <w:iCs/>
          <w:color w:val="auto"/>
          <w:szCs w:val="24"/>
        </w:rPr>
        <w:t>weekends</w:t>
      </w:r>
      <w:r w:rsidR="00860AF2">
        <w:rPr>
          <w:rFonts w:asciiTheme="minorHAnsi" w:hAnsiTheme="minorHAnsi"/>
          <w:iCs/>
          <w:color w:val="auto"/>
          <w:szCs w:val="24"/>
        </w:rPr>
        <w:t xml:space="preserve">.  </w:t>
      </w:r>
      <w:r w:rsidR="006F31BD">
        <w:rPr>
          <w:rFonts w:asciiTheme="minorHAnsi" w:hAnsiTheme="minorHAnsi"/>
          <w:iCs/>
          <w:color w:val="auto"/>
          <w:szCs w:val="24"/>
        </w:rPr>
        <w:t>It was noted that the CI had not been compliant with medication (stating they made him feel “like a zombie”) or psychiatric follow-up (“claims they told him they couldn’t help him”).  The</w:t>
      </w:r>
      <w:r w:rsidR="00860AF2">
        <w:rPr>
          <w:rFonts w:asciiTheme="minorHAnsi" w:hAnsiTheme="minorHAnsi"/>
          <w:iCs/>
          <w:color w:val="auto"/>
          <w:szCs w:val="24"/>
        </w:rPr>
        <w:t xml:space="preserve"> MSE was positive for dysthymic mood, limited judgment (given non-compliance with treatment), and limited insight (in terms of minimizing alcohol intake).  The MSE </w:t>
      </w:r>
      <w:r w:rsidR="006F31BD">
        <w:rPr>
          <w:rFonts w:asciiTheme="minorHAnsi" w:hAnsiTheme="minorHAnsi"/>
          <w:iCs/>
          <w:color w:val="auto"/>
          <w:szCs w:val="24"/>
        </w:rPr>
        <w:t xml:space="preserve">and cognitive exam was </w:t>
      </w:r>
      <w:r w:rsidR="00860AF2">
        <w:rPr>
          <w:rFonts w:asciiTheme="minorHAnsi" w:hAnsiTheme="minorHAnsi"/>
          <w:iCs/>
          <w:color w:val="auto"/>
          <w:szCs w:val="24"/>
        </w:rPr>
        <w:t>oth</w:t>
      </w:r>
      <w:r w:rsidR="001667F4">
        <w:rPr>
          <w:rFonts w:asciiTheme="minorHAnsi" w:hAnsiTheme="minorHAnsi"/>
          <w:iCs/>
          <w:color w:val="auto"/>
          <w:szCs w:val="24"/>
        </w:rPr>
        <w:t>erwise normal</w:t>
      </w:r>
      <w:r w:rsidR="006F31BD">
        <w:rPr>
          <w:rFonts w:asciiTheme="minorHAnsi" w:hAnsiTheme="minorHAnsi"/>
          <w:iCs/>
          <w:color w:val="auto"/>
          <w:szCs w:val="24"/>
        </w:rPr>
        <w:t>.</w:t>
      </w:r>
      <w:r w:rsidR="001667F4">
        <w:rPr>
          <w:rFonts w:asciiTheme="minorHAnsi" w:hAnsiTheme="minorHAnsi"/>
          <w:iCs/>
          <w:color w:val="auto"/>
          <w:szCs w:val="24"/>
        </w:rPr>
        <w:t xml:space="preserve"> </w:t>
      </w:r>
      <w:r w:rsidR="006F31BD">
        <w:rPr>
          <w:rFonts w:asciiTheme="minorHAnsi" w:hAnsiTheme="minorHAnsi"/>
          <w:iCs/>
          <w:color w:val="auto"/>
          <w:szCs w:val="24"/>
        </w:rPr>
        <w:t xml:space="preserve"> </w:t>
      </w:r>
      <w:r w:rsidR="001667F4">
        <w:rPr>
          <w:rFonts w:asciiTheme="minorHAnsi" w:hAnsiTheme="minorHAnsi"/>
          <w:iCs/>
          <w:color w:val="auto"/>
          <w:szCs w:val="24"/>
        </w:rPr>
        <w:t xml:space="preserve">Occupationally, the CI </w:t>
      </w:r>
      <w:r w:rsidR="002C2807">
        <w:rPr>
          <w:rFonts w:asciiTheme="minorHAnsi" w:hAnsiTheme="minorHAnsi"/>
          <w:iCs/>
          <w:color w:val="auto"/>
          <w:szCs w:val="24"/>
        </w:rPr>
        <w:t>had made a geographic move and was employed</w:t>
      </w:r>
      <w:r w:rsidR="001667F4">
        <w:rPr>
          <w:rFonts w:asciiTheme="minorHAnsi" w:hAnsiTheme="minorHAnsi"/>
          <w:iCs/>
          <w:color w:val="auto"/>
          <w:szCs w:val="24"/>
        </w:rPr>
        <w:t xml:space="preserve"> </w:t>
      </w:r>
      <w:r w:rsidR="002C2807">
        <w:rPr>
          <w:rFonts w:asciiTheme="minorHAnsi" w:hAnsiTheme="minorHAnsi"/>
          <w:iCs/>
          <w:color w:val="auto"/>
          <w:szCs w:val="24"/>
        </w:rPr>
        <w:t>in an industrial setting</w:t>
      </w:r>
      <w:r w:rsidR="00860AF2" w:rsidRPr="00860AF2">
        <w:rPr>
          <w:rFonts w:asciiTheme="minorHAnsi" w:hAnsiTheme="minorHAnsi"/>
          <w:iCs/>
          <w:color w:val="auto"/>
          <w:szCs w:val="24"/>
        </w:rPr>
        <w:t xml:space="preserve">.  </w:t>
      </w:r>
      <w:r w:rsidR="00725127">
        <w:rPr>
          <w:rFonts w:asciiTheme="minorHAnsi" w:hAnsiTheme="minorHAnsi"/>
          <w:iCs/>
          <w:color w:val="auto"/>
          <w:szCs w:val="24"/>
        </w:rPr>
        <w:t xml:space="preserve">His only work loss and occupational </w:t>
      </w:r>
      <w:r w:rsidR="002C2807">
        <w:rPr>
          <w:rFonts w:asciiTheme="minorHAnsi" w:hAnsiTheme="minorHAnsi"/>
          <w:iCs/>
          <w:color w:val="auto"/>
          <w:szCs w:val="24"/>
        </w:rPr>
        <w:t>impairment was clearly ascribed to his physical disabilities.  Socially, h</w:t>
      </w:r>
      <w:r w:rsidR="00860AF2" w:rsidRPr="00860AF2">
        <w:rPr>
          <w:rFonts w:asciiTheme="minorHAnsi" w:hAnsiTheme="minorHAnsi"/>
          <w:iCs/>
          <w:color w:val="auto"/>
          <w:szCs w:val="24"/>
        </w:rPr>
        <w:t xml:space="preserve">e </w:t>
      </w:r>
      <w:r w:rsidR="002C2807">
        <w:rPr>
          <w:rFonts w:asciiTheme="minorHAnsi" w:hAnsiTheme="minorHAnsi"/>
          <w:iCs/>
          <w:color w:val="auto"/>
          <w:szCs w:val="24"/>
        </w:rPr>
        <w:t xml:space="preserve">had separated from his wife </w:t>
      </w:r>
      <w:proofErr w:type="gramStart"/>
      <w:r w:rsidR="002C2807">
        <w:rPr>
          <w:rFonts w:asciiTheme="minorHAnsi" w:hAnsiTheme="minorHAnsi"/>
          <w:iCs/>
          <w:color w:val="auto"/>
          <w:szCs w:val="24"/>
        </w:rPr>
        <w:t xml:space="preserve">and </w:t>
      </w:r>
      <w:r w:rsidR="00BF3F2A">
        <w:rPr>
          <w:rFonts w:asciiTheme="minorHAnsi" w:hAnsiTheme="minorHAnsi"/>
          <w:iCs/>
          <w:color w:val="auto"/>
          <w:szCs w:val="24"/>
        </w:rPr>
        <w:t xml:space="preserve"> </w:t>
      </w:r>
      <w:r w:rsidR="00860AF2" w:rsidRPr="00860AF2">
        <w:rPr>
          <w:rFonts w:asciiTheme="minorHAnsi" w:hAnsiTheme="minorHAnsi"/>
          <w:iCs/>
          <w:color w:val="auto"/>
          <w:szCs w:val="24"/>
        </w:rPr>
        <w:t>relocated</w:t>
      </w:r>
      <w:proofErr w:type="gramEnd"/>
      <w:r w:rsidR="00860AF2" w:rsidRPr="00860AF2">
        <w:rPr>
          <w:rFonts w:asciiTheme="minorHAnsi" w:hAnsiTheme="minorHAnsi"/>
          <w:iCs/>
          <w:color w:val="auto"/>
          <w:szCs w:val="24"/>
        </w:rPr>
        <w:t xml:space="preserve"> to this father</w:t>
      </w:r>
      <w:r w:rsidR="001667F4">
        <w:rPr>
          <w:rFonts w:asciiTheme="minorHAnsi" w:hAnsiTheme="minorHAnsi"/>
          <w:iCs/>
          <w:color w:val="auto"/>
          <w:szCs w:val="24"/>
        </w:rPr>
        <w:t>’s home, establishing a</w:t>
      </w:r>
      <w:r w:rsidR="00860AF2" w:rsidRPr="00860AF2">
        <w:rPr>
          <w:rFonts w:asciiTheme="minorHAnsi" w:hAnsiTheme="minorHAnsi"/>
          <w:iCs/>
          <w:color w:val="auto"/>
          <w:szCs w:val="24"/>
        </w:rPr>
        <w:t xml:space="preserve"> </w:t>
      </w:r>
      <w:r w:rsidR="00725127">
        <w:rPr>
          <w:rFonts w:asciiTheme="minorHAnsi" w:hAnsiTheme="minorHAnsi"/>
          <w:iCs/>
          <w:color w:val="auto"/>
          <w:szCs w:val="24"/>
        </w:rPr>
        <w:t>stable</w:t>
      </w:r>
      <w:r w:rsidR="00860AF2" w:rsidRPr="00860AF2">
        <w:rPr>
          <w:rFonts w:asciiTheme="minorHAnsi" w:hAnsiTheme="minorHAnsi"/>
          <w:iCs/>
          <w:color w:val="auto"/>
          <w:szCs w:val="24"/>
        </w:rPr>
        <w:t xml:space="preserve"> relationship with </w:t>
      </w:r>
      <w:r w:rsidR="00BF3F2A">
        <w:rPr>
          <w:rFonts w:asciiTheme="minorHAnsi" w:hAnsiTheme="minorHAnsi"/>
          <w:iCs/>
          <w:color w:val="auto"/>
          <w:szCs w:val="24"/>
        </w:rPr>
        <w:t xml:space="preserve">a </w:t>
      </w:r>
      <w:r w:rsidR="00860AF2" w:rsidRPr="00860AF2">
        <w:rPr>
          <w:rFonts w:asciiTheme="minorHAnsi" w:hAnsiTheme="minorHAnsi"/>
          <w:iCs/>
          <w:color w:val="auto"/>
          <w:szCs w:val="24"/>
        </w:rPr>
        <w:t xml:space="preserve">girlfriend.  </w:t>
      </w:r>
      <w:r w:rsidR="002C2807">
        <w:rPr>
          <w:rFonts w:asciiTheme="minorHAnsi" w:hAnsiTheme="minorHAnsi"/>
          <w:iCs/>
          <w:color w:val="auto"/>
          <w:szCs w:val="24"/>
        </w:rPr>
        <w:t xml:space="preserve">His outside social and recreational functioning was not elaborated.  </w:t>
      </w:r>
      <w:r w:rsidR="001667F4">
        <w:rPr>
          <w:rFonts w:asciiTheme="minorHAnsi" w:hAnsiTheme="minorHAnsi"/>
          <w:iCs/>
          <w:color w:val="auto"/>
          <w:szCs w:val="24"/>
        </w:rPr>
        <w:t xml:space="preserve">The </w:t>
      </w:r>
      <w:r w:rsidR="002C2807">
        <w:rPr>
          <w:rFonts w:asciiTheme="minorHAnsi" w:hAnsiTheme="minorHAnsi"/>
          <w:iCs/>
          <w:color w:val="auto"/>
          <w:szCs w:val="24"/>
        </w:rPr>
        <w:t xml:space="preserve">GAF assignment was </w:t>
      </w:r>
      <w:r w:rsidR="002015C8">
        <w:rPr>
          <w:rFonts w:asciiTheme="minorHAnsi" w:hAnsiTheme="minorHAnsi"/>
          <w:iCs/>
          <w:color w:val="auto"/>
          <w:szCs w:val="24"/>
        </w:rPr>
        <w:t>62</w:t>
      </w:r>
      <w:r w:rsidR="001667F4">
        <w:rPr>
          <w:rFonts w:asciiTheme="minorHAnsi" w:hAnsiTheme="minorHAnsi"/>
          <w:iCs/>
          <w:color w:val="auto"/>
          <w:szCs w:val="24"/>
        </w:rPr>
        <w:t xml:space="preserve">, indicative of mild </w:t>
      </w:r>
      <w:r w:rsidR="001667F4" w:rsidRPr="00D201A3">
        <w:rPr>
          <w:rFonts w:asciiTheme="minorHAnsi" w:hAnsiTheme="minorHAnsi"/>
          <w:iCs/>
          <w:color w:val="auto"/>
          <w:szCs w:val="24"/>
        </w:rPr>
        <w:t>impairment</w:t>
      </w:r>
      <w:r w:rsidR="008F1B15">
        <w:rPr>
          <w:rFonts w:asciiTheme="minorHAnsi" w:hAnsiTheme="minorHAnsi"/>
          <w:iCs/>
          <w:color w:val="auto"/>
          <w:szCs w:val="24"/>
        </w:rPr>
        <w:t xml:space="preserve"> and </w:t>
      </w:r>
      <w:r w:rsidR="002C2807">
        <w:rPr>
          <w:rFonts w:asciiTheme="minorHAnsi" w:hAnsiTheme="minorHAnsi"/>
          <w:iCs/>
          <w:color w:val="auto"/>
          <w:szCs w:val="24"/>
        </w:rPr>
        <w:t xml:space="preserve">the </w:t>
      </w:r>
      <w:proofErr w:type="spellStart"/>
      <w:r w:rsidR="002C2807">
        <w:rPr>
          <w:rFonts w:asciiTheme="minorHAnsi" w:hAnsiTheme="minorHAnsi"/>
          <w:iCs/>
          <w:color w:val="auto"/>
          <w:szCs w:val="24"/>
        </w:rPr>
        <w:t>DoDI</w:t>
      </w:r>
      <w:proofErr w:type="spellEnd"/>
      <w:r w:rsidR="002C2807">
        <w:rPr>
          <w:rFonts w:asciiTheme="minorHAnsi" w:hAnsiTheme="minorHAnsi"/>
          <w:iCs/>
          <w:color w:val="auto"/>
          <w:szCs w:val="24"/>
        </w:rPr>
        <w:t xml:space="preserve"> 1332.39-</w:t>
      </w:r>
      <w:r w:rsidR="00725127">
        <w:rPr>
          <w:rFonts w:asciiTheme="minorHAnsi" w:hAnsiTheme="minorHAnsi"/>
          <w:iCs/>
          <w:color w:val="auto"/>
          <w:szCs w:val="24"/>
        </w:rPr>
        <w:t>defined</w:t>
      </w:r>
      <w:r w:rsidR="002C2807">
        <w:rPr>
          <w:rFonts w:asciiTheme="minorHAnsi" w:hAnsiTheme="minorHAnsi"/>
          <w:iCs/>
          <w:color w:val="auto"/>
          <w:szCs w:val="24"/>
        </w:rPr>
        <w:t xml:space="preserve"> </w:t>
      </w:r>
      <w:r w:rsidR="002C2807" w:rsidRPr="00860AF2">
        <w:rPr>
          <w:rFonts w:asciiTheme="minorHAnsi" w:hAnsiTheme="minorHAnsi"/>
          <w:iCs/>
          <w:color w:val="auto"/>
          <w:szCs w:val="24"/>
        </w:rPr>
        <w:t>social-industrial impairme</w:t>
      </w:r>
      <w:r w:rsidR="002C2807">
        <w:rPr>
          <w:rFonts w:asciiTheme="minorHAnsi" w:hAnsiTheme="minorHAnsi"/>
          <w:iCs/>
          <w:color w:val="auto"/>
          <w:szCs w:val="24"/>
        </w:rPr>
        <w:t xml:space="preserve">nt </w:t>
      </w:r>
      <w:r w:rsidR="00725127">
        <w:rPr>
          <w:rFonts w:asciiTheme="minorHAnsi" w:hAnsiTheme="minorHAnsi"/>
          <w:iCs/>
          <w:color w:val="auto"/>
          <w:szCs w:val="24"/>
        </w:rPr>
        <w:t xml:space="preserve">was assessed </w:t>
      </w:r>
      <w:r w:rsidR="002C2807">
        <w:rPr>
          <w:rFonts w:asciiTheme="minorHAnsi" w:hAnsiTheme="minorHAnsi"/>
          <w:iCs/>
          <w:color w:val="auto"/>
          <w:szCs w:val="24"/>
        </w:rPr>
        <w:t>a</w:t>
      </w:r>
      <w:r w:rsidR="002C2807" w:rsidRPr="00860AF2">
        <w:rPr>
          <w:rFonts w:asciiTheme="minorHAnsi" w:hAnsiTheme="minorHAnsi"/>
          <w:iCs/>
          <w:color w:val="auto"/>
          <w:szCs w:val="24"/>
        </w:rPr>
        <w:t xml:space="preserve">s </w:t>
      </w:r>
      <w:r w:rsidR="008F1B15">
        <w:rPr>
          <w:rFonts w:asciiTheme="minorHAnsi" w:hAnsiTheme="minorHAnsi"/>
          <w:iCs/>
          <w:color w:val="auto"/>
          <w:szCs w:val="24"/>
        </w:rPr>
        <w:t>“</w:t>
      </w:r>
      <w:r w:rsidR="002C2807" w:rsidRPr="00860AF2">
        <w:rPr>
          <w:rFonts w:asciiTheme="minorHAnsi" w:hAnsiTheme="minorHAnsi"/>
          <w:iCs/>
          <w:color w:val="auto"/>
          <w:szCs w:val="24"/>
        </w:rPr>
        <w:t>mild</w:t>
      </w:r>
      <w:r w:rsidR="001667F4">
        <w:rPr>
          <w:rFonts w:asciiTheme="minorHAnsi" w:hAnsiTheme="minorHAnsi"/>
          <w:iCs/>
          <w:color w:val="auto"/>
          <w:szCs w:val="24"/>
        </w:rPr>
        <w:t>.</w:t>
      </w:r>
      <w:r w:rsidR="008F1B15">
        <w:rPr>
          <w:rFonts w:asciiTheme="minorHAnsi" w:hAnsiTheme="minorHAnsi"/>
          <w:iCs/>
          <w:color w:val="auto"/>
          <w:szCs w:val="24"/>
        </w:rPr>
        <w:t>”</w:t>
      </w:r>
      <w:r w:rsidR="001667F4">
        <w:rPr>
          <w:rFonts w:asciiTheme="minorHAnsi" w:hAnsiTheme="minorHAnsi"/>
          <w:iCs/>
          <w:color w:val="auto"/>
          <w:szCs w:val="24"/>
        </w:rPr>
        <w:t xml:space="preserve">  The </w:t>
      </w:r>
      <w:r w:rsidR="00635DE7">
        <w:rPr>
          <w:rFonts w:asciiTheme="minorHAnsi" w:hAnsiTheme="minorHAnsi"/>
          <w:iCs/>
          <w:color w:val="auto"/>
          <w:szCs w:val="24"/>
        </w:rPr>
        <w:t>TDRL psychiatrist</w:t>
      </w:r>
      <w:r w:rsidR="001667F4">
        <w:rPr>
          <w:rFonts w:asciiTheme="minorHAnsi" w:hAnsiTheme="minorHAnsi"/>
          <w:iCs/>
          <w:color w:val="auto"/>
          <w:szCs w:val="24"/>
        </w:rPr>
        <w:t xml:space="preserve"> </w:t>
      </w:r>
      <w:r w:rsidR="00635DE7">
        <w:rPr>
          <w:rFonts w:asciiTheme="minorHAnsi" w:hAnsiTheme="minorHAnsi"/>
          <w:iCs/>
          <w:color w:val="auto"/>
          <w:szCs w:val="24"/>
        </w:rPr>
        <w:t>opined</w:t>
      </w:r>
      <w:proofErr w:type="gramStart"/>
      <w:r w:rsidR="00635DE7">
        <w:rPr>
          <w:rFonts w:asciiTheme="minorHAnsi" w:hAnsiTheme="minorHAnsi"/>
          <w:iCs/>
          <w:color w:val="auto"/>
          <w:szCs w:val="24"/>
        </w:rPr>
        <w:t>,</w:t>
      </w:r>
      <w:r w:rsidR="00860AF2" w:rsidRPr="00860AF2">
        <w:rPr>
          <w:rFonts w:asciiTheme="minorHAnsi" w:hAnsiTheme="minorHAnsi"/>
          <w:iCs/>
          <w:color w:val="auto"/>
          <w:szCs w:val="24"/>
        </w:rPr>
        <w:t xml:space="preserve">  </w:t>
      </w:r>
      <w:r w:rsidR="0094487C">
        <w:rPr>
          <w:rFonts w:asciiTheme="minorHAnsi" w:hAnsiTheme="minorHAnsi"/>
          <w:iCs/>
          <w:color w:val="auto"/>
          <w:szCs w:val="24"/>
        </w:rPr>
        <w:t>“</w:t>
      </w:r>
      <w:proofErr w:type="gramEnd"/>
      <w:r w:rsidR="008F1B15">
        <w:rPr>
          <w:rFonts w:asciiTheme="minorHAnsi" w:hAnsiTheme="minorHAnsi"/>
          <w:iCs/>
          <w:color w:val="auto"/>
          <w:szCs w:val="24"/>
        </w:rPr>
        <w:t>h</w:t>
      </w:r>
      <w:r w:rsidR="00860AF2" w:rsidRPr="00860AF2">
        <w:rPr>
          <w:rFonts w:asciiTheme="minorHAnsi" w:hAnsiTheme="minorHAnsi"/>
          <w:iCs/>
          <w:color w:val="auto"/>
          <w:szCs w:val="24"/>
        </w:rPr>
        <w:t>igh index of suspicion for alcohol abuse that could be contributing to mood/anxiety symptoms, particularly in combination with opiate analgesics.  Despite his repor</w:t>
      </w:r>
      <w:r w:rsidR="00725127">
        <w:rPr>
          <w:rFonts w:asciiTheme="minorHAnsi" w:hAnsiTheme="minorHAnsi"/>
          <w:iCs/>
          <w:color w:val="auto"/>
          <w:szCs w:val="24"/>
        </w:rPr>
        <w:t>ted psychiatric symptoms, he has</w:t>
      </w:r>
      <w:r w:rsidR="00860AF2" w:rsidRPr="00860AF2">
        <w:rPr>
          <w:rFonts w:asciiTheme="minorHAnsi" w:hAnsiTheme="minorHAnsi"/>
          <w:iCs/>
          <w:color w:val="auto"/>
          <w:szCs w:val="24"/>
        </w:rPr>
        <w:t xml:space="preserve"> been able to work and entered into a new relationship.  No acute safety issues.  Recommend that the CI be considered for permanent retirement.  The patient would not be able to tolerate the stress of combat if he were to return to active duty.</w:t>
      </w:r>
      <w:r w:rsidR="002015C8">
        <w:rPr>
          <w:rFonts w:asciiTheme="minorHAnsi" w:hAnsiTheme="minorHAnsi"/>
          <w:iCs/>
          <w:color w:val="auto"/>
          <w:szCs w:val="24"/>
        </w:rPr>
        <w:t xml:space="preserve">”  </w:t>
      </w:r>
    </w:p>
    <w:p w:rsidR="00635DE7" w:rsidRPr="00860AF2" w:rsidRDefault="00635DE7" w:rsidP="00860AF2">
      <w:pPr>
        <w:jc w:val="both"/>
        <w:rPr>
          <w:rFonts w:asciiTheme="minorHAnsi" w:hAnsiTheme="minorHAnsi"/>
          <w:iCs/>
          <w:color w:val="auto"/>
          <w:szCs w:val="24"/>
        </w:rPr>
      </w:pPr>
    </w:p>
    <w:p w:rsidR="007168E1" w:rsidRDefault="00FB4F73" w:rsidP="00FB4F73">
      <w:pPr>
        <w:tabs>
          <w:tab w:val="left" w:pos="288"/>
          <w:tab w:val="left" w:pos="4752"/>
        </w:tabs>
        <w:jc w:val="both"/>
        <w:rPr>
          <w:bCs/>
          <w:color w:val="auto"/>
        </w:rPr>
      </w:pPr>
      <w:r>
        <w:rPr>
          <w:rFonts w:asciiTheme="minorHAnsi" w:hAnsiTheme="minorHAnsi"/>
          <w:iCs/>
          <w:color w:val="auto"/>
          <w:szCs w:val="24"/>
        </w:rPr>
        <w:lastRenderedPageBreak/>
        <w:t xml:space="preserve">The Board directs its attention to its rating recommendations based on the evidence just described.  As regards the </w:t>
      </w:r>
      <w:r w:rsidR="00872CBC">
        <w:rPr>
          <w:rFonts w:asciiTheme="minorHAnsi" w:hAnsiTheme="minorHAnsi"/>
          <w:iCs/>
          <w:color w:val="auto"/>
          <w:szCs w:val="24"/>
        </w:rPr>
        <w:t xml:space="preserve">permanent </w:t>
      </w:r>
      <w:r>
        <w:rPr>
          <w:rFonts w:asciiTheme="minorHAnsi" w:hAnsiTheme="minorHAnsi"/>
          <w:iCs/>
          <w:color w:val="auto"/>
          <w:szCs w:val="24"/>
        </w:rPr>
        <w:t xml:space="preserve">rating </w:t>
      </w:r>
      <w:r w:rsidR="00872CBC">
        <w:rPr>
          <w:rFonts w:asciiTheme="minorHAnsi" w:hAnsiTheme="minorHAnsi"/>
          <w:iCs/>
          <w:color w:val="auto"/>
          <w:szCs w:val="24"/>
        </w:rPr>
        <w:t xml:space="preserve">recommendation, the </w:t>
      </w:r>
      <w:r w:rsidR="00635DE7">
        <w:rPr>
          <w:rFonts w:asciiTheme="minorHAnsi" w:hAnsiTheme="minorHAnsi"/>
          <w:iCs/>
          <w:color w:val="auto"/>
          <w:szCs w:val="24"/>
        </w:rPr>
        <w:t xml:space="preserve">evidence </w:t>
      </w:r>
      <w:r w:rsidR="00872CBC">
        <w:rPr>
          <w:rFonts w:asciiTheme="minorHAnsi" w:hAnsiTheme="minorHAnsi"/>
          <w:iCs/>
          <w:color w:val="auto"/>
          <w:szCs w:val="24"/>
        </w:rPr>
        <w:t xml:space="preserve">suggests </w:t>
      </w:r>
      <w:r w:rsidR="00635DE7">
        <w:rPr>
          <w:rFonts w:asciiTheme="minorHAnsi" w:hAnsiTheme="minorHAnsi"/>
          <w:iCs/>
          <w:color w:val="auto"/>
          <w:szCs w:val="24"/>
        </w:rPr>
        <w:t xml:space="preserve">that there was no psychiatric impairment to civilian occupational functioning at the time of </w:t>
      </w:r>
      <w:r w:rsidR="00872CBC">
        <w:rPr>
          <w:rFonts w:asciiTheme="minorHAnsi" w:hAnsiTheme="minorHAnsi"/>
          <w:iCs/>
          <w:color w:val="auto"/>
          <w:szCs w:val="24"/>
        </w:rPr>
        <w:t>medical</w:t>
      </w:r>
      <w:r w:rsidR="00635DE7">
        <w:rPr>
          <w:rFonts w:asciiTheme="minorHAnsi" w:hAnsiTheme="minorHAnsi"/>
          <w:iCs/>
          <w:color w:val="auto"/>
          <w:szCs w:val="24"/>
        </w:rPr>
        <w:t xml:space="preserve"> separation.  T</w:t>
      </w:r>
      <w:r w:rsidR="001430A2">
        <w:rPr>
          <w:rFonts w:asciiTheme="minorHAnsi" w:hAnsiTheme="minorHAnsi"/>
          <w:iCs/>
          <w:color w:val="auto"/>
          <w:szCs w:val="24"/>
        </w:rPr>
        <w:t xml:space="preserve">here </w:t>
      </w:r>
      <w:r>
        <w:rPr>
          <w:rFonts w:asciiTheme="minorHAnsi" w:hAnsiTheme="minorHAnsi"/>
          <w:iCs/>
          <w:color w:val="auto"/>
          <w:szCs w:val="24"/>
        </w:rPr>
        <w:t xml:space="preserve">was sparse evidence relative to social impairment; although, it </w:t>
      </w:r>
      <w:r w:rsidR="00635DE7">
        <w:rPr>
          <w:rFonts w:asciiTheme="minorHAnsi" w:hAnsiTheme="minorHAnsi"/>
          <w:iCs/>
          <w:color w:val="auto"/>
          <w:szCs w:val="24"/>
        </w:rPr>
        <w:t>may be assumed that there was some</w:t>
      </w:r>
      <w:r>
        <w:rPr>
          <w:rFonts w:asciiTheme="minorHAnsi" w:hAnsiTheme="minorHAnsi"/>
          <w:iCs/>
          <w:color w:val="auto"/>
          <w:szCs w:val="24"/>
        </w:rPr>
        <w:t xml:space="preserve"> adverse impact on the CI’s domestic life</w:t>
      </w:r>
      <w:r w:rsidR="00872CBC" w:rsidRPr="00872CBC">
        <w:rPr>
          <w:rFonts w:asciiTheme="minorHAnsi" w:hAnsiTheme="minorHAnsi"/>
          <w:iCs/>
          <w:color w:val="auto"/>
          <w:szCs w:val="24"/>
        </w:rPr>
        <w:t xml:space="preserve"> </w:t>
      </w:r>
      <w:r w:rsidR="00872CBC">
        <w:rPr>
          <w:rFonts w:asciiTheme="minorHAnsi" w:hAnsiTheme="minorHAnsi"/>
          <w:iCs/>
          <w:color w:val="auto"/>
          <w:szCs w:val="24"/>
        </w:rPr>
        <w:t>from his psychiatric condition</w:t>
      </w:r>
      <w:r>
        <w:rPr>
          <w:rFonts w:asciiTheme="minorHAnsi" w:hAnsiTheme="minorHAnsi"/>
          <w:iCs/>
          <w:color w:val="auto"/>
          <w:szCs w:val="24"/>
        </w:rPr>
        <w:t xml:space="preserve">.  Members </w:t>
      </w:r>
      <w:r w:rsidR="00872CBC">
        <w:rPr>
          <w:rFonts w:asciiTheme="minorHAnsi" w:hAnsiTheme="minorHAnsi"/>
          <w:iCs/>
          <w:color w:val="auto"/>
          <w:szCs w:val="24"/>
        </w:rPr>
        <w:t>readily</w:t>
      </w:r>
      <w:r>
        <w:rPr>
          <w:rFonts w:asciiTheme="minorHAnsi" w:hAnsiTheme="minorHAnsi"/>
          <w:iCs/>
          <w:color w:val="auto"/>
          <w:szCs w:val="24"/>
        </w:rPr>
        <w:t xml:space="preserve"> agreed that </w:t>
      </w:r>
      <w:r w:rsidR="00872CBC">
        <w:rPr>
          <w:rFonts w:asciiTheme="minorHAnsi" w:hAnsiTheme="minorHAnsi"/>
          <w:iCs/>
          <w:color w:val="auto"/>
          <w:szCs w:val="24"/>
        </w:rPr>
        <w:t xml:space="preserve">the </w:t>
      </w:r>
      <w:r>
        <w:rPr>
          <w:rFonts w:asciiTheme="minorHAnsi" w:hAnsiTheme="minorHAnsi"/>
          <w:iCs/>
          <w:color w:val="auto"/>
          <w:szCs w:val="24"/>
        </w:rPr>
        <w:t xml:space="preserve">50% </w:t>
      </w:r>
      <w:r w:rsidR="00872CBC">
        <w:rPr>
          <w:rFonts w:asciiTheme="minorHAnsi" w:hAnsiTheme="minorHAnsi"/>
          <w:iCs/>
          <w:color w:val="auto"/>
          <w:szCs w:val="24"/>
        </w:rPr>
        <w:t xml:space="preserve">TDRL </w:t>
      </w:r>
      <w:r>
        <w:rPr>
          <w:rFonts w:asciiTheme="minorHAnsi" w:hAnsiTheme="minorHAnsi"/>
          <w:iCs/>
          <w:color w:val="auto"/>
          <w:szCs w:val="24"/>
        </w:rPr>
        <w:t xml:space="preserve">rating could no longer be supported </w:t>
      </w:r>
      <w:r w:rsidR="00635DE7">
        <w:rPr>
          <w:rFonts w:asciiTheme="minorHAnsi" w:hAnsiTheme="minorHAnsi"/>
          <w:iCs/>
          <w:color w:val="auto"/>
          <w:szCs w:val="24"/>
        </w:rPr>
        <w:t>by</w:t>
      </w:r>
      <w:r>
        <w:rPr>
          <w:rFonts w:asciiTheme="minorHAnsi" w:hAnsiTheme="minorHAnsi"/>
          <w:iCs/>
          <w:color w:val="auto"/>
          <w:szCs w:val="24"/>
        </w:rPr>
        <w:t xml:space="preserve"> VASRD §4.130</w:t>
      </w:r>
      <w:r w:rsidR="00635DE7">
        <w:rPr>
          <w:rFonts w:asciiTheme="minorHAnsi" w:hAnsiTheme="minorHAnsi"/>
          <w:iCs/>
          <w:color w:val="auto"/>
          <w:szCs w:val="24"/>
        </w:rPr>
        <w:t xml:space="preserve"> criteria</w:t>
      </w:r>
      <w:r>
        <w:rPr>
          <w:rFonts w:asciiTheme="minorHAnsi" w:hAnsiTheme="minorHAnsi"/>
          <w:iCs/>
          <w:color w:val="auto"/>
          <w:szCs w:val="24"/>
        </w:rPr>
        <w:t>.</w:t>
      </w:r>
      <w:r w:rsidR="001430A2">
        <w:rPr>
          <w:rFonts w:asciiTheme="minorHAnsi" w:hAnsiTheme="minorHAnsi"/>
          <w:iCs/>
          <w:color w:val="auto"/>
          <w:szCs w:val="24"/>
        </w:rPr>
        <w:t xml:space="preserve">  </w:t>
      </w:r>
      <w:r w:rsidR="004E1272">
        <w:rPr>
          <w:rFonts w:asciiTheme="minorHAnsi" w:hAnsiTheme="minorHAnsi"/>
          <w:iCs/>
          <w:color w:val="auto"/>
          <w:szCs w:val="24"/>
        </w:rPr>
        <w:t xml:space="preserve">The Board deliberated therefore between a 10% (mandated as a minimum by the PEB adjudication) vs. a 30% permanent rating recommendation.  </w:t>
      </w:r>
      <w:r w:rsidR="004E1272" w:rsidRPr="00D739F6">
        <w:rPr>
          <w:rFonts w:eastAsia="Calibri"/>
          <w:color w:val="000000" w:themeColor="text1"/>
          <w:szCs w:val="24"/>
        </w:rPr>
        <w:t>An argument for a 10% permanent rating can be sustained by the §4.130 description for that rating, i.e., “occupational and social impairment due to mild or transient symptoms</w:t>
      </w:r>
      <w:r w:rsidR="008F1B15">
        <w:rPr>
          <w:rFonts w:eastAsia="Calibri"/>
          <w:color w:val="000000" w:themeColor="text1"/>
          <w:szCs w:val="24"/>
        </w:rPr>
        <w:t xml:space="preserve"> which decrease work efficiency</w:t>
      </w:r>
      <w:r w:rsidR="004E1272" w:rsidRPr="00D739F6">
        <w:rPr>
          <w:rFonts w:eastAsia="Calibri"/>
          <w:color w:val="000000" w:themeColor="text1"/>
          <w:szCs w:val="24"/>
        </w:rPr>
        <w:t>… only during pe</w:t>
      </w:r>
      <w:r w:rsidR="008F1B15">
        <w:rPr>
          <w:rFonts w:eastAsia="Calibri"/>
          <w:color w:val="000000" w:themeColor="text1"/>
          <w:szCs w:val="24"/>
        </w:rPr>
        <w:t>riods of significant stress or</w:t>
      </w:r>
      <w:r w:rsidR="004E1272" w:rsidRPr="00D739F6">
        <w:rPr>
          <w:rFonts w:eastAsia="Calibri"/>
          <w:color w:val="000000" w:themeColor="text1"/>
          <w:szCs w:val="24"/>
        </w:rPr>
        <w:t xml:space="preserve"> symptoms contr</w:t>
      </w:r>
      <w:r w:rsidR="001C317C">
        <w:rPr>
          <w:rFonts w:eastAsia="Calibri"/>
          <w:color w:val="000000" w:themeColor="text1"/>
          <w:szCs w:val="24"/>
        </w:rPr>
        <w:t>olled by continuous medication.”</w:t>
      </w:r>
      <w:r w:rsidR="004E1272" w:rsidRPr="00D739F6">
        <w:rPr>
          <w:rFonts w:eastAsia="Calibri"/>
          <w:color w:val="000000" w:themeColor="text1"/>
          <w:szCs w:val="24"/>
        </w:rPr>
        <w:t xml:space="preserve">  </w:t>
      </w:r>
      <w:r w:rsidR="00872CBC">
        <w:rPr>
          <w:rFonts w:eastAsia="Calibri"/>
          <w:color w:val="000000" w:themeColor="text1"/>
          <w:szCs w:val="24"/>
        </w:rPr>
        <w:t xml:space="preserve">As noted above, the </w:t>
      </w:r>
      <w:r w:rsidR="004E1272">
        <w:rPr>
          <w:rFonts w:eastAsia="Calibri"/>
          <w:color w:val="000000" w:themeColor="text1"/>
          <w:szCs w:val="24"/>
        </w:rPr>
        <w:t xml:space="preserve">evidence </w:t>
      </w:r>
      <w:r w:rsidR="00872CBC">
        <w:rPr>
          <w:rFonts w:eastAsia="Calibri"/>
          <w:color w:val="000000" w:themeColor="text1"/>
          <w:szCs w:val="24"/>
        </w:rPr>
        <w:t>points to</w:t>
      </w:r>
      <w:r w:rsidR="004E1272" w:rsidRPr="0095798A">
        <w:rPr>
          <w:rFonts w:eastAsia="Calibri"/>
          <w:color w:val="000000" w:themeColor="text1"/>
          <w:szCs w:val="24"/>
        </w:rPr>
        <w:t xml:space="preserve"> no</w:t>
      </w:r>
      <w:r w:rsidR="004E1272" w:rsidRPr="00D739F6">
        <w:rPr>
          <w:rFonts w:eastAsia="Calibri"/>
          <w:color w:val="000000" w:themeColor="text1"/>
          <w:szCs w:val="24"/>
        </w:rPr>
        <w:t xml:space="preserve"> decreased work efficiency </w:t>
      </w:r>
      <w:r w:rsidR="004E1272" w:rsidRPr="0095798A">
        <w:rPr>
          <w:rFonts w:eastAsia="Calibri"/>
          <w:color w:val="000000" w:themeColor="text1"/>
          <w:szCs w:val="24"/>
        </w:rPr>
        <w:t xml:space="preserve">and </w:t>
      </w:r>
      <w:r w:rsidR="0095798A" w:rsidRPr="0095798A">
        <w:rPr>
          <w:rFonts w:eastAsia="Calibri"/>
          <w:color w:val="000000" w:themeColor="text1"/>
          <w:szCs w:val="24"/>
        </w:rPr>
        <w:t>only speculative</w:t>
      </w:r>
      <w:r w:rsidR="004E1272" w:rsidRPr="0095798A">
        <w:rPr>
          <w:rFonts w:eastAsia="Calibri"/>
          <w:color w:val="000000" w:themeColor="text1"/>
          <w:szCs w:val="24"/>
        </w:rPr>
        <w:t xml:space="preserve"> social</w:t>
      </w:r>
      <w:r w:rsidR="00872CBC">
        <w:rPr>
          <w:rFonts w:eastAsia="Calibri"/>
          <w:color w:val="000000" w:themeColor="text1"/>
          <w:szCs w:val="24"/>
        </w:rPr>
        <w:t xml:space="preserve"> impairment; with or</w:t>
      </w:r>
      <w:r w:rsidR="004E1272" w:rsidRPr="00D739F6">
        <w:rPr>
          <w:rFonts w:eastAsia="Calibri"/>
          <w:color w:val="000000" w:themeColor="text1"/>
          <w:szCs w:val="24"/>
        </w:rPr>
        <w:t xml:space="preserve"> without reference to stress.  Although symptoms were not fully controlled, the CI </w:t>
      </w:r>
      <w:r w:rsidR="0095798A">
        <w:rPr>
          <w:rFonts w:eastAsia="Calibri"/>
          <w:color w:val="000000" w:themeColor="text1"/>
          <w:szCs w:val="24"/>
        </w:rPr>
        <w:t xml:space="preserve">had himself abandoned treatment; and, the symptom severity at that time </w:t>
      </w:r>
      <w:r w:rsidR="0095798A" w:rsidRPr="0095798A">
        <w:rPr>
          <w:rFonts w:eastAsia="Calibri"/>
          <w:color w:val="000000" w:themeColor="text1"/>
          <w:szCs w:val="24"/>
        </w:rPr>
        <w:t xml:space="preserve">does not serve as a valid measurement for permanent psychiatric disability, which should reflect the severity of the condition in a stable and treated state.  The Board concedes that </w:t>
      </w:r>
      <w:r w:rsidR="00701988">
        <w:rPr>
          <w:rFonts w:eastAsia="Calibri"/>
          <w:color w:val="000000" w:themeColor="text1"/>
          <w:szCs w:val="24"/>
        </w:rPr>
        <w:t>the assum</w:t>
      </w:r>
      <w:r w:rsidR="0095798A">
        <w:rPr>
          <w:rFonts w:eastAsia="Calibri"/>
          <w:color w:val="000000" w:themeColor="text1"/>
          <w:szCs w:val="24"/>
        </w:rPr>
        <w:t xml:space="preserve">ed </w:t>
      </w:r>
      <w:r w:rsidR="0095798A" w:rsidRPr="0095798A">
        <w:rPr>
          <w:rFonts w:eastAsia="Calibri"/>
          <w:color w:val="000000" w:themeColor="text1"/>
          <w:szCs w:val="24"/>
        </w:rPr>
        <w:t xml:space="preserve">alcohol abuse </w:t>
      </w:r>
      <w:r w:rsidR="0095798A">
        <w:rPr>
          <w:rFonts w:eastAsia="Calibri"/>
          <w:color w:val="000000" w:themeColor="text1"/>
          <w:szCs w:val="24"/>
        </w:rPr>
        <w:t>during that period could have</w:t>
      </w:r>
      <w:r w:rsidR="0095798A" w:rsidRPr="0095798A">
        <w:rPr>
          <w:rFonts w:eastAsia="Calibri"/>
          <w:color w:val="000000" w:themeColor="text1"/>
          <w:szCs w:val="24"/>
        </w:rPr>
        <w:t xml:space="preserve"> itself </w:t>
      </w:r>
      <w:r w:rsidR="0095798A">
        <w:rPr>
          <w:rFonts w:eastAsia="Calibri"/>
          <w:color w:val="000000" w:themeColor="text1"/>
          <w:szCs w:val="24"/>
        </w:rPr>
        <w:t xml:space="preserve">been </w:t>
      </w:r>
      <w:r w:rsidR="0095798A" w:rsidRPr="0095798A">
        <w:rPr>
          <w:rFonts w:eastAsia="Calibri"/>
          <w:color w:val="000000" w:themeColor="text1"/>
          <w:szCs w:val="24"/>
        </w:rPr>
        <w:t>a manifestatio</w:t>
      </w:r>
      <w:r w:rsidR="00C675E0">
        <w:rPr>
          <w:rFonts w:eastAsia="Calibri"/>
          <w:color w:val="000000" w:themeColor="text1"/>
          <w:szCs w:val="24"/>
        </w:rPr>
        <w:t>n of PTSD;</w:t>
      </w:r>
      <w:r w:rsidR="0095798A" w:rsidRPr="0095798A">
        <w:rPr>
          <w:rFonts w:eastAsia="Calibri"/>
          <w:color w:val="000000" w:themeColor="text1"/>
          <w:szCs w:val="24"/>
        </w:rPr>
        <w:t xml:space="preserve"> but</w:t>
      </w:r>
      <w:r w:rsidR="00C675E0">
        <w:rPr>
          <w:rFonts w:eastAsia="Calibri"/>
          <w:color w:val="000000" w:themeColor="text1"/>
          <w:szCs w:val="24"/>
        </w:rPr>
        <w:t>,</w:t>
      </w:r>
      <w:r w:rsidR="0095798A" w:rsidRPr="0095798A">
        <w:rPr>
          <w:rFonts w:eastAsia="Calibri"/>
          <w:color w:val="000000" w:themeColor="text1"/>
          <w:szCs w:val="24"/>
        </w:rPr>
        <w:t xml:space="preserve"> does not concede that the impairment from untreated alcohol abuse due to untreated psychiatric illness should reasonably reflect an expected permanent state of affairs</w:t>
      </w:r>
      <w:r w:rsidR="007168E1">
        <w:rPr>
          <w:rFonts w:eastAsia="Calibri"/>
          <w:color w:val="000000" w:themeColor="text1"/>
          <w:szCs w:val="24"/>
        </w:rPr>
        <w:t>,</w:t>
      </w:r>
      <w:r w:rsidR="0095798A" w:rsidRPr="0095798A">
        <w:rPr>
          <w:rFonts w:eastAsia="Calibri"/>
          <w:color w:val="000000" w:themeColor="text1"/>
          <w:szCs w:val="24"/>
        </w:rPr>
        <w:t xml:space="preserve"> or coincide with the intent of §4.129.  </w:t>
      </w:r>
      <w:r w:rsidR="00C675E0">
        <w:rPr>
          <w:rFonts w:eastAsia="Calibri"/>
          <w:color w:val="000000" w:themeColor="text1"/>
          <w:szCs w:val="24"/>
        </w:rPr>
        <w:t xml:space="preserve">The 30% rating IAW VASRD </w:t>
      </w:r>
      <w:r w:rsidR="00C675E0">
        <w:rPr>
          <w:bCs/>
          <w:color w:val="auto"/>
        </w:rPr>
        <w:t xml:space="preserve">§4.130 requires </w:t>
      </w:r>
      <w:r w:rsidR="00C675E0" w:rsidRPr="00C675E0">
        <w:rPr>
          <w:bCs/>
          <w:color w:val="auto"/>
        </w:rPr>
        <w:t>“occupational and social impairment with occasional decrease in work efficiency and intermittent periods of inability to perform occupational tasks</w:t>
      </w:r>
      <w:r w:rsidR="00513052">
        <w:rPr>
          <w:bCs/>
          <w:color w:val="auto"/>
        </w:rPr>
        <w:t>.</w:t>
      </w:r>
      <w:r w:rsidR="00C675E0" w:rsidRPr="00C675E0">
        <w:rPr>
          <w:bCs/>
          <w:color w:val="auto"/>
        </w:rPr>
        <w:t>”</w:t>
      </w:r>
      <w:r w:rsidR="00513052">
        <w:rPr>
          <w:bCs/>
          <w:color w:val="auto"/>
        </w:rPr>
        <w:t xml:space="preserve"> </w:t>
      </w:r>
      <w:r w:rsidR="00C675E0">
        <w:rPr>
          <w:bCs/>
          <w:color w:val="auto"/>
        </w:rPr>
        <w:t xml:space="preserve"> </w:t>
      </w:r>
      <w:r w:rsidR="007168E1">
        <w:rPr>
          <w:iCs/>
          <w:color w:val="auto"/>
        </w:rPr>
        <w:t>Some level of work inefficiency might be expected to result from the reported symptoms; although, there was no do</w:t>
      </w:r>
      <w:r w:rsidR="00513052">
        <w:rPr>
          <w:iCs/>
          <w:color w:val="auto"/>
        </w:rPr>
        <w:t>cumented evidence of such, and</w:t>
      </w:r>
      <w:r w:rsidR="007168E1">
        <w:rPr>
          <w:iCs/>
          <w:color w:val="auto"/>
        </w:rPr>
        <w:t xml:space="preserve"> the evidence clearly indicates that there were no </w:t>
      </w:r>
      <w:r w:rsidR="00513052">
        <w:rPr>
          <w:iCs/>
          <w:color w:val="auto"/>
        </w:rPr>
        <w:t>“</w:t>
      </w:r>
      <w:r w:rsidR="007168E1">
        <w:rPr>
          <w:iCs/>
          <w:color w:val="auto"/>
        </w:rPr>
        <w:t>intermittent periods of inability</w:t>
      </w:r>
      <w:r w:rsidR="00513052">
        <w:rPr>
          <w:iCs/>
          <w:color w:val="auto"/>
        </w:rPr>
        <w:t>”</w:t>
      </w:r>
      <w:r w:rsidR="007168E1">
        <w:rPr>
          <w:iCs/>
          <w:color w:val="auto"/>
        </w:rPr>
        <w:t xml:space="preserve"> relative to occupational capacity based on psychiatric impairment.  Conversely, the members agreed that the CI’s symptoms at the time of permanent separation could not be fairly characterized as </w:t>
      </w:r>
      <w:r w:rsidR="00513052">
        <w:rPr>
          <w:iCs/>
          <w:color w:val="auto"/>
        </w:rPr>
        <w:t>“</w:t>
      </w:r>
      <w:r w:rsidR="007168E1">
        <w:rPr>
          <w:iCs/>
          <w:color w:val="auto"/>
        </w:rPr>
        <w:t>transient</w:t>
      </w:r>
      <w:r w:rsidR="00513052">
        <w:rPr>
          <w:iCs/>
          <w:color w:val="auto"/>
        </w:rPr>
        <w:t>”</w:t>
      </w:r>
      <w:r w:rsidR="007168E1">
        <w:rPr>
          <w:iCs/>
          <w:color w:val="auto"/>
        </w:rPr>
        <w:t xml:space="preserve"> or </w:t>
      </w:r>
      <w:r w:rsidR="00513052">
        <w:rPr>
          <w:iCs/>
          <w:color w:val="auto"/>
        </w:rPr>
        <w:t>“</w:t>
      </w:r>
      <w:r w:rsidR="007168E1">
        <w:rPr>
          <w:iCs/>
          <w:color w:val="auto"/>
        </w:rPr>
        <w:t>mild</w:t>
      </w:r>
      <w:r w:rsidR="00513052">
        <w:rPr>
          <w:iCs/>
          <w:color w:val="auto"/>
        </w:rPr>
        <w:t>,” although</w:t>
      </w:r>
      <w:r w:rsidR="007168E1">
        <w:rPr>
          <w:iCs/>
          <w:color w:val="auto"/>
        </w:rPr>
        <w:t xml:space="preserve"> deliberated as to whether or not there was any </w:t>
      </w:r>
      <w:r w:rsidR="007168E1" w:rsidRPr="00AA37D4">
        <w:rPr>
          <w:iCs/>
          <w:color w:val="auto"/>
        </w:rPr>
        <w:t>presumptive social or occupational impairment to which to attach a higher rating.  After due deliberation and in consideration of all the evidence and reasonable doubt, the Board recommends 10%  as the fair</w:t>
      </w:r>
      <w:r w:rsidR="007168E1" w:rsidRPr="007168E1">
        <w:rPr>
          <w:iCs/>
          <w:color w:val="auto"/>
        </w:rPr>
        <w:t xml:space="preserve"> permanent separation rating for PTSD in this case.</w:t>
      </w:r>
    </w:p>
    <w:p w:rsidR="00A8067F" w:rsidRPr="003565CD" w:rsidRDefault="00A8067F" w:rsidP="00BF0E94">
      <w:pPr>
        <w:jc w:val="left"/>
        <w:rPr>
          <w:color w:val="000000" w:themeColor="text1"/>
          <w:szCs w:val="24"/>
          <w:highlight w:val="red"/>
          <w:u w:val="single"/>
        </w:rPr>
      </w:pPr>
    </w:p>
    <w:p w:rsidR="008C3223" w:rsidRPr="001F29F9" w:rsidRDefault="004C60A3" w:rsidP="005372C5">
      <w:pPr>
        <w:jc w:val="both"/>
        <w:rPr>
          <w:color w:val="000000" w:themeColor="text1"/>
          <w:szCs w:val="24"/>
        </w:rPr>
      </w:pPr>
      <w:proofErr w:type="gramStart"/>
      <w:r w:rsidRPr="001F29F9">
        <w:rPr>
          <w:rFonts w:eastAsia="HiddenHorzOCR"/>
          <w:color w:val="000000" w:themeColor="text1"/>
          <w:szCs w:val="24"/>
          <w:u w:val="single"/>
        </w:rPr>
        <w:t>Ot</w:t>
      </w:r>
      <w:r w:rsidR="003604A5" w:rsidRPr="001F29F9">
        <w:rPr>
          <w:rFonts w:eastAsia="HiddenHorzOCR"/>
          <w:color w:val="000000" w:themeColor="text1"/>
          <w:szCs w:val="24"/>
          <w:u w:val="single"/>
        </w:rPr>
        <w:t xml:space="preserve">her </w:t>
      </w:r>
      <w:r w:rsidR="008F30F4" w:rsidRPr="001F29F9">
        <w:rPr>
          <w:rFonts w:eastAsia="HiddenHorzOCR"/>
          <w:color w:val="000000" w:themeColor="text1"/>
          <w:szCs w:val="24"/>
          <w:u w:val="single"/>
        </w:rPr>
        <w:t xml:space="preserve">PEB </w:t>
      </w:r>
      <w:r w:rsidR="003604A5" w:rsidRPr="001F29F9">
        <w:rPr>
          <w:rFonts w:eastAsia="HiddenHorzOCR"/>
          <w:color w:val="000000" w:themeColor="text1"/>
          <w:szCs w:val="24"/>
          <w:u w:val="single"/>
        </w:rPr>
        <w:t>Conditions</w:t>
      </w:r>
      <w:r w:rsidR="003604A5" w:rsidRPr="001F29F9">
        <w:rPr>
          <w:rFonts w:eastAsia="HiddenHorzOCR"/>
          <w:color w:val="000000" w:themeColor="text1"/>
          <w:szCs w:val="24"/>
        </w:rPr>
        <w:t>.</w:t>
      </w:r>
      <w:proofErr w:type="gramEnd"/>
      <w:r w:rsidR="002F2981" w:rsidRPr="001F29F9">
        <w:rPr>
          <w:rFonts w:eastAsia="HiddenHorzOCR"/>
          <w:color w:val="000000" w:themeColor="text1"/>
          <w:szCs w:val="24"/>
        </w:rPr>
        <w:t xml:space="preserve"> </w:t>
      </w:r>
      <w:r w:rsidR="003C5B54" w:rsidRPr="001F29F9">
        <w:rPr>
          <w:rFonts w:eastAsia="HiddenHorzOCR"/>
          <w:color w:val="000000" w:themeColor="text1"/>
          <w:szCs w:val="24"/>
        </w:rPr>
        <w:t xml:space="preserve"> </w:t>
      </w:r>
      <w:r w:rsidR="008C3223" w:rsidRPr="001F29F9">
        <w:rPr>
          <w:color w:val="000000" w:themeColor="text1"/>
          <w:szCs w:val="24"/>
        </w:rPr>
        <w:t xml:space="preserve">The </w:t>
      </w:r>
      <w:r w:rsidR="00010711">
        <w:rPr>
          <w:color w:val="000000" w:themeColor="text1"/>
          <w:szCs w:val="24"/>
        </w:rPr>
        <w:t xml:space="preserve">only </w:t>
      </w:r>
      <w:r w:rsidR="008C3223" w:rsidRPr="001F29F9">
        <w:rPr>
          <w:color w:val="000000" w:themeColor="text1"/>
          <w:szCs w:val="24"/>
        </w:rPr>
        <w:t>other condition forwarded by the MEB and adjudicated as not unfitting by the PEB w</w:t>
      </w:r>
      <w:r w:rsidR="003565CD">
        <w:rPr>
          <w:color w:val="000000" w:themeColor="text1"/>
          <w:szCs w:val="24"/>
        </w:rPr>
        <w:t xml:space="preserve">as depressive disorder.  </w:t>
      </w:r>
      <w:r w:rsidR="00485761">
        <w:rPr>
          <w:rFonts w:eastAsia="HiddenHorzOCR"/>
          <w:color w:val="auto"/>
        </w:rPr>
        <w:t xml:space="preserve">However, any disability associated with the </w:t>
      </w:r>
      <w:r w:rsidR="00485761">
        <w:rPr>
          <w:color w:val="auto"/>
        </w:rPr>
        <w:t xml:space="preserve">depressive disorder </w:t>
      </w:r>
      <w:r w:rsidR="00485761">
        <w:rPr>
          <w:rFonts w:eastAsia="HiddenHorzOCR"/>
          <w:color w:val="auto"/>
        </w:rPr>
        <w:t xml:space="preserve">is subsumed in the </w:t>
      </w:r>
      <w:r w:rsidR="00485761">
        <w:rPr>
          <w:color w:val="auto"/>
        </w:rPr>
        <w:t xml:space="preserve">§4.130 rating for the PTSD condition as recommended above; therefore, any discussion of rating based on the appropriateness of the PEB’s fitness adjudications for depressive disorder is moot.  </w:t>
      </w:r>
      <w:r w:rsidR="00010711">
        <w:rPr>
          <w:color w:val="000000" w:themeColor="text1"/>
          <w:szCs w:val="24"/>
        </w:rPr>
        <w:t>The Board therefore finds no practical basis for changing the PEB’s fitness adjudication regarding the depressive disorder.</w:t>
      </w:r>
    </w:p>
    <w:p w:rsidR="008C3223" w:rsidRPr="001F29F9" w:rsidRDefault="008C3223" w:rsidP="008C3223">
      <w:pPr>
        <w:jc w:val="both"/>
        <w:rPr>
          <w:color w:val="000000" w:themeColor="text1"/>
          <w:szCs w:val="24"/>
        </w:rPr>
      </w:pPr>
    </w:p>
    <w:p w:rsidR="00EC337D" w:rsidRPr="001F29F9" w:rsidRDefault="00EC337D" w:rsidP="004000F7">
      <w:pPr>
        <w:jc w:val="both"/>
        <w:rPr>
          <w:color w:val="000000" w:themeColor="text1"/>
          <w:szCs w:val="24"/>
        </w:rPr>
      </w:pPr>
      <w:proofErr w:type="gramStart"/>
      <w:r w:rsidRPr="001F29F9">
        <w:rPr>
          <w:rFonts w:eastAsia="HiddenHorzOCR"/>
          <w:color w:val="000000" w:themeColor="text1"/>
          <w:szCs w:val="24"/>
          <w:u w:val="single"/>
        </w:rPr>
        <w:t>Other Contended Conditions</w:t>
      </w:r>
      <w:r w:rsidRPr="001F29F9">
        <w:rPr>
          <w:rFonts w:eastAsia="HiddenHorzOCR"/>
          <w:color w:val="000000" w:themeColor="text1"/>
          <w:szCs w:val="24"/>
        </w:rPr>
        <w:t>.</w:t>
      </w:r>
      <w:proofErr w:type="gramEnd"/>
      <w:r w:rsidRPr="001F29F9">
        <w:rPr>
          <w:rFonts w:eastAsia="HiddenHorzOCR"/>
          <w:color w:val="000000" w:themeColor="text1"/>
          <w:szCs w:val="24"/>
        </w:rPr>
        <w:t xml:space="preserve">  The CI’s application asserts that compensable ratings should be considered for </w:t>
      </w:r>
      <w:r w:rsidR="005372C5">
        <w:rPr>
          <w:rFonts w:eastAsia="HiddenHorzOCR"/>
          <w:color w:val="000000" w:themeColor="text1"/>
          <w:szCs w:val="24"/>
        </w:rPr>
        <w:t xml:space="preserve">low back pain, right hip residuals related to his bone graft, residuals related to his neck </w:t>
      </w:r>
      <w:proofErr w:type="spellStart"/>
      <w:r w:rsidR="005372C5">
        <w:rPr>
          <w:rFonts w:eastAsia="HiddenHorzOCR"/>
          <w:color w:val="000000" w:themeColor="text1"/>
          <w:szCs w:val="24"/>
        </w:rPr>
        <w:t>gun shot</w:t>
      </w:r>
      <w:proofErr w:type="spellEnd"/>
      <w:r w:rsidR="005372C5">
        <w:rPr>
          <w:rFonts w:eastAsia="HiddenHorzOCR"/>
          <w:color w:val="000000" w:themeColor="text1"/>
          <w:szCs w:val="24"/>
        </w:rPr>
        <w:t xml:space="preserve"> wound, and tinnitus.  </w:t>
      </w:r>
      <w:r w:rsidR="00485761">
        <w:rPr>
          <w:rFonts w:eastAsia="HiddenHorzOCR"/>
          <w:color w:val="000000" w:themeColor="text1"/>
          <w:szCs w:val="24"/>
        </w:rPr>
        <w:t>I</w:t>
      </w:r>
      <w:r w:rsidR="00C70584">
        <w:rPr>
          <w:rFonts w:eastAsia="HiddenHorzOCR"/>
          <w:color w:val="000000" w:themeColor="text1"/>
          <w:szCs w:val="24"/>
        </w:rPr>
        <w:t xml:space="preserve">ntermittent </w:t>
      </w:r>
      <w:r w:rsidR="005372C5">
        <w:rPr>
          <w:rFonts w:eastAsia="HiddenHorzOCR"/>
          <w:color w:val="000000" w:themeColor="text1"/>
          <w:szCs w:val="24"/>
        </w:rPr>
        <w:t xml:space="preserve">low back pain </w:t>
      </w:r>
      <w:r w:rsidR="00C70584">
        <w:rPr>
          <w:rFonts w:eastAsia="HiddenHorzOCR"/>
          <w:color w:val="000000" w:themeColor="text1"/>
          <w:szCs w:val="24"/>
        </w:rPr>
        <w:t xml:space="preserve">started in 1993 and was not associated with any radicular symptoms.  </w:t>
      </w:r>
      <w:r w:rsidR="00485761">
        <w:rPr>
          <w:rFonts w:eastAsia="HiddenHorzOCR"/>
          <w:color w:val="000000" w:themeColor="text1"/>
          <w:szCs w:val="24"/>
        </w:rPr>
        <w:t>Entries</w:t>
      </w:r>
      <w:r w:rsidR="00C70584">
        <w:rPr>
          <w:rFonts w:eastAsia="HiddenHorzOCR"/>
          <w:color w:val="000000" w:themeColor="text1"/>
          <w:szCs w:val="24"/>
        </w:rPr>
        <w:t xml:space="preserve"> relative to the back </w:t>
      </w:r>
      <w:r w:rsidR="00010711">
        <w:rPr>
          <w:rFonts w:eastAsia="HiddenHorzOCR"/>
          <w:color w:val="000000" w:themeColor="text1"/>
          <w:szCs w:val="24"/>
        </w:rPr>
        <w:t>condition are sparse</w:t>
      </w:r>
      <w:r w:rsidR="00C70584">
        <w:rPr>
          <w:rFonts w:eastAsia="HiddenHorzOCR"/>
          <w:color w:val="000000" w:themeColor="text1"/>
          <w:szCs w:val="24"/>
        </w:rPr>
        <w:t xml:space="preserve"> in the </w:t>
      </w:r>
      <w:r w:rsidR="004B08AE">
        <w:rPr>
          <w:rFonts w:eastAsia="HiddenHorzOCR"/>
          <w:color w:val="000000" w:themeColor="text1"/>
          <w:szCs w:val="24"/>
        </w:rPr>
        <w:t xml:space="preserve">Service medical records, </w:t>
      </w:r>
      <w:r w:rsidR="00C70584">
        <w:rPr>
          <w:rFonts w:eastAsia="HiddenHorzOCR"/>
          <w:color w:val="000000" w:themeColor="text1"/>
          <w:szCs w:val="24"/>
        </w:rPr>
        <w:t xml:space="preserve">and the </w:t>
      </w:r>
      <w:r w:rsidR="004B08AE">
        <w:rPr>
          <w:rFonts w:eastAsia="HiddenHorzOCR"/>
          <w:color w:val="000000" w:themeColor="text1"/>
          <w:szCs w:val="24"/>
        </w:rPr>
        <w:t xml:space="preserve">MEB </w:t>
      </w:r>
      <w:r w:rsidR="00C70584">
        <w:rPr>
          <w:rFonts w:eastAsia="HiddenHorzOCR"/>
          <w:color w:val="000000" w:themeColor="text1"/>
          <w:szCs w:val="24"/>
        </w:rPr>
        <w:t xml:space="preserve">physical documented a normal </w:t>
      </w:r>
      <w:r w:rsidR="00485761">
        <w:rPr>
          <w:rFonts w:eastAsia="HiddenHorzOCR"/>
          <w:color w:val="000000" w:themeColor="text1"/>
          <w:szCs w:val="24"/>
        </w:rPr>
        <w:t xml:space="preserve">spine </w:t>
      </w:r>
      <w:r w:rsidR="00C70584">
        <w:rPr>
          <w:rFonts w:eastAsia="HiddenHorzOCR"/>
          <w:color w:val="000000" w:themeColor="text1"/>
          <w:szCs w:val="24"/>
        </w:rPr>
        <w:t xml:space="preserve">exam.  The VA C&amp;P examination </w:t>
      </w:r>
      <w:r w:rsidR="004B08AE">
        <w:rPr>
          <w:rFonts w:eastAsia="HiddenHorzOCR"/>
          <w:color w:val="000000" w:themeColor="text1"/>
          <w:szCs w:val="24"/>
        </w:rPr>
        <w:t>proximate to temporary retirement</w:t>
      </w:r>
      <w:r w:rsidR="00C70584">
        <w:rPr>
          <w:rFonts w:eastAsia="HiddenHorzOCR"/>
          <w:color w:val="000000" w:themeColor="text1"/>
          <w:szCs w:val="24"/>
        </w:rPr>
        <w:t xml:space="preserve"> indicated that the condition did not cause any incapacitation or lost time from work.</w:t>
      </w:r>
      <w:r w:rsidR="004000F7">
        <w:rPr>
          <w:rFonts w:eastAsia="HiddenHorzOCR"/>
          <w:color w:val="000000" w:themeColor="text1"/>
          <w:szCs w:val="24"/>
        </w:rPr>
        <w:t xml:space="preserve">  </w:t>
      </w:r>
      <w:proofErr w:type="gramStart"/>
      <w:r w:rsidR="004000F7">
        <w:rPr>
          <w:rFonts w:eastAsia="HiddenHorzOCR"/>
          <w:color w:val="000000" w:themeColor="text1"/>
          <w:szCs w:val="24"/>
        </w:rPr>
        <w:t>Neither this condition or</w:t>
      </w:r>
      <w:proofErr w:type="gramEnd"/>
      <w:r w:rsidR="004000F7">
        <w:rPr>
          <w:rFonts w:eastAsia="HiddenHorzOCR"/>
          <w:color w:val="000000" w:themeColor="text1"/>
          <w:szCs w:val="24"/>
        </w:rPr>
        <w:t xml:space="preserve"> any of the other three conditions </w:t>
      </w:r>
      <w:r w:rsidR="004000F7" w:rsidRPr="004000F7">
        <w:rPr>
          <w:rFonts w:eastAsia="HiddenHorzOCR"/>
          <w:color w:val="000000" w:themeColor="text1"/>
          <w:szCs w:val="24"/>
        </w:rPr>
        <w:t>were of clinical or occupational sig</w:t>
      </w:r>
      <w:r w:rsidR="004B08AE">
        <w:rPr>
          <w:rFonts w:eastAsia="HiddenHorzOCR"/>
          <w:color w:val="000000" w:themeColor="text1"/>
          <w:szCs w:val="24"/>
        </w:rPr>
        <w:t>nificance during the MEB period;</w:t>
      </w:r>
      <w:r w:rsidR="004000F7" w:rsidRPr="004000F7">
        <w:rPr>
          <w:rFonts w:eastAsia="HiddenHorzOCR"/>
          <w:color w:val="000000" w:themeColor="text1"/>
          <w:szCs w:val="24"/>
        </w:rPr>
        <w:t xml:space="preserve"> none carried attached profiles</w:t>
      </w:r>
      <w:r w:rsidR="004B08AE">
        <w:rPr>
          <w:rFonts w:eastAsia="HiddenHorzOCR"/>
          <w:color w:val="000000" w:themeColor="text1"/>
          <w:szCs w:val="24"/>
        </w:rPr>
        <w:t>;</w:t>
      </w:r>
      <w:r w:rsidR="004000F7" w:rsidRPr="004000F7">
        <w:rPr>
          <w:rFonts w:eastAsia="HiddenHorzOCR"/>
          <w:color w:val="000000" w:themeColor="text1"/>
          <w:szCs w:val="24"/>
        </w:rPr>
        <w:t xml:space="preserve"> and</w:t>
      </w:r>
      <w:r w:rsidR="004B08AE">
        <w:rPr>
          <w:rFonts w:eastAsia="HiddenHorzOCR"/>
          <w:color w:val="000000" w:themeColor="text1"/>
          <w:szCs w:val="24"/>
        </w:rPr>
        <w:t>, none were implicated in the c</w:t>
      </w:r>
      <w:r w:rsidR="004000F7" w:rsidRPr="004000F7">
        <w:rPr>
          <w:rFonts w:eastAsia="HiddenHorzOCR"/>
          <w:color w:val="000000" w:themeColor="text1"/>
          <w:szCs w:val="24"/>
        </w:rPr>
        <w:t>ommander’s statement.</w:t>
      </w:r>
      <w:r w:rsidR="004000F7">
        <w:rPr>
          <w:rFonts w:eastAsia="HiddenHorzOCR"/>
          <w:color w:val="000000" w:themeColor="text1"/>
          <w:szCs w:val="24"/>
        </w:rPr>
        <w:t xml:space="preserve">  </w:t>
      </w:r>
      <w:r w:rsidRPr="001F29F9">
        <w:rPr>
          <w:rFonts w:eastAsia="HiddenHorzOCR"/>
          <w:color w:val="000000" w:themeColor="text1"/>
          <w:szCs w:val="24"/>
        </w:rPr>
        <w:t>All</w:t>
      </w:r>
      <w:r w:rsidRPr="001F29F9">
        <w:rPr>
          <w:color w:val="000000" w:themeColor="text1"/>
        </w:rPr>
        <w:t xml:space="preserve"> </w:t>
      </w:r>
      <w:r w:rsidRPr="001F29F9">
        <w:rPr>
          <w:color w:val="000000" w:themeColor="text1"/>
          <w:szCs w:val="24"/>
        </w:rPr>
        <w:t xml:space="preserve">of these conditions were reviewed by the </w:t>
      </w:r>
      <w:r w:rsidR="00513052">
        <w:rPr>
          <w:color w:val="000000" w:themeColor="text1"/>
          <w:szCs w:val="24"/>
        </w:rPr>
        <w:t>a</w:t>
      </w:r>
      <w:r w:rsidR="0080588E" w:rsidRPr="001F29F9">
        <w:rPr>
          <w:color w:val="000000" w:themeColor="text1"/>
          <w:szCs w:val="24"/>
        </w:rPr>
        <w:t xml:space="preserve">ction </w:t>
      </w:r>
      <w:r w:rsidR="00513052">
        <w:rPr>
          <w:color w:val="000000" w:themeColor="text1"/>
          <w:szCs w:val="24"/>
        </w:rPr>
        <w:t>o</w:t>
      </w:r>
      <w:r w:rsidR="0080588E" w:rsidRPr="001F29F9">
        <w:rPr>
          <w:color w:val="000000" w:themeColor="text1"/>
          <w:szCs w:val="24"/>
        </w:rPr>
        <w:t xml:space="preserve">fficer </w:t>
      </w:r>
      <w:r w:rsidRPr="001F29F9">
        <w:rPr>
          <w:color w:val="000000" w:themeColor="text1"/>
          <w:szCs w:val="24"/>
        </w:rPr>
        <w:t>and considered by the Board.  There was no evidence for concluding that any of the conditions interfered with duty performance to a degree that could be argued as unfitting.  The Board determined therefore that none of the sta</w:t>
      </w:r>
      <w:r w:rsidR="0028261C" w:rsidRPr="001F29F9">
        <w:rPr>
          <w:color w:val="000000" w:themeColor="text1"/>
          <w:szCs w:val="24"/>
        </w:rPr>
        <w:t>ted conditions were subject to s</w:t>
      </w:r>
      <w:r w:rsidRPr="001F29F9">
        <w:rPr>
          <w:color w:val="000000" w:themeColor="text1"/>
          <w:szCs w:val="24"/>
        </w:rPr>
        <w:t>ervice disability rating.</w:t>
      </w:r>
      <w:r w:rsidR="004000F7">
        <w:rPr>
          <w:color w:val="000000" w:themeColor="text1"/>
          <w:szCs w:val="24"/>
        </w:rPr>
        <w:t xml:space="preserve">  </w:t>
      </w:r>
    </w:p>
    <w:p w:rsidR="00EC337D" w:rsidRDefault="00EC337D" w:rsidP="00BF0E94">
      <w:pPr>
        <w:jc w:val="both"/>
        <w:rPr>
          <w:color w:val="000000" w:themeColor="text1"/>
          <w:szCs w:val="24"/>
        </w:rPr>
      </w:pPr>
    </w:p>
    <w:p w:rsidR="004A7C03" w:rsidRPr="00485761" w:rsidRDefault="00EC337D" w:rsidP="00485761">
      <w:pPr>
        <w:jc w:val="both"/>
        <w:rPr>
          <w:color w:val="000000" w:themeColor="text1"/>
          <w:szCs w:val="24"/>
        </w:rPr>
      </w:pPr>
      <w:proofErr w:type="gramStart"/>
      <w:r w:rsidRPr="00972580">
        <w:rPr>
          <w:color w:val="000000" w:themeColor="text1"/>
          <w:szCs w:val="24"/>
          <w:u w:val="single"/>
        </w:rPr>
        <w:t>Remaining Conditions</w:t>
      </w:r>
      <w:r w:rsidRPr="00972580">
        <w:rPr>
          <w:color w:val="000000" w:themeColor="text1"/>
          <w:szCs w:val="24"/>
        </w:rPr>
        <w:t>.</w:t>
      </w:r>
      <w:proofErr w:type="gramEnd"/>
      <w:r w:rsidR="00972580" w:rsidRPr="00972580">
        <w:rPr>
          <w:color w:val="000000" w:themeColor="text1"/>
          <w:szCs w:val="24"/>
        </w:rPr>
        <w:t xml:space="preserve">  </w:t>
      </w:r>
      <w:r w:rsidR="00A02AA8" w:rsidRPr="00972580">
        <w:rPr>
          <w:color w:val="000000" w:themeColor="text1"/>
          <w:szCs w:val="24"/>
        </w:rPr>
        <w:t xml:space="preserve">Other conditions identified in the DES file were </w:t>
      </w:r>
      <w:r w:rsidR="00972580" w:rsidRPr="00972580">
        <w:rPr>
          <w:color w:val="000000" w:themeColor="text1"/>
          <w:szCs w:val="24"/>
        </w:rPr>
        <w:t xml:space="preserve">pes planus; varicocele; hypercholesterolemia; chronic elbow, </w:t>
      </w:r>
      <w:r w:rsidR="00513052">
        <w:rPr>
          <w:color w:val="000000" w:themeColor="text1"/>
          <w:szCs w:val="24"/>
        </w:rPr>
        <w:t>knee, and wrist pain; heartburn;</w:t>
      </w:r>
      <w:r w:rsidR="00972580" w:rsidRPr="00972580">
        <w:rPr>
          <w:color w:val="000000" w:themeColor="text1"/>
          <w:szCs w:val="24"/>
        </w:rPr>
        <w:t xml:space="preserve"> dizzy spells; and </w:t>
      </w:r>
      <w:r w:rsidR="00972580" w:rsidRPr="00972580">
        <w:rPr>
          <w:color w:val="000000" w:themeColor="text1"/>
          <w:szCs w:val="24"/>
        </w:rPr>
        <w:lastRenderedPageBreak/>
        <w:t xml:space="preserve">syncope.  </w:t>
      </w:r>
      <w:r w:rsidR="00A02AA8" w:rsidRPr="00972580">
        <w:rPr>
          <w:color w:val="000000" w:themeColor="text1"/>
          <w:szCs w:val="24"/>
        </w:rPr>
        <w:t xml:space="preserve">Several additional non-acute conditions or medical complaints were also documented.  </w:t>
      </w:r>
      <w:r w:rsidR="00972580" w:rsidRPr="00972580">
        <w:rPr>
          <w:color w:val="000000" w:themeColor="text1"/>
          <w:szCs w:val="24"/>
        </w:rPr>
        <w:t xml:space="preserve">None of these conditions </w:t>
      </w:r>
      <w:r w:rsidR="00972580" w:rsidRPr="00972580">
        <w:rPr>
          <w:rFonts w:eastAsia="HiddenHorzOCR"/>
          <w:color w:val="000000" w:themeColor="text1"/>
          <w:szCs w:val="24"/>
        </w:rPr>
        <w:t>were of clinical or occupational sig</w:t>
      </w:r>
      <w:r w:rsidR="004B08AE">
        <w:rPr>
          <w:rFonts w:eastAsia="HiddenHorzOCR"/>
          <w:color w:val="000000" w:themeColor="text1"/>
          <w:szCs w:val="24"/>
        </w:rPr>
        <w:t>nificance during the MEB period; none carried attached profiles;</w:t>
      </w:r>
      <w:r w:rsidR="00972580" w:rsidRPr="00972580">
        <w:rPr>
          <w:rFonts w:eastAsia="HiddenHorzOCR"/>
          <w:color w:val="000000" w:themeColor="text1"/>
          <w:szCs w:val="24"/>
        </w:rPr>
        <w:t xml:space="preserve"> and</w:t>
      </w:r>
      <w:r w:rsidR="004B08AE">
        <w:rPr>
          <w:rFonts w:eastAsia="HiddenHorzOCR"/>
          <w:color w:val="000000" w:themeColor="text1"/>
          <w:szCs w:val="24"/>
        </w:rPr>
        <w:t>, none were implicated in the c</w:t>
      </w:r>
      <w:r w:rsidR="00972580" w:rsidRPr="00972580">
        <w:rPr>
          <w:rFonts w:eastAsia="HiddenHorzOCR"/>
          <w:color w:val="000000" w:themeColor="text1"/>
          <w:szCs w:val="24"/>
        </w:rPr>
        <w:t xml:space="preserve">ommander’s statement.  </w:t>
      </w:r>
      <w:r w:rsidR="00A02AA8" w:rsidRPr="00972580">
        <w:rPr>
          <w:color w:val="000000" w:themeColor="text1"/>
          <w:szCs w:val="24"/>
        </w:rPr>
        <w:t xml:space="preserve">These conditions were reviewed by the </w:t>
      </w:r>
      <w:r w:rsidR="00513052">
        <w:rPr>
          <w:color w:val="000000" w:themeColor="text1"/>
          <w:szCs w:val="24"/>
        </w:rPr>
        <w:t>a</w:t>
      </w:r>
      <w:r w:rsidR="0080588E" w:rsidRPr="00972580">
        <w:rPr>
          <w:color w:val="000000" w:themeColor="text1"/>
          <w:szCs w:val="24"/>
        </w:rPr>
        <w:t xml:space="preserve">ction </w:t>
      </w:r>
      <w:r w:rsidR="00513052">
        <w:rPr>
          <w:color w:val="000000" w:themeColor="text1"/>
          <w:szCs w:val="24"/>
        </w:rPr>
        <w:t>o</w:t>
      </w:r>
      <w:r w:rsidR="0080588E" w:rsidRPr="00972580">
        <w:rPr>
          <w:color w:val="000000" w:themeColor="text1"/>
          <w:szCs w:val="24"/>
        </w:rPr>
        <w:t xml:space="preserve">fficer </w:t>
      </w:r>
      <w:r w:rsidR="00A02AA8" w:rsidRPr="00972580">
        <w:rPr>
          <w:color w:val="000000" w:themeColor="text1"/>
          <w:szCs w:val="24"/>
        </w:rPr>
        <w:t>and considered by the Board.  It was determined that none could be argued as unfitting and subject to separation rating.</w:t>
      </w:r>
      <w:r w:rsidR="00972580" w:rsidRPr="00972580">
        <w:rPr>
          <w:color w:val="000000" w:themeColor="text1"/>
          <w:szCs w:val="24"/>
        </w:rPr>
        <w:t xml:space="preserve"> </w:t>
      </w:r>
      <w:r w:rsidR="00AB6F26">
        <w:rPr>
          <w:color w:val="000000" w:themeColor="text1"/>
          <w:szCs w:val="24"/>
        </w:rPr>
        <w:t xml:space="preserve"> </w:t>
      </w:r>
      <w:r w:rsidR="00972580" w:rsidRPr="00972580">
        <w:rPr>
          <w:color w:val="000000" w:themeColor="text1"/>
          <w:szCs w:val="24"/>
        </w:rPr>
        <w:t>No other conditions were service connected with a compensable rating by the VA within twelve months of separation or contended by the CI.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10667B" w:rsidRPr="0010667B" w:rsidRDefault="00C56FC8" w:rsidP="0010667B">
      <w:pPr>
        <w:tabs>
          <w:tab w:val="left" w:pos="288"/>
          <w:tab w:val="left" w:pos="4752"/>
        </w:tabs>
        <w:jc w:val="both"/>
        <w:rPr>
          <w:rFonts w:asciiTheme="minorHAnsi" w:hAnsiTheme="minorHAnsi"/>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972580">
        <w:rPr>
          <w:rFonts w:eastAsiaTheme="minorHAnsi"/>
          <w:color w:val="000000" w:themeColor="text1"/>
          <w:szCs w:val="24"/>
        </w:rPr>
        <w:t xml:space="preserve">  </w:t>
      </w:r>
      <w:r w:rsidR="00754696" w:rsidRPr="00AA37D4">
        <w:rPr>
          <w:rFonts w:eastAsiaTheme="minorHAnsi"/>
          <w:color w:val="000000" w:themeColor="text1"/>
          <w:szCs w:val="24"/>
        </w:rPr>
        <w:t xml:space="preserve">In the matter of the right hand condition, </w:t>
      </w:r>
      <w:r w:rsidR="00754696" w:rsidRPr="00AA37D4">
        <w:rPr>
          <w:rFonts w:asciiTheme="minorHAnsi" w:eastAsiaTheme="minorHAnsi" w:hAnsiTheme="minorHAnsi"/>
          <w:color w:val="auto"/>
          <w:szCs w:val="24"/>
        </w:rPr>
        <w:t xml:space="preserve">the Board unanimously recommends that it be rated for two separate unfitting conditions, both </w:t>
      </w:r>
      <w:r w:rsidR="004B08AE" w:rsidRPr="00AA37D4">
        <w:rPr>
          <w:rFonts w:asciiTheme="minorHAnsi" w:eastAsiaTheme="minorHAnsi" w:hAnsiTheme="minorHAnsi"/>
          <w:color w:val="auto"/>
          <w:szCs w:val="24"/>
        </w:rPr>
        <w:t>for the period of</w:t>
      </w:r>
      <w:r w:rsidR="00754696" w:rsidRPr="00AA37D4">
        <w:rPr>
          <w:rFonts w:asciiTheme="minorHAnsi" w:eastAsiaTheme="minorHAnsi" w:hAnsiTheme="minorHAnsi"/>
          <w:color w:val="auto"/>
          <w:szCs w:val="24"/>
        </w:rPr>
        <w:t xml:space="preserve"> TDRL and at the time of permanent separation, as follows: </w:t>
      </w:r>
      <w:r w:rsidR="00447368" w:rsidRPr="00AA37D4">
        <w:rPr>
          <w:rFonts w:asciiTheme="minorHAnsi" w:eastAsiaTheme="minorHAnsi" w:hAnsiTheme="minorHAnsi"/>
          <w:color w:val="auto"/>
          <w:szCs w:val="24"/>
        </w:rPr>
        <w:t xml:space="preserve">reflex sympathetic dystrophy of the right hand, coded </w:t>
      </w:r>
      <w:r w:rsidR="00447368" w:rsidRPr="00AA37D4">
        <w:rPr>
          <w:rFonts w:asciiTheme="minorHAnsi" w:hAnsiTheme="minorHAnsi"/>
          <w:color w:val="auto"/>
          <w:szCs w:val="24"/>
        </w:rPr>
        <w:t xml:space="preserve">8599-8512 </w:t>
      </w:r>
      <w:r w:rsidR="00447368" w:rsidRPr="00AA37D4">
        <w:rPr>
          <w:rFonts w:asciiTheme="minorHAnsi" w:eastAsiaTheme="minorHAnsi" w:hAnsiTheme="minorHAnsi"/>
          <w:color w:val="auto"/>
          <w:szCs w:val="24"/>
        </w:rPr>
        <w:t xml:space="preserve">and rated </w:t>
      </w:r>
      <w:r w:rsidR="00AA37D4" w:rsidRPr="00AA37D4">
        <w:rPr>
          <w:rFonts w:asciiTheme="minorHAnsi" w:eastAsiaTheme="minorHAnsi" w:hAnsiTheme="minorHAnsi"/>
          <w:color w:val="auto"/>
          <w:szCs w:val="24"/>
        </w:rPr>
        <w:t>20%</w:t>
      </w:r>
      <w:r w:rsidR="00447368" w:rsidRPr="00AA37D4">
        <w:rPr>
          <w:rFonts w:asciiTheme="minorHAnsi" w:eastAsiaTheme="minorHAnsi" w:hAnsiTheme="minorHAnsi"/>
          <w:color w:val="auto"/>
          <w:szCs w:val="24"/>
        </w:rPr>
        <w:t xml:space="preserve"> IAW 4.124a; and, </w:t>
      </w:r>
      <w:r w:rsidR="00754696" w:rsidRPr="00AA37D4">
        <w:rPr>
          <w:rFonts w:asciiTheme="minorHAnsi" w:eastAsiaTheme="minorHAnsi" w:hAnsiTheme="minorHAnsi"/>
          <w:color w:val="auto"/>
          <w:szCs w:val="24"/>
        </w:rPr>
        <w:t xml:space="preserve">ankylosis of the right long finger, coded 5226 and rated 10% </w:t>
      </w:r>
      <w:r w:rsidR="00754696" w:rsidRPr="00AA37D4">
        <w:rPr>
          <w:rFonts w:asciiTheme="minorHAnsi" w:hAnsiTheme="minorHAnsi"/>
          <w:color w:val="auto"/>
          <w:szCs w:val="24"/>
        </w:rPr>
        <w:t>IAW VASRD §4.71a</w:t>
      </w:r>
      <w:r w:rsidR="00447368" w:rsidRPr="00AA37D4">
        <w:rPr>
          <w:rFonts w:asciiTheme="minorHAnsi" w:hAnsiTheme="minorHAnsi"/>
          <w:color w:val="auto"/>
          <w:szCs w:val="24"/>
        </w:rPr>
        <w:t xml:space="preserve">. </w:t>
      </w:r>
      <w:r w:rsidR="00754696" w:rsidRPr="00AA37D4">
        <w:rPr>
          <w:rFonts w:asciiTheme="minorHAnsi" w:eastAsiaTheme="minorHAnsi" w:hAnsiTheme="minorHAnsi"/>
          <w:color w:val="auto"/>
          <w:szCs w:val="24"/>
        </w:rPr>
        <w:t xml:space="preserve"> </w:t>
      </w:r>
      <w:r w:rsidR="00447368" w:rsidRPr="00AA37D4">
        <w:rPr>
          <w:rFonts w:asciiTheme="minorHAnsi" w:eastAsiaTheme="minorHAnsi" w:hAnsiTheme="minorHAnsi"/>
          <w:color w:val="auto"/>
          <w:szCs w:val="24"/>
        </w:rPr>
        <w:t xml:space="preserve">In </w:t>
      </w:r>
      <w:r w:rsidR="00754696" w:rsidRPr="00AA37D4">
        <w:rPr>
          <w:rFonts w:asciiTheme="minorHAnsi" w:eastAsiaTheme="minorHAnsi" w:hAnsiTheme="minorHAnsi"/>
          <w:color w:val="auto"/>
          <w:szCs w:val="24"/>
        </w:rPr>
        <w:t xml:space="preserve">the matter of the </w:t>
      </w:r>
      <w:r w:rsidR="00447368" w:rsidRPr="00AA37D4">
        <w:rPr>
          <w:rFonts w:asciiTheme="minorHAnsi" w:eastAsiaTheme="minorHAnsi" w:hAnsiTheme="minorHAnsi"/>
          <w:color w:val="auto"/>
          <w:szCs w:val="24"/>
        </w:rPr>
        <w:t>posttraumatic stress disorder</w:t>
      </w:r>
      <w:r w:rsidR="00754696" w:rsidRPr="00AA37D4">
        <w:rPr>
          <w:rFonts w:asciiTheme="minorHAnsi" w:eastAsiaTheme="minorHAnsi" w:hAnsiTheme="minorHAnsi"/>
          <w:color w:val="auto"/>
          <w:szCs w:val="24"/>
        </w:rPr>
        <w:t xml:space="preserve">, the Board unanimously recommends a 10% permanent rating at the time of permanent separation IAW VASRD §4.130.  In the matter of the depressive disorder condition, the Board unanimously recommends no change from the PEB adjudication as not unfitting.  </w:t>
      </w:r>
      <w:r w:rsidR="00754696" w:rsidRPr="00AA37D4">
        <w:rPr>
          <w:rFonts w:asciiTheme="minorHAnsi" w:hAnsiTheme="minorHAnsi"/>
          <w:color w:val="auto"/>
          <w:szCs w:val="24"/>
        </w:rPr>
        <w:t xml:space="preserve">In the matter of the contended </w:t>
      </w:r>
      <w:r w:rsidR="00754696" w:rsidRPr="00AA37D4">
        <w:rPr>
          <w:rFonts w:eastAsia="HiddenHorzOCR"/>
          <w:color w:val="000000" w:themeColor="text1"/>
          <w:szCs w:val="24"/>
        </w:rPr>
        <w:t xml:space="preserve">back pain, </w:t>
      </w:r>
      <w:r w:rsidR="0010667B" w:rsidRPr="00AA37D4">
        <w:rPr>
          <w:rFonts w:eastAsia="HiddenHorzOCR"/>
          <w:color w:val="000000" w:themeColor="text1"/>
          <w:szCs w:val="24"/>
        </w:rPr>
        <w:t xml:space="preserve">tinnitus, </w:t>
      </w:r>
      <w:r w:rsidR="00754696" w:rsidRPr="00AA37D4">
        <w:rPr>
          <w:rFonts w:eastAsia="HiddenHorzOCR"/>
          <w:color w:val="000000" w:themeColor="text1"/>
          <w:szCs w:val="24"/>
        </w:rPr>
        <w:t xml:space="preserve">right hip </w:t>
      </w:r>
      <w:r w:rsidR="0010667B" w:rsidRPr="00AA37D4">
        <w:rPr>
          <w:rFonts w:eastAsia="HiddenHorzOCR"/>
          <w:color w:val="000000" w:themeColor="text1"/>
          <w:szCs w:val="24"/>
        </w:rPr>
        <w:t>and neck</w:t>
      </w:r>
      <w:r w:rsidR="0010667B" w:rsidRPr="00447368">
        <w:rPr>
          <w:rFonts w:eastAsia="HiddenHorzOCR"/>
          <w:color w:val="000000" w:themeColor="text1"/>
          <w:szCs w:val="24"/>
        </w:rPr>
        <w:t xml:space="preserve"> </w:t>
      </w:r>
      <w:r w:rsidR="00447368" w:rsidRPr="00447368">
        <w:rPr>
          <w:rFonts w:eastAsia="HiddenHorzOCR"/>
          <w:color w:val="000000" w:themeColor="text1"/>
          <w:szCs w:val="24"/>
        </w:rPr>
        <w:t>conditions</w:t>
      </w:r>
      <w:r w:rsidR="00485761">
        <w:rPr>
          <w:rFonts w:eastAsia="HiddenHorzOCR"/>
          <w:color w:val="000000" w:themeColor="text1"/>
          <w:szCs w:val="24"/>
        </w:rPr>
        <w:t>;</w:t>
      </w:r>
      <w:r w:rsidR="0010667B" w:rsidRPr="00447368">
        <w:rPr>
          <w:rFonts w:eastAsia="HiddenHorzOCR"/>
          <w:color w:val="000000" w:themeColor="text1"/>
          <w:szCs w:val="24"/>
        </w:rPr>
        <w:t xml:space="preserve"> t</w:t>
      </w:r>
      <w:r w:rsidR="00754696" w:rsidRPr="00447368">
        <w:rPr>
          <w:rFonts w:asciiTheme="minorHAnsi" w:hAnsiTheme="minorHAnsi"/>
          <w:color w:val="auto"/>
          <w:szCs w:val="24"/>
        </w:rPr>
        <w:t>he Board unanimously agrees</w:t>
      </w:r>
      <w:r w:rsidR="00754696" w:rsidRPr="00664296">
        <w:rPr>
          <w:rFonts w:asciiTheme="minorHAnsi" w:hAnsiTheme="minorHAnsi"/>
          <w:color w:val="auto"/>
          <w:szCs w:val="24"/>
        </w:rPr>
        <w:t xml:space="preserve"> that it cannot</w:t>
      </w:r>
      <w:r w:rsidR="00754696" w:rsidRPr="00664296">
        <w:rPr>
          <w:rFonts w:asciiTheme="minorHAnsi" w:hAnsiTheme="minorHAnsi"/>
          <w:color w:val="000080"/>
          <w:szCs w:val="24"/>
        </w:rPr>
        <w:t xml:space="preserve"> </w:t>
      </w:r>
      <w:r w:rsidR="00754696" w:rsidRPr="00664296">
        <w:rPr>
          <w:rFonts w:asciiTheme="minorHAnsi" w:hAnsiTheme="minorHAnsi"/>
          <w:color w:val="auto"/>
          <w:szCs w:val="24"/>
        </w:rPr>
        <w:t>recommend a finding of unfit for additional rating at separation.</w:t>
      </w:r>
      <w:r w:rsidR="0010667B">
        <w:rPr>
          <w:rFonts w:asciiTheme="minorHAnsi" w:hAnsiTheme="minorHAnsi"/>
          <w:color w:val="auto"/>
          <w:szCs w:val="24"/>
        </w:rPr>
        <w:t xml:space="preserve">  </w:t>
      </w:r>
      <w:r w:rsidR="0010667B" w:rsidRPr="0010667B">
        <w:rPr>
          <w:rFonts w:asciiTheme="minorHAnsi" w:hAnsiTheme="minorHAnsi"/>
          <w:color w:val="auto"/>
          <w:szCs w:val="24"/>
        </w:rPr>
        <w:t>The Board unanimously agrees that there were no other conditions eligible for Board consideration which could be recommended as additionally unfitting for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FB593A" w:rsidRPr="001F29F9" w:rsidRDefault="00C56FC8" w:rsidP="00BF0E94">
      <w:pPr>
        <w:jc w:val="left"/>
        <w:rPr>
          <w:color w:val="000000" w:themeColor="text1"/>
        </w:rPr>
      </w:pPr>
      <w:r w:rsidRPr="001F29F9">
        <w:rPr>
          <w:color w:val="000000" w:themeColor="text1"/>
          <w:szCs w:val="24"/>
          <w:u w:val="single"/>
        </w:rPr>
        <w:t>RECOMMENDATION</w:t>
      </w:r>
      <w:r w:rsidRPr="001F29F9">
        <w:rPr>
          <w:color w:val="000000" w:themeColor="text1"/>
          <w:szCs w:val="24"/>
        </w:rPr>
        <w:t>:</w:t>
      </w:r>
    </w:p>
    <w:p w:rsidR="00DF071B" w:rsidRPr="001F29F9" w:rsidRDefault="00DF071B" w:rsidP="00BF0E94">
      <w:pPr>
        <w:tabs>
          <w:tab w:val="left" w:pos="288"/>
          <w:tab w:val="left" w:pos="1710"/>
        </w:tabs>
        <w:jc w:val="both"/>
        <w:rPr>
          <w:color w:val="000000" w:themeColor="text1"/>
          <w:szCs w:val="24"/>
          <w:highlight w:val="yellow"/>
        </w:rPr>
      </w:pPr>
    </w:p>
    <w:p w:rsidR="00DF071B" w:rsidRPr="00AA37D4" w:rsidRDefault="00DF071B" w:rsidP="00BF0E94">
      <w:pPr>
        <w:jc w:val="both"/>
        <w:rPr>
          <w:color w:val="000000" w:themeColor="text1"/>
          <w:szCs w:val="24"/>
        </w:rPr>
      </w:pPr>
      <w:r w:rsidRPr="001F29F9">
        <w:rPr>
          <w:color w:val="000000" w:themeColor="text1"/>
          <w:szCs w:val="24"/>
        </w:rPr>
        <w:t xml:space="preserve">The Board recommends that the CI’s prior determination be modified </w:t>
      </w:r>
      <w:r w:rsidR="003E0905">
        <w:rPr>
          <w:color w:val="000000" w:themeColor="text1"/>
          <w:szCs w:val="24"/>
        </w:rPr>
        <w:t>to reflect a</w:t>
      </w:r>
      <w:r w:rsidRPr="00AA37D4">
        <w:rPr>
          <w:color w:val="000000" w:themeColor="text1"/>
          <w:szCs w:val="24"/>
        </w:rPr>
        <w:t xml:space="preserve"> </w:t>
      </w:r>
      <w:r w:rsidR="003E0905">
        <w:rPr>
          <w:color w:val="000000" w:themeColor="text1"/>
          <w:szCs w:val="24"/>
        </w:rPr>
        <w:t>rating of</w:t>
      </w:r>
      <w:r w:rsidRPr="00AA37D4">
        <w:rPr>
          <w:color w:val="000000" w:themeColor="text1"/>
          <w:szCs w:val="24"/>
        </w:rPr>
        <w:t xml:space="preserve"> </w:t>
      </w:r>
      <w:r w:rsidR="00715C07" w:rsidRPr="00AA37D4">
        <w:rPr>
          <w:color w:val="000000" w:themeColor="text1"/>
          <w:szCs w:val="24"/>
        </w:rPr>
        <w:t>60</w:t>
      </w:r>
      <w:r w:rsidRPr="00AA37D4">
        <w:rPr>
          <w:color w:val="000000" w:themeColor="text1"/>
          <w:szCs w:val="24"/>
        </w:rPr>
        <w:t xml:space="preserve">% for </w:t>
      </w:r>
      <w:r w:rsidR="00715C07" w:rsidRPr="00AA37D4">
        <w:rPr>
          <w:color w:val="000000" w:themeColor="text1"/>
          <w:szCs w:val="24"/>
        </w:rPr>
        <w:t>the 21</w:t>
      </w:r>
      <w:r w:rsidR="003E0905">
        <w:rPr>
          <w:color w:val="000000" w:themeColor="text1"/>
          <w:szCs w:val="24"/>
        </w:rPr>
        <w:t>-</w:t>
      </w:r>
      <w:r w:rsidR="00715C07" w:rsidRPr="00AA37D4">
        <w:rPr>
          <w:color w:val="000000" w:themeColor="text1"/>
          <w:szCs w:val="24"/>
        </w:rPr>
        <w:t xml:space="preserve">month TDRL period </w:t>
      </w:r>
      <w:r w:rsidRPr="00AA37D4">
        <w:rPr>
          <w:color w:val="000000" w:themeColor="text1"/>
          <w:szCs w:val="24"/>
        </w:rPr>
        <w:t xml:space="preserve">following </w:t>
      </w:r>
      <w:r w:rsidR="00715C07" w:rsidRPr="00AA37D4">
        <w:rPr>
          <w:color w:val="000000" w:themeColor="text1"/>
          <w:szCs w:val="24"/>
        </w:rPr>
        <w:t xml:space="preserve">the </w:t>
      </w:r>
      <w:r w:rsidRPr="00AA37D4">
        <w:rPr>
          <w:color w:val="000000" w:themeColor="text1"/>
          <w:szCs w:val="24"/>
        </w:rPr>
        <w:t xml:space="preserve">CI’s prior medical separation and then a permanent </w:t>
      </w:r>
      <w:r w:rsidR="00C53B25" w:rsidRPr="00AA37D4">
        <w:rPr>
          <w:color w:val="000000" w:themeColor="text1"/>
          <w:szCs w:val="24"/>
        </w:rPr>
        <w:t>40</w:t>
      </w:r>
      <w:r w:rsidRPr="00AA37D4">
        <w:rPr>
          <w:color w:val="000000" w:themeColor="text1"/>
          <w:szCs w:val="24"/>
        </w:rPr>
        <w:t xml:space="preserve">% disability retirement as </w:t>
      </w:r>
      <w:proofErr w:type="spellStart"/>
      <w:r w:rsidR="003E0905">
        <w:rPr>
          <w:color w:val="000000" w:themeColor="text1"/>
          <w:szCs w:val="24"/>
        </w:rPr>
        <w:t>indicated</w:t>
      </w:r>
      <w:r w:rsidRPr="00AA37D4">
        <w:rPr>
          <w:color w:val="000000" w:themeColor="text1"/>
          <w:szCs w:val="24"/>
        </w:rPr>
        <w:t>below</w:t>
      </w:r>
      <w:proofErr w:type="spellEnd"/>
      <w:r w:rsidRPr="00AA37D4">
        <w:rPr>
          <w:color w:val="000000" w:themeColor="text1"/>
          <w:szCs w:val="24"/>
        </w:rPr>
        <w:t>.</w:t>
      </w:r>
    </w:p>
    <w:p w:rsidR="0010667B" w:rsidRPr="00AA37D4" w:rsidRDefault="0010667B" w:rsidP="00BF0E94">
      <w:pPr>
        <w:jc w:val="both"/>
        <w:rPr>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8"/>
        <w:gridCol w:w="1350"/>
        <w:gridCol w:w="1152"/>
        <w:gridCol w:w="1530"/>
      </w:tblGrid>
      <w:tr w:rsidR="00DB0015" w:rsidRPr="00AA37D4" w:rsidTr="00447368">
        <w:trPr>
          <w:jc w:val="center"/>
        </w:trPr>
        <w:tc>
          <w:tcPr>
            <w:tcW w:w="5328" w:type="dxa"/>
            <w:shd w:val="clear" w:color="auto" w:fill="D9D9D9"/>
            <w:vAlign w:val="center"/>
          </w:tcPr>
          <w:p w:rsidR="00DB0015" w:rsidRPr="00AA37D4" w:rsidRDefault="00DB0015" w:rsidP="00447368">
            <w:pPr>
              <w:tabs>
                <w:tab w:val="left" w:pos="288"/>
                <w:tab w:val="left" w:pos="4752"/>
              </w:tabs>
              <w:rPr>
                <w:b/>
                <w:color w:val="000000" w:themeColor="text1"/>
                <w:szCs w:val="24"/>
              </w:rPr>
            </w:pPr>
            <w:r w:rsidRPr="00AA37D4">
              <w:rPr>
                <w:b/>
                <w:color w:val="000000" w:themeColor="text1"/>
                <w:szCs w:val="24"/>
              </w:rPr>
              <w:t>UNFITTING CONDITION</w:t>
            </w:r>
          </w:p>
        </w:tc>
        <w:tc>
          <w:tcPr>
            <w:tcW w:w="1350" w:type="dxa"/>
            <w:shd w:val="clear" w:color="auto" w:fill="D9D9D9"/>
            <w:vAlign w:val="center"/>
          </w:tcPr>
          <w:p w:rsidR="00DB0015" w:rsidRPr="00AA37D4" w:rsidRDefault="00DB0015" w:rsidP="00447368">
            <w:pPr>
              <w:tabs>
                <w:tab w:val="left" w:pos="288"/>
                <w:tab w:val="left" w:pos="4752"/>
              </w:tabs>
              <w:rPr>
                <w:b/>
                <w:color w:val="000000" w:themeColor="text1"/>
                <w:szCs w:val="24"/>
              </w:rPr>
            </w:pPr>
            <w:r w:rsidRPr="00AA37D4">
              <w:rPr>
                <w:b/>
                <w:color w:val="000000" w:themeColor="text1"/>
                <w:szCs w:val="24"/>
              </w:rPr>
              <w:t>VASRD CODE</w:t>
            </w:r>
          </w:p>
        </w:tc>
        <w:tc>
          <w:tcPr>
            <w:tcW w:w="1152" w:type="dxa"/>
            <w:shd w:val="clear" w:color="auto" w:fill="D9D9D9"/>
            <w:vAlign w:val="center"/>
          </w:tcPr>
          <w:p w:rsidR="00DB0015" w:rsidRPr="00AA37D4" w:rsidRDefault="00DB0015" w:rsidP="00447368">
            <w:pPr>
              <w:tabs>
                <w:tab w:val="left" w:pos="288"/>
                <w:tab w:val="left" w:pos="4752"/>
              </w:tabs>
              <w:rPr>
                <w:b/>
                <w:color w:val="000000" w:themeColor="text1"/>
                <w:szCs w:val="24"/>
              </w:rPr>
            </w:pPr>
            <w:r w:rsidRPr="00AA37D4">
              <w:rPr>
                <w:b/>
                <w:color w:val="000000" w:themeColor="text1"/>
                <w:szCs w:val="24"/>
              </w:rPr>
              <w:t>TDRL RATING</w:t>
            </w:r>
          </w:p>
        </w:tc>
        <w:tc>
          <w:tcPr>
            <w:tcW w:w="1530" w:type="dxa"/>
            <w:shd w:val="pct15" w:color="auto" w:fill="auto"/>
            <w:vAlign w:val="center"/>
          </w:tcPr>
          <w:p w:rsidR="00DB0015" w:rsidRPr="00AA37D4" w:rsidRDefault="00DB0015" w:rsidP="00447368">
            <w:pPr>
              <w:tabs>
                <w:tab w:val="left" w:pos="288"/>
                <w:tab w:val="left" w:pos="4752"/>
              </w:tabs>
              <w:rPr>
                <w:b/>
                <w:color w:val="000000" w:themeColor="text1"/>
                <w:szCs w:val="24"/>
              </w:rPr>
            </w:pPr>
            <w:r w:rsidRPr="00AA37D4">
              <w:rPr>
                <w:b/>
                <w:color w:val="000000" w:themeColor="text1"/>
                <w:szCs w:val="24"/>
              </w:rPr>
              <w:t>PERMANENT</w:t>
            </w:r>
          </w:p>
          <w:p w:rsidR="00DB0015" w:rsidRPr="00AA37D4" w:rsidRDefault="00DB0015" w:rsidP="00447368">
            <w:pPr>
              <w:tabs>
                <w:tab w:val="left" w:pos="288"/>
                <w:tab w:val="left" w:pos="4752"/>
              </w:tabs>
              <w:rPr>
                <w:b/>
                <w:color w:val="000000" w:themeColor="text1"/>
                <w:szCs w:val="24"/>
              </w:rPr>
            </w:pPr>
            <w:r w:rsidRPr="00AA37D4">
              <w:rPr>
                <w:b/>
                <w:color w:val="000000" w:themeColor="text1"/>
                <w:szCs w:val="24"/>
              </w:rPr>
              <w:t>RATING</w:t>
            </w:r>
          </w:p>
        </w:tc>
      </w:tr>
      <w:tr w:rsidR="00DB0015" w:rsidRPr="00AA37D4" w:rsidTr="00447368">
        <w:trPr>
          <w:trHeight w:val="188"/>
          <w:jc w:val="center"/>
        </w:trPr>
        <w:tc>
          <w:tcPr>
            <w:tcW w:w="5328" w:type="dxa"/>
            <w:vAlign w:val="center"/>
          </w:tcPr>
          <w:p w:rsidR="00DB0015" w:rsidRPr="00AA37D4" w:rsidRDefault="00DB0015" w:rsidP="00447368">
            <w:pPr>
              <w:tabs>
                <w:tab w:val="left" w:pos="288"/>
                <w:tab w:val="left" w:pos="3538"/>
              </w:tabs>
              <w:jc w:val="left"/>
              <w:rPr>
                <w:color w:val="000000" w:themeColor="text1"/>
                <w:szCs w:val="24"/>
              </w:rPr>
            </w:pPr>
            <w:r w:rsidRPr="00AA37D4">
              <w:rPr>
                <w:color w:val="000000" w:themeColor="text1"/>
                <w:szCs w:val="24"/>
              </w:rPr>
              <w:t>Post</w:t>
            </w:r>
            <w:r w:rsidR="00447368" w:rsidRPr="00AA37D4">
              <w:rPr>
                <w:color w:val="000000" w:themeColor="text1"/>
                <w:szCs w:val="24"/>
              </w:rPr>
              <w:t>-T</w:t>
            </w:r>
            <w:r w:rsidRPr="00AA37D4">
              <w:rPr>
                <w:color w:val="000000" w:themeColor="text1"/>
                <w:szCs w:val="24"/>
              </w:rPr>
              <w:t>raumatic Stress Disorder</w:t>
            </w:r>
          </w:p>
        </w:tc>
        <w:tc>
          <w:tcPr>
            <w:tcW w:w="1350" w:type="dxa"/>
            <w:tcBorders>
              <w:bottom w:val="single" w:sz="4" w:space="0" w:color="000000"/>
            </w:tcBorders>
            <w:vAlign w:val="center"/>
          </w:tcPr>
          <w:p w:rsidR="00DB0015" w:rsidRPr="00AA37D4" w:rsidRDefault="00DB0015" w:rsidP="00447368">
            <w:pPr>
              <w:tabs>
                <w:tab w:val="left" w:pos="288"/>
                <w:tab w:val="left" w:pos="4752"/>
              </w:tabs>
              <w:rPr>
                <w:color w:val="000000" w:themeColor="text1"/>
                <w:szCs w:val="24"/>
              </w:rPr>
            </w:pPr>
            <w:r w:rsidRPr="00AA37D4">
              <w:rPr>
                <w:color w:val="000000" w:themeColor="text1"/>
                <w:szCs w:val="24"/>
              </w:rPr>
              <w:t>9411</w:t>
            </w:r>
          </w:p>
        </w:tc>
        <w:tc>
          <w:tcPr>
            <w:tcW w:w="1152" w:type="dxa"/>
            <w:tcBorders>
              <w:bottom w:val="single" w:sz="4" w:space="0" w:color="000000"/>
            </w:tcBorders>
            <w:vAlign w:val="center"/>
          </w:tcPr>
          <w:p w:rsidR="00DB0015" w:rsidRPr="00AA37D4" w:rsidRDefault="00DB0015" w:rsidP="00447368">
            <w:pPr>
              <w:tabs>
                <w:tab w:val="left" w:pos="288"/>
                <w:tab w:val="left" w:pos="4752"/>
              </w:tabs>
              <w:rPr>
                <w:color w:val="000000" w:themeColor="text1"/>
                <w:szCs w:val="24"/>
              </w:rPr>
            </w:pPr>
            <w:r w:rsidRPr="00AA37D4">
              <w:rPr>
                <w:color w:val="000000" w:themeColor="text1"/>
                <w:szCs w:val="24"/>
              </w:rPr>
              <w:t>50%</w:t>
            </w:r>
          </w:p>
        </w:tc>
        <w:tc>
          <w:tcPr>
            <w:tcW w:w="1530" w:type="dxa"/>
            <w:tcBorders>
              <w:bottom w:val="single" w:sz="4" w:space="0" w:color="000000"/>
            </w:tcBorders>
            <w:vAlign w:val="center"/>
          </w:tcPr>
          <w:p w:rsidR="00DB0015" w:rsidRPr="00AA37D4" w:rsidRDefault="0010667B" w:rsidP="00447368">
            <w:pPr>
              <w:tabs>
                <w:tab w:val="left" w:pos="288"/>
                <w:tab w:val="left" w:pos="4752"/>
              </w:tabs>
              <w:rPr>
                <w:color w:val="000000" w:themeColor="text1"/>
                <w:szCs w:val="24"/>
              </w:rPr>
            </w:pPr>
            <w:r w:rsidRPr="00AA37D4">
              <w:rPr>
                <w:color w:val="000000" w:themeColor="text1"/>
                <w:szCs w:val="24"/>
              </w:rPr>
              <w:t>1</w:t>
            </w:r>
            <w:r w:rsidR="00DB0015" w:rsidRPr="00AA37D4">
              <w:rPr>
                <w:color w:val="000000" w:themeColor="text1"/>
                <w:szCs w:val="24"/>
              </w:rPr>
              <w:t>0%</w:t>
            </w:r>
          </w:p>
        </w:tc>
      </w:tr>
      <w:tr w:rsidR="000D1CF4" w:rsidRPr="00AA37D4" w:rsidTr="00447368">
        <w:trPr>
          <w:trHeight w:val="188"/>
          <w:jc w:val="center"/>
        </w:trPr>
        <w:tc>
          <w:tcPr>
            <w:tcW w:w="5328" w:type="dxa"/>
            <w:vAlign w:val="center"/>
          </w:tcPr>
          <w:p w:rsidR="000D1CF4" w:rsidRPr="00AA37D4" w:rsidRDefault="0010667B" w:rsidP="00447368">
            <w:pPr>
              <w:tabs>
                <w:tab w:val="left" w:pos="288"/>
                <w:tab w:val="left" w:pos="3538"/>
              </w:tabs>
              <w:jc w:val="left"/>
              <w:rPr>
                <w:color w:val="000000" w:themeColor="text1"/>
                <w:szCs w:val="24"/>
              </w:rPr>
            </w:pPr>
            <w:r w:rsidRPr="00AA37D4">
              <w:rPr>
                <w:color w:val="000000" w:themeColor="text1"/>
                <w:szCs w:val="24"/>
              </w:rPr>
              <w:t>Reflex Sympathetic Dystrophy, Right Hand</w:t>
            </w:r>
          </w:p>
        </w:tc>
        <w:tc>
          <w:tcPr>
            <w:tcW w:w="1350" w:type="dxa"/>
            <w:tcBorders>
              <w:bottom w:val="single" w:sz="4" w:space="0" w:color="000000"/>
            </w:tcBorders>
            <w:vAlign w:val="center"/>
          </w:tcPr>
          <w:p w:rsidR="000D1CF4" w:rsidRPr="00AA37D4" w:rsidRDefault="00715C07" w:rsidP="00447368">
            <w:pPr>
              <w:tabs>
                <w:tab w:val="left" w:pos="288"/>
                <w:tab w:val="left" w:pos="4752"/>
              </w:tabs>
              <w:rPr>
                <w:color w:val="000000" w:themeColor="text1"/>
                <w:szCs w:val="24"/>
              </w:rPr>
            </w:pPr>
            <w:r w:rsidRPr="00AA37D4">
              <w:rPr>
                <w:rFonts w:asciiTheme="minorHAnsi" w:hAnsiTheme="minorHAnsi"/>
                <w:color w:val="auto"/>
                <w:szCs w:val="24"/>
              </w:rPr>
              <w:t>8599-8512</w:t>
            </w:r>
          </w:p>
        </w:tc>
        <w:tc>
          <w:tcPr>
            <w:tcW w:w="1152" w:type="dxa"/>
            <w:tcBorders>
              <w:bottom w:val="single" w:sz="4" w:space="0" w:color="000000"/>
            </w:tcBorders>
            <w:vAlign w:val="center"/>
          </w:tcPr>
          <w:p w:rsidR="000D1CF4" w:rsidRPr="00AA37D4" w:rsidRDefault="0010667B" w:rsidP="00447368">
            <w:pPr>
              <w:tabs>
                <w:tab w:val="left" w:pos="288"/>
                <w:tab w:val="left" w:pos="4752"/>
              </w:tabs>
              <w:rPr>
                <w:color w:val="000000" w:themeColor="text1"/>
                <w:szCs w:val="24"/>
              </w:rPr>
            </w:pPr>
            <w:r w:rsidRPr="00AA37D4">
              <w:rPr>
                <w:color w:val="000000" w:themeColor="text1"/>
                <w:szCs w:val="24"/>
              </w:rPr>
              <w:t>2</w:t>
            </w:r>
            <w:r w:rsidR="000D1CF4" w:rsidRPr="00AA37D4">
              <w:rPr>
                <w:color w:val="000000" w:themeColor="text1"/>
                <w:szCs w:val="24"/>
              </w:rPr>
              <w:t>0%</w:t>
            </w:r>
          </w:p>
        </w:tc>
        <w:tc>
          <w:tcPr>
            <w:tcW w:w="1530" w:type="dxa"/>
            <w:tcBorders>
              <w:bottom w:val="single" w:sz="4" w:space="0" w:color="000000"/>
            </w:tcBorders>
            <w:vAlign w:val="center"/>
          </w:tcPr>
          <w:p w:rsidR="000D1CF4" w:rsidRPr="00AA37D4" w:rsidRDefault="00447368" w:rsidP="00447368">
            <w:pPr>
              <w:tabs>
                <w:tab w:val="left" w:pos="288"/>
                <w:tab w:val="left" w:pos="4752"/>
              </w:tabs>
              <w:rPr>
                <w:color w:val="000000" w:themeColor="text1"/>
                <w:szCs w:val="24"/>
              </w:rPr>
            </w:pPr>
            <w:r w:rsidRPr="00AA37D4">
              <w:rPr>
                <w:color w:val="000000" w:themeColor="text1"/>
                <w:szCs w:val="24"/>
              </w:rPr>
              <w:t>20%</w:t>
            </w:r>
          </w:p>
        </w:tc>
      </w:tr>
      <w:tr w:rsidR="0010667B" w:rsidRPr="00AA37D4" w:rsidTr="00447368">
        <w:trPr>
          <w:trHeight w:val="188"/>
          <w:jc w:val="center"/>
        </w:trPr>
        <w:tc>
          <w:tcPr>
            <w:tcW w:w="5328" w:type="dxa"/>
            <w:vAlign w:val="center"/>
          </w:tcPr>
          <w:p w:rsidR="0010667B" w:rsidRPr="00AA37D4" w:rsidRDefault="0010667B" w:rsidP="00447368">
            <w:pPr>
              <w:tabs>
                <w:tab w:val="left" w:pos="288"/>
                <w:tab w:val="left" w:pos="3538"/>
              </w:tabs>
              <w:jc w:val="left"/>
              <w:rPr>
                <w:color w:val="000000" w:themeColor="text1"/>
                <w:szCs w:val="24"/>
              </w:rPr>
            </w:pPr>
            <w:r w:rsidRPr="00AA37D4">
              <w:rPr>
                <w:color w:val="000000" w:themeColor="text1"/>
                <w:szCs w:val="24"/>
              </w:rPr>
              <w:t>Ankylosis</w:t>
            </w:r>
            <w:r w:rsidR="00447368" w:rsidRPr="00AA37D4">
              <w:rPr>
                <w:color w:val="000000" w:themeColor="text1"/>
                <w:szCs w:val="24"/>
              </w:rPr>
              <w:t>,</w:t>
            </w:r>
            <w:r w:rsidRPr="00AA37D4">
              <w:rPr>
                <w:color w:val="000000" w:themeColor="text1"/>
                <w:szCs w:val="24"/>
              </w:rPr>
              <w:t xml:space="preserve"> Right Long Finger</w:t>
            </w:r>
          </w:p>
        </w:tc>
        <w:tc>
          <w:tcPr>
            <w:tcW w:w="1350" w:type="dxa"/>
            <w:tcBorders>
              <w:bottom w:val="single" w:sz="4" w:space="0" w:color="000000"/>
            </w:tcBorders>
            <w:vAlign w:val="center"/>
          </w:tcPr>
          <w:p w:rsidR="0010667B" w:rsidRPr="00AA37D4" w:rsidRDefault="00715C07" w:rsidP="00447368">
            <w:pPr>
              <w:tabs>
                <w:tab w:val="left" w:pos="288"/>
                <w:tab w:val="left" w:pos="4752"/>
              </w:tabs>
              <w:rPr>
                <w:color w:val="000000" w:themeColor="text1"/>
                <w:szCs w:val="24"/>
              </w:rPr>
            </w:pPr>
            <w:r w:rsidRPr="00AA37D4">
              <w:rPr>
                <w:rFonts w:asciiTheme="minorHAnsi" w:eastAsiaTheme="minorHAnsi" w:hAnsiTheme="minorHAnsi"/>
                <w:color w:val="auto"/>
                <w:szCs w:val="24"/>
              </w:rPr>
              <w:t>5226</w:t>
            </w:r>
          </w:p>
        </w:tc>
        <w:tc>
          <w:tcPr>
            <w:tcW w:w="1152" w:type="dxa"/>
            <w:tcBorders>
              <w:bottom w:val="single" w:sz="4" w:space="0" w:color="000000"/>
            </w:tcBorders>
            <w:vAlign w:val="center"/>
          </w:tcPr>
          <w:p w:rsidR="0010667B" w:rsidRPr="00AA37D4" w:rsidRDefault="00715C07" w:rsidP="00447368">
            <w:pPr>
              <w:tabs>
                <w:tab w:val="left" w:pos="288"/>
                <w:tab w:val="left" w:pos="4752"/>
              </w:tabs>
              <w:rPr>
                <w:color w:val="000000" w:themeColor="text1"/>
                <w:szCs w:val="24"/>
              </w:rPr>
            </w:pPr>
            <w:r w:rsidRPr="00AA37D4">
              <w:rPr>
                <w:color w:val="000000" w:themeColor="text1"/>
                <w:szCs w:val="24"/>
              </w:rPr>
              <w:t>10%</w:t>
            </w:r>
          </w:p>
        </w:tc>
        <w:tc>
          <w:tcPr>
            <w:tcW w:w="1530" w:type="dxa"/>
            <w:tcBorders>
              <w:bottom w:val="single" w:sz="4" w:space="0" w:color="000000"/>
            </w:tcBorders>
            <w:vAlign w:val="center"/>
          </w:tcPr>
          <w:p w:rsidR="0010667B" w:rsidRPr="00AA37D4" w:rsidRDefault="00715C07" w:rsidP="00447368">
            <w:pPr>
              <w:tabs>
                <w:tab w:val="left" w:pos="288"/>
                <w:tab w:val="left" w:pos="4752"/>
              </w:tabs>
              <w:rPr>
                <w:color w:val="000000" w:themeColor="text1"/>
                <w:szCs w:val="24"/>
              </w:rPr>
            </w:pPr>
            <w:r w:rsidRPr="00AA37D4">
              <w:rPr>
                <w:color w:val="000000" w:themeColor="text1"/>
                <w:szCs w:val="24"/>
              </w:rPr>
              <w:t>10%</w:t>
            </w:r>
          </w:p>
        </w:tc>
      </w:tr>
      <w:tr w:rsidR="00DB0015" w:rsidRPr="001F29F9" w:rsidTr="00447368">
        <w:tblPrEx>
          <w:tblLook w:val="0000"/>
        </w:tblPrEx>
        <w:trPr>
          <w:gridBefore w:val="1"/>
          <w:wBefore w:w="5328" w:type="dxa"/>
          <w:trHeight w:val="188"/>
          <w:jc w:val="center"/>
        </w:trPr>
        <w:tc>
          <w:tcPr>
            <w:tcW w:w="1350" w:type="dxa"/>
            <w:tcBorders>
              <w:left w:val="single" w:sz="4" w:space="0" w:color="auto"/>
            </w:tcBorders>
            <w:shd w:val="pct15" w:color="auto" w:fill="auto"/>
            <w:vAlign w:val="center"/>
          </w:tcPr>
          <w:p w:rsidR="00DB0015" w:rsidRPr="00AA37D4" w:rsidRDefault="00DB0015" w:rsidP="00447368">
            <w:pPr>
              <w:tabs>
                <w:tab w:val="left" w:pos="288"/>
                <w:tab w:val="left" w:pos="4752"/>
              </w:tabs>
              <w:rPr>
                <w:b/>
                <w:color w:val="000000" w:themeColor="text1"/>
                <w:szCs w:val="24"/>
              </w:rPr>
            </w:pPr>
            <w:r w:rsidRPr="00AA37D4">
              <w:rPr>
                <w:b/>
                <w:color w:val="000000" w:themeColor="text1"/>
                <w:szCs w:val="24"/>
              </w:rPr>
              <w:t>COMBINED</w:t>
            </w:r>
          </w:p>
        </w:tc>
        <w:tc>
          <w:tcPr>
            <w:tcW w:w="1152" w:type="dxa"/>
            <w:tcBorders>
              <w:left w:val="single" w:sz="4" w:space="0" w:color="auto"/>
            </w:tcBorders>
            <w:shd w:val="pct15" w:color="auto" w:fill="auto"/>
            <w:vAlign w:val="center"/>
          </w:tcPr>
          <w:p w:rsidR="00DB0015" w:rsidRPr="00AA37D4" w:rsidRDefault="00EC1EDC" w:rsidP="00EC1EDC">
            <w:pPr>
              <w:tabs>
                <w:tab w:val="left" w:pos="288"/>
                <w:tab w:val="left" w:pos="4752"/>
              </w:tabs>
              <w:rPr>
                <w:b/>
                <w:color w:val="000000" w:themeColor="text1"/>
                <w:szCs w:val="24"/>
              </w:rPr>
            </w:pPr>
            <w:r w:rsidRPr="00AA37D4">
              <w:rPr>
                <w:b/>
                <w:color w:val="000000" w:themeColor="text1"/>
                <w:szCs w:val="24"/>
              </w:rPr>
              <w:t>60</w:t>
            </w:r>
            <w:r w:rsidR="00AA37D4" w:rsidRPr="00AA37D4">
              <w:rPr>
                <w:b/>
                <w:color w:val="000000" w:themeColor="text1"/>
                <w:szCs w:val="24"/>
              </w:rPr>
              <w:t>%</w:t>
            </w:r>
          </w:p>
        </w:tc>
        <w:tc>
          <w:tcPr>
            <w:tcW w:w="1530" w:type="dxa"/>
            <w:shd w:val="pct15" w:color="auto" w:fill="auto"/>
            <w:vAlign w:val="center"/>
          </w:tcPr>
          <w:p w:rsidR="00DB0015" w:rsidRPr="00AA37D4" w:rsidRDefault="00EC1EDC" w:rsidP="00AA37D4">
            <w:pPr>
              <w:tabs>
                <w:tab w:val="left" w:pos="288"/>
                <w:tab w:val="left" w:pos="4752"/>
              </w:tabs>
              <w:rPr>
                <w:b/>
                <w:color w:val="000000" w:themeColor="text1"/>
                <w:szCs w:val="24"/>
              </w:rPr>
            </w:pPr>
            <w:r w:rsidRPr="00AA37D4">
              <w:rPr>
                <w:b/>
                <w:color w:val="000000" w:themeColor="text1"/>
                <w:szCs w:val="24"/>
              </w:rPr>
              <w:t>40</w:t>
            </w:r>
            <w:r w:rsidR="00AA37D4" w:rsidRPr="00AA37D4">
              <w:rPr>
                <w:b/>
                <w:color w:val="000000" w:themeColor="text1"/>
                <w:szCs w:val="24"/>
              </w:rPr>
              <w:t>%</w:t>
            </w:r>
          </w:p>
        </w:tc>
      </w:tr>
    </w:tbl>
    <w:p w:rsidR="00E72A6B" w:rsidRPr="001F29F9" w:rsidRDefault="00E72A6B"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AA37D4" w:rsidRDefault="00AA37D4">
      <w:pPr>
        <w:rPr>
          <w:color w:val="000000" w:themeColor="text1"/>
        </w:rPr>
      </w:pPr>
      <w:r>
        <w:rPr>
          <w:color w:val="000000" w:themeColor="text1"/>
        </w:rPr>
        <w:br w:type="page"/>
      </w:r>
    </w:p>
    <w:p w:rsidR="00D91DA6" w:rsidRPr="001F29F9" w:rsidRDefault="00FB1725" w:rsidP="00BF0E94">
      <w:pPr>
        <w:tabs>
          <w:tab w:val="left" w:pos="288"/>
          <w:tab w:val="left" w:pos="4752"/>
        </w:tabs>
        <w:jc w:val="both"/>
        <w:rPr>
          <w:color w:val="000000" w:themeColor="text1"/>
        </w:rPr>
      </w:pPr>
      <w:r w:rsidRPr="001F29F9">
        <w:rPr>
          <w:color w:val="000000" w:themeColor="text1"/>
        </w:rPr>
        <w:lastRenderedPageBreak/>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FC537E">
        <w:rPr>
          <w:color w:val="000000" w:themeColor="text1"/>
          <w:szCs w:val="24"/>
        </w:rPr>
        <w:t>00805</w:t>
      </w:r>
      <w:r w:rsidR="00513052">
        <w:rPr>
          <w:color w:val="000000" w:themeColor="text1"/>
        </w:rPr>
        <w:t>, w/</w:t>
      </w:r>
      <w:proofErr w:type="spellStart"/>
      <w:r w:rsidR="00513052">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513052">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513052">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C63E98" w:rsidP="00BF0E94">
      <w:pPr>
        <w:tabs>
          <w:tab w:val="left" w:pos="0"/>
          <w:tab w:val="left" w:pos="4320"/>
        </w:tabs>
        <w:jc w:val="both"/>
        <w:rPr>
          <w:color w:val="000000" w:themeColor="text1"/>
          <w:szCs w:val="24"/>
        </w:rPr>
      </w:pPr>
      <w:r>
        <w:rPr>
          <w:color w:val="000000" w:themeColor="text1"/>
        </w:rPr>
        <w:t>.</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C63E98"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C63E98" w:rsidRDefault="00C63E98">
      <w:pPr>
        <w:rPr>
          <w:color w:val="000000" w:themeColor="text1"/>
          <w:szCs w:val="24"/>
        </w:rPr>
      </w:pPr>
      <w:r>
        <w:rPr>
          <w:color w:val="000000" w:themeColor="text1"/>
          <w:szCs w:val="24"/>
        </w:rPr>
        <w:br w:type="page"/>
      </w:r>
    </w:p>
    <w:p w:rsidR="00E3077F" w:rsidRDefault="00E3077F" w:rsidP="00BF0E94">
      <w:pPr>
        <w:tabs>
          <w:tab w:val="left" w:pos="0"/>
          <w:tab w:val="left" w:pos="4320"/>
        </w:tabs>
        <w:jc w:val="both"/>
        <w:rPr>
          <w:color w:val="000000" w:themeColor="text1"/>
          <w:szCs w:val="24"/>
        </w:rPr>
      </w:pPr>
    </w:p>
    <w:p w:rsidR="00C63E98" w:rsidRPr="00C63E98" w:rsidRDefault="00C63E98" w:rsidP="00C63E98">
      <w:pPr>
        <w:tabs>
          <w:tab w:val="left" w:pos="0"/>
          <w:tab w:val="left" w:pos="4320"/>
        </w:tabs>
        <w:jc w:val="both"/>
        <w:rPr>
          <w:color w:val="000000" w:themeColor="text1"/>
          <w:szCs w:val="24"/>
        </w:rPr>
      </w:pPr>
      <w:r w:rsidRPr="00C63E98">
        <w:rPr>
          <w:color w:val="000000" w:themeColor="text1"/>
          <w:szCs w:val="24"/>
        </w:rPr>
        <w:t>SFMR-RB</w:t>
      </w:r>
      <w:r w:rsidRPr="00C63E98">
        <w:rPr>
          <w:color w:val="000000" w:themeColor="text1"/>
          <w:szCs w:val="24"/>
        </w:rPr>
        <w:tab/>
      </w:r>
      <w:r w:rsidRPr="00C63E98">
        <w:rPr>
          <w:color w:val="000000" w:themeColor="text1"/>
          <w:szCs w:val="24"/>
        </w:rPr>
        <w:tab/>
      </w:r>
      <w:r w:rsidRPr="00C63E98">
        <w:rPr>
          <w:color w:val="000000" w:themeColor="text1"/>
          <w:szCs w:val="24"/>
        </w:rPr>
        <w:tab/>
      </w:r>
      <w:r w:rsidRPr="00C63E98">
        <w:rPr>
          <w:color w:val="000000" w:themeColor="text1"/>
          <w:szCs w:val="24"/>
        </w:rPr>
        <w:tab/>
      </w:r>
      <w:r w:rsidRPr="00C63E98">
        <w:rPr>
          <w:color w:val="000000" w:themeColor="text1"/>
          <w:szCs w:val="24"/>
        </w:rPr>
        <w:tab/>
      </w:r>
      <w:r w:rsidRPr="00C63E98">
        <w:rPr>
          <w:color w:val="000000" w:themeColor="text1"/>
          <w:szCs w:val="24"/>
        </w:rPr>
        <w:tab/>
      </w:r>
      <w:r w:rsidRPr="00C63E98">
        <w:rPr>
          <w:color w:val="000000" w:themeColor="text1"/>
          <w:szCs w:val="24"/>
        </w:rPr>
        <w:tab/>
      </w:r>
      <w:r w:rsidRPr="00C63E98">
        <w:rPr>
          <w:color w:val="000000" w:themeColor="text1"/>
          <w:szCs w:val="24"/>
        </w:rPr>
        <w:tab/>
      </w:r>
      <w:r w:rsidRPr="00C63E98">
        <w:rPr>
          <w:color w:val="000000" w:themeColor="text1"/>
          <w:szCs w:val="24"/>
        </w:rPr>
        <w:tab/>
      </w:r>
    </w:p>
    <w:p w:rsidR="00C63E98" w:rsidRPr="00C63E98" w:rsidRDefault="00C63E98" w:rsidP="00C63E98">
      <w:pPr>
        <w:tabs>
          <w:tab w:val="left" w:pos="0"/>
          <w:tab w:val="left" w:pos="4320"/>
        </w:tabs>
        <w:jc w:val="both"/>
        <w:rPr>
          <w:color w:val="000000" w:themeColor="text1"/>
          <w:szCs w:val="24"/>
        </w:rPr>
      </w:pPr>
    </w:p>
    <w:p w:rsidR="00C63E98" w:rsidRPr="00C63E98" w:rsidRDefault="00C63E98" w:rsidP="00C63E98">
      <w:pPr>
        <w:tabs>
          <w:tab w:val="left" w:pos="0"/>
          <w:tab w:val="left" w:pos="4320"/>
        </w:tabs>
        <w:jc w:val="both"/>
        <w:rPr>
          <w:color w:val="000000" w:themeColor="text1"/>
          <w:szCs w:val="24"/>
        </w:rPr>
      </w:pPr>
    </w:p>
    <w:p w:rsidR="00C63E98" w:rsidRPr="00C63E98" w:rsidRDefault="00C63E98" w:rsidP="00C63E98">
      <w:pPr>
        <w:tabs>
          <w:tab w:val="left" w:pos="0"/>
          <w:tab w:val="left" w:pos="4320"/>
        </w:tabs>
        <w:jc w:val="both"/>
        <w:rPr>
          <w:color w:val="000000" w:themeColor="text1"/>
          <w:szCs w:val="24"/>
        </w:rPr>
      </w:pPr>
      <w:r w:rsidRPr="00C63E98">
        <w:rPr>
          <w:color w:val="000000" w:themeColor="text1"/>
          <w:szCs w:val="24"/>
        </w:rPr>
        <w:t xml:space="preserve">MEMORANDUM FOR Commander, US Army Physical Disability Agency </w:t>
      </w:r>
    </w:p>
    <w:p w:rsidR="00C63E98" w:rsidRPr="00C63E98" w:rsidRDefault="00C63E98" w:rsidP="00C63E98">
      <w:pPr>
        <w:tabs>
          <w:tab w:val="left" w:pos="0"/>
          <w:tab w:val="left" w:pos="4320"/>
        </w:tabs>
        <w:jc w:val="both"/>
        <w:rPr>
          <w:color w:val="000000" w:themeColor="text1"/>
          <w:szCs w:val="24"/>
        </w:rPr>
      </w:pPr>
      <w:r>
        <w:rPr>
          <w:color w:val="000000" w:themeColor="text1"/>
          <w:szCs w:val="24"/>
        </w:rPr>
        <w:t>.</w:t>
      </w:r>
      <w:r w:rsidRPr="00C63E98">
        <w:rPr>
          <w:color w:val="000000" w:themeColor="text1"/>
          <w:szCs w:val="24"/>
        </w:rPr>
        <w:t>2900 Crystal Drive, Suite 300, Arlington, VA  22202</w:t>
      </w:r>
    </w:p>
    <w:p w:rsidR="00C63E98" w:rsidRPr="00C63E98" w:rsidRDefault="00C63E98" w:rsidP="00C63E98">
      <w:pPr>
        <w:tabs>
          <w:tab w:val="left" w:pos="0"/>
          <w:tab w:val="left" w:pos="4320"/>
        </w:tabs>
        <w:jc w:val="both"/>
        <w:rPr>
          <w:color w:val="000000" w:themeColor="text1"/>
          <w:szCs w:val="24"/>
        </w:rPr>
      </w:pPr>
    </w:p>
    <w:p w:rsidR="00C63E98" w:rsidRPr="00C63E98" w:rsidRDefault="00C63E98" w:rsidP="00C63E98">
      <w:pPr>
        <w:tabs>
          <w:tab w:val="left" w:pos="0"/>
          <w:tab w:val="left" w:pos="4320"/>
        </w:tabs>
        <w:jc w:val="both"/>
        <w:rPr>
          <w:color w:val="000000" w:themeColor="text1"/>
          <w:szCs w:val="24"/>
        </w:rPr>
      </w:pPr>
      <w:r w:rsidRPr="00C63E98">
        <w:rPr>
          <w:color w:val="000000" w:themeColor="text1"/>
          <w:szCs w:val="24"/>
        </w:rPr>
        <w:t xml:space="preserve">SUBJECT:  Department of Defense Physical Disability Board of Review Recommendation </w:t>
      </w:r>
    </w:p>
    <w:p w:rsidR="00C63E98" w:rsidRPr="00C63E98" w:rsidRDefault="00C63E98" w:rsidP="00C63E98">
      <w:pPr>
        <w:tabs>
          <w:tab w:val="left" w:pos="0"/>
          <w:tab w:val="left" w:pos="4320"/>
        </w:tabs>
        <w:jc w:val="both"/>
        <w:rPr>
          <w:color w:val="000000" w:themeColor="text1"/>
          <w:szCs w:val="24"/>
        </w:rPr>
      </w:pPr>
      <w:proofErr w:type="gramStart"/>
      <w:r w:rsidRPr="00C63E98">
        <w:rPr>
          <w:color w:val="000000" w:themeColor="text1"/>
          <w:szCs w:val="24"/>
        </w:rPr>
        <w:t xml:space="preserve">for </w:t>
      </w:r>
      <w:r>
        <w:rPr>
          <w:color w:val="000000" w:themeColor="text1"/>
          <w:szCs w:val="24"/>
        </w:rPr>
        <w:t>.</w:t>
      </w:r>
      <w:proofErr w:type="gramEnd"/>
    </w:p>
    <w:p w:rsidR="00C63E98" w:rsidRPr="00C63E98" w:rsidRDefault="00C63E98" w:rsidP="00C63E98">
      <w:pPr>
        <w:tabs>
          <w:tab w:val="left" w:pos="0"/>
          <w:tab w:val="left" w:pos="4320"/>
        </w:tabs>
        <w:jc w:val="both"/>
        <w:rPr>
          <w:color w:val="000000" w:themeColor="text1"/>
          <w:szCs w:val="24"/>
        </w:rPr>
      </w:pPr>
    </w:p>
    <w:p w:rsidR="00C63E98" w:rsidRPr="00C63E98" w:rsidRDefault="00C63E98" w:rsidP="00C63E98">
      <w:pPr>
        <w:tabs>
          <w:tab w:val="left" w:pos="0"/>
          <w:tab w:val="left" w:pos="4320"/>
        </w:tabs>
        <w:jc w:val="both"/>
        <w:rPr>
          <w:color w:val="000000" w:themeColor="text1"/>
          <w:szCs w:val="24"/>
        </w:rPr>
      </w:pPr>
      <w:r w:rsidRPr="00C63E98">
        <w:rPr>
          <w:color w:val="000000" w:themeColor="text1"/>
          <w:szCs w:val="24"/>
        </w:rPr>
        <w:t>1.  Under the authority of Title 10, United States Code, section 1554(a), I approve the enclosed recommendation of the Department of Defense Physical Disability Board of Review (</w:t>
      </w:r>
      <w:proofErr w:type="spellStart"/>
      <w:r w:rsidRPr="00C63E98">
        <w:rPr>
          <w:color w:val="000000" w:themeColor="text1"/>
          <w:szCs w:val="24"/>
        </w:rPr>
        <w:t>DoD</w:t>
      </w:r>
      <w:proofErr w:type="spellEnd"/>
      <w:r w:rsidRPr="00C63E98">
        <w:rPr>
          <w:color w:val="000000" w:themeColor="text1"/>
          <w:szCs w:val="24"/>
        </w:rPr>
        <w:t xml:space="preserve"> PDBR) pertaining to the individual named in the subject line above to  constructively place the individual on the Temporary Disability Retired List (TDRL) at 60% disability for six months effective the date of the individual’s original medical separation for disability with severance pay and then following this six month period </w:t>
      </w:r>
      <w:proofErr w:type="spellStart"/>
      <w:r w:rsidRPr="00C63E98">
        <w:rPr>
          <w:color w:val="000000" w:themeColor="text1"/>
          <w:szCs w:val="24"/>
        </w:rPr>
        <w:t>recharacterize</w:t>
      </w:r>
      <w:proofErr w:type="spellEnd"/>
      <w:r w:rsidRPr="00C63E98">
        <w:rPr>
          <w:color w:val="000000" w:themeColor="text1"/>
          <w:szCs w:val="24"/>
        </w:rPr>
        <w:t xml:space="preserve"> the individual’s separation as a permanent disability retirement with the combined disability rating of 40%.</w:t>
      </w:r>
    </w:p>
    <w:p w:rsidR="00C63E98" w:rsidRPr="00C63E98" w:rsidRDefault="00C63E98" w:rsidP="00C63E98">
      <w:pPr>
        <w:tabs>
          <w:tab w:val="left" w:pos="0"/>
          <w:tab w:val="left" w:pos="4320"/>
        </w:tabs>
        <w:jc w:val="both"/>
        <w:rPr>
          <w:color w:val="000000" w:themeColor="text1"/>
          <w:szCs w:val="24"/>
        </w:rPr>
      </w:pPr>
    </w:p>
    <w:p w:rsidR="00C63E98" w:rsidRPr="00C63E98" w:rsidRDefault="00C63E98" w:rsidP="00C63E98">
      <w:pPr>
        <w:tabs>
          <w:tab w:val="left" w:pos="0"/>
          <w:tab w:val="left" w:pos="4320"/>
        </w:tabs>
        <w:jc w:val="both"/>
        <w:rPr>
          <w:color w:val="000000" w:themeColor="text1"/>
          <w:szCs w:val="24"/>
        </w:rPr>
      </w:pPr>
      <w:r w:rsidRPr="00C63E98">
        <w:rPr>
          <w:color w:val="000000" w:themeColor="text1"/>
          <w:szCs w:val="24"/>
        </w:rPr>
        <w:t>2.  I direct that all the Department of the Army records of the individual concerned be corrected accordingly no later than 120 days from the date of this memorandum:</w:t>
      </w:r>
    </w:p>
    <w:p w:rsidR="00C63E98" w:rsidRPr="00C63E98" w:rsidRDefault="00C63E98" w:rsidP="00C63E98">
      <w:pPr>
        <w:tabs>
          <w:tab w:val="left" w:pos="0"/>
          <w:tab w:val="left" w:pos="4320"/>
        </w:tabs>
        <w:jc w:val="both"/>
        <w:rPr>
          <w:color w:val="000000" w:themeColor="text1"/>
          <w:szCs w:val="24"/>
        </w:rPr>
      </w:pPr>
    </w:p>
    <w:p w:rsidR="00C63E98" w:rsidRPr="00C63E98" w:rsidRDefault="00C63E98" w:rsidP="00C63E98">
      <w:pPr>
        <w:tabs>
          <w:tab w:val="left" w:pos="0"/>
          <w:tab w:val="left" w:pos="720"/>
          <w:tab w:val="left" w:pos="4320"/>
        </w:tabs>
        <w:jc w:val="both"/>
        <w:rPr>
          <w:color w:val="000000" w:themeColor="text1"/>
          <w:szCs w:val="24"/>
        </w:rPr>
      </w:pPr>
      <w:r w:rsidRPr="00C63E98">
        <w:rPr>
          <w:color w:val="000000" w:themeColor="text1"/>
          <w:szCs w:val="24"/>
        </w:rPr>
        <w:tab/>
      </w:r>
      <w:proofErr w:type="gramStart"/>
      <w:r w:rsidRPr="00C63E98">
        <w:rPr>
          <w:color w:val="000000" w:themeColor="text1"/>
          <w:szCs w:val="24"/>
        </w:rPr>
        <w:t>a.  Providing</w:t>
      </w:r>
      <w:proofErr w:type="gramEnd"/>
      <w:r w:rsidRPr="00C63E98">
        <w:rPr>
          <w:color w:val="000000" w:themeColor="text1"/>
          <w:szCs w:val="24"/>
        </w:rPr>
        <w:t xml:space="preserve"> a correction to the individual’s separation document showing that the individual was separated by reason of temporary disability effective the date of the original medical separation for disability with severance pay.</w:t>
      </w:r>
    </w:p>
    <w:p w:rsidR="00C63E98" w:rsidRPr="00C63E98" w:rsidRDefault="00C63E98" w:rsidP="00C63E98">
      <w:pPr>
        <w:tabs>
          <w:tab w:val="left" w:pos="0"/>
          <w:tab w:val="left" w:pos="720"/>
          <w:tab w:val="left" w:pos="4320"/>
        </w:tabs>
        <w:jc w:val="both"/>
        <w:rPr>
          <w:color w:val="000000" w:themeColor="text1"/>
          <w:szCs w:val="24"/>
        </w:rPr>
      </w:pPr>
    </w:p>
    <w:p w:rsidR="00C63E98" w:rsidRPr="00C63E98" w:rsidRDefault="00C63E98" w:rsidP="00C63E98">
      <w:pPr>
        <w:tabs>
          <w:tab w:val="left" w:pos="0"/>
          <w:tab w:val="left" w:pos="720"/>
          <w:tab w:val="left" w:pos="4320"/>
        </w:tabs>
        <w:jc w:val="both"/>
        <w:rPr>
          <w:color w:val="000000" w:themeColor="text1"/>
          <w:szCs w:val="24"/>
        </w:rPr>
      </w:pPr>
      <w:r w:rsidRPr="00C63E98">
        <w:rPr>
          <w:color w:val="000000" w:themeColor="text1"/>
          <w:szCs w:val="24"/>
        </w:rPr>
        <w:tab/>
      </w:r>
      <w:proofErr w:type="gramStart"/>
      <w:r w:rsidRPr="00C63E98">
        <w:rPr>
          <w:color w:val="000000" w:themeColor="text1"/>
          <w:szCs w:val="24"/>
        </w:rPr>
        <w:t>b.  Providing</w:t>
      </w:r>
      <w:proofErr w:type="gramEnd"/>
      <w:r w:rsidRPr="00C63E98">
        <w:rPr>
          <w:color w:val="000000" w:themeColor="text1"/>
          <w:szCs w:val="24"/>
        </w:rPr>
        <w:t xml:space="preserve"> orders showing that the individual was retired with permanent disability effective the day following the six month TDRL period.</w:t>
      </w:r>
    </w:p>
    <w:p w:rsidR="00C63E98" w:rsidRPr="00C63E98" w:rsidRDefault="00C63E98" w:rsidP="00C63E98">
      <w:pPr>
        <w:tabs>
          <w:tab w:val="left" w:pos="0"/>
          <w:tab w:val="left" w:pos="720"/>
          <w:tab w:val="left" w:pos="4320"/>
        </w:tabs>
        <w:jc w:val="both"/>
        <w:rPr>
          <w:color w:val="000000" w:themeColor="text1"/>
          <w:szCs w:val="24"/>
        </w:rPr>
      </w:pPr>
    </w:p>
    <w:p w:rsidR="00C63E98" w:rsidRPr="00C63E98" w:rsidRDefault="00C63E98" w:rsidP="00C63E98">
      <w:pPr>
        <w:tabs>
          <w:tab w:val="left" w:pos="0"/>
          <w:tab w:val="left" w:pos="720"/>
          <w:tab w:val="left" w:pos="4320"/>
        </w:tabs>
        <w:jc w:val="both"/>
        <w:rPr>
          <w:color w:val="000000" w:themeColor="text1"/>
          <w:szCs w:val="24"/>
        </w:rPr>
      </w:pPr>
      <w:r w:rsidRPr="00C63E98">
        <w:rPr>
          <w:color w:val="000000" w:themeColor="text1"/>
          <w:szCs w:val="24"/>
        </w:rPr>
        <w:tab/>
      </w:r>
      <w:proofErr w:type="gramStart"/>
      <w:r w:rsidRPr="00C63E98">
        <w:rPr>
          <w:color w:val="000000" w:themeColor="text1"/>
          <w:szCs w:val="24"/>
        </w:rPr>
        <w:t>c.  Adjusting</w:t>
      </w:r>
      <w:proofErr w:type="gramEnd"/>
      <w:r w:rsidRPr="00C63E98">
        <w:rPr>
          <w:color w:val="000000" w:themeColor="text1"/>
          <w:szCs w:val="24"/>
        </w:rPr>
        <w:t xml:space="preserve"> pay and allowances accordingly.  Pay and allowance adjustment will account for recoupment of severance pay, provide 60% retired pay for the constructive temporary disability retired six month period effective the date of the individual’s original medical separation and then payment of permanent disability retired pay at 40% effective the day following the constructive six month TDRL period.  </w:t>
      </w:r>
    </w:p>
    <w:p w:rsidR="00C63E98" w:rsidRPr="00C63E98" w:rsidRDefault="00C63E98" w:rsidP="00C63E98">
      <w:pPr>
        <w:tabs>
          <w:tab w:val="left" w:pos="0"/>
          <w:tab w:val="left" w:pos="720"/>
          <w:tab w:val="left" w:pos="4320"/>
        </w:tabs>
        <w:jc w:val="both"/>
        <w:rPr>
          <w:color w:val="000000" w:themeColor="text1"/>
          <w:szCs w:val="24"/>
        </w:rPr>
      </w:pPr>
    </w:p>
    <w:p w:rsidR="00C63E98" w:rsidRPr="00C63E98" w:rsidRDefault="00C63E98" w:rsidP="00C63E98">
      <w:pPr>
        <w:tabs>
          <w:tab w:val="left" w:pos="0"/>
          <w:tab w:val="left" w:pos="720"/>
          <w:tab w:val="left" w:pos="4320"/>
        </w:tabs>
        <w:jc w:val="both"/>
        <w:rPr>
          <w:color w:val="000000" w:themeColor="text1"/>
          <w:szCs w:val="24"/>
        </w:rPr>
      </w:pPr>
      <w:r w:rsidRPr="00C63E98">
        <w:rPr>
          <w:color w:val="000000" w:themeColor="text1"/>
          <w:szCs w:val="24"/>
        </w:rPr>
        <w:tab/>
      </w:r>
      <w:proofErr w:type="gramStart"/>
      <w:r w:rsidRPr="00C63E98">
        <w:rPr>
          <w:color w:val="000000" w:themeColor="text1"/>
          <w:szCs w:val="24"/>
        </w:rPr>
        <w:t>d.  Affording</w:t>
      </w:r>
      <w:proofErr w:type="gramEnd"/>
      <w:r w:rsidRPr="00C63E98">
        <w:rPr>
          <w:color w:val="000000" w:themeColor="text1"/>
          <w:szCs w:val="24"/>
        </w:rPr>
        <w:t xml:space="preserve"> the individual the opportunity to elect Survivor Benefit Plan (SBP) and medical TRICARE retiree options.</w:t>
      </w:r>
      <w:bookmarkStart w:id="0" w:name="OLE_LINK1"/>
      <w:bookmarkStart w:id="1" w:name="OLE_LINK2"/>
    </w:p>
    <w:p w:rsidR="00C63E98" w:rsidRPr="00C63E98" w:rsidRDefault="00C63E98" w:rsidP="00C63E98">
      <w:pPr>
        <w:tabs>
          <w:tab w:val="left" w:pos="0"/>
          <w:tab w:val="left" w:pos="4320"/>
        </w:tabs>
        <w:jc w:val="both"/>
        <w:rPr>
          <w:color w:val="000000" w:themeColor="text1"/>
          <w:szCs w:val="24"/>
        </w:rPr>
      </w:pPr>
    </w:p>
    <w:p w:rsidR="00C63E98" w:rsidRPr="00C63E98" w:rsidRDefault="00C63E98" w:rsidP="00C63E98">
      <w:pPr>
        <w:tabs>
          <w:tab w:val="left" w:pos="0"/>
          <w:tab w:val="left" w:pos="4320"/>
        </w:tabs>
        <w:jc w:val="both"/>
        <w:rPr>
          <w:color w:val="000000" w:themeColor="text1"/>
          <w:szCs w:val="24"/>
        </w:rPr>
      </w:pPr>
      <w:r w:rsidRPr="00C63E98">
        <w:rPr>
          <w:color w:val="000000" w:themeColor="text1"/>
          <w:szCs w:val="24"/>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bookmarkEnd w:id="0"/>
    <w:bookmarkEnd w:id="1"/>
    <w:p w:rsidR="00C63E98" w:rsidRPr="00C63E98" w:rsidRDefault="00C63E98" w:rsidP="00C63E98">
      <w:pPr>
        <w:tabs>
          <w:tab w:val="left" w:pos="0"/>
          <w:tab w:val="left" w:pos="4320"/>
        </w:tabs>
        <w:jc w:val="both"/>
        <w:rPr>
          <w:color w:val="000000" w:themeColor="text1"/>
          <w:szCs w:val="24"/>
        </w:rPr>
      </w:pPr>
    </w:p>
    <w:p w:rsidR="00C63E98" w:rsidRPr="00C63E98" w:rsidRDefault="00C63E98" w:rsidP="00C63E98">
      <w:pPr>
        <w:tabs>
          <w:tab w:val="left" w:pos="0"/>
          <w:tab w:val="left" w:pos="4320"/>
        </w:tabs>
        <w:jc w:val="both"/>
        <w:rPr>
          <w:color w:val="000000" w:themeColor="text1"/>
          <w:szCs w:val="24"/>
        </w:rPr>
      </w:pPr>
      <w:r w:rsidRPr="00C63E98">
        <w:rPr>
          <w:color w:val="000000" w:themeColor="text1"/>
          <w:szCs w:val="24"/>
        </w:rPr>
        <w:t>BY ORDER OF THE SECRETARY OF THE ARMY:</w:t>
      </w:r>
    </w:p>
    <w:p w:rsidR="00C63E98" w:rsidRPr="00C63E98" w:rsidRDefault="00C63E98" w:rsidP="00C63E98">
      <w:pPr>
        <w:tabs>
          <w:tab w:val="left" w:pos="0"/>
          <w:tab w:val="left" w:pos="4320"/>
        </w:tabs>
        <w:jc w:val="both"/>
        <w:rPr>
          <w:color w:val="000000" w:themeColor="text1"/>
          <w:szCs w:val="24"/>
        </w:rPr>
      </w:pPr>
    </w:p>
    <w:p w:rsidR="00C63E98" w:rsidRPr="00C63E98" w:rsidRDefault="00C63E98" w:rsidP="00C63E98">
      <w:pPr>
        <w:tabs>
          <w:tab w:val="left" w:pos="0"/>
          <w:tab w:val="left" w:pos="4320"/>
        </w:tabs>
        <w:jc w:val="both"/>
        <w:rPr>
          <w:color w:val="000000" w:themeColor="text1"/>
          <w:szCs w:val="24"/>
        </w:rPr>
      </w:pPr>
    </w:p>
    <w:p w:rsidR="00C63E98" w:rsidRPr="00C63E98" w:rsidRDefault="00C63E98" w:rsidP="00C63E98">
      <w:pPr>
        <w:tabs>
          <w:tab w:val="left" w:pos="0"/>
          <w:tab w:val="left" w:pos="4320"/>
        </w:tabs>
        <w:jc w:val="both"/>
        <w:rPr>
          <w:color w:val="000000" w:themeColor="text1"/>
          <w:szCs w:val="24"/>
        </w:rPr>
      </w:pPr>
      <w:bookmarkStart w:id="2" w:name="OLE_LINK3"/>
      <w:bookmarkStart w:id="3" w:name="OLE_LINK4"/>
    </w:p>
    <w:p w:rsidR="00C63E98" w:rsidRPr="00C63E98" w:rsidRDefault="00C63E98" w:rsidP="00C63E98">
      <w:pPr>
        <w:tabs>
          <w:tab w:val="left" w:pos="0"/>
          <w:tab w:val="left" w:pos="4320"/>
        </w:tabs>
        <w:jc w:val="both"/>
        <w:rPr>
          <w:color w:val="000000" w:themeColor="text1"/>
          <w:szCs w:val="24"/>
        </w:rPr>
      </w:pPr>
      <w:r w:rsidRPr="00C63E98">
        <w:rPr>
          <w:color w:val="000000" w:themeColor="text1"/>
          <w:szCs w:val="24"/>
        </w:rPr>
        <w:t>Encl</w:t>
      </w:r>
      <w:r w:rsidRPr="00C63E98">
        <w:rPr>
          <w:color w:val="000000" w:themeColor="text1"/>
          <w:szCs w:val="24"/>
        </w:rPr>
        <w:tab/>
      </w:r>
      <w:r>
        <w:rPr>
          <w:color w:val="000000" w:themeColor="text1"/>
          <w:szCs w:val="24"/>
        </w:rPr>
        <w:t xml:space="preserve"> </w:t>
      </w:r>
    </w:p>
    <w:p w:rsidR="00C63E98" w:rsidRPr="00C63E98" w:rsidRDefault="00C63E98" w:rsidP="00C63E98">
      <w:pPr>
        <w:tabs>
          <w:tab w:val="left" w:pos="0"/>
          <w:tab w:val="left" w:pos="4320"/>
        </w:tabs>
        <w:jc w:val="both"/>
        <w:rPr>
          <w:color w:val="000000" w:themeColor="text1"/>
          <w:szCs w:val="24"/>
        </w:rPr>
      </w:pPr>
      <w:r w:rsidRPr="00C63E98">
        <w:rPr>
          <w:color w:val="000000" w:themeColor="text1"/>
          <w:szCs w:val="24"/>
        </w:rPr>
        <w:tab/>
        <w:t>Deputy Assistant Secretary</w:t>
      </w:r>
    </w:p>
    <w:p w:rsidR="00C63E98" w:rsidRPr="00C63E98" w:rsidRDefault="00C63E98" w:rsidP="00C63E98">
      <w:pPr>
        <w:tabs>
          <w:tab w:val="left" w:pos="0"/>
          <w:tab w:val="left" w:pos="4320"/>
        </w:tabs>
        <w:jc w:val="both"/>
        <w:rPr>
          <w:color w:val="000000" w:themeColor="text1"/>
          <w:szCs w:val="24"/>
        </w:rPr>
      </w:pPr>
      <w:r w:rsidRPr="00C63E98">
        <w:rPr>
          <w:color w:val="000000" w:themeColor="text1"/>
          <w:szCs w:val="24"/>
        </w:rPr>
        <w:tab/>
        <w:t xml:space="preserve"> (Army Review Boards)</w:t>
      </w:r>
      <w:bookmarkEnd w:id="2"/>
      <w:bookmarkEnd w:id="3"/>
    </w:p>
    <w:p w:rsidR="00C63E98" w:rsidRPr="00C63E98" w:rsidRDefault="00C63E98" w:rsidP="00C63E98">
      <w:pPr>
        <w:tabs>
          <w:tab w:val="left" w:pos="0"/>
          <w:tab w:val="left" w:pos="4320"/>
        </w:tabs>
        <w:jc w:val="both"/>
        <w:rPr>
          <w:color w:val="000000" w:themeColor="text1"/>
          <w:szCs w:val="24"/>
        </w:rPr>
      </w:pPr>
    </w:p>
    <w:p w:rsidR="00C63E98" w:rsidRPr="00C63E98" w:rsidRDefault="00C63E98" w:rsidP="00C63E98">
      <w:pPr>
        <w:tabs>
          <w:tab w:val="left" w:pos="0"/>
          <w:tab w:val="left" w:pos="4320"/>
        </w:tabs>
        <w:jc w:val="both"/>
        <w:rPr>
          <w:color w:val="000000" w:themeColor="text1"/>
          <w:szCs w:val="24"/>
        </w:rPr>
      </w:pPr>
      <w:r w:rsidRPr="00C63E98">
        <w:rPr>
          <w:color w:val="000000" w:themeColor="text1"/>
          <w:szCs w:val="24"/>
        </w:rPr>
        <w:t xml:space="preserve">CF: </w:t>
      </w:r>
    </w:p>
    <w:p w:rsidR="00C63E98" w:rsidRPr="00C63E98" w:rsidRDefault="00C63E98" w:rsidP="00C63E98">
      <w:pPr>
        <w:tabs>
          <w:tab w:val="left" w:pos="0"/>
          <w:tab w:val="left" w:pos="4320"/>
        </w:tabs>
        <w:jc w:val="both"/>
        <w:rPr>
          <w:color w:val="000000" w:themeColor="text1"/>
          <w:szCs w:val="24"/>
        </w:rPr>
      </w:pPr>
      <w:r w:rsidRPr="00C63E98">
        <w:rPr>
          <w:color w:val="000000" w:themeColor="text1"/>
          <w:szCs w:val="24"/>
        </w:rPr>
        <w:t xml:space="preserve">(  ) </w:t>
      </w:r>
      <w:proofErr w:type="spellStart"/>
      <w:proofErr w:type="gramStart"/>
      <w:r w:rsidRPr="00C63E98">
        <w:rPr>
          <w:color w:val="000000" w:themeColor="text1"/>
          <w:szCs w:val="24"/>
        </w:rPr>
        <w:t>DoD</w:t>
      </w:r>
      <w:proofErr w:type="spellEnd"/>
      <w:proofErr w:type="gramEnd"/>
      <w:r w:rsidRPr="00C63E98">
        <w:rPr>
          <w:color w:val="000000" w:themeColor="text1"/>
          <w:szCs w:val="24"/>
        </w:rPr>
        <w:t xml:space="preserve"> PDBR</w:t>
      </w:r>
    </w:p>
    <w:p w:rsidR="00EC1EDC" w:rsidRDefault="00C63E98" w:rsidP="00BF0E94">
      <w:pPr>
        <w:tabs>
          <w:tab w:val="left" w:pos="0"/>
          <w:tab w:val="left" w:pos="4320"/>
        </w:tabs>
        <w:jc w:val="both"/>
        <w:rPr>
          <w:color w:val="000000" w:themeColor="text1"/>
          <w:szCs w:val="24"/>
        </w:rPr>
      </w:pPr>
      <w:r w:rsidRPr="00C63E98">
        <w:rPr>
          <w:color w:val="000000" w:themeColor="text1"/>
          <w:szCs w:val="24"/>
        </w:rPr>
        <w:t>(  ) DVA</w:t>
      </w:r>
    </w:p>
    <w:sectPr w:rsidR="00EC1EDC"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0BF" w:rsidRDefault="00DF60BF">
      <w:r>
        <w:separator/>
      </w:r>
    </w:p>
  </w:endnote>
  <w:endnote w:type="continuationSeparator" w:id="0">
    <w:p w:rsidR="00DF60BF" w:rsidRDefault="00DF60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7B13B8" w:rsidRPr="00374247" w:rsidRDefault="007B13B8" w:rsidP="00374247">
        <w:pPr>
          <w:pStyle w:val="Footer"/>
          <w:ind w:firstLine="4320"/>
          <w:rPr>
            <w:color w:val="auto"/>
            <w:szCs w:val="24"/>
          </w:rPr>
        </w:pPr>
        <w:r w:rsidRPr="00374247">
          <w:rPr>
            <w:color w:val="auto"/>
            <w:szCs w:val="24"/>
          </w:rPr>
          <w:t xml:space="preserve">   </w:t>
        </w:r>
        <w:r w:rsidR="00D634B7" w:rsidRPr="00374247">
          <w:rPr>
            <w:color w:val="auto"/>
            <w:szCs w:val="24"/>
          </w:rPr>
          <w:fldChar w:fldCharType="begin"/>
        </w:r>
        <w:r w:rsidRPr="00374247">
          <w:rPr>
            <w:color w:val="auto"/>
            <w:szCs w:val="24"/>
          </w:rPr>
          <w:instrText xml:space="preserve"> PAGE   \* MERGEFORMAT </w:instrText>
        </w:r>
        <w:r w:rsidR="00D634B7" w:rsidRPr="00374247">
          <w:rPr>
            <w:color w:val="auto"/>
            <w:szCs w:val="24"/>
          </w:rPr>
          <w:fldChar w:fldCharType="separate"/>
        </w:r>
        <w:r w:rsidR="00C63E98" w:rsidRPr="00C63E98">
          <w:rPr>
            <w:noProof/>
            <w:color w:val="auto"/>
          </w:rPr>
          <w:t>6</w:t>
        </w:r>
        <w:r w:rsidR="00D634B7" w:rsidRPr="00374247">
          <w:rPr>
            <w:color w:val="auto"/>
            <w:szCs w:val="24"/>
          </w:rPr>
          <w:fldChar w:fldCharType="end"/>
        </w:r>
        <w:r w:rsidRPr="00374247">
          <w:rPr>
            <w:color w:val="auto"/>
            <w:szCs w:val="24"/>
          </w:rPr>
          <w:t xml:space="preserve">                                                           </w:t>
        </w:r>
        <w:r w:rsidRPr="00396779">
          <w:rPr>
            <w:rFonts w:asciiTheme="minorHAnsi" w:hAnsiTheme="minorHAnsi"/>
            <w:caps/>
            <w:color w:val="auto"/>
          </w:rPr>
          <w:t>PD</w:t>
        </w:r>
        <w:r>
          <w:rPr>
            <w:rFonts w:asciiTheme="minorHAnsi" w:hAnsiTheme="minorHAnsi"/>
            <w:caps/>
            <w:color w:val="auto"/>
          </w:rPr>
          <w:t>1001103</w:t>
        </w:r>
      </w:p>
    </w:sdtContent>
  </w:sdt>
  <w:p w:rsidR="007B13B8" w:rsidRPr="00684CE6" w:rsidRDefault="007B13B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0BF" w:rsidRDefault="00DF60BF">
      <w:r>
        <w:separator/>
      </w:r>
    </w:p>
  </w:footnote>
  <w:footnote w:type="continuationSeparator" w:id="0">
    <w:p w:rsidR="00DF60BF" w:rsidRDefault="00DF6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4514"/>
  </w:hdrShapeDefaults>
  <w:footnotePr>
    <w:numRestart w:val="eachSect"/>
    <w:footnote w:id="-1"/>
    <w:footnote w:id="0"/>
  </w:footnotePr>
  <w:endnotePr>
    <w:endnote w:id="-1"/>
    <w:endnote w:id="0"/>
  </w:endnotePr>
  <w:compat/>
  <w:rsids>
    <w:rsidRoot w:val="001C28D1"/>
    <w:rsid w:val="000024F5"/>
    <w:rsid w:val="000059FA"/>
    <w:rsid w:val="00006186"/>
    <w:rsid w:val="00006A6B"/>
    <w:rsid w:val="00006F87"/>
    <w:rsid w:val="00007107"/>
    <w:rsid w:val="00010711"/>
    <w:rsid w:val="00010ABA"/>
    <w:rsid w:val="00010B0F"/>
    <w:rsid w:val="00012428"/>
    <w:rsid w:val="00012733"/>
    <w:rsid w:val="00013417"/>
    <w:rsid w:val="00013DC5"/>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A6509"/>
    <w:rsid w:val="000B028C"/>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85E"/>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5ED0"/>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67B"/>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0A2"/>
    <w:rsid w:val="00143B79"/>
    <w:rsid w:val="00145965"/>
    <w:rsid w:val="00147861"/>
    <w:rsid w:val="00150B8A"/>
    <w:rsid w:val="00150DCB"/>
    <w:rsid w:val="00151912"/>
    <w:rsid w:val="00153740"/>
    <w:rsid w:val="001537D8"/>
    <w:rsid w:val="00153D88"/>
    <w:rsid w:val="001541C5"/>
    <w:rsid w:val="0015623F"/>
    <w:rsid w:val="00156585"/>
    <w:rsid w:val="00156BA9"/>
    <w:rsid w:val="00157A0F"/>
    <w:rsid w:val="00161642"/>
    <w:rsid w:val="00161761"/>
    <w:rsid w:val="00166182"/>
    <w:rsid w:val="001665A7"/>
    <w:rsid w:val="001667F4"/>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029"/>
    <w:rsid w:val="001B755A"/>
    <w:rsid w:val="001B7A7F"/>
    <w:rsid w:val="001B7C8C"/>
    <w:rsid w:val="001B7D6D"/>
    <w:rsid w:val="001C051D"/>
    <w:rsid w:val="001C0688"/>
    <w:rsid w:val="001C181A"/>
    <w:rsid w:val="001C1877"/>
    <w:rsid w:val="001C2053"/>
    <w:rsid w:val="001C252F"/>
    <w:rsid w:val="001C28D1"/>
    <w:rsid w:val="001C317C"/>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15C8"/>
    <w:rsid w:val="00202325"/>
    <w:rsid w:val="00202736"/>
    <w:rsid w:val="00203652"/>
    <w:rsid w:val="00204562"/>
    <w:rsid w:val="00205B4F"/>
    <w:rsid w:val="002060B6"/>
    <w:rsid w:val="002066B5"/>
    <w:rsid w:val="00210EAC"/>
    <w:rsid w:val="00211612"/>
    <w:rsid w:val="002119B6"/>
    <w:rsid w:val="00212389"/>
    <w:rsid w:val="00212B40"/>
    <w:rsid w:val="00212F36"/>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4A70"/>
    <w:rsid w:val="00225080"/>
    <w:rsid w:val="00225196"/>
    <w:rsid w:val="00225CB4"/>
    <w:rsid w:val="00226B1A"/>
    <w:rsid w:val="00227F0B"/>
    <w:rsid w:val="0023049F"/>
    <w:rsid w:val="002310C3"/>
    <w:rsid w:val="002316F6"/>
    <w:rsid w:val="002327E7"/>
    <w:rsid w:val="00232C9B"/>
    <w:rsid w:val="00232E73"/>
    <w:rsid w:val="00232F09"/>
    <w:rsid w:val="002335D5"/>
    <w:rsid w:val="002338CA"/>
    <w:rsid w:val="00233FE5"/>
    <w:rsid w:val="00234B3B"/>
    <w:rsid w:val="00234D98"/>
    <w:rsid w:val="00235AD0"/>
    <w:rsid w:val="00236018"/>
    <w:rsid w:val="002374C9"/>
    <w:rsid w:val="002412A8"/>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1DB7"/>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358C"/>
    <w:rsid w:val="002A4119"/>
    <w:rsid w:val="002A58B7"/>
    <w:rsid w:val="002A5943"/>
    <w:rsid w:val="002A5C3C"/>
    <w:rsid w:val="002A685E"/>
    <w:rsid w:val="002A70D3"/>
    <w:rsid w:val="002A72C7"/>
    <w:rsid w:val="002A7B64"/>
    <w:rsid w:val="002B0204"/>
    <w:rsid w:val="002B03B2"/>
    <w:rsid w:val="002B0749"/>
    <w:rsid w:val="002B2645"/>
    <w:rsid w:val="002B303A"/>
    <w:rsid w:val="002B32E9"/>
    <w:rsid w:val="002B4E22"/>
    <w:rsid w:val="002B6FA0"/>
    <w:rsid w:val="002B7710"/>
    <w:rsid w:val="002C0DEA"/>
    <w:rsid w:val="002C2807"/>
    <w:rsid w:val="002C34F6"/>
    <w:rsid w:val="002C3B6D"/>
    <w:rsid w:val="002C3F59"/>
    <w:rsid w:val="002C5D9D"/>
    <w:rsid w:val="002C5F10"/>
    <w:rsid w:val="002C6E5B"/>
    <w:rsid w:val="002D08F3"/>
    <w:rsid w:val="002D18B4"/>
    <w:rsid w:val="002D2058"/>
    <w:rsid w:val="002D231A"/>
    <w:rsid w:val="002D5330"/>
    <w:rsid w:val="002D5F57"/>
    <w:rsid w:val="002D6A3E"/>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6BA"/>
    <w:rsid w:val="002F6AD8"/>
    <w:rsid w:val="002F7164"/>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43E"/>
    <w:rsid w:val="0033248E"/>
    <w:rsid w:val="003328FD"/>
    <w:rsid w:val="00332DE3"/>
    <w:rsid w:val="0033334F"/>
    <w:rsid w:val="0033414F"/>
    <w:rsid w:val="00334514"/>
    <w:rsid w:val="0033555E"/>
    <w:rsid w:val="0033601F"/>
    <w:rsid w:val="00336805"/>
    <w:rsid w:val="00337351"/>
    <w:rsid w:val="0034119E"/>
    <w:rsid w:val="00341A54"/>
    <w:rsid w:val="003435AA"/>
    <w:rsid w:val="00344A4F"/>
    <w:rsid w:val="00344D17"/>
    <w:rsid w:val="0034669F"/>
    <w:rsid w:val="003470C4"/>
    <w:rsid w:val="00351498"/>
    <w:rsid w:val="00352B22"/>
    <w:rsid w:val="00352CBF"/>
    <w:rsid w:val="00353ADC"/>
    <w:rsid w:val="00354547"/>
    <w:rsid w:val="003549F5"/>
    <w:rsid w:val="00355ACB"/>
    <w:rsid w:val="003565CD"/>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9A7"/>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3382"/>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60FA"/>
    <w:rsid w:val="003C7AEC"/>
    <w:rsid w:val="003D2BA3"/>
    <w:rsid w:val="003D316B"/>
    <w:rsid w:val="003D3C22"/>
    <w:rsid w:val="003D4ACF"/>
    <w:rsid w:val="003D56A0"/>
    <w:rsid w:val="003D609F"/>
    <w:rsid w:val="003D69F5"/>
    <w:rsid w:val="003D7089"/>
    <w:rsid w:val="003D7DDB"/>
    <w:rsid w:val="003E024F"/>
    <w:rsid w:val="003E02C7"/>
    <w:rsid w:val="003E0543"/>
    <w:rsid w:val="003E061D"/>
    <w:rsid w:val="003E0905"/>
    <w:rsid w:val="003E0B5A"/>
    <w:rsid w:val="003E1682"/>
    <w:rsid w:val="003E317D"/>
    <w:rsid w:val="003E31E3"/>
    <w:rsid w:val="003E3E93"/>
    <w:rsid w:val="003E46D1"/>
    <w:rsid w:val="003E6214"/>
    <w:rsid w:val="003F070E"/>
    <w:rsid w:val="003F1206"/>
    <w:rsid w:val="003F2418"/>
    <w:rsid w:val="003F28DB"/>
    <w:rsid w:val="003F2EEE"/>
    <w:rsid w:val="003F58B0"/>
    <w:rsid w:val="003F776F"/>
    <w:rsid w:val="004000F7"/>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368"/>
    <w:rsid w:val="0044769D"/>
    <w:rsid w:val="0045027B"/>
    <w:rsid w:val="004504E7"/>
    <w:rsid w:val="00451F9D"/>
    <w:rsid w:val="00453167"/>
    <w:rsid w:val="004531AE"/>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67F6B"/>
    <w:rsid w:val="004703B4"/>
    <w:rsid w:val="004718E7"/>
    <w:rsid w:val="00472289"/>
    <w:rsid w:val="00472535"/>
    <w:rsid w:val="004761CC"/>
    <w:rsid w:val="004766C9"/>
    <w:rsid w:val="00480D4A"/>
    <w:rsid w:val="00481DA1"/>
    <w:rsid w:val="00483A2B"/>
    <w:rsid w:val="00484212"/>
    <w:rsid w:val="004848C3"/>
    <w:rsid w:val="00484BA9"/>
    <w:rsid w:val="00485761"/>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8AE"/>
    <w:rsid w:val="004B0CC9"/>
    <w:rsid w:val="004B2536"/>
    <w:rsid w:val="004B46D7"/>
    <w:rsid w:val="004B6703"/>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1272"/>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3052"/>
    <w:rsid w:val="00514449"/>
    <w:rsid w:val="00515419"/>
    <w:rsid w:val="005157BD"/>
    <w:rsid w:val="00515FC7"/>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372C5"/>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159F"/>
    <w:rsid w:val="0055288D"/>
    <w:rsid w:val="00555259"/>
    <w:rsid w:val="00555C66"/>
    <w:rsid w:val="005569EF"/>
    <w:rsid w:val="00556BDE"/>
    <w:rsid w:val="00560D57"/>
    <w:rsid w:val="00562A94"/>
    <w:rsid w:val="00562B68"/>
    <w:rsid w:val="00563FAD"/>
    <w:rsid w:val="0056446E"/>
    <w:rsid w:val="005701C1"/>
    <w:rsid w:val="005703BF"/>
    <w:rsid w:val="00570754"/>
    <w:rsid w:val="005709F7"/>
    <w:rsid w:val="00570EAA"/>
    <w:rsid w:val="005710A9"/>
    <w:rsid w:val="005716B0"/>
    <w:rsid w:val="00571B11"/>
    <w:rsid w:val="00571D1B"/>
    <w:rsid w:val="00571DA3"/>
    <w:rsid w:val="005738F5"/>
    <w:rsid w:val="00573D34"/>
    <w:rsid w:val="005743E1"/>
    <w:rsid w:val="00574A1B"/>
    <w:rsid w:val="005753B0"/>
    <w:rsid w:val="00575963"/>
    <w:rsid w:val="00575EBE"/>
    <w:rsid w:val="0058039C"/>
    <w:rsid w:val="00580A63"/>
    <w:rsid w:val="00582024"/>
    <w:rsid w:val="00583379"/>
    <w:rsid w:val="0058417C"/>
    <w:rsid w:val="005854F9"/>
    <w:rsid w:val="00586EC6"/>
    <w:rsid w:val="00587DDE"/>
    <w:rsid w:val="00592FC9"/>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0CD6"/>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5"/>
    <w:rsid w:val="005D67EF"/>
    <w:rsid w:val="005E3064"/>
    <w:rsid w:val="005E5089"/>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5F798D"/>
    <w:rsid w:val="006008F8"/>
    <w:rsid w:val="0060229B"/>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1D6"/>
    <w:rsid w:val="0062359D"/>
    <w:rsid w:val="00623634"/>
    <w:rsid w:val="00624D0C"/>
    <w:rsid w:val="00626A0F"/>
    <w:rsid w:val="006274B4"/>
    <w:rsid w:val="006307BA"/>
    <w:rsid w:val="006315BA"/>
    <w:rsid w:val="006332FA"/>
    <w:rsid w:val="00634C4A"/>
    <w:rsid w:val="0063532E"/>
    <w:rsid w:val="0063579F"/>
    <w:rsid w:val="00635DE7"/>
    <w:rsid w:val="006364ED"/>
    <w:rsid w:val="00637063"/>
    <w:rsid w:val="0063737C"/>
    <w:rsid w:val="00637BDC"/>
    <w:rsid w:val="00640363"/>
    <w:rsid w:val="00640622"/>
    <w:rsid w:val="006418C9"/>
    <w:rsid w:val="00642BD6"/>
    <w:rsid w:val="00643C8F"/>
    <w:rsid w:val="00645046"/>
    <w:rsid w:val="0064527A"/>
    <w:rsid w:val="006458FD"/>
    <w:rsid w:val="00645DE8"/>
    <w:rsid w:val="00645E9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57F16"/>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2BC"/>
    <w:rsid w:val="006857A0"/>
    <w:rsid w:val="00685B45"/>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16D"/>
    <w:rsid w:val="006A12E0"/>
    <w:rsid w:val="006A40E6"/>
    <w:rsid w:val="006A516B"/>
    <w:rsid w:val="006A5362"/>
    <w:rsid w:val="006A543A"/>
    <w:rsid w:val="006A5C07"/>
    <w:rsid w:val="006A75FA"/>
    <w:rsid w:val="006B07D5"/>
    <w:rsid w:val="006B1309"/>
    <w:rsid w:val="006B31E6"/>
    <w:rsid w:val="006B3923"/>
    <w:rsid w:val="006B3BC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1A13"/>
    <w:rsid w:val="006D2000"/>
    <w:rsid w:val="006D2D39"/>
    <w:rsid w:val="006D2F31"/>
    <w:rsid w:val="006D4250"/>
    <w:rsid w:val="006D4E0E"/>
    <w:rsid w:val="006D5861"/>
    <w:rsid w:val="006D5CE2"/>
    <w:rsid w:val="006D6512"/>
    <w:rsid w:val="006D7854"/>
    <w:rsid w:val="006E06D1"/>
    <w:rsid w:val="006E122E"/>
    <w:rsid w:val="006E1313"/>
    <w:rsid w:val="006E2DC8"/>
    <w:rsid w:val="006E58CB"/>
    <w:rsid w:val="006E6B68"/>
    <w:rsid w:val="006E7356"/>
    <w:rsid w:val="006E77C8"/>
    <w:rsid w:val="006F0F9C"/>
    <w:rsid w:val="006F149D"/>
    <w:rsid w:val="006F1A46"/>
    <w:rsid w:val="006F31BD"/>
    <w:rsid w:val="006F45A0"/>
    <w:rsid w:val="006F4F06"/>
    <w:rsid w:val="006F5A4E"/>
    <w:rsid w:val="006F5D37"/>
    <w:rsid w:val="006F6005"/>
    <w:rsid w:val="007005EA"/>
    <w:rsid w:val="00701988"/>
    <w:rsid w:val="0070220D"/>
    <w:rsid w:val="007029BB"/>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B1A"/>
    <w:rsid w:val="007149E7"/>
    <w:rsid w:val="00715C07"/>
    <w:rsid w:val="007165CE"/>
    <w:rsid w:val="007168E1"/>
    <w:rsid w:val="00717CEB"/>
    <w:rsid w:val="0072035D"/>
    <w:rsid w:val="00720968"/>
    <w:rsid w:val="00721705"/>
    <w:rsid w:val="00721B7A"/>
    <w:rsid w:val="00721D12"/>
    <w:rsid w:val="00721F8B"/>
    <w:rsid w:val="007236E0"/>
    <w:rsid w:val="007237CE"/>
    <w:rsid w:val="00724619"/>
    <w:rsid w:val="00724688"/>
    <w:rsid w:val="00725127"/>
    <w:rsid w:val="00725BC5"/>
    <w:rsid w:val="007260A9"/>
    <w:rsid w:val="00726C1D"/>
    <w:rsid w:val="00726FFA"/>
    <w:rsid w:val="007272F1"/>
    <w:rsid w:val="00727565"/>
    <w:rsid w:val="0073062D"/>
    <w:rsid w:val="0073093B"/>
    <w:rsid w:val="00731866"/>
    <w:rsid w:val="0073254D"/>
    <w:rsid w:val="00733E32"/>
    <w:rsid w:val="007340F3"/>
    <w:rsid w:val="007346BD"/>
    <w:rsid w:val="007347BB"/>
    <w:rsid w:val="00735704"/>
    <w:rsid w:val="007368FA"/>
    <w:rsid w:val="00736A49"/>
    <w:rsid w:val="007419A1"/>
    <w:rsid w:val="00743B71"/>
    <w:rsid w:val="00743C2D"/>
    <w:rsid w:val="00743C3A"/>
    <w:rsid w:val="00743E36"/>
    <w:rsid w:val="00743F05"/>
    <w:rsid w:val="007441C1"/>
    <w:rsid w:val="007446F7"/>
    <w:rsid w:val="00744EBB"/>
    <w:rsid w:val="0074587C"/>
    <w:rsid w:val="00745B0A"/>
    <w:rsid w:val="00745DBE"/>
    <w:rsid w:val="007468AC"/>
    <w:rsid w:val="00746AE2"/>
    <w:rsid w:val="00747C5E"/>
    <w:rsid w:val="00750C82"/>
    <w:rsid w:val="00750E3A"/>
    <w:rsid w:val="00752035"/>
    <w:rsid w:val="00754696"/>
    <w:rsid w:val="0076100C"/>
    <w:rsid w:val="007612A5"/>
    <w:rsid w:val="00763CAE"/>
    <w:rsid w:val="00763F95"/>
    <w:rsid w:val="007651ED"/>
    <w:rsid w:val="00766C87"/>
    <w:rsid w:val="00771043"/>
    <w:rsid w:val="0077272B"/>
    <w:rsid w:val="00772C4A"/>
    <w:rsid w:val="00773AF7"/>
    <w:rsid w:val="00774FFD"/>
    <w:rsid w:val="00776541"/>
    <w:rsid w:val="007767FE"/>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3B8"/>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4E78"/>
    <w:rsid w:val="007D568A"/>
    <w:rsid w:val="007D574E"/>
    <w:rsid w:val="007D57C0"/>
    <w:rsid w:val="007D67CB"/>
    <w:rsid w:val="007D6BFE"/>
    <w:rsid w:val="007E176C"/>
    <w:rsid w:val="007E2046"/>
    <w:rsid w:val="007E3498"/>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0C38"/>
    <w:rsid w:val="00811BD9"/>
    <w:rsid w:val="00811D5B"/>
    <w:rsid w:val="00813C51"/>
    <w:rsid w:val="00816CCB"/>
    <w:rsid w:val="00817572"/>
    <w:rsid w:val="00817713"/>
    <w:rsid w:val="008208C3"/>
    <w:rsid w:val="008220F1"/>
    <w:rsid w:val="0082340B"/>
    <w:rsid w:val="00823D6A"/>
    <w:rsid w:val="00825435"/>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AFD"/>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188E"/>
    <w:rsid w:val="0085206E"/>
    <w:rsid w:val="00852273"/>
    <w:rsid w:val="0085293D"/>
    <w:rsid w:val="00852AD4"/>
    <w:rsid w:val="00852BA8"/>
    <w:rsid w:val="00852BF0"/>
    <w:rsid w:val="00853718"/>
    <w:rsid w:val="008541EF"/>
    <w:rsid w:val="00856428"/>
    <w:rsid w:val="00856AC7"/>
    <w:rsid w:val="00856FA4"/>
    <w:rsid w:val="00860869"/>
    <w:rsid w:val="00860AF2"/>
    <w:rsid w:val="00860E60"/>
    <w:rsid w:val="0086102A"/>
    <w:rsid w:val="0086162B"/>
    <w:rsid w:val="00861710"/>
    <w:rsid w:val="00861D5C"/>
    <w:rsid w:val="00861E7C"/>
    <w:rsid w:val="0086429C"/>
    <w:rsid w:val="008643A3"/>
    <w:rsid w:val="00865207"/>
    <w:rsid w:val="008656A7"/>
    <w:rsid w:val="00865FA3"/>
    <w:rsid w:val="00866231"/>
    <w:rsid w:val="00871262"/>
    <w:rsid w:val="0087170E"/>
    <w:rsid w:val="00871D4E"/>
    <w:rsid w:val="00871E7B"/>
    <w:rsid w:val="008721BB"/>
    <w:rsid w:val="00872CBC"/>
    <w:rsid w:val="00873784"/>
    <w:rsid w:val="008751BC"/>
    <w:rsid w:val="0087566D"/>
    <w:rsid w:val="00875B50"/>
    <w:rsid w:val="00875B51"/>
    <w:rsid w:val="00875F2D"/>
    <w:rsid w:val="008762E7"/>
    <w:rsid w:val="008764DC"/>
    <w:rsid w:val="00881A13"/>
    <w:rsid w:val="00882CC2"/>
    <w:rsid w:val="00883103"/>
    <w:rsid w:val="0088325A"/>
    <w:rsid w:val="00883930"/>
    <w:rsid w:val="00884535"/>
    <w:rsid w:val="008902BE"/>
    <w:rsid w:val="0089038F"/>
    <w:rsid w:val="00890CDA"/>
    <w:rsid w:val="0089118B"/>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088A"/>
    <w:rsid w:val="008C22F3"/>
    <w:rsid w:val="008C3223"/>
    <w:rsid w:val="008C3FD0"/>
    <w:rsid w:val="008C4F01"/>
    <w:rsid w:val="008C5152"/>
    <w:rsid w:val="008C5D20"/>
    <w:rsid w:val="008C710E"/>
    <w:rsid w:val="008D1484"/>
    <w:rsid w:val="008D29E7"/>
    <w:rsid w:val="008D3043"/>
    <w:rsid w:val="008D5104"/>
    <w:rsid w:val="008D75F4"/>
    <w:rsid w:val="008D795D"/>
    <w:rsid w:val="008D7B07"/>
    <w:rsid w:val="008E0D8F"/>
    <w:rsid w:val="008E0F4E"/>
    <w:rsid w:val="008E1E94"/>
    <w:rsid w:val="008E2D99"/>
    <w:rsid w:val="008E30D4"/>
    <w:rsid w:val="008E38B0"/>
    <w:rsid w:val="008E3C90"/>
    <w:rsid w:val="008E4A60"/>
    <w:rsid w:val="008E744D"/>
    <w:rsid w:val="008E7966"/>
    <w:rsid w:val="008F1B15"/>
    <w:rsid w:val="008F1E08"/>
    <w:rsid w:val="008F30F4"/>
    <w:rsid w:val="008F449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55E"/>
    <w:rsid w:val="00931B6D"/>
    <w:rsid w:val="0093311A"/>
    <w:rsid w:val="009346D0"/>
    <w:rsid w:val="009369A6"/>
    <w:rsid w:val="00937F57"/>
    <w:rsid w:val="0094031E"/>
    <w:rsid w:val="009419B4"/>
    <w:rsid w:val="00941A4C"/>
    <w:rsid w:val="00942645"/>
    <w:rsid w:val="0094487C"/>
    <w:rsid w:val="009461E6"/>
    <w:rsid w:val="00947C44"/>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5798A"/>
    <w:rsid w:val="00960357"/>
    <w:rsid w:val="0096168C"/>
    <w:rsid w:val="00961840"/>
    <w:rsid w:val="009625E3"/>
    <w:rsid w:val="00962F2D"/>
    <w:rsid w:val="00963A7A"/>
    <w:rsid w:val="00966514"/>
    <w:rsid w:val="009672CD"/>
    <w:rsid w:val="00971810"/>
    <w:rsid w:val="0097258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96AB4"/>
    <w:rsid w:val="009A0DE3"/>
    <w:rsid w:val="009A1643"/>
    <w:rsid w:val="009A215A"/>
    <w:rsid w:val="009A26B9"/>
    <w:rsid w:val="009A49D3"/>
    <w:rsid w:val="009A4F1B"/>
    <w:rsid w:val="009A5D88"/>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3DF8"/>
    <w:rsid w:val="009D4077"/>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650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4255"/>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26BA"/>
    <w:rsid w:val="00A730B0"/>
    <w:rsid w:val="00A73B84"/>
    <w:rsid w:val="00A7411D"/>
    <w:rsid w:val="00A756C4"/>
    <w:rsid w:val="00A7592B"/>
    <w:rsid w:val="00A75ED7"/>
    <w:rsid w:val="00A76094"/>
    <w:rsid w:val="00A768E2"/>
    <w:rsid w:val="00A8067F"/>
    <w:rsid w:val="00A82413"/>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7D4"/>
    <w:rsid w:val="00AA38CA"/>
    <w:rsid w:val="00AA438B"/>
    <w:rsid w:val="00AA493E"/>
    <w:rsid w:val="00AA73AF"/>
    <w:rsid w:val="00AB062D"/>
    <w:rsid w:val="00AB0A8A"/>
    <w:rsid w:val="00AB1754"/>
    <w:rsid w:val="00AB1F8D"/>
    <w:rsid w:val="00AB247E"/>
    <w:rsid w:val="00AB27DD"/>
    <w:rsid w:val="00AB4BA4"/>
    <w:rsid w:val="00AB592E"/>
    <w:rsid w:val="00AB6F26"/>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A97"/>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5D38"/>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61C"/>
    <w:rsid w:val="00B37F53"/>
    <w:rsid w:val="00B40A05"/>
    <w:rsid w:val="00B40A3E"/>
    <w:rsid w:val="00B41C65"/>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0E6"/>
    <w:rsid w:val="00B643A6"/>
    <w:rsid w:val="00B64DD6"/>
    <w:rsid w:val="00B66505"/>
    <w:rsid w:val="00B6710C"/>
    <w:rsid w:val="00B67E84"/>
    <w:rsid w:val="00B713C0"/>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0559"/>
    <w:rsid w:val="00B91676"/>
    <w:rsid w:val="00B9322B"/>
    <w:rsid w:val="00B93640"/>
    <w:rsid w:val="00B955D5"/>
    <w:rsid w:val="00B95833"/>
    <w:rsid w:val="00BA1824"/>
    <w:rsid w:val="00BA2D98"/>
    <w:rsid w:val="00BA2F0C"/>
    <w:rsid w:val="00BA30D1"/>
    <w:rsid w:val="00BA30E1"/>
    <w:rsid w:val="00BA4609"/>
    <w:rsid w:val="00BA49C6"/>
    <w:rsid w:val="00BA5BE2"/>
    <w:rsid w:val="00BA5EC8"/>
    <w:rsid w:val="00BA6A9C"/>
    <w:rsid w:val="00BA7F46"/>
    <w:rsid w:val="00BB0388"/>
    <w:rsid w:val="00BB0A0A"/>
    <w:rsid w:val="00BB133C"/>
    <w:rsid w:val="00BB1F04"/>
    <w:rsid w:val="00BB45B5"/>
    <w:rsid w:val="00BB4DDE"/>
    <w:rsid w:val="00BB6064"/>
    <w:rsid w:val="00BB65CE"/>
    <w:rsid w:val="00BB6E1D"/>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2A"/>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5C31"/>
    <w:rsid w:val="00C162E1"/>
    <w:rsid w:val="00C16BE4"/>
    <w:rsid w:val="00C16E9F"/>
    <w:rsid w:val="00C1713D"/>
    <w:rsid w:val="00C17523"/>
    <w:rsid w:val="00C177F1"/>
    <w:rsid w:val="00C17EE6"/>
    <w:rsid w:val="00C20D4F"/>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1F4"/>
    <w:rsid w:val="00C34247"/>
    <w:rsid w:val="00C34326"/>
    <w:rsid w:val="00C34CEB"/>
    <w:rsid w:val="00C34E29"/>
    <w:rsid w:val="00C36201"/>
    <w:rsid w:val="00C368E8"/>
    <w:rsid w:val="00C36C3D"/>
    <w:rsid w:val="00C372C7"/>
    <w:rsid w:val="00C376A7"/>
    <w:rsid w:val="00C415C6"/>
    <w:rsid w:val="00C42443"/>
    <w:rsid w:val="00C42CBA"/>
    <w:rsid w:val="00C4338C"/>
    <w:rsid w:val="00C43C2B"/>
    <w:rsid w:val="00C45B27"/>
    <w:rsid w:val="00C4652E"/>
    <w:rsid w:val="00C472C7"/>
    <w:rsid w:val="00C5019E"/>
    <w:rsid w:val="00C50C8C"/>
    <w:rsid w:val="00C51962"/>
    <w:rsid w:val="00C5377C"/>
    <w:rsid w:val="00C53B25"/>
    <w:rsid w:val="00C53E8A"/>
    <w:rsid w:val="00C54DF3"/>
    <w:rsid w:val="00C560A7"/>
    <w:rsid w:val="00C56FC8"/>
    <w:rsid w:val="00C60F23"/>
    <w:rsid w:val="00C6170B"/>
    <w:rsid w:val="00C62EB2"/>
    <w:rsid w:val="00C63431"/>
    <w:rsid w:val="00C63E98"/>
    <w:rsid w:val="00C64C87"/>
    <w:rsid w:val="00C65414"/>
    <w:rsid w:val="00C665FE"/>
    <w:rsid w:val="00C675E0"/>
    <w:rsid w:val="00C70584"/>
    <w:rsid w:val="00C71BEC"/>
    <w:rsid w:val="00C73942"/>
    <w:rsid w:val="00C73A83"/>
    <w:rsid w:val="00C74D3A"/>
    <w:rsid w:val="00C75F3D"/>
    <w:rsid w:val="00C80511"/>
    <w:rsid w:val="00C80655"/>
    <w:rsid w:val="00C81937"/>
    <w:rsid w:val="00C826F5"/>
    <w:rsid w:val="00C82AEF"/>
    <w:rsid w:val="00C83740"/>
    <w:rsid w:val="00C84527"/>
    <w:rsid w:val="00C84AD1"/>
    <w:rsid w:val="00C85579"/>
    <w:rsid w:val="00C8590C"/>
    <w:rsid w:val="00C862F1"/>
    <w:rsid w:val="00C863E5"/>
    <w:rsid w:val="00C87BE6"/>
    <w:rsid w:val="00C87F76"/>
    <w:rsid w:val="00C929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0406"/>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7E6"/>
    <w:rsid w:val="00CE0DE0"/>
    <w:rsid w:val="00CE2CC2"/>
    <w:rsid w:val="00CE3722"/>
    <w:rsid w:val="00CE4605"/>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43C"/>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9E1"/>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4B7"/>
    <w:rsid w:val="00D63577"/>
    <w:rsid w:val="00D66D97"/>
    <w:rsid w:val="00D67FD7"/>
    <w:rsid w:val="00D704E4"/>
    <w:rsid w:val="00D7111F"/>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1F4B"/>
    <w:rsid w:val="00DC4001"/>
    <w:rsid w:val="00DC41C3"/>
    <w:rsid w:val="00DC4A3C"/>
    <w:rsid w:val="00DC4FA4"/>
    <w:rsid w:val="00DC50B7"/>
    <w:rsid w:val="00DC5B37"/>
    <w:rsid w:val="00DD1275"/>
    <w:rsid w:val="00DD286D"/>
    <w:rsid w:val="00DD2CAF"/>
    <w:rsid w:val="00DD3593"/>
    <w:rsid w:val="00DD64E0"/>
    <w:rsid w:val="00DD775C"/>
    <w:rsid w:val="00DD7BE0"/>
    <w:rsid w:val="00DE0C67"/>
    <w:rsid w:val="00DE2972"/>
    <w:rsid w:val="00DE3AAD"/>
    <w:rsid w:val="00DE598A"/>
    <w:rsid w:val="00DE6952"/>
    <w:rsid w:val="00DE6FBE"/>
    <w:rsid w:val="00DE7A7D"/>
    <w:rsid w:val="00DE7E74"/>
    <w:rsid w:val="00DF071B"/>
    <w:rsid w:val="00DF2139"/>
    <w:rsid w:val="00DF5C84"/>
    <w:rsid w:val="00DF5EC0"/>
    <w:rsid w:val="00DF60BF"/>
    <w:rsid w:val="00DF6EF8"/>
    <w:rsid w:val="00DF6EFE"/>
    <w:rsid w:val="00E00A69"/>
    <w:rsid w:val="00E017BC"/>
    <w:rsid w:val="00E017F0"/>
    <w:rsid w:val="00E01A0E"/>
    <w:rsid w:val="00E025FE"/>
    <w:rsid w:val="00E0280F"/>
    <w:rsid w:val="00E0346A"/>
    <w:rsid w:val="00E041E4"/>
    <w:rsid w:val="00E04AEE"/>
    <w:rsid w:val="00E06BBD"/>
    <w:rsid w:val="00E100E3"/>
    <w:rsid w:val="00E1012B"/>
    <w:rsid w:val="00E103C8"/>
    <w:rsid w:val="00E1085B"/>
    <w:rsid w:val="00E1308B"/>
    <w:rsid w:val="00E13516"/>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2960"/>
    <w:rsid w:val="00E72A6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45F"/>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1EDC"/>
    <w:rsid w:val="00EC2938"/>
    <w:rsid w:val="00EC337D"/>
    <w:rsid w:val="00EC38EF"/>
    <w:rsid w:val="00EC50C9"/>
    <w:rsid w:val="00EC58B4"/>
    <w:rsid w:val="00EC5BB2"/>
    <w:rsid w:val="00EC75AF"/>
    <w:rsid w:val="00ED12F0"/>
    <w:rsid w:val="00ED2874"/>
    <w:rsid w:val="00ED290C"/>
    <w:rsid w:val="00ED2A6C"/>
    <w:rsid w:val="00ED4773"/>
    <w:rsid w:val="00ED5284"/>
    <w:rsid w:val="00ED63E7"/>
    <w:rsid w:val="00ED63FC"/>
    <w:rsid w:val="00ED664B"/>
    <w:rsid w:val="00ED6A61"/>
    <w:rsid w:val="00ED768E"/>
    <w:rsid w:val="00ED7DA4"/>
    <w:rsid w:val="00EE03BB"/>
    <w:rsid w:val="00EE0552"/>
    <w:rsid w:val="00EE0B44"/>
    <w:rsid w:val="00EE125D"/>
    <w:rsid w:val="00EE23DE"/>
    <w:rsid w:val="00EE48BB"/>
    <w:rsid w:val="00EE4F04"/>
    <w:rsid w:val="00EE6FE0"/>
    <w:rsid w:val="00EE704A"/>
    <w:rsid w:val="00EE7840"/>
    <w:rsid w:val="00EF2E75"/>
    <w:rsid w:val="00EF45DB"/>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072"/>
    <w:rsid w:val="00F5580D"/>
    <w:rsid w:val="00F56EA1"/>
    <w:rsid w:val="00F606D5"/>
    <w:rsid w:val="00F611B3"/>
    <w:rsid w:val="00F6196E"/>
    <w:rsid w:val="00F61CCC"/>
    <w:rsid w:val="00F624DD"/>
    <w:rsid w:val="00F629C0"/>
    <w:rsid w:val="00F63FC7"/>
    <w:rsid w:val="00F6598A"/>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2C9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4F73"/>
    <w:rsid w:val="00FB593A"/>
    <w:rsid w:val="00FB5C83"/>
    <w:rsid w:val="00FB6410"/>
    <w:rsid w:val="00FB6E82"/>
    <w:rsid w:val="00FB792E"/>
    <w:rsid w:val="00FB7CF0"/>
    <w:rsid w:val="00FC0042"/>
    <w:rsid w:val="00FC1E67"/>
    <w:rsid w:val="00FC2A13"/>
    <w:rsid w:val="00FC4284"/>
    <w:rsid w:val="00FC4576"/>
    <w:rsid w:val="00FC4B8A"/>
    <w:rsid w:val="00FC537E"/>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3759735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1473279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5534778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546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9FF45-FC39-45E1-95A7-BF39E5B7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3928</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2012-02-09T13:16:00Z</cp:lastPrinted>
  <dcterms:created xsi:type="dcterms:W3CDTF">2012-01-27T15:51:00Z</dcterms:created>
  <dcterms:modified xsi:type="dcterms:W3CDTF">2012-03-05T17:27:00Z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