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BA3E01">
        <w:rPr>
          <w:rFonts w:asciiTheme="minorHAnsi" w:hAnsiTheme="minorHAnsi"/>
          <w:caps/>
          <w:color w:val="auto"/>
        </w:rPr>
        <w:t>XXXXXXXXXXXXXXX</w:t>
      </w:r>
      <w:r w:rsidRPr="00B20624">
        <w:rPr>
          <w:rFonts w:asciiTheme="minorHAnsi" w:hAnsiTheme="minorHAnsi"/>
          <w:caps/>
          <w:color w:val="auto"/>
        </w:rPr>
        <w:tab/>
      </w:r>
      <w:r w:rsidRPr="00B20624">
        <w:rPr>
          <w:rFonts w:asciiTheme="minorHAnsi" w:hAnsiTheme="minorHAnsi"/>
          <w:caps/>
          <w:color w:val="auto"/>
        </w:rPr>
        <w:tab/>
      </w:r>
      <w:r w:rsidR="008B1D65">
        <w:rPr>
          <w:rFonts w:asciiTheme="minorHAnsi" w:hAnsiTheme="minorHAnsi"/>
          <w:caps/>
          <w:color w:val="auto"/>
        </w:rPr>
        <w:tab/>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8B1D65">
        <w:rPr>
          <w:rFonts w:asciiTheme="minorHAnsi" w:hAnsiTheme="minorHAnsi"/>
          <w:caps/>
          <w:color w:val="auto"/>
        </w:rPr>
        <w:t>coast guard</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5623F4">
        <w:rPr>
          <w:rFonts w:asciiTheme="minorHAnsi" w:hAnsiTheme="minorHAnsi"/>
          <w:caps/>
          <w:color w:val="auto"/>
        </w:rPr>
        <w:t>PD</w:t>
      </w:r>
      <w:r w:rsidR="00A875E7" w:rsidRPr="005623F4">
        <w:rPr>
          <w:rFonts w:asciiTheme="minorHAnsi" w:hAnsiTheme="minorHAnsi"/>
          <w:caps/>
          <w:color w:val="auto"/>
        </w:rPr>
        <w:t>1</w:t>
      </w:r>
      <w:r w:rsidR="008B1D65" w:rsidRPr="005623F4">
        <w:rPr>
          <w:rFonts w:asciiTheme="minorHAnsi" w:hAnsiTheme="minorHAnsi"/>
          <w:caps/>
          <w:color w:val="auto"/>
        </w:rPr>
        <w:t>001086</w:t>
      </w:r>
      <w:r w:rsidRPr="00B20624">
        <w:rPr>
          <w:rFonts w:asciiTheme="minorHAnsi" w:hAnsiTheme="minorHAnsi"/>
          <w:caps/>
          <w:color w:val="auto"/>
        </w:rPr>
        <w:tab/>
      </w:r>
      <w:r w:rsidRPr="00B20624">
        <w:rPr>
          <w:rFonts w:asciiTheme="minorHAnsi" w:hAnsiTheme="minorHAnsi"/>
          <w:caps/>
          <w:color w:val="auto"/>
        </w:rPr>
        <w:tab/>
      </w:r>
      <w:r w:rsidR="00997D31">
        <w:rPr>
          <w:rFonts w:asciiTheme="minorHAnsi" w:hAnsiTheme="minorHAnsi"/>
          <w:caps/>
          <w:color w:val="auto"/>
        </w:rPr>
        <w:tab/>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5623F4">
        <w:rPr>
          <w:rFonts w:asciiTheme="minorHAnsi" w:hAnsiTheme="minorHAnsi"/>
          <w:caps/>
          <w:color w:val="auto"/>
        </w:rPr>
        <w:t>200</w:t>
      </w:r>
      <w:r w:rsidR="008B1D65" w:rsidRPr="005623F4">
        <w:rPr>
          <w:rFonts w:asciiTheme="minorHAnsi" w:hAnsiTheme="minorHAnsi"/>
          <w:caps/>
          <w:color w:val="auto"/>
        </w:rPr>
        <w:t>61121</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107D9B">
        <w:rPr>
          <w:rFonts w:asciiTheme="minorHAnsi" w:hAnsiTheme="minorHAnsi"/>
          <w:caps/>
          <w:color w:val="auto"/>
        </w:rPr>
        <w:t>1129</w:t>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FF6EA2">
        <w:rPr>
          <w:rFonts w:asciiTheme="minorHAnsi" w:hAnsiTheme="minorHAnsi"/>
          <w:color w:val="auto"/>
          <w:szCs w:val="24"/>
        </w:rPr>
        <w:t xml:space="preserve">active duty </w:t>
      </w:r>
      <w:r w:rsidR="006B6876">
        <w:rPr>
          <w:rFonts w:asciiTheme="minorHAnsi" w:hAnsiTheme="minorHAnsi"/>
          <w:color w:val="auto"/>
          <w:szCs w:val="24"/>
        </w:rPr>
        <w:t>PO2</w:t>
      </w:r>
      <w:r w:rsidR="00DB2D50" w:rsidRPr="00FF6EA2">
        <w:rPr>
          <w:rFonts w:asciiTheme="minorHAnsi" w:hAnsiTheme="minorHAnsi"/>
          <w:color w:val="auto"/>
          <w:szCs w:val="24"/>
        </w:rPr>
        <w:t>/E-</w:t>
      </w:r>
      <w:r w:rsidR="00171A44" w:rsidRPr="00FF6EA2">
        <w:rPr>
          <w:rFonts w:asciiTheme="minorHAnsi" w:hAnsiTheme="minorHAnsi"/>
          <w:color w:val="auto"/>
          <w:szCs w:val="24"/>
        </w:rPr>
        <w:t>5</w:t>
      </w:r>
      <w:r w:rsidR="00DB2D50" w:rsidRPr="00FF6EA2">
        <w:rPr>
          <w:rFonts w:asciiTheme="minorHAnsi" w:hAnsiTheme="minorHAnsi"/>
          <w:color w:val="auto"/>
          <w:szCs w:val="24"/>
        </w:rPr>
        <w:t xml:space="preserve"> (</w:t>
      </w:r>
      <w:r w:rsidR="003308E7" w:rsidRPr="006B6876">
        <w:rPr>
          <w:rFonts w:asciiTheme="minorHAnsi" w:hAnsiTheme="minorHAnsi"/>
          <w:color w:val="auto"/>
          <w:szCs w:val="24"/>
        </w:rPr>
        <w:t>AMT2</w:t>
      </w:r>
      <w:r w:rsidRPr="00FF6EA2">
        <w:rPr>
          <w:rFonts w:asciiTheme="minorHAnsi" w:hAnsiTheme="minorHAnsi"/>
          <w:color w:val="auto"/>
          <w:szCs w:val="24"/>
        </w:rPr>
        <w:t xml:space="preserve">, </w:t>
      </w:r>
      <w:r w:rsidR="006A2335" w:rsidRPr="00FF6EA2">
        <w:rPr>
          <w:rFonts w:asciiTheme="minorHAnsi" w:hAnsiTheme="minorHAnsi"/>
          <w:color w:val="auto"/>
          <w:szCs w:val="24"/>
        </w:rPr>
        <w:t>Aviation Maintenance</w:t>
      </w:r>
      <w:r w:rsidR="003308E7" w:rsidRPr="00FF6EA2">
        <w:rPr>
          <w:rFonts w:asciiTheme="minorHAnsi" w:hAnsiTheme="minorHAnsi"/>
          <w:color w:val="auto"/>
          <w:szCs w:val="24"/>
        </w:rPr>
        <w:t xml:space="preserve"> Technician</w:t>
      </w:r>
      <w:r w:rsidRPr="00FF6EA2">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FF6EA2">
        <w:rPr>
          <w:rFonts w:asciiTheme="minorHAnsi" w:hAnsiTheme="minorHAnsi"/>
          <w:color w:val="auto"/>
          <w:szCs w:val="24"/>
        </w:rPr>
        <w:t>panic disorder and agoraphobia which</w:t>
      </w:r>
      <w:r w:rsidR="001339A7" w:rsidRPr="00A315F3">
        <w:rPr>
          <w:rFonts w:asciiTheme="minorHAnsi" w:hAnsiTheme="minorHAnsi"/>
          <w:color w:val="auto"/>
          <w:szCs w:val="24"/>
        </w:rPr>
        <w:t xml:space="preserve"> began in </w:t>
      </w:r>
      <w:r w:rsidR="00FF6EA2">
        <w:rPr>
          <w:rFonts w:asciiTheme="minorHAnsi" w:hAnsiTheme="minorHAnsi"/>
          <w:color w:val="auto"/>
          <w:szCs w:val="24"/>
        </w:rPr>
        <w:t xml:space="preserve">2005.  </w:t>
      </w:r>
      <w:r w:rsidR="00EF31F3" w:rsidRPr="00FF6EA2">
        <w:rPr>
          <w:rFonts w:asciiTheme="minorHAnsi" w:hAnsiTheme="minorHAnsi"/>
          <w:color w:val="auto"/>
          <w:szCs w:val="24"/>
        </w:rPr>
        <w:t>He did not respond adequately to treatment and wa</w:t>
      </w:r>
      <w:r w:rsidR="00DA18F0" w:rsidRPr="00FF6EA2">
        <w:rPr>
          <w:rFonts w:asciiTheme="minorHAnsi" w:hAnsiTheme="minorHAnsi"/>
          <w:color w:val="auto"/>
          <w:szCs w:val="24"/>
        </w:rPr>
        <w:t xml:space="preserve">s unable to perform within his </w:t>
      </w:r>
      <w:r w:rsidR="00FF6EA2" w:rsidRPr="00FF6EA2">
        <w:rPr>
          <w:rFonts w:asciiTheme="minorHAnsi" w:hAnsiTheme="minorHAnsi"/>
          <w:color w:val="auto"/>
          <w:szCs w:val="24"/>
        </w:rPr>
        <w:t>specialty rating and underwent</w:t>
      </w:r>
      <w:r w:rsidR="00EF31F3" w:rsidRPr="00FF6EA2">
        <w:rPr>
          <w:rFonts w:asciiTheme="minorHAnsi" w:hAnsiTheme="minorHAnsi"/>
          <w:color w:val="auto"/>
          <w:szCs w:val="24"/>
        </w:rPr>
        <w:t xml:space="preserve"> a Medical Evaluation Board (MEB).</w:t>
      </w:r>
      <w:r w:rsidR="00EF31F3" w:rsidRPr="00A315F3">
        <w:rPr>
          <w:rFonts w:asciiTheme="minorHAnsi" w:hAnsiTheme="minorHAnsi"/>
          <w:color w:val="auto"/>
          <w:szCs w:val="24"/>
        </w:rPr>
        <w:t xml:space="preserve"> </w:t>
      </w:r>
      <w:r w:rsidR="00E56DF3">
        <w:rPr>
          <w:rFonts w:asciiTheme="minorHAnsi" w:hAnsiTheme="minorHAnsi"/>
          <w:color w:val="auto"/>
          <w:szCs w:val="24"/>
        </w:rPr>
        <w:t xml:space="preserve"> </w:t>
      </w:r>
      <w:r w:rsidR="005623F4" w:rsidRPr="00E56DF3">
        <w:rPr>
          <w:rFonts w:asciiTheme="minorHAnsi" w:hAnsiTheme="minorHAnsi"/>
          <w:color w:val="auto"/>
          <w:szCs w:val="24"/>
        </w:rPr>
        <w:t xml:space="preserve">Panic disorder with agoraphobia was </w:t>
      </w:r>
      <w:r w:rsidRPr="00E56DF3">
        <w:rPr>
          <w:rFonts w:asciiTheme="minorHAnsi" w:hAnsiTheme="minorHAnsi"/>
          <w:color w:val="auto"/>
          <w:szCs w:val="24"/>
        </w:rPr>
        <w:t>forwarded to the Physical Evaluation Board (PEB) as medically unacceptable</w:t>
      </w:r>
      <w:r w:rsidR="00E56DF3" w:rsidRPr="00E56DF3">
        <w:rPr>
          <w:rFonts w:asciiTheme="minorHAnsi" w:hAnsiTheme="minorHAnsi"/>
          <w:color w:val="auto"/>
          <w:szCs w:val="24"/>
        </w:rPr>
        <w:t>.</w:t>
      </w:r>
      <w:r w:rsidR="00E56DF3">
        <w:rPr>
          <w:rFonts w:asciiTheme="minorHAnsi" w:hAnsiTheme="minorHAnsi"/>
          <w:color w:val="auto"/>
          <w:szCs w:val="24"/>
        </w:rPr>
        <w:t xml:space="preserve">  Anxiety disorder with social anxiety and adjustment disorders with disturbances of emotion were </w:t>
      </w:r>
      <w:r w:rsidR="002B543C">
        <w:rPr>
          <w:rFonts w:asciiTheme="minorHAnsi" w:hAnsiTheme="minorHAnsi"/>
          <w:color w:val="auto"/>
          <w:szCs w:val="24"/>
        </w:rPr>
        <w:t xml:space="preserve">also identified and </w:t>
      </w:r>
      <w:r w:rsidRPr="00A315F3">
        <w:rPr>
          <w:rFonts w:asciiTheme="minorHAnsi" w:hAnsiTheme="minorHAnsi"/>
          <w:color w:val="auto"/>
          <w:szCs w:val="24"/>
        </w:rPr>
        <w:t xml:space="preserve">forwarded </w:t>
      </w:r>
      <w:r w:rsidRPr="006B6876">
        <w:rPr>
          <w:rFonts w:asciiTheme="minorHAnsi" w:hAnsiTheme="minorHAnsi"/>
          <w:color w:val="auto"/>
          <w:szCs w:val="24"/>
        </w:rPr>
        <w:t xml:space="preserve">as </w:t>
      </w:r>
      <w:r w:rsidR="00E56DF3" w:rsidRPr="006B6876">
        <w:rPr>
          <w:rFonts w:asciiTheme="minorHAnsi" w:hAnsiTheme="minorHAnsi"/>
          <w:color w:val="auto"/>
          <w:szCs w:val="24"/>
        </w:rPr>
        <w:t xml:space="preserve">second and third diagnoses. </w:t>
      </w:r>
      <w:r w:rsidRPr="00A315F3">
        <w:rPr>
          <w:rFonts w:asciiTheme="minorHAnsi" w:hAnsiTheme="minorHAnsi"/>
          <w:color w:val="auto"/>
          <w:szCs w:val="24"/>
        </w:rPr>
        <w:t xml:space="preserve"> </w:t>
      </w:r>
      <w:r w:rsidR="00526308" w:rsidRPr="00A315F3">
        <w:rPr>
          <w:rFonts w:asciiTheme="minorHAnsi" w:hAnsiTheme="minorHAnsi"/>
          <w:color w:val="auto"/>
          <w:szCs w:val="24"/>
        </w:rPr>
        <w:t>No other conditions appeared on the MEB’s submission, and no other conditions with fitness implications were identified in the Disability Evaluation System (DES) file.</w:t>
      </w:r>
      <w:r w:rsidR="00E56DF3">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E56DF3">
        <w:rPr>
          <w:rFonts w:asciiTheme="minorHAnsi" w:hAnsiTheme="minorHAnsi"/>
          <w:color w:val="auto"/>
          <w:szCs w:val="24"/>
        </w:rPr>
        <w:t>panic disorder and agoraphobia</w:t>
      </w:r>
      <w:r w:rsidRPr="00A315F3">
        <w:rPr>
          <w:rFonts w:asciiTheme="minorHAnsi" w:hAnsiTheme="minorHAnsi"/>
          <w:color w:val="auto"/>
          <w:szCs w:val="24"/>
        </w:rPr>
        <w:t xml:space="preserve"> condition as unfitting, rated </w:t>
      </w:r>
      <w:r w:rsidR="00E56DF3">
        <w:rPr>
          <w:rFonts w:asciiTheme="minorHAnsi" w:hAnsiTheme="minorHAnsi"/>
          <w:color w:val="auto"/>
          <w:szCs w:val="24"/>
        </w:rPr>
        <w:t>10</w:t>
      </w:r>
      <w:r w:rsidR="0050229B">
        <w:rPr>
          <w:rFonts w:asciiTheme="minorHAnsi" w:hAnsiTheme="minorHAnsi"/>
          <w:color w:val="auto"/>
          <w:szCs w:val="24"/>
        </w:rPr>
        <w:t>%</w:t>
      </w:r>
      <w:r w:rsidRPr="00A315F3">
        <w:rPr>
          <w:rFonts w:asciiTheme="minorHAnsi" w:hAnsiTheme="minorHAnsi"/>
          <w:color w:val="auto"/>
          <w:szCs w:val="24"/>
        </w:rPr>
        <w:t xml:space="preserve"> </w:t>
      </w:r>
      <w:r w:rsidR="000A23DC" w:rsidRPr="00A315F3">
        <w:rPr>
          <w:rFonts w:asciiTheme="minorHAnsi" w:hAnsiTheme="minorHAnsi"/>
          <w:color w:val="auto"/>
          <w:szCs w:val="24"/>
        </w:rPr>
        <w:t xml:space="preserve">IAW with the Veterans Administration Schedule for Rating Disabilities (VASRD).  </w:t>
      </w:r>
      <w:r w:rsidRPr="00A315F3">
        <w:rPr>
          <w:rFonts w:asciiTheme="minorHAnsi" w:hAnsiTheme="minorHAnsi"/>
          <w:color w:val="auto"/>
        </w:rPr>
        <w:t xml:space="preserve">The CI made </w:t>
      </w:r>
      <w:r w:rsidRPr="00E56DF3">
        <w:rPr>
          <w:rFonts w:asciiTheme="minorHAnsi" w:hAnsiTheme="minorHAnsi"/>
          <w:color w:val="auto"/>
        </w:rPr>
        <w:t>no appeals</w:t>
      </w:r>
      <w:r w:rsidR="002E69EA" w:rsidRPr="00E56DF3">
        <w:rPr>
          <w:rFonts w:asciiTheme="minorHAnsi" w:hAnsiTheme="minorHAnsi"/>
          <w:color w:val="auto"/>
        </w:rPr>
        <w:t xml:space="preserve"> and was</w:t>
      </w:r>
      <w:r w:rsidRPr="00E56DF3">
        <w:rPr>
          <w:rFonts w:asciiTheme="minorHAnsi" w:hAnsiTheme="minorHAnsi"/>
          <w:color w:val="auto"/>
        </w:rPr>
        <w:t xml:space="preserve"> medically separated with a </w:t>
      </w:r>
      <w:r w:rsidR="00E56DF3">
        <w:rPr>
          <w:rFonts w:asciiTheme="minorHAnsi" w:hAnsiTheme="minorHAnsi"/>
          <w:color w:val="auto"/>
        </w:rPr>
        <w:t>10</w:t>
      </w:r>
      <w:r w:rsidRPr="00E56DF3">
        <w:rPr>
          <w:rFonts w:asciiTheme="minorHAnsi" w:hAnsiTheme="minorHAnsi"/>
          <w:color w:val="auto"/>
        </w:rPr>
        <w:t>% disability rating.</w:t>
      </w:r>
      <w:r w:rsidRPr="00A315F3">
        <w:rPr>
          <w:rFonts w:asciiTheme="minorHAnsi" w:hAnsiTheme="minorHAnsi"/>
          <w:color w:val="auto"/>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C14809">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E56DF3">
        <w:rPr>
          <w:rFonts w:asciiTheme="minorHAnsi" w:hAnsiTheme="minorHAnsi"/>
          <w:color w:val="auto"/>
          <w:szCs w:val="24"/>
        </w:rPr>
        <w:t xml:space="preserve"> </w:t>
      </w:r>
      <w:r w:rsidR="0071308A">
        <w:rPr>
          <w:rFonts w:asciiTheme="minorHAnsi" w:hAnsiTheme="minorHAnsi"/>
          <w:color w:val="auto"/>
          <w:szCs w:val="24"/>
        </w:rPr>
        <w:t xml:space="preserve"> “</w:t>
      </w:r>
      <w:r w:rsidR="00C14809">
        <w:rPr>
          <w:rFonts w:asciiTheme="minorHAnsi" w:hAnsiTheme="minorHAnsi"/>
          <w:color w:val="auto"/>
        </w:rPr>
        <w:t xml:space="preserve">After being discharged with a 10% disability rating by the USCG, I was found to be 50% disabled </w:t>
      </w:r>
      <w:r w:rsidR="004466DE">
        <w:rPr>
          <w:rFonts w:asciiTheme="minorHAnsi" w:hAnsiTheme="minorHAnsi"/>
          <w:color w:val="auto"/>
        </w:rPr>
        <w:t xml:space="preserve">for the same disability by the </w:t>
      </w:r>
      <w:r w:rsidR="00C14809">
        <w:rPr>
          <w:rFonts w:asciiTheme="minorHAnsi" w:hAnsiTheme="minorHAnsi"/>
          <w:color w:val="auto"/>
        </w:rPr>
        <w:t xml:space="preserve">VA. </w:t>
      </w:r>
      <w:r w:rsidR="00E56DF3">
        <w:rPr>
          <w:rFonts w:asciiTheme="minorHAnsi" w:hAnsiTheme="minorHAnsi"/>
          <w:color w:val="auto"/>
        </w:rPr>
        <w:t xml:space="preserve"> </w:t>
      </w:r>
      <w:r w:rsidR="00C14809">
        <w:rPr>
          <w:rFonts w:asciiTheme="minorHAnsi" w:hAnsiTheme="minorHAnsi"/>
          <w:color w:val="auto"/>
        </w:rPr>
        <w:t>I was awarded a combined</w:t>
      </w:r>
      <w:r w:rsidR="004466DE">
        <w:rPr>
          <w:rFonts w:asciiTheme="minorHAnsi" w:hAnsiTheme="minorHAnsi"/>
          <w:color w:val="auto"/>
        </w:rPr>
        <w:t xml:space="preserve"> rating of 70% disabled by the </w:t>
      </w:r>
      <w:r w:rsidR="00C14809">
        <w:rPr>
          <w:rFonts w:asciiTheme="minorHAnsi" w:hAnsiTheme="minorHAnsi"/>
          <w:color w:val="auto"/>
        </w:rPr>
        <w:t xml:space="preserve">VA, effective November 22, 2006.  The USGC also did not include any other potential disqualifying conditions in the MEB process.  According to the Coast Guard PDES manual COMDTINST M1850.2D, Chapter 3 section f., the MEB </w:t>
      </w:r>
      <w:r w:rsidR="00675792">
        <w:rPr>
          <w:rFonts w:asciiTheme="minorHAnsi" w:hAnsiTheme="minorHAnsi"/>
          <w:color w:val="auto"/>
        </w:rPr>
        <w:t>“</w:t>
      </w:r>
      <w:r w:rsidR="00C14809">
        <w:rPr>
          <w:rFonts w:asciiTheme="minorHAnsi" w:hAnsiTheme="minorHAnsi"/>
          <w:color w:val="auto"/>
        </w:rPr>
        <w:t xml:space="preserve">conducts a thorough physical examination to evaluate the member’s general health. </w:t>
      </w:r>
      <w:r w:rsidR="00E56DF3">
        <w:rPr>
          <w:rFonts w:asciiTheme="minorHAnsi" w:hAnsiTheme="minorHAnsi"/>
          <w:color w:val="auto"/>
        </w:rPr>
        <w:t xml:space="preserve"> </w:t>
      </w:r>
      <w:r w:rsidR="00C14809">
        <w:rPr>
          <w:rFonts w:asciiTheme="minorHAnsi" w:hAnsiTheme="minorHAnsi"/>
          <w:color w:val="auto"/>
        </w:rPr>
        <w:t>Additionally, all impairments noted shall be separately evaluated in accordance with the VA Physician Guide for Disability Examinations, including psychiatric examination when indicated.  It shall obtain and examine available records to formulate a conclusion regarding the member’s present state of health and the recommendations for future action.</w:t>
      </w:r>
      <w:r w:rsidR="00675792">
        <w:rPr>
          <w:rFonts w:asciiTheme="minorHAnsi" w:hAnsiTheme="minorHAnsi"/>
          <w:color w:val="auto"/>
        </w:rPr>
        <w:t>”</w:t>
      </w:r>
      <w:r w:rsidR="00C14809">
        <w:rPr>
          <w:rFonts w:asciiTheme="minorHAnsi" w:hAnsiTheme="minorHAnsi"/>
          <w:color w:val="auto"/>
        </w:rPr>
        <w:t xml:space="preserve">  This was not done, and combined with other errors in</w:t>
      </w:r>
      <w:r w:rsidR="00675792">
        <w:rPr>
          <w:rFonts w:asciiTheme="minorHAnsi" w:hAnsiTheme="minorHAnsi"/>
          <w:color w:val="auto"/>
        </w:rPr>
        <w:t xml:space="preserve"> </w:t>
      </w:r>
      <w:r w:rsidR="00C14809">
        <w:rPr>
          <w:rFonts w:asciiTheme="minorHAnsi" w:hAnsiTheme="minorHAnsi"/>
          <w:color w:val="auto"/>
        </w:rPr>
        <w:t xml:space="preserve">the application of the VASRD, resulted in the erroneous award of a medical discharge at 10% rating with disability severance pay. </w:t>
      </w:r>
      <w:r w:rsidR="00E56DF3">
        <w:rPr>
          <w:rFonts w:asciiTheme="minorHAnsi" w:hAnsiTheme="minorHAnsi"/>
          <w:color w:val="auto"/>
        </w:rPr>
        <w:t xml:space="preserve"> </w:t>
      </w:r>
      <w:r w:rsidR="00C14809">
        <w:rPr>
          <w:rFonts w:asciiTheme="minorHAnsi" w:hAnsiTheme="minorHAnsi"/>
          <w:color w:val="auto"/>
        </w:rPr>
        <w:t>I am certain that a review would find that I should have been awarded a higher than 29% rating resulting in a medical retirement after 10 years of active service</w:t>
      </w:r>
      <w:r w:rsidR="00022D8A">
        <w:rPr>
          <w:rFonts w:asciiTheme="minorHAnsi" w:hAnsiTheme="minorHAnsi"/>
          <w:color w:val="auto"/>
          <w:szCs w:val="24"/>
        </w:rPr>
        <w:t xml:space="preserve">.”  </w:t>
      </w:r>
      <w:r w:rsidR="0071308A" w:rsidRPr="00675792">
        <w:rPr>
          <w:rFonts w:asciiTheme="minorHAnsi" w:hAnsiTheme="minorHAnsi"/>
          <w:color w:val="auto"/>
          <w:szCs w:val="24"/>
        </w:rPr>
        <w:t>He</w:t>
      </w:r>
      <w:r w:rsidR="0071308A" w:rsidRPr="00A315F3">
        <w:rPr>
          <w:rFonts w:asciiTheme="minorHAnsi" w:hAnsiTheme="minorHAnsi"/>
          <w:color w:val="auto"/>
          <w:szCs w:val="24"/>
        </w:rPr>
        <w:t xml:space="preserve"> additionally lists all of </w:t>
      </w:r>
      <w:r w:rsidR="0071308A" w:rsidRPr="00675792">
        <w:rPr>
          <w:rFonts w:asciiTheme="minorHAnsi" w:hAnsiTheme="minorHAnsi"/>
          <w:color w:val="auto"/>
          <w:szCs w:val="24"/>
        </w:rPr>
        <w:t>his</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E56DF3" w:rsidRDefault="00E56DF3"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374"/>
        <w:gridCol w:w="810"/>
        <w:gridCol w:w="810"/>
        <w:gridCol w:w="2520"/>
        <w:gridCol w:w="1080"/>
        <w:gridCol w:w="810"/>
        <w:gridCol w:w="1024"/>
      </w:tblGrid>
      <w:tr w:rsidR="00191A51" w:rsidRPr="002A685E" w:rsidTr="00207B18">
        <w:trPr>
          <w:trHeight w:val="233"/>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EA0054">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BA546B">
              <w:rPr>
                <w:rFonts w:cs="Times New Roman"/>
                <w:b/>
                <w:sz w:val="20"/>
                <w:szCs w:val="20"/>
              </w:rPr>
              <w:t>I</w:t>
            </w:r>
            <w:r w:rsidRPr="00BA546B">
              <w:rPr>
                <w:rFonts w:cs="Times New Roman"/>
                <w:b/>
                <w:sz w:val="20"/>
                <w:szCs w:val="20"/>
              </w:rPr>
              <w:t>PEB</w:t>
            </w:r>
            <w:r w:rsidRPr="0085089F">
              <w:rPr>
                <w:rFonts w:cs="Times New Roman"/>
                <w:b/>
                <w:sz w:val="20"/>
                <w:szCs w:val="20"/>
              </w:rPr>
              <w:t xml:space="preserve"> – Dated </w:t>
            </w:r>
            <w:r w:rsidR="00EA0054">
              <w:rPr>
                <w:rFonts w:cs="Times New Roman"/>
                <w:b/>
                <w:sz w:val="20"/>
                <w:szCs w:val="20"/>
              </w:rPr>
              <w:t>20060829</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EA7BDA">
            <w:pPr>
              <w:pStyle w:val="ListParagraph"/>
              <w:spacing w:after="0" w:line="240" w:lineRule="exact"/>
              <w:ind w:left="0"/>
              <w:jc w:val="center"/>
              <w:rPr>
                <w:rFonts w:cs="Times New Roman"/>
                <w:b/>
                <w:sz w:val="20"/>
                <w:szCs w:val="20"/>
              </w:rPr>
            </w:pPr>
            <w:r w:rsidRPr="0085089F">
              <w:rPr>
                <w:rFonts w:cs="Times New Roman"/>
                <w:b/>
                <w:sz w:val="20"/>
                <w:szCs w:val="20"/>
              </w:rPr>
              <w:t>VA (</w:t>
            </w:r>
            <w:r w:rsidR="00EA7BDA">
              <w:rPr>
                <w:rFonts w:cs="Times New Roman"/>
                <w:b/>
                <w:sz w:val="20"/>
                <w:szCs w:val="20"/>
              </w:rPr>
              <w:t>17</w:t>
            </w:r>
            <w:r w:rsidR="0079000E">
              <w:rPr>
                <w:rFonts w:cs="Times New Roman"/>
                <w:b/>
                <w:sz w:val="20"/>
                <w:szCs w:val="20"/>
              </w:rPr>
              <w:t xml:space="preserve"> Mo. </w:t>
            </w:r>
            <w:r w:rsidR="0079000E" w:rsidRPr="00EA7BDA">
              <w:rPr>
                <w:rFonts w:cs="Times New Roman"/>
                <w:b/>
                <w:sz w:val="20"/>
                <w:szCs w:val="20"/>
              </w:rPr>
              <w:t>A</w:t>
            </w:r>
            <w:r w:rsidRPr="00EA7BDA">
              <w:rPr>
                <w:rFonts w:cs="Times New Roman"/>
                <w:b/>
                <w:sz w:val="20"/>
                <w:szCs w:val="20"/>
              </w:rPr>
              <w:t>fter</w:t>
            </w:r>
            <w:r w:rsidRPr="0085089F">
              <w:rPr>
                <w:rFonts w:cs="Times New Roman"/>
                <w:b/>
                <w:sz w:val="20"/>
                <w:szCs w:val="20"/>
              </w:rPr>
              <w:t xml:space="preserve"> Separation) – All Effective </w:t>
            </w:r>
            <w:r w:rsidR="00EA7BDA">
              <w:rPr>
                <w:rFonts w:cs="Times New Roman"/>
                <w:b/>
                <w:sz w:val="20"/>
                <w:szCs w:val="20"/>
              </w:rPr>
              <w:t>20061122</w:t>
            </w:r>
          </w:p>
        </w:tc>
      </w:tr>
      <w:tr w:rsidR="00191A51" w:rsidRPr="002A685E" w:rsidTr="00081ACB">
        <w:trPr>
          <w:trHeight w:val="224"/>
          <w:jc w:val="center"/>
        </w:trPr>
        <w:tc>
          <w:tcPr>
            <w:tcW w:w="2374" w:type="dxa"/>
            <w:tcBorders>
              <w:bottom w:val="single" w:sz="4" w:space="0" w:color="000000" w:themeColor="text1"/>
            </w:tcBorders>
            <w:shd w:val="clear" w:color="auto" w:fill="D9D9D9" w:themeFill="background1" w:themeFillShade="D9"/>
          </w:tcPr>
          <w:p w:rsidR="00191A51" w:rsidRPr="0085089F" w:rsidRDefault="00191A51" w:rsidP="005D55F8">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5D55F8">
            <w:pPr>
              <w:pStyle w:val="ListParagraph"/>
              <w:spacing w:after="0" w:line="240" w:lineRule="exact"/>
              <w:ind w:left="0"/>
              <w:jc w:val="center"/>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5F0EBE" w:rsidRPr="002A685E" w:rsidTr="00081ACB">
        <w:trPr>
          <w:trHeight w:val="190"/>
          <w:jc w:val="center"/>
        </w:trPr>
        <w:tc>
          <w:tcPr>
            <w:tcW w:w="2374" w:type="dxa"/>
            <w:tcBorders>
              <w:bottom w:val="single" w:sz="4" w:space="0" w:color="auto"/>
              <w:right w:val="single" w:sz="4" w:space="0" w:color="auto"/>
            </w:tcBorders>
            <w:shd w:val="clear" w:color="auto" w:fill="FFFFFF" w:themeFill="background1"/>
            <w:vAlign w:val="center"/>
          </w:tcPr>
          <w:p w:rsidR="005F0EBE" w:rsidRPr="00BC3538" w:rsidRDefault="005F0EBE" w:rsidP="00191A51">
            <w:pPr>
              <w:pStyle w:val="ListParagraph"/>
              <w:spacing w:after="0" w:line="200" w:lineRule="exact"/>
              <w:ind w:left="0"/>
              <w:rPr>
                <w:rFonts w:cs="Times New Roman"/>
                <w:sz w:val="18"/>
                <w:szCs w:val="18"/>
              </w:rPr>
            </w:pPr>
            <w:r>
              <w:rPr>
                <w:rFonts w:cs="Times New Roman"/>
                <w:sz w:val="18"/>
                <w:szCs w:val="18"/>
              </w:rPr>
              <w:t>Panic Disorder/Agoraphobia</w:t>
            </w:r>
            <w:r w:rsidR="00081ACB">
              <w:rPr>
                <w:rFonts w:cs="Times New Roman"/>
                <w:sz w:val="18"/>
                <w:szCs w:val="18"/>
              </w:rPr>
              <w:t>*</w:t>
            </w:r>
          </w:p>
        </w:tc>
        <w:tc>
          <w:tcPr>
            <w:tcW w:w="810" w:type="dxa"/>
            <w:tcBorders>
              <w:left w:val="single" w:sz="4" w:space="0" w:color="auto"/>
              <w:bottom w:val="single" w:sz="4" w:space="0" w:color="auto"/>
            </w:tcBorders>
            <w:shd w:val="clear" w:color="auto" w:fill="FFFFFF" w:themeFill="background1"/>
            <w:vAlign w:val="center"/>
          </w:tcPr>
          <w:p w:rsidR="005F0EBE" w:rsidRPr="00BC3538" w:rsidRDefault="005F0EBE" w:rsidP="00186D7F">
            <w:pPr>
              <w:pStyle w:val="ListParagraph"/>
              <w:spacing w:after="0" w:line="200" w:lineRule="exact"/>
              <w:ind w:left="0"/>
              <w:jc w:val="center"/>
              <w:rPr>
                <w:rFonts w:cs="Times New Roman"/>
                <w:sz w:val="18"/>
                <w:szCs w:val="18"/>
              </w:rPr>
            </w:pPr>
            <w:r>
              <w:rPr>
                <w:rFonts w:cs="Times New Roman"/>
                <w:sz w:val="18"/>
                <w:szCs w:val="18"/>
              </w:rPr>
              <w:t>9412</w:t>
            </w:r>
          </w:p>
        </w:tc>
        <w:tc>
          <w:tcPr>
            <w:tcW w:w="810" w:type="dxa"/>
            <w:tcBorders>
              <w:bottom w:val="single" w:sz="4" w:space="0" w:color="auto"/>
              <w:right w:val="thinThickThinSmallGap" w:sz="24" w:space="0" w:color="auto"/>
            </w:tcBorders>
            <w:shd w:val="clear" w:color="auto" w:fill="FFFFFF" w:themeFill="background1"/>
            <w:vAlign w:val="center"/>
          </w:tcPr>
          <w:p w:rsidR="005F0EBE" w:rsidRPr="00BC3538" w:rsidRDefault="005F0EB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520" w:type="dxa"/>
            <w:tcBorders>
              <w:left w:val="thinThickThinSmallGap" w:sz="24" w:space="0" w:color="auto"/>
            </w:tcBorders>
            <w:shd w:val="clear" w:color="auto" w:fill="FFFFFF" w:themeFill="background1"/>
            <w:vAlign w:val="center"/>
          </w:tcPr>
          <w:p w:rsidR="005F0EBE" w:rsidRPr="00BC3538" w:rsidRDefault="005F0EBE" w:rsidP="00D17740">
            <w:pPr>
              <w:pStyle w:val="ListParagraph"/>
              <w:spacing w:line="200" w:lineRule="exact"/>
              <w:ind w:left="0"/>
              <w:rPr>
                <w:rFonts w:cs="Times New Roman"/>
                <w:sz w:val="18"/>
                <w:szCs w:val="18"/>
              </w:rPr>
            </w:pPr>
            <w:r>
              <w:rPr>
                <w:rFonts w:cs="Times New Roman"/>
                <w:sz w:val="18"/>
                <w:szCs w:val="18"/>
              </w:rPr>
              <w:t>Anxiety Disorder/Agoraphobia</w:t>
            </w:r>
          </w:p>
        </w:tc>
        <w:tc>
          <w:tcPr>
            <w:tcW w:w="1080" w:type="dxa"/>
            <w:shd w:val="clear" w:color="auto" w:fill="FFFFFF" w:themeFill="background1"/>
            <w:vAlign w:val="center"/>
          </w:tcPr>
          <w:p w:rsidR="005F0EBE" w:rsidRPr="00BC3538" w:rsidRDefault="005F0EBE" w:rsidP="005F0EBE">
            <w:pPr>
              <w:pStyle w:val="ListParagraph"/>
              <w:spacing w:after="0" w:line="200" w:lineRule="exact"/>
              <w:ind w:left="0"/>
              <w:jc w:val="center"/>
              <w:rPr>
                <w:rFonts w:cs="Times New Roman"/>
                <w:sz w:val="18"/>
                <w:szCs w:val="18"/>
              </w:rPr>
            </w:pPr>
            <w:r>
              <w:rPr>
                <w:rFonts w:cs="Times New Roman"/>
                <w:sz w:val="18"/>
                <w:szCs w:val="18"/>
              </w:rPr>
              <w:t>9400</w:t>
            </w:r>
          </w:p>
        </w:tc>
        <w:tc>
          <w:tcPr>
            <w:tcW w:w="810" w:type="dxa"/>
            <w:shd w:val="clear" w:color="auto" w:fill="FFFFFF" w:themeFill="background1"/>
            <w:vAlign w:val="center"/>
          </w:tcPr>
          <w:p w:rsidR="005F0EBE" w:rsidRPr="00542C9A" w:rsidRDefault="005F0EBE" w:rsidP="005F0EBE">
            <w:pPr>
              <w:pStyle w:val="ListParagraph"/>
              <w:spacing w:after="0" w:line="20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vAlign w:val="center"/>
          </w:tcPr>
          <w:p w:rsidR="005F0EBE" w:rsidRPr="00542C9A" w:rsidRDefault="005F0EBE" w:rsidP="005F0EBE">
            <w:pPr>
              <w:pStyle w:val="ListParagraph"/>
              <w:spacing w:after="0" w:line="200" w:lineRule="exact"/>
              <w:ind w:left="0"/>
              <w:jc w:val="center"/>
              <w:rPr>
                <w:rFonts w:cs="Times New Roman"/>
                <w:sz w:val="18"/>
                <w:szCs w:val="18"/>
              </w:rPr>
            </w:pPr>
            <w:r>
              <w:rPr>
                <w:rFonts w:cs="Times New Roman"/>
                <w:sz w:val="18"/>
                <w:szCs w:val="18"/>
              </w:rPr>
              <w:t>20080411</w:t>
            </w:r>
          </w:p>
        </w:tc>
      </w:tr>
      <w:tr w:rsidR="00FF4ED6" w:rsidRPr="002A685E" w:rsidTr="00207B18">
        <w:trPr>
          <w:trHeight w:val="143"/>
          <w:jc w:val="center"/>
        </w:trPr>
        <w:tc>
          <w:tcPr>
            <w:tcW w:w="399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20" w:type="dxa"/>
            <w:tcBorders>
              <w:left w:val="thinThickThinSmallGap" w:sz="24" w:space="0" w:color="auto"/>
            </w:tcBorders>
            <w:shd w:val="clear" w:color="auto" w:fill="FFFFFF" w:themeFill="background1"/>
          </w:tcPr>
          <w:p w:rsidR="00207B18" w:rsidRPr="00BC3538" w:rsidRDefault="00207B18" w:rsidP="001239FC">
            <w:pPr>
              <w:pStyle w:val="ListParagraph"/>
              <w:spacing w:after="0" w:line="200" w:lineRule="exact"/>
              <w:ind w:left="0"/>
              <w:rPr>
                <w:rFonts w:cs="Times New Roman"/>
                <w:sz w:val="18"/>
                <w:szCs w:val="18"/>
              </w:rPr>
            </w:pPr>
            <w:r>
              <w:rPr>
                <w:rFonts w:cs="Times New Roman"/>
                <w:sz w:val="18"/>
                <w:szCs w:val="18"/>
              </w:rPr>
              <w:t>Right Shoulder Impingement</w:t>
            </w:r>
          </w:p>
        </w:tc>
        <w:tc>
          <w:tcPr>
            <w:tcW w:w="1080" w:type="dxa"/>
            <w:tcBorders>
              <w:right w:val="single" w:sz="4" w:space="0" w:color="auto"/>
            </w:tcBorders>
            <w:shd w:val="clear" w:color="auto" w:fill="FFFFFF" w:themeFill="background1"/>
          </w:tcPr>
          <w:p w:rsidR="00FF4ED6" w:rsidRPr="00BC3538" w:rsidRDefault="00207B18" w:rsidP="00186D7F">
            <w:pPr>
              <w:pStyle w:val="ListParagraph"/>
              <w:spacing w:after="0" w:line="200" w:lineRule="exact"/>
              <w:ind w:left="0"/>
              <w:jc w:val="center"/>
              <w:rPr>
                <w:rFonts w:cs="Times New Roman"/>
                <w:sz w:val="18"/>
                <w:szCs w:val="18"/>
              </w:rPr>
            </w:pPr>
            <w:r>
              <w:rPr>
                <w:rFonts w:cs="Times New Roman"/>
                <w:sz w:val="18"/>
                <w:szCs w:val="18"/>
              </w:rPr>
              <w:t>5201-5024</w:t>
            </w:r>
          </w:p>
        </w:tc>
        <w:tc>
          <w:tcPr>
            <w:tcW w:w="810" w:type="dxa"/>
            <w:tcBorders>
              <w:left w:val="single" w:sz="4" w:space="0" w:color="auto"/>
            </w:tcBorders>
            <w:shd w:val="clear" w:color="auto" w:fill="FFFFFF" w:themeFill="background1"/>
          </w:tcPr>
          <w:p w:rsidR="00FF4ED6" w:rsidRPr="00542C9A" w:rsidRDefault="00207B18"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EA7BDA" w:rsidP="00CA0A57">
            <w:pPr>
              <w:pStyle w:val="ListParagraph"/>
              <w:spacing w:after="0" w:line="200" w:lineRule="exact"/>
              <w:ind w:left="0"/>
              <w:jc w:val="center"/>
              <w:rPr>
                <w:rFonts w:cs="Times New Roman"/>
                <w:sz w:val="18"/>
                <w:szCs w:val="18"/>
              </w:rPr>
            </w:pPr>
            <w:r>
              <w:rPr>
                <w:rFonts w:cs="Times New Roman"/>
                <w:sz w:val="18"/>
                <w:szCs w:val="18"/>
              </w:rPr>
              <w:t>20080412</w:t>
            </w:r>
          </w:p>
        </w:tc>
      </w:tr>
      <w:tr w:rsidR="00FF4ED6" w:rsidRPr="002A685E" w:rsidTr="00207B18">
        <w:trPr>
          <w:trHeight w:val="161"/>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FF4ED6" w:rsidRDefault="00207B18" w:rsidP="00191A51">
            <w:pPr>
              <w:pStyle w:val="ListParagraph"/>
              <w:spacing w:after="0" w:line="200" w:lineRule="exact"/>
              <w:ind w:left="0"/>
              <w:rPr>
                <w:rFonts w:cs="Times New Roman"/>
                <w:sz w:val="18"/>
                <w:szCs w:val="18"/>
              </w:rPr>
            </w:pPr>
            <w:r>
              <w:rPr>
                <w:rFonts w:cs="Times New Roman"/>
                <w:sz w:val="18"/>
                <w:szCs w:val="18"/>
              </w:rPr>
              <w:t>L5-S1 Degenerative Jt. Disease</w:t>
            </w:r>
          </w:p>
        </w:tc>
        <w:tc>
          <w:tcPr>
            <w:tcW w:w="1080" w:type="dxa"/>
            <w:tcBorders>
              <w:left w:val="single" w:sz="4" w:space="0" w:color="auto"/>
              <w:right w:val="single" w:sz="4" w:space="0" w:color="auto"/>
            </w:tcBorders>
            <w:shd w:val="clear" w:color="auto" w:fill="FFFFFF" w:themeFill="background1"/>
            <w:vAlign w:val="center"/>
          </w:tcPr>
          <w:p w:rsidR="00FF4ED6" w:rsidRDefault="00207B18"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left w:val="single" w:sz="4" w:space="0" w:color="auto"/>
            </w:tcBorders>
            <w:shd w:val="clear" w:color="auto" w:fill="FFFFFF" w:themeFill="background1"/>
            <w:vAlign w:val="center"/>
          </w:tcPr>
          <w:p w:rsidR="00FF4ED6" w:rsidRDefault="00207B1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EA7BDA" w:rsidP="00191A51">
            <w:pPr>
              <w:pStyle w:val="ListParagraph"/>
              <w:spacing w:after="0" w:line="200" w:lineRule="exact"/>
              <w:ind w:left="0"/>
              <w:jc w:val="center"/>
              <w:rPr>
                <w:rFonts w:cs="Times New Roman"/>
                <w:sz w:val="18"/>
                <w:szCs w:val="18"/>
              </w:rPr>
            </w:pPr>
            <w:r>
              <w:rPr>
                <w:rFonts w:cs="Times New Roman"/>
                <w:sz w:val="18"/>
                <w:szCs w:val="18"/>
              </w:rPr>
              <w:t>20080412</w:t>
            </w:r>
          </w:p>
        </w:tc>
      </w:tr>
      <w:tr w:rsidR="00FF4ED6" w:rsidRPr="002A685E" w:rsidTr="00207B18">
        <w:trPr>
          <w:trHeight w:val="170"/>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FF4ED6" w:rsidRDefault="00207B18" w:rsidP="00191A51">
            <w:pPr>
              <w:pStyle w:val="ListParagraph"/>
              <w:spacing w:after="0" w:line="200" w:lineRule="exact"/>
              <w:ind w:left="0"/>
              <w:rPr>
                <w:rFonts w:cs="Times New Roman"/>
                <w:sz w:val="18"/>
                <w:szCs w:val="18"/>
              </w:rPr>
            </w:pPr>
            <w:r>
              <w:rPr>
                <w:rFonts w:cs="Times New Roman"/>
                <w:sz w:val="18"/>
                <w:szCs w:val="18"/>
              </w:rPr>
              <w:t>Bilateral Tinnitus</w:t>
            </w:r>
          </w:p>
        </w:tc>
        <w:tc>
          <w:tcPr>
            <w:tcW w:w="1080" w:type="dxa"/>
            <w:tcBorders>
              <w:left w:val="single" w:sz="4" w:space="0" w:color="auto"/>
              <w:right w:val="single" w:sz="4" w:space="0" w:color="auto"/>
            </w:tcBorders>
            <w:shd w:val="clear" w:color="auto" w:fill="FFFFFF" w:themeFill="background1"/>
            <w:vAlign w:val="center"/>
          </w:tcPr>
          <w:p w:rsidR="00FF4ED6" w:rsidRDefault="00207B18" w:rsidP="00191A51">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vAlign w:val="center"/>
          </w:tcPr>
          <w:p w:rsidR="00FF4ED6" w:rsidRDefault="00207B1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EA7BDA" w:rsidP="00191A51">
            <w:pPr>
              <w:pStyle w:val="ListParagraph"/>
              <w:spacing w:after="0" w:line="200" w:lineRule="exact"/>
              <w:ind w:left="0"/>
              <w:jc w:val="center"/>
              <w:rPr>
                <w:rFonts w:cs="Times New Roman"/>
                <w:sz w:val="18"/>
                <w:szCs w:val="18"/>
              </w:rPr>
            </w:pPr>
            <w:r>
              <w:rPr>
                <w:rFonts w:cs="Times New Roman"/>
                <w:sz w:val="18"/>
                <w:szCs w:val="18"/>
              </w:rPr>
              <w:t>20080411</w:t>
            </w:r>
          </w:p>
        </w:tc>
      </w:tr>
      <w:tr w:rsidR="00207B18" w:rsidRPr="002A685E" w:rsidTr="00207B18">
        <w:trPr>
          <w:trHeight w:val="170"/>
          <w:jc w:val="center"/>
        </w:trPr>
        <w:tc>
          <w:tcPr>
            <w:tcW w:w="3994" w:type="dxa"/>
            <w:gridSpan w:val="3"/>
            <w:vMerge/>
            <w:tcBorders>
              <w:right w:val="thinThickThinSmallGap" w:sz="24" w:space="0" w:color="auto"/>
            </w:tcBorders>
            <w:shd w:val="clear" w:color="auto" w:fill="FFFFFF" w:themeFill="background1"/>
          </w:tcPr>
          <w:p w:rsidR="00207B18" w:rsidRPr="00AF7266" w:rsidRDefault="00207B18" w:rsidP="00191A51">
            <w:pPr>
              <w:pStyle w:val="ListParagraph"/>
              <w:spacing w:after="0" w:line="240" w:lineRule="exact"/>
              <w:ind w:left="0"/>
              <w:jc w:val="both"/>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207B18" w:rsidRDefault="00207B18" w:rsidP="00191A51">
            <w:pPr>
              <w:pStyle w:val="ListParagraph"/>
              <w:spacing w:after="0" w:line="200" w:lineRule="exact"/>
              <w:ind w:left="0"/>
              <w:rPr>
                <w:rFonts w:cs="Times New Roman"/>
                <w:sz w:val="18"/>
                <w:szCs w:val="18"/>
              </w:rPr>
            </w:pPr>
            <w:r>
              <w:rPr>
                <w:rFonts w:cs="Times New Roman"/>
                <w:sz w:val="18"/>
                <w:szCs w:val="18"/>
              </w:rPr>
              <w:t>Dermatitis</w:t>
            </w:r>
          </w:p>
        </w:tc>
        <w:tc>
          <w:tcPr>
            <w:tcW w:w="1080" w:type="dxa"/>
            <w:tcBorders>
              <w:left w:val="single" w:sz="4" w:space="0" w:color="auto"/>
              <w:right w:val="single" w:sz="4" w:space="0" w:color="auto"/>
            </w:tcBorders>
            <w:shd w:val="clear" w:color="auto" w:fill="FFFFFF" w:themeFill="background1"/>
            <w:vAlign w:val="center"/>
          </w:tcPr>
          <w:p w:rsidR="00207B18" w:rsidRDefault="00207B18" w:rsidP="00191A51">
            <w:pPr>
              <w:pStyle w:val="ListParagraph"/>
              <w:spacing w:after="0" w:line="200" w:lineRule="exact"/>
              <w:ind w:left="0"/>
              <w:jc w:val="center"/>
              <w:rPr>
                <w:rFonts w:cs="Times New Roman"/>
                <w:sz w:val="18"/>
                <w:szCs w:val="18"/>
              </w:rPr>
            </w:pPr>
            <w:r>
              <w:rPr>
                <w:rFonts w:cs="Times New Roman"/>
                <w:sz w:val="18"/>
                <w:szCs w:val="18"/>
              </w:rPr>
              <w:t>7806</w:t>
            </w:r>
          </w:p>
        </w:tc>
        <w:tc>
          <w:tcPr>
            <w:tcW w:w="810" w:type="dxa"/>
            <w:tcBorders>
              <w:left w:val="single" w:sz="4" w:space="0" w:color="auto"/>
            </w:tcBorders>
            <w:shd w:val="clear" w:color="auto" w:fill="FFFFFF" w:themeFill="background1"/>
            <w:vAlign w:val="center"/>
          </w:tcPr>
          <w:p w:rsidR="00207B18" w:rsidRDefault="00207B1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207B18" w:rsidRPr="00542C9A" w:rsidRDefault="00EA7BDA" w:rsidP="00191A51">
            <w:pPr>
              <w:pStyle w:val="ListParagraph"/>
              <w:spacing w:after="0" w:line="200" w:lineRule="exact"/>
              <w:ind w:left="0"/>
              <w:jc w:val="center"/>
              <w:rPr>
                <w:rFonts w:cs="Times New Roman"/>
                <w:sz w:val="18"/>
                <w:szCs w:val="18"/>
              </w:rPr>
            </w:pPr>
            <w:r>
              <w:rPr>
                <w:rFonts w:cs="Times New Roman"/>
                <w:sz w:val="18"/>
                <w:szCs w:val="18"/>
              </w:rPr>
              <w:t>20080412</w:t>
            </w:r>
          </w:p>
        </w:tc>
      </w:tr>
      <w:tr w:rsidR="00FF4ED6" w:rsidRPr="002A685E" w:rsidTr="00207B18">
        <w:trPr>
          <w:trHeight w:val="188"/>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410" w:type="dxa"/>
            <w:gridSpan w:val="3"/>
            <w:tcBorders>
              <w:left w:val="thinThickThinSmallGap" w:sz="24" w:space="0" w:color="auto"/>
            </w:tcBorders>
            <w:shd w:val="clear" w:color="auto" w:fill="FFFFFF" w:themeFill="background1"/>
            <w:vAlign w:val="center"/>
          </w:tcPr>
          <w:p w:rsidR="00FF4ED6" w:rsidRPr="0038532B" w:rsidRDefault="008144BF" w:rsidP="00DA6D33">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207B18">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DA6D33">
              <w:rPr>
                <w:rFonts w:cs="Times New Roman"/>
                <w:sz w:val="18"/>
                <w:szCs w:val="18"/>
              </w:rPr>
              <w:t>2</w:t>
            </w:r>
          </w:p>
        </w:tc>
        <w:tc>
          <w:tcPr>
            <w:tcW w:w="1024" w:type="dxa"/>
            <w:shd w:val="clear" w:color="auto" w:fill="FFFFFF" w:themeFill="background1"/>
            <w:vAlign w:val="center"/>
          </w:tcPr>
          <w:p w:rsidR="00FF4ED6" w:rsidRPr="00542C9A" w:rsidRDefault="00EA7BDA" w:rsidP="00191A51">
            <w:pPr>
              <w:pStyle w:val="ListParagraph"/>
              <w:spacing w:after="0" w:line="200" w:lineRule="exact"/>
              <w:ind w:left="0"/>
              <w:jc w:val="center"/>
              <w:rPr>
                <w:rFonts w:cs="Times New Roman"/>
                <w:sz w:val="18"/>
                <w:szCs w:val="18"/>
              </w:rPr>
            </w:pPr>
            <w:r>
              <w:rPr>
                <w:rFonts w:cs="Times New Roman"/>
                <w:sz w:val="18"/>
                <w:szCs w:val="18"/>
              </w:rPr>
              <w:t>20080411</w:t>
            </w:r>
          </w:p>
        </w:tc>
      </w:tr>
      <w:tr w:rsidR="00191A51" w:rsidRPr="002A685E" w:rsidTr="00207B18">
        <w:trPr>
          <w:trHeight w:val="242"/>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DA6D33">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DA6D33">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DA6D33">
              <w:rPr>
                <w:rFonts w:cs="Times New Roman"/>
                <w:b/>
                <w:sz w:val="20"/>
                <w:szCs w:val="20"/>
              </w:rPr>
              <w:t>7</w:t>
            </w:r>
            <w:r w:rsidR="0071308A">
              <w:rPr>
                <w:rFonts w:cs="Times New Roman"/>
                <w:b/>
                <w:sz w:val="20"/>
                <w:szCs w:val="20"/>
              </w:rPr>
              <w:t>0</w:t>
            </w:r>
            <w:r w:rsidRPr="00ED6A61">
              <w:rPr>
                <w:rFonts w:cs="Times New Roman"/>
                <w:b/>
                <w:sz w:val="20"/>
                <w:szCs w:val="20"/>
              </w:rPr>
              <w:t>%</w:t>
            </w:r>
          </w:p>
        </w:tc>
      </w:tr>
    </w:tbl>
    <w:p w:rsidR="00F8094B" w:rsidRPr="00081ACB" w:rsidRDefault="00081ACB"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 xml:space="preserve">*MEB form lists </w:t>
      </w:r>
      <w:r w:rsidR="00E25F07">
        <w:rPr>
          <w:rFonts w:asciiTheme="minorHAnsi" w:hAnsiTheme="minorHAnsi"/>
          <w:color w:val="auto"/>
          <w:sz w:val="18"/>
          <w:szCs w:val="18"/>
        </w:rPr>
        <w:t>two</w:t>
      </w:r>
      <w:r>
        <w:rPr>
          <w:rFonts w:asciiTheme="minorHAnsi" w:hAnsiTheme="minorHAnsi"/>
          <w:color w:val="auto"/>
          <w:sz w:val="18"/>
          <w:szCs w:val="18"/>
        </w:rPr>
        <w:t xml:space="preserve"> diagnoses (anxiety disorder and adjustment disorder) not listed by the PEB</w:t>
      </w:r>
    </w:p>
    <w:p w:rsidR="0092702F" w:rsidRDefault="0092702F" w:rsidP="00190E48">
      <w:pPr>
        <w:tabs>
          <w:tab w:val="left" w:pos="288"/>
          <w:tab w:val="left" w:pos="4752"/>
        </w:tabs>
        <w:spacing w:line="240" w:lineRule="exact"/>
        <w:jc w:val="both"/>
        <w:rPr>
          <w:color w:val="000080"/>
        </w:rPr>
      </w:pPr>
    </w:p>
    <w:p w:rsidR="003B2A15" w:rsidRDefault="002C6E5B" w:rsidP="003B2A15">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8244E9">
        <w:rPr>
          <w:rFonts w:asciiTheme="minorHAnsi" w:hAnsiTheme="minorHAnsi"/>
          <w:color w:val="auto"/>
          <w:szCs w:val="24"/>
        </w:rPr>
        <w:t>:</w:t>
      </w:r>
      <w:r w:rsidR="00463EB0">
        <w:rPr>
          <w:rFonts w:asciiTheme="minorHAnsi" w:hAnsiTheme="minorHAnsi"/>
          <w:color w:val="auto"/>
          <w:szCs w:val="24"/>
        </w:rPr>
        <w:t xml:space="preserve"> </w:t>
      </w:r>
      <w:r w:rsidR="003B2A15">
        <w:rPr>
          <w:rFonts w:asciiTheme="minorHAnsi" w:hAnsiTheme="minorHAnsi"/>
          <w:color w:val="auto"/>
          <w:szCs w:val="24"/>
        </w:rPr>
        <w:t xml:space="preserve"> </w:t>
      </w:r>
      <w:r w:rsidR="004466DE">
        <w:rPr>
          <w:rFonts w:asciiTheme="minorHAnsi" w:hAnsiTheme="minorHAnsi"/>
          <w:color w:val="auto"/>
          <w:szCs w:val="24"/>
        </w:rPr>
        <w:t>The Military S</w:t>
      </w:r>
      <w:r w:rsidR="00EA7BDA" w:rsidRPr="008244E9">
        <w:rPr>
          <w:rFonts w:asciiTheme="minorHAnsi" w:hAnsiTheme="minorHAnsi"/>
          <w:color w:val="auto"/>
          <w:szCs w:val="24"/>
        </w:rPr>
        <w:t xml:space="preserve">ervices, by law, can only rate and compensate for those conditions that were found unfitting for continued military service based on the severity of the condition at the time of separation and not based on possible future changes.  The </w:t>
      </w:r>
      <w:r w:rsidR="004466DE">
        <w:rPr>
          <w:rFonts w:asciiTheme="minorHAnsi" w:hAnsiTheme="minorHAnsi"/>
          <w:color w:val="auto"/>
          <w:szCs w:val="24"/>
        </w:rPr>
        <w:t>Department of Veterans’ Affairs (</w:t>
      </w:r>
      <w:r w:rsidR="00EA7BDA" w:rsidRPr="008244E9">
        <w:rPr>
          <w:rFonts w:asciiTheme="minorHAnsi" w:hAnsiTheme="minorHAnsi"/>
          <w:color w:val="auto"/>
          <w:szCs w:val="24"/>
        </w:rPr>
        <w:t>VA</w:t>
      </w:r>
      <w:r w:rsidR="004466DE">
        <w:rPr>
          <w:rFonts w:asciiTheme="minorHAnsi" w:hAnsiTheme="minorHAnsi"/>
          <w:color w:val="auto"/>
          <w:szCs w:val="24"/>
        </w:rPr>
        <w:t>)</w:t>
      </w:r>
      <w:r w:rsidR="00EA7BDA" w:rsidRPr="008244E9">
        <w:rPr>
          <w:rFonts w:asciiTheme="minorHAnsi"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CI asserts that the Coast Guard did not evaluate </w:t>
      </w:r>
      <w:r w:rsidR="00463EB0">
        <w:rPr>
          <w:rFonts w:asciiTheme="minorHAnsi" w:hAnsiTheme="minorHAnsi"/>
          <w:color w:val="auto"/>
          <w:szCs w:val="24"/>
        </w:rPr>
        <w:t xml:space="preserve">all </w:t>
      </w:r>
      <w:r w:rsidR="00EA7BDA" w:rsidRPr="008244E9">
        <w:rPr>
          <w:rFonts w:asciiTheme="minorHAnsi" w:hAnsiTheme="minorHAnsi"/>
          <w:color w:val="auto"/>
          <w:szCs w:val="24"/>
        </w:rPr>
        <w:t>his medical conditions during the DES process.  It is noted for the record that the Board has neither the jurisdiction nor authority to scrutinize or render opinions in reference to the CI’s statements in the application regarding suspected service improprieties in the processing of his case.</w:t>
      </w:r>
      <w:r w:rsidR="00463EB0">
        <w:rPr>
          <w:rFonts w:asciiTheme="minorHAnsi" w:hAnsiTheme="minorHAnsi"/>
          <w:color w:val="auto"/>
          <w:szCs w:val="24"/>
        </w:rPr>
        <w:t xml:space="preserve">  </w:t>
      </w:r>
      <w:r w:rsidR="00EA7BDA" w:rsidRPr="008244E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463EB0">
        <w:rPr>
          <w:rFonts w:asciiTheme="minorHAnsi" w:hAnsiTheme="minorHAnsi"/>
          <w:color w:val="auto"/>
          <w:szCs w:val="24"/>
        </w:rPr>
        <w:t xml:space="preserve">  </w:t>
      </w:r>
      <w:r w:rsidR="008244E9" w:rsidRPr="008244E9">
        <w:rPr>
          <w:rFonts w:asciiTheme="minorHAnsi" w:hAnsiTheme="minorHAnsi"/>
          <w:color w:val="auto"/>
          <w:szCs w:val="24"/>
        </w:rPr>
        <w:t>Furthermore, t</w:t>
      </w:r>
      <w:r w:rsidR="00DA4CEF" w:rsidRPr="008244E9">
        <w:rPr>
          <w:rFonts w:asciiTheme="minorHAnsi" w:hAnsiTheme="minorHAnsi"/>
          <w:color w:val="auto"/>
          <w:szCs w:val="24"/>
        </w:rPr>
        <w:t>he Board makes note that some of the CI’s contended conditions are derived from VA evaluations performed well after separation and that his current VA ratings are higher than those reflected in the above rating chart.</w:t>
      </w:r>
      <w:r w:rsidR="0050229B">
        <w:rPr>
          <w:rFonts w:asciiTheme="minorHAnsi" w:hAnsiTheme="minorHAnsi"/>
          <w:color w:val="auto"/>
          <w:szCs w:val="24"/>
        </w:rPr>
        <w:t xml:space="preserve"> </w:t>
      </w:r>
      <w:r w:rsidR="00DA4CEF" w:rsidRPr="008244E9">
        <w:rPr>
          <w:rFonts w:asciiTheme="minorHAnsi" w:hAnsiTheme="minorHAnsi"/>
          <w:color w:val="auto"/>
          <w:szCs w:val="24"/>
        </w:rPr>
        <w:t xml:space="preserve"> Although these conditions and ratings were assigned an effective date to the time of separation, the earliest VA rating examination underpinning them was performed 17 months after separation. </w:t>
      </w:r>
      <w:r w:rsidR="0050229B">
        <w:rPr>
          <w:rFonts w:asciiTheme="minorHAnsi" w:hAnsiTheme="minorHAnsi"/>
          <w:color w:val="auto"/>
          <w:szCs w:val="24"/>
        </w:rPr>
        <w:t xml:space="preserve"> </w:t>
      </w:r>
      <w:r w:rsidR="00DA4CEF" w:rsidRPr="008244E9">
        <w:rPr>
          <w:rFonts w:asciiTheme="minorHAnsi" w:hAnsiTheme="minorHAnsi"/>
          <w:color w:val="auto"/>
          <w:szCs w:val="24"/>
        </w:rPr>
        <w:t>The Board’s operative instruction, DoDI 6040.44, specifies a 12 month interval for special consideration to VA findings. This does not mean that the later VA evidence was disregarded, but the Board’s recommendations are directed to the severity and fitness implications of conditions at the time of separation.</w:t>
      </w:r>
      <w:r w:rsidR="0050229B">
        <w:rPr>
          <w:rFonts w:asciiTheme="minorHAnsi" w:hAnsiTheme="minorHAnsi"/>
          <w:color w:val="auto"/>
          <w:szCs w:val="24"/>
        </w:rPr>
        <w:t xml:space="preserve"> </w:t>
      </w:r>
      <w:r w:rsidR="00DA4CEF" w:rsidRPr="008244E9">
        <w:rPr>
          <w:rFonts w:asciiTheme="minorHAnsi" w:hAnsiTheme="minorHAnsi"/>
          <w:color w:val="auto"/>
          <w:szCs w:val="24"/>
        </w:rPr>
        <w:t xml:space="preserve"> In this circumstance, therefore, the evidence from the service record is assigned significantly more probative value as a basis for the Board’s recommendations.</w:t>
      </w:r>
      <w:r w:rsidR="003B2A15" w:rsidRPr="003B2A15">
        <w:rPr>
          <w:rFonts w:asciiTheme="minorHAnsi" w:hAnsiTheme="minorHAnsi"/>
          <w:color w:val="auto"/>
          <w:szCs w:val="24"/>
        </w:rPr>
        <w:t xml:space="preserve"> </w:t>
      </w:r>
      <w:r w:rsidR="003B2A15">
        <w:rPr>
          <w:rFonts w:asciiTheme="minorHAnsi" w:hAnsiTheme="minorHAnsi"/>
          <w:color w:val="auto"/>
          <w:szCs w:val="24"/>
        </w:rPr>
        <w:t xml:space="preserve"> </w:t>
      </w:r>
      <w:r w:rsidR="003B2A15" w:rsidRPr="008244E9">
        <w:rPr>
          <w:rFonts w:asciiTheme="minorHAnsi" w:hAnsiTheme="minorHAnsi"/>
          <w:color w:val="auto"/>
          <w:szCs w:val="24"/>
        </w:rPr>
        <w:t xml:space="preserve">The CI’s contention regarding evaluation of all his medical conditions in the DES process is not eligible for Board recommendations but may be eligible for submission to the </w:t>
      </w:r>
      <w:r w:rsidR="003B2A15" w:rsidRPr="003B2A15">
        <w:rPr>
          <w:rFonts w:asciiTheme="minorHAnsi" w:hAnsiTheme="minorHAnsi"/>
          <w:color w:val="auto"/>
          <w:szCs w:val="24"/>
        </w:rPr>
        <w:t>Board for Corrections of Military Records of the Coast Guard</w:t>
      </w:r>
      <w:r w:rsidR="003B2A15" w:rsidRPr="008244E9">
        <w:rPr>
          <w:rFonts w:asciiTheme="minorHAnsi" w:hAnsiTheme="minorHAnsi"/>
          <w:color w:val="auto"/>
          <w:szCs w:val="24"/>
        </w:rPr>
        <w:t xml:space="preserve">. </w:t>
      </w:r>
      <w:r w:rsidR="003B2A15">
        <w:rPr>
          <w:rFonts w:asciiTheme="minorHAnsi" w:hAnsiTheme="minorHAnsi"/>
          <w:color w:val="auto"/>
          <w:szCs w:val="24"/>
        </w:rPr>
        <w:t xml:space="preserve"> </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7A750B" w:rsidRPr="00AE3316" w:rsidRDefault="005F0EBE" w:rsidP="005C15EA">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Panic Disorder </w:t>
      </w:r>
      <w:r w:rsidR="00E9393D">
        <w:rPr>
          <w:rFonts w:asciiTheme="minorHAnsi" w:hAnsiTheme="minorHAnsi"/>
          <w:color w:val="auto"/>
          <w:szCs w:val="24"/>
          <w:u w:val="single"/>
        </w:rPr>
        <w:t xml:space="preserve">and Agoraphobia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B810C3">
        <w:rPr>
          <w:rFonts w:asciiTheme="minorHAnsi" w:hAnsiTheme="minorHAnsi"/>
          <w:color w:val="auto"/>
          <w:szCs w:val="24"/>
        </w:rPr>
        <w:t xml:space="preserve">The CI initially presented to </w:t>
      </w:r>
      <w:r w:rsidR="00DD7F21">
        <w:rPr>
          <w:rFonts w:asciiTheme="minorHAnsi" w:hAnsiTheme="minorHAnsi"/>
          <w:color w:val="auto"/>
          <w:szCs w:val="24"/>
        </w:rPr>
        <w:t xml:space="preserve">the </w:t>
      </w:r>
      <w:r w:rsidR="00B810C3">
        <w:rPr>
          <w:rFonts w:asciiTheme="minorHAnsi" w:hAnsiTheme="minorHAnsi"/>
          <w:color w:val="auto"/>
          <w:szCs w:val="24"/>
        </w:rPr>
        <w:t>flight medicine clinic 31 January 2006 complaining of difficulty being around other people in the context of going through divorce</w:t>
      </w:r>
      <w:r w:rsidR="00F85577">
        <w:rPr>
          <w:rFonts w:asciiTheme="minorHAnsi" w:hAnsiTheme="minorHAnsi"/>
          <w:color w:val="auto"/>
          <w:szCs w:val="24"/>
        </w:rPr>
        <w:t xml:space="preserve"> proceedings</w:t>
      </w:r>
      <w:r w:rsidR="00B32C51">
        <w:rPr>
          <w:rFonts w:asciiTheme="minorHAnsi" w:hAnsiTheme="minorHAnsi"/>
          <w:color w:val="auto"/>
          <w:szCs w:val="24"/>
        </w:rPr>
        <w:t xml:space="preserve">.  </w:t>
      </w:r>
      <w:r w:rsidR="00B810C3">
        <w:rPr>
          <w:rFonts w:asciiTheme="minorHAnsi" w:hAnsiTheme="minorHAnsi"/>
          <w:color w:val="auto"/>
          <w:szCs w:val="24"/>
        </w:rPr>
        <w:t xml:space="preserve">He was assessed by psychiatry as having an anxiety disorder and adjustment disorder, and treated with psychotherapy and </w:t>
      </w:r>
      <w:r w:rsidR="00782168">
        <w:rPr>
          <w:rFonts w:asciiTheme="minorHAnsi" w:hAnsiTheme="minorHAnsi"/>
          <w:color w:val="auto"/>
          <w:szCs w:val="24"/>
        </w:rPr>
        <w:t xml:space="preserve">one psychotropic </w:t>
      </w:r>
      <w:r w:rsidR="00B810C3">
        <w:rPr>
          <w:rFonts w:asciiTheme="minorHAnsi" w:hAnsiTheme="minorHAnsi"/>
          <w:color w:val="auto"/>
          <w:szCs w:val="24"/>
        </w:rPr>
        <w:t xml:space="preserve">medication.  </w:t>
      </w:r>
      <w:r w:rsidR="0050229B">
        <w:rPr>
          <w:rFonts w:asciiTheme="minorHAnsi" w:hAnsiTheme="minorHAnsi"/>
          <w:color w:val="auto"/>
          <w:szCs w:val="24"/>
        </w:rPr>
        <w:t xml:space="preserve">The CI was grounded from flying duties due to the use of a psychotropic medication.  </w:t>
      </w:r>
      <w:r w:rsidR="00BC0A7F">
        <w:rPr>
          <w:rFonts w:asciiTheme="minorHAnsi" w:hAnsiTheme="minorHAnsi"/>
          <w:color w:val="auto"/>
          <w:szCs w:val="24"/>
        </w:rPr>
        <w:t xml:space="preserve">There was no history of alcohol or substance abuse.  Inpatient treatment was never required.  </w:t>
      </w:r>
      <w:r w:rsidR="000A2962">
        <w:rPr>
          <w:rFonts w:asciiTheme="minorHAnsi" w:hAnsiTheme="minorHAnsi"/>
          <w:color w:val="auto"/>
          <w:szCs w:val="24"/>
        </w:rPr>
        <w:t xml:space="preserve">The CI’s symptoms at the time of the MEB </w:t>
      </w:r>
      <w:r w:rsidR="00B32C51">
        <w:rPr>
          <w:rFonts w:asciiTheme="minorHAnsi" w:hAnsiTheme="minorHAnsi"/>
          <w:color w:val="auto"/>
          <w:szCs w:val="24"/>
        </w:rPr>
        <w:t xml:space="preserve">summary </w:t>
      </w:r>
      <w:r w:rsidR="000A2962">
        <w:rPr>
          <w:rFonts w:asciiTheme="minorHAnsi" w:hAnsiTheme="minorHAnsi"/>
          <w:color w:val="auto"/>
          <w:szCs w:val="24"/>
        </w:rPr>
        <w:t>(</w:t>
      </w:r>
      <w:r w:rsidR="00B32C51">
        <w:rPr>
          <w:rFonts w:asciiTheme="minorHAnsi" w:hAnsiTheme="minorHAnsi"/>
          <w:color w:val="auto"/>
          <w:szCs w:val="24"/>
        </w:rPr>
        <w:t xml:space="preserve">dated </w:t>
      </w:r>
      <w:r w:rsidR="000A2962">
        <w:rPr>
          <w:rFonts w:asciiTheme="minorHAnsi" w:hAnsiTheme="minorHAnsi"/>
          <w:color w:val="auto"/>
          <w:szCs w:val="24"/>
        </w:rPr>
        <w:t xml:space="preserve">21 July 2006) </w:t>
      </w:r>
      <w:r w:rsidR="00B32C51">
        <w:rPr>
          <w:rFonts w:asciiTheme="minorHAnsi" w:hAnsiTheme="minorHAnsi"/>
          <w:color w:val="auto"/>
          <w:szCs w:val="24"/>
        </w:rPr>
        <w:t xml:space="preserve">and mental health evaluation 10 August 2006 </w:t>
      </w:r>
      <w:r w:rsidR="000A2962">
        <w:rPr>
          <w:rFonts w:asciiTheme="minorHAnsi" w:hAnsiTheme="minorHAnsi"/>
          <w:color w:val="auto"/>
          <w:szCs w:val="24"/>
        </w:rPr>
        <w:t xml:space="preserve">could best be described as mild.  </w:t>
      </w:r>
      <w:r w:rsidR="00B32C51">
        <w:rPr>
          <w:rFonts w:asciiTheme="minorHAnsi" w:hAnsiTheme="minorHAnsi"/>
          <w:color w:val="auto"/>
          <w:szCs w:val="24"/>
        </w:rPr>
        <w:t>By that time he and his wife had reconciled and h</w:t>
      </w:r>
      <w:r w:rsidR="0036052E">
        <w:rPr>
          <w:rFonts w:asciiTheme="minorHAnsi" w:hAnsiTheme="minorHAnsi"/>
          <w:color w:val="auto"/>
          <w:szCs w:val="24"/>
        </w:rPr>
        <w:t xml:space="preserve">is </w:t>
      </w:r>
      <w:r w:rsidR="000A2962">
        <w:rPr>
          <w:rFonts w:asciiTheme="minorHAnsi" w:hAnsiTheme="minorHAnsi"/>
          <w:color w:val="auto"/>
          <w:szCs w:val="24"/>
        </w:rPr>
        <w:t xml:space="preserve">condition </w:t>
      </w:r>
      <w:r w:rsidR="0036052E">
        <w:rPr>
          <w:rFonts w:asciiTheme="minorHAnsi" w:hAnsiTheme="minorHAnsi"/>
          <w:color w:val="auto"/>
          <w:szCs w:val="24"/>
        </w:rPr>
        <w:t>had improved significantly</w:t>
      </w:r>
      <w:r w:rsidR="000A2962">
        <w:rPr>
          <w:rFonts w:asciiTheme="minorHAnsi" w:hAnsiTheme="minorHAnsi"/>
          <w:color w:val="auto"/>
          <w:szCs w:val="24"/>
        </w:rPr>
        <w:t xml:space="preserve"> with treatment</w:t>
      </w:r>
      <w:r w:rsidR="0036052E">
        <w:rPr>
          <w:rFonts w:asciiTheme="minorHAnsi" w:hAnsiTheme="minorHAnsi"/>
          <w:color w:val="auto"/>
          <w:szCs w:val="24"/>
        </w:rPr>
        <w:t xml:space="preserve">.  </w:t>
      </w:r>
      <w:r w:rsidR="00BF4296">
        <w:rPr>
          <w:rFonts w:asciiTheme="minorHAnsi" w:hAnsiTheme="minorHAnsi"/>
          <w:color w:val="auto"/>
          <w:szCs w:val="24"/>
        </w:rPr>
        <w:t xml:space="preserve">He stated that “the medication is working great.”  </w:t>
      </w:r>
      <w:r w:rsidR="0036052E">
        <w:rPr>
          <w:rFonts w:asciiTheme="minorHAnsi" w:hAnsiTheme="minorHAnsi"/>
          <w:color w:val="auto"/>
          <w:szCs w:val="24"/>
        </w:rPr>
        <w:t xml:space="preserve">He still had some difficulty sleeping, but low mood had resolved, appetite was improved and he experienced a better ability to successfully handle new environments without debilitating anxiety symptoms (though not </w:t>
      </w:r>
      <w:r w:rsidR="002F4BC8">
        <w:rPr>
          <w:rFonts w:asciiTheme="minorHAnsi" w:hAnsiTheme="minorHAnsi"/>
          <w:color w:val="auto"/>
          <w:szCs w:val="24"/>
        </w:rPr>
        <w:t>at all times</w:t>
      </w:r>
      <w:r w:rsidR="0036052E">
        <w:rPr>
          <w:rFonts w:asciiTheme="minorHAnsi" w:hAnsiTheme="minorHAnsi"/>
          <w:color w:val="auto"/>
          <w:szCs w:val="24"/>
        </w:rPr>
        <w:t xml:space="preserve">).  </w:t>
      </w:r>
      <w:r w:rsidR="009D4CC1">
        <w:rPr>
          <w:rFonts w:asciiTheme="minorHAnsi" w:hAnsiTheme="minorHAnsi"/>
          <w:color w:val="auto"/>
          <w:szCs w:val="24"/>
        </w:rPr>
        <w:t xml:space="preserve">He still experienced episodes of sweating, heart racing and a queasy stomach in new environments.  </w:t>
      </w:r>
      <w:r w:rsidR="00B32C51">
        <w:rPr>
          <w:rFonts w:asciiTheme="minorHAnsi" w:hAnsiTheme="minorHAnsi"/>
          <w:color w:val="auto"/>
          <w:szCs w:val="24"/>
        </w:rPr>
        <w:t xml:space="preserve">The </w:t>
      </w:r>
      <w:r>
        <w:rPr>
          <w:rFonts w:asciiTheme="minorHAnsi" w:hAnsiTheme="minorHAnsi"/>
          <w:color w:val="auto"/>
          <w:szCs w:val="24"/>
        </w:rPr>
        <w:t xml:space="preserve">mental status exam (MSE) </w:t>
      </w:r>
      <w:r w:rsidR="008A0420">
        <w:rPr>
          <w:rFonts w:asciiTheme="minorHAnsi" w:hAnsiTheme="minorHAnsi"/>
          <w:color w:val="auto"/>
          <w:szCs w:val="24"/>
        </w:rPr>
        <w:t xml:space="preserve">performed 10 August 2006 (three months before separation) </w:t>
      </w:r>
      <w:r>
        <w:rPr>
          <w:rFonts w:asciiTheme="minorHAnsi" w:hAnsiTheme="minorHAnsi"/>
          <w:color w:val="auto"/>
          <w:szCs w:val="24"/>
        </w:rPr>
        <w:t xml:space="preserve">revealed a </w:t>
      </w:r>
      <w:r w:rsidR="008A0420">
        <w:rPr>
          <w:rFonts w:asciiTheme="minorHAnsi" w:hAnsiTheme="minorHAnsi"/>
          <w:color w:val="auto"/>
          <w:szCs w:val="24"/>
        </w:rPr>
        <w:t>mildly</w:t>
      </w:r>
      <w:r>
        <w:rPr>
          <w:rFonts w:asciiTheme="minorHAnsi" w:hAnsiTheme="minorHAnsi"/>
          <w:color w:val="auto"/>
          <w:szCs w:val="24"/>
        </w:rPr>
        <w:t xml:space="preserve"> anxious </w:t>
      </w:r>
      <w:r w:rsidR="008A0420">
        <w:rPr>
          <w:rFonts w:asciiTheme="minorHAnsi" w:hAnsiTheme="minorHAnsi"/>
          <w:color w:val="auto"/>
          <w:szCs w:val="24"/>
        </w:rPr>
        <w:t>mood</w:t>
      </w:r>
      <w:r>
        <w:rPr>
          <w:rFonts w:asciiTheme="minorHAnsi" w:hAnsiTheme="minorHAnsi"/>
          <w:color w:val="auto"/>
          <w:szCs w:val="24"/>
        </w:rPr>
        <w:t xml:space="preserve">, </w:t>
      </w:r>
      <w:r w:rsidR="00B32C51">
        <w:rPr>
          <w:rFonts w:asciiTheme="minorHAnsi" w:hAnsiTheme="minorHAnsi"/>
          <w:color w:val="auto"/>
          <w:szCs w:val="24"/>
        </w:rPr>
        <w:t xml:space="preserve">with </w:t>
      </w:r>
      <w:r w:rsidR="00B32C51" w:rsidRPr="00EA1D89">
        <w:rPr>
          <w:rFonts w:asciiTheme="minorHAnsi" w:hAnsiTheme="minorHAnsi"/>
          <w:color w:val="auto"/>
        </w:rPr>
        <w:t xml:space="preserve">a normal, </w:t>
      </w:r>
      <w:r w:rsidR="008A0420" w:rsidRPr="00EA1D89">
        <w:rPr>
          <w:rFonts w:asciiTheme="minorHAnsi" w:hAnsiTheme="minorHAnsi"/>
          <w:color w:val="auto"/>
        </w:rPr>
        <w:t xml:space="preserve">broad, full-ranging affect.  There was no evidence of </w:t>
      </w:r>
      <w:r w:rsidR="001D2684" w:rsidRPr="00EA1D89">
        <w:rPr>
          <w:rFonts w:asciiTheme="minorHAnsi" w:hAnsiTheme="minorHAnsi"/>
          <w:color w:val="auto"/>
        </w:rPr>
        <w:t xml:space="preserve">a </w:t>
      </w:r>
      <w:r w:rsidR="008A0420" w:rsidRPr="00EA1D89">
        <w:rPr>
          <w:rFonts w:asciiTheme="minorHAnsi" w:hAnsiTheme="minorHAnsi"/>
          <w:color w:val="auto"/>
        </w:rPr>
        <w:t xml:space="preserve">thought disorder and no suicidal or homicidal tendencies.  He did still experience some sleep difficulties.  </w:t>
      </w:r>
      <w:r w:rsidRPr="00EA1D89">
        <w:rPr>
          <w:rFonts w:asciiTheme="minorHAnsi" w:hAnsiTheme="minorHAnsi"/>
          <w:color w:val="auto"/>
        </w:rPr>
        <w:t xml:space="preserve">The global assessment of functioning (GAF) was </w:t>
      </w:r>
      <w:r w:rsidR="008A0420" w:rsidRPr="00EA1D89">
        <w:rPr>
          <w:rFonts w:asciiTheme="minorHAnsi" w:hAnsiTheme="minorHAnsi"/>
          <w:color w:val="auto"/>
        </w:rPr>
        <w:t>65</w:t>
      </w:r>
      <w:r w:rsidRPr="00EA1D89">
        <w:rPr>
          <w:rFonts w:asciiTheme="minorHAnsi" w:hAnsiTheme="minorHAnsi"/>
          <w:color w:val="auto"/>
        </w:rPr>
        <w:t xml:space="preserve"> </w:t>
      </w:r>
      <w:r w:rsidR="004466DE">
        <w:rPr>
          <w:rFonts w:asciiTheme="minorHAnsi" w:hAnsiTheme="minorHAnsi"/>
          <w:color w:val="auto"/>
        </w:rPr>
        <w:t>(“</w:t>
      </w:r>
      <w:r w:rsidR="008A0420" w:rsidRPr="00EA1D89">
        <w:rPr>
          <w:rFonts w:asciiTheme="minorHAnsi" w:hAnsiTheme="minorHAnsi"/>
          <w:color w:val="auto"/>
        </w:rPr>
        <w:t>some mild symptoms, ge</w:t>
      </w:r>
      <w:r w:rsidR="004466DE">
        <w:rPr>
          <w:rFonts w:asciiTheme="minorHAnsi" w:hAnsiTheme="minorHAnsi"/>
          <w:color w:val="auto"/>
        </w:rPr>
        <w:t>nerally functioning pretty well”</w:t>
      </w:r>
      <w:r w:rsidR="008A0420" w:rsidRPr="00EA1D89">
        <w:rPr>
          <w:rFonts w:asciiTheme="minorHAnsi" w:hAnsiTheme="minorHAnsi"/>
          <w:color w:val="auto"/>
        </w:rPr>
        <w:t>).</w:t>
      </w:r>
      <w:r w:rsidR="00B32C51" w:rsidRPr="00EA1D89">
        <w:rPr>
          <w:rFonts w:asciiTheme="minorHAnsi" w:hAnsiTheme="minorHAnsi"/>
          <w:color w:val="auto"/>
        </w:rPr>
        <w:t xml:space="preserve">  </w:t>
      </w:r>
      <w:r w:rsidR="000A2962" w:rsidRPr="00EA1D89">
        <w:rPr>
          <w:rFonts w:asciiTheme="minorHAnsi" w:hAnsiTheme="minorHAnsi"/>
          <w:color w:val="auto"/>
        </w:rPr>
        <w:t xml:space="preserve">Because the </w:t>
      </w:r>
      <w:r w:rsidR="00BF4296" w:rsidRPr="00EA1D89">
        <w:rPr>
          <w:rFonts w:asciiTheme="minorHAnsi" w:hAnsiTheme="minorHAnsi"/>
          <w:color w:val="auto"/>
        </w:rPr>
        <w:t xml:space="preserve">medication </w:t>
      </w:r>
      <w:r w:rsidR="000A2962" w:rsidRPr="00EA1D89">
        <w:rPr>
          <w:rFonts w:asciiTheme="minorHAnsi" w:hAnsiTheme="minorHAnsi"/>
          <w:color w:val="auto"/>
        </w:rPr>
        <w:t>treatment was incompatible with aviation duties</w:t>
      </w:r>
      <w:r w:rsidR="005B560B" w:rsidRPr="00EA1D89">
        <w:rPr>
          <w:rFonts w:asciiTheme="minorHAnsi" w:hAnsiTheme="minorHAnsi"/>
          <w:color w:val="auto"/>
        </w:rPr>
        <w:t xml:space="preserve"> but he experienced minimal occupational impairment, cross training was discussed with him.  However</w:t>
      </w:r>
      <w:r w:rsidR="000A2962" w:rsidRPr="00EA1D89">
        <w:rPr>
          <w:rFonts w:asciiTheme="minorHAnsi" w:hAnsiTheme="minorHAnsi"/>
          <w:color w:val="auto"/>
        </w:rPr>
        <w:t xml:space="preserve"> he</w:t>
      </w:r>
      <w:r w:rsidR="009015B4">
        <w:rPr>
          <w:rFonts w:asciiTheme="minorHAnsi" w:hAnsiTheme="minorHAnsi"/>
          <w:color w:val="auto"/>
        </w:rPr>
        <w:t xml:space="preserve"> had no desire to stay in the Se</w:t>
      </w:r>
      <w:r w:rsidR="000A2962" w:rsidRPr="00EA1D89">
        <w:rPr>
          <w:rFonts w:asciiTheme="minorHAnsi" w:hAnsiTheme="minorHAnsi"/>
          <w:color w:val="auto"/>
        </w:rPr>
        <w:t xml:space="preserve">rvice performing a different job, </w:t>
      </w:r>
      <w:r w:rsidR="005B560B" w:rsidRPr="00EA1D89">
        <w:rPr>
          <w:rFonts w:asciiTheme="minorHAnsi" w:hAnsiTheme="minorHAnsi"/>
          <w:color w:val="auto"/>
        </w:rPr>
        <w:t xml:space="preserve">and thus </w:t>
      </w:r>
      <w:r w:rsidR="00AE018B" w:rsidRPr="00EA1D89">
        <w:rPr>
          <w:rFonts w:asciiTheme="minorHAnsi" w:hAnsiTheme="minorHAnsi"/>
          <w:color w:val="auto"/>
        </w:rPr>
        <w:t xml:space="preserve">was </w:t>
      </w:r>
      <w:r w:rsidR="000A2962" w:rsidRPr="00EA1D89">
        <w:rPr>
          <w:rFonts w:asciiTheme="minorHAnsi" w:hAnsiTheme="minorHAnsi"/>
          <w:color w:val="auto"/>
        </w:rPr>
        <w:t>separate</w:t>
      </w:r>
      <w:r w:rsidR="00AE018B" w:rsidRPr="00EA1D89">
        <w:rPr>
          <w:rFonts w:asciiTheme="minorHAnsi" w:hAnsiTheme="minorHAnsi"/>
          <w:color w:val="auto"/>
        </w:rPr>
        <w:t>d</w:t>
      </w:r>
      <w:r w:rsidR="00353984" w:rsidRPr="00EA1D89">
        <w:rPr>
          <w:rFonts w:asciiTheme="minorHAnsi" w:hAnsiTheme="minorHAnsi"/>
          <w:color w:val="auto"/>
        </w:rPr>
        <w:t xml:space="preserve"> from the Coast Guard</w:t>
      </w:r>
      <w:r w:rsidR="000A2962" w:rsidRPr="00EA1D89">
        <w:rPr>
          <w:rFonts w:asciiTheme="minorHAnsi" w:hAnsiTheme="minorHAnsi"/>
          <w:color w:val="auto"/>
        </w:rPr>
        <w:t>.</w:t>
      </w:r>
      <w:r w:rsidR="00BC44F0">
        <w:rPr>
          <w:rFonts w:asciiTheme="minorHAnsi" w:hAnsiTheme="minorHAnsi"/>
          <w:color w:val="auto"/>
        </w:rPr>
        <w:t xml:space="preserve">  </w:t>
      </w:r>
      <w:proofErr w:type="gramStart"/>
      <w:r w:rsidR="002F4BC8" w:rsidRPr="00EA1D89">
        <w:rPr>
          <w:rFonts w:asciiTheme="minorHAnsi" w:hAnsiTheme="minorHAnsi"/>
          <w:color w:val="auto"/>
        </w:rPr>
        <w:t>At the</w:t>
      </w:r>
      <w:r w:rsidR="002F4BC8">
        <w:rPr>
          <w:rFonts w:asciiTheme="minorHAnsi" w:hAnsiTheme="minorHAnsi"/>
          <w:color w:val="auto"/>
          <w:szCs w:val="24"/>
        </w:rPr>
        <w:t xml:space="preserve"> time of the</w:t>
      </w:r>
      <w:r w:rsidR="00171A44">
        <w:rPr>
          <w:rFonts w:asciiTheme="minorHAnsi" w:hAnsiTheme="minorHAnsi"/>
          <w:color w:val="auto"/>
          <w:szCs w:val="24"/>
        </w:rPr>
        <w:t xml:space="preserve"> </w:t>
      </w:r>
      <w:r w:rsidR="00B32C51">
        <w:rPr>
          <w:rFonts w:asciiTheme="minorHAnsi" w:hAnsiTheme="minorHAnsi"/>
          <w:color w:val="auto"/>
          <w:szCs w:val="24"/>
        </w:rPr>
        <w:t xml:space="preserve">VA </w:t>
      </w:r>
      <w:r w:rsidR="00EA1D89">
        <w:rPr>
          <w:rFonts w:asciiTheme="minorHAnsi" w:hAnsiTheme="minorHAnsi"/>
          <w:color w:val="auto"/>
          <w:szCs w:val="24"/>
        </w:rPr>
        <w:t>c</w:t>
      </w:r>
      <w:r w:rsidR="00171A44">
        <w:rPr>
          <w:rFonts w:asciiTheme="minorHAnsi" w:hAnsiTheme="minorHAnsi"/>
          <w:color w:val="auto"/>
          <w:szCs w:val="24"/>
        </w:rPr>
        <w:t xml:space="preserve">ompensation and </w:t>
      </w:r>
      <w:r w:rsidR="00EA1D89">
        <w:rPr>
          <w:rFonts w:asciiTheme="minorHAnsi" w:hAnsiTheme="minorHAnsi"/>
          <w:color w:val="auto"/>
          <w:szCs w:val="24"/>
        </w:rPr>
        <w:t>p</w:t>
      </w:r>
      <w:r w:rsidR="00171A44">
        <w:rPr>
          <w:rFonts w:asciiTheme="minorHAnsi" w:hAnsiTheme="minorHAnsi"/>
          <w:color w:val="auto"/>
          <w:szCs w:val="24"/>
        </w:rPr>
        <w:t xml:space="preserve">ension (C&amp;P) exam (11 April 2008, 17 months after separation) </w:t>
      </w:r>
      <w:r w:rsidR="002F4BC8">
        <w:rPr>
          <w:rFonts w:asciiTheme="minorHAnsi" w:hAnsiTheme="minorHAnsi"/>
          <w:color w:val="auto"/>
          <w:szCs w:val="24"/>
        </w:rPr>
        <w:t xml:space="preserve">the CI’s </w:t>
      </w:r>
      <w:r w:rsidR="00BC44F0">
        <w:rPr>
          <w:rFonts w:asciiTheme="minorHAnsi" w:hAnsiTheme="minorHAnsi"/>
          <w:color w:val="auto"/>
          <w:szCs w:val="24"/>
        </w:rPr>
        <w:t xml:space="preserve">continued to experience </w:t>
      </w:r>
      <w:r w:rsidR="002F4BC8">
        <w:rPr>
          <w:rFonts w:asciiTheme="minorHAnsi" w:hAnsiTheme="minorHAnsi"/>
          <w:color w:val="auto"/>
          <w:szCs w:val="24"/>
        </w:rPr>
        <w:t xml:space="preserve">symptoms </w:t>
      </w:r>
      <w:r w:rsidR="00BC44F0">
        <w:rPr>
          <w:rFonts w:asciiTheme="minorHAnsi" w:hAnsiTheme="minorHAnsi"/>
          <w:color w:val="auto"/>
          <w:szCs w:val="24"/>
        </w:rPr>
        <w:t>of difficulty sleeping (also was attributed to back pain) and anxiety (difficulty shopping and going into gas stations or stores).</w:t>
      </w:r>
      <w:proofErr w:type="gramEnd"/>
      <w:r w:rsidR="00BC44F0">
        <w:rPr>
          <w:rFonts w:asciiTheme="minorHAnsi" w:hAnsiTheme="minorHAnsi"/>
          <w:color w:val="auto"/>
          <w:szCs w:val="24"/>
        </w:rPr>
        <w:t xml:space="preserve">  There were no panic attacks, or problems with memory or concentration.  </w:t>
      </w:r>
      <w:r w:rsidR="002F4BC8">
        <w:rPr>
          <w:rFonts w:asciiTheme="minorHAnsi" w:hAnsiTheme="minorHAnsi"/>
          <w:color w:val="auto"/>
          <w:szCs w:val="24"/>
        </w:rPr>
        <w:t xml:space="preserve">He </w:t>
      </w:r>
      <w:r w:rsidR="00171A44">
        <w:rPr>
          <w:rFonts w:asciiTheme="minorHAnsi" w:hAnsiTheme="minorHAnsi"/>
          <w:color w:val="auto"/>
          <w:szCs w:val="24"/>
        </w:rPr>
        <w:t xml:space="preserve">reported that the counseling and medication </w:t>
      </w:r>
      <w:r w:rsidR="00171A44">
        <w:rPr>
          <w:rFonts w:asciiTheme="minorHAnsi" w:hAnsiTheme="minorHAnsi"/>
          <w:color w:val="auto"/>
          <w:szCs w:val="24"/>
        </w:rPr>
        <w:lastRenderedPageBreak/>
        <w:t xml:space="preserve">continued to </w:t>
      </w:r>
      <w:r w:rsidR="002F4BC8">
        <w:rPr>
          <w:rFonts w:asciiTheme="minorHAnsi" w:hAnsiTheme="minorHAnsi"/>
          <w:color w:val="auto"/>
          <w:szCs w:val="24"/>
        </w:rPr>
        <w:t>be</w:t>
      </w:r>
      <w:r w:rsidR="00171A44">
        <w:rPr>
          <w:rFonts w:asciiTheme="minorHAnsi" w:hAnsiTheme="minorHAnsi"/>
          <w:color w:val="auto"/>
          <w:szCs w:val="24"/>
        </w:rPr>
        <w:t xml:space="preserve"> helpful</w:t>
      </w:r>
      <w:r w:rsidR="00735AD6">
        <w:rPr>
          <w:rFonts w:asciiTheme="minorHAnsi" w:hAnsiTheme="minorHAnsi"/>
          <w:color w:val="auto"/>
          <w:szCs w:val="24"/>
        </w:rPr>
        <w:t xml:space="preserve">.  </w:t>
      </w:r>
      <w:r w:rsidR="00FA6091">
        <w:rPr>
          <w:rFonts w:asciiTheme="minorHAnsi" w:hAnsiTheme="minorHAnsi"/>
          <w:color w:val="auto"/>
          <w:szCs w:val="24"/>
        </w:rPr>
        <w:t>He had full</w:t>
      </w:r>
      <w:r w:rsidR="006D6976">
        <w:rPr>
          <w:rFonts w:asciiTheme="minorHAnsi" w:hAnsiTheme="minorHAnsi"/>
          <w:color w:val="auto"/>
          <w:szCs w:val="24"/>
        </w:rPr>
        <w:t xml:space="preserve"> </w:t>
      </w:r>
      <w:r w:rsidR="00FA6091">
        <w:rPr>
          <w:rFonts w:asciiTheme="minorHAnsi" w:hAnsiTheme="minorHAnsi"/>
          <w:color w:val="auto"/>
          <w:szCs w:val="24"/>
        </w:rPr>
        <w:t>time employment in a management position and had missed no work</w:t>
      </w:r>
      <w:r w:rsidR="006D6976">
        <w:rPr>
          <w:rFonts w:asciiTheme="minorHAnsi" w:hAnsiTheme="minorHAnsi"/>
          <w:color w:val="auto"/>
          <w:szCs w:val="24"/>
        </w:rPr>
        <w:t xml:space="preserve"> (held</w:t>
      </w:r>
      <w:r w:rsidR="00FA6091">
        <w:rPr>
          <w:rFonts w:asciiTheme="minorHAnsi" w:hAnsiTheme="minorHAnsi"/>
          <w:color w:val="auto"/>
          <w:szCs w:val="24"/>
        </w:rPr>
        <w:t xml:space="preserve"> th</w:t>
      </w:r>
      <w:r w:rsidR="006D6976">
        <w:rPr>
          <w:rFonts w:asciiTheme="minorHAnsi" w:hAnsiTheme="minorHAnsi"/>
          <w:color w:val="auto"/>
          <w:szCs w:val="24"/>
        </w:rPr>
        <w:t>at job</w:t>
      </w:r>
      <w:r w:rsidR="00FA6091">
        <w:rPr>
          <w:rFonts w:asciiTheme="minorHAnsi" w:hAnsiTheme="minorHAnsi"/>
          <w:color w:val="auto"/>
          <w:szCs w:val="24"/>
        </w:rPr>
        <w:t xml:space="preserve"> </w:t>
      </w:r>
      <w:r w:rsidR="006D6976">
        <w:rPr>
          <w:rFonts w:asciiTheme="minorHAnsi" w:hAnsiTheme="minorHAnsi"/>
          <w:color w:val="auto"/>
          <w:szCs w:val="24"/>
        </w:rPr>
        <w:t xml:space="preserve">for </w:t>
      </w:r>
      <w:r w:rsidR="00FA6091">
        <w:rPr>
          <w:rFonts w:asciiTheme="minorHAnsi" w:hAnsiTheme="minorHAnsi"/>
          <w:color w:val="auto"/>
          <w:szCs w:val="24"/>
        </w:rPr>
        <w:t>less than one year</w:t>
      </w:r>
      <w:r w:rsidR="006D6976">
        <w:rPr>
          <w:rFonts w:asciiTheme="minorHAnsi" w:hAnsiTheme="minorHAnsi"/>
          <w:color w:val="auto"/>
          <w:szCs w:val="24"/>
        </w:rPr>
        <w:t>)</w:t>
      </w:r>
      <w:r w:rsidR="00FA6091">
        <w:rPr>
          <w:rFonts w:asciiTheme="minorHAnsi" w:hAnsiTheme="minorHAnsi"/>
          <w:color w:val="auto"/>
          <w:szCs w:val="24"/>
        </w:rPr>
        <w:t xml:space="preserve">.  </w:t>
      </w:r>
      <w:r w:rsidR="00B32C51">
        <w:rPr>
          <w:rFonts w:asciiTheme="minorHAnsi" w:hAnsiTheme="minorHAnsi"/>
          <w:color w:val="auto"/>
          <w:szCs w:val="24"/>
        </w:rPr>
        <w:t xml:space="preserve">He remained married </w:t>
      </w:r>
      <w:r w:rsidR="00353984">
        <w:rPr>
          <w:rFonts w:asciiTheme="minorHAnsi" w:hAnsiTheme="minorHAnsi"/>
          <w:color w:val="auto"/>
          <w:szCs w:val="24"/>
        </w:rPr>
        <w:t xml:space="preserve">without reported difficulties.  </w:t>
      </w:r>
      <w:r w:rsidR="00066613">
        <w:rPr>
          <w:rFonts w:asciiTheme="minorHAnsi" w:hAnsiTheme="minorHAnsi"/>
          <w:color w:val="auto"/>
          <w:szCs w:val="24"/>
        </w:rPr>
        <w:t xml:space="preserve">All Board members agreed the evidence of the examinations at the time of the MEB </w:t>
      </w:r>
      <w:r w:rsidR="007A750B">
        <w:rPr>
          <w:rFonts w:asciiTheme="minorHAnsi" w:hAnsiTheme="minorHAnsi"/>
          <w:color w:val="auto"/>
          <w:szCs w:val="24"/>
        </w:rPr>
        <w:t xml:space="preserve">clearly </w:t>
      </w:r>
      <w:r w:rsidR="00066613">
        <w:rPr>
          <w:rFonts w:asciiTheme="minorHAnsi" w:hAnsiTheme="minorHAnsi"/>
          <w:color w:val="auto"/>
          <w:szCs w:val="24"/>
        </w:rPr>
        <w:t>did not approach the 50% rating, therefore Board deliberations centered on a 10% versus a 30% rating at the time of separation.</w:t>
      </w:r>
      <w:r w:rsidR="002F15C7">
        <w:rPr>
          <w:rFonts w:asciiTheme="minorHAnsi" w:hAnsiTheme="minorHAnsi"/>
          <w:color w:val="auto"/>
          <w:szCs w:val="24"/>
        </w:rPr>
        <w:t xml:space="preserve">  </w:t>
      </w:r>
      <w:r w:rsidR="00066613" w:rsidRPr="00066613">
        <w:rPr>
          <w:rFonts w:asciiTheme="minorHAnsi" w:hAnsiTheme="minorHAnsi"/>
          <w:color w:val="auto"/>
          <w:szCs w:val="24"/>
        </w:rPr>
        <w:t>Social and occupational impairment consistent with a 30% evaluation (“Occupational and social impairment with occasional decrease in work efficiency and intermittent periods of inability to perform occupational tasks…”</w:t>
      </w:r>
      <w:proofErr w:type="gramStart"/>
      <w:r w:rsidR="004466DE" w:rsidRPr="00066613">
        <w:rPr>
          <w:rFonts w:asciiTheme="minorHAnsi" w:hAnsiTheme="minorHAnsi"/>
          <w:color w:val="auto"/>
          <w:szCs w:val="24"/>
        </w:rPr>
        <w:t>)</w:t>
      </w:r>
      <w:r w:rsidR="004466DE">
        <w:rPr>
          <w:rFonts w:asciiTheme="minorHAnsi" w:hAnsiTheme="minorHAnsi"/>
          <w:color w:val="auto"/>
          <w:szCs w:val="24"/>
        </w:rPr>
        <w:t>,</w:t>
      </w:r>
      <w:proofErr w:type="gramEnd"/>
      <w:r w:rsidR="00066613" w:rsidRPr="00066613">
        <w:rPr>
          <w:rFonts w:asciiTheme="minorHAnsi" w:hAnsiTheme="minorHAnsi"/>
          <w:color w:val="auto"/>
          <w:szCs w:val="24"/>
        </w:rPr>
        <w:t xml:space="preserve"> could be surmised from some of the documented symptoms at the time of the </w:t>
      </w:r>
      <w:r w:rsidR="00066613">
        <w:rPr>
          <w:rFonts w:asciiTheme="minorHAnsi" w:hAnsiTheme="minorHAnsi"/>
          <w:color w:val="auto"/>
          <w:szCs w:val="24"/>
        </w:rPr>
        <w:t xml:space="preserve">PEB </w:t>
      </w:r>
      <w:r w:rsidR="00066613" w:rsidRPr="00066613">
        <w:rPr>
          <w:rFonts w:asciiTheme="minorHAnsi" w:hAnsiTheme="minorHAnsi"/>
          <w:color w:val="auto"/>
          <w:szCs w:val="24"/>
        </w:rPr>
        <w:t>including</w:t>
      </w:r>
      <w:r w:rsidR="00066613">
        <w:rPr>
          <w:rFonts w:asciiTheme="minorHAnsi" w:hAnsiTheme="minorHAnsi"/>
          <w:color w:val="auto"/>
          <w:szCs w:val="24"/>
        </w:rPr>
        <w:t xml:space="preserve"> anxiety symptoms in new environments, avoidance </w:t>
      </w:r>
      <w:r w:rsidR="002F15C7">
        <w:rPr>
          <w:rFonts w:asciiTheme="minorHAnsi" w:hAnsiTheme="minorHAnsi"/>
          <w:color w:val="auto"/>
          <w:szCs w:val="24"/>
        </w:rPr>
        <w:t>of new environments and s</w:t>
      </w:r>
      <w:r w:rsidR="002F15C7" w:rsidRPr="002F15C7">
        <w:rPr>
          <w:rFonts w:asciiTheme="minorHAnsi" w:hAnsiTheme="minorHAnsi"/>
          <w:color w:val="auto"/>
          <w:szCs w:val="24"/>
        </w:rPr>
        <w:t>leep impairment</w:t>
      </w:r>
      <w:r w:rsidR="002F15C7">
        <w:rPr>
          <w:rFonts w:asciiTheme="minorHAnsi" w:hAnsiTheme="minorHAnsi"/>
          <w:color w:val="auto"/>
          <w:szCs w:val="24"/>
        </w:rPr>
        <w:t>.  However, d</w:t>
      </w:r>
      <w:r w:rsidR="002F15C7" w:rsidRPr="002F15C7">
        <w:rPr>
          <w:rFonts w:asciiTheme="minorHAnsi" w:hAnsiTheme="minorHAnsi"/>
          <w:color w:val="auto"/>
          <w:szCs w:val="24"/>
        </w:rPr>
        <w:t>epressed mood</w:t>
      </w:r>
      <w:r w:rsidR="002F15C7">
        <w:rPr>
          <w:rFonts w:asciiTheme="minorHAnsi" w:hAnsiTheme="minorHAnsi"/>
          <w:color w:val="auto"/>
          <w:szCs w:val="24"/>
        </w:rPr>
        <w:t>,</w:t>
      </w:r>
      <w:r w:rsidR="002F15C7" w:rsidRPr="002F15C7">
        <w:rPr>
          <w:rFonts w:asciiTheme="minorHAnsi" w:hAnsiTheme="minorHAnsi"/>
          <w:color w:val="auto"/>
          <w:szCs w:val="24"/>
        </w:rPr>
        <w:t xml:space="preserve"> suspic</w:t>
      </w:r>
      <w:r w:rsidR="002F15C7">
        <w:rPr>
          <w:rFonts w:asciiTheme="minorHAnsi" w:hAnsiTheme="minorHAnsi"/>
          <w:color w:val="auto"/>
          <w:szCs w:val="24"/>
        </w:rPr>
        <w:t>i</w:t>
      </w:r>
      <w:r w:rsidR="002F15C7" w:rsidRPr="002F15C7">
        <w:rPr>
          <w:rFonts w:asciiTheme="minorHAnsi" w:hAnsiTheme="minorHAnsi"/>
          <w:color w:val="auto"/>
          <w:szCs w:val="24"/>
        </w:rPr>
        <w:t xml:space="preserve">ousness, </w:t>
      </w:r>
      <w:r w:rsidR="002F15C7">
        <w:rPr>
          <w:rFonts w:asciiTheme="minorHAnsi" w:hAnsiTheme="minorHAnsi"/>
          <w:color w:val="auto"/>
          <w:szCs w:val="24"/>
        </w:rPr>
        <w:t xml:space="preserve">and </w:t>
      </w:r>
      <w:r w:rsidR="002F15C7" w:rsidRPr="002F15C7">
        <w:rPr>
          <w:rFonts w:asciiTheme="minorHAnsi" w:hAnsiTheme="minorHAnsi"/>
          <w:color w:val="auto"/>
          <w:szCs w:val="24"/>
        </w:rPr>
        <w:t>memory loss</w:t>
      </w:r>
      <w:r w:rsidR="002F15C7">
        <w:rPr>
          <w:rFonts w:asciiTheme="minorHAnsi" w:hAnsiTheme="minorHAnsi"/>
          <w:color w:val="auto"/>
          <w:szCs w:val="24"/>
        </w:rPr>
        <w:t xml:space="preserve"> were not present</w:t>
      </w:r>
      <w:r w:rsidR="009C520E">
        <w:rPr>
          <w:rFonts w:asciiTheme="minorHAnsi" w:hAnsiTheme="minorHAnsi"/>
          <w:color w:val="auto"/>
          <w:szCs w:val="24"/>
        </w:rPr>
        <w:t>.</w:t>
      </w:r>
      <w:r w:rsidR="005B560B">
        <w:rPr>
          <w:rFonts w:asciiTheme="minorHAnsi" w:hAnsiTheme="minorHAnsi"/>
          <w:color w:val="auto"/>
          <w:szCs w:val="24"/>
        </w:rPr>
        <w:t xml:space="preserve">  </w:t>
      </w:r>
      <w:r w:rsidR="002F15C7" w:rsidRPr="009C520E">
        <w:rPr>
          <w:rFonts w:asciiTheme="minorHAnsi" w:hAnsiTheme="minorHAnsi"/>
          <w:color w:val="auto"/>
          <w:szCs w:val="24"/>
        </w:rPr>
        <w:t>Although anxiety in new environments was reported, there was no indication that it contributed to impairment in occupational functioning.</w:t>
      </w:r>
      <w:r w:rsidR="007A750B">
        <w:rPr>
          <w:rFonts w:asciiTheme="minorHAnsi" w:hAnsiTheme="minorHAnsi"/>
          <w:color w:val="auto"/>
          <w:szCs w:val="24"/>
        </w:rPr>
        <w:t xml:space="preserve">  In fact, the MEB summary indicated that retention on active duty in </w:t>
      </w:r>
      <w:r w:rsidR="005C15EA">
        <w:rPr>
          <w:rFonts w:asciiTheme="minorHAnsi" w:hAnsiTheme="minorHAnsi"/>
          <w:color w:val="auto"/>
          <w:szCs w:val="24"/>
        </w:rPr>
        <w:t xml:space="preserve">a </w:t>
      </w:r>
      <w:r w:rsidR="007A750B">
        <w:rPr>
          <w:rFonts w:asciiTheme="minorHAnsi" w:hAnsiTheme="minorHAnsi"/>
          <w:color w:val="auto"/>
          <w:szCs w:val="24"/>
        </w:rPr>
        <w:t>non-flying job was an option</w:t>
      </w:r>
      <w:r w:rsidR="005B560B">
        <w:rPr>
          <w:rFonts w:asciiTheme="minorHAnsi" w:hAnsiTheme="minorHAnsi"/>
          <w:color w:val="auto"/>
          <w:szCs w:val="24"/>
        </w:rPr>
        <w:t>;</w:t>
      </w:r>
      <w:r w:rsidR="007A750B">
        <w:rPr>
          <w:rFonts w:asciiTheme="minorHAnsi" w:hAnsiTheme="minorHAnsi"/>
          <w:color w:val="auto"/>
          <w:szCs w:val="24"/>
        </w:rPr>
        <w:t xml:space="preserve"> however the CI declined.  </w:t>
      </w:r>
      <w:r w:rsidR="009C520E">
        <w:rPr>
          <w:rFonts w:asciiTheme="minorHAnsi" w:hAnsiTheme="minorHAnsi"/>
          <w:color w:val="auto"/>
          <w:szCs w:val="24"/>
        </w:rPr>
        <w:t xml:space="preserve">The Board considered </w:t>
      </w:r>
      <w:r w:rsidR="005C15EA">
        <w:rPr>
          <w:rFonts w:asciiTheme="minorHAnsi" w:hAnsiTheme="minorHAnsi"/>
          <w:color w:val="auto"/>
          <w:szCs w:val="24"/>
        </w:rPr>
        <w:t xml:space="preserve">that </w:t>
      </w:r>
      <w:r w:rsidR="009C520E">
        <w:rPr>
          <w:rFonts w:asciiTheme="minorHAnsi" w:hAnsiTheme="minorHAnsi"/>
          <w:color w:val="auto"/>
          <w:szCs w:val="24"/>
        </w:rPr>
        <w:t xml:space="preserve">the CI’s intact occupational functioning and symptoms controlled with medication except for transient symptoms in new environments more nearly approximated the 10% rating </w:t>
      </w:r>
      <w:r w:rsidR="009C520E" w:rsidRPr="005422D5">
        <w:rPr>
          <w:rFonts w:asciiTheme="minorHAnsi" w:hAnsiTheme="minorHAnsi"/>
          <w:color w:val="auto"/>
          <w:szCs w:val="24"/>
        </w:rPr>
        <w:t>(“occupational and social impairment due to mild or transient symptoms which decrease work efficiency and ability to perform occupational tasks only during pe</w:t>
      </w:r>
      <w:r w:rsidR="004466DE">
        <w:rPr>
          <w:rFonts w:asciiTheme="minorHAnsi" w:hAnsiTheme="minorHAnsi"/>
          <w:color w:val="auto"/>
          <w:szCs w:val="24"/>
        </w:rPr>
        <w:t>riods of significant stress, or</w:t>
      </w:r>
      <w:r w:rsidR="009C520E" w:rsidRPr="005422D5">
        <w:rPr>
          <w:rFonts w:asciiTheme="minorHAnsi" w:hAnsiTheme="minorHAnsi"/>
          <w:color w:val="auto"/>
          <w:szCs w:val="24"/>
        </w:rPr>
        <w:t xml:space="preserve"> symptoms controlled by continuous medication”</w:t>
      </w:r>
      <w:r w:rsidR="009C520E">
        <w:rPr>
          <w:rFonts w:asciiTheme="minorHAnsi" w:hAnsiTheme="minorHAnsi"/>
          <w:color w:val="auto"/>
          <w:szCs w:val="24"/>
        </w:rPr>
        <w:t>).  The Board additionally considered that the most significant of the CI’s symptoms were related to social impairment, and that his occupational impairment was minimal.</w:t>
      </w:r>
      <w:r w:rsidR="00BC44F0">
        <w:rPr>
          <w:rFonts w:asciiTheme="minorHAnsi" w:hAnsiTheme="minorHAnsi"/>
          <w:color w:val="auto"/>
          <w:szCs w:val="24"/>
        </w:rPr>
        <w:t xml:space="preserve">  While the CI continued to experience </w:t>
      </w:r>
      <w:r w:rsidR="00F54F99">
        <w:rPr>
          <w:rFonts w:asciiTheme="minorHAnsi" w:hAnsiTheme="minorHAnsi"/>
          <w:color w:val="auto"/>
          <w:szCs w:val="24"/>
        </w:rPr>
        <w:t xml:space="preserve">symptoms </w:t>
      </w:r>
      <w:r w:rsidR="00BC44F0">
        <w:rPr>
          <w:rFonts w:asciiTheme="minorHAnsi" w:hAnsiTheme="minorHAnsi"/>
          <w:color w:val="auto"/>
          <w:szCs w:val="24"/>
        </w:rPr>
        <w:t xml:space="preserve">at </w:t>
      </w:r>
      <w:r w:rsidR="00F54F99">
        <w:rPr>
          <w:rFonts w:asciiTheme="minorHAnsi" w:hAnsiTheme="minorHAnsi"/>
          <w:color w:val="auto"/>
          <w:szCs w:val="24"/>
        </w:rPr>
        <w:t>the time of the C&amp;P evaluation, the exam’s probative value is considerably diminished due to its remote timing from separation.</w:t>
      </w:r>
      <w:r w:rsidR="00BC44F0">
        <w:rPr>
          <w:rFonts w:asciiTheme="minorHAnsi" w:hAnsiTheme="minorHAnsi"/>
          <w:color w:val="auto"/>
          <w:szCs w:val="24"/>
        </w:rPr>
        <w:t xml:space="preserve">  </w:t>
      </w:r>
      <w:r w:rsidR="00BC0A7F">
        <w:rPr>
          <w:rFonts w:asciiTheme="minorHAnsi" w:hAnsiTheme="minorHAnsi"/>
          <w:color w:val="auto"/>
          <w:szCs w:val="24"/>
        </w:rPr>
        <w:t>Nevertheless, the CI had missed no days</w:t>
      </w:r>
      <w:r w:rsidR="00BC44F0">
        <w:rPr>
          <w:rFonts w:asciiTheme="minorHAnsi" w:hAnsiTheme="minorHAnsi"/>
          <w:color w:val="auto"/>
          <w:szCs w:val="24"/>
        </w:rPr>
        <w:t xml:space="preserve"> from work due to his condition and no marital difficulties were</w:t>
      </w:r>
      <w:r w:rsidR="00BC0A7F">
        <w:rPr>
          <w:rFonts w:asciiTheme="minorHAnsi" w:hAnsiTheme="minorHAnsi"/>
          <w:color w:val="auto"/>
          <w:szCs w:val="24"/>
        </w:rPr>
        <w:t xml:space="preserve"> </w:t>
      </w:r>
      <w:r w:rsidR="00BC44F0">
        <w:rPr>
          <w:rFonts w:asciiTheme="minorHAnsi" w:hAnsiTheme="minorHAnsi"/>
          <w:color w:val="auto"/>
          <w:szCs w:val="24"/>
        </w:rPr>
        <w:t xml:space="preserve">reported.  </w:t>
      </w:r>
      <w:r w:rsidR="00BC0A7F">
        <w:rPr>
          <w:rFonts w:asciiTheme="minorHAnsi" w:hAnsiTheme="minorHAnsi"/>
          <w:color w:val="auto"/>
          <w:szCs w:val="24"/>
        </w:rPr>
        <w:t xml:space="preserve">Despite the VA’s recognition that the C&amp;P exam did not document occupational and social impairment or decrease in work efficiency, a 50% rating was assigned.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w:t>
      </w:r>
      <w:r w:rsidR="00BC0A7F">
        <w:rPr>
          <w:rFonts w:asciiTheme="minorHAnsi" w:hAnsiTheme="minorHAnsi"/>
          <w:color w:val="auto"/>
          <w:szCs w:val="24"/>
        </w:rPr>
        <w:t>.</w:t>
      </w:r>
      <w:r w:rsidR="00E9393D">
        <w:rPr>
          <w:rFonts w:asciiTheme="minorHAnsi" w:hAnsiTheme="minorHAnsi"/>
          <w:color w:val="auto"/>
          <w:szCs w:val="24"/>
        </w:rPr>
        <w:t xml:space="preserve">  The PEB appropriately subsumed the MEB’s secondary diagnoses (anxiety disorder and adjustment disorder) under panic disorder with agoraphobia.</w:t>
      </w:r>
      <w:r w:rsidR="005C15EA">
        <w:rPr>
          <w:rFonts w:asciiTheme="minorHAnsi" w:hAnsiTheme="minorHAnsi"/>
          <w:color w:val="auto"/>
          <w:szCs w:val="24"/>
        </w:rPr>
        <w:t xml:space="preserve"> </w:t>
      </w:r>
      <w:r w:rsidR="00E9393D">
        <w:rPr>
          <w:rFonts w:asciiTheme="minorHAnsi" w:hAnsiTheme="minorHAnsi"/>
          <w:color w:val="auto"/>
          <w:szCs w:val="24"/>
        </w:rPr>
        <w:t xml:space="preserve"> </w:t>
      </w:r>
      <w:r w:rsidR="009C520E" w:rsidRPr="009C520E">
        <w:rPr>
          <w:rFonts w:asciiTheme="minorHAnsi" w:hAnsiTheme="minorHAnsi"/>
          <w:color w:val="auto"/>
          <w:szCs w:val="24"/>
        </w:rPr>
        <w:t>After due deliberation, considering the preponderance of the evidence, the Board failed, on balance, to find adequate reasonable doubt favoring the CI in support of a recomme</w:t>
      </w:r>
      <w:r w:rsidR="009274FF">
        <w:rPr>
          <w:rFonts w:asciiTheme="minorHAnsi" w:hAnsiTheme="minorHAnsi"/>
          <w:color w:val="auto"/>
          <w:szCs w:val="24"/>
        </w:rPr>
        <w:t>ndation for the higher rating tha</w:t>
      </w:r>
      <w:r w:rsidR="005C15EA">
        <w:rPr>
          <w:rFonts w:asciiTheme="minorHAnsi" w:hAnsiTheme="minorHAnsi"/>
          <w:color w:val="auto"/>
          <w:szCs w:val="24"/>
        </w:rPr>
        <w:t>n</w:t>
      </w:r>
      <w:r w:rsidR="009274FF">
        <w:rPr>
          <w:rFonts w:asciiTheme="minorHAnsi" w:hAnsiTheme="minorHAnsi"/>
          <w:color w:val="auto"/>
          <w:szCs w:val="24"/>
        </w:rPr>
        <w:t xml:space="preserve"> that adjudicated by the PEB </w:t>
      </w:r>
      <w:r w:rsidR="007A750B">
        <w:rPr>
          <w:rFonts w:asciiTheme="minorHAnsi" w:hAnsiTheme="minorHAnsi"/>
          <w:color w:val="auto"/>
          <w:szCs w:val="24"/>
        </w:rPr>
        <w:t>for</w:t>
      </w:r>
      <w:r w:rsidR="007A750B" w:rsidRPr="00AE3316">
        <w:rPr>
          <w:rFonts w:asciiTheme="minorHAnsi" w:hAnsiTheme="minorHAnsi"/>
          <w:color w:val="auto"/>
          <w:szCs w:val="24"/>
        </w:rPr>
        <w:t xml:space="preserve"> the </w:t>
      </w:r>
      <w:r w:rsidR="007A750B">
        <w:rPr>
          <w:rFonts w:asciiTheme="minorHAnsi" w:hAnsiTheme="minorHAnsi"/>
          <w:color w:val="auto"/>
          <w:szCs w:val="24"/>
        </w:rPr>
        <w:t>panic disorder and agoraphobia</w:t>
      </w:r>
      <w:r w:rsidR="007A750B" w:rsidRPr="00AE3316">
        <w:rPr>
          <w:rFonts w:asciiTheme="minorHAnsi" w:hAnsiTheme="minorHAnsi"/>
          <w:color w:val="auto"/>
          <w:szCs w:val="24"/>
        </w:rPr>
        <w:t xml:space="preserve"> condition.</w:t>
      </w:r>
      <w:r w:rsidR="007A750B">
        <w:rPr>
          <w:rFonts w:asciiTheme="minorHAnsi" w:hAnsiTheme="minorHAnsi"/>
          <w:color w:val="auto"/>
          <w:szCs w:val="24"/>
        </w:rPr>
        <w:t xml:space="preserve"> </w:t>
      </w:r>
    </w:p>
    <w:p w:rsidR="005C4A8E" w:rsidRPr="005C4A8E" w:rsidRDefault="005C4A8E" w:rsidP="00885447">
      <w:pPr>
        <w:tabs>
          <w:tab w:val="left" w:pos="288"/>
          <w:tab w:val="left" w:pos="4752"/>
        </w:tabs>
        <w:spacing w:line="240" w:lineRule="exact"/>
        <w:jc w:val="both"/>
        <w:rPr>
          <w:rFonts w:asciiTheme="minorHAnsi" w:hAnsiTheme="minorHAnsi"/>
          <w:color w:val="auto"/>
          <w:szCs w:val="24"/>
        </w:rPr>
      </w:pPr>
    </w:p>
    <w:p w:rsidR="006E5593" w:rsidRDefault="00E42F1D" w:rsidP="00C0440C">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164BB2" w:rsidRPr="009274FF">
        <w:rPr>
          <w:rFonts w:asciiTheme="minorHAnsi" w:hAnsiTheme="minorHAnsi"/>
          <w:color w:val="auto"/>
          <w:szCs w:val="24"/>
        </w:rPr>
        <w:t>No other condi</w:t>
      </w:r>
      <w:r w:rsidR="009D4CC1" w:rsidRPr="009274FF">
        <w:rPr>
          <w:rFonts w:asciiTheme="minorHAnsi" w:hAnsiTheme="minorHAnsi"/>
          <w:color w:val="auto"/>
          <w:szCs w:val="24"/>
        </w:rPr>
        <w:t xml:space="preserve">tions were noted in the </w:t>
      </w:r>
      <w:r w:rsidR="004466DE">
        <w:rPr>
          <w:rFonts w:asciiTheme="minorHAnsi" w:hAnsiTheme="minorHAnsi"/>
          <w:color w:val="auto"/>
          <w:szCs w:val="24"/>
        </w:rPr>
        <w:t>narrative summary (</w:t>
      </w:r>
      <w:r w:rsidR="009D4CC1" w:rsidRPr="009274FF">
        <w:rPr>
          <w:rFonts w:asciiTheme="minorHAnsi" w:hAnsiTheme="minorHAnsi"/>
          <w:color w:val="auto"/>
          <w:szCs w:val="24"/>
        </w:rPr>
        <w:t>NARSUM</w:t>
      </w:r>
      <w:r w:rsidR="004466DE">
        <w:rPr>
          <w:rFonts w:asciiTheme="minorHAnsi" w:hAnsiTheme="minorHAnsi"/>
          <w:color w:val="auto"/>
          <w:szCs w:val="24"/>
        </w:rPr>
        <w:t>)</w:t>
      </w:r>
      <w:r w:rsidR="009D4CC1" w:rsidRPr="009274FF">
        <w:rPr>
          <w:rFonts w:asciiTheme="minorHAnsi" w:hAnsiTheme="minorHAnsi"/>
          <w:color w:val="auto"/>
          <w:szCs w:val="24"/>
        </w:rPr>
        <w:t xml:space="preserve"> </w:t>
      </w:r>
      <w:r w:rsidR="00164BB2" w:rsidRPr="009274FF">
        <w:rPr>
          <w:rFonts w:asciiTheme="minorHAnsi" w:hAnsiTheme="minorHAnsi"/>
          <w:color w:val="auto"/>
          <w:szCs w:val="24"/>
        </w:rPr>
        <w:t>or found elsewhere in the DES file.</w:t>
      </w:r>
      <w:r w:rsidR="00164BB2" w:rsidRPr="00B8188C">
        <w:rPr>
          <w:rFonts w:asciiTheme="minorHAnsi" w:hAnsiTheme="minorHAnsi"/>
          <w:color w:val="auto"/>
          <w:szCs w:val="24"/>
        </w:rPr>
        <w:t xml:space="preserve"> </w:t>
      </w:r>
      <w:r w:rsidR="005C15EA">
        <w:rPr>
          <w:rFonts w:asciiTheme="minorHAnsi" w:hAnsiTheme="minorHAnsi"/>
          <w:color w:val="auto"/>
          <w:szCs w:val="24"/>
        </w:rPr>
        <w:t xml:space="preserve"> </w:t>
      </w:r>
      <w:r w:rsidR="009274FF">
        <w:rPr>
          <w:rFonts w:asciiTheme="minorHAnsi" w:hAnsiTheme="minorHAnsi"/>
          <w:color w:val="auto"/>
          <w:szCs w:val="24"/>
        </w:rPr>
        <w:t xml:space="preserve">The </w:t>
      </w:r>
      <w:r w:rsidR="006E5593">
        <w:rPr>
          <w:rFonts w:asciiTheme="minorHAnsi" w:hAnsiTheme="minorHAnsi"/>
          <w:color w:val="auto"/>
          <w:szCs w:val="24"/>
        </w:rPr>
        <w:t>Board notes the CI was performing duties as a</w:t>
      </w:r>
      <w:r w:rsidR="009274FF">
        <w:rPr>
          <w:rFonts w:asciiTheme="minorHAnsi" w:hAnsiTheme="minorHAnsi"/>
          <w:color w:val="auto"/>
          <w:szCs w:val="24"/>
        </w:rPr>
        <w:t>n aviation maintenance technician</w:t>
      </w:r>
      <w:r w:rsidR="006E5593">
        <w:rPr>
          <w:rFonts w:asciiTheme="minorHAnsi" w:hAnsiTheme="minorHAnsi"/>
          <w:color w:val="auto"/>
          <w:szCs w:val="24"/>
        </w:rPr>
        <w:t xml:space="preserve"> until January 2006 when he presented to the flight surgeon with symptoms of anxiety.  No other active medical conditions were noted.  </w:t>
      </w:r>
      <w:r w:rsidR="00C0440C">
        <w:rPr>
          <w:rFonts w:asciiTheme="minorHAnsi" w:hAnsiTheme="minorHAnsi"/>
          <w:color w:val="auto"/>
          <w:szCs w:val="24"/>
        </w:rPr>
        <w:t xml:space="preserve">The CI was treated </w:t>
      </w:r>
      <w:r w:rsidR="00EA1D89">
        <w:rPr>
          <w:rFonts w:asciiTheme="minorHAnsi" w:hAnsiTheme="minorHAnsi"/>
          <w:color w:val="auto"/>
          <w:szCs w:val="24"/>
        </w:rPr>
        <w:t xml:space="preserve">for </w:t>
      </w:r>
      <w:r w:rsidR="00C0440C">
        <w:rPr>
          <w:rFonts w:asciiTheme="minorHAnsi" w:hAnsiTheme="minorHAnsi"/>
          <w:color w:val="auto"/>
          <w:szCs w:val="24"/>
        </w:rPr>
        <w:t xml:space="preserve">hand pain in 2002.  He was diagnosed with high frequency hearing loss associated with tinnitus in 2004.  The CI was seen for low back pain in August 2005 however there were no further service treatment record entries for complaint of low back pain.  A February 2006 primary care entry for skin rash otherwise indicates no other active medical conditions or complaints.  No service treatment records regarding shoulder pain is in evidence of the service treatment record.  None of these conditions were clinically or occupationally significant during the MEB period.  </w:t>
      </w:r>
      <w:r w:rsidR="00164BB2" w:rsidRPr="00B8188C">
        <w:rPr>
          <w:rFonts w:asciiTheme="minorHAnsi" w:hAnsiTheme="minorHAnsi"/>
          <w:color w:val="auto"/>
          <w:szCs w:val="24"/>
        </w:rPr>
        <w:t>The Board does not have the authority under DoDI 6040.44 to render fitness or rating recommendations for any conditions not considered by the DES.</w:t>
      </w:r>
      <w:r w:rsidR="001D46D7">
        <w:rPr>
          <w:rFonts w:asciiTheme="minorHAnsi" w:hAnsiTheme="minorHAnsi"/>
          <w:color w:val="auto"/>
          <w:szCs w:val="24"/>
        </w:rPr>
        <w:t xml:space="preserve"> </w:t>
      </w:r>
      <w:r w:rsidR="00164BB2" w:rsidRPr="00B8188C">
        <w:rPr>
          <w:rFonts w:asciiTheme="minorHAnsi" w:hAnsiTheme="minorHAnsi"/>
          <w:color w:val="auto"/>
          <w:szCs w:val="24"/>
        </w:rPr>
        <w:t xml:space="preserve"> The Board thus has no basis for recommending any additional unfitting conditions for separation rating.</w:t>
      </w:r>
      <w:r w:rsidR="00164BB2">
        <w:rPr>
          <w:rFonts w:asciiTheme="minorHAnsi" w:hAnsiTheme="minorHAnsi"/>
          <w:color w:val="auto"/>
          <w:szCs w:val="24"/>
        </w:rPr>
        <w:t xml:space="preserve">  Although the CI lists right shoulder impingement</w:t>
      </w:r>
      <w:r w:rsidR="001D46D7">
        <w:rPr>
          <w:rFonts w:asciiTheme="minorHAnsi" w:hAnsiTheme="minorHAnsi"/>
          <w:color w:val="auto"/>
          <w:szCs w:val="24"/>
        </w:rPr>
        <w:t>, L5-S1 degenerative joint disease, left ear hearing loss, bilateral tinnitus and dermatitis on his application</w:t>
      </w:r>
      <w:r w:rsidR="000458E1">
        <w:rPr>
          <w:rFonts w:asciiTheme="minorHAnsi" w:hAnsiTheme="minorHAnsi"/>
          <w:color w:val="auto"/>
          <w:szCs w:val="24"/>
        </w:rPr>
        <w:t>, even if their presence in the DES file is conceded, there was no evidence for concluding that any of them interfered with duty performance  to a degree that could be argued as unfitting.</w:t>
      </w:r>
    </w:p>
    <w:p w:rsidR="006E5593" w:rsidRDefault="006E5593"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E56392">
        <w:rPr>
          <w:rFonts w:asciiTheme="minorHAnsi" w:eastAsiaTheme="minorHAnsi" w:hAnsiTheme="minorHAnsi"/>
          <w:color w:val="auto"/>
          <w:szCs w:val="24"/>
        </w:rPr>
        <w:t xml:space="preserve">.  </w:t>
      </w:r>
      <w:r w:rsidRPr="00E56392">
        <w:rPr>
          <w:rFonts w:asciiTheme="minorHAnsi" w:hAnsiTheme="minorHAnsi"/>
          <w:color w:val="auto"/>
          <w:szCs w:val="24"/>
        </w:rPr>
        <w:t xml:space="preserve">The Board did not </w:t>
      </w:r>
      <w:r w:rsidRPr="00E56392">
        <w:rPr>
          <w:rFonts w:asciiTheme="minorHAnsi" w:hAnsiTheme="minorHAnsi"/>
          <w:color w:val="auto"/>
          <w:szCs w:val="24"/>
        </w:rPr>
        <w:lastRenderedPageBreak/>
        <w:t>surmise from the record or PEB ruling in this case that any prerogatives outside the VASRD were exercised.</w:t>
      </w:r>
      <w:r w:rsidR="005C15EA">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E56392">
        <w:rPr>
          <w:rFonts w:asciiTheme="minorHAnsi" w:eastAsiaTheme="minorHAnsi" w:hAnsiTheme="minorHAnsi"/>
          <w:color w:val="auto"/>
          <w:szCs w:val="24"/>
        </w:rPr>
        <w:t>panic disorder and agoraphobia</w:t>
      </w:r>
      <w:r w:rsidR="00412658" w:rsidRPr="00AE3316">
        <w:rPr>
          <w:rFonts w:asciiTheme="minorHAnsi" w:eastAsiaTheme="minorHAnsi" w:hAnsiTheme="minorHAnsi"/>
          <w:color w:val="auto"/>
          <w:szCs w:val="24"/>
        </w:rPr>
        <w:t xml:space="preserve"> condition and </w:t>
      </w:r>
      <w:r w:rsidR="00412658" w:rsidRPr="00AE3316">
        <w:rPr>
          <w:rFonts w:asciiTheme="minorHAnsi" w:hAnsiTheme="minorHAnsi"/>
          <w:color w:val="auto"/>
          <w:szCs w:val="24"/>
        </w:rPr>
        <w:t xml:space="preserve">IAW VASRD </w:t>
      </w:r>
      <w:r w:rsidR="00412658" w:rsidRPr="005C15EA">
        <w:rPr>
          <w:rFonts w:asciiTheme="minorHAnsi" w:hAnsiTheme="minorHAnsi"/>
          <w:color w:val="auto"/>
          <w:szCs w:val="24"/>
        </w:rPr>
        <w:t>§4.</w:t>
      </w:r>
      <w:r w:rsidR="00E56392" w:rsidRPr="005C15EA">
        <w:rPr>
          <w:rFonts w:asciiTheme="minorHAnsi" w:hAnsiTheme="minorHAnsi"/>
          <w:color w:val="auto"/>
          <w:szCs w:val="24"/>
        </w:rPr>
        <w:t>130</w:t>
      </w:r>
      <w:r w:rsidR="00412658" w:rsidRPr="005C15EA">
        <w:rPr>
          <w:rFonts w:asciiTheme="minorHAnsi" w:eastAsiaTheme="minorHAnsi" w:hAnsiTheme="minorHAnsi"/>
          <w:color w:val="auto"/>
          <w:szCs w:val="24"/>
        </w:rPr>
        <w:t>, the Board 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Pr>
          <w:rFonts w:asciiTheme="minorHAnsi" w:hAnsiTheme="minorHAnsi"/>
          <w:color w:val="auto"/>
          <w:szCs w:val="24"/>
        </w:rPr>
        <w:t>.</w:t>
      </w:r>
      <w:r w:rsidR="005C15EA">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5C15EA">
        <w:rPr>
          <w:rFonts w:asciiTheme="minorHAnsi" w:hAnsiTheme="minorHAnsi"/>
          <w:color w:val="auto"/>
          <w:szCs w:val="24"/>
        </w:rPr>
        <w:t>unanimously agrees</w:t>
      </w:r>
      <w:r w:rsidR="00412658" w:rsidRPr="00CD15BE">
        <w:rPr>
          <w:rFonts w:asciiTheme="minorHAnsi" w:hAnsiTheme="minorHAnsi"/>
          <w:color w:val="auto"/>
          <w:szCs w:val="24"/>
        </w:rPr>
        <w:t xml:space="preserve">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3857D4" w:rsidRPr="00E56392" w:rsidRDefault="00C56FC8" w:rsidP="00E56392">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E56392">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r w:rsidR="005052D4" w:rsidRPr="00AE3316">
        <w:rPr>
          <w:rFonts w:asciiTheme="minorHAnsi" w:hAnsiTheme="minorHAnsi"/>
          <w:color w:val="000080"/>
          <w:szCs w:val="24"/>
        </w:rPr>
        <w:t xml:space="preserve">  </w:t>
      </w:r>
      <w:r w:rsidR="003857D4" w:rsidRPr="00AE3316">
        <w:rPr>
          <w:rFonts w:asciiTheme="minorHAnsi" w:hAnsiTheme="minorHAnsi"/>
          <w:color w:val="000080"/>
          <w:szCs w:val="24"/>
        </w:rPr>
        <w:t xml:space="preserve">  </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E56392"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Panic Disorder and Agoraphobia</w:t>
            </w:r>
          </w:p>
        </w:tc>
        <w:tc>
          <w:tcPr>
            <w:tcW w:w="1710" w:type="dxa"/>
          </w:tcPr>
          <w:p w:rsidR="00A95BBA" w:rsidRPr="00AC713F" w:rsidRDefault="00E5639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9412</w:t>
            </w:r>
          </w:p>
        </w:tc>
        <w:tc>
          <w:tcPr>
            <w:tcW w:w="1170" w:type="dxa"/>
          </w:tcPr>
          <w:p w:rsidR="00A95BBA" w:rsidRPr="00AC713F" w:rsidRDefault="00643B17"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643B17"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10</w:t>
      </w:r>
      <w:r w:rsidR="00224F77">
        <w:rPr>
          <w:rFonts w:asciiTheme="minorHAnsi" w:hAnsiTheme="minorHAnsi"/>
          <w:color w:val="auto"/>
        </w:rPr>
        <w:t>0913</w:t>
      </w:r>
      <w:r w:rsidR="004466DE">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4466DE">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4466DE">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BA3E01">
        <w:rPr>
          <w:rFonts w:asciiTheme="minorHAnsi" w:hAnsiTheme="minorHAnsi"/>
          <w:color w:val="auto"/>
        </w:rPr>
        <w:t>XXXXXXXXXXXXXXXXXX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A3E01"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BA3E01" w:rsidRDefault="00BA3E01">
      <w:pPr>
        <w:rPr>
          <w:rFonts w:asciiTheme="minorHAnsi" w:hAnsiTheme="minorHAnsi"/>
          <w:color w:val="auto"/>
        </w:rPr>
      </w:pPr>
      <w:r>
        <w:rPr>
          <w:rFonts w:asciiTheme="minorHAnsi" w:hAnsiTheme="minorHAnsi"/>
          <w:color w:val="auto"/>
        </w:rPr>
        <w:br w:type="page"/>
      </w:r>
    </w:p>
    <w:p w:rsidR="00B522CD" w:rsidRDefault="00B522CD" w:rsidP="007B69E4">
      <w:pPr>
        <w:tabs>
          <w:tab w:val="left" w:pos="0"/>
          <w:tab w:val="left" w:pos="4320"/>
        </w:tabs>
        <w:spacing w:line="240" w:lineRule="exact"/>
        <w:jc w:val="both"/>
        <w:rPr>
          <w:rFonts w:asciiTheme="minorHAnsi" w:hAnsiTheme="minorHAnsi"/>
          <w:color w:val="auto"/>
        </w:rPr>
      </w:pPr>
    </w:p>
    <w:p w:rsidR="00BA3E01" w:rsidRPr="00BA3E01" w:rsidRDefault="00BA3E01" w:rsidP="00BA3E01">
      <w:pPr>
        <w:autoSpaceDE w:val="0"/>
        <w:autoSpaceDN w:val="0"/>
        <w:adjustRightInd w:val="0"/>
        <w:rPr>
          <w:rFonts w:ascii="Arial" w:hAnsi="Arial" w:cs="Arial"/>
          <w:color w:val="auto"/>
          <w:sz w:val="18"/>
          <w:szCs w:val="18"/>
        </w:rPr>
      </w:pPr>
      <w:r w:rsidRPr="00BA3E01">
        <w:rPr>
          <w:rFonts w:ascii="Arial" w:hAnsi="Arial" w:cs="Arial"/>
          <w:color w:val="auto"/>
          <w:sz w:val="18"/>
          <w:szCs w:val="18"/>
        </w:rPr>
        <w:t>U.S. Department of</w:t>
      </w:r>
    </w:p>
    <w:p w:rsidR="00BA3E01" w:rsidRPr="00BA3E01" w:rsidRDefault="00BA3E01" w:rsidP="00BA3E01">
      <w:pPr>
        <w:autoSpaceDE w:val="0"/>
        <w:autoSpaceDN w:val="0"/>
        <w:adjustRightInd w:val="0"/>
        <w:rPr>
          <w:rFonts w:ascii="Arial" w:hAnsi="Arial" w:cs="Arial"/>
          <w:color w:val="auto"/>
          <w:sz w:val="18"/>
          <w:szCs w:val="18"/>
        </w:rPr>
      </w:pPr>
      <w:r w:rsidRPr="00BA3E01">
        <w:rPr>
          <w:rFonts w:ascii="Arial" w:hAnsi="Arial" w:cs="Arial"/>
          <w:color w:val="auto"/>
          <w:sz w:val="18"/>
          <w:szCs w:val="18"/>
        </w:rPr>
        <w:t>Homeland Security</w:t>
      </w:r>
    </w:p>
    <w:p w:rsidR="00BA3E01" w:rsidRPr="00BA3E01" w:rsidRDefault="00BA3E01" w:rsidP="00BA3E01">
      <w:pPr>
        <w:autoSpaceDE w:val="0"/>
        <w:autoSpaceDN w:val="0"/>
        <w:adjustRightInd w:val="0"/>
        <w:rPr>
          <w:rFonts w:ascii="Times New Roman" w:hAnsi="Times New Roman"/>
          <w:color w:val="auto"/>
          <w:sz w:val="22"/>
          <w:szCs w:val="22"/>
        </w:rPr>
      </w:pPr>
      <w:r w:rsidRPr="00BA3E01">
        <w:rPr>
          <w:rFonts w:ascii="Times New Roman" w:hAnsi="Times New Roman"/>
          <w:color w:val="auto"/>
        </w:rPr>
        <w:t>United States</w:t>
      </w:r>
    </w:p>
    <w:p w:rsidR="00BA3E01" w:rsidRPr="00BA3E01" w:rsidRDefault="00BA3E01" w:rsidP="00BA3E01">
      <w:pPr>
        <w:autoSpaceDE w:val="0"/>
        <w:autoSpaceDN w:val="0"/>
        <w:adjustRightInd w:val="0"/>
        <w:rPr>
          <w:rFonts w:ascii="Arial" w:hAnsi="Arial" w:cs="Arial"/>
          <w:b/>
          <w:bCs/>
          <w:color w:val="auto"/>
          <w:sz w:val="21"/>
          <w:szCs w:val="21"/>
        </w:rPr>
      </w:pPr>
      <w:r w:rsidRPr="00BA3E01">
        <w:rPr>
          <w:rFonts w:ascii="Times New Roman" w:hAnsi="Times New Roman"/>
          <w:color w:val="auto"/>
        </w:rPr>
        <w:t xml:space="preserve">Coast </w:t>
      </w:r>
      <w:r w:rsidRPr="00BA3E01">
        <w:rPr>
          <w:rFonts w:ascii="Arial" w:hAnsi="Arial" w:cs="Arial"/>
          <w:b/>
          <w:bCs/>
          <w:color w:val="auto"/>
          <w:sz w:val="21"/>
          <w:szCs w:val="21"/>
        </w:rPr>
        <w:t>Guard</w:t>
      </w:r>
    </w:p>
    <w:p w:rsidR="00BA3E01" w:rsidRPr="00BA3E01" w:rsidRDefault="00BA3E01" w:rsidP="00BA3E01">
      <w:pPr>
        <w:autoSpaceDE w:val="0"/>
        <w:autoSpaceDN w:val="0"/>
        <w:adjustRightInd w:val="0"/>
        <w:rPr>
          <w:rFonts w:ascii="Times New Roman" w:hAnsi="Times New Roman"/>
          <w:color w:val="auto"/>
          <w:sz w:val="22"/>
          <w:szCs w:val="22"/>
        </w:rPr>
      </w:pP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Dear XXXXXXXXXXXXX:</w:t>
      </w:r>
    </w:p>
    <w:p w:rsidR="00BA3E01" w:rsidRPr="00BA3E01" w:rsidRDefault="00BA3E01" w:rsidP="00BA3E01">
      <w:pPr>
        <w:autoSpaceDE w:val="0"/>
        <w:autoSpaceDN w:val="0"/>
        <w:adjustRightInd w:val="0"/>
        <w:rPr>
          <w:rFonts w:ascii="Arial" w:hAnsi="Arial" w:cs="Arial"/>
          <w:b/>
          <w:bCs/>
          <w:color w:val="auto"/>
          <w:sz w:val="16"/>
          <w:szCs w:val="16"/>
        </w:rPr>
      </w:pPr>
      <w:r w:rsidRPr="00BA3E01">
        <w:rPr>
          <w:rFonts w:ascii="Arial" w:hAnsi="Arial" w:cs="Arial"/>
          <w:b/>
          <w:bCs/>
          <w:color w:val="auto"/>
          <w:sz w:val="16"/>
          <w:szCs w:val="16"/>
        </w:rPr>
        <w:t>Commandant</w:t>
      </w:r>
    </w:p>
    <w:p w:rsidR="00BA3E01" w:rsidRPr="00BA3E01" w:rsidRDefault="00BA3E01" w:rsidP="00BA3E01">
      <w:pPr>
        <w:autoSpaceDE w:val="0"/>
        <w:autoSpaceDN w:val="0"/>
        <w:adjustRightInd w:val="0"/>
        <w:rPr>
          <w:rFonts w:ascii="Arial" w:hAnsi="Arial" w:cs="Arial"/>
          <w:b/>
          <w:bCs/>
          <w:color w:val="auto"/>
          <w:sz w:val="16"/>
          <w:szCs w:val="16"/>
        </w:rPr>
      </w:pPr>
      <w:r w:rsidRPr="00BA3E01">
        <w:rPr>
          <w:rFonts w:ascii="Arial" w:hAnsi="Arial" w:cs="Arial"/>
          <w:b/>
          <w:bCs/>
          <w:color w:val="auto"/>
          <w:sz w:val="16"/>
          <w:szCs w:val="16"/>
        </w:rPr>
        <w:t>United States Coast Guard</w:t>
      </w:r>
    </w:p>
    <w:p w:rsidR="00BA3E01" w:rsidRPr="00BA3E01" w:rsidRDefault="00BA3E01" w:rsidP="00BA3E01">
      <w:pPr>
        <w:autoSpaceDE w:val="0"/>
        <w:autoSpaceDN w:val="0"/>
        <w:adjustRightInd w:val="0"/>
        <w:rPr>
          <w:rFonts w:ascii="Arial" w:hAnsi="Arial" w:cs="Arial"/>
          <w:color w:val="auto"/>
          <w:sz w:val="15"/>
          <w:szCs w:val="15"/>
        </w:rPr>
      </w:pPr>
      <w:r w:rsidRPr="00BA3E01">
        <w:rPr>
          <w:rFonts w:ascii="Arial" w:hAnsi="Arial" w:cs="Arial"/>
          <w:color w:val="auto"/>
          <w:sz w:val="15"/>
          <w:szCs w:val="15"/>
        </w:rPr>
        <w:t>Mail St2/' 7801</w:t>
      </w:r>
    </w:p>
    <w:p w:rsidR="00BA3E01" w:rsidRPr="00BA3E01" w:rsidRDefault="00BA3E01" w:rsidP="00BA3E01">
      <w:pPr>
        <w:autoSpaceDE w:val="0"/>
        <w:autoSpaceDN w:val="0"/>
        <w:adjustRightInd w:val="0"/>
        <w:rPr>
          <w:rFonts w:ascii="Arial" w:hAnsi="Arial" w:cs="Arial"/>
          <w:color w:val="auto"/>
          <w:sz w:val="15"/>
          <w:szCs w:val="15"/>
        </w:rPr>
      </w:pPr>
      <w:proofErr w:type="gramStart"/>
      <w:r w:rsidRPr="00BA3E01">
        <w:rPr>
          <w:rFonts w:ascii="Arial" w:hAnsi="Arial" w:cs="Arial"/>
          <w:color w:val="auto"/>
          <w:sz w:val="15"/>
          <w:szCs w:val="15"/>
        </w:rPr>
        <w:t>21002 SI.</w:t>
      </w:r>
      <w:proofErr w:type="gramEnd"/>
    </w:p>
    <w:p w:rsidR="00BA3E01" w:rsidRPr="00BA3E01" w:rsidRDefault="00BA3E01" w:rsidP="00BA3E01">
      <w:pPr>
        <w:autoSpaceDE w:val="0"/>
        <w:autoSpaceDN w:val="0"/>
        <w:adjustRightInd w:val="0"/>
        <w:rPr>
          <w:rFonts w:ascii="Arial" w:hAnsi="Arial" w:cs="Arial"/>
          <w:color w:val="auto"/>
          <w:sz w:val="15"/>
          <w:szCs w:val="15"/>
        </w:rPr>
      </w:pPr>
      <w:r w:rsidRPr="00BA3E01">
        <w:rPr>
          <w:rFonts w:ascii="Arial" w:hAnsi="Arial" w:cs="Arial"/>
          <w:color w:val="auto"/>
          <w:sz w:val="15"/>
          <w:szCs w:val="15"/>
        </w:rPr>
        <w:t>Washington. DC 20593·7801</w:t>
      </w:r>
    </w:p>
    <w:p w:rsidR="00BA3E01" w:rsidRPr="00BA3E01" w:rsidRDefault="00BA3E01" w:rsidP="00BA3E01">
      <w:pPr>
        <w:autoSpaceDE w:val="0"/>
        <w:autoSpaceDN w:val="0"/>
        <w:adjustRightInd w:val="0"/>
        <w:rPr>
          <w:rFonts w:ascii="Times New Roman" w:hAnsi="Times New Roman"/>
          <w:color w:val="auto"/>
          <w:sz w:val="16"/>
          <w:szCs w:val="16"/>
        </w:rPr>
      </w:pPr>
      <w:r w:rsidRPr="00BA3E01">
        <w:rPr>
          <w:rFonts w:ascii="Arial" w:hAnsi="Arial" w:cs="Arial"/>
          <w:color w:val="auto"/>
          <w:sz w:val="15"/>
          <w:szCs w:val="15"/>
        </w:rPr>
        <w:t xml:space="preserve">Staff Symbol: </w:t>
      </w:r>
      <w:r w:rsidRPr="00BA3E01">
        <w:rPr>
          <w:rFonts w:ascii="Times New Roman" w:hAnsi="Times New Roman"/>
          <w:color w:val="auto"/>
          <w:sz w:val="16"/>
          <w:szCs w:val="16"/>
        </w:rPr>
        <w:t>CG·1</w:t>
      </w:r>
    </w:p>
    <w:p w:rsidR="00BA3E01" w:rsidRPr="00BA3E01" w:rsidRDefault="00BA3E01" w:rsidP="00BA3E01">
      <w:pPr>
        <w:autoSpaceDE w:val="0"/>
        <w:autoSpaceDN w:val="0"/>
        <w:adjustRightInd w:val="0"/>
        <w:rPr>
          <w:rFonts w:ascii="Arial" w:hAnsi="Arial" w:cs="Arial"/>
          <w:color w:val="auto"/>
          <w:sz w:val="25"/>
          <w:szCs w:val="25"/>
        </w:rPr>
      </w:pPr>
      <w:r w:rsidRPr="00BA3E01">
        <w:rPr>
          <w:rFonts w:ascii="Arial" w:hAnsi="Arial" w:cs="Arial"/>
          <w:color w:val="auto"/>
          <w:sz w:val="25"/>
          <w:szCs w:val="25"/>
        </w:rPr>
        <w:t>MAR 1 2012</w:t>
      </w:r>
    </w:p>
    <w:p w:rsidR="00BA3E01" w:rsidRPr="00BA3E01" w:rsidRDefault="00BA3E01" w:rsidP="00BA3E01">
      <w:pPr>
        <w:autoSpaceDE w:val="0"/>
        <w:autoSpaceDN w:val="0"/>
        <w:adjustRightInd w:val="0"/>
        <w:rPr>
          <w:rFonts w:ascii="Times New Roman" w:hAnsi="Times New Roman"/>
          <w:color w:val="auto"/>
          <w:sz w:val="22"/>
          <w:szCs w:val="22"/>
        </w:rPr>
      </w:pPr>
      <w:r w:rsidRPr="00BA3E01">
        <w:rPr>
          <w:rFonts w:ascii="Times New Roman" w:hAnsi="Times New Roman"/>
          <w:color w:val="auto"/>
        </w:rPr>
        <w:t>I am the Designated Decision Authority for the Coast Guard on applications submitted to the</w:t>
      </w: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Department of Defense Physical Disability Board of Review (</w:t>
      </w:r>
      <w:proofErr w:type="gramStart"/>
      <w:r w:rsidRPr="00BA3E01">
        <w:rPr>
          <w:rFonts w:ascii="Times New Roman" w:hAnsi="Times New Roman"/>
          <w:color w:val="auto"/>
        </w:rPr>
        <w:t>DoD</w:t>
      </w:r>
      <w:proofErr w:type="gramEnd"/>
      <w:r w:rsidRPr="00BA3E01">
        <w:rPr>
          <w:rFonts w:ascii="Times New Roman" w:hAnsi="Times New Roman"/>
          <w:color w:val="auto"/>
        </w:rPr>
        <w:t xml:space="preserve"> PDBR). </w:t>
      </w:r>
      <w:r w:rsidRPr="00BA3E01">
        <w:rPr>
          <w:rFonts w:ascii="Arial" w:hAnsi="Arial" w:cs="Arial"/>
          <w:color w:val="auto"/>
          <w:sz w:val="21"/>
          <w:szCs w:val="21"/>
        </w:rPr>
        <w:t xml:space="preserve">In </w:t>
      </w:r>
      <w:r w:rsidRPr="00BA3E01">
        <w:rPr>
          <w:rFonts w:ascii="Times New Roman" w:hAnsi="Times New Roman"/>
          <w:color w:val="auto"/>
        </w:rPr>
        <w:t>your case (Case</w:t>
      </w:r>
    </w:p>
    <w:p w:rsidR="00BA3E01" w:rsidRPr="00BA3E01" w:rsidRDefault="00BA3E01" w:rsidP="00BA3E01">
      <w:pPr>
        <w:autoSpaceDE w:val="0"/>
        <w:autoSpaceDN w:val="0"/>
        <w:adjustRightInd w:val="0"/>
        <w:rPr>
          <w:rFonts w:ascii="Times New Roman" w:hAnsi="Times New Roman"/>
          <w:color w:val="auto"/>
        </w:rPr>
      </w:pPr>
      <w:proofErr w:type="gramStart"/>
      <w:r w:rsidRPr="00BA3E01">
        <w:rPr>
          <w:rFonts w:ascii="Times New Roman" w:hAnsi="Times New Roman"/>
          <w:color w:val="auto"/>
        </w:rPr>
        <w:t>Number PD-2010-01086).</w:t>
      </w:r>
      <w:proofErr w:type="gramEnd"/>
      <w:r w:rsidRPr="00BA3E01">
        <w:rPr>
          <w:rFonts w:ascii="Times New Roman" w:hAnsi="Times New Roman"/>
          <w:color w:val="auto"/>
        </w:rPr>
        <w:t xml:space="preserve"> I accept the recommendation </w:t>
      </w:r>
      <w:proofErr w:type="spellStart"/>
      <w:r w:rsidRPr="00BA3E01">
        <w:rPr>
          <w:rFonts w:ascii="Times New Roman" w:hAnsi="Times New Roman"/>
          <w:color w:val="auto"/>
        </w:rPr>
        <w:t>ofthe</w:t>
      </w:r>
      <w:proofErr w:type="spellEnd"/>
      <w:r w:rsidRPr="00BA3E01">
        <w:rPr>
          <w:rFonts w:ascii="Times New Roman" w:hAnsi="Times New Roman"/>
          <w:color w:val="auto"/>
        </w:rPr>
        <w:t xml:space="preserve"> DoD PDBR with no</w:t>
      </w:r>
    </w:p>
    <w:p w:rsidR="00BA3E01" w:rsidRPr="00BA3E01" w:rsidRDefault="00BA3E01" w:rsidP="00BA3E01">
      <w:pPr>
        <w:autoSpaceDE w:val="0"/>
        <w:autoSpaceDN w:val="0"/>
        <w:adjustRightInd w:val="0"/>
        <w:rPr>
          <w:rFonts w:ascii="Times New Roman" w:hAnsi="Times New Roman"/>
          <w:color w:val="auto"/>
        </w:rPr>
      </w:pPr>
      <w:proofErr w:type="spellStart"/>
      <w:proofErr w:type="gramStart"/>
      <w:r w:rsidRPr="00BA3E01">
        <w:rPr>
          <w:rFonts w:ascii="Times New Roman" w:hAnsi="Times New Roman"/>
          <w:color w:val="auto"/>
        </w:rPr>
        <w:t>recharacterization</w:t>
      </w:r>
      <w:proofErr w:type="spellEnd"/>
      <w:proofErr w:type="gramEnd"/>
      <w:r w:rsidRPr="00BA3E01">
        <w:rPr>
          <w:rFonts w:ascii="Times New Roman" w:hAnsi="Times New Roman"/>
          <w:color w:val="auto"/>
        </w:rPr>
        <w:t xml:space="preserve"> of separation or modification of the disability rating. Enclosed is a copy of the</w:t>
      </w: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Board's recommendation and record of proceedings for your information</w:t>
      </w: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A copy of this decision has also been provided to the DoD PDBR and the Department of</w:t>
      </w:r>
    </w:p>
    <w:p w:rsidR="00BA3E01" w:rsidRPr="00BA3E01" w:rsidRDefault="00BA3E01" w:rsidP="00BA3E01">
      <w:pPr>
        <w:autoSpaceDE w:val="0"/>
        <w:autoSpaceDN w:val="0"/>
        <w:adjustRightInd w:val="0"/>
        <w:rPr>
          <w:rFonts w:ascii="Times New Roman" w:hAnsi="Times New Roman"/>
          <w:color w:val="auto"/>
        </w:rPr>
      </w:pPr>
      <w:proofErr w:type="gramStart"/>
      <w:r w:rsidRPr="00BA3E01">
        <w:rPr>
          <w:rFonts w:ascii="Times New Roman" w:hAnsi="Times New Roman"/>
          <w:color w:val="auto"/>
        </w:rPr>
        <w:t>Veterans Affairs.</w:t>
      </w:r>
      <w:proofErr w:type="gramEnd"/>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If you have any further questions, please contact the Coast Guard Personnel Service Center at</w:t>
      </w:r>
    </w:p>
    <w:p w:rsidR="00BA3E01" w:rsidRPr="00BA3E01" w:rsidRDefault="00BA3E01" w:rsidP="00BA3E01">
      <w:pPr>
        <w:autoSpaceDE w:val="0"/>
        <w:autoSpaceDN w:val="0"/>
        <w:adjustRightInd w:val="0"/>
        <w:rPr>
          <w:rFonts w:ascii="Times New Roman" w:hAnsi="Times New Roman"/>
          <w:color w:val="auto"/>
        </w:rPr>
      </w:pP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Rear Admiral, U.S. Coast Guard</w:t>
      </w:r>
    </w:p>
    <w:p w:rsidR="00BA3E01" w:rsidRPr="00BA3E01" w:rsidRDefault="00BA3E01" w:rsidP="00BA3E01">
      <w:pPr>
        <w:autoSpaceDE w:val="0"/>
        <w:autoSpaceDN w:val="0"/>
        <w:adjustRightInd w:val="0"/>
        <w:rPr>
          <w:rFonts w:ascii="Times New Roman" w:hAnsi="Times New Roman"/>
          <w:color w:val="auto"/>
        </w:rPr>
      </w:pPr>
      <w:r w:rsidRPr="00BA3E01">
        <w:rPr>
          <w:rFonts w:ascii="Times New Roman" w:hAnsi="Times New Roman"/>
          <w:color w:val="auto"/>
        </w:rPr>
        <w:t>Assistant Commandant for Human Resources</w:t>
      </w:r>
    </w:p>
    <w:p w:rsidR="00BA3E01" w:rsidRPr="00BA3E01" w:rsidRDefault="00BA3E01" w:rsidP="00BA3E01">
      <w:pPr>
        <w:rPr>
          <w:rFonts w:asciiTheme="minorHAnsi" w:hAnsiTheme="minorHAnsi" w:cstheme="minorBidi"/>
          <w:color w:val="auto"/>
        </w:rPr>
      </w:pPr>
      <w:r w:rsidRPr="00BA3E01">
        <w:rPr>
          <w:rFonts w:ascii="Times New Roman" w:hAnsi="Times New Roman"/>
          <w:color w:val="auto"/>
        </w:rPr>
        <w:t>Enclosures: (1) PDBR President memo dated December 8, 2011</w:t>
      </w:r>
    </w:p>
    <w:p w:rsidR="00BA3E01" w:rsidRPr="0085089F" w:rsidRDefault="00BA3E01"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B5" w:rsidRDefault="00576BB5">
      <w:r>
        <w:separator/>
      </w:r>
    </w:p>
  </w:endnote>
  <w:endnote w:type="continuationSeparator" w:id="0">
    <w:p w:rsidR="00576BB5" w:rsidRDefault="0057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62" w:rsidRDefault="0098314B">
    <w:pPr>
      <w:pStyle w:val="Footer"/>
      <w:framePr w:wrap="around" w:vAnchor="text" w:hAnchor="margin" w:xAlign="center" w:y="1"/>
      <w:rPr>
        <w:rStyle w:val="PageNumber"/>
      </w:rPr>
    </w:pPr>
    <w:r>
      <w:rPr>
        <w:rStyle w:val="PageNumber"/>
      </w:rPr>
      <w:fldChar w:fldCharType="begin"/>
    </w:r>
    <w:r w:rsidR="000A2962">
      <w:rPr>
        <w:rStyle w:val="PageNumber"/>
      </w:rPr>
      <w:instrText xml:space="preserve">PAGE  </w:instrText>
    </w:r>
    <w:r>
      <w:rPr>
        <w:rStyle w:val="PageNumber"/>
      </w:rPr>
      <w:fldChar w:fldCharType="separate"/>
    </w:r>
    <w:r w:rsidR="000A2962">
      <w:rPr>
        <w:rStyle w:val="PageNumber"/>
        <w:noProof/>
      </w:rPr>
      <w:t>2</w:t>
    </w:r>
    <w:r>
      <w:rPr>
        <w:rStyle w:val="PageNumber"/>
      </w:rPr>
      <w:fldChar w:fldCharType="end"/>
    </w:r>
  </w:p>
  <w:p w:rsidR="000A2962" w:rsidRDefault="000A296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62" w:rsidRPr="00AC713F" w:rsidRDefault="0098314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A296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A3E01">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0A2962" w:rsidRPr="0078633F" w:rsidRDefault="000A2962" w:rsidP="002B0749">
    <w:pPr>
      <w:pStyle w:val="Footer"/>
      <w:jc w:val="right"/>
      <w:rPr>
        <w:rFonts w:asciiTheme="minorHAnsi" w:hAnsiTheme="minorHAnsi"/>
        <w:color w:val="auto"/>
      </w:rPr>
    </w:pPr>
    <w:r>
      <w:tab/>
    </w:r>
    <w:r>
      <w:tab/>
    </w:r>
    <w:r w:rsidRPr="0078633F">
      <w:rPr>
        <w:rFonts w:asciiTheme="minorHAnsi" w:hAnsiTheme="minorHAnsi"/>
        <w:caps/>
        <w:color w:val="auto"/>
      </w:rPr>
      <w:t>PD1001086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B5" w:rsidRDefault="00576BB5">
      <w:r>
        <w:separator/>
      </w:r>
    </w:p>
  </w:footnote>
  <w:footnote w:type="continuationSeparator" w:id="0">
    <w:p w:rsidR="00576BB5" w:rsidRDefault="0057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2514"/>
  </w:hdrShapeDefaults>
  <w:footnotePr>
    <w:numRestart w:val="eachSect"/>
    <w:footnote w:id="-1"/>
    <w:footnote w:id="0"/>
  </w:footnotePr>
  <w:endnotePr>
    <w:endnote w:id="-1"/>
    <w:endnote w:id="0"/>
  </w:endnotePr>
  <w:compat/>
  <w:rsids>
    <w:rsidRoot w:val="001C28D1"/>
    <w:rsid w:val="000059FA"/>
    <w:rsid w:val="00006F87"/>
    <w:rsid w:val="00007BC7"/>
    <w:rsid w:val="00010ABA"/>
    <w:rsid w:val="00012428"/>
    <w:rsid w:val="00013417"/>
    <w:rsid w:val="000145C2"/>
    <w:rsid w:val="0001473F"/>
    <w:rsid w:val="00014A9E"/>
    <w:rsid w:val="00014D04"/>
    <w:rsid w:val="00021361"/>
    <w:rsid w:val="00022D8A"/>
    <w:rsid w:val="00023913"/>
    <w:rsid w:val="00023D43"/>
    <w:rsid w:val="00026B08"/>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58E1"/>
    <w:rsid w:val="00050EBB"/>
    <w:rsid w:val="00051622"/>
    <w:rsid w:val="00051ACF"/>
    <w:rsid w:val="00052234"/>
    <w:rsid w:val="00053D7C"/>
    <w:rsid w:val="000577C9"/>
    <w:rsid w:val="0006431E"/>
    <w:rsid w:val="00066613"/>
    <w:rsid w:val="00070881"/>
    <w:rsid w:val="00072433"/>
    <w:rsid w:val="00075702"/>
    <w:rsid w:val="000775C2"/>
    <w:rsid w:val="000806AD"/>
    <w:rsid w:val="00081ACB"/>
    <w:rsid w:val="00082482"/>
    <w:rsid w:val="0008708B"/>
    <w:rsid w:val="00092619"/>
    <w:rsid w:val="00092C66"/>
    <w:rsid w:val="00094E4F"/>
    <w:rsid w:val="000A0699"/>
    <w:rsid w:val="000A23DC"/>
    <w:rsid w:val="000A2962"/>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0884"/>
    <w:rsid w:val="000D15E7"/>
    <w:rsid w:val="000D1A24"/>
    <w:rsid w:val="000D21C7"/>
    <w:rsid w:val="000D248A"/>
    <w:rsid w:val="000D35D8"/>
    <w:rsid w:val="000D43F9"/>
    <w:rsid w:val="000D4717"/>
    <w:rsid w:val="000D6457"/>
    <w:rsid w:val="000D7D55"/>
    <w:rsid w:val="000E0541"/>
    <w:rsid w:val="000E0993"/>
    <w:rsid w:val="000E37E0"/>
    <w:rsid w:val="000E3A3C"/>
    <w:rsid w:val="000F02BE"/>
    <w:rsid w:val="000F427B"/>
    <w:rsid w:val="000F7181"/>
    <w:rsid w:val="001008C1"/>
    <w:rsid w:val="001023DB"/>
    <w:rsid w:val="00103CCF"/>
    <w:rsid w:val="0010417F"/>
    <w:rsid w:val="001042D2"/>
    <w:rsid w:val="0010530E"/>
    <w:rsid w:val="00105C07"/>
    <w:rsid w:val="00107D9B"/>
    <w:rsid w:val="00107EC5"/>
    <w:rsid w:val="001103CD"/>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1761"/>
    <w:rsid w:val="00164BB2"/>
    <w:rsid w:val="00166182"/>
    <w:rsid w:val="00166F72"/>
    <w:rsid w:val="00170DCF"/>
    <w:rsid w:val="00171A44"/>
    <w:rsid w:val="001745DD"/>
    <w:rsid w:val="001766E4"/>
    <w:rsid w:val="00177659"/>
    <w:rsid w:val="001779E5"/>
    <w:rsid w:val="00182A4C"/>
    <w:rsid w:val="0018312F"/>
    <w:rsid w:val="00183F77"/>
    <w:rsid w:val="00185D25"/>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684"/>
    <w:rsid w:val="001D2A49"/>
    <w:rsid w:val="001D46D7"/>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07B18"/>
    <w:rsid w:val="00215ED6"/>
    <w:rsid w:val="00216049"/>
    <w:rsid w:val="00217606"/>
    <w:rsid w:val="00217C09"/>
    <w:rsid w:val="002201F2"/>
    <w:rsid w:val="00220F5C"/>
    <w:rsid w:val="00221740"/>
    <w:rsid w:val="00224F77"/>
    <w:rsid w:val="00225196"/>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01DB"/>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4D89"/>
    <w:rsid w:val="002B543C"/>
    <w:rsid w:val="002B5E1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570"/>
    <w:rsid w:val="002E764B"/>
    <w:rsid w:val="002F0E28"/>
    <w:rsid w:val="002F15C7"/>
    <w:rsid w:val="002F287E"/>
    <w:rsid w:val="002F2D63"/>
    <w:rsid w:val="002F4BC8"/>
    <w:rsid w:val="002F5265"/>
    <w:rsid w:val="002F7F81"/>
    <w:rsid w:val="00300A36"/>
    <w:rsid w:val="003051C7"/>
    <w:rsid w:val="0030678B"/>
    <w:rsid w:val="00310CD7"/>
    <w:rsid w:val="0032136A"/>
    <w:rsid w:val="00323E70"/>
    <w:rsid w:val="00325BA2"/>
    <w:rsid w:val="00326F7F"/>
    <w:rsid w:val="003308E7"/>
    <w:rsid w:val="003320E8"/>
    <w:rsid w:val="003326A6"/>
    <w:rsid w:val="0033555E"/>
    <w:rsid w:val="00336805"/>
    <w:rsid w:val="00337351"/>
    <w:rsid w:val="0034053D"/>
    <w:rsid w:val="00341A54"/>
    <w:rsid w:val="0034669F"/>
    <w:rsid w:val="00351498"/>
    <w:rsid w:val="003523EB"/>
    <w:rsid w:val="00352B22"/>
    <w:rsid w:val="00353984"/>
    <w:rsid w:val="00354547"/>
    <w:rsid w:val="003567DE"/>
    <w:rsid w:val="003574F3"/>
    <w:rsid w:val="0036052E"/>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2A15"/>
    <w:rsid w:val="003B3E56"/>
    <w:rsid w:val="003B5854"/>
    <w:rsid w:val="003B6764"/>
    <w:rsid w:val="003C3833"/>
    <w:rsid w:val="003C6068"/>
    <w:rsid w:val="003D07B9"/>
    <w:rsid w:val="003D2BA3"/>
    <w:rsid w:val="003D3C22"/>
    <w:rsid w:val="003D546B"/>
    <w:rsid w:val="003D670B"/>
    <w:rsid w:val="003D7089"/>
    <w:rsid w:val="003D7DDB"/>
    <w:rsid w:val="003D7EC0"/>
    <w:rsid w:val="003E01A9"/>
    <w:rsid w:val="003E02C7"/>
    <w:rsid w:val="003E0543"/>
    <w:rsid w:val="003E0B5A"/>
    <w:rsid w:val="003E31E3"/>
    <w:rsid w:val="003E46D1"/>
    <w:rsid w:val="003F190A"/>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B75"/>
    <w:rsid w:val="00425F53"/>
    <w:rsid w:val="004272CC"/>
    <w:rsid w:val="00433F36"/>
    <w:rsid w:val="0043503A"/>
    <w:rsid w:val="00435F50"/>
    <w:rsid w:val="0044384F"/>
    <w:rsid w:val="00444209"/>
    <w:rsid w:val="00444F80"/>
    <w:rsid w:val="00446018"/>
    <w:rsid w:val="004466DE"/>
    <w:rsid w:val="00446DD8"/>
    <w:rsid w:val="004543BC"/>
    <w:rsid w:val="0045645D"/>
    <w:rsid w:val="004574C6"/>
    <w:rsid w:val="00457BCF"/>
    <w:rsid w:val="00457DCE"/>
    <w:rsid w:val="00460E3F"/>
    <w:rsid w:val="004637AB"/>
    <w:rsid w:val="00463EB0"/>
    <w:rsid w:val="00464F33"/>
    <w:rsid w:val="00466747"/>
    <w:rsid w:val="00466CED"/>
    <w:rsid w:val="00467592"/>
    <w:rsid w:val="00467690"/>
    <w:rsid w:val="004718E7"/>
    <w:rsid w:val="004720E0"/>
    <w:rsid w:val="00472535"/>
    <w:rsid w:val="004761CC"/>
    <w:rsid w:val="00477FCD"/>
    <w:rsid w:val="00480D4A"/>
    <w:rsid w:val="00481DA1"/>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18E8"/>
    <w:rsid w:val="0050229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68B2"/>
    <w:rsid w:val="00537238"/>
    <w:rsid w:val="005400C5"/>
    <w:rsid w:val="00540BEF"/>
    <w:rsid w:val="00542C9A"/>
    <w:rsid w:val="005436C2"/>
    <w:rsid w:val="005442D4"/>
    <w:rsid w:val="0054586A"/>
    <w:rsid w:val="0054631F"/>
    <w:rsid w:val="005519AF"/>
    <w:rsid w:val="0055288D"/>
    <w:rsid w:val="00555259"/>
    <w:rsid w:val="00560D57"/>
    <w:rsid w:val="005623F4"/>
    <w:rsid w:val="00562A94"/>
    <w:rsid w:val="005709F7"/>
    <w:rsid w:val="005710A9"/>
    <w:rsid w:val="00571C82"/>
    <w:rsid w:val="00571D1B"/>
    <w:rsid w:val="00573701"/>
    <w:rsid w:val="00576BB5"/>
    <w:rsid w:val="005818AD"/>
    <w:rsid w:val="00593043"/>
    <w:rsid w:val="00595BF0"/>
    <w:rsid w:val="005A1846"/>
    <w:rsid w:val="005A258C"/>
    <w:rsid w:val="005A3560"/>
    <w:rsid w:val="005A4E82"/>
    <w:rsid w:val="005A6C99"/>
    <w:rsid w:val="005A7D5D"/>
    <w:rsid w:val="005B011A"/>
    <w:rsid w:val="005B1D8F"/>
    <w:rsid w:val="005B1E94"/>
    <w:rsid w:val="005B560B"/>
    <w:rsid w:val="005B5B3D"/>
    <w:rsid w:val="005C15EA"/>
    <w:rsid w:val="005C16F3"/>
    <w:rsid w:val="005C3758"/>
    <w:rsid w:val="005C4A8E"/>
    <w:rsid w:val="005D0C57"/>
    <w:rsid w:val="005D1075"/>
    <w:rsid w:val="005D55F8"/>
    <w:rsid w:val="005E0AF8"/>
    <w:rsid w:val="005E3064"/>
    <w:rsid w:val="005E3737"/>
    <w:rsid w:val="005E72B2"/>
    <w:rsid w:val="005F0EBE"/>
    <w:rsid w:val="005F1115"/>
    <w:rsid w:val="005F1AB6"/>
    <w:rsid w:val="005F27F2"/>
    <w:rsid w:val="005F3AFE"/>
    <w:rsid w:val="005F424D"/>
    <w:rsid w:val="005F6B6D"/>
    <w:rsid w:val="005F7212"/>
    <w:rsid w:val="006038AD"/>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418C9"/>
    <w:rsid w:val="00642BD6"/>
    <w:rsid w:val="00643B17"/>
    <w:rsid w:val="00644E47"/>
    <w:rsid w:val="00645046"/>
    <w:rsid w:val="0064527A"/>
    <w:rsid w:val="00645EA2"/>
    <w:rsid w:val="0065173B"/>
    <w:rsid w:val="00652D54"/>
    <w:rsid w:val="00656218"/>
    <w:rsid w:val="006573F2"/>
    <w:rsid w:val="006626EF"/>
    <w:rsid w:val="006629C8"/>
    <w:rsid w:val="00662F08"/>
    <w:rsid w:val="00663589"/>
    <w:rsid w:val="0066528B"/>
    <w:rsid w:val="006708E3"/>
    <w:rsid w:val="00670DDC"/>
    <w:rsid w:val="00671EB4"/>
    <w:rsid w:val="0067443B"/>
    <w:rsid w:val="00675792"/>
    <w:rsid w:val="00684E2B"/>
    <w:rsid w:val="00690FDA"/>
    <w:rsid w:val="00691E61"/>
    <w:rsid w:val="00692EB7"/>
    <w:rsid w:val="00693C5E"/>
    <w:rsid w:val="00694EEA"/>
    <w:rsid w:val="006955B4"/>
    <w:rsid w:val="00696476"/>
    <w:rsid w:val="006A10FA"/>
    <w:rsid w:val="006A2335"/>
    <w:rsid w:val="006A40E6"/>
    <w:rsid w:val="006A5C07"/>
    <w:rsid w:val="006A69A7"/>
    <w:rsid w:val="006A75FA"/>
    <w:rsid w:val="006B07D5"/>
    <w:rsid w:val="006B1309"/>
    <w:rsid w:val="006B3923"/>
    <w:rsid w:val="006B3F3E"/>
    <w:rsid w:val="006B4BCD"/>
    <w:rsid w:val="006B5923"/>
    <w:rsid w:val="006B67D9"/>
    <w:rsid w:val="006B6876"/>
    <w:rsid w:val="006B6C14"/>
    <w:rsid w:val="006B715E"/>
    <w:rsid w:val="006C19A1"/>
    <w:rsid w:val="006C1D6E"/>
    <w:rsid w:val="006C262D"/>
    <w:rsid w:val="006C3A68"/>
    <w:rsid w:val="006C4C78"/>
    <w:rsid w:val="006C6AB1"/>
    <w:rsid w:val="006D2D39"/>
    <w:rsid w:val="006D4E0E"/>
    <w:rsid w:val="006D575A"/>
    <w:rsid w:val="006D5CE2"/>
    <w:rsid w:val="006D6976"/>
    <w:rsid w:val="006D7CE5"/>
    <w:rsid w:val="006E06D1"/>
    <w:rsid w:val="006E127E"/>
    <w:rsid w:val="006E1313"/>
    <w:rsid w:val="006E2DC8"/>
    <w:rsid w:val="006E4134"/>
    <w:rsid w:val="006E5593"/>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27980"/>
    <w:rsid w:val="0073062D"/>
    <w:rsid w:val="0073254D"/>
    <w:rsid w:val="00735AD6"/>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26F9"/>
    <w:rsid w:val="007752E4"/>
    <w:rsid w:val="00781BD4"/>
    <w:rsid w:val="00782168"/>
    <w:rsid w:val="0078438E"/>
    <w:rsid w:val="00784832"/>
    <w:rsid w:val="00785D77"/>
    <w:rsid w:val="00786111"/>
    <w:rsid w:val="0078633F"/>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A750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7F7A12"/>
    <w:rsid w:val="008014A7"/>
    <w:rsid w:val="00803850"/>
    <w:rsid w:val="00804385"/>
    <w:rsid w:val="008057FE"/>
    <w:rsid w:val="00805AFD"/>
    <w:rsid w:val="008078D8"/>
    <w:rsid w:val="00811D5B"/>
    <w:rsid w:val="008144BF"/>
    <w:rsid w:val="00814BC9"/>
    <w:rsid w:val="00817154"/>
    <w:rsid w:val="00817713"/>
    <w:rsid w:val="008206CD"/>
    <w:rsid w:val="00820855"/>
    <w:rsid w:val="008220F1"/>
    <w:rsid w:val="0082340B"/>
    <w:rsid w:val="008244E9"/>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63D2"/>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71262"/>
    <w:rsid w:val="00871D4E"/>
    <w:rsid w:val="00871E7B"/>
    <w:rsid w:val="00873901"/>
    <w:rsid w:val="00873AF1"/>
    <w:rsid w:val="00875B51"/>
    <w:rsid w:val="00875F2D"/>
    <w:rsid w:val="008764DC"/>
    <w:rsid w:val="00877D0B"/>
    <w:rsid w:val="00880885"/>
    <w:rsid w:val="00880F8F"/>
    <w:rsid w:val="00882CC2"/>
    <w:rsid w:val="00883930"/>
    <w:rsid w:val="00884A85"/>
    <w:rsid w:val="00885447"/>
    <w:rsid w:val="008861D8"/>
    <w:rsid w:val="00894A2D"/>
    <w:rsid w:val="00896535"/>
    <w:rsid w:val="00896683"/>
    <w:rsid w:val="00897589"/>
    <w:rsid w:val="008A0420"/>
    <w:rsid w:val="008A439D"/>
    <w:rsid w:val="008A63A9"/>
    <w:rsid w:val="008A7F7E"/>
    <w:rsid w:val="008B04DB"/>
    <w:rsid w:val="008B1D65"/>
    <w:rsid w:val="008B27FD"/>
    <w:rsid w:val="008B3AF2"/>
    <w:rsid w:val="008B515D"/>
    <w:rsid w:val="008B5D31"/>
    <w:rsid w:val="008B6705"/>
    <w:rsid w:val="008C08CC"/>
    <w:rsid w:val="008C22F3"/>
    <w:rsid w:val="008D6E8E"/>
    <w:rsid w:val="008D795D"/>
    <w:rsid w:val="008D7B07"/>
    <w:rsid w:val="008E1E94"/>
    <w:rsid w:val="008E281F"/>
    <w:rsid w:val="008E2D99"/>
    <w:rsid w:val="008E4A60"/>
    <w:rsid w:val="008E744D"/>
    <w:rsid w:val="008F1E08"/>
    <w:rsid w:val="00900D8F"/>
    <w:rsid w:val="00900FC9"/>
    <w:rsid w:val="009014E3"/>
    <w:rsid w:val="00901574"/>
    <w:rsid w:val="009015B4"/>
    <w:rsid w:val="009026E8"/>
    <w:rsid w:val="00903F39"/>
    <w:rsid w:val="009051C8"/>
    <w:rsid w:val="009053FC"/>
    <w:rsid w:val="00906EB7"/>
    <w:rsid w:val="009102BF"/>
    <w:rsid w:val="009115F2"/>
    <w:rsid w:val="00914ADB"/>
    <w:rsid w:val="00923B25"/>
    <w:rsid w:val="0092402E"/>
    <w:rsid w:val="009259BA"/>
    <w:rsid w:val="00926FCB"/>
    <w:rsid w:val="0092702F"/>
    <w:rsid w:val="009274F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1A5A"/>
    <w:rsid w:val="00962F2D"/>
    <w:rsid w:val="009645BE"/>
    <w:rsid w:val="009672CD"/>
    <w:rsid w:val="00972996"/>
    <w:rsid w:val="009732B8"/>
    <w:rsid w:val="00975C72"/>
    <w:rsid w:val="00976869"/>
    <w:rsid w:val="00976CE2"/>
    <w:rsid w:val="00977740"/>
    <w:rsid w:val="00977CB4"/>
    <w:rsid w:val="009809B8"/>
    <w:rsid w:val="0098222D"/>
    <w:rsid w:val="0098314B"/>
    <w:rsid w:val="00985099"/>
    <w:rsid w:val="0099421F"/>
    <w:rsid w:val="00997D31"/>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2ABC"/>
    <w:rsid w:val="009C3F82"/>
    <w:rsid w:val="009C520E"/>
    <w:rsid w:val="009C72DD"/>
    <w:rsid w:val="009C7DF5"/>
    <w:rsid w:val="009D056C"/>
    <w:rsid w:val="009D060F"/>
    <w:rsid w:val="009D1ADE"/>
    <w:rsid w:val="009D4CC1"/>
    <w:rsid w:val="009E09D0"/>
    <w:rsid w:val="009E1283"/>
    <w:rsid w:val="009E3A7F"/>
    <w:rsid w:val="009E57B1"/>
    <w:rsid w:val="009E6379"/>
    <w:rsid w:val="009F7809"/>
    <w:rsid w:val="009F7AF5"/>
    <w:rsid w:val="00A00D14"/>
    <w:rsid w:val="00A01408"/>
    <w:rsid w:val="00A02457"/>
    <w:rsid w:val="00A03190"/>
    <w:rsid w:val="00A0404B"/>
    <w:rsid w:val="00A0711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259CF"/>
    <w:rsid w:val="00A315F3"/>
    <w:rsid w:val="00A32743"/>
    <w:rsid w:val="00A41387"/>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6F18"/>
    <w:rsid w:val="00A875E7"/>
    <w:rsid w:val="00A90D55"/>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E8"/>
    <w:rsid w:val="00AC289E"/>
    <w:rsid w:val="00AC439D"/>
    <w:rsid w:val="00AC5B2F"/>
    <w:rsid w:val="00AC713F"/>
    <w:rsid w:val="00AD067E"/>
    <w:rsid w:val="00AD1CDD"/>
    <w:rsid w:val="00AD2801"/>
    <w:rsid w:val="00AD6870"/>
    <w:rsid w:val="00AD68C5"/>
    <w:rsid w:val="00AE018B"/>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27974"/>
    <w:rsid w:val="00B30D88"/>
    <w:rsid w:val="00B32179"/>
    <w:rsid w:val="00B32C51"/>
    <w:rsid w:val="00B33008"/>
    <w:rsid w:val="00B331A9"/>
    <w:rsid w:val="00B3333A"/>
    <w:rsid w:val="00B3449A"/>
    <w:rsid w:val="00B36569"/>
    <w:rsid w:val="00B40A05"/>
    <w:rsid w:val="00B40A3E"/>
    <w:rsid w:val="00B427E4"/>
    <w:rsid w:val="00B451E7"/>
    <w:rsid w:val="00B46644"/>
    <w:rsid w:val="00B50227"/>
    <w:rsid w:val="00B50510"/>
    <w:rsid w:val="00B5173E"/>
    <w:rsid w:val="00B522CD"/>
    <w:rsid w:val="00B55143"/>
    <w:rsid w:val="00B55917"/>
    <w:rsid w:val="00B561D2"/>
    <w:rsid w:val="00B643A6"/>
    <w:rsid w:val="00B64DD6"/>
    <w:rsid w:val="00B64F33"/>
    <w:rsid w:val="00B65EE4"/>
    <w:rsid w:val="00B6710C"/>
    <w:rsid w:val="00B72076"/>
    <w:rsid w:val="00B72303"/>
    <w:rsid w:val="00B72AC5"/>
    <w:rsid w:val="00B737B4"/>
    <w:rsid w:val="00B810C3"/>
    <w:rsid w:val="00B8188C"/>
    <w:rsid w:val="00B82277"/>
    <w:rsid w:val="00B91676"/>
    <w:rsid w:val="00B92593"/>
    <w:rsid w:val="00B95833"/>
    <w:rsid w:val="00B95A57"/>
    <w:rsid w:val="00B95CBA"/>
    <w:rsid w:val="00B96443"/>
    <w:rsid w:val="00BA1824"/>
    <w:rsid w:val="00BA2D98"/>
    <w:rsid w:val="00BA30D1"/>
    <w:rsid w:val="00BA3E01"/>
    <w:rsid w:val="00BA4609"/>
    <w:rsid w:val="00BA546B"/>
    <w:rsid w:val="00BA5BE2"/>
    <w:rsid w:val="00BA7F46"/>
    <w:rsid w:val="00BB0A0A"/>
    <w:rsid w:val="00BB45B5"/>
    <w:rsid w:val="00BB4617"/>
    <w:rsid w:val="00BB6064"/>
    <w:rsid w:val="00BC09D1"/>
    <w:rsid w:val="00BC0A7F"/>
    <w:rsid w:val="00BC1911"/>
    <w:rsid w:val="00BC1CF3"/>
    <w:rsid w:val="00BC3538"/>
    <w:rsid w:val="00BC44F0"/>
    <w:rsid w:val="00BC69E6"/>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296"/>
    <w:rsid w:val="00BF4720"/>
    <w:rsid w:val="00BF7B63"/>
    <w:rsid w:val="00C038EC"/>
    <w:rsid w:val="00C0440C"/>
    <w:rsid w:val="00C05C6D"/>
    <w:rsid w:val="00C069A9"/>
    <w:rsid w:val="00C06EE5"/>
    <w:rsid w:val="00C072D0"/>
    <w:rsid w:val="00C07ED0"/>
    <w:rsid w:val="00C1122B"/>
    <w:rsid w:val="00C1278A"/>
    <w:rsid w:val="00C13B34"/>
    <w:rsid w:val="00C13F26"/>
    <w:rsid w:val="00C14809"/>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0F11"/>
    <w:rsid w:val="00C41E47"/>
    <w:rsid w:val="00C42443"/>
    <w:rsid w:val="00C42CBA"/>
    <w:rsid w:val="00C45E3F"/>
    <w:rsid w:val="00C5019E"/>
    <w:rsid w:val="00C5377C"/>
    <w:rsid w:val="00C53E8A"/>
    <w:rsid w:val="00C54DF3"/>
    <w:rsid w:val="00C55918"/>
    <w:rsid w:val="00C560A7"/>
    <w:rsid w:val="00C56FC8"/>
    <w:rsid w:val="00C60F23"/>
    <w:rsid w:val="00C62EB2"/>
    <w:rsid w:val="00C651BE"/>
    <w:rsid w:val="00C71BEC"/>
    <w:rsid w:val="00C72922"/>
    <w:rsid w:val="00C74600"/>
    <w:rsid w:val="00C74D3A"/>
    <w:rsid w:val="00C80511"/>
    <w:rsid w:val="00C82627"/>
    <w:rsid w:val="00C826F5"/>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B20DC"/>
    <w:rsid w:val="00CB23A0"/>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662E"/>
    <w:rsid w:val="00D37E57"/>
    <w:rsid w:val="00D40B1F"/>
    <w:rsid w:val="00D40D75"/>
    <w:rsid w:val="00D449F0"/>
    <w:rsid w:val="00D466A5"/>
    <w:rsid w:val="00D50C8C"/>
    <w:rsid w:val="00D52393"/>
    <w:rsid w:val="00D523E4"/>
    <w:rsid w:val="00D5279D"/>
    <w:rsid w:val="00D52A1B"/>
    <w:rsid w:val="00D53F14"/>
    <w:rsid w:val="00D543FB"/>
    <w:rsid w:val="00D54BE4"/>
    <w:rsid w:val="00D555AD"/>
    <w:rsid w:val="00D60483"/>
    <w:rsid w:val="00D61ABB"/>
    <w:rsid w:val="00D63577"/>
    <w:rsid w:val="00D67FD7"/>
    <w:rsid w:val="00D71935"/>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706F"/>
    <w:rsid w:val="00D972D4"/>
    <w:rsid w:val="00DA18F0"/>
    <w:rsid w:val="00DA195B"/>
    <w:rsid w:val="00DA24A1"/>
    <w:rsid w:val="00DA4CEF"/>
    <w:rsid w:val="00DA6B55"/>
    <w:rsid w:val="00DA6D33"/>
    <w:rsid w:val="00DA70CA"/>
    <w:rsid w:val="00DB0015"/>
    <w:rsid w:val="00DB2AAD"/>
    <w:rsid w:val="00DB2D50"/>
    <w:rsid w:val="00DB2DC6"/>
    <w:rsid w:val="00DB626D"/>
    <w:rsid w:val="00DB6365"/>
    <w:rsid w:val="00DB6F46"/>
    <w:rsid w:val="00DC01E0"/>
    <w:rsid w:val="00DC0BF1"/>
    <w:rsid w:val="00DC41C3"/>
    <w:rsid w:val="00DD26EB"/>
    <w:rsid w:val="00DD3593"/>
    <w:rsid w:val="00DD7F21"/>
    <w:rsid w:val="00DE0C67"/>
    <w:rsid w:val="00DE55DF"/>
    <w:rsid w:val="00DE6952"/>
    <w:rsid w:val="00DE7E74"/>
    <w:rsid w:val="00DF6EF8"/>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5F07"/>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56392"/>
    <w:rsid w:val="00E56DF3"/>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393D"/>
    <w:rsid w:val="00E97885"/>
    <w:rsid w:val="00EA0054"/>
    <w:rsid w:val="00EA1177"/>
    <w:rsid w:val="00EA118B"/>
    <w:rsid w:val="00EA11B6"/>
    <w:rsid w:val="00EA1D89"/>
    <w:rsid w:val="00EA2181"/>
    <w:rsid w:val="00EA2DD8"/>
    <w:rsid w:val="00EA4475"/>
    <w:rsid w:val="00EA5BA3"/>
    <w:rsid w:val="00EA681F"/>
    <w:rsid w:val="00EA7BDA"/>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236F"/>
    <w:rsid w:val="00EE6FE0"/>
    <w:rsid w:val="00EE704A"/>
    <w:rsid w:val="00EE7840"/>
    <w:rsid w:val="00EF31F3"/>
    <w:rsid w:val="00EF4C74"/>
    <w:rsid w:val="00EF5268"/>
    <w:rsid w:val="00EF608E"/>
    <w:rsid w:val="00F0044B"/>
    <w:rsid w:val="00F04957"/>
    <w:rsid w:val="00F055E0"/>
    <w:rsid w:val="00F05807"/>
    <w:rsid w:val="00F07052"/>
    <w:rsid w:val="00F0706C"/>
    <w:rsid w:val="00F075B6"/>
    <w:rsid w:val="00F11EBE"/>
    <w:rsid w:val="00F12BA8"/>
    <w:rsid w:val="00F130D0"/>
    <w:rsid w:val="00F135BE"/>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4F99"/>
    <w:rsid w:val="00F55366"/>
    <w:rsid w:val="00F62250"/>
    <w:rsid w:val="00F6266C"/>
    <w:rsid w:val="00F6292F"/>
    <w:rsid w:val="00F65EC8"/>
    <w:rsid w:val="00F6636A"/>
    <w:rsid w:val="00F667C5"/>
    <w:rsid w:val="00F67E31"/>
    <w:rsid w:val="00F718A8"/>
    <w:rsid w:val="00F72183"/>
    <w:rsid w:val="00F76D01"/>
    <w:rsid w:val="00F8094B"/>
    <w:rsid w:val="00F81C35"/>
    <w:rsid w:val="00F82981"/>
    <w:rsid w:val="00F8311F"/>
    <w:rsid w:val="00F83248"/>
    <w:rsid w:val="00F83376"/>
    <w:rsid w:val="00F838E7"/>
    <w:rsid w:val="00F853AE"/>
    <w:rsid w:val="00F8547A"/>
    <w:rsid w:val="00F85577"/>
    <w:rsid w:val="00F86EA7"/>
    <w:rsid w:val="00F87854"/>
    <w:rsid w:val="00F8786F"/>
    <w:rsid w:val="00F93C74"/>
    <w:rsid w:val="00F93DCC"/>
    <w:rsid w:val="00F9435D"/>
    <w:rsid w:val="00F97740"/>
    <w:rsid w:val="00F977B2"/>
    <w:rsid w:val="00FA2F7B"/>
    <w:rsid w:val="00FA6091"/>
    <w:rsid w:val="00FB09FE"/>
    <w:rsid w:val="00FB4711"/>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 w:val="00FF6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2F15C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04557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BA97-7B72-49F1-8370-6DC3B87C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2011-12-05T16:35:00Z</cp:lastPrinted>
  <dcterms:created xsi:type="dcterms:W3CDTF">2012-05-08T14:18:00Z</dcterms:created>
  <dcterms:modified xsi:type="dcterms:W3CDTF">2012-05-08T14:18:00Z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