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DC5" w:rsidRPr="00396779" w:rsidRDefault="00AB1DC5" w:rsidP="00510F9C">
      <w:pPr>
        <w:tabs>
          <w:tab w:val="left" w:pos="288"/>
          <w:tab w:val="left" w:pos="4752"/>
        </w:tabs>
        <w:spacing w:line="240" w:lineRule="exact"/>
        <w:jc w:val="center"/>
        <w:rPr>
          <w:color w:val="auto"/>
        </w:rPr>
      </w:pPr>
      <w:r w:rsidRPr="00396779">
        <w:rPr>
          <w:color w:val="auto"/>
        </w:rPr>
        <w:t>RECORD OF PROCEEDINGS</w:t>
      </w:r>
    </w:p>
    <w:p w:rsidR="00AB1DC5" w:rsidRPr="00396779" w:rsidRDefault="00AB1DC5" w:rsidP="00510F9C">
      <w:pPr>
        <w:tabs>
          <w:tab w:val="left" w:pos="288"/>
          <w:tab w:val="left" w:pos="4752"/>
        </w:tabs>
        <w:spacing w:line="240" w:lineRule="exact"/>
        <w:jc w:val="center"/>
        <w:rPr>
          <w:color w:val="auto"/>
        </w:rPr>
      </w:pPr>
      <w:r w:rsidRPr="00396779">
        <w:rPr>
          <w:color w:val="auto"/>
        </w:rPr>
        <w:t>PHYSICAL DISABILITY BOARD OF REVIEW</w:t>
      </w:r>
    </w:p>
    <w:p w:rsidR="00AB1DC5" w:rsidRPr="00396779" w:rsidRDefault="00AB1DC5" w:rsidP="00510F9C">
      <w:pPr>
        <w:tabs>
          <w:tab w:val="left" w:pos="288"/>
          <w:tab w:val="left" w:pos="4752"/>
        </w:tabs>
        <w:spacing w:line="240" w:lineRule="exact"/>
        <w:jc w:val="both"/>
        <w:rPr>
          <w:caps/>
          <w:color w:val="auto"/>
        </w:rPr>
      </w:pPr>
    </w:p>
    <w:p w:rsidR="00AB1DC5" w:rsidRPr="001D30C7" w:rsidRDefault="00AB1DC5" w:rsidP="00450719">
      <w:pPr>
        <w:tabs>
          <w:tab w:val="left" w:pos="288"/>
          <w:tab w:val="left" w:pos="6120"/>
          <w:tab w:val="left" w:pos="9270"/>
        </w:tabs>
        <w:spacing w:line="240" w:lineRule="exact"/>
        <w:jc w:val="both"/>
        <w:rPr>
          <w:caps/>
          <w:color w:val="auto"/>
        </w:rPr>
      </w:pPr>
      <w:r w:rsidRPr="001D30C7">
        <w:rPr>
          <w:caps/>
          <w:color w:val="auto"/>
        </w:rPr>
        <w:t xml:space="preserve">NAME:  </w:t>
      </w:r>
      <w:r w:rsidR="00450719">
        <w:rPr>
          <w:caps/>
          <w:color w:val="auto"/>
        </w:rPr>
        <w:t xml:space="preserve">  </w:t>
      </w:r>
      <w:r w:rsidR="008C63A7">
        <w:rPr>
          <w:caps/>
          <w:color w:val="auto"/>
        </w:rPr>
        <w:t xml:space="preserve">                            </w:t>
      </w:r>
      <w:r w:rsidR="00374D88">
        <w:rPr>
          <w:caps/>
          <w:color w:val="auto"/>
        </w:rPr>
        <w:t xml:space="preserve">                          </w:t>
      </w:r>
      <w:r w:rsidR="00450719">
        <w:rPr>
          <w:caps/>
          <w:color w:val="auto"/>
        </w:rPr>
        <w:tab/>
      </w:r>
      <w:r w:rsidRPr="001D30C7">
        <w:rPr>
          <w:caps/>
          <w:color w:val="auto"/>
        </w:rPr>
        <w:t>BRANCH OF SERVICE:  air force</w:t>
      </w:r>
    </w:p>
    <w:p w:rsidR="00AB1DC5" w:rsidRDefault="00AB1DC5" w:rsidP="00AE3ABF">
      <w:pPr>
        <w:tabs>
          <w:tab w:val="left" w:pos="288"/>
          <w:tab w:val="left" w:pos="4752"/>
          <w:tab w:val="left" w:pos="9270"/>
        </w:tabs>
        <w:spacing w:line="240" w:lineRule="exact"/>
        <w:jc w:val="both"/>
        <w:rPr>
          <w:caps/>
          <w:color w:val="auto"/>
        </w:rPr>
      </w:pPr>
      <w:r w:rsidRPr="001D30C7">
        <w:rPr>
          <w:caps/>
          <w:color w:val="auto"/>
        </w:rPr>
        <w:t>CASE NUMBER:  PD1001031</w:t>
      </w:r>
      <w:r w:rsidR="008C63A7">
        <w:rPr>
          <w:color w:val="auto"/>
        </w:rPr>
        <w:t xml:space="preserve">                                  </w:t>
      </w:r>
      <w:r w:rsidR="00374D88">
        <w:rPr>
          <w:color w:val="auto"/>
        </w:rPr>
        <w:t xml:space="preserve">          </w:t>
      </w:r>
      <w:r w:rsidR="00AE3ABF" w:rsidRPr="00AE3ABF">
        <w:rPr>
          <w:color w:val="auto"/>
        </w:rPr>
        <w:t>DATE OF PLACEMENT ON TDRL</w:t>
      </w:r>
      <w:r w:rsidRPr="001D30C7">
        <w:rPr>
          <w:color w:val="auto"/>
        </w:rPr>
        <w:t xml:space="preserve">:  </w:t>
      </w:r>
      <w:r w:rsidR="004E3C42">
        <w:rPr>
          <w:caps/>
          <w:color w:val="auto"/>
        </w:rPr>
        <w:t>20020827</w:t>
      </w:r>
    </w:p>
    <w:p w:rsidR="00AB1DC5" w:rsidRDefault="00AB1DC5" w:rsidP="00AE3ABF">
      <w:pPr>
        <w:tabs>
          <w:tab w:val="left" w:pos="288"/>
          <w:tab w:val="left" w:pos="4770"/>
        </w:tabs>
        <w:spacing w:line="240" w:lineRule="exact"/>
        <w:rPr>
          <w:caps/>
          <w:color w:val="auto"/>
        </w:rPr>
      </w:pPr>
      <w:r w:rsidRPr="00FD6C41">
        <w:rPr>
          <w:caps/>
          <w:color w:val="auto"/>
        </w:rPr>
        <w:t xml:space="preserve">BOARD DATE: </w:t>
      </w:r>
      <w:r>
        <w:rPr>
          <w:caps/>
          <w:color w:val="auto"/>
        </w:rPr>
        <w:t xml:space="preserve"> </w:t>
      </w:r>
      <w:r w:rsidRPr="00655258">
        <w:rPr>
          <w:caps/>
          <w:color w:val="auto"/>
        </w:rPr>
        <w:t>2011</w:t>
      </w:r>
      <w:r w:rsidR="00033AC6">
        <w:rPr>
          <w:caps/>
          <w:color w:val="auto"/>
        </w:rPr>
        <w:t>1121</w:t>
      </w:r>
      <w:r w:rsidR="008C63A7">
        <w:rPr>
          <w:caps/>
          <w:color w:val="auto"/>
        </w:rPr>
        <w:t xml:space="preserve">                                          </w:t>
      </w:r>
      <w:r w:rsidR="00AE3ABF" w:rsidRPr="00AE3ABF">
        <w:rPr>
          <w:caps/>
          <w:color w:val="auto"/>
        </w:rPr>
        <w:t>Date of Permanent SEPARATION</w:t>
      </w:r>
      <w:r>
        <w:rPr>
          <w:caps/>
          <w:color w:val="auto"/>
        </w:rPr>
        <w:t xml:space="preserve">: </w:t>
      </w:r>
      <w:r w:rsidR="008C63A7">
        <w:rPr>
          <w:caps/>
          <w:color w:val="auto"/>
        </w:rPr>
        <w:t xml:space="preserve"> </w:t>
      </w:r>
      <w:r w:rsidR="004E3C42" w:rsidRPr="001D30C7">
        <w:rPr>
          <w:color w:val="auto"/>
        </w:rPr>
        <w:t>20070307</w:t>
      </w:r>
    </w:p>
    <w:p w:rsidR="00AB1DC5" w:rsidRDefault="00AB1DC5" w:rsidP="00510F9C">
      <w:pPr>
        <w:pBdr>
          <w:bottom w:val="single" w:sz="12" w:space="1" w:color="auto"/>
        </w:pBdr>
        <w:tabs>
          <w:tab w:val="left" w:pos="288"/>
          <w:tab w:val="left" w:pos="4752"/>
        </w:tabs>
        <w:spacing w:line="240" w:lineRule="exact"/>
        <w:jc w:val="both"/>
        <w:rPr>
          <w:color w:val="auto"/>
          <w:u w:val="single"/>
        </w:rPr>
      </w:pPr>
    </w:p>
    <w:p w:rsidR="00AB1DC5" w:rsidRDefault="00AB1DC5" w:rsidP="00510F9C">
      <w:pPr>
        <w:tabs>
          <w:tab w:val="left" w:pos="288"/>
          <w:tab w:val="left" w:pos="4752"/>
        </w:tabs>
        <w:spacing w:line="240" w:lineRule="exact"/>
        <w:jc w:val="both"/>
        <w:rPr>
          <w:color w:val="auto"/>
        </w:rPr>
      </w:pPr>
    </w:p>
    <w:p w:rsidR="00AB1DC5" w:rsidRPr="00C472C7" w:rsidRDefault="00AB1DC5" w:rsidP="00510F9C">
      <w:pPr>
        <w:tabs>
          <w:tab w:val="left" w:pos="288"/>
          <w:tab w:val="left" w:pos="4752"/>
        </w:tabs>
        <w:spacing w:line="240" w:lineRule="exact"/>
        <w:jc w:val="both"/>
        <w:rPr>
          <w:color w:val="auto"/>
        </w:rPr>
      </w:pPr>
      <w:r w:rsidRPr="0085006A">
        <w:rPr>
          <w:color w:val="auto"/>
          <w:u w:val="single"/>
        </w:rPr>
        <w:t>SUMMARY OF CASE</w:t>
      </w:r>
      <w:r w:rsidRPr="0085006A">
        <w:rPr>
          <w:color w:val="auto"/>
        </w:rPr>
        <w:t>:</w:t>
      </w:r>
      <w:r w:rsidRPr="00EC337D">
        <w:rPr>
          <w:color w:val="auto"/>
        </w:rPr>
        <w:t xml:space="preserve">  Data extracted from the available evidence of record reflects that this covered individual (CI) </w:t>
      </w:r>
      <w:r w:rsidRPr="00AD7F8F">
        <w:rPr>
          <w:color w:val="auto"/>
        </w:rPr>
        <w:t>was a Reserve TSgt/E-6 (3P0</w:t>
      </w:r>
      <w:r w:rsidR="004E3C42">
        <w:rPr>
          <w:color w:val="auto"/>
        </w:rPr>
        <w:t>71</w:t>
      </w:r>
      <w:r w:rsidRPr="00AD7F8F">
        <w:rPr>
          <w:color w:val="auto"/>
        </w:rPr>
        <w:t xml:space="preserve">, </w:t>
      </w:r>
      <w:r w:rsidR="004E3C42">
        <w:rPr>
          <w:color w:val="auto"/>
        </w:rPr>
        <w:t>Security Forces</w:t>
      </w:r>
      <w:r w:rsidRPr="00AD7F8F">
        <w:rPr>
          <w:color w:val="auto"/>
        </w:rPr>
        <w:t>)</w:t>
      </w:r>
      <w:r>
        <w:rPr>
          <w:color w:val="auto"/>
        </w:rPr>
        <w:t xml:space="preserve"> </w:t>
      </w:r>
      <w:r w:rsidRPr="00AD7F8F">
        <w:rPr>
          <w:color w:val="auto"/>
        </w:rPr>
        <w:t xml:space="preserve">medically separated for posttraumatic stress disorder (PTSD).  The CI first experienced PTSD symptoms in 1971-1972 </w:t>
      </w:r>
      <w:r w:rsidR="00ED5632">
        <w:rPr>
          <w:color w:val="auto"/>
        </w:rPr>
        <w:t>from combat</w:t>
      </w:r>
      <w:r w:rsidRPr="00AD7F8F">
        <w:rPr>
          <w:color w:val="auto"/>
        </w:rPr>
        <w:t xml:space="preserve"> in Vietnam</w:t>
      </w:r>
      <w:r w:rsidR="00ED5632">
        <w:rPr>
          <w:color w:val="auto"/>
        </w:rPr>
        <w:t xml:space="preserve"> and he experienced a significant</w:t>
      </w:r>
      <w:r w:rsidR="00ED5632" w:rsidRPr="00AD7F8F">
        <w:rPr>
          <w:color w:val="auto"/>
        </w:rPr>
        <w:t xml:space="preserve"> </w:t>
      </w:r>
      <w:r w:rsidR="00ED5632">
        <w:rPr>
          <w:color w:val="auto"/>
        </w:rPr>
        <w:t>recurrence</w:t>
      </w:r>
      <w:r w:rsidR="00ED5632" w:rsidRPr="00AD7F8F">
        <w:rPr>
          <w:color w:val="auto"/>
        </w:rPr>
        <w:t xml:space="preserve"> of symptoms</w:t>
      </w:r>
      <w:r w:rsidR="00ED5632">
        <w:rPr>
          <w:color w:val="auto"/>
        </w:rPr>
        <w:t xml:space="preserve"> during a deployment to </w:t>
      </w:r>
      <w:r w:rsidR="00ED5632" w:rsidRPr="00AD7F8F">
        <w:rPr>
          <w:color w:val="auto"/>
        </w:rPr>
        <w:t>Saudi Arabia in 2002</w:t>
      </w:r>
      <w:r w:rsidR="00ED5632">
        <w:rPr>
          <w:color w:val="auto"/>
        </w:rPr>
        <w:t xml:space="preserve">, resulting in </w:t>
      </w:r>
      <w:r w:rsidRPr="00AD7F8F">
        <w:rPr>
          <w:color w:val="auto"/>
        </w:rPr>
        <w:t xml:space="preserve">a brief psychiatric hospitalization in Germany before returning to the states.  </w:t>
      </w:r>
      <w:r w:rsidR="00911663">
        <w:rPr>
          <w:color w:val="auto"/>
        </w:rPr>
        <w:t>Despite continuing psychotherapy and medication trials</w:t>
      </w:r>
      <w:r w:rsidRPr="00AD7F8F">
        <w:rPr>
          <w:color w:val="auto"/>
        </w:rPr>
        <w:t xml:space="preserve">, </w:t>
      </w:r>
      <w:r w:rsidR="00911663">
        <w:rPr>
          <w:color w:val="auto"/>
        </w:rPr>
        <w:t>the CI</w:t>
      </w:r>
      <w:r w:rsidRPr="00AD7F8F">
        <w:rPr>
          <w:color w:val="auto"/>
        </w:rPr>
        <w:t xml:space="preserve"> </w:t>
      </w:r>
      <w:r w:rsidRPr="00C472C7">
        <w:rPr>
          <w:color w:val="auto"/>
        </w:rPr>
        <w:t xml:space="preserve">did not </w:t>
      </w:r>
      <w:r w:rsidR="00911663">
        <w:rPr>
          <w:color w:val="auto"/>
        </w:rPr>
        <w:t>improve</w:t>
      </w:r>
      <w:r w:rsidRPr="00C472C7">
        <w:rPr>
          <w:color w:val="auto"/>
        </w:rPr>
        <w:t xml:space="preserve"> adequately to </w:t>
      </w:r>
      <w:r w:rsidR="00AE3ABF">
        <w:rPr>
          <w:color w:val="auto"/>
        </w:rPr>
        <w:t xml:space="preserve">fully </w:t>
      </w:r>
      <w:r w:rsidRPr="001D30C7">
        <w:rPr>
          <w:color w:val="auto"/>
        </w:rPr>
        <w:t xml:space="preserve">perform within his </w:t>
      </w:r>
      <w:r w:rsidR="008C63A7">
        <w:rPr>
          <w:color w:val="auto"/>
        </w:rPr>
        <w:t>career field</w:t>
      </w:r>
      <w:r w:rsidRPr="001D30C7">
        <w:rPr>
          <w:color w:val="auto"/>
        </w:rPr>
        <w:t xml:space="preserve">.  He was </w:t>
      </w:r>
      <w:r w:rsidR="00911663">
        <w:rPr>
          <w:color w:val="auto"/>
        </w:rPr>
        <w:t xml:space="preserve">consequently </w:t>
      </w:r>
      <w:r w:rsidRPr="001D30C7">
        <w:rPr>
          <w:color w:val="auto"/>
        </w:rPr>
        <w:t>issued a permanent S4 profile and</w:t>
      </w:r>
      <w:r w:rsidRPr="00C472C7">
        <w:rPr>
          <w:color w:val="auto"/>
        </w:rPr>
        <w:t xml:space="preserve"> </w:t>
      </w:r>
      <w:r w:rsidR="00911663">
        <w:rPr>
          <w:color w:val="auto"/>
        </w:rPr>
        <w:t>referred for</w:t>
      </w:r>
      <w:r w:rsidRPr="00C472C7">
        <w:rPr>
          <w:color w:val="auto"/>
        </w:rPr>
        <w:t xml:space="preserve"> a Medical Evaluation Board (MEB).  </w:t>
      </w:r>
      <w:r w:rsidR="00911663">
        <w:rPr>
          <w:color w:val="auto"/>
        </w:rPr>
        <w:t>PTSD</w:t>
      </w:r>
      <w:r w:rsidRPr="00D93A41">
        <w:rPr>
          <w:color w:val="auto"/>
        </w:rPr>
        <w:t xml:space="preserve"> was</w:t>
      </w:r>
      <w:r w:rsidRPr="00C472C7">
        <w:rPr>
          <w:color w:val="auto"/>
        </w:rPr>
        <w:t xml:space="preserve"> forwarded to the Physical Evaluation Board (PEB) as </w:t>
      </w:r>
      <w:r w:rsidR="00911663">
        <w:rPr>
          <w:color w:val="auto"/>
        </w:rPr>
        <w:t xml:space="preserve">a </w:t>
      </w:r>
      <w:r w:rsidRPr="00C472C7">
        <w:rPr>
          <w:color w:val="auto"/>
        </w:rPr>
        <w:t xml:space="preserve">medically unacceptable </w:t>
      </w:r>
      <w:r w:rsidR="00911663">
        <w:rPr>
          <w:color w:val="auto"/>
        </w:rPr>
        <w:t xml:space="preserve">condition </w:t>
      </w:r>
      <w:r w:rsidRPr="00C472C7">
        <w:rPr>
          <w:color w:val="auto"/>
        </w:rPr>
        <w:t xml:space="preserve">IAW </w:t>
      </w:r>
      <w:r w:rsidRPr="001D30C7">
        <w:rPr>
          <w:color w:val="auto"/>
        </w:rPr>
        <w:t>AFI 48-123.</w:t>
      </w:r>
      <w:r w:rsidRPr="00C472C7">
        <w:rPr>
          <w:color w:val="auto"/>
        </w:rPr>
        <w:t xml:space="preserve">  Other conditions included in the</w:t>
      </w:r>
      <w:r>
        <w:rPr>
          <w:color w:val="auto"/>
        </w:rPr>
        <w:t xml:space="preserve"> </w:t>
      </w:r>
      <w:r w:rsidRPr="00D93A41">
        <w:rPr>
          <w:color w:val="auto"/>
        </w:rPr>
        <w:t>Disability Evaluation System (DES)</w:t>
      </w:r>
      <w:r w:rsidRPr="00555C66">
        <w:rPr>
          <w:color w:val="auto"/>
        </w:rPr>
        <w:t xml:space="preserve"> </w:t>
      </w:r>
      <w:r w:rsidR="00AE3ABF">
        <w:rPr>
          <w:color w:val="auto"/>
        </w:rPr>
        <w:t>file</w:t>
      </w:r>
      <w:r w:rsidRPr="00C472C7">
        <w:rPr>
          <w:color w:val="auto"/>
        </w:rPr>
        <w:t xml:space="preserve"> will be discussed below.</w:t>
      </w:r>
      <w:r>
        <w:rPr>
          <w:color w:val="auto"/>
        </w:rPr>
        <w:t xml:space="preserve">  </w:t>
      </w:r>
      <w:r w:rsidR="00911663">
        <w:rPr>
          <w:color w:val="auto"/>
        </w:rPr>
        <w:t>An</w:t>
      </w:r>
      <w:r w:rsidRPr="00C472C7">
        <w:rPr>
          <w:color w:val="auto"/>
        </w:rPr>
        <w:t xml:space="preserve"> </w:t>
      </w:r>
      <w:r w:rsidR="008C63A7">
        <w:rPr>
          <w:color w:val="auto"/>
        </w:rPr>
        <w:t>I</w:t>
      </w:r>
      <w:r w:rsidRPr="00C472C7">
        <w:rPr>
          <w:color w:val="auto"/>
        </w:rPr>
        <w:t xml:space="preserve">nformal PEB adjudicated </w:t>
      </w:r>
      <w:r w:rsidRPr="001D30C7">
        <w:rPr>
          <w:color w:val="auto"/>
        </w:rPr>
        <w:t>the PTSD condition as unfitting, rated 30%, with application of the DoDI 1332.39</w:t>
      </w:r>
      <w:r w:rsidR="00911663">
        <w:rPr>
          <w:color w:val="auto"/>
        </w:rPr>
        <w:t>,</w:t>
      </w:r>
      <w:r w:rsidRPr="001D30C7">
        <w:rPr>
          <w:color w:val="auto"/>
        </w:rPr>
        <w:t xml:space="preserve"> </w:t>
      </w:r>
      <w:r w:rsidR="00AE3ABF">
        <w:rPr>
          <w:color w:val="auto"/>
        </w:rPr>
        <w:t xml:space="preserve">and </w:t>
      </w:r>
      <w:r w:rsidRPr="00C472C7">
        <w:rPr>
          <w:color w:val="auto"/>
        </w:rPr>
        <w:t xml:space="preserve">placed </w:t>
      </w:r>
      <w:r w:rsidR="00AE3ABF">
        <w:rPr>
          <w:color w:val="auto"/>
        </w:rPr>
        <w:t xml:space="preserve">the CI </w:t>
      </w:r>
      <w:r w:rsidRPr="00C472C7">
        <w:rPr>
          <w:color w:val="auto"/>
        </w:rPr>
        <w:t xml:space="preserve">on </w:t>
      </w:r>
      <w:r w:rsidR="00911663">
        <w:rPr>
          <w:color w:val="auto"/>
        </w:rPr>
        <w:t xml:space="preserve">the </w:t>
      </w:r>
      <w:r w:rsidRPr="00C472C7">
        <w:rPr>
          <w:color w:val="auto"/>
        </w:rPr>
        <w:t xml:space="preserve">Temporary Disability Retired List (TDRL).  </w:t>
      </w:r>
      <w:r w:rsidR="00AE3ABF">
        <w:rPr>
          <w:color w:val="auto"/>
        </w:rPr>
        <w:t xml:space="preserve">After </w:t>
      </w:r>
      <w:r w:rsidR="00BF7C00">
        <w:rPr>
          <w:color w:val="auto"/>
        </w:rPr>
        <w:t>more than four</w:t>
      </w:r>
      <w:r w:rsidR="00AE3ABF">
        <w:rPr>
          <w:color w:val="auto"/>
        </w:rPr>
        <w:t xml:space="preserve"> years on TDRL</w:t>
      </w:r>
      <w:r w:rsidR="00911663">
        <w:rPr>
          <w:color w:val="auto"/>
        </w:rPr>
        <w:t>,</w:t>
      </w:r>
      <w:r w:rsidR="00AE3ABF">
        <w:rPr>
          <w:color w:val="auto"/>
        </w:rPr>
        <w:t xml:space="preserve"> the PEB </w:t>
      </w:r>
      <w:r w:rsidR="00BF7C00">
        <w:rPr>
          <w:color w:val="auto"/>
        </w:rPr>
        <w:t>assigned</w:t>
      </w:r>
      <w:r w:rsidR="00AE3ABF">
        <w:rPr>
          <w:color w:val="auto"/>
        </w:rPr>
        <w:t xml:space="preserve"> a permanent </w:t>
      </w:r>
      <w:r w:rsidR="00BF7C00">
        <w:rPr>
          <w:color w:val="auto"/>
        </w:rPr>
        <w:t>separation</w:t>
      </w:r>
      <w:r w:rsidR="00AE3ABF">
        <w:rPr>
          <w:color w:val="auto"/>
        </w:rPr>
        <w:t xml:space="preserve"> rating of 10% for the PTSD condition.  </w:t>
      </w:r>
      <w:r w:rsidRPr="00C472C7">
        <w:rPr>
          <w:color w:val="auto"/>
        </w:rPr>
        <w:t>The CI appeal</w:t>
      </w:r>
      <w:r w:rsidR="00A46DA5">
        <w:rPr>
          <w:color w:val="auto"/>
        </w:rPr>
        <w:t>ed to the Secretary of the Air Force Personnel Council</w:t>
      </w:r>
      <w:r w:rsidR="00AC349B">
        <w:rPr>
          <w:color w:val="auto"/>
        </w:rPr>
        <w:t>,</w:t>
      </w:r>
      <w:r w:rsidRPr="00C472C7">
        <w:rPr>
          <w:color w:val="auto"/>
        </w:rPr>
        <w:t xml:space="preserve"> </w:t>
      </w:r>
      <w:r w:rsidR="00911663">
        <w:rPr>
          <w:color w:val="auto"/>
        </w:rPr>
        <w:t>which reaffirmed the PEB adjudication</w:t>
      </w:r>
      <w:r w:rsidR="00642D67">
        <w:rPr>
          <w:color w:val="auto"/>
        </w:rPr>
        <w:t xml:space="preserve"> (specifically citing </w:t>
      </w:r>
      <w:r w:rsidR="00AC349B">
        <w:rPr>
          <w:color w:val="auto"/>
        </w:rPr>
        <w:t xml:space="preserve">the criteria of </w:t>
      </w:r>
      <w:r w:rsidR="00642D67">
        <w:rPr>
          <w:color w:val="auto"/>
        </w:rPr>
        <w:t>DoDI 1332.39)</w:t>
      </w:r>
      <w:r w:rsidR="008C63A7">
        <w:rPr>
          <w:color w:val="auto"/>
        </w:rPr>
        <w:t>,</w:t>
      </w:r>
      <w:r w:rsidR="00911663">
        <w:rPr>
          <w:color w:val="auto"/>
        </w:rPr>
        <w:t xml:space="preserve"> </w:t>
      </w:r>
      <w:r w:rsidR="00AC349B">
        <w:rPr>
          <w:color w:val="auto"/>
        </w:rPr>
        <w:t>thus effecting</w:t>
      </w:r>
      <w:r w:rsidR="00642D67">
        <w:rPr>
          <w:color w:val="auto"/>
        </w:rPr>
        <w:t xml:space="preserve"> medical separation</w:t>
      </w:r>
      <w:r w:rsidRPr="00C472C7">
        <w:rPr>
          <w:color w:val="auto"/>
        </w:rPr>
        <w:t xml:space="preserve"> with a </w:t>
      </w:r>
      <w:r w:rsidRPr="00B37345">
        <w:rPr>
          <w:color w:val="auto"/>
        </w:rPr>
        <w:t>10</w:t>
      </w:r>
      <w:r w:rsidRPr="00C472C7">
        <w:rPr>
          <w:color w:val="auto"/>
        </w:rPr>
        <w:t xml:space="preserve">% </w:t>
      </w:r>
      <w:r w:rsidR="008C63A7">
        <w:rPr>
          <w:color w:val="auto"/>
        </w:rPr>
        <w:t>s</w:t>
      </w:r>
      <w:r w:rsidR="00AC349B">
        <w:rPr>
          <w:color w:val="auto"/>
        </w:rPr>
        <w:t xml:space="preserve">ervice </w:t>
      </w:r>
      <w:r w:rsidRPr="00C472C7">
        <w:rPr>
          <w:color w:val="auto"/>
        </w:rPr>
        <w:t>disability rating.</w:t>
      </w:r>
    </w:p>
    <w:p w:rsidR="00AB1DC5" w:rsidRDefault="00AB1DC5" w:rsidP="00510F9C">
      <w:pPr>
        <w:pBdr>
          <w:bottom w:val="single" w:sz="12" w:space="1" w:color="auto"/>
        </w:pBdr>
        <w:tabs>
          <w:tab w:val="left" w:pos="288"/>
          <w:tab w:val="left" w:pos="4752"/>
        </w:tabs>
        <w:spacing w:line="240" w:lineRule="exact"/>
        <w:jc w:val="both"/>
        <w:rPr>
          <w:color w:val="auto"/>
        </w:rPr>
      </w:pPr>
    </w:p>
    <w:p w:rsidR="00AB1DC5" w:rsidRDefault="00AB1DC5" w:rsidP="00510F9C">
      <w:pPr>
        <w:tabs>
          <w:tab w:val="left" w:pos="288"/>
          <w:tab w:val="left" w:pos="4752"/>
        </w:tabs>
        <w:spacing w:line="240" w:lineRule="exact"/>
        <w:jc w:val="both"/>
        <w:rPr>
          <w:color w:val="auto"/>
          <w:u w:val="single"/>
        </w:rPr>
      </w:pPr>
    </w:p>
    <w:p w:rsidR="00AB1DC5" w:rsidRPr="005C4D72" w:rsidRDefault="00AB1DC5" w:rsidP="00510F9C">
      <w:pPr>
        <w:tabs>
          <w:tab w:val="left" w:pos="288"/>
          <w:tab w:val="left" w:pos="4752"/>
        </w:tabs>
        <w:spacing w:line="240" w:lineRule="exact"/>
        <w:jc w:val="both"/>
        <w:rPr>
          <w:color w:val="auto"/>
        </w:rPr>
      </w:pPr>
      <w:r w:rsidRPr="00326C08">
        <w:rPr>
          <w:color w:val="auto"/>
          <w:u w:val="single"/>
        </w:rPr>
        <w:t>CI CONTENTION</w:t>
      </w:r>
      <w:r w:rsidRPr="00326C08">
        <w:rPr>
          <w:color w:val="auto"/>
        </w:rPr>
        <w:t>:</w:t>
      </w:r>
      <w:r>
        <w:rPr>
          <w:color w:val="auto"/>
        </w:rPr>
        <w:t xml:space="preserve">  </w:t>
      </w:r>
      <w:r w:rsidRPr="00057019">
        <w:rPr>
          <w:color w:val="auto"/>
        </w:rPr>
        <w:t>“</w:t>
      </w:r>
      <w:r w:rsidRPr="003F6B97">
        <w:rPr>
          <w:color w:val="auto"/>
        </w:rPr>
        <w:t>I was assigned less than 50% disability rating</w:t>
      </w:r>
      <w:r w:rsidRPr="00B9507E">
        <w:rPr>
          <w:color w:val="auto"/>
        </w:rPr>
        <w:t xml:space="preserve"> by the military for my unfitting PTSD upon discharge from active duty. </w:t>
      </w:r>
      <w:r w:rsidR="008C63A7">
        <w:rPr>
          <w:color w:val="auto"/>
        </w:rPr>
        <w:t xml:space="preserve"> </w:t>
      </w:r>
      <w:r w:rsidRPr="00B9507E">
        <w:rPr>
          <w:color w:val="auto"/>
        </w:rPr>
        <w:t>In accordance with the class action notice, assign the highest final disability rating applicable consistent with 38 CFR4.129 and DOD policy, to the extent such increase will not adversely affect my total compensation, including but not limited to</w:t>
      </w:r>
      <w:r w:rsidR="00911663">
        <w:rPr>
          <w:color w:val="auto"/>
        </w:rPr>
        <w:t xml:space="preserve"> compensation pursuant to CRSC</w:t>
      </w:r>
      <w:r w:rsidRPr="00861D5C">
        <w:rPr>
          <w:color w:val="auto"/>
        </w:rPr>
        <w:t>.</w:t>
      </w:r>
      <w:r w:rsidRPr="00B9507E">
        <w:rPr>
          <w:color w:val="auto"/>
        </w:rPr>
        <w:t>”</w:t>
      </w:r>
      <w:r>
        <w:rPr>
          <w:color w:val="auto"/>
        </w:rPr>
        <w:t xml:space="preserve">  </w:t>
      </w:r>
      <w:r w:rsidRPr="00861D5C">
        <w:rPr>
          <w:color w:val="auto"/>
        </w:rPr>
        <w:t xml:space="preserve"> This case is court remanded under the </w:t>
      </w:r>
      <w:r w:rsidRPr="00861D5C">
        <w:rPr>
          <w:i/>
          <w:color w:val="auto"/>
        </w:rPr>
        <w:t>Sabo et al v. United States</w:t>
      </w:r>
      <w:r w:rsidRPr="00861D5C">
        <w:rPr>
          <w:color w:val="auto"/>
        </w:rPr>
        <w:t xml:space="preserve"> class action suit.</w:t>
      </w:r>
      <w:r w:rsidR="00911663">
        <w:rPr>
          <w:color w:val="auto"/>
        </w:rPr>
        <w:t xml:space="preserve">  The CI’s application lists the following </w:t>
      </w:r>
      <w:r w:rsidR="00911663" w:rsidRPr="00827ED6">
        <w:rPr>
          <w:color w:val="auto"/>
        </w:rPr>
        <w:t>additional conditions:</w:t>
      </w:r>
      <w:r w:rsidR="00827ED6">
        <w:rPr>
          <w:color w:val="auto"/>
        </w:rPr>
        <w:t xml:space="preserve"> Type II </w:t>
      </w:r>
      <w:r w:rsidR="008C63A7">
        <w:rPr>
          <w:color w:val="auto"/>
        </w:rPr>
        <w:t>diabetes mellitus</w:t>
      </w:r>
      <w:r w:rsidR="00827ED6">
        <w:rPr>
          <w:color w:val="auto"/>
        </w:rPr>
        <w:t xml:space="preserve">, erectile dysfunction, obstructive sleep apnea, and bilateral hearing loss.  A contention for </w:t>
      </w:r>
      <w:r w:rsidR="008C63A7">
        <w:rPr>
          <w:color w:val="auto"/>
        </w:rPr>
        <w:t>s</w:t>
      </w:r>
      <w:r w:rsidR="00827ED6">
        <w:rPr>
          <w:color w:val="auto"/>
        </w:rPr>
        <w:t>ervice rating of these conditions is presumed.</w:t>
      </w:r>
    </w:p>
    <w:p w:rsidR="00AB1DC5" w:rsidRDefault="00AB1DC5" w:rsidP="00510F9C">
      <w:pPr>
        <w:pBdr>
          <w:bottom w:val="single" w:sz="12" w:space="1" w:color="auto"/>
        </w:pBdr>
        <w:spacing w:line="240" w:lineRule="exact"/>
        <w:rPr>
          <w:color w:val="auto"/>
          <w:u w:val="single"/>
        </w:rPr>
      </w:pPr>
    </w:p>
    <w:p w:rsidR="00AB1DC5" w:rsidRDefault="00AB1DC5" w:rsidP="00510F9C">
      <w:pPr>
        <w:spacing w:line="240" w:lineRule="exact"/>
        <w:rPr>
          <w:color w:val="auto"/>
          <w:u w:val="single"/>
        </w:rPr>
      </w:pPr>
    </w:p>
    <w:p w:rsidR="00AB1DC5" w:rsidRPr="00326C08" w:rsidRDefault="00AB1DC5" w:rsidP="00510F9C">
      <w:pPr>
        <w:spacing w:line="240" w:lineRule="exact"/>
        <w:rPr>
          <w:color w:val="auto"/>
        </w:rPr>
      </w:pPr>
      <w:r>
        <w:rPr>
          <w:color w:val="auto"/>
          <w:u w:val="single"/>
        </w:rPr>
        <w:t>R</w:t>
      </w:r>
      <w:r w:rsidRPr="00326C08">
        <w:rPr>
          <w:color w:val="auto"/>
          <w:u w:val="single"/>
        </w:rPr>
        <w:t>ATING COMPARISON</w:t>
      </w:r>
      <w:r w:rsidRPr="00326C08">
        <w:rPr>
          <w:color w:val="auto"/>
        </w:rPr>
        <w:t>:</w:t>
      </w:r>
    </w:p>
    <w:p w:rsidR="00AB1DC5" w:rsidRDefault="00AB1DC5" w:rsidP="00510F9C">
      <w:pPr>
        <w:spacing w:line="240" w:lineRule="exact"/>
        <w:rPr>
          <w:color w:val="auto"/>
        </w:rPr>
      </w:pPr>
    </w:p>
    <w:tbl>
      <w:tblPr>
        <w:tblStyle w:val="TableGrid"/>
        <w:tblW w:w="9367" w:type="dxa"/>
        <w:jc w:val="center"/>
        <w:tblInd w:w="947" w:type="dxa"/>
        <w:tblLayout w:type="fixed"/>
        <w:tblLook w:val="00A0"/>
      </w:tblPr>
      <w:tblGrid>
        <w:gridCol w:w="2333"/>
        <w:gridCol w:w="720"/>
        <w:gridCol w:w="720"/>
        <w:gridCol w:w="630"/>
        <w:gridCol w:w="2417"/>
        <w:gridCol w:w="720"/>
        <w:gridCol w:w="830"/>
        <w:gridCol w:w="997"/>
      </w:tblGrid>
      <w:tr w:rsidR="00AB1DC5" w:rsidRPr="00C85EFD" w:rsidTr="00827ED6">
        <w:trPr>
          <w:trHeight w:val="143"/>
          <w:jc w:val="center"/>
        </w:trPr>
        <w:tc>
          <w:tcPr>
            <w:tcW w:w="4403" w:type="dxa"/>
            <w:gridSpan w:val="4"/>
            <w:tcBorders>
              <w:right w:val="thinThickThinSmallGap" w:sz="24" w:space="0" w:color="auto"/>
            </w:tcBorders>
            <w:shd w:val="clear" w:color="auto" w:fill="D9D9D9"/>
            <w:vAlign w:val="center"/>
          </w:tcPr>
          <w:p w:rsidR="00AB1DC5" w:rsidRPr="001A36E4" w:rsidRDefault="00AB1DC5" w:rsidP="00827ED6">
            <w:pPr>
              <w:spacing w:line="220" w:lineRule="exact"/>
              <w:contextualSpacing/>
              <w:jc w:val="center"/>
              <w:rPr>
                <w:b/>
                <w:color w:val="auto"/>
                <w:sz w:val="20"/>
              </w:rPr>
            </w:pPr>
            <w:r w:rsidRPr="001A36E4">
              <w:rPr>
                <w:b/>
                <w:color w:val="auto"/>
                <w:sz w:val="20"/>
              </w:rPr>
              <w:t>Final Service IPEB – Dated 20070105</w:t>
            </w:r>
          </w:p>
        </w:tc>
        <w:tc>
          <w:tcPr>
            <w:tcW w:w="4964" w:type="dxa"/>
            <w:gridSpan w:val="4"/>
            <w:tcBorders>
              <w:left w:val="thinThickThinSmallGap" w:sz="24" w:space="0" w:color="auto"/>
            </w:tcBorders>
            <w:shd w:val="clear" w:color="auto" w:fill="D9D9D9"/>
            <w:vAlign w:val="center"/>
          </w:tcPr>
          <w:p w:rsidR="00AB1DC5" w:rsidRPr="001A36E4" w:rsidRDefault="00AE3ABF" w:rsidP="001D30C7">
            <w:pPr>
              <w:spacing w:line="200" w:lineRule="exact"/>
              <w:contextualSpacing/>
              <w:jc w:val="center"/>
              <w:rPr>
                <w:b/>
                <w:color w:val="auto"/>
                <w:sz w:val="20"/>
              </w:rPr>
            </w:pPr>
            <w:r>
              <w:rPr>
                <w:b/>
                <w:color w:val="auto"/>
                <w:sz w:val="20"/>
              </w:rPr>
              <w:t>VA</w:t>
            </w:r>
            <w:r w:rsidR="00AB1DC5" w:rsidRPr="001A36E4">
              <w:rPr>
                <w:b/>
                <w:color w:val="auto"/>
                <w:sz w:val="20"/>
              </w:rPr>
              <w:t xml:space="preserve"> – All Effective Date 20040429</w:t>
            </w:r>
          </w:p>
        </w:tc>
      </w:tr>
      <w:tr w:rsidR="00BF7C00" w:rsidRPr="00C85EFD" w:rsidTr="00827ED6">
        <w:trPr>
          <w:trHeight w:val="233"/>
          <w:jc w:val="center"/>
        </w:trPr>
        <w:tc>
          <w:tcPr>
            <w:tcW w:w="2333" w:type="dxa"/>
            <w:vMerge w:val="restart"/>
            <w:shd w:val="clear" w:color="auto" w:fill="D9D9D9"/>
            <w:vAlign w:val="center"/>
          </w:tcPr>
          <w:p w:rsidR="00BF7C00" w:rsidRPr="001A36E4" w:rsidRDefault="00BF7C00" w:rsidP="00827ED6">
            <w:pPr>
              <w:spacing w:line="220" w:lineRule="exact"/>
              <w:contextualSpacing/>
              <w:jc w:val="center"/>
              <w:rPr>
                <w:b/>
                <w:color w:val="auto"/>
                <w:sz w:val="20"/>
              </w:rPr>
            </w:pPr>
            <w:r w:rsidRPr="001A36E4">
              <w:rPr>
                <w:b/>
                <w:color w:val="auto"/>
                <w:sz w:val="20"/>
              </w:rPr>
              <w:t>Condition</w:t>
            </w:r>
          </w:p>
        </w:tc>
        <w:tc>
          <w:tcPr>
            <w:tcW w:w="720" w:type="dxa"/>
            <w:vMerge w:val="restart"/>
            <w:shd w:val="clear" w:color="auto" w:fill="D9D9D9"/>
            <w:vAlign w:val="center"/>
          </w:tcPr>
          <w:p w:rsidR="00BF7C00" w:rsidRPr="001A36E4" w:rsidRDefault="00BF7C00" w:rsidP="00827ED6">
            <w:pPr>
              <w:spacing w:line="220" w:lineRule="exact"/>
              <w:contextualSpacing/>
              <w:jc w:val="center"/>
              <w:rPr>
                <w:b/>
                <w:color w:val="auto"/>
                <w:sz w:val="20"/>
              </w:rPr>
            </w:pPr>
            <w:r w:rsidRPr="001A36E4">
              <w:rPr>
                <w:b/>
                <w:color w:val="auto"/>
                <w:sz w:val="20"/>
              </w:rPr>
              <w:t>Code</w:t>
            </w:r>
          </w:p>
        </w:tc>
        <w:tc>
          <w:tcPr>
            <w:tcW w:w="1350" w:type="dxa"/>
            <w:gridSpan w:val="2"/>
            <w:tcBorders>
              <w:right w:val="thinThickThinSmallGap" w:sz="24" w:space="0" w:color="auto"/>
            </w:tcBorders>
            <w:shd w:val="clear" w:color="auto" w:fill="D9D9D9"/>
            <w:vAlign w:val="center"/>
          </w:tcPr>
          <w:p w:rsidR="00BF7C00" w:rsidRPr="001A36E4" w:rsidRDefault="00BF7C00" w:rsidP="00BF7C00">
            <w:pPr>
              <w:spacing w:line="220" w:lineRule="exact"/>
              <w:contextualSpacing/>
              <w:jc w:val="center"/>
              <w:rPr>
                <w:b/>
                <w:color w:val="auto"/>
                <w:sz w:val="20"/>
              </w:rPr>
            </w:pPr>
            <w:r w:rsidRPr="001A36E4">
              <w:rPr>
                <w:b/>
                <w:color w:val="auto"/>
                <w:sz w:val="20"/>
              </w:rPr>
              <w:t>Rating</w:t>
            </w:r>
          </w:p>
        </w:tc>
        <w:tc>
          <w:tcPr>
            <w:tcW w:w="2417" w:type="dxa"/>
            <w:vMerge w:val="restart"/>
            <w:tcBorders>
              <w:left w:val="thinThickThinSmallGap" w:sz="24" w:space="0" w:color="auto"/>
            </w:tcBorders>
            <w:shd w:val="clear" w:color="auto" w:fill="D9D9D9"/>
            <w:vAlign w:val="center"/>
          </w:tcPr>
          <w:p w:rsidR="00BF7C00" w:rsidRPr="001A36E4" w:rsidRDefault="00BF7C00" w:rsidP="0042528C">
            <w:pPr>
              <w:spacing w:line="200" w:lineRule="exact"/>
              <w:contextualSpacing/>
              <w:jc w:val="center"/>
              <w:rPr>
                <w:b/>
                <w:color w:val="auto"/>
                <w:sz w:val="20"/>
              </w:rPr>
            </w:pPr>
            <w:r w:rsidRPr="001A36E4">
              <w:rPr>
                <w:b/>
                <w:color w:val="auto"/>
                <w:sz w:val="20"/>
              </w:rPr>
              <w:t>Condition</w:t>
            </w:r>
          </w:p>
        </w:tc>
        <w:tc>
          <w:tcPr>
            <w:tcW w:w="720" w:type="dxa"/>
            <w:vMerge w:val="restart"/>
            <w:shd w:val="clear" w:color="auto" w:fill="D9D9D9"/>
            <w:vAlign w:val="center"/>
          </w:tcPr>
          <w:p w:rsidR="00BF7C00" w:rsidRPr="001A36E4" w:rsidRDefault="00BF7C00" w:rsidP="0042528C">
            <w:pPr>
              <w:spacing w:line="200" w:lineRule="exact"/>
              <w:contextualSpacing/>
              <w:jc w:val="center"/>
              <w:rPr>
                <w:b/>
                <w:color w:val="auto"/>
                <w:sz w:val="20"/>
              </w:rPr>
            </w:pPr>
            <w:r w:rsidRPr="001A36E4">
              <w:rPr>
                <w:b/>
                <w:color w:val="auto"/>
                <w:sz w:val="20"/>
              </w:rPr>
              <w:t>Code</w:t>
            </w:r>
          </w:p>
        </w:tc>
        <w:tc>
          <w:tcPr>
            <w:tcW w:w="830" w:type="dxa"/>
            <w:vMerge w:val="restart"/>
            <w:shd w:val="clear" w:color="auto" w:fill="D9D9D9"/>
            <w:vAlign w:val="center"/>
          </w:tcPr>
          <w:p w:rsidR="00BF7C00" w:rsidRPr="001A36E4" w:rsidRDefault="00BF7C00" w:rsidP="0042528C">
            <w:pPr>
              <w:spacing w:line="200" w:lineRule="exact"/>
              <w:contextualSpacing/>
              <w:jc w:val="center"/>
              <w:rPr>
                <w:b/>
                <w:color w:val="auto"/>
                <w:sz w:val="20"/>
              </w:rPr>
            </w:pPr>
            <w:r w:rsidRPr="001A36E4">
              <w:rPr>
                <w:b/>
                <w:color w:val="auto"/>
                <w:sz w:val="20"/>
              </w:rPr>
              <w:t>Rating</w:t>
            </w:r>
          </w:p>
        </w:tc>
        <w:tc>
          <w:tcPr>
            <w:tcW w:w="997" w:type="dxa"/>
            <w:vMerge w:val="restart"/>
            <w:shd w:val="clear" w:color="auto" w:fill="D9D9D9"/>
            <w:vAlign w:val="center"/>
          </w:tcPr>
          <w:p w:rsidR="00BF7C00" w:rsidRPr="001A36E4" w:rsidRDefault="00BF7C00" w:rsidP="0042528C">
            <w:pPr>
              <w:spacing w:line="200" w:lineRule="exact"/>
              <w:contextualSpacing/>
              <w:jc w:val="center"/>
              <w:rPr>
                <w:b/>
                <w:color w:val="auto"/>
                <w:sz w:val="20"/>
              </w:rPr>
            </w:pPr>
            <w:r w:rsidRPr="001A36E4">
              <w:rPr>
                <w:b/>
                <w:color w:val="auto"/>
                <w:sz w:val="20"/>
              </w:rPr>
              <w:t>Exam</w:t>
            </w:r>
          </w:p>
        </w:tc>
      </w:tr>
      <w:tr w:rsidR="00BF7C00" w:rsidRPr="00C85EFD" w:rsidTr="00827ED6">
        <w:trPr>
          <w:trHeight w:val="152"/>
          <w:jc w:val="center"/>
        </w:trPr>
        <w:tc>
          <w:tcPr>
            <w:tcW w:w="2333" w:type="dxa"/>
            <w:vMerge/>
            <w:shd w:val="clear" w:color="auto" w:fill="D9D9D9"/>
            <w:vAlign w:val="center"/>
          </w:tcPr>
          <w:p w:rsidR="00BF7C00" w:rsidRPr="001A36E4" w:rsidRDefault="00BF7C00" w:rsidP="00827ED6">
            <w:pPr>
              <w:spacing w:line="220" w:lineRule="exact"/>
              <w:contextualSpacing/>
              <w:jc w:val="center"/>
              <w:rPr>
                <w:b/>
                <w:color w:val="auto"/>
                <w:sz w:val="20"/>
              </w:rPr>
            </w:pPr>
          </w:p>
        </w:tc>
        <w:tc>
          <w:tcPr>
            <w:tcW w:w="720" w:type="dxa"/>
            <w:vMerge/>
            <w:shd w:val="clear" w:color="auto" w:fill="D9D9D9"/>
            <w:vAlign w:val="center"/>
          </w:tcPr>
          <w:p w:rsidR="00BF7C00" w:rsidRPr="001A36E4" w:rsidRDefault="00BF7C00" w:rsidP="00827ED6">
            <w:pPr>
              <w:spacing w:line="220" w:lineRule="exact"/>
              <w:contextualSpacing/>
              <w:jc w:val="center"/>
              <w:rPr>
                <w:color w:val="auto"/>
                <w:sz w:val="20"/>
              </w:rPr>
            </w:pPr>
          </w:p>
        </w:tc>
        <w:tc>
          <w:tcPr>
            <w:tcW w:w="720" w:type="dxa"/>
            <w:tcBorders>
              <w:right w:val="single" w:sz="4" w:space="0" w:color="auto"/>
            </w:tcBorders>
            <w:shd w:val="clear" w:color="auto" w:fill="D9D9D9"/>
            <w:vAlign w:val="center"/>
          </w:tcPr>
          <w:p w:rsidR="00BF7C00" w:rsidRPr="001A36E4" w:rsidRDefault="00BF7C00" w:rsidP="00BF7C00">
            <w:pPr>
              <w:spacing w:line="220" w:lineRule="exact"/>
              <w:contextualSpacing/>
              <w:jc w:val="center"/>
              <w:rPr>
                <w:b/>
                <w:color w:val="auto"/>
                <w:sz w:val="20"/>
              </w:rPr>
            </w:pPr>
            <w:r w:rsidRPr="001A36E4">
              <w:rPr>
                <w:b/>
                <w:color w:val="auto"/>
                <w:sz w:val="20"/>
              </w:rPr>
              <w:t>TDRL</w:t>
            </w:r>
          </w:p>
        </w:tc>
        <w:tc>
          <w:tcPr>
            <w:tcW w:w="630" w:type="dxa"/>
            <w:tcBorders>
              <w:left w:val="single" w:sz="4" w:space="0" w:color="auto"/>
              <w:right w:val="thinThickThinSmallGap" w:sz="24" w:space="0" w:color="auto"/>
            </w:tcBorders>
            <w:shd w:val="clear" w:color="auto" w:fill="D9D9D9"/>
            <w:vAlign w:val="center"/>
          </w:tcPr>
          <w:p w:rsidR="00BF7C00" w:rsidRPr="001A36E4" w:rsidRDefault="00BF7C00" w:rsidP="00BF7C00">
            <w:pPr>
              <w:tabs>
                <w:tab w:val="left" w:pos="206"/>
                <w:tab w:val="center" w:pos="387"/>
              </w:tabs>
              <w:spacing w:line="220" w:lineRule="exact"/>
              <w:contextualSpacing/>
              <w:jc w:val="center"/>
              <w:rPr>
                <w:b/>
                <w:color w:val="auto"/>
                <w:sz w:val="20"/>
              </w:rPr>
            </w:pPr>
            <w:r w:rsidRPr="001A36E4">
              <w:rPr>
                <w:b/>
                <w:color w:val="auto"/>
                <w:sz w:val="20"/>
              </w:rPr>
              <w:t>Sep.</w:t>
            </w:r>
          </w:p>
        </w:tc>
        <w:tc>
          <w:tcPr>
            <w:tcW w:w="2417" w:type="dxa"/>
            <w:vMerge/>
            <w:tcBorders>
              <w:left w:val="thinThickThinSmallGap" w:sz="24" w:space="0" w:color="auto"/>
            </w:tcBorders>
            <w:shd w:val="clear" w:color="auto" w:fill="D9D9D9"/>
            <w:vAlign w:val="center"/>
          </w:tcPr>
          <w:p w:rsidR="00BF7C00" w:rsidRPr="001A36E4" w:rsidRDefault="00BF7C00" w:rsidP="0042528C">
            <w:pPr>
              <w:spacing w:line="200" w:lineRule="exact"/>
              <w:contextualSpacing/>
              <w:rPr>
                <w:b/>
                <w:color w:val="auto"/>
                <w:sz w:val="20"/>
              </w:rPr>
            </w:pPr>
          </w:p>
        </w:tc>
        <w:tc>
          <w:tcPr>
            <w:tcW w:w="720" w:type="dxa"/>
            <w:vMerge/>
            <w:shd w:val="clear" w:color="auto" w:fill="C6D9F1"/>
          </w:tcPr>
          <w:p w:rsidR="00BF7C00" w:rsidRPr="001A36E4" w:rsidRDefault="00BF7C00" w:rsidP="0042528C">
            <w:pPr>
              <w:spacing w:line="200" w:lineRule="exact"/>
              <w:contextualSpacing/>
              <w:jc w:val="center"/>
              <w:rPr>
                <w:color w:val="auto"/>
                <w:sz w:val="20"/>
              </w:rPr>
            </w:pPr>
          </w:p>
        </w:tc>
        <w:tc>
          <w:tcPr>
            <w:tcW w:w="830" w:type="dxa"/>
            <w:vMerge/>
            <w:shd w:val="clear" w:color="auto" w:fill="C6D9F1"/>
          </w:tcPr>
          <w:p w:rsidR="00BF7C00" w:rsidRPr="001A36E4" w:rsidRDefault="00BF7C00" w:rsidP="0042528C">
            <w:pPr>
              <w:spacing w:line="200" w:lineRule="exact"/>
              <w:contextualSpacing/>
              <w:jc w:val="center"/>
              <w:rPr>
                <w:color w:val="auto"/>
                <w:sz w:val="20"/>
              </w:rPr>
            </w:pPr>
          </w:p>
        </w:tc>
        <w:tc>
          <w:tcPr>
            <w:tcW w:w="997" w:type="dxa"/>
            <w:vMerge/>
            <w:shd w:val="clear" w:color="auto" w:fill="C6D9F1"/>
          </w:tcPr>
          <w:p w:rsidR="00BF7C00" w:rsidRPr="001A36E4" w:rsidRDefault="00BF7C00" w:rsidP="0042528C">
            <w:pPr>
              <w:spacing w:line="200" w:lineRule="exact"/>
              <w:contextualSpacing/>
              <w:jc w:val="center"/>
              <w:rPr>
                <w:color w:val="auto"/>
                <w:sz w:val="20"/>
              </w:rPr>
            </w:pPr>
          </w:p>
        </w:tc>
      </w:tr>
      <w:tr w:rsidR="00AE3ABF" w:rsidRPr="00C85EFD" w:rsidTr="00827ED6">
        <w:trPr>
          <w:trHeight w:val="125"/>
          <w:jc w:val="center"/>
        </w:trPr>
        <w:tc>
          <w:tcPr>
            <w:tcW w:w="2333" w:type="dxa"/>
            <w:tcBorders>
              <w:right w:val="single" w:sz="4" w:space="0" w:color="auto"/>
            </w:tcBorders>
            <w:shd w:val="clear" w:color="auto" w:fill="FFFFFF"/>
            <w:vAlign w:val="center"/>
          </w:tcPr>
          <w:p w:rsidR="00AB1DC5" w:rsidRPr="001A36E4" w:rsidRDefault="00827ED6" w:rsidP="00827ED6">
            <w:pPr>
              <w:spacing w:line="180" w:lineRule="exact"/>
              <w:contextualSpacing/>
              <w:rPr>
                <w:color w:val="auto"/>
                <w:sz w:val="18"/>
              </w:rPr>
            </w:pPr>
            <w:r>
              <w:rPr>
                <w:color w:val="auto"/>
                <w:sz w:val="18"/>
              </w:rPr>
              <w:t>PTSD</w:t>
            </w:r>
          </w:p>
        </w:tc>
        <w:tc>
          <w:tcPr>
            <w:tcW w:w="720" w:type="dxa"/>
            <w:tcBorders>
              <w:left w:val="single" w:sz="4" w:space="0" w:color="auto"/>
            </w:tcBorders>
            <w:shd w:val="clear" w:color="auto" w:fill="FFFFFF"/>
            <w:vAlign w:val="center"/>
          </w:tcPr>
          <w:p w:rsidR="00AB1DC5" w:rsidRPr="001A36E4" w:rsidRDefault="00AB1DC5" w:rsidP="001D30C7">
            <w:pPr>
              <w:spacing w:line="180" w:lineRule="exact"/>
              <w:contextualSpacing/>
              <w:jc w:val="center"/>
              <w:rPr>
                <w:color w:val="auto"/>
                <w:sz w:val="18"/>
              </w:rPr>
            </w:pPr>
            <w:r w:rsidRPr="001A36E4">
              <w:rPr>
                <w:color w:val="auto"/>
                <w:sz w:val="18"/>
              </w:rPr>
              <w:t>9411</w:t>
            </w:r>
          </w:p>
        </w:tc>
        <w:tc>
          <w:tcPr>
            <w:tcW w:w="720" w:type="dxa"/>
            <w:tcBorders>
              <w:right w:val="single" w:sz="4" w:space="0" w:color="auto"/>
            </w:tcBorders>
            <w:shd w:val="clear" w:color="auto" w:fill="FFFFFF"/>
            <w:vAlign w:val="center"/>
          </w:tcPr>
          <w:p w:rsidR="00AB1DC5" w:rsidRPr="001A36E4" w:rsidRDefault="00AB1DC5" w:rsidP="00BF7C00">
            <w:pPr>
              <w:spacing w:line="220" w:lineRule="exact"/>
              <w:jc w:val="center"/>
              <w:rPr>
                <w:color w:val="auto"/>
              </w:rPr>
            </w:pPr>
            <w:r w:rsidRPr="001A36E4">
              <w:rPr>
                <w:color w:val="auto"/>
                <w:sz w:val="18"/>
              </w:rPr>
              <w:t>30%</w:t>
            </w:r>
          </w:p>
        </w:tc>
        <w:tc>
          <w:tcPr>
            <w:tcW w:w="630" w:type="dxa"/>
            <w:tcBorders>
              <w:left w:val="single" w:sz="4" w:space="0" w:color="auto"/>
              <w:right w:val="thinThickThinSmallGap" w:sz="24" w:space="0" w:color="auto"/>
            </w:tcBorders>
            <w:shd w:val="clear" w:color="auto" w:fill="FFFFFF"/>
            <w:vAlign w:val="center"/>
          </w:tcPr>
          <w:p w:rsidR="00AB1DC5" w:rsidRPr="001A36E4" w:rsidRDefault="00AB1DC5" w:rsidP="00BF7C00">
            <w:pPr>
              <w:spacing w:line="220" w:lineRule="exact"/>
              <w:jc w:val="center"/>
              <w:rPr>
                <w:color w:val="auto"/>
              </w:rPr>
            </w:pPr>
            <w:r w:rsidRPr="001A36E4">
              <w:rPr>
                <w:color w:val="auto"/>
                <w:sz w:val="18"/>
              </w:rPr>
              <w:t>10%</w:t>
            </w:r>
          </w:p>
        </w:tc>
        <w:tc>
          <w:tcPr>
            <w:tcW w:w="2417" w:type="dxa"/>
            <w:tcBorders>
              <w:left w:val="thinThickThinSmallGap" w:sz="24" w:space="0" w:color="auto"/>
            </w:tcBorders>
            <w:shd w:val="clear" w:color="auto" w:fill="FFFFFF"/>
            <w:vAlign w:val="center"/>
          </w:tcPr>
          <w:p w:rsidR="00AB1DC5" w:rsidRPr="001A36E4" w:rsidRDefault="00827ED6" w:rsidP="00AE3ABF">
            <w:pPr>
              <w:spacing w:line="180" w:lineRule="exact"/>
              <w:contextualSpacing/>
              <w:rPr>
                <w:color w:val="auto"/>
                <w:sz w:val="18"/>
              </w:rPr>
            </w:pPr>
            <w:r>
              <w:rPr>
                <w:color w:val="auto"/>
                <w:sz w:val="18"/>
              </w:rPr>
              <w:t>PTSD</w:t>
            </w:r>
          </w:p>
        </w:tc>
        <w:tc>
          <w:tcPr>
            <w:tcW w:w="720" w:type="dxa"/>
            <w:shd w:val="clear" w:color="auto" w:fill="FFFFFF"/>
            <w:vAlign w:val="center"/>
          </w:tcPr>
          <w:p w:rsidR="00AB1DC5" w:rsidRPr="001A36E4" w:rsidRDefault="00AB1DC5" w:rsidP="001D30C7">
            <w:pPr>
              <w:spacing w:line="180" w:lineRule="exact"/>
              <w:contextualSpacing/>
              <w:jc w:val="center"/>
              <w:rPr>
                <w:color w:val="auto"/>
                <w:sz w:val="18"/>
              </w:rPr>
            </w:pPr>
            <w:r w:rsidRPr="001A36E4">
              <w:rPr>
                <w:color w:val="auto"/>
                <w:sz w:val="18"/>
              </w:rPr>
              <w:t>9411</w:t>
            </w:r>
          </w:p>
        </w:tc>
        <w:tc>
          <w:tcPr>
            <w:tcW w:w="830" w:type="dxa"/>
            <w:shd w:val="clear" w:color="auto" w:fill="FFFFFF"/>
            <w:vAlign w:val="center"/>
          </w:tcPr>
          <w:p w:rsidR="00AB1DC5" w:rsidRPr="001A36E4" w:rsidRDefault="00AB1DC5" w:rsidP="001D30C7">
            <w:pPr>
              <w:spacing w:line="180" w:lineRule="exact"/>
              <w:contextualSpacing/>
              <w:jc w:val="center"/>
              <w:rPr>
                <w:color w:val="auto"/>
                <w:sz w:val="18"/>
              </w:rPr>
            </w:pPr>
            <w:r w:rsidRPr="001A36E4">
              <w:rPr>
                <w:color w:val="auto"/>
                <w:sz w:val="18"/>
              </w:rPr>
              <w:t>50%</w:t>
            </w:r>
          </w:p>
        </w:tc>
        <w:tc>
          <w:tcPr>
            <w:tcW w:w="997" w:type="dxa"/>
            <w:shd w:val="clear" w:color="auto" w:fill="FFFFFF"/>
            <w:vAlign w:val="center"/>
          </w:tcPr>
          <w:p w:rsidR="00AB1DC5" w:rsidRPr="001A36E4" w:rsidRDefault="00AB1DC5" w:rsidP="001D30C7">
            <w:pPr>
              <w:spacing w:line="180" w:lineRule="exact"/>
              <w:contextualSpacing/>
              <w:jc w:val="center"/>
              <w:rPr>
                <w:color w:val="auto"/>
                <w:sz w:val="18"/>
              </w:rPr>
            </w:pPr>
            <w:r w:rsidRPr="001A36E4">
              <w:rPr>
                <w:color w:val="auto"/>
                <w:sz w:val="18"/>
              </w:rPr>
              <w:t>20050809</w:t>
            </w:r>
          </w:p>
        </w:tc>
      </w:tr>
      <w:tr w:rsidR="00AB1DC5" w:rsidRPr="00C85EFD" w:rsidTr="00827ED6">
        <w:trPr>
          <w:trHeight w:val="143"/>
          <w:jc w:val="center"/>
        </w:trPr>
        <w:tc>
          <w:tcPr>
            <w:tcW w:w="4403" w:type="dxa"/>
            <w:gridSpan w:val="4"/>
            <w:tcBorders>
              <w:right w:val="thinThickThinSmallGap" w:sz="24" w:space="0" w:color="auto"/>
            </w:tcBorders>
            <w:shd w:val="clear" w:color="auto" w:fill="FFFFFF"/>
            <w:vAlign w:val="center"/>
          </w:tcPr>
          <w:p w:rsidR="00AB1DC5" w:rsidRPr="001A36E4" w:rsidRDefault="00AB1DC5" w:rsidP="001D30C7">
            <w:pPr>
              <w:tabs>
                <w:tab w:val="left" w:pos="3485"/>
              </w:tabs>
              <w:spacing w:line="180" w:lineRule="exact"/>
              <w:contextualSpacing/>
              <w:jc w:val="center"/>
              <w:rPr>
                <w:color w:val="auto"/>
                <w:sz w:val="18"/>
              </w:rPr>
            </w:pPr>
            <w:r w:rsidRPr="00197705">
              <w:rPr>
                <w:color w:val="auto"/>
                <w:sz w:val="18"/>
              </w:rPr>
              <w:t>No Additional MEB/PEB Entries</w:t>
            </w:r>
          </w:p>
        </w:tc>
        <w:tc>
          <w:tcPr>
            <w:tcW w:w="3967" w:type="dxa"/>
            <w:gridSpan w:val="3"/>
            <w:tcBorders>
              <w:left w:val="thinThickThinSmallGap" w:sz="24" w:space="0" w:color="auto"/>
            </w:tcBorders>
            <w:shd w:val="clear" w:color="auto" w:fill="FFFFFF"/>
            <w:vAlign w:val="center"/>
          </w:tcPr>
          <w:p w:rsidR="00AB1DC5" w:rsidRPr="001A36E4" w:rsidRDefault="00AB1DC5" w:rsidP="001D30C7">
            <w:pPr>
              <w:spacing w:line="180" w:lineRule="exact"/>
              <w:contextualSpacing/>
              <w:jc w:val="center"/>
              <w:rPr>
                <w:color w:val="auto"/>
                <w:sz w:val="18"/>
              </w:rPr>
            </w:pPr>
            <w:r w:rsidRPr="001A36E4">
              <w:rPr>
                <w:color w:val="auto"/>
                <w:sz w:val="18"/>
              </w:rPr>
              <w:t>Not Service Connected x 8</w:t>
            </w:r>
          </w:p>
        </w:tc>
        <w:tc>
          <w:tcPr>
            <w:tcW w:w="997" w:type="dxa"/>
            <w:shd w:val="clear" w:color="auto" w:fill="FFFFFF"/>
            <w:vAlign w:val="bottom"/>
          </w:tcPr>
          <w:p w:rsidR="00AB1DC5" w:rsidRPr="001A36E4" w:rsidRDefault="00AB1DC5" w:rsidP="00AE3ABF">
            <w:pPr>
              <w:contextualSpacing/>
              <w:jc w:val="center"/>
              <w:rPr>
                <w:color w:val="auto"/>
                <w:sz w:val="18"/>
              </w:rPr>
            </w:pPr>
            <w:r w:rsidRPr="001A36E4">
              <w:rPr>
                <w:color w:val="auto"/>
                <w:sz w:val="18"/>
              </w:rPr>
              <w:t>20050809</w:t>
            </w:r>
          </w:p>
        </w:tc>
      </w:tr>
      <w:tr w:rsidR="00AB1DC5" w:rsidRPr="00C85EFD" w:rsidTr="00827ED6">
        <w:trPr>
          <w:trHeight w:val="242"/>
          <w:jc w:val="center"/>
        </w:trPr>
        <w:tc>
          <w:tcPr>
            <w:tcW w:w="4403" w:type="dxa"/>
            <w:gridSpan w:val="4"/>
            <w:tcBorders>
              <w:right w:val="thinThickThinSmallGap" w:sz="24" w:space="0" w:color="auto"/>
            </w:tcBorders>
            <w:shd w:val="clear" w:color="auto" w:fill="D9D9D9"/>
          </w:tcPr>
          <w:p w:rsidR="00AB1DC5" w:rsidRPr="001A36E4" w:rsidRDefault="00AB1DC5" w:rsidP="00827ED6">
            <w:pPr>
              <w:spacing w:line="240" w:lineRule="exact"/>
              <w:contextualSpacing/>
              <w:jc w:val="center"/>
              <w:rPr>
                <w:b/>
                <w:color w:val="auto"/>
                <w:sz w:val="20"/>
              </w:rPr>
            </w:pPr>
            <w:r w:rsidRPr="001A36E4">
              <w:rPr>
                <w:b/>
                <w:color w:val="auto"/>
                <w:sz w:val="20"/>
              </w:rPr>
              <w:t>Final Combined:  10%</w:t>
            </w:r>
          </w:p>
        </w:tc>
        <w:tc>
          <w:tcPr>
            <w:tcW w:w="4964" w:type="dxa"/>
            <w:gridSpan w:val="4"/>
            <w:tcBorders>
              <w:left w:val="thinThickThinSmallGap" w:sz="24" w:space="0" w:color="auto"/>
            </w:tcBorders>
            <w:shd w:val="clear" w:color="auto" w:fill="D9D9D9"/>
          </w:tcPr>
          <w:p w:rsidR="00AB1DC5" w:rsidRPr="001A36E4" w:rsidRDefault="00AB1DC5" w:rsidP="00827ED6">
            <w:pPr>
              <w:spacing w:line="240" w:lineRule="exact"/>
              <w:contextualSpacing/>
              <w:jc w:val="center"/>
              <w:rPr>
                <w:b/>
                <w:color w:val="auto"/>
                <w:sz w:val="20"/>
              </w:rPr>
            </w:pPr>
            <w:r w:rsidRPr="001A36E4">
              <w:rPr>
                <w:b/>
                <w:color w:val="auto"/>
                <w:sz w:val="20"/>
              </w:rPr>
              <w:t>Combined:  50%</w:t>
            </w:r>
          </w:p>
        </w:tc>
      </w:tr>
    </w:tbl>
    <w:p w:rsidR="00AB1DC5" w:rsidRPr="00C85EFD" w:rsidRDefault="00AB1DC5" w:rsidP="00510F9C">
      <w:pPr>
        <w:pBdr>
          <w:bottom w:val="single" w:sz="12" w:space="1" w:color="auto"/>
        </w:pBdr>
        <w:tabs>
          <w:tab w:val="left" w:pos="288"/>
          <w:tab w:val="left" w:pos="4752"/>
        </w:tabs>
        <w:spacing w:line="240" w:lineRule="exact"/>
        <w:jc w:val="both"/>
        <w:rPr>
          <w:color w:val="auto"/>
          <w:sz w:val="18"/>
        </w:rPr>
      </w:pPr>
    </w:p>
    <w:p w:rsidR="00AB1DC5" w:rsidRDefault="00AB1DC5" w:rsidP="00C6170B">
      <w:pPr>
        <w:rPr>
          <w:color w:val="auto"/>
          <w:u w:val="single"/>
        </w:rPr>
      </w:pPr>
    </w:p>
    <w:p w:rsidR="00AB1DC5" w:rsidRDefault="00AB1DC5" w:rsidP="001D30C7">
      <w:pPr>
        <w:spacing w:line="240" w:lineRule="exact"/>
        <w:jc w:val="both"/>
        <w:rPr>
          <w:color w:val="auto"/>
        </w:rPr>
      </w:pPr>
      <w:r w:rsidRPr="00396779">
        <w:rPr>
          <w:color w:val="auto"/>
          <w:u w:val="single"/>
        </w:rPr>
        <w:t>ANALYSIS SUMMARY</w:t>
      </w:r>
      <w:r w:rsidRPr="00396779">
        <w:rPr>
          <w:color w:val="auto"/>
        </w:rPr>
        <w:t xml:space="preserve">:  </w:t>
      </w:r>
      <w:r w:rsidRPr="006C72C0">
        <w:rPr>
          <w:color w:val="auto"/>
        </w:rPr>
        <w:t xml:space="preserve">The PEB rating, as described above, was derived from DoDI 1332.39 and preceded the promulgation of the National Defense Authorization Act 2008 mandate for DoD </w:t>
      </w:r>
      <w:r w:rsidRPr="006C72C0">
        <w:rPr>
          <w:color w:val="auto"/>
        </w:rPr>
        <w:lastRenderedPageBreak/>
        <w:t xml:space="preserve">adherence to the Veterans Administration Schedule for Rating Disabilities (VASRD) §4.129.  IAW DoDI 6040.44 and DoD guidance (which applies current VASRD 4.129 to all Board cases), the Board is obligated to recommend a minimum 50% PTSD rating for a retroactive six-month period on the TDRL.  Since the </w:t>
      </w:r>
      <w:r w:rsidR="008C63A7">
        <w:rPr>
          <w:color w:val="auto"/>
        </w:rPr>
        <w:t>s</w:t>
      </w:r>
      <w:r w:rsidRPr="006C72C0">
        <w:rPr>
          <w:color w:val="auto"/>
        </w:rPr>
        <w:t>ervice was in compliance with the §4.129 TDRL requirement, the Board need not apply a constructive TD</w:t>
      </w:r>
      <w:r w:rsidR="00277F7F">
        <w:rPr>
          <w:color w:val="auto"/>
        </w:rPr>
        <w:t xml:space="preserve">RL rating interval in this case. </w:t>
      </w:r>
      <w:r w:rsidR="00277F7F" w:rsidRPr="00277F7F">
        <w:rPr>
          <w:color w:val="auto"/>
        </w:rPr>
        <w:t xml:space="preserve"> Although a minimum TDRL rating of 50% remains appli</w:t>
      </w:r>
      <w:r w:rsidR="00110174">
        <w:rPr>
          <w:color w:val="auto"/>
        </w:rPr>
        <w:t>cable as above, and as held by F</w:t>
      </w:r>
      <w:r w:rsidR="00277F7F" w:rsidRPr="00277F7F">
        <w:rPr>
          <w:color w:val="auto"/>
        </w:rPr>
        <w:t xml:space="preserve">ederal court in the </w:t>
      </w:r>
      <w:r w:rsidR="00277F7F" w:rsidRPr="00277F7F">
        <w:rPr>
          <w:i/>
          <w:color w:val="auto"/>
        </w:rPr>
        <w:t>Sabo v. United States</w:t>
      </w:r>
      <w:r w:rsidR="00277F7F" w:rsidRPr="00277F7F">
        <w:rPr>
          <w:color w:val="auto"/>
        </w:rPr>
        <w:t xml:space="preserve"> class action settlement, the Board must determine the most appropriate fit with VASRD 4.130 criteria at the end of the TDRL interval for its permanent rating recommendation.  </w:t>
      </w:r>
      <w:r w:rsidRPr="00FC7796">
        <w:rPr>
          <w:color w:val="auto"/>
        </w:rPr>
        <w:t>The most proximate source of comprehensive evidence on which to base the permanent rating recommendation in t</w:t>
      </w:r>
      <w:r w:rsidR="00AE3ABF">
        <w:rPr>
          <w:color w:val="auto"/>
        </w:rPr>
        <w:t xml:space="preserve">his case </w:t>
      </w:r>
      <w:r w:rsidR="00E032E3">
        <w:rPr>
          <w:color w:val="auto"/>
        </w:rPr>
        <w:t>is</w:t>
      </w:r>
      <w:r w:rsidR="00AE3ABF">
        <w:rPr>
          <w:color w:val="auto"/>
        </w:rPr>
        <w:t xml:space="preserve"> the MEB examination</w:t>
      </w:r>
      <w:r w:rsidRPr="00FC7796">
        <w:rPr>
          <w:color w:val="auto"/>
        </w:rPr>
        <w:t xml:space="preserve"> performed </w:t>
      </w:r>
      <w:r w:rsidR="00E032E3">
        <w:rPr>
          <w:color w:val="auto"/>
        </w:rPr>
        <w:t>near the conclusion of</w:t>
      </w:r>
      <w:r w:rsidRPr="00FC7796">
        <w:rPr>
          <w:color w:val="auto"/>
        </w:rPr>
        <w:t xml:space="preserve"> TDRL </w:t>
      </w:r>
      <w:r w:rsidR="00E032E3">
        <w:rPr>
          <w:color w:val="auto"/>
        </w:rPr>
        <w:t>(</w:t>
      </w:r>
      <w:r w:rsidR="008C63A7">
        <w:rPr>
          <w:color w:val="auto"/>
        </w:rPr>
        <w:t>five</w:t>
      </w:r>
      <w:r w:rsidRPr="00FC7796">
        <w:rPr>
          <w:color w:val="auto"/>
        </w:rPr>
        <w:t xml:space="preserve"> months before permanent separation</w:t>
      </w:r>
      <w:r w:rsidR="00E032E3">
        <w:rPr>
          <w:color w:val="auto"/>
        </w:rPr>
        <w:t>)</w:t>
      </w:r>
      <w:r w:rsidRPr="00FC7796">
        <w:rPr>
          <w:color w:val="auto"/>
        </w:rPr>
        <w:t xml:space="preserve">.  </w:t>
      </w:r>
      <w:r w:rsidR="00E032E3">
        <w:rPr>
          <w:color w:val="auto"/>
        </w:rPr>
        <w:t xml:space="preserve">Also probative were </w:t>
      </w:r>
      <w:proofErr w:type="gramStart"/>
      <w:r w:rsidR="00E85150">
        <w:rPr>
          <w:color w:val="auto"/>
        </w:rPr>
        <w:t xml:space="preserve">a </w:t>
      </w:r>
      <w:r w:rsidR="00E85150" w:rsidRPr="00E85150">
        <w:rPr>
          <w:color w:val="auto"/>
        </w:rPr>
        <w:t>VA</w:t>
      </w:r>
      <w:proofErr w:type="gramEnd"/>
      <w:r w:rsidR="00E85150" w:rsidRPr="00E85150">
        <w:rPr>
          <w:color w:val="auto"/>
        </w:rPr>
        <w:t xml:space="preserve"> </w:t>
      </w:r>
      <w:r w:rsidR="008C63A7" w:rsidRPr="00E85150">
        <w:rPr>
          <w:color w:val="auto"/>
        </w:rPr>
        <w:t xml:space="preserve">compensation </w:t>
      </w:r>
      <w:r w:rsidR="008C63A7">
        <w:rPr>
          <w:color w:val="auto"/>
        </w:rPr>
        <w:t>and</w:t>
      </w:r>
      <w:r w:rsidR="008C63A7" w:rsidRPr="00E85150">
        <w:rPr>
          <w:color w:val="auto"/>
        </w:rPr>
        <w:t xml:space="preserve"> pension</w:t>
      </w:r>
      <w:r w:rsidR="00E85150" w:rsidRPr="00E85150">
        <w:rPr>
          <w:color w:val="auto"/>
        </w:rPr>
        <w:t xml:space="preserve"> (C&amp;P) exam</w:t>
      </w:r>
      <w:r w:rsidR="00E85150">
        <w:rPr>
          <w:color w:val="auto"/>
        </w:rPr>
        <w:t xml:space="preserve"> </w:t>
      </w:r>
      <w:r w:rsidR="0091342D">
        <w:rPr>
          <w:color w:val="auto"/>
        </w:rPr>
        <w:t xml:space="preserve">and </w:t>
      </w:r>
      <w:r w:rsidR="00E032E3">
        <w:rPr>
          <w:color w:val="auto"/>
        </w:rPr>
        <w:t xml:space="preserve">an interim TDRL exam, </w:t>
      </w:r>
      <w:r w:rsidR="0091342D">
        <w:rPr>
          <w:color w:val="auto"/>
        </w:rPr>
        <w:t>performed</w:t>
      </w:r>
      <w:r w:rsidR="00CB5BE5">
        <w:rPr>
          <w:color w:val="auto"/>
        </w:rPr>
        <w:t>,</w:t>
      </w:r>
      <w:r w:rsidR="0091342D">
        <w:rPr>
          <w:color w:val="auto"/>
        </w:rPr>
        <w:t xml:space="preserve"> </w:t>
      </w:r>
      <w:r w:rsidR="00BF7C00">
        <w:rPr>
          <w:color w:val="auto"/>
        </w:rPr>
        <w:t>respectively</w:t>
      </w:r>
      <w:r w:rsidR="00CB5BE5">
        <w:rPr>
          <w:color w:val="auto"/>
        </w:rPr>
        <w:t>,</w:t>
      </w:r>
      <w:r w:rsidR="00BF7C00">
        <w:rPr>
          <w:color w:val="auto"/>
        </w:rPr>
        <w:t xml:space="preserve"> </w:t>
      </w:r>
      <w:r w:rsidR="0091342D">
        <w:rPr>
          <w:color w:val="auto"/>
        </w:rPr>
        <w:t xml:space="preserve">19 and 21 </w:t>
      </w:r>
      <w:r w:rsidR="00E85150">
        <w:rPr>
          <w:color w:val="auto"/>
        </w:rPr>
        <w:t xml:space="preserve">months prior to permanent separation.  </w:t>
      </w:r>
      <w:r w:rsidRPr="00FC7796">
        <w:rPr>
          <w:color w:val="auto"/>
        </w:rPr>
        <w:t>For purposes of the permanent rating recommendation</w:t>
      </w:r>
      <w:r w:rsidR="00E032E3">
        <w:rPr>
          <w:color w:val="auto"/>
        </w:rPr>
        <w:t>,</w:t>
      </w:r>
      <w:r w:rsidRPr="00FC7796">
        <w:rPr>
          <w:color w:val="auto"/>
        </w:rPr>
        <w:t xml:space="preserve"> it was judged that </w:t>
      </w:r>
      <w:r w:rsidR="00E032E3">
        <w:rPr>
          <w:color w:val="auto"/>
        </w:rPr>
        <w:t>the</w:t>
      </w:r>
      <w:r w:rsidRPr="00FC7796">
        <w:rPr>
          <w:color w:val="auto"/>
        </w:rPr>
        <w:t xml:space="preserve"> </w:t>
      </w:r>
      <w:r w:rsidR="0091342D">
        <w:rPr>
          <w:color w:val="auto"/>
        </w:rPr>
        <w:t xml:space="preserve">final </w:t>
      </w:r>
      <w:r w:rsidRPr="00FC7796">
        <w:rPr>
          <w:color w:val="auto"/>
        </w:rPr>
        <w:t xml:space="preserve">MEB </w:t>
      </w:r>
      <w:r w:rsidR="00E032E3">
        <w:rPr>
          <w:color w:val="auto"/>
        </w:rPr>
        <w:t>(end-</w:t>
      </w:r>
      <w:r w:rsidR="0091342D">
        <w:rPr>
          <w:color w:val="auto"/>
        </w:rPr>
        <w:t>TDRL</w:t>
      </w:r>
      <w:r w:rsidR="00E032E3">
        <w:rPr>
          <w:color w:val="auto"/>
        </w:rPr>
        <w:t>)</w:t>
      </w:r>
      <w:r w:rsidR="0091342D">
        <w:rPr>
          <w:color w:val="auto"/>
        </w:rPr>
        <w:t xml:space="preserve"> </w:t>
      </w:r>
      <w:r w:rsidRPr="00FC7796">
        <w:rPr>
          <w:color w:val="auto"/>
        </w:rPr>
        <w:t>examination carried the highe</w:t>
      </w:r>
      <w:r w:rsidR="00815F21">
        <w:rPr>
          <w:color w:val="auto"/>
        </w:rPr>
        <w:t>st</w:t>
      </w:r>
      <w:r w:rsidRPr="00FC7796">
        <w:rPr>
          <w:color w:val="auto"/>
        </w:rPr>
        <w:t xml:space="preserve"> probative value.  It was the mo</w:t>
      </w:r>
      <w:r w:rsidR="00815F21">
        <w:rPr>
          <w:color w:val="auto"/>
        </w:rPr>
        <w:t>st</w:t>
      </w:r>
      <w:r w:rsidRPr="00FC7796">
        <w:rPr>
          <w:color w:val="auto"/>
        </w:rPr>
        <w:t xml:space="preserve"> proximate to the fi</w:t>
      </w:r>
      <w:r w:rsidR="00BF7C00">
        <w:rPr>
          <w:color w:val="auto"/>
        </w:rPr>
        <w:t>nal separation rating benchmark</w:t>
      </w:r>
      <w:r w:rsidRPr="00FC7796">
        <w:rPr>
          <w:color w:val="auto"/>
        </w:rPr>
        <w:t xml:space="preserve"> and fully reflects the stress of transition to civilian</w:t>
      </w:r>
      <w:r w:rsidR="00BF7C00">
        <w:rPr>
          <w:color w:val="auto"/>
        </w:rPr>
        <w:t xml:space="preserve"> life at the time of separation,</w:t>
      </w:r>
      <w:r w:rsidRPr="00FC7796">
        <w:rPr>
          <w:color w:val="auto"/>
        </w:rPr>
        <w:t xml:space="preserve"> which is the core intent of §4.129 and intrinsic to </w:t>
      </w:r>
      <w:r w:rsidR="00BF7C00">
        <w:rPr>
          <w:color w:val="auto"/>
        </w:rPr>
        <w:t>permanent rating</w:t>
      </w:r>
      <w:r w:rsidRPr="00FC7796">
        <w:rPr>
          <w:color w:val="auto"/>
        </w:rPr>
        <w:t>.</w:t>
      </w:r>
      <w:r w:rsidRPr="001D30C7">
        <w:rPr>
          <w:color w:val="auto"/>
        </w:rPr>
        <w:t xml:space="preserve">  It is noted for the record that the Board recognizes the significant interval (</w:t>
      </w:r>
      <w:r w:rsidR="00E85150">
        <w:rPr>
          <w:color w:val="auto"/>
        </w:rPr>
        <w:t>19</w:t>
      </w:r>
      <w:r w:rsidRPr="001D30C7">
        <w:rPr>
          <w:color w:val="auto"/>
        </w:rPr>
        <w:t xml:space="preserve"> months) between </w:t>
      </w:r>
      <w:r w:rsidR="00E85150" w:rsidRPr="001D30C7">
        <w:rPr>
          <w:color w:val="auto"/>
        </w:rPr>
        <w:t xml:space="preserve">the </w:t>
      </w:r>
      <w:r w:rsidR="00E032E3">
        <w:rPr>
          <w:color w:val="auto"/>
        </w:rPr>
        <w:t xml:space="preserve">most proximate </w:t>
      </w:r>
      <w:r w:rsidR="00E85150" w:rsidRPr="001D30C7">
        <w:rPr>
          <w:color w:val="auto"/>
        </w:rPr>
        <w:t xml:space="preserve">VA evaluation and </w:t>
      </w:r>
      <w:r w:rsidRPr="001D30C7">
        <w:rPr>
          <w:color w:val="auto"/>
        </w:rPr>
        <w:t xml:space="preserve">the date of </w:t>
      </w:r>
      <w:r w:rsidR="00E85150">
        <w:rPr>
          <w:color w:val="auto"/>
        </w:rPr>
        <w:t xml:space="preserve">final </w:t>
      </w:r>
      <w:r w:rsidRPr="001D30C7">
        <w:rPr>
          <w:color w:val="auto"/>
        </w:rPr>
        <w:t>separation.</w:t>
      </w:r>
      <w:r w:rsidR="00E032E3">
        <w:rPr>
          <w:color w:val="auto"/>
        </w:rPr>
        <w:t xml:space="preserve"> </w:t>
      </w:r>
      <w:r w:rsidRPr="001D30C7">
        <w:rPr>
          <w:color w:val="auto"/>
        </w:rPr>
        <w:t xml:space="preserve"> DoDI 6040.44, under which the Board operates, specifies a 12-month interval for special consideration to VA findings.  This does not mean that the VA information was disregarded, as it was a valuable source for clinical information and opinions relevant to the Board’s evaluation.</w:t>
      </w:r>
      <w:r w:rsidR="00E032E3">
        <w:rPr>
          <w:color w:val="auto"/>
        </w:rPr>
        <w:t xml:space="preserve"> </w:t>
      </w:r>
      <w:r w:rsidRPr="001D30C7">
        <w:rPr>
          <w:color w:val="auto"/>
        </w:rPr>
        <w:t xml:space="preserve"> In matters germane to the severity and disability at the time of separation, however, the information in the </w:t>
      </w:r>
      <w:r w:rsidR="00E032E3">
        <w:rPr>
          <w:color w:val="auto"/>
        </w:rPr>
        <w:t xml:space="preserve">above referenced </w:t>
      </w:r>
      <w:r w:rsidRPr="001D30C7">
        <w:rPr>
          <w:color w:val="auto"/>
        </w:rPr>
        <w:t xml:space="preserve">MEB </w:t>
      </w:r>
      <w:r w:rsidR="00642D67">
        <w:rPr>
          <w:color w:val="auto"/>
        </w:rPr>
        <w:t>evaluation</w:t>
      </w:r>
      <w:r w:rsidR="00E032E3">
        <w:rPr>
          <w:color w:val="auto"/>
        </w:rPr>
        <w:t xml:space="preserve"> </w:t>
      </w:r>
      <w:r w:rsidRPr="001D30C7">
        <w:rPr>
          <w:color w:val="auto"/>
        </w:rPr>
        <w:t xml:space="preserve">was assigned </w:t>
      </w:r>
      <w:r w:rsidR="00E032E3">
        <w:rPr>
          <w:color w:val="auto"/>
        </w:rPr>
        <w:t>the preponderant</w:t>
      </w:r>
      <w:r w:rsidRPr="001D30C7">
        <w:rPr>
          <w:color w:val="auto"/>
        </w:rPr>
        <w:t xml:space="preserve"> probative value as a basis for the Board’s rating recommendations.</w:t>
      </w:r>
    </w:p>
    <w:p w:rsidR="00AB1DC5" w:rsidRDefault="00AB1DC5" w:rsidP="00510F9C">
      <w:pPr>
        <w:spacing w:line="240" w:lineRule="exact"/>
        <w:rPr>
          <w:color w:val="auto"/>
        </w:rPr>
      </w:pPr>
    </w:p>
    <w:p w:rsidR="00504307" w:rsidRDefault="00AB1DC5" w:rsidP="00680F28">
      <w:pPr>
        <w:autoSpaceDE w:val="0"/>
        <w:autoSpaceDN w:val="0"/>
        <w:adjustRightInd w:val="0"/>
        <w:spacing w:line="240" w:lineRule="exact"/>
        <w:jc w:val="both"/>
        <w:rPr>
          <w:iCs/>
          <w:color w:val="auto"/>
        </w:rPr>
      </w:pPr>
      <w:proofErr w:type="gramStart"/>
      <w:r w:rsidRPr="00C21D77">
        <w:rPr>
          <w:color w:val="auto"/>
          <w:u w:val="single"/>
        </w:rPr>
        <w:t>P</w:t>
      </w:r>
      <w:r w:rsidR="008C63A7">
        <w:rPr>
          <w:color w:val="auto"/>
          <w:u w:val="single"/>
        </w:rPr>
        <w:t>osttraumatic Stress Disorder</w:t>
      </w:r>
      <w:r w:rsidRPr="00664296">
        <w:rPr>
          <w:color w:val="auto"/>
        </w:rPr>
        <w:t>.</w:t>
      </w:r>
      <w:proofErr w:type="gramEnd"/>
      <w:r w:rsidRPr="00664296">
        <w:rPr>
          <w:color w:val="auto"/>
        </w:rPr>
        <w:t xml:space="preserve">  </w:t>
      </w:r>
      <w:r w:rsidRPr="00CB2018">
        <w:rPr>
          <w:iCs/>
          <w:color w:val="auto"/>
        </w:rPr>
        <w:t xml:space="preserve">The CI reported the onset of PTSD symptoms in connection with traumatic events experienced during his Vietnam deployment in 1971-1972.  During that time, he </w:t>
      </w:r>
      <w:r w:rsidR="00C21D77">
        <w:rPr>
          <w:iCs/>
          <w:color w:val="auto"/>
        </w:rPr>
        <w:t>reported</w:t>
      </w:r>
      <w:r w:rsidR="00C21D77" w:rsidRPr="00CB2018">
        <w:rPr>
          <w:iCs/>
          <w:color w:val="auto"/>
        </w:rPr>
        <w:t xml:space="preserve"> </w:t>
      </w:r>
      <w:r w:rsidRPr="00CB2018">
        <w:rPr>
          <w:iCs/>
          <w:color w:val="auto"/>
        </w:rPr>
        <w:t>constant rocket and mortar attacks, months of body bag detail, severe exposure to violence and mutilation, friend</w:t>
      </w:r>
      <w:r w:rsidR="00C21D77">
        <w:rPr>
          <w:iCs/>
          <w:color w:val="auto"/>
        </w:rPr>
        <w:t>s’ deaths, and direct combat.  The s</w:t>
      </w:r>
      <w:r w:rsidRPr="00CB2018">
        <w:rPr>
          <w:iCs/>
          <w:color w:val="auto"/>
        </w:rPr>
        <w:t>ymptoms included suicidal thoughts, depression, insomnia, nightmares, angry affect, avoidance of cues that remind him of combat, and anxiety.  The CI joined the Reserve in 1982</w:t>
      </w:r>
      <w:r w:rsidR="00BF7C00">
        <w:rPr>
          <w:iCs/>
          <w:color w:val="auto"/>
        </w:rPr>
        <w:t>,</w:t>
      </w:r>
      <w:r w:rsidRPr="00CB2018">
        <w:rPr>
          <w:iCs/>
          <w:color w:val="auto"/>
        </w:rPr>
        <w:t xml:space="preserve"> and </w:t>
      </w:r>
      <w:r w:rsidR="00BF7C00" w:rsidRPr="00CB2018">
        <w:rPr>
          <w:iCs/>
          <w:color w:val="auto"/>
        </w:rPr>
        <w:t xml:space="preserve">in 2002 </w:t>
      </w:r>
      <w:r w:rsidRPr="00CB2018">
        <w:rPr>
          <w:iCs/>
          <w:color w:val="auto"/>
        </w:rPr>
        <w:t xml:space="preserve">was deployed to Saudi Arabia.  After </w:t>
      </w:r>
      <w:r w:rsidR="00BF7C00">
        <w:rPr>
          <w:iCs/>
          <w:color w:val="auto"/>
        </w:rPr>
        <w:t>a</w:t>
      </w:r>
      <w:r w:rsidRPr="00CB2018">
        <w:rPr>
          <w:iCs/>
          <w:color w:val="auto"/>
        </w:rPr>
        <w:t xml:space="preserve"> week </w:t>
      </w:r>
      <w:r w:rsidR="00C21D77">
        <w:rPr>
          <w:iCs/>
          <w:color w:val="auto"/>
        </w:rPr>
        <w:t>in theater</w:t>
      </w:r>
      <w:r w:rsidRPr="00CB2018">
        <w:rPr>
          <w:iCs/>
          <w:color w:val="auto"/>
        </w:rPr>
        <w:t xml:space="preserve">, the CI experienced </w:t>
      </w:r>
      <w:r w:rsidR="00C21D77">
        <w:rPr>
          <w:iCs/>
          <w:color w:val="auto"/>
        </w:rPr>
        <w:t xml:space="preserve">a </w:t>
      </w:r>
      <w:r w:rsidRPr="00CB2018">
        <w:rPr>
          <w:iCs/>
          <w:color w:val="auto"/>
        </w:rPr>
        <w:t>severe recurrence and</w:t>
      </w:r>
      <w:r w:rsidR="00C21D77">
        <w:rPr>
          <w:iCs/>
          <w:color w:val="auto"/>
        </w:rPr>
        <w:t xml:space="preserve"> exacerbation</w:t>
      </w:r>
      <w:r w:rsidRPr="00CB2018">
        <w:rPr>
          <w:iCs/>
          <w:color w:val="auto"/>
        </w:rPr>
        <w:t xml:space="preserve"> of his PTSD</w:t>
      </w:r>
      <w:r w:rsidR="00C21D77">
        <w:rPr>
          <w:iCs/>
          <w:color w:val="auto"/>
        </w:rPr>
        <w:t xml:space="preserve"> symptomatology</w:t>
      </w:r>
      <w:r w:rsidRPr="00CB2018">
        <w:rPr>
          <w:iCs/>
          <w:color w:val="auto"/>
        </w:rPr>
        <w:t xml:space="preserve">.  </w:t>
      </w:r>
      <w:r w:rsidR="00C21D77">
        <w:rPr>
          <w:iCs/>
          <w:color w:val="auto"/>
        </w:rPr>
        <w:t>This was managed by a psychiatric admission</w:t>
      </w:r>
      <w:r w:rsidRPr="00CB2018">
        <w:rPr>
          <w:iCs/>
          <w:color w:val="auto"/>
        </w:rPr>
        <w:t xml:space="preserve"> in Germany</w:t>
      </w:r>
      <w:r w:rsidR="00BF7C00">
        <w:rPr>
          <w:iCs/>
          <w:color w:val="auto"/>
        </w:rPr>
        <w:t>,</w:t>
      </w:r>
      <w:r w:rsidRPr="00CB2018">
        <w:rPr>
          <w:iCs/>
          <w:color w:val="auto"/>
        </w:rPr>
        <w:t xml:space="preserve"> </w:t>
      </w:r>
      <w:r w:rsidR="00C21D77">
        <w:rPr>
          <w:iCs/>
          <w:color w:val="auto"/>
        </w:rPr>
        <w:t>followed by redeployment</w:t>
      </w:r>
      <w:r w:rsidRPr="00CB2018">
        <w:rPr>
          <w:iCs/>
          <w:color w:val="auto"/>
        </w:rPr>
        <w:t xml:space="preserve">.  </w:t>
      </w:r>
      <w:r w:rsidR="00C21D77">
        <w:rPr>
          <w:iCs/>
          <w:color w:val="auto"/>
        </w:rPr>
        <w:t xml:space="preserve">A trial of pharmacotherapy and outpatient psychotherapy was unsuccessful </w:t>
      </w:r>
      <w:r w:rsidR="00160463">
        <w:rPr>
          <w:iCs/>
          <w:color w:val="auto"/>
        </w:rPr>
        <w:t>in restoring him to full military functioning</w:t>
      </w:r>
      <w:r w:rsidRPr="00CB2018">
        <w:rPr>
          <w:iCs/>
          <w:color w:val="auto"/>
        </w:rPr>
        <w:t>.</w:t>
      </w:r>
      <w:r w:rsidRPr="00950FA4">
        <w:rPr>
          <w:iCs/>
          <w:color w:val="auto"/>
        </w:rPr>
        <w:t xml:space="preserve">  </w:t>
      </w:r>
      <w:r w:rsidRPr="00CB2018">
        <w:rPr>
          <w:iCs/>
          <w:color w:val="auto"/>
        </w:rPr>
        <w:t>In his MEB exam</w:t>
      </w:r>
      <w:r w:rsidR="008C63A7">
        <w:rPr>
          <w:iCs/>
          <w:color w:val="auto"/>
        </w:rPr>
        <w:t>,</w:t>
      </w:r>
      <w:r w:rsidRPr="00CB2018">
        <w:rPr>
          <w:iCs/>
          <w:color w:val="auto"/>
        </w:rPr>
        <w:t xml:space="preserve"> </w:t>
      </w:r>
      <w:r w:rsidR="00160463">
        <w:rPr>
          <w:iCs/>
          <w:color w:val="auto"/>
        </w:rPr>
        <w:t>t</w:t>
      </w:r>
      <w:r w:rsidRPr="00CB2018">
        <w:rPr>
          <w:iCs/>
          <w:color w:val="auto"/>
        </w:rPr>
        <w:t xml:space="preserve">he </w:t>
      </w:r>
      <w:r w:rsidR="00160463">
        <w:rPr>
          <w:iCs/>
          <w:color w:val="auto"/>
        </w:rPr>
        <w:t xml:space="preserve">CI </w:t>
      </w:r>
      <w:r w:rsidRPr="00CB2018">
        <w:rPr>
          <w:iCs/>
          <w:color w:val="auto"/>
        </w:rPr>
        <w:t xml:space="preserve">related thoughts of hurting himself and others, violent episodes, depression, anxiety, social withdrawal, strained family relations, and nightmares.  The MEB </w:t>
      </w:r>
      <w:r w:rsidR="00160463">
        <w:rPr>
          <w:iCs/>
          <w:color w:val="auto"/>
        </w:rPr>
        <w:t>psychiatrist made an Axis I</w:t>
      </w:r>
      <w:r w:rsidRPr="00CB2018">
        <w:rPr>
          <w:iCs/>
          <w:color w:val="auto"/>
        </w:rPr>
        <w:t xml:space="preserve"> </w:t>
      </w:r>
      <w:r w:rsidR="00160463">
        <w:rPr>
          <w:iCs/>
          <w:color w:val="auto"/>
        </w:rPr>
        <w:t>diagnosis of</w:t>
      </w:r>
      <w:r w:rsidRPr="00CB2018">
        <w:rPr>
          <w:iCs/>
          <w:color w:val="auto"/>
        </w:rPr>
        <w:t xml:space="preserve"> severe PTSD</w:t>
      </w:r>
      <w:r w:rsidR="00160463">
        <w:rPr>
          <w:iCs/>
          <w:color w:val="auto"/>
        </w:rPr>
        <w:t>,</w:t>
      </w:r>
      <w:r w:rsidRPr="00CB2018">
        <w:rPr>
          <w:iCs/>
          <w:color w:val="auto"/>
        </w:rPr>
        <w:t xml:space="preserve"> </w:t>
      </w:r>
      <w:r w:rsidR="00160463">
        <w:rPr>
          <w:iCs/>
          <w:color w:val="auto"/>
        </w:rPr>
        <w:t>and assigned</w:t>
      </w:r>
      <w:r w:rsidRPr="00CB2018">
        <w:rPr>
          <w:iCs/>
          <w:color w:val="auto"/>
        </w:rPr>
        <w:t xml:space="preserve"> a </w:t>
      </w:r>
      <w:r w:rsidR="008C63A7" w:rsidRPr="00CB2018">
        <w:rPr>
          <w:iCs/>
          <w:color w:val="auto"/>
        </w:rPr>
        <w:t>global assessment of</w:t>
      </w:r>
      <w:r w:rsidR="008C63A7">
        <w:rPr>
          <w:iCs/>
          <w:color w:val="auto"/>
        </w:rPr>
        <w:t xml:space="preserve"> functioning </w:t>
      </w:r>
      <w:r w:rsidR="00160463">
        <w:rPr>
          <w:iCs/>
          <w:color w:val="auto"/>
        </w:rPr>
        <w:t>(GAF) score of 60 (</w:t>
      </w:r>
      <w:r w:rsidRPr="00CB2018">
        <w:rPr>
          <w:iCs/>
          <w:color w:val="auto"/>
        </w:rPr>
        <w:t xml:space="preserve">connoting moderate </w:t>
      </w:r>
      <w:r w:rsidR="00160463">
        <w:rPr>
          <w:iCs/>
          <w:color w:val="auto"/>
        </w:rPr>
        <w:t>psychiatric dysfunction)</w:t>
      </w:r>
      <w:r w:rsidRPr="00CB2018">
        <w:rPr>
          <w:iCs/>
          <w:color w:val="auto"/>
        </w:rPr>
        <w:t xml:space="preserve">.  </w:t>
      </w:r>
      <w:r w:rsidR="00160463">
        <w:rPr>
          <w:iCs/>
          <w:color w:val="auto"/>
        </w:rPr>
        <w:t>This evaluation was followed by an extended period of TDRL as previously noted.  Although t</w:t>
      </w:r>
      <w:r w:rsidR="00E85150" w:rsidRPr="001D30C7">
        <w:rPr>
          <w:iCs/>
          <w:color w:val="auto"/>
        </w:rPr>
        <w:t xml:space="preserve">here is no VA C&amp;P exam proximal to the date of separation, an exam done 21 months pre-separation records </w:t>
      </w:r>
      <w:r w:rsidR="00815F21">
        <w:rPr>
          <w:iCs/>
          <w:color w:val="auto"/>
        </w:rPr>
        <w:t>moderate</w:t>
      </w:r>
      <w:r w:rsidR="00E85150" w:rsidRPr="001D30C7">
        <w:rPr>
          <w:iCs/>
          <w:color w:val="auto"/>
        </w:rPr>
        <w:t xml:space="preserve"> PTSD symptoms.  </w:t>
      </w:r>
      <w:r w:rsidR="00FE1D6C">
        <w:rPr>
          <w:iCs/>
          <w:color w:val="auto"/>
        </w:rPr>
        <w:t xml:space="preserve">The examiner recorded symptoms of withdrawal, </w:t>
      </w:r>
      <w:r w:rsidR="00FE1D6C" w:rsidRPr="001D30C7">
        <w:rPr>
          <w:iCs/>
          <w:color w:val="auto"/>
        </w:rPr>
        <w:t>irritability</w:t>
      </w:r>
      <w:r w:rsidR="00FE1D6C">
        <w:rPr>
          <w:iCs/>
          <w:color w:val="auto"/>
        </w:rPr>
        <w:t>,</w:t>
      </w:r>
      <w:r w:rsidR="00FE1D6C" w:rsidRPr="001D30C7">
        <w:rPr>
          <w:iCs/>
          <w:color w:val="auto"/>
        </w:rPr>
        <w:t xml:space="preserve"> anger </w:t>
      </w:r>
      <w:r w:rsidR="00FE1D6C">
        <w:rPr>
          <w:iCs/>
          <w:color w:val="auto"/>
        </w:rPr>
        <w:t xml:space="preserve">with </w:t>
      </w:r>
      <w:r w:rsidR="00FE1D6C" w:rsidRPr="001D30C7">
        <w:rPr>
          <w:iCs/>
          <w:color w:val="auto"/>
        </w:rPr>
        <w:t>aggressive impulses</w:t>
      </w:r>
      <w:r w:rsidR="00FE1D6C">
        <w:rPr>
          <w:iCs/>
          <w:color w:val="auto"/>
        </w:rPr>
        <w:t xml:space="preserve">, </w:t>
      </w:r>
      <w:r w:rsidR="00FE1D6C" w:rsidRPr="001D30C7">
        <w:rPr>
          <w:iCs/>
          <w:color w:val="auto"/>
        </w:rPr>
        <w:t>intrusive recollections</w:t>
      </w:r>
      <w:r w:rsidR="00FE1D6C">
        <w:rPr>
          <w:iCs/>
          <w:color w:val="auto"/>
        </w:rPr>
        <w:t>,</w:t>
      </w:r>
      <w:r w:rsidR="00FE1D6C" w:rsidRPr="001D30C7">
        <w:rPr>
          <w:iCs/>
          <w:color w:val="auto"/>
        </w:rPr>
        <w:t xml:space="preserve"> and nightmares</w:t>
      </w:r>
      <w:r w:rsidR="008C63A7">
        <w:rPr>
          <w:iCs/>
          <w:color w:val="auto"/>
        </w:rPr>
        <w:t>,</w:t>
      </w:r>
      <w:r w:rsidR="00FE1D6C">
        <w:rPr>
          <w:iCs/>
          <w:color w:val="auto"/>
        </w:rPr>
        <w:t xml:space="preserve"> with continued</w:t>
      </w:r>
      <w:r w:rsidR="00FE1D6C" w:rsidRPr="001D30C7">
        <w:rPr>
          <w:iCs/>
          <w:color w:val="auto"/>
        </w:rPr>
        <w:t xml:space="preserve"> </w:t>
      </w:r>
      <w:r w:rsidR="00FE1D6C">
        <w:rPr>
          <w:iCs/>
          <w:color w:val="auto"/>
        </w:rPr>
        <w:t xml:space="preserve">sleep disturbance.  Occupationally, </w:t>
      </w:r>
      <w:r w:rsidR="00160463">
        <w:rPr>
          <w:iCs/>
          <w:color w:val="auto"/>
        </w:rPr>
        <w:t>t</w:t>
      </w:r>
      <w:r w:rsidR="00E85150" w:rsidRPr="001D30C7">
        <w:rPr>
          <w:iCs/>
          <w:color w:val="auto"/>
        </w:rPr>
        <w:t xml:space="preserve">he </w:t>
      </w:r>
      <w:r w:rsidR="00160463">
        <w:rPr>
          <w:iCs/>
          <w:color w:val="auto"/>
        </w:rPr>
        <w:t xml:space="preserve">CI remained in a job he </w:t>
      </w:r>
      <w:r w:rsidR="00E85150" w:rsidRPr="001D30C7">
        <w:rPr>
          <w:iCs/>
          <w:color w:val="auto"/>
        </w:rPr>
        <w:t xml:space="preserve">had </w:t>
      </w:r>
      <w:r w:rsidR="00160463">
        <w:rPr>
          <w:iCs/>
          <w:color w:val="auto"/>
        </w:rPr>
        <w:t>held</w:t>
      </w:r>
      <w:r w:rsidR="00E85150" w:rsidRPr="001D30C7">
        <w:rPr>
          <w:iCs/>
          <w:color w:val="auto"/>
        </w:rPr>
        <w:t xml:space="preserve"> for 23 years but</w:t>
      </w:r>
      <w:r w:rsidR="00160463">
        <w:rPr>
          <w:iCs/>
          <w:color w:val="auto"/>
        </w:rPr>
        <w:t xml:space="preserve"> he</w:t>
      </w:r>
      <w:r w:rsidR="00E85150" w:rsidRPr="001D30C7">
        <w:rPr>
          <w:iCs/>
          <w:color w:val="auto"/>
        </w:rPr>
        <w:t xml:space="preserve"> did not </w:t>
      </w:r>
      <w:r w:rsidR="00160463">
        <w:rPr>
          <w:iCs/>
          <w:color w:val="auto"/>
        </w:rPr>
        <w:t>interact</w:t>
      </w:r>
      <w:r w:rsidR="00E85150" w:rsidRPr="001D30C7">
        <w:rPr>
          <w:iCs/>
          <w:color w:val="auto"/>
        </w:rPr>
        <w:t xml:space="preserve"> well with </w:t>
      </w:r>
      <w:r w:rsidR="00160463" w:rsidRPr="001D30C7">
        <w:rPr>
          <w:iCs/>
          <w:color w:val="auto"/>
        </w:rPr>
        <w:t xml:space="preserve">coworkers </w:t>
      </w:r>
      <w:r w:rsidR="00160463">
        <w:rPr>
          <w:iCs/>
          <w:color w:val="auto"/>
        </w:rPr>
        <w:t xml:space="preserve">and preferred to work alone.  </w:t>
      </w:r>
      <w:r w:rsidR="00E85150" w:rsidRPr="001D30C7">
        <w:rPr>
          <w:iCs/>
          <w:color w:val="auto"/>
        </w:rPr>
        <w:t xml:space="preserve">The </w:t>
      </w:r>
      <w:r w:rsidR="00FE1D6C">
        <w:rPr>
          <w:iCs/>
          <w:color w:val="auto"/>
        </w:rPr>
        <w:t>assigned</w:t>
      </w:r>
      <w:r w:rsidR="00E85150" w:rsidRPr="001D30C7">
        <w:rPr>
          <w:iCs/>
          <w:color w:val="auto"/>
        </w:rPr>
        <w:t xml:space="preserve"> GAF score </w:t>
      </w:r>
      <w:r w:rsidR="00FE1D6C">
        <w:rPr>
          <w:iCs/>
          <w:color w:val="auto"/>
        </w:rPr>
        <w:t>at this point was</w:t>
      </w:r>
      <w:r w:rsidR="00E85150" w:rsidRPr="001D30C7">
        <w:rPr>
          <w:iCs/>
          <w:color w:val="auto"/>
        </w:rPr>
        <w:t xml:space="preserve"> 51</w:t>
      </w:r>
      <w:r w:rsidR="004B7D61">
        <w:rPr>
          <w:iCs/>
          <w:color w:val="auto"/>
        </w:rPr>
        <w:t xml:space="preserve">, which </w:t>
      </w:r>
      <w:r w:rsidR="00FE1D6C">
        <w:rPr>
          <w:iCs/>
          <w:color w:val="auto"/>
        </w:rPr>
        <w:t xml:space="preserve">remains in the range of </w:t>
      </w:r>
      <w:r w:rsidR="004B7D61">
        <w:rPr>
          <w:iCs/>
          <w:color w:val="auto"/>
        </w:rPr>
        <w:t>moderate psychiatric impairment</w:t>
      </w:r>
      <w:r w:rsidR="00FE1D6C">
        <w:rPr>
          <w:iCs/>
          <w:color w:val="auto"/>
        </w:rPr>
        <w:t xml:space="preserve">.  </w:t>
      </w:r>
      <w:r w:rsidR="004B7D61">
        <w:rPr>
          <w:iCs/>
          <w:color w:val="auto"/>
        </w:rPr>
        <w:t>A periodic</w:t>
      </w:r>
      <w:r w:rsidR="00815F21">
        <w:rPr>
          <w:iCs/>
          <w:color w:val="auto"/>
        </w:rPr>
        <w:t xml:space="preserve"> TDRL </w:t>
      </w:r>
      <w:r w:rsidR="004B7D61">
        <w:rPr>
          <w:iCs/>
          <w:color w:val="auto"/>
        </w:rPr>
        <w:t>re-evaluation,</w:t>
      </w:r>
      <w:r w:rsidR="00815F21">
        <w:rPr>
          <w:iCs/>
          <w:color w:val="auto"/>
        </w:rPr>
        <w:t xml:space="preserve"> performed </w:t>
      </w:r>
      <w:r w:rsidR="004B7D61">
        <w:rPr>
          <w:iCs/>
          <w:color w:val="auto"/>
        </w:rPr>
        <w:t xml:space="preserve">contemporaneously with the VA C&amp;P evaluation just described, </w:t>
      </w:r>
      <w:r w:rsidR="00815F21">
        <w:rPr>
          <w:iCs/>
          <w:color w:val="auto"/>
        </w:rPr>
        <w:t>recorded similar symptoms and exam findings</w:t>
      </w:r>
      <w:r w:rsidR="004B7D61">
        <w:rPr>
          <w:iCs/>
          <w:color w:val="auto"/>
        </w:rPr>
        <w:t xml:space="preserve"> with a </w:t>
      </w:r>
      <w:r w:rsidR="00815F21">
        <w:rPr>
          <w:iCs/>
          <w:color w:val="auto"/>
        </w:rPr>
        <w:t xml:space="preserve">GAF </w:t>
      </w:r>
      <w:r w:rsidR="004B7D61">
        <w:rPr>
          <w:iCs/>
          <w:color w:val="auto"/>
        </w:rPr>
        <w:t xml:space="preserve">score </w:t>
      </w:r>
      <w:r w:rsidR="00815F21">
        <w:rPr>
          <w:iCs/>
          <w:color w:val="auto"/>
        </w:rPr>
        <w:t>of 62</w:t>
      </w:r>
      <w:r w:rsidR="004B7D61">
        <w:rPr>
          <w:iCs/>
          <w:color w:val="auto"/>
        </w:rPr>
        <w:t xml:space="preserve">.  </w:t>
      </w:r>
      <w:r w:rsidR="00815F21">
        <w:rPr>
          <w:iCs/>
          <w:color w:val="auto"/>
        </w:rPr>
        <w:t>At</w:t>
      </w:r>
      <w:r w:rsidRPr="001D30C7">
        <w:rPr>
          <w:iCs/>
          <w:color w:val="auto"/>
        </w:rPr>
        <w:t xml:space="preserve"> the final TDRL MEB </w:t>
      </w:r>
      <w:r w:rsidR="004B7D61">
        <w:rPr>
          <w:iCs/>
          <w:color w:val="auto"/>
        </w:rPr>
        <w:t>(</w:t>
      </w:r>
      <w:r w:rsidR="008C63A7">
        <w:rPr>
          <w:iCs/>
          <w:color w:val="auto"/>
        </w:rPr>
        <w:t>five</w:t>
      </w:r>
      <w:r w:rsidRPr="001D30C7">
        <w:rPr>
          <w:iCs/>
          <w:color w:val="auto"/>
        </w:rPr>
        <w:t xml:space="preserve"> months </w:t>
      </w:r>
      <w:r w:rsidR="004B7D61">
        <w:rPr>
          <w:iCs/>
          <w:color w:val="auto"/>
        </w:rPr>
        <w:t>prior to permanent separation),</w:t>
      </w:r>
      <w:r w:rsidRPr="001D30C7">
        <w:rPr>
          <w:iCs/>
          <w:color w:val="auto"/>
        </w:rPr>
        <w:t xml:space="preserve"> the CI report</w:t>
      </w:r>
      <w:r w:rsidR="004B7D61">
        <w:rPr>
          <w:iCs/>
          <w:color w:val="auto"/>
        </w:rPr>
        <w:t>ed a scope and severity of</w:t>
      </w:r>
      <w:r w:rsidRPr="001D30C7">
        <w:rPr>
          <w:iCs/>
          <w:color w:val="auto"/>
        </w:rPr>
        <w:t xml:space="preserve"> PTSD symptoms </w:t>
      </w:r>
      <w:r w:rsidR="00504307">
        <w:rPr>
          <w:iCs/>
          <w:color w:val="auto"/>
        </w:rPr>
        <w:t>which were fairly equivalent to the preceding C&amp;P evidence.  The CI</w:t>
      </w:r>
      <w:r w:rsidR="00815F21">
        <w:rPr>
          <w:iCs/>
          <w:color w:val="auto"/>
        </w:rPr>
        <w:t xml:space="preserve"> was </w:t>
      </w:r>
      <w:r w:rsidR="00504307">
        <w:rPr>
          <w:iCs/>
          <w:color w:val="auto"/>
        </w:rPr>
        <w:t xml:space="preserve">being </w:t>
      </w:r>
      <w:r w:rsidR="00504307">
        <w:rPr>
          <w:iCs/>
          <w:color w:val="auto"/>
        </w:rPr>
        <w:lastRenderedPageBreak/>
        <w:t>treated with</w:t>
      </w:r>
      <w:r w:rsidR="00815F21">
        <w:rPr>
          <w:iCs/>
          <w:color w:val="auto"/>
        </w:rPr>
        <w:t xml:space="preserve"> two psychoactive medications </w:t>
      </w:r>
      <w:r w:rsidR="00504307">
        <w:rPr>
          <w:iCs/>
          <w:color w:val="auto"/>
        </w:rPr>
        <w:t>through</w:t>
      </w:r>
      <w:r w:rsidR="00815F21">
        <w:rPr>
          <w:iCs/>
          <w:color w:val="auto"/>
        </w:rPr>
        <w:t xml:space="preserve"> his primary care physician, and was not </w:t>
      </w:r>
      <w:r w:rsidR="00504307">
        <w:rPr>
          <w:iCs/>
          <w:color w:val="auto"/>
        </w:rPr>
        <w:t>under formal</w:t>
      </w:r>
      <w:r w:rsidR="00815F21">
        <w:rPr>
          <w:iCs/>
          <w:color w:val="auto"/>
        </w:rPr>
        <w:t xml:space="preserve"> psychiatric care.  </w:t>
      </w:r>
      <w:r w:rsidR="00504307">
        <w:rPr>
          <w:iCs/>
          <w:color w:val="auto"/>
        </w:rPr>
        <w:t xml:space="preserve">He </w:t>
      </w:r>
      <w:r w:rsidR="00DD2791">
        <w:rPr>
          <w:iCs/>
          <w:color w:val="auto"/>
        </w:rPr>
        <w:t xml:space="preserve">reported emotional </w:t>
      </w:r>
      <w:r w:rsidR="00504307">
        <w:rPr>
          <w:iCs/>
          <w:color w:val="auto"/>
        </w:rPr>
        <w:t xml:space="preserve">lability and </w:t>
      </w:r>
      <w:r w:rsidR="00DD2791">
        <w:rPr>
          <w:iCs/>
          <w:color w:val="auto"/>
        </w:rPr>
        <w:t>withdrawal that was impacting his marriage</w:t>
      </w:r>
      <w:r w:rsidR="00504307">
        <w:rPr>
          <w:iCs/>
          <w:color w:val="auto"/>
        </w:rPr>
        <w:t>, and a constricted social life</w:t>
      </w:r>
      <w:r w:rsidR="00DD2791">
        <w:rPr>
          <w:iCs/>
          <w:color w:val="auto"/>
        </w:rPr>
        <w:t xml:space="preserve">.  </w:t>
      </w:r>
      <w:r w:rsidR="00CD6FE3">
        <w:rPr>
          <w:iCs/>
          <w:color w:val="auto"/>
        </w:rPr>
        <w:t>T</w:t>
      </w:r>
      <w:r w:rsidR="00CD6FE3" w:rsidRPr="001D30C7">
        <w:rPr>
          <w:iCs/>
          <w:color w:val="auto"/>
        </w:rPr>
        <w:t>he mental status exam</w:t>
      </w:r>
      <w:r w:rsidR="00CD6FE3">
        <w:rPr>
          <w:iCs/>
          <w:color w:val="auto"/>
        </w:rPr>
        <w:t xml:space="preserve"> was significant for a mildly dysphoric mood with a somewhat restricted affect.  There </w:t>
      </w:r>
      <w:r w:rsidR="00C23044">
        <w:rPr>
          <w:iCs/>
          <w:color w:val="auto"/>
        </w:rPr>
        <w:t>was</w:t>
      </w:r>
      <w:r w:rsidR="00CD6FE3">
        <w:rPr>
          <w:iCs/>
          <w:color w:val="auto"/>
        </w:rPr>
        <w:t xml:space="preserve"> no suicidal or homicidal ideation</w:t>
      </w:r>
      <w:r w:rsidR="00CD6FE3" w:rsidRPr="001D30C7">
        <w:rPr>
          <w:iCs/>
          <w:color w:val="auto"/>
        </w:rPr>
        <w:t xml:space="preserve">, </w:t>
      </w:r>
      <w:r w:rsidR="00CD6FE3">
        <w:rPr>
          <w:iCs/>
          <w:color w:val="auto"/>
        </w:rPr>
        <w:t xml:space="preserve">and no evidence of psychosis.  </w:t>
      </w:r>
      <w:r w:rsidR="00CD6FE3" w:rsidRPr="001D30C7">
        <w:rPr>
          <w:iCs/>
          <w:color w:val="auto"/>
        </w:rPr>
        <w:t xml:space="preserve">The </w:t>
      </w:r>
      <w:r w:rsidR="00CD6FE3">
        <w:rPr>
          <w:iCs/>
          <w:color w:val="auto"/>
        </w:rPr>
        <w:t>assigned</w:t>
      </w:r>
      <w:r w:rsidR="00CD6FE3" w:rsidRPr="001D30C7">
        <w:rPr>
          <w:iCs/>
          <w:color w:val="auto"/>
        </w:rPr>
        <w:t xml:space="preserve"> GAF was</w:t>
      </w:r>
      <w:r w:rsidR="00CD6FE3">
        <w:rPr>
          <w:iCs/>
          <w:color w:val="auto"/>
        </w:rPr>
        <w:t xml:space="preserve"> 72, indicating mild symptoms; and t</w:t>
      </w:r>
      <w:r w:rsidR="00680F28">
        <w:rPr>
          <w:iCs/>
          <w:color w:val="auto"/>
        </w:rPr>
        <w:t xml:space="preserve">he </w:t>
      </w:r>
      <w:r w:rsidR="00C23044">
        <w:rPr>
          <w:iCs/>
          <w:color w:val="auto"/>
        </w:rPr>
        <w:t>DoDI 1332.39-defined</w:t>
      </w:r>
      <w:r w:rsidR="00CD6FE3">
        <w:rPr>
          <w:iCs/>
          <w:color w:val="auto"/>
        </w:rPr>
        <w:t xml:space="preserve"> assessments were </w:t>
      </w:r>
      <w:r w:rsidR="00CD6FE3" w:rsidRPr="001D30C7">
        <w:rPr>
          <w:iCs/>
          <w:color w:val="auto"/>
        </w:rPr>
        <w:t xml:space="preserve">mild social and industrial impairment and moderate military impairment.  </w:t>
      </w:r>
      <w:r w:rsidR="00CD6FE3">
        <w:rPr>
          <w:iCs/>
          <w:color w:val="auto"/>
        </w:rPr>
        <w:t xml:space="preserve">The psychiatrist’s </w:t>
      </w:r>
      <w:r w:rsidR="00504307">
        <w:rPr>
          <w:iCs/>
          <w:color w:val="auto"/>
        </w:rPr>
        <w:t xml:space="preserve">summary of </w:t>
      </w:r>
      <w:r w:rsidR="00C23044">
        <w:rPr>
          <w:iCs/>
          <w:color w:val="auto"/>
        </w:rPr>
        <w:t xml:space="preserve">occupational and social </w:t>
      </w:r>
      <w:r w:rsidR="00504307">
        <w:rPr>
          <w:iCs/>
          <w:color w:val="auto"/>
        </w:rPr>
        <w:t xml:space="preserve">impairment </w:t>
      </w:r>
      <w:r w:rsidR="008C63A7">
        <w:rPr>
          <w:iCs/>
          <w:color w:val="auto"/>
        </w:rPr>
        <w:t xml:space="preserve">follows: </w:t>
      </w:r>
      <w:r w:rsidR="00680F28">
        <w:rPr>
          <w:iCs/>
          <w:color w:val="auto"/>
        </w:rPr>
        <w:t xml:space="preserve"> </w:t>
      </w:r>
    </w:p>
    <w:p w:rsidR="00504307" w:rsidRDefault="00504307" w:rsidP="00680F28">
      <w:pPr>
        <w:autoSpaceDE w:val="0"/>
        <w:autoSpaceDN w:val="0"/>
        <w:adjustRightInd w:val="0"/>
        <w:spacing w:line="240" w:lineRule="exact"/>
        <w:jc w:val="both"/>
        <w:rPr>
          <w:iCs/>
          <w:color w:val="auto"/>
        </w:rPr>
      </w:pPr>
    </w:p>
    <w:p w:rsidR="00504307" w:rsidRPr="00504307" w:rsidRDefault="00504307" w:rsidP="00504307">
      <w:pPr>
        <w:autoSpaceDE w:val="0"/>
        <w:autoSpaceDN w:val="0"/>
        <w:adjustRightInd w:val="0"/>
        <w:spacing w:line="240" w:lineRule="exact"/>
        <w:ind w:left="720" w:right="720"/>
        <w:jc w:val="both"/>
        <w:rPr>
          <w:iCs/>
          <w:color w:val="auto"/>
          <w:sz w:val="20"/>
        </w:rPr>
      </w:pPr>
      <w:r>
        <w:rPr>
          <w:iCs/>
          <w:color w:val="auto"/>
          <w:sz w:val="20"/>
        </w:rPr>
        <w:t xml:space="preserve">He </w:t>
      </w:r>
      <w:r w:rsidR="00680F28" w:rsidRPr="00504307">
        <w:rPr>
          <w:iCs/>
          <w:color w:val="auto"/>
          <w:sz w:val="20"/>
        </w:rPr>
        <w:t xml:space="preserve">continues to maintain his primary employment as an excavator operator and supervises one person.  Despite general dissatisfaction with the position, he has had no significant occupational problems since his last evaluation and reports being able to retire from that job in five years. </w:t>
      </w:r>
      <w:r w:rsidR="008C63A7">
        <w:rPr>
          <w:iCs/>
          <w:color w:val="auto"/>
          <w:sz w:val="20"/>
        </w:rPr>
        <w:t xml:space="preserve"> </w:t>
      </w:r>
      <w:r w:rsidR="00680F28" w:rsidRPr="00504307">
        <w:rPr>
          <w:iCs/>
          <w:color w:val="auto"/>
          <w:sz w:val="20"/>
        </w:rPr>
        <w:t xml:space="preserve">His symptoms do appear to contribute to reported problems in his marriage and other family and social relationships.  </w:t>
      </w:r>
    </w:p>
    <w:p w:rsidR="00504307" w:rsidRDefault="00504307" w:rsidP="00680F28">
      <w:pPr>
        <w:autoSpaceDE w:val="0"/>
        <w:autoSpaceDN w:val="0"/>
        <w:adjustRightInd w:val="0"/>
        <w:spacing w:line="240" w:lineRule="exact"/>
        <w:jc w:val="both"/>
        <w:rPr>
          <w:iCs/>
          <w:color w:val="auto"/>
        </w:rPr>
      </w:pPr>
    </w:p>
    <w:p w:rsidR="00AB1DC5" w:rsidRPr="001D30C7" w:rsidRDefault="00CD6FE3" w:rsidP="00680F28">
      <w:pPr>
        <w:autoSpaceDE w:val="0"/>
        <w:autoSpaceDN w:val="0"/>
        <w:adjustRightInd w:val="0"/>
        <w:spacing w:line="240" w:lineRule="exact"/>
        <w:jc w:val="both"/>
        <w:rPr>
          <w:iCs/>
          <w:color w:val="auto"/>
        </w:rPr>
      </w:pPr>
      <w:r>
        <w:rPr>
          <w:iCs/>
          <w:color w:val="auto"/>
        </w:rPr>
        <w:t>This was followed by an opinion</w:t>
      </w:r>
      <w:r w:rsidR="00815F21" w:rsidRPr="001D30C7">
        <w:rPr>
          <w:iCs/>
          <w:color w:val="auto"/>
        </w:rPr>
        <w:t xml:space="preserve"> that the CI </w:t>
      </w:r>
      <w:r>
        <w:rPr>
          <w:iCs/>
          <w:color w:val="auto"/>
        </w:rPr>
        <w:t>manifested</w:t>
      </w:r>
      <w:r w:rsidR="00815F21" w:rsidRPr="001D30C7">
        <w:rPr>
          <w:iCs/>
          <w:color w:val="auto"/>
        </w:rPr>
        <w:t xml:space="preserve"> minor improvement overall</w:t>
      </w:r>
      <w:r w:rsidR="008C63A7">
        <w:rPr>
          <w:iCs/>
          <w:color w:val="auto"/>
        </w:rPr>
        <w:t>,</w:t>
      </w:r>
      <w:r w:rsidR="00815F21" w:rsidRPr="001D30C7">
        <w:rPr>
          <w:iCs/>
          <w:color w:val="auto"/>
        </w:rPr>
        <w:t xml:space="preserve"> with fewer occupational problems and less aggressive behavior.  </w:t>
      </w:r>
      <w:r w:rsidR="00AB1DC5" w:rsidRPr="001D30C7">
        <w:rPr>
          <w:iCs/>
          <w:color w:val="auto"/>
        </w:rPr>
        <w:t xml:space="preserve">The psychiatrist stated that the CI’s symptoms “create mild impairment in a civilian environment and would very likely result in greater impairment in any military environment.”  </w:t>
      </w:r>
      <w:r w:rsidR="00C332BA">
        <w:rPr>
          <w:iCs/>
          <w:color w:val="auto"/>
        </w:rPr>
        <w:t>It wa</w:t>
      </w:r>
      <w:r w:rsidR="00AB1DC5" w:rsidRPr="001D30C7">
        <w:rPr>
          <w:iCs/>
          <w:color w:val="auto"/>
        </w:rPr>
        <w:t xml:space="preserve">s noted that </w:t>
      </w:r>
      <w:r w:rsidR="00C332BA">
        <w:rPr>
          <w:iCs/>
          <w:color w:val="auto"/>
        </w:rPr>
        <w:t>t</w:t>
      </w:r>
      <w:r w:rsidR="00AB1DC5" w:rsidRPr="001D30C7">
        <w:rPr>
          <w:iCs/>
          <w:color w:val="auto"/>
        </w:rPr>
        <w:t xml:space="preserve">he </w:t>
      </w:r>
      <w:r w:rsidR="00C332BA">
        <w:rPr>
          <w:iCs/>
          <w:color w:val="auto"/>
        </w:rPr>
        <w:t xml:space="preserve">CI </w:t>
      </w:r>
      <w:r w:rsidR="00AB1DC5" w:rsidRPr="001D30C7">
        <w:rPr>
          <w:iCs/>
          <w:color w:val="auto"/>
        </w:rPr>
        <w:t>had not sought any mental health treatment sin</w:t>
      </w:r>
      <w:r w:rsidR="00C332BA">
        <w:rPr>
          <w:iCs/>
          <w:color w:val="auto"/>
        </w:rPr>
        <w:t>ce being placed on TDRL in 2002, emphasizing that this had been “recommended at both of his previous TDRL evaluations</w:t>
      </w:r>
      <w:r w:rsidR="008C63A7">
        <w:rPr>
          <w:iCs/>
          <w:color w:val="auto"/>
        </w:rPr>
        <w:t>;</w:t>
      </w:r>
      <w:r w:rsidR="00C332BA">
        <w:rPr>
          <w:iCs/>
          <w:color w:val="auto"/>
        </w:rPr>
        <w:t>” and a guarded prognosis was ascribed partly to an “apparent</w:t>
      </w:r>
      <w:r w:rsidR="00AB1DC5" w:rsidRPr="001D30C7">
        <w:rPr>
          <w:iCs/>
          <w:color w:val="auto"/>
        </w:rPr>
        <w:t xml:space="preserve"> lack of motivation</w:t>
      </w:r>
      <w:r w:rsidR="00C332BA">
        <w:rPr>
          <w:iCs/>
          <w:color w:val="auto"/>
        </w:rPr>
        <w:t xml:space="preserve"> for intervention</w:t>
      </w:r>
      <w:r w:rsidR="008C63A7">
        <w:rPr>
          <w:iCs/>
          <w:color w:val="auto"/>
        </w:rPr>
        <w:t>.</w:t>
      </w:r>
      <w:r w:rsidR="00C332BA">
        <w:rPr>
          <w:iCs/>
          <w:color w:val="auto"/>
        </w:rPr>
        <w:t>”</w:t>
      </w:r>
      <w:r w:rsidR="00AB1DC5" w:rsidRPr="001D30C7">
        <w:rPr>
          <w:iCs/>
          <w:color w:val="auto"/>
        </w:rPr>
        <w:t xml:space="preserve">  In an appeal, the CI stated that he was unaware of the requirement for “formal therapy” and said that he had a group of friends that had had similar experiences </w:t>
      </w:r>
      <w:r w:rsidR="008C63A7">
        <w:rPr>
          <w:iCs/>
          <w:color w:val="auto"/>
        </w:rPr>
        <w:t xml:space="preserve">to which he could talk.  </w:t>
      </w:r>
      <w:r w:rsidR="00943D26">
        <w:rPr>
          <w:iCs/>
          <w:color w:val="auto"/>
        </w:rPr>
        <w:t>The Board notes, however, that the final PEB did not (formally</w:t>
      </w:r>
      <w:r w:rsidR="008C63A7">
        <w:rPr>
          <w:iCs/>
          <w:color w:val="auto"/>
        </w:rPr>
        <w:t>,</w:t>
      </w:r>
      <w:r w:rsidR="00943D26">
        <w:rPr>
          <w:iCs/>
          <w:color w:val="auto"/>
        </w:rPr>
        <w:t xml:space="preserve"> at least) assign a deduction to its DoDI 1332.39-derived rating based on issues of non-compliance.  The Board’s VASRD </w:t>
      </w:r>
      <w:r w:rsidR="00943D26" w:rsidRPr="008241E0">
        <w:rPr>
          <w:iCs/>
          <w:color w:val="auto"/>
        </w:rPr>
        <w:t>§4.130</w:t>
      </w:r>
      <w:r w:rsidR="00943D26">
        <w:rPr>
          <w:iCs/>
          <w:color w:val="auto"/>
        </w:rPr>
        <w:t>-derived rating recommendation will assess only the occupational and social impairment in evidence, independently of any speculation that anticipated improvement may have been hampered by the lack of more aggressive psychiatric intervention.</w:t>
      </w:r>
    </w:p>
    <w:p w:rsidR="00AB1DC5" w:rsidRPr="00CB2018" w:rsidRDefault="00AB1DC5" w:rsidP="001D30C7">
      <w:pPr>
        <w:autoSpaceDE w:val="0"/>
        <w:autoSpaceDN w:val="0"/>
        <w:adjustRightInd w:val="0"/>
        <w:spacing w:line="240" w:lineRule="exact"/>
        <w:jc w:val="both"/>
        <w:rPr>
          <w:iCs/>
          <w:color w:val="auto"/>
        </w:rPr>
      </w:pPr>
    </w:p>
    <w:p w:rsidR="00680F28" w:rsidRDefault="00943D26" w:rsidP="001D30C7">
      <w:pPr>
        <w:autoSpaceDE w:val="0"/>
        <w:autoSpaceDN w:val="0"/>
        <w:adjustRightInd w:val="0"/>
        <w:spacing w:line="240" w:lineRule="exact"/>
        <w:jc w:val="both"/>
        <w:rPr>
          <w:iCs/>
          <w:color w:val="auto"/>
        </w:rPr>
      </w:pPr>
      <w:r>
        <w:rPr>
          <w:iCs/>
          <w:color w:val="auto"/>
        </w:rPr>
        <w:t>That said</w:t>
      </w:r>
      <w:proofErr w:type="gramStart"/>
      <w:r>
        <w:rPr>
          <w:iCs/>
          <w:color w:val="auto"/>
        </w:rPr>
        <w:t>,</w:t>
      </w:r>
      <w:proofErr w:type="gramEnd"/>
      <w:r>
        <w:rPr>
          <w:iCs/>
          <w:color w:val="auto"/>
        </w:rPr>
        <w:t xml:space="preserve"> t</w:t>
      </w:r>
      <w:r w:rsidR="00AB1DC5" w:rsidRPr="008241E0">
        <w:rPr>
          <w:iCs/>
          <w:color w:val="auto"/>
        </w:rPr>
        <w:t xml:space="preserve">he Board directs its attention to its rating recommendations based on the evidence </w:t>
      </w:r>
      <w:r>
        <w:rPr>
          <w:iCs/>
          <w:color w:val="auto"/>
        </w:rPr>
        <w:t>presented above</w:t>
      </w:r>
      <w:r w:rsidR="00AB1DC5" w:rsidRPr="008241E0">
        <w:rPr>
          <w:iCs/>
          <w:color w:val="auto"/>
        </w:rPr>
        <w:t xml:space="preserve">. </w:t>
      </w:r>
      <w:r w:rsidR="00AB1DC5">
        <w:rPr>
          <w:iCs/>
          <w:color w:val="auto"/>
        </w:rPr>
        <w:t xml:space="preserve"> </w:t>
      </w:r>
      <w:r w:rsidR="008C63A7">
        <w:rPr>
          <w:iCs/>
          <w:color w:val="auto"/>
        </w:rPr>
        <w:t>With r</w:t>
      </w:r>
      <w:r w:rsidR="00C16D88">
        <w:rPr>
          <w:iCs/>
          <w:color w:val="auto"/>
        </w:rPr>
        <w:t>egard</w:t>
      </w:r>
      <w:r w:rsidR="00AB1DC5" w:rsidRPr="008241E0">
        <w:rPr>
          <w:iCs/>
          <w:color w:val="auto"/>
        </w:rPr>
        <w:t xml:space="preserve"> to the permanent rating recommendation, all members agreed that the §4.130 threshold for a </w:t>
      </w:r>
      <w:r w:rsidR="00AB1DC5">
        <w:rPr>
          <w:iCs/>
          <w:color w:val="auto"/>
        </w:rPr>
        <w:t>5</w:t>
      </w:r>
      <w:r w:rsidR="00AB1DC5" w:rsidRPr="008241E0">
        <w:rPr>
          <w:iCs/>
          <w:color w:val="auto"/>
        </w:rPr>
        <w:t xml:space="preserve">0% rating was not </w:t>
      </w:r>
      <w:r w:rsidR="00C16D88">
        <w:rPr>
          <w:iCs/>
          <w:color w:val="auto"/>
        </w:rPr>
        <w:t>met</w:t>
      </w:r>
      <w:r w:rsidR="00AB1DC5" w:rsidRPr="008241E0">
        <w:rPr>
          <w:iCs/>
          <w:color w:val="auto"/>
        </w:rPr>
        <w:t xml:space="preserve"> </w:t>
      </w:r>
      <w:r w:rsidR="00C16D88">
        <w:rPr>
          <w:iCs/>
          <w:color w:val="auto"/>
        </w:rPr>
        <w:t xml:space="preserve">in light of the intact occupational functioning at a fairly high level </w:t>
      </w:r>
      <w:r w:rsidR="00AB1DC5" w:rsidRPr="008241E0">
        <w:rPr>
          <w:iCs/>
          <w:color w:val="auto"/>
        </w:rPr>
        <w:t xml:space="preserve">and that the criteria for a 0% rating were </w:t>
      </w:r>
      <w:r w:rsidR="00C16D88">
        <w:rPr>
          <w:iCs/>
          <w:color w:val="auto"/>
        </w:rPr>
        <w:t>well</w:t>
      </w:r>
      <w:r w:rsidR="008C63A7">
        <w:rPr>
          <w:iCs/>
          <w:color w:val="auto"/>
        </w:rPr>
        <w:t>-</w:t>
      </w:r>
      <w:r w:rsidR="00AB1DC5" w:rsidRPr="008241E0">
        <w:rPr>
          <w:iCs/>
          <w:color w:val="auto"/>
        </w:rPr>
        <w:t>exceeded</w:t>
      </w:r>
      <w:r w:rsidR="00C16D88">
        <w:rPr>
          <w:iCs/>
          <w:color w:val="auto"/>
        </w:rPr>
        <w:t xml:space="preserve"> (</w:t>
      </w:r>
      <w:r w:rsidR="00334347">
        <w:rPr>
          <w:iCs/>
          <w:color w:val="auto"/>
        </w:rPr>
        <w:t>not to mention</w:t>
      </w:r>
      <w:r w:rsidR="00C16D88">
        <w:rPr>
          <w:iCs/>
          <w:color w:val="auto"/>
        </w:rPr>
        <w:t xml:space="preserve"> pre-empted </w:t>
      </w:r>
      <w:r w:rsidR="00334347">
        <w:rPr>
          <w:iCs/>
          <w:color w:val="auto"/>
        </w:rPr>
        <w:t>by the PEB’s higher rating)</w:t>
      </w:r>
      <w:r w:rsidR="00AB1DC5" w:rsidRPr="008241E0">
        <w:rPr>
          <w:iCs/>
          <w:color w:val="auto"/>
        </w:rPr>
        <w:t>.</w:t>
      </w:r>
      <w:r w:rsidR="00AB1DC5">
        <w:rPr>
          <w:iCs/>
          <w:color w:val="auto"/>
        </w:rPr>
        <w:t xml:space="preserve">  </w:t>
      </w:r>
      <w:r w:rsidR="00AB1DC5" w:rsidRPr="008241E0">
        <w:rPr>
          <w:iCs/>
          <w:color w:val="auto"/>
        </w:rPr>
        <w:t>The deliberation settled therefore on arguments for 10% versus 30% permanent rating recommendation.</w:t>
      </w:r>
      <w:r w:rsidR="00E40C4C">
        <w:rPr>
          <w:iCs/>
          <w:color w:val="auto"/>
        </w:rPr>
        <w:t xml:space="preserve"> </w:t>
      </w:r>
      <w:r w:rsidR="00AB1DC5" w:rsidRPr="008241E0">
        <w:rPr>
          <w:iCs/>
          <w:color w:val="auto"/>
        </w:rPr>
        <w:t xml:space="preserve"> </w:t>
      </w:r>
      <w:r w:rsidR="00680F28">
        <w:rPr>
          <w:iCs/>
          <w:color w:val="auto"/>
        </w:rPr>
        <w:t>T</w:t>
      </w:r>
      <w:r w:rsidR="00680F28" w:rsidRPr="00680F28">
        <w:rPr>
          <w:iCs/>
          <w:color w:val="auto"/>
        </w:rPr>
        <w:t xml:space="preserve">he MEB </w:t>
      </w:r>
      <w:r w:rsidR="00680F28">
        <w:rPr>
          <w:iCs/>
          <w:color w:val="auto"/>
        </w:rPr>
        <w:t>TDRL</w:t>
      </w:r>
      <w:r w:rsidR="00680F28" w:rsidRPr="00680F28">
        <w:rPr>
          <w:iCs/>
          <w:color w:val="auto"/>
        </w:rPr>
        <w:t xml:space="preserve"> examination </w:t>
      </w:r>
      <w:r w:rsidR="00680F28">
        <w:rPr>
          <w:iCs/>
          <w:color w:val="auto"/>
        </w:rPr>
        <w:t>was</w:t>
      </w:r>
      <w:r w:rsidR="00680F28" w:rsidRPr="00680F28">
        <w:rPr>
          <w:iCs/>
          <w:color w:val="auto"/>
        </w:rPr>
        <w:t xml:space="preserve"> more consistent with the general description for a §4.130 rating of 30%, “occupational and social impairment with occasional decrease in work efficiency and intermittent periods of inability to perform occupational tasks (although generally functioning satisfactorily…)”</w:t>
      </w:r>
      <w:r w:rsidR="00DD2791">
        <w:rPr>
          <w:iCs/>
          <w:color w:val="auto"/>
        </w:rPr>
        <w:t xml:space="preserve"> based primarily on social impairment</w:t>
      </w:r>
      <w:r w:rsidR="00680F28" w:rsidRPr="00680F28">
        <w:rPr>
          <w:iCs/>
          <w:color w:val="auto"/>
        </w:rPr>
        <w:t>; although, a 10% rating was defensible based on the CI’s</w:t>
      </w:r>
      <w:r w:rsidR="00DD2791">
        <w:rPr>
          <w:iCs/>
          <w:color w:val="auto"/>
        </w:rPr>
        <w:t xml:space="preserve"> relative</w:t>
      </w:r>
      <w:r w:rsidR="00680F28" w:rsidRPr="00680F28">
        <w:rPr>
          <w:iCs/>
          <w:color w:val="auto"/>
        </w:rPr>
        <w:t xml:space="preserve"> high level of functioning in the workplace.  In deliberating a recommendation for a permanent rating of 10%, </w:t>
      </w:r>
      <w:r w:rsidR="00334347">
        <w:rPr>
          <w:iCs/>
          <w:color w:val="auto"/>
        </w:rPr>
        <w:t xml:space="preserve">however, </w:t>
      </w:r>
      <w:r w:rsidR="00680F28" w:rsidRPr="00680F28">
        <w:rPr>
          <w:iCs/>
          <w:color w:val="auto"/>
        </w:rPr>
        <w:t>the Board conceded that the CI’s symptoms at the time of medical separation could not be fairly characterized as “mild or transient” or “controlled by continuous medication</w:t>
      </w:r>
      <w:r w:rsidR="008C63A7">
        <w:rPr>
          <w:iCs/>
          <w:color w:val="auto"/>
        </w:rPr>
        <w:t>;</w:t>
      </w:r>
      <w:r w:rsidR="00680F28" w:rsidRPr="00680F28">
        <w:rPr>
          <w:iCs/>
          <w:color w:val="auto"/>
        </w:rPr>
        <w:t xml:space="preserve">” and it is clear that some of his psychiatric lability </w:t>
      </w:r>
      <w:r w:rsidR="00DD2791">
        <w:rPr>
          <w:iCs/>
          <w:color w:val="auto"/>
        </w:rPr>
        <w:t xml:space="preserve">and lack of impulse control </w:t>
      </w:r>
      <w:r w:rsidR="00680F28" w:rsidRPr="00680F28">
        <w:rPr>
          <w:iCs/>
          <w:color w:val="auto"/>
        </w:rPr>
        <w:t xml:space="preserve">was spilling into the workplace or at least distracting him from optimal performance.  After due deliberation and in consideration of all evidence and reasonable doubt, the Board </w:t>
      </w:r>
      <w:r w:rsidR="00680F28" w:rsidRPr="004E3C42">
        <w:rPr>
          <w:iCs/>
          <w:color w:val="auto"/>
        </w:rPr>
        <w:t>recommends 30%</w:t>
      </w:r>
      <w:r w:rsidR="00680F28" w:rsidRPr="00680F28">
        <w:rPr>
          <w:iCs/>
          <w:color w:val="auto"/>
        </w:rPr>
        <w:t xml:space="preserve"> as the fair permanent separation rating for PTSD in this case.</w:t>
      </w:r>
    </w:p>
    <w:p w:rsidR="00334347" w:rsidRDefault="00334347" w:rsidP="001D30C7">
      <w:pPr>
        <w:spacing w:line="240" w:lineRule="exact"/>
        <w:jc w:val="both"/>
        <w:rPr>
          <w:color w:val="auto"/>
          <w:u w:val="single"/>
        </w:rPr>
      </w:pPr>
    </w:p>
    <w:p w:rsidR="00AB1DC5" w:rsidRPr="00664296" w:rsidRDefault="00AB1DC5" w:rsidP="001D30C7">
      <w:pPr>
        <w:spacing w:line="240" w:lineRule="exact"/>
        <w:jc w:val="both"/>
        <w:rPr>
          <w:color w:val="auto"/>
        </w:rPr>
      </w:pPr>
      <w:proofErr w:type="gramStart"/>
      <w:r w:rsidRPr="00664296">
        <w:rPr>
          <w:color w:val="auto"/>
          <w:u w:val="single"/>
        </w:rPr>
        <w:lastRenderedPageBreak/>
        <w:t>Remaining Conditions</w:t>
      </w:r>
      <w:r w:rsidRPr="00664296">
        <w:rPr>
          <w:color w:val="auto"/>
        </w:rPr>
        <w:t>.</w:t>
      </w:r>
      <w:proofErr w:type="gramEnd"/>
      <w:r w:rsidRPr="00664296">
        <w:rPr>
          <w:color w:val="auto"/>
        </w:rPr>
        <w:t xml:space="preserve">  Several additional non-acute conditions or medical complaints were documented</w:t>
      </w:r>
      <w:r w:rsidR="00E40C4C">
        <w:rPr>
          <w:color w:val="auto"/>
        </w:rPr>
        <w:t xml:space="preserve"> in the DES file</w:t>
      </w:r>
      <w:r>
        <w:rPr>
          <w:color w:val="auto"/>
        </w:rPr>
        <w:t xml:space="preserve">. </w:t>
      </w:r>
      <w:r w:rsidRPr="006B54DC">
        <w:rPr>
          <w:color w:val="auto"/>
        </w:rPr>
        <w:t xml:space="preserve"> None of these conditions were significantly clinically or occupational</w:t>
      </w:r>
      <w:r w:rsidR="002F216A">
        <w:rPr>
          <w:color w:val="auto"/>
        </w:rPr>
        <w:t>ly active during the MEB period</w:t>
      </w:r>
      <w:r w:rsidR="008C63A7">
        <w:rPr>
          <w:color w:val="auto"/>
        </w:rPr>
        <w:t>,</w:t>
      </w:r>
      <w:r w:rsidR="002F216A">
        <w:rPr>
          <w:color w:val="auto"/>
        </w:rPr>
        <w:t xml:space="preserve"> none carried attached profiles</w:t>
      </w:r>
      <w:r w:rsidR="008C63A7">
        <w:rPr>
          <w:color w:val="auto"/>
        </w:rPr>
        <w:t>,</w:t>
      </w:r>
      <w:r w:rsidRPr="006B54DC">
        <w:rPr>
          <w:color w:val="auto"/>
        </w:rPr>
        <w:t xml:space="preserve"> and</w:t>
      </w:r>
      <w:r w:rsidR="002F216A">
        <w:rPr>
          <w:color w:val="auto"/>
        </w:rPr>
        <w:t xml:space="preserve"> none were implicated in the </w:t>
      </w:r>
      <w:r w:rsidR="008C63A7">
        <w:rPr>
          <w:color w:val="auto"/>
        </w:rPr>
        <w:t>c</w:t>
      </w:r>
      <w:r w:rsidRPr="006B54DC">
        <w:rPr>
          <w:color w:val="auto"/>
        </w:rPr>
        <w:t xml:space="preserve">ommander’s statement.  </w:t>
      </w:r>
      <w:r w:rsidRPr="00664296">
        <w:rPr>
          <w:color w:val="auto"/>
        </w:rPr>
        <w:t xml:space="preserve">These conditions were reviewed by the </w:t>
      </w:r>
      <w:r w:rsidR="008C63A7" w:rsidRPr="00664296">
        <w:rPr>
          <w:color w:val="auto"/>
        </w:rPr>
        <w:t xml:space="preserve">action officer </w:t>
      </w:r>
      <w:r w:rsidRPr="00664296">
        <w:rPr>
          <w:color w:val="auto"/>
        </w:rPr>
        <w:t xml:space="preserve">and considered by the Board.  It was determined that none could be argued as unfitting and subject to separation rating.  </w:t>
      </w:r>
      <w:r w:rsidR="0091342D" w:rsidRPr="0091342D">
        <w:rPr>
          <w:color w:val="auto"/>
        </w:rPr>
        <w:t xml:space="preserve">No other conditions were service connected with a compensable rating by the VA within </w:t>
      </w:r>
      <w:r w:rsidR="008C63A7">
        <w:rPr>
          <w:color w:val="auto"/>
        </w:rPr>
        <w:t>12</w:t>
      </w:r>
      <w:r w:rsidR="0091342D" w:rsidRPr="0091342D">
        <w:rPr>
          <w:color w:val="auto"/>
        </w:rPr>
        <w:t xml:space="preserve"> months of separation or contended by the CI.  The Board therefore has no reasonable basis for recommending any additional unfitting conditions for separation rating.</w:t>
      </w:r>
    </w:p>
    <w:p w:rsidR="00AB1DC5" w:rsidRPr="00391858" w:rsidRDefault="00AB1DC5" w:rsidP="00F1737C">
      <w:pPr>
        <w:pBdr>
          <w:bottom w:val="single" w:sz="12" w:space="1" w:color="auto"/>
        </w:pBdr>
        <w:tabs>
          <w:tab w:val="left" w:pos="288"/>
          <w:tab w:val="left" w:pos="4752"/>
        </w:tabs>
        <w:spacing w:line="240" w:lineRule="exact"/>
        <w:jc w:val="both"/>
        <w:rPr>
          <w:b/>
          <w:color w:val="auto"/>
          <w:u w:val="single"/>
        </w:rPr>
      </w:pPr>
    </w:p>
    <w:p w:rsidR="00AB1DC5" w:rsidRDefault="00AB1DC5" w:rsidP="00F1737C">
      <w:pPr>
        <w:spacing w:line="240" w:lineRule="exact"/>
        <w:rPr>
          <w:b/>
          <w:color w:val="auto"/>
          <w:u w:val="single"/>
        </w:rPr>
      </w:pPr>
    </w:p>
    <w:p w:rsidR="00AB1DC5" w:rsidRPr="00664296" w:rsidRDefault="00AB1DC5" w:rsidP="001D30C7">
      <w:pPr>
        <w:spacing w:line="240" w:lineRule="exact"/>
        <w:jc w:val="both"/>
        <w:rPr>
          <w:color w:val="FF0000"/>
        </w:rPr>
      </w:pPr>
      <w:r w:rsidRPr="009C78FD">
        <w:rPr>
          <w:color w:val="auto"/>
          <w:u w:val="single"/>
        </w:rPr>
        <w:t>BOARD FINDINGS</w:t>
      </w:r>
      <w:r w:rsidRPr="009C78FD">
        <w:rPr>
          <w:color w:val="auto"/>
        </w:rPr>
        <w:t>:  IAW DoDI 6040.44, provisions of DoD or Military Department regulations or guidelines relied upon by the PEB will not be considered by the Board to the extent they were inconsistent with the VASRD in effect at the time of the adjudication.</w:t>
      </w:r>
      <w:r>
        <w:rPr>
          <w:color w:val="auto"/>
        </w:rPr>
        <w:t xml:space="preserve">  </w:t>
      </w:r>
      <w:r w:rsidRPr="00664296">
        <w:rPr>
          <w:color w:val="auto"/>
        </w:rPr>
        <w:t xml:space="preserve">As discussed above, PEB reliance on DoDI 1332.39 for </w:t>
      </w:r>
      <w:r w:rsidRPr="004E3C42">
        <w:rPr>
          <w:color w:val="auto"/>
        </w:rPr>
        <w:t>rating PTSD was operant in this case, and the condition was adjudicated independently of that instruction by the Board.  In the matter of the P</w:t>
      </w:r>
      <w:r w:rsidR="008C63A7">
        <w:rPr>
          <w:color w:val="auto"/>
        </w:rPr>
        <w:t>TSD</w:t>
      </w:r>
      <w:r w:rsidRPr="004E3C42">
        <w:rPr>
          <w:color w:val="auto"/>
        </w:rPr>
        <w:t xml:space="preserve"> condition, the Board unanimously recommends a permanent </w:t>
      </w:r>
      <w:r w:rsidR="00DD2791" w:rsidRPr="004E3C42">
        <w:rPr>
          <w:color w:val="auto"/>
        </w:rPr>
        <w:t>3</w:t>
      </w:r>
      <w:r w:rsidRPr="004E3C42">
        <w:rPr>
          <w:color w:val="auto"/>
        </w:rPr>
        <w:t>0% rating at final separation IAW VASRD §4.130.  The Board unanimously agrees that there were no other conditions eligible for Board consideration which could be recomm</w:t>
      </w:r>
      <w:r w:rsidRPr="00664296">
        <w:rPr>
          <w:color w:val="auto"/>
        </w:rPr>
        <w:t>ended as additionally unfitting for rating at separation.</w:t>
      </w:r>
    </w:p>
    <w:p w:rsidR="00AB1DC5" w:rsidRPr="00391858" w:rsidRDefault="00AB1DC5" w:rsidP="00664296">
      <w:pPr>
        <w:pBdr>
          <w:bottom w:val="single" w:sz="12" w:space="1" w:color="auto"/>
        </w:pBdr>
        <w:tabs>
          <w:tab w:val="left" w:pos="288"/>
          <w:tab w:val="left" w:pos="4752"/>
        </w:tabs>
        <w:spacing w:line="240" w:lineRule="exact"/>
        <w:jc w:val="both"/>
        <w:rPr>
          <w:b/>
          <w:color w:val="auto"/>
          <w:u w:val="single"/>
        </w:rPr>
      </w:pPr>
    </w:p>
    <w:p w:rsidR="00AB1DC5" w:rsidRDefault="00AB1DC5" w:rsidP="00664296">
      <w:pPr>
        <w:spacing w:line="240" w:lineRule="exact"/>
        <w:rPr>
          <w:b/>
          <w:color w:val="auto"/>
          <w:u w:val="single"/>
        </w:rPr>
      </w:pPr>
    </w:p>
    <w:p w:rsidR="00AB1DC5" w:rsidRDefault="00AB1DC5" w:rsidP="001D30C7">
      <w:pPr>
        <w:spacing w:line="240" w:lineRule="exact"/>
        <w:jc w:val="both"/>
        <w:rPr>
          <w:color w:val="auto"/>
        </w:rPr>
      </w:pPr>
      <w:r w:rsidRPr="00396779">
        <w:rPr>
          <w:color w:val="auto"/>
          <w:u w:val="single"/>
        </w:rPr>
        <w:t>RECOMMENDATION</w:t>
      </w:r>
      <w:r w:rsidRPr="00396779">
        <w:rPr>
          <w:color w:val="auto"/>
        </w:rPr>
        <w:t>:</w:t>
      </w:r>
      <w:r w:rsidRPr="00396779">
        <w:rPr>
          <w:color w:val="000080"/>
        </w:rPr>
        <w:t xml:space="preserve"> </w:t>
      </w:r>
      <w:r w:rsidRPr="00B427BB">
        <w:rPr>
          <w:color w:val="auto"/>
        </w:rPr>
        <w:t xml:space="preserve"> </w:t>
      </w:r>
      <w:r w:rsidR="00A46DA5" w:rsidRPr="00A46DA5">
        <w:rPr>
          <w:color w:val="auto"/>
        </w:rPr>
        <w:t xml:space="preserve">The Board recommends that the CI’s prior determination be modified as follows: </w:t>
      </w:r>
      <w:r w:rsidR="00110174">
        <w:rPr>
          <w:color w:val="auto"/>
        </w:rPr>
        <w:t>P</w:t>
      </w:r>
      <w:r w:rsidR="00A46DA5" w:rsidRPr="00A46DA5">
        <w:rPr>
          <w:color w:val="auto"/>
        </w:rPr>
        <w:t>ermanent 30% disability retirement as below.</w:t>
      </w:r>
    </w:p>
    <w:p w:rsidR="00AB1DC5" w:rsidRPr="00AF01B2" w:rsidRDefault="00AB1DC5" w:rsidP="00510F9C">
      <w:pPr>
        <w:spacing w:line="240" w:lineRule="exact"/>
        <w:jc w:val="both"/>
        <w:rPr>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950"/>
        <w:gridCol w:w="1710"/>
        <w:gridCol w:w="1530"/>
      </w:tblGrid>
      <w:tr w:rsidR="00110174" w:rsidRPr="00AF01B2">
        <w:trPr>
          <w:jc w:val="center"/>
        </w:trPr>
        <w:tc>
          <w:tcPr>
            <w:tcW w:w="4950" w:type="dxa"/>
            <w:shd w:val="clear" w:color="auto" w:fill="D9D9D9"/>
            <w:vAlign w:val="center"/>
          </w:tcPr>
          <w:p w:rsidR="00110174" w:rsidRPr="00AF01B2" w:rsidRDefault="00110174" w:rsidP="00EF6C4A">
            <w:pPr>
              <w:tabs>
                <w:tab w:val="left" w:pos="288"/>
                <w:tab w:val="left" w:pos="4752"/>
              </w:tabs>
              <w:spacing w:line="240" w:lineRule="exact"/>
              <w:jc w:val="center"/>
              <w:rPr>
                <w:b/>
                <w:color w:val="auto"/>
              </w:rPr>
            </w:pPr>
            <w:r w:rsidRPr="00AF01B2">
              <w:rPr>
                <w:b/>
                <w:color w:val="auto"/>
              </w:rPr>
              <w:t>UNFITTING CONDITION</w:t>
            </w:r>
          </w:p>
        </w:tc>
        <w:tc>
          <w:tcPr>
            <w:tcW w:w="1710" w:type="dxa"/>
            <w:shd w:val="clear" w:color="auto" w:fill="D9D9D9"/>
            <w:vAlign w:val="center"/>
          </w:tcPr>
          <w:p w:rsidR="00110174" w:rsidRPr="00AF01B2" w:rsidRDefault="00110174" w:rsidP="00EF6C4A">
            <w:pPr>
              <w:tabs>
                <w:tab w:val="left" w:pos="288"/>
                <w:tab w:val="left" w:pos="4752"/>
              </w:tabs>
              <w:spacing w:line="240" w:lineRule="exact"/>
              <w:jc w:val="center"/>
              <w:rPr>
                <w:b/>
                <w:color w:val="auto"/>
              </w:rPr>
            </w:pPr>
            <w:r w:rsidRPr="00AF01B2">
              <w:rPr>
                <w:b/>
                <w:color w:val="auto"/>
              </w:rPr>
              <w:t>VASRD CODE</w:t>
            </w:r>
          </w:p>
        </w:tc>
        <w:tc>
          <w:tcPr>
            <w:tcW w:w="1530" w:type="dxa"/>
            <w:shd w:val="pct15" w:color="auto" w:fill="auto"/>
            <w:vAlign w:val="center"/>
          </w:tcPr>
          <w:p w:rsidR="00110174" w:rsidRPr="00AF01B2" w:rsidRDefault="00110174" w:rsidP="00EF6C4A">
            <w:pPr>
              <w:tabs>
                <w:tab w:val="left" w:pos="288"/>
                <w:tab w:val="left" w:pos="4752"/>
              </w:tabs>
              <w:spacing w:line="240" w:lineRule="exact"/>
              <w:jc w:val="center"/>
              <w:rPr>
                <w:b/>
                <w:color w:val="auto"/>
              </w:rPr>
            </w:pPr>
            <w:r w:rsidRPr="00AF01B2">
              <w:rPr>
                <w:b/>
                <w:color w:val="auto"/>
              </w:rPr>
              <w:t>PERMANENT</w:t>
            </w:r>
          </w:p>
          <w:p w:rsidR="00110174" w:rsidRPr="00AF01B2" w:rsidRDefault="00110174" w:rsidP="00EF6C4A">
            <w:pPr>
              <w:tabs>
                <w:tab w:val="left" w:pos="288"/>
                <w:tab w:val="left" w:pos="4752"/>
              </w:tabs>
              <w:spacing w:line="240" w:lineRule="exact"/>
              <w:jc w:val="center"/>
              <w:rPr>
                <w:b/>
                <w:color w:val="auto"/>
              </w:rPr>
            </w:pPr>
            <w:r w:rsidRPr="00AF01B2">
              <w:rPr>
                <w:b/>
                <w:color w:val="auto"/>
              </w:rPr>
              <w:t>RATING</w:t>
            </w:r>
          </w:p>
        </w:tc>
      </w:tr>
      <w:tr w:rsidR="00110174" w:rsidRPr="00AF01B2">
        <w:trPr>
          <w:trHeight w:val="188"/>
          <w:jc w:val="center"/>
        </w:trPr>
        <w:tc>
          <w:tcPr>
            <w:tcW w:w="4950" w:type="dxa"/>
            <w:vAlign w:val="center"/>
          </w:tcPr>
          <w:p w:rsidR="00110174" w:rsidRPr="00AF01B2" w:rsidRDefault="00110174" w:rsidP="008C63A7">
            <w:pPr>
              <w:tabs>
                <w:tab w:val="left" w:pos="288"/>
                <w:tab w:val="left" w:pos="3538"/>
              </w:tabs>
              <w:spacing w:line="240" w:lineRule="exact"/>
              <w:rPr>
                <w:color w:val="auto"/>
              </w:rPr>
            </w:pPr>
            <w:r>
              <w:rPr>
                <w:color w:val="auto"/>
              </w:rPr>
              <w:t>Posttr</w:t>
            </w:r>
            <w:r w:rsidRPr="00AF01B2">
              <w:rPr>
                <w:color w:val="auto"/>
              </w:rPr>
              <w:t>aumatic Stress Disorder</w:t>
            </w:r>
          </w:p>
        </w:tc>
        <w:tc>
          <w:tcPr>
            <w:tcW w:w="1710" w:type="dxa"/>
            <w:vAlign w:val="center"/>
          </w:tcPr>
          <w:p w:rsidR="00110174" w:rsidRPr="00AF01B2" w:rsidRDefault="00110174" w:rsidP="00EF6C4A">
            <w:pPr>
              <w:tabs>
                <w:tab w:val="left" w:pos="288"/>
                <w:tab w:val="left" w:pos="4752"/>
              </w:tabs>
              <w:spacing w:line="240" w:lineRule="exact"/>
              <w:jc w:val="center"/>
              <w:rPr>
                <w:color w:val="auto"/>
              </w:rPr>
            </w:pPr>
            <w:r w:rsidRPr="00AF01B2">
              <w:rPr>
                <w:color w:val="auto"/>
              </w:rPr>
              <w:t>9411</w:t>
            </w:r>
          </w:p>
        </w:tc>
        <w:tc>
          <w:tcPr>
            <w:tcW w:w="1530" w:type="dxa"/>
            <w:vAlign w:val="center"/>
          </w:tcPr>
          <w:p w:rsidR="00110174" w:rsidRPr="001D30C7" w:rsidRDefault="00110174" w:rsidP="00EF6C4A">
            <w:pPr>
              <w:tabs>
                <w:tab w:val="left" w:pos="288"/>
                <w:tab w:val="left" w:pos="4752"/>
              </w:tabs>
              <w:spacing w:line="240" w:lineRule="exact"/>
              <w:jc w:val="center"/>
              <w:rPr>
                <w:color w:val="auto"/>
              </w:rPr>
            </w:pPr>
            <w:r>
              <w:rPr>
                <w:color w:val="auto"/>
              </w:rPr>
              <w:t>3</w:t>
            </w:r>
            <w:r w:rsidRPr="001D30C7">
              <w:rPr>
                <w:color w:val="auto"/>
              </w:rPr>
              <w:t>0%</w:t>
            </w:r>
          </w:p>
        </w:tc>
      </w:tr>
      <w:tr w:rsidR="00110174" w:rsidRPr="00AF01B2">
        <w:tblPrEx>
          <w:tblLook w:val="0000"/>
        </w:tblPrEx>
        <w:trPr>
          <w:gridBefore w:val="1"/>
          <w:wBefore w:w="4950" w:type="dxa"/>
          <w:trHeight w:val="188"/>
          <w:jc w:val="center"/>
        </w:trPr>
        <w:tc>
          <w:tcPr>
            <w:tcW w:w="1710" w:type="dxa"/>
            <w:tcBorders>
              <w:left w:val="single" w:sz="4" w:space="0" w:color="auto"/>
            </w:tcBorders>
            <w:shd w:val="pct15" w:color="auto" w:fill="auto"/>
            <w:vAlign w:val="center"/>
          </w:tcPr>
          <w:p w:rsidR="00110174" w:rsidRPr="00AF01B2" w:rsidRDefault="00110174" w:rsidP="00EF6C4A">
            <w:pPr>
              <w:tabs>
                <w:tab w:val="left" w:pos="288"/>
                <w:tab w:val="left" w:pos="4752"/>
              </w:tabs>
              <w:spacing w:line="240" w:lineRule="exact"/>
              <w:jc w:val="center"/>
              <w:rPr>
                <w:b/>
                <w:color w:val="auto"/>
              </w:rPr>
            </w:pPr>
            <w:r w:rsidRPr="00AF01B2">
              <w:rPr>
                <w:b/>
                <w:color w:val="auto"/>
              </w:rPr>
              <w:t>COMBINED</w:t>
            </w:r>
          </w:p>
        </w:tc>
        <w:tc>
          <w:tcPr>
            <w:tcW w:w="1530" w:type="dxa"/>
            <w:shd w:val="pct15" w:color="auto" w:fill="auto"/>
            <w:vAlign w:val="center"/>
          </w:tcPr>
          <w:p w:rsidR="00110174" w:rsidRPr="001D30C7" w:rsidRDefault="00110174" w:rsidP="00EF6C4A">
            <w:pPr>
              <w:tabs>
                <w:tab w:val="left" w:pos="288"/>
                <w:tab w:val="left" w:pos="4752"/>
              </w:tabs>
              <w:spacing w:line="240" w:lineRule="exact"/>
              <w:jc w:val="center"/>
              <w:rPr>
                <w:b/>
                <w:color w:val="auto"/>
              </w:rPr>
            </w:pPr>
            <w:r>
              <w:rPr>
                <w:b/>
                <w:color w:val="auto"/>
              </w:rPr>
              <w:t>3</w:t>
            </w:r>
            <w:r w:rsidRPr="001D30C7">
              <w:rPr>
                <w:b/>
                <w:color w:val="auto"/>
              </w:rPr>
              <w:t>0%</w:t>
            </w:r>
          </w:p>
        </w:tc>
      </w:tr>
    </w:tbl>
    <w:p w:rsidR="00AB1DC5" w:rsidRPr="00391858" w:rsidRDefault="00AB1DC5" w:rsidP="00510F9C">
      <w:pPr>
        <w:tabs>
          <w:tab w:val="left" w:pos="288"/>
          <w:tab w:val="left" w:pos="1710"/>
        </w:tabs>
        <w:spacing w:line="240" w:lineRule="exact"/>
        <w:rPr>
          <w:b/>
          <w:caps/>
          <w:color w:val="auto"/>
          <w:u w:val="single"/>
        </w:rPr>
      </w:pPr>
      <w:r w:rsidRPr="00391858">
        <w:rPr>
          <w:b/>
          <w:color w:val="auto"/>
          <w:u w:val="single"/>
        </w:rPr>
        <w:t>______________________________________________________________________________</w:t>
      </w:r>
    </w:p>
    <w:p w:rsidR="00AB1DC5" w:rsidRPr="00391858" w:rsidRDefault="00AB1DC5" w:rsidP="00510F9C">
      <w:pPr>
        <w:tabs>
          <w:tab w:val="left" w:pos="288"/>
          <w:tab w:val="left" w:pos="4752"/>
        </w:tabs>
        <w:spacing w:line="240" w:lineRule="exact"/>
        <w:rPr>
          <w:b/>
          <w:color w:val="auto"/>
        </w:rPr>
      </w:pPr>
    </w:p>
    <w:p w:rsidR="00AB1DC5" w:rsidRPr="00006186" w:rsidRDefault="00AB1DC5" w:rsidP="00510F9C">
      <w:pPr>
        <w:tabs>
          <w:tab w:val="left" w:pos="288"/>
          <w:tab w:val="left" w:pos="4752"/>
        </w:tabs>
        <w:spacing w:line="240" w:lineRule="exact"/>
        <w:jc w:val="both"/>
        <w:rPr>
          <w:color w:val="auto"/>
        </w:rPr>
      </w:pPr>
      <w:r>
        <w:rPr>
          <w:color w:val="auto"/>
        </w:rPr>
        <w:t>The following documentary evidence was considered:</w:t>
      </w:r>
    </w:p>
    <w:p w:rsidR="00AB1DC5" w:rsidRPr="00006186" w:rsidRDefault="00AB1DC5" w:rsidP="00510F9C">
      <w:pPr>
        <w:tabs>
          <w:tab w:val="left" w:pos="288"/>
          <w:tab w:val="left" w:pos="4752"/>
        </w:tabs>
        <w:spacing w:line="240" w:lineRule="exact"/>
        <w:jc w:val="both"/>
        <w:rPr>
          <w:color w:val="auto"/>
        </w:rPr>
      </w:pPr>
    </w:p>
    <w:p w:rsidR="00AB1DC5" w:rsidRPr="001D30C7" w:rsidRDefault="00AB1DC5" w:rsidP="001D30C7">
      <w:pPr>
        <w:tabs>
          <w:tab w:val="left" w:pos="288"/>
          <w:tab w:val="left" w:pos="4752"/>
        </w:tabs>
        <w:spacing w:line="240" w:lineRule="exact"/>
        <w:jc w:val="both"/>
        <w:rPr>
          <w:color w:val="auto"/>
        </w:rPr>
      </w:pPr>
      <w:r w:rsidRPr="001D30C7">
        <w:rPr>
          <w:color w:val="auto"/>
        </w:rPr>
        <w:t>Exhibit A.  DD Fo</w:t>
      </w:r>
      <w:r w:rsidR="00110174">
        <w:rPr>
          <w:color w:val="auto"/>
        </w:rPr>
        <w:t>rm 294, dated 20100826, w/</w:t>
      </w:r>
      <w:proofErr w:type="spellStart"/>
      <w:r w:rsidR="00110174">
        <w:rPr>
          <w:color w:val="auto"/>
        </w:rPr>
        <w:t>atchs</w:t>
      </w:r>
      <w:proofErr w:type="spellEnd"/>
    </w:p>
    <w:p w:rsidR="00AB1DC5" w:rsidRPr="001D30C7" w:rsidRDefault="00AB1DC5" w:rsidP="001D30C7">
      <w:pPr>
        <w:tabs>
          <w:tab w:val="left" w:pos="288"/>
          <w:tab w:val="left" w:pos="4752"/>
        </w:tabs>
        <w:spacing w:line="240" w:lineRule="exact"/>
        <w:jc w:val="both"/>
        <w:rPr>
          <w:color w:val="auto"/>
        </w:rPr>
      </w:pPr>
      <w:r w:rsidRPr="001D30C7">
        <w:rPr>
          <w:color w:val="auto"/>
        </w:rPr>
        <w:t>Exhib</w:t>
      </w:r>
      <w:r w:rsidR="00110174">
        <w:rPr>
          <w:color w:val="auto"/>
        </w:rPr>
        <w:t>it B.  Service Treatment Record</w:t>
      </w:r>
    </w:p>
    <w:p w:rsidR="00AB1DC5" w:rsidRPr="001D30C7" w:rsidRDefault="00AB1DC5" w:rsidP="001D30C7">
      <w:pPr>
        <w:tabs>
          <w:tab w:val="left" w:pos="288"/>
          <w:tab w:val="left" w:pos="4752"/>
        </w:tabs>
        <w:spacing w:line="240" w:lineRule="exact"/>
        <w:jc w:val="both"/>
        <w:rPr>
          <w:color w:val="auto"/>
        </w:rPr>
      </w:pPr>
      <w:r w:rsidRPr="001D30C7">
        <w:rPr>
          <w:color w:val="auto"/>
        </w:rPr>
        <w:t>Exhibit C.  Department of Vet</w:t>
      </w:r>
      <w:r w:rsidR="00110174">
        <w:rPr>
          <w:color w:val="auto"/>
        </w:rPr>
        <w:t>erans' Affairs Treatment Record</w:t>
      </w:r>
    </w:p>
    <w:p w:rsidR="00AB1DC5" w:rsidRPr="00006186" w:rsidRDefault="00AB1DC5" w:rsidP="00510F9C">
      <w:pPr>
        <w:tabs>
          <w:tab w:val="left" w:pos="288"/>
          <w:tab w:val="left" w:pos="4752"/>
        </w:tabs>
        <w:spacing w:line="240" w:lineRule="exact"/>
        <w:jc w:val="both"/>
        <w:rPr>
          <w:color w:val="auto"/>
        </w:rPr>
      </w:pPr>
    </w:p>
    <w:p w:rsidR="00AB1DC5" w:rsidRPr="00006186" w:rsidRDefault="00AB1DC5" w:rsidP="00510F9C">
      <w:pPr>
        <w:tabs>
          <w:tab w:val="left" w:pos="288"/>
          <w:tab w:val="left" w:pos="4752"/>
        </w:tabs>
        <w:spacing w:line="240" w:lineRule="exact"/>
        <w:jc w:val="both"/>
        <w:rPr>
          <w:color w:val="auto"/>
        </w:rPr>
      </w:pPr>
    </w:p>
    <w:p w:rsidR="00AB1DC5" w:rsidRPr="00006186" w:rsidRDefault="00AB1DC5" w:rsidP="00510F9C">
      <w:pPr>
        <w:tabs>
          <w:tab w:val="left" w:pos="288"/>
          <w:tab w:val="left" w:pos="4752"/>
        </w:tabs>
        <w:spacing w:line="240" w:lineRule="exact"/>
        <w:jc w:val="both"/>
        <w:rPr>
          <w:color w:val="auto"/>
        </w:rPr>
      </w:pPr>
    </w:p>
    <w:p w:rsidR="00AB1DC5" w:rsidRPr="00423148" w:rsidRDefault="00450719" w:rsidP="00423148">
      <w:pPr>
        <w:tabs>
          <w:tab w:val="left" w:pos="0"/>
          <w:tab w:val="left" w:pos="4320"/>
        </w:tabs>
        <w:spacing w:line="240" w:lineRule="exact"/>
        <w:jc w:val="both"/>
        <w:rPr>
          <w:color w:val="auto"/>
        </w:rPr>
      </w:pPr>
      <w:r>
        <w:rPr>
          <w:color w:val="auto"/>
        </w:rPr>
        <w:t xml:space="preserve"> </w:t>
      </w:r>
    </w:p>
    <w:p w:rsidR="00450719" w:rsidRDefault="00AB1DC5" w:rsidP="004E3C42">
      <w:pPr>
        <w:tabs>
          <w:tab w:val="left" w:pos="0"/>
          <w:tab w:val="left" w:pos="4320"/>
        </w:tabs>
        <w:spacing w:line="240" w:lineRule="exact"/>
        <w:jc w:val="both"/>
        <w:rPr>
          <w:color w:val="auto"/>
        </w:rPr>
      </w:pPr>
      <w:r w:rsidRPr="00423148">
        <w:rPr>
          <w:color w:val="auto"/>
        </w:rPr>
        <w:t xml:space="preserve">                             </w:t>
      </w:r>
      <w:r w:rsidRPr="00423148">
        <w:rPr>
          <w:color w:val="auto"/>
        </w:rPr>
        <w:tab/>
      </w:r>
      <w:r w:rsidRPr="00423148">
        <w:rPr>
          <w:color w:val="auto"/>
        </w:rPr>
        <w:tab/>
        <w:t>President</w:t>
      </w:r>
      <w:r w:rsidRPr="00423148">
        <w:rPr>
          <w:color w:val="auto"/>
        </w:rPr>
        <w:tab/>
        <w:t xml:space="preserve">                           </w:t>
      </w:r>
      <w:r w:rsidRPr="00423148">
        <w:rPr>
          <w:color w:val="auto"/>
        </w:rPr>
        <w:tab/>
      </w:r>
      <w:r w:rsidRPr="00423148">
        <w:rPr>
          <w:color w:val="auto"/>
        </w:rPr>
        <w:tab/>
      </w:r>
      <w:r w:rsidRPr="00423148">
        <w:rPr>
          <w:color w:val="auto"/>
        </w:rPr>
        <w:tab/>
      </w:r>
      <w:r w:rsidRPr="00423148">
        <w:rPr>
          <w:color w:val="auto"/>
        </w:rPr>
        <w:tab/>
        <w:t>Physical Disability Board of Review</w:t>
      </w:r>
    </w:p>
    <w:p w:rsidR="00450719" w:rsidRDefault="00450719">
      <w:pPr>
        <w:rPr>
          <w:color w:val="auto"/>
        </w:rPr>
      </w:pPr>
      <w:r>
        <w:rPr>
          <w:color w:val="auto"/>
        </w:rPr>
        <w:br w:type="page"/>
      </w:r>
    </w:p>
    <w:p w:rsidR="00450719" w:rsidRPr="00450719" w:rsidRDefault="00450719" w:rsidP="00450719">
      <w:pPr>
        <w:tabs>
          <w:tab w:val="left" w:pos="576"/>
        </w:tabs>
        <w:spacing w:line="240" w:lineRule="exact"/>
        <w:ind w:right="-1080"/>
        <w:rPr>
          <w:rFonts w:ascii="Times New Roman" w:hAnsi="Times New Roman"/>
          <w:color w:val="auto"/>
        </w:rPr>
      </w:pPr>
      <w:r w:rsidRPr="00450719">
        <w:rPr>
          <w:rFonts w:ascii="Times New Roman" w:hAnsi="Times New Roman"/>
          <w:color w:val="auto"/>
        </w:rPr>
        <w:lastRenderedPageBreak/>
        <w:t>SAF/MRB</w:t>
      </w:r>
    </w:p>
    <w:p w:rsidR="00450719" w:rsidRPr="00450719" w:rsidRDefault="00450719" w:rsidP="00450719">
      <w:pPr>
        <w:tabs>
          <w:tab w:val="left" w:pos="576"/>
        </w:tabs>
        <w:spacing w:line="240" w:lineRule="exact"/>
        <w:ind w:right="-1080"/>
        <w:rPr>
          <w:rFonts w:ascii="Times New Roman" w:hAnsi="Times New Roman"/>
          <w:color w:val="auto"/>
        </w:rPr>
      </w:pPr>
      <w:r w:rsidRPr="00450719">
        <w:rPr>
          <w:rFonts w:ascii="Times New Roman" w:hAnsi="Times New Roman"/>
          <w:color w:val="auto"/>
        </w:rPr>
        <w:t>1500 West Perimeter Road, Suite 3700</w:t>
      </w:r>
    </w:p>
    <w:p w:rsidR="00450719" w:rsidRPr="00450719" w:rsidRDefault="00450719" w:rsidP="00450719">
      <w:pPr>
        <w:tabs>
          <w:tab w:val="left" w:pos="576"/>
        </w:tabs>
        <w:spacing w:line="240" w:lineRule="exact"/>
        <w:ind w:right="-1080"/>
        <w:rPr>
          <w:rFonts w:ascii="Times New Roman" w:hAnsi="Times New Roman"/>
          <w:color w:val="auto"/>
        </w:rPr>
      </w:pPr>
      <w:r w:rsidRPr="00450719">
        <w:rPr>
          <w:rFonts w:ascii="Times New Roman" w:hAnsi="Times New Roman"/>
          <w:color w:val="auto"/>
        </w:rPr>
        <w:t>Joint Base Andrews MD  20762</w:t>
      </w:r>
    </w:p>
    <w:p w:rsidR="00450719" w:rsidRPr="00450719" w:rsidRDefault="00450719" w:rsidP="00450719">
      <w:pPr>
        <w:tabs>
          <w:tab w:val="left" w:pos="720"/>
        </w:tabs>
        <w:spacing w:line="240" w:lineRule="exact"/>
        <w:ind w:right="-1080"/>
        <w:rPr>
          <w:rFonts w:ascii="Times New Roman" w:hAnsi="Times New Roman"/>
          <w:bCs/>
          <w:color w:val="auto"/>
        </w:rPr>
      </w:pPr>
    </w:p>
    <w:p w:rsidR="00450719" w:rsidRPr="00450719" w:rsidRDefault="00450719" w:rsidP="00450719">
      <w:pPr>
        <w:tabs>
          <w:tab w:val="left" w:pos="720"/>
        </w:tabs>
        <w:spacing w:line="240" w:lineRule="exact"/>
        <w:ind w:right="-1080"/>
        <w:rPr>
          <w:rFonts w:ascii="Times New Roman" w:hAnsi="Times New Roman"/>
          <w:color w:val="auto"/>
        </w:rPr>
      </w:pPr>
      <w:r>
        <w:rPr>
          <w:rFonts w:ascii="Times New Roman" w:hAnsi="Times New Roman"/>
          <w:color w:val="auto"/>
        </w:rPr>
        <w:t xml:space="preserve"> </w:t>
      </w:r>
    </w:p>
    <w:p w:rsidR="00450719" w:rsidRPr="00450719" w:rsidRDefault="00450719" w:rsidP="00450719">
      <w:pPr>
        <w:tabs>
          <w:tab w:val="left" w:pos="720"/>
        </w:tabs>
        <w:spacing w:line="240" w:lineRule="exact"/>
        <w:ind w:right="-1080"/>
        <w:rPr>
          <w:rFonts w:ascii="Times New Roman" w:hAnsi="Times New Roman"/>
          <w:color w:val="auto"/>
          <w:sz w:val="20"/>
        </w:rPr>
      </w:pPr>
    </w:p>
    <w:p w:rsidR="00450719" w:rsidRPr="00450719" w:rsidRDefault="00450719" w:rsidP="00450719">
      <w:pPr>
        <w:tabs>
          <w:tab w:val="left" w:pos="720"/>
        </w:tabs>
        <w:spacing w:line="240" w:lineRule="exact"/>
        <w:ind w:right="-360"/>
        <w:rPr>
          <w:rFonts w:ascii="Times New Roman" w:hAnsi="Times New Roman"/>
          <w:color w:val="auto"/>
        </w:rPr>
      </w:pPr>
      <w:r w:rsidRPr="00450719">
        <w:rPr>
          <w:rFonts w:ascii="Times New Roman" w:hAnsi="Times New Roman"/>
          <w:color w:val="auto"/>
        </w:rPr>
        <w:tab/>
        <w:t xml:space="preserve">Reference your application submitted under the provisions of </w:t>
      </w:r>
      <w:proofErr w:type="spellStart"/>
      <w:r w:rsidRPr="00450719">
        <w:rPr>
          <w:rFonts w:ascii="Times New Roman" w:hAnsi="Times New Roman"/>
          <w:color w:val="auto"/>
        </w:rPr>
        <w:t>DoDI</w:t>
      </w:r>
      <w:proofErr w:type="spellEnd"/>
      <w:r w:rsidRPr="00450719">
        <w:rPr>
          <w:rFonts w:ascii="Times New Roman" w:hAnsi="Times New Roman"/>
          <w:color w:val="auto"/>
        </w:rPr>
        <w:t xml:space="preserve"> 6040.44 (Section 1554, 10 USC), PDBR Case Number PD-2010-01031.</w:t>
      </w:r>
    </w:p>
    <w:p w:rsidR="00450719" w:rsidRPr="00450719" w:rsidRDefault="00450719" w:rsidP="00450719">
      <w:pPr>
        <w:tabs>
          <w:tab w:val="left" w:pos="720"/>
        </w:tabs>
        <w:spacing w:line="240" w:lineRule="exact"/>
        <w:ind w:right="-1080"/>
        <w:rPr>
          <w:rFonts w:ascii="Times New Roman" w:hAnsi="Times New Roman"/>
          <w:color w:val="auto"/>
          <w:sz w:val="20"/>
        </w:rPr>
      </w:pPr>
    </w:p>
    <w:p w:rsidR="00450719" w:rsidRPr="00450719" w:rsidRDefault="00450719" w:rsidP="00450719">
      <w:pPr>
        <w:tabs>
          <w:tab w:val="left" w:pos="720"/>
        </w:tabs>
        <w:spacing w:line="240" w:lineRule="exact"/>
        <w:ind w:right="-360"/>
        <w:rPr>
          <w:rFonts w:ascii="Times New Roman" w:hAnsi="Times New Roman"/>
          <w:color w:val="auto"/>
        </w:rPr>
      </w:pPr>
      <w:r w:rsidRPr="00450719">
        <w:rPr>
          <w:rFonts w:ascii="Times New Roman" w:hAnsi="Times New Roman"/>
          <w:color w:val="auto"/>
        </w:rPr>
        <w:tab/>
        <w:t>After careful consideration of your application and treatment records, the Physical Disability Board of Review determined that the rating assigned at the time of final disposition of your disability evaluation system processing was not appropriate under the guidelines of the Veterans Administration Schedule for Rating Disabilities.  Accordingly, the Board recommended your separation be re-characterized to reflect disability retirement, rather than separation with severance pay.</w:t>
      </w:r>
    </w:p>
    <w:p w:rsidR="00450719" w:rsidRPr="00450719" w:rsidRDefault="00450719" w:rsidP="00450719">
      <w:pPr>
        <w:tabs>
          <w:tab w:val="left" w:pos="720"/>
        </w:tabs>
        <w:spacing w:line="240" w:lineRule="exact"/>
        <w:ind w:right="-1080"/>
        <w:rPr>
          <w:rFonts w:ascii="Times New Roman" w:hAnsi="Times New Roman"/>
          <w:color w:val="auto"/>
          <w:sz w:val="20"/>
        </w:rPr>
      </w:pPr>
    </w:p>
    <w:p w:rsidR="00450719" w:rsidRPr="00450719" w:rsidRDefault="00450719" w:rsidP="00450719">
      <w:pPr>
        <w:tabs>
          <w:tab w:val="left" w:pos="720"/>
        </w:tabs>
        <w:spacing w:line="240" w:lineRule="exact"/>
        <w:rPr>
          <w:rFonts w:ascii="Times New Roman" w:hAnsi="Times New Roman"/>
          <w:color w:val="auto"/>
        </w:rPr>
      </w:pPr>
      <w:r w:rsidRPr="00450719">
        <w:rPr>
          <w:rFonts w:ascii="Times New Roman" w:hAnsi="Times New Roman"/>
          <w:color w:val="auto"/>
        </w:rPr>
        <w:tab/>
        <w:t>I have carefully reviewed the evidence of record and the recommendation of the Board.  I concur with that finding, accept their recommendation and determined that your records should be corrected accordingly.  The office responsible for making the correction will inform you when your records have been changed.</w:t>
      </w:r>
    </w:p>
    <w:p w:rsidR="00450719" w:rsidRPr="00450719" w:rsidRDefault="00450719" w:rsidP="00450719">
      <w:pPr>
        <w:tabs>
          <w:tab w:val="left" w:pos="720"/>
        </w:tabs>
        <w:spacing w:line="240" w:lineRule="exact"/>
        <w:rPr>
          <w:rFonts w:ascii="Times New Roman" w:hAnsi="Times New Roman"/>
          <w:color w:val="auto"/>
        </w:rPr>
      </w:pPr>
      <w:r w:rsidRPr="00450719">
        <w:rPr>
          <w:rFonts w:ascii="Times New Roman" w:hAnsi="Times New Roman"/>
          <w:color w:val="auto"/>
        </w:rPr>
        <w:t xml:space="preserve"> </w:t>
      </w:r>
    </w:p>
    <w:p w:rsidR="00450719" w:rsidRPr="00450719" w:rsidRDefault="00450719" w:rsidP="00450719">
      <w:pPr>
        <w:tabs>
          <w:tab w:val="left" w:pos="720"/>
        </w:tabs>
        <w:spacing w:line="240" w:lineRule="exact"/>
        <w:rPr>
          <w:rFonts w:ascii="Times New Roman" w:hAnsi="Times New Roman"/>
          <w:color w:val="auto"/>
          <w:sz w:val="20"/>
        </w:rPr>
      </w:pPr>
    </w:p>
    <w:p w:rsidR="00450719" w:rsidRPr="00450719" w:rsidRDefault="00450719" w:rsidP="00450719">
      <w:pPr>
        <w:tabs>
          <w:tab w:val="left" w:pos="720"/>
        </w:tabs>
        <w:spacing w:line="240" w:lineRule="exact"/>
        <w:ind w:right="-1080"/>
        <w:rPr>
          <w:rFonts w:ascii="Times New Roman" w:hAnsi="Times New Roman"/>
          <w:color w:val="auto"/>
        </w:rPr>
      </w:pPr>
      <w:r w:rsidRPr="00450719">
        <w:rPr>
          <w:rFonts w:ascii="Times New Roman" w:hAnsi="Times New Roman"/>
          <w:color w:val="auto"/>
        </w:rPr>
        <w:tab/>
      </w:r>
      <w:r w:rsidRPr="00450719">
        <w:rPr>
          <w:rFonts w:ascii="Times New Roman" w:hAnsi="Times New Roman"/>
          <w:color w:val="auto"/>
        </w:rPr>
        <w:tab/>
      </w:r>
      <w:r w:rsidRPr="00450719">
        <w:rPr>
          <w:rFonts w:ascii="Times New Roman" w:hAnsi="Times New Roman"/>
          <w:color w:val="auto"/>
        </w:rPr>
        <w:tab/>
      </w:r>
      <w:r w:rsidRPr="00450719">
        <w:rPr>
          <w:rFonts w:ascii="Times New Roman" w:hAnsi="Times New Roman"/>
          <w:color w:val="auto"/>
        </w:rPr>
        <w:tab/>
      </w:r>
      <w:r w:rsidRPr="00450719">
        <w:rPr>
          <w:rFonts w:ascii="Times New Roman" w:hAnsi="Times New Roman"/>
          <w:color w:val="auto"/>
        </w:rPr>
        <w:tab/>
      </w:r>
      <w:r w:rsidRPr="00450719">
        <w:rPr>
          <w:rFonts w:ascii="Times New Roman" w:hAnsi="Times New Roman"/>
          <w:color w:val="auto"/>
        </w:rPr>
        <w:tab/>
      </w:r>
      <w:r w:rsidRPr="00450719">
        <w:rPr>
          <w:rFonts w:ascii="Times New Roman" w:hAnsi="Times New Roman"/>
          <w:color w:val="auto"/>
        </w:rPr>
        <w:tab/>
        <w:t>Sincerely,</w:t>
      </w:r>
    </w:p>
    <w:p w:rsidR="00450719" w:rsidRPr="00450719" w:rsidRDefault="00450719" w:rsidP="00450719">
      <w:pPr>
        <w:tabs>
          <w:tab w:val="left" w:pos="720"/>
        </w:tabs>
        <w:spacing w:line="240" w:lineRule="exact"/>
        <w:ind w:right="-1080"/>
        <w:rPr>
          <w:rFonts w:ascii="Times New Roman" w:hAnsi="Times New Roman"/>
          <w:color w:val="auto"/>
          <w:sz w:val="20"/>
        </w:rPr>
      </w:pPr>
    </w:p>
    <w:p w:rsidR="00450719" w:rsidRPr="00450719" w:rsidRDefault="00450719" w:rsidP="00450719">
      <w:pPr>
        <w:tabs>
          <w:tab w:val="left" w:pos="720"/>
        </w:tabs>
        <w:spacing w:line="240" w:lineRule="exact"/>
        <w:ind w:right="-1080"/>
        <w:rPr>
          <w:rFonts w:ascii="Times New Roman" w:hAnsi="Times New Roman"/>
          <w:color w:val="auto"/>
          <w:sz w:val="20"/>
        </w:rPr>
      </w:pPr>
    </w:p>
    <w:p w:rsidR="00450719" w:rsidRPr="00450719" w:rsidRDefault="00450719" w:rsidP="00450719">
      <w:pPr>
        <w:tabs>
          <w:tab w:val="left" w:pos="720"/>
        </w:tabs>
        <w:spacing w:line="240" w:lineRule="exact"/>
        <w:ind w:right="-1080"/>
        <w:rPr>
          <w:rFonts w:ascii="Times New Roman" w:hAnsi="Times New Roman"/>
          <w:color w:val="auto"/>
          <w:sz w:val="20"/>
        </w:rPr>
      </w:pPr>
    </w:p>
    <w:p w:rsidR="00450719" w:rsidRPr="00450719" w:rsidRDefault="00450719" w:rsidP="00450719">
      <w:pPr>
        <w:tabs>
          <w:tab w:val="left" w:pos="720"/>
        </w:tabs>
        <w:spacing w:line="240" w:lineRule="exact"/>
        <w:ind w:right="-1080"/>
        <w:rPr>
          <w:rFonts w:ascii="Times New Roman" w:hAnsi="Times New Roman"/>
          <w:color w:val="auto"/>
          <w:sz w:val="20"/>
        </w:rPr>
      </w:pPr>
    </w:p>
    <w:p w:rsidR="00450719" w:rsidRPr="00450719" w:rsidRDefault="00450719" w:rsidP="00450719">
      <w:pPr>
        <w:tabs>
          <w:tab w:val="left" w:pos="720"/>
        </w:tabs>
        <w:spacing w:line="240" w:lineRule="exact"/>
        <w:ind w:left="5040" w:right="-1080"/>
        <w:rPr>
          <w:rFonts w:ascii="Times New Roman" w:hAnsi="Times New Roman"/>
          <w:color w:val="auto"/>
        </w:rPr>
      </w:pPr>
      <w:r>
        <w:rPr>
          <w:rFonts w:ascii="Times New Roman" w:hAnsi="Times New Roman"/>
          <w:color w:val="auto"/>
        </w:rPr>
        <w:t xml:space="preserve"> </w:t>
      </w:r>
    </w:p>
    <w:p w:rsidR="00450719" w:rsidRPr="00450719" w:rsidRDefault="00450719" w:rsidP="00450719">
      <w:pPr>
        <w:tabs>
          <w:tab w:val="left" w:pos="720"/>
        </w:tabs>
        <w:spacing w:line="240" w:lineRule="exact"/>
        <w:ind w:left="5040" w:right="-1080"/>
        <w:rPr>
          <w:rFonts w:ascii="Times New Roman" w:hAnsi="Times New Roman"/>
          <w:color w:val="auto"/>
        </w:rPr>
      </w:pPr>
      <w:r w:rsidRPr="00450719">
        <w:rPr>
          <w:rFonts w:ascii="Times New Roman" w:hAnsi="Times New Roman"/>
          <w:color w:val="auto"/>
        </w:rPr>
        <w:t>Director</w:t>
      </w:r>
    </w:p>
    <w:p w:rsidR="00450719" w:rsidRPr="00450719" w:rsidRDefault="00450719" w:rsidP="00450719">
      <w:pPr>
        <w:tabs>
          <w:tab w:val="left" w:pos="720"/>
        </w:tabs>
        <w:spacing w:line="240" w:lineRule="exact"/>
        <w:ind w:left="5040" w:right="-1080"/>
        <w:rPr>
          <w:rFonts w:ascii="Times New Roman" w:hAnsi="Times New Roman"/>
          <w:color w:val="auto"/>
        </w:rPr>
      </w:pPr>
      <w:r w:rsidRPr="00450719">
        <w:rPr>
          <w:rFonts w:ascii="Times New Roman" w:hAnsi="Times New Roman"/>
          <w:color w:val="auto"/>
        </w:rPr>
        <w:t>Air Force Review Boards Agency</w:t>
      </w:r>
    </w:p>
    <w:p w:rsidR="00450719" w:rsidRPr="00450719" w:rsidRDefault="00450719" w:rsidP="00450719">
      <w:pPr>
        <w:tabs>
          <w:tab w:val="left" w:pos="720"/>
        </w:tabs>
        <w:spacing w:line="240" w:lineRule="exact"/>
        <w:ind w:right="-1080"/>
        <w:rPr>
          <w:rFonts w:ascii="Times New Roman" w:hAnsi="Times New Roman"/>
          <w:color w:val="auto"/>
        </w:rPr>
      </w:pPr>
    </w:p>
    <w:p w:rsidR="00450719" w:rsidRPr="00450719" w:rsidRDefault="00450719" w:rsidP="00450719">
      <w:pPr>
        <w:tabs>
          <w:tab w:val="left" w:pos="720"/>
        </w:tabs>
        <w:spacing w:line="240" w:lineRule="exact"/>
        <w:ind w:right="-1080"/>
        <w:rPr>
          <w:rFonts w:ascii="Times New Roman" w:hAnsi="Times New Roman"/>
          <w:color w:val="auto"/>
        </w:rPr>
      </w:pPr>
      <w:r w:rsidRPr="00450719">
        <w:rPr>
          <w:rFonts w:ascii="Times New Roman" w:hAnsi="Times New Roman"/>
          <w:color w:val="auto"/>
        </w:rPr>
        <w:t>Attachment:</w:t>
      </w:r>
    </w:p>
    <w:p w:rsidR="00450719" w:rsidRPr="00450719" w:rsidRDefault="00450719" w:rsidP="00450719">
      <w:pPr>
        <w:tabs>
          <w:tab w:val="left" w:pos="720"/>
        </w:tabs>
        <w:spacing w:line="240" w:lineRule="exact"/>
        <w:ind w:right="-1080"/>
        <w:rPr>
          <w:rFonts w:ascii="Times New Roman" w:hAnsi="Times New Roman"/>
          <w:color w:val="auto"/>
        </w:rPr>
      </w:pPr>
      <w:r w:rsidRPr="00450719">
        <w:rPr>
          <w:rFonts w:ascii="Times New Roman" w:hAnsi="Times New Roman"/>
          <w:color w:val="auto"/>
        </w:rPr>
        <w:t>Record of Proceedings</w:t>
      </w:r>
    </w:p>
    <w:p w:rsidR="00450719" w:rsidRPr="00450719" w:rsidRDefault="00450719" w:rsidP="00450719">
      <w:pPr>
        <w:tabs>
          <w:tab w:val="left" w:pos="720"/>
        </w:tabs>
        <w:spacing w:line="240" w:lineRule="exact"/>
        <w:ind w:right="-1080"/>
        <w:rPr>
          <w:rFonts w:ascii="Times New Roman" w:hAnsi="Times New Roman"/>
          <w:color w:val="auto"/>
        </w:rPr>
      </w:pPr>
    </w:p>
    <w:p w:rsidR="00450719" w:rsidRPr="00450719" w:rsidRDefault="00450719" w:rsidP="00450719">
      <w:pPr>
        <w:tabs>
          <w:tab w:val="left" w:pos="720"/>
        </w:tabs>
        <w:spacing w:line="240" w:lineRule="exact"/>
        <w:ind w:right="-1080"/>
        <w:rPr>
          <w:rFonts w:ascii="Times New Roman" w:hAnsi="Times New Roman"/>
          <w:color w:val="auto"/>
        </w:rPr>
      </w:pPr>
      <w:r w:rsidRPr="00450719">
        <w:rPr>
          <w:rFonts w:ascii="Times New Roman" w:hAnsi="Times New Roman"/>
          <w:color w:val="auto"/>
        </w:rPr>
        <w:t>cc:</w:t>
      </w:r>
    </w:p>
    <w:p w:rsidR="00450719" w:rsidRPr="00450719" w:rsidRDefault="00450719" w:rsidP="00450719">
      <w:pPr>
        <w:tabs>
          <w:tab w:val="left" w:pos="720"/>
        </w:tabs>
        <w:spacing w:line="240" w:lineRule="exact"/>
        <w:ind w:right="-1080"/>
        <w:rPr>
          <w:rFonts w:ascii="Times New Roman" w:hAnsi="Times New Roman"/>
          <w:color w:val="auto"/>
        </w:rPr>
      </w:pPr>
      <w:r w:rsidRPr="00450719">
        <w:rPr>
          <w:rFonts w:ascii="Times New Roman" w:hAnsi="Times New Roman"/>
          <w:color w:val="auto"/>
        </w:rPr>
        <w:t>SAF/MRBR</w:t>
      </w:r>
    </w:p>
    <w:p w:rsidR="00450719" w:rsidRPr="00450719" w:rsidRDefault="00450719" w:rsidP="00450719">
      <w:pPr>
        <w:tabs>
          <w:tab w:val="left" w:pos="720"/>
        </w:tabs>
        <w:spacing w:line="240" w:lineRule="exact"/>
        <w:ind w:right="-1080"/>
        <w:rPr>
          <w:rFonts w:ascii="Times New Roman" w:hAnsi="Times New Roman"/>
          <w:color w:val="auto"/>
        </w:rPr>
        <w:sectPr w:rsidR="00450719" w:rsidRPr="00450719" w:rsidSect="00450719">
          <w:headerReference w:type="default" r:id="rId7"/>
          <w:footnotePr>
            <w:numRestart w:val="eachSect"/>
          </w:footnotePr>
          <w:pgSz w:w="12240" w:h="15840" w:code="1"/>
          <w:pgMar w:top="1440" w:right="1440" w:bottom="990" w:left="1440" w:header="720" w:footer="720" w:gutter="0"/>
          <w:cols w:space="720"/>
        </w:sectPr>
      </w:pPr>
      <w:r w:rsidRPr="00450719">
        <w:rPr>
          <w:rFonts w:ascii="Times New Roman" w:hAnsi="Times New Roman"/>
          <w:color w:val="auto"/>
        </w:rPr>
        <w:t>DFAS-IN</w:t>
      </w:r>
    </w:p>
    <w:p w:rsidR="00450719" w:rsidRPr="00366E20" w:rsidRDefault="00450719" w:rsidP="00450719">
      <w:pPr>
        <w:tabs>
          <w:tab w:val="left" w:pos="720"/>
        </w:tabs>
        <w:spacing w:line="240" w:lineRule="exact"/>
        <w:ind w:right="-360"/>
        <w:outlineLvl w:val="0"/>
        <w:rPr>
          <w:rFonts w:ascii="Times New Roman" w:hAnsi="Times New Roman"/>
          <w:color w:val="000080"/>
        </w:rPr>
      </w:pPr>
      <w:r>
        <w:rPr>
          <w:rFonts w:ascii="Times New Roman" w:hAnsi="Times New Roman"/>
          <w:color w:val="000080"/>
        </w:rPr>
        <w:lastRenderedPageBreak/>
        <w:t>PDBR PD-2010-01031</w:t>
      </w:r>
    </w:p>
    <w:p w:rsidR="00450719" w:rsidRPr="00366E20" w:rsidRDefault="00450719" w:rsidP="00450719">
      <w:pPr>
        <w:tabs>
          <w:tab w:val="left" w:pos="720"/>
        </w:tabs>
        <w:spacing w:line="240" w:lineRule="exact"/>
        <w:ind w:right="-360"/>
        <w:rPr>
          <w:rFonts w:ascii="Times New Roman" w:hAnsi="Times New Roman"/>
          <w:color w:val="000080"/>
        </w:rPr>
      </w:pPr>
    </w:p>
    <w:p w:rsidR="00450719" w:rsidRPr="00366E20" w:rsidRDefault="00450719" w:rsidP="00450719">
      <w:pPr>
        <w:tabs>
          <w:tab w:val="left" w:pos="720"/>
        </w:tabs>
        <w:spacing w:line="240" w:lineRule="exact"/>
        <w:ind w:right="-360"/>
        <w:rPr>
          <w:rFonts w:ascii="Times New Roman" w:hAnsi="Times New Roman"/>
          <w:color w:val="000080"/>
        </w:rPr>
      </w:pPr>
    </w:p>
    <w:p w:rsidR="00450719" w:rsidRPr="00366E20" w:rsidRDefault="00450719" w:rsidP="00450719">
      <w:pPr>
        <w:tabs>
          <w:tab w:val="left" w:pos="720"/>
        </w:tabs>
        <w:spacing w:line="240" w:lineRule="exact"/>
        <w:ind w:right="-360"/>
        <w:rPr>
          <w:rFonts w:ascii="Times New Roman" w:hAnsi="Times New Roman"/>
          <w:color w:val="000080"/>
        </w:rPr>
      </w:pPr>
    </w:p>
    <w:p w:rsidR="00450719" w:rsidRPr="00366E20" w:rsidRDefault="00450719" w:rsidP="00450719">
      <w:pPr>
        <w:tabs>
          <w:tab w:val="left" w:pos="720"/>
        </w:tabs>
        <w:spacing w:line="240" w:lineRule="exact"/>
        <w:ind w:right="-360"/>
        <w:rPr>
          <w:rFonts w:ascii="Times New Roman" w:hAnsi="Times New Roman"/>
          <w:color w:val="000080"/>
        </w:rPr>
      </w:pPr>
    </w:p>
    <w:p w:rsidR="00450719" w:rsidRPr="00366E20" w:rsidRDefault="00450719" w:rsidP="00450719">
      <w:pPr>
        <w:tabs>
          <w:tab w:val="left" w:pos="720"/>
        </w:tabs>
        <w:spacing w:line="240" w:lineRule="exact"/>
        <w:ind w:right="-360"/>
        <w:outlineLvl w:val="0"/>
        <w:rPr>
          <w:rFonts w:ascii="Times New Roman" w:hAnsi="Times New Roman"/>
          <w:color w:val="000080"/>
        </w:rPr>
      </w:pPr>
      <w:r w:rsidRPr="00366E20">
        <w:rPr>
          <w:rFonts w:ascii="Times New Roman" w:hAnsi="Times New Roman"/>
          <w:color w:val="000080"/>
        </w:rPr>
        <w:t>MEMORANDUM FOR THE CHIEF OF STAFF</w:t>
      </w:r>
    </w:p>
    <w:p w:rsidR="00450719" w:rsidRPr="00366E20" w:rsidRDefault="00450719" w:rsidP="00450719">
      <w:pPr>
        <w:tabs>
          <w:tab w:val="left" w:pos="720"/>
        </w:tabs>
        <w:spacing w:line="240" w:lineRule="exact"/>
        <w:ind w:right="-360"/>
        <w:rPr>
          <w:rFonts w:ascii="Times New Roman" w:hAnsi="Times New Roman"/>
          <w:color w:val="000080"/>
        </w:rPr>
      </w:pPr>
    </w:p>
    <w:p w:rsidR="00450719" w:rsidRPr="00366E20" w:rsidRDefault="00450719" w:rsidP="00450719">
      <w:pPr>
        <w:tabs>
          <w:tab w:val="left" w:pos="720"/>
        </w:tabs>
        <w:spacing w:line="240" w:lineRule="exact"/>
        <w:ind w:right="-360"/>
        <w:rPr>
          <w:rFonts w:ascii="Times New Roman" w:hAnsi="Times New Roman"/>
          <w:color w:val="000080"/>
        </w:rPr>
      </w:pPr>
      <w:r w:rsidRPr="00366E20">
        <w:rPr>
          <w:rFonts w:ascii="Times New Roman" w:hAnsi="Times New Roman"/>
          <w:color w:val="000080"/>
        </w:rPr>
        <w:tab/>
        <w:t>Having received and considered the recommendation of the Physical Disability Board of Review and under the authority of Section 1554, Title 10, United States Code (122 Stat. 466) and Section 1552, Title 10, United States Code (70A Stat. 116) it is directed that:</w:t>
      </w:r>
    </w:p>
    <w:p w:rsidR="00450719" w:rsidRPr="00366E20" w:rsidRDefault="00450719" w:rsidP="00450719">
      <w:pPr>
        <w:tabs>
          <w:tab w:val="left" w:pos="720"/>
        </w:tabs>
        <w:spacing w:line="240" w:lineRule="exact"/>
        <w:ind w:right="-360"/>
        <w:rPr>
          <w:rFonts w:ascii="Times New Roman" w:hAnsi="Times New Roman"/>
          <w:color w:val="000080"/>
        </w:rPr>
      </w:pPr>
    </w:p>
    <w:p w:rsidR="00450719" w:rsidRDefault="00450719" w:rsidP="00450719">
      <w:pPr>
        <w:tabs>
          <w:tab w:val="left" w:pos="720"/>
        </w:tabs>
        <w:spacing w:line="240" w:lineRule="exact"/>
        <w:ind w:right="-360"/>
        <w:rPr>
          <w:rFonts w:ascii="Times New Roman" w:hAnsi="Times New Roman"/>
          <w:color w:val="000080"/>
        </w:rPr>
      </w:pPr>
      <w:r w:rsidRPr="00366E20">
        <w:rPr>
          <w:rFonts w:ascii="Times New Roman" w:hAnsi="Times New Roman"/>
          <w:color w:val="000080"/>
        </w:rPr>
        <w:tab/>
        <w:t xml:space="preserve">The pertinent military records of the Department of the Air Force relating to </w:t>
      </w:r>
      <w:proofErr w:type="spellStart"/>
      <w:proofErr w:type="gramStart"/>
      <w:r>
        <w:rPr>
          <w:rFonts w:ascii="Times New Roman" w:hAnsi="Times New Roman"/>
          <w:color w:val="000080"/>
        </w:rPr>
        <w:t>xxxxxxxxxx</w:t>
      </w:r>
      <w:proofErr w:type="spellEnd"/>
      <w:r>
        <w:rPr>
          <w:rFonts w:ascii="Times New Roman" w:hAnsi="Times New Roman"/>
          <w:color w:val="000080"/>
        </w:rPr>
        <w:t>,</w:t>
      </w:r>
      <w:proofErr w:type="gramEnd"/>
      <w:r>
        <w:rPr>
          <w:rFonts w:ascii="Times New Roman" w:hAnsi="Times New Roman"/>
          <w:color w:val="000080"/>
        </w:rPr>
        <w:t xml:space="preserve"> be</w:t>
      </w:r>
      <w:r w:rsidRPr="00366E20">
        <w:rPr>
          <w:rFonts w:ascii="Times New Roman" w:hAnsi="Times New Roman"/>
          <w:color w:val="000080"/>
        </w:rPr>
        <w:t xml:space="preserve"> corrected to show that:</w:t>
      </w:r>
    </w:p>
    <w:p w:rsidR="00450719" w:rsidRDefault="00450719" w:rsidP="00450719">
      <w:pPr>
        <w:tabs>
          <w:tab w:val="left" w:pos="720"/>
        </w:tabs>
        <w:spacing w:line="240" w:lineRule="exact"/>
        <w:ind w:right="-360"/>
        <w:rPr>
          <w:rFonts w:ascii="Times New Roman" w:hAnsi="Times New Roman"/>
          <w:color w:val="000080"/>
        </w:rPr>
      </w:pPr>
    </w:p>
    <w:p w:rsidR="00450719" w:rsidRDefault="00450719" w:rsidP="00450719">
      <w:pPr>
        <w:tabs>
          <w:tab w:val="left" w:pos="1170"/>
        </w:tabs>
        <w:spacing w:line="240" w:lineRule="exact"/>
        <w:ind w:right="-360"/>
        <w:rPr>
          <w:rFonts w:ascii="Times New Roman" w:hAnsi="Times New Roman"/>
          <w:color w:val="000080"/>
        </w:rPr>
      </w:pPr>
      <w:r>
        <w:rPr>
          <w:rFonts w:ascii="Times New Roman" w:hAnsi="Times New Roman"/>
          <w:color w:val="000080"/>
        </w:rPr>
        <w:tab/>
      </w:r>
      <w:proofErr w:type="gramStart"/>
      <w:r>
        <w:rPr>
          <w:rFonts w:ascii="Times New Roman" w:hAnsi="Times New Roman"/>
          <w:color w:val="000080"/>
        </w:rPr>
        <w:t>a</w:t>
      </w:r>
      <w:r w:rsidRPr="00366E20">
        <w:rPr>
          <w:rFonts w:ascii="Times New Roman" w:hAnsi="Times New Roman"/>
          <w:color w:val="000080"/>
        </w:rPr>
        <w:t>.</w:t>
      </w:r>
      <w:r>
        <w:rPr>
          <w:rFonts w:ascii="Times New Roman" w:hAnsi="Times New Roman"/>
          <w:color w:val="000080"/>
        </w:rPr>
        <w:t xml:space="preserve">  Upon</w:t>
      </w:r>
      <w:proofErr w:type="gramEnd"/>
      <w:r>
        <w:rPr>
          <w:rFonts w:ascii="Times New Roman" w:hAnsi="Times New Roman"/>
          <w:color w:val="000080"/>
        </w:rPr>
        <w:t xml:space="preserve"> final Temporary Disability Retired List (TDRL) disposition, t</w:t>
      </w:r>
      <w:r w:rsidRPr="00366E20">
        <w:rPr>
          <w:rFonts w:ascii="Times New Roman" w:hAnsi="Times New Roman"/>
          <w:color w:val="000080"/>
        </w:rPr>
        <w:t xml:space="preserve">he </w:t>
      </w:r>
      <w:r>
        <w:rPr>
          <w:rFonts w:ascii="Times New Roman" w:hAnsi="Times New Roman"/>
          <w:color w:val="000080"/>
        </w:rPr>
        <w:t>diagnosis in his</w:t>
      </w:r>
      <w:r w:rsidRPr="00366E20">
        <w:rPr>
          <w:rFonts w:ascii="Times New Roman" w:hAnsi="Times New Roman"/>
          <w:color w:val="000080"/>
        </w:rPr>
        <w:t xml:space="preserve"> finding of unfitnes</w:t>
      </w:r>
      <w:r>
        <w:rPr>
          <w:rFonts w:ascii="Times New Roman" w:hAnsi="Times New Roman"/>
          <w:color w:val="000080"/>
        </w:rPr>
        <w:t xml:space="preserve">s for Posttraumatic Stress Disorder, VASRD Code 9411,was rated at 30% rather than 10%.  </w:t>
      </w:r>
    </w:p>
    <w:p w:rsidR="00450719" w:rsidRDefault="00450719" w:rsidP="00450719">
      <w:pPr>
        <w:tabs>
          <w:tab w:val="left" w:pos="1170"/>
        </w:tabs>
        <w:spacing w:line="240" w:lineRule="exact"/>
        <w:ind w:right="-360"/>
        <w:rPr>
          <w:rFonts w:ascii="Times New Roman" w:hAnsi="Times New Roman"/>
          <w:color w:val="000080"/>
        </w:rPr>
      </w:pPr>
    </w:p>
    <w:p w:rsidR="00450719" w:rsidRDefault="00450719" w:rsidP="00450719">
      <w:pPr>
        <w:tabs>
          <w:tab w:val="left" w:pos="1170"/>
        </w:tabs>
        <w:spacing w:line="240" w:lineRule="exact"/>
        <w:ind w:right="-360"/>
        <w:rPr>
          <w:rFonts w:ascii="Times New Roman" w:hAnsi="Times New Roman"/>
          <w:color w:val="000080"/>
        </w:rPr>
      </w:pPr>
      <w:r>
        <w:rPr>
          <w:rFonts w:ascii="Times New Roman" w:hAnsi="Times New Roman"/>
          <w:color w:val="000080"/>
        </w:rPr>
        <w:tab/>
        <w:t>b.</w:t>
      </w:r>
      <w:proofErr w:type="gramStart"/>
      <w:r>
        <w:rPr>
          <w:rFonts w:ascii="Times New Roman" w:hAnsi="Times New Roman"/>
          <w:color w:val="000080"/>
        </w:rPr>
        <w:t>  On</w:t>
      </w:r>
      <w:proofErr w:type="gramEnd"/>
      <w:r>
        <w:rPr>
          <w:rFonts w:ascii="Times New Roman" w:hAnsi="Times New Roman"/>
          <w:color w:val="000080"/>
        </w:rPr>
        <w:t xml:space="preserve"> 7 March 2007, he </w:t>
      </w:r>
      <w:r w:rsidRPr="00366E20">
        <w:rPr>
          <w:rFonts w:ascii="Times New Roman" w:hAnsi="Times New Roman"/>
          <w:color w:val="000080"/>
        </w:rPr>
        <w:t>w</w:t>
      </w:r>
      <w:r>
        <w:rPr>
          <w:rFonts w:ascii="Times New Roman" w:hAnsi="Times New Roman"/>
          <w:color w:val="000080"/>
        </w:rPr>
        <w:t xml:space="preserve">as not discharged with disability severance pay; rather, on that date he was released from active duty and on 8 March 2007 his </w:t>
      </w:r>
      <w:r w:rsidRPr="00366E20">
        <w:rPr>
          <w:rFonts w:ascii="Times New Roman" w:hAnsi="Times New Roman"/>
          <w:color w:val="000080"/>
        </w:rPr>
        <w:t>name was placed on the Permanent Disability Retired List</w:t>
      </w:r>
      <w:r>
        <w:rPr>
          <w:rFonts w:ascii="Times New Roman" w:hAnsi="Times New Roman"/>
          <w:color w:val="000080"/>
        </w:rPr>
        <w:t xml:space="preserve">. </w:t>
      </w:r>
      <w:r w:rsidRPr="00366E20">
        <w:rPr>
          <w:rFonts w:ascii="Times New Roman" w:hAnsi="Times New Roman"/>
          <w:color w:val="000080"/>
        </w:rPr>
        <w:t xml:space="preserve"> </w:t>
      </w:r>
    </w:p>
    <w:p w:rsidR="00450719" w:rsidRDefault="00450719" w:rsidP="00450719">
      <w:pPr>
        <w:tabs>
          <w:tab w:val="left" w:pos="720"/>
        </w:tabs>
        <w:spacing w:line="240" w:lineRule="exact"/>
        <w:ind w:right="-360"/>
        <w:rPr>
          <w:rFonts w:ascii="Times New Roman" w:hAnsi="Times New Roman"/>
          <w:color w:val="000080"/>
        </w:rPr>
      </w:pPr>
    </w:p>
    <w:p w:rsidR="00450719" w:rsidRDefault="00450719" w:rsidP="00450719">
      <w:pPr>
        <w:tabs>
          <w:tab w:val="left" w:pos="720"/>
        </w:tabs>
        <w:spacing w:line="240" w:lineRule="exact"/>
        <w:ind w:right="-360"/>
        <w:rPr>
          <w:rFonts w:ascii="Times New Roman" w:hAnsi="Times New Roman"/>
          <w:color w:val="000080"/>
        </w:rPr>
      </w:pPr>
    </w:p>
    <w:p w:rsidR="00450719" w:rsidRDefault="00450719" w:rsidP="00450719">
      <w:pPr>
        <w:tabs>
          <w:tab w:val="left" w:pos="720"/>
        </w:tabs>
        <w:spacing w:line="240" w:lineRule="exact"/>
        <w:ind w:right="-360"/>
        <w:rPr>
          <w:rFonts w:ascii="Times New Roman" w:hAnsi="Times New Roman"/>
          <w:color w:val="000080"/>
        </w:rPr>
      </w:pPr>
    </w:p>
    <w:p w:rsidR="00450719" w:rsidRDefault="00450719" w:rsidP="00450719">
      <w:pPr>
        <w:tabs>
          <w:tab w:val="left" w:pos="720"/>
        </w:tabs>
        <w:spacing w:line="240" w:lineRule="exact"/>
        <w:ind w:right="-360"/>
        <w:rPr>
          <w:rFonts w:ascii="Times New Roman" w:hAnsi="Times New Roman"/>
          <w:color w:val="000080"/>
        </w:rPr>
      </w:pPr>
    </w:p>
    <w:p w:rsidR="00450719" w:rsidRDefault="00450719" w:rsidP="00450719">
      <w:pPr>
        <w:tabs>
          <w:tab w:val="left" w:pos="720"/>
        </w:tabs>
        <w:spacing w:line="240" w:lineRule="exact"/>
        <w:ind w:right="-360"/>
        <w:outlineLvl w:val="0"/>
        <w:rPr>
          <w:rFonts w:ascii="Times New Roman" w:hAnsi="Times New Roman"/>
          <w:color w:val="000080"/>
        </w:rPr>
      </w:pPr>
      <w:r>
        <w:rPr>
          <w:rFonts w:ascii="Times New Roman" w:hAnsi="Times New Roman"/>
          <w:color w:val="000080"/>
        </w:rPr>
        <w:t xml:space="preserve"> </w:t>
      </w:r>
    </w:p>
    <w:p w:rsidR="00450719" w:rsidRDefault="00450719" w:rsidP="00450719">
      <w:pPr>
        <w:tabs>
          <w:tab w:val="left" w:pos="720"/>
        </w:tabs>
        <w:spacing w:line="240" w:lineRule="exact"/>
        <w:ind w:right="-360"/>
        <w:outlineLvl w:val="0"/>
        <w:rPr>
          <w:rFonts w:ascii="Times New Roman" w:hAnsi="Times New Roman"/>
          <w:color w:val="000080"/>
        </w:rPr>
      </w:pPr>
      <w:r>
        <w:rPr>
          <w:rFonts w:ascii="Times New Roman" w:hAnsi="Times New Roman"/>
          <w:color w:val="000080"/>
        </w:rPr>
        <w:t xml:space="preserve">                                                                            Director</w:t>
      </w:r>
    </w:p>
    <w:p w:rsidR="00450719" w:rsidRDefault="00450719" w:rsidP="00450719">
      <w:pPr>
        <w:tabs>
          <w:tab w:val="left" w:pos="720"/>
        </w:tabs>
        <w:spacing w:line="240" w:lineRule="exact"/>
        <w:ind w:right="-360"/>
        <w:rPr>
          <w:rFonts w:ascii="Times New Roman" w:hAnsi="Times New Roman"/>
          <w:color w:val="000080"/>
        </w:rPr>
      </w:pPr>
      <w:r>
        <w:rPr>
          <w:rFonts w:ascii="Times New Roman" w:hAnsi="Times New Roman"/>
          <w:color w:val="000080"/>
        </w:rPr>
        <w:t xml:space="preserve">                                                                            Air Force Review Boards Agency</w:t>
      </w:r>
    </w:p>
    <w:p w:rsidR="00450719" w:rsidRPr="00450719" w:rsidRDefault="00450719" w:rsidP="00450719">
      <w:pPr>
        <w:tabs>
          <w:tab w:val="left" w:pos="6624"/>
        </w:tabs>
        <w:spacing w:line="240" w:lineRule="exact"/>
        <w:ind w:right="-1080"/>
        <w:rPr>
          <w:rFonts w:ascii="Courier" w:hAnsi="Courier"/>
          <w:color w:val="auto"/>
          <w:u w:val="single"/>
        </w:rPr>
      </w:pPr>
    </w:p>
    <w:p w:rsidR="00A46DA5" w:rsidRPr="004E3C42" w:rsidRDefault="00A46DA5" w:rsidP="004E3C42">
      <w:pPr>
        <w:tabs>
          <w:tab w:val="left" w:pos="0"/>
          <w:tab w:val="left" w:pos="4320"/>
        </w:tabs>
        <w:spacing w:line="240" w:lineRule="exact"/>
        <w:jc w:val="both"/>
        <w:rPr>
          <w:color w:val="auto"/>
        </w:rPr>
      </w:pPr>
    </w:p>
    <w:sectPr w:rsidR="00A46DA5" w:rsidRPr="004E3C42" w:rsidSect="002A5C3C">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6E08" w:rsidRDefault="00F96E08">
      <w:r>
        <w:separator/>
      </w:r>
    </w:p>
  </w:endnote>
  <w:endnote w:type="continuationSeparator" w:id="0">
    <w:p w:rsidR="00F96E08" w:rsidRDefault="00F96E0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DC5" w:rsidRPr="00684CE6" w:rsidRDefault="00D9223A" w:rsidP="00F65ED5">
    <w:pPr>
      <w:pStyle w:val="Footer"/>
      <w:jc w:val="right"/>
      <w:rPr>
        <w:color w:val="auto"/>
      </w:rPr>
    </w:pPr>
    <w:fldSimple w:instr=" PAGE   \* MERGEFORMAT ">
      <w:r w:rsidR="00450719" w:rsidRPr="00450719">
        <w:rPr>
          <w:noProof/>
          <w:color w:val="auto"/>
        </w:rPr>
        <w:t>5</w:t>
      </w:r>
    </w:fldSimple>
    <w:r w:rsidR="00AB1DC5" w:rsidRPr="00684CE6">
      <w:rPr>
        <w:color w:val="auto"/>
      </w:rPr>
      <w:t xml:space="preserve">                                                                   PD1001031</w:t>
    </w:r>
  </w:p>
  <w:p w:rsidR="00AB1DC5" w:rsidRPr="00684CE6" w:rsidRDefault="00AB1DC5" w:rsidP="00F65ED5">
    <w:pPr>
      <w:pStyle w:val="Footer"/>
      <w:jc w:val="right"/>
      <w:rPr>
        <w:color w:val="auto"/>
      </w:rPr>
    </w:pPr>
  </w:p>
  <w:p w:rsidR="00AB1DC5" w:rsidRPr="00684CE6" w:rsidRDefault="00AB1DC5">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6E08" w:rsidRDefault="00F96E08">
      <w:r>
        <w:separator/>
      </w:r>
    </w:p>
  </w:footnote>
  <w:footnote w:type="continuationSeparator" w:id="0">
    <w:p w:rsidR="00F96E08" w:rsidRDefault="00F96E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719" w:rsidRDefault="00450719">
    <w:pPr>
      <w:framePr w:wrap="around" w:vAnchor="page" w:hAnchor="page" w:x="721" w:y="721" w:anchorLock="1"/>
      <w:tabs>
        <w:tab w:val="left" w:pos="2880"/>
      </w:tabs>
    </w:pPr>
    <w:bookmarkStart w:id="0" w:name="StationerySeal"/>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fillcolor="window">
          <v:imagedata r:id="rId1" o:title=""/>
        </v:shape>
      </w:pict>
    </w:r>
  </w:p>
  <w:p w:rsidR="00450719" w:rsidRDefault="00450719">
    <w:pPr>
      <w:framePr w:w="1440" w:h="1440" w:hRule="exact" w:wrap="around" w:vAnchor="page" w:hAnchor="page" w:x="721" w:y="721" w:anchorLock="1"/>
      <w:tabs>
        <w:tab w:val="left" w:pos="2880"/>
      </w:tabs>
    </w:pPr>
  </w:p>
  <w:p w:rsidR="00450719" w:rsidRPr="00206146" w:rsidRDefault="00450719">
    <w:pPr>
      <w:framePr w:w="5040" w:wrap="around" w:vAnchor="page" w:hAnchor="page" w:x="3601" w:y="721"/>
      <w:spacing w:line="300" w:lineRule="exact"/>
      <w:jc w:val="center"/>
      <w:rPr>
        <w:color w:val="auto"/>
      </w:rPr>
    </w:pPr>
    <w:bookmarkStart w:id="1" w:name="StationeryHeader"/>
    <w:bookmarkEnd w:id="1"/>
    <w:r w:rsidRPr="00206146">
      <w:rPr>
        <w:rFonts w:ascii="Arial" w:hAnsi="Arial"/>
        <w:b/>
        <w:color w:val="auto"/>
      </w:rPr>
      <w:t>DEPARTMENT OF THE AIR FORCE</w:t>
    </w:r>
    <w:r w:rsidRPr="00206146">
      <w:rPr>
        <w:rFonts w:ascii="Arial" w:hAnsi="Arial"/>
        <w:b/>
        <w:color w:val="auto"/>
      </w:rPr>
      <w:br/>
    </w:r>
    <w:r w:rsidRPr="00206146">
      <w:rPr>
        <w:rFonts w:ascii="Arial" w:hAnsi="Arial"/>
        <w:b/>
        <w:color w:val="auto"/>
        <w:sz w:val="18"/>
      </w:rPr>
      <w:t>WASHINGTON, DC</w:t>
    </w:r>
  </w:p>
  <w:p w:rsidR="00450719" w:rsidRDefault="00450719">
    <w:pPr>
      <w:framePr w:w="10800" w:h="432" w:hRule="exact" w:wrap="around" w:vAnchor="page" w:hAnchor="page" w:x="721" w:y="289"/>
      <w:jc w:val="center"/>
      <w:rPr>
        <w:rFonts w:ascii="Arial" w:hAnsi="Arial"/>
        <w:b/>
        <w:sz w:val="36"/>
      </w:rPr>
    </w:pPr>
    <w:bookmarkStart w:id="2" w:name="ClassLabel"/>
    <w:bookmarkEnd w:id="2"/>
  </w:p>
  <w:p w:rsidR="00450719" w:rsidRDefault="00450719">
    <w:pPr>
      <w:pStyle w:val="Header"/>
      <w:spacing w:before="440" w:after="60"/>
      <w:ind w:left="-720"/>
      <w:rPr>
        <w:rFonts w:ascii="Arial" w:hAnsi="Arial"/>
        <w:b/>
        <w:sz w:val="18"/>
      </w:rPr>
    </w:pPr>
    <w:bookmarkStart w:id="3" w:name="SealLabel"/>
    <w:bookmarkEnd w:id="3"/>
  </w:p>
  <w:p w:rsidR="00450719" w:rsidRDefault="00450719">
    <w:pPr>
      <w:pStyle w:val="Header"/>
      <w:spacing w:before="440" w:after="60"/>
      <w:ind w:left="-720"/>
      <w:rPr>
        <w:rFonts w:ascii="Arial" w:hAnsi="Arial"/>
        <w:b/>
        <w:sz w:val="18"/>
      </w:rPr>
    </w:pPr>
  </w:p>
  <w:p w:rsidR="00450719" w:rsidRDefault="00450719">
    <w:pPr>
      <w:pStyle w:val="Header"/>
    </w:pPr>
  </w:p>
  <w:p w:rsidR="00450719" w:rsidRPr="00206146" w:rsidRDefault="00450719">
    <w:pPr>
      <w:pStyle w:val="Header"/>
      <w:ind w:left="-720"/>
      <w:rPr>
        <w:rFonts w:ascii="Arial" w:hAnsi="Arial"/>
        <w:b/>
        <w:color w:val="auto"/>
        <w:sz w:val="18"/>
      </w:rPr>
    </w:pPr>
    <w:r w:rsidRPr="00206146">
      <w:rPr>
        <w:rFonts w:ascii="Arial" w:hAnsi="Arial"/>
        <w:b/>
        <w:color w:val="auto"/>
        <w:sz w:val="18"/>
      </w:rPr>
      <w:t>Office of the Assistant Secretary</w:t>
    </w:r>
  </w:p>
  <w:p w:rsidR="00450719" w:rsidRDefault="0045071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2F14EEB"/>
    <w:multiLevelType w:val="hybridMultilevel"/>
    <w:tmpl w:val="A5C2833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171C56"/>
    <w:multiLevelType w:val="hybridMultilevel"/>
    <w:tmpl w:val="E8F47BEC"/>
    <w:lvl w:ilvl="0" w:tplc="8426079A">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5">
    <w:nsid w:val="17BA7C44"/>
    <w:multiLevelType w:val="hybridMultilevel"/>
    <w:tmpl w:val="7C12628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5422F0"/>
    <w:multiLevelType w:val="hybridMultilevel"/>
    <w:tmpl w:val="DF66D326"/>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F538FD"/>
    <w:multiLevelType w:val="hybridMultilevel"/>
    <w:tmpl w:val="6AA8201E"/>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6A3FF5"/>
    <w:multiLevelType w:val="hybridMultilevel"/>
    <w:tmpl w:val="CDACECDE"/>
    <w:lvl w:ilvl="0" w:tplc="DF86C548">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4F193D"/>
    <w:multiLevelType w:val="hybridMultilevel"/>
    <w:tmpl w:val="9C4EF4C6"/>
    <w:lvl w:ilvl="0" w:tplc="3B98A07E">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1">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F06437"/>
    <w:multiLevelType w:val="hybridMultilevel"/>
    <w:tmpl w:val="F88001A6"/>
    <w:lvl w:ilvl="0" w:tplc="5E7A036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E172F4"/>
    <w:multiLevelType w:val="hybridMultilevel"/>
    <w:tmpl w:val="3B98A040"/>
    <w:lvl w:ilvl="0" w:tplc="C5A2619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D637FB"/>
    <w:multiLevelType w:val="hybridMultilevel"/>
    <w:tmpl w:val="E81C20AE"/>
    <w:lvl w:ilvl="0" w:tplc="41C2107C">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920263"/>
    <w:multiLevelType w:val="hybridMultilevel"/>
    <w:tmpl w:val="5ABA2AD0"/>
    <w:lvl w:ilvl="0" w:tplc="C3D8CF1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694670E"/>
    <w:multiLevelType w:val="hybridMultilevel"/>
    <w:tmpl w:val="7C92692E"/>
    <w:lvl w:ilvl="0" w:tplc="20A6E15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FDA16B7"/>
    <w:multiLevelType w:val="hybridMultilevel"/>
    <w:tmpl w:val="3BD2466C"/>
    <w:lvl w:ilvl="0" w:tplc="AABA22AA">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7"/>
  </w:num>
  <w:num w:numId="4">
    <w:abstractNumId w:val="6"/>
  </w:num>
  <w:num w:numId="5">
    <w:abstractNumId w:val="3"/>
  </w:num>
  <w:num w:numId="6">
    <w:abstractNumId w:val="8"/>
  </w:num>
  <w:num w:numId="7">
    <w:abstractNumId w:val="0"/>
  </w:num>
  <w:num w:numId="8">
    <w:abstractNumId w:val="5"/>
  </w:num>
  <w:num w:numId="9">
    <w:abstractNumId w:val="15"/>
  </w:num>
  <w:num w:numId="10">
    <w:abstractNumId w:val="10"/>
  </w:num>
  <w:num w:numId="11">
    <w:abstractNumId w:val="4"/>
  </w:num>
  <w:num w:numId="12">
    <w:abstractNumId w:val="13"/>
  </w:num>
  <w:num w:numId="13">
    <w:abstractNumId w:val="7"/>
  </w:num>
  <w:num w:numId="14">
    <w:abstractNumId w:val="14"/>
  </w:num>
  <w:num w:numId="15">
    <w:abstractNumId w:val="18"/>
  </w:num>
  <w:num w:numId="16">
    <w:abstractNumId w:val="1"/>
  </w:num>
  <w:num w:numId="17">
    <w:abstractNumId w:val="16"/>
  </w:num>
  <w:num w:numId="18">
    <w:abstractNumId w:val="9"/>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7"/>
  <w:doNotDisplayPageBoundaries/>
  <w:printFractionalCharacterWidth/>
  <w:embedSystemFonts/>
  <w:proofState w:spelling="clean" w:grammar="clean"/>
  <w:stylePaneFormatFilter w:val="3701"/>
  <w:defaultTabStop w:val="720"/>
  <w:doNotHyphenateCaps/>
  <w:drawingGridHorizontalSpacing w:val="120"/>
  <w:displayHorizontalDrawingGridEvery w:val="0"/>
  <w:displayVerticalDrawingGridEvery w:val="0"/>
  <w:doNotShadeFormData/>
  <w:noPunctuationKerning/>
  <w:characterSpacingControl w:val="doNotCompress"/>
  <w:doNotValidateAgainstSchema/>
  <w:doNotDemarcateInvalidXml/>
  <w:footnotePr>
    <w:numRestart w:val="eachSect"/>
    <w:footnote w:id="-1"/>
    <w:footnote w:id="0"/>
  </w:footnotePr>
  <w:endnotePr>
    <w:endnote w:id="-1"/>
    <w:endnote w:id="0"/>
  </w:endnotePr>
  <w:compat/>
  <w:rsids>
    <w:rsidRoot w:val="001C28D1"/>
    <w:rsid w:val="000024F5"/>
    <w:rsid w:val="000059FA"/>
    <w:rsid w:val="00006186"/>
    <w:rsid w:val="00006F87"/>
    <w:rsid w:val="00007107"/>
    <w:rsid w:val="00010ABA"/>
    <w:rsid w:val="00010B0F"/>
    <w:rsid w:val="00012428"/>
    <w:rsid w:val="00012733"/>
    <w:rsid w:val="00013417"/>
    <w:rsid w:val="000145C2"/>
    <w:rsid w:val="0001473F"/>
    <w:rsid w:val="00014A9E"/>
    <w:rsid w:val="00021361"/>
    <w:rsid w:val="00022CF3"/>
    <w:rsid w:val="00023913"/>
    <w:rsid w:val="00023D43"/>
    <w:rsid w:val="00024DE7"/>
    <w:rsid w:val="00026092"/>
    <w:rsid w:val="00030776"/>
    <w:rsid w:val="00032E07"/>
    <w:rsid w:val="000332CA"/>
    <w:rsid w:val="0003374E"/>
    <w:rsid w:val="00033AC6"/>
    <w:rsid w:val="000344D8"/>
    <w:rsid w:val="000344E6"/>
    <w:rsid w:val="00034BF9"/>
    <w:rsid w:val="00035C3A"/>
    <w:rsid w:val="00036E4B"/>
    <w:rsid w:val="00037929"/>
    <w:rsid w:val="000379D0"/>
    <w:rsid w:val="00040FC4"/>
    <w:rsid w:val="000416F8"/>
    <w:rsid w:val="00042C26"/>
    <w:rsid w:val="00043382"/>
    <w:rsid w:val="00044623"/>
    <w:rsid w:val="000452D7"/>
    <w:rsid w:val="00051622"/>
    <w:rsid w:val="00051A11"/>
    <w:rsid w:val="00051A14"/>
    <w:rsid w:val="00052234"/>
    <w:rsid w:val="00053D7C"/>
    <w:rsid w:val="00057019"/>
    <w:rsid w:val="00057348"/>
    <w:rsid w:val="000575C5"/>
    <w:rsid w:val="000577C9"/>
    <w:rsid w:val="00060FFD"/>
    <w:rsid w:val="0006431E"/>
    <w:rsid w:val="000652EA"/>
    <w:rsid w:val="00065E21"/>
    <w:rsid w:val="000673ED"/>
    <w:rsid w:val="00070DED"/>
    <w:rsid w:val="00072433"/>
    <w:rsid w:val="0007488B"/>
    <w:rsid w:val="00075702"/>
    <w:rsid w:val="00075A0C"/>
    <w:rsid w:val="000775C2"/>
    <w:rsid w:val="000806AD"/>
    <w:rsid w:val="00080BDF"/>
    <w:rsid w:val="00082482"/>
    <w:rsid w:val="00084CF2"/>
    <w:rsid w:val="00085D7B"/>
    <w:rsid w:val="0008708B"/>
    <w:rsid w:val="00092619"/>
    <w:rsid w:val="00092C66"/>
    <w:rsid w:val="000933EC"/>
    <w:rsid w:val="000949DD"/>
    <w:rsid w:val="00094E4F"/>
    <w:rsid w:val="000A2BCE"/>
    <w:rsid w:val="000A33C8"/>
    <w:rsid w:val="000A41E3"/>
    <w:rsid w:val="000A4BBA"/>
    <w:rsid w:val="000A5071"/>
    <w:rsid w:val="000B0AD2"/>
    <w:rsid w:val="000B1022"/>
    <w:rsid w:val="000B2FB8"/>
    <w:rsid w:val="000B4C99"/>
    <w:rsid w:val="000B51C3"/>
    <w:rsid w:val="000C06F6"/>
    <w:rsid w:val="000C1D34"/>
    <w:rsid w:val="000C2362"/>
    <w:rsid w:val="000C2FA8"/>
    <w:rsid w:val="000C3C13"/>
    <w:rsid w:val="000C4D5F"/>
    <w:rsid w:val="000C53F9"/>
    <w:rsid w:val="000C5813"/>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6457"/>
    <w:rsid w:val="000D7D55"/>
    <w:rsid w:val="000E0993"/>
    <w:rsid w:val="000E2E50"/>
    <w:rsid w:val="000E37E0"/>
    <w:rsid w:val="000E3F20"/>
    <w:rsid w:val="000E4CBF"/>
    <w:rsid w:val="000E5577"/>
    <w:rsid w:val="000E7034"/>
    <w:rsid w:val="000F02BE"/>
    <w:rsid w:val="000F0928"/>
    <w:rsid w:val="000F427B"/>
    <w:rsid w:val="000F43D0"/>
    <w:rsid w:val="000F4F18"/>
    <w:rsid w:val="000F688E"/>
    <w:rsid w:val="000F7181"/>
    <w:rsid w:val="001007CE"/>
    <w:rsid w:val="001008C1"/>
    <w:rsid w:val="001023DB"/>
    <w:rsid w:val="00102B8D"/>
    <w:rsid w:val="00103948"/>
    <w:rsid w:val="00103CCF"/>
    <w:rsid w:val="0010417F"/>
    <w:rsid w:val="001042D2"/>
    <w:rsid w:val="0010530E"/>
    <w:rsid w:val="00105B8A"/>
    <w:rsid w:val="00105C07"/>
    <w:rsid w:val="00106AD8"/>
    <w:rsid w:val="00107EC5"/>
    <w:rsid w:val="00110174"/>
    <w:rsid w:val="001103CD"/>
    <w:rsid w:val="00113D2A"/>
    <w:rsid w:val="00114F20"/>
    <w:rsid w:val="0011590B"/>
    <w:rsid w:val="001211AF"/>
    <w:rsid w:val="001219DF"/>
    <w:rsid w:val="0012220B"/>
    <w:rsid w:val="001222C6"/>
    <w:rsid w:val="00122ABE"/>
    <w:rsid w:val="001231DC"/>
    <w:rsid w:val="0012489B"/>
    <w:rsid w:val="001272AE"/>
    <w:rsid w:val="00130756"/>
    <w:rsid w:val="001315DD"/>
    <w:rsid w:val="0013525F"/>
    <w:rsid w:val="00135385"/>
    <w:rsid w:val="001364D1"/>
    <w:rsid w:val="001374C7"/>
    <w:rsid w:val="001421FD"/>
    <w:rsid w:val="001425C8"/>
    <w:rsid w:val="00142EBA"/>
    <w:rsid w:val="00143B79"/>
    <w:rsid w:val="00145965"/>
    <w:rsid w:val="00150B8A"/>
    <w:rsid w:val="00150DCB"/>
    <w:rsid w:val="00151912"/>
    <w:rsid w:val="00153740"/>
    <w:rsid w:val="00153D88"/>
    <w:rsid w:val="001541C5"/>
    <w:rsid w:val="0015623F"/>
    <w:rsid w:val="00156585"/>
    <w:rsid w:val="00156BA9"/>
    <w:rsid w:val="00160463"/>
    <w:rsid w:val="00161642"/>
    <w:rsid w:val="00161761"/>
    <w:rsid w:val="00166182"/>
    <w:rsid w:val="0017139A"/>
    <w:rsid w:val="001724C8"/>
    <w:rsid w:val="001732C4"/>
    <w:rsid w:val="001745DD"/>
    <w:rsid w:val="00174FDE"/>
    <w:rsid w:val="00174FE3"/>
    <w:rsid w:val="00177659"/>
    <w:rsid w:val="001779E5"/>
    <w:rsid w:val="00180826"/>
    <w:rsid w:val="00181240"/>
    <w:rsid w:val="00182A4C"/>
    <w:rsid w:val="00183F77"/>
    <w:rsid w:val="00183FB3"/>
    <w:rsid w:val="001844D8"/>
    <w:rsid w:val="00185DA8"/>
    <w:rsid w:val="00185ECB"/>
    <w:rsid w:val="001865E0"/>
    <w:rsid w:val="001870F0"/>
    <w:rsid w:val="00190E48"/>
    <w:rsid w:val="0019273F"/>
    <w:rsid w:val="00193814"/>
    <w:rsid w:val="00193AAB"/>
    <w:rsid w:val="00193AD5"/>
    <w:rsid w:val="00194930"/>
    <w:rsid w:val="00195AAC"/>
    <w:rsid w:val="00197705"/>
    <w:rsid w:val="001A025E"/>
    <w:rsid w:val="001A08CD"/>
    <w:rsid w:val="001A0A1E"/>
    <w:rsid w:val="001A2182"/>
    <w:rsid w:val="001A323E"/>
    <w:rsid w:val="001A36E4"/>
    <w:rsid w:val="001A5320"/>
    <w:rsid w:val="001A5E62"/>
    <w:rsid w:val="001A6848"/>
    <w:rsid w:val="001A7538"/>
    <w:rsid w:val="001B06FB"/>
    <w:rsid w:val="001B0B1A"/>
    <w:rsid w:val="001B4C0B"/>
    <w:rsid w:val="001B4EC2"/>
    <w:rsid w:val="001B5B59"/>
    <w:rsid w:val="001B60E0"/>
    <w:rsid w:val="001B755A"/>
    <w:rsid w:val="001B7C8C"/>
    <w:rsid w:val="001C0688"/>
    <w:rsid w:val="001C181A"/>
    <w:rsid w:val="001C1877"/>
    <w:rsid w:val="001C2053"/>
    <w:rsid w:val="001C252F"/>
    <w:rsid w:val="001C28D1"/>
    <w:rsid w:val="001C3473"/>
    <w:rsid w:val="001C3EC4"/>
    <w:rsid w:val="001C5BDA"/>
    <w:rsid w:val="001C5CFC"/>
    <w:rsid w:val="001C7231"/>
    <w:rsid w:val="001C7418"/>
    <w:rsid w:val="001C7EBE"/>
    <w:rsid w:val="001D0051"/>
    <w:rsid w:val="001D169A"/>
    <w:rsid w:val="001D2224"/>
    <w:rsid w:val="001D30C7"/>
    <w:rsid w:val="001D31AA"/>
    <w:rsid w:val="001D3DC0"/>
    <w:rsid w:val="001D4F88"/>
    <w:rsid w:val="001D68CF"/>
    <w:rsid w:val="001D6A8C"/>
    <w:rsid w:val="001D6E67"/>
    <w:rsid w:val="001D7A56"/>
    <w:rsid w:val="001E15C0"/>
    <w:rsid w:val="001E18E0"/>
    <w:rsid w:val="001E18E2"/>
    <w:rsid w:val="001E19D0"/>
    <w:rsid w:val="001E2A30"/>
    <w:rsid w:val="001E2FF1"/>
    <w:rsid w:val="001E41FE"/>
    <w:rsid w:val="001E635C"/>
    <w:rsid w:val="001F0297"/>
    <w:rsid w:val="001F4E02"/>
    <w:rsid w:val="00200AA0"/>
    <w:rsid w:val="00202325"/>
    <w:rsid w:val="00202736"/>
    <w:rsid w:val="00202EFA"/>
    <w:rsid w:val="00203652"/>
    <w:rsid w:val="00204562"/>
    <w:rsid w:val="00205B4F"/>
    <w:rsid w:val="002060B6"/>
    <w:rsid w:val="002066B5"/>
    <w:rsid w:val="00211612"/>
    <w:rsid w:val="002119B6"/>
    <w:rsid w:val="00212B40"/>
    <w:rsid w:val="00213BD0"/>
    <w:rsid w:val="00214DBA"/>
    <w:rsid w:val="002151AB"/>
    <w:rsid w:val="0021548C"/>
    <w:rsid w:val="00215C4C"/>
    <w:rsid w:val="00215ED6"/>
    <w:rsid w:val="00216049"/>
    <w:rsid w:val="002163FA"/>
    <w:rsid w:val="00217606"/>
    <w:rsid w:val="00217C09"/>
    <w:rsid w:val="00220F5C"/>
    <w:rsid w:val="002216BF"/>
    <w:rsid w:val="00221B9B"/>
    <w:rsid w:val="00222268"/>
    <w:rsid w:val="00225080"/>
    <w:rsid w:val="00225196"/>
    <w:rsid w:val="00225CB4"/>
    <w:rsid w:val="00226B1A"/>
    <w:rsid w:val="00227F0B"/>
    <w:rsid w:val="0023049F"/>
    <w:rsid w:val="002310C3"/>
    <w:rsid w:val="002316F6"/>
    <w:rsid w:val="00232C9B"/>
    <w:rsid w:val="00232E73"/>
    <w:rsid w:val="00232F09"/>
    <w:rsid w:val="002335D5"/>
    <w:rsid w:val="002338CA"/>
    <w:rsid w:val="00233AC4"/>
    <w:rsid w:val="00233FE5"/>
    <w:rsid w:val="00234B3B"/>
    <w:rsid w:val="00234D98"/>
    <w:rsid w:val="00236018"/>
    <w:rsid w:val="002374C9"/>
    <w:rsid w:val="0024174E"/>
    <w:rsid w:val="00242238"/>
    <w:rsid w:val="0024227D"/>
    <w:rsid w:val="00242D14"/>
    <w:rsid w:val="002432F4"/>
    <w:rsid w:val="00246860"/>
    <w:rsid w:val="002468D9"/>
    <w:rsid w:val="00246DFF"/>
    <w:rsid w:val="00246E89"/>
    <w:rsid w:val="0025183C"/>
    <w:rsid w:val="00252351"/>
    <w:rsid w:val="002528EC"/>
    <w:rsid w:val="00253EAA"/>
    <w:rsid w:val="00255049"/>
    <w:rsid w:val="00257AFF"/>
    <w:rsid w:val="00257DE5"/>
    <w:rsid w:val="00260531"/>
    <w:rsid w:val="00260B9A"/>
    <w:rsid w:val="00262EA5"/>
    <w:rsid w:val="0026318D"/>
    <w:rsid w:val="00264148"/>
    <w:rsid w:val="002660AF"/>
    <w:rsid w:val="00270864"/>
    <w:rsid w:val="002712F7"/>
    <w:rsid w:val="0027159C"/>
    <w:rsid w:val="002722F2"/>
    <w:rsid w:val="00274549"/>
    <w:rsid w:val="00274E46"/>
    <w:rsid w:val="002752AE"/>
    <w:rsid w:val="002769AF"/>
    <w:rsid w:val="00276C86"/>
    <w:rsid w:val="00276FD0"/>
    <w:rsid w:val="00277217"/>
    <w:rsid w:val="00277F7F"/>
    <w:rsid w:val="002810A4"/>
    <w:rsid w:val="00282DB6"/>
    <w:rsid w:val="00284A26"/>
    <w:rsid w:val="00285095"/>
    <w:rsid w:val="00287006"/>
    <w:rsid w:val="00292397"/>
    <w:rsid w:val="00292AB2"/>
    <w:rsid w:val="00293DB6"/>
    <w:rsid w:val="00293FE8"/>
    <w:rsid w:val="00294437"/>
    <w:rsid w:val="00297A45"/>
    <w:rsid w:val="00297E20"/>
    <w:rsid w:val="002A1CCE"/>
    <w:rsid w:val="002A233F"/>
    <w:rsid w:val="002A3237"/>
    <w:rsid w:val="002A4119"/>
    <w:rsid w:val="002A58B7"/>
    <w:rsid w:val="002A5943"/>
    <w:rsid w:val="002A5C3C"/>
    <w:rsid w:val="002A685E"/>
    <w:rsid w:val="002A72C7"/>
    <w:rsid w:val="002B0204"/>
    <w:rsid w:val="002B03B2"/>
    <w:rsid w:val="002B0749"/>
    <w:rsid w:val="002B2645"/>
    <w:rsid w:val="002B303A"/>
    <w:rsid w:val="002B32E9"/>
    <w:rsid w:val="002B4E22"/>
    <w:rsid w:val="002B6FA0"/>
    <w:rsid w:val="002B7645"/>
    <w:rsid w:val="002C0DEA"/>
    <w:rsid w:val="002C34F6"/>
    <w:rsid w:val="002C3B6D"/>
    <w:rsid w:val="002C492D"/>
    <w:rsid w:val="002C5D9D"/>
    <w:rsid w:val="002C5F10"/>
    <w:rsid w:val="002C6E5B"/>
    <w:rsid w:val="002D08F3"/>
    <w:rsid w:val="002D18B4"/>
    <w:rsid w:val="002D231A"/>
    <w:rsid w:val="002D5330"/>
    <w:rsid w:val="002D5F57"/>
    <w:rsid w:val="002D73D4"/>
    <w:rsid w:val="002D7787"/>
    <w:rsid w:val="002E1877"/>
    <w:rsid w:val="002E1C31"/>
    <w:rsid w:val="002E2E0F"/>
    <w:rsid w:val="002E333A"/>
    <w:rsid w:val="002E3474"/>
    <w:rsid w:val="002E400C"/>
    <w:rsid w:val="002E49C3"/>
    <w:rsid w:val="002E5114"/>
    <w:rsid w:val="002E5988"/>
    <w:rsid w:val="002E5DC2"/>
    <w:rsid w:val="002E65E6"/>
    <w:rsid w:val="002E7072"/>
    <w:rsid w:val="002E7570"/>
    <w:rsid w:val="002E764B"/>
    <w:rsid w:val="002F0D6A"/>
    <w:rsid w:val="002F0E28"/>
    <w:rsid w:val="002F216A"/>
    <w:rsid w:val="002F287E"/>
    <w:rsid w:val="002F2981"/>
    <w:rsid w:val="002F2D63"/>
    <w:rsid w:val="002F6AD8"/>
    <w:rsid w:val="002F7F81"/>
    <w:rsid w:val="00300A36"/>
    <w:rsid w:val="00301B45"/>
    <w:rsid w:val="00305856"/>
    <w:rsid w:val="0030678B"/>
    <w:rsid w:val="00306D16"/>
    <w:rsid w:val="00307595"/>
    <w:rsid w:val="00310CD7"/>
    <w:rsid w:val="00313D7A"/>
    <w:rsid w:val="0031549C"/>
    <w:rsid w:val="0032136A"/>
    <w:rsid w:val="00323A90"/>
    <w:rsid w:val="00323E70"/>
    <w:rsid w:val="003258A7"/>
    <w:rsid w:val="00325BA2"/>
    <w:rsid w:val="003262BD"/>
    <w:rsid w:val="00326B1C"/>
    <w:rsid w:val="00326C08"/>
    <w:rsid w:val="00326F7F"/>
    <w:rsid w:val="00330311"/>
    <w:rsid w:val="00330D55"/>
    <w:rsid w:val="003320E8"/>
    <w:rsid w:val="003328FD"/>
    <w:rsid w:val="00332DE3"/>
    <w:rsid w:val="0033334F"/>
    <w:rsid w:val="00334347"/>
    <w:rsid w:val="00334514"/>
    <w:rsid w:val="0033555E"/>
    <w:rsid w:val="00336805"/>
    <w:rsid w:val="00337351"/>
    <w:rsid w:val="00341A54"/>
    <w:rsid w:val="00344A4F"/>
    <w:rsid w:val="00344D17"/>
    <w:rsid w:val="0034669F"/>
    <w:rsid w:val="00350428"/>
    <w:rsid w:val="00351498"/>
    <w:rsid w:val="00352B22"/>
    <w:rsid w:val="00352CBF"/>
    <w:rsid w:val="00354547"/>
    <w:rsid w:val="003549F5"/>
    <w:rsid w:val="003567DE"/>
    <w:rsid w:val="003574F3"/>
    <w:rsid w:val="00357831"/>
    <w:rsid w:val="003604A5"/>
    <w:rsid w:val="0036319E"/>
    <w:rsid w:val="003632A4"/>
    <w:rsid w:val="00363362"/>
    <w:rsid w:val="00365767"/>
    <w:rsid w:val="003659C0"/>
    <w:rsid w:val="003660DF"/>
    <w:rsid w:val="00367D4F"/>
    <w:rsid w:val="00370743"/>
    <w:rsid w:val="00370EF5"/>
    <w:rsid w:val="0037135B"/>
    <w:rsid w:val="00372251"/>
    <w:rsid w:val="00373F64"/>
    <w:rsid w:val="00374D88"/>
    <w:rsid w:val="00374EA1"/>
    <w:rsid w:val="0037520D"/>
    <w:rsid w:val="00375724"/>
    <w:rsid w:val="00375809"/>
    <w:rsid w:val="00375CF1"/>
    <w:rsid w:val="0037628C"/>
    <w:rsid w:val="00376B81"/>
    <w:rsid w:val="00376E08"/>
    <w:rsid w:val="00377BD2"/>
    <w:rsid w:val="00380FD4"/>
    <w:rsid w:val="00381E16"/>
    <w:rsid w:val="003821E1"/>
    <w:rsid w:val="003840F6"/>
    <w:rsid w:val="00384866"/>
    <w:rsid w:val="003857D4"/>
    <w:rsid w:val="00385D6F"/>
    <w:rsid w:val="00386D43"/>
    <w:rsid w:val="00387095"/>
    <w:rsid w:val="00387E95"/>
    <w:rsid w:val="00390092"/>
    <w:rsid w:val="00391858"/>
    <w:rsid w:val="00392A25"/>
    <w:rsid w:val="003935A7"/>
    <w:rsid w:val="00393651"/>
    <w:rsid w:val="00394926"/>
    <w:rsid w:val="00394FF9"/>
    <w:rsid w:val="00395651"/>
    <w:rsid w:val="00395E12"/>
    <w:rsid w:val="003962A8"/>
    <w:rsid w:val="00396779"/>
    <w:rsid w:val="003967E0"/>
    <w:rsid w:val="00397DB7"/>
    <w:rsid w:val="003A27B2"/>
    <w:rsid w:val="003A40B4"/>
    <w:rsid w:val="003A41BA"/>
    <w:rsid w:val="003A5491"/>
    <w:rsid w:val="003A5884"/>
    <w:rsid w:val="003A5958"/>
    <w:rsid w:val="003A6A99"/>
    <w:rsid w:val="003A6E60"/>
    <w:rsid w:val="003A7FF8"/>
    <w:rsid w:val="003B17AC"/>
    <w:rsid w:val="003B227A"/>
    <w:rsid w:val="003B2947"/>
    <w:rsid w:val="003B3A77"/>
    <w:rsid w:val="003B4319"/>
    <w:rsid w:val="003B5854"/>
    <w:rsid w:val="003B6764"/>
    <w:rsid w:val="003B7A8B"/>
    <w:rsid w:val="003C294B"/>
    <w:rsid w:val="003C5046"/>
    <w:rsid w:val="003C6068"/>
    <w:rsid w:val="003C7AEC"/>
    <w:rsid w:val="003D2BA3"/>
    <w:rsid w:val="003D316B"/>
    <w:rsid w:val="003D3C22"/>
    <w:rsid w:val="003D56A0"/>
    <w:rsid w:val="003D69F5"/>
    <w:rsid w:val="003D7089"/>
    <w:rsid w:val="003D7DDB"/>
    <w:rsid w:val="003E024F"/>
    <w:rsid w:val="003E02C7"/>
    <w:rsid w:val="003E0543"/>
    <w:rsid w:val="003E061D"/>
    <w:rsid w:val="003E0B5A"/>
    <w:rsid w:val="003E1682"/>
    <w:rsid w:val="003E31E3"/>
    <w:rsid w:val="003E3E93"/>
    <w:rsid w:val="003E46D1"/>
    <w:rsid w:val="003E6214"/>
    <w:rsid w:val="003F070E"/>
    <w:rsid w:val="003F1206"/>
    <w:rsid w:val="003F28DB"/>
    <w:rsid w:val="003F2EEE"/>
    <w:rsid w:val="003F58B0"/>
    <w:rsid w:val="003F6B97"/>
    <w:rsid w:val="003F776F"/>
    <w:rsid w:val="004007E9"/>
    <w:rsid w:val="00400810"/>
    <w:rsid w:val="00401825"/>
    <w:rsid w:val="00401BBC"/>
    <w:rsid w:val="00403BFB"/>
    <w:rsid w:val="00404B45"/>
    <w:rsid w:val="00405BCF"/>
    <w:rsid w:val="00406CC5"/>
    <w:rsid w:val="004074A4"/>
    <w:rsid w:val="004101B2"/>
    <w:rsid w:val="004123D7"/>
    <w:rsid w:val="00412658"/>
    <w:rsid w:val="004129DA"/>
    <w:rsid w:val="00412C51"/>
    <w:rsid w:val="00415EA4"/>
    <w:rsid w:val="0041604B"/>
    <w:rsid w:val="004172DB"/>
    <w:rsid w:val="00420A1D"/>
    <w:rsid w:val="00421485"/>
    <w:rsid w:val="004216DA"/>
    <w:rsid w:val="00422B75"/>
    <w:rsid w:val="00423148"/>
    <w:rsid w:val="00424612"/>
    <w:rsid w:val="0042528C"/>
    <w:rsid w:val="00425672"/>
    <w:rsid w:val="00425A6A"/>
    <w:rsid w:val="00427F54"/>
    <w:rsid w:val="004316FD"/>
    <w:rsid w:val="00433F36"/>
    <w:rsid w:val="00434860"/>
    <w:rsid w:val="0043503A"/>
    <w:rsid w:val="00437B8A"/>
    <w:rsid w:val="00437D18"/>
    <w:rsid w:val="00437D77"/>
    <w:rsid w:val="004435BE"/>
    <w:rsid w:val="0044384F"/>
    <w:rsid w:val="0044411E"/>
    <w:rsid w:val="00444472"/>
    <w:rsid w:val="00444F80"/>
    <w:rsid w:val="00445599"/>
    <w:rsid w:val="00446018"/>
    <w:rsid w:val="0045027B"/>
    <w:rsid w:val="004504E7"/>
    <w:rsid w:val="00450719"/>
    <w:rsid w:val="00451F9D"/>
    <w:rsid w:val="00453167"/>
    <w:rsid w:val="004543BC"/>
    <w:rsid w:val="0045645D"/>
    <w:rsid w:val="004574C6"/>
    <w:rsid w:val="00457743"/>
    <w:rsid w:val="00457BCF"/>
    <w:rsid w:val="00457DCE"/>
    <w:rsid w:val="00460E3F"/>
    <w:rsid w:val="0046111A"/>
    <w:rsid w:val="00462F68"/>
    <w:rsid w:val="0046369B"/>
    <w:rsid w:val="004640E9"/>
    <w:rsid w:val="004657EC"/>
    <w:rsid w:val="00466CED"/>
    <w:rsid w:val="00466EB5"/>
    <w:rsid w:val="00467592"/>
    <w:rsid w:val="00467690"/>
    <w:rsid w:val="004718E7"/>
    <w:rsid w:val="00472289"/>
    <w:rsid w:val="00472535"/>
    <w:rsid w:val="004761CC"/>
    <w:rsid w:val="00476645"/>
    <w:rsid w:val="004766C9"/>
    <w:rsid w:val="00480D4A"/>
    <w:rsid w:val="00481DA1"/>
    <w:rsid w:val="00483A2B"/>
    <w:rsid w:val="00484212"/>
    <w:rsid w:val="00484BA9"/>
    <w:rsid w:val="0048599A"/>
    <w:rsid w:val="00486818"/>
    <w:rsid w:val="00487EE2"/>
    <w:rsid w:val="00491784"/>
    <w:rsid w:val="0049255F"/>
    <w:rsid w:val="0049445D"/>
    <w:rsid w:val="00495350"/>
    <w:rsid w:val="00495E3C"/>
    <w:rsid w:val="00497156"/>
    <w:rsid w:val="004A0C79"/>
    <w:rsid w:val="004A24D2"/>
    <w:rsid w:val="004A3214"/>
    <w:rsid w:val="004A4136"/>
    <w:rsid w:val="004A417B"/>
    <w:rsid w:val="004A4378"/>
    <w:rsid w:val="004A712D"/>
    <w:rsid w:val="004B03F3"/>
    <w:rsid w:val="004B0CC9"/>
    <w:rsid w:val="004B2536"/>
    <w:rsid w:val="004B46D7"/>
    <w:rsid w:val="004B6AF3"/>
    <w:rsid w:val="004B715E"/>
    <w:rsid w:val="004B7169"/>
    <w:rsid w:val="004B79C9"/>
    <w:rsid w:val="004B7D61"/>
    <w:rsid w:val="004C00DD"/>
    <w:rsid w:val="004C05CF"/>
    <w:rsid w:val="004C0776"/>
    <w:rsid w:val="004C1EF8"/>
    <w:rsid w:val="004C2063"/>
    <w:rsid w:val="004C24C5"/>
    <w:rsid w:val="004C47D5"/>
    <w:rsid w:val="004C4CAF"/>
    <w:rsid w:val="004C5E33"/>
    <w:rsid w:val="004C60A3"/>
    <w:rsid w:val="004C6CDA"/>
    <w:rsid w:val="004D10D4"/>
    <w:rsid w:val="004D16BD"/>
    <w:rsid w:val="004D2AAB"/>
    <w:rsid w:val="004D6E90"/>
    <w:rsid w:val="004D6F2B"/>
    <w:rsid w:val="004E0248"/>
    <w:rsid w:val="004E21A3"/>
    <w:rsid w:val="004E32EA"/>
    <w:rsid w:val="004E3C42"/>
    <w:rsid w:val="004E6866"/>
    <w:rsid w:val="004F0C58"/>
    <w:rsid w:val="004F3222"/>
    <w:rsid w:val="004F3639"/>
    <w:rsid w:val="004F3BFA"/>
    <w:rsid w:val="004F4E3C"/>
    <w:rsid w:val="004F5A1A"/>
    <w:rsid w:val="004F77A3"/>
    <w:rsid w:val="005000AB"/>
    <w:rsid w:val="00500F3C"/>
    <w:rsid w:val="005025EE"/>
    <w:rsid w:val="00503DDF"/>
    <w:rsid w:val="00504307"/>
    <w:rsid w:val="00505524"/>
    <w:rsid w:val="00506688"/>
    <w:rsid w:val="00510588"/>
    <w:rsid w:val="00510F9C"/>
    <w:rsid w:val="0051146C"/>
    <w:rsid w:val="0051220B"/>
    <w:rsid w:val="00512253"/>
    <w:rsid w:val="00512484"/>
    <w:rsid w:val="00514449"/>
    <w:rsid w:val="00515419"/>
    <w:rsid w:val="005157BD"/>
    <w:rsid w:val="005214A3"/>
    <w:rsid w:val="005222E7"/>
    <w:rsid w:val="00523A8B"/>
    <w:rsid w:val="00523E04"/>
    <w:rsid w:val="00525003"/>
    <w:rsid w:val="0052590B"/>
    <w:rsid w:val="00526591"/>
    <w:rsid w:val="00527178"/>
    <w:rsid w:val="005278CB"/>
    <w:rsid w:val="00534D42"/>
    <w:rsid w:val="005350A5"/>
    <w:rsid w:val="005353C1"/>
    <w:rsid w:val="00536379"/>
    <w:rsid w:val="00537238"/>
    <w:rsid w:val="005400C5"/>
    <w:rsid w:val="005404CD"/>
    <w:rsid w:val="00540BE0"/>
    <w:rsid w:val="00540BEF"/>
    <w:rsid w:val="00542C9A"/>
    <w:rsid w:val="005436C2"/>
    <w:rsid w:val="005442D4"/>
    <w:rsid w:val="0054586A"/>
    <w:rsid w:val="0054631F"/>
    <w:rsid w:val="00546C24"/>
    <w:rsid w:val="005471BA"/>
    <w:rsid w:val="00547BE6"/>
    <w:rsid w:val="0055034F"/>
    <w:rsid w:val="0055288D"/>
    <w:rsid w:val="00555259"/>
    <w:rsid w:val="00555C66"/>
    <w:rsid w:val="005569EF"/>
    <w:rsid w:val="00556BDE"/>
    <w:rsid w:val="00560D57"/>
    <w:rsid w:val="00562A94"/>
    <w:rsid w:val="00563FAD"/>
    <w:rsid w:val="005701C1"/>
    <w:rsid w:val="005703BF"/>
    <w:rsid w:val="00570754"/>
    <w:rsid w:val="005709F7"/>
    <w:rsid w:val="005710A9"/>
    <w:rsid w:val="00571B11"/>
    <w:rsid w:val="00571D1B"/>
    <w:rsid w:val="00571DA3"/>
    <w:rsid w:val="005738F5"/>
    <w:rsid w:val="00573D34"/>
    <w:rsid w:val="00575963"/>
    <w:rsid w:val="00575EBE"/>
    <w:rsid w:val="0058039C"/>
    <w:rsid w:val="00580A63"/>
    <w:rsid w:val="00583379"/>
    <w:rsid w:val="0058417C"/>
    <w:rsid w:val="00586EC6"/>
    <w:rsid w:val="00587DDE"/>
    <w:rsid w:val="00591815"/>
    <w:rsid w:val="00593043"/>
    <w:rsid w:val="00595B60"/>
    <w:rsid w:val="00595BF0"/>
    <w:rsid w:val="00597E16"/>
    <w:rsid w:val="005A0B1D"/>
    <w:rsid w:val="005A1846"/>
    <w:rsid w:val="005A258C"/>
    <w:rsid w:val="005A3560"/>
    <w:rsid w:val="005A464E"/>
    <w:rsid w:val="005A62FC"/>
    <w:rsid w:val="005A6C99"/>
    <w:rsid w:val="005A7D5D"/>
    <w:rsid w:val="005B0040"/>
    <w:rsid w:val="005B011A"/>
    <w:rsid w:val="005B0283"/>
    <w:rsid w:val="005B1ADA"/>
    <w:rsid w:val="005B1D8F"/>
    <w:rsid w:val="005B1E94"/>
    <w:rsid w:val="005B576F"/>
    <w:rsid w:val="005B5B3D"/>
    <w:rsid w:val="005B64CF"/>
    <w:rsid w:val="005C0E87"/>
    <w:rsid w:val="005C16F3"/>
    <w:rsid w:val="005C3758"/>
    <w:rsid w:val="005C4D72"/>
    <w:rsid w:val="005C50C1"/>
    <w:rsid w:val="005C62C2"/>
    <w:rsid w:val="005D2306"/>
    <w:rsid w:val="005D4A74"/>
    <w:rsid w:val="005D5E91"/>
    <w:rsid w:val="005D67EF"/>
    <w:rsid w:val="005E3064"/>
    <w:rsid w:val="005E6AEE"/>
    <w:rsid w:val="005E72B2"/>
    <w:rsid w:val="005F1115"/>
    <w:rsid w:val="005F1AB6"/>
    <w:rsid w:val="005F27F2"/>
    <w:rsid w:val="005F2B27"/>
    <w:rsid w:val="005F3567"/>
    <w:rsid w:val="005F3AFE"/>
    <w:rsid w:val="005F424D"/>
    <w:rsid w:val="005F55F5"/>
    <w:rsid w:val="005F5EC1"/>
    <w:rsid w:val="005F67A9"/>
    <w:rsid w:val="005F6B6D"/>
    <w:rsid w:val="006008F8"/>
    <w:rsid w:val="00605AAB"/>
    <w:rsid w:val="00606BEB"/>
    <w:rsid w:val="0061014A"/>
    <w:rsid w:val="0061054B"/>
    <w:rsid w:val="006128CE"/>
    <w:rsid w:val="00612FB0"/>
    <w:rsid w:val="0061356D"/>
    <w:rsid w:val="00613E26"/>
    <w:rsid w:val="00615641"/>
    <w:rsid w:val="00616959"/>
    <w:rsid w:val="0062036E"/>
    <w:rsid w:val="006211D0"/>
    <w:rsid w:val="00621595"/>
    <w:rsid w:val="0062359D"/>
    <w:rsid w:val="00623634"/>
    <w:rsid w:val="00624D0C"/>
    <w:rsid w:val="006274B4"/>
    <w:rsid w:val="00627719"/>
    <w:rsid w:val="006307BA"/>
    <w:rsid w:val="006315BA"/>
    <w:rsid w:val="00634C4A"/>
    <w:rsid w:val="0063532E"/>
    <w:rsid w:val="00637063"/>
    <w:rsid w:val="0063737C"/>
    <w:rsid w:val="00637BDC"/>
    <w:rsid w:val="00640622"/>
    <w:rsid w:val="006418C9"/>
    <w:rsid w:val="00642BD6"/>
    <w:rsid w:val="00642D67"/>
    <w:rsid w:val="00645046"/>
    <w:rsid w:val="0064527A"/>
    <w:rsid w:val="006458FD"/>
    <w:rsid w:val="00645EA2"/>
    <w:rsid w:val="006465E9"/>
    <w:rsid w:val="00651E6D"/>
    <w:rsid w:val="00653D2D"/>
    <w:rsid w:val="00655258"/>
    <w:rsid w:val="006555E7"/>
    <w:rsid w:val="006560B6"/>
    <w:rsid w:val="006573F2"/>
    <w:rsid w:val="00662AD0"/>
    <w:rsid w:val="00662F08"/>
    <w:rsid w:val="00663589"/>
    <w:rsid w:val="00664296"/>
    <w:rsid w:val="006649CD"/>
    <w:rsid w:val="00665D75"/>
    <w:rsid w:val="006708E3"/>
    <w:rsid w:val="00670DDC"/>
    <w:rsid w:val="00671389"/>
    <w:rsid w:val="00671EB4"/>
    <w:rsid w:val="00673CDC"/>
    <w:rsid w:val="0067443B"/>
    <w:rsid w:val="006770AA"/>
    <w:rsid w:val="00680F28"/>
    <w:rsid w:val="00682486"/>
    <w:rsid w:val="00684CE6"/>
    <w:rsid w:val="00684E2B"/>
    <w:rsid w:val="00687C7E"/>
    <w:rsid w:val="00690569"/>
    <w:rsid w:val="00690FDA"/>
    <w:rsid w:val="00691E61"/>
    <w:rsid w:val="00692656"/>
    <w:rsid w:val="006937C6"/>
    <w:rsid w:val="00693C5E"/>
    <w:rsid w:val="00693CEE"/>
    <w:rsid w:val="00694EEA"/>
    <w:rsid w:val="006955B4"/>
    <w:rsid w:val="00695DEF"/>
    <w:rsid w:val="00696476"/>
    <w:rsid w:val="00696C74"/>
    <w:rsid w:val="006A10FA"/>
    <w:rsid w:val="006A40E6"/>
    <w:rsid w:val="006A516B"/>
    <w:rsid w:val="006A5362"/>
    <w:rsid w:val="006A543A"/>
    <w:rsid w:val="006A5C07"/>
    <w:rsid w:val="006A75FA"/>
    <w:rsid w:val="006B07D5"/>
    <w:rsid w:val="006B1309"/>
    <w:rsid w:val="006B31E6"/>
    <w:rsid w:val="006B3923"/>
    <w:rsid w:val="006B3F3E"/>
    <w:rsid w:val="006B4AA2"/>
    <w:rsid w:val="006B53C4"/>
    <w:rsid w:val="006B54DC"/>
    <w:rsid w:val="006B586B"/>
    <w:rsid w:val="006B5923"/>
    <w:rsid w:val="006B67D9"/>
    <w:rsid w:val="006B6C14"/>
    <w:rsid w:val="006B715E"/>
    <w:rsid w:val="006C1D6E"/>
    <w:rsid w:val="006C2EF6"/>
    <w:rsid w:val="006C3A68"/>
    <w:rsid w:val="006C3B08"/>
    <w:rsid w:val="006C4B9D"/>
    <w:rsid w:val="006C6AB1"/>
    <w:rsid w:val="006C6E6B"/>
    <w:rsid w:val="006C72C0"/>
    <w:rsid w:val="006D145F"/>
    <w:rsid w:val="006D1D34"/>
    <w:rsid w:val="006D2000"/>
    <w:rsid w:val="006D2D39"/>
    <w:rsid w:val="006D2F31"/>
    <w:rsid w:val="006D4250"/>
    <w:rsid w:val="006D4E0E"/>
    <w:rsid w:val="006D5861"/>
    <w:rsid w:val="006D5CE2"/>
    <w:rsid w:val="006D5D39"/>
    <w:rsid w:val="006D7854"/>
    <w:rsid w:val="006E06D1"/>
    <w:rsid w:val="006E1313"/>
    <w:rsid w:val="006E2DC8"/>
    <w:rsid w:val="006E7356"/>
    <w:rsid w:val="006E77C8"/>
    <w:rsid w:val="006F0F9C"/>
    <w:rsid w:val="006F149D"/>
    <w:rsid w:val="006F1A46"/>
    <w:rsid w:val="006F4E3D"/>
    <w:rsid w:val="006F4F06"/>
    <w:rsid w:val="006F5A4E"/>
    <w:rsid w:val="006F5D37"/>
    <w:rsid w:val="006F6005"/>
    <w:rsid w:val="007005EA"/>
    <w:rsid w:val="00703B6C"/>
    <w:rsid w:val="00703BB0"/>
    <w:rsid w:val="00704519"/>
    <w:rsid w:val="00704C88"/>
    <w:rsid w:val="00704EA1"/>
    <w:rsid w:val="00705C40"/>
    <w:rsid w:val="00706482"/>
    <w:rsid w:val="00706754"/>
    <w:rsid w:val="00706BEF"/>
    <w:rsid w:val="00707ECE"/>
    <w:rsid w:val="00710CE8"/>
    <w:rsid w:val="00711350"/>
    <w:rsid w:val="007116BC"/>
    <w:rsid w:val="00711961"/>
    <w:rsid w:val="00711CA6"/>
    <w:rsid w:val="007165CE"/>
    <w:rsid w:val="00717CEB"/>
    <w:rsid w:val="0072035D"/>
    <w:rsid w:val="00720968"/>
    <w:rsid w:val="00721705"/>
    <w:rsid w:val="00721B7A"/>
    <w:rsid w:val="00721D12"/>
    <w:rsid w:val="00721F8B"/>
    <w:rsid w:val="007237CE"/>
    <w:rsid w:val="00724688"/>
    <w:rsid w:val="007272F1"/>
    <w:rsid w:val="0073062D"/>
    <w:rsid w:val="0073093B"/>
    <w:rsid w:val="0073254D"/>
    <w:rsid w:val="00732D5E"/>
    <w:rsid w:val="007340F3"/>
    <w:rsid w:val="00735704"/>
    <w:rsid w:val="00736A49"/>
    <w:rsid w:val="007419A1"/>
    <w:rsid w:val="00743B71"/>
    <w:rsid w:val="00743C2D"/>
    <w:rsid w:val="00743E36"/>
    <w:rsid w:val="00743F05"/>
    <w:rsid w:val="007441C1"/>
    <w:rsid w:val="007446F7"/>
    <w:rsid w:val="00744EBB"/>
    <w:rsid w:val="00745B0A"/>
    <w:rsid w:val="00745DBE"/>
    <w:rsid w:val="007468AC"/>
    <w:rsid w:val="00746AE2"/>
    <w:rsid w:val="00750C82"/>
    <w:rsid w:val="00750E3A"/>
    <w:rsid w:val="00752035"/>
    <w:rsid w:val="0076100C"/>
    <w:rsid w:val="007612A5"/>
    <w:rsid w:val="007622CD"/>
    <w:rsid w:val="00763CAE"/>
    <w:rsid w:val="00763F95"/>
    <w:rsid w:val="007651ED"/>
    <w:rsid w:val="00766C87"/>
    <w:rsid w:val="00771043"/>
    <w:rsid w:val="00773AF7"/>
    <w:rsid w:val="00774FFD"/>
    <w:rsid w:val="00780378"/>
    <w:rsid w:val="0078085E"/>
    <w:rsid w:val="00781BD4"/>
    <w:rsid w:val="00782562"/>
    <w:rsid w:val="007828B4"/>
    <w:rsid w:val="00784832"/>
    <w:rsid w:val="00784EA0"/>
    <w:rsid w:val="00785D77"/>
    <w:rsid w:val="00786111"/>
    <w:rsid w:val="00790963"/>
    <w:rsid w:val="0079154B"/>
    <w:rsid w:val="00791B62"/>
    <w:rsid w:val="00791F1E"/>
    <w:rsid w:val="007927BE"/>
    <w:rsid w:val="007935B8"/>
    <w:rsid w:val="00794ADE"/>
    <w:rsid w:val="00794F3D"/>
    <w:rsid w:val="00795CE9"/>
    <w:rsid w:val="00796045"/>
    <w:rsid w:val="007968AC"/>
    <w:rsid w:val="007969AB"/>
    <w:rsid w:val="007973D8"/>
    <w:rsid w:val="00797801"/>
    <w:rsid w:val="007A0B39"/>
    <w:rsid w:val="007A14A4"/>
    <w:rsid w:val="007A168F"/>
    <w:rsid w:val="007A2346"/>
    <w:rsid w:val="007A28E4"/>
    <w:rsid w:val="007A3BB3"/>
    <w:rsid w:val="007A3F91"/>
    <w:rsid w:val="007A5AD1"/>
    <w:rsid w:val="007A5B7B"/>
    <w:rsid w:val="007A65A9"/>
    <w:rsid w:val="007B0128"/>
    <w:rsid w:val="007B0A06"/>
    <w:rsid w:val="007B0B24"/>
    <w:rsid w:val="007B1C83"/>
    <w:rsid w:val="007B4181"/>
    <w:rsid w:val="007B5C5C"/>
    <w:rsid w:val="007B6CE0"/>
    <w:rsid w:val="007B7B37"/>
    <w:rsid w:val="007B7C41"/>
    <w:rsid w:val="007C05C5"/>
    <w:rsid w:val="007C0E55"/>
    <w:rsid w:val="007C11E9"/>
    <w:rsid w:val="007C433E"/>
    <w:rsid w:val="007C4452"/>
    <w:rsid w:val="007C4B3C"/>
    <w:rsid w:val="007C4DB1"/>
    <w:rsid w:val="007C6046"/>
    <w:rsid w:val="007C6F0C"/>
    <w:rsid w:val="007D0292"/>
    <w:rsid w:val="007D136C"/>
    <w:rsid w:val="007D21AC"/>
    <w:rsid w:val="007D24B0"/>
    <w:rsid w:val="007D3882"/>
    <w:rsid w:val="007D39E4"/>
    <w:rsid w:val="007D3FE7"/>
    <w:rsid w:val="007D568A"/>
    <w:rsid w:val="007D574E"/>
    <w:rsid w:val="007D57C0"/>
    <w:rsid w:val="007D67CB"/>
    <w:rsid w:val="007D6BFE"/>
    <w:rsid w:val="007E2046"/>
    <w:rsid w:val="007E3883"/>
    <w:rsid w:val="007E4876"/>
    <w:rsid w:val="007E48CD"/>
    <w:rsid w:val="007E4ACB"/>
    <w:rsid w:val="007E4FBB"/>
    <w:rsid w:val="007E55BF"/>
    <w:rsid w:val="007E59E3"/>
    <w:rsid w:val="007E5E39"/>
    <w:rsid w:val="007E71B1"/>
    <w:rsid w:val="007E7B4E"/>
    <w:rsid w:val="007E7F02"/>
    <w:rsid w:val="007F0292"/>
    <w:rsid w:val="007F0AB7"/>
    <w:rsid w:val="007F0CE2"/>
    <w:rsid w:val="007F0EFF"/>
    <w:rsid w:val="007F1375"/>
    <w:rsid w:val="007F1AFD"/>
    <w:rsid w:val="007F30E4"/>
    <w:rsid w:val="0080064F"/>
    <w:rsid w:val="00801B85"/>
    <w:rsid w:val="00803850"/>
    <w:rsid w:val="008039E8"/>
    <w:rsid w:val="00804385"/>
    <w:rsid w:val="00804E0E"/>
    <w:rsid w:val="00805AFD"/>
    <w:rsid w:val="008078D8"/>
    <w:rsid w:val="0080798E"/>
    <w:rsid w:val="00811D5B"/>
    <w:rsid w:val="00813C51"/>
    <w:rsid w:val="00815F21"/>
    <w:rsid w:val="00816CCB"/>
    <w:rsid w:val="00817572"/>
    <w:rsid w:val="00817713"/>
    <w:rsid w:val="008208C3"/>
    <w:rsid w:val="008220F1"/>
    <w:rsid w:val="0082340B"/>
    <w:rsid w:val="00823D6A"/>
    <w:rsid w:val="008241E0"/>
    <w:rsid w:val="00827B29"/>
    <w:rsid w:val="00827DB6"/>
    <w:rsid w:val="00827ED6"/>
    <w:rsid w:val="008304B2"/>
    <w:rsid w:val="00830999"/>
    <w:rsid w:val="00830D5E"/>
    <w:rsid w:val="00830F69"/>
    <w:rsid w:val="008324D9"/>
    <w:rsid w:val="00833418"/>
    <w:rsid w:val="0083387F"/>
    <w:rsid w:val="00834458"/>
    <w:rsid w:val="00834AEA"/>
    <w:rsid w:val="00835129"/>
    <w:rsid w:val="00835841"/>
    <w:rsid w:val="00835BF8"/>
    <w:rsid w:val="00835FB7"/>
    <w:rsid w:val="00837465"/>
    <w:rsid w:val="0084002E"/>
    <w:rsid w:val="00840159"/>
    <w:rsid w:val="00840621"/>
    <w:rsid w:val="00841243"/>
    <w:rsid w:val="00841457"/>
    <w:rsid w:val="0084374E"/>
    <w:rsid w:val="00844842"/>
    <w:rsid w:val="00844A53"/>
    <w:rsid w:val="00844B99"/>
    <w:rsid w:val="00844DD0"/>
    <w:rsid w:val="008455C8"/>
    <w:rsid w:val="00846407"/>
    <w:rsid w:val="0085006A"/>
    <w:rsid w:val="0085089F"/>
    <w:rsid w:val="0085206E"/>
    <w:rsid w:val="00852273"/>
    <w:rsid w:val="0085293D"/>
    <w:rsid w:val="00852AD4"/>
    <w:rsid w:val="00852BA8"/>
    <w:rsid w:val="00852BF0"/>
    <w:rsid w:val="00853718"/>
    <w:rsid w:val="008541EF"/>
    <w:rsid w:val="00856AC7"/>
    <w:rsid w:val="00856FA4"/>
    <w:rsid w:val="00860E60"/>
    <w:rsid w:val="0086102A"/>
    <w:rsid w:val="0086162B"/>
    <w:rsid w:val="00861710"/>
    <w:rsid w:val="00861D5C"/>
    <w:rsid w:val="00861E7C"/>
    <w:rsid w:val="00865207"/>
    <w:rsid w:val="008656A7"/>
    <w:rsid w:val="00865FA3"/>
    <w:rsid w:val="00866231"/>
    <w:rsid w:val="00871262"/>
    <w:rsid w:val="0087170E"/>
    <w:rsid w:val="00871D4E"/>
    <w:rsid w:val="00871E7B"/>
    <w:rsid w:val="008721BB"/>
    <w:rsid w:val="008736F3"/>
    <w:rsid w:val="0087566D"/>
    <w:rsid w:val="00875B50"/>
    <w:rsid w:val="00875B51"/>
    <w:rsid w:val="00875F2D"/>
    <w:rsid w:val="008764DC"/>
    <w:rsid w:val="00882CC2"/>
    <w:rsid w:val="0088325A"/>
    <w:rsid w:val="00883930"/>
    <w:rsid w:val="00884535"/>
    <w:rsid w:val="008902BE"/>
    <w:rsid w:val="0089038F"/>
    <w:rsid w:val="00890CDA"/>
    <w:rsid w:val="00891BBA"/>
    <w:rsid w:val="00892079"/>
    <w:rsid w:val="00892B90"/>
    <w:rsid w:val="00896535"/>
    <w:rsid w:val="00896683"/>
    <w:rsid w:val="00896E71"/>
    <w:rsid w:val="0089750B"/>
    <w:rsid w:val="00897589"/>
    <w:rsid w:val="008A0D4F"/>
    <w:rsid w:val="008A1DC2"/>
    <w:rsid w:val="008A2D08"/>
    <w:rsid w:val="008A39D7"/>
    <w:rsid w:val="008A55DE"/>
    <w:rsid w:val="008A5C34"/>
    <w:rsid w:val="008A63A9"/>
    <w:rsid w:val="008A7073"/>
    <w:rsid w:val="008A79F0"/>
    <w:rsid w:val="008A7F7E"/>
    <w:rsid w:val="008B04DB"/>
    <w:rsid w:val="008B09B4"/>
    <w:rsid w:val="008B1DF4"/>
    <w:rsid w:val="008B27FD"/>
    <w:rsid w:val="008B2FDB"/>
    <w:rsid w:val="008B3AF2"/>
    <w:rsid w:val="008B446D"/>
    <w:rsid w:val="008B515D"/>
    <w:rsid w:val="008B5D31"/>
    <w:rsid w:val="008B6705"/>
    <w:rsid w:val="008C0AF2"/>
    <w:rsid w:val="008C22F3"/>
    <w:rsid w:val="008C3FD0"/>
    <w:rsid w:val="008C4F01"/>
    <w:rsid w:val="008C63A7"/>
    <w:rsid w:val="008D1484"/>
    <w:rsid w:val="008D29E7"/>
    <w:rsid w:val="008D3C07"/>
    <w:rsid w:val="008D3CF2"/>
    <w:rsid w:val="008D5104"/>
    <w:rsid w:val="008D75F4"/>
    <w:rsid w:val="008D795D"/>
    <w:rsid w:val="008D7B07"/>
    <w:rsid w:val="008E0D8F"/>
    <w:rsid w:val="008E0F4E"/>
    <w:rsid w:val="008E1E94"/>
    <w:rsid w:val="008E2D99"/>
    <w:rsid w:val="008E30D4"/>
    <w:rsid w:val="008E38B0"/>
    <w:rsid w:val="008E4A60"/>
    <w:rsid w:val="008E744D"/>
    <w:rsid w:val="008F1E08"/>
    <w:rsid w:val="008F49DC"/>
    <w:rsid w:val="008F541E"/>
    <w:rsid w:val="008F6FC8"/>
    <w:rsid w:val="0090045D"/>
    <w:rsid w:val="00900D8F"/>
    <w:rsid w:val="009014E3"/>
    <w:rsid w:val="009020ED"/>
    <w:rsid w:val="009026E8"/>
    <w:rsid w:val="00902FDD"/>
    <w:rsid w:val="009047EF"/>
    <w:rsid w:val="00905EEF"/>
    <w:rsid w:val="00906EB7"/>
    <w:rsid w:val="009102BF"/>
    <w:rsid w:val="00911490"/>
    <w:rsid w:val="009115F2"/>
    <w:rsid w:val="00911663"/>
    <w:rsid w:val="00911B11"/>
    <w:rsid w:val="0091342D"/>
    <w:rsid w:val="00914ADB"/>
    <w:rsid w:val="00917182"/>
    <w:rsid w:val="00923B25"/>
    <w:rsid w:val="0092402E"/>
    <w:rsid w:val="009259BA"/>
    <w:rsid w:val="00926FCB"/>
    <w:rsid w:val="009303BB"/>
    <w:rsid w:val="0093108A"/>
    <w:rsid w:val="0093311A"/>
    <w:rsid w:val="009346D0"/>
    <w:rsid w:val="009419B4"/>
    <w:rsid w:val="00941A4C"/>
    <w:rsid w:val="00942645"/>
    <w:rsid w:val="00943D26"/>
    <w:rsid w:val="009461E6"/>
    <w:rsid w:val="00950A3A"/>
    <w:rsid w:val="00950FA4"/>
    <w:rsid w:val="0095340A"/>
    <w:rsid w:val="00953AF6"/>
    <w:rsid w:val="0095423E"/>
    <w:rsid w:val="00954581"/>
    <w:rsid w:val="0095466C"/>
    <w:rsid w:val="00954E5B"/>
    <w:rsid w:val="00955316"/>
    <w:rsid w:val="00955E45"/>
    <w:rsid w:val="009576BC"/>
    <w:rsid w:val="00957899"/>
    <w:rsid w:val="00960357"/>
    <w:rsid w:val="0096168C"/>
    <w:rsid w:val="00961840"/>
    <w:rsid w:val="009625E3"/>
    <w:rsid w:val="00962F2D"/>
    <w:rsid w:val="00963A7A"/>
    <w:rsid w:val="009672CD"/>
    <w:rsid w:val="00972996"/>
    <w:rsid w:val="009732B8"/>
    <w:rsid w:val="00974647"/>
    <w:rsid w:val="0097514A"/>
    <w:rsid w:val="009759C2"/>
    <w:rsid w:val="00975C72"/>
    <w:rsid w:val="00976869"/>
    <w:rsid w:val="00977740"/>
    <w:rsid w:val="00977CB4"/>
    <w:rsid w:val="009809B8"/>
    <w:rsid w:val="00981086"/>
    <w:rsid w:val="009818AF"/>
    <w:rsid w:val="00981B1C"/>
    <w:rsid w:val="0098222D"/>
    <w:rsid w:val="00985099"/>
    <w:rsid w:val="00985D32"/>
    <w:rsid w:val="00986514"/>
    <w:rsid w:val="00986D2A"/>
    <w:rsid w:val="00986FCC"/>
    <w:rsid w:val="009935C3"/>
    <w:rsid w:val="0099421F"/>
    <w:rsid w:val="00994FC8"/>
    <w:rsid w:val="009A0DE3"/>
    <w:rsid w:val="009A1643"/>
    <w:rsid w:val="009A215A"/>
    <w:rsid w:val="009A456F"/>
    <w:rsid w:val="009A49D3"/>
    <w:rsid w:val="009A4F1B"/>
    <w:rsid w:val="009A66C5"/>
    <w:rsid w:val="009A66E7"/>
    <w:rsid w:val="009A79BA"/>
    <w:rsid w:val="009B14D1"/>
    <w:rsid w:val="009B1534"/>
    <w:rsid w:val="009B4963"/>
    <w:rsid w:val="009B4A3B"/>
    <w:rsid w:val="009B69D3"/>
    <w:rsid w:val="009B7BA7"/>
    <w:rsid w:val="009B7C01"/>
    <w:rsid w:val="009C0938"/>
    <w:rsid w:val="009C0C22"/>
    <w:rsid w:val="009C15D9"/>
    <w:rsid w:val="009C22C8"/>
    <w:rsid w:val="009C3F82"/>
    <w:rsid w:val="009C582A"/>
    <w:rsid w:val="009C5C56"/>
    <w:rsid w:val="009C72DD"/>
    <w:rsid w:val="009C78FD"/>
    <w:rsid w:val="009C7DF5"/>
    <w:rsid w:val="009D056C"/>
    <w:rsid w:val="009D060F"/>
    <w:rsid w:val="009D1ADE"/>
    <w:rsid w:val="009D3652"/>
    <w:rsid w:val="009D37CA"/>
    <w:rsid w:val="009D4229"/>
    <w:rsid w:val="009D4268"/>
    <w:rsid w:val="009E09D0"/>
    <w:rsid w:val="009E1283"/>
    <w:rsid w:val="009E3A7F"/>
    <w:rsid w:val="009E4C9B"/>
    <w:rsid w:val="009E4DFC"/>
    <w:rsid w:val="009E5789"/>
    <w:rsid w:val="009E57B1"/>
    <w:rsid w:val="009E6379"/>
    <w:rsid w:val="009F020F"/>
    <w:rsid w:val="009F3B63"/>
    <w:rsid w:val="009F43E2"/>
    <w:rsid w:val="009F6292"/>
    <w:rsid w:val="009F7809"/>
    <w:rsid w:val="009F7AF5"/>
    <w:rsid w:val="00A006F1"/>
    <w:rsid w:val="00A007A7"/>
    <w:rsid w:val="00A00D14"/>
    <w:rsid w:val="00A01408"/>
    <w:rsid w:val="00A02457"/>
    <w:rsid w:val="00A03190"/>
    <w:rsid w:val="00A0404B"/>
    <w:rsid w:val="00A06F66"/>
    <w:rsid w:val="00A070BE"/>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3B89"/>
    <w:rsid w:val="00A23FE3"/>
    <w:rsid w:val="00A248C3"/>
    <w:rsid w:val="00A2496E"/>
    <w:rsid w:val="00A2515A"/>
    <w:rsid w:val="00A253E8"/>
    <w:rsid w:val="00A258B7"/>
    <w:rsid w:val="00A25A0C"/>
    <w:rsid w:val="00A25A83"/>
    <w:rsid w:val="00A262B6"/>
    <w:rsid w:val="00A31FE2"/>
    <w:rsid w:val="00A32743"/>
    <w:rsid w:val="00A40FFB"/>
    <w:rsid w:val="00A41468"/>
    <w:rsid w:val="00A414A9"/>
    <w:rsid w:val="00A44141"/>
    <w:rsid w:val="00A44CCA"/>
    <w:rsid w:val="00A44D75"/>
    <w:rsid w:val="00A46DA5"/>
    <w:rsid w:val="00A47CF1"/>
    <w:rsid w:val="00A50418"/>
    <w:rsid w:val="00A54A47"/>
    <w:rsid w:val="00A56D26"/>
    <w:rsid w:val="00A571A7"/>
    <w:rsid w:val="00A5749A"/>
    <w:rsid w:val="00A57BA8"/>
    <w:rsid w:val="00A608FB"/>
    <w:rsid w:val="00A60D83"/>
    <w:rsid w:val="00A60F68"/>
    <w:rsid w:val="00A63DF3"/>
    <w:rsid w:val="00A65C78"/>
    <w:rsid w:val="00A660A8"/>
    <w:rsid w:val="00A66A45"/>
    <w:rsid w:val="00A67591"/>
    <w:rsid w:val="00A67CA6"/>
    <w:rsid w:val="00A70E7B"/>
    <w:rsid w:val="00A717EA"/>
    <w:rsid w:val="00A73B84"/>
    <w:rsid w:val="00A7411D"/>
    <w:rsid w:val="00A756C4"/>
    <w:rsid w:val="00A7592B"/>
    <w:rsid w:val="00A76094"/>
    <w:rsid w:val="00A768E2"/>
    <w:rsid w:val="00A82C52"/>
    <w:rsid w:val="00A838E8"/>
    <w:rsid w:val="00A83C15"/>
    <w:rsid w:val="00A84EC4"/>
    <w:rsid w:val="00A86CB6"/>
    <w:rsid w:val="00A90D55"/>
    <w:rsid w:val="00A944D8"/>
    <w:rsid w:val="00A959E7"/>
    <w:rsid w:val="00A95BBA"/>
    <w:rsid w:val="00A961EE"/>
    <w:rsid w:val="00AA04B3"/>
    <w:rsid w:val="00AA1253"/>
    <w:rsid w:val="00AA1ED0"/>
    <w:rsid w:val="00AA1F5B"/>
    <w:rsid w:val="00AA28EF"/>
    <w:rsid w:val="00AA3593"/>
    <w:rsid w:val="00AA38CA"/>
    <w:rsid w:val="00AA493E"/>
    <w:rsid w:val="00AA73AF"/>
    <w:rsid w:val="00AB02DE"/>
    <w:rsid w:val="00AB0A8A"/>
    <w:rsid w:val="00AB1754"/>
    <w:rsid w:val="00AB1DC5"/>
    <w:rsid w:val="00AB1F8D"/>
    <w:rsid w:val="00AB27DD"/>
    <w:rsid w:val="00AB592E"/>
    <w:rsid w:val="00AC0120"/>
    <w:rsid w:val="00AC1A32"/>
    <w:rsid w:val="00AC349B"/>
    <w:rsid w:val="00AC37BE"/>
    <w:rsid w:val="00AC439D"/>
    <w:rsid w:val="00AC62CC"/>
    <w:rsid w:val="00AC713F"/>
    <w:rsid w:val="00AC7329"/>
    <w:rsid w:val="00AC7D96"/>
    <w:rsid w:val="00AD00E4"/>
    <w:rsid w:val="00AD067E"/>
    <w:rsid w:val="00AD168B"/>
    <w:rsid w:val="00AD1B4E"/>
    <w:rsid w:val="00AD2801"/>
    <w:rsid w:val="00AD3496"/>
    <w:rsid w:val="00AD49A1"/>
    <w:rsid w:val="00AD5771"/>
    <w:rsid w:val="00AD6870"/>
    <w:rsid w:val="00AD68C5"/>
    <w:rsid w:val="00AD7F8F"/>
    <w:rsid w:val="00AE0BF9"/>
    <w:rsid w:val="00AE1273"/>
    <w:rsid w:val="00AE18C5"/>
    <w:rsid w:val="00AE2CF4"/>
    <w:rsid w:val="00AE2D29"/>
    <w:rsid w:val="00AE2F15"/>
    <w:rsid w:val="00AE3ABF"/>
    <w:rsid w:val="00AE4624"/>
    <w:rsid w:val="00AE4B3E"/>
    <w:rsid w:val="00AE5E14"/>
    <w:rsid w:val="00AE6115"/>
    <w:rsid w:val="00AE625B"/>
    <w:rsid w:val="00AF01B2"/>
    <w:rsid w:val="00AF1103"/>
    <w:rsid w:val="00AF1668"/>
    <w:rsid w:val="00AF28DE"/>
    <w:rsid w:val="00AF4FA5"/>
    <w:rsid w:val="00AF6ECC"/>
    <w:rsid w:val="00B022DC"/>
    <w:rsid w:val="00B04562"/>
    <w:rsid w:val="00B0472F"/>
    <w:rsid w:val="00B06930"/>
    <w:rsid w:val="00B0773A"/>
    <w:rsid w:val="00B07955"/>
    <w:rsid w:val="00B1176B"/>
    <w:rsid w:val="00B140B8"/>
    <w:rsid w:val="00B14FAA"/>
    <w:rsid w:val="00B15BED"/>
    <w:rsid w:val="00B15D30"/>
    <w:rsid w:val="00B16860"/>
    <w:rsid w:val="00B16D18"/>
    <w:rsid w:val="00B177DE"/>
    <w:rsid w:val="00B20624"/>
    <w:rsid w:val="00B23436"/>
    <w:rsid w:val="00B237F1"/>
    <w:rsid w:val="00B23F10"/>
    <w:rsid w:val="00B24328"/>
    <w:rsid w:val="00B24ED4"/>
    <w:rsid w:val="00B24F33"/>
    <w:rsid w:val="00B26354"/>
    <w:rsid w:val="00B26CA0"/>
    <w:rsid w:val="00B3139A"/>
    <w:rsid w:val="00B31965"/>
    <w:rsid w:val="00B32179"/>
    <w:rsid w:val="00B32341"/>
    <w:rsid w:val="00B32C2B"/>
    <w:rsid w:val="00B33007"/>
    <w:rsid w:val="00B331A9"/>
    <w:rsid w:val="00B33498"/>
    <w:rsid w:val="00B33598"/>
    <w:rsid w:val="00B36569"/>
    <w:rsid w:val="00B37345"/>
    <w:rsid w:val="00B37F53"/>
    <w:rsid w:val="00B40A05"/>
    <w:rsid w:val="00B40A3E"/>
    <w:rsid w:val="00B427BB"/>
    <w:rsid w:val="00B43BA2"/>
    <w:rsid w:val="00B449EE"/>
    <w:rsid w:val="00B454AE"/>
    <w:rsid w:val="00B50227"/>
    <w:rsid w:val="00B50510"/>
    <w:rsid w:val="00B51AB2"/>
    <w:rsid w:val="00B522CD"/>
    <w:rsid w:val="00B524DE"/>
    <w:rsid w:val="00B55143"/>
    <w:rsid w:val="00B555C8"/>
    <w:rsid w:val="00B55917"/>
    <w:rsid w:val="00B5646A"/>
    <w:rsid w:val="00B56F3D"/>
    <w:rsid w:val="00B57921"/>
    <w:rsid w:val="00B57E78"/>
    <w:rsid w:val="00B57EB8"/>
    <w:rsid w:val="00B609F6"/>
    <w:rsid w:val="00B60E75"/>
    <w:rsid w:val="00B643A6"/>
    <w:rsid w:val="00B64DD6"/>
    <w:rsid w:val="00B6504E"/>
    <w:rsid w:val="00B66505"/>
    <w:rsid w:val="00B6710C"/>
    <w:rsid w:val="00B67E84"/>
    <w:rsid w:val="00B72076"/>
    <w:rsid w:val="00B72303"/>
    <w:rsid w:val="00B72C72"/>
    <w:rsid w:val="00B72ED9"/>
    <w:rsid w:val="00B731E4"/>
    <w:rsid w:val="00B751CE"/>
    <w:rsid w:val="00B75A8B"/>
    <w:rsid w:val="00B75B61"/>
    <w:rsid w:val="00B76796"/>
    <w:rsid w:val="00B771E0"/>
    <w:rsid w:val="00B7793B"/>
    <w:rsid w:val="00B77EE7"/>
    <w:rsid w:val="00B80EDD"/>
    <w:rsid w:val="00B812BD"/>
    <w:rsid w:val="00B81964"/>
    <w:rsid w:val="00B82277"/>
    <w:rsid w:val="00B83F87"/>
    <w:rsid w:val="00B8478F"/>
    <w:rsid w:val="00B91676"/>
    <w:rsid w:val="00B9322B"/>
    <w:rsid w:val="00B9507E"/>
    <w:rsid w:val="00B955D5"/>
    <w:rsid w:val="00B95833"/>
    <w:rsid w:val="00BA1824"/>
    <w:rsid w:val="00BA2D98"/>
    <w:rsid w:val="00BA2F0C"/>
    <w:rsid w:val="00BA30D1"/>
    <w:rsid w:val="00BA30E1"/>
    <w:rsid w:val="00BA4609"/>
    <w:rsid w:val="00BA5BE2"/>
    <w:rsid w:val="00BA7F46"/>
    <w:rsid w:val="00BB0A0A"/>
    <w:rsid w:val="00BB133C"/>
    <w:rsid w:val="00BB1F04"/>
    <w:rsid w:val="00BB32E9"/>
    <w:rsid w:val="00BB45B5"/>
    <w:rsid w:val="00BB4DDE"/>
    <w:rsid w:val="00BB6064"/>
    <w:rsid w:val="00BB65CE"/>
    <w:rsid w:val="00BB7012"/>
    <w:rsid w:val="00BC09D1"/>
    <w:rsid w:val="00BC1CF3"/>
    <w:rsid w:val="00BC24F3"/>
    <w:rsid w:val="00BC2BE0"/>
    <w:rsid w:val="00BC3573"/>
    <w:rsid w:val="00BC7F82"/>
    <w:rsid w:val="00BD2A49"/>
    <w:rsid w:val="00BD3683"/>
    <w:rsid w:val="00BD40AB"/>
    <w:rsid w:val="00BD6297"/>
    <w:rsid w:val="00BD6806"/>
    <w:rsid w:val="00BD7433"/>
    <w:rsid w:val="00BD7831"/>
    <w:rsid w:val="00BD7C10"/>
    <w:rsid w:val="00BE046F"/>
    <w:rsid w:val="00BE0DEB"/>
    <w:rsid w:val="00BE2AB8"/>
    <w:rsid w:val="00BE2FC1"/>
    <w:rsid w:val="00BE3142"/>
    <w:rsid w:val="00BE4039"/>
    <w:rsid w:val="00BE6365"/>
    <w:rsid w:val="00BF01B7"/>
    <w:rsid w:val="00BF0B7F"/>
    <w:rsid w:val="00BF2988"/>
    <w:rsid w:val="00BF4720"/>
    <w:rsid w:val="00BF4F49"/>
    <w:rsid w:val="00BF6759"/>
    <w:rsid w:val="00BF70A6"/>
    <w:rsid w:val="00BF7B4F"/>
    <w:rsid w:val="00BF7B63"/>
    <w:rsid w:val="00BF7C00"/>
    <w:rsid w:val="00C02542"/>
    <w:rsid w:val="00C0359D"/>
    <w:rsid w:val="00C038EC"/>
    <w:rsid w:val="00C05C6D"/>
    <w:rsid w:val="00C072D7"/>
    <w:rsid w:val="00C104DB"/>
    <w:rsid w:val="00C10F5B"/>
    <w:rsid w:val="00C1122B"/>
    <w:rsid w:val="00C127F2"/>
    <w:rsid w:val="00C13B34"/>
    <w:rsid w:val="00C13F26"/>
    <w:rsid w:val="00C1474E"/>
    <w:rsid w:val="00C14C37"/>
    <w:rsid w:val="00C157AA"/>
    <w:rsid w:val="00C162E1"/>
    <w:rsid w:val="00C16BE4"/>
    <w:rsid w:val="00C16D88"/>
    <w:rsid w:val="00C16E9F"/>
    <w:rsid w:val="00C1713D"/>
    <w:rsid w:val="00C17523"/>
    <w:rsid w:val="00C177F1"/>
    <w:rsid w:val="00C17EE6"/>
    <w:rsid w:val="00C217F7"/>
    <w:rsid w:val="00C21D77"/>
    <w:rsid w:val="00C2272E"/>
    <w:rsid w:val="00C22F3A"/>
    <w:rsid w:val="00C23044"/>
    <w:rsid w:val="00C23311"/>
    <w:rsid w:val="00C24AD9"/>
    <w:rsid w:val="00C25978"/>
    <w:rsid w:val="00C261C6"/>
    <w:rsid w:val="00C26621"/>
    <w:rsid w:val="00C26E7C"/>
    <w:rsid w:val="00C276CD"/>
    <w:rsid w:val="00C27827"/>
    <w:rsid w:val="00C30A97"/>
    <w:rsid w:val="00C31DDC"/>
    <w:rsid w:val="00C3223A"/>
    <w:rsid w:val="00C332BA"/>
    <w:rsid w:val="00C34168"/>
    <w:rsid w:val="00C34326"/>
    <w:rsid w:val="00C34CEB"/>
    <w:rsid w:val="00C36201"/>
    <w:rsid w:val="00C368E8"/>
    <w:rsid w:val="00C36C3D"/>
    <w:rsid w:val="00C372C7"/>
    <w:rsid w:val="00C40BD5"/>
    <w:rsid w:val="00C42443"/>
    <w:rsid w:val="00C42CBA"/>
    <w:rsid w:val="00C4338C"/>
    <w:rsid w:val="00C43C2B"/>
    <w:rsid w:val="00C45B27"/>
    <w:rsid w:val="00C472C7"/>
    <w:rsid w:val="00C5019E"/>
    <w:rsid w:val="00C51962"/>
    <w:rsid w:val="00C5377C"/>
    <w:rsid w:val="00C53E8A"/>
    <w:rsid w:val="00C54DF3"/>
    <w:rsid w:val="00C560A7"/>
    <w:rsid w:val="00C56FC8"/>
    <w:rsid w:val="00C60F23"/>
    <w:rsid w:val="00C6170B"/>
    <w:rsid w:val="00C62EB2"/>
    <w:rsid w:val="00C64C87"/>
    <w:rsid w:val="00C665FE"/>
    <w:rsid w:val="00C71BEC"/>
    <w:rsid w:val="00C74D3A"/>
    <w:rsid w:val="00C75F3D"/>
    <w:rsid w:val="00C80511"/>
    <w:rsid w:val="00C826F5"/>
    <w:rsid w:val="00C83740"/>
    <w:rsid w:val="00C84AD1"/>
    <w:rsid w:val="00C85579"/>
    <w:rsid w:val="00C85EFD"/>
    <w:rsid w:val="00C862F1"/>
    <w:rsid w:val="00C863E5"/>
    <w:rsid w:val="00C87BE6"/>
    <w:rsid w:val="00C87F76"/>
    <w:rsid w:val="00C931FC"/>
    <w:rsid w:val="00C932C5"/>
    <w:rsid w:val="00C94CB6"/>
    <w:rsid w:val="00C95299"/>
    <w:rsid w:val="00C9578B"/>
    <w:rsid w:val="00C95A72"/>
    <w:rsid w:val="00C9650E"/>
    <w:rsid w:val="00C97000"/>
    <w:rsid w:val="00C975BD"/>
    <w:rsid w:val="00CA068D"/>
    <w:rsid w:val="00CA1228"/>
    <w:rsid w:val="00CA1C73"/>
    <w:rsid w:val="00CA282D"/>
    <w:rsid w:val="00CA3F73"/>
    <w:rsid w:val="00CA4670"/>
    <w:rsid w:val="00CA5006"/>
    <w:rsid w:val="00CA5F89"/>
    <w:rsid w:val="00CA6B1A"/>
    <w:rsid w:val="00CB1B18"/>
    <w:rsid w:val="00CB2018"/>
    <w:rsid w:val="00CB20DC"/>
    <w:rsid w:val="00CB23DC"/>
    <w:rsid w:val="00CB2487"/>
    <w:rsid w:val="00CB28E2"/>
    <w:rsid w:val="00CB2F20"/>
    <w:rsid w:val="00CB5BE5"/>
    <w:rsid w:val="00CB758D"/>
    <w:rsid w:val="00CB7A3E"/>
    <w:rsid w:val="00CB7FF7"/>
    <w:rsid w:val="00CC0D0E"/>
    <w:rsid w:val="00CC1253"/>
    <w:rsid w:val="00CC19B3"/>
    <w:rsid w:val="00CC2044"/>
    <w:rsid w:val="00CC39D2"/>
    <w:rsid w:val="00CC69EC"/>
    <w:rsid w:val="00CC78A2"/>
    <w:rsid w:val="00CC7DF8"/>
    <w:rsid w:val="00CD15BE"/>
    <w:rsid w:val="00CD1EF2"/>
    <w:rsid w:val="00CD32BD"/>
    <w:rsid w:val="00CD34C7"/>
    <w:rsid w:val="00CD5653"/>
    <w:rsid w:val="00CD5E6D"/>
    <w:rsid w:val="00CD63C8"/>
    <w:rsid w:val="00CD6FE3"/>
    <w:rsid w:val="00CD725B"/>
    <w:rsid w:val="00CD76F8"/>
    <w:rsid w:val="00CE02E8"/>
    <w:rsid w:val="00CE069E"/>
    <w:rsid w:val="00CE0DE0"/>
    <w:rsid w:val="00CE3722"/>
    <w:rsid w:val="00CE7DD1"/>
    <w:rsid w:val="00CF158D"/>
    <w:rsid w:val="00CF2166"/>
    <w:rsid w:val="00CF4340"/>
    <w:rsid w:val="00CF4394"/>
    <w:rsid w:val="00CF48B4"/>
    <w:rsid w:val="00D000A9"/>
    <w:rsid w:val="00D00384"/>
    <w:rsid w:val="00D005DB"/>
    <w:rsid w:val="00D0064E"/>
    <w:rsid w:val="00D00981"/>
    <w:rsid w:val="00D02596"/>
    <w:rsid w:val="00D0280D"/>
    <w:rsid w:val="00D02AEF"/>
    <w:rsid w:val="00D05669"/>
    <w:rsid w:val="00D061EB"/>
    <w:rsid w:val="00D06952"/>
    <w:rsid w:val="00D07A72"/>
    <w:rsid w:val="00D10577"/>
    <w:rsid w:val="00D12405"/>
    <w:rsid w:val="00D12A4E"/>
    <w:rsid w:val="00D1323B"/>
    <w:rsid w:val="00D14BAE"/>
    <w:rsid w:val="00D1648B"/>
    <w:rsid w:val="00D165FD"/>
    <w:rsid w:val="00D16819"/>
    <w:rsid w:val="00D17DD9"/>
    <w:rsid w:val="00D20AC0"/>
    <w:rsid w:val="00D2288F"/>
    <w:rsid w:val="00D2321B"/>
    <w:rsid w:val="00D23350"/>
    <w:rsid w:val="00D237E7"/>
    <w:rsid w:val="00D23DE4"/>
    <w:rsid w:val="00D25A5C"/>
    <w:rsid w:val="00D26873"/>
    <w:rsid w:val="00D31683"/>
    <w:rsid w:val="00D336C8"/>
    <w:rsid w:val="00D339E8"/>
    <w:rsid w:val="00D3654A"/>
    <w:rsid w:val="00D3662E"/>
    <w:rsid w:val="00D40B1F"/>
    <w:rsid w:val="00D40D75"/>
    <w:rsid w:val="00D43978"/>
    <w:rsid w:val="00D43CBD"/>
    <w:rsid w:val="00D449F0"/>
    <w:rsid w:val="00D462D7"/>
    <w:rsid w:val="00D5062C"/>
    <w:rsid w:val="00D50C8C"/>
    <w:rsid w:val="00D52393"/>
    <w:rsid w:val="00D523E4"/>
    <w:rsid w:val="00D5279D"/>
    <w:rsid w:val="00D52A1B"/>
    <w:rsid w:val="00D52AA7"/>
    <w:rsid w:val="00D52FCC"/>
    <w:rsid w:val="00D53F14"/>
    <w:rsid w:val="00D54BE4"/>
    <w:rsid w:val="00D54DDB"/>
    <w:rsid w:val="00D554BC"/>
    <w:rsid w:val="00D560DC"/>
    <w:rsid w:val="00D56602"/>
    <w:rsid w:val="00D60483"/>
    <w:rsid w:val="00D61ABB"/>
    <w:rsid w:val="00D62D5C"/>
    <w:rsid w:val="00D63577"/>
    <w:rsid w:val="00D67FD7"/>
    <w:rsid w:val="00D72410"/>
    <w:rsid w:val="00D73D53"/>
    <w:rsid w:val="00D7408A"/>
    <w:rsid w:val="00D74261"/>
    <w:rsid w:val="00D7441B"/>
    <w:rsid w:val="00D75589"/>
    <w:rsid w:val="00D76AB2"/>
    <w:rsid w:val="00D80490"/>
    <w:rsid w:val="00D829AD"/>
    <w:rsid w:val="00D82EE2"/>
    <w:rsid w:val="00D83D1B"/>
    <w:rsid w:val="00D84061"/>
    <w:rsid w:val="00D84133"/>
    <w:rsid w:val="00D8545C"/>
    <w:rsid w:val="00D86E57"/>
    <w:rsid w:val="00D87788"/>
    <w:rsid w:val="00D877C8"/>
    <w:rsid w:val="00D91040"/>
    <w:rsid w:val="00D910C2"/>
    <w:rsid w:val="00D9168C"/>
    <w:rsid w:val="00D9189B"/>
    <w:rsid w:val="00D91DA6"/>
    <w:rsid w:val="00D921A0"/>
    <w:rsid w:val="00D9223A"/>
    <w:rsid w:val="00D93A41"/>
    <w:rsid w:val="00D93B9A"/>
    <w:rsid w:val="00D95984"/>
    <w:rsid w:val="00D95C64"/>
    <w:rsid w:val="00D9706F"/>
    <w:rsid w:val="00D972D4"/>
    <w:rsid w:val="00DA195B"/>
    <w:rsid w:val="00DA27F3"/>
    <w:rsid w:val="00DA2D1E"/>
    <w:rsid w:val="00DA3EC8"/>
    <w:rsid w:val="00DA40C1"/>
    <w:rsid w:val="00DA5564"/>
    <w:rsid w:val="00DA6B55"/>
    <w:rsid w:val="00DA6B97"/>
    <w:rsid w:val="00DA6CEE"/>
    <w:rsid w:val="00DB0015"/>
    <w:rsid w:val="00DB0359"/>
    <w:rsid w:val="00DB0ABB"/>
    <w:rsid w:val="00DB2AAD"/>
    <w:rsid w:val="00DB44E2"/>
    <w:rsid w:val="00DB4A6D"/>
    <w:rsid w:val="00DB5941"/>
    <w:rsid w:val="00DB626D"/>
    <w:rsid w:val="00DB6365"/>
    <w:rsid w:val="00DC07B7"/>
    <w:rsid w:val="00DC0BF1"/>
    <w:rsid w:val="00DC17F2"/>
    <w:rsid w:val="00DC41C3"/>
    <w:rsid w:val="00DC4A3C"/>
    <w:rsid w:val="00DC4FA4"/>
    <w:rsid w:val="00DC5028"/>
    <w:rsid w:val="00DC5B37"/>
    <w:rsid w:val="00DD2791"/>
    <w:rsid w:val="00DD286D"/>
    <w:rsid w:val="00DD2CAF"/>
    <w:rsid w:val="00DD3593"/>
    <w:rsid w:val="00DD64E0"/>
    <w:rsid w:val="00DD7BE0"/>
    <w:rsid w:val="00DE0C67"/>
    <w:rsid w:val="00DE3AAD"/>
    <w:rsid w:val="00DE598A"/>
    <w:rsid w:val="00DE6952"/>
    <w:rsid w:val="00DE7E74"/>
    <w:rsid w:val="00DF071B"/>
    <w:rsid w:val="00DF5C84"/>
    <w:rsid w:val="00DF6EF8"/>
    <w:rsid w:val="00E00A69"/>
    <w:rsid w:val="00E017BC"/>
    <w:rsid w:val="00E017F0"/>
    <w:rsid w:val="00E01A0E"/>
    <w:rsid w:val="00E032E3"/>
    <w:rsid w:val="00E0346A"/>
    <w:rsid w:val="00E041E4"/>
    <w:rsid w:val="00E04AEE"/>
    <w:rsid w:val="00E1012B"/>
    <w:rsid w:val="00E103C8"/>
    <w:rsid w:val="00E1085B"/>
    <w:rsid w:val="00E1308B"/>
    <w:rsid w:val="00E14581"/>
    <w:rsid w:val="00E14623"/>
    <w:rsid w:val="00E15539"/>
    <w:rsid w:val="00E16541"/>
    <w:rsid w:val="00E17EC9"/>
    <w:rsid w:val="00E202F4"/>
    <w:rsid w:val="00E207C3"/>
    <w:rsid w:val="00E21386"/>
    <w:rsid w:val="00E242AF"/>
    <w:rsid w:val="00E24849"/>
    <w:rsid w:val="00E2536E"/>
    <w:rsid w:val="00E25B8A"/>
    <w:rsid w:val="00E25EF8"/>
    <w:rsid w:val="00E2632B"/>
    <w:rsid w:val="00E26F75"/>
    <w:rsid w:val="00E27423"/>
    <w:rsid w:val="00E322F7"/>
    <w:rsid w:val="00E3369B"/>
    <w:rsid w:val="00E362D2"/>
    <w:rsid w:val="00E36D76"/>
    <w:rsid w:val="00E40478"/>
    <w:rsid w:val="00E405EA"/>
    <w:rsid w:val="00E408B7"/>
    <w:rsid w:val="00E40C4C"/>
    <w:rsid w:val="00E41637"/>
    <w:rsid w:val="00E42789"/>
    <w:rsid w:val="00E43F59"/>
    <w:rsid w:val="00E464F0"/>
    <w:rsid w:val="00E46EF3"/>
    <w:rsid w:val="00E47370"/>
    <w:rsid w:val="00E473E9"/>
    <w:rsid w:val="00E47B47"/>
    <w:rsid w:val="00E50BEB"/>
    <w:rsid w:val="00E548FA"/>
    <w:rsid w:val="00E57703"/>
    <w:rsid w:val="00E57ED4"/>
    <w:rsid w:val="00E57FED"/>
    <w:rsid w:val="00E6092F"/>
    <w:rsid w:val="00E60BD0"/>
    <w:rsid w:val="00E62049"/>
    <w:rsid w:val="00E629DA"/>
    <w:rsid w:val="00E64374"/>
    <w:rsid w:val="00E6469F"/>
    <w:rsid w:val="00E65D39"/>
    <w:rsid w:val="00E670F8"/>
    <w:rsid w:val="00E6733C"/>
    <w:rsid w:val="00E6741B"/>
    <w:rsid w:val="00E67FAC"/>
    <w:rsid w:val="00E7200B"/>
    <w:rsid w:val="00E738CB"/>
    <w:rsid w:val="00E73C88"/>
    <w:rsid w:val="00E74437"/>
    <w:rsid w:val="00E7443D"/>
    <w:rsid w:val="00E75ACE"/>
    <w:rsid w:val="00E771AF"/>
    <w:rsid w:val="00E80386"/>
    <w:rsid w:val="00E809C3"/>
    <w:rsid w:val="00E81A1A"/>
    <w:rsid w:val="00E81C3E"/>
    <w:rsid w:val="00E82359"/>
    <w:rsid w:val="00E82B6D"/>
    <w:rsid w:val="00E83187"/>
    <w:rsid w:val="00E831E9"/>
    <w:rsid w:val="00E85150"/>
    <w:rsid w:val="00E8608F"/>
    <w:rsid w:val="00E86C1D"/>
    <w:rsid w:val="00E9763D"/>
    <w:rsid w:val="00EA1177"/>
    <w:rsid w:val="00EA118B"/>
    <w:rsid w:val="00EA11B6"/>
    <w:rsid w:val="00EA2181"/>
    <w:rsid w:val="00EA2DD8"/>
    <w:rsid w:val="00EA4475"/>
    <w:rsid w:val="00EA52FE"/>
    <w:rsid w:val="00EA681F"/>
    <w:rsid w:val="00EB04C6"/>
    <w:rsid w:val="00EB06A6"/>
    <w:rsid w:val="00EB3307"/>
    <w:rsid w:val="00EB3823"/>
    <w:rsid w:val="00EB47D8"/>
    <w:rsid w:val="00EB57D3"/>
    <w:rsid w:val="00EB5EFD"/>
    <w:rsid w:val="00EB679F"/>
    <w:rsid w:val="00EB76E4"/>
    <w:rsid w:val="00EC0E65"/>
    <w:rsid w:val="00EC1251"/>
    <w:rsid w:val="00EC2938"/>
    <w:rsid w:val="00EC337D"/>
    <w:rsid w:val="00EC38EF"/>
    <w:rsid w:val="00EC50C9"/>
    <w:rsid w:val="00EC58B4"/>
    <w:rsid w:val="00EC5BB2"/>
    <w:rsid w:val="00ED12F0"/>
    <w:rsid w:val="00ED290C"/>
    <w:rsid w:val="00ED2A6C"/>
    <w:rsid w:val="00ED4773"/>
    <w:rsid w:val="00ED5284"/>
    <w:rsid w:val="00ED5632"/>
    <w:rsid w:val="00ED664B"/>
    <w:rsid w:val="00ED6A61"/>
    <w:rsid w:val="00ED7DA4"/>
    <w:rsid w:val="00EE03BB"/>
    <w:rsid w:val="00EE0552"/>
    <w:rsid w:val="00EE0B44"/>
    <w:rsid w:val="00EE125D"/>
    <w:rsid w:val="00EE23DE"/>
    <w:rsid w:val="00EE48BB"/>
    <w:rsid w:val="00EE6FE0"/>
    <w:rsid w:val="00EE704A"/>
    <w:rsid w:val="00EE7840"/>
    <w:rsid w:val="00EF2E75"/>
    <w:rsid w:val="00EF4C74"/>
    <w:rsid w:val="00EF5268"/>
    <w:rsid w:val="00EF608E"/>
    <w:rsid w:val="00EF6C4A"/>
    <w:rsid w:val="00F0044B"/>
    <w:rsid w:val="00F009E9"/>
    <w:rsid w:val="00F03525"/>
    <w:rsid w:val="00F0424D"/>
    <w:rsid w:val="00F04957"/>
    <w:rsid w:val="00F04997"/>
    <w:rsid w:val="00F05807"/>
    <w:rsid w:val="00F06451"/>
    <w:rsid w:val="00F07052"/>
    <w:rsid w:val="00F0706C"/>
    <w:rsid w:val="00F11EBE"/>
    <w:rsid w:val="00F12293"/>
    <w:rsid w:val="00F12BA8"/>
    <w:rsid w:val="00F130D0"/>
    <w:rsid w:val="00F14933"/>
    <w:rsid w:val="00F1516A"/>
    <w:rsid w:val="00F15EE5"/>
    <w:rsid w:val="00F171F9"/>
    <w:rsid w:val="00F1737C"/>
    <w:rsid w:val="00F22A26"/>
    <w:rsid w:val="00F24072"/>
    <w:rsid w:val="00F26432"/>
    <w:rsid w:val="00F3197A"/>
    <w:rsid w:val="00F32139"/>
    <w:rsid w:val="00F32504"/>
    <w:rsid w:val="00F33D56"/>
    <w:rsid w:val="00F34E08"/>
    <w:rsid w:val="00F40BB5"/>
    <w:rsid w:val="00F41D91"/>
    <w:rsid w:val="00F41F52"/>
    <w:rsid w:val="00F42363"/>
    <w:rsid w:val="00F427C4"/>
    <w:rsid w:val="00F43D6C"/>
    <w:rsid w:val="00F46964"/>
    <w:rsid w:val="00F46F9A"/>
    <w:rsid w:val="00F470FD"/>
    <w:rsid w:val="00F50F30"/>
    <w:rsid w:val="00F5126A"/>
    <w:rsid w:val="00F5126E"/>
    <w:rsid w:val="00F516EF"/>
    <w:rsid w:val="00F51755"/>
    <w:rsid w:val="00F5580D"/>
    <w:rsid w:val="00F56EA1"/>
    <w:rsid w:val="00F606D5"/>
    <w:rsid w:val="00F611B3"/>
    <w:rsid w:val="00F6196E"/>
    <w:rsid w:val="00F624DD"/>
    <w:rsid w:val="00F629C0"/>
    <w:rsid w:val="00F63FC7"/>
    <w:rsid w:val="00F65174"/>
    <w:rsid w:val="00F65E1F"/>
    <w:rsid w:val="00F65ED5"/>
    <w:rsid w:val="00F65FDF"/>
    <w:rsid w:val="00F6608B"/>
    <w:rsid w:val="00F6636A"/>
    <w:rsid w:val="00F667C5"/>
    <w:rsid w:val="00F67E31"/>
    <w:rsid w:val="00F718A8"/>
    <w:rsid w:val="00F72183"/>
    <w:rsid w:val="00F76D01"/>
    <w:rsid w:val="00F80B43"/>
    <w:rsid w:val="00F81C35"/>
    <w:rsid w:val="00F82981"/>
    <w:rsid w:val="00F8311F"/>
    <w:rsid w:val="00F83248"/>
    <w:rsid w:val="00F83376"/>
    <w:rsid w:val="00F853AE"/>
    <w:rsid w:val="00F908D5"/>
    <w:rsid w:val="00F913B9"/>
    <w:rsid w:val="00F93C74"/>
    <w:rsid w:val="00F93DCC"/>
    <w:rsid w:val="00F9435D"/>
    <w:rsid w:val="00F966F9"/>
    <w:rsid w:val="00F96E08"/>
    <w:rsid w:val="00F96F61"/>
    <w:rsid w:val="00F97740"/>
    <w:rsid w:val="00FA0C8F"/>
    <w:rsid w:val="00FA2DEF"/>
    <w:rsid w:val="00FA2F7B"/>
    <w:rsid w:val="00FA3C97"/>
    <w:rsid w:val="00FA3D30"/>
    <w:rsid w:val="00FA4B49"/>
    <w:rsid w:val="00FA54F8"/>
    <w:rsid w:val="00FA78C8"/>
    <w:rsid w:val="00FA7A2F"/>
    <w:rsid w:val="00FB09FE"/>
    <w:rsid w:val="00FB0E80"/>
    <w:rsid w:val="00FB101D"/>
    <w:rsid w:val="00FB1725"/>
    <w:rsid w:val="00FB2493"/>
    <w:rsid w:val="00FB42B7"/>
    <w:rsid w:val="00FB4484"/>
    <w:rsid w:val="00FB593A"/>
    <w:rsid w:val="00FB6410"/>
    <w:rsid w:val="00FB6E82"/>
    <w:rsid w:val="00FB792E"/>
    <w:rsid w:val="00FB7CF0"/>
    <w:rsid w:val="00FC0042"/>
    <w:rsid w:val="00FC1E67"/>
    <w:rsid w:val="00FC2A13"/>
    <w:rsid w:val="00FC4284"/>
    <w:rsid w:val="00FC4576"/>
    <w:rsid w:val="00FC5FF5"/>
    <w:rsid w:val="00FC6285"/>
    <w:rsid w:val="00FC7796"/>
    <w:rsid w:val="00FC78FB"/>
    <w:rsid w:val="00FC7DBC"/>
    <w:rsid w:val="00FD076A"/>
    <w:rsid w:val="00FD0AA0"/>
    <w:rsid w:val="00FD1D5A"/>
    <w:rsid w:val="00FD5059"/>
    <w:rsid w:val="00FD554D"/>
    <w:rsid w:val="00FD5BCC"/>
    <w:rsid w:val="00FD6C41"/>
    <w:rsid w:val="00FD7B23"/>
    <w:rsid w:val="00FE1D6C"/>
    <w:rsid w:val="00FE2A48"/>
    <w:rsid w:val="00FE5D0A"/>
    <w:rsid w:val="00FE6469"/>
    <w:rsid w:val="00FF05D0"/>
    <w:rsid w:val="00FF06CE"/>
    <w:rsid w:val="00FF0FF7"/>
    <w:rsid w:val="00FF1022"/>
    <w:rsid w:val="00FF10A2"/>
    <w:rsid w:val="00FF1438"/>
    <w:rsid w:val="00FF3A38"/>
    <w:rsid w:val="00FF3C25"/>
    <w:rsid w:val="00FF4129"/>
    <w:rsid w:val="00FF44F7"/>
    <w:rsid w:val="00FF4C90"/>
    <w:rsid w:val="00FF5806"/>
    <w:rsid w:val="00FF61BD"/>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ne number"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Plain Text" w:unhideWhenUsed="0"/>
    <w:lsdException w:name="annotation subject"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C90"/>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rsid w:val="005436C2"/>
    <w:pPr>
      <w:tabs>
        <w:tab w:val="center" w:pos="4320"/>
        <w:tab w:val="right" w:pos="8640"/>
      </w:tabs>
    </w:pPr>
  </w:style>
  <w:style w:type="character" w:customStyle="1" w:styleId="FooterChar">
    <w:name w:val="Footer Char"/>
    <w:basedOn w:val="DefaultParagraphFont"/>
    <w:link w:val="Footer"/>
    <w:uiPriority w:val="99"/>
    <w:rsid w:val="000379D0"/>
    <w:rPr>
      <w:rFonts w:cs="Times New Roman"/>
      <w:color w:val="008080"/>
      <w:sz w:val="24"/>
    </w:rPr>
  </w:style>
  <w:style w:type="character" w:styleId="PageNumber">
    <w:name w:val="page number"/>
    <w:basedOn w:val="DefaultParagraphFont"/>
    <w:uiPriority w:val="99"/>
    <w:rsid w:val="005436C2"/>
    <w:rPr>
      <w:rFonts w:cs="Times New Roman"/>
    </w:rPr>
  </w:style>
  <w:style w:type="paragraph" w:styleId="Header">
    <w:name w:val="header"/>
    <w:basedOn w:val="Normal"/>
    <w:link w:val="HeaderChar"/>
    <w:uiPriority w:val="99"/>
    <w:rsid w:val="005436C2"/>
    <w:pPr>
      <w:tabs>
        <w:tab w:val="center" w:pos="4320"/>
        <w:tab w:val="right" w:pos="8640"/>
      </w:tabs>
    </w:pPr>
  </w:style>
  <w:style w:type="character" w:customStyle="1" w:styleId="HeaderChar">
    <w:name w:val="Header Char"/>
    <w:basedOn w:val="DefaultParagraphFont"/>
    <w:link w:val="Header"/>
    <w:uiPriority w:val="99"/>
    <w:semiHidden/>
    <w:rsid w:val="00202EFA"/>
    <w:rPr>
      <w:rFonts w:cs="Times New Roman"/>
      <w:color w:val="008080"/>
      <w:sz w:val="24"/>
    </w:rPr>
  </w:style>
  <w:style w:type="paragraph" w:styleId="BodyText">
    <w:name w:val="Body Text"/>
    <w:basedOn w:val="Normal"/>
    <w:link w:val="BodyTextChar"/>
    <w:uiPriority w:val="99"/>
    <w:rsid w:val="005436C2"/>
    <w:pPr>
      <w:tabs>
        <w:tab w:val="left" w:pos="720"/>
      </w:tabs>
      <w:spacing w:line="240" w:lineRule="exact"/>
      <w:ind w:right="-360"/>
    </w:pPr>
    <w:rPr>
      <w:rFonts w:ascii="Times New Roman" w:hAnsi="Times New Roman"/>
      <w:color w:val="000080"/>
    </w:rPr>
  </w:style>
  <w:style w:type="character" w:customStyle="1" w:styleId="BodyTextChar">
    <w:name w:val="Body Text Char"/>
    <w:basedOn w:val="DefaultParagraphFont"/>
    <w:link w:val="BodyText"/>
    <w:uiPriority w:val="99"/>
    <w:semiHidden/>
    <w:rsid w:val="00202EFA"/>
    <w:rPr>
      <w:rFonts w:cs="Times New Roman"/>
      <w:color w:val="008080"/>
      <w:sz w:val="24"/>
    </w:rPr>
  </w:style>
  <w:style w:type="paragraph" w:styleId="BodyText3">
    <w:name w:val="Body Text 3"/>
    <w:basedOn w:val="Normal"/>
    <w:link w:val="BodyText3Char"/>
    <w:uiPriority w:val="99"/>
    <w:rsid w:val="005436C2"/>
    <w:pPr>
      <w:tabs>
        <w:tab w:val="left" w:pos="288"/>
        <w:tab w:val="left" w:pos="4752"/>
      </w:tabs>
      <w:spacing w:line="240" w:lineRule="exact"/>
      <w:ind w:right="-360"/>
      <w:jc w:val="both"/>
    </w:pPr>
    <w:rPr>
      <w:color w:val="000080"/>
    </w:rPr>
  </w:style>
  <w:style w:type="character" w:customStyle="1" w:styleId="BodyText3Char">
    <w:name w:val="Body Text 3 Char"/>
    <w:basedOn w:val="DefaultParagraphFont"/>
    <w:link w:val="BodyText3"/>
    <w:uiPriority w:val="99"/>
    <w:semiHidden/>
    <w:rsid w:val="00202EFA"/>
    <w:rPr>
      <w:rFonts w:cs="Times New Roman"/>
      <w:color w:val="008080"/>
      <w:sz w:val="16"/>
    </w:rPr>
  </w:style>
  <w:style w:type="paragraph" w:styleId="PlainText">
    <w:name w:val="Plain Text"/>
    <w:basedOn w:val="Normal"/>
    <w:link w:val="PlainTextChar"/>
    <w:uiPriority w:val="99"/>
    <w:rsid w:val="00D91DA6"/>
    <w:rPr>
      <w:rFonts w:ascii="Consolas" w:hAnsi="Consolas"/>
      <w:color w:val="auto"/>
      <w:sz w:val="21"/>
      <w:szCs w:val="21"/>
    </w:rPr>
  </w:style>
  <w:style w:type="character" w:customStyle="1" w:styleId="PlainTextChar">
    <w:name w:val="Plain Text Char"/>
    <w:basedOn w:val="DefaultParagraphFont"/>
    <w:link w:val="PlainText"/>
    <w:uiPriority w:val="99"/>
    <w:rsid w:val="00D91DA6"/>
    <w:rPr>
      <w:rFonts w:ascii="Consolas" w:hAnsi="Consolas" w:cs="Times New Roman"/>
      <w:sz w:val="21"/>
    </w:rPr>
  </w:style>
  <w:style w:type="paragraph" w:styleId="BalloonText">
    <w:name w:val="Balloon Text"/>
    <w:basedOn w:val="Normal"/>
    <w:link w:val="BalloonTextChar"/>
    <w:uiPriority w:val="99"/>
    <w:semiHidden/>
    <w:rsid w:val="000379D0"/>
    <w:rPr>
      <w:rFonts w:ascii="Tahoma" w:hAnsi="Tahoma" w:cs="Tahoma"/>
      <w:sz w:val="16"/>
      <w:szCs w:val="16"/>
    </w:rPr>
  </w:style>
  <w:style w:type="character" w:customStyle="1" w:styleId="BalloonTextChar">
    <w:name w:val="Balloon Text Char"/>
    <w:basedOn w:val="DefaultParagraphFont"/>
    <w:link w:val="BalloonText"/>
    <w:uiPriority w:val="99"/>
    <w:rsid w:val="000379D0"/>
    <w:rPr>
      <w:rFonts w:ascii="Tahoma" w:hAnsi="Tahoma" w:cs="Tahoma"/>
      <w:color w:val="008080"/>
      <w:sz w:val="16"/>
    </w:rPr>
  </w:style>
  <w:style w:type="table" w:styleId="TableGrid">
    <w:name w:val="Table Grid"/>
    <w:basedOn w:val="TableNormal"/>
    <w:uiPriority w:val="99"/>
    <w:rsid w:val="006F1A46"/>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526591"/>
    <w:pPr>
      <w:spacing w:after="200" w:line="276" w:lineRule="auto"/>
      <w:ind w:left="720"/>
      <w:contextualSpacing/>
    </w:pPr>
    <w:rPr>
      <w:color w:val="auto"/>
      <w:sz w:val="22"/>
      <w:szCs w:val="22"/>
    </w:rPr>
  </w:style>
  <w:style w:type="character" w:styleId="LineNumber">
    <w:name w:val="line number"/>
    <w:basedOn w:val="DefaultParagraphFont"/>
    <w:uiPriority w:val="99"/>
    <w:rsid w:val="004766C9"/>
    <w:rPr>
      <w:rFonts w:cs="Times New Roman"/>
    </w:rPr>
  </w:style>
  <w:style w:type="character" w:styleId="CommentReference">
    <w:name w:val="annotation reference"/>
    <w:basedOn w:val="DefaultParagraphFont"/>
    <w:uiPriority w:val="99"/>
    <w:semiHidden/>
    <w:rsid w:val="0046111A"/>
    <w:rPr>
      <w:rFonts w:cs="Times New Roman"/>
      <w:sz w:val="16"/>
    </w:rPr>
  </w:style>
  <w:style w:type="paragraph" w:styleId="CommentText">
    <w:name w:val="annotation text"/>
    <w:basedOn w:val="Normal"/>
    <w:link w:val="CommentTextChar"/>
    <w:uiPriority w:val="99"/>
    <w:semiHidden/>
    <w:rsid w:val="0046111A"/>
    <w:rPr>
      <w:sz w:val="20"/>
    </w:rPr>
  </w:style>
  <w:style w:type="character" w:customStyle="1" w:styleId="CommentTextChar">
    <w:name w:val="Comment Text Char"/>
    <w:basedOn w:val="DefaultParagraphFont"/>
    <w:link w:val="CommentText"/>
    <w:uiPriority w:val="99"/>
    <w:rsid w:val="0046111A"/>
    <w:rPr>
      <w:rFonts w:cs="Times New Roman"/>
      <w:color w:val="008080"/>
      <w:sz w:val="20"/>
    </w:rPr>
  </w:style>
  <w:style w:type="paragraph" w:styleId="CommentSubject">
    <w:name w:val="annotation subject"/>
    <w:basedOn w:val="CommentText"/>
    <w:next w:val="CommentText"/>
    <w:link w:val="CommentSubjectChar"/>
    <w:uiPriority w:val="99"/>
    <w:semiHidden/>
    <w:rsid w:val="0046111A"/>
    <w:rPr>
      <w:b/>
      <w:bCs/>
    </w:rPr>
  </w:style>
  <w:style w:type="character" w:customStyle="1" w:styleId="CommentSubjectChar">
    <w:name w:val="Comment Subject Char"/>
    <w:basedOn w:val="CommentTextChar"/>
    <w:link w:val="CommentSubject"/>
    <w:uiPriority w:val="99"/>
    <w:rsid w:val="0046111A"/>
    <w:rPr>
      <w:b/>
      <w:bCs/>
    </w:rPr>
  </w:style>
  <w:style w:type="character" w:styleId="Hyperlink">
    <w:name w:val="Hyperlink"/>
    <w:basedOn w:val="DefaultParagraphFont"/>
    <w:uiPriority w:val="99"/>
    <w:rsid w:val="00750E3A"/>
    <w:rPr>
      <w:rFonts w:cs="Times New Roman"/>
      <w:color w:val="0000FF"/>
      <w:u w:val="single"/>
    </w:rPr>
  </w:style>
  <w:style w:type="character" w:styleId="FollowedHyperlink">
    <w:name w:val="FollowedHyperlink"/>
    <w:basedOn w:val="DefaultParagraphFont"/>
    <w:uiPriority w:val="99"/>
    <w:rsid w:val="00750E3A"/>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6</Pages>
  <Words>2334</Words>
  <Characters>13308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15611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julie.raveau</cp:lastModifiedBy>
  <cp:revision>6</cp:revision>
  <cp:lastPrinted>2011-11-23T15:28:00Z</cp:lastPrinted>
  <dcterms:created xsi:type="dcterms:W3CDTF">2011-11-21T14:17:00Z</dcterms:created>
  <dcterms:modified xsi:type="dcterms:W3CDTF">2012-05-14T22:35:00Z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