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5D6349" w:rsidRPr="00A5065F" w:rsidRDefault="005D6349" w:rsidP="00AE5BA7">
      <w:pPr>
        <w:tabs>
          <w:tab w:val="right" w:pos="9270"/>
        </w:tabs>
        <w:spacing w:line="240" w:lineRule="exact"/>
        <w:jc w:val="both"/>
        <w:rPr>
          <w:rFonts w:asciiTheme="minorHAnsi" w:hAnsiTheme="minorHAnsi"/>
          <w:caps/>
          <w:color w:val="auto"/>
        </w:rPr>
      </w:pPr>
      <w:r w:rsidRPr="00A5065F">
        <w:rPr>
          <w:rFonts w:asciiTheme="minorHAnsi" w:hAnsiTheme="minorHAnsi"/>
          <w:caps/>
          <w:color w:val="auto"/>
        </w:rPr>
        <w:t xml:space="preserve">NAME:  </w:t>
      </w:r>
      <w:r w:rsidR="00AE1E5B">
        <w:rPr>
          <w:rFonts w:asciiTheme="minorHAnsi" w:hAnsiTheme="minorHAnsi"/>
          <w:caps/>
          <w:color w:val="auto"/>
        </w:rPr>
        <w:t xml:space="preserve"> </w:t>
      </w:r>
      <w:r>
        <w:rPr>
          <w:rFonts w:asciiTheme="minorHAnsi" w:hAnsiTheme="minorHAnsi"/>
          <w:caps/>
          <w:color w:val="auto"/>
        </w:rPr>
        <w:t xml:space="preserve">                </w:t>
      </w:r>
      <w:r w:rsidR="005D1C74">
        <w:rPr>
          <w:rFonts w:asciiTheme="minorHAnsi" w:hAnsiTheme="minorHAnsi"/>
          <w:caps/>
          <w:color w:val="auto"/>
        </w:rPr>
        <w:t xml:space="preserve"> </w:t>
      </w:r>
      <w:r>
        <w:rPr>
          <w:rFonts w:asciiTheme="minorHAnsi" w:hAnsiTheme="minorHAnsi"/>
          <w:caps/>
          <w:color w:val="auto"/>
        </w:rPr>
        <w:t xml:space="preserve"> </w:t>
      </w:r>
      <w:r w:rsidR="00AE5BA7">
        <w:rPr>
          <w:rFonts w:asciiTheme="minorHAnsi" w:hAnsiTheme="minorHAnsi"/>
          <w:caps/>
          <w:color w:val="auto"/>
        </w:rPr>
        <w:tab/>
      </w:r>
      <w:r w:rsidRPr="00A5065F">
        <w:rPr>
          <w:rFonts w:asciiTheme="minorHAnsi" w:hAnsiTheme="minorHAnsi"/>
          <w:caps/>
          <w:color w:val="auto"/>
        </w:rPr>
        <w:t xml:space="preserve">BRANCH OF SERVICE:  </w:t>
      </w:r>
      <w:r>
        <w:rPr>
          <w:rFonts w:asciiTheme="minorHAnsi" w:hAnsiTheme="minorHAnsi"/>
          <w:caps/>
          <w:color w:val="auto"/>
        </w:rPr>
        <w:t>Army</w:t>
      </w:r>
    </w:p>
    <w:p w:rsidR="00945D22" w:rsidRPr="00F968E5" w:rsidRDefault="005D6349" w:rsidP="00AE5BA7">
      <w:pPr>
        <w:tabs>
          <w:tab w:val="right" w:pos="9270"/>
        </w:tabs>
        <w:spacing w:line="240" w:lineRule="exact"/>
        <w:jc w:val="both"/>
        <w:rPr>
          <w:rFonts w:asciiTheme="minorHAnsi" w:hAnsiTheme="minorHAnsi"/>
          <w:color w:val="auto"/>
        </w:rPr>
      </w:pPr>
      <w:r w:rsidRPr="00A5065F">
        <w:rPr>
          <w:rFonts w:asciiTheme="minorHAnsi" w:hAnsiTheme="minorHAnsi"/>
          <w:caps/>
          <w:color w:val="auto"/>
        </w:rPr>
        <w:t>CASE NUMBER:  PD100102</w:t>
      </w:r>
      <w:r w:rsidR="00666336">
        <w:rPr>
          <w:rFonts w:asciiTheme="minorHAnsi" w:hAnsiTheme="minorHAnsi"/>
          <w:caps/>
          <w:color w:val="auto"/>
        </w:rPr>
        <w:t>5</w:t>
      </w:r>
      <w:r>
        <w:rPr>
          <w:rFonts w:asciiTheme="minorHAnsi" w:hAnsiTheme="minorHAnsi"/>
          <w:color w:val="auto"/>
        </w:rPr>
        <w:t xml:space="preserve">  </w:t>
      </w:r>
      <w:r w:rsidR="00945D22">
        <w:rPr>
          <w:rFonts w:asciiTheme="minorHAnsi" w:hAnsiTheme="minorHAnsi"/>
          <w:color w:val="auto"/>
        </w:rPr>
        <w:t xml:space="preserve">                </w:t>
      </w:r>
      <w:r>
        <w:rPr>
          <w:rFonts w:asciiTheme="minorHAnsi" w:hAnsiTheme="minorHAnsi"/>
          <w:color w:val="auto"/>
        </w:rPr>
        <w:t xml:space="preserve"> </w:t>
      </w:r>
      <w:r w:rsidR="00F968E5">
        <w:rPr>
          <w:rFonts w:asciiTheme="minorHAnsi" w:hAnsiTheme="minorHAnsi"/>
          <w:color w:val="auto"/>
        </w:rPr>
        <w:t xml:space="preserve">                          </w:t>
      </w:r>
      <w:r w:rsidR="00AE5BA7">
        <w:rPr>
          <w:rFonts w:asciiTheme="minorHAnsi" w:hAnsiTheme="minorHAnsi"/>
          <w:color w:val="auto"/>
        </w:rPr>
        <w:tab/>
      </w:r>
      <w:r w:rsidRPr="00A5065F">
        <w:rPr>
          <w:rFonts w:asciiTheme="minorHAnsi" w:hAnsiTheme="minorHAnsi"/>
          <w:color w:val="auto"/>
        </w:rPr>
        <w:t xml:space="preserve">TDRL EXIT DATE: </w:t>
      </w:r>
      <w:r w:rsidR="00EE70B2" w:rsidRPr="00EE70B2">
        <w:rPr>
          <w:rFonts w:asciiTheme="minorHAnsi" w:hAnsiTheme="minorHAnsi"/>
          <w:i/>
          <w:color w:val="auto"/>
        </w:rPr>
        <w:t xml:space="preserve"> </w:t>
      </w:r>
      <w:r w:rsidR="00F968E5" w:rsidRPr="00F968E5">
        <w:rPr>
          <w:rFonts w:asciiTheme="minorHAnsi" w:hAnsiTheme="minorHAnsi"/>
          <w:color w:val="auto"/>
        </w:rPr>
        <w:t>20050713</w:t>
      </w:r>
    </w:p>
    <w:p w:rsidR="005D6349" w:rsidRPr="00F968E5" w:rsidRDefault="00F968E5" w:rsidP="00AE5BA7">
      <w:pPr>
        <w:tabs>
          <w:tab w:val="right" w:pos="9270"/>
        </w:tabs>
        <w:spacing w:line="240" w:lineRule="exact"/>
        <w:jc w:val="both"/>
        <w:rPr>
          <w:rFonts w:asciiTheme="minorHAnsi" w:hAnsiTheme="minorHAnsi"/>
          <w:color w:val="auto"/>
        </w:rPr>
      </w:pPr>
      <w:r w:rsidRPr="00F968E5">
        <w:rPr>
          <w:rFonts w:asciiTheme="minorHAnsi" w:hAnsiTheme="minorHAnsi"/>
          <w:caps/>
          <w:color w:val="auto"/>
        </w:rPr>
        <w:t>BOARD DATE:  20110113</w:t>
      </w:r>
      <w:r w:rsidR="00474143" w:rsidRPr="00F968E5">
        <w:rPr>
          <w:rFonts w:asciiTheme="minorHAnsi" w:hAnsiTheme="minorHAnsi"/>
          <w:caps/>
          <w:color w:val="auto"/>
        </w:rPr>
        <w:t xml:space="preserve">     </w:t>
      </w:r>
      <w:r w:rsidR="00AE5BA7">
        <w:rPr>
          <w:rFonts w:asciiTheme="minorHAnsi" w:hAnsiTheme="minorHAnsi"/>
          <w:caps/>
          <w:color w:val="auto"/>
        </w:rPr>
        <w:tab/>
      </w:r>
      <w:r w:rsidR="00666336" w:rsidRPr="00F968E5">
        <w:rPr>
          <w:rFonts w:asciiTheme="minorHAnsi" w:hAnsiTheme="minorHAnsi"/>
          <w:caps/>
          <w:color w:val="auto"/>
        </w:rPr>
        <w:t>TDRL EnTRANCE</w:t>
      </w:r>
      <w:r w:rsidR="005D6349" w:rsidRPr="00F968E5">
        <w:rPr>
          <w:rFonts w:asciiTheme="minorHAnsi" w:hAnsiTheme="minorHAnsi"/>
          <w:caps/>
          <w:color w:val="auto"/>
        </w:rPr>
        <w:t xml:space="preserve"> Date: 20040630</w:t>
      </w:r>
    </w:p>
    <w:p w:rsidR="008E0D8F" w:rsidRPr="00F968E5"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5D6349" w:rsidRPr="00A5065F" w:rsidRDefault="005D6349" w:rsidP="005D6349">
      <w:pPr>
        <w:tabs>
          <w:tab w:val="left" w:pos="288"/>
          <w:tab w:val="left" w:pos="4752"/>
        </w:tabs>
        <w:spacing w:line="240" w:lineRule="exact"/>
        <w:jc w:val="both"/>
        <w:rPr>
          <w:rFonts w:asciiTheme="minorHAnsi" w:hAnsiTheme="minorHAnsi"/>
          <w:color w:val="auto"/>
        </w:rPr>
      </w:pPr>
      <w:r w:rsidRPr="00A5065F">
        <w:rPr>
          <w:rFonts w:asciiTheme="minorHAnsi" w:hAnsiTheme="minorHAnsi"/>
          <w:color w:val="auto"/>
          <w:u w:val="single"/>
        </w:rPr>
        <w:t>SUMMARY OF CASE</w:t>
      </w:r>
      <w:r w:rsidRPr="00A5065F">
        <w:rPr>
          <w:rFonts w:asciiTheme="minorHAnsi" w:hAnsiTheme="minorHAnsi"/>
          <w:color w:val="auto"/>
        </w:rPr>
        <w:t xml:space="preserve">:  Data extracted from the available evidence of record reflects that this covered individual (CI) </w:t>
      </w:r>
      <w:r w:rsidRPr="00A5065F">
        <w:rPr>
          <w:rFonts w:asciiTheme="minorHAnsi" w:hAnsiTheme="minorHAnsi"/>
          <w:color w:val="auto"/>
          <w:szCs w:val="24"/>
        </w:rPr>
        <w:t xml:space="preserve">was </w:t>
      </w:r>
      <w:proofErr w:type="gramStart"/>
      <w:r w:rsidRPr="00A5065F">
        <w:rPr>
          <w:rFonts w:asciiTheme="minorHAnsi" w:hAnsiTheme="minorHAnsi"/>
          <w:color w:val="auto"/>
          <w:szCs w:val="24"/>
        </w:rPr>
        <w:t>an</w:t>
      </w:r>
      <w:proofErr w:type="gramEnd"/>
      <w:r w:rsidRPr="00A5065F">
        <w:rPr>
          <w:rFonts w:asciiTheme="minorHAnsi" w:hAnsiTheme="minorHAnsi"/>
          <w:color w:val="auto"/>
          <w:szCs w:val="24"/>
        </w:rPr>
        <w:t xml:space="preserve"> </w:t>
      </w:r>
      <w:r>
        <w:rPr>
          <w:rFonts w:asciiTheme="minorHAnsi" w:hAnsiTheme="minorHAnsi"/>
          <w:color w:val="auto"/>
          <w:szCs w:val="24"/>
        </w:rPr>
        <w:t>National Guard</w:t>
      </w:r>
      <w:r w:rsidRPr="00A5065F">
        <w:rPr>
          <w:rFonts w:asciiTheme="minorHAnsi" w:hAnsiTheme="minorHAnsi"/>
          <w:color w:val="auto"/>
          <w:szCs w:val="24"/>
        </w:rPr>
        <w:t xml:space="preserve"> S</w:t>
      </w:r>
      <w:r>
        <w:rPr>
          <w:rFonts w:asciiTheme="minorHAnsi" w:hAnsiTheme="minorHAnsi"/>
          <w:color w:val="auto"/>
          <w:szCs w:val="24"/>
        </w:rPr>
        <w:t>GT</w:t>
      </w:r>
      <w:r w:rsidRPr="00A5065F">
        <w:rPr>
          <w:rFonts w:asciiTheme="minorHAnsi" w:hAnsiTheme="minorHAnsi"/>
          <w:color w:val="auto"/>
          <w:szCs w:val="24"/>
        </w:rPr>
        <w:t>/E-5 (11B20</w:t>
      </w:r>
      <w:r>
        <w:rPr>
          <w:rFonts w:asciiTheme="minorHAnsi" w:hAnsiTheme="minorHAnsi"/>
          <w:color w:val="auto"/>
          <w:szCs w:val="24"/>
        </w:rPr>
        <w:t xml:space="preserve">, </w:t>
      </w:r>
      <w:r w:rsidRPr="00A5065F">
        <w:rPr>
          <w:rFonts w:asciiTheme="minorHAnsi" w:hAnsiTheme="minorHAnsi"/>
          <w:color w:val="auto"/>
          <w:szCs w:val="24"/>
        </w:rPr>
        <w:t xml:space="preserve">Infantryman), medically separated for </w:t>
      </w:r>
      <w:r>
        <w:rPr>
          <w:rFonts w:asciiTheme="minorHAnsi" w:hAnsiTheme="minorHAnsi"/>
          <w:color w:val="auto"/>
          <w:szCs w:val="24"/>
        </w:rPr>
        <w:t>posttraumatic stress disorder (</w:t>
      </w:r>
      <w:r w:rsidRPr="00A5065F">
        <w:rPr>
          <w:rFonts w:asciiTheme="minorHAnsi" w:hAnsiTheme="minorHAnsi"/>
          <w:color w:val="auto"/>
          <w:szCs w:val="24"/>
        </w:rPr>
        <w:t>PTSD</w:t>
      </w:r>
      <w:r>
        <w:rPr>
          <w:rFonts w:asciiTheme="minorHAnsi" w:hAnsiTheme="minorHAnsi"/>
          <w:color w:val="auto"/>
          <w:szCs w:val="24"/>
        </w:rPr>
        <w:t>)</w:t>
      </w:r>
      <w:r w:rsidRPr="00A5065F">
        <w:rPr>
          <w:rFonts w:asciiTheme="minorHAnsi" w:hAnsiTheme="minorHAnsi"/>
          <w:i/>
          <w:color w:val="auto"/>
          <w:szCs w:val="24"/>
        </w:rPr>
        <w:t>.</w:t>
      </w:r>
      <w:r>
        <w:rPr>
          <w:rFonts w:asciiTheme="minorHAnsi" w:hAnsiTheme="minorHAnsi"/>
          <w:color w:val="auto"/>
          <w:szCs w:val="24"/>
        </w:rPr>
        <w:t xml:space="preserve">  </w:t>
      </w:r>
      <w:r w:rsidRPr="008A62B0">
        <w:rPr>
          <w:rFonts w:asciiTheme="minorHAnsi" w:hAnsiTheme="minorHAnsi"/>
          <w:color w:val="auto"/>
          <w:szCs w:val="24"/>
        </w:rPr>
        <w:t>He was diagnosed with PTSD c</w:t>
      </w:r>
      <w:r>
        <w:rPr>
          <w:rFonts w:asciiTheme="minorHAnsi" w:hAnsiTheme="minorHAnsi"/>
          <w:color w:val="auto"/>
          <w:szCs w:val="24"/>
        </w:rPr>
        <w:t>onsequent to a deployment to Iraq in 2003</w:t>
      </w:r>
      <w:r w:rsidRPr="008A62B0">
        <w:rPr>
          <w:rFonts w:asciiTheme="minorHAnsi" w:hAnsiTheme="minorHAnsi"/>
          <w:color w:val="auto"/>
          <w:szCs w:val="24"/>
        </w:rPr>
        <w:t>.</w:t>
      </w:r>
      <w:r w:rsidR="00F968E5">
        <w:rPr>
          <w:rFonts w:asciiTheme="minorHAnsi" w:hAnsiTheme="minorHAnsi"/>
          <w:color w:val="auto"/>
          <w:szCs w:val="24"/>
        </w:rPr>
        <w:t xml:space="preserve"> </w:t>
      </w:r>
      <w:r w:rsidRPr="008A62B0">
        <w:rPr>
          <w:rFonts w:asciiTheme="minorHAnsi" w:hAnsiTheme="minorHAnsi"/>
          <w:color w:val="auto"/>
          <w:szCs w:val="24"/>
        </w:rPr>
        <w:t xml:space="preserve"> Criterion A combat stressors were documented and the Diagnostic and Statistical Manual of Mental Disorders (DSM IV) criteria for an Axi</w:t>
      </w:r>
      <w:r>
        <w:rPr>
          <w:rFonts w:asciiTheme="minorHAnsi" w:hAnsiTheme="minorHAnsi"/>
          <w:color w:val="auto"/>
          <w:szCs w:val="24"/>
        </w:rPr>
        <w:t>s I diagnosis of PTSD were met.  The CI was treated with</w:t>
      </w:r>
      <w:r w:rsidRPr="008A62B0">
        <w:rPr>
          <w:rFonts w:asciiTheme="minorHAnsi" w:hAnsiTheme="minorHAnsi"/>
          <w:color w:val="auto"/>
          <w:szCs w:val="24"/>
        </w:rPr>
        <w:t xml:space="preserve"> medications and outpatient therapy, but failed to improve adequately to meet the operational requirements of his Milita</w:t>
      </w:r>
      <w:r>
        <w:rPr>
          <w:rFonts w:asciiTheme="minorHAnsi" w:hAnsiTheme="minorHAnsi"/>
          <w:color w:val="auto"/>
          <w:szCs w:val="24"/>
        </w:rPr>
        <w:t xml:space="preserve">ry Occupational Specialty (MOS).  </w:t>
      </w:r>
      <w:r w:rsidR="00B80380">
        <w:rPr>
          <w:rFonts w:asciiTheme="minorHAnsi" w:hAnsiTheme="minorHAnsi"/>
          <w:color w:val="auto"/>
          <w:szCs w:val="24"/>
        </w:rPr>
        <w:t>He was issued</w:t>
      </w:r>
      <w:r w:rsidRPr="008A62B0">
        <w:rPr>
          <w:rFonts w:asciiTheme="minorHAnsi" w:hAnsiTheme="minorHAnsi"/>
          <w:color w:val="auto"/>
          <w:szCs w:val="24"/>
        </w:rPr>
        <w:t xml:space="preserve"> a permanent S3 profile and referred for a Medical Evaluation Board (MEB)</w:t>
      </w:r>
      <w:r>
        <w:rPr>
          <w:rFonts w:asciiTheme="minorHAnsi" w:hAnsiTheme="minorHAnsi"/>
          <w:color w:val="auto"/>
          <w:szCs w:val="24"/>
        </w:rPr>
        <w:t>.  PTSD</w:t>
      </w:r>
      <w:r w:rsidRPr="00D802AF">
        <w:rPr>
          <w:rFonts w:asciiTheme="minorHAnsi" w:hAnsiTheme="minorHAnsi"/>
          <w:color w:val="auto"/>
          <w:szCs w:val="24"/>
        </w:rPr>
        <w:t xml:space="preserve"> was forwarded to the Physical Evaluation Board (PEB) as m</w:t>
      </w:r>
      <w:r w:rsidR="00B80380">
        <w:rPr>
          <w:rFonts w:asciiTheme="minorHAnsi" w:hAnsiTheme="minorHAnsi"/>
          <w:color w:val="auto"/>
          <w:szCs w:val="24"/>
        </w:rPr>
        <w:t>edically unacceptable</w:t>
      </w:r>
      <w:r w:rsidRPr="00D802AF">
        <w:rPr>
          <w:rFonts w:asciiTheme="minorHAnsi" w:hAnsiTheme="minorHAnsi"/>
          <w:color w:val="auto"/>
          <w:szCs w:val="24"/>
        </w:rPr>
        <w:t xml:space="preserve"> IAW AR 40-501</w:t>
      </w:r>
      <w:r>
        <w:rPr>
          <w:rFonts w:asciiTheme="minorHAnsi" w:hAnsiTheme="minorHAnsi"/>
          <w:color w:val="auto"/>
          <w:szCs w:val="24"/>
        </w:rPr>
        <w:t>.</w:t>
      </w:r>
      <w:r w:rsidRPr="00D802AF">
        <w:rPr>
          <w:rFonts w:asciiTheme="minorHAnsi" w:hAnsiTheme="minorHAnsi"/>
          <w:color w:val="auto"/>
          <w:szCs w:val="24"/>
        </w:rPr>
        <w:t xml:space="preserve"> </w:t>
      </w:r>
      <w:r w:rsidR="00B80380">
        <w:rPr>
          <w:rFonts w:asciiTheme="minorHAnsi" w:hAnsiTheme="minorHAnsi"/>
          <w:color w:val="auto"/>
          <w:szCs w:val="24"/>
        </w:rPr>
        <w:t xml:space="preserve"> </w:t>
      </w:r>
      <w:r>
        <w:rPr>
          <w:rFonts w:asciiTheme="minorHAnsi" w:hAnsiTheme="minorHAnsi"/>
          <w:color w:val="auto"/>
          <w:szCs w:val="24"/>
        </w:rPr>
        <w:t xml:space="preserve">Four </w:t>
      </w:r>
      <w:r w:rsidRPr="00D802AF">
        <w:rPr>
          <w:rFonts w:asciiTheme="minorHAnsi" w:hAnsiTheme="minorHAnsi"/>
          <w:color w:val="auto"/>
          <w:szCs w:val="24"/>
        </w:rPr>
        <w:t>other conditions, as identified in the rating chart below, were forwarded on the MEB submission as medically acceptable conditions.</w:t>
      </w:r>
      <w:r>
        <w:rPr>
          <w:rFonts w:asciiTheme="minorHAnsi" w:hAnsiTheme="minorHAnsi"/>
          <w:color w:val="auto"/>
          <w:szCs w:val="24"/>
        </w:rPr>
        <w:t xml:space="preserve">  </w:t>
      </w:r>
      <w:r w:rsidRPr="00A5065F">
        <w:rPr>
          <w:rFonts w:asciiTheme="minorHAnsi" w:hAnsiTheme="minorHAnsi"/>
          <w:color w:val="auto"/>
          <w:szCs w:val="24"/>
        </w:rPr>
        <w:t>The PEB adjudicated the PTSD condition as unfitting, rated 30%, with application of the Veterans Administration Schedule for Rating Di</w:t>
      </w:r>
      <w:r w:rsidR="00B80380">
        <w:rPr>
          <w:rFonts w:asciiTheme="minorHAnsi" w:hAnsiTheme="minorHAnsi"/>
          <w:color w:val="auto"/>
          <w:szCs w:val="24"/>
        </w:rPr>
        <w:t xml:space="preserve">sabilities (VASRD), and the </w:t>
      </w:r>
      <w:r w:rsidRPr="00A5065F">
        <w:rPr>
          <w:rFonts w:asciiTheme="minorHAnsi" w:hAnsiTheme="minorHAnsi"/>
          <w:color w:val="auto"/>
          <w:szCs w:val="24"/>
        </w:rPr>
        <w:t xml:space="preserve">CI was placed on </w:t>
      </w:r>
      <w:r w:rsidR="00B80380">
        <w:rPr>
          <w:rFonts w:asciiTheme="minorHAnsi" w:hAnsiTheme="minorHAnsi"/>
          <w:color w:val="auto"/>
          <w:szCs w:val="24"/>
        </w:rPr>
        <w:t xml:space="preserve">the </w:t>
      </w:r>
      <w:r w:rsidRPr="00A5065F">
        <w:rPr>
          <w:rFonts w:asciiTheme="minorHAnsi" w:hAnsiTheme="minorHAnsi"/>
          <w:color w:val="auto"/>
          <w:szCs w:val="24"/>
        </w:rPr>
        <w:t xml:space="preserve">Temporary </w:t>
      </w:r>
      <w:r w:rsidR="00B80380">
        <w:rPr>
          <w:rFonts w:asciiTheme="minorHAnsi" w:hAnsiTheme="minorHAnsi"/>
          <w:color w:val="auto"/>
          <w:szCs w:val="24"/>
        </w:rPr>
        <w:t>Disability Retired List (TDRL)</w:t>
      </w:r>
      <w:r w:rsidRPr="00A5065F">
        <w:rPr>
          <w:rFonts w:asciiTheme="minorHAnsi" w:hAnsiTheme="minorHAnsi"/>
          <w:color w:val="auto"/>
          <w:szCs w:val="24"/>
        </w:rPr>
        <w:t>.</w:t>
      </w:r>
      <w:r>
        <w:rPr>
          <w:rFonts w:asciiTheme="minorHAnsi" w:hAnsiTheme="minorHAnsi"/>
          <w:color w:val="auto"/>
          <w:szCs w:val="24"/>
        </w:rPr>
        <w:t xml:space="preserve">  </w:t>
      </w:r>
      <w:r w:rsidRPr="00A5065F">
        <w:rPr>
          <w:rFonts w:asciiTheme="minorHAnsi" w:hAnsiTheme="minorHAnsi"/>
          <w:color w:val="auto"/>
        </w:rPr>
        <w:t>Upon TDRL re-evaluation, t</w:t>
      </w:r>
      <w:r w:rsidR="00AE5BA7">
        <w:rPr>
          <w:rFonts w:asciiTheme="minorHAnsi" w:hAnsiTheme="minorHAnsi"/>
          <w:color w:val="auto"/>
          <w:szCs w:val="24"/>
        </w:rPr>
        <w:t xml:space="preserve">he </w:t>
      </w:r>
      <w:r w:rsidR="00B80380">
        <w:rPr>
          <w:rFonts w:asciiTheme="minorHAnsi" w:hAnsiTheme="minorHAnsi"/>
          <w:color w:val="auto"/>
          <w:szCs w:val="24"/>
        </w:rPr>
        <w:t>PEB</w:t>
      </w:r>
      <w:r w:rsidRPr="00A5065F">
        <w:rPr>
          <w:rFonts w:asciiTheme="minorHAnsi" w:hAnsiTheme="minorHAnsi"/>
          <w:color w:val="auto"/>
          <w:szCs w:val="24"/>
        </w:rPr>
        <w:t xml:space="preserve"> adjudicated the PTSD condition as unfitting, rated 10%.  The CI</w:t>
      </w:r>
      <w:r w:rsidRPr="00A5065F">
        <w:rPr>
          <w:rFonts w:asciiTheme="minorHAnsi" w:hAnsiTheme="minorHAnsi"/>
          <w:color w:val="auto"/>
        </w:rPr>
        <w:t xml:space="preserve"> appealed to</w:t>
      </w:r>
      <w:r w:rsidR="00B80380">
        <w:rPr>
          <w:rFonts w:asciiTheme="minorHAnsi" w:hAnsiTheme="minorHAnsi"/>
          <w:color w:val="auto"/>
        </w:rPr>
        <w:t xml:space="preserve"> a Formal PEB</w:t>
      </w:r>
      <w:r w:rsidRPr="00A5065F">
        <w:rPr>
          <w:rFonts w:asciiTheme="minorHAnsi" w:hAnsiTheme="minorHAnsi"/>
          <w:color w:val="auto"/>
        </w:rPr>
        <w:t xml:space="preserve"> </w:t>
      </w:r>
      <w:r w:rsidR="00B80380">
        <w:rPr>
          <w:rFonts w:asciiTheme="minorHAnsi" w:hAnsiTheme="minorHAnsi"/>
          <w:color w:val="auto"/>
        </w:rPr>
        <w:t>(</w:t>
      </w:r>
      <w:r w:rsidRPr="00A5065F">
        <w:rPr>
          <w:rFonts w:asciiTheme="minorHAnsi" w:hAnsiTheme="minorHAnsi"/>
          <w:color w:val="auto"/>
        </w:rPr>
        <w:t>FPEB</w:t>
      </w:r>
      <w:r w:rsidR="00B80380">
        <w:rPr>
          <w:rFonts w:asciiTheme="minorHAnsi" w:hAnsiTheme="minorHAnsi"/>
          <w:color w:val="auto"/>
        </w:rPr>
        <w:t>)</w:t>
      </w:r>
      <w:r w:rsidRPr="00A5065F">
        <w:rPr>
          <w:rFonts w:asciiTheme="minorHAnsi" w:hAnsiTheme="minorHAnsi"/>
          <w:color w:val="auto"/>
        </w:rPr>
        <w:t xml:space="preserve"> and was </w:t>
      </w:r>
      <w:r w:rsidR="00B80380">
        <w:rPr>
          <w:rFonts w:asciiTheme="minorHAnsi" w:hAnsiTheme="minorHAnsi"/>
          <w:color w:val="auto"/>
        </w:rPr>
        <w:t xml:space="preserve">then </w:t>
      </w:r>
      <w:r w:rsidRPr="00A5065F">
        <w:rPr>
          <w:rFonts w:asciiTheme="minorHAnsi" w:hAnsiTheme="minorHAnsi"/>
          <w:color w:val="auto"/>
        </w:rPr>
        <w:t>medical</w:t>
      </w:r>
      <w:r w:rsidR="00B80380">
        <w:rPr>
          <w:rFonts w:asciiTheme="minorHAnsi" w:hAnsiTheme="minorHAnsi"/>
          <w:color w:val="auto"/>
        </w:rPr>
        <w:t>ly separated with a 10%</w:t>
      </w:r>
      <w:r w:rsidRPr="00A5065F">
        <w:rPr>
          <w:rFonts w:asciiTheme="minorHAnsi" w:hAnsiTheme="minorHAnsi"/>
          <w:color w:val="auto"/>
        </w:rPr>
        <w:t xml:space="preserve"> disability rating.</w:t>
      </w:r>
      <w:r w:rsidR="00875E29">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085D7B" w:rsidRDefault="00085D7B" w:rsidP="00510F9C">
      <w:pPr>
        <w:tabs>
          <w:tab w:val="left" w:pos="288"/>
          <w:tab w:val="left" w:pos="4752"/>
        </w:tabs>
        <w:spacing w:line="240" w:lineRule="exact"/>
        <w:jc w:val="both"/>
        <w:rPr>
          <w:rFonts w:asciiTheme="minorHAnsi" w:hAnsiTheme="minorHAnsi"/>
          <w:color w:val="auto"/>
        </w:rPr>
      </w:pPr>
    </w:p>
    <w:p w:rsidR="003E1682" w:rsidRDefault="00B80380" w:rsidP="00666336">
      <w:pPr>
        <w:tabs>
          <w:tab w:val="left" w:pos="288"/>
          <w:tab w:val="left" w:pos="4752"/>
        </w:tabs>
        <w:spacing w:line="240" w:lineRule="exact"/>
        <w:jc w:val="both"/>
        <w:rPr>
          <w:rFonts w:asciiTheme="minorHAnsi" w:hAnsiTheme="minorHAnsi"/>
          <w:color w:val="auto"/>
        </w:rPr>
      </w:pPr>
      <w:r w:rsidRPr="00B80380">
        <w:rPr>
          <w:rFonts w:asciiTheme="minorHAnsi" w:hAnsiTheme="minorHAnsi"/>
          <w:color w:val="auto"/>
          <w:u w:val="single"/>
        </w:rPr>
        <w:t>CI CONTENTION</w:t>
      </w:r>
      <w:r w:rsidRPr="00B80380">
        <w:rPr>
          <w:rFonts w:asciiTheme="minorHAnsi" w:hAnsiTheme="minorHAnsi"/>
          <w:color w:val="auto"/>
        </w:rPr>
        <w:t xml:space="preserve">:  </w:t>
      </w:r>
      <w:r w:rsidR="00A16D75">
        <w:rPr>
          <w:rFonts w:asciiTheme="minorHAnsi" w:hAnsiTheme="minorHAnsi"/>
          <w:color w:val="auto"/>
        </w:rPr>
        <w:t xml:space="preserve">The </w:t>
      </w:r>
      <w:r w:rsidRPr="00B80380">
        <w:rPr>
          <w:rFonts w:asciiTheme="minorHAnsi" w:hAnsiTheme="minorHAnsi"/>
          <w:color w:val="auto"/>
        </w:rPr>
        <w:t>CI stated:</w:t>
      </w:r>
      <w:r w:rsidR="00F968E5">
        <w:rPr>
          <w:rFonts w:asciiTheme="minorHAnsi" w:hAnsiTheme="minorHAnsi"/>
          <w:color w:val="auto"/>
        </w:rPr>
        <w:t xml:space="preserve"> </w:t>
      </w:r>
      <w:r w:rsidRPr="00B80380">
        <w:rPr>
          <w:rFonts w:asciiTheme="minorHAnsi" w:hAnsiTheme="minorHAnsi"/>
          <w:color w:val="auto"/>
        </w:rPr>
        <w:t xml:space="preserve"> “I was assigned less than </w:t>
      </w:r>
      <w:r w:rsidRPr="00B80380">
        <w:rPr>
          <w:rFonts w:asciiTheme="minorHAnsi" w:hAnsiTheme="minorHAnsi"/>
          <w:iCs/>
          <w:color w:val="auto"/>
        </w:rPr>
        <w:t xml:space="preserve">50% </w:t>
      </w:r>
      <w:r w:rsidRPr="00B80380">
        <w:rPr>
          <w:rFonts w:asciiTheme="minorHAnsi" w:hAnsiTheme="minorHAnsi"/>
          <w:color w:val="auto"/>
        </w:rPr>
        <w:t>disability rating by the military for my unfitting PTSD upon discharge from active duty.  In accordance with the class action notice, assign the highest final disability rating applicable consistent with 38 CFR 4.129 and DoD policy, to the extent such increase will not adversely affect my total compensation, including but not limited to compensation pursuant to CR.SC. See Item 12 for continuation.”</w:t>
      </w:r>
      <w:r w:rsidR="00142886">
        <w:rPr>
          <w:rFonts w:asciiTheme="minorHAnsi" w:hAnsiTheme="minorHAnsi"/>
          <w:color w:val="auto"/>
        </w:rPr>
        <w:t xml:space="preserve">  </w:t>
      </w:r>
      <w:r w:rsidR="00666336">
        <w:rPr>
          <w:rFonts w:asciiTheme="minorHAnsi" w:hAnsiTheme="minorHAnsi"/>
          <w:color w:val="auto"/>
        </w:rPr>
        <w:t>However, no continuation page was present in the record. The CI was contacted and he stated he did not submit a continuation page as part</w:t>
      </w:r>
      <w:r w:rsidR="00A4201E">
        <w:rPr>
          <w:rFonts w:asciiTheme="minorHAnsi" w:hAnsiTheme="minorHAnsi"/>
          <w:color w:val="auto"/>
        </w:rPr>
        <w:t xml:space="preserve"> </w:t>
      </w:r>
      <w:r w:rsidR="00666336">
        <w:rPr>
          <w:rFonts w:asciiTheme="minorHAnsi" w:hAnsiTheme="minorHAnsi"/>
          <w:color w:val="auto"/>
        </w:rPr>
        <w:t xml:space="preserve">of his application. </w:t>
      </w:r>
    </w:p>
    <w:p w:rsidR="00A272EC" w:rsidRPr="00A272EC" w:rsidRDefault="00A272EC" w:rsidP="00666336">
      <w:pPr>
        <w:tabs>
          <w:tab w:val="left" w:pos="288"/>
          <w:tab w:val="left" w:pos="4752"/>
        </w:tabs>
        <w:spacing w:line="240" w:lineRule="exact"/>
        <w:jc w:val="both"/>
        <w:rPr>
          <w:rFonts w:asciiTheme="minorHAnsi" w:hAnsiTheme="minorHAnsi"/>
          <w:b/>
          <w:color w:val="auto"/>
          <w:u w:val="single"/>
        </w:rPr>
      </w:pPr>
      <w:r w:rsidRPr="00A272EC">
        <w:rPr>
          <w:rFonts w:asciiTheme="minorHAnsi" w:hAnsiTheme="minorHAnsi"/>
          <w:b/>
          <w:color w:val="auto"/>
        </w:rPr>
        <w:t>______________________________________________________________________________</w:t>
      </w:r>
    </w:p>
    <w:p w:rsidR="000024F5" w:rsidRDefault="000024F5" w:rsidP="00510F9C">
      <w:pPr>
        <w:spacing w:line="240" w:lineRule="exact"/>
        <w:rPr>
          <w:rFonts w:asciiTheme="minorHAnsi" w:hAnsiTheme="minorHAnsi"/>
          <w:color w:val="auto"/>
          <w:u w:val="single"/>
        </w:rPr>
      </w:pPr>
    </w:p>
    <w:p w:rsidR="00142886" w:rsidRPr="00E1256F"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E57703" w:rsidRPr="00FF1022" w:rsidRDefault="00E57703" w:rsidP="00510F9C">
      <w:pPr>
        <w:tabs>
          <w:tab w:val="left" w:pos="288"/>
          <w:tab w:val="left" w:pos="4752"/>
        </w:tabs>
        <w:spacing w:line="240" w:lineRule="exact"/>
        <w:jc w:val="both"/>
        <w:rPr>
          <w:rFonts w:asciiTheme="minorHAnsi" w:hAnsiTheme="minorHAnsi"/>
          <w:b/>
          <w:color w:val="auto"/>
          <w:szCs w:val="24"/>
          <w:u w:val="single"/>
        </w:rPr>
      </w:pPr>
    </w:p>
    <w:tbl>
      <w:tblPr>
        <w:tblStyle w:val="TableGrid"/>
        <w:tblW w:w="9299" w:type="dxa"/>
        <w:jc w:val="center"/>
        <w:tblInd w:w="777" w:type="dxa"/>
        <w:tblLayout w:type="fixed"/>
        <w:tblLook w:val="04A0"/>
      </w:tblPr>
      <w:tblGrid>
        <w:gridCol w:w="1473"/>
        <w:gridCol w:w="1007"/>
        <w:gridCol w:w="720"/>
        <w:gridCol w:w="791"/>
        <w:gridCol w:w="2399"/>
        <w:gridCol w:w="810"/>
        <w:gridCol w:w="990"/>
        <w:gridCol w:w="1109"/>
      </w:tblGrid>
      <w:tr w:rsidR="00BF70A6" w:rsidRPr="00FF1022" w:rsidTr="00E03E14">
        <w:trPr>
          <w:trHeight w:val="233"/>
          <w:jc w:val="center"/>
        </w:trPr>
        <w:tc>
          <w:tcPr>
            <w:tcW w:w="3991" w:type="dxa"/>
            <w:gridSpan w:val="4"/>
            <w:tcBorders>
              <w:right w:val="thinThickThinSmallGap" w:sz="24" w:space="0" w:color="auto"/>
            </w:tcBorders>
            <w:shd w:val="clear" w:color="auto" w:fill="D9D9D9" w:themeFill="background1" w:themeFillShade="D9"/>
            <w:vAlign w:val="center"/>
          </w:tcPr>
          <w:p w:rsidR="00BF70A6" w:rsidRPr="00B06930" w:rsidRDefault="00E1256F" w:rsidP="00BF70A6">
            <w:pPr>
              <w:spacing w:line="200" w:lineRule="exact"/>
              <w:contextualSpacing/>
              <w:jc w:val="center"/>
              <w:rPr>
                <w:b/>
                <w:color w:val="auto"/>
                <w:sz w:val="20"/>
                <w:szCs w:val="20"/>
              </w:rPr>
            </w:pPr>
            <w:r>
              <w:rPr>
                <w:b/>
                <w:color w:val="auto"/>
                <w:sz w:val="20"/>
                <w:szCs w:val="20"/>
              </w:rPr>
              <w:t>Final Army</w:t>
            </w:r>
            <w:r w:rsidR="00BF70A6" w:rsidRPr="00B06930">
              <w:rPr>
                <w:b/>
                <w:color w:val="auto"/>
                <w:sz w:val="20"/>
                <w:szCs w:val="20"/>
              </w:rPr>
              <w:t xml:space="preserve"> </w:t>
            </w:r>
            <w:r>
              <w:rPr>
                <w:b/>
                <w:color w:val="auto"/>
                <w:sz w:val="20"/>
                <w:szCs w:val="20"/>
              </w:rPr>
              <w:t>F</w:t>
            </w:r>
            <w:r w:rsidR="00BF70A6" w:rsidRPr="00B06930">
              <w:rPr>
                <w:b/>
                <w:color w:val="auto"/>
                <w:sz w:val="20"/>
                <w:szCs w:val="20"/>
              </w:rPr>
              <w:t>PEB – Dated 200</w:t>
            </w:r>
            <w:r>
              <w:rPr>
                <w:b/>
                <w:color w:val="auto"/>
                <w:sz w:val="20"/>
                <w:szCs w:val="20"/>
              </w:rPr>
              <w:t>50708</w:t>
            </w:r>
          </w:p>
        </w:tc>
        <w:tc>
          <w:tcPr>
            <w:tcW w:w="5308" w:type="dxa"/>
            <w:gridSpan w:val="4"/>
            <w:tcBorders>
              <w:left w:val="thinThickThinSmallGap" w:sz="24" w:space="0" w:color="auto"/>
            </w:tcBorders>
            <w:shd w:val="clear" w:color="auto" w:fill="D9D9D9" w:themeFill="background1" w:themeFillShade="D9"/>
            <w:vAlign w:val="center"/>
          </w:tcPr>
          <w:p w:rsidR="00BF70A6" w:rsidRPr="00B06930" w:rsidRDefault="00BF70A6" w:rsidP="00437D18">
            <w:pPr>
              <w:spacing w:line="200" w:lineRule="exact"/>
              <w:contextualSpacing/>
              <w:jc w:val="center"/>
              <w:rPr>
                <w:b/>
                <w:color w:val="auto"/>
                <w:sz w:val="20"/>
                <w:szCs w:val="20"/>
              </w:rPr>
            </w:pPr>
            <w:r w:rsidRPr="006937C6">
              <w:rPr>
                <w:b/>
                <w:color w:val="auto"/>
                <w:sz w:val="20"/>
                <w:szCs w:val="20"/>
              </w:rPr>
              <w:t>VA</w:t>
            </w:r>
            <w:r w:rsidR="00437D18" w:rsidRPr="006937C6">
              <w:rPr>
                <w:b/>
                <w:color w:val="auto"/>
                <w:sz w:val="20"/>
                <w:szCs w:val="20"/>
              </w:rPr>
              <w:t>*</w:t>
            </w:r>
            <w:r w:rsidRPr="00B06930">
              <w:rPr>
                <w:b/>
                <w:color w:val="auto"/>
                <w:sz w:val="20"/>
                <w:szCs w:val="20"/>
              </w:rPr>
              <w:t xml:space="preserve"> – All Effective Date </w:t>
            </w:r>
            <w:r w:rsidRPr="002D08F3">
              <w:rPr>
                <w:b/>
                <w:color w:val="auto"/>
                <w:sz w:val="20"/>
                <w:szCs w:val="20"/>
              </w:rPr>
              <w:t>200</w:t>
            </w:r>
            <w:r w:rsidR="00E1256F">
              <w:rPr>
                <w:b/>
                <w:color w:val="auto"/>
                <w:sz w:val="20"/>
                <w:szCs w:val="20"/>
              </w:rPr>
              <w:t>40701</w:t>
            </w:r>
          </w:p>
        </w:tc>
      </w:tr>
      <w:tr w:rsidR="008902BE" w:rsidRPr="00FF1022" w:rsidTr="00E03E14">
        <w:trPr>
          <w:trHeight w:val="233"/>
          <w:jc w:val="center"/>
        </w:trPr>
        <w:tc>
          <w:tcPr>
            <w:tcW w:w="1473" w:type="dxa"/>
            <w:tcBorders>
              <w:bottom w:val="single" w:sz="4" w:space="0" w:color="000000" w:themeColor="text1"/>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Condition</w:t>
            </w:r>
          </w:p>
        </w:tc>
        <w:tc>
          <w:tcPr>
            <w:tcW w:w="1007" w:type="dxa"/>
            <w:tcBorders>
              <w:bottom w:val="single" w:sz="4" w:space="0" w:color="000000" w:themeColor="text1"/>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Code</w:t>
            </w:r>
          </w:p>
        </w:tc>
        <w:tc>
          <w:tcPr>
            <w:tcW w:w="151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Rating</w:t>
            </w:r>
          </w:p>
        </w:tc>
        <w:tc>
          <w:tcPr>
            <w:tcW w:w="2399" w:type="dxa"/>
            <w:vMerge w:val="restart"/>
            <w:tcBorders>
              <w:left w:val="thinThickThinSmallGap" w:sz="24" w:space="0" w:color="auto"/>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Condition</w:t>
            </w:r>
          </w:p>
        </w:tc>
        <w:tc>
          <w:tcPr>
            <w:tcW w:w="810" w:type="dxa"/>
            <w:vMerge w:val="restart"/>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Code</w:t>
            </w:r>
          </w:p>
        </w:tc>
        <w:tc>
          <w:tcPr>
            <w:tcW w:w="990" w:type="dxa"/>
            <w:vMerge w:val="restart"/>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Rating</w:t>
            </w:r>
          </w:p>
        </w:tc>
        <w:tc>
          <w:tcPr>
            <w:tcW w:w="1109" w:type="dxa"/>
            <w:vMerge w:val="restart"/>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Exam</w:t>
            </w:r>
          </w:p>
        </w:tc>
      </w:tr>
      <w:tr w:rsidR="008902BE" w:rsidRPr="00FF1022" w:rsidTr="00E03E14">
        <w:trPr>
          <w:trHeight w:val="152"/>
          <w:jc w:val="center"/>
        </w:trPr>
        <w:tc>
          <w:tcPr>
            <w:tcW w:w="1473" w:type="dxa"/>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 xml:space="preserve">On TDRL </w:t>
            </w:r>
            <w:r>
              <w:rPr>
                <w:b/>
                <w:color w:val="auto"/>
                <w:sz w:val="20"/>
                <w:szCs w:val="20"/>
              </w:rPr>
              <w:t>–</w:t>
            </w:r>
            <w:r w:rsidRPr="00B06930">
              <w:rPr>
                <w:b/>
                <w:color w:val="auto"/>
                <w:sz w:val="20"/>
                <w:szCs w:val="20"/>
              </w:rPr>
              <w:t xml:space="preserve"> 200</w:t>
            </w:r>
            <w:r w:rsidR="00E1798B">
              <w:rPr>
                <w:b/>
                <w:color w:val="auto"/>
                <w:sz w:val="20"/>
                <w:szCs w:val="20"/>
              </w:rPr>
              <w:t>40630</w:t>
            </w:r>
          </w:p>
        </w:tc>
        <w:tc>
          <w:tcPr>
            <w:tcW w:w="1007" w:type="dxa"/>
            <w:shd w:val="clear" w:color="auto" w:fill="D9D9D9" w:themeFill="background1" w:themeFillShade="D9"/>
            <w:vAlign w:val="center"/>
          </w:tcPr>
          <w:p w:rsidR="008902BE" w:rsidRPr="00B06930" w:rsidRDefault="008902BE" w:rsidP="0042528C">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TDRL</w:t>
            </w:r>
          </w:p>
        </w:tc>
        <w:tc>
          <w:tcPr>
            <w:tcW w:w="791" w:type="dxa"/>
            <w:tcBorders>
              <w:left w:val="single" w:sz="4" w:space="0" w:color="auto"/>
              <w:right w:val="thinThickThinSmallGap" w:sz="24" w:space="0" w:color="auto"/>
            </w:tcBorders>
            <w:shd w:val="clear" w:color="auto" w:fill="D9D9D9" w:themeFill="background1" w:themeFillShade="D9"/>
            <w:vAlign w:val="center"/>
          </w:tcPr>
          <w:p w:rsidR="008902BE" w:rsidRPr="00B06930" w:rsidRDefault="008902BE" w:rsidP="0042528C">
            <w:pPr>
              <w:tabs>
                <w:tab w:val="left" w:pos="206"/>
                <w:tab w:val="center" w:pos="387"/>
              </w:tabs>
              <w:spacing w:line="200" w:lineRule="exact"/>
              <w:contextualSpacing/>
              <w:jc w:val="center"/>
              <w:rPr>
                <w:b/>
                <w:color w:val="auto"/>
                <w:sz w:val="20"/>
                <w:szCs w:val="20"/>
              </w:rPr>
            </w:pPr>
            <w:r w:rsidRPr="00B06930">
              <w:rPr>
                <w:b/>
                <w:color w:val="auto"/>
                <w:sz w:val="20"/>
                <w:szCs w:val="20"/>
              </w:rPr>
              <w:t>Sep.</w:t>
            </w:r>
          </w:p>
        </w:tc>
        <w:tc>
          <w:tcPr>
            <w:tcW w:w="2399" w:type="dxa"/>
            <w:vMerge/>
            <w:tcBorders>
              <w:left w:val="thinThickThinSmallGap" w:sz="24" w:space="0" w:color="auto"/>
            </w:tcBorders>
            <w:shd w:val="clear" w:color="auto" w:fill="D9D9D9" w:themeFill="background1" w:themeFillShade="D9"/>
            <w:vAlign w:val="center"/>
          </w:tcPr>
          <w:p w:rsidR="008902BE" w:rsidRPr="00B06930" w:rsidRDefault="008902BE" w:rsidP="0042528C">
            <w:pPr>
              <w:spacing w:line="200" w:lineRule="exact"/>
              <w:contextualSpacing/>
              <w:rPr>
                <w:b/>
                <w:color w:val="auto"/>
                <w:sz w:val="20"/>
                <w:szCs w:val="20"/>
              </w:rPr>
            </w:pPr>
          </w:p>
        </w:tc>
        <w:tc>
          <w:tcPr>
            <w:tcW w:w="810" w:type="dxa"/>
            <w:vMerge/>
            <w:shd w:val="clear" w:color="auto" w:fill="C6D9F1" w:themeFill="text2" w:themeFillTint="33"/>
          </w:tcPr>
          <w:p w:rsidR="008902BE" w:rsidRPr="00B06930" w:rsidRDefault="008902BE" w:rsidP="0042528C">
            <w:pPr>
              <w:spacing w:line="200" w:lineRule="exact"/>
              <w:contextualSpacing/>
              <w:jc w:val="center"/>
              <w:rPr>
                <w:color w:val="auto"/>
                <w:sz w:val="20"/>
                <w:szCs w:val="20"/>
              </w:rPr>
            </w:pPr>
          </w:p>
        </w:tc>
        <w:tc>
          <w:tcPr>
            <w:tcW w:w="990" w:type="dxa"/>
            <w:vMerge/>
            <w:shd w:val="clear" w:color="auto" w:fill="C6D9F1" w:themeFill="text2" w:themeFillTint="33"/>
          </w:tcPr>
          <w:p w:rsidR="008902BE" w:rsidRPr="00B06930" w:rsidRDefault="008902BE" w:rsidP="0042528C">
            <w:pPr>
              <w:spacing w:line="200" w:lineRule="exact"/>
              <w:contextualSpacing/>
              <w:jc w:val="center"/>
              <w:rPr>
                <w:color w:val="auto"/>
                <w:sz w:val="20"/>
                <w:szCs w:val="20"/>
              </w:rPr>
            </w:pPr>
          </w:p>
        </w:tc>
        <w:tc>
          <w:tcPr>
            <w:tcW w:w="1109" w:type="dxa"/>
            <w:vMerge/>
            <w:shd w:val="clear" w:color="auto" w:fill="C6D9F1" w:themeFill="text2" w:themeFillTint="33"/>
          </w:tcPr>
          <w:p w:rsidR="008902BE" w:rsidRPr="00B06930" w:rsidRDefault="008902BE" w:rsidP="0042528C">
            <w:pPr>
              <w:spacing w:line="200" w:lineRule="exact"/>
              <w:contextualSpacing/>
              <w:jc w:val="center"/>
              <w:rPr>
                <w:color w:val="auto"/>
                <w:sz w:val="20"/>
                <w:szCs w:val="20"/>
              </w:rPr>
            </w:pPr>
          </w:p>
        </w:tc>
      </w:tr>
      <w:tr w:rsidR="000D2CFD" w:rsidRPr="00FF1022" w:rsidTr="00E03E14">
        <w:trPr>
          <w:trHeight w:val="125"/>
          <w:jc w:val="center"/>
        </w:trPr>
        <w:tc>
          <w:tcPr>
            <w:tcW w:w="1473" w:type="dxa"/>
            <w:tcBorders>
              <w:right w:val="single" w:sz="4" w:space="0" w:color="auto"/>
            </w:tcBorders>
            <w:shd w:val="clear" w:color="auto" w:fill="FFFFFF" w:themeFill="background1"/>
            <w:vAlign w:val="center"/>
          </w:tcPr>
          <w:p w:rsidR="000D2CFD" w:rsidRPr="00E1798B" w:rsidRDefault="004427CE" w:rsidP="00F50F9D">
            <w:pPr>
              <w:spacing w:line="180" w:lineRule="exact"/>
              <w:contextualSpacing/>
              <w:rPr>
                <w:color w:val="auto"/>
                <w:sz w:val="18"/>
                <w:szCs w:val="18"/>
              </w:rPr>
            </w:pPr>
            <w:r w:rsidRPr="00E1798B">
              <w:rPr>
                <w:color w:val="auto"/>
                <w:sz w:val="18"/>
                <w:szCs w:val="18"/>
              </w:rPr>
              <w:t>PTSD</w:t>
            </w:r>
          </w:p>
        </w:tc>
        <w:tc>
          <w:tcPr>
            <w:tcW w:w="1007" w:type="dxa"/>
            <w:tcBorders>
              <w:left w:val="single" w:sz="4" w:space="0" w:color="auto"/>
            </w:tcBorders>
            <w:shd w:val="clear" w:color="auto" w:fill="FFFFFF" w:themeFill="background1"/>
            <w:vAlign w:val="center"/>
          </w:tcPr>
          <w:p w:rsidR="000D2CFD" w:rsidRPr="00E1798B" w:rsidRDefault="004427CE" w:rsidP="00F50F9D">
            <w:pPr>
              <w:spacing w:line="180" w:lineRule="exact"/>
              <w:contextualSpacing/>
              <w:jc w:val="center"/>
              <w:rPr>
                <w:color w:val="auto"/>
                <w:sz w:val="18"/>
                <w:szCs w:val="18"/>
              </w:rPr>
            </w:pPr>
            <w:r w:rsidRPr="00E1798B">
              <w:rPr>
                <w:color w:val="auto"/>
                <w:sz w:val="18"/>
                <w:szCs w:val="18"/>
              </w:rPr>
              <w:t>9411</w:t>
            </w:r>
          </w:p>
        </w:tc>
        <w:tc>
          <w:tcPr>
            <w:tcW w:w="720" w:type="dxa"/>
            <w:tcBorders>
              <w:right w:val="single" w:sz="4" w:space="0" w:color="auto"/>
            </w:tcBorders>
            <w:shd w:val="clear" w:color="auto" w:fill="FFFFFF" w:themeFill="background1"/>
            <w:vAlign w:val="center"/>
          </w:tcPr>
          <w:p w:rsidR="000D2CFD" w:rsidRPr="00E1798B" w:rsidRDefault="004427CE" w:rsidP="00F50F9D">
            <w:pPr>
              <w:jc w:val="center"/>
              <w:rPr>
                <w:color w:val="auto"/>
              </w:rPr>
            </w:pPr>
            <w:r w:rsidRPr="00E1798B">
              <w:rPr>
                <w:color w:val="auto"/>
                <w:sz w:val="18"/>
                <w:szCs w:val="18"/>
              </w:rPr>
              <w:t>30</w:t>
            </w:r>
            <w:r w:rsidR="000D2CFD" w:rsidRPr="00E1798B">
              <w:rPr>
                <w:color w:val="auto"/>
                <w:sz w:val="18"/>
                <w:szCs w:val="18"/>
              </w:rPr>
              <w:t>%</w:t>
            </w:r>
          </w:p>
        </w:tc>
        <w:tc>
          <w:tcPr>
            <w:tcW w:w="791" w:type="dxa"/>
            <w:tcBorders>
              <w:left w:val="single" w:sz="4" w:space="0" w:color="auto"/>
              <w:right w:val="thinThickThinSmallGap" w:sz="24" w:space="0" w:color="auto"/>
            </w:tcBorders>
            <w:shd w:val="clear" w:color="auto" w:fill="FFFFFF" w:themeFill="background1"/>
            <w:vAlign w:val="center"/>
          </w:tcPr>
          <w:p w:rsidR="000D2CFD" w:rsidRPr="00E1798B" w:rsidRDefault="004427CE" w:rsidP="00F50F9D">
            <w:pPr>
              <w:jc w:val="center"/>
              <w:rPr>
                <w:color w:val="auto"/>
              </w:rPr>
            </w:pPr>
            <w:r w:rsidRPr="00E1798B">
              <w:rPr>
                <w:color w:val="auto"/>
                <w:sz w:val="18"/>
                <w:szCs w:val="18"/>
              </w:rPr>
              <w:t>10</w:t>
            </w:r>
            <w:r w:rsidR="000D2CFD" w:rsidRPr="00E1798B">
              <w:rPr>
                <w:color w:val="auto"/>
                <w:sz w:val="18"/>
                <w:szCs w:val="18"/>
              </w:rPr>
              <w:t>%</w:t>
            </w:r>
          </w:p>
        </w:tc>
        <w:tc>
          <w:tcPr>
            <w:tcW w:w="2399" w:type="dxa"/>
            <w:tcBorders>
              <w:left w:val="thinThickThinSmallGap" w:sz="24" w:space="0" w:color="auto"/>
            </w:tcBorders>
            <w:shd w:val="clear" w:color="auto" w:fill="FFFFFF" w:themeFill="background1"/>
            <w:vAlign w:val="center"/>
          </w:tcPr>
          <w:p w:rsidR="000D2CFD" w:rsidRPr="00E1798B" w:rsidRDefault="004427CE" w:rsidP="00F50F9D">
            <w:pPr>
              <w:spacing w:line="180" w:lineRule="exact"/>
              <w:contextualSpacing/>
              <w:rPr>
                <w:color w:val="auto"/>
                <w:sz w:val="18"/>
                <w:szCs w:val="18"/>
              </w:rPr>
            </w:pPr>
            <w:r w:rsidRPr="00E1798B">
              <w:rPr>
                <w:color w:val="auto"/>
                <w:sz w:val="18"/>
                <w:szCs w:val="18"/>
              </w:rPr>
              <w:t>PTSD</w:t>
            </w:r>
          </w:p>
        </w:tc>
        <w:tc>
          <w:tcPr>
            <w:tcW w:w="810" w:type="dxa"/>
            <w:shd w:val="clear" w:color="auto" w:fill="FFFFFF" w:themeFill="background1"/>
            <w:vAlign w:val="center"/>
          </w:tcPr>
          <w:p w:rsidR="000D2CFD" w:rsidRPr="00E1798B" w:rsidRDefault="004427CE" w:rsidP="00F50F9D">
            <w:pPr>
              <w:spacing w:line="180" w:lineRule="exact"/>
              <w:contextualSpacing/>
              <w:jc w:val="center"/>
              <w:rPr>
                <w:color w:val="auto"/>
                <w:sz w:val="18"/>
                <w:szCs w:val="18"/>
              </w:rPr>
            </w:pPr>
            <w:r w:rsidRPr="00E1798B">
              <w:rPr>
                <w:color w:val="auto"/>
                <w:sz w:val="18"/>
                <w:szCs w:val="18"/>
              </w:rPr>
              <w:t>9411</w:t>
            </w:r>
          </w:p>
        </w:tc>
        <w:tc>
          <w:tcPr>
            <w:tcW w:w="990" w:type="dxa"/>
            <w:shd w:val="clear" w:color="auto" w:fill="FFFFFF" w:themeFill="background1"/>
            <w:vAlign w:val="center"/>
          </w:tcPr>
          <w:p w:rsidR="000D2CFD" w:rsidRPr="00E1798B" w:rsidRDefault="004427CE" w:rsidP="00F50F9D">
            <w:pPr>
              <w:spacing w:line="180" w:lineRule="exact"/>
              <w:contextualSpacing/>
              <w:jc w:val="center"/>
              <w:rPr>
                <w:color w:val="auto"/>
                <w:sz w:val="18"/>
                <w:szCs w:val="18"/>
              </w:rPr>
            </w:pPr>
            <w:r w:rsidRPr="00E1798B">
              <w:rPr>
                <w:color w:val="auto"/>
                <w:sz w:val="18"/>
                <w:szCs w:val="18"/>
              </w:rPr>
              <w:t>100</w:t>
            </w:r>
            <w:r w:rsidR="000D2CFD" w:rsidRPr="00E1798B">
              <w:rPr>
                <w:color w:val="auto"/>
                <w:sz w:val="18"/>
                <w:szCs w:val="18"/>
              </w:rPr>
              <w:t>%</w:t>
            </w:r>
          </w:p>
        </w:tc>
        <w:tc>
          <w:tcPr>
            <w:tcW w:w="1109" w:type="dxa"/>
            <w:shd w:val="clear" w:color="auto" w:fill="FFFFFF" w:themeFill="background1"/>
            <w:vAlign w:val="center"/>
          </w:tcPr>
          <w:p w:rsidR="000D2CFD" w:rsidRPr="00E1798B" w:rsidRDefault="000D2CFD" w:rsidP="00F50F9D">
            <w:pPr>
              <w:spacing w:line="180" w:lineRule="exact"/>
              <w:contextualSpacing/>
              <w:jc w:val="center"/>
              <w:rPr>
                <w:color w:val="auto"/>
                <w:sz w:val="18"/>
                <w:szCs w:val="18"/>
              </w:rPr>
            </w:pPr>
            <w:r w:rsidRPr="00E1798B">
              <w:rPr>
                <w:color w:val="auto"/>
                <w:sz w:val="18"/>
                <w:szCs w:val="18"/>
              </w:rPr>
              <w:t>200</w:t>
            </w:r>
            <w:r w:rsidR="004427CE" w:rsidRPr="00E1798B">
              <w:rPr>
                <w:color w:val="auto"/>
                <w:sz w:val="18"/>
                <w:szCs w:val="18"/>
              </w:rPr>
              <w:t>40810</w:t>
            </w:r>
          </w:p>
        </w:tc>
      </w:tr>
      <w:tr w:rsidR="000E2E50" w:rsidRPr="00FF1022" w:rsidTr="00E03E14">
        <w:trPr>
          <w:trHeight w:val="188"/>
          <w:jc w:val="center"/>
        </w:trPr>
        <w:tc>
          <w:tcPr>
            <w:tcW w:w="2480" w:type="dxa"/>
            <w:gridSpan w:val="2"/>
            <w:tcBorders>
              <w:right w:val="single" w:sz="4" w:space="0" w:color="auto"/>
            </w:tcBorders>
            <w:shd w:val="clear" w:color="auto" w:fill="FFFFFF" w:themeFill="background1"/>
          </w:tcPr>
          <w:p w:rsidR="00394FF9" w:rsidRPr="00E1798B" w:rsidRDefault="004427CE" w:rsidP="0042528C">
            <w:pPr>
              <w:spacing w:line="180" w:lineRule="exact"/>
              <w:contextualSpacing/>
              <w:jc w:val="both"/>
              <w:rPr>
                <w:color w:val="auto"/>
                <w:sz w:val="18"/>
                <w:szCs w:val="18"/>
              </w:rPr>
            </w:pPr>
            <w:r w:rsidRPr="00E1798B">
              <w:rPr>
                <w:color w:val="auto"/>
                <w:sz w:val="18"/>
                <w:szCs w:val="18"/>
              </w:rPr>
              <w:t>Bilateral Subjective Tinnitus</w:t>
            </w:r>
          </w:p>
        </w:tc>
        <w:tc>
          <w:tcPr>
            <w:tcW w:w="1511" w:type="dxa"/>
            <w:gridSpan w:val="2"/>
            <w:tcBorders>
              <w:right w:val="thinThickThinSmallGap" w:sz="24" w:space="0" w:color="auto"/>
            </w:tcBorders>
            <w:shd w:val="clear" w:color="auto" w:fill="FFFFFF" w:themeFill="background1"/>
          </w:tcPr>
          <w:p w:rsidR="00394FF9" w:rsidRPr="00E1798B" w:rsidRDefault="00394FF9" w:rsidP="0042528C">
            <w:pPr>
              <w:spacing w:line="180" w:lineRule="exact"/>
              <w:contextualSpacing/>
              <w:jc w:val="center"/>
              <w:rPr>
                <w:color w:val="auto"/>
                <w:sz w:val="18"/>
                <w:szCs w:val="18"/>
              </w:rPr>
            </w:pPr>
            <w:r w:rsidRPr="00E1798B">
              <w:rPr>
                <w:color w:val="auto"/>
                <w:sz w:val="18"/>
                <w:szCs w:val="18"/>
              </w:rPr>
              <w:t>Not Unfitting</w:t>
            </w:r>
          </w:p>
        </w:tc>
        <w:tc>
          <w:tcPr>
            <w:tcW w:w="2399" w:type="dxa"/>
            <w:tcBorders>
              <w:left w:val="thinThickThinSmallGap" w:sz="24" w:space="0" w:color="auto"/>
              <w:right w:val="single" w:sz="4" w:space="0" w:color="auto"/>
            </w:tcBorders>
            <w:shd w:val="clear" w:color="auto" w:fill="FFFFFF" w:themeFill="background1"/>
          </w:tcPr>
          <w:p w:rsidR="00394FF9" w:rsidRPr="00E1798B" w:rsidRDefault="004427CE" w:rsidP="0042528C">
            <w:pPr>
              <w:spacing w:line="180" w:lineRule="exact"/>
              <w:contextualSpacing/>
              <w:rPr>
                <w:color w:val="auto"/>
                <w:sz w:val="18"/>
                <w:szCs w:val="18"/>
              </w:rPr>
            </w:pPr>
            <w:r w:rsidRPr="00E1798B">
              <w:rPr>
                <w:color w:val="auto"/>
                <w:sz w:val="18"/>
                <w:szCs w:val="18"/>
              </w:rPr>
              <w:t>Tinnitus</w:t>
            </w:r>
          </w:p>
        </w:tc>
        <w:tc>
          <w:tcPr>
            <w:tcW w:w="810" w:type="dxa"/>
            <w:tcBorders>
              <w:left w:val="single" w:sz="4" w:space="0" w:color="auto"/>
              <w:right w:val="single" w:sz="4" w:space="0" w:color="auto"/>
            </w:tcBorders>
            <w:shd w:val="clear" w:color="auto" w:fill="FFFFFF" w:themeFill="background1"/>
          </w:tcPr>
          <w:p w:rsidR="00394FF9" w:rsidRPr="00E1798B" w:rsidRDefault="004427CE" w:rsidP="0042528C">
            <w:pPr>
              <w:spacing w:line="180" w:lineRule="exact"/>
              <w:contextualSpacing/>
              <w:jc w:val="center"/>
              <w:rPr>
                <w:color w:val="auto"/>
                <w:sz w:val="18"/>
                <w:szCs w:val="18"/>
              </w:rPr>
            </w:pPr>
            <w:r w:rsidRPr="00E1798B">
              <w:rPr>
                <w:color w:val="auto"/>
                <w:sz w:val="18"/>
                <w:szCs w:val="18"/>
              </w:rPr>
              <w:t>6260</w:t>
            </w:r>
          </w:p>
        </w:tc>
        <w:tc>
          <w:tcPr>
            <w:tcW w:w="990" w:type="dxa"/>
            <w:tcBorders>
              <w:left w:val="single" w:sz="4" w:space="0" w:color="auto"/>
            </w:tcBorders>
            <w:shd w:val="clear" w:color="auto" w:fill="FFFFFF" w:themeFill="background1"/>
          </w:tcPr>
          <w:p w:rsidR="00394FF9" w:rsidRPr="00E1798B" w:rsidRDefault="004427CE" w:rsidP="0042528C">
            <w:pPr>
              <w:spacing w:line="180" w:lineRule="exact"/>
              <w:contextualSpacing/>
              <w:jc w:val="center"/>
              <w:rPr>
                <w:color w:val="auto"/>
                <w:sz w:val="18"/>
                <w:szCs w:val="18"/>
              </w:rPr>
            </w:pPr>
            <w:r w:rsidRPr="00E1798B">
              <w:rPr>
                <w:color w:val="auto"/>
                <w:sz w:val="18"/>
                <w:szCs w:val="18"/>
              </w:rPr>
              <w:t>10%</w:t>
            </w:r>
          </w:p>
        </w:tc>
        <w:tc>
          <w:tcPr>
            <w:tcW w:w="1109" w:type="dxa"/>
            <w:shd w:val="clear" w:color="auto" w:fill="FFFFFF" w:themeFill="background1"/>
            <w:vAlign w:val="center"/>
          </w:tcPr>
          <w:p w:rsidR="00394FF9" w:rsidRPr="00E1798B" w:rsidRDefault="00394FF9" w:rsidP="0042528C">
            <w:pPr>
              <w:spacing w:line="180" w:lineRule="exact"/>
              <w:contextualSpacing/>
              <w:jc w:val="center"/>
              <w:rPr>
                <w:color w:val="auto"/>
                <w:sz w:val="18"/>
                <w:szCs w:val="18"/>
              </w:rPr>
            </w:pPr>
            <w:r w:rsidRPr="00E1798B">
              <w:rPr>
                <w:color w:val="auto"/>
                <w:sz w:val="18"/>
                <w:szCs w:val="18"/>
              </w:rPr>
              <w:t>200</w:t>
            </w:r>
            <w:r w:rsidR="004427CE" w:rsidRPr="00E1798B">
              <w:rPr>
                <w:color w:val="auto"/>
                <w:sz w:val="18"/>
                <w:szCs w:val="18"/>
              </w:rPr>
              <w:t>40810</w:t>
            </w:r>
          </w:p>
        </w:tc>
      </w:tr>
      <w:tr w:rsidR="00E1256F" w:rsidRPr="00FF1022" w:rsidTr="00E03E14">
        <w:trPr>
          <w:trHeight w:val="188"/>
          <w:jc w:val="center"/>
        </w:trPr>
        <w:tc>
          <w:tcPr>
            <w:tcW w:w="2480" w:type="dxa"/>
            <w:gridSpan w:val="2"/>
            <w:tcBorders>
              <w:right w:val="single" w:sz="4" w:space="0" w:color="auto"/>
            </w:tcBorders>
            <w:shd w:val="clear" w:color="auto" w:fill="FFFFFF" w:themeFill="background1"/>
          </w:tcPr>
          <w:p w:rsidR="00E1256F" w:rsidRPr="00E1798B" w:rsidRDefault="007F7A9C" w:rsidP="0042528C">
            <w:pPr>
              <w:spacing w:line="180" w:lineRule="exact"/>
              <w:contextualSpacing/>
              <w:jc w:val="both"/>
              <w:rPr>
                <w:color w:val="auto"/>
                <w:sz w:val="18"/>
                <w:szCs w:val="18"/>
              </w:rPr>
            </w:pPr>
            <w:r w:rsidRPr="00E1798B">
              <w:rPr>
                <w:color w:val="auto"/>
                <w:sz w:val="18"/>
                <w:szCs w:val="18"/>
              </w:rPr>
              <w:t>Retropatellar</w:t>
            </w:r>
            <w:r w:rsidR="00E1256F" w:rsidRPr="00E1798B">
              <w:rPr>
                <w:color w:val="auto"/>
                <w:sz w:val="18"/>
                <w:szCs w:val="18"/>
              </w:rPr>
              <w:t xml:space="preserve"> Pain Syndrome</w:t>
            </w:r>
          </w:p>
        </w:tc>
        <w:tc>
          <w:tcPr>
            <w:tcW w:w="1511" w:type="dxa"/>
            <w:gridSpan w:val="2"/>
            <w:tcBorders>
              <w:right w:val="thinThickThinSmallGap" w:sz="24" w:space="0" w:color="auto"/>
            </w:tcBorders>
            <w:shd w:val="clear" w:color="auto" w:fill="FFFFFF" w:themeFill="background1"/>
          </w:tcPr>
          <w:p w:rsidR="00E1256F" w:rsidRPr="00E1798B" w:rsidRDefault="00E1256F" w:rsidP="0042528C">
            <w:pPr>
              <w:spacing w:line="180" w:lineRule="exact"/>
              <w:contextualSpacing/>
              <w:jc w:val="center"/>
              <w:rPr>
                <w:color w:val="auto"/>
                <w:sz w:val="18"/>
                <w:szCs w:val="18"/>
              </w:rPr>
            </w:pPr>
            <w:r w:rsidRPr="00E1798B">
              <w:rPr>
                <w:color w:val="auto"/>
                <w:sz w:val="18"/>
                <w:szCs w:val="18"/>
              </w:rPr>
              <w:t>Not Unfitting</w:t>
            </w:r>
          </w:p>
        </w:tc>
        <w:tc>
          <w:tcPr>
            <w:tcW w:w="2399" w:type="dxa"/>
            <w:tcBorders>
              <w:left w:val="thinThickThinSmallGap" w:sz="24" w:space="0" w:color="auto"/>
              <w:right w:val="single" w:sz="4" w:space="0" w:color="auto"/>
            </w:tcBorders>
            <w:shd w:val="clear" w:color="auto" w:fill="FFFFFF" w:themeFill="background1"/>
          </w:tcPr>
          <w:p w:rsidR="00E1256F" w:rsidRPr="00E1798B" w:rsidRDefault="00E1256F" w:rsidP="0042528C">
            <w:pPr>
              <w:spacing w:line="180" w:lineRule="exact"/>
              <w:contextualSpacing/>
              <w:rPr>
                <w:color w:val="auto"/>
                <w:sz w:val="18"/>
                <w:szCs w:val="18"/>
              </w:rPr>
            </w:pPr>
            <w:r w:rsidRPr="00E1798B">
              <w:rPr>
                <w:color w:val="auto"/>
                <w:sz w:val="18"/>
                <w:szCs w:val="18"/>
              </w:rPr>
              <w:t>Retropatellar Pain Syndrome</w:t>
            </w:r>
          </w:p>
        </w:tc>
        <w:tc>
          <w:tcPr>
            <w:tcW w:w="810" w:type="dxa"/>
            <w:tcBorders>
              <w:left w:val="single" w:sz="4" w:space="0" w:color="auto"/>
              <w:right w:val="single" w:sz="4" w:space="0" w:color="auto"/>
            </w:tcBorders>
            <w:shd w:val="clear" w:color="auto" w:fill="FFFFFF" w:themeFill="background1"/>
          </w:tcPr>
          <w:p w:rsidR="00E1256F" w:rsidRPr="00E1798B" w:rsidRDefault="00E1256F" w:rsidP="0042528C">
            <w:pPr>
              <w:spacing w:line="180" w:lineRule="exact"/>
              <w:contextualSpacing/>
              <w:jc w:val="center"/>
              <w:rPr>
                <w:color w:val="auto"/>
                <w:sz w:val="18"/>
                <w:szCs w:val="18"/>
              </w:rPr>
            </w:pPr>
            <w:r w:rsidRPr="00E1798B">
              <w:rPr>
                <w:color w:val="auto"/>
                <w:sz w:val="18"/>
                <w:szCs w:val="18"/>
              </w:rPr>
              <w:t>5260</w:t>
            </w:r>
          </w:p>
        </w:tc>
        <w:tc>
          <w:tcPr>
            <w:tcW w:w="990" w:type="dxa"/>
            <w:tcBorders>
              <w:left w:val="single" w:sz="4" w:space="0" w:color="auto"/>
            </w:tcBorders>
            <w:shd w:val="clear" w:color="auto" w:fill="FFFFFF" w:themeFill="background1"/>
          </w:tcPr>
          <w:p w:rsidR="00E1256F" w:rsidRPr="00E1798B" w:rsidRDefault="00E1256F" w:rsidP="0042528C">
            <w:pPr>
              <w:spacing w:line="180" w:lineRule="exact"/>
              <w:contextualSpacing/>
              <w:jc w:val="center"/>
              <w:rPr>
                <w:color w:val="auto"/>
                <w:sz w:val="18"/>
                <w:szCs w:val="18"/>
              </w:rPr>
            </w:pPr>
            <w:r w:rsidRPr="00E1798B">
              <w:rPr>
                <w:color w:val="auto"/>
                <w:sz w:val="18"/>
                <w:szCs w:val="18"/>
              </w:rPr>
              <w:t>Deferred</w:t>
            </w:r>
          </w:p>
        </w:tc>
        <w:tc>
          <w:tcPr>
            <w:tcW w:w="1109" w:type="dxa"/>
            <w:shd w:val="clear" w:color="auto" w:fill="FFFFFF" w:themeFill="background1"/>
            <w:vAlign w:val="center"/>
          </w:tcPr>
          <w:p w:rsidR="00E1256F" w:rsidRPr="00E1798B" w:rsidRDefault="00E1256F" w:rsidP="0042528C">
            <w:pPr>
              <w:spacing w:line="180" w:lineRule="exact"/>
              <w:contextualSpacing/>
              <w:jc w:val="center"/>
              <w:rPr>
                <w:color w:val="auto"/>
                <w:sz w:val="18"/>
                <w:szCs w:val="18"/>
              </w:rPr>
            </w:pPr>
            <w:r w:rsidRPr="00E1798B">
              <w:rPr>
                <w:color w:val="auto"/>
                <w:sz w:val="18"/>
                <w:szCs w:val="18"/>
              </w:rPr>
              <w:t>20040810</w:t>
            </w:r>
          </w:p>
        </w:tc>
      </w:tr>
      <w:tr w:rsidR="00344A4F" w:rsidRPr="00FF1022" w:rsidTr="00E03E14">
        <w:trPr>
          <w:trHeight w:val="188"/>
          <w:jc w:val="center"/>
        </w:trPr>
        <w:tc>
          <w:tcPr>
            <w:tcW w:w="2480" w:type="dxa"/>
            <w:gridSpan w:val="2"/>
            <w:tcBorders>
              <w:right w:val="single" w:sz="4" w:space="0" w:color="auto"/>
            </w:tcBorders>
            <w:shd w:val="clear" w:color="auto" w:fill="FFFFFF" w:themeFill="background1"/>
          </w:tcPr>
          <w:p w:rsidR="00344A4F" w:rsidRPr="00E1798B" w:rsidRDefault="004427CE" w:rsidP="0042528C">
            <w:pPr>
              <w:spacing w:line="180" w:lineRule="exact"/>
              <w:contextualSpacing/>
              <w:jc w:val="both"/>
              <w:rPr>
                <w:color w:val="auto"/>
                <w:sz w:val="18"/>
                <w:szCs w:val="18"/>
              </w:rPr>
            </w:pPr>
            <w:r w:rsidRPr="00E1798B">
              <w:rPr>
                <w:color w:val="auto"/>
                <w:sz w:val="18"/>
                <w:szCs w:val="18"/>
              </w:rPr>
              <w:t>Psychosocial Stressor</w:t>
            </w:r>
          </w:p>
        </w:tc>
        <w:tc>
          <w:tcPr>
            <w:tcW w:w="1511" w:type="dxa"/>
            <w:gridSpan w:val="2"/>
            <w:tcBorders>
              <w:right w:val="thinThickThinSmallGap" w:sz="24" w:space="0" w:color="auto"/>
            </w:tcBorders>
            <w:shd w:val="clear" w:color="auto" w:fill="FFFFFF" w:themeFill="background1"/>
          </w:tcPr>
          <w:p w:rsidR="00344A4F" w:rsidRPr="00E1798B" w:rsidRDefault="001C5BDA" w:rsidP="0042528C">
            <w:pPr>
              <w:spacing w:line="180" w:lineRule="exact"/>
              <w:contextualSpacing/>
              <w:jc w:val="center"/>
              <w:rPr>
                <w:color w:val="auto"/>
                <w:sz w:val="18"/>
                <w:szCs w:val="18"/>
              </w:rPr>
            </w:pPr>
            <w:r w:rsidRPr="00E1798B">
              <w:rPr>
                <w:color w:val="auto"/>
                <w:sz w:val="18"/>
                <w:szCs w:val="18"/>
              </w:rPr>
              <w:t>Not Unfitting</w:t>
            </w:r>
          </w:p>
        </w:tc>
        <w:tc>
          <w:tcPr>
            <w:tcW w:w="4199" w:type="dxa"/>
            <w:gridSpan w:val="3"/>
            <w:tcBorders>
              <w:left w:val="thinThickThinSmallGap" w:sz="24" w:space="0" w:color="auto"/>
            </w:tcBorders>
            <w:shd w:val="clear" w:color="auto" w:fill="FFFFFF" w:themeFill="background1"/>
          </w:tcPr>
          <w:p w:rsidR="00344A4F" w:rsidRPr="00E1798B" w:rsidRDefault="004427CE" w:rsidP="0042528C">
            <w:pPr>
              <w:spacing w:line="180" w:lineRule="exact"/>
              <w:contextualSpacing/>
              <w:rPr>
                <w:color w:val="auto"/>
                <w:sz w:val="18"/>
                <w:szCs w:val="18"/>
              </w:rPr>
            </w:pPr>
            <w:r w:rsidRPr="00E1798B">
              <w:rPr>
                <w:color w:val="auto"/>
                <w:sz w:val="18"/>
                <w:szCs w:val="18"/>
              </w:rPr>
              <w:t>N</w:t>
            </w:r>
            <w:r w:rsidR="00344A4F" w:rsidRPr="00E1798B">
              <w:rPr>
                <w:color w:val="auto"/>
                <w:sz w:val="18"/>
                <w:szCs w:val="18"/>
              </w:rPr>
              <w:t>o VA E</w:t>
            </w:r>
            <w:r w:rsidRPr="00E1798B">
              <w:rPr>
                <w:color w:val="auto"/>
                <w:sz w:val="18"/>
                <w:szCs w:val="18"/>
              </w:rPr>
              <w:t>n</w:t>
            </w:r>
            <w:r w:rsidR="00344A4F" w:rsidRPr="00E1798B">
              <w:rPr>
                <w:color w:val="auto"/>
                <w:sz w:val="18"/>
                <w:szCs w:val="18"/>
              </w:rPr>
              <w:t>try</w:t>
            </w:r>
          </w:p>
        </w:tc>
        <w:tc>
          <w:tcPr>
            <w:tcW w:w="1109" w:type="dxa"/>
            <w:shd w:val="clear" w:color="auto" w:fill="FFFFFF" w:themeFill="background1"/>
            <w:vAlign w:val="center"/>
          </w:tcPr>
          <w:p w:rsidR="00344A4F" w:rsidRPr="00E1798B" w:rsidRDefault="00344A4F" w:rsidP="0042528C">
            <w:pPr>
              <w:spacing w:line="180" w:lineRule="exact"/>
              <w:contextualSpacing/>
              <w:jc w:val="center"/>
              <w:rPr>
                <w:color w:val="auto"/>
                <w:sz w:val="18"/>
                <w:szCs w:val="18"/>
              </w:rPr>
            </w:pPr>
            <w:r w:rsidRPr="00E1798B">
              <w:rPr>
                <w:color w:val="auto"/>
                <w:sz w:val="18"/>
                <w:szCs w:val="18"/>
              </w:rPr>
              <w:t>200</w:t>
            </w:r>
            <w:r w:rsidR="004427CE" w:rsidRPr="00E1798B">
              <w:rPr>
                <w:color w:val="auto"/>
                <w:sz w:val="18"/>
                <w:szCs w:val="18"/>
              </w:rPr>
              <w:t>40810</w:t>
            </w:r>
          </w:p>
        </w:tc>
      </w:tr>
      <w:tr w:rsidR="004427CE" w:rsidRPr="00FF1022" w:rsidTr="00E03E14">
        <w:trPr>
          <w:trHeight w:val="188"/>
          <w:jc w:val="center"/>
        </w:trPr>
        <w:tc>
          <w:tcPr>
            <w:tcW w:w="2480" w:type="dxa"/>
            <w:gridSpan w:val="2"/>
            <w:tcBorders>
              <w:right w:val="single" w:sz="4" w:space="0" w:color="auto"/>
            </w:tcBorders>
            <w:shd w:val="clear" w:color="auto" w:fill="FFFFFF" w:themeFill="background1"/>
          </w:tcPr>
          <w:p w:rsidR="004427CE" w:rsidRPr="00E1798B" w:rsidRDefault="004A24B3" w:rsidP="0042528C">
            <w:pPr>
              <w:spacing w:line="180" w:lineRule="exact"/>
              <w:contextualSpacing/>
              <w:jc w:val="both"/>
              <w:rPr>
                <w:color w:val="auto"/>
                <w:sz w:val="18"/>
                <w:szCs w:val="18"/>
              </w:rPr>
            </w:pPr>
            <w:r w:rsidRPr="00E1798B">
              <w:rPr>
                <w:color w:val="auto"/>
                <w:sz w:val="18"/>
                <w:szCs w:val="18"/>
              </w:rPr>
              <w:t>Traumatic Tooth Loss,</w:t>
            </w:r>
          </w:p>
        </w:tc>
        <w:tc>
          <w:tcPr>
            <w:tcW w:w="1511" w:type="dxa"/>
            <w:gridSpan w:val="2"/>
            <w:tcBorders>
              <w:right w:val="thinThickThinSmallGap" w:sz="24" w:space="0" w:color="auto"/>
            </w:tcBorders>
            <w:shd w:val="clear" w:color="auto" w:fill="FFFFFF" w:themeFill="background1"/>
          </w:tcPr>
          <w:p w:rsidR="004427CE" w:rsidRPr="00E1798B" w:rsidRDefault="004A24B3" w:rsidP="0042528C">
            <w:pPr>
              <w:spacing w:line="180" w:lineRule="exact"/>
              <w:contextualSpacing/>
              <w:jc w:val="center"/>
              <w:rPr>
                <w:color w:val="auto"/>
                <w:sz w:val="18"/>
                <w:szCs w:val="18"/>
              </w:rPr>
            </w:pPr>
            <w:r w:rsidRPr="00E1798B">
              <w:rPr>
                <w:color w:val="auto"/>
                <w:sz w:val="18"/>
                <w:szCs w:val="18"/>
              </w:rPr>
              <w:t>Not Unfitting</w:t>
            </w:r>
          </w:p>
        </w:tc>
        <w:tc>
          <w:tcPr>
            <w:tcW w:w="4199" w:type="dxa"/>
            <w:gridSpan w:val="3"/>
            <w:tcBorders>
              <w:left w:val="thinThickThinSmallGap" w:sz="24" w:space="0" w:color="auto"/>
            </w:tcBorders>
            <w:shd w:val="clear" w:color="auto" w:fill="FFFFFF" w:themeFill="background1"/>
          </w:tcPr>
          <w:p w:rsidR="004427CE" w:rsidRPr="00E1798B" w:rsidRDefault="004A24B3" w:rsidP="0042528C">
            <w:pPr>
              <w:spacing w:line="180" w:lineRule="exact"/>
              <w:contextualSpacing/>
              <w:rPr>
                <w:color w:val="auto"/>
                <w:sz w:val="18"/>
                <w:szCs w:val="18"/>
              </w:rPr>
            </w:pPr>
            <w:r w:rsidRPr="00E1798B">
              <w:rPr>
                <w:color w:val="auto"/>
                <w:sz w:val="18"/>
                <w:szCs w:val="18"/>
              </w:rPr>
              <w:t>No VA Entry</w:t>
            </w:r>
          </w:p>
        </w:tc>
        <w:tc>
          <w:tcPr>
            <w:tcW w:w="1109" w:type="dxa"/>
            <w:shd w:val="clear" w:color="auto" w:fill="FFFFFF" w:themeFill="background1"/>
            <w:vAlign w:val="center"/>
          </w:tcPr>
          <w:p w:rsidR="004427CE" w:rsidRPr="00E1798B" w:rsidRDefault="004A24B3" w:rsidP="0042528C">
            <w:pPr>
              <w:spacing w:line="180" w:lineRule="exact"/>
              <w:contextualSpacing/>
              <w:jc w:val="center"/>
              <w:rPr>
                <w:color w:val="auto"/>
                <w:sz w:val="18"/>
                <w:szCs w:val="18"/>
              </w:rPr>
            </w:pPr>
            <w:r w:rsidRPr="00E1798B">
              <w:rPr>
                <w:color w:val="auto"/>
                <w:sz w:val="18"/>
                <w:szCs w:val="18"/>
              </w:rPr>
              <w:t>20040810</w:t>
            </w:r>
          </w:p>
        </w:tc>
      </w:tr>
      <w:tr w:rsidR="006D4250" w:rsidRPr="00FF1022" w:rsidTr="00E03E14">
        <w:trPr>
          <w:trHeight w:val="188"/>
          <w:jc w:val="center"/>
        </w:trPr>
        <w:tc>
          <w:tcPr>
            <w:tcW w:w="3991" w:type="dxa"/>
            <w:gridSpan w:val="4"/>
            <w:tcBorders>
              <w:bottom w:val="single" w:sz="4" w:space="0" w:color="000000" w:themeColor="text1"/>
              <w:right w:val="thinThickThinSmallGap" w:sz="24" w:space="0" w:color="auto"/>
            </w:tcBorders>
            <w:shd w:val="clear" w:color="auto" w:fill="FFFFFF" w:themeFill="background1"/>
            <w:vAlign w:val="center"/>
          </w:tcPr>
          <w:p w:rsidR="006D4250" w:rsidRPr="00E1798B" w:rsidRDefault="004A24B3" w:rsidP="004A24B3">
            <w:pPr>
              <w:spacing w:line="180" w:lineRule="exact"/>
              <w:contextualSpacing/>
              <w:jc w:val="center"/>
              <w:rPr>
                <w:color w:val="auto"/>
                <w:sz w:val="18"/>
                <w:szCs w:val="18"/>
              </w:rPr>
            </w:pPr>
            <w:r w:rsidRPr="00E1798B">
              <w:rPr>
                <w:color w:val="auto"/>
                <w:sz w:val="18"/>
                <w:szCs w:val="18"/>
              </w:rPr>
              <w:t>↓No Additional MEB/PEB Entries↓</w:t>
            </w:r>
          </w:p>
        </w:tc>
        <w:tc>
          <w:tcPr>
            <w:tcW w:w="4199" w:type="dxa"/>
            <w:gridSpan w:val="3"/>
            <w:tcBorders>
              <w:left w:val="thinThickThinSmallGap" w:sz="24" w:space="0" w:color="auto"/>
              <w:bottom w:val="single" w:sz="4" w:space="0" w:color="000000" w:themeColor="text1"/>
            </w:tcBorders>
            <w:shd w:val="clear" w:color="auto" w:fill="FFFFFF" w:themeFill="background1"/>
            <w:vAlign w:val="center"/>
          </w:tcPr>
          <w:p w:rsidR="006D4250" w:rsidRPr="00E1798B" w:rsidRDefault="00374EA1" w:rsidP="00A4201E">
            <w:pPr>
              <w:spacing w:line="180" w:lineRule="exact"/>
              <w:contextualSpacing/>
              <w:jc w:val="center"/>
              <w:rPr>
                <w:color w:val="auto"/>
                <w:sz w:val="18"/>
                <w:szCs w:val="18"/>
              </w:rPr>
            </w:pPr>
            <w:r w:rsidRPr="00E1798B">
              <w:rPr>
                <w:rFonts w:cs="Times New Roman"/>
                <w:color w:val="auto"/>
                <w:sz w:val="18"/>
                <w:szCs w:val="18"/>
              </w:rPr>
              <w:t xml:space="preserve">0% x </w:t>
            </w:r>
            <w:r w:rsidR="00E1256F" w:rsidRPr="00E1798B">
              <w:rPr>
                <w:rFonts w:cs="Times New Roman"/>
                <w:color w:val="auto"/>
                <w:sz w:val="18"/>
                <w:szCs w:val="18"/>
              </w:rPr>
              <w:t>0</w:t>
            </w:r>
            <w:r w:rsidR="00FD7B23" w:rsidRPr="00E1798B">
              <w:rPr>
                <w:rFonts w:cs="Times New Roman"/>
                <w:color w:val="auto"/>
                <w:sz w:val="18"/>
                <w:szCs w:val="18"/>
              </w:rPr>
              <w:t>/</w:t>
            </w:r>
            <w:r w:rsidR="00E1256F" w:rsidRPr="00E1798B">
              <w:rPr>
                <w:rFonts w:cs="Times New Roman"/>
                <w:color w:val="auto"/>
                <w:sz w:val="18"/>
                <w:szCs w:val="18"/>
              </w:rPr>
              <w:t>Deferred</w:t>
            </w:r>
            <w:r w:rsidRPr="00E1798B">
              <w:rPr>
                <w:rFonts w:cs="Times New Roman"/>
                <w:color w:val="auto"/>
                <w:sz w:val="18"/>
                <w:szCs w:val="18"/>
              </w:rPr>
              <w:t xml:space="preserve"> x </w:t>
            </w:r>
            <w:r w:rsidR="00A4201E">
              <w:rPr>
                <w:rFonts w:cs="Times New Roman"/>
                <w:color w:val="auto"/>
                <w:sz w:val="18"/>
                <w:szCs w:val="18"/>
              </w:rPr>
              <w:t>4 additional conditions</w:t>
            </w:r>
          </w:p>
        </w:tc>
        <w:tc>
          <w:tcPr>
            <w:tcW w:w="1109" w:type="dxa"/>
            <w:tcBorders>
              <w:bottom w:val="single" w:sz="4" w:space="0" w:color="000000" w:themeColor="text1"/>
            </w:tcBorders>
            <w:shd w:val="clear" w:color="auto" w:fill="FFFFFF" w:themeFill="background1"/>
            <w:vAlign w:val="center"/>
          </w:tcPr>
          <w:p w:rsidR="006D4250" w:rsidRPr="00E1798B" w:rsidRDefault="00BE3142" w:rsidP="004A24B3">
            <w:pPr>
              <w:spacing w:line="180" w:lineRule="exact"/>
              <w:contextualSpacing/>
              <w:jc w:val="center"/>
              <w:rPr>
                <w:color w:val="auto"/>
                <w:sz w:val="18"/>
                <w:szCs w:val="18"/>
              </w:rPr>
            </w:pPr>
            <w:r w:rsidRPr="00E1798B">
              <w:rPr>
                <w:color w:val="auto"/>
                <w:sz w:val="18"/>
                <w:szCs w:val="18"/>
              </w:rPr>
              <w:t>200</w:t>
            </w:r>
            <w:r w:rsidR="004A24B3" w:rsidRPr="00E1798B">
              <w:rPr>
                <w:color w:val="auto"/>
                <w:sz w:val="18"/>
                <w:szCs w:val="18"/>
              </w:rPr>
              <w:t>40810</w:t>
            </w:r>
          </w:p>
        </w:tc>
      </w:tr>
      <w:tr w:rsidR="006D4250" w:rsidRPr="00FF1022" w:rsidTr="00E03E14">
        <w:trPr>
          <w:trHeight w:val="242"/>
          <w:jc w:val="center"/>
        </w:trPr>
        <w:tc>
          <w:tcPr>
            <w:tcW w:w="3991" w:type="dxa"/>
            <w:gridSpan w:val="4"/>
            <w:tcBorders>
              <w:right w:val="thinThickThinSmallGap" w:sz="24" w:space="0" w:color="auto"/>
            </w:tcBorders>
            <w:shd w:val="clear" w:color="auto" w:fill="D9D9D9" w:themeFill="background1" w:themeFillShade="D9"/>
            <w:vAlign w:val="center"/>
          </w:tcPr>
          <w:p w:rsidR="006D4250" w:rsidRPr="00B06930" w:rsidRDefault="006D4250" w:rsidP="0042528C">
            <w:pPr>
              <w:spacing w:line="200" w:lineRule="exact"/>
              <w:contextualSpacing/>
              <w:jc w:val="center"/>
              <w:rPr>
                <w:b/>
                <w:color w:val="auto"/>
                <w:sz w:val="20"/>
                <w:szCs w:val="20"/>
              </w:rPr>
            </w:pPr>
            <w:r w:rsidRPr="00B06930">
              <w:rPr>
                <w:b/>
                <w:color w:val="auto"/>
                <w:sz w:val="20"/>
                <w:szCs w:val="20"/>
              </w:rPr>
              <w:t xml:space="preserve">Combined:  </w:t>
            </w:r>
            <w:r w:rsidR="00E1256F">
              <w:rPr>
                <w:b/>
                <w:color w:val="auto"/>
                <w:sz w:val="20"/>
                <w:szCs w:val="20"/>
              </w:rPr>
              <w:t>10</w:t>
            </w:r>
            <w:r w:rsidRPr="00B06930">
              <w:rPr>
                <w:b/>
                <w:color w:val="auto"/>
                <w:sz w:val="20"/>
                <w:szCs w:val="20"/>
              </w:rPr>
              <w:t>%</w:t>
            </w:r>
          </w:p>
        </w:tc>
        <w:tc>
          <w:tcPr>
            <w:tcW w:w="5308" w:type="dxa"/>
            <w:gridSpan w:val="4"/>
            <w:tcBorders>
              <w:left w:val="thinThickThinSmallGap" w:sz="24" w:space="0" w:color="auto"/>
            </w:tcBorders>
            <w:shd w:val="clear" w:color="auto" w:fill="D9D9D9" w:themeFill="background1" w:themeFillShade="D9"/>
            <w:vAlign w:val="center"/>
          </w:tcPr>
          <w:p w:rsidR="006D4250" w:rsidRPr="00B06930" w:rsidRDefault="006D4250" w:rsidP="0042528C">
            <w:pPr>
              <w:spacing w:line="200" w:lineRule="exact"/>
              <w:contextualSpacing/>
              <w:jc w:val="center"/>
              <w:rPr>
                <w:b/>
                <w:color w:val="auto"/>
                <w:sz w:val="20"/>
                <w:szCs w:val="20"/>
              </w:rPr>
            </w:pPr>
            <w:r w:rsidRPr="00B06930">
              <w:rPr>
                <w:b/>
                <w:color w:val="auto"/>
                <w:sz w:val="20"/>
                <w:szCs w:val="20"/>
              </w:rPr>
              <w:t xml:space="preserve">Combined: </w:t>
            </w:r>
            <w:r w:rsidR="00E57FED" w:rsidRPr="00B06930">
              <w:rPr>
                <w:b/>
                <w:color w:val="auto"/>
                <w:sz w:val="20"/>
                <w:szCs w:val="20"/>
              </w:rPr>
              <w:t xml:space="preserve"> </w:t>
            </w:r>
            <w:r w:rsidR="00E1256F">
              <w:rPr>
                <w:b/>
                <w:color w:val="auto"/>
                <w:sz w:val="20"/>
                <w:szCs w:val="20"/>
              </w:rPr>
              <w:t>10</w:t>
            </w:r>
            <w:r w:rsidR="006F0F9C">
              <w:rPr>
                <w:b/>
                <w:color w:val="auto"/>
                <w:sz w:val="20"/>
                <w:szCs w:val="20"/>
              </w:rPr>
              <w:t>0</w:t>
            </w:r>
            <w:r w:rsidRPr="00B06930">
              <w:rPr>
                <w:b/>
                <w:color w:val="auto"/>
                <w:sz w:val="20"/>
                <w:szCs w:val="20"/>
              </w:rPr>
              <w:t>%</w:t>
            </w:r>
          </w:p>
        </w:tc>
      </w:tr>
    </w:tbl>
    <w:p w:rsidR="00437D18" w:rsidRDefault="00437D18"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p>
    <w:p w:rsidR="0019329C" w:rsidRPr="00391858" w:rsidRDefault="0019329C"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D5C6B" w:rsidRDefault="006D5C6B" w:rsidP="00A4201E">
      <w:pPr>
        <w:spacing w:line="240" w:lineRule="exact"/>
        <w:jc w:val="both"/>
        <w:rPr>
          <w:rFonts w:asciiTheme="minorHAnsi" w:hAnsiTheme="minorHAnsi"/>
          <w:color w:val="auto"/>
          <w:szCs w:val="24"/>
          <w:u w:val="single"/>
        </w:rPr>
      </w:pPr>
    </w:p>
    <w:p w:rsidR="005D1425" w:rsidRDefault="00521313" w:rsidP="00A4201E">
      <w:pPr>
        <w:spacing w:line="240" w:lineRule="exact"/>
        <w:jc w:val="both"/>
        <w:rPr>
          <w:rFonts w:asciiTheme="minorHAnsi" w:hAnsiTheme="minorHAnsi"/>
          <w:color w:val="auto"/>
          <w:szCs w:val="24"/>
        </w:rPr>
      </w:pPr>
      <w:r w:rsidRPr="00A4201E">
        <w:rPr>
          <w:rFonts w:asciiTheme="minorHAnsi" w:hAnsiTheme="minorHAnsi"/>
          <w:color w:val="auto"/>
          <w:szCs w:val="24"/>
          <w:u w:val="single"/>
        </w:rPr>
        <w:t>ANALYSIS SUMMARY</w:t>
      </w:r>
      <w:r w:rsidRPr="00A4201E">
        <w:rPr>
          <w:rFonts w:asciiTheme="minorHAnsi" w:hAnsiTheme="minorHAnsi"/>
          <w:color w:val="auto"/>
          <w:szCs w:val="24"/>
        </w:rPr>
        <w:t xml:space="preserve">: </w:t>
      </w:r>
      <w:r w:rsidR="00E04BF3" w:rsidRPr="00A4201E">
        <w:rPr>
          <w:rFonts w:asciiTheme="minorHAnsi" w:hAnsiTheme="minorHAnsi"/>
          <w:color w:val="auto"/>
          <w:szCs w:val="24"/>
        </w:rPr>
        <w:t xml:space="preserve"> </w:t>
      </w:r>
      <w:r w:rsidR="005D1425" w:rsidRPr="00A4201E">
        <w:rPr>
          <w:rFonts w:asciiTheme="minorHAnsi" w:hAnsiTheme="minorHAnsi"/>
          <w:color w:val="auto"/>
          <w:szCs w:val="24"/>
        </w:rPr>
        <w:t>The CI sustained facial injuries from a rocket-propelled grenade on 25</w:t>
      </w:r>
      <w:r w:rsidR="00AE5BA7">
        <w:rPr>
          <w:rFonts w:asciiTheme="minorHAnsi" w:hAnsiTheme="minorHAnsi"/>
          <w:color w:val="auto"/>
          <w:szCs w:val="24"/>
        </w:rPr>
        <w:t> </w:t>
      </w:r>
      <w:r w:rsidR="005D1425" w:rsidRPr="00A4201E">
        <w:rPr>
          <w:rFonts w:asciiTheme="minorHAnsi" w:hAnsiTheme="minorHAnsi"/>
          <w:color w:val="auto"/>
          <w:szCs w:val="24"/>
        </w:rPr>
        <w:t xml:space="preserve">June 2003 while deployed to Iraq.  Within a few days the CI was experiencing insomnia, nightmares, and anxiety.  Loud noises or other cues that resembled the event became </w:t>
      </w:r>
      <w:r w:rsidR="005D1425" w:rsidRPr="00A4201E">
        <w:rPr>
          <w:rFonts w:asciiTheme="minorHAnsi" w:hAnsiTheme="minorHAnsi"/>
          <w:color w:val="auto"/>
          <w:szCs w:val="24"/>
        </w:rPr>
        <w:lastRenderedPageBreak/>
        <w:t>incapacitating and the CI was unable to continue his current activity.  He began medication and counseling in October 2003 and his nightmares and insomnia improved.  At the</w:t>
      </w:r>
      <w:r w:rsidR="00FC59A6" w:rsidRPr="00A4201E">
        <w:rPr>
          <w:rFonts w:asciiTheme="minorHAnsi" w:hAnsiTheme="minorHAnsi"/>
          <w:color w:val="auto"/>
          <w:szCs w:val="24"/>
        </w:rPr>
        <w:t xml:space="preserve"> </w:t>
      </w:r>
      <w:r w:rsidR="005D1425" w:rsidRPr="00A4201E">
        <w:rPr>
          <w:rFonts w:asciiTheme="minorHAnsi" w:hAnsiTheme="minorHAnsi"/>
          <w:color w:val="auto"/>
          <w:szCs w:val="24"/>
        </w:rPr>
        <w:t xml:space="preserve">24 March 2004 MEB </w:t>
      </w:r>
      <w:r w:rsidR="00AE5BA7">
        <w:rPr>
          <w:rFonts w:asciiTheme="minorHAnsi" w:hAnsiTheme="minorHAnsi"/>
          <w:color w:val="auto"/>
          <w:szCs w:val="24"/>
        </w:rPr>
        <w:t>narrative summary (</w:t>
      </w:r>
      <w:r w:rsidR="005D1425" w:rsidRPr="00A4201E">
        <w:rPr>
          <w:rFonts w:asciiTheme="minorHAnsi" w:hAnsiTheme="minorHAnsi"/>
          <w:color w:val="auto"/>
          <w:szCs w:val="24"/>
        </w:rPr>
        <w:t>NARSUM</w:t>
      </w:r>
      <w:r w:rsidR="00AE5BA7">
        <w:rPr>
          <w:rFonts w:asciiTheme="minorHAnsi" w:hAnsiTheme="minorHAnsi"/>
          <w:color w:val="auto"/>
          <w:szCs w:val="24"/>
        </w:rPr>
        <w:t>) exam, three</w:t>
      </w:r>
      <w:r w:rsidR="005D1425" w:rsidRPr="00A4201E">
        <w:rPr>
          <w:rFonts w:asciiTheme="minorHAnsi" w:hAnsiTheme="minorHAnsi"/>
          <w:color w:val="auto"/>
          <w:szCs w:val="24"/>
        </w:rPr>
        <w:t xml:space="preserve"> months prior to being placed on TDRL, the CI</w:t>
      </w:r>
      <w:r w:rsidR="00FC59A6" w:rsidRPr="00A4201E">
        <w:rPr>
          <w:rFonts w:asciiTheme="minorHAnsi" w:hAnsiTheme="minorHAnsi"/>
          <w:color w:val="auto"/>
          <w:szCs w:val="24"/>
        </w:rPr>
        <w:t>’s</w:t>
      </w:r>
      <w:r w:rsidR="005D1425" w:rsidRPr="00A4201E">
        <w:rPr>
          <w:rFonts w:asciiTheme="minorHAnsi" w:hAnsiTheme="minorHAnsi"/>
          <w:color w:val="auto"/>
          <w:szCs w:val="24"/>
        </w:rPr>
        <w:t xml:space="preserve"> symptoms could best be described as </w:t>
      </w:r>
      <w:r w:rsidR="00AE5BA7">
        <w:rPr>
          <w:rFonts w:asciiTheme="minorHAnsi" w:hAnsiTheme="minorHAnsi"/>
          <w:color w:val="auto"/>
          <w:szCs w:val="24"/>
        </w:rPr>
        <w:t>‘</w:t>
      </w:r>
      <w:r w:rsidR="005D1425" w:rsidRPr="00A4201E">
        <w:rPr>
          <w:rFonts w:asciiTheme="minorHAnsi" w:hAnsiTheme="minorHAnsi"/>
          <w:color w:val="auto"/>
          <w:szCs w:val="24"/>
        </w:rPr>
        <w:t>moderate</w:t>
      </w:r>
      <w:r w:rsidR="00AE5BA7">
        <w:rPr>
          <w:rFonts w:asciiTheme="minorHAnsi" w:hAnsiTheme="minorHAnsi"/>
          <w:color w:val="auto"/>
          <w:szCs w:val="24"/>
        </w:rPr>
        <w:t>.’</w:t>
      </w:r>
      <w:r w:rsidR="005D1425" w:rsidRPr="00A4201E">
        <w:rPr>
          <w:rFonts w:asciiTheme="minorHAnsi" w:hAnsiTheme="minorHAnsi"/>
          <w:color w:val="auto"/>
          <w:szCs w:val="24"/>
        </w:rPr>
        <w:t xml:space="preserve">  He was having nightmares once or twice a week</w:t>
      </w:r>
      <w:r w:rsidR="00611FEF" w:rsidRPr="00A4201E">
        <w:rPr>
          <w:rFonts w:asciiTheme="minorHAnsi" w:hAnsiTheme="minorHAnsi"/>
          <w:color w:val="auto"/>
          <w:szCs w:val="24"/>
        </w:rPr>
        <w:t xml:space="preserve">.  “He has altered his lifestyle in an attempt to avoid stimuli associated with the trauma by trying to stay busy, as idle time allows for the memories to return.”  The CI was isolated, with no pleasurable activities and distant from his wife.  The CI had several episodes of violence and felt pervasive anger.  He was jumpy with an exaggerated startle response.  “He has severe excessive hypervigilance.  His efforts to ensure safety consume significant time and energy and involve extensive safety and checking behaviors.” </w:t>
      </w:r>
      <w:r w:rsidR="005D1425" w:rsidRPr="00A4201E">
        <w:rPr>
          <w:rFonts w:asciiTheme="minorHAnsi" w:hAnsiTheme="minorHAnsi"/>
          <w:color w:val="auto"/>
          <w:szCs w:val="24"/>
        </w:rPr>
        <w:t xml:space="preserve"> </w:t>
      </w:r>
      <w:r w:rsidR="00611FEF" w:rsidRPr="00A4201E">
        <w:rPr>
          <w:rFonts w:asciiTheme="minorHAnsi" w:hAnsiTheme="minorHAnsi"/>
          <w:color w:val="auto"/>
          <w:szCs w:val="24"/>
        </w:rPr>
        <w:t xml:space="preserve">The examiner noted that the CI had stopped drinking alcohol in October 2003.  Family history revealed that a brother had committed suicide.  The CI was married with seven children.  </w:t>
      </w:r>
      <w:r w:rsidR="00AE5BA7">
        <w:rPr>
          <w:rFonts w:asciiTheme="minorHAnsi" w:hAnsiTheme="minorHAnsi"/>
          <w:color w:val="auto"/>
          <w:szCs w:val="24"/>
        </w:rPr>
        <w:t>Psychiatric treatment included three</w:t>
      </w:r>
      <w:r w:rsidR="00611FEF" w:rsidRPr="00A4201E">
        <w:rPr>
          <w:rFonts w:asciiTheme="minorHAnsi" w:hAnsiTheme="minorHAnsi"/>
          <w:color w:val="auto"/>
          <w:szCs w:val="24"/>
        </w:rPr>
        <w:t xml:space="preserve"> psychotherapeutic medications </w:t>
      </w:r>
      <w:r w:rsidR="00BE0D02" w:rsidRPr="00A4201E">
        <w:rPr>
          <w:rFonts w:asciiTheme="minorHAnsi" w:hAnsiTheme="minorHAnsi"/>
          <w:color w:val="auto"/>
          <w:szCs w:val="24"/>
        </w:rPr>
        <w:t>and outpatient counsel</w:t>
      </w:r>
      <w:r w:rsidR="00AE5BA7">
        <w:rPr>
          <w:rFonts w:asciiTheme="minorHAnsi" w:hAnsiTheme="minorHAnsi"/>
          <w:color w:val="auto"/>
          <w:szCs w:val="24"/>
        </w:rPr>
        <w:t>ing with which he was compliant</w:t>
      </w:r>
      <w:r w:rsidR="00BE0D02" w:rsidRPr="00A4201E">
        <w:rPr>
          <w:rFonts w:asciiTheme="minorHAnsi" w:hAnsiTheme="minorHAnsi"/>
          <w:color w:val="auto"/>
          <w:szCs w:val="24"/>
        </w:rPr>
        <w:t xml:space="preserve"> and he had not been hospitalized.</w:t>
      </w:r>
      <w:r w:rsidR="00E04BF3" w:rsidRPr="00A4201E">
        <w:rPr>
          <w:rFonts w:asciiTheme="minorHAnsi" w:hAnsiTheme="minorHAnsi"/>
          <w:color w:val="auto"/>
          <w:szCs w:val="24"/>
        </w:rPr>
        <w:t xml:space="preserve">  He was undergoing pain management for his war injuries.</w:t>
      </w:r>
      <w:r w:rsidR="00BE0D02" w:rsidRPr="00A4201E">
        <w:rPr>
          <w:rFonts w:asciiTheme="minorHAnsi" w:hAnsiTheme="minorHAnsi"/>
          <w:color w:val="auto"/>
          <w:szCs w:val="24"/>
        </w:rPr>
        <w:t xml:space="preserve">  Mental status exam noted an anxious mood and a flat affect.  There was no suicidal ideation, delusional or hallucinatory symptoms, speech disturbance, cognitive impairment or other abnormalities.  The examiner</w:t>
      </w:r>
      <w:r w:rsidR="00AE5BA7">
        <w:rPr>
          <w:rFonts w:asciiTheme="minorHAnsi" w:hAnsiTheme="minorHAnsi"/>
          <w:color w:val="auto"/>
          <w:szCs w:val="24"/>
        </w:rPr>
        <w:t xml:space="preserve"> diagnosed PTSD and assigned a Global Assessment of F</w:t>
      </w:r>
      <w:r w:rsidR="00BE0D02" w:rsidRPr="00A4201E">
        <w:rPr>
          <w:rFonts w:asciiTheme="minorHAnsi" w:hAnsiTheme="minorHAnsi"/>
          <w:color w:val="auto"/>
          <w:szCs w:val="24"/>
        </w:rPr>
        <w:t xml:space="preserve">unction (GAF) of 45 (serious symptoms).  </w:t>
      </w:r>
      <w:r w:rsidR="00AE5BA7">
        <w:rPr>
          <w:rFonts w:asciiTheme="minorHAnsi" w:hAnsiTheme="minorHAnsi"/>
          <w:color w:val="auto"/>
          <w:szCs w:val="24"/>
        </w:rPr>
        <w:t>The examiner noted the CI was “s</w:t>
      </w:r>
      <w:r w:rsidR="00BE0D02" w:rsidRPr="00A4201E">
        <w:rPr>
          <w:rFonts w:asciiTheme="minorHAnsi" w:hAnsiTheme="minorHAnsi"/>
          <w:color w:val="auto"/>
          <w:szCs w:val="24"/>
        </w:rPr>
        <w:t>lightly improved with medications and psychotherapy,” with a fair prognosis but severe impact on duty.  The examiner opined that the CI “will</w:t>
      </w:r>
      <w:r w:rsidR="00AE5BA7">
        <w:rPr>
          <w:rFonts w:asciiTheme="minorHAnsi" w:hAnsiTheme="minorHAnsi"/>
          <w:color w:val="auto"/>
          <w:szCs w:val="24"/>
        </w:rPr>
        <w:t xml:space="preserve"> require weekly access to a US</w:t>
      </w:r>
      <w:r w:rsidR="00BE0D02" w:rsidRPr="00A4201E">
        <w:rPr>
          <w:rFonts w:asciiTheme="minorHAnsi" w:hAnsiTheme="minorHAnsi"/>
          <w:color w:val="auto"/>
          <w:szCs w:val="24"/>
        </w:rPr>
        <w:t xml:space="preserve"> Armed Forces medical center for the next 5 years.”  </w:t>
      </w:r>
    </w:p>
    <w:p w:rsidR="00AE5BA7" w:rsidRDefault="00AE5BA7" w:rsidP="00A4201E">
      <w:pPr>
        <w:spacing w:line="240" w:lineRule="exact"/>
        <w:jc w:val="both"/>
        <w:rPr>
          <w:rFonts w:asciiTheme="minorHAnsi" w:hAnsiTheme="minorHAnsi"/>
          <w:color w:val="auto"/>
          <w:szCs w:val="24"/>
        </w:rPr>
      </w:pPr>
    </w:p>
    <w:p w:rsidR="00AE5BA7" w:rsidRDefault="00AE5BA7" w:rsidP="00A4201E">
      <w:pPr>
        <w:spacing w:line="240" w:lineRule="exact"/>
        <w:jc w:val="both"/>
        <w:rPr>
          <w:rFonts w:asciiTheme="minorHAnsi" w:hAnsiTheme="minorHAnsi"/>
          <w:color w:val="auto"/>
          <w:szCs w:val="24"/>
        </w:rPr>
      </w:pPr>
      <w:r w:rsidRPr="005D1D39">
        <w:rPr>
          <w:rFonts w:asciiTheme="minorHAnsi" w:hAnsiTheme="minorHAnsi"/>
          <w:color w:val="auto"/>
          <w:szCs w:val="24"/>
        </w:rPr>
        <w:t xml:space="preserve">The PEB rating at final separation, as described above, was derived from </w:t>
      </w:r>
      <w:proofErr w:type="spellStart"/>
      <w:r w:rsidRPr="005D1D39">
        <w:rPr>
          <w:rFonts w:asciiTheme="minorHAnsi" w:hAnsiTheme="minorHAnsi"/>
          <w:color w:val="auto"/>
          <w:szCs w:val="24"/>
        </w:rPr>
        <w:t>DoDI</w:t>
      </w:r>
      <w:proofErr w:type="spellEnd"/>
      <w:r w:rsidRPr="005D1D39">
        <w:rPr>
          <w:rFonts w:asciiTheme="minorHAnsi" w:hAnsiTheme="minorHAnsi"/>
          <w:color w:val="auto"/>
          <w:szCs w:val="24"/>
        </w:rPr>
        <w:t xml:space="preserve"> 1332.39 and preceded the promulgation of the National Defense Authorization Act (NDAA) 2008 mandate for DoD adherence to the VASRD §4.129. IAW </w:t>
      </w:r>
      <w:proofErr w:type="spellStart"/>
      <w:r w:rsidRPr="005D1D39">
        <w:rPr>
          <w:rFonts w:asciiTheme="minorHAnsi" w:hAnsiTheme="minorHAnsi"/>
          <w:color w:val="auto"/>
          <w:szCs w:val="24"/>
        </w:rPr>
        <w:t>DoDI</w:t>
      </w:r>
      <w:proofErr w:type="spellEnd"/>
      <w:r w:rsidRPr="005D1D39">
        <w:rPr>
          <w:rFonts w:asciiTheme="minorHAnsi" w:hAnsiTheme="minorHAnsi"/>
          <w:color w:val="auto"/>
          <w:szCs w:val="24"/>
        </w:rPr>
        <w:t xml:space="preserve"> 6040.44 and </w:t>
      </w:r>
      <w:proofErr w:type="spellStart"/>
      <w:proofErr w:type="gramStart"/>
      <w:r w:rsidRPr="005D1D39">
        <w:rPr>
          <w:rFonts w:asciiTheme="minorHAnsi" w:hAnsiTheme="minorHAnsi"/>
          <w:color w:val="auto"/>
          <w:szCs w:val="24"/>
        </w:rPr>
        <w:t>DoD</w:t>
      </w:r>
      <w:proofErr w:type="spellEnd"/>
      <w:proofErr w:type="gramEnd"/>
      <w:r w:rsidRPr="005D1D39">
        <w:rPr>
          <w:rFonts w:asciiTheme="minorHAnsi" w:hAnsiTheme="minorHAnsi"/>
          <w:color w:val="auto"/>
          <w:szCs w:val="24"/>
        </w:rPr>
        <w:t xml:space="preserve"> guidance (which applies current VASRD 4.129 to all Board cases); the Board is obligated to recommend a minimum 50% PTSD rating for the period on the TDRL.  Since the Service was in compliance with the §4.129 TDRL requirement, the Board need not apply a constructive TDRL rating interval in this case; although, the 50% minimum TDRL rating remains applicable as above, as held by the Federal court in the Sabo V. United States class action settlement.  The Board must then determine the most appropriate fit with VASRD 4.130 criteria at the end of the TDRL interval for its permanent rating recommendation.</w:t>
      </w:r>
      <w:r>
        <w:rPr>
          <w:rFonts w:asciiTheme="minorHAnsi" w:hAnsiTheme="minorHAnsi"/>
          <w:color w:val="auto"/>
          <w:szCs w:val="24"/>
        </w:rPr>
        <w:t xml:space="preserve">  </w:t>
      </w:r>
    </w:p>
    <w:p w:rsidR="00AE5BA7" w:rsidRDefault="00AE5BA7" w:rsidP="00A4201E">
      <w:pPr>
        <w:spacing w:line="240" w:lineRule="exact"/>
        <w:jc w:val="both"/>
        <w:rPr>
          <w:rFonts w:asciiTheme="minorHAnsi" w:hAnsiTheme="minorHAnsi"/>
          <w:color w:val="auto"/>
          <w:szCs w:val="24"/>
        </w:rPr>
      </w:pPr>
    </w:p>
    <w:p w:rsidR="00E04BF3" w:rsidRPr="00A4201E" w:rsidRDefault="00E04BF3" w:rsidP="00A4201E">
      <w:pPr>
        <w:spacing w:line="240" w:lineRule="exact"/>
        <w:jc w:val="both"/>
        <w:rPr>
          <w:rFonts w:asciiTheme="minorHAnsi" w:hAnsiTheme="minorHAnsi"/>
          <w:color w:val="auto"/>
          <w:szCs w:val="24"/>
        </w:rPr>
      </w:pPr>
      <w:r w:rsidRPr="00A4201E">
        <w:rPr>
          <w:rFonts w:asciiTheme="minorHAnsi" w:hAnsiTheme="minorHAnsi"/>
          <w:color w:val="auto"/>
          <w:szCs w:val="24"/>
        </w:rPr>
        <w:t xml:space="preserve">The most proximate source of comprehensive evidence on which to base the permanent rating recommendation in this case is the </w:t>
      </w:r>
      <w:r w:rsidR="00F433ED">
        <w:rPr>
          <w:rFonts w:asciiTheme="minorHAnsi" w:hAnsiTheme="minorHAnsi"/>
          <w:color w:val="auto"/>
          <w:szCs w:val="24"/>
        </w:rPr>
        <w:t>TDRL NARSUM</w:t>
      </w:r>
      <w:r w:rsidR="00AE5BA7">
        <w:rPr>
          <w:rFonts w:asciiTheme="minorHAnsi" w:hAnsiTheme="minorHAnsi"/>
          <w:color w:val="auto"/>
          <w:szCs w:val="24"/>
        </w:rPr>
        <w:t xml:space="preserve"> performed ten</w:t>
      </w:r>
      <w:r w:rsidR="00D66254">
        <w:rPr>
          <w:rFonts w:asciiTheme="minorHAnsi" w:hAnsiTheme="minorHAnsi"/>
          <w:color w:val="auto"/>
          <w:szCs w:val="24"/>
        </w:rPr>
        <w:t xml:space="preserve"> </w:t>
      </w:r>
      <w:r w:rsidRPr="00F968E5">
        <w:rPr>
          <w:rFonts w:asciiTheme="minorHAnsi" w:hAnsiTheme="minorHAnsi"/>
          <w:color w:val="auto"/>
          <w:szCs w:val="24"/>
        </w:rPr>
        <w:t xml:space="preserve">months </w:t>
      </w:r>
      <w:r w:rsidR="00AE5BA7">
        <w:rPr>
          <w:rFonts w:asciiTheme="minorHAnsi" w:hAnsiTheme="minorHAnsi"/>
          <w:color w:val="auto"/>
          <w:szCs w:val="24"/>
        </w:rPr>
        <w:t>after being placed on TDRL and three</w:t>
      </w:r>
      <w:r w:rsidRPr="00F968E5">
        <w:rPr>
          <w:rFonts w:asciiTheme="minorHAnsi" w:hAnsiTheme="minorHAnsi"/>
          <w:color w:val="auto"/>
          <w:szCs w:val="24"/>
        </w:rPr>
        <w:t xml:space="preserve"> months prior to </w:t>
      </w:r>
      <w:r w:rsidR="00E03E14" w:rsidRPr="00F968E5">
        <w:rPr>
          <w:rFonts w:asciiTheme="minorHAnsi" w:hAnsiTheme="minorHAnsi"/>
          <w:color w:val="auto"/>
          <w:szCs w:val="24"/>
        </w:rPr>
        <w:t>the FPEB hearing</w:t>
      </w:r>
      <w:r w:rsidRPr="00F968E5">
        <w:rPr>
          <w:rFonts w:asciiTheme="minorHAnsi" w:hAnsiTheme="minorHAnsi"/>
          <w:color w:val="auto"/>
          <w:szCs w:val="24"/>
        </w:rPr>
        <w:t xml:space="preserve">.  There was also a VA </w:t>
      </w:r>
      <w:r w:rsidR="00AE5BA7">
        <w:rPr>
          <w:rFonts w:asciiTheme="minorHAnsi" w:hAnsiTheme="minorHAnsi"/>
          <w:color w:val="auto"/>
          <w:szCs w:val="24"/>
        </w:rPr>
        <w:t>Compensation and P</w:t>
      </w:r>
      <w:r w:rsidR="00A31605" w:rsidRPr="00F968E5">
        <w:rPr>
          <w:rFonts w:asciiTheme="minorHAnsi" w:hAnsiTheme="minorHAnsi"/>
          <w:color w:val="auto"/>
          <w:szCs w:val="24"/>
        </w:rPr>
        <w:t>ensio</w:t>
      </w:r>
      <w:r w:rsidR="00A31605" w:rsidRPr="00AE5BA7">
        <w:rPr>
          <w:rFonts w:asciiTheme="minorHAnsi" w:hAnsiTheme="minorHAnsi"/>
          <w:color w:val="auto"/>
          <w:szCs w:val="24"/>
        </w:rPr>
        <w:t>n (C&amp;P)</w:t>
      </w:r>
      <w:r w:rsidR="00A31605" w:rsidRPr="00F968E5">
        <w:rPr>
          <w:rFonts w:asciiTheme="minorHAnsi" w:hAnsiTheme="minorHAnsi"/>
          <w:color w:val="auto"/>
          <w:szCs w:val="24"/>
        </w:rPr>
        <w:t xml:space="preserve"> examination completed within </w:t>
      </w:r>
      <w:r w:rsidR="00AE5BA7">
        <w:rPr>
          <w:rFonts w:asciiTheme="minorHAnsi" w:hAnsiTheme="minorHAnsi"/>
          <w:color w:val="auto"/>
          <w:szCs w:val="24"/>
        </w:rPr>
        <w:t>12</w:t>
      </w:r>
      <w:r w:rsidR="00A31605" w:rsidRPr="00F968E5">
        <w:rPr>
          <w:rFonts w:asciiTheme="minorHAnsi" w:hAnsiTheme="minorHAnsi"/>
          <w:color w:val="auto"/>
          <w:szCs w:val="24"/>
        </w:rPr>
        <w:t xml:space="preserve"> months and a </w:t>
      </w:r>
      <w:r w:rsidRPr="00F968E5">
        <w:rPr>
          <w:rFonts w:asciiTheme="minorHAnsi" w:hAnsiTheme="minorHAnsi"/>
          <w:color w:val="auto"/>
          <w:szCs w:val="24"/>
        </w:rPr>
        <w:t>psychia</w:t>
      </w:r>
      <w:r w:rsidR="00380162" w:rsidRPr="00F968E5">
        <w:rPr>
          <w:rFonts w:asciiTheme="minorHAnsi" w:hAnsiTheme="minorHAnsi"/>
          <w:color w:val="auto"/>
          <w:szCs w:val="24"/>
        </w:rPr>
        <w:t xml:space="preserve">tric outpatient visit within </w:t>
      </w:r>
      <w:r w:rsidR="00D66254">
        <w:rPr>
          <w:rFonts w:asciiTheme="minorHAnsi" w:hAnsiTheme="minorHAnsi"/>
          <w:color w:val="auto"/>
          <w:szCs w:val="24"/>
        </w:rPr>
        <w:t>two</w:t>
      </w:r>
      <w:r w:rsidRPr="00F968E5">
        <w:rPr>
          <w:rFonts w:asciiTheme="minorHAnsi" w:hAnsiTheme="minorHAnsi"/>
          <w:color w:val="auto"/>
          <w:szCs w:val="24"/>
        </w:rPr>
        <w:t xml:space="preserve"> month</w:t>
      </w:r>
      <w:r w:rsidR="00380162" w:rsidRPr="00F968E5">
        <w:rPr>
          <w:rFonts w:asciiTheme="minorHAnsi" w:hAnsiTheme="minorHAnsi"/>
          <w:color w:val="auto"/>
          <w:szCs w:val="24"/>
        </w:rPr>
        <w:t>s</w:t>
      </w:r>
      <w:r w:rsidRPr="00F968E5">
        <w:rPr>
          <w:rFonts w:asciiTheme="minorHAnsi" w:hAnsiTheme="minorHAnsi"/>
          <w:color w:val="auto"/>
          <w:szCs w:val="24"/>
        </w:rPr>
        <w:t xml:space="preserve"> of </w:t>
      </w:r>
      <w:r w:rsidR="00E03E14" w:rsidRPr="00F968E5">
        <w:rPr>
          <w:rFonts w:asciiTheme="minorHAnsi" w:hAnsiTheme="minorHAnsi"/>
          <w:color w:val="auto"/>
          <w:szCs w:val="24"/>
        </w:rPr>
        <w:t>the FPEB hearing</w:t>
      </w:r>
      <w:r w:rsidRPr="00F968E5">
        <w:rPr>
          <w:rFonts w:asciiTheme="minorHAnsi" w:hAnsiTheme="minorHAnsi"/>
          <w:color w:val="auto"/>
          <w:szCs w:val="24"/>
        </w:rPr>
        <w:t xml:space="preserve"> that provided probative evidence.</w:t>
      </w:r>
      <w:r w:rsidR="00AE5BA7">
        <w:rPr>
          <w:rFonts w:asciiTheme="minorHAnsi" w:hAnsiTheme="minorHAnsi"/>
          <w:color w:val="auto"/>
          <w:szCs w:val="24"/>
        </w:rPr>
        <w:t xml:space="preserve">  </w:t>
      </w:r>
      <w:r w:rsidRPr="00A4201E">
        <w:rPr>
          <w:rFonts w:asciiTheme="minorHAnsi" w:hAnsiTheme="minorHAnsi"/>
          <w:color w:val="auto"/>
          <w:szCs w:val="24"/>
        </w:rPr>
        <w:t>At the 18 April 2005 TDRL evaluation</w:t>
      </w:r>
      <w:r w:rsidR="002E3F38" w:rsidRPr="00A4201E">
        <w:rPr>
          <w:rFonts w:asciiTheme="minorHAnsi" w:hAnsiTheme="minorHAnsi"/>
          <w:color w:val="auto"/>
          <w:szCs w:val="24"/>
        </w:rPr>
        <w:t xml:space="preserve">, </w:t>
      </w:r>
      <w:r w:rsidRPr="00A4201E">
        <w:rPr>
          <w:rFonts w:asciiTheme="minorHAnsi" w:hAnsiTheme="minorHAnsi"/>
          <w:color w:val="auto"/>
          <w:szCs w:val="24"/>
        </w:rPr>
        <w:t>the CI complained of continued insomnia and irritability.  He had no pleasurable activities and felt worthless.  He continued to have excessive worry and anger, and was “verbally abusive to his family at times.”</w:t>
      </w:r>
      <w:r w:rsidR="001A18EC">
        <w:rPr>
          <w:rFonts w:asciiTheme="minorHAnsi" w:hAnsiTheme="minorHAnsi"/>
          <w:color w:val="auto"/>
          <w:szCs w:val="24"/>
        </w:rPr>
        <w:t xml:space="preserve"> </w:t>
      </w:r>
      <w:r w:rsidR="00D66254">
        <w:rPr>
          <w:rFonts w:asciiTheme="minorHAnsi" w:hAnsiTheme="minorHAnsi"/>
          <w:color w:val="auto"/>
          <w:szCs w:val="24"/>
        </w:rPr>
        <w:t xml:space="preserve"> </w:t>
      </w:r>
      <w:r w:rsidR="00AF67B6" w:rsidRPr="00A4201E">
        <w:rPr>
          <w:rFonts w:asciiTheme="minorHAnsi" w:hAnsiTheme="minorHAnsi"/>
          <w:color w:val="auto"/>
          <w:szCs w:val="24"/>
        </w:rPr>
        <w:t>He had racing thoughts, difficulty concentrating, and was nervous and edgy.  “He worries about everything and everyone.”  Th</w:t>
      </w:r>
      <w:r w:rsidRPr="00A4201E">
        <w:rPr>
          <w:rFonts w:asciiTheme="minorHAnsi" w:hAnsiTheme="minorHAnsi"/>
          <w:color w:val="auto"/>
          <w:szCs w:val="24"/>
        </w:rPr>
        <w:t>e</w:t>
      </w:r>
      <w:r w:rsidR="00AF67B6" w:rsidRPr="00A4201E">
        <w:rPr>
          <w:rFonts w:asciiTheme="minorHAnsi" w:hAnsiTheme="minorHAnsi"/>
          <w:color w:val="auto"/>
          <w:szCs w:val="24"/>
        </w:rPr>
        <w:t xml:space="preserve"> CI</w:t>
      </w:r>
      <w:r w:rsidRPr="00A4201E">
        <w:rPr>
          <w:rFonts w:asciiTheme="minorHAnsi" w:hAnsiTheme="minorHAnsi"/>
          <w:color w:val="auto"/>
          <w:szCs w:val="24"/>
        </w:rPr>
        <w:t xml:space="preserve"> had weekly suicidal thoughts aft</w:t>
      </w:r>
      <w:r w:rsidR="00AF67B6" w:rsidRPr="00A4201E">
        <w:rPr>
          <w:rFonts w:asciiTheme="minorHAnsi" w:hAnsiTheme="minorHAnsi"/>
          <w:color w:val="auto"/>
          <w:szCs w:val="24"/>
        </w:rPr>
        <w:t>er being placed on TDRL.  He</w:t>
      </w:r>
      <w:r w:rsidRPr="00A4201E">
        <w:rPr>
          <w:rFonts w:asciiTheme="minorHAnsi" w:hAnsiTheme="minorHAnsi"/>
          <w:color w:val="auto"/>
          <w:szCs w:val="24"/>
        </w:rPr>
        <w:t xml:space="preserve"> </w:t>
      </w:r>
      <w:r w:rsidR="00E03E14" w:rsidRPr="00A4201E">
        <w:rPr>
          <w:rFonts w:asciiTheme="minorHAnsi" w:hAnsiTheme="minorHAnsi"/>
          <w:color w:val="auto"/>
          <w:szCs w:val="24"/>
        </w:rPr>
        <w:t xml:space="preserve">reported he </w:t>
      </w:r>
      <w:r w:rsidRPr="00A4201E">
        <w:rPr>
          <w:rFonts w:asciiTheme="minorHAnsi" w:hAnsiTheme="minorHAnsi"/>
          <w:color w:val="auto"/>
          <w:szCs w:val="24"/>
        </w:rPr>
        <w:t>was drinking a fifth of liquor a week</w:t>
      </w:r>
      <w:r w:rsidR="00AF67B6" w:rsidRPr="00A4201E">
        <w:rPr>
          <w:rFonts w:asciiTheme="minorHAnsi" w:hAnsiTheme="minorHAnsi"/>
          <w:color w:val="auto"/>
          <w:szCs w:val="24"/>
        </w:rPr>
        <w:t xml:space="preserve"> (2 to 4 sho</w:t>
      </w:r>
      <w:r w:rsidR="00F433ED">
        <w:rPr>
          <w:rFonts w:asciiTheme="minorHAnsi" w:hAnsiTheme="minorHAnsi"/>
          <w:color w:val="auto"/>
          <w:szCs w:val="24"/>
        </w:rPr>
        <w:t>ts a day) and was taking narcotic pain medication for his</w:t>
      </w:r>
      <w:r w:rsidR="00AF67B6" w:rsidRPr="00A4201E">
        <w:rPr>
          <w:rFonts w:asciiTheme="minorHAnsi" w:hAnsiTheme="minorHAnsi"/>
          <w:color w:val="auto"/>
          <w:szCs w:val="24"/>
        </w:rPr>
        <w:t xml:space="preserve"> facial wounds, but denied illicit drugs.  He was being treated with weekly counseling and taking two psychotherapeutic medications</w:t>
      </w:r>
      <w:r w:rsidR="00696116" w:rsidRPr="00A4201E">
        <w:rPr>
          <w:rFonts w:asciiTheme="minorHAnsi" w:hAnsiTheme="minorHAnsi"/>
          <w:color w:val="auto"/>
          <w:szCs w:val="24"/>
        </w:rPr>
        <w:t>, with good compliance</w:t>
      </w:r>
      <w:r w:rsidR="00AF67B6" w:rsidRPr="00A4201E">
        <w:rPr>
          <w:rFonts w:asciiTheme="minorHAnsi" w:hAnsiTheme="minorHAnsi"/>
          <w:color w:val="auto"/>
          <w:szCs w:val="24"/>
        </w:rPr>
        <w:t xml:space="preserve">.  The CI was unemployed, and vocational rehab had told him “he is unemployable because </w:t>
      </w:r>
      <w:r w:rsidR="00881918" w:rsidRPr="00A4201E">
        <w:rPr>
          <w:rFonts w:asciiTheme="minorHAnsi" w:hAnsiTheme="minorHAnsi"/>
          <w:color w:val="auto"/>
          <w:szCs w:val="24"/>
        </w:rPr>
        <w:t>he says that he gets lost and cannot</w:t>
      </w:r>
      <w:r w:rsidR="00AF67B6" w:rsidRPr="00A4201E">
        <w:rPr>
          <w:rFonts w:asciiTheme="minorHAnsi" w:hAnsiTheme="minorHAnsi"/>
          <w:color w:val="auto"/>
          <w:szCs w:val="24"/>
        </w:rPr>
        <w:t xml:space="preserve"> find his way around town.”  Mental status examination noted an angry mood and a sullen and irritable affect.  “He tended to ruminate about his OIF </w:t>
      </w:r>
      <w:r w:rsidR="00D66254">
        <w:rPr>
          <w:rFonts w:asciiTheme="minorHAnsi" w:hAnsiTheme="minorHAnsi"/>
          <w:color w:val="auto"/>
          <w:szCs w:val="24"/>
        </w:rPr>
        <w:t xml:space="preserve">(Operation Iraqi Freedom) </w:t>
      </w:r>
      <w:r w:rsidR="00AF67B6" w:rsidRPr="00A4201E">
        <w:rPr>
          <w:rFonts w:asciiTheme="minorHAnsi" w:hAnsiTheme="minorHAnsi"/>
          <w:color w:val="auto"/>
          <w:szCs w:val="24"/>
        </w:rPr>
        <w:t xml:space="preserve">experience.”  Judgment was adequate but insight was marginal.  </w:t>
      </w:r>
      <w:r w:rsidR="00696116" w:rsidRPr="00A4201E">
        <w:rPr>
          <w:rFonts w:asciiTheme="minorHAnsi" w:hAnsiTheme="minorHAnsi"/>
          <w:color w:val="auto"/>
          <w:szCs w:val="24"/>
        </w:rPr>
        <w:t>There was no suicidal ideation, delusional or hallucinatory symptoms, speech disturbance or cognitive impairment.  The examiner diagnosed PTSD and opined that “These symptoms are probably exacerbated by alcohol and daily narcotics use.”  He also diagnosed alcohol abuse and narcotic dependence which “are probably interfering with his treatment for his comb</w:t>
      </w:r>
      <w:r w:rsidR="00881918" w:rsidRPr="00A4201E">
        <w:rPr>
          <w:rFonts w:asciiTheme="minorHAnsi" w:hAnsiTheme="minorHAnsi"/>
          <w:color w:val="auto"/>
          <w:szCs w:val="24"/>
        </w:rPr>
        <w:t>a</w:t>
      </w:r>
      <w:r w:rsidR="00696116" w:rsidRPr="00A4201E">
        <w:rPr>
          <w:rFonts w:asciiTheme="minorHAnsi" w:hAnsiTheme="minorHAnsi"/>
          <w:color w:val="auto"/>
          <w:szCs w:val="24"/>
        </w:rPr>
        <w:t xml:space="preserve">t stress symptoms.”  The examiner assigned a GAF of 55 (moderate symptoms) and assessed </w:t>
      </w:r>
      <w:r w:rsidR="00EE70B2" w:rsidRPr="00F433ED">
        <w:rPr>
          <w:rFonts w:asciiTheme="minorHAnsi" w:hAnsiTheme="minorHAnsi"/>
          <w:color w:val="auto"/>
          <w:szCs w:val="24"/>
        </w:rPr>
        <w:t xml:space="preserve">moderate impairment for </w:t>
      </w:r>
      <w:r w:rsidR="00EE70B2" w:rsidRPr="00F433ED">
        <w:rPr>
          <w:rFonts w:asciiTheme="minorHAnsi" w:hAnsiTheme="minorHAnsi"/>
          <w:color w:val="auto"/>
          <w:szCs w:val="24"/>
        </w:rPr>
        <w:lastRenderedPageBreak/>
        <w:t>military duty and definite impairment for social and industrial adaptability</w:t>
      </w:r>
      <w:r w:rsidR="00696116" w:rsidRPr="00A4201E">
        <w:rPr>
          <w:rFonts w:asciiTheme="minorHAnsi" w:hAnsiTheme="minorHAnsi"/>
          <w:color w:val="auto"/>
          <w:szCs w:val="24"/>
        </w:rPr>
        <w:t>.  The examiner opined that the condition was “deeply ingrained and likely to be persistent” and the prognosis was poor.</w:t>
      </w:r>
      <w:r w:rsidR="002E3F38" w:rsidRPr="00A4201E">
        <w:rPr>
          <w:rFonts w:asciiTheme="minorHAnsi" w:hAnsiTheme="minorHAnsi"/>
          <w:color w:val="auto"/>
          <w:szCs w:val="24"/>
        </w:rPr>
        <w:t xml:space="preserve">  The PEB of 31 May 2005 found the CI unfit for </w:t>
      </w:r>
      <w:r w:rsidR="00D66254">
        <w:rPr>
          <w:rFonts w:asciiTheme="minorHAnsi" w:hAnsiTheme="minorHAnsi"/>
          <w:color w:val="auto"/>
          <w:szCs w:val="24"/>
        </w:rPr>
        <w:t>PTSD</w:t>
      </w:r>
      <w:r w:rsidR="002E3F38" w:rsidRPr="00A4201E">
        <w:rPr>
          <w:rFonts w:asciiTheme="minorHAnsi" w:hAnsiTheme="minorHAnsi"/>
          <w:color w:val="auto"/>
          <w:szCs w:val="24"/>
        </w:rPr>
        <w:t>, VA Code 9411, but stated that the CI was “non-compliant with refusal to discontinue excessive alc</w:t>
      </w:r>
      <w:r w:rsidR="00D66254">
        <w:rPr>
          <w:rFonts w:asciiTheme="minorHAnsi" w:hAnsiTheme="minorHAnsi"/>
          <w:color w:val="auto"/>
          <w:szCs w:val="24"/>
        </w:rPr>
        <w:t xml:space="preserve">ohol and narcotic usage.”  The </w:t>
      </w:r>
      <w:r w:rsidR="002E3F38" w:rsidRPr="00A4201E">
        <w:rPr>
          <w:rFonts w:asciiTheme="minorHAnsi" w:hAnsiTheme="minorHAnsi"/>
          <w:color w:val="auto"/>
          <w:szCs w:val="24"/>
        </w:rPr>
        <w:t>PEB removed him from TDRL and assigned a 10% final disability rating</w:t>
      </w:r>
      <w:r w:rsidR="00BF0B34">
        <w:rPr>
          <w:rFonts w:asciiTheme="minorHAnsi" w:hAnsiTheme="minorHAnsi"/>
          <w:color w:val="auto"/>
          <w:szCs w:val="24"/>
        </w:rPr>
        <w:t xml:space="preserve"> stating</w:t>
      </w:r>
      <w:r w:rsidR="00D66254">
        <w:rPr>
          <w:rFonts w:asciiTheme="minorHAnsi" w:hAnsiTheme="minorHAnsi"/>
          <w:color w:val="auto"/>
          <w:szCs w:val="24"/>
        </w:rPr>
        <w:t>, “r</w:t>
      </w:r>
      <w:r w:rsidR="002E3F38" w:rsidRPr="00A4201E">
        <w:rPr>
          <w:rFonts w:asciiTheme="minorHAnsi" w:hAnsiTheme="minorHAnsi"/>
          <w:color w:val="auto"/>
          <w:szCs w:val="24"/>
        </w:rPr>
        <w:t xml:space="preserve">ating apportioned downward for non-compliance.”  The CI appealed for a </w:t>
      </w:r>
      <w:r w:rsidR="00D66254">
        <w:rPr>
          <w:rFonts w:asciiTheme="minorHAnsi" w:hAnsiTheme="minorHAnsi"/>
          <w:color w:val="auto"/>
          <w:szCs w:val="24"/>
        </w:rPr>
        <w:t>FPEB</w:t>
      </w:r>
      <w:r w:rsidR="002E3F38" w:rsidRPr="00A4201E">
        <w:rPr>
          <w:rFonts w:asciiTheme="minorHAnsi" w:hAnsiTheme="minorHAnsi"/>
          <w:color w:val="auto"/>
          <w:szCs w:val="24"/>
        </w:rPr>
        <w:t xml:space="preserve">.  The FPEB of </w:t>
      </w:r>
      <w:r w:rsidR="00D66254">
        <w:rPr>
          <w:rFonts w:asciiTheme="minorHAnsi" w:hAnsiTheme="minorHAnsi"/>
          <w:color w:val="auto"/>
          <w:szCs w:val="24"/>
        </w:rPr>
        <w:t xml:space="preserve">8 July 2005 concurred with the </w:t>
      </w:r>
      <w:r w:rsidR="002E3F38" w:rsidRPr="00A4201E">
        <w:rPr>
          <w:rFonts w:asciiTheme="minorHAnsi" w:hAnsiTheme="minorHAnsi"/>
          <w:color w:val="auto"/>
          <w:szCs w:val="24"/>
        </w:rPr>
        <w:t xml:space="preserve">PEB and the CI was </w:t>
      </w:r>
      <w:r w:rsidR="00380162" w:rsidRPr="00A4201E">
        <w:rPr>
          <w:rFonts w:asciiTheme="minorHAnsi" w:hAnsiTheme="minorHAnsi"/>
          <w:color w:val="auto"/>
          <w:szCs w:val="24"/>
        </w:rPr>
        <w:t xml:space="preserve">permanently separated at 10% for PTSD, VA Code 9411.  </w:t>
      </w:r>
    </w:p>
    <w:p w:rsidR="00380162" w:rsidRPr="00A4201E" w:rsidRDefault="00380162" w:rsidP="00A4201E">
      <w:pPr>
        <w:spacing w:line="240" w:lineRule="exact"/>
        <w:jc w:val="both"/>
        <w:rPr>
          <w:rFonts w:asciiTheme="minorHAnsi" w:hAnsiTheme="minorHAnsi"/>
          <w:color w:val="auto"/>
          <w:szCs w:val="24"/>
        </w:rPr>
      </w:pPr>
    </w:p>
    <w:p w:rsidR="005E3F46" w:rsidRPr="00A4201E" w:rsidRDefault="00F433ED" w:rsidP="00A4201E">
      <w:pPr>
        <w:spacing w:line="240" w:lineRule="exact"/>
        <w:jc w:val="both"/>
        <w:rPr>
          <w:rFonts w:asciiTheme="minorHAnsi" w:hAnsiTheme="minorHAnsi"/>
          <w:color w:val="auto"/>
          <w:szCs w:val="24"/>
        </w:rPr>
      </w:pPr>
      <w:r>
        <w:rPr>
          <w:rFonts w:asciiTheme="minorHAnsi" w:hAnsiTheme="minorHAnsi"/>
          <w:color w:val="auto"/>
          <w:szCs w:val="24"/>
        </w:rPr>
        <w:t>A VA C&amp;P</w:t>
      </w:r>
      <w:r w:rsidR="000B7160" w:rsidRPr="00A4201E">
        <w:rPr>
          <w:rFonts w:asciiTheme="minorHAnsi" w:hAnsiTheme="minorHAnsi"/>
          <w:color w:val="auto"/>
          <w:szCs w:val="24"/>
        </w:rPr>
        <w:t xml:space="preserve"> </w:t>
      </w:r>
      <w:r w:rsidR="005E3F46" w:rsidRPr="00A4201E">
        <w:rPr>
          <w:rFonts w:asciiTheme="minorHAnsi" w:hAnsiTheme="minorHAnsi"/>
          <w:color w:val="auto"/>
          <w:szCs w:val="24"/>
        </w:rPr>
        <w:t>examination</w:t>
      </w:r>
      <w:r w:rsidR="000B7160" w:rsidRPr="00A4201E">
        <w:rPr>
          <w:rFonts w:asciiTheme="minorHAnsi" w:hAnsiTheme="minorHAnsi"/>
          <w:color w:val="auto"/>
          <w:szCs w:val="24"/>
        </w:rPr>
        <w:t xml:space="preserve"> was completed </w:t>
      </w:r>
      <w:r w:rsidR="00D66254">
        <w:rPr>
          <w:rFonts w:asciiTheme="minorHAnsi" w:hAnsiTheme="minorHAnsi"/>
          <w:color w:val="auto"/>
          <w:szCs w:val="24"/>
        </w:rPr>
        <w:t xml:space="preserve">10 August </w:t>
      </w:r>
      <w:r w:rsidR="000B7160" w:rsidRPr="00A4201E">
        <w:rPr>
          <w:rFonts w:asciiTheme="minorHAnsi" w:hAnsiTheme="minorHAnsi"/>
          <w:color w:val="auto"/>
          <w:szCs w:val="24"/>
        </w:rPr>
        <w:t>2004</w:t>
      </w:r>
      <w:r w:rsidR="005E3F46" w:rsidRPr="00A4201E">
        <w:rPr>
          <w:rFonts w:asciiTheme="minorHAnsi" w:hAnsiTheme="minorHAnsi"/>
          <w:color w:val="auto"/>
          <w:szCs w:val="24"/>
        </w:rPr>
        <w:t xml:space="preserve"> </w:t>
      </w:r>
      <w:r w:rsidR="00D66254">
        <w:rPr>
          <w:rFonts w:asciiTheme="minorHAnsi" w:hAnsiTheme="minorHAnsi"/>
          <w:color w:val="auto"/>
          <w:szCs w:val="24"/>
        </w:rPr>
        <w:t xml:space="preserve">within </w:t>
      </w:r>
      <w:r w:rsidR="005E3F46" w:rsidRPr="00A4201E">
        <w:rPr>
          <w:rFonts w:asciiTheme="minorHAnsi" w:hAnsiTheme="minorHAnsi"/>
          <w:color w:val="auto"/>
          <w:szCs w:val="24"/>
        </w:rPr>
        <w:t xml:space="preserve">twelve months of the FPEB in July 2005. </w:t>
      </w:r>
      <w:r>
        <w:rPr>
          <w:rFonts w:asciiTheme="minorHAnsi" w:hAnsiTheme="minorHAnsi"/>
          <w:color w:val="auto"/>
          <w:szCs w:val="24"/>
        </w:rPr>
        <w:t xml:space="preserve"> </w:t>
      </w:r>
      <w:r w:rsidR="005E3F46" w:rsidRPr="00A4201E">
        <w:rPr>
          <w:rFonts w:asciiTheme="minorHAnsi" w:hAnsiTheme="minorHAnsi"/>
          <w:color w:val="auto"/>
          <w:szCs w:val="24"/>
        </w:rPr>
        <w:t xml:space="preserve">This examination documented a similar degree of PTSD symptoms as the MEB NARSUM of March 2004 but noted a GAF of only 36 for major impairment in most areas. </w:t>
      </w:r>
      <w:r>
        <w:rPr>
          <w:rFonts w:asciiTheme="minorHAnsi" w:hAnsiTheme="minorHAnsi"/>
          <w:color w:val="auto"/>
          <w:szCs w:val="24"/>
        </w:rPr>
        <w:t xml:space="preserve"> </w:t>
      </w:r>
      <w:r w:rsidR="005E3F46" w:rsidRPr="00A4201E">
        <w:rPr>
          <w:rFonts w:asciiTheme="minorHAnsi" w:hAnsiTheme="minorHAnsi"/>
          <w:color w:val="auto"/>
          <w:szCs w:val="24"/>
        </w:rPr>
        <w:t>Based on this examination, the VA applied a 100% disability rating based on the</w:t>
      </w:r>
      <w:r w:rsidR="002D47F8">
        <w:rPr>
          <w:rFonts w:asciiTheme="minorHAnsi" w:hAnsiTheme="minorHAnsi"/>
          <w:color w:val="auto"/>
          <w:szCs w:val="24"/>
        </w:rPr>
        <w:t xml:space="preserve"> severity of symptoms and </w:t>
      </w:r>
      <w:r w:rsidR="005E3F46" w:rsidRPr="00A4201E">
        <w:rPr>
          <w:rFonts w:asciiTheme="minorHAnsi" w:hAnsiTheme="minorHAnsi"/>
          <w:color w:val="auto"/>
          <w:szCs w:val="24"/>
        </w:rPr>
        <w:t xml:space="preserve">low GAF. </w:t>
      </w:r>
      <w:r>
        <w:rPr>
          <w:rFonts w:asciiTheme="minorHAnsi" w:hAnsiTheme="minorHAnsi"/>
          <w:color w:val="auto"/>
          <w:szCs w:val="24"/>
        </w:rPr>
        <w:t xml:space="preserve"> </w:t>
      </w:r>
      <w:r w:rsidR="005E3F46" w:rsidRPr="00A4201E">
        <w:rPr>
          <w:rFonts w:asciiTheme="minorHAnsi" w:hAnsiTheme="minorHAnsi"/>
          <w:color w:val="auto"/>
          <w:szCs w:val="24"/>
        </w:rPr>
        <w:t>The VA rating decision (VARD) stated his impairment fell between the 70</w:t>
      </w:r>
      <w:r w:rsidR="00D66254">
        <w:rPr>
          <w:rFonts w:asciiTheme="minorHAnsi" w:hAnsiTheme="minorHAnsi"/>
          <w:color w:val="auto"/>
          <w:szCs w:val="24"/>
        </w:rPr>
        <w:t>%</w:t>
      </w:r>
      <w:r w:rsidR="005E3F46" w:rsidRPr="00A4201E">
        <w:rPr>
          <w:rFonts w:asciiTheme="minorHAnsi" w:hAnsiTheme="minorHAnsi"/>
          <w:color w:val="auto"/>
          <w:szCs w:val="24"/>
        </w:rPr>
        <w:t xml:space="preserve"> and 100% ratings but more closely approximated the 100% rating.</w:t>
      </w:r>
      <w:r>
        <w:rPr>
          <w:rFonts w:asciiTheme="minorHAnsi" w:hAnsiTheme="minorHAnsi"/>
          <w:color w:val="auto"/>
          <w:szCs w:val="24"/>
        </w:rPr>
        <w:t xml:space="preserve"> </w:t>
      </w:r>
      <w:r w:rsidR="005E3F46" w:rsidRPr="00A4201E">
        <w:rPr>
          <w:rFonts w:asciiTheme="minorHAnsi" w:hAnsiTheme="minorHAnsi"/>
          <w:color w:val="auto"/>
          <w:szCs w:val="24"/>
        </w:rPr>
        <w:t xml:space="preserve"> This was not a permanent rating and a future review exam was projected for September 2007.</w:t>
      </w:r>
      <w:r>
        <w:rPr>
          <w:rFonts w:asciiTheme="minorHAnsi" w:hAnsiTheme="minorHAnsi"/>
          <w:color w:val="auto"/>
          <w:szCs w:val="24"/>
        </w:rPr>
        <w:t xml:space="preserve"> </w:t>
      </w:r>
      <w:r w:rsidR="005E3F46" w:rsidRPr="00A4201E">
        <w:rPr>
          <w:rFonts w:asciiTheme="minorHAnsi" w:hAnsiTheme="minorHAnsi"/>
          <w:color w:val="auto"/>
          <w:szCs w:val="24"/>
        </w:rPr>
        <w:t xml:space="preserve"> </w:t>
      </w:r>
      <w:r>
        <w:rPr>
          <w:rFonts w:asciiTheme="minorHAnsi" w:hAnsiTheme="minorHAnsi"/>
          <w:color w:val="auto"/>
          <w:szCs w:val="24"/>
        </w:rPr>
        <w:t>The CI</w:t>
      </w:r>
      <w:r w:rsidRPr="00A4201E">
        <w:rPr>
          <w:rFonts w:asciiTheme="minorHAnsi" w:hAnsiTheme="minorHAnsi"/>
          <w:color w:val="auto"/>
          <w:szCs w:val="24"/>
        </w:rPr>
        <w:t xml:space="preserve"> entered regular therapy at the VA after this evaluation.</w:t>
      </w:r>
      <w:r>
        <w:rPr>
          <w:rFonts w:asciiTheme="minorHAnsi" w:hAnsiTheme="minorHAnsi"/>
          <w:color w:val="auto"/>
          <w:szCs w:val="24"/>
        </w:rPr>
        <w:t xml:space="preserve">  </w:t>
      </w:r>
      <w:r w:rsidR="005E3F46" w:rsidRPr="00A4201E">
        <w:rPr>
          <w:rFonts w:asciiTheme="minorHAnsi" w:hAnsiTheme="minorHAnsi"/>
          <w:color w:val="auto"/>
          <w:szCs w:val="24"/>
        </w:rPr>
        <w:t xml:space="preserve">No further psychiatric C&amp;P examinations or VARD’s related to PTSD are in the record available for review. </w:t>
      </w:r>
    </w:p>
    <w:p w:rsidR="005E3F46" w:rsidRPr="00A4201E" w:rsidRDefault="005E3F46" w:rsidP="00A4201E">
      <w:pPr>
        <w:spacing w:line="240" w:lineRule="exact"/>
        <w:jc w:val="both"/>
        <w:rPr>
          <w:rFonts w:asciiTheme="minorHAnsi" w:hAnsiTheme="minorHAnsi"/>
          <w:color w:val="auto"/>
          <w:szCs w:val="24"/>
        </w:rPr>
      </w:pPr>
    </w:p>
    <w:p w:rsidR="00380162" w:rsidRPr="00A4201E" w:rsidRDefault="00F433ED" w:rsidP="00A4201E">
      <w:pPr>
        <w:spacing w:line="240" w:lineRule="exact"/>
        <w:jc w:val="both"/>
        <w:rPr>
          <w:rFonts w:asciiTheme="minorHAnsi" w:hAnsiTheme="minorHAnsi"/>
          <w:color w:val="auto"/>
          <w:szCs w:val="24"/>
        </w:rPr>
      </w:pPr>
      <w:r>
        <w:rPr>
          <w:rFonts w:asciiTheme="minorHAnsi" w:hAnsiTheme="minorHAnsi"/>
          <w:color w:val="auto"/>
          <w:szCs w:val="24"/>
        </w:rPr>
        <w:t>A VA treatment note</w:t>
      </w:r>
      <w:r w:rsidR="00380162" w:rsidRPr="00A4201E">
        <w:rPr>
          <w:rFonts w:asciiTheme="minorHAnsi" w:hAnsiTheme="minorHAnsi"/>
          <w:color w:val="auto"/>
          <w:szCs w:val="24"/>
        </w:rPr>
        <w:t xml:space="preserve"> dated 16 May 2005, two months prior to permanent separation, notes that the CI’s mood and anger had improved with a medication change.  The CI stated “I’m not thinking about blowing my brains out every day.”  He was continuing to experience nightmares and was having significant side effects from his medication including decreased libido and dry mouth.  Mental status exam noted “affect with slightly more range” and no suicidal ideation or other abnormalities.  </w:t>
      </w:r>
      <w:r w:rsidR="00E15230" w:rsidRPr="00A4201E">
        <w:rPr>
          <w:rFonts w:asciiTheme="minorHAnsi" w:hAnsiTheme="minorHAnsi"/>
          <w:color w:val="auto"/>
          <w:szCs w:val="24"/>
        </w:rPr>
        <w:t xml:space="preserve">The examiner noted “clearly responding well to Prozac in terms of treating target symptoms, but side effects of sexual dysfunction unacceptable.”  </w:t>
      </w:r>
      <w:r w:rsidR="003160B6" w:rsidRPr="00A4201E">
        <w:rPr>
          <w:rFonts w:asciiTheme="minorHAnsi" w:hAnsiTheme="minorHAnsi"/>
          <w:color w:val="auto"/>
          <w:szCs w:val="24"/>
        </w:rPr>
        <w:t>VA treatment notes ranging from September 2004 through May 2005 document weekly therapy sessions as well as intermittent group sessions. The CI was very compliant wi</w:t>
      </w:r>
      <w:r>
        <w:rPr>
          <w:rFonts w:asciiTheme="minorHAnsi" w:hAnsiTheme="minorHAnsi"/>
          <w:color w:val="auto"/>
          <w:szCs w:val="24"/>
        </w:rPr>
        <w:t>th both therapy and medications</w:t>
      </w:r>
      <w:r w:rsidR="003160B6" w:rsidRPr="00A4201E">
        <w:rPr>
          <w:rFonts w:asciiTheme="minorHAnsi" w:hAnsiTheme="minorHAnsi"/>
          <w:color w:val="auto"/>
          <w:szCs w:val="24"/>
        </w:rPr>
        <w:t>.</w:t>
      </w:r>
      <w:r>
        <w:rPr>
          <w:rFonts w:asciiTheme="minorHAnsi" w:hAnsiTheme="minorHAnsi"/>
          <w:color w:val="auto"/>
          <w:szCs w:val="24"/>
        </w:rPr>
        <w:t xml:space="preserve"> </w:t>
      </w:r>
      <w:r w:rsidR="003160B6" w:rsidRPr="00A4201E">
        <w:rPr>
          <w:rFonts w:asciiTheme="minorHAnsi" w:hAnsiTheme="minorHAnsi"/>
          <w:color w:val="auto"/>
          <w:szCs w:val="24"/>
        </w:rPr>
        <w:t xml:space="preserve"> However, throughout these sessions the CI remained unable to cope with the everyday stresses of life and parenting</w:t>
      </w:r>
      <w:r w:rsidR="000B7160" w:rsidRPr="00A4201E">
        <w:rPr>
          <w:rFonts w:asciiTheme="minorHAnsi" w:hAnsiTheme="minorHAnsi"/>
          <w:color w:val="auto"/>
          <w:szCs w:val="24"/>
        </w:rPr>
        <w:t xml:space="preserve"> and h</w:t>
      </w:r>
      <w:r w:rsidR="003160B6" w:rsidRPr="00A4201E">
        <w:rPr>
          <w:rFonts w:asciiTheme="minorHAnsi" w:hAnsiTheme="minorHAnsi"/>
          <w:color w:val="auto"/>
          <w:szCs w:val="24"/>
        </w:rPr>
        <w:t>e frequently lost control.</w:t>
      </w:r>
      <w:r>
        <w:rPr>
          <w:rFonts w:asciiTheme="minorHAnsi" w:hAnsiTheme="minorHAnsi"/>
          <w:color w:val="auto"/>
          <w:szCs w:val="24"/>
        </w:rPr>
        <w:t xml:space="preserve"> </w:t>
      </w:r>
      <w:r w:rsidR="003160B6" w:rsidRPr="00A4201E">
        <w:rPr>
          <w:rFonts w:asciiTheme="minorHAnsi" w:hAnsiTheme="minorHAnsi"/>
          <w:color w:val="auto"/>
          <w:szCs w:val="24"/>
        </w:rPr>
        <w:t xml:space="preserve"> He continued to be prescribed narco</w:t>
      </w:r>
      <w:r w:rsidR="000B7160" w:rsidRPr="00A4201E">
        <w:rPr>
          <w:rFonts w:asciiTheme="minorHAnsi" w:hAnsiTheme="minorHAnsi"/>
          <w:color w:val="auto"/>
          <w:szCs w:val="24"/>
        </w:rPr>
        <w:t>tics even though this was most</w:t>
      </w:r>
      <w:r w:rsidR="003160B6" w:rsidRPr="00A4201E">
        <w:rPr>
          <w:rFonts w:asciiTheme="minorHAnsi" w:hAnsiTheme="minorHAnsi"/>
          <w:color w:val="auto"/>
          <w:szCs w:val="24"/>
        </w:rPr>
        <w:t xml:space="preserve"> likely making his post-traumatic headaches wo</w:t>
      </w:r>
      <w:r>
        <w:rPr>
          <w:rFonts w:asciiTheme="minorHAnsi" w:hAnsiTheme="minorHAnsi"/>
          <w:color w:val="auto"/>
          <w:szCs w:val="24"/>
        </w:rPr>
        <w:t>rse</w:t>
      </w:r>
      <w:r w:rsidR="003160B6" w:rsidRPr="00A4201E">
        <w:rPr>
          <w:rFonts w:asciiTheme="minorHAnsi" w:hAnsiTheme="minorHAnsi"/>
          <w:color w:val="auto"/>
          <w:szCs w:val="24"/>
        </w:rPr>
        <w:t xml:space="preserve">. </w:t>
      </w:r>
      <w:r>
        <w:rPr>
          <w:rFonts w:asciiTheme="minorHAnsi" w:hAnsiTheme="minorHAnsi"/>
          <w:color w:val="auto"/>
          <w:szCs w:val="24"/>
        </w:rPr>
        <w:t xml:space="preserve"> </w:t>
      </w:r>
      <w:r w:rsidR="003160B6" w:rsidRPr="00A4201E">
        <w:rPr>
          <w:rFonts w:asciiTheme="minorHAnsi" w:hAnsiTheme="minorHAnsi"/>
          <w:color w:val="auto"/>
          <w:szCs w:val="24"/>
        </w:rPr>
        <w:t xml:space="preserve">Methadone was tried but was discontinued and narcotic prescriptions resumed. </w:t>
      </w:r>
      <w:r>
        <w:rPr>
          <w:rFonts w:asciiTheme="minorHAnsi" w:hAnsiTheme="minorHAnsi"/>
          <w:color w:val="auto"/>
          <w:szCs w:val="24"/>
        </w:rPr>
        <w:t xml:space="preserve"> </w:t>
      </w:r>
      <w:r w:rsidR="005E3F46" w:rsidRPr="00A4201E">
        <w:rPr>
          <w:rFonts w:asciiTheme="minorHAnsi" w:hAnsiTheme="minorHAnsi"/>
          <w:color w:val="auto"/>
          <w:szCs w:val="24"/>
        </w:rPr>
        <w:t>There is no evidence that the CI</w:t>
      </w:r>
      <w:r w:rsidR="000B7160" w:rsidRPr="00A4201E">
        <w:rPr>
          <w:rFonts w:asciiTheme="minorHAnsi" w:hAnsiTheme="minorHAnsi"/>
          <w:color w:val="auto"/>
          <w:szCs w:val="24"/>
        </w:rPr>
        <w:t xml:space="preserve"> attempted to obtain narcotics outside the prescriptions from his primary care provider. </w:t>
      </w:r>
      <w:r>
        <w:rPr>
          <w:rFonts w:asciiTheme="minorHAnsi" w:hAnsiTheme="minorHAnsi"/>
          <w:color w:val="auto"/>
          <w:szCs w:val="24"/>
        </w:rPr>
        <w:t xml:space="preserve"> No VA notes document CI</w:t>
      </w:r>
      <w:r w:rsidR="003160B6" w:rsidRPr="00A4201E">
        <w:rPr>
          <w:rFonts w:asciiTheme="minorHAnsi" w:hAnsiTheme="minorHAnsi"/>
          <w:color w:val="auto"/>
          <w:szCs w:val="24"/>
        </w:rPr>
        <w:t xml:space="preserve"> any significant alcohol intake</w:t>
      </w:r>
      <w:r w:rsidR="000B7160" w:rsidRPr="00A4201E">
        <w:rPr>
          <w:rFonts w:asciiTheme="minorHAnsi" w:hAnsiTheme="minorHAnsi"/>
          <w:color w:val="auto"/>
          <w:szCs w:val="24"/>
        </w:rPr>
        <w:t xml:space="preserve"> and letters to the FPEB fro</w:t>
      </w:r>
      <w:r w:rsidR="003160B6" w:rsidRPr="00A4201E">
        <w:rPr>
          <w:rFonts w:asciiTheme="minorHAnsi" w:hAnsiTheme="minorHAnsi"/>
          <w:color w:val="auto"/>
          <w:szCs w:val="24"/>
        </w:rPr>
        <w:t xml:space="preserve">m the CI’s mother-in-law and pastor refute excessive use of alcohol. </w:t>
      </w:r>
      <w:r>
        <w:rPr>
          <w:rFonts w:asciiTheme="minorHAnsi" w:hAnsiTheme="minorHAnsi"/>
          <w:color w:val="auto"/>
          <w:szCs w:val="24"/>
        </w:rPr>
        <w:t xml:space="preserve"> </w:t>
      </w:r>
      <w:r w:rsidR="003160B6" w:rsidRPr="00A4201E">
        <w:rPr>
          <w:rFonts w:asciiTheme="minorHAnsi" w:hAnsiTheme="minorHAnsi"/>
          <w:color w:val="auto"/>
          <w:szCs w:val="24"/>
        </w:rPr>
        <w:t>The reason for this discrepancy from the CI’s self-report on the TDRL evaluation is not clear.</w:t>
      </w:r>
    </w:p>
    <w:p w:rsidR="00E15230" w:rsidRPr="00A4201E" w:rsidRDefault="00E15230" w:rsidP="00A4201E">
      <w:pPr>
        <w:spacing w:line="240" w:lineRule="exact"/>
        <w:jc w:val="both"/>
        <w:rPr>
          <w:rFonts w:asciiTheme="minorHAnsi" w:hAnsiTheme="minorHAnsi"/>
          <w:color w:val="auto"/>
          <w:szCs w:val="24"/>
        </w:rPr>
      </w:pPr>
    </w:p>
    <w:p w:rsidR="00E15230" w:rsidRPr="00A4201E" w:rsidRDefault="00E15230" w:rsidP="00A4201E">
      <w:pPr>
        <w:spacing w:line="240" w:lineRule="exact"/>
        <w:jc w:val="both"/>
        <w:rPr>
          <w:color w:val="auto"/>
          <w:szCs w:val="24"/>
        </w:rPr>
      </w:pPr>
      <w:r w:rsidRPr="00A4201E">
        <w:rPr>
          <w:color w:val="auto"/>
          <w:szCs w:val="24"/>
        </w:rPr>
        <w:t>The Board directs its attention to its rating recommendations based on the evidence just described.</w:t>
      </w:r>
      <w:r w:rsidR="00323DE9" w:rsidRPr="00A4201E">
        <w:rPr>
          <w:rFonts w:cs="Calibri"/>
          <w:color w:val="000000"/>
          <w:szCs w:val="24"/>
        </w:rPr>
        <w:t xml:space="preserve">  </w:t>
      </w:r>
      <w:r w:rsidR="00323DE9" w:rsidRPr="00A4201E">
        <w:rPr>
          <w:color w:val="auto"/>
          <w:szCs w:val="24"/>
        </w:rPr>
        <w:t xml:space="preserve">All members agreed that the §4.130 criteria for a rating higher than 50% were not met at the time of </w:t>
      </w:r>
      <w:r w:rsidR="002D47F8">
        <w:rPr>
          <w:color w:val="auto"/>
          <w:szCs w:val="24"/>
        </w:rPr>
        <w:t>TDRL entrance</w:t>
      </w:r>
      <w:r w:rsidR="00323DE9" w:rsidRPr="00A4201E">
        <w:rPr>
          <w:color w:val="auto"/>
          <w:szCs w:val="24"/>
        </w:rPr>
        <w:t xml:space="preserve">, and therefore the minimum 50% TDRL rating (as explained above) is applicable.  </w:t>
      </w:r>
      <w:r w:rsidRPr="00A4201E">
        <w:rPr>
          <w:color w:val="auto"/>
          <w:szCs w:val="24"/>
        </w:rPr>
        <w:t>As regards the permanent rating recommendation, all members agreed that the §4.130 threshold for a 70% rating was not approached and that the criteria for a 10%</w:t>
      </w:r>
      <w:r w:rsidR="0039119A" w:rsidRPr="00A4201E">
        <w:rPr>
          <w:color w:val="auto"/>
          <w:szCs w:val="24"/>
        </w:rPr>
        <w:t xml:space="preserve"> rating were well-exceeded. </w:t>
      </w:r>
      <w:r w:rsidRPr="00A4201E">
        <w:rPr>
          <w:color w:val="auto"/>
          <w:szCs w:val="24"/>
        </w:rPr>
        <w:t xml:space="preserve"> The deliberation settled on arguments for a </w:t>
      </w:r>
      <w:r w:rsidR="0039119A" w:rsidRPr="00F433ED">
        <w:rPr>
          <w:color w:val="auto"/>
          <w:szCs w:val="24"/>
        </w:rPr>
        <w:t>3</w:t>
      </w:r>
      <w:r w:rsidRPr="00F433ED">
        <w:rPr>
          <w:color w:val="auto"/>
          <w:szCs w:val="24"/>
        </w:rPr>
        <w:t>0</w:t>
      </w:r>
      <w:r w:rsidRPr="00A4201E">
        <w:rPr>
          <w:color w:val="auto"/>
          <w:szCs w:val="24"/>
        </w:rPr>
        <w:t xml:space="preserve">% versus a </w:t>
      </w:r>
      <w:r w:rsidR="0039119A" w:rsidRPr="00F433ED">
        <w:rPr>
          <w:color w:val="auto"/>
          <w:szCs w:val="24"/>
        </w:rPr>
        <w:t>5</w:t>
      </w:r>
      <w:r w:rsidRPr="00F433ED">
        <w:rPr>
          <w:color w:val="auto"/>
          <w:szCs w:val="24"/>
        </w:rPr>
        <w:t>0</w:t>
      </w:r>
      <w:r w:rsidRPr="00A4201E">
        <w:rPr>
          <w:color w:val="auto"/>
          <w:szCs w:val="24"/>
        </w:rPr>
        <w:t xml:space="preserve">% permanent rating recommendation. </w:t>
      </w:r>
      <w:r w:rsidR="00881918" w:rsidRPr="00A4201E">
        <w:rPr>
          <w:color w:val="auto"/>
          <w:szCs w:val="24"/>
        </w:rPr>
        <w:t>The general description in §4.130 for a 50% rating</w:t>
      </w:r>
      <w:r w:rsidR="00636D09">
        <w:rPr>
          <w:color w:val="auto"/>
          <w:szCs w:val="24"/>
        </w:rPr>
        <w:t xml:space="preserve"> is </w:t>
      </w:r>
      <w:r w:rsidR="00881918" w:rsidRPr="00A4201E">
        <w:rPr>
          <w:color w:val="auto"/>
          <w:szCs w:val="24"/>
        </w:rPr>
        <w:t>“occupational and social impairment with reduc</w:t>
      </w:r>
      <w:r w:rsidR="00636D09">
        <w:rPr>
          <w:color w:val="auto"/>
          <w:szCs w:val="24"/>
        </w:rPr>
        <w:t>ed reliability and productivity</w:t>
      </w:r>
      <w:r w:rsidR="009817F6" w:rsidRPr="00A4201E">
        <w:rPr>
          <w:color w:val="auto"/>
          <w:szCs w:val="24"/>
        </w:rPr>
        <w:t>.</w:t>
      </w:r>
      <w:r w:rsidR="009D3A56">
        <w:rPr>
          <w:color w:val="auto"/>
          <w:szCs w:val="24"/>
        </w:rPr>
        <w:t>”</w:t>
      </w:r>
      <w:r w:rsidR="009817F6" w:rsidRPr="00A4201E">
        <w:rPr>
          <w:color w:val="auto"/>
          <w:szCs w:val="24"/>
        </w:rPr>
        <w:t xml:space="preserve">  </w:t>
      </w:r>
      <w:r w:rsidR="00636D09" w:rsidRPr="00636D09">
        <w:rPr>
          <w:color w:val="auto"/>
          <w:szCs w:val="24"/>
        </w:rPr>
        <w:t xml:space="preserve">A 50% rating IAW §4.130 would rely on an inference that the acuity of reported symptoms could reasonably be expected to result in impaired occupational reliability and productivity, without objective confirmation that this was indeed the case. </w:t>
      </w:r>
      <w:r w:rsidR="00636D09">
        <w:rPr>
          <w:color w:val="auto"/>
          <w:szCs w:val="24"/>
        </w:rPr>
        <w:t xml:space="preserve"> </w:t>
      </w:r>
      <w:r w:rsidR="009D3A56">
        <w:rPr>
          <w:color w:val="auto"/>
          <w:szCs w:val="24"/>
        </w:rPr>
        <w:t xml:space="preserve">The 30% description </w:t>
      </w:r>
      <w:r w:rsidR="00636D09" w:rsidRPr="00636D09">
        <w:rPr>
          <w:color w:val="auto"/>
          <w:szCs w:val="24"/>
        </w:rPr>
        <w:t xml:space="preserve">“occupational and social impairment with occasional decrease in work efficiency and intermittent periods of inability to perform occupational tasks” is a better fit with the occupational functioning in evidence since decreased efficiency can be assumed even though reliability and productivity </w:t>
      </w:r>
      <w:r w:rsidR="00636D09">
        <w:rPr>
          <w:color w:val="auto"/>
          <w:szCs w:val="24"/>
        </w:rPr>
        <w:t>were not demonstrably affected.</w:t>
      </w:r>
      <w:r w:rsidR="009817F6" w:rsidRPr="00A4201E">
        <w:rPr>
          <w:color w:val="auto"/>
          <w:szCs w:val="24"/>
        </w:rPr>
        <w:t xml:space="preserve"> </w:t>
      </w:r>
      <w:r w:rsidRPr="00A4201E">
        <w:rPr>
          <w:color w:val="auto"/>
          <w:szCs w:val="24"/>
        </w:rPr>
        <w:t xml:space="preserve"> The Board deliberated </w:t>
      </w:r>
      <w:r w:rsidR="003160B6" w:rsidRPr="00A4201E">
        <w:rPr>
          <w:color w:val="auto"/>
          <w:szCs w:val="24"/>
        </w:rPr>
        <w:t xml:space="preserve">whether </w:t>
      </w:r>
      <w:r w:rsidRPr="00A4201E">
        <w:rPr>
          <w:color w:val="auto"/>
          <w:szCs w:val="24"/>
        </w:rPr>
        <w:t>the CI’s suicidal ideation supported a 70% rating recommendation, although the preponderance</w:t>
      </w:r>
      <w:r w:rsidR="0039119A" w:rsidRPr="00A4201E">
        <w:rPr>
          <w:color w:val="auto"/>
          <w:szCs w:val="24"/>
        </w:rPr>
        <w:t xml:space="preserve"> of the hard evidence favors a </w:t>
      </w:r>
      <w:r w:rsidR="00636D09">
        <w:rPr>
          <w:color w:val="auto"/>
          <w:szCs w:val="24"/>
        </w:rPr>
        <w:t>30%</w:t>
      </w:r>
      <w:r w:rsidRPr="00A4201E">
        <w:rPr>
          <w:color w:val="auto"/>
          <w:szCs w:val="24"/>
        </w:rPr>
        <w:t xml:space="preserve"> rating strictly IAW VASRD §4.130.</w:t>
      </w:r>
      <w:r w:rsidR="00323DE9" w:rsidRPr="00A4201E">
        <w:rPr>
          <w:color w:val="auto"/>
          <w:szCs w:val="24"/>
        </w:rPr>
        <w:t xml:space="preserve">  The “deficiencies” referenced in the 70% rating are not </w:t>
      </w:r>
      <w:r w:rsidR="00323DE9" w:rsidRPr="00A4201E">
        <w:rPr>
          <w:color w:val="auto"/>
          <w:szCs w:val="24"/>
        </w:rPr>
        <w:lastRenderedPageBreak/>
        <w:t xml:space="preserve">defined as to severity but typical markers for the 70% rating are under-employment, persistent suicidal ideation, sporadically incapacitating symptoms, serious cognitive impediments and the need for occasional psychiatric admissions. </w:t>
      </w:r>
      <w:r w:rsidR="00636D09">
        <w:rPr>
          <w:color w:val="auto"/>
          <w:szCs w:val="24"/>
        </w:rPr>
        <w:t xml:space="preserve"> </w:t>
      </w:r>
      <w:r w:rsidR="00323DE9" w:rsidRPr="00A4201E">
        <w:rPr>
          <w:color w:val="auto"/>
          <w:szCs w:val="24"/>
        </w:rPr>
        <w:t>There was Board consensus that the significant threshold indicators for the 70% rating were not evidenced in this case.</w:t>
      </w:r>
      <w:r w:rsidR="0039119A" w:rsidRPr="00A4201E">
        <w:rPr>
          <w:color w:val="auto"/>
          <w:szCs w:val="24"/>
        </w:rPr>
        <w:t xml:space="preserve"> </w:t>
      </w:r>
      <w:r w:rsidRPr="00A4201E">
        <w:rPr>
          <w:color w:val="auto"/>
          <w:szCs w:val="24"/>
        </w:rPr>
        <w:t xml:space="preserve"> </w:t>
      </w:r>
      <w:r w:rsidR="0039119A" w:rsidRPr="00A4201E">
        <w:rPr>
          <w:color w:val="auto"/>
          <w:szCs w:val="24"/>
        </w:rPr>
        <w:t xml:space="preserve">The Board </w:t>
      </w:r>
      <w:r w:rsidR="00323DE9" w:rsidRPr="00A4201E">
        <w:rPr>
          <w:color w:val="auto"/>
          <w:szCs w:val="24"/>
        </w:rPr>
        <w:t xml:space="preserve">specifically </w:t>
      </w:r>
      <w:r w:rsidR="0039119A" w:rsidRPr="00A4201E">
        <w:rPr>
          <w:color w:val="auto"/>
          <w:szCs w:val="24"/>
        </w:rPr>
        <w:t xml:space="preserve">noted that the VA treatment note two months prior to separation documented a reduction in his suicidal ideation with a change in medication.  </w:t>
      </w:r>
      <w:r w:rsidR="00AA1CD7" w:rsidRPr="00A4201E">
        <w:rPr>
          <w:color w:val="auto"/>
          <w:szCs w:val="24"/>
        </w:rPr>
        <w:t xml:space="preserve">A relevant issue confronted by the Board was whether the PEB adjudication of a deduction for alcohol abuse was justifiable in this case. </w:t>
      </w:r>
      <w:r w:rsidR="00636D09">
        <w:rPr>
          <w:color w:val="auto"/>
          <w:szCs w:val="24"/>
        </w:rPr>
        <w:t xml:space="preserve"> </w:t>
      </w:r>
      <w:r w:rsidR="00AA1CD7" w:rsidRPr="00A4201E">
        <w:rPr>
          <w:color w:val="auto"/>
          <w:szCs w:val="24"/>
        </w:rPr>
        <w:t xml:space="preserve">The fact that alcohol and/or substance abuse is one of the Diagnostic and Statistical Manual of Mental Disorders (DSM IV) criteria for the diagnosis of PTSD constitutes a ready challenge to the PEB’s judgment that alcohol abuse could be divested from PTSD as a non-compensable impairment.  </w:t>
      </w:r>
      <w:r w:rsidR="000B7160" w:rsidRPr="00A4201E">
        <w:rPr>
          <w:color w:val="auto"/>
          <w:szCs w:val="24"/>
        </w:rPr>
        <w:t xml:space="preserve">The </w:t>
      </w:r>
      <w:r w:rsidR="005E3F46" w:rsidRPr="00A4201E">
        <w:rPr>
          <w:color w:val="auto"/>
          <w:szCs w:val="24"/>
        </w:rPr>
        <w:t xml:space="preserve">available </w:t>
      </w:r>
      <w:r w:rsidR="000B7160" w:rsidRPr="00A4201E">
        <w:rPr>
          <w:color w:val="auto"/>
          <w:szCs w:val="24"/>
        </w:rPr>
        <w:t xml:space="preserve">record contains conflicting evidence as to the presence of alcohol abuse as an active condition as described </w:t>
      </w:r>
      <w:r w:rsidR="009D3A56" w:rsidRPr="00A4201E">
        <w:rPr>
          <w:color w:val="auto"/>
          <w:szCs w:val="24"/>
        </w:rPr>
        <w:t>above</w:t>
      </w:r>
      <w:r w:rsidR="009D3A56">
        <w:rPr>
          <w:color w:val="auto"/>
          <w:szCs w:val="24"/>
        </w:rPr>
        <w:t>. The action o</w:t>
      </w:r>
      <w:r w:rsidR="00AA1CD7" w:rsidRPr="00A4201E">
        <w:rPr>
          <w:color w:val="auto"/>
          <w:szCs w:val="24"/>
        </w:rPr>
        <w:t xml:space="preserve">fficer opines in this case that: </w:t>
      </w:r>
      <w:r w:rsidR="009D3A56">
        <w:rPr>
          <w:color w:val="auto"/>
          <w:szCs w:val="24"/>
        </w:rPr>
        <w:t xml:space="preserve"> 1) i</w:t>
      </w:r>
      <w:r w:rsidR="00AA1CD7" w:rsidRPr="00A4201E">
        <w:rPr>
          <w:color w:val="auto"/>
          <w:szCs w:val="24"/>
        </w:rPr>
        <w:t>f there was any residual impairment from the alcohol abuse condition at the time of separation, it could not be clinically separated from the unfit</w:t>
      </w:r>
      <w:r w:rsidR="009D3A56">
        <w:rPr>
          <w:color w:val="auto"/>
          <w:szCs w:val="24"/>
        </w:rPr>
        <w:t>ting PTSD under DSM-IV; and 2) e</w:t>
      </w:r>
      <w:r w:rsidR="00AA1CD7" w:rsidRPr="00A4201E">
        <w:rPr>
          <w:color w:val="auto"/>
          <w:szCs w:val="24"/>
        </w:rPr>
        <w:t>ven if it were, any psychiatric impairment from alcohol could not be separated from the psychiatric impairment from PTSD without undue speculation; and, therefore could not be grounds for any deduction from the overall impairment under VASRD §4.130.</w:t>
      </w:r>
      <w:r w:rsidR="00636D09">
        <w:rPr>
          <w:color w:val="auto"/>
          <w:szCs w:val="24"/>
        </w:rPr>
        <w:t xml:space="preserve"> </w:t>
      </w:r>
      <w:r w:rsidR="00AA1CD7" w:rsidRPr="00A4201E">
        <w:rPr>
          <w:color w:val="auto"/>
          <w:szCs w:val="24"/>
        </w:rPr>
        <w:t xml:space="preserve"> </w:t>
      </w:r>
      <w:r w:rsidRPr="00A4201E">
        <w:rPr>
          <w:color w:val="auto"/>
          <w:szCs w:val="24"/>
        </w:rPr>
        <w:t xml:space="preserve">After due deliberation, considering the totality of the evidence and mindful of VASRD §4.3 (reasonable doubt), the Board recommends a permanent PTSD disability rating of </w:t>
      </w:r>
      <w:r w:rsidR="00DD3C15">
        <w:rPr>
          <w:color w:val="auto"/>
          <w:szCs w:val="24"/>
        </w:rPr>
        <w:t>30%</w:t>
      </w:r>
      <w:r w:rsidRPr="00A4201E">
        <w:rPr>
          <w:color w:val="auto"/>
          <w:szCs w:val="24"/>
        </w:rPr>
        <w:t xml:space="preserve"> in this case.</w:t>
      </w:r>
    </w:p>
    <w:p w:rsidR="00E15230" w:rsidRPr="00A4201E" w:rsidRDefault="00E15230" w:rsidP="00A4201E">
      <w:pPr>
        <w:spacing w:line="240" w:lineRule="exact"/>
        <w:jc w:val="both"/>
        <w:rPr>
          <w:rFonts w:asciiTheme="minorHAnsi" w:hAnsiTheme="minorHAnsi"/>
          <w:color w:val="auto"/>
          <w:szCs w:val="24"/>
        </w:rPr>
      </w:pPr>
    </w:p>
    <w:p w:rsidR="00472272" w:rsidRPr="00A4201E" w:rsidRDefault="00472272" w:rsidP="00A4201E">
      <w:pPr>
        <w:spacing w:line="240" w:lineRule="exact"/>
        <w:jc w:val="both"/>
        <w:rPr>
          <w:rFonts w:asciiTheme="minorHAnsi" w:eastAsia="HiddenHorzOCR" w:hAnsiTheme="minorHAnsi"/>
          <w:color w:val="auto"/>
          <w:szCs w:val="24"/>
        </w:rPr>
      </w:pPr>
      <w:r w:rsidRPr="00A4201E">
        <w:rPr>
          <w:rFonts w:asciiTheme="minorHAnsi" w:eastAsia="HiddenHorzOCR" w:hAnsiTheme="minorHAnsi"/>
          <w:color w:val="auto"/>
          <w:szCs w:val="24"/>
          <w:u w:val="single"/>
        </w:rPr>
        <w:t>Other PEB Conditions</w:t>
      </w:r>
      <w:r w:rsidRPr="00A4201E">
        <w:rPr>
          <w:rFonts w:asciiTheme="minorHAnsi" w:eastAsia="HiddenHorzOCR" w:hAnsiTheme="minorHAnsi"/>
          <w:color w:val="auto"/>
          <w:szCs w:val="24"/>
        </w:rPr>
        <w:t>:  The other conditions forwarded by the MEB and adjudicated as not unfitting by the PEB were bilateral subjective tinnitus, traumatic tooth loss dental type II, and retropatellar pain syndrome. None of these conditions were profiled, implicated in the commander’s statement</w:t>
      </w:r>
      <w:r w:rsidR="000B7160" w:rsidRPr="00A4201E">
        <w:rPr>
          <w:rFonts w:asciiTheme="minorHAnsi" w:eastAsia="HiddenHorzOCR" w:hAnsiTheme="minorHAnsi"/>
          <w:color w:val="auto"/>
          <w:szCs w:val="24"/>
        </w:rPr>
        <w:t>,</w:t>
      </w:r>
      <w:r w:rsidRPr="00A4201E">
        <w:rPr>
          <w:rFonts w:asciiTheme="minorHAnsi" w:eastAsia="HiddenHorzOCR" w:hAnsiTheme="minorHAnsi"/>
          <w:color w:val="auto"/>
          <w:szCs w:val="24"/>
        </w:rPr>
        <w:t xml:space="preserve"> or noted as failing retention standards.  All were reviewed by the action officer and considered by the Board.  There was no indication from the record that any of these conditions significantly interfered with satisfactory performance of MOS duty requirements.  All evidence considered</w:t>
      </w:r>
      <w:proofErr w:type="gramStart"/>
      <w:r w:rsidRPr="00A4201E">
        <w:rPr>
          <w:rFonts w:asciiTheme="minorHAnsi" w:eastAsia="HiddenHorzOCR" w:hAnsiTheme="minorHAnsi"/>
          <w:color w:val="auto"/>
          <w:szCs w:val="24"/>
        </w:rPr>
        <w:t>,</w:t>
      </w:r>
      <w:proofErr w:type="gramEnd"/>
      <w:r w:rsidRPr="00A4201E">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p>
    <w:p w:rsidR="00472272" w:rsidRPr="00A4201E" w:rsidRDefault="00472272" w:rsidP="00A4201E">
      <w:pPr>
        <w:spacing w:line="240" w:lineRule="exact"/>
        <w:jc w:val="both"/>
        <w:rPr>
          <w:rFonts w:asciiTheme="minorHAnsi" w:eastAsia="HiddenHorzOCR" w:hAnsiTheme="minorHAnsi"/>
          <w:color w:val="auto"/>
          <w:szCs w:val="24"/>
        </w:rPr>
      </w:pPr>
    </w:p>
    <w:p w:rsidR="004A67D6" w:rsidRPr="00A4201E" w:rsidRDefault="004A67D6" w:rsidP="00A4201E">
      <w:pPr>
        <w:spacing w:line="240" w:lineRule="exact"/>
        <w:jc w:val="both"/>
        <w:rPr>
          <w:rFonts w:asciiTheme="minorHAnsi" w:hAnsiTheme="minorHAnsi"/>
          <w:color w:val="auto"/>
          <w:szCs w:val="24"/>
          <w:u w:val="single"/>
        </w:rPr>
      </w:pPr>
      <w:r w:rsidRPr="00A4201E">
        <w:rPr>
          <w:rFonts w:asciiTheme="minorHAnsi" w:hAnsiTheme="minorHAnsi"/>
          <w:color w:val="auto"/>
          <w:szCs w:val="24"/>
          <w:u w:val="single"/>
        </w:rPr>
        <w:t>Remaining Conditions</w:t>
      </w:r>
      <w:r w:rsidRPr="00A4201E">
        <w:rPr>
          <w:rFonts w:asciiTheme="minorHAnsi" w:hAnsiTheme="minorHAnsi"/>
          <w:color w:val="auto"/>
          <w:szCs w:val="24"/>
        </w:rPr>
        <w:t>:  Other conditions identified in the DES file were</w:t>
      </w:r>
      <w:r w:rsidR="00842420" w:rsidRPr="00A4201E">
        <w:rPr>
          <w:rFonts w:asciiTheme="minorHAnsi" w:hAnsiTheme="minorHAnsi"/>
          <w:color w:val="auto"/>
          <w:szCs w:val="24"/>
        </w:rPr>
        <w:t xml:space="preserve"> mouth injury with dental work</w:t>
      </w:r>
      <w:r w:rsidRPr="00A4201E">
        <w:rPr>
          <w:rFonts w:asciiTheme="minorHAnsi" w:hAnsiTheme="minorHAnsi"/>
          <w:color w:val="auto"/>
          <w:szCs w:val="24"/>
        </w:rPr>
        <w:t>, bony prominences of the left foot,</w:t>
      </w:r>
      <w:r w:rsidR="00842420" w:rsidRPr="00A4201E">
        <w:rPr>
          <w:rFonts w:asciiTheme="minorHAnsi" w:hAnsiTheme="minorHAnsi"/>
          <w:color w:val="auto"/>
          <w:szCs w:val="24"/>
        </w:rPr>
        <w:t xml:space="preserve"> gastroesophageal reflux disease,</w:t>
      </w:r>
      <w:r w:rsidRPr="00A4201E">
        <w:rPr>
          <w:rFonts w:asciiTheme="minorHAnsi" w:hAnsiTheme="minorHAnsi"/>
          <w:color w:val="auto"/>
          <w:szCs w:val="24"/>
        </w:rPr>
        <w:t xml:space="preserve"> h</w:t>
      </w:r>
      <w:r w:rsidR="00842420" w:rsidRPr="00A4201E">
        <w:rPr>
          <w:rFonts w:asciiTheme="minorHAnsi" w:hAnsiTheme="minorHAnsi"/>
          <w:color w:val="auto"/>
          <w:szCs w:val="24"/>
        </w:rPr>
        <w:t>eadaches</w:t>
      </w:r>
      <w:r w:rsidRPr="00A4201E">
        <w:rPr>
          <w:rFonts w:asciiTheme="minorHAnsi" w:hAnsiTheme="minorHAnsi"/>
          <w:color w:val="auto"/>
          <w:szCs w:val="24"/>
        </w:rPr>
        <w:t xml:space="preserve"> and low back pain.  Several additional non-acute conditions or medical complaints were also documented.  None of these conditions were clinically active during the MEB period, none carried attached profiles and none were implicated in the commander’s statement.  These conditions were reviewed by the action officer and considered by the Board.  It was determined that none could be argued as unfitting and subject to separation rating.  No other conditions were service connected with a compensable rating by the VA within </w:t>
      </w:r>
      <w:r w:rsidR="009D3A56">
        <w:rPr>
          <w:rFonts w:asciiTheme="minorHAnsi" w:hAnsiTheme="minorHAnsi"/>
          <w:color w:val="auto"/>
          <w:szCs w:val="24"/>
        </w:rPr>
        <w:t xml:space="preserve">12 </w:t>
      </w:r>
      <w:r w:rsidRPr="00A4201E">
        <w:rPr>
          <w:rFonts w:asciiTheme="minorHAnsi" w:hAnsiTheme="minorHAnsi"/>
          <w:color w:val="auto"/>
          <w:szCs w:val="24"/>
        </w:rPr>
        <w:t>months of separation or contended by the CI.  The Board, therefore, has no reasonable basis for recommending any additional unfitting conditions for separation rating.</w:t>
      </w:r>
    </w:p>
    <w:p w:rsidR="00F1737C" w:rsidRPr="00A4201E" w:rsidRDefault="00F1737C" w:rsidP="00A4201E">
      <w:pPr>
        <w:pBdr>
          <w:bottom w:val="single" w:sz="12" w:space="1" w:color="auto"/>
        </w:pBdr>
        <w:tabs>
          <w:tab w:val="left" w:pos="288"/>
          <w:tab w:val="left" w:pos="4752"/>
        </w:tabs>
        <w:spacing w:line="240" w:lineRule="exact"/>
        <w:jc w:val="both"/>
        <w:rPr>
          <w:rFonts w:asciiTheme="minorHAnsi" w:hAnsiTheme="minorHAnsi"/>
          <w:b/>
          <w:color w:val="auto"/>
          <w:szCs w:val="24"/>
          <w:u w:val="single"/>
        </w:rPr>
      </w:pPr>
    </w:p>
    <w:p w:rsidR="00F1737C" w:rsidRPr="00A4201E" w:rsidRDefault="00F1737C" w:rsidP="00A4201E">
      <w:pPr>
        <w:spacing w:line="240" w:lineRule="exact"/>
        <w:jc w:val="both"/>
        <w:rPr>
          <w:rFonts w:asciiTheme="minorHAnsi" w:hAnsiTheme="minorHAnsi"/>
          <w:b/>
          <w:color w:val="auto"/>
          <w:szCs w:val="24"/>
          <w:u w:val="single"/>
        </w:rPr>
      </w:pPr>
    </w:p>
    <w:p w:rsidR="00DD3C15" w:rsidRPr="00A4201E" w:rsidRDefault="00C56FC8" w:rsidP="00DD3C15">
      <w:pPr>
        <w:spacing w:line="240" w:lineRule="exact"/>
        <w:jc w:val="both"/>
        <w:rPr>
          <w:rFonts w:asciiTheme="minorHAnsi" w:eastAsiaTheme="minorHAnsi" w:hAnsiTheme="minorHAnsi"/>
          <w:color w:val="auto"/>
          <w:szCs w:val="24"/>
        </w:rPr>
      </w:pPr>
      <w:r w:rsidRPr="00A4201E">
        <w:rPr>
          <w:rFonts w:asciiTheme="minorHAnsi" w:hAnsiTheme="minorHAnsi"/>
          <w:color w:val="auto"/>
          <w:szCs w:val="24"/>
          <w:u w:val="single"/>
        </w:rPr>
        <w:t>BOARD FINDINGS</w:t>
      </w:r>
      <w:r w:rsidRPr="00A4201E">
        <w:rPr>
          <w:rFonts w:asciiTheme="minorHAnsi" w:hAnsiTheme="minorHAnsi"/>
          <w:color w:val="auto"/>
          <w:szCs w:val="24"/>
        </w:rPr>
        <w:t>:</w:t>
      </w:r>
      <w:r w:rsidRPr="00A4201E">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42420" w:rsidRPr="00A4201E">
        <w:rPr>
          <w:rFonts w:asciiTheme="minorHAnsi" w:eastAsiaTheme="minorHAnsi" w:hAnsiTheme="minorHAnsi"/>
          <w:color w:val="auto"/>
          <w:szCs w:val="24"/>
        </w:rPr>
        <w:t xml:space="preserve">  As discussed above, PEB reliance on DoDI 1332.39 for rating PTSD was operant in this case and the condition was adjudicated independently of that instruction by the Board.</w:t>
      </w:r>
      <w:r w:rsidR="00DD3C15">
        <w:rPr>
          <w:rFonts w:asciiTheme="minorHAnsi" w:eastAsiaTheme="minorHAnsi" w:hAnsiTheme="minorHAnsi"/>
          <w:color w:val="auto"/>
          <w:szCs w:val="24"/>
        </w:rPr>
        <w:t xml:space="preserve">  </w:t>
      </w:r>
      <w:r w:rsidR="005D1C74" w:rsidRPr="00A4201E">
        <w:rPr>
          <w:rFonts w:asciiTheme="minorHAnsi" w:eastAsiaTheme="minorHAnsi" w:hAnsiTheme="minorHAnsi"/>
          <w:color w:val="auto"/>
          <w:szCs w:val="24"/>
        </w:rPr>
        <w:t xml:space="preserve">In the matter of the </w:t>
      </w:r>
      <w:r w:rsidR="009D3A56">
        <w:rPr>
          <w:rFonts w:asciiTheme="minorHAnsi" w:eastAsiaTheme="minorHAnsi" w:hAnsiTheme="minorHAnsi"/>
          <w:color w:val="auto"/>
          <w:szCs w:val="24"/>
        </w:rPr>
        <w:t xml:space="preserve">PTSD </w:t>
      </w:r>
      <w:r w:rsidR="00DD3C15">
        <w:rPr>
          <w:rFonts w:asciiTheme="minorHAnsi" w:eastAsiaTheme="minorHAnsi" w:hAnsiTheme="minorHAnsi"/>
          <w:color w:val="auto"/>
          <w:szCs w:val="24"/>
        </w:rPr>
        <w:t>condition, the Board, [by a vote of 2:1]</w:t>
      </w:r>
      <w:r w:rsidR="005D1C74" w:rsidRPr="00A4201E">
        <w:rPr>
          <w:rFonts w:asciiTheme="minorHAnsi" w:eastAsiaTheme="minorHAnsi" w:hAnsiTheme="minorHAnsi"/>
          <w:color w:val="auto"/>
          <w:szCs w:val="24"/>
        </w:rPr>
        <w:t xml:space="preserve"> recommends </w:t>
      </w:r>
      <w:r w:rsidR="00041426">
        <w:rPr>
          <w:rFonts w:asciiTheme="minorHAnsi" w:eastAsiaTheme="minorHAnsi" w:hAnsiTheme="minorHAnsi"/>
          <w:color w:val="auto"/>
          <w:szCs w:val="24"/>
        </w:rPr>
        <w:t xml:space="preserve">a </w:t>
      </w:r>
      <w:r w:rsidR="0051088F">
        <w:rPr>
          <w:rFonts w:asciiTheme="minorHAnsi" w:eastAsiaTheme="minorHAnsi" w:hAnsiTheme="minorHAnsi"/>
          <w:color w:val="auto"/>
          <w:szCs w:val="24"/>
        </w:rPr>
        <w:t xml:space="preserve">permanent </w:t>
      </w:r>
      <w:r w:rsidR="005D1C74" w:rsidRPr="00A4201E">
        <w:rPr>
          <w:rFonts w:asciiTheme="minorHAnsi" w:eastAsiaTheme="minorHAnsi" w:hAnsiTheme="minorHAnsi"/>
          <w:color w:val="auto"/>
          <w:szCs w:val="24"/>
        </w:rPr>
        <w:t xml:space="preserve">separation rating of </w:t>
      </w:r>
      <w:r w:rsidR="00DD3C15">
        <w:rPr>
          <w:rFonts w:asciiTheme="minorHAnsi" w:eastAsiaTheme="minorHAnsi" w:hAnsiTheme="minorHAnsi"/>
          <w:color w:val="auto"/>
          <w:szCs w:val="24"/>
        </w:rPr>
        <w:t>30%</w:t>
      </w:r>
      <w:r w:rsidR="00041426">
        <w:rPr>
          <w:rFonts w:asciiTheme="minorHAnsi" w:eastAsiaTheme="minorHAnsi" w:hAnsiTheme="minorHAnsi"/>
          <w:color w:val="auto"/>
          <w:szCs w:val="24"/>
        </w:rPr>
        <w:t>, after removal from the TDRL,</w:t>
      </w:r>
      <w:r w:rsidR="0051088F">
        <w:rPr>
          <w:rFonts w:asciiTheme="minorHAnsi" w:eastAsiaTheme="minorHAnsi" w:hAnsiTheme="minorHAnsi"/>
          <w:color w:val="auto"/>
          <w:szCs w:val="24"/>
        </w:rPr>
        <w:t xml:space="preserve"> </w:t>
      </w:r>
      <w:r w:rsidR="005D1C74" w:rsidRPr="00A4201E">
        <w:rPr>
          <w:rFonts w:asciiTheme="minorHAnsi" w:eastAsiaTheme="minorHAnsi" w:hAnsiTheme="minorHAnsi"/>
          <w:color w:val="auto"/>
          <w:szCs w:val="24"/>
        </w:rPr>
        <w:t>coded 9411 IAW VASRD §4.130.</w:t>
      </w:r>
      <w:r w:rsidR="00DD3C15">
        <w:rPr>
          <w:rFonts w:asciiTheme="minorHAnsi" w:eastAsiaTheme="minorHAnsi" w:hAnsiTheme="minorHAnsi"/>
          <w:color w:val="auto"/>
          <w:szCs w:val="24"/>
        </w:rPr>
        <w:t xml:space="preserve">  </w:t>
      </w:r>
      <w:r w:rsidR="00DD3C15" w:rsidRPr="00DD3C15">
        <w:rPr>
          <w:rFonts w:asciiTheme="minorHAnsi" w:eastAsiaTheme="minorHAnsi" w:hAnsiTheme="minorHAnsi"/>
          <w:color w:val="auto"/>
          <w:szCs w:val="24"/>
        </w:rPr>
        <w:t xml:space="preserve">The single voter for dissent (who recommended </w:t>
      </w:r>
      <w:r w:rsidR="0051088F">
        <w:rPr>
          <w:rFonts w:asciiTheme="minorHAnsi" w:eastAsiaTheme="minorHAnsi" w:hAnsiTheme="minorHAnsi"/>
          <w:color w:val="auto"/>
          <w:szCs w:val="24"/>
        </w:rPr>
        <w:t xml:space="preserve">a permanent </w:t>
      </w:r>
      <w:r w:rsidR="00DD3C15">
        <w:rPr>
          <w:rFonts w:asciiTheme="minorHAnsi" w:eastAsiaTheme="minorHAnsi" w:hAnsiTheme="minorHAnsi"/>
          <w:color w:val="auto"/>
          <w:szCs w:val="24"/>
        </w:rPr>
        <w:t>separation rating of 50%</w:t>
      </w:r>
      <w:r w:rsidR="00DD3C15" w:rsidRPr="00DD3C15">
        <w:rPr>
          <w:rFonts w:asciiTheme="minorHAnsi" w:eastAsiaTheme="minorHAnsi" w:hAnsiTheme="minorHAnsi"/>
          <w:color w:val="auto"/>
          <w:szCs w:val="24"/>
        </w:rPr>
        <w:t>) did not elect to sub</w:t>
      </w:r>
      <w:r w:rsidR="00DD3C15">
        <w:rPr>
          <w:rFonts w:asciiTheme="minorHAnsi" w:eastAsiaTheme="minorHAnsi" w:hAnsiTheme="minorHAnsi"/>
          <w:color w:val="auto"/>
          <w:szCs w:val="24"/>
        </w:rPr>
        <w:t>mit a minority opinion.</w:t>
      </w:r>
    </w:p>
    <w:p w:rsidR="00F1737C" w:rsidRPr="00A4201E" w:rsidRDefault="00F1737C" w:rsidP="00A4201E">
      <w:pPr>
        <w:pBdr>
          <w:bottom w:val="single" w:sz="12" w:space="1" w:color="auto"/>
        </w:pBdr>
        <w:tabs>
          <w:tab w:val="left" w:pos="288"/>
          <w:tab w:val="left" w:pos="4752"/>
        </w:tabs>
        <w:spacing w:line="240" w:lineRule="exact"/>
        <w:jc w:val="both"/>
        <w:rPr>
          <w:rFonts w:asciiTheme="minorHAnsi" w:hAnsiTheme="minorHAnsi"/>
          <w:b/>
          <w:color w:val="auto"/>
          <w:szCs w:val="24"/>
          <w:u w:val="single"/>
        </w:rPr>
      </w:pPr>
    </w:p>
    <w:p w:rsidR="00F1737C" w:rsidRPr="00A4201E" w:rsidRDefault="00F1737C" w:rsidP="00A4201E">
      <w:pPr>
        <w:spacing w:line="240" w:lineRule="exact"/>
        <w:jc w:val="both"/>
        <w:rPr>
          <w:rFonts w:asciiTheme="minorHAnsi" w:hAnsiTheme="minorHAnsi"/>
          <w:b/>
          <w:color w:val="auto"/>
          <w:szCs w:val="24"/>
          <w:u w:val="single"/>
        </w:rPr>
      </w:pPr>
    </w:p>
    <w:p w:rsidR="0051088F" w:rsidRDefault="0051088F">
      <w:pPr>
        <w:rPr>
          <w:rFonts w:asciiTheme="minorHAnsi" w:hAnsiTheme="minorHAnsi"/>
          <w:color w:val="auto"/>
          <w:szCs w:val="24"/>
          <w:u w:val="single"/>
        </w:rPr>
      </w:pPr>
      <w:r>
        <w:rPr>
          <w:rFonts w:asciiTheme="minorHAnsi" w:hAnsiTheme="minorHAnsi"/>
          <w:color w:val="auto"/>
          <w:szCs w:val="24"/>
          <w:u w:val="single"/>
        </w:rPr>
        <w:br w:type="page"/>
      </w:r>
    </w:p>
    <w:p w:rsidR="00842420" w:rsidRPr="00A4201E" w:rsidRDefault="00C56FC8" w:rsidP="00A4201E">
      <w:pPr>
        <w:spacing w:line="240" w:lineRule="exact"/>
        <w:jc w:val="both"/>
        <w:rPr>
          <w:rFonts w:asciiTheme="minorHAnsi" w:hAnsiTheme="minorHAnsi"/>
          <w:color w:val="auto"/>
          <w:szCs w:val="24"/>
        </w:rPr>
      </w:pPr>
      <w:r w:rsidRPr="00A4201E">
        <w:rPr>
          <w:rFonts w:asciiTheme="minorHAnsi" w:hAnsiTheme="minorHAnsi"/>
          <w:color w:val="auto"/>
          <w:szCs w:val="24"/>
          <w:u w:val="single"/>
        </w:rPr>
        <w:lastRenderedPageBreak/>
        <w:t>RECOMMENDATION</w:t>
      </w:r>
      <w:r w:rsidRPr="00A4201E">
        <w:rPr>
          <w:rFonts w:asciiTheme="minorHAnsi" w:hAnsiTheme="minorHAnsi"/>
          <w:color w:val="auto"/>
          <w:szCs w:val="24"/>
        </w:rPr>
        <w:t>:</w:t>
      </w:r>
      <w:r w:rsidRPr="00A4201E">
        <w:rPr>
          <w:rFonts w:asciiTheme="minorHAnsi" w:hAnsiTheme="minorHAnsi"/>
          <w:color w:val="000080"/>
          <w:szCs w:val="24"/>
        </w:rPr>
        <w:t xml:space="preserve"> </w:t>
      </w:r>
      <w:r w:rsidR="00842420" w:rsidRPr="00A4201E">
        <w:rPr>
          <w:rFonts w:asciiTheme="minorHAnsi" w:hAnsiTheme="minorHAnsi"/>
          <w:color w:val="auto"/>
          <w:szCs w:val="24"/>
        </w:rPr>
        <w:t xml:space="preserve"> </w:t>
      </w:r>
      <w:r w:rsidR="0051088F">
        <w:rPr>
          <w:color w:val="auto"/>
          <w:szCs w:val="24"/>
        </w:rPr>
        <w:t xml:space="preserve">The Board recommends that the CI’s prior determination be modified </w:t>
      </w:r>
      <w:r w:rsidR="00041426">
        <w:rPr>
          <w:color w:val="auto"/>
          <w:szCs w:val="24"/>
        </w:rPr>
        <w:t xml:space="preserve">to </w:t>
      </w:r>
      <w:r w:rsidR="0051088F">
        <w:rPr>
          <w:color w:val="auto"/>
          <w:szCs w:val="24"/>
        </w:rPr>
        <w:t>reflect permanent disability retirement after removal from TDRL, effective as of the date of his prior medical separation:</w:t>
      </w:r>
    </w:p>
    <w:p w:rsidR="00DB0015" w:rsidRPr="00AF01B2" w:rsidRDefault="00DB0015" w:rsidP="00510F9C">
      <w:pPr>
        <w:spacing w:line="240" w:lineRule="exact"/>
        <w:jc w:val="both"/>
        <w:rPr>
          <w:rFonts w:asciiTheme="minorHAnsi" w:hAnsiTheme="minorHAnsi"/>
          <w:color w:val="auto"/>
          <w:szCs w:val="24"/>
        </w:rPr>
      </w:pPr>
    </w:p>
    <w:tbl>
      <w:tblPr>
        <w:tblW w:w="0" w:type="auto"/>
        <w:jc w:val="center"/>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5"/>
        <w:gridCol w:w="1710"/>
        <w:gridCol w:w="2093"/>
      </w:tblGrid>
      <w:tr w:rsidR="0051088F" w:rsidRPr="00AF01B2" w:rsidTr="0051088F">
        <w:trPr>
          <w:jc w:val="center"/>
        </w:trPr>
        <w:tc>
          <w:tcPr>
            <w:tcW w:w="5535" w:type="dxa"/>
            <w:shd w:val="clear" w:color="auto" w:fill="D9D9D9"/>
            <w:vAlign w:val="center"/>
          </w:tcPr>
          <w:p w:rsidR="0051088F" w:rsidRPr="00AF01B2" w:rsidRDefault="0051088F"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51088F" w:rsidRPr="00AF01B2" w:rsidRDefault="0051088F"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2093" w:type="dxa"/>
            <w:shd w:val="pct15" w:color="auto" w:fill="auto"/>
            <w:vAlign w:val="center"/>
          </w:tcPr>
          <w:p w:rsidR="0051088F" w:rsidRPr="00AF01B2" w:rsidRDefault="0051088F"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51088F" w:rsidRPr="00AF01B2" w:rsidRDefault="0051088F"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51088F" w:rsidRPr="00AF01B2" w:rsidTr="0051088F">
        <w:trPr>
          <w:trHeight w:val="188"/>
          <w:jc w:val="center"/>
        </w:trPr>
        <w:tc>
          <w:tcPr>
            <w:tcW w:w="5535" w:type="dxa"/>
            <w:vAlign w:val="center"/>
          </w:tcPr>
          <w:p w:rsidR="0051088F" w:rsidRPr="00AF01B2" w:rsidRDefault="0051088F" w:rsidP="00E80386">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Posttraumatic Stress Disorder</w:t>
            </w:r>
          </w:p>
        </w:tc>
        <w:tc>
          <w:tcPr>
            <w:tcW w:w="1710" w:type="dxa"/>
            <w:tcBorders>
              <w:bottom w:val="single" w:sz="4" w:space="0" w:color="000000"/>
            </w:tcBorders>
            <w:vAlign w:val="center"/>
          </w:tcPr>
          <w:p w:rsidR="0051088F" w:rsidRPr="00AF01B2" w:rsidRDefault="0051088F" w:rsidP="00EF6C4A">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2093" w:type="dxa"/>
            <w:tcBorders>
              <w:bottom w:val="single" w:sz="4" w:space="0" w:color="000000"/>
            </w:tcBorders>
            <w:vAlign w:val="center"/>
          </w:tcPr>
          <w:p w:rsidR="0051088F" w:rsidRPr="00AF01B2" w:rsidRDefault="0051088F"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r w:rsidRPr="00AF01B2">
              <w:rPr>
                <w:rFonts w:asciiTheme="minorHAnsi" w:hAnsiTheme="minorHAnsi"/>
                <w:color w:val="auto"/>
                <w:szCs w:val="24"/>
              </w:rPr>
              <w:t>%</w:t>
            </w:r>
          </w:p>
        </w:tc>
      </w:tr>
      <w:tr w:rsidR="0051088F" w:rsidRPr="00AF01B2" w:rsidTr="0051088F">
        <w:tblPrEx>
          <w:tblLook w:val="0000"/>
        </w:tblPrEx>
        <w:trPr>
          <w:gridBefore w:val="1"/>
          <w:wBefore w:w="5535" w:type="dxa"/>
          <w:trHeight w:val="188"/>
          <w:jc w:val="center"/>
        </w:trPr>
        <w:tc>
          <w:tcPr>
            <w:tcW w:w="1710" w:type="dxa"/>
            <w:tcBorders>
              <w:left w:val="single" w:sz="4" w:space="0" w:color="auto"/>
            </w:tcBorders>
            <w:shd w:val="pct15" w:color="auto" w:fill="auto"/>
            <w:vAlign w:val="center"/>
          </w:tcPr>
          <w:p w:rsidR="0051088F" w:rsidRPr="00AF01B2" w:rsidRDefault="0051088F"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2093" w:type="dxa"/>
            <w:shd w:val="pct15" w:color="auto" w:fill="auto"/>
            <w:vAlign w:val="center"/>
          </w:tcPr>
          <w:p w:rsidR="0051088F" w:rsidRPr="00AF01B2" w:rsidRDefault="0051088F"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r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5D1C74">
        <w:rPr>
          <w:rFonts w:asciiTheme="minorHAnsi" w:hAnsiTheme="minorHAnsi"/>
          <w:color w:val="auto"/>
        </w:rPr>
        <w:t>100812</w:t>
      </w:r>
      <w:r w:rsidR="009D3A56">
        <w:rPr>
          <w:rFonts w:asciiTheme="minorHAnsi" w:hAnsiTheme="minorHAnsi"/>
          <w:color w:val="auto"/>
        </w:rPr>
        <w:t>, w/</w:t>
      </w:r>
      <w:proofErr w:type="spellStart"/>
      <w:r w:rsidR="009D3A56">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Service </w:t>
      </w:r>
      <w:r w:rsidR="009D3A56">
        <w:rPr>
          <w:rFonts w:asciiTheme="minorHAnsi" w:hAnsiTheme="minorHAnsi"/>
          <w:color w:val="auto"/>
        </w:rPr>
        <w:t>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9D3A56">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AE1E5B" w:rsidRDefault="00AE1E5B">
      <w:pPr>
        <w:rPr>
          <w:rFonts w:ascii="Times New Roman" w:hAnsi="Times New Roman"/>
          <w:b/>
          <w:color w:val="auto"/>
          <w:szCs w:val="24"/>
        </w:rPr>
      </w:pPr>
      <w:r>
        <w:rPr>
          <w:rFonts w:ascii="Times New Roman" w:hAnsi="Times New Roman"/>
          <w:b/>
          <w:color w:val="auto"/>
          <w:szCs w:val="24"/>
        </w:rPr>
        <w:br w:type="page"/>
      </w:r>
    </w:p>
    <w:p w:rsidR="00AE1E5B" w:rsidRDefault="00AE1E5B" w:rsidP="00AE1E5B">
      <w:pPr>
        <w:jc w:val="both"/>
        <w:rPr>
          <w:rFonts w:ascii="Times New Roman" w:hAnsi="Times New Roman"/>
          <w:b/>
          <w:color w:val="auto"/>
          <w:szCs w:val="24"/>
        </w:rPr>
      </w:pPr>
      <w:r>
        <w:rPr>
          <w:rFonts w:ascii="Times New Roman" w:hAnsi="Times New Roman"/>
          <w:b/>
          <w:noProof/>
          <w:color w:val="auto"/>
          <w:szCs w:val="24"/>
        </w:rPr>
        <w:lastRenderedPageBreak/>
        <w:drawing>
          <wp:inline distT="0" distB="0" distL="0" distR="0">
            <wp:extent cx="5943600" cy="7691718"/>
            <wp:effectExtent l="19050" t="0" r="0" b="0"/>
            <wp:docPr id="1" name="Picture 1" descr="D:\READING room\10-1025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0-1025_Page_1.tiff"/>
                    <pic:cNvPicPr>
                      <a:picLocks noChangeAspect="1" noChangeArrowheads="1"/>
                    </pic:cNvPicPr>
                  </pic:nvPicPr>
                  <pic:blipFill>
                    <a:blip r:embed="rId8"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p w:rsidR="00C2272E" w:rsidRDefault="00C2272E" w:rsidP="00510F9C">
      <w:pPr>
        <w:spacing w:line="240" w:lineRule="exact"/>
        <w:rPr>
          <w:rFonts w:ascii="Times New Roman" w:hAnsi="Times New Roman"/>
          <w:b/>
          <w:color w:val="auto"/>
          <w:szCs w:val="24"/>
        </w:rPr>
      </w:pPr>
    </w:p>
    <w:p w:rsidR="00AE1E5B" w:rsidRDefault="00AE1E5B" w:rsidP="00510F9C">
      <w:pPr>
        <w:spacing w:line="240" w:lineRule="exact"/>
        <w:rPr>
          <w:rFonts w:ascii="Times New Roman" w:hAnsi="Times New Roman"/>
          <w:b/>
          <w:color w:val="auto"/>
          <w:szCs w:val="24"/>
        </w:rPr>
      </w:pPr>
    </w:p>
    <w:p w:rsidR="00AE1E5B" w:rsidRDefault="00AE1E5B" w:rsidP="00510F9C">
      <w:pPr>
        <w:spacing w:line="240" w:lineRule="exact"/>
        <w:rPr>
          <w:rFonts w:ascii="Times New Roman" w:hAnsi="Times New Roman"/>
          <w:b/>
          <w:color w:val="auto"/>
          <w:szCs w:val="24"/>
        </w:rPr>
      </w:pPr>
    </w:p>
    <w:p w:rsidR="00AE1E5B" w:rsidRDefault="00AE1E5B" w:rsidP="00510F9C">
      <w:pPr>
        <w:spacing w:line="240" w:lineRule="exact"/>
        <w:rPr>
          <w:rFonts w:ascii="Times New Roman" w:hAnsi="Times New Roman"/>
          <w:b/>
          <w:color w:val="auto"/>
          <w:szCs w:val="24"/>
        </w:rPr>
      </w:pPr>
      <w:r>
        <w:rPr>
          <w:rFonts w:ascii="Times New Roman" w:hAnsi="Times New Roman"/>
          <w:b/>
          <w:noProof/>
          <w:color w:val="auto"/>
          <w:szCs w:val="24"/>
        </w:rPr>
        <w:lastRenderedPageBreak/>
        <w:drawing>
          <wp:anchor distT="0" distB="0" distL="114300" distR="114300" simplePos="0" relativeHeight="251658240" behindDoc="0" locked="0" layoutInCell="1" allowOverlap="1">
            <wp:simplePos x="933450" y="-7524750"/>
            <wp:positionH relativeFrom="margin">
              <wp:align>left</wp:align>
            </wp:positionH>
            <wp:positionV relativeFrom="margin">
              <wp:align>top</wp:align>
            </wp:positionV>
            <wp:extent cx="5943600" cy="7689850"/>
            <wp:effectExtent l="19050" t="0" r="0" b="0"/>
            <wp:wrapSquare wrapText="bothSides"/>
            <wp:docPr id="2" name="Picture 2" descr="D:\READING room\10-1025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DING room\10-1025_Page_2.tiff"/>
                    <pic:cNvPicPr>
                      <a:picLocks noChangeAspect="1" noChangeArrowheads="1"/>
                    </pic:cNvPicPr>
                  </pic:nvPicPr>
                  <pic:blipFill>
                    <a:blip r:embed="rId9" cstate="print"/>
                    <a:srcRect/>
                    <a:stretch>
                      <a:fillRect/>
                    </a:stretch>
                  </pic:blipFill>
                  <pic:spPr bwMode="auto">
                    <a:xfrm>
                      <a:off x="0" y="0"/>
                      <a:ext cx="5943600" cy="7689850"/>
                    </a:xfrm>
                    <a:prstGeom prst="rect">
                      <a:avLst/>
                    </a:prstGeom>
                    <a:noFill/>
                    <a:ln w="9525">
                      <a:noFill/>
                      <a:miter lim="800000"/>
                      <a:headEnd/>
                      <a:tailEnd/>
                    </a:ln>
                  </pic:spPr>
                </pic:pic>
              </a:graphicData>
            </a:graphic>
          </wp:anchor>
        </w:drawing>
      </w:r>
    </w:p>
    <w:sectPr w:rsidR="00AE1E5B" w:rsidSect="002A5C3C">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B6" w:rsidRDefault="005569B6">
      <w:r>
        <w:separator/>
      </w:r>
    </w:p>
  </w:endnote>
  <w:endnote w:type="continuationSeparator" w:id="0">
    <w:p w:rsidR="005569B6" w:rsidRDefault="00556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A18EC" w:rsidRPr="00684CE6" w:rsidRDefault="00061FB3" w:rsidP="00F65ED5">
        <w:pPr>
          <w:pStyle w:val="Footer"/>
          <w:jc w:val="right"/>
          <w:rPr>
            <w:color w:val="auto"/>
          </w:rPr>
        </w:pPr>
        <w:r w:rsidRPr="00684CE6">
          <w:rPr>
            <w:color w:val="auto"/>
          </w:rPr>
          <w:fldChar w:fldCharType="begin"/>
        </w:r>
        <w:r w:rsidR="001A18EC" w:rsidRPr="00684CE6">
          <w:rPr>
            <w:color w:val="auto"/>
          </w:rPr>
          <w:instrText xml:space="preserve"> PAGE   \* MERGEFORMAT </w:instrText>
        </w:r>
        <w:r w:rsidRPr="00684CE6">
          <w:rPr>
            <w:color w:val="auto"/>
          </w:rPr>
          <w:fldChar w:fldCharType="separate"/>
        </w:r>
        <w:r w:rsidR="00AE1E5B">
          <w:rPr>
            <w:noProof/>
            <w:color w:val="auto"/>
          </w:rPr>
          <w:t>6</w:t>
        </w:r>
        <w:r w:rsidRPr="00684CE6">
          <w:rPr>
            <w:color w:val="auto"/>
          </w:rPr>
          <w:fldChar w:fldCharType="end"/>
        </w:r>
        <w:r w:rsidR="001A18EC" w:rsidRPr="00684CE6">
          <w:rPr>
            <w:color w:val="auto"/>
          </w:rPr>
          <w:t xml:space="preserve">                                                           PD</w:t>
        </w:r>
        <w:r w:rsidR="001A18EC">
          <w:rPr>
            <w:color w:val="auto"/>
          </w:rPr>
          <w:t>1001025</w:t>
        </w:r>
      </w:p>
    </w:sdtContent>
  </w:sdt>
  <w:p w:rsidR="001A18EC" w:rsidRPr="00684CE6" w:rsidRDefault="001A18E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B6" w:rsidRDefault="005569B6">
      <w:r>
        <w:separator/>
      </w:r>
    </w:p>
  </w:footnote>
  <w:footnote w:type="continuationSeparator" w:id="0">
    <w:p w:rsidR="005569B6" w:rsidRDefault="00556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173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426"/>
    <w:rsid w:val="000416F8"/>
    <w:rsid w:val="00042C26"/>
    <w:rsid w:val="00043382"/>
    <w:rsid w:val="00044623"/>
    <w:rsid w:val="000452D7"/>
    <w:rsid w:val="00051622"/>
    <w:rsid w:val="00051A11"/>
    <w:rsid w:val="00052234"/>
    <w:rsid w:val="00053D7C"/>
    <w:rsid w:val="000575C5"/>
    <w:rsid w:val="000577C9"/>
    <w:rsid w:val="00060FFD"/>
    <w:rsid w:val="00061FB3"/>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6325"/>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B7160"/>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3B16"/>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A63"/>
    <w:rsid w:val="00113D2A"/>
    <w:rsid w:val="00114F20"/>
    <w:rsid w:val="0011590B"/>
    <w:rsid w:val="001211AF"/>
    <w:rsid w:val="001219DF"/>
    <w:rsid w:val="0012220B"/>
    <w:rsid w:val="00122ABE"/>
    <w:rsid w:val="001231DC"/>
    <w:rsid w:val="0012489B"/>
    <w:rsid w:val="001272AE"/>
    <w:rsid w:val="00130756"/>
    <w:rsid w:val="00131595"/>
    <w:rsid w:val="001315DD"/>
    <w:rsid w:val="0013525F"/>
    <w:rsid w:val="00135385"/>
    <w:rsid w:val="001364D1"/>
    <w:rsid w:val="001374C7"/>
    <w:rsid w:val="001421FD"/>
    <w:rsid w:val="001425C8"/>
    <w:rsid w:val="00142886"/>
    <w:rsid w:val="00142EBA"/>
    <w:rsid w:val="00143B79"/>
    <w:rsid w:val="00145965"/>
    <w:rsid w:val="00150B8A"/>
    <w:rsid w:val="00150DCB"/>
    <w:rsid w:val="00151912"/>
    <w:rsid w:val="00152633"/>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29C"/>
    <w:rsid w:val="00193814"/>
    <w:rsid w:val="00193AAB"/>
    <w:rsid w:val="00193AD5"/>
    <w:rsid w:val="00194930"/>
    <w:rsid w:val="00195AAC"/>
    <w:rsid w:val="001A025E"/>
    <w:rsid w:val="001A08CD"/>
    <w:rsid w:val="001A0A1E"/>
    <w:rsid w:val="001A18EC"/>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0C57"/>
    <w:rsid w:val="001F5F9D"/>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1306"/>
    <w:rsid w:val="00262EA5"/>
    <w:rsid w:val="0026318D"/>
    <w:rsid w:val="00264148"/>
    <w:rsid w:val="002660AF"/>
    <w:rsid w:val="00267460"/>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11CD"/>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47F8"/>
    <w:rsid w:val="002D5330"/>
    <w:rsid w:val="002D5F57"/>
    <w:rsid w:val="002D73D4"/>
    <w:rsid w:val="002D7787"/>
    <w:rsid w:val="002E1877"/>
    <w:rsid w:val="002E1C31"/>
    <w:rsid w:val="002E2E0F"/>
    <w:rsid w:val="002E333A"/>
    <w:rsid w:val="002E3474"/>
    <w:rsid w:val="002E3F38"/>
    <w:rsid w:val="002E400C"/>
    <w:rsid w:val="002E49C3"/>
    <w:rsid w:val="002E5114"/>
    <w:rsid w:val="002E5988"/>
    <w:rsid w:val="002E65E6"/>
    <w:rsid w:val="002E7072"/>
    <w:rsid w:val="002E7570"/>
    <w:rsid w:val="002E764B"/>
    <w:rsid w:val="002F0D6A"/>
    <w:rsid w:val="002F0E28"/>
    <w:rsid w:val="002F287E"/>
    <w:rsid w:val="002F2981"/>
    <w:rsid w:val="002F2D63"/>
    <w:rsid w:val="002F5734"/>
    <w:rsid w:val="002F6AD8"/>
    <w:rsid w:val="002F7F81"/>
    <w:rsid w:val="00300A36"/>
    <w:rsid w:val="00301B45"/>
    <w:rsid w:val="00305856"/>
    <w:rsid w:val="0030678B"/>
    <w:rsid w:val="00306D16"/>
    <w:rsid w:val="00307595"/>
    <w:rsid w:val="00310CD7"/>
    <w:rsid w:val="00313D7A"/>
    <w:rsid w:val="003160B6"/>
    <w:rsid w:val="0032136A"/>
    <w:rsid w:val="00323A90"/>
    <w:rsid w:val="00323DE9"/>
    <w:rsid w:val="00323E70"/>
    <w:rsid w:val="003258A7"/>
    <w:rsid w:val="00325BA2"/>
    <w:rsid w:val="003262BD"/>
    <w:rsid w:val="003265FB"/>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162"/>
    <w:rsid w:val="00380FD4"/>
    <w:rsid w:val="00381E16"/>
    <w:rsid w:val="003821E1"/>
    <w:rsid w:val="003840F6"/>
    <w:rsid w:val="00384866"/>
    <w:rsid w:val="003857D4"/>
    <w:rsid w:val="00385D6F"/>
    <w:rsid w:val="00386D43"/>
    <w:rsid w:val="00387095"/>
    <w:rsid w:val="00387E95"/>
    <w:rsid w:val="00390092"/>
    <w:rsid w:val="0039119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1A3"/>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27CE"/>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72"/>
    <w:rsid w:val="00472289"/>
    <w:rsid w:val="00472535"/>
    <w:rsid w:val="00474143"/>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B3"/>
    <w:rsid w:val="004A24D2"/>
    <w:rsid w:val="004A3214"/>
    <w:rsid w:val="004A4136"/>
    <w:rsid w:val="004A417B"/>
    <w:rsid w:val="004A4378"/>
    <w:rsid w:val="004A67D6"/>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88F"/>
    <w:rsid w:val="00510F9C"/>
    <w:rsid w:val="0051146C"/>
    <w:rsid w:val="0051220B"/>
    <w:rsid w:val="00512253"/>
    <w:rsid w:val="00512484"/>
    <w:rsid w:val="00514449"/>
    <w:rsid w:val="00515419"/>
    <w:rsid w:val="005157BD"/>
    <w:rsid w:val="00521313"/>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B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3D70"/>
    <w:rsid w:val="00575963"/>
    <w:rsid w:val="00575EBE"/>
    <w:rsid w:val="005779ED"/>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796E"/>
    <w:rsid w:val="005C0E87"/>
    <w:rsid w:val="005C16F3"/>
    <w:rsid w:val="005C3758"/>
    <w:rsid w:val="005C4D72"/>
    <w:rsid w:val="005C50C1"/>
    <w:rsid w:val="005C62C2"/>
    <w:rsid w:val="005D1425"/>
    <w:rsid w:val="005D1C74"/>
    <w:rsid w:val="005D1D39"/>
    <w:rsid w:val="005D2306"/>
    <w:rsid w:val="005D4A74"/>
    <w:rsid w:val="005D5E91"/>
    <w:rsid w:val="005D6349"/>
    <w:rsid w:val="005D67EF"/>
    <w:rsid w:val="005E3064"/>
    <w:rsid w:val="005E3F46"/>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1FEF"/>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6D09"/>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66336"/>
    <w:rsid w:val="006708E3"/>
    <w:rsid w:val="00670DDC"/>
    <w:rsid w:val="00671389"/>
    <w:rsid w:val="00671EB4"/>
    <w:rsid w:val="00673CDC"/>
    <w:rsid w:val="0067443B"/>
    <w:rsid w:val="006770AA"/>
    <w:rsid w:val="00682486"/>
    <w:rsid w:val="00684CE6"/>
    <w:rsid w:val="00684E2B"/>
    <w:rsid w:val="006857EF"/>
    <w:rsid w:val="00687C7E"/>
    <w:rsid w:val="00690569"/>
    <w:rsid w:val="00690FDA"/>
    <w:rsid w:val="00691E61"/>
    <w:rsid w:val="006937C6"/>
    <w:rsid w:val="00693C5E"/>
    <w:rsid w:val="00693CEE"/>
    <w:rsid w:val="00694EEA"/>
    <w:rsid w:val="006955B4"/>
    <w:rsid w:val="00695DEF"/>
    <w:rsid w:val="00696116"/>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6B"/>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8DB"/>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2398"/>
    <w:rsid w:val="007E3883"/>
    <w:rsid w:val="007E4876"/>
    <w:rsid w:val="007E48CD"/>
    <w:rsid w:val="007E4ACB"/>
    <w:rsid w:val="007E4FBB"/>
    <w:rsid w:val="007E55BF"/>
    <w:rsid w:val="007E59E3"/>
    <w:rsid w:val="007E5E39"/>
    <w:rsid w:val="007E6A90"/>
    <w:rsid w:val="007E71B1"/>
    <w:rsid w:val="007E7B4E"/>
    <w:rsid w:val="007E7F02"/>
    <w:rsid w:val="007F0292"/>
    <w:rsid w:val="007F0AB7"/>
    <w:rsid w:val="007F0CE2"/>
    <w:rsid w:val="007F0EFF"/>
    <w:rsid w:val="007F1375"/>
    <w:rsid w:val="007F1AFD"/>
    <w:rsid w:val="007F30E4"/>
    <w:rsid w:val="007F7A9C"/>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420"/>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E29"/>
    <w:rsid w:val="00875F2D"/>
    <w:rsid w:val="008764DC"/>
    <w:rsid w:val="00881918"/>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5EAB"/>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5D22"/>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39"/>
    <w:rsid w:val="009809B8"/>
    <w:rsid w:val="00981086"/>
    <w:rsid w:val="009817F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3A56"/>
    <w:rsid w:val="009D4229"/>
    <w:rsid w:val="009D4268"/>
    <w:rsid w:val="009D7AF7"/>
    <w:rsid w:val="009E09D0"/>
    <w:rsid w:val="009E1283"/>
    <w:rsid w:val="009E3A7F"/>
    <w:rsid w:val="009E462C"/>
    <w:rsid w:val="009E4C9B"/>
    <w:rsid w:val="009E4DFC"/>
    <w:rsid w:val="009E5789"/>
    <w:rsid w:val="009E57B1"/>
    <w:rsid w:val="009E6379"/>
    <w:rsid w:val="009F020F"/>
    <w:rsid w:val="009F2DE3"/>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16D75"/>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72EC"/>
    <w:rsid w:val="00A31605"/>
    <w:rsid w:val="00A31FE2"/>
    <w:rsid w:val="00A32743"/>
    <w:rsid w:val="00A40FFB"/>
    <w:rsid w:val="00A41468"/>
    <w:rsid w:val="00A414A9"/>
    <w:rsid w:val="00A4201E"/>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CD7"/>
    <w:rsid w:val="00AA1ED0"/>
    <w:rsid w:val="00AA1F5B"/>
    <w:rsid w:val="00AA28EF"/>
    <w:rsid w:val="00AA3593"/>
    <w:rsid w:val="00AA38CA"/>
    <w:rsid w:val="00AA493E"/>
    <w:rsid w:val="00AA73AF"/>
    <w:rsid w:val="00AB0A8A"/>
    <w:rsid w:val="00AB1754"/>
    <w:rsid w:val="00AB1F8D"/>
    <w:rsid w:val="00AB27DD"/>
    <w:rsid w:val="00AB592E"/>
    <w:rsid w:val="00AC20B2"/>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1E5B"/>
    <w:rsid w:val="00AE2CF4"/>
    <w:rsid w:val="00AE2D29"/>
    <w:rsid w:val="00AE2F15"/>
    <w:rsid w:val="00AE4624"/>
    <w:rsid w:val="00AE4B3E"/>
    <w:rsid w:val="00AE5BA7"/>
    <w:rsid w:val="00AE5E14"/>
    <w:rsid w:val="00AE6115"/>
    <w:rsid w:val="00AE625B"/>
    <w:rsid w:val="00AF01B2"/>
    <w:rsid w:val="00AF1103"/>
    <w:rsid w:val="00AF1668"/>
    <w:rsid w:val="00AF1F29"/>
    <w:rsid w:val="00AF28DE"/>
    <w:rsid w:val="00AF4FA5"/>
    <w:rsid w:val="00AF67B6"/>
    <w:rsid w:val="00AF6ECC"/>
    <w:rsid w:val="00B022DC"/>
    <w:rsid w:val="00B03F2A"/>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380"/>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02"/>
    <w:rsid w:val="00BE0DEB"/>
    <w:rsid w:val="00BE2AB8"/>
    <w:rsid w:val="00BE2FC1"/>
    <w:rsid w:val="00BE3142"/>
    <w:rsid w:val="00BE4039"/>
    <w:rsid w:val="00BE6365"/>
    <w:rsid w:val="00BF01B7"/>
    <w:rsid w:val="00BF0B34"/>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4CB"/>
    <w:rsid w:val="00C74D3A"/>
    <w:rsid w:val="00C75F3D"/>
    <w:rsid w:val="00C80511"/>
    <w:rsid w:val="00C826F5"/>
    <w:rsid w:val="00C83740"/>
    <w:rsid w:val="00C84AD1"/>
    <w:rsid w:val="00C85579"/>
    <w:rsid w:val="00C862F1"/>
    <w:rsid w:val="00C863E5"/>
    <w:rsid w:val="00C87BE6"/>
    <w:rsid w:val="00C87F76"/>
    <w:rsid w:val="00C9265C"/>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3D81"/>
    <w:rsid w:val="00D449F0"/>
    <w:rsid w:val="00D462D7"/>
    <w:rsid w:val="00D5062C"/>
    <w:rsid w:val="00D50C8C"/>
    <w:rsid w:val="00D52393"/>
    <w:rsid w:val="00D523E4"/>
    <w:rsid w:val="00D52696"/>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254"/>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3C15"/>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3E14"/>
    <w:rsid w:val="00E041E4"/>
    <w:rsid w:val="00E04AEE"/>
    <w:rsid w:val="00E04BF3"/>
    <w:rsid w:val="00E1012B"/>
    <w:rsid w:val="00E103C8"/>
    <w:rsid w:val="00E1085B"/>
    <w:rsid w:val="00E1256F"/>
    <w:rsid w:val="00E1308B"/>
    <w:rsid w:val="00E14581"/>
    <w:rsid w:val="00E14623"/>
    <w:rsid w:val="00E15230"/>
    <w:rsid w:val="00E15539"/>
    <w:rsid w:val="00E16541"/>
    <w:rsid w:val="00E1798B"/>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0B2"/>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3ED"/>
    <w:rsid w:val="00F43D6C"/>
    <w:rsid w:val="00F46964"/>
    <w:rsid w:val="00F46F9A"/>
    <w:rsid w:val="00F46FFC"/>
    <w:rsid w:val="00F470FD"/>
    <w:rsid w:val="00F50F30"/>
    <w:rsid w:val="00F50F9D"/>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8E5"/>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9A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ED72-5540-43B2-A83D-92ECEC3D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2012-01-24T14:46:00Z</cp:lastPrinted>
  <dcterms:created xsi:type="dcterms:W3CDTF">2012-01-17T19:06:00Z</dcterms:created>
  <dcterms:modified xsi:type="dcterms:W3CDTF">2012-02-14T19:41:00Z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