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0706D4" w:rsidRPr="000706D4" w:rsidRDefault="000706D4" w:rsidP="000706D4">
      <w:pPr>
        <w:tabs>
          <w:tab w:val="left" w:pos="288"/>
          <w:tab w:val="left" w:pos="4680"/>
        </w:tabs>
        <w:spacing w:line="240" w:lineRule="exact"/>
        <w:rPr>
          <w:rFonts w:asciiTheme="minorHAnsi" w:hAnsiTheme="minorHAnsi"/>
          <w:caps/>
          <w:color w:val="auto"/>
        </w:rPr>
      </w:pPr>
      <w:r w:rsidRPr="000706D4">
        <w:rPr>
          <w:rFonts w:asciiTheme="minorHAnsi" w:hAnsiTheme="minorHAnsi"/>
          <w:caps/>
          <w:color w:val="auto"/>
        </w:rPr>
        <w:t xml:space="preserve">NAME: </w:t>
      </w:r>
      <w:r w:rsidR="008045DD">
        <w:rPr>
          <w:rFonts w:asciiTheme="minorHAnsi" w:hAnsiTheme="minorHAnsi"/>
          <w:caps/>
          <w:color w:val="auto"/>
        </w:rPr>
        <w:t xml:space="preserve"> </w:t>
      </w:r>
      <w:r w:rsidRPr="000706D4">
        <w:rPr>
          <w:rFonts w:asciiTheme="minorHAnsi" w:hAnsiTheme="minorHAnsi"/>
          <w:caps/>
          <w:color w:val="auto"/>
        </w:rPr>
        <w:t xml:space="preserve">             </w:t>
      </w:r>
      <w:r w:rsidRPr="000706D4">
        <w:rPr>
          <w:rFonts w:asciiTheme="minorHAnsi" w:hAnsiTheme="minorHAnsi"/>
          <w:caps/>
          <w:color w:val="auto"/>
        </w:rPr>
        <w:tab/>
        <w:t xml:space="preserve">BRANCH OF SERVICE:  Army </w:t>
      </w:r>
    </w:p>
    <w:p w:rsidR="000706D4" w:rsidRPr="000706D4" w:rsidRDefault="000706D4" w:rsidP="000706D4">
      <w:pPr>
        <w:tabs>
          <w:tab w:val="left" w:pos="288"/>
          <w:tab w:val="left" w:pos="4680"/>
        </w:tabs>
        <w:spacing w:line="240" w:lineRule="exact"/>
        <w:rPr>
          <w:rFonts w:asciiTheme="minorHAnsi" w:hAnsiTheme="minorHAnsi"/>
          <w:caps/>
          <w:color w:val="auto"/>
        </w:rPr>
      </w:pPr>
      <w:r w:rsidRPr="000706D4">
        <w:rPr>
          <w:rFonts w:asciiTheme="minorHAnsi" w:hAnsiTheme="minorHAnsi"/>
          <w:caps/>
          <w:color w:val="auto"/>
        </w:rPr>
        <w:t>CASE NUMBER:  PD1001024</w:t>
      </w:r>
      <w:r w:rsidRPr="000706D4">
        <w:rPr>
          <w:rFonts w:asciiTheme="minorHAnsi" w:hAnsiTheme="minorHAnsi"/>
          <w:caps/>
          <w:color w:val="auto"/>
        </w:rPr>
        <w:tab/>
        <w:t>DATE OF PLACEMENT ON TDRL:  20040922</w:t>
      </w:r>
      <w:r w:rsidRPr="000706D4">
        <w:rPr>
          <w:rFonts w:asciiTheme="minorHAnsi" w:hAnsiTheme="minorHAnsi"/>
          <w:caps/>
          <w:color w:val="auto"/>
        </w:rPr>
        <w:tab/>
      </w:r>
    </w:p>
    <w:p w:rsidR="000706D4" w:rsidRPr="000706D4" w:rsidRDefault="000706D4" w:rsidP="000706D4">
      <w:pPr>
        <w:tabs>
          <w:tab w:val="left" w:pos="288"/>
          <w:tab w:val="left" w:pos="3600"/>
          <w:tab w:val="left" w:pos="4680"/>
        </w:tabs>
        <w:spacing w:line="240" w:lineRule="exact"/>
        <w:rPr>
          <w:rFonts w:asciiTheme="minorHAnsi" w:hAnsiTheme="minorHAnsi"/>
          <w:caps/>
          <w:color w:val="auto"/>
        </w:rPr>
      </w:pPr>
      <w:r w:rsidRPr="000706D4">
        <w:rPr>
          <w:rFonts w:asciiTheme="minorHAnsi" w:hAnsiTheme="minorHAnsi"/>
          <w:caps/>
          <w:color w:val="auto"/>
        </w:rPr>
        <w:t>BOARD DATE:  2011</w:t>
      </w:r>
      <w:r w:rsidR="00287265">
        <w:rPr>
          <w:rFonts w:asciiTheme="minorHAnsi" w:hAnsiTheme="minorHAnsi"/>
          <w:caps/>
          <w:color w:val="auto"/>
        </w:rPr>
        <w:t>1128</w:t>
      </w:r>
      <w:r w:rsidR="00A5277B">
        <w:rPr>
          <w:rFonts w:asciiTheme="minorHAnsi" w:hAnsiTheme="minorHAnsi"/>
          <w:caps/>
          <w:color w:val="auto"/>
        </w:rPr>
        <w:tab/>
      </w:r>
      <w:r w:rsidRPr="000706D4">
        <w:rPr>
          <w:rFonts w:asciiTheme="minorHAnsi" w:hAnsiTheme="minorHAnsi"/>
          <w:caps/>
          <w:color w:val="auto"/>
        </w:rPr>
        <w:tab/>
        <w:t>Date of Permanent SEPARATION:  20060619</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0706D4" w:rsidRDefault="00FB0E80" w:rsidP="000706D4">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0706D4" w:rsidRPr="000706D4">
        <w:rPr>
          <w:rFonts w:asciiTheme="minorHAnsi" w:hAnsiTheme="minorHAnsi"/>
          <w:color w:val="auto"/>
        </w:rPr>
        <w:t>Data extracted from the available evidence of record reflects that thi</w:t>
      </w:r>
      <w:r w:rsidR="00115CD3">
        <w:rPr>
          <w:rFonts w:asciiTheme="minorHAnsi" w:hAnsiTheme="minorHAnsi"/>
          <w:color w:val="auto"/>
        </w:rPr>
        <w:t>s covered individual (CI) was a</w:t>
      </w:r>
      <w:r w:rsidR="000706D4" w:rsidRPr="000706D4">
        <w:rPr>
          <w:rFonts w:asciiTheme="minorHAnsi" w:hAnsiTheme="minorHAnsi"/>
          <w:color w:val="auto"/>
        </w:rPr>
        <w:t xml:space="preserve"> </w:t>
      </w:r>
      <w:r w:rsidR="00537354">
        <w:rPr>
          <w:rFonts w:asciiTheme="minorHAnsi" w:hAnsiTheme="minorHAnsi"/>
          <w:color w:val="auto"/>
        </w:rPr>
        <w:t xml:space="preserve">member of the Army </w:t>
      </w:r>
      <w:r w:rsidR="000706D4" w:rsidRPr="000706D4">
        <w:rPr>
          <w:rFonts w:asciiTheme="minorHAnsi" w:hAnsiTheme="minorHAnsi"/>
          <w:color w:val="auto"/>
        </w:rPr>
        <w:t xml:space="preserve">National </w:t>
      </w:r>
      <w:r w:rsidR="00537354" w:rsidRPr="000706D4">
        <w:rPr>
          <w:rFonts w:asciiTheme="minorHAnsi" w:hAnsiTheme="minorHAnsi"/>
          <w:color w:val="auto"/>
        </w:rPr>
        <w:t>Guard</w:t>
      </w:r>
      <w:r w:rsidR="00B45E01">
        <w:rPr>
          <w:rFonts w:asciiTheme="minorHAnsi" w:hAnsiTheme="minorHAnsi"/>
          <w:color w:val="auto"/>
        </w:rPr>
        <w:t>,</w:t>
      </w:r>
      <w:r w:rsidR="000706D4" w:rsidRPr="000706D4">
        <w:rPr>
          <w:rFonts w:asciiTheme="minorHAnsi" w:hAnsiTheme="minorHAnsi"/>
          <w:color w:val="auto"/>
        </w:rPr>
        <w:t xml:space="preserve"> SSG/E-6 (92G, Food Service Specialist), medically separated for </w:t>
      </w:r>
      <w:r w:rsidR="00115CD3" w:rsidRPr="000706D4">
        <w:rPr>
          <w:rFonts w:asciiTheme="minorHAnsi" w:hAnsiTheme="minorHAnsi"/>
          <w:color w:val="auto"/>
        </w:rPr>
        <w:t xml:space="preserve">chronic low back pain and </w:t>
      </w:r>
      <w:r w:rsidR="000706D4" w:rsidRPr="000706D4">
        <w:rPr>
          <w:rFonts w:asciiTheme="minorHAnsi" w:hAnsiTheme="minorHAnsi"/>
          <w:color w:val="auto"/>
        </w:rPr>
        <w:t>posttraumatic stress disorder (PTSD)</w:t>
      </w:r>
      <w:r w:rsidR="000706D4" w:rsidRPr="000706D4">
        <w:rPr>
          <w:rFonts w:asciiTheme="minorHAnsi" w:hAnsiTheme="minorHAnsi"/>
          <w:i/>
          <w:color w:val="auto"/>
        </w:rPr>
        <w:t>.</w:t>
      </w:r>
      <w:r w:rsidR="00115CD3">
        <w:rPr>
          <w:rFonts w:asciiTheme="minorHAnsi" w:hAnsiTheme="minorHAnsi"/>
          <w:i/>
          <w:color w:val="auto"/>
        </w:rPr>
        <w:t xml:space="preserve"> </w:t>
      </w:r>
      <w:r w:rsidR="000706D4" w:rsidRPr="000706D4">
        <w:rPr>
          <w:rFonts w:asciiTheme="minorHAnsi" w:hAnsiTheme="minorHAnsi"/>
          <w:color w:val="auto"/>
        </w:rPr>
        <w:t xml:space="preserve"> The CI </w:t>
      </w:r>
      <w:r w:rsidR="00115CD3">
        <w:rPr>
          <w:rFonts w:asciiTheme="minorHAnsi" w:hAnsiTheme="minorHAnsi"/>
          <w:color w:val="auto"/>
        </w:rPr>
        <w:t>suffered</w:t>
      </w:r>
      <w:r w:rsidR="000706D4" w:rsidRPr="000706D4">
        <w:rPr>
          <w:rFonts w:asciiTheme="minorHAnsi" w:hAnsiTheme="minorHAnsi"/>
          <w:color w:val="auto"/>
        </w:rPr>
        <w:t xml:space="preserve"> lower back pain with </w:t>
      </w:r>
      <w:r w:rsidR="00F06682">
        <w:rPr>
          <w:rFonts w:asciiTheme="minorHAnsi" w:hAnsiTheme="minorHAnsi"/>
          <w:color w:val="auto"/>
        </w:rPr>
        <w:t xml:space="preserve">left </w:t>
      </w:r>
      <w:r w:rsidR="00115CD3">
        <w:rPr>
          <w:rFonts w:asciiTheme="minorHAnsi" w:hAnsiTheme="minorHAnsi"/>
          <w:color w:val="auto"/>
        </w:rPr>
        <w:t>radicular symptoms</w:t>
      </w:r>
      <w:r w:rsidR="00B45E01">
        <w:rPr>
          <w:rFonts w:asciiTheme="minorHAnsi" w:hAnsiTheme="minorHAnsi"/>
          <w:color w:val="auto"/>
        </w:rPr>
        <w:t>,</w:t>
      </w:r>
      <w:r w:rsidR="00F06682">
        <w:rPr>
          <w:rFonts w:asciiTheme="minorHAnsi" w:hAnsiTheme="minorHAnsi"/>
          <w:color w:val="auto"/>
        </w:rPr>
        <w:t xml:space="preserve"> </w:t>
      </w:r>
      <w:r w:rsidR="000706D4" w:rsidRPr="000706D4">
        <w:rPr>
          <w:rFonts w:asciiTheme="minorHAnsi" w:hAnsiTheme="minorHAnsi"/>
          <w:color w:val="auto"/>
        </w:rPr>
        <w:t xml:space="preserve">after falling </w:t>
      </w:r>
      <w:r w:rsidR="00115CD3">
        <w:rPr>
          <w:rFonts w:asciiTheme="minorHAnsi" w:hAnsiTheme="minorHAnsi"/>
          <w:color w:val="auto"/>
        </w:rPr>
        <w:t>10-15</w:t>
      </w:r>
      <w:r w:rsidR="000706D4" w:rsidRPr="000706D4">
        <w:rPr>
          <w:rFonts w:asciiTheme="minorHAnsi" w:hAnsiTheme="minorHAnsi"/>
          <w:color w:val="auto"/>
        </w:rPr>
        <w:t xml:space="preserve"> feet from a guard tower</w:t>
      </w:r>
      <w:r w:rsidR="00115CD3">
        <w:rPr>
          <w:rFonts w:asciiTheme="minorHAnsi" w:hAnsiTheme="minorHAnsi"/>
          <w:color w:val="auto"/>
        </w:rPr>
        <w:t>,</w:t>
      </w:r>
      <w:r w:rsidR="000706D4" w:rsidRPr="000706D4">
        <w:rPr>
          <w:rFonts w:asciiTheme="minorHAnsi" w:hAnsiTheme="minorHAnsi"/>
          <w:color w:val="auto"/>
        </w:rPr>
        <w:t xml:space="preserve"> </w:t>
      </w:r>
      <w:r w:rsidR="00A67041">
        <w:rPr>
          <w:rFonts w:asciiTheme="minorHAnsi" w:hAnsiTheme="minorHAnsi"/>
          <w:color w:val="auto"/>
        </w:rPr>
        <w:t>associated with active combat</w:t>
      </w:r>
      <w:r w:rsidR="000706D4" w:rsidRPr="000706D4">
        <w:rPr>
          <w:rFonts w:asciiTheme="minorHAnsi" w:hAnsiTheme="minorHAnsi"/>
          <w:color w:val="auto"/>
        </w:rPr>
        <w:t xml:space="preserve"> in Iraq in November 2003.  </w:t>
      </w:r>
      <w:r w:rsidR="00F06682">
        <w:rPr>
          <w:rFonts w:asciiTheme="minorHAnsi" w:hAnsiTheme="minorHAnsi"/>
          <w:color w:val="auto"/>
        </w:rPr>
        <w:t>He</w:t>
      </w:r>
      <w:r w:rsidR="000706D4" w:rsidRPr="000706D4">
        <w:rPr>
          <w:rFonts w:asciiTheme="minorHAnsi" w:hAnsiTheme="minorHAnsi"/>
          <w:color w:val="auto"/>
        </w:rPr>
        <w:t xml:space="preserve"> was evacuated </w:t>
      </w:r>
      <w:r w:rsidR="00F06682">
        <w:rPr>
          <w:rFonts w:asciiTheme="minorHAnsi" w:hAnsiTheme="minorHAnsi"/>
          <w:color w:val="auto"/>
        </w:rPr>
        <w:t>and found to have</w:t>
      </w:r>
      <w:r w:rsidR="000706D4" w:rsidRPr="000706D4">
        <w:rPr>
          <w:rFonts w:asciiTheme="minorHAnsi" w:hAnsiTheme="minorHAnsi"/>
          <w:color w:val="auto"/>
        </w:rPr>
        <w:t xml:space="preserve"> bulging discs with no spinal stenosis. </w:t>
      </w:r>
      <w:r w:rsidR="00F06682">
        <w:rPr>
          <w:rFonts w:asciiTheme="minorHAnsi" w:hAnsiTheme="minorHAnsi"/>
          <w:color w:val="auto"/>
        </w:rPr>
        <w:t xml:space="preserve"> Electrodiagnostic studies were negative, and he was determined not to be a surgical candidate.  </w:t>
      </w:r>
      <w:r w:rsidR="000706D4" w:rsidRPr="000706D4">
        <w:rPr>
          <w:rFonts w:asciiTheme="minorHAnsi" w:hAnsiTheme="minorHAnsi"/>
          <w:color w:val="auto"/>
        </w:rPr>
        <w:t xml:space="preserve">Despite </w:t>
      </w:r>
      <w:r w:rsidR="00F06682">
        <w:rPr>
          <w:rFonts w:asciiTheme="minorHAnsi" w:hAnsiTheme="minorHAnsi"/>
          <w:color w:val="auto"/>
        </w:rPr>
        <w:t xml:space="preserve">conservative </w:t>
      </w:r>
      <w:r w:rsidR="000706D4" w:rsidRPr="000706D4">
        <w:rPr>
          <w:rFonts w:asciiTheme="minorHAnsi" w:hAnsiTheme="minorHAnsi"/>
          <w:color w:val="auto"/>
        </w:rPr>
        <w:t xml:space="preserve">therapy, the CI did not </w:t>
      </w:r>
      <w:r w:rsidR="00287265">
        <w:rPr>
          <w:rFonts w:asciiTheme="minorHAnsi" w:hAnsiTheme="minorHAnsi"/>
          <w:color w:val="auto"/>
        </w:rPr>
        <w:t>improve</w:t>
      </w:r>
      <w:r w:rsidR="000706D4" w:rsidRPr="000706D4">
        <w:rPr>
          <w:rFonts w:asciiTheme="minorHAnsi" w:hAnsiTheme="minorHAnsi"/>
          <w:color w:val="auto"/>
        </w:rPr>
        <w:t xml:space="preserve"> adequately to </w:t>
      </w:r>
      <w:r w:rsidR="00F06682">
        <w:rPr>
          <w:rFonts w:asciiTheme="minorHAnsi" w:hAnsiTheme="minorHAnsi"/>
          <w:color w:val="auto"/>
        </w:rPr>
        <w:t>fully</w:t>
      </w:r>
      <w:r w:rsidR="000706D4" w:rsidRPr="000706D4">
        <w:rPr>
          <w:rFonts w:asciiTheme="minorHAnsi" w:hAnsiTheme="minorHAnsi"/>
          <w:color w:val="auto"/>
        </w:rPr>
        <w:t xml:space="preserve"> perform within his military occupational specialty (MOS) or meet physical fitness standards.  He was issued a permanent L3 profile and </w:t>
      </w:r>
      <w:r w:rsidR="0031783A">
        <w:rPr>
          <w:rFonts w:asciiTheme="minorHAnsi" w:hAnsiTheme="minorHAnsi"/>
          <w:color w:val="auto"/>
        </w:rPr>
        <w:t xml:space="preserve">referred </w:t>
      </w:r>
      <w:r w:rsidR="00287265">
        <w:rPr>
          <w:rFonts w:asciiTheme="minorHAnsi" w:hAnsiTheme="minorHAnsi"/>
          <w:color w:val="auto"/>
        </w:rPr>
        <w:t>for</w:t>
      </w:r>
      <w:r w:rsidR="000706D4" w:rsidRPr="000706D4">
        <w:rPr>
          <w:rFonts w:asciiTheme="minorHAnsi" w:hAnsiTheme="minorHAnsi"/>
          <w:color w:val="auto"/>
        </w:rPr>
        <w:t xml:space="preserve"> a Medical Evaluation Board (MEB). </w:t>
      </w:r>
      <w:r w:rsidR="0031783A">
        <w:rPr>
          <w:rFonts w:asciiTheme="minorHAnsi" w:hAnsiTheme="minorHAnsi"/>
          <w:color w:val="auto"/>
        </w:rPr>
        <w:t xml:space="preserve"> At this point</w:t>
      </w:r>
      <w:r w:rsidR="00B45E01">
        <w:rPr>
          <w:rFonts w:asciiTheme="minorHAnsi" w:hAnsiTheme="minorHAnsi"/>
          <w:color w:val="auto"/>
        </w:rPr>
        <w:t>,</w:t>
      </w:r>
      <w:r w:rsidR="0031783A">
        <w:rPr>
          <w:rFonts w:asciiTheme="minorHAnsi" w:hAnsiTheme="minorHAnsi"/>
          <w:color w:val="auto"/>
        </w:rPr>
        <w:t xml:space="preserve"> the CI first presented </w:t>
      </w:r>
      <w:r w:rsidR="00287265">
        <w:rPr>
          <w:rFonts w:asciiTheme="minorHAnsi" w:hAnsiTheme="minorHAnsi"/>
          <w:color w:val="auto"/>
        </w:rPr>
        <w:t>to Behavioral H</w:t>
      </w:r>
      <w:r w:rsidR="0031783A">
        <w:rPr>
          <w:rFonts w:asciiTheme="minorHAnsi" w:hAnsiTheme="minorHAnsi"/>
          <w:color w:val="auto"/>
        </w:rPr>
        <w:t>ealth.  He was diagnosed with PTSD and issued a</w:t>
      </w:r>
      <w:r w:rsidR="00115CD3">
        <w:rPr>
          <w:rFonts w:asciiTheme="minorHAnsi" w:hAnsiTheme="minorHAnsi"/>
          <w:color w:val="auto"/>
        </w:rPr>
        <w:t>n</w:t>
      </w:r>
      <w:r w:rsidR="0031783A">
        <w:rPr>
          <w:rFonts w:asciiTheme="minorHAnsi" w:hAnsiTheme="minorHAnsi"/>
          <w:color w:val="auto"/>
        </w:rPr>
        <w:t xml:space="preserve"> S3 profile without restrictions.  The MEB </w:t>
      </w:r>
      <w:r w:rsidR="0031783A" w:rsidRPr="000706D4">
        <w:rPr>
          <w:rFonts w:asciiTheme="minorHAnsi" w:hAnsiTheme="minorHAnsi"/>
          <w:color w:val="auto"/>
        </w:rPr>
        <w:t xml:space="preserve">forwarded </w:t>
      </w:r>
      <w:r w:rsidR="0031783A">
        <w:rPr>
          <w:rFonts w:asciiTheme="minorHAnsi" w:hAnsiTheme="minorHAnsi"/>
          <w:color w:val="auto"/>
        </w:rPr>
        <w:t>c</w:t>
      </w:r>
      <w:r w:rsidR="000706D4" w:rsidRPr="000706D4">
        <w:rPr>
          <w:rFonts w:asciiTheme="minorHAnsi" w:hAnsiTheme="minorHAnsi"/>
          <w:color w:val="auto"/>
        </w:rPr>
        <w:t xml:space="preserve">hronic low back pain and PTSD to the Physical Evaluation Board (PEB) as medically unacceptable </w:t>
      </w:r>
      <w:r w:rsidR="00115CD3">
        <w:rPr>
          <w:rFonts w:asciiTheme="minorHAnsi" w:hAnsiTheme="minorHAnsi"/>
          <w:color w:val="auto"/>
        </w:rPr>
        <w:t xml:space="preserve">conditions </w:t>
      </w:r>
      <w:r w:rsidR="000706D4" w:rsidRPr="000706D4">
        <w:rPr>
          <w:rFonts w:asciiTheme="minorHAnsi" w:hAnsiTheme="minorHAnsi"/>
          <w:color w:val="auto"/>
        </w:rPr>
        <w:t xml:space="preserve">IAW AR 40-501. </w:t>
      </w:r>
      <w:r w:rsidR="0031783A">
        <w:rPr>
          <w:rFonts w:asciiTheme="minorHAnsi" w:hAnsiTheme="minorHAnsi"/>
          <w:color w:val="auto"/>
        </w:rPr>
        <w:t xml:space="preserve"> </w:t>
      </w:r>
      <w:r w:rsidR="000706D4" w:rsidRPr="000706D4">
        <w:rPr>
          <w:rFonts w:asciiTheme="minorHAnsi" w:hAnsiTheme="minorHAnsi"/>
          <w:color w:val="auto"/>
        </w:rPr>
        <w:t xml:space="preserve">Other conditions included in the Disability Evaluation System (DES) </w:t>
      </w:r>
      <w:r w:rsidR="00066496">
        <w:rPr>
          <w:rFonts w:asciiTheme="minorHAnsi" w:hAnsiTheme="minorHAnsi"/>
          <w:color w:val="auto"/>
        </w:rPr>
        <w:t>file</w:t>
      </w:r>
      <w:r w:rsidR="000706D4" w:rsidRPr="000706D4">
        <w:rPr>
          <w:rFonts w:asciiTheme="minorHAnsi" w:hAnsiTheme="minorHAnsi"/>
          <w:color w:val="auto"/>
        </w:rPr>
        <w:t xml:space="preserve"> will be discussed below. </w:t>
      </w:r>
      <w:r w:rsidR="00B45E01">
        <w:rPr>
          <w:rFonts w:asciiTheme="minorHAnsi" w:hAnsiTheme="minorHAnsi"/>
          <w:color w:val="auto"/>
        </w:rPr>
        <w:t xml:space="preserve"> </w:t>
      </w:r>
      <w:r w:rsidR="00115CD3">
        <w:rPr>
          <w:rFonts w:asciiTheme="minorHAnsi" w:hAnsiTheme="minorHAnsi"/>
          <w:color w:val="auto"/>
        </w:rPr>
        <w:t xml:space="preserve">A </w:t>
      </w:r>
      <w:r w:rsidR="000706D4" w:rsidRPr="000706D4">
        <w:rPr>
          <w:rFonts w:asciiTheme="minorHAnsi" w:hAnsiTheme="minorHAnsi"/>
          <w:color w:val="auto"/>
        </w:rPr>
        <w:t xml:space="preserve">PEB adjudicated the </w:t>
      </w:r>
      <w:r w:rsidR="00115CD3">
        <w:rPr>
          <w:rFonts w:asciiTheme="minorHAnsi" w:hAnsiTheme="minorHAnsi"/>
          <w:color w:val="auto"/>
        </w:rPr>
        <w:t>lumbar</w:t>
      </w:r>
      <w:r w:rsidR="000706D4" w:rsidRPr="000706D4">
        <w:rPr>
          <w:rFonts w:asciiTheme="minorHAnsi" w:hAnsiTheme="minorHAnsi"/>
          <w:color w:val="auto"/>
        </w:rPr>
        <w:t xml:space="preserve"> and PTSD condition</w:t>
      </w:r>
      <w:r w:rsidR="00115CD3">
        <w:rPr>
          <w:rFonts w:asciiTheme="minorHAnsi" w:hAnsiTheme="minorHAnsi"/>
          <w:color w:val="auto"/>
        </w:rPr>
        <w:t>s</w:t>
      </w:r>
      <w:r w:rsidR="000706D4" w:rsidRPr="000706D4">
        <w:rPr>
          <w:rFonts w:asciiTheme="minorHAnsi" w:hAnsiTheme="minorHAnsi"/>
          <w:color w:val="auto"/>
        </w:rPr>
        <w:t xml:space="preserve"> as unfitting, rated 20% and 10%</w:t>
      </w:r>
      <w:r w:rsidR="00B45E01">
        <w:rPr>
          <w:rFonts w:asciiTheme="minorHAnsi" w:hAnsiTheme="minorHAnsi"/>
          <w:color w:val="auto"/>
        </w:rPr>
        <w:t>,</w:t>
      </w:r>
      <w:r w:rsidR="000706D4" w:rsidRPr="000706D4">
        <w:rPr>
          <w:rFonts w:asciiTheme="minorHAnsi" w:hAnsiTheme="minorHAnsi"/>
          <w:color w:val="auto"/>
        </w:rPr>
        <w:t xml:space="preserve"> respectively</w:t>
      </w:r>
      <w:r w:rsidR="0056563E">
        <w:rPr>
          <w:rFonts w:asciiTheme="minorHAnsi" w:hAnsiTheme="minorHAnsi"/>
          <w:color w:val="auto"/>
        </w:rPr>
        <w:t>, and</w:t>
      </w:r>
      <w:r w:rsidR="000706D4" w:rsidRPr="000706D4">
        <w:rPr>
          <w:rFonts w:asciiTheme="minorHAnsi" w:hAnsiTheme="minorHAnsi"/>
          <w:color w:val="auto"/>
        </w:rPr>
        <w:t xml:space="preserve"> placed </w:t>
      </w:r>
      <w:r w:rsidR="0056563E">
        <w:rPr>
          <w:rFonts w:asciiTheme="minorHAnsi" w:hAnsiTheme="minorHAnsi"/>
          <w:color w:val="auto"/>
        </w:rPr>
        <w:t xml:space="preserve">the </w:t>
      </w:r>
      <w:r w:rsidR="0056563E" w:rsidRPr="000706D4">
        <w:rPr>
          <w:rFonts w:asciiTheme="minorHAnsi" w:hAnsiTheme="minorHAnsi"/>
          <w:color w:val="auto"/>
        </w:rPr>
        <w:t xml:space="preserve">CI </w:t>
      </w:r>
      <w:r w:rsidR="000706D4" w:rsidRPr="000706D4">
        <w:rPr>
          <w:rFonts w:asciiTheme="minorHAnsi" w:hAnsiTheme="minorHAnsi"/>
          <w:color w:val="auto"/>
        </w:rPr>
        <w:t xml:space="preserve">on </w:t>
      </w:r>
      <w:r w:rsidR="00115CD3">
        <w:rPr>
          <w:rFonts w:asciiTheme="minorHAnsi" w:hAnsiTheme="minorHAnsi"/>
          <w:color w:val="auto"/>
        </w:rPr>
        <w:t xml:space="preserve">the </w:t>
      </w:r>
      <w:r w:rsidR="000706D4" w:rsidRPr="000706D4">
        <w:rPr>
          <w:rFonts w:asciiTheme="minorHAnsi" w:hAnsiTheme="minorHAnsi"/>
          <w:color w:val="auto"/>
        </w:rPr>
        <w:t>Temporary Disability Retired List (TDRL).</w:t>
      </w:r>
      <w:r w:rsidR="0056563E">
        <w:rPr>
          <w:rFonts w:asciiTheme="minorHAnsi" w:hAnsiTheme="minorHAnsi"/>
          <w:color w:val="auto"/>
        </w:rPr>
        <w:t xml:space="preserve"> </w:t>
      </w:r>
      <w:r w:rsidR="000706D4" w:rsidRPr="000706D4">
        <w:rPr>
          <w:rFonts w:asciiTheme="minorHAnsi" w:hAnsiTheme="minorHAnsi"/>
          <w:color w:val="auto"/>
        </w:rPr>
        <w:t xml:space="preserve"> </w:t>
      </w:r>
      <w:r w:rsidR="003663E9">
        <w:rPr>
          <w:rFonts w:asciiTheme="minorHAnsi" w:hAnsiTheme="minorHAnsi"/>
          <w:color w:val="auto"/>
        </w:rPr>
        <w:t>After a 21</w:t>
      </w:r>
      <w:r w:rsidR="00537354">
        <w:rPr>
          <w:rFonts w:asciiTheme="minorHAnsi" w:hAnsiTheme="minorHAnsi"/>
          <w:color w:val="auto"/>
        </w:rPr>
        <w:t>-</w:t>
      </w:r>
      <w:r w:rsidR="003663E9">
        <w:rPr>
          <w:rFonts w:asciiTheme="minorHAnsi" w:hAnsiTheme="minorHAnsi"/>
          <w:color w:val="auto"/>
        </w:rPr>
        <w:t xml:space="preserve">month </w:t>
      </w:r>
      <w:r w:rsidR="00B45E01">
        <w:rPr>
          <w:rFonts w:asciiTheme="minorHAnsi" w:hAnsiTheme="minorHAnsi"/>
          <w:color w:val="auto"/>
        </w:rPr>
        <w:t xml:space="preserve">TDRL </w:t>
      </w:r>
      <w:r w:rsidR="003663E9">
        <w:rPr>
          <w:rFonts w:asciiTheme="minorHAnsi" w:hAnsiTheme="minorHAnsi"/>
          <w:color w:val="auto"/>
        </w:rPr>
        <w:t>period, t</w:t>
      </w:r>
      <w:r w:rsidR="0056563E">
        <w:rPr>
          <w:rFonts w:asciiTheme="minorHAnsi" w:hAnsiTheme="minorHAnsi"/>
          <w:color w:val="auto"/>
        </w:rPr>
        <w:t>he PEB adjudicated a permanent</w:t>
      </w:r>
      <w:r w:rsidR="000706D4" w:rsidRPr="000706D4">
        <w:rPr>
          <w:rFonts w:asciiTheme="minorHAnsi" w:hAnsiTheme="minorHAnsi"/>
          <w:color w:val="auto"/>
        </w:rPr>
        <w:t xml:space="preserve"> separat</w:t>
      </w:r>
      <w:r w:rsidR="0056563E">
        <w:rPr>
          <w:rFonts w:asciiTheme="minorHAnsi" w:hAnsiTheme="minorHAnsi"/>
          <w:color w:val="auto"/>
        </w:rPr>
        <w:t>ion rating of</w:t>
      </w:r>
      <w:r w:rsidR="000706D4" w:rsidRPr="000706D4">
        <w:rPr>
          <w:rFonts w:asciiTheme="minorHAnsi" w:hAnsiTheme="minorHAnsi"/>
          <w:color w:val="auto"/>
        </w:rPr>
        <w:t xml:space="preserve"> 10% for PTSD</w:t>
      </w:r>
      <w:r w:rsidR="00B45E01">
        <w:rPr>
          <w:rFonts w:asciiTheme="minorHAnsi" w:hAnsiTheme="minorHAnsi"/>
          <w:color w:val="auto"/>
        </w:rPr>
        <w:t>,</w:t>
      </w:r>
      <w:r w:rsidR="000706D4" w:rsidRPr="000706D4">
        <w:rPr>
          <w:rFonts w:asciiTheme="minorHAnsi" w:hAnsiTheme="minorHAnsi"/>
          <w:color w:val="auto"/>
        </w:rPr>
        <w:t xml:space="preserve"> </w:t>
      </w:r>
      <w:r w:rsidR="002B5020">
        <w:rPr>
          <w:rFonts w:asciiTheme="minorHAnsi" w:hAnsiTheme="minorHAnsi"/>
          <w:color w:val="auto"/>
        </w:rPr>
        <w:t xml:space="preserve">with application of </w:t>
      </w:r>
      <w:r w:rsidR="002B5020" w:rsidRPr="002B5020">
        <w:rPr>
          <w:rFonts w:asciiTheme="minorHAnsi" w:hAnsiTheme="minorHAnsi"/>
          <w:color w:val="auto"/>
        </w:rPr>
        <w:t>DoDI</w:t>
      </w:r>
      <w:r w:rsidR="00B45E01">
        <w:rPr>
          <w:rFonts w:asciiTheme="minorHAnsi" w:hAnsiTheme="minorHAnsi"/>
          <w:color w:val="auto"/>
        </w:rPr>
        <w:t xml:space="preserve"> </w:t>
      </w:r>
      <w:r w:rsidR="002B5020" w:rsidRPr="002B5020">
        <w:rPr>
          <w:rFonts w:asciiTheme="minorHAnsi" w:hAnsiTheme="minorHAnsi"/>
          <w:color w:val="auto"/>
        </w:rPr>
        <w:t xml:space="preserve">1332.39 </w:t>
      </w:r>
      <w:r w:rsidR="000706D4" w:rsidRPr="000706D4">
        <w:rPr>
          <w:rFonts w:asciiTheme="minorHAnsi" w:hAnsiTheme="minorHAnsi"/>
          <w:color w:val="auto"/>
        </w:rPr>
        <w:t xml:space="preserve">and </w:t>
      </w:r>
      <w:r w:rsidR="003663E9">
        <w:rPr>
          <w:rFonts w:asciiTheme="minorHAnsi" w:hAnsiTheme="minorHAnsi"/>
          <w:color w:val="auto"/>
        </w:rPr>
        <w:t xml:space="preserve">a rating of </w:t>
      </w:r>
      <w:r w:rsidR="000706D4" w:rsidRPr="000706D4">
        <w:rPr>
          <w:rFonts w:asciiTheme="minorHAnsi" w:hAnsiTheme="minorHAnsi"/>
          <w:color w:val="auto"/>
        </w:rPr>
        <w:t xml:space="preserve">0% </w:t>
      </w:r>
      <w:r w:rsidR="0056563E">
        <w:rPr>
          <w:rFonts w:asciiTheme="minorHAnsi" w:hAnsiTheme="minorHAnsi"/>
          <w:color w:val="auto"/>
        </w:rPr>
        <w:t>for</w:t>
      </w:r>
      <w:r w:rsidR="000706D4" w:rsidRPr="000706D4">
        <w:rPr>
          <w:rFonts w:asciiTheme="minorHAnsi" w:hAnsiTheme="minorHAnsi"/>
          <w:color w:val="auto"/>
        </w:rPr>
        <w:t xml:space="preserve"> chronic low back pain</w:t>
      </w:r>
      <w:r w:rsidR="00B45E01">
        <w:rPr>
          <w:rFonts w:asciiTheme="minorHAnsi" w:hAnsiTheme="minorHAnsi"/>
          <w:color w:val="auto"/>
        </w:rPr>
        <w:t>,</w:t>
      </w:r>
      <w:r w:rsidR="002B5020">
        <w:rPr>
          <w:rFonts w:asciiTheme="minorHAnsi" w:hAnsiTheme="minorHAnsi"/>
          <w:color w:val="auto"/>
        </w:rPr>
        <w:t xml:space="preserve"> with application of </w:t>
      </w:r>
      <w:r w:rsidR="002B5020" w:rsidRPr="002B5020">
        <w:rPr>
          <w:rFonts w:asciiTheme="minorHAnsi" w:hAnsiTheme="minorHAnsi"/>
          <w:color w:val="auto"/>
        </w:rPr>
        <w:t>the US Army Physical Disability Agency (USAPDA) pain policy</w:t>
      </w:r>
      <w:r w:rsidR="0056563E">
        <w:rPr>
          <w:rFonts w:asciiTheme="minorHAnsi" w:hAnsiTheme="minorHAnsi"/>
          <w:color w:val="auto"/>
        </w:rPr>
        <w:t>.  The CI appealed</w:t>
      </w:r>
      <w:r w:rsidR="003663E9">
        <w:rPr>
          <w:rFonts w:asciiTheme="minorHAnsi" w:hAnsiTheme="minorHAnsi"/>
          <w:color w:val="auto"/>
        </w:rPr>
        <w:t>,</w:t>
      </w:r>
      <w:r w:rsidR="0056563E">
        <w:rPr>
          <w:rFonts w:asciiTheme="minorHAnsi" w:hAnsiTheme="minorHAnsi"/>
          <w:color w:val="auto"/>
        </w:rPr>
        <w:t xml:space="preserve"> </w:t>
      </w:r>
      <w:r w:rsidR="00F06682">
        <w:rPr>
          <w:rFonts w:asciiTheme="minorHAnsi" w:hAnsiTheme="minorHAnsi"/>
          <w:color w:val="auto"/>
        </w:rPr>
        <w:t>but waived a formal hearing</w:t>
      </w:r>
      <w:r w:rsidR="00B45E01">
        <w:rPr>
          <w:rFonts w:asciiTheme="minorHAnsi" w:hAnsiTheme="minorHAnsi"/>
          <w:color w:val="auto"/>
        </w:rPr>
        <w:t>,</w:t>
      </w:r>
      <w:r w:rsidR="000706D4" w:rsidRPr="000706D4">
        <w:rPr>
          <w:rFonts w:asciiTheme="minorHAnsi" w:hAnsiTheme="minorHAnsi"/>
          <w:color w:val="auto"/>
        </w:rPr>
        <w:t xml:space="preserve"> and was </w:t>
      </w:r>
      <w:r w:rsidR="003663E9">
        <w:rPr>
          <w:rFonts w:asciiTheme="minorHAnsi" w:hAnsiTheme="minorHAnsi"/>
          <w:color w:val="auto"/>
        </w:rPr>
        <w:t xml:space="preserve">medically </w:t>
      </w:r>
      <w:r w:rsidR="000706D4" w:rsidRPr="000706D4">
        <w:rPr>
          <w:rFonts w:asciiTheme="minorHAnsi" w:hAnsiTheme="minorHAnsi"/>
          <w:color w:val="auto"/>
        </w:rPr>
        <w:t>separated with a combined disability rating of 10%.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085D7B"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A37FD3" w:rsidRPr="00A37FD3">
        <w:rPr>
          <w:rFonts w:asciiTheme="minorHAnsi" w:hAnsiTheme="minorHAnsi"/>
          <w:color w:val="auto"/>
        </w:rPr>
        <w:t xml:space="preserve">“I was assigned less than </w:t>
      </w:r>
      <w:r w:rsidR="00A37FD3" w:rsidRPr="00A37FD3">
        <w:rPr>
          <w:rFonts w:asciiTheme="minorHAnsi" w:hAnsiTheme="minorHAnsi"/>
          <w:iCs/>
          <w:color w:val="auto"/>
        </w:rPr>
        <w:t>50%</w:t>
      </w:r>
      <w:r w:rsidR="00A37FD3" w:rsidRPr="00A37FD3">
        <w:rPr>
          <w:rFonts w:asciiTheme="minorHAnsi" w:hAnsiTheme="minorHAnsi"/>
          <w:i/>
          <w:iCs/>
          <w:color w:val="auto"/>
        </w:rPr>
        <w:t xml:space="preserve"> </w:t>
      </w:r>
      <w:r w:rsidR="00A37FD3" w:rsidRPr="00A37FD3">
        <w:rPr>
          <w:rFonts w:asciiTheme="minorHAnsi" w:hAnsiTheme="minorHAnsi"/>
          <w:color w:val="auto"/>
        </w:rPr>
        <w:t xml:space="preserve">disability rating by the military for my unfitting PTSD upon discharge from active duty. </w:t>
      </w:r>
      <w:r w:rsidR="00B45E01">
        <w:rPr>
          <w:rFonts w:asciiTheme="minorHAnsi" w:hAnsiTheme="minorHAnsi"/>
          <w:color w:val="auto"/>
        </w:rPr>
        <w:t xml:space="preserve"> </w:t>
      </w:r>
      <w:r w:rsidR="00A37FD3" w:rsidRPr="00A37FD3">
        <w:rPr>
          <w:rFonts w:asciiTheme="minorHAnsi" w:hAnsiTheme="minorHAnsi"/>
          <w:color w:val="auto"/>
        </w:rPr>
        <w:t xml:space="preserve">In accordance with the class action notice, assign the highest final disability rating applicable consistent with 38 CFR 4.129 and </w:t>
      </w:r>
      <w:proofErr w:type="gramStart"/>
      <w:r w:rsidR="00A37FD3" w:rsidRPr="00A37FD3">
        <w:rPr>
          <w:rFonts w:asciiTheme="minorHAnsi" w:hAnsiTheme="minorHAnsi"/>
          <w:color w:val="auto"/>
        </w:rPr>
        <w:t>DoD</w:t>
      </w:r>
      <w:proofErr w:type="gramEnd"/>
      <w:r w:rsidR="00A37FD3" w:rsidRPr="00A37FD3">
        <w:rPr>
          <w:rFonts w:asciiTheme="minorHAnsi" w:hAnsiTheme="minorHAnsi"/>
          <w:color w:val="auto"/>
        </w:rPr>
        <w:t xml:space="preserve"> policy, to the extent such increase will not adversely affect my total compensation, including but not limited to compensation pursuant to CRSC. </w:t>
      </w:r>
      <w:r w:rsidR="00B45E01">
        <w:rPr>
          <w:rFonts w:asciiTheme="minorHAnsi" w:hAnsiTheme="minorHAnsi"/>
          <w:color w:val="auto"/>
        </w:rPr>
        <w:t xml:space="preserve"> </w:t>
      </w:r>
      <w:r w:rsidR="00A37FD3" w:rsidRPr="00A37FD3">
        <w:rPr>
          <w:rFonts w:asciiTheme="minorHAnsi" w:hAnsiTheme="minorHAnsi"/>
          <w:color w:val="auto"/>
        </w:rPr>
        <w:t>Change the ratings for these conditions to the highest rating possible: Lumb</w:t>
      </w:r>
      <w:r w:rsidR="00A37FD3">
        <w:rPr>
          <w:rFonts w:asciiTheme="minorHAnsi" w:hAnsiTheme="minorHAnsi"/>
          <w:color w:val="auto"/>
        </w:rPr>
        <w:t>o</w:t>
      </w:r>
      <w:r w:rsidR="00A37FD3" w:rsidRPr="00A37FD3">
        <w:rPr>
          <w:rFonts w:asciiTheme="minorHAnsi" w:hAnsiTheme="minorHAnsi"/>
          <w:color w:val="auto"/>
        </w:rPr>
        <w:t>sacral or cervical strain.”</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ED6A88" w:rsidRPr="00ED6A88" w:rsidRDefault="00ED6A88" w:rsidP="00ED6A88">
      <w:pPr>
        <w:tabs>
          <w:tab w:val="left" w:pos="288"/>
          <w:tab w:val="left" w:pos="4752"/>
        </w:tabs>
        <w:spacing w:line="240" w:lineRule="exact"/>
        <w:jc w:val="both"/>
        <w:rPr>
          <w:b/>
          <w:color w:val="auto"/>
          <w:szCs w:val="24"/>
          <w:u w:val="single"/>
        </w:rPr>
      </w:pPr>
    </w:p>
    <w:tbl>
      <w:tblPr>
        <w:tblW w:w="9390" w:type="dxa"/>
        <w:jc w:val="center"/>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5"/>
        <w:gridCol w:w="1080"/>
        <w:gridCol w:w="720"/>
        <w:gridCol w:w="630"/>
        <w:gridCol w:w="2430"/>
        <w:gridCol w:w="720"/>
        <w:gridCol w:w="825"/>
        <w:gridCol w:w="990"/>
      </w:tblGrid>
      <w:tr w:rsidR="00ED6A88" w:rsidRPr="00ED6A88" w:rsidTr="00001942">
        <w:trPr>
          <w:trHeight w:val="233"/>
          <w:jc w:val="center"/>
        </w:trPr>
        <w:tc>
          <w:tcPr>
            <w:tcW w:w="4425" w:type="dxa"/>
            <w:gridSpan w:val="4"/>
            <w:tcBorders>
              <w:right w:val="thinThickThinSmallGap" w:sz="24" w:space="0" w:color="auto"/>
            </w:tcBorders>
            <w:shd w:val="clear" w:color="auto" w:fill="D9D9D9"/>
            <w:vAlign w:val="center"/>
          </w:tcPr>
          <w:p w:rsidR="00ED6A88" w:rsidRPr="00ED6A88" w:rsidRDefault="00ED6A88" w:rsidP="00001942">
            <w:pPr>
              <w:spacing w:line="240" w:lineRule="exact"/>
              <w:contextualSpacing/>
              <w:jc w:val="center"/>
              <w:rPr>
                <w:rFonts w:eastAsia="Calibri"/>
                <w:b/>
                <w:color w:val="auto"/>
                <w:sz w:val="20"/>
              </w:rPr>
            </w:pPr>
            <w:r w:rsidRPr="0056563E">
              <w:rPr>
                <w:rFonts w:eastAsia="Calibri"/>
                <w:b/>
                <w:color w:val="auto"/>
                <w:sz w:val="20"/>
              </w:rPr>
              <w:t>Final Service PEB – Dated 20060428</w:t>
            </w:r>
          </w:p>
        </w:tc>
        <w:tc>
          <w:tcPr>
            <w:tcW w:w="4965" w:type="dxa"/>
            <w:gridSpan w:val="4"/>
            <w:tcBorders>
              <w:left w:val="thinThickThinSmallGap" w:sz="24" w:space="0" w:color="auto"/>
            </w:tcBorders>
            <w:shd w:val="clear" w:color="auto" w:fill="D9D9D9"/>
            <w:vAlign w:val="center"/>
          </w:tcPr>
          <w:p w:rsidR="00ED6A88" w:rsidRPr="00ED6A88" w:rsidRDefault="00ED6A88" w:rsidP="00001942">
            <w:pPr>
              <w:spacing w:line="240" w:lineRule="exact"/>
              <w:contextualSpacing/>
              <w:jc w:val="center"/>
              <w:rPr>
                <w:rFonts w:eastAsia="Calibri"/>
                <w:b/>
                <w:color w:val="auto"/>
                <w:sz w:val="20"/>
              </w:rPr>
            </w:pPr>
            <w:r w:rsidRPr="00ED6A88">
              <w:rPr>
                <w:rFonts w:eastAsia="Calibri"/>
                <w:b/>
                <w:color w:val="auto"/>
                <w:sz w:val="20"/>
              </w:rPr>
              <w:t>VA – All Effective 20040923</w:t>
            </w:r>
          </w:p>
        </w:tc>
      </w:tr>
      <w:tr w:rsidR="00001942" w:rsidRPr="00ED6A88" w:rsidTr="00382544">
        <w:trPr>
          <w:trHeight w:val="233"/>
          <w:jc w:val="center"/>
        </w:trPr>
        <w:tc>
          <w:tcPr>
            <w:tcW w:w="1995" w:type="dxa"/>
            <w:vMerge w:val="restart"/>
            <w:shd w:val="clear" w:color="auto" w:fill="D9D9D9"/>
            <w:vAlign w:val="center"/>
          </w:tcPr>
          <w:p w:rsidR="00001942" w:rsidRPr="00ED6A88" w:rsidRDefault="00001942" w:rsidP="00001942">
            <w:pPr>
              <w:spacing w:line="220" w:lineRule="exact"/>
              <w:contextualSpacing/>
              <w:jc w:val="center"/>
              <w:rPr>
                <w:rFonts w:eastAsia="Calibri"/>
                <w:b/>
                <w:color w:val="auto"/>
                <w:sz w:val="20"/>
              </w:rPr>
            </w:pPr>
            <w:r w:rsidRPr="00ED6A88">
              <w:rPr>
                <w:rFonts w:eastAsia="Calibri"/>
                <w:b/>
                <w:color w:val="auto"/>
                <w:sz w:val="20"/>
              </w:rPr>
              <w:t>Condition</w:t>
            </w:r>
          </w:p>
        </w:tc>
        <w:tc>
          <w:tcPr>
            <w:tcW w:w="1080" w:type="dxa"/>
            <w:vMerge w:val="restart"/>
            <w:shd w:val="clear" w:color="auto" w:fill="D9D9D9"/>
            <w:vAlign w:val="center"/>
          </w:tcPr>
          <w:p w:rsidR="00001942" w:rsidRPr="00ED6A88" w:rsidRDefault="00001942" w:rsidP="00001942">
            <w:pPr>
              <w:spacing w:line="220" w:lineRule="exact"/>
              <w:contextualSpacing/>
              <w:jc w:val="center"/>
              <w:rPr>
                <w:rFonts w:eastAsia="Calibri"/>
                <w:b/>
                <w:color w:val="auto"/>
                <w:sz w:val="20"/>
              </w:rPr>
            </w:pPr>
            <w:r w:rsidRPr="00ED6A88">
              <w:rPr>
                <w:rFonts w:eastAsia="Calibri"/>
                <w:b/>
                <w:color w:val="auto"/>
                <w:sz w:val="20"/>
              </w:rPr>
              <w:t>Code</w:t>
            </w:r>
          </w:p>
        </w:tc>
        <w:tc>
          <w:tcPr>
            <w:tcW w:w="1350" w:type="dxa"/>
            <w:gridSpan w:val="2"/>
            <w:tcBorders>
              <w:bottom w:val="single" w:sz="4" w:space="0" w:color="000000"/>
              <w:right w:val="thinThickThinSmallGap" w:sz="24" w:space="0" w:color="auto"/>
            </w:tcBorders>
            <w:shd w:val="clear" w:color="auto" w:fill="D9D9D9"/>
            <w:vAlign w:val="center"/>
          </w:tcPr>
          <w:p w:rsidR="00001942" w:rsidRPr="00ED6A88" w:rsidRDefault="00001942" w:rsidP="00001942">
            <w:pPr>
              <w:spacing w:line="220" w:lineRule="exact"/>
              <w:contextualSpacing/>
              <w:jc w:val="center"/>
              <w:rPr>
                <w:rFonts w:eastAsia="Calibri"/>
                <w:b/>
                <w:color w:val="auto"/>
                <w:sz w:val="20"/>
              </w:rPr>
            </w:pPr>
            <w:r w:rsidRPr="00ED6A88">
              <w:rPr>
                <w:rFonts w:eastAsia="Calibri"/>
                <w:b/>
                <w:color w:val="auto"/>
                <w:sz w:val="20"/>
              </w:rPr>
              <w:t>Rating</w:t>
            </w:r>
          </w:p>
        </w:tc>
        <w:tc>
          <w:tcPr>
            <w:tcW w:w="2430" w:type="dxa"/>
            <w:vMerge w:val="restart"/>
            <w:tcBorders>
              <w:left w:val="thinThickThinSmallGap" w:sz="24" w:space="0" w:color="auto"/>
            </w:tcBorders>
            <w:shd w:val="clear" w:color="auto" w:fill="D9D9D9"/>
            <w:vAlign w:val="center"/>
          </w:tcPr>
          <w:p w:rsidR="00001942" w:rsidRPr="00ED6A88" w:rsidRDefault="00001942" w:rsidP="00001942">
            <w:pPr>
              <w:spacing w:line="240" w:lineRule="exact"/>
              <w:contextualSpacing/>
              <w:jc w:val="center"/>
              <w:rPr>
                <w:rFonts w:eastAsia="Calibri"/>
                <w:b/>
                <w:color w:val="auto"/>
                <w:sz w:val="20"/>
              </w:rPr>
            </w:pPr>
            <w:r w:rsidRPr="00ED6A88">
              <w:rPr>
                <w:rFonts w:eastAsia="Calibri"/>
                <w:b/>
                <w:color w:val="auto"/>
                <w:sz w:val="20"/>
              </w:rPr>
              <w:t>Condition</w:t>
            </w:r>
          </w:p>
        </w:tc>
        <w:tc>
          <w:tcPr>
            <w:tcW w:w="720" w:type="dxa"/>
            <w:vMerge w:val="restart"/>
            <w:shd w:val="clear" w:color="auto" w:fill="D9D9D9"/>
            <w:vAlign w:val="center"/>
          </w:tcPr>
          <w:p w:rsidR="00001942" w:rsidRPr="00ED6A88" w:rsidRDefault="00001942" w:rsidP="00001942">
            <w:pPr>
              <w:spacing w:line="240" w:lineRule="exact"/>
              <w:contextualSpacing/>
              <w:jc w:val="center"/>
              <w:rPr>
                <w:rFonts w:eastAsia="Calibri"/>
                <w:b/>
                <w:color w:val="auto"/>
                <w:sz w:val="20"/>
              </w:rPr>
            </w:pPr>
            <w:r w:rsidRPr="00ED6A88">
              <w:rPr>
                <w:rFonts w:eastAsia="Calibri"/>
                <w:b/>
                <w:color w:val="auto"/>
                <w:sz w:val="20"/>
              </w:rPr>
              <w:t>Code</w:t>
            </w:r>
          </w:p>
        </w:tc>
        <w:tc>
          <w:tcPr>
            <w:tcW w:w="825" w:type="dxa"/>
            <w:vMerge w:val="restart"/>
            <w:shd w:val="clear" w:color="auto" w:fill="D9D9D9"/>
            <w:vAlign w:val="center"/>
          </w:tcPr>
          <w:p w:rsidR="00001942" w:rsidRPr="00ED6A88" w:rsidRDefault="00001942" w:rsidP="00001942">
            <w:pPr>
              <w:spacing w:line="240" w:lineRule="exact"/>
              <w:contextualSpacing/>
              <w:jc w:val="center"/>
              <w:rPr>
                <w:rFonts w:eastAsia="Calibri"/>
                <w:b/>
                <w:color w:val="auto"/>
                <w:sz w:val="20"/>
              </w:rPr>
            </w:pPr>
            <w:r w:rsidRPr="00ED6A88">
              <w:rPr>
                <w:rFonts w:eastAsia="Calibri"/>
                <w:b/>
                <w:color w:val="auto"/>
                <w:sz w:val="20"/>
              </w:rPr>
              <w:t>Rating</w:t>
            </w:r>
          </w:p>
        </w:tc>
        <w:tc>
          <w:tcPr>
            <w:tcW w:w="990" w:type="dxa"/>
            <w:vMerge w:val="restart"/>
            <w:shd w:val="clear" w:color="auto" w:fill="D9D9D9"/>
            <w:vAlign w:val="center"/>
          </w:tcPr>
          <w:p w:rsidR="00001942" w:rsidRPr="00ED6A88" w:rsidRDefault="00001942" w:rsidP="00001942">
            <w:pPr>
              <w:spacing w:line="240" w:lineRule="exact"/>
              <w:contextualSpacing/>
              <w:jc w:val="center"/>
              <w:rPr>
                <w:rFonts w:eastAsia="Calibri"/>
                <w:b/>
                <w:color w:val="auto"/>
                <w:sz w:val="20"/>
              </w:rPr>
            </w:pPr>
            <w:r w:rsidRPr="00ED6A88">
              <w:rPr>
                <w:rFonts w:eastAsia="Calibri"/>
                <w:b/>
                <w:color w:val="auto"/>
                <w:sz w:val="20"/>
              </w:rPr>
              <w:t>Exam</w:t>
            </w:r>
          </w:p>
        </w:tc>
      </w:tr>
      <w:tr w:rsidR="00001942" w:rsidRPr="00ED6A88" w:rsidTr="00001942">
        <w:trPr>
          <w:trHeight w:val="152"/>
          <w:jc w:val="center"/>
        </w:trPr>
        <w:tc>
          <w:tcPr>
            <w:tcW w:w="1995" w:type="dxa"/>
            <w:vMerge/>
            <w:shd w:val="clear" w:color="auto" w:fill="D9D9D9"/>
            <w:vAlign w:val="center"/>
          </w:tcPr>
          <w:p w:rsidR="00001942" w:rsidRPr="00ED6A88" w:rsidRDefault="00001942" w:rsidP="00001942">
            <w:pPr>
              <w:spacing w:line="220" w:lineRule="exact"/>
              <w:contextualSpacing/>
              <w:jc w:val="center"/>
              <w:rPr>
                <w:rFonts w:eastAsia="Calibri"/>
                <w:b/>
                <w:color w:val="auto"/>
                <w:sz w:val="20"/>
              </w:rPr>
            </w:pPr>
          </w:p>
        </w:tc>
        <w:tc>
          <w:tcPr>
            <w:tcW w:w="1080" w:type="dxa"/>
            <w:vMerge/>
            <w:shd w:val="clear" w:color="auto" w:fill="D9D9D9"/>
            <w:vAlign w:val="center"/>
          </w:tcPr>
          <w:p w:rsidR="00001942" w:rsidRPr="00ED6A88" w:rsidRDefault="00001942" w:rsidP="00001942">
            <w:pPr>
              <w:spacing w:line="220" w:lineRule="exact"/>
              <w:contextualSpacing/>
              <w:jc w:val="center"/>
              <w:rPr>
                <w:rFonts w:eastAsia="Calibri"/>
                <w:color w:val="auto"/>
                <w:sz w:val="20"/>
              </w:rPr>
            </w:pPr>
          </w:p>
        </w:tc>
        <w:tc>
          <w:tcPr>
            <w:tcW w:w="720" w:type="dxa"/>
            <w:tcBorders>
              <w:right w:val="single" w:sz="4" w:space="0" w:color="auto"/>
            </w:tcBorders>
            <w:shd w:val="clear" w:color="auto" w:fill="D9D9D9"/>
            <w:vAlign w:val="center"/>
          </w:tcPr>
          <w:p w:rsidR="00001942" w:rsidRPr="00ED6A88" w:rsidRDefault="00001942" w:rsidP="00001942">
            <w:pPr>
              <w:spacing w:line="220" w:lineRule="exact"/>
              <w:contextualSpacing/>
              <w:jc w:val="center"/>
              <w:rPr>
                <w:rFonts w:eastAsia="Calibri"/>
                <w:b/>
                <w:color w:val="auto"/>
                <w:sz w:val="20"/>
              </w:rPr>
            </w:pPr>
            <w:r w:rsidRPr="00ED6A88">
              <w:rPr>
                <w:rFonts w:eastAsia="Calibri"/>
                <w:b/>
                <w:color w:val="auto"/>
                <w:sz w:val="20"/>
              </w:rPr>
              <w:t>TDRL</w:t>
            </w:r>
          </w:p>
        </w:tc>
        <w:tc>
          <w:tcPr>
            <w:tcW w:w="630" w:type="dxa"/>
            <w:tcBorders>
              <w:left w:val="single" w:sz="4" w:space="0" w:color="auto"/>
              <w:right w:val="thinThickThinSmallGap" w:sz="24" w:space="0" w:color="auto"/>
            </w:tcBorders>
            <w:shd w:val="clear" w:color="auto" w:fill="D9D9D9"/>
            <w:vAlign w:val="center"/>
          </w:tcPr>
          <w:p w:rsidR="00001942" w:rsidRPr="00ED6A88" w:rsidRDefault="00001942" w:rsidP="00001942">
            <w:pPr>
              <w:tabs>
                <w:tab w:val="left" w:pos="206"/>
                <w:tab w:val="center" w:pos="387"/>
              </w:tabs>
              <w:spacing w:line="220" w:lineRule="exact"/>
              <w:contextualSpacing/>
              <w:jc w:val="center"/>
              <w:rPr>
                <w:rFonts w:eastAsia="Calibri"/>
                <w:b/>
                <w:color w:val="auto"/>
                <w:sz w:val="20"/>
              </w:rPr>
            </w:pPr>
            <w:r w:rsidRPr="00ED6A88">
              <w:rPr>
                <w:rFonts w:eastAsia="Calibri"/>
                <w:b/>
                <w:color w:val="auto"/>
                <w:sz w:val="20"/>
              </w:rPr>
              <w:t>Sep.</w:t>
            </w:r>
          </w:p>
        </w:tc>
        <w:tc>
          <w:tcPr>
            <w:tcW w:w="2430" w:type="dxa"/>
            <w:vMerge/>
            <w:tcBorders>
              <w:left w:val="thinThickThinSmallGap" w:sz="24" w:space="0" w:color="auto"/>
            </w:tcBorders>
            <w:shd w:val="clear" w:color="auto" w:fill="D9D9D9"/>
            <w:vAlign w:val="center"/>
          </w:tcPr>
          <w:p w:rsidR="00001942" w:rsidRPr="00ED6A88" w:rsidRDefault="00001942" w:rsidP="00001942">
            <w:pPr>
              <w:spacing w:line="240" w:lineRule="exact"/>
              <w:contextualSpacing/>
              <w:jc w:val="center"/>
              <w:rPr>
                <w:rFonts w:eastAsia="Calibri"/>
                <w:b/>
                <w:color w:val="auto"/>
                <w:sz w:val="20"/>
              </w:rPr>
            </w:pPr>
          </w:p>
        </w:tc>
        <w:tc>
          <w:tcPr>
            <w:tcW w:w="720" w:type="dxa"/>
            <w:vMerge/>
            <w:shd w:val="clear" w:color="auto" w:fill="C6D9F1"/>
            <w:vAlign w:val="center"/>
          </w:tcPr>
          <w:p w:rsidR="00001942" w:rsidRPr="00ED6A88" w:rsidRDefault="00001942" w:rsidP="00001942">
            <w:pPr>
              <w:spacing w:line="240" w:lineRule="exact"/>
              <w:contextualSpacing/>
              <w:jc w:val="center"/>
              <w:rPr>
                <w:rFonts w:eastAsia="Calibri"/>
                <w:color w:val="auto"/>
                <w:sz w:val="20"/>
              </w:rPr>
            </w:pPr>
          </w:p>
        </w:tc>
        <w:tc>
          <w:tcPr>
            <w:tcW w:w="825" w:type="dxa"/>
            <w:vMerge/>
            <w:shd w:val="clear" w:color="auto" w:fill="C6D9F1"/>
            <w:vAlign w:val="center"/>
          </w:tcPr>
          <w:p w:rsidR="00001942" w:rsidRPr="00ED6A88" w:rsidRDefault="00001942" w:rsidP="00001942">
            <w:pPr>
              <w:spacing w:line="240" w:lineRule="exact"/>
              <w:contextualSpacing/>
              <w:jc w:val="center"/>
              <w:rPr>
                <w:rFonts w:eastAsia="Calibri"/>
                <w:color w:val="auto"/>
                <w:sz w:val="20"/>
              </w:rPr>
            </w:pPr>
          </w:p>
        </w:tc>
        <w:tc>
          <w:tcPr>
            <w:tcW w:w="990" w:type="dxa"/>
            <w:vMerge/>
            <w:shd w:val="clear" w:color="auto" w:fill="C6D9F1"/>
            <w:vAlign w:val="center"/>
          </w:tcPr>
          <w:p w:rsidR="00001942" w:rsidRPr="00ED6A88" w:rsidRDefault="00001942" w:rsidP="00001942">
            <w:pPr>
              <w:spacing w:line="240" w:lineRule="exact"/>
              <w:contextualSpacing/>
              <w:jc w:val="center"/>
              <w:rPr>
                <w:rFonts w:eastAsia="Calibri"/>
                <w:color w:val="auto"/>
                <w:sz w:val="20"/>
              </w:rPr>
            </w:pPr>
          </w:p>
        </w:tc>
      </w:tr>
      <w:tr w:rsidR="00ED6A88" w:rsidRPr="00ED6A88" w:rsidTr="00001942">
        <w:trPr>
          <w:trHeight w:val="152"/>
          <w:jc w:val="center"/>
        </w:trPr>
        <w:tc>
          <w:tcPr>
            <w:tcW w:w="1995" w:type="dxa"/>
            <w:tcBorders>
              <w:right w:val="single" w:sz="4" w:space="0" w:color="auto"/>
            </w:tcBorders>
            <w:shd w:val="clear" w:color="auto" w:fill="FFFFFF"/>
            <w:vAlign w:val="center"/>
          </w:tcPr>
          <w:p w:rsidR="00ED6A88" w:rsidRPr="00ED6A88" w:rsidRDefault="00ED6A88" w:rsidP="00001942">
            <w:pPr>
              <w:spacing w:line="220" w:lineRule="exact"/>
              <w:contextualSpacing/>
              <w:rPr>
                <w:rFonts w:eastAsia="Calibri"/>
                <w:color w:val="auto"/>
                <w:sz w:val="18"/>
                <w:szCs w:val="18"/>
                <w:highlight w:val="yellow"/>
              </w:rPr>
            </w:pPr>
            <w:r w:rsidRPr="00ED6A88">
              <w:rPr>
                <w:rFonts w:eastAsia="Calibri"/>
                <w:color w:val="auto"/>
                <w:sz w:val="18"/>
                <w:szCs w:val="18"/>
              </w:rPr>
              <w:t>Chronic Low Back Pain</w:t>
            </w:r>
          </w:p>
        </w:tc>
        <w:tc>
          <w:tcPr>
            <w:tcW w:w="1080" w:type="dxa"/>
            <w:tcBorders>
              <w:left w:val="single" w:sz="4" w:space="0" w:color="auto"/>
            </w:tcBorders>
            <w:shd w:val="clear" w:color="auto" w:fill="FFFFFF"/>
            <w:vAlign w:val="center"/>
          </w:tcPr>
          <w:p w:rsidR="00ED6A88" w:rsidRPr="00ED6A88" w:rsidRDefault="00ED6A88" w:rsidP="00001942">
            <w:pPr>
              <w:spacing w:line="220" w:lineRule="exact"/>
              <w:contextualSpacing/>
              <w:jc w:val="center"/>
              <w:rPr>
                <w:rFonts w:eastAsia="Calibri"/>
                <w:color w:val="auto"/>
                <w:sz w:val="18"/>
                <w:szCs w:val="18"/>
              </w:rPr>
            </w:pPr>
            <w:r w:rsidRPr="00ED6A88">
              <w:rPr>
                <w:rFonts w:eastAsia="Calibri"/>
                <w:color w:val="auto"/>
                <w:sz w:val="18"/>
                <w:szCs w:val="18"/>
              </w:rPr>
              <w:t>5299-5237</w:t>
            </w:r>
          </w:p>
        </w:tc>
        <w:tc>
          <w:tcPr>
            <w:tcW w:w="720" w:type="dxa"/>
            <w:tcBorders>
              <w:right w:val="single" w:sz="4" w:space="0" w:color="auto"/>
            </w:tcBorders>
            <w:shd w:val="clear" w:color="auto" w:fill="FFFFFF"/>
            <w:vAlign w:val="center"/>
          </w:tcPr>
          <w:p w:rsidR="00ED6A88" w:rsidRPr="00ED6A88" w:rsidRDefault="00ED6A88" w:rsidP="00001942">
            <w:pPr>
              <w:spacing w:line="220" w:lineRule="exact"/>
              <w:jc w:val="center"/>
              <w:rPr>
                <w:rFonts w:eastAsia="Calibri"/>
                <w:color w:val="auto"/>
                <w:sz w:val="22"/>
                <w:szCs w:val="22"/>
              </w:rPr>
            </w:pPr>
            <w:r w:rsidRPr="00ED6A88">
              <w:rPr>
                <w:rFonts w:eastAsia="Calibri"/>
                <w:color w:val="auto"/>
                <w:sz w:val="18"/>
                <w:szCs w:val="18"/>
              </w:rPr>
              <w:t>20%</w:t>
            </w:r>
          </w:p>
        </w:tc>
        <w:tc>
          <w:tcPr>
            <w:tcW w:w="630" w:type="dxa"/>
            <w:tcBorders>
              <w:left w:val="single" w:sz="4" w:space="0" w:color="auto"/>
              <w:right w:val="thinThickThinSmallGap" w:sz="24" w:space="0" w:color="auto"/>
            </w:tcBorders>
            <w:shd w:val="clear" w:color="auto" w:fill="FFFFFF"/>
            <w:vAlign w:val="center"/>
          </w:tcPr>
          <w:p w:rsidR="00ED6A88" w:rsidRPr="00ED6A88" w:rsidRDefault="00ED6A88" w:rsidP="00001942">
            <w:pPr>
              <w:spacing w:line="220" w:lineRule="exact"/>
              <w:jc w:val="center"/>
              <w:rPr>
                <w:rFonts w:eastAsia="Calibri"/>
                <w:color w:val="auto"/>
                <w:sz w:val="22"/>
                <w:szCs w:val="22"/>
              </w:rPr>
            </w:pPr>
            <w:r w:rsidRPr="00ED6A88">
              <w:rPr>
                <w:rFonts w:eastAsia="Calibri"/>
                <w:color w:val="auto"/>
                <w:sz w:val="18"/>
                <w:szCs w:val="18"/>
              </w:rPr>
              <w:t>0%</w:t>
            </w:r>
          </w:p>
        </w:tc>
        <w:tc>
          <w:tcPr>
            <w:tcW w:w="2430" w:type="dxa"/>
            <w:tcBorders>
              <w:left w:val="thinThickThinSmallGap" w:sz="24" w:space="0" w:color="auto"/>
            </w:tcBorders>
            <w:shd w:val="clear" w:color="auto" w:fill="FFFFFF"/>
            <w:vAlign w:val="center"/>
          </w:tcPr>
          <w:p w:rsidR="00ED6A88" w:rsidRPr="00ED6A88" w:rsidRDefault="00001942" w:rsidP="00001942">
            <w:pPr>
              <w:spacing w:line="220" w:lineRule="exact"/>
              <w:contextualSpacing/>
              <w:rPr>
                <w:rFonts w:eastAsia="Calibri"/>
                <w:color w:val="auto"/>
                <w:sz w:val="18"/>
                <w:szCs w:val="18"/>
              </w:rPr>
            </w:pPr>
            <w:r>
              <w:rPr>
                <w:rFonts w:eastAsia="Calibri"/>
                <w:color w:val="auto"/>
                <w:sz w:val="18"/>
                <w:szCs w:val="18"/>
              </w:rPr>
              <w:t>Lumbar Disc Disease…</w:t>
            </w:r>
            <w:r w:rsidR="00ED6A88" w:rsidRPr="00ED6A88">
              <w:rPr>
                <w:rFonts w:eastAsia="Calibri"/>
                <w:color w:val="auto"/>
                <w:sz w:val="18"/>
                <w:szCs w:val="18"/>
              </w:rPr>
              <w:t>Sciatica</w:t>
            </w:r>
          </w:p>
        </w:tc>
        <w:tc>
          <w:tcPr>
            <w:tcW w:w="720" w:type="dxa"/>
            <w:shd w:val="clear" w:color="auto" w:fill="FFFFFF"/>
            <w:vAlign w:val="center"/>
          </w:tcPr>
          <w:p w:rsidR="00ED6A88" w:rsidRPr="00ED6A88" w:rsidRDefault="00ED6A88" w:rsidP="00001942">
            <w:pPr>
              <w:spacing w:line="220" w:lineRule="exact"/>
              <w:contextualSpacing/>
              <w:jc w:val="center"/>
              <w:rPr>
                <w:rFonts w:eastAsia="Calibri"/>
                <w:color w:val="auto"/>
                <w:sz w:val="18"/>
                <w:szCs w:val="18"/>
              </w:rPr>
            </w:pPr>
            <w:r w:rsidRPr="00ED6A88">
              <w:rPr>
                <w:rFonts w:eastAsia="Calibri"/>
                <w:color w:val="auto"/>
                <w:sz w:val="18"/>
                <w:szCs w:val="18"/>
              </w:rPr>
              <w:t>5242</w:t>
            </w:r>
          </w:p>
        </w:tc>
        <w:tc>
          <w:tcPr>
            <w:tcW w:w="825" w:type="dxa"/>
            <w:shd w:val="clear" w:color="auto" w:fill="FFFFFF"/>
            <w:vAlign w:val="center"/>
          </w:tcPr>
          <w:p w:rsidR="00ED6A88" w:rsidRPr="00ED6A88" w:rsidRDefault="00ED6A88" w:rsidP="00001942">
            <w:pPr>
              <w:spacing w:line="220" w:lineRule="exact"/>
              <w:contextualSpacing/>
              <w:jc w:val="center"/>
              <w:rPr>
                <w:rFonts w:eastAsia="Calibri"/>
                <w:color w:val="auto"/>
                <w:sz w:val="18"/>
                <w:szCs w:val="18"/>
              </w:rPr>
            </w:pPr>
            <w:r w:rsidRPr="00ED6A88">
              <w:rPr>
                <w:rFonts w:eastAsia="Calibri"/>
                <w:color w:val="auto"/>
                <w:sz w:val="18"/>
                <w:szCs w:val="18"/>
              </w:rPr>
              <w:t>20%</w:t>
            </w:r>
          </w:p>
        </w:tc>
        <w:tc>
          <w:tcPr>
            <w:tcW w:w="990" w:type="dxa"/>
            <w:shd w:val="clear" w:color="auto" w:fill="FFFFFF"/>
            <w:vAlign w:val="center"/>
          </w:tcPr>
          <w:p w:rsidR="00ED6A88" w:rsidRPr="00ED6A88" w:rsidRDefault="00ED6A88" w:rsidP="00001942">
            <w:pPr>
              <w:spacing w:line="220" w:lineRule="exact"/>
              <w:contextualSpacing/>
              <w:jc w:val="center"/>
              <w:rPr>
                <w:rFonts w:eastAsia="Calibri"/>
                <w:color w:val="auto"/>
                <w:sz w:val="18"/>
                <w:szCs w:val="18"/>
              </w:rPr>
            </w:pPr>
            <w:r w:rsidRPr="00ED6A88">
              <w:rPr>
                <w:rFonts w:eastAsia="Calibri"/>
                <w:color w:val="auto"/>
                <w:sz w:val="18"/>
                <w:szCs w:val="18"/>
              </w:rPr>
              <w:t>20050216</w:t>
            </w:r>
          </w:p>
        </w:tc>
      </w:tr>
      <w:tr w:rsidR="0012318C" w:rsidRPr="00ED6A88" w:rsidTr="00001942">
        <w:trPr>
          <w:trHeight w:val="197"/>
          <w:jc w:val="center"/>
        </w:trPr>
        <w:tc>
          <w:tcPr>
            <w:tcW w:w="1995" w:type="dxa"/>
            <w:tcBorders>
              <w:right w:val="single" w:sz="4" w:space="0" w:color="auto"/>
            </w:tcBorders>
            <w:shd w:val="clear" w:color="auto" w:fill="FFFFFF"/>
            <w:vAlign w:val="center"/>
          </w:tcPr>
          <w:p w:rsidR="00ED6A88" w:rsidRPr="00ED6A88" w:rsidRDefault="00ED6A88" w:rsidP="00001942">
            <w:pPr>
              <w:spacing w:line="220" w:lineRule="exact"/>
              <w:contextualSpacing/>
              <w:rPr>
                <w:rFonts w:eastAsia="Calibri"/>
                <w:color w:val="auto"/>
                <w:sz w:val="18"/>
                <w:szCs w:val="18"/>
                <w:highlight w:val="yellow"/>
              </w:rPr>
            </w:pPr>
            <w:r w:rsidRPr="00ED6A88">
              <w:rPr>
                <w:rFonts w:eastAsia="Calibri"/>
                <w:color w:val="auto"/>
                <w:sz w:val="18"/>
                <w:szCs w:val="18"/>
              </w:rPr>
              <w:t>PTSD</w:t>
            </w:r>
          </w:p>
        </w:tc>
        <w:tc>
          <w:tcPr>
            <w:tcW w:w="1080" w:type="dxa"/>
            <w:tcBorders>
              <w:left w:val="single" w:sz="4" w:space="0" w:color="auto"/>
            </w:tcBorders>
            <w:shd w:val="clear" w:color="auto" w:fill="FFFFFF"/>
            <w:vAlign w:val="center"/>
          </w:tcPr>
          <w:p w:rsidR="00ED6A88" w:rsidRPr="00ED6A88" w:rsidRDefault="00ED6A88" w:rsidP="00001942">
            <w:pPr>
              <w:spacing w:line="220" w:lineRule="exact"/>
              <w:contextualSpacing/>
              <w:jc w:val="center"/>
              <w:rPr>
                <w:rFonts w:eastAsia="Calibri"/>
                <w:color w:val="auto"/>
                <w:sz w:val="18"/>
                <w:szCs w:val="18"/>
              </w:rPr>
            </w:pPr>
            <w:r w:rsidRPr="00ED6A88">
              <w:rPr>
                <w:rFonts w:eastAsia="Calibri"/>
                <w:color w:val="auto"/>
                <w:sz w:val="18"/>
                <w:szCs w:val="18"/>
              </w:rPr>
              <w:t>9411</w:t>
            </w:r>
          </w:p>
        </w:tc>
        <w:tc>
          <w:tcPr>
            <w:tcW w:w="720" w:type="dxa"/>
            <w:tcBorders>
              <w:right w:val="single" w:sz="4" w:space="0" w:color="auto"/>
            </w:tcBorders>
            <w:shd w:val="clear" w:color="auto" w:fill="FFFFFF"/>
            <w:vAlign w:val="center"/>
          </w:tcPr>
          <w:p w:rsidR="00ED6A88" w:rsidRPr="00ED6A88" w:rsidRDefault="00ED6A88" w:rsidP="00001942">
            <w:pPr>
              <w:spacing w:line="220" w:lineRule="exact"/>
              <w:jc w:val="center"/>
              <w:rPr>
                <w:rFonts w:eastAsia="Calibri"/>
                <w:color w:val="auto"/>
                <w:sz w:val="22"/>
                <w:szCs w:val="22"/>
              </w:rPr>
            </w:pPr>
            <w:r w:rsidRPr="00ED6A88">
              <w:rPr>
                <w:rFonts w:eastAsia="Calibri"/>
                <w:color w:val="auto"/>
                <w:sz w:val="18"/>
                <w:szCs w:val="18"/>
              </w:rPr>
              <w:t>10%</w:t>
            </w:r>
          </w:p>
        </w:tc>
        <w:tc>
          <w:tcPr>
            <w:tcW w:w="630" w:type="dxa"/>
            <w:tcBorders>
              <w:left w:val="single" w:sz="4" w:space="0" w:color="auto"/>
              <w:right w:val="thinThickThinSmallGap" w:sz="24" w:space="0" w:color="auto"/>
            </w:tcBorders>
            <w:shd w:val="clear" w:color="auto" w:fill="FFFFFF"/>
            <w:vAlign w:val="center"/>
          </w:tcPr>
          <w:p w:rsidR="00ED6A88" w:rsidRPr="00ED6A88" w:rsidRDefault="00ED6A88" w:rsidP="00001942">
            <w:pPr>
              <w:spacing w:line="220" w:lineRule="exact"/>
              <w:jc w:val="center"/>
              <w:rPr>
                <w:rFonts w:eastAsia="Calibri"/>
                <w:color w:val="auto"/>
                <w:sz w:val="22"/>
                <w:szCs w:val="22"/>
              </w:rPr>
            </w:pPr>
            <w:r w:rsidRPr="00ED6A88">
              <w:rPr>
                <w:rFonts w:eastAsia="Calibri"/>
                <w:color w:val="auto"/>
                <w:sz w:val="18"/>
                <w:szCs w:val="18"/>
              </w:rPr>
              <w:t>10%</w:t>
            </w:r>
          </w:p>
        </w:tc>
        <w:tc>
          <w:tcPr>
            <w:tcW w:w="2430" w:type="dxa"/>
            <w:tcBorders>
              <w:left w:val="thinThickThinSmallGap" w:sz="24" w:space="0" w:color="auto"/>
            </w:tcBorders>
            <w:shd w:val="clear" w:color="auto" w:fill="FFFFFF"/>
            <w:vAlign w:val="center"/>
          </w:tcPr>
          <w:p w:rsidR="00ED6A88" w:rsidRPr="00ED6A88" w:rsidRDefault="00ED6A88" w:rsidP="00001942">
            <w:pPr>
              <w:spacing w:line="220" w:lineRule="exact"/>
              <w:contextualSpacing/>
              <w:rPr>
                <w:rFonts w:eastAsia="Calibri"/>
                <w:color w:val="auto"/>
                <w:sz w:val="18"/>
                <w:szCs w:val="18"/>
                <w:highlight w:val="yellow"/>
              </w:rPr>
            </w:pPr>
            <w:r w:rsidRPr="00ED6A88">
              <w:rPr>
                <w:rFonts w:eastAsia="Calibri"/>
                <w:color w:val="auto"/>
                <w:sz w:val="18"/>
                <w:szCs w:val="18"/>
              </w:rPr>
              <w:t>PTSD</w:t>
            </w:r>
          </w:p>
        </w:tc>
        <w:tc>
          <w:tcPr>
            <w:tcW w:w="720" w:type="dxa"/>
            <w:shd w:val="clear" w:color="auto" w:fill="FFFFFF"/>
            <w:vAlign w:val="center"/>
          </w:tcPr>
          <w:p w:rsidR="00ED6A88" w:rsidRPr="00ED6A88" w:rsidRDefault="00ED6A88" w:rsidP="00001942">
            <w:pPr>
              <w:spacing w:line="220" w:lineRule="exact"/>
              <w:contextualSpacing/>
              <w:jc w:val="center"/>
              <w:rPr>
                <w:rFonts w:eastAsia="Calibri"/>
                <w:color w:val="auto"/>
                <w:sz w:val="18"/>
                <w:szCs w:val="18"/>
                <w:highlight w:val="yellow"/>
              </w:rPr>
            </w:pPr>
            <w:r w:rsidRPr="00ED6A88">
              <w:rPr>
                <w:rFonts w:eastAsia="Calibri"/>
                <w:color w:val="auto"/>
                <w:sz w:val="18"/>
                <w:szCs w:val="18"/>
              </w:rPr>
              <w:t>9411</w:t>
            </w:r>
          </w:p>
        </w:tc>
        <w:tc>
          <w:tcPr>
            <w:tcW w:w="825" w:type="dxa"/>
            <w:shd w:val="clear" w:color="auto" w:fill="FFFFFF"/>
            <w:vAlign w:val="center"/>
          </w:tcPr>
          <w:p w:rsidR="00ED6A88" w:rsidRPr="00ED6A88" w:rsidRDefault="00ED6A88" w:rsidP="00001942">
            <w:pPr>
              <w:spacing w:line="220" w:lineRule="exact"/>
              <w:contextualSpacing/>
              <w:jc w:val="center"/>
              <w:rPr>
                <w:rFonts w:eastAsia="Calibri"/>
                <w:color w:val="auto"/>
                <w:sz w:val="18"/>
                <w:szCs w:val="18"/>
                <w:highlight w:val="yellow"/>
              </w:rPr>
            </w:pPr>
            <w:r w:rsidRPr="00ED6A88">
              <w:rPr>
                <w:rFonts w:eastAsia="Calibri"/>
                <w:color w:val="auto"/>
                <w:sz w:val="18"/>
                <w:szCs w:val="18"/>
              </w:rPr>
              <w:t>30%</w:t>
            </w:r>
          </w:p>
        </w:tc>
        <w:tc>
          <w:tcPr>
            <w:tcW w:w="990" w:type="dxa"/>
            <w:shd w:val="clear" w:color="auto" w:fill="FFFFFF"/>
            <w:vAlign w:val="center"/>
          </w:tcPr>
          <w:p w:rsidR="00ED6A88" w:rsidRPr="00ED6A88" w:rsidRDefault="00ED6A88" w:rsidP="00001942">
            <w:pPr>
              <w:spacing w:line="220" w:lineRule="exact"/>
              <w:contextualSpacing/>
              <w:jc w:val="center"/>
              <w:rPr>
                <w:rFonts w:eastAsia="Calibri"/>
                <w:color w:val="auto"/>
                <w:sz w:val="18"/>
                <w:szCs w:val="18"/>
                <w:highlight w:val="yellow"/>
              </w:rPr>
            </w:pPr>
            <w:r w:rsidRPr="00ED6A88">
              <w:rPr>
                <w:rFonts w:eastAsia="Calibri"/>
                <w:color w:val="auto"/>
                <w:sz w:val="18"/>
                <w:szCs w:val="18"/>
              </w:rPr>
              <w:t>20050216</w:t>
            </w:r>
          </w:p>
        </w:tc>
      </w:tr>
      <w:tr w:rsidR="00ED6A88" w:rsidRPr="00ED6A88" w:rsidTr="00001942">
        <w:trPr>
          <w:trHeight w:val="107"/>
          <w:jc w:val="center"/>
        </w:trPr>
        <w:tc>
          <w:tcPr>
            <w:tcW w:w="4425" w:type="dxa"/>
            <w:gridSpan w:val="4"/>
            <w:vMerge w:val="restart"/>
            <w:tcBorders>
              <w:right w:val="thinThickThinSmallGap" w:sz="24" w:space="0" w:color="auto"/>
            </w:tcBorders>
            <w:shd w:val="clear" w:color="auto" w:fill="FFFFFF"/>
            <w:vAlign w:val="center"/>
          </w:tcPr>
          <w:p w:rsidR="00ED6A88" w:rsidRPr="00ED6A88" w:rsidRDefault="00ED6A88" w:rsidP="00001942">
            <w:pPr>
              <w:spacing w:line="220" w:lineRule="exact"/>
              <w:contextualSpacing/>
              <w:jc w:val="center"/>
              <w:rPr>
                <w:rFonts w:eastAsia="Calibri"/>
                <w:color w:val="auto"/>
                <w:sz w:val="18"/>
                <w:szCs w:val="18"/>
                <w:highlight w:val="yellow"/>
              </w:rPr>
            </w:pPr>
            <w:r w:rsidRPr="00ED6A88">
              <w:rPr>
                <w:rFonts w:eastAsia="Calibri"/>
                <w:color w:val="auto"/>
                <w:sz w:val="18"/>
                <w:szCs w:val="18"/>
              </w:rPr>
              <w:t>No Additional MEB/PEB Entries</w:t>
            </w:r>
          </w:p>
        </w:tc>
        <w:tc>
          <w:tcPr>
            <w:tcW w:w="2430" w:type="dxa"/>
            <w:tcBorders>
              <w:left w:val="thinThickThinSmallGap" w:sz="24" w:space="0" w:color="auto"/>
              <w:right w:val="single" w:sz="4" w:space="0" w:color="auto"/>
            </w:tcBorders>
            <w:shd w:val="clear" w:color="auto" w:fill="FFFFFF"/>
            <w:vAlign w:val="center"/>
          </w:tcPr>
          <w:p w:rsidR="00ED6A88" w:rsidRPr="00ED6A88" w:rsidRDefault="00287265" w:rsidP="00287265">
            <w:pPr>
              <w:spacing w:line="220" w:lineRule="exact"/>
              <w:contextualSpacing/>
              <w:rPr>
                <w:rFonts w:eastAsia="Calibri"/>
                <w:color w:val="auto"/>
                <w:sz w:val="18"/>
                <w:szCs w:val="18"/>
                <w:highlight w:val="yellow"/>
              </w:rPr>
            </w:pPr>
            <w:r>
              <w:rPr>
                <w:rFonts w:eastAsia="Calibri"/>
                <w:color w:val="auto"/>
                <w:sz w:val="18"/>
                <w:szCs w:val="18"/>
              </w:rPr>
              <w:t>DJD</w:t>
            </w:r>
            <w:r w:rsidR="00ED6A88" w:rsidRPr="00ED6A88">
              <w:rPr>
                <w:rFonts w:eastAsia="Calibri"/>
                <w:color w:val="auto"/>
                <w:sz w:val="18"/>
                <w:szCs w:val="18"/>
              </w:rPr>
              <w:t xml:space="preserve">, </w:t>
            </w:r>
            <w:r>
              <w:rPr>
                <w:rFonts w:eastAsia="Calibri"/>
                <w:color w:val="auto"/>
                <w:sz w:val="18"/>
                <w:szCs w:val="18"/>
              </w:rPr>
              <w:t>L</w:t>
            </w:r>
            <w:r w:rsidR="00ED6A88" w:rsidRPr="00ED6A88">
              <w:rPr>
                <w:rFonts w:eastAsia="Calibri"/>
                <w:color w:val="auto"/>
                <w:sz w:val="18"/>
                <w:szCs w:val="18"/>
              </w:rPr>
              <w:t xml:space="preserve"> Hip</w:t>
            </w:r>
          </w:p>
        </w:tc>
        <w:tc>
          <w:tcPr>
            <w:tcW w:w="720" w:type="dxa"/>
            <w:tcBorders>
              <w:left w:val="single" w:sz="4" w:space="0" w:color="auto"/>
              <w:right w:val="single" w:sz="4" w:space="0" w:color="auto"/>
            </w:tcBorders>
            <w:shd w:val="clear" w:color="auto" w:fill="FFFFFF"/>
            <w:vAlign w:val="center"/>
          </w:tcPr>
          <w:p w:rsidR="00ED6A88" w:rsidRPr="00ED6A88" w:rsidRDefault="00ED6A88" w:rsidP="00001942">
            <w:pPr>
              <w:spacing w:line="220" w:lineRule="exact"/>
              <w:contextualSpacing/>
              <w:jc w:val="center"/>
              <w:rPr>
                <w:rFonts w:eastAsia="Calibri"/>
                <w:color w:val="auto"/>
                <w:sz w:val="18"/>
                <w:szCs w:val="18"/>
              </w:rPr>
            </w:pPr>
            <w:r w:rsidRPr="00ED6A88">
              <w:rPr>
                <w:rFonts w:eastAsia="Calibri"/>
                <w:color w:val="auto"/>
                <w:sz w:val="18"/>
                <w:szCs w:val="18"/>
              </w:rPr>
              <w:t>5003</w:t>
            </w:r>
          </w:p>
        </w:tc>
        <w:tc>
          <w:tcPr>
            <w:tcW w:w="825" w:type="dxa"/>
            <w:tcBorders>
              <w:left w:val="single" w:sz="4" w:space="0" w:color="auto"/>
            </w:tcBorders>
            <w:shd w:val="clear" w:color="auto" w:fill="FFFFFF"/>
            <w:vAlign w:val="center"/>
          </w:tcPr>
          <w:p w:rsidR="00ED6A88" w:rsidRPr="00ED6A88" w:rsidRDefault="00ED6A88" w:rsidP="00001942">
            <w:pPr>
              <w:spacing w:line="220" w:lineRule="exact"/>
              <w:contextualSpacing/>
              <w:jc w:val="center"/>
              <w:rPr>
                <w:rFonts w:eastAsia="Calibri"/>
                <w:color w:val="auto"/>
                <w:sz w:val="18"/>
                <w:szCs w:val="18"/>
                <w:highlight w:val="yellow"/>
              </w:rPr>
            </w:pPr>
            <w:r w:rsidRPr="00ED6A88">
              <w:rPr>
                <w:rFonts w:eastAsia="Calibri"/>
                <w:color w:val="auto"/>
                <w:sz w:val="18"/>
                <w:szCs w:val="18"/>
              </w:rPr>
              <w:t>10%</w:t>
            </w:r>
          </w:p>
        </w:tc>
        <w:tc>
          <w:tcPr>
            <w:tcW w:w="990" w:type="dxa"/>
            <w:shd w:val="clear" w:color="auto" w:fill="FFFFFF"/>
            <w:vAlign w:val="center"/>
          </w:tcPr>
          <w:p w:rsidR="00ED6A88" w:rsidRPr="00ED6A88" w:rsidRDefault="00ED6A88" w:rsidP="00001942">
            <w:pPr>
              <w:spacing w:line="220" w:lineRule="exact"/>
              <w:contextualSpacing/>
              <w:jc w:val="center"/>
              <w:rPr>
                <w:rFonts w:eastAsia="Calibri"/>
                <w:color w:val="auto"/>
                <w:sz w:val="18"/>
                <w:szCs w:val="18"/>
                <w:highlight w:val="yellow"/>
              </w:rPr>
            </w:pPr>
            <w:r w:rsidRPr="00ED6A88">
              <w:rPr>
                <w:rFonts w:eastAsia="Calibri"/>
                <w:color w:val="auto"/>
                <w:sz w:val="18"/>
                <w:szCs w:val="18"/>
              </w:rPr>
              <w:t>20050216</w:t>
            </w:r>
          </w:p>
        </w:tc>
      </w:tr>
      <w:tr w:rsidR="00ED6A88" w:rsidRPr="00ED6A88" w:rsidTr="00001942">
        <w:trPr>
          <w:trHeight w:val="188"/>
          <w:jc w:val="center"/>
        </w:trPr>
        <w:tc>
          <w:tcPr>
            <w:tcW w:w="4425" w:type="dxa"/>
            <w:gridSpan w:val="4"/>
            <w:vMerge/>
            <w:tcBorders>
              <w:bottom w:val="single" w:sz="4" w:space="0" w:color="000000"/>
              <w:right w:val="thinThickThinSmallGap" w:sz="24" w:space="0" w:color="auto"/>
            </w:tcBorders>
            <w:shd w:val="clear" w:color="auto" w:fill="FFFFFF"/>
            <w:vAlign w:val="center"/>
          </w:tcPr>
          <w:p w:rsidR="00ED6A88" w:rsidRPr="00ED6A88" w:rsidRDefault="00ED6A88" w:rsidP="00001942">
            <w:pPr>
              <w:spacing w:line="220" w:lineRule="exact"/>
              <w:contextualSpacing/>
              <w:jc w:val="center"/>
              <w:rPr>
                <w:rFonts w:eastAsia="Calibri"/>
                <w:color w:val="auto"/>
                <w:sz w:val="18"/>
                <w:szCs w:val="18"/>
              </w:rPr>
            </w:pPr>
          </w:p>
        </w:tc>
        <w:tc>
          <w:tcPr>
            <w:tcW w:w="3975" w:type="dxa"/>
            <w:gridSpan w:val="3"/>
            <w:tcBorders>
              <w:left w:val="thinThickThinSmallGap" w:sz="24" w:space="0" w:color="auto"/>
              <w:bottom w:val="single" w:sz="4" w:space="0" w:color="000000"/>
            </w:tcBorders>
            <w:shd w:val="clear" w:color="auto" w:fill="FFFFFF"/>
            <w:vAlign w:val="center"/>
          </w:tcPr>
          <w:p w:rsidR="00ED6A88" w:rsidRPr="00ED6A88" w:rsidRDefault="00ED6A88" w:rsidP="00001942">
            <w:pPr>
              <w:spacing w:line="220" w:lineRule="exact"/>
              <w:contextualSpacing/>
              <w:jc w:val="center"/>
              <w:rPr>
                <w:rFonts w:eastAsia="Calibri"/>
                <w:color w:val="auto"/>
                <w:sz w:val="18"/>
                <w:szCs w:val="18"/>
              </w:rPr>
            </w:pPr>
            <w:r w:rsidRPr="00ED6A88">
              <w:rPr>
                <w:rFonts w:eastAsia="Calibri"/>
                <w:color w:val="auto"/>
                <w:sz w:val="18"/>
                <w:szCs w:val="18"/>
              </w:rPr>
              <w:t>0% x 3</w:t>
            </w:r>
            <w:r>
              <w:rPr>
                <w:rFonts w:eastAsia="Calibri"/>
                <w:color w:val="auto"/>
                <w:sz w:val="18"/>
                <w:szCs w:val="18"/>
              </w:rPr>
              <w:t xml:space="preserve"> </w:t>
            </w:r>
            <w:r w:rsidRPr="00ED6A88">
              <w:rPr>
                <w:rFonts w:eastAsia="Calibri"/>
                <w:color w:val="auto"/>
                <w:sz w:val="18"/>
                <w:szCs w:val="18"/>
              </w:rPr>
              <w:t>/</w:t>
            </w:r>
            <w:r>
              <w:rPr>
                <w:rFonts w:eastAsia="Calibri"/>
                <w:color w:val="auto"/>
                <w:sz w:val="18"/>
                <w:szCs w:val="18"/>
              </w:rPr>
              <w:t xml:space="preserve"> </w:t>
            </w:r>
            <w:r w:rsidRPr="00ED6A88">
              <w:rPr>
                <w:rFonts w:eastAsia="Calibri"/>
                <w:color w:val="auto"/>
                <w:sz w:val="18"/>
                <w:szCs w:val="18"/>
              </w:rPr>
              <w:t>Not Service Connected x 3</w:t>
            </w:r>
          </w:p>
        </w:tc>
        <w:tc>
          <w:tcPr>
            <w:tcW w:w="990" w:type="dxa"/>
            <w:tcBorders>
              <w:bottom w:val="single" w:sz="4" w:space="0" w:color="000000"/>
            </w:tcBorders>
            <w:shd w:val="clear" w:color="auto" w:fill="FFFFFF"/>
            <w:vAlign w:val="center"/>
          </w:tcPr>
          <w:p w:rsidR="00ED6A88" w:rsidRPr="00ED6A88" w:rsidRDefault="00ED6A88" w:rsidP="00001942">
            <w:pPr>
              <w:spacing w:line="220" w:lineRule="exact"/>
              <w:contextualSpacing/>
              <w:jc w:val="center"/>
              <w:rPr>
                <w:rFonts w:eastAsia="Calibri"/>
                <w:color w:val="auto"/>
                <w:sz w:val="18"/>
                <w:szCs w:val="18"/>
                <w:highlight w:val="yellow"/>
              </w:rPr>
            </w:pPr>
            <w:r w:rsidRPr="00ED6A88">
              <w:rPr>
                <w:rFonts w:eastAsia="Calibri"/>
                <w:color w:val="auto"/>
                <w:sz w:val="18"/>
                <w:szCs w:val="18"/>
              </w:rPr>
              <w:t>20050216</w:t>
            </w:r>
          </w:p>
        </w:tc>
      </w:tr>
      <w:tr w:rsidR="00ED6A88" w:rsidRPr="00ED6A88" w:rsidTr="00001942">
        <w:trPr>
          <w:trHeight w:val="116"/>
          <w:jc w:val="center"/>
        </w:trPr>
        <w:tc>
          <w:tcPr>
            <w:tcW w:w="4425" w:type="dxa"/>
            <w:gridSpan w:val="4"/>
            <w:tcBorders>
              <w:right w:val="thinThickThinSmallGap" w:sz="24" w:space="0" w:color="auto"/>
            </w:tcBorders>
            <w:shd w:val="clear" w:color="auto" w:fill="D9D9D9"/>
          </w:tcPr>
          <w:p w:rsidR="00ED6A88" w:rsidRPr="00ED6A88" w:rsidRDefault="00ED6A88" w:rsidP="00001942">
            <w:pPr>
              <w:spacing w:line="240" w:lineRule="exact"/>
              <w:contextualSpacing/>
              <w:jc w:val="center"/>
              <w:rPr>
                <w:rFonts w:eastAsia="Calibri"/>
                <w:b/>
                <w:color w:val="auto"/>
                <w:sz w:val="20"/>
              </w:rPr>
            </w:pPr>
            <w:r w:rsidRPr="00ED6A88">
              <w:rPr>
                <w:rFonts w:eastAsia="Calibri"/>
                <w:b/>
                <w:color w:val="auto"/>
                <w:sz w:val="20"/>
              </w:rPr>
              <w:t>Combined:  10%</w:t>
            </w:r>
          </w:p>
        </w:tc>
        <w:tc>
          <w:tcPr>
            <w:tcW w:w="4965" w:type="dxa"/>
            <w:gridSpan w:val="4"/>
            <w:tcBorders>
              <w:left w:val="thinThickThinSmallGap" w:sz="24" w:space="0" w:color="auto"/>
            </w:tcBorders>
            <w:shd w:val="clear" w:color="auto" w:fill="D9D9D9"/>
          </w:tcPr>
          <w:p w:rsidR="00ED6A88" w:rsidRPr="00ED6A88" w:rsidRDefault="00ED6A88" w:rsidP="00001942">
            <w:pPr>
              <w:spacing w:line="240" w:lineRule="exact"/>
              <w:contextualSpacing/>
              <w:jc w:val="center"/>
              <w:rPr>
                <w:rFonts w:eastAsia="Calibri"/>
                <w:b/>
                <w:color w:val="auto"/>
                <w:sz w:val="20"/>
              </w:rPr>
            </w:pPr>
            <w:r w:rsidRPr="00ED6A88">
              <w:rPr>
                <w:rFonts w:eastAsia="Calibri"/>
                <w:b/>
                <w:color w:val="auto"/>
                <w:sz w:val="20"/>
              </w:rPr>
              <w:t>Combined:  50%</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ED6A88" w:rsidRPr="00ED6A88" w:rsidRDefault="002C6E5B" w:rsidP="001B0988">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40457E">
        <w:rPr>
          <w:rFonts w:asciiTheme="minorHAnsi" w:hAnsiTheme="minorHAnsi"/>
          <w:color w:val="auto"/>
          <w:szCs w:val="24"/>
        </w:rPr>
        <w:t xml:space="preserve">  </w:t>
      </w:r>
      <w:r w:rsidR="003663E9" w:rsidRPr="003663E9">
        <w:rPr>
          <w:rFonts w:asciiTheme="minorHAnsi" w:hAnsiTheme="minorHAnsi"/>
          <w:color w:val="auto"/>
          <w:szCs w:val="24"/>
        </w:rPr>
        <w:t xml:space="preserve">The PEB rating, as described above, was derived from DoDI 1332.39 and preceded the promulgation of the National Defense Authorization Act (NDAA) 2008 mandate for DoD adherence to Veterans Administration Schedule for Rating Disabilities (VASRD) §4.129.  </w:t>
      </w:r>
      <w:r w:rsidR="003663E9" w:rsidRPr="003663E9">
        <w:rPr>
          <w:rFonts w:asciiTheme="minorHAnsi" w:hAnsiTheme="minorHAnsi"/>
          <w:color w:val="auto"/>
          <w:szCs w:val="24"/>
        </w:rPr>
        <w:lastRenderedPageBreak/>
        <w:t xml:space="preserve">IAW DoDI 6040.44 and DoD guidance (which applies current VASRD 4.129 to all Board cases), the Board is obligated to recommend a minimum 50% PTSD rating for a retroactive six-month period on the TDRL.  Since the </w:t>
      </w:r>
      <w:r w:rsidR="00B45E01">
        <w:rPr>
          <w:rFonts w:asciiTheme="minorHAnsi" w:hAnsiTheme="minorHAnsi"/>
          <w:color w:val="auto"/>
          <w:szCs w:val="24"/>
        </w:rPr>
        <w:t>s</w:t>
      </w:r>
      <w:r w:rsidR="003663E9" w:rsidRPr="003663E9">
        <w:rPr>
          <w:rFonts w:asciiTheme="minorHAnsi" w:hAnsiTheme="minorHAnsi"/>
          <w:color w:val="auto"/>
          <w:szCs w:val="24"/>
        </w:rPr>
        <w:t>ervice was in compliance with the §4.129 TDRL requirement, the Board need not apply a constructive TDRL interval in this case.  Although a minimum TDRL rating of 50% remains appli</w:t>
      </w:r>
      <w:r w:rsidR="006A7613">
        <w:rPr>
          <w:rFonts w:asciiTheme="minorHAnsi" w:hAnsiTheme="minorHAnsi"/>
          <w:color w:val="auto"/>
          <w:szCs w:val="24"/>
        </w:rPr>
        <w:t>cable as above, and as held by F</w:t>
      </w:r>
      <w:r w:rsidR="003663E9" w:rsidRPr="003663E9">
        <w:rPr>
          <w:rFonts w:asciiTheme="minorHAnsi" w:hAnsiTheme="minorHAnsi"/>
          <w:color w:val="auto"/>
          <w:szCs w:val="24"/>
        </w:rPr>
        <w:t xml:space="preserve">ederal court in the </w:t>
      </w:r>
      <w:r w:rsidR="003663E9" w:rsidRPr="003663E9">
        <w:rPr>
          <w:rFonts w:asciiTheme="minorHAnsi" w:hAnsiTheme="minorHAnsi"/>
          <w:i/>
          <w:color w:val="auto"/>
          <w:szCs w:val="24"/>
        </w:rPr>
        <w:t>Sabo v. United States</w:t>
      </w:r>
      <w:r w:rsidR="003663E9" w:rsidRPr="003663E9">
        <w:rPr>
          <w:rFonts w:asciiTheme="minorHAnsi" w:hAnsiTheme="minorHAnsi"/>
          <w:color w:val="auto"/>
          <w:szCs w:val="24"/>
        </w:rPr>
        <w:t xml:space="preserve"> class action settlement, the Board must determine the most appropriate fit with VASRD 4.130 criteria at the end of the TDRL interval for its permanent rating recommendation.  </w:t>
      </w:r>
      <w:r w:rsidR="00ED6A88" w:rsidRPr="00CC6799">
        <w:rPr>
          <w:rFonts w:asciiTheme="minorHAnsi" w:hAnsiTheme="minorHAnsi"/>
          <w:color w:val="auto"/>
          <w:szCs w:val="24"/>
        </w:rPr>
        <w:t xml:space="preserve">The most proximate source of comprehensive evidence on which to base the permanent rating recommendation in this case is the TDRL narrative summary performed </w:t>
      </w:r>
      <w:r w:rsidR="00B45E01">
        <w:rPr>
          <w:rFonts w:asciiTheme="minorHAnsi" w:hAnsiTheme="minorHAnsi"/>
          <w:color w:val="auto"/>
          <w:szCs w:val="24"/>
        </w:rPr>
        <w:t>five</w:t>
      </w:r>
      <w:r w:rsidR="00ED6A88" w:rsidRPr="00CC6799">
        <w:rPr>
          <w:rFonts w:asciiTheme="minorHAnsi" w:hAnsiTheme="minorHAnsi"/>
          <w:color w:val="auto"/>
          <w:szCs w:val="24"/>
        </w:rPr>
        <w:t xml:space="preserve"> months prior to termination of TDRL, reflecting the stress of transition to civilian life which is intrinsic to the Board’s permanent rating recommendation.</w:t>
      </w:r>
      <w:r w:rsidR="00CC6799" w:rsidRPr="00CC6799">
        <w:rPr>
          <w:rFonts w:asciiTheme="minorHAnsi" w:hAnsiTheme="minorHAnsi"/>
          <w:color w:val="auto"/>
          <w:szCs w:val="24"/>
        </w:rPr>
        <w:t xml:space="preserve">  A VA </w:t>
      </w:r>
      <w:r w:rsidR="00B45E01" w:rsidRPr="00CC6799">
        <w:rPr>
          <w:rFonts w:asciiTheme="minorHAnsi" w:hAnsiTheme="minorHAnsi"/>
          <w:color w:val="auto"/>
          <w:szCs w:val="24"/>
        </w:rPr>
        <w:t xml:space="preserve">compensation </w:t>
      </w:r>
      <w:r w:rsidR="00B45E01">
        <w:rPr>
          <w:rFonts w:asciiTheme="minorHAnsi" w:hAnsiTheme="minorHAnsi"/>
          <w:color w:val="auto"/>
          <w:szCs w:val="24"/>
        </w:rPr>
        <w:t>and</w:t>
      </w:r>
      <w:r w:rsidR="00B45E01" w:rsidRPr="00CC6799">
        <w:rPr>
          <w:rFonts w:asciiTheme="minorHAnsi" w:hAnsiTheme="minorHAnsi"/>
          <w:color w:val="auto"/>
          <w:szCs w:val="24"/>
        </w:rPr>
        <w:t xml:space="preserve"> pension </w:t>
      </w:r>
      <w:r w:rsidR="00CC6799" w:rsidRPr="00CC6799">
        <w:rPr>
          <w:rFonts w:asciiTheme="minorHAnsi" w:hAnsiTheme="minorHAnsi"/>
          <w:color w:val="auto"/>
          <w:szCs w:val="24"/>
        </w:rPr>
        <w:t>(C&amp;P) performed 1</w:t>
      </w:r>
      <w:r w:rsidR="00CE14E6">
        <w:rPr>
          <w:rFonts w:asciiTheme="minorHAnsi" w:hAnsiTheme="minorHAnsi"/>
          <w:color w:val="auto"/>
          <w:szCs w:val="24"/>
        </w:rPr>
        <w:t>5</w:t>
      </w:r>
      <w:r w:rsidR="00CC6799" w:rsidRPr="00CC6799">
        <w:rPr>
          <w:rFonts w:asciiTheme="minorHAnsi" w:hAnsiTheme="minorHAnsi"/>
          <w:color w:val="auto"/>
          <w:szCs w:val="24"/>
        </w:rPr>
        <w:t xml:space="preserve"> months prior to the end of the TDRL period</w:t>
      </w:r>
      <w:r w:rsidR="00CC6799">
        <w:rPr>
          <w:rFonts w:asciiTheme="minorHAnsi" w:hAnsiTheme="minorHAnsi"/>
          <w:color w:val="auto"/>
          <w:szCs w:val="24"/>
        </w:rPr>
        <w:t xml:space="preserve"> (five months after initiation of TDRL)</w:t>
      </w:r>
      <w:r w:rsidR="00CC6799" w:rsidRPr="00CC6799">
        <w:rPr>
          <w:rFonts w:asciiTheme="minorHAnsi" w:hAnsiTheme="minorHAnsi"/>
          <w:color w:val="auto"/>
          <w:szCs w:val="24"/>
        </w:rPr>
        <w:t xml:space="preserve"> </w:t>
      </w:r>
      <w:r w:rsidR="003663E9">
        <w:rPr>
          <w:rFonts w:asciiTheme="minorHAnsi" w:hAnsiTheme="minorHAnsi"/>
          <w:color w:val="auto"/>
          <w:szCs w:val="24"/>
        </w:rPr>
        <w:t>is relevant to</w:t>
      </w:r>
      <w:r w:rsidR="00CC6799">
        <w:rPr>
          <w:rFonts w:asciiTheme="minorHAnsi" w:hAnsiTheme="minorHAnsi"/>
          <w:color w:val="auto"/>
          <w:szCs w:val="24"/>
        </w:rPr>
        <w:t xml:space="preserve"> the 4.129 rating </w:t>
      </w:r>
      <w:r w:rsidR="00B45E01">
        <w:rPr>
          <w:rFonts w:asciiTheme="minorHAnsi" w:hAnsiTheme="minorHAnsi"/>
          <w:color w:val="auto"/>
          <w:szCs w:val="24"/>
        </w:rPr>
        <w:t xml:space="preserve">interval, </w:t>
      </w:r>
      <w:r w:rsidR="00CC6799" w:rsidRPr="00CC6799">
        <w:rPr>
          <w:rFonts w:asciiTheme="minorHAnsi" w:hAnsiTheme="minorHAnsi"/>
          <w:color w:val="auto"/>
          <w:szCs w:val="24"/>
        </w:rPr>
        <w:t>but was too remote from final separation to carry significant probative value</w:t>
      </w:r>
      <w:r w:rsidR="00CC6799">
        <w:rPr>
          <w:rFonts w:asciiTheme="minorHAnsi" w:hAnsiTheme="minorHAnsi"/>
          <w:color w:val="auto"/>
          <w:szCs w:val="24"/>
        </w:rPr>
        <w:t xml:space="preserve"> </w:t>
      </w:r>
      <w:r w:rsidR="003663E9">
        <w:rPr>
          <w:rFonts w:asciiTheme="minorHAnsi" w:hAnsiTheme="minorHAnsi"/>
          <w:color w:val="auto"/>
          <w:szCs w:val="24"/>
        </w:rPr>
        <w:t>relative to</w:t>
      </w:r>
      <w:r w:rsidR="00CC6799">
        <w:rPr>
          <w:rFonts w:asciiTheme="minorHAnsi" w:hAnsiTheme="minorHAnsi"/>
          <w:color w:val="auto"/>
          <w:szCs w:val="24"/>
        </w:rPr>
        <w:t xml:space="preserve"> </w:t>
      </w:r>
      <w:r w:rsidR="003663E9">
        <w:rPr>
          <w:rFonts w:asciiTheme="minorHAnsi" w:hAnsiTheme="minorHAnsi"/>
          <w:color w:val="auto"/>
          <w:szCs w:val="24"/>
        </w:rPr>
        <w:t>a</w:t>
      </w:r>
      <w:r w:rsidR="00CC6799">
        <w:rPr>
          <w:rFonts w:asciiTheme="minorHAnsi" w:hAnsiTheme="minorHAnsi"/>
          <w:color w:val="auto"/>
          <w:szCs w:val="24"/>
        </w:rPr>
        <w:t xml:space="preserve"> permanent rating</w:t>
      </w:r>
      <w:r w:rsidR="003663E9">
        <w:rPr>
          <w:rFonts w:asciiTheme="minorHAnsi" w:hAnsiTheme="minorHAnsi"/>
          <w:color w:val="auto"/>
          <w:szCs w:val="24"/>
        </w:rPr>
        <w:t xml:space="preserve"> recommendation</w:t>
      </w:r>
      <w:r w:rsidR="00CC6799" w:rsidRPr="00CC6799">
        <w:rPr>
          <w:rFonts w:asciiTheme="minorHAnsi" w:hAnsiTheme="minorHAnsi"/>
          <w:color w:val="auto"/>
          <w:szCs w:val="24"/>
        </w:rPr>
        <w:t>.</w:t>
      </w:r>
    </w:p>
    <w:p w:rsidR="00ED6A88" w:rsidRPr="00ED6A88" w:rsidRDefault="00ED6A88" w:rsidP="001B0988">
      <w:pPr>
        <w:spacing w:line="240" w:lineRule="exact"/>
        <w:jc w:val="both"/>
        <w:rPr>
          <w:rFonts w:asciiTheme="minorHAnsi" w:hAnsiTheme="minorHAnsi"/>
          <w:color w:val="auto"/>
          <w:szCs w:val="24"/>
        </w:rPr>
      </w:pPr>
    </w:p>
    <w:p w:rsidR="002C6E5B" w:rsidRDefault="00ED6A88" w:rsidP="001B0988">
      <w:pPr>
        <w:spacing w:line="240" w:lineRule="exact"/>
        <w:jc w:val="both"/>
        <w:rPr>
          <w:rFonts w:asciiTheme="minorHAnsi" w:hAnsiTheme="minorHAnsi"/>
          <w:color w:val="auto"/>
          <w:szCs w:val="24"/>
        </w:rPr>
      </w:pPr>
      <w:proofErr w:type="gramStart"/>
      <w:r w:rsidRPr="00ED6A88">
        <w:rPr>
          <w:rFonts w:asciiTheme="minorHAnsi" w:hAnsiTheme="minorHAnsi"/>
          <w:color w:val="auto"/>
          <w:szCs w:val="24"/>
          <w:u w:val="single"/>
        </w:rPr>
        <w:t>P</w:t>
      </w:r>
      <w:r w:rsidR="00B45E01">
        <w:rPr>
          <w:rFonts w:asciiTheme="minorHAnsi" w:hAnsiTheme="minorHAnsi"/>
          <w:color w:val="auto"/>
          <w:szCs w:val="24"/>
          <w:u w:val="single"/>
        </w:rPr>
        <w:t>osttraumatic Stress Disorder</w:t>
      </w:r>
      <w:r w:rsidRPr="003663E9">
        <w:rPr>
          <w:rFonts w:asciiTheme="minorHAnsi" w:hAnsiTheme="minorHAnsi"/>
          <w:color w:val="auto"/>
          <w:szCs w:val="24"/>
        </w:rPr>
        <w:t>.</w:t>
      </w:r>
      <w:proofErr w:type="gramEnd"/>
      <w:r w:rsidRPr="00ED6A88">
        <w:rPr>
          <w:rFonts w:asciiTheme="minorHAnsi" w:hAnsiTheme="minorHAnsi"/>
          <w:color w:val="auto"/>
          <w:szCs w:val="24"/>
        </w:rPr>
        <w:t xml:space="preserve">  The CI’s symptoms at the time of the MEB exam three months prior to TDRL can best be described as mild to moderate.  </w:t>
      </w:r>
      <w:r w:rsidR="00D644A7">
        <w:rPr>
          <w:rFonts w:asciiTheme="minorHAnsi" w:hAnsiTheme="minorHAnsi"/>
          <w:color w:val="auto"/>
          <w:szCs w:val="24"/>
        </w:rPr>
        <w:t xml:space="preserve">He first presented for behavioral health evaluation and care during the MEB period.  He reported symptoms of </w:t>
      </w:r>
      <w:r w:rsidR="00496A5F">
        <w:rPr>
          <w:rFonts w:asciiTheme="minorHAnsi" w:hAnsiTheme="minorHAnsi"/>
          <w:color w:val="auto"/>
          <w:szCs w:val="24"/>
        </w:rPr>
        <w:t xml:space="preserve">sleep disturbance with nightmares, anxiety, irritability, </w:t>
      </w:r>
      <w:r w:rsidR="003663E9">
        <w:rPr>
          <w:rFonts w:asciiTheme="minorHAnsi" w:hAnsiTheme="minorHAnsi"/>
          <w:color w:val="auto"/>
          <w:szCs w:val="24"/>
        </w:rPr>
        <w:t xml:space="preserve">and </w:t>
      </w:r>
      <w:r w:rsidR="00496A5F">
        <w:rPr>
          <w:rFonts w:asciiTheme="minorHAnsi" w:hAnsiTheme="minorHAnsi"/>
          <w:color w:val="auto"/>
          <w:szCs w:val="24"/>
        </w:rPr>
        <w:t xml:space="preserve">difficulty </w:t>
      </w:r>
      <w:r w:rsidR="003663E9">
        <w:rPr>
          <w:rFonts w:asciiTheme="minorHAnsi" w:hAnsiTheme="minorHAnsi"/>
          <w:color w:val="auto"/>
          <w:szCs w:val="24"/>
        </w:rPr>
        <w:t>negotiating</w:t>
      </w:r>
      <w:r w:rsidR="00496A5F">
        <w:rPr>
          <w:rFonts w:asciiTheme="minorHAnsi" w:hAnsiTheme="minorHAnsi"/>
          <w:color w:val="auto"/>
          <w:szCs w:val="24"/>
        </w:rPr>
        <w:t xml:space="preserve"> crowds</w:t>
      </w:r>
      <w:r w:rsidR="007F343A">
        <w:rPr>
          <w:rFonts w:asciiTheme="minorHAnsi" w:hAnsiTheme="minorHAnsi"/>
          <w:color w:val="auto"/>
          <w:szCs w:val="24"/>
        </w:rPr>
        <w:t xml:space="preserve">.  He had not yet begun a trial of medications for his symptoms.  </w:t>
      </w:r>
      <w:r w:rsidR="003663E9">
        <w:rPr>
          <w:rFonts w:asciiTheme="minorHAnsi" w:hAnsiTheme="minorHAnsi"/>
          <w:color w:val="auto"/>
          <w:szCs w:val="24"/>
        </w:rPr>
        <w:t xml:space="preserve">The </w:t>
      </w:r>
      <w:r w:rsidR="00B45E01">
        <w:rPr>
          <w:rFonts w:asciiTheme="minorHAnsi" w:hAnsiTheme="minorHAnsi"/>
          <w:color w:val="auto"/>
          <w:szCs w:val="24"/>
        </w:rPr>
        <w:t>c</w:t>
      </w:r>
      <w:r w:rsidR="000445EF">
        <w:rPr>
          <w:rFonts w:asciiTheme="minorHAnsi" w:hAnsiTheme="minorHAnsi"/>
          <w:color w:val="auto"/>
          <w:szCs w:val="24"/>
        </w:rPr>
        <w:t xml:space="preserve">ommander’s statement, written just prior to the appearance of PTSD on the CI’s profile, called the CI a “good soldier” and mentioned only low back pain as </w:t>
      </w:r>
      <w:r w:rsidR="00B91C1F">
        <w:rPr>
          <w:rFonts w:asciiTheme="minorHAnsi" w:hAnsiTheme="minorHAnsi"/>
          <w:color w:val="auto"/>
          <w:szCs w:val="24"/>
        </w:rPr>
        <w:t>interfering with</w:t>
      </w:r>
      <w:r w:rsidR="000445EF">
        <w:rPr>
          <w:rFonts w:asciiTheme="minorHAnsi" w:hAnsiTheme="minorHAnsi"/>
          <w:color w:val="auto"/>
          <w:szCs w:val="24"/>
        </w:rPr>
        <w:t xml:space="preserve"> </w:t>
      </w:r>
      <w:r w:rsidR="00B91C1F">
        <w:rPr>
          <w:rFonts w:asciiTheme="minorHAnsi" w:hAnsiTheme="minorHAnsi"/>
          <w:color w:val="auto"/>
          <w:szCs w:val="24"/>
        </w:rPr>
        <w:t>duty performance</w:t>
      </w:r>
      <w:r w:rsidR="000445EF">
        <w:rPr>
          <w:rFonts w:asciiTheme="minorHAnsi" w:hAnsiTheme="minorHAnsi"/>
          <w:color w:val="auto"/>
          <w:szCs w:val="24"/>
        </w:rPr>
        <w:t xml:space="preserve">.  The S3 </w:t>
      </w:r>
      <w:r w:rsidR="00093277">
        <w:rPr>
          <w:rFonts w:asciiTheme="minorHAnsi" w:hAnsiTheme="minorHAnsi"/>
          <w:color w:val="auto"/>
          <w:szCs w:val="24"/>
        </w:rPr>
        <w:t xml:space="preserve">addition </w:t>
      </w:r>
      <w:r w:rsidR="000445EF">
        <w:rPr>
          <w:rFonts w:asciiTheme="minorHAnsi" w:hAnsiTheme="minorHAnsi"/>
          <w:color w:val="auto"/>
          <w:szCs w:val="24"/>
        </w:rPr>
        <w:t xml:space="preserve">to the CI’s profile </w:t>
      </w:r>
      <w:r w:rsidR="00093277">
        <w:rPr>
          <w:rFonts w:asciiTheme="minorHAnsi" w:hAnsiTheme="minorHAnsi"/>
          <w:color w:val="auto"/>
          <w:szCs w:val="24"/>
        </w:rPr>
        <w:t>carried</w:t>
      </w:r>
      <w:r w:rsidR="000445EF">
        <w:rPr>
          <w:rFonts w:asciiTheme="minorHAnsi" w:hAnsiTheme="minorHAnsi"/>
          <w:color w:val="auto"/>
          <w:szCs w:val="24"/>
        </w:rPr>
        <w:t xml:space="preserve"> no new duty restrictions, including no </w:t>
      </w:r>
      <w:r w:rsidR="00093277">
        <w:rPr>
          <w:rFonts w:asciiTheme="minorHAnsi" w:hAnsiTheme="minorHAnsi"/>
          <w:color w:val="auto"/>
          <w:szCs w:val="24"/>
        </w:rPr>
        <w:t xml:space="preserve">weapon </w:t>
      </w:r>
      <w:r w:rsidR="000445EF">
        <w:rPr>
          <w:rFonts w:asciiTheme="minorHAnsi" w:hAnsiTheme="minorHAnsi"/>
          <w:color w:val="auto"/>
          <w:szCs w:val="24"/>
        </w:rPr>
        <w:t>restriction</w:t>
      </w:r>
      <w:r w:rsidR="00093277">
        <w:rPr>
          <w:rFonts w:asciiTheme="minorHAnsi" w:hAnsiTheme="minorHAnsi"/>
          <w:color w:val="auto"/>
          <w:szCs w:val="24"/>
        </w:rPr>
        <w:t>s</w:t>
      </w:r>
      <w:r w:rsidR="000445EF">
        <w:rPr>
          <w:rFonts w:asciiTheme="minorHAnsi" w:hAnsiTheme="minorHAnsi"/>
          <w:color w:val="auto"/>
          <w:szCs w:val="24"/>
        </w:rPr>
        <w:t xml:space="preserve">.  </w:t>
      </w:r>
      <w:r w:rsidR="007F343A">
        <w:rPr>
          <w:rFonts w:asciiTheme="minorHAnsi" w:hAnsiTheme="minorHAnsi"/>
          <w:color w:val="auto"/>
          <w:szCs w:val="24"/>
        </w:rPr>
        <w:t>On mental status exam (MSE)</w:t>
      </w:r>
      <w:r w:rsidR="00B45E01">
        <w:rPr>
          <w:rFonts w:asciiTheme="minorHAnsi" w:hAnsiTheme="minorHAnsi"/>
          <w:color w:val="auto"/>
          <w:szCs w:val="24"/>
        </w:rPr>
        <w:t>,</w:t>
      </w:r>
      <w:r w:rsidR="007F343A">
        <w:rPr>
          <w:rFonts w:asciiTheme="minorHAnsi" w:hAnsiTheme="minorHAnsi"/>
          <w:color w:val="auto"/>
          <w:szCs w:val="24"/>
        </w:rPr>
        <w:t xml:space="preserve"> he had a mildly irritable affect, but an otherwise unremarkable exam</w:t>
      </w:r>
      <w:r w:rsidR="00B45E01">
        <w:rPr>
          <w:rFonts w:asciiTheme="minorHAnsi" w:hAnsiTheme="minorHAnsi"/>
          <w:color w:val="auto"/>
          <w:szCs w:val="24"/>
        </w:rPr>
        <w:t>,</w:t>
      </w:r>
      <w:r w:rsidR="007F343A">
        <w:rPr>
          <w:rFonts w:asciiTheme="minorHAnsi" w:hAnsiTheme="minorHAnsi"/>
          <w:color w:val="auto"/>
          <w:szCs w:val="24"/>
        </w:rPr>
        <w:t xml:space="preserve"> without signs of psychosis or suicidal thoughts.  </w:t>
      </w:r>
      <w:r w:rsidR="00B91C1F">
        <w:rPr>
          <w:rFonts w:asciiTheme="minorHAnsi" w:hAnsiTheme="minorHAnsi"/>
          <w:color w:val="auto"/>
          <w:szCs w:val="24"/>
        </w:rPr>
        <w:t xml:space="preserve">The </w:t>
      </w:r>
      <w:r w:rsidR="00093277">
        <w:rPr>
          <w:rFonts w:asciiTheme="minorHAnsi" w:hAnsiTheme="minorHAnsi"/>
          <w:color w:val="auto"/>
          <w:szCs w:val="24"/>
        </w:rPr>
        <w:t xml:space="preserve">DoDI 1332.39-defined impairment was assessed as </w:t>
      </w:r>
      <w:r w:rsidR="00B45E01">
        <w:rPr>
          <w:rFonts w:asciiTheme="minorHAnsi" w:hAnsiTheme="minorHAnsi"/>
          <w:color w:val="auto"/>
          <w:szCs w:val="24"/>
        </w:rPr>
        <w:t>“</w:t>
      </w:r>
      <w:r w:rsidR="00093277">
        <w:rPr>
          <w:rFonts w:asciiTheme="minorHAnsi" w:hAnsiTheme="minorHAnsi"/>
          <w:color w:val="auto"/>
          <w:szCs w:val="24"/>
        </w:rPr>
        <w:t>mild</w:t>
      </w:r>
      <w:r w:rsidR="00B45E01">
        <w:rPr>
          <w:rFonts w:asciiTheme="minorHAnsi" w:hAnsiTheme="minorHAnsi"/>
          <w:color w:val="auto"/>
          <w:szCs w:val="24"/>
        </w:rPr>
        <w:t>”</w:t>
      </w:r>
      <w:r w:rsidR="00093277">
        <w:rPr>
          <w:rFonts w:asciiTheme="minorHAnsi" w:hAnsiTheme="minorHAnsi"/>
          <w:color w:val="auto"/>
          <w:szCs w:val="24"/>
        </w:rPr>
        <w:t xml:space="preserve"> for social and industrial adaptability and </w:t>
      </w:r>
      <w:r w:rsidR="00B45E01">
        <w:rPr>
          <w:rFonts w:asciiTheme="minorHAnsi" w:hAnsiTheme="minorHAnsi"/>
          <w:color w:val="auto"/>
          <w:szCs w:val="24"/>
        </w:rPr>
        <w:t>“</w:t>
      </w:r>
      <w:r w:rsidR="00093277">
        <w:rPr>
          <w:rFonts w:asciiTheme="minorHAnsi" w:hAnsiTheme="minorHAnsi"/>
          <w:color w:val="auto"/>
          <w:szCs w:val="24"/>
        </w:rPr>
        <w:t>marked</w:t>
      </w:r>
      <w:r w:rsidR="00B45E01">
        <w:rPr>
          <w:rFonts w:asciiTheme="minorHAnsi" w:hAnsiTheme="minorHAnsi"/>
          <w:color w:val="auto"/>
          <w:szCs w:val="24"/>
        </w:rPr>
        <w:t>”</w:t>
      </w:r>
      <w:r w:rsidR="00093277">
        <w:rPr>
          <w:rFonts w:asciiTheme="minorHAnsi" w:hAnsiTheme="minorHAnsi"/>
          <w:color w:val="auto"/>
          <w:szCs w:val="24"/>
        </w:rPr>
        <w:t xml:space="preserve"> for military duty.  The CI</w:t>
      </w:r>
      <w:r w:rsidR="007F343A">
        <w:rPr>
          <w:rFonts w:asciiTheme="minorHAnsi" w:hAnsiTheme="minorHAnsi"/>
          <w:color w:val="auto"/>
          <w:szCs w:val="24"/>
        </w:rPr>
        <w:t xml:space="preserve"> later began treatment with group therapy and two psychoactive medications.  Several months later, just prior </w:t>
      </w:r>
      <w:r w:rsidR="00287265">
        <w:rPr>
          <w:rFonts w:asciiTheme="minorHAnsi" w:hAnsiTheme="minorHAnsi"/>
          <w:color w:val="auto"/>
          <w:szCs w:val="24"/>
        </w:rPr>
        <w:t xml:space="preserve">to </w:t>
      </w:r>
      <w:r w:rsidR="00093277">
        <w:rPr>
          <w:rFonts w:asciiTheme="minorHAnsi" w:hAnsiTheme="minorHAnsi"/>
          <w:color w:val="auto"/>
          <w:szCs w:val="24"/>
        </w:rPr>
        <w:t xml:space="preserve">entering </w:t>
      </w:r>
      <w:r w:rsidR="007F343A">
        <w:rPr>
          <w:rFonts w:asciiTheme="minorHAnsi" w:hAnsiTheme="minorHAnsi"/>
          <w:color w:val="auto"/>
          <w:szCs w:val="24"/>
        </w:rPr>
        <w:t xml:space="preserve">TDRL, clinic notes indicated that </w:t>
      </w:r>
      <w:r w:rsidR="00093277">
        <w:rPr>
          <w:rFonts w:asciiTheme="minorHAnsi" w:hAnsiTheme="minorHAnsi"/>
          <w:color w:val="auto"/>
          <w:szCs w:val="24"/>
        </w:rPr>
        <w:t>he</w:t>
      </w:r>
      <w:r w:rsidR="007F343A">
        <w:rPr>
          <w:rFonts w:asciiTheme="minorHAnsi" w:hAnsiTheme="minorHAnsi"/>
          <w:color w:val="auto"/>
          <w:szCs w:val="24"/>
        </w:rPr>
        <w:t xml:space="preserve"> was doing much better.  </w:t>
      </w:r>
      <w:r w:rsidR="00093277">
        <w:rPr>
          <w:rFonts w:asciiTheme="minorHAnsi" w:hAnsiTheme="minorHAnsi"/>
          <w:color w:val="auto"/>
          <w:szCs w:val="24"/>
        </w:rPr>
        <w:t>He</w:t>
      </w:r>
      <w:r w:rsidR="007F343A">
        <w:rPr>
          <w:rFonts w:asciiTheme="minorHAnsi" w:hAnsiTheme="minorHAnsi"/>
          <w:color w:val="auto"/>
          <w:szCs w:val="24"/>
        </w:rPr>
        <w:t xml:space="preserve"> reported that his sleep had improved, </w:t>
      </w:r>
      <w:r w:rsidR="00093277">
        <w:rPr>
          <w:rFonts w:asciiTheme="minorHAnsi" w:hAnsiTheme="minorHAnsi"/>
          <w:color w:val="auto"/>
          <w:szCs w:val="24"/>
        </w:rPr>
        <w:t>that his</w:t>
      </w:r>
      <w:r w:rsidR="007F343A">
        <w:rPr>
          <w:rFonts w:asciiTheme="minorHAnsi" w:hAnsiTheme="minorHAnsi"/>
          <w:color w:val="auto"/>
          <w:szCs w:val="24"/>
        </w:rPr>
        <w:t xml:space="preserve"> nightmares </w:t>
      </w:r>
      <w:r w:rsidR="00093277">
        <w:rPr>
          <w:rFonts w:asciiTheme="minorHAnsi" w:hAnsiTheme="minorHAnsi"/>
          <w:color w:val="auto"/>
          <w:szCs w:val="24"/>
        </w:rPr>
        <w:t>were rare</w:t>
      </w:r>
      <w:r w:rsidR="000445EF">
        <w:rPr>
          <w:rFonts w:asciiTheme="minorHAnsi" w:hAnsiTheme="minorHAnsi"/>
          <w:color w:val="auto"/>
          <w:szCs w:val="24"/>
        </w:rPr>
        <w:t xml:space="preserve">, and that he </w:t>
      </w:r>
      <w:r w:rsidR="00093277">
        <w:rPr>
          <w:rFonts w:asciiTheme="minorHAnsi" w:hAnsiTheme="minorHAnsi"/>
          <w:color w:val="auto"/>
          <w:szCs w:val="24"/>
        </w:rPr>
        <w:t>was benefitting from</w:t>
      </w:r>
      <w:r w:rsidR="000445EF">
        <w:rPr>
          <w:rFonts w:asciiTheme="minorHAnsi" w:hAnsiTheme="minorHAnsi"/>
          <w:color w:val="auto"/>
          <w:szCs w:val="24"/>
        </w:rPr>
        <w:t xml:space="preserve"> the medications.  At a VA C&amp;P exam five months into the TDRL period</w:t>
      </w:r>
      <w:r w:rsidR="00093277">
        <w:rPr>
          <w:rFonts w:asciiTheme="minorHAnsi" w:hAnsiTheme="minorHAnsi"/>
          <w:color w:val="auto"/>
          <w:szCs w:val="24"/>
        </w:rPr>
        <w:t>,</w:t>
      </w:r>
      <w:r w:rsidR="000445EF">
        <w:rPr>
          <w:rFonts w:asciiTheme="minorHAnsi" w:hAnsiTheme="minorHAnsi"/>
          <w:color w:val="auto"/>
          <w:szCs w:val="24"/>
        </w:rPr>
        <w:t xml:space="preserve"> the CI </w:t>
      </w:r>
      <w:r w:rsidR="00093277">
        <w:rPr>
          <w:rFonts w:asciiTheme="minorHAnsi" w:hAnsiTheme="minorHAnsi"/>
          <w:color w:val="auto"/>
          <w:szCs w:val="24"/>
        </w:rPr>
        <w:t>reported</w:t>
      </w:r>
      <w:r w:rsidR="00A16ED4">
        <w:rPr>
          <w:rFonts w:asciiTheme="minorHAnsi" w:hAnsiTheme="minorHAnsi"/>
          <w:color w:val="auto"/>
          <w:szCs w:val="24"/>
        </w:rPr>
        <w:t xml:space="preserve"> continued sleep disturbance, </w:t>
      </w:r>
      <w:r w:rsidR="00093277">
        <w:rPr>
          <w:rFonts w:asciiTheme="minorHAnsi" w:hAnsiTheme="minorHAnsi"/>
          <w:color w:val="auto"/>
          <w:szCs w:val="24"/>
        </w:rPr>
        <w:t xml:space="preserve">twice weekly </w:t>
      </w:r>
      <w:r w:rsidR="00A16ED4">
        <w:rPr>
          <w:rFonts w:asciiTheme="minorHAnsi" w:hAnsiTheme="minorHAnsi"/>
          <w:color w:val="auto"/>
          <w:szCs w:val="24"/>
        </w:rPr>
        <w:t xml:space="preserve">nightmares, flashbacks, and emotional distancing.  He </w:t>
      </w:r>
      <w:r w:rsidR="000445EF">
        <w:rPr>
          <w:rFonts w:asciiTheme="minorHAnsi" w:hAnsiTheme="minorHAnsi"/>
          <w:color w:val="auto"/>
          <w:szCs w:val="24"/>
        </w:rPr>
        <w:t>was employed</w:t>
      </w:r>
      <w:r w:rsidR="00261008" w:rsidRPr="00261008">
        <w:rPr>
          <w:rFonts w:asciiTheme="minorHAnsi" w:hAnsiTheme="minorHAnsi"/>
          <w:color w:val="auto"/>
          <w:szCs w:val="24"/>
        </w:rPr>
        <w:t xml:space="preserve"> </w:t>
      </w:r>
      <w:r w:rsidR="00261008">
        <w:rPr>
          <w:rFonts w:asciiTheme="minorHAnsi" w:hAnsiTheme="minorHAnsi"/>
          <w:color w:val="auto"/>
          <w:szCs w:val="24"/>
        </w:rPr>
        <w:t xml:space="preserve">fulltime in a job he had held </w:t>
      </w:r>
      <w:r w:rsidR="000445EF">
        <w:rPr>
          <w:rFonts w:asciiTheme="minorHAnsi" w:hAnsiTheme="minorHAnsi"/>
          <w:color w:val="auto"/>
          <w:szCs w:val="24"/>
        </w:rPr>
        <w:t xml:space="preserve">for </w:t>
      </w:r>
      <w:r w:rsidR="00261008">
        <w:rPr>
          <w:rFonts w:asciiTheme="minorHAnsi" w:hAnsiTheme="minorHAnsi"/>
          <w:color w:val="auto"/>
          <w:szCs w:val="24"/>
        </w:rPr>
        <w:t>28 years</w:t>
      </w:r>
      <w:r w:rsidR="000445EF">
        <w:rPr>
          <w:rFonts w:asciiTheme="minorHAnsi" w:hAnsiTheme="minorHAnsi"/>
          <w:color w:val="auto"/>
          <w:szCs w:val="24"/>
        </w:rPr>
        <w:t xml:space="preserve"> </w:t>
      </w:r>
      <w:r w:rsidR="00261008">
        <w:rPr>
          <w:rFonts w:asciiTheme="minorHAnsi" w:hAnsiTheme="minorHAnsi"/>
          <w:color w:val="auto"/>
          <w:szCs w:val="24"/>
        </w:rPr>
        <w:t>at</w:t>
      </w:r>
      <w:r w:rsidR="000445EF">
        <w:rPr>
          <w:rFonts w:asciiTheme="minorHAnsi" w:hAnsiTheme="minorHAnsi"/>
          <w:color w:val="auto"/>
          <w:szCs w:val="24"/>
        </w:rPr>
        <w:t xml:space="preserve"> an industrial plant.  He </w:t>
      </w:r>
      <w:r w:rsidR="00261008">
        <w:rPr>
          <w:rFonts w:asciiTheme="minorHAnsi" w:hAnsiTheme="minorHAnsi"/>
          <w:color w:val="auto"/>
          <w:szCs w:val="24"/>
        </w:rPr>
        <w:t xml:space="preserve">denied </w:t>
      </w:r>
      <w:r w:rsidR="000445EF">
        <w:rPr>
          <w:rFonts w:asciiTheme="minorHAnsi" w:hAnsiTheme="minorHAnsi"/>
          <w:color w:val="auto"/>
          <w:szCs w:val="24"/>
        </w:rPr>
        <w:t xml:space="preserve">unplanned work </w:t>
      </w:r>
      <w:r w:rsidR="00261008">
        <w:rPr>
          <w:rFonts w:asciiTheme="minorHAnsi" w:hAnsiTheme="minorHAnsi"/>
          <w:color w:val="auto"/>
          <w:szCs w:val="24"/>
        </w:rPr>
        <w:t xml:space="preserve">loss, </w:t>
      </w:r>
      <w:r w:rsidR="000445EF">
        <w:rPr>
          <w:rFonts w:asciiTheme="minorHAnsi" w:hAnsiTheme="minorHAnsi"/>
          <w:color w:val="auto"/>
          <w:szCs w:val="24"/>
        </w:rPr>
        <w:t>legal problems</w:t>
      </w:r>
      <w:r w:rsidR="00A16ED4">
        <w:rPr>
          <w:rFonts w:asciiTheme="minorHAnsi" w:hAnsiTheme="minorHAnsi"/>
          <w:color w:val="auto"/>
          <w:szCs w:val="24"/>
        </w:rPr>
        <w:t xml:space="preserve">, substance abuse, </w:t>
      </w:r>
      <w:r w:rsidR="00B91C1F">
        <w:rPr>
          <w:rFonts w:asciiTheme="minorHAnsi" w:hAnsiTheme="minorHAnsi"/>
          <w:color w:val="auto"/>
          <w:szCs w:val="24"/>
        </w:rPr>
        <w:t>and</w:t>
      </w:r>
      <w:r w:rsidR="00261008">
        <w:rPr>
          <w:rFonts w:asciiTheme="minorHAnsi" w:hAnsiTheme="minorHAnsi"/>
          <w:color w:val="auto"/>
          <w:szCs w:val="24"/>
        </w:rPr>
        <w:t xml:space="preserve"> behavioral lability; although, h</w:t>
      </w:r>
      <w:r w:rsidR="00A16ED4">
        <w:rPr>
          <w:rFonts w:asciiTheme="minorHAnsi" w:hAnsiTheme="minorHAnsi"/>
          <w:color w:val="auto"/>
          <w:szCs w:val="24"/>
        </w:rPr>
        <w:t>e admitted to a recent argument on the job</w:t>
      </w:r>
      <w:r w:rsidR="00B45E01">
        <w:rPr>
          <w:rFonts w:asciiTheme="minorHAnsi" w:hAnsiTheme="minorHAnsi"/>
          <w:color w:val="auto"/>
          <w:szCs w:val="24"/>
        </w:rPr>
        <w:t>,</w:t>
      </w:r>
      <w:r w:rsidR="00A16ED4">
        <w:rPr>
          <w:rFonts w:asciiTheme="minorHAnsi" w:hAnsiTheme="minorHAnsi"/>
          <w:color w:val="auto"/>
          <w:szCs w:val="24"/>
        </w:rPr>
        <w:t xml:space="preserve"> without consequence.  He was in a stable long term marriage, and had “occasional social relationships, activities and leisure pursuits</w:t>
      </w:r>
      <w:r w:rsidR="00B45E01">
        <w:rPr>
          <w:rFonts w:asciiTheme="minorHAnsi" w:hAnsiTheme="minorHAnsi"/>
          <w:color w:val="auto"/>
          <w:szCs w:val="24"/>
        </w:rPr>
        <w:t>.</w:t>
      </w:r>
      <w:r w:rsidR="00A16ED4">
        <w:rPr>
          <w:rFonts w:asciiTheme="minorHAnsi" w:hAnsiTheme="minorHAnsi"/>
          <w:color w:val="auto"/>
          <w:szCs w:val="24"/>
        </w:rPr>
        <w:t>”  On MSE</w:t>
      </w:r>
      <w:r w:rsidR="00B45E01">
        <w:rPr>
          <w:rFonts w:asciiTheme="minorHAnsi" w:hAnsiTheme="minorHAnsi"/>
          <w:color w:val="auto"/>
          <w:szCs w:val="24"/>
        </w:rPr>
        <w:t>,</w:t>
      </w:r>
      <w:r w:rsidR="00A16ED4">
        <w:rPr>
          <w:rFonts w:asciiTheme="minorHAnsi" w:hAnsiTheme="minorHAnsi"/>
          <w:color w:val="auto"/>
          <w:szCs w:val="24"/>
        </w:rPr>
        <w:t xml:space="preserve"> he was noted to have a depressed mood, but the exam was otherwise unremarkable.  </w:t>
      </w:r>
      <w:r w:rsidR="00261008">
        <w:rPr>
          <w:rFonts w:asciiTheme="minorHAnsi" w:hAnsiTheme="minorHAnsi"/>
          <w:color w:val="auto"/>
          <w:szCs w:val="24"/>
        </w:rPr>
        <w:t xml:space="preserve">There was no suicidality, delusional or perceptual symptoms, </w:t>
      </w:r>
      <w:r w:rsidR="00287265">
        <w:rPr>
          <w:rFonts w:asciiTheme="minorHAnsi" w:hAnsiTheme="minorHAnsi"/>
          <w:color w:val="auto"/>
          <w:szCs w:val="24"/>
        </w:rPr>
        <w:t xml:space="preserve">panic attacks, </w:t>
      </w:r>
      <w:r w:rsidR="00261008">
        <w:rPr>
          <w:rFonts w:asciiTheme="minorHAnsi" w:hAnsiTheme="minorHAnsi"/>
          <w:color w:val="auto"/>
          <w:szCs w:val="24"/>
        </w:rPr>
        <w:t xml:space="preserve">or cognitive impairment.  </w:t>
      </w:r>
      <w:r w:rsidR="00A16ED4">
        <w:rPr>
          <w:rFonts w:asciiTheme="minorHAnsi" w:hAnsiTheme="minorHAnsi"/>
          <w:color w:val="auto"/>
          <w:szCs w:val="24"/>
        </w:rPr>
        <w:t xml:space="preserve">The examiner characterized the CI’s PTSD condition as “moderate” and assigned a </w:t>
      </w:r>
      <w:r w:rsidR="00B45E01" w:rsidRPr="00A16ED4">
        <w:rPr>
          <w:rFonts w:asciiTheme="minorHAnsi" w:hAnsiTheme="minorHAnsi"/>
          <w:color w:val="auto"/>
          <w:szCs w:val="24"/>
        </w:rPr>
        <w:t xml:space="preserve">global assessment of functioning </w:t>
      </w:r>
      <w:r w:rsidR="00A16ED4" w:rsidRPr="00A16ED4">
        <w:rPr>
          <w:rFonts w:asciiTheme="minorHAnsi" w:hAnsiTheme="minorHAnsi"/>
          <w:color w:val="auto"/>
          <w:szCs w:val="24"/>
        </w:rPr>
        <w:t>(GAF)</w:t>
      </w:r>
      <w:r w:rsidR="00A16ED4">
        <w:rPr>
          <w:rFonts w:asciiTheme="minorHAnsi" w:hAnsiTheme="minorHAnsi"/>
          <w:color w:val="auto"/>
          <w:szCs w:val="24"/>
        </w:rPr>
        <w:t xml:space="preserve"> </w:t>
      </w:r>
      <w:r w:rsidR="00261008">
        <w:rPr>
          <w:rFonts w:asciiTheme="minorHAnsi" w:hAnsiTheme="minorHAnsi"/>
          <w:color w:val="auto"/>
          <w:szCs w:val="24"/>
        </w:rPr>
        <w:t xml:space="preserve">score </w:t>
      </w:r>
      <w:r w:rsidR="00A16ED4">
        <w:rPr>
          <w:rFonts w:asciiTheme="minorHAnsi" w:hAnsiTheme="minorHAnsi"/>
          <w:color w:val="auto"/>
          <w:szCs w:val="24"/>
        </w:rPr>
        <w:t xml:space="preserve">of 60 </w:t>
      </w:r>
      <w:r w:rsidR="00261008">
        <w:rPr>
          <w:rFonts w:asciiTheme="minorHAnsi" w:hAnsiTheme="minorHAnsi"/>
          <w:color w:val="auto"/>
          <w:szCs w:val="24"/>
        </w:rPr>
        <w:t>(</w:t>
      </w:r>
      <w:r w:rsidR="00A16ED4">
        <w:rPr>
          <w:rFonts w:asciiTheme="minorHAnsi" w:hAnsiTheme="minorHAnsi"/>
          <w:color w:val="auto"/>
          <w:szCs w:val="24"/>
        </w:rPr>
        <w:t xml:space="preserve">connoting mild to </w:t>
      </w:r>
      <w:r w:rsidR="00A16ED4" w:rsidRPr="00A16ED4">
        <w:rPr>
          <w:rFonts w:asciiTheme="minorHAnsi" w:hAnsiTheme="minorHAnsi"/>
          <w:color w:val="auto"/>
          <w:szCs w:val="24"/>
        </w:rPr>
        <w:t xml:space="preserve">moderate </w:t>
      </w:r>
      <w:r w:rsidR="00261008">
        <w:rPr>
          <w:rFonts w:asciiTheme="minorHAnsi" w:hAnsiTheme="minorHAnsi"/>
          <w:color w:val="auto"/>
          <w:szCs w:val="24"/>
        </w:rPr>
        <w:t>functional impairment)</w:t>
      </w:r>
      <w:r w:rsidR="00284E8B">
        <w:rPr>
          <w:rFonts w:asciiTheme="minorHAnsi" w:hAnsiTheme="minorHAnsi"/>
          <w:color w:val="auto"/>
          <w:szCs w:val="24"/>
        </w:rPr>
        <w:t>.</w:t>
      </w:r>
      <w:r w:rsidR="00A47418">
        <w:rPr>
          <w:rFonts w:asciiTheme="minorHAnsi" w:hAnsiTheme="minorHAnsi"/>
          <w:color w:val="auto"/>
          <w:szCs w:val="24"/>
        </w:rPr>
        <w:t xml:space="preserve">  At the TDRL examination </w:t>
      </w:r>
      <w:r w:rsidR="00261008">
        <w:rPr>
          <w:rFonts w:asciiTheme="minorHAnsi" w:hAnsiTheme="minorHAnsi"/>
          <w:color w:val="auto"/>
          <w:szCs w:val="24"/>
        </w:rPr>
        <w:t>proximate</w:t>
      </w:r>
      <w:r w:rsidR="00A47418">
        <w:rPr>
          <w:rFonts w:asciiTheme="minorHAnsi" w:hAnsiTheme="minorHAnsi"/>
          <w:color w:val="auto"/>
          <w:szCs w:val="24"/>
        </w:rPr>
        <w:t xml:space="preserve"> to permanent separation</w:t>
      </w:r>
      <w:r w:rsidR="00261008">
        <w:rPr>
          <w:rFonts w:asciiTheme="minorHAnsi" w:hAnsiTheme="minorHAnsi"/>
          <w:color w:val="auto"/>
          <w:szCs w:val="24"/>
        </w:rPr>
        <w:t>,</w:t>
      </w:r>
      <w:r w:rsidR="00A47418">
        <w:rPr>
          <w:rFonts w:asciiTheme="minorHAnsi" w:hAnsiTheme="minorHAnsi"/>
          <w:color w:val="auto"/>
          <w:szCs w:val="24"/>
        </w:rPr>
        <w:t xml:space="preserve"> the CI </w:t>
      </w:r>
      <w:r w:rsidR="00382544">
        <w:rPr>
          <w:rFonts w:asciiTheme="minorHAnsi" w:hAnsiTheme="minorHAnsi"/>
          <w:color w:val="auto"/>
          <w:szCs w:val="24"/>
        </w:rPr>
        <w:t xml:space="preserve">reported continued </w:t>
      </w:r>
      <w:r w:rsidR="00A47418" w:rsidRPr="00A47418">
        <w:rPr>
          <w:rFonts w:asciiTheme="minorHAnsi" w:hAnsiTheme="minorHAnsi"/>
          <w:color w:val="auto"/>
          <w:szCs w:val="24"/>
        </w:rPr>
        <w:t>nightmares, insomnia, loss of interest in activities, avoidance of social</w:t>
      </w:r>
      <w:r w:rsidR="00A47418">
        <w:rPr>
          <w:rFonts w:asciiTheme="minorHAnsi" w:hAnsiTheme="minorHAnsi"/>
          <w:color w:val="auto"/>
          <w:szCs w:val="24"/>
        </w:rPr>
        <w:t xml:space="preserve"> </w:t>
      </w:r>
      <w:r w:rsidR="00A47418" w:rsidRPr="00A47418">
        <w:rPr>
          <w:rFonts w:asciiTheme="minorHAnsi" w:hAnsiTheme="minorHAnsi"/>
          <w:color w:val="auto"/>
          <w:szCs w:val="24"/>
        </w:rPr>
        <w:t>situations, and occasional irritability.</w:t>
      </w:r>
      <w:r w:rsidR="00A47418">
        <w:rPr>
          <w:rFonts w:asciiTheme="minorHAnsi" w:hAnsiTheme="minorHAnsi"/>
          <w:color w:val="auto"/>
          <w:szCs w:val="24"/>
        </w:rPr>
        <w:t xml:space="preserve"> </w:t>
      </w:r>
      <w:r w:rsidR="00A47418" w:rsidRPr="00A47418">
        <w:rPr>
          <w:rFonts w:asciiTheme="minorHAnsi" w:hAnsiTheme="minorHAnsi"/>
          <w:color w:val="auto"/>
          <w:szCs w:val="24"/>
        </w:rPr>
        <w:t xml:space="preserve"> H</w:t>
      </w:r>
      <w:r w:rsidR="00A47418">
        <w:rPr>
          <w:rFonts w:asciiTheme="minorHAnsi" w:hAnsiTheme="minorHAnsi"/>
          <w:color w:val="auto"/>
          <w:szCs w:val="24"/>
        </w:rPr>
        <w:t>is marriage remained health</w:t>
      </w:r>
      <w:r w:rsidR="00382544">
        <w:rPr>
          <w:rFonts w:asciiTheme="minorHAnsi" w:hAnsiTheme="minorHAnsi"/>
          <w:color w:val="auto"/>
          <w:szCs w:val="24"/>
        </w:rPr>
        <w:t>y</w:t>
      </w:r>
      <w:r w:rsidR="00A47418">
        <w:rPr>
          <w:rFonts w:asciiTheme="minorHAnsi" w:hAnsiTheme="minorHAnsi"/>
          <w:color w:val="auto"/>
          <w:szCs w:val="24"/>
        </w:rPr>
        <w:t xml:space="preserve">, </w:t>
      </w:r>
      <w:r w:rsidR="00A47418" w:rsidRPr="00A47418">
        <w:rPr>
          <w:rFonts w:asciiTheme="minorHAnsi" w:hAnsiTheme="minorHAnsi"/>
          <w:color w:val="auto"/>
          <w:szCs w:val="24"/>
        </w:rPr>
        <w:t>but his</w:t>
      </w:r>
      <w:r w:rsidR="00A47418">
        <w:rPr>
          <w:rFonts w:asciiTheme="minorHAnsi" w:hAnsiTheme="minorHAnsi"/>
          <w:color w:val="auto"/>
          <w:szCs w:val="24"/>
        </w:rPr>
        <w:t xml:space="preserve"> </w:t>
      </w:r>
      <w:r w:rsidR="00A47418" w:rsidRPr="00A47418">
        <w:rPr>
          <w:rFonts w:asciiTheme="minorHAnsi" w:hAnsiTheme="minorHAnsi"/>
          <w:color w:val="auto"/>
          <w:szCs w:val="24"/>
        </w:rPr>
        <w:t xml:space="preserve">relationship with his children </w:t>
      </w:r>
      <w:r w:rsidR="00A47418">
        <w:rPr>
          <w:rFonts w:asciiTheme="minorHAnsi" w:hAnsiTheme="minorHAnsi"/>
          <w:color w:val="auto"/>
          <w:szCs w:val="24"/>
        </w:rPr>
        <w:t>was</w:t>
      </w:r>
      <w:r w:rsidR="00A47418" w:rsidRPr="00A47418">
        <w:rPr>
          <w:rFonts w:asciiTheme="minorHAnsi" w:hAnsiTheme="minorHAnsi"/>
          <w:color w:val="auto"/>
          <w:szCs w:val="24"/>
        </w:rPr>
        <w:t xml:space="preserve"> sometimes </w:t>
      </w:r>
      <w:r w:rsidR="00382544">
        <w:rPr>
          <w:rFonts w:asciiTheme="minorHAnsi" w:hAnsiTheme="minorHAnsi"/>
          <w:color w:val="auto"/>
          <w:szCs w:val="24"/>
        </w:rPr>
        <w:t>hampered</w:t>
      </w:r>
      <w:r w:rsidR="00A47418" w:rsidRPr="00A47418">
        <w:rPr>
          <w:rFonts w:asciiTheme="minorHAnsi" w:hAnsiTheme="minorHAnsi"/>
          <w:color w:val="auto"/>
          <w:szCs w:val="24"/>
        </w:rPr>
        <w:t xml:space="preserve"> by his withdrawal and irritability.</w:t>
      </w:r>
      <w:r w:rsidR="003C2135">
        <w:rPr>
          <w:rFonts w:asciiTheme="minorHAnsi" w:hAnsiTheme="minorHAnsi"/>
          <w:color w:val="auto"/>
          <w:szCs w:val="24"/>
        </w:rPr>
        <w:t xml:space="preserve">  He had initially sought group counseling at the local VA, but could not continue </w:t>
      </w:r>
      <w:r w:rsidR="00B91C1F">
        <w:rPr>
          <w:rFonts w:asciiTheme="minorHAnsi" w:hAnsiTheme="minorHAnsi"/>
          <w:color w:val="auto"/>
          <w:szCs w:val="24"/>
        </w:rPr>
        <w:t xml:space="preserve">with it </w:t>
      </w:r>
      <w:r w:rsidR="003C2135">
        <w:rPr>
          <w:rFonts w:asciiTheme="minorHAnsi" w:hAnsiTheme="minorHAnsi"/>
          <w:color w:val="auto"/>
          <w:szCs w:val="24"/>
        </w:rPr>
        <w:t>due to conflicts with his work schedule.  He remained employed at the industrial plant</w:t>
      </w:r>
      <w:r w:rsidR="00861190">
        <w:rPr>
          <w:rFonts w:asciiTheme="minorHAnsi" w:hAnsiTheme="minorHAnsi"/>
          <w:color w:val="auto"/>
          <w:szCs w:val="24"/>
        </w:rPr>
        <w:t xml:space="preserve"> but stated that the physical requirements </w:t>
      </w:r>
      <w:r w:rsidR="00382544">
        <w:rPr>
          <w:rFonts w:asciiTheme="minorHAnsi" w:hAnsiTheme="minorHAnsi"/>
          <w:color w:val="auto"/>
          <w:szCs w:val="24"/>
        </w:rPr>
        <w:t>were</w:t>
      </w:r>
      <w:r w:rsidR="00861190">
        <w:rPr>
          <w:rFonts w:asciiTheme="minorHAnsi" w:hAnsiTheme="minorHAnsi"/>
          <w:color w:val="auto"/>
          <w:szCs w:val="24"/>
        </w:rPr>
        <w:t xml:space="preserve"> very difficult for him to fulfill</w:t>
      </w:r>
      <w:r w:rsidR="00382544">
        <w:rPr>
          <w:rFonts w:asciiTheme="minorHAnsi" w:hAnsiTheme="minorHAnsi"/>
          <w:color w:val="auto"/>
          <w:szCs w:val="24"/>
        </w:rPr>
        <w:t>.  The</w:t>
      </w:r>
      <w:r w:rsidR="00E747A3">
        <w:rPr>
          <w:rFonts w:asciiTheme="minorHAnsi" w:hAnsiTheme="minorHAnsi"/>
          <w:color w:val="auto"/>
          <w:szCs w:val="24"/>
        </w:rPr>
        <w:t xml:space="preserve"> MSE</w:t>
      </w:r>
      <w:r w:rsidR="00382544">
        <w:rPr>
          <w:rFonts w:asciiTheme="minorHAnsi" w:hAnsiTheme="minorHAnsi"/>
          <w:color w:val="auto"/>
          <w:szCs w:val="24"/>
        </w:rPr>
        <w:t xml:space="preserve">, equivalent to that described at the interim C&amp;P evaluation, was remarkable only for </w:t>
      </w:r>
      <w:r w:rsidR="00E747A3">
        <w:rPr>
          <w:rFonts w:asciiTheme="minorHAnsi" w:hAnsiTheme="minorHAnsi"/>
          <w:color w:val="auto"/>
          <w:szCs w:val="24"/>
        </w:rPr>
        <w:t xml:space="preserve">mood </w:t>
      </w:r>
      <w:r w:rsidR="00382544">
        <w:rPr>
          <w:rFonts w:asciiTheme="minorHAnsi" w:hAnsiTheme="minorHAnsi"/>
          <w:color w:val="auto"/>
          <w:szCs w:val="24"/>
        </w:rPr>
        <w:t xml:space="preserve">disturbance.  </w:t>
      </w:r>
      <w:r w:rsidR="006F12FD">
        <w:rPr>
          <w:rFonts w:asciiTheme="minorHAnsi" w:hAnsiTheme="minorHAnsi"/>
          <w:color w:val="auto"/>
          <w:szCs w:val="24"/>
        </w:rPr>
        <w:t xml:space="preserve">Specifically lacking were cognitive or memory deficits, flashbacks, panic attacks or other features with acute occupational impact.  </w:t>
      </w:r>
      <w:r w:rsidR="00382544">
        <w:rPr>
          <w:rFonts w:asciiTheme="minorHAnsi" w:hAnsiTheme="minorHAnsi"/>
          <w:color w:val="auto"/>
          <w:szCs w:val="24"/>
        </w:rPr>
        <w:t>No GAF score was assigned but t</w:t>
      </w:r>
      <w:r w:rsidR="00E747A3">
        <w:rPr>
          <w:rFonts w:asciiTheme="minorHAnsi" w:hAnsiTheme="minorHAnsi"/>
          <w:color w:val="auto"/>
          <w:szCs w:val="24"/>
        </w:rPr>
        <w:t>he examiner opine</w:t>
      </w:r>
      <w:r w:rsidR="00287265">
        <w:rPr>
          <w:rFonts w:asciiTheme="minorHAnsi" w:hAnsiTheme="minorHAnsi"/>
          <w:color w:val="auto"/>
          <w:szCs w:val="24"/>
        </w:rPr>
        <w:t>d that the condition was stable;</w:t>
      </w:r>
      <w:r w:rsidR="00E747A3">
        <w:rPr>
          <w:rFonts w:asciiTheme="minorHAnsi" w:hAnsiTheme="minorHAnsi"/>
          <w:color w:val="auto"/>
          <w:szCs w:val="24"/>
        </w:rPr>
        <w:t xml:space="preserve"> that chronic medications were </w:t>
      </w:r>
      <w:r w:rsidR="00287265">
        <w:rPr>
          <w:rFonts w:asciiTheme="minorHAnsi" w:hAnsiTheme="minorHAnsi"/>
          <w:color w:val="auto"/>
          <w:szCs w:val="24"/>
        </w:rPr>
        <w:t>required;</w:t>
      </w:r>
      <w:r w:rsidR="00E747A3">
        <w:rPr>
          <w:rFonts w:asciiTheme="minorHAnsi" w:hAnsiTheme="minorHAnsi"/>
          <w:color w:val="auto"/>
          <w:szCs w:val="24"/>
        </w:rPr>
        <w:t xml:space="preserve"> and that the CI exhibited “a</w:t>
      </w:r>
      <w:r w:rsidR="00E747A3" w:rsidRPr="00E747A3">
        <w:rPr>
          <w:rFonts w:asciiTheme="minorHAnsi" w:hAnsiTheme="minorHAnsi"/>
          <w:color w:val="auto"/>
          <w:szCs w:val="24"/>
        </w:rPr>
        <w:t>dequate employmen</w:t>
      </w:r>
      <w:r w:rsidR="00E747A3">
        <w:rPr>
          <w:rFonts w:asciiTheme="minorHAnsi" w:hAnsiTheme="minorHAnsi"/>
          <w:color w:val="auto"/>
          <w:szCs w:val="24"/>
        </w:rPr>
        <w:t>t and social adjustment</w:t>
      </w:r>
      <w:r w:rsidR="00B45E01">
        <w:rPr>
          <w:rFonts w:asciiTheme="minorHAnsi" w:hAnsiTheme="minorHAnsi"/>
          <w:color w:val="auto"/>
          <w:szCs w:val="24"/>
        </w:rPr>
        <w:t>.</w:t>
      </w:r>
      <w:r w:rsidR="00E747A3">
        <w:rPr>
          <w:rFonts w:asciiTheme="minorHAnsi" w:hAnsiTheme="minorHAnsi"/>
          <w:color w:val="auto"/>
          <w:szCs w:val="24"/>
        </w:rPr>
        <w:t>”</w:t>
      </w:r>
      <w:r w:rsidR="00382544" w:rsidRPr="00382544">
        <w:rPr>
          <w:rFonts w:asciiTheme="minorHAnsi" w:hAnsiTheme="minorHAnsi"/>
          <w:color w:val="auto"/>
          <w:szCs w:val="24"/>
        </w:rPr>
        <w:t xml:space="preserve"> </w:t>
      </w:r>
      <w:r w:rsidR="00382544">
        <w:rPr>
          <w:rFonts w:asciiTheme="minorHAnsi" w:hAnsiTheme="minorHAnsi"/>
          <w:color w:val="auto"/>
          <w:szCs w:val="24"/>
        </w:rPr>
        <w:t xml:space="preserve">Also helpful in clarifying occupational functioning at the time of permanent separation was a memorandum to the PEB from the CI’s employer, in which </w:t>
      </w:r>
      <w:r w:rsidR="003E436D">
        <w:rPr>
          <w:rFonts w:asciiTheme="minorHAnsi" w:hAnsiTheme="minorHAnsi"/>
          <w:color w:val="auto"/>
          <w:szCs w:val="24"/>
        </w:rPr>
        <w:t>he</w:t>
      </w:r>
      <w:r w:rsidR="00382544">
        <w:rPr>
          <w:rFonts w:asciiTheme="minorHAnsi" w:hAnsiTheme="minorHAnsi"/>
          <w:color w:val="auto"/>
          <w:szCs w:val="24"/>
        </w:rPr>
        <w:t xml:space="preserve"> was described as “</w:t>
      </w:r>
      <w:r w:rsidR="00382544" w:rsidRPr="003C2135">
        <w:rPr>
          <w:rFonts w:asciiTheme="minorHAnsi" w:hAnsiTheme="minorHAnsi"/>
          <w:color w:val="auto"/>
          <w:szCs w:val="24"/>
        </w:rPr>
        <w:t>a good and faithful employee and one of our best workers for the</w:t>
      </w:r>
      <w:r w:rsidR="00382544">
        <w:rPr>
          <w:rFonts w:asciiTheme="minorHAnsi" w:hAnsiTheme="minorHAnsi"/>
          <w:color w:val="auto"/>
          <w:szCs w:val="24"/>
        </w:rPr>
        <w:t xml:space="preserve"> </w:t>
      </w:r>
      <w:r w:rsidR="00382544" w:rsidRPr="003C2135">
        <w:rPr>
          <w:rFonts w:asciiTheme="minorHAnsi" w:hAnsiTheme="minorHAnsi"/>
          <w:color w:val="auto"/>
          <w:szCs w:val="24"/>
        </w:rPr>
        <w:t>whole time he has been here</w:t>
      </w:r>
      <w:r w:rsidR="00B45E01">
        <w:rPr>
          <w:rFonts w:asciiTheme="minorHAnsi" w:hAnsiTheme="minorHAnsi"/>
          <w:color w:val="auto"/>
          <w:szCs w:val="24"/>
        </w:rPr>
        <w:t>.</w:t>
      </w:r>
      <w:r w:rsidR="00382544">
        <w:rPr>
          <w:rFonts w:asciiTheme="minorHAnsi" w:hAnsiTheme="minorHAnsi"/>
          <w:color w:val="auto"/>
          <w:szCs w:val="24"/>
        </w:rPr>
        <w:t xml:space="preserve">”  </w:t>
      </w:r>
      <w:r w:rsidR="003E436D">
        <w:rPr>
          <w:rFonts w:asciiTheme="minorHAnsi" w:hAnsiTheme="minorHAnsi"/>
          <w:color w:val="auto"/>
          <w:szCs w:val="24"/>
        </w:rPr>
        <w:t>It was further stated that t</w:t>
      </w:r>
      <w:r w:rsidR="00382544">
        <w:rPr>
          <w:rFonts w:asciiTheme="minorHAnsi" w:hAnsiTheme="minorHAnsi"/>
          <w:color w:val="auto"/>
          <w:szCs w:val="24"/>
        </w:rPr>
        <w:t xml:space="preserve">he CI’s job duties </w:t>
      </w:r>
      <w:r w:rsidR="00382544">
        <w:rPr>
          <w:rFonts w:asciiTheme="minorHAnsi" w:hAnsiTheme="minorHAnsi"/>
          <w:color w:val="auto"/>
          <w:szCs w:val="24"/>
        </w:rPr>
        <w:lastRenderedPageBreak/>
        <w:t>require</w:t>
      </w:r>
      <w:r w:rsidR="003E436D">
        <w:rPr>
          <w:rFonts w:asciiTheme="minorHAnsi" w:hAnsiTheme="minorHAnsi"/>
          <w:color w:val="auto"/>
          <w:szCs w:val="24"/>
        </w:rPr>
        <w:t>d</w:t>
      </w:r>
      <w:r w:rsidR="00382544">
        <w:rPr>
          <w:rFonts w:asciiTheme="minorHAnsi" w:hAnsiTheme="minorHAnsi"/>
          <w:color w:val="auto"/>
          <w:szCs w:val="24"/>
        </w:rPr>
        <w:t xml:space="preserve"> “</w:t>
      </w:r>
      <w:r w:rsidR="00382544" w:rsidRPr="003C2135">
        <w:rPr>
          <w:rFonts w:asciiTheme="minorHAnsi" w:hAnsiTheme="minorHAnsi"/>
          <w:color w:val="auto"/>
          <w:szCs w:val="24"/>
        </w:rPr>
        <w:t>a lot of lifting and bending and long</w:t>
      </w:r>
      <w:r w:rsidR="00382544">
        <w:rPr>
          <w:rFonts w:asciiTheme="minorHAnsi" w:hAnsiTheme="minorHAnsi"/>
          <w:color w:val="auto"/>
          <w:szCs w:val="24"/>
        </w:rPr>
        <w:t xml:space="preserve"> </w:t>
      </w:r>
      <w:r w:rsidR="00382544" w:rsidRPr="003C2135">
        <w:rPr>
          <w:rFonts w:asciiTheme="minorHAnsi" w:hAnsiTheme="minorHAnsi"/>
          <w:color w:val="auto"/>
          <w:szCs w:val="24"/>
        </w:rPr>
        <w:t xml:space="preserve">hours of standing and walking. </w:t>
      </w:r>
      <w:r w:rsidR="00382544">
        <w:rPr>
          <w:rFonts w:asciiTheme="minorHAnsi" w:hAnsiTheme="minorHAnsi"/>
          <w:color w:val="auto"/>
          <w:szCs w:val="24"/>
        </w:rPr>
        <w:t xml:space="preserve"> </w:t>
      </w:r>
      <w:r w:rsidR="00382544" w:rsidRPr="003C2135">
        <w:rPr>
          <w:rFonts w:asciiTheme="minorHAnsi" w:hAnsiTheme="minorHAnsi"/>
          <w:color w:val="auto"/>
          <w:szCs w:val="24"/>
        </w:rPr>
        <w:t xml:space="preserve">Since </w:t>
      </w:r>
      <w:r w:rsidR="00382544">
        <w:rPr>
          <w:rFonts w:asciiTheme="minorHAnsi" w:hAnsiTheme="minorHAnsi"/>
          <w:color w:val="auto"/>
          <w:szCs w:val="24"/>
        </w:rPr>
        <w:t>[CI</w:t>
      </w:r>
      <w:r w:rsidR="003E436D">
        <w:rPr>
          <w:rFonts w:asciiTheme="minorHAnsi" w:hAnsiTheme="minorHAnsi"/>
          <w:color w:val="auto"/>
          <w:szCs w:val="24"/>
        </w:rPr>
        <w:t>’s</w:t>
      </w:r>
      <w:r w:rsidR="00382544">
        <w:rPr>
          <w:rFonts w:asciiTheme="minorHAnsi" w:hAnsiTheme="minorHAnsi"/>
          <w:color w:val="auto"/>
          <w:szCs w:val="24"/>
        </w:rPr>
        <w:t>]</w:t>
      </w:r>
      <w:r w:rsidR="00382544" w:rsidRPr="003C2135">
        <w:rPr>
          <w:rFonts w:asciiTheme="minorHAnsi" w:hAnsiTheme="minorHAnsi"/>
          <w:color w:val="auto"/>
          <w:szCs w:val="24"/>
        </w:rPr>
        <w:t xml:space="preserve"> injury in Iraq, he has</w:t>
      </w:r>
      <w:r w:rsidR="00382544">
        <w:rPr>
          <w:rFonts w:asciiTheme="minorHAnsi" w:hAnsiTheme="minorHAnsi"/>
          <w:color w:val="auto"/>
          <w:szCs w:val="24"/>
        </w:rPr>
        <w:t xml:space="preserve"> </w:t>
      </w:r>
      <w:r w:rsidR="00382544" w:rsidRPr="003C2135">
        <w:rPr>
          <w:rFonts w:asciiTheme="minorHAnsi" w:hAnsiTheme="minorHAnsi"/>
          <w:color w:val="auto"/>
          <w:szCs w:val="24"/>
        </w:rPr>
        <w:t>had a lot of trouble doing his job</w:t>
      </w:r>
      <w:r w:rsidR="00382544">
        <w:rPr>
          <w:rFonts w:asciiTheme="minorHAnsi" w:hAnsiTheme="minorHAnsi"/>
          <w:color w:val="auto"/>
          <w:szCs w:val="24"/>
        </w:rPr>
        <w:t xml:space="preserve">” due to </w:t>
      </w:r>
      <w:r w:rsidR="003E436D">
        <w:rPr>
          <w:rFonts w:asciiTheme="minorHAnsi" w:hAnsiTheme="minorHAnsi"/>
          <w:color w:val="auto"/>
          <w:szCs w:val="24"/>
        </w:rPr>
        <w:t>“the pain he is in on a day to day basis</w:t>
      </w:r>
      <w:r w:rsidR="00B45E01">
        <w:rPr>
          <w:rFonts w:asciiTheme="minorHAnsi" w:hAnsiTheme="minorHAnsi"/>
          <w:color w:val="auto"/>
          <w:szCs w:val="24"/>
        </w:rPr>
        <w:t>.</w:t>
      </w:r>
      <w:r w:rsidR="003E436D">
        <w:rPr>
          <w:rFonts w:asciiTheme="minorHAnsi" w:hAnsiTheme="minorHAnsi"/>
          <w:color w:val="auto"/>
          <w:szCs w:val="24"/>
        </w:rPr>
        <w:t xml:space="preserve">” </w:t>
      </w:r>
    </w:p>
    <w:p w:rsidR="004C60A3" w:rsidRDefault="004C60A3" w:rsidP="001B0988">
      <w:pPr>
        <w:spacing w:line="240" w:lineRule="exact"/>
        <w:jc w:val="both"/>
        <w:rPr>
          <w:rFonts w:asciiTheme="minorHAnsi" w:hAnsiTheme="minorHAnsi"/>
          <w:color w:val="auto"/>
          <w:szCs w:val="24"/>
        </w:rPr>
      </w:pPr>
    </w:p>
    <w:p w:rsidR="00A07E2C" w:rsidRDefault="00A07E2C" w:rsidP="001B0988">
      <w:pPr>
        <w:spacing w:line="240" w:lineRule="exact"/>
        <w:jc w:val="both"/>
        <w:rPr>
          <w:rFonts w:asciiTheme="minorHAnsi" w:hAnsiTheme="minorHAnsi"/>
          <w:color w:val="auto"/>
          <w:szCs w:val="24"/>
        </w:rPr>
      </w:pPr>
      <w:r w:rsidRPr="00B91C1F">
        <w:rPr>
          <w:rFonts w:asciiTheme="minorHAnsi" w:hAnsiTheme="minorHAnsi"/>
          <w:color w:val="auto"/>
          <w:szCs w:val="24"/>
        </w:rPr>
        <w:t>The Board</w:t>
      </w:r>
      <w:r w:rsidRPr="00F27FBF">
        <w:rPr>
          <w:rFonts w:asciiTheme="minorHAnsi" w:hAnsiTheme="minorHAnsi"/>
          <w:color w:val="auto"/>
          <w:szCs w:val="24"/>
        </w:rPr>
        <w:t xml:space="preserve"> directs its attention to its rating recommendations based on the evidence just described.  As regards</w:t>
      </w:r>
      <w:r w:rsidR="00B45E01">
        <w:rPr>
          <w:rFonts w:asciiTheme="minorHAnsi" w:hAnsiTheme="minorHAnsi"/>
          <w:color w:val="auto"/>
          <w:szCs w:val="24"/>
        </w:rPr>
        <w:t xml:space="preserve"> to</w:t>
      </w:r>
      <w:r w:rsidRPr="00F27FBF">
        <w:rPr>
          <w:rFonts w:asciiTheme="minorHAnsi" w:hAnsiTheme="minorHAnsi"/>
          <w:color w:val="auto"/>
          <w:szCs w:val="24"/>
        </w:rPr>
        <w:t xml:space="preserve"> the permanent rating recommendation, all members agreed that the §4.130 threshold for a 50% rating was not approached and that the criteria for a 0% rating were exceeded.  The VA rating decision assigned a </w:t>
      </w:r>
      <w:r w:rsidR="00CE14E6" w:rsidRPr="00F27FBF">
        <w:rPr>
          <w:rFonts w:asciiTheme="minorHAnsi" w:hAnsiTheme="minorHAnsi"/>
          <w:color w:val="auto"/>
          <w:szCs w:val="24"/>
        </w:rPr>
        <w:t>3</w:t>
      </w:r>
      <w:r w:rsidRPr="00F27FBF">
        <w:rPr>
          <w:rFonts w:asciiTheme="minorHAnsi" w:hAnsiTheme="minorHAnsi"/>
          <w:color w:val="auto"/>
          <w:szCs w:val="24"/>
        </w:rPr>
        <w:t xml:space="preserve">0% rating </w:t>
      </w:r>
      <w:r w:rsidR="00CE14E6" w:rsidRPr="00F27FBF">
        <w:rPr>
          <w:rFonts w:asciiTheme="minorHAnsi" w:hAnsiTheme="minorHAnsi"/>
          <w:color w:val="auto"/>
          <w:szCs w:val="24"/>
        </w:rPr>
        <w:t xml:space="preserve">without </w:t>
      </w:r>
      <w:r w:rsidRPr="00F27FBF">
        <w:rPr>
          <w:rFonts w:asciiTheme="minorHAnsi" w:hAnsiTheme="minorHAnsi"/>
          <w:color w:val="auto"/>
          <w:szCs w:val="24"/>
        </w:rPr>
        <w:t xml:space="preserve">application of §4.129, based on exam findings </w:t>
      </w:r>
      <w:r w:rsidR="00CE14E6" w:rsidRPr="00F27FBF">
        <w:rPr>
          <w:rFonts w:asciiTheme="minorHAnsi" w:hAnsiTheme="minorHAnsi"/>
          <w:color w:val="auto"/>
          <w:szCs w:val="24"/>
        </w:rPr>
        <w:t>15</w:t>
      </w:r>
      <w:r w:rsidRPr="00F27FBF">
        <w:rPr>
          <w:rFonts w:asciiTheme="minorHAnsi" w:hAnsiTheme="minorHAnsi"/>
          <w:color w:val="auto"/>
          <w:szCs w:val="24"/>
        </w:rPr>
        <w:t xml:space="preserve"> months </w:t>
      </w:r>
      <w:r w:rsidR="00F27FBF" w:rsidRPr="00F27FBF">
        <w:rPr>
          <w:rFonts w:asciiTheme="minorHAnsi" w:hAnsiTheme="minorHAnsi"/>
          <w:color w:val="auto"/>
          <w:szCs w:val="24"/>
        </w:rPr>
        <w:t>prior to</w:t>
      </w:r>
      <w:r w:rsidRPr="00F27FBF">
        <w:rPr>
          <w:rFonts w:asciiTheme="minorHAnsi" w:hAnsiTheme="minorHAnsi"/>
          <w:color w:val="auto"/>
          <w:szCs w:val="24"/>
        </w:rPr>
        <w:t xml:space="preserve"> final separation.  The TDRL </w:t>
      </w:r>
      <w:r w:rsidR="00EE01BC">
        <w:rPr>
          <w:rFonts w:asciiTheme="minorHAnsi" w:hAnsiTheme="minorHAnsi"/>
          <w:color w:val="auto"/>
          <w:szCs w:val="24"/>
        </w:rPr>
        <w:t xml:space="preserve">evaluation proximate to </w:t>
      </w:r>
      <w:r w:rsidR="00EE01BC" w:rsidRPr="00F27FBF">
        <w:rPr>
          <w:rFonts w:asciiTheme="minorHAnsi" w:hAnsiTheme="minorHAnsi"/>
          <w:color w:val="auto"/>
          <w:szCs w:val="24"/>
        </w:rPr>
        <w:t xml:space="preserve">final separation </w:t>
      </w:r>
      <w:r w:rsidRPr="00F27FBF">
        <w:rPr>
          <w:rFonts w:asciiTheme="minorHAnsi" w:hAnsiTheme="minorHAnsi"/>
          <w:color w:val="auto"/>
          <w:szCs w:val="24"/>
        </w:rPr>
        <w:t xml:space="preserve">was consistent </w:t>
      </w:r>
      <w:r w:rsidR="00EE01BC">
        <w:rPr>
          <w:rFonts w:asciiTheme="minorHAnsi" w:hAnsiTheme="minorHAnsi"/>
          <w:color w:val="auto"/>
          <w:szCs w:val="24"/>
        </w:rPr>
        <w:t xml:space="preserve">only with the social aspects referenced in </w:t>
      </w:r>
      <w:r w:rsidRPr="00F27FBF">
        <w:rPr>
          <w:rFonts w:asciiTheme="minorHAnsi" w:hAnsiTheme="minorHAnsi"/>
          <w:color w:val="auto"/>
          <w:szCs w:val="24"/>
        </w:rPr>
        <w:t>the general description for a §4.130 rating of 30%, “occupational and social impairment with occasional decrease in work efficiency and intermittent periods of inability to perform occupational tasks (although generally functioning satisfactorily, with routine behavior, self-care, and conve</w:t>
      </w:r>
      <w:r w:rsidR="00EE01BC">
        <w:rPr>
          <w:rFonts w:asciiTheme="minorHAnsi" w:hAnsiTheme="minorHAnsi"/>
          <w:color w:val="auto"/>
          <w:szCs w:val="24"/>
        </w:rPr>
        <w:t>rsation normal)</w:t>
      </w:r>
      <w:r w:rsidR="00B45E01">
        <w:rPr>
          <w:rFonts w:asciiTheme="minorHAnsi" w:hAnsiTheme="minorHAnsi"/>
          <w:color w:val="auto"/>
          <w:szCs w:val="24"/>
        </w:rPr>
        <w:t>.</w:t>
      </w:r>
      <w:r w:rsidR="00EE01BC">
        <w:rPr>
          <w:rFonts w:asciiTheme="minorHAnsi" w:hAnsiTheme="minorHAnsi"/>
          <w:color w:val="auto"/>
          <w:szCs w:val="24"/>
        </w:rPr>
        <w:t>”  T</w:t>
      </w:r>
      <w:r w:rsidR="00F27FBF" w:rsidRPr="00F27FBF">
        <w:rPr>
          <w:rFonts w:asciiTheme="minorHAnsi" w:hAnsiTheme="minorHAnsi"/>
          <w:color w:val="auto"/>
          <w:szCs w:val="24"/>
        </w:rPr>
        <w:t>here was some evidence of social withdrawal and relationship difficulties</w:t>
      </w:r>
      <w:r w:rsidR="00EE01BC">
        <w:rPr>
          <w:rFonts w:asciiTheme="minorHAnsi" w:hAnsiTheme="minorHAnsi"/>
          <w:color w:val="auto"/>
          <w:szCs w:val="24"/>
        </w:rPr>
        <w:t xml:space="preserve">, but </w:t>
      </w:r>
      <w:r w:rsidR="006F12FD">
        <w:rPr>
          <w:rFonts w:asciiTheme="minorHAnsi" w:hAnsiTheme="minorHAnsi"/>
          <w:color w:val="auto"/>
          <w:szCs w:val="24"/>
        </w:rPr>
        <w:t>the only</w:t>
      </w:r>
      <w:r w:rsidR="00EE01BC">
        <w:rPr>
          <w:rFonts w:asciiTheme="minorHAnsi" w:hAnsiTheme="minorHAnsi"/>
          <w:color w:val="auto"/>
          <w:szCs w:val="24"/>
        </w:rPr>
        <w:t xml:space="preserve"> occupational impairment in evidence </w:t>
      </w:r>
      <w:r w:rsidR="006F12FD">
        <w:rPr>
          <w:rFonts w:asciiTheme="minorHAnsi" w:hAnsiTheme="minorHAnsi"/>
          <w:color w:val="auto"/>
          <w:szCs w:val="24"/>
        </w:rPr>
        <w:t>was</w:t>
      </w:r>
      <w:r w:rsidR="00EE01BC">
        <w:rPr>
          <w:rFonts w:asciiTheme="minorHAnsi" w:hAnsiTheme="minorHAnsi"/>
          <w:color w:val="auto"/>
          <w:szCs w:val="24"/>
        </w:rPr>
        <w:t xml:space="preserve"> </w:t>
      </w:r>
      <w:r w:rsidR="006F12FD">
        <w:rPr>
          <w:rFonts w:asciiTheme="minorHAnsi" w:hAnsiTheme="minorHAnsi"/>
          <w:color w:val="auto"/>
          <w:szCs w:val="24"/>
        </w:rPr>
        <w:t>attributed</w:t>
      </w:r>
      <w:r w:rsidR="00EE01BC">
        <w:rPr>
          <w:rFonts w:asciiTheme="minorHAnsi" w:hAnsiTheme="minorHAnsi"/>
          <w:color w:val="auto"/>
          <w:szCs w:val="24"/>
        </w:rPr>
        <w:t xml:space="preserve"> to the CI’s physical limitations</w:t>
      </w:r>
      <w:r w:rsidR="00F27FBF" w:rsidRPr="00F27FBF">
        <w:rPr>
          <w:rFonts w:asciiTheme="minorHAnsi" w:hAnsiTheme="minorHAnsi"/>
          <w:color w:val="auto"/>
          <w:szCs w:val="24"/>
        </w:rPr>
        <w:t xml:space="preserve">.  The </w:t>
      </w:r>
      <w:r w:rsidRPr="00F27FBF">
        <w:rPr>
          <w:rFonts w:asciiTheme="minorHAnsi" w:hAnsiTheme="minorHAnsi"/>
          <w:color w:val="auto"/>
          <w:szCs w:val="24"/>
        </w:rPr>
        <w:t>10%</w:t>
      </w:r>
      <w:r w:rsidR="00F27FBF" w:rsidRPr="00F27FBF">
        <w:rPr>
          <w:rFonts w:asciiTheme="minorHAnsi" w:hAnsiTheme="minorHAnsi"/>
          <w:color w:val="auto"/>
          <w:szCs w:val="24"/>
        </w:rPr>
        <w:t xml:space="preserve"> rating</w:t>
      </w:r>
      <w:r w:rsidRPr="00F27FBF">
        <w:rPr>
          <w:rFonts w:asciiTheme="minorHAnsi" w:hAnsiTheme="minorHAnsi"/>
          <w:color w:val="auto"/>
          <w:szCs w:val="24"/>
        </w:rPr>
        <w:t xml:space="preserve"> </w:t>
      </w:r>
      <w:r w:rsidR="00F27FBF" w:rsidRPr="00F27FBF">
        <w:rPr>
          <w:rFonts w:asciiTheme="minorHAnsi" w:hAnsiTheme="minorHAnsi"/>
          <w:color w:val="auto"/>
          <w:szCs w:val="24"/>
        </w:rPr>
        <w:t xml:space="preserve">“occupational and social impairment due to mild or transient symptoms which decrease work efficiency … only during periods of significant stress, or; symptoms controlled by continuous medication” </w:t>
      </w:r>
      <w:r w:rsidR="00EE01BC">
        <w:rPr>
          <w:rFonts w:asciiTheme="minorHAnsi" w:hAnsiTheme="minorHAnsi"/>
          <w:color w:val="auto"/>
          <w:szCs w:val="24"/>
        </w:rPr>
        <w:t>can be considered</w:t>
      </w:r>
      <w:r w:rsidR="00F27FBF" w:rsidRPr="00F27FBF">
        <w:rPr>
          <w:rFonts w:asciiTheme="minorHAnsi" w:hAnsiTheme="minorHAnsi"/>
          <w:color w:val="auto"/>
          <w:szCs w:val="24"/>
        </w:rPr>
        <w:t xml:space="preserve"> applicable</w:t>
      </w:r>
      <w:r w:rsidRPr="00F27FBF">
        <w:rPr>
          <w:rFonts w:asciiTheme="minorHAnsi" w:hAnsiTheme="minorHAnsi"/>
          <w:color w:val="auto"/>
          <w:szCs w:val="24"/>
        </w:rPr>
        <w:t xml:space="preserve"> based on the CI’s stabilization and improvement of symptoms with treatment, his limited but intact social functioning, </w:t>
      </w:r>
      <w:r w:rsidR="00F27FBF" w:rsidRPr="00F27FBF">
        <w:rPr>
          <w:rFonts w:asciiTheme="minorHAnsi" w:hAnsiTheme="minorHAnsi"/>
          <w:color w:val="auto"/>
          <w:szCs w:val="24"/>
        </w:rPr>
        <w:t xml:space="preserve">and the apparent absence of </w:t>
      </w:r>
      <w:r w:rsidR="00B730D6">
        <w:rPr>
          <w:rFonts w:asciiTheme="minorHAnsi" w:hAnsiTheme="minorHAnsi"/>
          <w:color w:val="auto"/>
          <w:szCs w:val="24"/>
        </w:rPr>
        <w:t xml:space="preserve">psychiatric </w:t>
      </w:r>
      <w:r w:rsidR="00F27FBF" w:rsidRPr="00762AEF">
        <w:rPr>
          <w:rFonts w:asciiTheme="minorHAnsi" w:hAnsiTheme="minorHAnsi"/>
          <w:color w:val="auto"/>
          <w:szCs w:val="24"/>
        </w:rPr>
        <w:t>occupational difficulties</w:t>
      </w:r>
      <w:r w:rsidRPr="00762AEF">
        <w:rPr>
          <w:rFonts w:asciiTheme="minorHAnsi" w:hAnsiTheme="minorHAnsi"/>
          <w:color w:val="auto"/>
          <w:szCs w:val="24"/>
        </w:rPr>
        <w:t xml:space="preserve">.  The deliberation was </w:t>
      </w:r>
      <w:r w:rsidR="00EE01BC">
        <w:rPr>
          <w:rFonts w:asciiTheme="minorHAnsi" w:hAnsiTheme="minorHAnsi"/>
          <w:color w:val="auto"/>
          <w:szCs w:val="24"/>
        </w:rPr>
        <w:t xml:space="preserve">thus </w:t>
      </w:r>
      <w:r w:rsidR="00B45E01">
        <w:rPr>
          <w:rFonts w:asciiTheme="minorHAnsi" w:hAnsiTheme="minorHAnsi"/>
          <w:color w:val="auto"/>
          <w:szCs w:val="24"/>
        </w:rPr>
        <w:t>focused primarily on a 10% versus</w:t>
      </w:r>
      <w:r w:rsidRPr="00762AEF">
        <w:rPr>
          <w:rFonts w:asciiTheme="minorHAnsi" w:hAnsiTheme="minorHAnsi"/>
          <w:color w:val="auto"/>
          <w:szCs w:val="24"/>
        </w:rPr>
        <w:t xml:space="preserve"> 30% permanent rating recommendation.  In debating the appropriate permanent disability rating, the Board noted that the evidence in this case best fit a </w:t>
      </w:r>
      <w:r w:rsidR="00762AEF" w:rsidRPr="00762AEF">
        <w:rPr>
          <w:rFonts w:asciiTheme="minorHAnsi" w:hAnsiTheme="minorHAnsi"/>
          <w:color w:val="auto"/>
          <w:szCs w:val="24"/>
        </w:rPr>
        <w:t>1</w:t>
      </w:r>
      <w:r w:rsidRPr="00762AEF">
        <w:rPr>
          <w:rFonts w:asciiTheme="minorHAnsi" w:hAnsiTheme="minorHAnsi"/>
          <w:color w:val="auto"/>
          <w:szCs w:val="24"/>
        </w:rPr>
        <w:t xml:space="preserve">0% final separation rating recommendation based on the </w:t>
      </w:r>
      <w:r w:rsidR="00762AEF" w:rsidRPr="00762AEF">
        <w:rPr>
          <w:rFonts w:asciiTheme="minorHAnsi" w:hAnsiTheme="minorHAnsi"/>
          <w:color w:val="auto"/>
          <w:szCs w:val="24"/>
        </w:rPr>
        <w:t>TDRL</w:t>
      </w:r>
      <w:r w:rsidRPr="00762AEF">
        <w:rPr>
          <w:rFonts w:asciiTheme="minorHAnsi" w:hAnsiTheme="minorHAnsi"/>
          <w:color w:val="auto"/>
          <w:szCs w:val="24"/>
        </w:rPr>
        <w:t xml:space="preserve"> examination; that his symptoms appeared to have </w:t>
      </w:r>
      <w:r w:rsidR="00762AEF" w:rsidRPr="00762AEF">
        <w:rPr>
          <w:rFonts w:asciiTheme="minorHAnsi" w:hAnsiTheme="minorHAnsi"/>
          <w:color w:val="auto"/>
          <w:szCs w:val="24"/>
        </w:rPr>
        <w:t>stabilized</w:t>
      </w:r>
      <w:r w:rsidR="00B45E01">
        <w:rPr>
          <w:rFonts w:asciiTheme="minorHAnsi" w:hAnsiTheme="minorHAnsi"/>
          <w:color w:val="auto"/>
          <w:szCs w:val="24"/>
        </w:rPr>
        <w:t>;</w:t>
      </w:r>
      <w:r w:rsidRPr="00762AEF">
        <w:rPr>
          <w:rFonts w:asciiTheme="minorHAnsi" w:hAnsiTheme="minorHAnsi"/>
          <w:color w:val="auto"/>
          <w:szCs w:val="24"/>
        </w:rPr>
        <w:t xml:space="preserve"> </w:t>
      </w:r>
      <w:r w:rsidR="00762AEF" w:rsidRPr="00762AEF">
        <w:rPr>
          <w:rFonts w:asciiTheme="minorHAnsi" w:hAnsiTheme="minorHAnsi"/>
          <w:color w:val="auto"/>
          <w:szCs w:val="24"/>
        </w:rPr>
        <w:t xml:space="preserve">and </w:t>
      </w:r>
      <w:r w:rsidRPr="00762AEF">
        <w:rPr>
          <w:rFonts w:asciiTheme="minorHAnsi" w:hAnsiTheme="minorHAnsi"/>
          <w:color w:val="auto"/>
          <w:szCs w:val="24"/>
        </w:rPr>
        <w:t>his o</w:t>
      </w:r>
      <w:r w:rsidR="00762AEF" w:rsidRPr="00762AEF">
        <w:rPr>
          <w:rFonts w:asciiTheme="minorHAnsi" w:hAnsiTheme="minorHAnsi"/>
          <w:color w:val="auto"/>
          <w:szCs w:val="24"/>
        </w:rPr>
        <w:t>verall social and occupational</w:t>
      </w:r>
      <w:r w:rsidRPr="00762AEF">
        <w:rPr>
          <w:rFonts w:asciiTheme="minorHAnsi" w:hAnsiTheme="minorHAnsi"/>
          <w:color w:val="auto"/>
          <w:szCs w:val="24"/>
        </w:rPr>
        <w:t xml:space="preserve"> functioning </w:t>
      </w:r>
      <w:r w:rsidR="00762AEF" w:rsidRPr="00762AEF">
        <w:rPr>
          <w:rFonts w:asciiTheme="minorHAnsi" w:hAnsiTheme="minorHAnsi"/>
          <w:color w:val="auto"/>
          <w:szCs w:val="24"/>
        </w:rPr>
        <w:t>(with respect to PTSD symptoms) was intact</w:t>
      </w:r>
      <w:r w:rsidR="00B45E01">
        <w:rPr>
          <w:rFonts w:asciiTheme="minorHAnsi" w:hAnsiTheme="minorHAnsi"/>
          <w:color w:val="auto"/>
          <w:szCs w:val="24"/>
        </w:rPr>
        <w:t>; a</w:t>
      </w:r>
      <w:r w:rsidR="00EE01BC">
        <w:rPr>
          <w:rFonts w:asciiTheme="minorHAnsi" w:hAnsiTheme="minorHAnsi"/>
          <w:color w:val="auto"/>
          <w:szCs w:val="24"/>
        </w:rPr>
        <w:t>lthough</w:t>
      </w:r>
      <w:r w:rsidR="00A75D6E">
        <w:rPr>
          <w:rFonts w:asciiTheme="minorHAnsi" w:hAnsiTheme="minorHAnsi"/>
          <w:color w:val="auto"/>
          <w:szCs w:val="24"/>
        </w:rPr>
        <w:t xml:space="preserve"> the 30% rating </w:t>
      </w:r>
      <w:r w:rsidR="00EE01BC">
        <w:rPr>
          <w:rFonts w:asciiTheme="minorHAnsi" w:hAnsiTheme="minorHAnsi"/>
          <w:color w:val="auto"/>
          <w:szCs w:val="24"/>
        </w:rPr>
        <w:t>is arguable</w:t>
      </w:r>
      <w:r w:rsidR="00A75D6E">
        <w:rPr>
          <w:rFonts w:asciiTheme="minorHAnsi" w:hAnsiTheme="minorHAnsi"/>
          <w:color w:val="auto"/>
          <w:szCs w:val="24"/>
        </w:rPr>
        <w:t xml:space="preserve"> </w:t>
      </w:r>
      <w:r w:rsidR="00EE01BC">
        <w:rPr>
          <w:rFonts w:asciiTheme="minorHAnsi" w:hAnsiTheme="minorHAnsi"/>
          <w:color w:val="auto"/>
          <w:szCs w:val="24"/>
        </w:rPr>
        <w:t xml:space="preserve">by invoking </w:t>
      </w:r>
      <w:r w:rsidR="00A75D6E">
        <w:rPr>
          <w:rFonts w:asciiTheme="minorHAnsi" w:hAnsiTheme="minorHAnsi"/>
          <w:color w:val="auto"/>
          <w:szCs w:val="24"/>
        </w:rPr>
        <w:t>some continuation of symptoms and evidence of mild social difficulties outside of family</w:t>
      </w:r>
      <w:r w:rsidRPr="00762AEF">
        <w:rPr>
          <w:rFonts w:asciiTheme="minorHAnsi" w:hAnsiTheme="minorHAnsi"/>
          <w:color w:val="auto"/>
          <w:szCs w:val="24"/>
        </w:rPr>
        <w:t xml:space="preserve">.  After due deliberation and in consideration of all the evidence and reasonable doubt, the Board recommends </w:t>
      </w:r>
      <w:r w:rsidR="00CE14E6" w:rsidRPr="00FC37E2">
        <w:rPr>
          <w:rFonts w:asciiTheme="minorHAnsi" w:hAnsiTheme="minorHAnsi"/>
          <w:color w:val="auto"/>
          <w:szCs w:val="24"/>
        </w:rPr>
        <w:t>10%</w:t>
      </w:r>
      <w:r w:rsidR="00FC37E2">
        <w:rPr>
          <w:rFonts w:asciiTheme="minorHAnsi" w:hAnsiTheme="minorHAnsi"/>
          <w:color w:val="auto"/>
          <w:szCs w:val="24"/>
        </w:rPr>
        <w:t xml:space="preserve"> </w:t>
      </w:r>
      <w:r w:rsidRPr="00762AEF">
        <w:rPr>
          <w:rFonts w:asciiTheme="minorHAnsi" w:hAnsiTheme="minorHAnsi"/>
          <w:color w:val="auto"/>
          <w:szCs w:val="24"/>
        </w:rPr>
        <w:t>as the fair permanent separation rating for PTSD in this case.</w:t>
      </w:r>
    </w:p>
    <w:p w:rsidR="00A07E2C" w:rsidRDefault="00A07E2C" w:rsidP="001B0988">
      <w:pPr>
        <w:spacing w:line="240" w:lineRule="exact"/>
        <w:jc w:val="both"/>
        <w:rPr>
          <w:rFonts w:asciiTheme="minorHAnsi" w:hAnsiTheme="minorHAnsi"/>
          <w:color w:val="auto"/>
          <w:szCs w:val="24"/>
        </w:rPr>
      </w:pPr>
    </w:p>
    <w:p w:rsidR="007F3065" w:rsidRDefault="00664296" w:rsidP="001B0988">
      <w:pPr>
        <w:tabs>
          <w:tab w:val="left" w:pos="288"/>
          <w:tab w:val="left" w:pos="4752"/>
        </w:tabs>
        <w:spacing w:line="240" w:lineRule="exact"/>
        <w:jc w:val="both"/>
        <w:rPr>
          <w:rFonts w:asciiTheme="minorHAnsi" w:hAnsiTheme="minorHAnsi"/>
          <w:color w:val="auto"/>
          <w:szCs w:val="24"/>
        </w:rPr>
      </w:pPr>
      <w:r w:rsidRPr="00AB31D9">
        <w:rPr>
          <w:rFonts w:asciiTheme="minorHAnsi" w:hAnsiTheme="minorHAnsi"/>
          <w:color w:val="auto"/>
          <w:szCs w:val="24"/>
          <w:u w:val="single"/>
        </w:rPr>
        <w:t>Back Condition</w:t>
      </w:r>
      <w:r w:rsidRPr="00664296">
        <w:rPr>
          <w:rFonts w:asciiTheme="minorHAnsi" w:hAnsiTheme="minorHAnsi"/>
          <w:color w:val="auto"/>
          <w:szCs w:val="24"/>
        </w:rPr>
        <w:t xml:space="preserve">.  </w:t>
      </w:r>
      <w:r w:rsidR="00A646A7">
        <w:rPr>
          <w:rFonts w:asciiTheme="minorHAnsi" w:hAnsiTheme="minorHAnsi"/>
          <w:color w:val="auto"/>
          <w:szCs w:val="24"/>
        </w:rPr>
        <w:t>The only</w:t>
      </w:r>
      <w:r w:rsidRPr="00CE14E6">
        <w:rPr>
          <w:rFonts w:asciiTheme="minorHAnsi" w:hAnsiTheme="minorHAnsi"/>
          <w:color w:val="auto"/>
          <w:szCs w:val="24"/>
        </w:rPr>
        <w:t xml:space="preserve"> </w:t>
      </w:r>
      <w:r w:rsidR="00A646A7">
        <w:rPr>
          <w:rFonts w:asciiTheme="minorHAnsi" w:hAnsiTheme="minorHAnsi"/>
          <w:color w:val="auto"/>
          <w:szCs w:val="24"/>
        </w:rPr>
        <w:t xml:space="preserve">complete and formal </w:t>
      </w:r>
      <w:r w:rsidRPr="00CE14E6">
        <w:rPr>
          <w:rFonts w:asciiTheme="minorHAnsi" w:hAnsiTheme="minorHAnsi"/>
          <w:color w:val="auto"/>
          <w:szCs w:val="24"/>
        </w:rPr>
        <w:t>goniometric range</w:t>
      </w:r>
      <w:r w:rsidR="00B45E01">
        <w:rPr>
          <w:rFonts w:asciiTheme="minorHAnsi" w:hAnsiTheme="minorHAnsi"/>
          <w:color w:val="auto"/>
          <w:szCs w:val="24"/>
        </w:rPr>
        <w:t xml:space="preserve"> </w:t>
      </w:r>
      <w:r w:rsidRPr="00664296">
        <w:rPr>
          <w:rFonts w:asciiTheme="minorHAnsi" w:hAnsiTheme="minorHAnsi"/>
          <w:color w:val="auto"/>
          <w:szCs w:val="24"/>
        </w:rPr>
        <w:t>of</w:t>
      </w:r>
      <w:r w:rsidR="00B45E01">
        <w:rPr>
          <w:rFonts w:asciiTheme="minorHAnsi" w:hAnsiTheme="minorHAnsi"/>
          <w:color w:val="auto"/>
          <w:szCs w:val="24"/>
        </w:rPr>
        <w:t xml:space="preserve"> </w:t>
      </w:r>
      <w:r w:rsidRPr="00664296">
        <w:rPr>
          <w:rFonts w:asciiTheme="minorHAnsi" w:hAnsiTheme="minorHAnsi"/>
          <w:color w:val="auto"/>
          <w:szCs w:val="24"/>
        </w:rPr>
        <w:t xml:space="preserve">motion (ROM) evaluation </w:t>
      </w:r>
      <w:r w:rsidR="00A646A7">
        <w:rPr>
          <w:rFonts w:asciiTheme="minorHAnsi" w:hAnsiTheme="minorHAnsi"/>
          <w:color w:val="auto"/>
          <w:szCs w:val="24"/>
        </w:rPr>
        <w:t xml:space="preserve">in evidence was performed at the original MEB prior to placement on TDRL.  It was appropriately rated by the PEB and the DA Form 199 invoked the VASRD </w:t>
      </w:r>
      <w:r w:rsidR="00A646A7">
        <w:rPr>
          <w:rFonts w:asciiTheme="minorHAnsi" w:hAnsiTheme="minorHAnsi" w:cstheme="minorHAnsi"/>
          <w:color w:val="auto"/>
          <w:szCs w:val="24"/>
        </w:rPr>
        <w:t>§</w:t>
      </w:r>
      <w:r w:rsidR="00A646A7">
        <w:rPr>
          <w:rFonts w:asciiTheme="minorHAnsi" w:hAnsiTheme="minorHAnsi"/>
          <w:color w:val="auto"/>
          <w:szCs w:val="24"/>
        </w:rPr>
        <w:t xml:space="preserve">4.71a criterion of antalgic gait to support a 20% rating going into TDRL.  The rating interval on which the Board must base its recommendations is </w:t>
      </w:r>
      <w:r w:rsidR="006D364C">
        <w:rPr>
          <w:rFonts w:asciiTheme="minorHAnsi" w:hAnsiTheme="minorHAnsi"/>
          <w:color w:val="auto"/>
          <w:szCs w:val="24"/>
        </w:rPr>
        <w:t xml:space="preserve">21 months after that evaluation at the time of permanent separation.  The VA C&amp;P exam data 16 months prior to final separation was similar in ratable parameters to the initial MEB exam but fell outside of the </w:t>
      </w:r>
      <w:r w:rsidR="006D364C" w:rsidRPr="009A28CF">
        <w:rPr>
          <w:rFonts w:asciiTheme="minorHAnsi" w:hAnsiTheme="minorHAnsi"/>
          <w:color w:val="auto"/>
          <w:szCs w:val="24"/>
        </w:rPr>
        <w:t>DoDI 6040.44 specifie</w:t>
      </w:r>
      <w:r w:rsidR="006D364C">
        <w:rPr>
          <w:rFonts w:asciiTheme="minorHAnsi" w:hAnsiTheme="minorHAnsi"/>
          <w:color w:val="auto"/>
          <w:szCs w:val="24"/>
        </w:rPr>
        <w:t>d</w:t>
      </w:r>
      <w:r w:rsidR="006D364C" w:rsidRPr="009A28CF">
        <w:rPr>
          <w:rFonts w:asciiTheme="minorHAnsi" w:hAnsiTheme="minorHAnsi"/>
          <w:color w:val="auto"/>
          <w:szCs w:val="24"/>
        </w:rPr>
        <w:t xml:space="preserve"> 12</w:t>
      </w:r>
      <w:r w:rsidR="00537354">
        <w:rPr>
          <w:rFonts w:asciiTheme="minorHAnsi" w:hAnsiTheme="minorHAnsi"/>
          <w:color w:val="auto"/>
          <w:szCs w:val="24"/>
        </w:rPr>
        <w:t>-</w:t>
      </w:r>
      <w:r w:rsidR="006D364C" w:rsidRPr="009A28CF">
        <w:rPr>
          <w:rFonts w:asciiTheme="minorHAnsi" w:hAnsiTheme="minorHAnsi"/>
          <w:color w:val="auto"/>
          <w:szCs w:val="24"/>
        </w:rPr>
        <w:t>month interval for special consideration to VA findings.</w:t>
      </w:r>
      <w:r w:rsidR="006D364C">
        <w:rPr>
          <w:rFonts w:asciiTheme="minorHAnsi" w:hAnsiTheme="minorHAnsi"/>
          <w:color w:val="auto"/>
          <w:szCs w:val="24"/>
        </w:rPr>
        <w:t xml:space="preserve">  Additionally, a VA physical therapy exam was recorded, but was so discordant with all other data in evidence that it </w:t>
      </w:r>
      <w:r w:rsidR="007F3065">
        <w:rPr>
          <w:rFonts w:asciiTheme="minorHAnsi" w:hAnsiTheme="minorHAnsi"/>
          <w:color w:val="auto"/>
          <w:szCs w:val="24"/>
        </w:rPr>
        <w:t>could be given no probative weight</w:t>
      </w:r>
      <w:r w:rsidR="006D364C">
        <w:rPr>
          <w:rFonts w:asciiTheme="minorHAnsi" w:hAnsiTheme="minorHAnsi"/>
          <w:color w:val="auto"/>
          <w:szCs w:val="24"/>
        </w:rPr>
        <w:t xml:space="preserve">.  There </w:t>
      </w:r>
      <w:r w:rsidR="007F3065">
        <w:rPr>
          <w:rFonts w:asciiTheme="minorHAnsi" w:hAnsiTheme="minorHAnsi"/>
          <w:color w:val="auto"/>
          <w:szCs w:val="24"/>
        </w:rPr>
        <w:t>were</w:t>
      </w:r>
      <w:r w:rsidR="006D364C">
        <w:rPr>
          <w:rFonts w:asciiTheme="minorHAnsi" w:hAnsiTheme="minorHAnsi"/>
          <w:color w:val="auto"/>
          <w:szCs w:val="24"/>
        </w:rPr>
        <w:t xml:space="preserve"> no repeat formal goniometric evaluation</w:t>
      </w:r>
      <w:r w:rsidR="007F3065">
        <w:rPr>
          <w:rFonts w:asciiTheme="minorHAnsi" w:hAnsiTheme="minorHAnsi"/>
          <w:color w:val="auto"/>
          <w:szCs w:val="24"/>
        </w:rPr>
        <w:t>s</w:t>
      </w:r>
      <w:r w:rsidR="003D21E4">
        <w:rPr>
          <w:rFonts w:asciiTheme="minorHAnsi" w:hAnsiTheme="minorHAnsi"/>
          <w:color w:val="auto"/>
          <w:szCs w:val="24"/>
        </w:rPr>
        <w:t xml:space="preserve"> </w:t>
      </w:r>
      <w:r w:rsidR="006D364C">
        <w:rPr>
          <w:rFonts w:asciiTheme="minorHAnsi" w:hAnsiTheme="minorHAnsi"/>
          <w:color w:val="auto"/>
          <w:szCs w:val="24"/>
        </w:rPr>
        <w:t>in evidence during the probative rating period</w:t>
      </w:r>
      <w:r w:rsidR="003D21E4">
        <w:rPr>
          <w:rFonts w:asciiTheme="minorHAnsi" w:hAnsiTheme="minorHAnsi"/>
          <w:color w:val="auto"/>
          <w:szCs w:val="24"/>
        </w:rPr>
        <w:t xml:space="preserve"> and t</w:t>
      </w:r>
      <w:r w:rsidR="006D364C">
        <w:rPr>
          <w:rFonts w:asciiTheme="minorHAnsi" w:hAnsiTheme="minorHAnsi"/>
          <w:color w:val="auto"/>
          <w:szCs w:val="24"/>
        </w:rPr>
        <w:t>he</w:t>
      </w:r>
      <w:r w:rsidR="00BC6BB9">
        <w:rPr>
          <w:rFonts w:asciiTheme="minorHAnsi" w:hAnsiTheme="minorHAnsi"/>
          <w:color w:val="auto"/>
          <w:szCs w:val="24"/>
        </w:rPr>
        <w:t xml:space="preserve"> </w:t>
      </w:r>
      <w:r w:rsidR="006D364C">
        <w:rPr>
          <w:rFonts w:asciiTheme="minorHAnsi" w:hAnsiTheme="minorHAnsi"/>
          <w:color w:val="auto"/>
          <w:szCs w:val="24"/>
        </w:rPr>
        <w:t xml:space="preserve">Board </w:t>
      </w:r>
      <w:r w:rsidR="003D21E4">
        <w:rPr>
          <w:rFonts w:asciiTheme="minorHAnsi" w:hAnsiTheme="minorHAnsi"/>
          <w:color w:val="auto"/>
          <w:szCs w:val="24"/>
        </w:rPr>
        <w:t xml:space="preserve">was </w:t>
      </w:r>
      <w:r w:rsidR="006D364C">
        <w:rPr>
          <w:rFonts w:asciiTheme="minorHAnsi" w:hAnsiTheme="minorHAnsi"/>
          <w:color w:val="auto"/>
          <w:szCs w:val="24"/>
        </w:rPr>
        <w:t xml:space="preserve">consequently compelled to </w:t>
      </w:r>
      <w:r w:rsidR="003D21E4">
        <w:rPr>
          <w:rFonts w:asciiTheme="minorHAnsi" w:hAnsiTheme="minorHAnsi"/>
          <w:color w:val="auto"/>
          <w:szCs w:val="24"/>
        </w:rPr>
        <w:t>apply the two non-goniometric evaluations to</w:t>
      </w:r>
      <w:r w:rsidR="006D364C">
        <w:rPr>
          <w:rFonts w:asciiTheme="minorHAnsi" w:hAnsiTheme="minorHAnsi"/>
          <w:color w:val="auto"/>
          <w:szCs w:val="24"/>
        </w:rPr>
        <w:t xml:space="preserve"> its permanent rating recommendation.</w:t>
      </w:r>
      <w:r w:rsidRPr="00664296">
        <w:rPr>
          <w:rFonts w:asciiTheme="minorHAnsi" w:hAnsiTheme="minorHAnsi"/>
          <w:color w:val="auto"/>
          <w:szCs w:val="24"/>
        </w:rPr>
        <w:t xml:space="preserve"> </w:t>
      </w:r>
      <w:r w:rsidR="007F3065">
        <w:rPr>
          <w:rFonts w:asciiTheme="minorHAnsi" w:hAnsiTheme="minorHAnsi"/>
          <w:color w:val="auto"/>
          <w:szCs w:val="24"/>
        </w:rPr>
        <w:t xml:space="preserve"> The two probative non-goniometric assessments and the baseline MEB goniometric evidence are </w:t>
      </w:r>
      <w:r w:rsidR="007F3065" w:rsidRPr="00664296">
        <w:rPr>
          <w:rFonts w:asciiTheme="minorHAnsi" w:hAnsiTheme="minorHAnsi"/>
          <w:color w:val="auto"/>
          <w:szCs w:val="24"/>
        </w:rPr>
        <w:t>summarized in the chart below.</w:t>
      </w:r>
    </w:p>
    <w:p w:rsidR="00664296" w:rsidRPr="00664296" w:rsidRDefault="00664296" w:rsidP="00664296">
      <w:pPr>
        <w:tabs>
          <w:tab w:val="left" w:pos="288"/>
          <w:tab w:val="left" w:pos="4752"/>
        </w:tabs>
        <w:spacing w:line="240" w:lineRule="exact"/>
        <w:rPr>
          <w:rFonts w:asciiTheme="minorHAnsi" w:hAnsiTheme="minorHAnsi"/>
          <w:color w:val="auto"/>
          <w:szCs w:val="24"/>
        </w:rPr>
      </w:pPr>
    </w:p>
    <w:tbl>
      <w:tblPr>
        <w:tblW w:w="9281" w:type="dxa"/>
        <w:jc w:val="center"/>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1"/>
        <w:gridCol w:w="2319"/>
        <w:gridCol w:w="2070"/>
        <w:gridCol w:w="2801"/>
      </w:tblGrid>
      <w:tr w:rsidR="00664296" w:rsidRPr="00664296" w:rsidTr="00AB31D9">
        <w:trPr>
          <w:jc w:val="center"/>
        </w:trPr>
        <w:tc>
          <w:tcPr>
            <w:tcW w:w="2091" w:type="dxa"/>
            <w:shd w:val="clear" w:color="auto" w:fill="D9D9D9" w:themeFill="background1" w:themeFillShade="D9"/>
          </w:tcPr>
          <w:p w:rsidR="00664296" w:rsidRPr="00664296" w:rsidRDefault="00A07E2C" w:rsidP="001A14AC">
            <w:pPr>
              <w:spacing w:line="240" w:lineRule="exact"/>
              <w:contextualSpacing/>
              <w:jc w:val="center"/>
              <w:rPr>
                <w:rFonts w:eastAsia="Calibri"/>
                <w:color w:val="auto"/>
                <w:sz w:val="22"/>
                <w:szCs w:val="22"/>
              </w:rPr>
            </w:pPr>
            <w:r w:rsidRPr="00CE14E6">
              <w:rPr>
                <w:rFonts w:eastAsia="Calibri"/>
                <w:color w:val="auto"/>
                <w:sz w:val="22"/>
                <w:szCs w:val="22"/>
              </w:rPr>
              <w:t>Thoracolumbar ROM</w:t>
            </w:r>
          </w:p>
        </w:tc>
        <w:tc>
          <w:tcPr>
            <w:tcW w:w="2319" w:type="dxa"/>
            <w:shd w:val="clear" w:color="auto" w:fill="D9D9D9" w:themeFill="background1" w:themeFillShade="D9"/>
          </w:tcPr>
          <w:p w:rsidR="00664296" w:rsidRPr="00664296" w:rsidRDefault="001A14AC" w:rsidP="00AB31D9">
            <w:pPr>
              <w:spacing w:line="240" w:lineRule="exact"/>
              <w:contextualSpacing/>
              <w:jc w:val="center"/>
              <w:rPr>
                <w:rFonts w:eastAsia="Calibri"/>
                <w:color w:val="auto"/>
                <w:sz w:val="22"/>
                <w:szCs w:val="22"/>
              </w:rPr>
            </w:pPr>
            <w:r w:rsidRPr="00664296">
              <w:rPr>
                <w:rFonts w:eastAsia="Calibri"/>
                <w:color w:val="auto"/>
                <w:sz w:val="22"/>
                <w:szCs w:val="22"/>
              </w:rPr>
              <w:t xml:space="preserve">MEB </w:t>
            </w:r>
            <w:r w:rsidR="00AB31D9">
              <w:rPr>
                <w:rFonts w:eastAsia="Calibri"/>
                <w:color w:val="auto"/>
                <w:sz w:val="22"/>
                <w:szCs w:val="22"/>
              </w:rPr>
              <w:t>~</w:t>
            </w:r>
            <w:r w:rsidRPr="00664296">
              <w:rPr>
                <w:rFonts w:eastAsia="Calibri"/>
                <w:color w:val="auto"/>
                <w:sz w:val="22"/>
                <w:szCs w:val="22"/>
              </w:rPr>
              <w:t xml:space="preserve"> </w:t>
            </w:r>
            <w:r w:rsidR="0055657F">
              <w:rPr>
                <w:rFonts w:eastAsia="Calibri"/>
                <w:color w:val="auto"/>
                <w:sz w:val="22"/>
                <w:szCs w:val="22"/>
              </w:rPr>
              <w:t>5</w:t>
            </w:r>
            <w:r w:rsidR="00AB31D9">
              <w:rPr>
                <w:rFonts w:eastAsia="Calibri"/>
                <w:color w:val="auto"/>
                <w:sz w:val="22"/>
                <w:szCs w:val="22"/>
              </w:rPr>
              <w:t xml:space="preserve"> Mo. Pre-</w:t>
            </w:r>
            <w:r w:rsidR="00A07E2C">
              <w:rPr>
                <w:rFonts w:eastAsia="Calibri"/>
                <w:color w:val="auto"/>
                <w:sz w:val="22"/>
                <w:szCs w:val="22"/>
              </w:rPr>
              <w:t>TDRL</w:t>
            </w:r>
          </w:p>
        </w:tc>
        <w:tc>
          <w:tcPr>
            <w:tcW w:w="2070" w:type="dxa"/>
            <w:shd w:val="clear" w:color="auto" w:fill="D9D9D9" w:themeFill="background1" w:themeFillShade="D9"/>
          </w:tcPr>
          <w:p w:rsidR="00664296" w:rsidRPr="00664296" w:rsidRDefault="00AB31D9" w:rsidP="0055657F">
            <w:pPr>
              <w:spacing w:line="240" w:lineRule="exact"/>
              <w:contextualSpacing/>
              <w:jc w:val="center"/>
              <w:rPr>
                <w:rFonts w:eastAsia="Calibri"/>
                <w:color w:val="auto"/>
                <w:sz w:val="22"/>
                <w:szCs w:val="22"/>
              </w:rPr>
            </w:pPr>
            <w:r>
              <w:rPr>
                <w:rFonts w:eastAsia="Calibri"/>
                <w:color w:val="auto"/>
                <w:sz w:val="22"/>
                <w:szCs w:val="22"/>
              </w:rPr>
              <w:t>MEB ~</w:t>
            </w:r>
            <w:r w:rsidR="00A87DE2">
              <w:rPr>
                <w:rFonts w:eastAsia="Calibri"/>
                <w:color w:val="auto"/>
                <w:sz w:val="22"/>
                <w:szCs w:val="22"/>
              </w:rPr>
              <w:t>2</w:t>
            </w:r>
            <w:r>
              <w:rPr>
                <w:rFonts w:eastAsia="Calibri"/>
                <w:color w:val="auto"/>
                <w:sz w:val="22"/>
                <w:szCs w:val="22"/>
              </w:rPr>
              <w:t xml:space="preserve"> Mo.</w:t>
            </w:r>
            <w:r w:rsidR="00A87DE2" w:rsidRPr="00664296">
              <w:rPr>
                <w:rFonts w:eastAsia="Calibri"/>
                <w:color w:val="auto"/>
                <w:sz w:val="22"/>
                <w:szCs w:val="22"/>
              </w:rPr>
              <w:t xml:space="preserve"> </w:t>
            </w:r>
            <w:r w:rsidR="00A87DE2" w:rsidRPr="00664296">
              <w:rPr>
                <w:rFonts w:eastAsiaTheme="minorHAnsi" w:cstheme="minorBidi"/>
                <w:color w:val="auto"/>
                <w:sz w:val="22"/>
                <w:szCs w:val="22"/>
              </w:rPr>
              <w:t>P</w:t>
            </w:r>
            <w:r w:rsidR="00A87DE2">
              <w:rPr>
                <w:rFonts w:eastAsiaTheme="minorHAnsi" w:cstheme="minorBidi"/>
                <w:color w:val="auto"/>
                <w:sz w:val="22"/>
                <w:szCs w:val="22"/>
              </w:rPr>
              <w:t>re</w:t>
            </w:r>
            <w:r>
              <w:rPr>
                <w:rFonts w:eastAsiaTheme="minorHAnsi" w:cstheme="minorBidi"/>
                <w:color w:val="auto"/>
                <w:sz w:val="22"/>
                <w:szCs w:val="22"/>
              </w:rPr>
              <w:t>-</w:t>
            </w:r>
            <w:r w:rsidR="00A87DE2" w:rsidRPr="00664296">
              <w:rPr>
                <w:rFonts w:eastAsiaTheme="minorHAnsi" w:cstheme="minorBidi"/>
                <w:color w:val="auto"/>
                <w:sz w:val="22"/>
                <w:szCs w:val="22"/>
              </w:rPr>
              <w:t>Sep</w:t>
            </w:r>
          </w:p>
        </w:tc>
        <w:tc>
          <w:tcPr>
            <w:tcW w:w="2801" w:type="dxa"/>
            <w:shd w:val="clear" w:color="auto" w:fill="D9D9D9" w:themeFill="background1" w:themeFillShade="D9"/>
          </w:tcPr>
          <w:p w:rsidR="00664296" w:rsidRPr="00664296" w:rsidRDefault="00A87DE2" w:rsidP="00A87DE2">
            <w:pPr>
              <w:spacing w:line="240" w:lineRule="exact"/>
              <w:contextualSpacing/>
              <w:jc w:val="center"/>
              <w:rPr>
                <w:rFonts w:eastAsiaTheme="minorHAnsi" w:cstheme="minorBidi"/>
                <w:color w:val="auto"/>
                <w:sz w:val="22"/>
                <w:szCs w:val="22"/>
              </w:rPr>
            </w:pPr>
            <w:r>
              <w:rPr>
                <w:rFonts w:eastAsiaTheme="minorHAnsi" w:cstheme="minorBidi"/>
                <w:color w:val="auto"/>
                <w:sz w:val="22"/>
                <w:szCs w:val="22"/>
              </w:rPr>
              <w:t xml:space="preserve">Chiropractic </w:t>
            </w:r>
            <w:r w:rsidR="00AB31D9">
              <w:rPr>
                <w:rFonts w:eastAsia="Calibri"/>
                <w:color w:val="auto"/>
                <w:sz w:val="22"/>
                <w:szCs w:val="22"/>
              </w:rPr>
              <w:t>~</w:t>
            </w:r>
            <w:r>
              <w:rPr>
                <w:rFonts w:eastAsia="Calibri"/>
                <w:color w:val="auto"/>
                <w:sz w:val="22"/>
                <w:szCs w:val="22"/>
              </w:rPr>
              <w:t>1</w:t>
            </w:r>
            <w:r w:rsidR="00AB31D9">
              <w:rPr>
                <w:rFonts w:eastAsia="Calibri"/>
                <w:color w:val="auto"/>
                <w:sz w:val="22"/>
                <w:szCs w:val="22"/>
              </w:rPr>
              <w:t xml:space="preserve"> Mo.</w:t>
            </w:r>
            <w:r w:rsidRPr="00664296">
              <w:rPr>
                <w:rFonts w:eastAsia="Calibri"/>
                <w:color w:val="auto"/>
                <w:sz w:val="22"/>
                <w:szCs w:val="22"/>
              </w:rPr>
              <w:t xml:space="preserve"> </w:t>
            </w:r>
            <w:r w:rsidRPr="00664296">
              <w:rPr>
                <w:rFonts w:eastAsiaTheme="minorHAnsi" w:cstheme="minorBidi"/>
                <w:color w:val="auto"/>
                <w:sz w:val="22"/>
                <w:szCs w:val="22"/>
              </w:rPr>
              <w:t>P</w:t>
            </w:r>
            <w:r>
              <w:rPr>
                <w:rFonts w:eastAsiaTheme="minorHAnsi" w:cstheme="minorBidi"/>
                <w:color w:val="auto"/>
                <w:sz w:val="22"/>
                <w:szCs w:val="22"/>
              </w:rPr>
              <w:t>re</w:t>
            </w:r>
            <w:r w:rsidR="00AB31D9">
              <w:rPr>
                <w:rFonts w:eastAsiaTheme="minorHAnsi" w:cstheme="minorBidi"/>
                <w:color w:val="auto"/>
                <w:sz w:val="22"/>
                <w:szCs w:val="22"/>
              </w:rPr>
              <w:t>-</w:t>
            </w:r>
            <w:r w:rsidRPr="00664296">
              <w:rPr>
                <w:rFonts w:eastAsiaTheme="minorHAnsi" w:cstheme="minorBidi"/>
                <w:color w:val="auto"/>
                <w:sz w:val="22"/>
                <w:szCs w:val="22"/>
              </w:rPr>
              <w:t>Sep</w:t>
            </w:r>
          </w:p>
        </w:tc>
      </w:tr>
      <w:tr w:rsidR="00A87DE2" w:rsidRPr="00664296" w:rsidTr="00AB31D9">
        <w:trPr>
          <w:jc w:val="center"/>
        </w:trPr>
        <w:tc>
          <w:tcPr>
            <w:tcW w:w="2091" w:type="dxa"/>
          </w:tcPr>
          <w:p w:rsidR="00A87DE2" w:rsidRPr="00664296" w:rsidRDefault="00A87DE2" w:rsidP="00537354">
            <w:pPr>
              <w:spacing w:line="240" w:lineRule="exact"/>
              <w:contextualSpacing/>
              <w:rPr>
                <w:rFonts w:eastAsia="Calibri"/>
                <w:color w:val="auto"/>
                <w:sz w:val="22"/>
                <w:szCs w:val="22"/>
              </w:rPr>
            </w:pPr>
            <w:r w:rsidRPr="00664296">
              <w:rPr>
                <w:rFonts w:eastAsia="Calibri"/>
                <w:color w:val="auto"/>
                <w:sz w:val="22"/>
                <w:szCs w:val="22"/>
              </w:rPr>
              <w:t xml:space="preserve">Flexion 90⁰ </w:t>
            </w:r>
          </w:p>
        </w:tc>
        <w:tc>
          <w:tcPr>
            <w:tcW w:w="2319" w:type="dxa"/>
          </w:tcPr>
          <w:p w:rsidR="00A87DE2" w:rsidRPr="00664296" w:rsidRDefault="00A87DE2" w:rsidP="00664296">
            <w:pPr>
              <w:spacing w:line="240" w:lineRule="exact"/>
              <w:contextualSpacing/>
              <w:jc w:val="center"/>
              <w:rPr>
                <w:rFonts w:eastAsia="Calibri"/>
                <w:color w:val="auto"/>
                <w:sz w:val="22"/>
                <w:szCs w:val="22"/>
              </w:rPr>
            </w:pPr>
            <w:r>
              <w:rPr>
                <w:rFonts w:eastAsia="Calibri"/>
                <w:color w:val="auto"/>
                <w:sz w:val="22"/>
                <w:szCs w:val="22"/>
              </w:rPr>
              <w:t>70</w:t>
            </w:r>
            <w:r w:rsidRPr="00664296">
              <w:rPr>
                <w:rFonts w:eastAsia="Calibri"/>
                <w:color w:val="auto"/>
                <w:sz w:val="22"/>
                <w:szCs w:val="22"/>
              </w:rPr>
              <w:t>⁰</w:t>
            </w:r>
          </w:p>
        </w:tc>
        <w:tc>
          <w:tcPr>
            <w:tcW w:w="2070" w:type="dxa"/>
          </w:tcPr>
          <w:p w:rsidR="00A87DE2" w:rsidRPr="00664296" w:rsidRDefault="007F3065" w:rsidP="000F6C0C">
            <w:pPr>
              <w:spacing w:line="240" w:lineRule="exact"/>
              <w:contextualSpacing/>
              <w:jc w:val="center"/>
              <w:rPr>
                <w:rFonts w:eastAsia="Calibri"/>
                <w:color w:val="auto"/>
                <w:sz w:val="22"/>
                <w:szCs w:val="22"/>
              </w:rPr>
            </w:pPr>
            <w:r>
              <w:rPr>
                <w:rFonts w:eastAsia="Calibri"/>
                <w:color w:val="auto"/>
                <w:sz w:val="22"/>
                <w:szCs w:val="22"/>
              </w:rPr>
              <w:t>‘mid tibia’</w:t>
            </w:r>
          </w:p>
        </w:tc>
        <w:tc>
          <w:tcPr>
            <w:tcW w:w="2801" w:type="dxa"/>
          </w:tcPr>
          <w:p w:rsidR="00A87DE2" w:rsidRPr="00664296" w:rsidRDefault="00AB31D9" w:rsidP="00A67041">
            <w:pPr>
              <w:spacing w:line="240" w:lineRule="exact"/>
              <w:contextualSpacing/>
              <w:jc w:val="center"/>
              <w:rPr>
                <w:rFonts w:eastAsia="Calibri"/>
                <w:color w:val="auto"/>
                <w:sz w:val="22"/>
                <w:szCs w:val="22"/>
              </w:rPr>
            </w:pPr>
            <w:r>
              <w:rPr>
                <w:rFonts w:eastAsia="Calibri"/>
                <w:color w:val="auto"/>
                <w:sz w:val="22"/>
                <w:szCs w:val="22"/>
              </w:rPr>
              <w:t>‘</w:t>
            </w:r>
            <w:r w:rsidR="00A87DE2">
              <w:rPr>
                <w:rFonts w:eastAsia="Calibri"/>
                <w:color w:val="auto"/>
                <w:sz w:val="22"/>
                <w:szCs w:val="22"/>
              </w:rPr>
              <w:t xml:space="preserve">40% </w:t>
            </w:r>
            <w:r>
              <w:rPr>
                <w:rFonts w:eastAsia="Calibri"/>
                <w:color w:val="auto"/>
                <w:sz w:val="22"/>
                <w:szCs w:val="22"/>
              </w:rPr>
              <w:t xml:space="preserve">of </w:t>
            </w:r>
            <w:r w:rsidR="00A87DE2">
              <w:rPr>
                <w:rFonts w:eastAsia="Calibri"/>
                <w:color w:val="auto"/>
                <w:sz w:val="22"/>
                <w:szCs w:val="22"/>
              </w:rPr>
              <w:t>normal</w:t>
            </w:r>
            <w:r>
              <w:rPr>
                <w:rFonts w:eastAsia="Calibri"/>
                <w:color w:val="auto"/>
                <w:sz w:val="22"/>
                <w:szCs w:val="22"/>
              </w:rPr>
              <w:t>’</w:t>
            </w:r>
          </w:p>
        </w:tc>
      </w:tr>
      <w:tr w:rsidR="00A87DE2" w:rsidRPr="00664296" w:rsidTr="00AB31D9">
        <w:trPr>
          <w:jc w:val="center"/>
        </w:trPr>
        <w:tc>
          <w:tcPr>
            <w:tcW w:w="2091" w:type="dxa"/>
          </w:tcPr>
          <w:p w:rsidR="00A87DE2" w:rsidRPr="00664296" w:rsidRDefault="00A87DE2" w:rsidP="00537354">
            <w:pPr>
              <w:spacing w:line="240" w:lineRule="exact"/>
              <w:contextualSpacing/>
              <w:rPr>
                <w:rFonts w:eastAsia="Calibri"/>
                <w:color w:val="auto"/>
                <w:sz w:val="22"/>
                <w:szCs w:val="22"/>
              </w:rPr>
            </w:pPr>
            <w:r w:rsidRPr="00664296">
              <w:rPr>
                <w:rFonts w:eastAsia="Calibri"/>
                <w:color w:val="auto"/>
                <w:sz w:val="22"/>
                <w:szCs w:val="22"/>
              </w:rPr>
              <w:t xml:space="preserve">Combined 240⁰ </w:t>
            </w:r>
          </w:p>
        </w:tc>
        <w:tc>
          <w:tcPr>
            <w:tcW w:w="2319" w:type="dxa"/>
          </w:tcPr>
          <w:p w:rsidR="00A87DE2" w:rsidRPr="00664296" w:rsidRDefault="00A87DE2" w:rsidP="00664296">
            <w:pPr>
              <w:spacing w:line="240" w:lineRule="exact"/>
              <w:contextualSpacing/>
              <w:jc w:val="center"/>
              <w:rPr>
                <w:rFonts w:eastAsia="Calibri"/>
                <w:color w:val="auto"/>
                <w:sz w:val="22"/>
                <w:szCs w:val="22"/>
              </w:rPr>
            </w:pPr>
            <w:r>
              <w:rPr>
                <w:rFonts w:eastAsia="Calibri"/>
                <w:color w:val="auto"/>
                <w:sz w:val="22"/>
                <w:szCs w:val="22"/>
              </w:rPr>
              <w:t>205</w:t>
            </w:r>
            <w:r w:rsidRPr="00664296">
              <w:rPr>
                <w:rFonts w:eastAsia="Calibri"/>
                <w:color w:val="auto"/>
                <w:sz w:val="22"/>
                <w:szCs w:val="22"/>
              </w:rPr>
              <w:t>⁰</w:t>
            </w:r>
          </w:p>
        </w:tc>
        <w:tc>
          <w:tcPr>
            <w:tcW w:w="2070" w:type="dxa"/>
          </w:tcPr>
          <w:p w:rsidR="00A87DE2" w:rsidRPr="00664296" w:rsidRDefault="00A87DE2" w:rsidP="00A87DE2">
            <w:pPr>
              <w:spacing w:line="240" w:lineRule="exact"/>
              <w:contextualSpacing/>
              <w:jc w:val="center"/>
              <w:rPr>
                <w:rFonts w:eastAsia="Calibri"/>
                <w:color w:val="auto"/>
                <w:sz w:val="22"/>
                <w:szCs w:val="22"/>
              </w:rPr>
            </w:pPr>
            <w:r>
              <w:rPr>
                <w:rFonts w:eastAsia="Calibri"/>
                <w:color w:val="auto"/>
                <w:sz w:val="22"/>
                <w:szCs w:val="22"/>
              </w:rPr>
              <w:t>---</w:t>
            </w:r>
            <w:r w:rsidRPr="00664296">
              <w:rPr>
                <w:rFonts w:eastAsia="Calibri"/>
                <w:color w:val="auto"/>
                <w:sz w:val="22"/>
                <w:szCs w:val="22"/>
              </w:rPr>
              <w:t>⁰</w:t>
            </w:r>
          </w:p>
        </w:tc>
        <w:tc>
          <w:tcPr>
            <w:tcW w:w="2801" w:type="dxa"/>
          </w:tcPr>
          <w:p w:rsidR="00A87DE2" w:rsidRPr="00664296" w:rsidRDefault="00A87DE2" w:rsidP="00664296">
            <w:pPr>
              <w:spacing w:line="240" w:lineRule="exact"/>
              <w:contextualSpacing/>
              <w:jc w:val="center"/>
              <w:rPr>
                <w:rFonts w:eastAsia="Calibri"/>
                <w:color w:val="auto"/>
                <w:sz w:val="22"/>
                <w:szCs w:val="22"/>
              </w:rPr>
            </w:pPr>
            <w:r>
              <w:rPr>
                <w:rFonts w:eastAsia="Calibri"/>
                <w:color w:val="auto"/>
                <w:sz w:val="22"/>
                <w:szCs w:val="22"/>
              </w:rPr>
              <w:t>---</w:t>
            </w:r>
            <w:r w:rsidRPr="00664296">
              <w:rPr>
                <w:rFonts w:eastAsia="Calibri"/>
                <w:color w:val="auto"/>
                <w:sz w:val="22"/>
                <w:szCs w:val="22"/>
              </w:rPr>
              <w:t>⁰</w:t>
            </w:r>
          </w:p>
        </w:tc>
      </w:tr>
      <w:tr w:rsidR="00A87DE2" w:rsidRPr="00664296" w:rsidTr="00AB31D9">
        <w:trPr>
          <w:jc w:val="center"/>
        </w:trPr>
        <w:tc>
          <w:tcPr>
            <w:tcW w:w="2091" w:type="dxa"/>
          </w:tcPr>
          <w:p w:rsidR="00A87DE2" w:rsidRPr="00664296" w:rsidRDefault="00A87DE2" w:rsidP="00537354">
            <w:pPr>
              <w:tabs>
                <w:tab w:val="left" w:pos="288"/>
                <w:tab w:val="left" w:pos="4752"/>
              </w:tabs>
              <w:spacing w:line="240" w:lineRule="exact"/>
              <w:rPr>
                <w:rFonts w:asciiTheme="minorHAnsi" w:eastAsiaTheme="minorHAnsi" w:hAnsiTheme="minorHAnsi"/>
                <w:color w:val="auto"/>
                <w:sz w:val="22"/>
                <w:szCs w:val="22"/>
              </w:rPr>
            </w:pPr>
            <w:r w:rsidRPr="00664296">
              <w:rPr>
                <w:rFonts w:asciiTheme="minorHAnsi" w:eastAsiaTheme="minorHAnsi" w:hAnsiTheme="minorHAnsi"/>
                <w:color w:val="auto"/>
                <w:sz w:val="22"/>
                <w:szCs w:val="22"/>
              </w:rPr>
              <w:t>Comments</w:t>
            </w:r>
          </w:p>
        </w:tc>
        <w:tc>
          <w:tcPr>
            <w:tcW w:w="2319" w:type="dxa"/>
          </w:tcPr>
          <w:p w:rsidR="00A87DE2" w:rsidRPr="00664296" w:rsidRDefault="00A87DE2" w:rsidP="00664296">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Antalgic gait, spasm</w:t>
            </w:r>
            <w:r w:rsidR="00AB31D9">
              <w:rPr>
                <w:rFonts w:asciiTheme="minorHAnsi" w:eastAsiaTheme="minorHAnsi" w:hAnsiTheme="minorHAnsi"/>
                <w:color w:val="auto"/>
                <w:sz w:val="22"/>
                <w:szCs w:val="22"/>
              </w:rPr>
              <w:t>.</w:t>
            </w:r>
          </w:p>
        </w:tc>
        <w:tc>
          <w:tcPr>
            <w:tcW w:w="2070" w:type="dxa"/>
          </w:tcPr>
          <w:p w:rsidR="00A87DE2" w:rsidRPr="00664296" w:rsidRDefault="00A87DE2" w:rsidP="00AB31D9">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Normal gait</w:t>
            </w:r>
            <w:r w:rsidR="00AB31D9">
              <w:rPr>
                <w:rFonts w:asciiTheme="minorHAnsi" w:eastAsiaTheme="minorHAnsi" w:hAnsiTheme="minorHAnsi"/>
                <w:color w:val="auto"/>
                <w:sz w:val="22"/>
                <w:szCs w:val="22"/>
              </w:rPr>
              <w:t>.</w:t>
            </w:r>
          </w:p>
        </w:tc>
        <w:tc>
          <w:tcPr>
            <w:tcW w:w="2801" w:type="dxa"/>
          </w:tcPr>
          <w:p w:rsidR="00A87DE2" w:rsidRPr="00664296" w:rsidRDefault="00AB31D9" w:rsidP="009D006D">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Abnormal</w:t>
            </w:r>
            <w:r w:rsidR="00A87DE2">
              <w:rPr>
                <w:rFonts w:asciiTheme="minorHAnsi" w:eastAsiaTheme="minorHAnsi" w:hAnsiTheme="minorHAnsi"/>
                <w:color w:val="auto"/>
                <w:sz w:val="22"/>
                <w:szCs w:val="22"/>
              </w:rPr>
              <w:t xml:space="preserve"> gait</w:t>
            </w:r>
            <w:r w:rsidR="009D006D">
              <w:rPr>
                <w:rFonts w:asciiTheme="minorHAnsi" w:eastAsiaTheme="minorHAnsi" w:hAnsiTheme="minorHAnsi"/>
                <w:color w:val="auto"/>
                <w:sz w:val="22"/>
                <w:szCs w:val="22"/>
              </w:rPr>
              <w:t>.</w:t>
            </w:r>
          </w:p>
        </w:tc>
      </w:tr>
      <w:tr w:rsidR="00A87DE2" w:rsidRPr="00664296" w:rsidTr="00AB31D9">
        <w:trPr>
          <w:trHeight w:val="70"/>
          <w:jc w:val="center"/>
        </w:trPr>
        <w:tc>
          <w:tcPr>
            <w:tcW w:w="2091" w:type="dxa"/>
          </w:tcPr>
          <w:p w:rsidR="00A87DE2" w:rsidRPr="00664296" w:rsidRDefault="00A87DE2" w:rsidP="00537354">
            <w:pPr>
              <w:tabs>
                <w:tab w:val="left" w:pos="288"/>
                <w:tab w:val="left" w:pos="4752"/>
              </w:tabs>
              <w:spacing w:line="240" w:lineRule="exact"/>
              <w:rPr>
                <w:rFonts w:asciiTheme="minorHAnsi" w:eastAsiaTheme="minorHAnsi" w:hAnsiTheme="minorHAnsi"/>
                <w:color w:val="auto"/>
                <w:sz w:val="22"/>
                <w:szCs w:val="22"/>
              </w:rPr>
            </w:pPr>
            <w:r w:rsidRPr="00664296">
              <w:rPr>
                <w:rFonts w:asciiTheme="minorHAnsi" w:eastAsiaTheme="minorHAnsi" w:hAnsiTheme="minorHAnsi"/>
                <w:color w:val="auto"/>
                <w:sz w:val="22"/>
                <w:szCs w:val="22"/>
              </w:rPr>
              <w:t>§4.71a Rating</w:t>
            </w:r>
          </w:p>
        </w:tc>
        <w:tc>
          <w:tcPr>
            <w:tcW w:w="2319" w:type="dxa"/>
          </w:tcPr>
          <w:p w:rsidR="00A87DE2" w:rsidRPr="00664296" w:rsidRDefault="00A87DE2" w:rsidP="00664296">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20</w:t>
            </w:r>
            <w:r w:rsidRPr="00664296">
              <w:rPr>
                <w:rFonts w:asciiTheme="minorHAnsi" w:eastAsiaTheme="minorHAnsi" w:hAnsiTheme="minorHAnsi"/>
                <w:color w:val="auto"/>
                <w:sz w:val="22"/>
                <w:szCs w:val="22"/>
              </w:rPr>
              <w:t>%</w:t>
            </w:r>
            <w:r w:rsidR="00AB31D9">
              <w:rPr>
                <w:rFonts w:asciiTheme="minorHAnsi" w:eastAsiaTheme="minorHAnsi" w:hAnsiTheme="minorHAnsi"/>
                <w:color w:val="auto"/>
                <w:sz w:val="22"/>
                <w:szCs w:val="22"/>
              </w:rPr>
              <w:t>*</w:t>
            </w:r>
          </w:p>
        </w:tc>
        <w:tc>
          <w:tcPr>
            <w:tcW w:w="2070" w:type="dxa"/>
          </w:tcPr>
          <w:p w:rsidR="00A87DE2" w:rsidRPr="00664296" w:rsidRDefault="00A646A7" w:rsidP="00A87DE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Not VASRD ratable.</w:t>
            </w:r>
          </w:p>
        </w:tc>
        <w:tc>
          <w:tcPr>
            <w:tcW w:w="2801" w:type="dxa"/>
          </w:tcPr>
          <w:p w:rsidR="00A87DE2" w:rsidRPr="00664296" w:rsidRDefault="009D006D" w:rsidP="00664296">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20</w:t>
            </w:r>
            <w:r w:rsidR="0091665C" w:rsidRPr="00664296">
              <w:rPr>
                <w:rFonts w:asciiTheme="minorHAnsi" w:eastAsiaTheme="minorHAnsi" w:hAnsiTheme="minorHAnsi"/>
                <w:color w:val="auto"/>
                <w:sz w:val="22"/>
                <w:szCs w:val="22"/>
              </w:rPr>
              <w:t>%</w:t>
            </w:r>
            <w:r>
              <w:rPr>
                <w:rFonts w:asciiTheme="minorHAnsi" w:eastAsiaTheme="minorHAnsi" w:hAnsiTheme="minorHAnsi"/>
                <w:color w:val="auto"/>
                <w:sz w:val="22"/>
                <w:szCs w:val="22"/>
              </w:rPr>
              <w:t>*</w:t>
            </w:r>
          </w:p>
        </w:tc>
      </w:tr>
    </w:tbl>
    <w:p w:rsidR="009D006D" w:rsidRDefault="009D006D" w:rsidP="00664296">
      <w:pPr>
        <w:tabs>
          <w:tab w:val="left" w:pos="288"/>
          <w:tab w:val="left" w:pos="4752"/>
        </w:tabs>
        <w:spacing w:line="240" w:lineRule="exact"/>
        <w:rPr>
          <w:rFonts w:asciiTheme="minorHAnsi" w:hAnsiTheme="minorHAnsi"/>
          <w:color w:val="auto"/>
          <w:sz w:val="22"/>
          <w:szCs w:val="22"/>
        </w:rPr>
      </w:pPr>
      <w:r>
        <w:rPr>
          <w:rFonts w:asciiTheme="minorHAnsi" w:hAnsiTheme="minorHAnsi"/>
          <w:color w:val="auto"/>
          <w:sz w:val="22"/>
          <w:szCs w:val="22"/>
        </w:rPr>
        <w:t>* Based on gait disturbance for 1</w:t>
      </w:r>
      <w:r w:rsidRPr="009D006D">
        <w:rPr>
          <w:rFonts w:asciiTheme="minorHAnsi" w:hAnsiTheme="minorHAnsi"/>
          <w:color w:val="auto"/>
          <w:sz w:val="22"/>
          <w:szCs w:val="22"/>
          <w:vertAlign w:val="superscript"/>
        </w:rPr>
        <w:t>st</w:t>
      </w:r>
      <w:r>
        <w:rPr>
          <w:rFonts w:asciiTheme="minorHAnsi" w:hAnsiTheme="minorHAnsi"/>
          <w:color w:val="auto"/>
          <w:sz w:val="22"/>
          <w:szCs w:val="22"/>
        </w:rPr>
        <w:t xml:space="preserve"> MEB</w:t>
      </w:r>
      <w:r w:rsidR="00A646A7">
        <w:rPr>
          <w:rFonts w:asciiTheme="minorHAnsi" w:hAnsiTheme="minorHAnsi"/>
          <w:color w:val="auto"/>
          <w:sz w:val="22"/>
          <w:szCs w:val="22"/>
        </w:rPr>
        <w:t>,</w:t>
      </w:r>
      <w:r>
        <w:rPr>
          <w:rFonts w:asciiTheme="minorHAnsi" w:hAnsiTheme="minorHAnsi"/>
          <w:color w:val="auto"/>
          <w:sz w:val="22"/>
          <w:szCs w:val="22"/>
        </w:rPr>
        <w:t xml:space="preserve"> and,</w:t>
      </w:r>
      <w:r w:rsidR="00A646A7">
        <w:rPr>
          <w:rFonts w:asciiTheme="minorHAnsi" w:hAnsiTheme="minorHAnsi"/>
          <w:color w:val="auto"/>
          <w:sz w:val="22"/>
          <w:szCs w:val="22"/>
        </w:rPr>
        <w:t xml:space="preserve"> </w:t>
      </w:r>
      <w:r>
        <w:rPr>
          <w:rFonts w:asciiTheme="minorHAnsi" w:hAnsiTheme="minorHAnsi"/>
          <w:color w:val="auto"/>
          <w:sz w:val="22"/>
          <w:szCs w:val="22"/>
        </w:rPr>
        <w:t xml:space="preserve">gait (as below) + </w:t>
      </w:r>
      <w:r w:rsidR="000F6C0C">
        <w:rPr>
          <w:rFonts w:asciiTheme="minorHAnsi" w:hAnsiTheme="minorHAnsi"/>
          <w:color w:val="auto"/>
          <w:sz w:val="22"/>
          <w:szCs w:val="22"/>
        </w:rPr>
        <w:t>calculated</w:t>
      </w:r>
      <w:r>
        <w:rPr>
          <w:rFonts w:asciiTheme="minorHAnsi" w:hAnsiTheme="minorHAnsi"/>
          <w:color w:val="auto"/>
          <w:sz w:val="22"/>
          <w:szCs w:val="22"/>
        </w:rPr>
        <w:t xml:space="preserve"> </w:t>
      </w:r>
      <w:r w:rsidR="00A646A7">
        <w:rPr>
          <w:rFonts w:asciiTheme="minorHAnsi" w:hAnsiTheme="minorHAnsi"/>
          <w:color w:val="auto"/>
          <w:sz w:val="22"/>
          <w:szCs w:val="22"/>
        </w:rPr>
        <w:t>ROM</w:t>
      </w:r>
      <w:r>
        <w:rPr>
          <w:rFonts w:asciiTheme="minorHAnsi" w:hAnsiTheme="minorHAnsi"/>
          <w:color w:val="auto"/>
          <w:sz w:val="22"/>
          <w:szCs w:val="22"/>
        </w:rPr>
        <w:t xml:space="preserve"> for chiropractic exam.</w:t>
      </w:r>
    </w:p>
    <w:p w:rsidR="009D006D" w:rsidRPr="009D006D" w:rsidRDefault="009D006D" w:rsidP="00664296">
      <w:pPr>
        <w:tabs>
          <w:tab w:val="left" w:pos="288"/>
          <w:tab w:val="left" w:pos="4752"/>
        </w:tabs>
        <w:spacing w:line="240" w:lineRule="exact"/>
        <w:rPr>
          <w:rFonts w:asciiTheme="minorHAnsi" w:hAnsiTheme="minorHAnsi"/>
          <w:color w:val="auto"/>
          <w:sz w:val="22"/>
          <w:szCs w:val="22"/>
        </w:rPr>
      </w:pPr>
    </w:p>
    <w:p w:rsidR="00022ED7" w:rsidRPr="00DF0C1A" w:rsidRDefault="001F022D" w:rsidP="001B0988">
      <w:pPr>
        <w:spacing w:line="240" w:lineRule="exact"/>
        <w:jc w:val="both"/>
        <w:rPr>
          <w:rFonts w:asciiTheme="minorHAnsi" w:eastAsiaTheme="minorHAnsi" w:hAnsiTheme="minorHAnsi" w:cstheme="minorBidi"/>
          <w:color w:val="auto"/>
          <w:szCs w:val="24"/>
        </w:rPr>
      </w:pPr>
      <w:r>
        <w:rPr>
          <w:rFonts w:asciiTheme="minorHAnsi" w:hAnsiTheme="minorHAnsi"/>
          <w:color w:val="auto"/>
          <w:szCs w:val="24"/>
        </w:rPr>
        <w:t>At the TDRL MEB examination</w:t>
      </w:r>
      <w:r w:rsidR="00537354">
        <w:rPr>
          <w:rFonts w:asciiTheme="minorHAnsi" w:hAnsiTheme="minorHAnsi"/>
          <w:color w:val="auto"/>
          <w:szCs w:val="24"/>
        </w:rPr>
        <w:t>,</w:t>
      </w:r>
      <w:r>
        <w:rPr>
          <w:rFonts w:asciiTheme="minorHAnsi" w:hAnsiTheme="minorHAnsi"/>
          <w:color w:val="auto"/>
          <w:szCs w:val="24"/>
        </w:rPr>
        <w:t xml:space="preserve"> the CI reported continued back pain with radicular symptoms.  He was unable to walk or run without pain.  He also reported, and his employer confirmed, that his back pain was impairing his occupational functioning.  He was using anti-inflammatory and </w:t>
      </w:r>
      <w:r>
        <w:rPr>
          <w:rFonts w:asciiTheme="minorHAnsi" w:hAnsiTheme="minorHAnsi"/>
          <w:color w:val="auto"/>
          <w:szCs w:val="24"/>
        </w:rPr>
        <w:lastRenderedPageBreak/>
        <w:t>narcotic medications.  The examiner recorded a normal gait, flexion limited to “mid tibia”</w:t>
      </w:r>
      <w:r w:rsidR="000F6C0C">
        <w:rPr>
          <w:rFonts w:asciiTheme="minorHAnsi" w:hAnsiTheme="minorHAnsi"/>
          <w:color w:val="auto"/>
          <w:szCs w:val="24"/>
        </w:rPr>
        <w:t xml:space="preserve"> (</w:t>
      </w:r>
      <w:r w:rsidR="00A67041">
        <w:rPr>
          <w:rFonts w:asciiTheme="minorHAnsi" w:hAnsiTheme="minorHAnsi" w:cstheme="minorHAnsi"/>
          <w:color w:val="auto"/>
          <w:szCs w:val="24"/>
        </w:rPr>
        <w:t>≥</w:t>
      </w:r>
      <w:r w:rsidR="000F6C0C">
        <w:rPr>
          <w:rFonts w:asciiTheme="minorHAnsi" w:hAnsiTheme="minorHAnsi"/>
          <w:color w:val="auto"/>
          <w:szCs w:val="24"/>
        </w:rPr>
        <w:t>80</w:t>
      </w:r>
      <w:r w:rsidR="000F6C0C">
        <w:rPr>
          <w:rFonts w:asciiTheme="minorHAnsi" w:hAnsiTheme="minorHAnsi" w:cstheme="minorHAnsi"/>
          <w:color w:val="auto"/>
          <w:szCs w:val="24"/>
        </w:rPr>
        <w:t>⁰</w:t>
      </w:r>
      <w:r w:rsidR="000F6C0C">
        <w:rPr>
          <w:rFonts w:asciiTheme="minorHAnsi" w:hAnsiTheme="minorHAnsi"/>
          <w:color w:val="auto"/>
          <w:szCs w:val="24"/>
        </w:rPr>
        <w:t>, depending on body habitus)</w:t>
      </w:r>
      <w:r>
        <w:rPr>
          <w:rFonts w:asciiTheme="minorHAnsi" w:hAnsiTheme="minorHAnsi"/>
          <w:color w:val="auto"/>
          <w:szCs w:val="24"/>
        </w:rPr>
        <w:t xml:space="preserve">, normal lateral bending, and a normal motor and neurologic exam.  </w:t>
      </w:r>
      <w:r w:rsidR="003A390D">
        <w:rPr>
          <w:rFonts w:asciiTheme="minorHAnsi" w:hAnsiTheme="minorHAnsi"/>
          <w:color w:val="auto"/>
          <w:szCs w:val="24"/>
        </w:rPr>
        <w:t>In a rebuttal to the PEB, the CI submitted a clinical exam from his civilian chiropractic</w:t>
      </w:r>
      <w:r w:rsidR="000F6C0C">
        <w:rPr>
          <w:rFonts w:asciiTheme="minorHAnsi" w:hAnsiTheme="minorHAnsi"/>
          <w:color w:val="auto"/>
          <w:szCs w:val="24"/>
        </w:rPr>
        <w:t xml:space="preserve"> provider</w:t>
      </w:r>
      <w:r w:rsidR="003A390D">
        <w:rPr>
          <w:rFonts w:asciiTheme="minorHAnsi" w:hAnsiTheme="minorHAnsi"/>
          <w:color w:val="auto"/>
          <w:szCs w:val="24"/>
        </w:rPr>
        <w:t xml:space="preserve">.  This examiner recorded </w:t>
      </w:r>
      <w:r w:rsidR="000F6C0C">
        <w:rPr>
          <w:rFonts w:asciiTheme="minorHAnsi" w:hAnsiTheme="minorHAnsi"/>
          <w:color w:val="auto"/>
          <w:szCs w:val="24"/>
        </w:rPr>
        <w:t>a “mildly wide-based”</w:t>
      </w:r>
      <w:r w:rsidR="003A390D">
        <w:rPr>
          <w:rFonts w:asciiTheme="minorHAnsi" w:hAnsiTheme="minorHAnsi"/>
          <w:color w:val="auto"/>
          <w:szCs w:val="24"/>
        </w:rPr>
        <w:t xml:space="preserve"> gait</w:t>
      </w:r>
      <w:r w:rsidR="000F6C0C">
        <w:rPr>
          <w:rFonts w:asciiTheme="minorHAnsi" w:hAnsiTheme="minorHAnsi"/>
          <w:color w:val="auto"/>
          <w:szCs w:val="24"/>
        </w:rPr>
        <w:t xml:space="preserve">, </w:t>
      </w:r>
      <w:r w:rsidR="00A67041">
        <w:rPr>
          <w:rFonts w:asciiTheme="minorHAnsi" w:hAnsiTheme="minorHAnsi"/>
          <w:color w:val="auto"/>
          <w:szCs w:val="24"/>
        </w:rPr>
        <w:t xml:space="preserve">marked left </w:t>
      </w:r>
      <w:proofErr w:type="spellStart"/>
      <w:r w:rsidR="00A67041">
        <w:rPr>
          <w:rFonts w:asciiTheme="minorHAnsi" w:hAnsiTheme="minorHAnsi"/>
          <w:color w:val="auto"/>
          <w:szCs w:val="24"/>
        </w:rPr>
        <w:t>para</w:t>
      </w:r>
      <w:proofErr w:type="spellEnd"/>
      <w:r w:rsidR="00A67041">
        <w:rPr>
          <w:rFonts w:asciiTheme="minorHAnsi" w:hAnsiTheme="minorHAnsi"/>
          <w:color w:val="auto"/>
          <w:szCs w:val="24"/>
        </w:rPr>
        <w:t>-</w:t>
      </w:r>
      <w:r w:rsidR="003D21E4">
        <w:rPr>
          <w:rFonts w:asciiTheme="minorHAnsi" w:hAnsiTheme="minorHAnsi"/>
          <w:color w:val="auto"/>
          <w:szCs w:val="24"/>
        </w:rPr>
        <w:t xml:space="preserve">vertebral tenderness producing an “antalgic lean” (spasm </w:t>
      </w:r>
      <w:r w:rsidR="00B730D6">
        <w:rPr>
          <w:rFonts w:asciiTheme="minorHAnsi" w:hAnsiTheme="minorHAnsi"/>
          <w:color w:val="auto"/>
          <w:szCs w:val="24"/>
        </w:rPr>
        <w:t>prohibiting</w:t>
      </w:r>
      <w:r w:rsidR="003D21E4">
        <w:rPr>
          <w:rFonts w:asciiTheme="minorHAnsi" w:hAnsiTheme="minorHAnsi"/>
          <w:color w:val="auto"/>
          <w:szCs w:val="24"/>
        </w:rPr>
        <w:t xml:space="preserve"> </w:t>
      </w:r>
      <w:r w:rsidR="00B730D6">
        <w:rPr>
          <w:rFonts w:asciiTheme="minorHAnsi" w:hAnsiTheme="minorHAnsi"/>
          <w:color w:val="auto"/>
          <w:szCs w:val="24"/>
        </w:rPr>
        <w:t>upright</w:t>
      </w:r>
      <w:r w:rsidR="003D21E4">
        <w:rPr>
          <w:rFonts w:asciiTheme="minorHAnsi" w:hAnsiTheme="minorHAnsi"/>
          <w:color w:val="auto"/>
          <w:szCs w:val="24"/>
        </w:rPr>
        <w:t xml:space="preserve"> posture), </w:t>
      </w:r>
      <w:r w:rsidR="000F6C0C">
        <w:rPr>
          <w:rFonts w:asciiTheme="minorHAnsi" w:hAnsiTheme="minorHAnsi"/>
          <w:color w:val="auto"/>
          <w:szCs w:val="24"/>
        </w:rPr>
        <w:t xml:space="preserve">“extreme </w:t>
      </w:r>
      <w:r w:rsidR="003A390D">
        <w:rPr>
          <w:rFonts w:asciiTheme="minorHAnsi" w:hAnsiTheme="minorHAnsi"/>
          <w:color w:val="auto"/>
          <w:szCs w:val="24"/>
        </w:rPr>
        <w:t>difficulty</w:t>
      </w:r>
      <w:r w:rsidR="000F6C0C">
        <w:rPr>
          <w:rFonts w:asciiTheme="minorHAnsi" w:hAnsiTheme="minorHAnsi"/>
          <w:color w:val="auto"/>
          <w:szCs w:val="24"/>
        </w:rPr>
        <w:t>”</w:t>
      </w:r>
      <w:r w:rsidR="003A390D">
        <w:rPr>
          <w:rFonts w:asciiTheme="minorHAnsi" w:hAnsiTheme="minorHAnsi"/>
          <w:color w:val="auto"/>
          <w:szCs w:val="24"/>
        </w:rPr>
        <w:t xml:space="preserve"> </w:t>
      </w:r>
      <w:r w:rsidR="000F6C0C">
        <w:rPr>
          <w:rFonts w:asciiTheme="minorHAnsi" w:hAnsiTheme="minorHAnsi"/>
          <w:color w:val="auto"/>
          <w:szCs w:val="24"/>
        </w:rPr>
        <w:t xml:space="preserve">with </w:t>
      </w:r>
      <w:r w:rsidR="003D21E4">
        <w:rPr>
          <w:rFonts w:asciiTheme="minorHAnsi" w:hAnsiTheme="minorHAnsi"/>
          <w:color w:val="auto"/>
          <w:szCs w:val="24"/>
        </w:rPr>
        <w:t>toe and heel walking</w:t>
      </w:r>
      <w:r w:rsidR="00537354">
        <w:rPr>
          <w:rFonts w:asciiTheme="minorHAnsi" w:hAnsiTheme="minorHAnsi"/>
          <w:color w:val="auto"/>
          <w:szCs w:val="24"/>
        </w:rPr>
        <w:t>,</w:t>
      </w:r>
      <w:r w:rsidR="003D21E4">
        <w:rPr>
          <w:rFonts w:asciiTheme="minorHAnsi" w:hAnsiTheme="minorHAnsi"/>
          <w:color w:val="auto"/>
          <w:szCs w:val="24"/>
        </w:rPr>
        <w:t xml:space="preserve"> </w:t>
      </w:r>
      <w:r w:rsidR="00537354">
        <w:rPr>
          <w:rFonts w:asciiTheme="minorHAnsi" w:hAnsiTheme="minorHAnsi"/>
          <w:color w:val="auto"/>
          <w:szCs w:val="24"/>
        </w:rPr>
        <w:t xml:space="preserve">and </w:t>
      </w:r>
      <w:r w:rsidR="003A390D">
        <w:rPr>
          <w:rFonts w:asciiTheme="minorHAnsi" w:hAnsiTheme="minorHAnsi"/>
          <w:color w:val="auto"/>
          <w:szCs w:val="24"/>
        </w:rPr>
        <w:t xml:space="preserve">ROM limited to 40% </w:t>
      </w:r>
      <w:r w:rsidR="003D21E4">
        <w:rPr>
          <w:rFonts w:asciiTheme="minorHAnsi" w:hAnsiTheme="minorHAnsi"/>
          <w:color w:val="auto"/>
          <w:szCs w:val="24"/>
        </w:rPr>
        <w:t xml:space="preserve">of </w:t>
      </w:r>
      <w:r w:rsidR="003A390D">
        <w:rPr>
          <w:rFonts w:asciiTheme="minorHAnsi" w:hAnsiTheme="minorHAnsi"/>
          <w:color w:val="auto"/>
          <w:szCs w:val="24"/>
        </w:rPr>
        <w:t xml:space="preserve">forward flexion </w:t>
      </w:r>
      <w:r w:rsidR="008B1BEF">
        <w:rPr>
          <w:rFonts w:asciiTheme="minorHAnsi" w:hAnsiTheme="minorHAnsi"/>
          <w:color w:val="auto"/>
          <w:szCs w:val="24"/>
        </w:rPr>
        <w:t>(36</w:t>
      </w:r>
      <w:r w:rsidR="008B1BEF">
        <w:rPr>
          <w:rFonts w:asciiTheme="minorHAnsi" w:hAnsiTheme="minorHAnsi" w:cstheme="minorHAnsi"/>
          <w:color w:val="auto"/>
          <w:szCs w:val="24"/>
        </w:rPr>
        <w:t>⁰</w:t>
      </w:r>
      <w:r w:rsidR="008B1BEF">
        <w:rPr>
          <w:rFonts w:asciiTheme="minorHAnsi" w:hAnsiTheme="minorHAnsi"/>
          <w:color w:val="auto"/>
          <w:szCs w:val="24"/>
        </w:rPr>
        <w:t xml:space="preserve"> with normal of 90</w:t>
      </w:r>
      <w:r w:rsidR="008B1BEF">
        <w:rPr>
          <w:rFonts w:asciiTheme="minorHAnsi" w:hAnsiTheme="minorHAnsi" w:cstheme="minorHAnsi"/>
          <w:color w:val="auto"/>
          <w:szCs w:val="24"/>
        </w:rPr>
        <w:t>⁰</w:t>
      </w:r>
      <w:r w:rsidR="008B1BEF">
        <w:rPr>
          <w:rFonts w:asciiTheme="minorHAnsi" w:hAnsiTheme="minorHAnsi"/>
          <w:color w:val="auto"/>
          <w:szCs w:val="24"/>
        </w:rPr>
        <w:t>)</w:t>
      </w:r>
      <w:r w:rsidR="00537354">
        <w:rPr>
          <w:rFonts w:asciiTheme="minorHAnsi" w:hAnsiTheme="minorHAnsi"/>
          <w:color w:val="auto"/>
          <w:szCs w:val="24"/>
        </w:rPr>
        <w:t>,</w:t>
      </w:r>
      <w:r w:rsidR="003A390D">
        <w:rPr>
          <w:rFonts w:asciiTheme="minorHAnsi" w:hAnsiTheme="minorHAnsi"/>
          <w:color w:val="auto"/>
          <w:szCs w:val="24"/>
        </w:rPr>
        <w:t xml:space="preserve"> left lateral flexion, </w:t>
      </w:r>
      <w:r w:rsidR="003D21E4">
        <w:rPr>
          <w:rFonts w:asciiTheme="minorHAnsi" w:hAnsiTheme="minorHAnsi"/>
          <w:color w:val="auto"/>
          <w:szCs w:val="24"/>
        </w:rPr>
        <w:t xml:space="preserve">and </w:t>
      </w:r>
      <w:r w:rsidR="003A390D">
        <w:rPr>
          <w:rFonts w:asciiTheme="minorHAnsi" w:hAnsiTheme="minorHAnsi"/>
          <w:color w:val="auto"/>
          <w:szCs w:val="24"/>
        </w:rPr>
        <w:t xml:space="preserve">25% </w:t>
      </w:r>
      <w:r w:rsidR="003D21E4">
        <w:rPr>
          <w:rFonts w:asciiTheme="minorHAnsi" w:hAnsiTheme="minorHAnsi"/>
          <w:color w:val="auto"/>
          <w:szCs w:val="24"/>
        </w:rPr>
        <w:t xml:space="preserve">of </w:t>
      </w:r>
      <w:r w:rsidR="003A390D">
        <w:rPr>
          <w:rFonts w:asciiTheme="minorHAnsi" w:hAnsiTheme="minorHAnsi"/>
          <w:color w:val="auto"/>
          <w:szCs w:val="24"/>
        </w:rPr>
        <w:t xml:space="preserve">extension and right lateral flexion.  He also noted </w:t>
      </w:r>
      <w:r w:rsidR="000F6C0C">
        <w:rPr>
          <w:rFonts w:asciiTheme="minorHAnsi" w:hAnsiTheme="minorHAnsi"/>
          <w:color w:val="auto"/>
          <w:szCs w:val="24"/>
        </w:rPr>
        <w:t>“</w:t>
      </w:r>
      <w:r w:rsidR="003A390D">
        <w:rPr>
          <w:rFonts w:asciiTheme="minorHAnsi" w:hAnsiTheme="minorHAnsi"/>
          <w:color w:val="auto"/>
          <w:szCs w:val="24"/>
        </w:rPr>
        <w:t>fatigue and weakness</w:t>
      </w:r>
      <w:r w:rsidR="000F6C0C">
        <w:rPr>
          <w:rFonts w:asciiTheme="minorHAnsi" w:hAnsiTheme="minorHAnsi"/>
          <w:color w:val="auto"/>
          <w:szCs w:val="24"/>
        </w:rPr>
        <w:t>”</w:t>
      </w:r>
      <w:r w:rsidR="003A390D">
        <w:rPr>
          <w:rFonts w:asciiTheme="minorHAnsi" w:hAnsiTheme="minorHAnsi"/>
          <w:color w:val="auto"/>
          <w:szCs w:val="24"/>
        </w:rPr>
        <w:t xml:space="preserve"> suggestive of additional DeLuca limitations.  </w:t>
      </w:r>
      <w:r w:rsidR="00664296" w:rsidRPr="00664296">
        <w:rPr>
          <w:rFonts w:asciiTheme="minorHAnsi" w:hAnsiTheme="minorHAnsi"/>
          <w:color w:val="auto"/>
          <w:szCs w:val="24"/>
        </w:rPr>
        <w:t>The PEB and VA chose different coding options for the condition, but this did not bear on rating</w:t>
      </w:r>
      <w:r w:rsidR="00664296" w:rsidRPr="003A390D">
        <w:rPr>
          <w:rFonts w:asciiTheme="minorHAnsi" w:hAnsiTheme="minorHAnsi"/>
          <w:color w:val="auto"/>
          <w:szCs w:val="24"/>
        </w:rPr>
        <w:t>.  The PEB’s DA Form 199 reflected</w:t>
      </w:r>
      <w:r w:rsidR="003A390D" w:rsidRPr="003A390D">
        <w:rPr>
          <w:rFonts w:asciiTheme="minorHAnsi" w:hAnsiTheme="minorHAnsi"/>
          <w:color w:val="auto"/>
          <w:szCs w:val="24"/>
        </w:rPr>
        <w:t xml:space="preserve"> </w:t>
      </w:r>
      <w:r w:rsidR="00664296" w:rsidRPr="003A390D">
        <w:rPr>
          <w:rFonts w:asciiTheme="minorHAnsi" w:hAnsiTheme="minorHAnsi"/>
          <w:color w:val="auto"/>
          <w:szCs w:val="24"/>
        </w:rPr>
        <w:t>application of the USAPDA p</w:t>
      </w:r>
      <w:r w:rsidR="00042C9E" w:rsidRPr="003A390D">
        <w:rPr>
          <w:rFonts w:asciiTheme="minorHAnsi" w:hAnsiTheme="minorHAnsi"/>
          <w:color w:val="auto"/>
          <w:szCs w:val="24"/>
        </w:rPr>
        <w:t xml:space="preserve">ain policy for rating, </w:t>
      </w:r>
      <w:r w:rsidR="003A390D" w:rsidRPr="003A390D">
        <w:rPr>
          <w:rFonts w:asciiTheme="minorHAnsi" w:hAnsiTheme="minorHAnsi"/>
          <w:color w:val="auto"/>
          <w:szCs w:val="24"/>
        </w:rPr>
        <w:t>and</w:t>
      </w:r>
      <w:r w:rsidR="00042C9E" w:rsidRPr="003A390D">
        <w:rPr>
          <w:rFonts w:asciiTheme="minorHAnsi" w:hAnsiTheme="minorHAnsi"/>
          <w:color w:val="auto"/>
          <w:szCs w:val="24"/>
        </w:rPr>
        <w:t xml:space="preserve"> its </w:t>
      </w:r>
      <w:r w:rsidR="00664296" w:rsidRPr="003A390D">
        <w:rPr>
          <w:rFonts w:asciiTheme="minorHAnsi" w:hAnsiTheme="minorHAnsi"/>
          <w:color w:val="auto"/>
          <w:szCs w:val="24"/>
        </w:rPr>
        <w:t>0% determination was</w:t>
      </w:r>
      <w:r w:rsidR="00042C9E" w:rsidRPr="003A390D">
        <w:rPr>
          <w:rFonts w:asciiTheme="minorHAnsi" w:hAnsiTheme="minorHAnsi"/>
          <w:color w:val="auto"/>
          <w:szCs w:val="24"/>
        </w:rPr>
        <w:t xml:space="preserve"> not </w:t>
      </w:r>
      <w:r w:rsidR="00664296" w:rsidRPr="003A390D">
        <w:rPr>
          <w:rFonts w:asciiTheme="minorHAnsi" w:hAnsiTheme="minorHAnsi"/>
          <w:color w:val="auto"/>
          <w:szCs w:val="24"/>
        </w:rPr>
        <w:t>consistent with §4.71a standards.</w:t>
      </w:r>
      <w:r w:rsidR="003A390D">
        <w:rPr>
          <w:rFonts w:asciiTheme="minorHAnsi" w:hAnsiTheme="minorHAnsi"/>
          <w:color w:val="auto"/>
          <w:szCs w:val="24"/>
        </w:rPr>
        <w:t xml:space="preserve">  </w:t>
      </w:r>
      <w:r w:rsidR="003D21E4">
        <w:rPr>
          <w:rFonts w:asciiTheme="minorHAnsi" w:hAnsiTheme="minorHAnsi"/>
          <w:color w:val="auto"/>
          <w:szCs w:val="24"/>
        </w:rPr>
        <w:t>N</w:t>
      </w:r>
      <w:r w:rsidR="00022ED7">
        <w:rPr>
          <w:rFonts w:asciiTheme="minorHAnsi" w:hAnsiTheme="minorHAnsi"/>
          <w:color w:val="auto"/>
          <w:szCs w:val="24"/>
        </w:rPr>
        <w:t xml:space="preserve">either of the </w:t>
      </w:r>
      <w:r w:rsidR="003D21E4">
        <w:rPr>
          <w:rFonts w:asciiTheme="minorHAnsi" w:hAnsiTheme="minorHAnsi"/>
          <w:color w:val="auto"/>
          <w:szCs w:val="24"/>
        </w:rPr>
        <w:t xml:space="preserve">probative </w:t>
      </w:r>
      <w:r w:rsidR="00022ED7">
        <w:rPr>
          <w:rFonts w:asciiTheme="minorHAnsi" w:hAnsiTheme="minorHAnsi"/>
          <w:color w:val="auto"/>
          <w:szCs w:val="24"/>
        </w:rPr>
        <w:t>exam</w:t>
      </w:r>
      <w:r w:rsidR="003D21E4">
        <w:rPr>
          <w:rFonts w:asciiTheme="minorHAnsi" w:hAnsiTheme="minorHAnsi"/>
          <w:color w:val="auto"/>
          <w:szCs w:val="24"/>
        </w:rPr>
        <w:t xml:space="preserve">inations are compliant with VASRD </w:t>
      </w:r>
      <w:r w:rsidR="003D21E4">
        <w:rPr>
          <w:rFonts w:asciiTheme="minorHAnsi" w:hAnsiTheme="minorHAnsi" w:cstheme="minorHAnsi"/>
          <w:color w:val="auto"/>
          <w:szCs w:val="24"/>
        </w:rPr>
        <w:t>§</w:t>
      </w:r>
      <w:r w:rsidR="003D21E4">
        <w:rPr>
          <w:rFonts w:asciiTheme="minorHAnsi" w:hAnsiTheme="minorHAnsi"/>
          <w:color w:val="auto"/>
          <w:szCs w:val="24"/>
        </w:rPr>
        <w:t>4.</w:t>
      </w:r>
      <w:r w:rsidR="003D21E4" w:rsidRPr="006D364C">
        <w:rPr>
          <w:rFonts w:asciiTheme="minorHAnsi" w:hAnsiTheme="minorHAnsi"/>
          <w:color w:val="auto"/>
          <w:szCs w:val="24"/>
        </w:rPr>
        <w:t>46 (accurate measurement)</w:t>
      </w:r>
      <w:r w:rsidR="004B1E41">
        <w:rPr>
          <w:rFonts w:asciiTheme="minorHAnsi" w:hAnsiTheme="minorHAnsi"/>
          <w:color w:val="auto"/>
          <w:szCs w:val="24"/>
        </w:rPr>
        <w:t>, but the chiropractic evaluation is more complete regarding ratable data</w:t>
      </w:r>
      <w:r w:rsidR="00022ED7">
        <w:rPr>
          <w:rFonts w:asciiTheme="minorHAnsi" w:hAnsiTheme="minorHAnsi"/>
          <w:color w:val="auto"/>
          <w:szCs w:val="24"/>
        </w:rPr>
        <w:t xml:space="preserve">.  </w:t>
      </w:r>
      <w:r w:rsidR="00BC4123">
        <w:rPr>
          <w:rFonts w:asciiTheme="minorHAnsi" w:hAnsiTheme="minorHAnsi"/>
          <w:color w:val="auto"/>
          <w:szCs w:val="24"/>
        </w:rPr>
        <w:t>The Board must note</w:t>
      </w:r>
      <w:r w:rsidR="004B1E41">
        <w:rPr>
          <w:rFonts w:asciiTheme="minorHAnsi" w:hAnsiTheme="minorHAnsi"/>
          <w:color w:val="auto"/>
          <w:szCs w:val="24"/>
        </w:rPr>
        <w:t xml:space="preserve">, </w:t>
      </w:r>
      <w:r w:rsidR="00BC4123">
        <w:rPr>
          <w:rFonts w:asciiTheme="minorHAnsi" w:hAnsiTheme="minorHAnsi"/>
          <w:color w:val="auto"/>
          <w:szCs w:val="24"/>
        </w:rPr>
        <w:t>however</w:t>
      </w:r>
      <w:r w:rsidR="004B1E41">
        <w:rPr>
          <w:rFonts w:asciiTheme="minorHAnsi" w:hAnsiTheme="minorHAnsi"/>
          <w:color w:val="auto"/>
          <w:szCs w:val="24"/>
        </w:rPr>
        <w:t xml:space="preserve">, that the chiropractic examination was performed in the context of refuting the TDRL examination and </w:t>
      </w:r>
      <w:r w:rsidR="00BC4123">
        <w:rPr>
          <w:rFonts w:asciiTheme="minorHAnsi" w:hAnsiTheme="minorHAnsi"/>
          <w:color w:val="auto"/>
          <w:szCs w:val="24"/>
        </w:rPr>
        <w:t xml:space="preserve">the CI’s circumstances with his civilian employment was such that an immediate civilian retirement was contingent on permanent military retirement.  </w:t>
      </w:r>
      <w:r w:rsidR="00765896">
        <w:rPr>
          <w:rFonts w:asciiTheme="minorHAnsi" w:hAnsiTheme="minorHAnsi"/>
          <w:color w:val="auto"/>
          <w:szCs w:val="24"/>
        </w:rPr>
        <w:t>Given the significantly disparate clinical pictures portrayed by the military and private evaluations, t</w:t>
      </w:r>
      <w:r w:rsidR="00BC4123">
        <w:rPr>
          <w:rFonts w:asciiTheme="minorHAnsi" w:hAnsiTheme="minorHAnsi"/>
          <w:color w:val="auto"/>
          <w:szCs w:val="24"/>
        </w:rPr>
        <w:t xml:space="preserve">his </w:t>
      </w:r>
      <w:r w:rsidR="00765896">
        <w:rPr>
          <w:rFonts w:asciiTheme="minorHAnsi" w:hAnsiTheme="minorHAnsi"/>
          <w:color w:val="auto"/>
          <w:szCs w:val="24"/>
        </w:rPr>
        <w:t>circumstance</w:t>
      </w:r>
      <w:r w:rsidR="00BC4123">
        <w:rPr>
          <w:rFonts w:asciiTheme="minorHAnsi" w:hAnsiTheme="minorHAnsi"/>
          <w:color w:val="auto"/>
          <w:szCs w:val="24"/>
        </w:rPr>
        <w:t xml:space="preserve"> </w:t>
      </w:r>
      <w:r w:rsidR="00765896">
        <w:rPr>
          <w:rFonts w:asciiTheme="minorHAnsi" w:hAnsiTheme="minorHAnsi"/>
          <w:color w:val="auto"/>
          <w:szCs w:val="24"/>
        </w:rPr>
        <w:t>may easily</w:t>
      </w:r>
      <w:r w:rsidR="00BC4123">
        <w:rPr>
          <w:rFonts w:asciiTheme="minorHAnsi" w:hAnsiTheme="minorHAnsi"/>
          <w:color w:val="auto"/>
          <w:szCs w:val="24"/>
        </w:rPr>
        <w:t xml:space="preserve"> have engendered some</w:t>
      </w:r>
      <w:r w:rsidR="004B1E41">
        <w:rPr>
          <w:rFonts w:asciiTheme="minorHAnsi" w:hAnsiTheme="minorHAnsi"/>
          <w:color w:val="auto"/>
          <w:szCs w:val="24"/>
        </w:rPr>
        <w:t xml:space="preserve"> loss of objectivity</w:t>
      </w:r>
      <w:r w:rsidR="00765896">
        <w:rPr>
          <w:rFonts w:asciiTheme="minorHAnsi" w:hAnsiTheme="minorHAnsi"/>
          <w:color w:val="auto"/>
          <w:szCs w:val="24"/>
        </w:rPr>
        <w:t xml:space="preserve"> </w:t>
      </w:r>
      <w:r w:rsidR="00B730D6">
        <w:rPr>
          <w:rFonts w:asciiTheme="minorHAnsi" w:hAnsiTheme="minorHAnsi"/>
          <w:color w:val="auto"/>
          <w:szCs w:val="24"/>
        </w:rPr>
        <w:t>in the context of</w:t>
      </w:r>
      <w:r w:rsidR="00765896">
        <w:rPr>
          <w:rFonts w:asciiTheme="minorHAnsi" w:hAnsiTheme="minorHAnsi"/>
          <w:color w:val="auto"/>
          <w:szCs w:val="24"/>
        </w:rPr>
        <w:t xml:space="preserve"> the chiropractic evaluation.  T</w:t>
      </w:r>
      <w:r w:rsidR="00BC4123">
        <w:rPr>
          <w:rFonts w:asciiTheme="minorHAnsi" w:hAnsiTheme="minorHAnsi"/>
          <w:color w:val="auto"/>
          <w:szCs w:val="24"/>
        </w:rPr>
        <w:t>he chiropractic</w:t>
      </w:r>
      <w:r w:rsidR="00765896">
        <w:rPr>
          <w:rFonts w:asciiTheme="minorHAnsi" w:hAnsiTheme="minorHAnsi"/>
          <w:color w:val="auto"/>
          <w:szCs w:val="24"/>
        </w:rPr>
        <w:t xml:space="preserve"> examiner, </w:t>
      </w:r>
      <w:r w:rsidR="00B730D6">
        <w:rPr>
          <w:rFonts w:asciiTheme="minorHAnsi" w:hAnsiTheme="minorHAnsi"/>
          <w:color w:val="auto"/>
          <w:szCs w:val="24"/>
        </w:rPr>
        <w:t>however</w:t>
      </w:r>
      <w:r w:rsidR="00765896">
        <w:rPr>
          <w:rFonts w:asciiTheme="minorHAnsi" w:hAnsiTheme="minorHAnsi"/>
          <w:color w:val="auto"/>
          <w:szCs w:val="24"/>
        </w:rPr>
        <w:t>, documented a</w:t>
      </w:r>
      <w:r w:rsidR="00D57F82">
        <w:rPr>
          <w:rFonts w:asciiTheme="minorHAnsi" w:hAnsiTheme="minorHAnsi"/>
          <w:color w:val="auto"/>
          <w:szCs w:val="24"/>
        </w:rPr>
        <w:t>n</w:t>
      </w:r>
      <w:r w:rsidR="00765896">
        <w:rPr>
          <w:rFonts w:asciiTheme="minorHAnsi" w:hAnsiTheme="minorHAnsi"/>
          <w:color w:val="auto"/>
          <w:szCs w:val="24"/>
        </w:rPr>
        <w:t xml:space="preserve"> </w:t>
      </w:r>
      <w:r w:rsidR="00D57F82">
        <w:rPr>
          <w:rFonts w:asciiTheme="minorHAnsi" w:hAnsiTheme="minorHAnsi"/>
          <w:color w:val="auto"/>
          <w:szCs w:val="24"/>
        </w:rPr>
        <w:t>ample number of</w:t>
      </w:r>
      <w:r w:rsidR="00765896">
        <w:rPr>
          <w:rFonts w:asciiTheme="minorHAnsi" w:hAnsiTheme="minorHAnsi"/>
          <w:color w:val="auto"/>
          <w:szCs w:val="24"/>
        </w:rPr>
        <w:t xml:space="preserve"> </w:t>
      </w:r>
      <w:r w:rsidR="00537354">
        <w:rPr>
          <w:rFonts w:asciiTheme="minorHAnsi" w:hAnsiTheme="minorHAnsi"/>
          <w:color w:val="auto"/>
          <w:szCs w:val="24"/>
        </w:rPr>
        <w:t>“</w:t>
      </w:r>
      <w:r w:rsidR="00BC4123">
        <w:rPr>
          <w:rFonts w:asciiTheme="minorHAnsi" w:hAnsiTheme="minorHAnsi"/>
          <w:color w:val="auto"/>
          <w:szCs w:val="24"/>
        </w:rPr>
        <w:t>hard</w:t>
      </w:r>
      <w:r w:rsidR="00537354">
        <w:rPr>
          <w:rFonts w:asciiTheme="minorHAnsi" w:hAnsiTheme="minorHAnsi"/>
          <w:color w:val="auto"/>
          <w:szCs w:val="24"/>
        </w:rPr>
        <w:t>”</w:t>
      </w:r>
      <w:r w:rsidR="00BC4123">
        <w:rPr>
          <w:rFonts w:asciiTheme="minorHAnsi" w:hAnsiTheme="minorHAnsi"/>
          <w:color w:val="auto"/>
          <w:szCs w:val="24"/>
        </w:rPr>
        <w:t xml:space="preserve"> </w:t>
      </w:r>
      <w:r w:rsidR="00765896">
        <w:rPr>
          <w:rFonts w:asciiTheme="minorHAnsi" w:hAnsiTheme="minorHAnsi"/>
          <w:color w:val="auto"/>
          <w:szCs w:val="24"/>
        </w:rPr>
        <w:t>findings consistent with a fairly severe degree of spine impairment</w:t>
      </w:r>
      <w:r w:rsidR="00D57F82">
        <w:rPr>
          <w:rFonts w:asciiTheme="minorHAnsi" w:hAnsiTheme="minorHAnsi"/>
          <w:color w:val="auto"/>
          <w:szCs w:val="24"/>
        </w:rPr>
        <w:t xml:space="preserve"> and it is difficult to dispute the probative value of that examination to any great degree</w:t>
      </w:r>
      <w:r w:rsidR="00765896">
        <w:rPr>
          <w:rFonts w:asciiTheme="minorHAnsi" w:hAnsiTheme="minorHAnsi"/>
          <w:color w:val="auto"/>
          <w:szCs w:val="24"/>
        </w:rPr>
        <w:t>.</w:t>
      </w:r>
      <w:r w:rsidR="00BC4123">
        <w:rPr>
          <w:rFonts w:asciiTheme="minorHAnsi" w:hAnsiTheme="minorHAnsi"/>
          <w:color w:val="auto"/>
          <w:szCs w:val="24"/>
        </w:rPr>
        <w:t xml:space="preserve"> </w:t>
      </w:r>
      <w:r w:rsidR="004B1E41">
        <w:rPr>
          <w:rFonts w:asciiTheme="minorHAnsi" w:hAnsiTheme="minorHAnsi"/>
          <w:color w:val="auto"/>
          <w:szCs w:val="24"/>
        </w:rPr>
        <w:t xml:space="preserve"> </w:t>
      </w:r>
      <w:r w:rsidR="00022ED7">
        <w:rPr>
          <w:rFonts w:asciiTheme="minorHAnsi" w:hAnsiTheme="minorHAnsi"/>
          <w:color w:val="auto"/>
          <w:szCs w:val="24"/>
        </w:rPr>
        <w:t xml:space="preserve">In deliberating a fair and equitable rating for the </w:t>
      </w:r>
      <w:r w:rsidR="00B730D6">
        <w:rPr>
          <w:rFonts w:asciiTheme="minorHAnsi" w:hAnsiTheme="minorHAnsi"/>
          <w:color w:val="auto"/>
          <w:szCs w:val="24"/>
        </w:rPr>
        <w:t>lumbar spine</w:t>
      </w:r>
      <w:r w:rsidR="00022ED7">
        <w:rPr>
          <w:rFonts w:asciiTheme="minorHAnsi" w:hAnsiTheme="minorHAnsi"/>
          <w:color w:val="auto"/>
          <w:szCs w:val="24"/>
        </w:rPr>
        <w:t xml:space="preserve"> condition</w:t>
      </w:r>
      <w:r w:rsidR="00D57F82">
        <w:rPr>
          <w:rFonts w:asciiTheme="minorHAnsi" w:hAnsiTheme="minorHAnsi"/>
          <w:color w:val="auto"/>
          <w:szCs w:val="24"/>
        </w:rPr>
        <w:t>,</w:t>
      </w:r>
      <w:r w:rsidR="00022ED7">
        <w:rPr>
          <w:rFonts w:asciiTheme="minorHAnsi" w:hAnsiTheme="minorHAnsi"/>
          <w:color w:val="auto"/>
          <w:szCs w:val="24"/>
        </w:rPr>
        <w:t xml:space="preserve"> the Board concluded that the preponderance of evidence </w:t>
      </w:r>
      <w:r w:rsidR="00DF0C1A">
        <w:rPr>
          <w:rFonts w:asciiTheme="minorHAnsi" w:hAnsiTheme="minorHAnsi"/>
          <w:color w:val="auto"/>
          <w:szCs w:val="24"/>
        </w:rPr>
        <w:t>demonstrated</w:t>
      </w:r>
      <w:r w:rsidR="00022ED7">
        <w:rPr>
          <w:rFonts w:asciiTheme="minorHAnsi" w:hAnsiTheme="minorHAnsi"/>
          <w:color w:val="auto"/>
          <w:szCs w:val="24"/>
        </w:rPr>
        <w:t xml:space="preserve"> </w:t>
      </w:r>
      <w:r w:rsidR="00DF0C1A">
        <w:rPr>
          <w:rFonts w:asciiTheme="minorHAnsi" w:hAnsiTheme="minorHAnsi"/>
          <w:color w:val="auto"/>
          <w:szCs w:val="24"/>
        </w:rPr>
        <w:t>only modest (at best)</w:t>
      </w:r>
      <w:r w:rsidR="00D57F82">
        <w:rPr>
          <w:rFonts w:asciiTheme="minorHAnsi" w:hAnsiTheme="minorHAnsi"/>
          <w:color w:val="auto"/>
          <w:szCs w:val="24"/>
        </w:rPr>
        <w:t xml:space="preserve"> improvement over the </w:t>
      </w:r>
      <w:r w:rsidR="00DF0C1A">
        <w:rPr>
          <w:rFonts w:asciiTheme="minorHAnsi" w:hAnsiTheme="minorHAnsi"/>
          <w:color w:val="auto"/>
          <w:szCs w:val="24"/>
        </w:rPr>
        <w:t>course</w:t>
      </w:r>
      <w:r w:rsidR="00D57F82">
        <w:rPr>
          <w:rFonts w:asciiTheme="minorHAnsi" w:hAnsiTheme="minorHAnsi"/>
          <w:color w:val="auto"/>
          <w:szCs w:val="24"/>
        </w:rPr>
        <w:t xml:space="preserve"> of TDRL</w:t>
      </w:r>
      <w:r w:rsidR="00DF0C1A">
        <w:rPr>
          <w:rFonts w:asciiTheme="minorHAnsi" w:hAnsiTheme="minorHAnsi"/>
          <w:color w:val="auto"/>
          <w:szCs w:val="24"/>
        </w:rPr>
        <w:t xml:space="preserve"> </w:t>
      </w:r>
      <w:r w:rsidR="00D57F82">
        <w:rPr>
          <w:rFonts w:asciiTheme="minorHAnsi" w:hAnsiTheme="minorHAnsi"/>
          <w:color w:val="auto"/>
          <w:szCs w:val="24"/>
        </w:rPr>
        <w:t xml:space="preserve">and that the </w:t>
      </w:r>
      <w:r w:rsidR="00DF0C1A">
        <w:rPr>
          <w:rFonts w:asciiTheme="minorHAnsi" w:hAnsiTheme="minorHAnsi"/>
          <w:color w:val="auto"/>
          <w:szCs w:val="24"/>
        </w:rPr>
        <w:t xml:space="preserve">preceding </w:t>
      </w:r>
      <w:r w:rsidR="00D57F82">
        <w:rPr>
          <w:rFonts w:asciiTheme="minorHAnsi" w:hAnsiTheme="minorHAnsi"/>
          <w:color w:val="auto"/>
          <w:szCs w:val="24"/>
        </w:rPr>
        <w:t xml:space="preserve">baseline and </w:t>
      </w:r>
      <w:r w:rsidR="00D57F82">
        <w:rPr>
          <w:rFonts w:asciiTheme="minorHAnsi" w:hAnsiTheme="minorHAnsi" w:cstheme="minorHAnsi"/>
          <w:color w:val="auto"/>
          <w:szCs w:val="24"/>
        </w:rPr>
        <w:t>§</w:t>
      </w:r>
      <w:r w:rsidR="00D57F82">
        <w:rPr>
          <w:rFonts w:asciiTheme="minorHAnsi" w:hAnsiTheme="minorHAnsi"/>
          <w:color w:val="auto"/>
          <w:szCs w:val="24"/>
        </w:rPr>
        <w:t>4.</w:t>
      </w:r>
      <w:r w:rsidR="00D57F82" w:rsidRPr="006D364C">
        <w:rPr>
          <w:rFonts w:asciiTheme="minorHAnsi" w:hAnsiTheme="minorHAnsi"/>
          <w:color w:val="auto"/>
          <w:szCs w:val="24"/>
        </w:rPr>
        <w:t>46</w:t>
      </w:r>
      <w:r w:rsidR="00D57F82">
        <w:rPr>
          <w:rFonts w:asciiTheme="minorHAnsi" w:hAnsiTheme="minorHAnsi"/>
          <w:color w:val="auto"/>
          <w:szCs w:val="24"/>
        </w:rPr>
        <w:t xml:space="preserve">-compliant examinations </w:t>
      </w:r>
      <w:r w:rsidR="00DF0C1A">
        <w:rPr>
          <w:rFonts w:asciiTheme="minorHAnsi" w:hAnsiTheme="minorHAnsi"/>
          <w:color w:val="auto"/>
          <w:szCs w:val="24"/>
        </w:rPr>
        <w:t xml:space="preserve">accurately </w:t>
      </w:r>
      <w:r w:rsidR="00B730D6">
        <w:rPr>
          <w:rFonts w:asciiTheme="minorHAnsi" w:hAnsiTheme="minorHAnsi"/>
          <w:color w:val="auto"/>
          <w:szCs w:val="24"/>
        </w:rPr>
        <w:t>documented</w:t>
      </w:r>
      <w:r w:rsidR="00DF0C1A">
        <w:rPr>
          <w:rFonts w:asciiTheme="minorHAnsi" w:hAnsiTheme="minorHAnsi"/>
          <w:color w:val="auto"/>
          <w:szCs w:val="24"/>
        </w:rPr>
        <w:t xml:space="preserve"> 20%</w:t>
      </w:r>
      <w:r w:rsidR="00B730D6">
        <w:rPr>
          <w:rFonts w:asciiTheme="minorHAnsi" w:hAnsiTheme="minorHAnsi"/>
          <w:color w:val="auto"/>
          <w:szCs w:val="24"/>
        </w:rPr>
        <w:t xml:space="preserve"> rating criteria.</w:t>
      </w:r>
      <w:r w:rsidR="00DF0C1A">
        <w:rPr>
          <w:rFonts w:asciiTheme="minorHAnsi" w:hAnsiTheme="minorHAnsi"/>
          <w:color w:val="auto"/>
          <w:szCs w:val="24"/>
        </w:rPr>
        <w:t xml:space="preserve"> </w:t>
      </w:r>
      <w:r w:rsidR="00D57F82" w:rsidRPr="006D364C">
        <w:rPr>
          <w:rFonts w:asciiTheme="minorHAnsi" w:hAnsiTheme="minorHAnsi"/>
          <w:color w:val="auto"/>
          <w:szCs w:val="24"/>
        </w:rPr>
        <w:t xml:space="preserve"> </w:t>
      </w:r>
      <w:r w:rsidR="00DF0C1A" w:rsidRPr="00DF0C1A">
        <w:rPr>
          <w:rFonts w:asciiTheme="minorHAnsi" w:eastAsiaTheme="minorHAnsi" w:hAnsiTheme="minorHAnsi" w:cstheme="minorBidi"/>
          <w:color w:val="auto"/>
          <w:szCs w:val="24"/>
        </w:rPr>
        <w:t xml:space="preserve">There was no evidence of ratable peripheral nerve impairment or documentation of incapacitating episodes which would provide for additional or higher rating.  </w:t>
      </w:r>
      <w:r w:rsidR="00022ED7" w:rsidRPr="00664296">
        <w:rPr>
          <w:rFonts w:asciiTheme="minorHAnsi" w:hAnsiTheme="minorHAnsi"/>
          <w:color w:val="auto"/>
          <w:szCs w:val="24"/>
        </w:rPr>
        <w:t xml:space="preserve">After due deliberation, considering all of </w:t>
      </w:r>
      <w:r w:rsidR="00022ED7" w:rsidRPr="00022ED7">
        <w:rPr>
          <w:rFonts w:asciiTheme="minorHAnsi" w:hAnsiTheme="minorHAnsi"/>
          <w:color w:val="auto"/>
          <w:szCs w:val="24"/>
        </w:rPr>
        <w:t>the evidence and mindful of VASRD §4.3 (reasonable doubt), the Board recommends a separation</w:t>
      </w:r>
      <w:r w:rsidR="00022ED7" w:rsidRPr="00664296">
        <w:rPr>
          <w:rFonts w:asciiTheme="minorHAnsi" w:hAnsiTheme="minorHAnsi"/>
          <w:color w:val="auto"/>
          <w:szCs w:val="24"/>
        </w:rPr>
        <w:t xml:space="preserve"> rating </w:t>
      </w:r>
      <w:r w:rsidR="00022ED7" w:rsidRPr="0019034B">
        <w:rPr>
          <w:rFonts w:asciiTheme="minorHAnsi" w:hAnsiTheme="minorHAnsi"/>
          <w:color w:val="auto"/>
          <w:szCs w:val="24"/>
        </w:rPr>
        <w:t>of 20%</w:t>
      </w:r>
      <w:r w:rsidR="00022ED7" w:rsidRPr="00664296">
        <w:rPr>
          <w:rFonts w:asciiTheme="minorHAnsi" w:hAnsiTheme="minorHAnsi"/>
          <w:color w:val="auto"/>
          <w:szCs w:val="24"/>
        </w:rPr>
        <w:t xml:space="preserve"> for the </w:t>
      </w:r>
      <w:r w:rsidR="00022ED7">
        <w:rPr>
          <w:rFonts w:asciiTheme="minorHAnsi" w:hAnsiTheme="minorHAnsi"/>
          <w:color w:val="auto"/>
          <w:szCs w:val="24"/>
        </w:rPr>
        <w:t>back pain</w:t>
      </w:r>
      <w:r w:rsidR="00022ED7" w:rsidRPr="00664296">
        <w:rPr>
          <w:rFonts w:asciiTheme="minorHAnsi" w:hAnsiTheme="minorHAnsi"/>
          <w:color w:val="auto"/>
          <w:szCs w:val="24"/>
        </w:rPr>
        <w:t xml:space="preserve"> condition.</w:t>
      </w:r>
      <w:r w:rsidR="009A2ABB">
        <w:rPr>
          <w:rFonts w:asciiTheme="minorHAnsi" w:hAnsiTheme="minorHAnsi"/>
          <w:color w:val="auto"/>
          <w:szCs w:val="24"/>
        </w:rPr>
        <w:t xml:space="preserve">  The more clinically specific VASRD code is 5242 (degenerative spine).</w:t>
      </w:r>
    </w:p>
    <w:p w:rsidR="00664296" w:rsidRDefault="00664296" w:rsidP="001B0988">
      <w:pPr>
        <w:spacing w:line="240" w:lineRule="exact"/>
        <w:jc w:val="both"/>
        <w:rPr>
          <w:rFonts w:asciiTheme="minorHAnsi" w:hAnsiTheme="minorHAnsi"/>
          <w:color w:val="FF0000"/>
          <w:szCs w:val="24"/>
        </w:rPr>
      </w:pPr>
    </w:p>
    <w:p w:rsidR="0012318C" w:rsidRDefault="00664296" w:rsidP="001B0988">
      <w:pPr>
        <w:spacing w:line="240" w:lineRule="exact"/>
        <w:jc w:val="both"/>
        <w:rPr>
          <w:rFonts w:asciiTheme="minorHAnsi" w:hAnsiTheme="minorHAnsi"/>
          <w:color w:val="auto"/>
          <w:szCs w:val="24"/>
        </w:rPr>
      </w:pPr>
      <w:proofErr w:type="gramStart"/>
      <w:r w:rsidRPr="00D95670">
        <w:rPr>
          <w:rFonts w:asciiTheme="minorHAnsi" w:hAnsiTheme="minorHAnsi"/>
          <w:color w:val="auto"/>
          <w:szCs w:val="24"/>
          <w:u w:val="single"/>
        </w:rPr>
        <w:t>Remaining Conditions</w:t>
      </w:r>
      <w:r w:rsidRPr="00D95670">
        <w:rPr>
          <w:rFonts w:asciiTheme="minorHAnsi" w:hAnsiTheme="minorHAnsi"/>
          <w:color w:val="auto"/>
          <w:szCs w:val="24"/>
        </w:rPr>
        <w:t>.</w:t>
      </w:r>
      <w:proofErr w:type="gramEnd"/>
      <w:r w:rsidRPr="00D95670">
        <w:rPr>
          <w:rFonts w:asciiTheme="minorHAnsi" w:hAnsiTheme="minorHAnsi"/>
          <w:color w:val="auto"/>
          <w:szCs w:val="24"/>
        </w:rPr>
        <w:t xml:space="preserve">  </w:t>
      </w:r>
      <w:r w:rsidR="0012318C" w:rsidRPr="00D95670">
        <w:rPr>
          <w:rFonts w:asciiTheme="minorHAnsi" w:hAnsiTheme="minorHAnsi"/>
          <w:color w:val="auto"/>
          <w:szCs w:val="24"/>
        </w:rPr>
        <w:t>Other conditions identified in the DES file were chronic hypertension, kidney stones, and early Peyronie’s disease</w:t>
      </w:r>
      <w:r w:rsidR="007675E1">
        <w:rPr>
          <w:rFonts w:asciiTheme="minorHAnsi" w:hAnsiTheme="minorHAnsi"/>
          <w:color w:val="auto"/>
          <w:szCs w:val="24"/>
        </w:rPr>
        <w:t xml:space="preserve"> (penile pathology)</w:t>
      </w:r>
      <w:r w:rsidR="0012318C" w:rsidRPr="00D95670">
        <w:rPr>
          <w:rFonts w:asciiTheme="minorHAnsi" w:hAnsiTheme="minorHAnsi"/>
          <w:color w:val="auto"/>
          <w:szCs w:val="24"/>
        </w:rPr>
        <w:t>.  Several additional non-acute conditions or medical complaints were also documented.  None of these conditions were clinical</w:t>
      </w:r>
      <w:r w:rsidR="007675E1">
        <w:rPr>
          <w:rFonts w:asciiTheme="minorHAnsi" w:hAnsiTheme="minorHAnsi"/>
          <w:color w:val="auto"/>
          <w:szCs w:val="24"/>
        </w:rPr>
        <w:t>ly active during the MEB period</w:t>
      </w:r>
      <w:r w:rsidR="00537354">
        <w:rPr>
          <w:rFonts w:asciiTheme="minorHAnsi" w:hAnsiTheme="minorHAnsi"/>
          <w:color w:val="auto"/>
          <w:szCs w:val="24"/>
        </w:rPr>
        <w:t>,</w:t>
      </w:r>
      <w:r w:rsidR="0012318C" w:rsidRPr="00D95670">
        <w:rPr>
          <w:rFonts w:asciiTheme="minorHAnsi" w:hAnsiTheme="minorHAnsi"/>
          <w:color w:val="auto"/>
          <w:szCs w:val="24"/>
        </w:rPr>
        <w:t xml:space="preserve"> none carried attached profiles</w:t>
      </w:r>
      <w:r w:rsidR="00537354">
        <w:rPr>
          <w:rFonts w:asciiTheme="minorHAnsi" w:hAnsiTheme="minorHAnsi"/>
          <w:color w:val="auto"/>
          <w:szCs w:val="24"/>
        </w:rPr>
        <w:t>,</w:t>
      </w:r>
      <w:r w:rsidR="0012318C" w:rsidRPr="00D95670">
        <w:rPr>
          <w:rFonts w:asciiTheme="minorHAnsi" w:hAnsiTheme="minorHAnsi"/>
          <w:color w:val="auto"/>
          <w:szCs w:val="24"/>
        </w:rPr>
        <w:t xml:space="preserve"> and</w:t>
      </w:r>
      <w:r w:rsidR="007675E1">
        <w:rPr>
          <w:rFonts w:asciiTheme="minorHAnsi" w:hAnsiTheme="minorHAnsi"/>
          <w:color w:val="auto"/>
          <w:szCs w:val="24"/>
        </w:rPr>
        <w:t xml:space="preserve"> none were implicated in the </w:t>
      </w:r>
      <w:r w:rsidR="00537354">
        <w:rPr>
          <w:rFonts w:asciiTheme="minorHAnsi" w:hAnsiTheme="minorHAnsi"/>
          <w:color w:val="auto"/>
          <w:szCs w:val="24"/>
        </w:rPr>
        <w:t>c</w:t>
      </w:r>
      <w:r w:rsidR="0012318C" w:rsidRPr="00D95670">
        <w:rPr>
          <w:rFonts w:asciiTheme="minorHAnsi" w:hAnsiTheme="minorHAnsi"/>
          <w:color w:val="auto"/>
          <w:szCs w:val="24"/>
        </w:rPr>
        <w:t xml:space="preserve">ommander’s statement.  These conditions were reviewed by the </w:t>
      </w:r>
      <w:r w:rsidR="00537354" w:rsidRPr="00D95670">
        <w:rPr>
          <w:rFonts w:asciiTheme="minorHAnsi" w:hAnsiTheme="minorHAnsi"/>
          <w:color w:val="auto"/>
          <w:szCs w:val="24"/>
        </w:rPr>
        <w:t>action officer and considered b</w:t>
      </w:r>
      <w:r w:rsidR="0012318C" w:rsidRPr="00D95670">
        <w:rPr>
          <w:rFonts w:asciiTheme="minorHAnsi" w:hAnsiTheme="minorHAnsi"/>
          <w:color w:val="auto"/>
          <w:szCs w:val="24"/>
        </w:rPr>
        <w:t>y the Board.  It was determined that none could be argued as unfitting and subject to separation rating.  Additionally</w:t>
      </w:r>
      <w:r w:rsidR="00537354">
        <w:rPr>
          <w:rFonts w:asciiTheme="minorHAnsi" w:hAnsiTheme="minorHAnsi"/>
          <w:color w:val="auto"/>
          <w:szCs w:val="24"/>
        </w:rPr>
        <w:t>,</w:t>
      </w:r>
      <w:r w:rsidR="0012318C" w:rsidRPr="00D95670">
        <w:rPr>
          <w:rFonts w:asciiTheme="minorHAnsi" w:hAnsiTheme="minorHAnsi"/>
          <w:color w:val="auto"/>
          <w:szCs w:val="24"/>
        </w:rPr>
        <w:t xml:space="preserve"> degenerative joint disease of the left hip</w:t>
      </w:r>
      <w:r w:rsidR="00D95670" w:rsidRPr="00D95670">
        <w:rPr>
          <w:rFonts w:asciiTheme="minorHAnsi" w:hAnsiTheme="minorHAnsi"/>
          <w:color w:val="auto"/>
          <w:szCs w:val="24"/>
        </w:rPr>
        <w:t xml:space="preserve"> </w:t>
      </w:r>
      <w:r w:rsidR="0012318C" w:rsidRPr="00D95670">
        <w:rPr>
          <w:rFonts w:asciiTheme="minorHAnsi" w:hAnsiTheme="minorHAnsi"/>
          <w:color w:val="auto"/>
          <w:szCs w:val="24"/>
        </w:rPr>
        <w:t>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AE72FC" w:rsidRPr="00AE72FC" w:rsidRDefault="00C56FC8" w:rsidP="00AE72FC">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8E04BE">
        <w:rPr>
          <w:rFonts w:asciiTheme="minorHAnsi" w:eastAsiaTheme="minorHAnsi" w:hAnsiTheme="minorHAnsi"/>
          <w:color w:val="auto"/>
          <w:szCs w:val="24"/>
        </w:rPr>
        <w:t xml:space="preserve"> </w:t>
      </w:r>
      <w:r w:rsidR="00537354">
        <w:rPr>
          <w:rFonts w:asciiTheme="minorHAnsi" w:eastAsiaTheme="minorHAnsi" w:hAnsiTheme="minorHAnsi"/>
          <w:color w:val="auto"/>
          <w:szCs w:val="24"/>
        </w:rPr>
        <w:t xml:space="preserve"> </w:t>
      </w:r>
      <w:r w:rsidR="00D95670" w:rsidRPr="00664296">
        <w:rPr>
          <w:rFonts w:asciiTheme="minorHAnsi" w:eastAsiaTheme="minorHAnsi" w:hAnsiTheme="minorHAnsi"/>
          <w:color w:val="auto"/>
          <w:szCs w:val="24"/>
        </w:rPr>
        <w:t xml:space="preserve">As discussed above, PEB reliance on the USAPDA pain policy for rating </w:t>
      </w:r>
      <w:r w:rsidR="00D95670">
        <w:rPr>
          <w:rFonts w:asciiTheme="minorHAnsi" w:eastAsiaTheme="minorHAnsi" w:hAnsiTheme="minorHAnsi"/>
          <w:color w:val="auto"/>
          <w:szCs w:val="24"/>
        </w:rPr>
        <w:t>back pain and on DoDI 1332.39</w:t>
      </w:r>
      <w:r w:rsidR="00D95670" w:rsidRPr="00664296">
        <w:rPr>
          <w:rFonts w:asciiTheme="minorHAnsi" w:eastAsiaTheme="minorHAnsi" w:hAnsiTheme="minorHAnsi"/>
          <w:color w:val="auto"/>
          <w:szCs w:val="24"/>
        </w:rPr>
        <w:t xml:space="preserve"> for rating </w:t>
      </w:r>
      <w:r w:rsidR="00D95670">
        <w:rPr>
          <w:rFonts w:asciiTheme="minorHAnsi" w:eastAsiaTheme="minorHAnsi" w:hAnsiTheme="minorHAnsi"/>
          <w:color w:val="auto"/>
          <w:szCs w:val="24"/>
        </w:rPr>
        <w:t>PTSD</w:t>
      </w:r>
      <w:r w:rsidR="00D95670" w:rsidRPr="00664296">
        <w:rPr>
          <w:rFonts w:asciiTheme="minorHAnsi" w:eastAsiaTheme="minorHAnsi" w:hAnsiTheme="minorHAnsi"/>
          <w:color w:val="auto"/>
          <w:szCs w:val="24"/>
        </w:rPr>
        <w:t xml:space="preserve"> was operant in this case and the conditions were adjudicated independently of that </w:t>
      </w:r>
      <w:r w:rsidR="007675E1">
        <w:rPr>
          <w:rFonts w:asciiTheme="minorHAnsi" w:eastAsiaTheme="minorHAnsi" w:hAnsiTheme="minorHAnsi"/>
          <w:color w:val="auto"/>
          <w:szCs w:val="24"/>
        </w:rPr>
        <w:t xml:space="preserve">guidance </w:t>
      </w:r>
      <w:r w:rsidR="00D95670" w:rsidRPr="00664296">
        <w:rPr>
          <w:rFonts w:asciiTheme="minorHAnsi" w:eastAsiaTheme="minorHAnsi" w:hAnsiTheme="minorHAnsi"/>
          <w:color w:val="auto"/>
          <w:szCs w:val="24"/>
        </w:rPr>
        <w:t xml:space="preserve">by the Board. </w:t>
      </w:r>
      <w:r w:rsidR="00D95670">
        <w:rPr>
          <w:rFonts w:asciiTheme="minorHAnsi" w:eastAsiaTheme="minorHAnsi" w:hAnsiTheme="minorHAnsi"/>
          <w:color w:val="auto"/>
          <w:szCs w:val="24"/>
        </w:rPr>
        <w:t xml:space="preserve"> </w:t>
      </w:r>
      <w:r w:rsidR="00D95670" w:rsidRPr="00664296">
        <w:rPr>
          <w:rFonts w:asciiTheme="minorHAnsi" w:eastAsiaTheme="minorHAnsi" w:hAnsiTheme="minorHAnsi"/>
          <w:color w:val="auto"/>
          <w:szCs w:val="24"/>
        </w:rPr>
        <w:t xml:space="preserve">In the matter of the </w:t>
      </w:r>
      <w:r w:rsidR="007675E1">
        <w:rPr>
          <w:rFonts w:asciiTheme="minorHAnsi" w:eastAsiaTheme="minorHAnsi" w:hAnsiTheme="minorHAnsi"/>
          <w:color w:val="auto"/>
          <w:szCs w:val="24"/>
        </w:rPr>
        <w:t>lumbar spine</w:t>
      </w:r>
      <w:r w:rsidR="00D95670" w:rsidRPr="00664296">
        <w:rPr>
          <w:rFonts w:asciiTheme="minorHAnsi" w:eastAsiaTheme="minorHAnsi" w:hAnsiTheme="minorHAnsi"/>
          <w:color w:val="auto"/>
          <w:szCs w:val="24"/>
        </w:rPr>
        <w:t xml:space="preserve"> condition, the Board </w:t>
      </w:r>
      <w:r w:rsidR="00D95670" w:rsidRPr="00FC37E2">
        <w:rPr>
          <w:rFonts w:asciiTheme="minorHAnsi" w:eastAsiaTheme="minorHAnsi" w:hAnsiTheme="minorHAnsi"/>
          <w:color w:val="auto"/>
          <w:szCs w:val="24"/>
        </w:rPr>
        <w:t xml:space="preserve">unanimously recommends a </w:t>
      </w:r>
      <w:r w:rsidR="00AE72FC" w:rsidRPr="00FC37E2">
        <w:rPr>
          <w:rFonts w:asciiTheme="minorHAnsi" w:eastAsiaTheme="minorHAnsi" w:hAnsiTheme="minorHAnsi"/>
          <w:color w:val="auto"/>
          <w:szCs w:val="24"/>
        </w:rPr>
        <w:t xml:space="preserve">permanent </w:t>
      </w:r>
      <w:r w:rsidR="00D95670" w:rsidRPr="00FC37E2">
        <w:rPr>
          <w:rFonts w:asciiTheme="minorHAnsi" w:eastAsiaTheme="minorHAnsi" w:hAnsiTheme="minorHAnsi"/>
          <w:color w:val="auto"/>
          <w:szCs w:val="24"/>
        </w:rPr>
        <w:t>rating of 20%</w:t>
      </w:r>
      <w:r w:rsidR="009A2ABB" w:rsidRPr="00FC37E2">
        <w:rPr>
          <w:rFonts w:asciiTheme="minorHAnsi" w:eastAsiaTheme="minorHAnsi" w:hAnsiTheme="minorHAnsi"/>
          <w:color w:val="auto"/>
          <w:szCs w:val="24"/>
        </w:rPr>
        <w:t>,</w:t>
      </w:r>
      <w:r w:rsidR="00D95670" w:rsidRPr="00FC37E2">
        <w:rPr>
          <w:rFonts w:asciiTheme="minorHAnsi" w:eastAsiaTheme="minorHAnsi" w:hAnsiTheme="minorHAnsi"/>
          <w:color w:val="auto"/>
          <w:szCs w:val="24"/>
        </w:rPr>
        <w:t xml:space="preserve"> coded </w:t>
      </w:r>
      <w:r w:rsidR="009A2ABB" w:rsidRPr="00FC37E2">
        <w:rPr>
          <w:rFonts w:asciiTheme="minorHAnsi" w:eastAsiaTheme="minorHAnsi" w:hAnsiTheme="minorHAnsi"/>
          <w:color w:val="auto"/>
          <w:szCs w:val="24"/>
        </w:rPr>
        <w:t>5242,</w:t>
      </w:r>
      <w:r w:rsidR="007675E1" w:rsidRPr="00FC37E2">
        <w:rPr>
          <w:rFonts w:asciiTheme="minorHAnsi" w:eastAsiaTheme="minorHAnsi" w:hAnsiTheme="minorHAnsi"/>
          <w:color w:val="auto"/>
          <w:szCs w:val="24"/>
        </w:rPr>
        <w:t xml:space="preserve"> </w:t>
      </w:r>
      <w:r w:rsidR="00D95670" w:rsidRPr="00FC37E2">
        <w:rPr>
          <w:rFonts w:asciiTheme="minorHAnsi" w:hAnsiTheme="minorHAnsi"/>
          <w:color w:val="auto"/>
          <w:szCs w:val="24"/>
        </w:rPr>
        <w:t xml:space="preserve">IAW VASRD §4.71a.  In the matter of the </w:t>
      </w:r>
      <w:r w:rsidR="00D95670" w:rsidRPr="00FC37E2">
        <w:rPr>
          <w:color w:val="auto"/>
          <w:szCs w:val="24"/>
        </w:rPr>
        <w:t>P</w:t>
      </w:r>
      <w:r w:rsidR="00537354">
        <w:rPr>
          <w:color w:val="auto"/>
          <w:szCs w:val="24"/>
        </w:rPr>
        <w:t>TSD</w:t>
      </w:r>
      <w:r w:rsidR="00D95670" w:rsidRPr="00FC37E2">
        <w:rPr>
          <w:rFonts w:asciiTheme="minorHAnsi" w:hAnsiTheme="minorHAnsi"/>
          <w:color w:val="auto"/>
          <w:szCs w:val="24"/>
        </w:rPr>
        <w:t xml:space="preserve"> condition, the Board </w:t>
      </w:r>
      <w:r w:rsidR="00D95670" w:rsidRPr="00FC37E2">
        <w:rPr>
          <w:rFonts w:asciiTheme="minorHAnsi" w:eastAsiaTheme="minorHAnsi" w:hAnsiTheme="minorHAnsi"/>
          <w:color w:val="auto"/>
          <w:szCs w:val="24"/>
        </w:rPr>
        <w:t>unanimously</w:t>
      </w:r>
      <w:r w:rsidR="00F32948">
        <w:rPr>
          <w:rFonts w:asciiTheme="minorHAnsi" w:hAnsiTheme="minorHAnsi"/>
          <w:color w:val="auto"/>
          <w:szCs w:val="24"/>
        </w:rPr>
        <w:t xml:space="preserve"> recommends </w:t>
      </w:r>
      <w:r w:rsidR="00D95670" w:rsidRPr="00FC37E2">
        <w:rPr>
          <w:rFonts w:asciiTheme="minorHAnsi" w:hAnsiTheme="minorHAnsi"/>
          <w:color w:val="auto"/>
          <w:szCs w:val="24"/>
        </w:rPr>
        <w:t>a 10%</w:t>
      </w:r>
      <w:r w:rsidR="00AE72FC" w:rsidRPr="00FC37E2">
        <w:rPr>
          <w:rFonts w:asciiTheme="minorHAnsi" w:hAnsiTheme="minorHAnsi"/>
          <w:color w:val="auto"/>
          <w:szCs w:val="24"/>
        </w:rPr>
        <w:t xml:space="preserve"> </w:t>
      </w:r>
      <w:r w:rsidR="00D95670" w:rsidRPr="00FC37E2">
        <w:rPr>
          <w:rFonts w:asciiTheme="minorHAnsi" w:hAnsiTheme="minorHAnsi"/>
          <w:color w:val="auto"/>
          <w:szCs w:val="24"/>
        </w:rPr>
        <w:t xml:space="preserve">permanent rating IAW VASRD §4.130.  </w:t>
      </w:r>
      <w:r w:rsidR="00AE72FC" w:rsidRPr="00FC37E2">
        <w:rPr>
          <w:rFonts w:asciiTheme="minorHAnsi" w:hAnsiTheme="minorHAnsi"/>
          <w:color w:val="auto"/>
          <w:szCs w:val="24"/>
        </w:rPr>
        <w:t>The Board unanimously agrees that there</w:t>
      </w:r>
      <w:r w:rsidR="00AE72FC" w:rsidRPr="00AE72FC">
        <w:rPr>
          <w:rFonts w:asciiTheme="minorHAnsi" w:hAnsiTheme="minorHAnsi"/>
          <w:color w:val="auto"/>
          <w:szCs w:val="24"/>
        </w:rPr>
        <w:t xml:space="preserve"> were no other conditions eligible for Board consideration which could be recommended as additionally unfitting for rating at separation.</w:t>
      </w:r>
    </w:p>
    <w:p w:rsidR="00FC37E2" w:rsidRPr="00391858" w:rsidRDefault="00FC37E2" w:rsidP="00FC37E2">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C37E2" w:rsidRDefault="00FC37E2" w:rsidP="00FC37E2">
      <w:pPr>
        <w:spacing w:line="240" w:lineRule="exact"/>
        <w:rPr>
          <w:rFonts w:asciiTheme="minorHAnsi" w:hAnsiTheme="minorHAnsi"/>
          <w:b/>
          <w:color w:val="auto"/>
          <w:szCs w:val="24"/>
          <w:u w:val="single"/>
        </w:rPr>
      </w:pPr>
    </w:p>
    <w:p w:rsidR="00DF071B" w:rsidRPr="00B427BB" w:rsidRDefault="00C56FC8" w:rsidP="001B0988">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D95670">
        <w:rPr>
          <w:rFonts w:asciiTheme="minorHAnsi" w:hAnsiTheme="minorHAnsi"/>
          <w:color w:val="000080"/>
          <w:szCs w:val="24"/>
        </w:rPr>
        <w:t xml:space="preserve"> </w:t>
      </w:r>
      <w:r w:rsidR="00DF071B" w:rsidRPr="00396779">
        <w:rPr>
          <w:rFonts w:asciiTheme="minorHAnsi" w:hAnsiTheme="minorHAnsi"/>
          <w:color w:val="auto"/>
          <w:szCs w:val="24"/>
        </w:rPr>
        <w:t xml:space="preserve">The Board recommends that the CI’s prior determination be modified </w:t>
      </w:r>
      <w:r w:rsidR="00F32948">
        <w:rPr>
          <w:rFonts w:asciiTheme="minorHAnsi" w:hAnsiTheme="minorHAnsi"/>
          <w:color w:val="auto"/>
          <w:szCs w:val="24"/>
        </w:rPr>
        <w:t>to reflect permanent disability retirement with a combined disability rating of 30% as indicated below.</w:t>
      </w:r>
    </w:p>
    <w:p w:rsidR="00DB0015" w:rsidRPr="00AF01B2" w:rsidRDefault="00DB0015"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350"/>
        <w:gridCol w:w="1530"/>
      </w:tblGrid>
      <w:tr w:rsidR="00F32948" w:rsidRPr="00AF01B2" w:rsidTr="009A2ABB">
        <w:trPr>
          <w:jc w:val="center"/>
        </w:trPr>
        <w:tc>
          <w:tcPr>
            <w:tcW w:w="5400" w:type="dxa"/>
            <w:shd w:val="clear" w:color="auto" w:fill="D9D9D9"/>
            <w:vAlign w:val="center"/>
          </w:tcPr>
          <w:p w:rsidR="00F32948" w:rsidRPr="00AF01B2" w:rsidRDefault="00F32948"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350" w:type="dxa"/>
            <w:shd w:val="clear" w:color="auto" w:fill="D9D9D9"/>
            <w:vAlign w:val="center"/>
          </w:tcPr>
          <w:p w:rsidR="00F32948" w:rsidRPr="00AF01B2" w:rsidRDefault="00F32948"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530" w:type="dxa"/>
            <w:shd w:val="pct15" w:color="auto" w:fill="auto"/>
            <w:vAlign w:val="center"/>
          </w:tcPr>
          <w:p w:rsidR="00F32948" w:rsidRPr="00AF01B2" w:rsidRDefault="00F32948"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PERMANENT</w:t>
            </w:r>
          </w:p>
          <w:p w:rsidR="00F32948" w:rsidRPr="00AF01B2" w:rsidRDefault="00F32948"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F32948" w:rsidRPr="00AF01B2" w:rsidTr="009A2ABB">
        <w:trPr>
          <w:trHeight w:val="188"/>
          <w:jc w:val="center"/>
        </w:trPr>
        <w:tc>
          <w:tcPr>
            <w:tcW w:w="5400" w:type="dxa"/>
            <w:vAlign w:val="center"/>
          </w:tcPr>
          <w:p w:rsidR="00F32948" w:rsidRPr="00AF01B2" w:rsidRDefault="00F32948" w:rsidP="00537354">
            <w:pPr>
              <w:tabs>
                <w:tab w:val="left" w:pos="288"/>
                <w:tab w:val="left" w:pos="3538"/>
              </w:tabs>
              <w:spacing w:line="240" w:lineRule="exact"/>
              <w:rPr>
                <w:rFonts w:asciiTheme="minorHAnsi" w:hAnsiTheme="minorHAnsi"/>
                <w:color w:val="auto"/>
                <w:szCs w:val="24"/>
              </w:rPr>
            </w:pPr>
            <w:r w:rsidRPr="00AF01B2">
              <w:rPr>
                <w:rFonts w:asciiTheme="minorHAnsi" w:hAnsiTheme="minorHAnsi"/>
                <w:color w:val="auto"/>
                <w:szCs w:val="24"/>
              </w:rPr>
              <w:t>Post</w:t>
            </w:r>
            <w:r>
              <w:rPr>
                <w:rFonts w:asciiTheme="minorHAnsi" w:hAnsiTheme="minorHAnsi"/>
                <w:color w:val="auto"/>
                <w:szCs w:val="24"/>
              </w:rPr>
              <w:t>t</w:t>
            </w:r>
            <w:r w:rsidRPr="00AF01B2">
              <w:rPr>
                <w:rFonts w:asciiTheme="minorHAnsi" w:hAnsiTheme="minorHAnsi"/>
                <w:color w:val="auto"/>
                <w:szCs w:val="24"/>
              </w:rPr>
              <w:t>raumatic Stress Disorder</w:t>
            </w:r>
          </w:p>
        </w:tc>
        <w:tc>
          <w:tcPr>
            <w:tcW w:w="1350" w:type="dxa"/>
            <w:tcBorders>
              <w:bottom w:val="single" w:sz="4" w:space="0" w:color="000000"/>
            </w:tcBorders>
            <w:vAlign w:val="center"/>
          </w:tcPr>
          <w:p w:rsidR="00F32948" w:rsidRPr="00AF01B2" w:rsidRDefault="00F32948" w:rsidP="00EF6C4A">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9411</w:t>
            </w:r>
          </w:p>
        </w:tc>
        <w:tc>
          <w:tcPr>
            <w:tcW w:w="1530" w:type="dxa"/>
            <w:tcBorders>
              <w:bottom w:val="single" w:sz="4" w:space="0" w:color="000000"/>
            </w:tcBorders>
            <w:vAlign w:val="center"/>
          </w:tcPr>
          <w:p w:rsidR="00F32948" w:rsidRPr="00A75D6E" w:rsidRDefault="00F32948" w:rsidP="00EF6C4A">
            <w:pPr>
              <w:tabs>
                <w:tab w:val="left" w:pos="288"/>
                <w:tab w:val="left" w:pos="4752"/>
              </w:tabs>
              <w:spacing w:line="240" w:lineRule="exact"/>
              <w:jc w:val="center"/>
              <w:rPr>
                <w:rFonts w:asciiTheme="minorHAnsi" w:hAnsiTheme="minorHAnsi"/>
                <w:color w:val="auto"/>
                <w:szCs w:val="24"/>
              </w:rPr>
            </w:pPr>
            <w:r w:rsidRPr="00A75D6E">
              <w:rPr>
                <w:rFonts w:asciiTheme="minorHAnsi" w:hAnsiTheme="minorHAnsi"/>
                <w:color w:val="auto"/>
                <w:szCs w:val="24"/>
              </w:rPr>
              <w:t>10%</w:t>
            </w:r>
          </w:p>
        </w:tc>
      </w:tr>
      <w:tr w:rsidR="00F32948" w:rsidRPr="00AF01B2" w:rsidTr="009A2ABB">
        <w:trPr>
          <w:trHeight w:val="188"/>
          <w:jc w:val="center"/>
        </w:trPr>
        <w:tc>
          <w:tcPr>
            <w:tcW w:w="5400" w:type="dxa"/>
            <w:vAlign w:val="center"/>
          </w:tcPr>
          <w:p w:rsidR="00F32948" w:rsidRPr="00AF01B2" w:rsidRDefault="00F32948" w:rsidP="009A2ABB">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Degenerative Arthritis/Disc Disease, Lumbar Spine</w:t>
            </w:r>
          </w:p>
        </w:tc>
        <w:tc>
          <w:tcPr>
            <w:tcW w:w="1350" w:type="dxa"/>
            <w:tcBorders>
              <w:bottom w:val="single" w:sz="4" w:space="0" w:color="000000"/>
            </w:tcBorders>
            <w:vAlign w:val="center"/>
          </w:tcPr>
          <w:p w:rsidR="00F32948" w:rsidRPr="00AF01B2" w:rsidRDefault="00F32948" w:rsidP="009A2A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5242</w:t>
            </w:r>
          </w:p>
        </w:tc>
        <w:tc>
          <w:tcPr>
            <w:tcW w:w="1530" w:type="dxa"/>
            <w:tcBorders>
              <w:bottom w:val="single" w:sz="4" w:space="0" w:color="000000"/>
            </w:tcBorders>
            <w:vAlign w:val="center"/>
          </w:tcPr>
          <w:p w:rsidR="00F32948" w:rsidRPr="00A75D6E" w:rsidRDefault="00F32948" w:rsidP="00EF6C4A">
            <w:pPr>
              <w:tabs>
                <w:tab w:val="left" w:pos="288"/>
                <w:tab w:val="left" w:pos="4752"/>
              </w:tabs>
              <w:spacing w:line="240" w:lineRule="exact"/>
              <w:jc w:val="center"/>
              <w:rPr>
                <w:rFonts w:asciiTheme="minorHAnsi" w:hAnsiTheme="minorHAnsi"/>
                <w:color w:val="auto"/>
                <w:szCs w:val="24"/>
              </w:rPr>
            </w:pPr>
            <w:r w:rsidRPr="00A75D6E">
              <w:rPr>
                <w:rFonts w:asciiTheme="minorHAnsi" w:hAnsiTheme="minorHAnsi"/>
                <w:color w:val="auto"/>
                <w:szCs w:val="24"/>
              </w:rPr>
              <w:t>20%</w:t>
            </w:r>
          </w:p>
        </w:tc>
      </w:tr>
      <w:tr w:rsidR="00F32948" w:rsidRPr="00AF01B2" w:rsidTr="009A2ABB">
        <w:tblPrEx>
          <w:tblLook w:val="0000"/>
        </w:tblPrEx>
        <w:trPr>
          <w:gridBefore w:val="1"/>
          <w:wBefore w:w="5400" w:type="dxa"/>
          <w:trHeight w:val="188"/>
          <w:jc w:val="center"/>
        </w:trPr>
        <w:tc>
          <w:tcPr>
            <w:tcW w:w="1350" w:type="dxa"/>
            <w:tcBorders>
              <w:left w:val="single" w:sz="4" w:space="0" w:color="auto"/>
            </w:tcBorders>
            <w:shd w:val="pct15" w:color="auto" w:fill="auto"/>
            <w:vAlign w:val="center"/>
          </w:tcPr>
          <w:p w:rsidR="00F32948" w:rsidRPr="00AF01B2" w:rsidRDefault="00F32948"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530" w:type="dxa"/>
            <w:shd w:val="pct15" w:color="auto" w:fill="auto"/>
            <w:vAlign w:val="center"/>
          </w:tcPr>
          <w:p w:rsidR="00F32948" w:rsidRPr="00A75D6E" w:rsidRDefault="00F32948" w:rsidP="00EF6C4A">
            <w:pPr>
              <w:tabs>
                <w:tab w:val="left" w:pos="288"/>
                <w:tab w:val="left" w:pos="4752"/>
              </w:tabs>
              <w:spacing w:line="240" w:lineRule="exact"/>
              <w:jc w:val="center"/>
              <w:rPr>
                <w:rFonts w:asciiTheme="minorHAnsi" w:hAnsiTheme="minorHAnsi"/>
                <w:b/>
                <w:color w:val="auto"/>
                <w:szCs w:val="24"/>
              </w:rPr>
            </w:pPr>
            <w:r w:rsidRPr="00A75D6E">
              <w:rPr>
                <w:rFonts w:asciiTheme="minorHAnsi" w:hAnsiTheme="minorHAnsi"/>
                <w:b/>
                <w:color w:val="auto"/>
                <w:szCs w:val="24"/>
              </w:rPr>
              <w:t>30%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A75D6E">
        <w:rPr>
          <w:rFonts w:asciiTheme="minorHAnsi" w:hAnsiTheme="minorHAnsi"/>
          <w:color w:val="auto"/>
        </w:rPr>
        <w:t>1</w:t>
      </w:r>
      <w:r w:rsidR="007E59E3">
        <w:rPr>
          <w:rFonts w:asciiTheme="minorHAnsi" w:hAnsiTheme="minorHAnsi"/>
          <w:color w:val="auto"/>
        </w:rPr>
        <w:t>0</w:t>
      </w:r>
      <w:r w:rsidR="00A75D6E">
        <w:rPr>
          <w:rFonts w:asciiTheme="minorHAnsi" w:hAnsiTheme="minorHAnsi"/>
          <w:color w:val="auto"/>
        </w:rPr>
        <w:t>0809</w:t>
      </w:r>
      <w:r w:rsidR="00F32948">
        <w:rPr>
          <w:rFonts w:asciiTheme="minorHAnsi" w:hAnsiTheme="minorHAnsi"/>
          <w:color w:val="auto"/>
        </w:rPr>
        <w:t>, w/</w:t>
      </w:r>
      <w:proofErr w:type="spellStart"/>
      <w:r w:rsidR="00F32948">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F32948">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F32948">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8045DD" w:rsidRDefault="008045DD">
      <w:pPr>
        <w:rPr>
          <w:rFonts w:asciiTheme="minorHAnsi" w:hAnsiTheme="minorHAnsi"/>
          <w:color w:val="auto"/>
          <w:highlight w:val="yellow"/>
        </w:rPr>
      </w:pPr>
      <w:r>
        <w:rPr>
          <w:rFonts w:asciiTheme="minorHAnsi" w:hAnsiTheme="minorHAnsi"/>
          <w:color w:val="auto"/>
          <w:highlight w:val="yellow"/>
        </w:rPr>
        <w:br w:type="page"/>
      </w:r>
    </w:p>
    <w:p w:rsidR="00664296" w:rsidRPr="00AE72FC" w:rsidRDefault="008045DD" w:rsidP="00AE72FC">
      <w:pPr>
        <w:rPr>
          <w:rFonts w:asciiTheme="minorHAnsi" w:hAnsiTheme="minorHAnsi"/>
          <w:color w:val="auto"/>
          <w:highlight w:val="yellow"/>
        </w:rPr>
      </w:pPr>
      <w:r>
        <w:rPr>
          <w:rFonts w:asciiTheme="minorHAnsi" w:hAnsiTheme="minorHAnsi"/>
          <w:noProof/>
          <w:color w:val="auto"/>
        </w:rPr>
        <w:lastRenderedPageBreak/>
        <w:drawing>
          <wp:inline distT="0" distB="0" distL="0" distR="0">
            <wp:extent cx="5937250" cy="7666355"/>
            <wp:effectExtent l="19050" t="0" r="6350" b="0"/>
            <wp:docPr id="1" name="Picture 1" descr="D:\READING room\10-1024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0-1024_Page_1.tiff"/>
                    <pic:cNvPicPr>
                      <a:picLocks noChangeAspect="1" noChangeArrowheads="1"/>
                    </pic:cNvPicPr>
                  </pic:nvPicPr>
                  <pic:blipFill>
                    <a:blip r:embed="rId8" cstate="print"/>
                    <a:srcRect/>
                    <a:stretch>
                      <a:fillRect/>
                    </a:stretch>
                  </pic:blipFill>
                  <pic:spPr bwMode="auto">
                    <a:xfrm>
                      <a:off x="0" y="0"/>
                      <a:ext cx="5937250" cy="7666355"/>
                    </a:xfrm>
                    <a:prstGeom prst="rect">
                      <a:avLst/>
                    </a:prstGeom>
                    <a:noFill/>
                    <a:ln w="9525">
                      <a:noFill/>
                      <a:miter lim="800000"/>
                      <a:headEnd/>
                      <a:tailEnd/>
                    </a:ln>
                  </pic:spPr>
                </pic:pic>
              </a:graphicData>
            </a:graphic>
          </wp:inline>
        </w:drawing>
      </w:r>
      <w:r>
        <w:rPr>
          <w:rFonts w:asciiTheme="minorHAnsi" w:hAnsiTheme="minorHAnsi"/>
          <w:noProof/>
          <w:color w:val="auto"/>
        </w:rPr>
        <w:lastRenderedPageBreak/>
        <w:drawing>
          <wp:inline distT="0" distB="0" distL="0" distR="0">
            <wp:extent cx="5937250" cy="7679690"/>
            <wp:effectExtent l="19050" t="0" r="6350" b="0"/>
            <wp:docPr id="2" name="Picture 2" descr="D:\READING room\10-1024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DING room\10-1024_Page_2.tiff"/>
                    <pic:cNvPicPr>
                      <a:picLocks noChangeAspect="1" noChangeArrowheads="1"/>
                    </pic:cNvPicPr>
                  </pic:nvPicPr>
                  <pic:blipFill>
                    <a:blip r:embed="rId9" cstate="print"/>
                    <a:srcRect/>
                    <a:stretch>
                      <a:fillRect/>
                    </a:stretch>
                  </pic:blipFill>
                  <pic:spPr bwMode="auto">
                    <a:xfrm>
                      <a:off x="0" y="0"/>
                      <a:ext cx="5937250" cy="7679690"/>
                    </a:xfrm>
                    <a:prstGeom prst="rect">
                      <a:avLst/>
                    </a:prstGeom>
                    <a:noFill/>
                    <a:ln w="9525">
                      <a:noFill/>
                      <a:miter lim="800000"/>
                      <a:headEnd/>
                      <a:tailEnd/>
                    </a:ln>
                  </pic:spPr>
                </pic:pic>
              </a:graphicData>
            </a:graphic>
          </wp:inline>
        </w:drawing>
      </w:r>
    </w:p>
    <w:sectPr w:rsidR="00664296" w:rsidRPr="00AE72FC" w:rsidSect="002A5C3C">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1A" w:rsidRDefault="002B711A">
      <w:r>
        <w:separator/>
      </w:r>
    </w:p>
  </w:endnote>
  <w:endnote w:type="continuationSeparator" w:id="0">
    <w:p w:rsidR="002B711A" w:rsidRDefault="002B7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7675E1" w:rsidRPr="00684CE6" w:rsidRDefault="00CC6752" w:rsidP="00F65ED5">
        <w:pPr>
          <w:pStyle w:val="Footer"/>
          <w:jc w:val="right"/>
          <w:rPr>
            <w:color w:val="auto"/>
          </w:rPr>
        </w:pPr>
        <w:r w:rsidRPr="00A07E2C">
          <w:rPr>
            <w:color w:val="auto"/>
          </w:rPr>
          <w:fldChar w:fldCharType="begin"/>
        </w:r>
        <w:r w:rsidR="007675E1" w:rsidRPr="00A07E2C">
          <w:rPr>
            <w:color w:val="auto"/>
          </w:rPr>
          <w:instrText xml:space="preserve"> PAGE   \* MERGEFORMAT </w:instrText>
        </w:r>
        <w:r w:rsidRPr="00A07E2C">
          <w:rPr>
            <w:color w:val="auto"/>
          </w:rPr>
          <w:fldChar w:fldCharType="separate"/>
        </w:r>
        <w:r w:rsidR="008045DD">
          <w:rPr>
            <w:noProof/>
            <w:color w:val="auto"/>
          </w:rPr>
          <w:t>2</w:t>
        </w:r>
        <w:r w:rsidRPr="00A07E2C">
          <w:rPr>
            <w:color w:val="auto"/>
          </w:rPr>
          <w:fldChar w:fldCharType="end"/>
        </w:r>
        <w:r w:rsidR="007675E1" w:rsidRPr="00A07E2C">
          <w:rPr>
            <w:color w:val="auto"/>
          </w:rPr>
          <w:t xml:space="preserve">                                                                     PD1001024</w:t>
        </w:r>
      </w:p>
    </w:sdtContent>
  </w:sdt>
  <w:p w:rsidR="007675E1" w:rsidRPr="00684CE6" w:rsidRDefault="007675E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1A" w:rsidRDefault="002B711A">
      <w:r>
        <w:separator/>
      </w:r>
    </w:p>
  </w:footnote>
  <w:footnote w:type="continuationSeparator" w:id="0">
    <w:p w:rsidR="002B711A" w:rsidRDefault="002B7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81602"/>
  </w:hdrShapeDefaults>
  <w:footnotePr>
    <w:numRestart w:val="eachSect"/>
    <w:footnote w:id="-1"/>
    <w:footnote w:id="0"/>
  </w:footnotePr>
  <w:endnotePr>
    <w:endnote w:id="-1"/>
    <w:endnote w:id="0"/>
  </w:endnotePr>
  <w:compat/>
  <w:rsids>
    <w:rsidRoot w:val="001C28D1"/>
    <w:rsid w:val="00001942"/>
    <w:rsid w:val="000024F5"/>
    <w:rsid w:val="000059FA"/>
    <w:rsid w:val="00006186"/>
    <w:rsid w:val="00006F87"/>
    <w:rsid w:val="00007107"/>
    <w:rsid w:val="00010ABA"/>
    <w:rsid w:val="00010B0F"/>
    <w:rsid w:val="00012428"/>
    <w:rsid w:val="00012733"/>
    <w:rsid w:val="00013417"/>
    <w:rsid w:val="000145C2"/>
    <w:rsid w:val="0001473F"/>
    <w:rsid w:val="00014937"/>
    <w:rsid w:val="00014A9E"/>
    <w:rsid w:val="00021361"/>
    <w:rsid w:val="00022CF3"/>
    <w:rsid w:val="00022ED7"/>
    <w:rsid w:val="00023913"/>
    <w:rsid w:val="00023D43"/>
    <w:rsid w:val="000243E2"/>
    <w:rsid w:val="00024DE7"/>
    <w:rsid w:val="00026092"/>
    <w:rsid w:val="00030776"/>
    <w:rsid w:val="00032D81"/>
    <w:rsid w:val="00032E07"/>
    <w:rsid w:val="000332CA"/>
    <w:rsid w:val="0003374E"/>
    <w:rsid w:val="000344D8"/>
    <w:rsid w:val="000344E6"/>
    <w:rsid w:val="00035C3A"/>
    <w:rsid w:val="00036E4B"/>
    <w:rsid w:val="00037929"/>
    <w:rsid w:val="000379D0"/>
    <w:rsid w:val="00040FC4"/>
    <w:rsid w:val="000416F8"/>
    <w:rsid w:val="00042C26"/>
    <w:rsid w:val="00042C9E"/>
    <w:rsid w:val="00042DC4"/>
    <w:rsid w:val="00043382"/>
    <w:rsid w:val="000445EF"/>
    <w:rsid w:val="00044623"/>
    <w:rsid w:val="000452D7"/>
    <w:rsid w:val="00051622"/>
    <w:rsid w:val="00051A11"/>
    <w:rsid w:val="00052234"/>
    <w:rsid w:val="00053D7C"/>
    <w:rsid w:val="00057019"/>
    <w:rsid w:val="000575C5"/>
    <w:rsid w:val="000577C9"/>
    <w:rsid w:val="00060FFD"/>
    <w:rsid w:val="0006431E"/>
    <w:rsid w:val="000652EA"/>
    <w:rsid w:val="00065E21"/>
    <w:rsid w:val="00066496"/>
    <w:rsid w:val="000673ED"/>
    <w:rsid w:val="000706D4"/>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277"/>
    <w:rsid w:val="000933EC"/>
    <w:rsid w:val="000949DD"/>
    <w:rsid w:val="00094E4F"/>
    <w:rsid w:val="000A2BCE"/>
    <w:rsid w:val="000A33C8"/>
    <w:rsid w:val="000A41E3"/>
    <w:rsid w:val="000A4BBA"/>
    <w:rsid w:val="000A5071"/>
    <w:rsid w:val="000B0AD2"/>
    <w:rsid w:val="000B1022"/>
    <w:rsid w:val="000B2BBC"/>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15"/>
    <w:rsid w:val="000E2E50"/>
    <w:rsid w:val="000E37E0"/>
    <w:rsid w:val="000E3F20"/>
    <w:rsid w:val="000E4CBF"/>
    <w:rsid w:val="000E5577"/>
    <w:rsid w:val="000E7034"/>
    <w:rsid w:val="000E7B0F"/>
    <w:rsid w:val="000F02BE"/>
    <w:rsid w:val="000F0928"/>
    <w:rsid w:val="000F427B"/>
    <w:rsid w:val="000F43D0"/>
    <w:rsid w:val="000F4F18"/>
    <w:rsid w:val="000F688E"/>
    <w:rsid w:val="000F6C0C"/>
    <w:rsid w:val="000F7181"/>
    <w:rsid w:val="000F7D22"/>
    <w:rsid w:val="001007CE"/>
    <w:rsid w:val="001008C1"/>
    <w:rsid w:val="00101093"/>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15CD3"/>
    <w:rsid w:val="001211AF"/>
    <w:rsid w:val="001219DF"/>
    <w:rsid w:val="0012220B"/>
    <w:rsid w:val="00122ABE"/>
    <w:rsid w:val="0012318C"/>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349"/>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32B"/>
    <w:rsid w:val="00180826"/>
    <w:rsid w:val="00181240"/>
    <w:rsid w:val="00182A4C"/>
    <w:rsid w:val="00183F77"/>
    <w:rsid w:val="00183FB3"/>
    <w:rsid w:val="001844D8"/>
    <w:rsid w:val="00185DA8"/>
    <w:rsid w:val="00185ECB"/>
    <w:rsid w:val="001865E0"/>
    <w:rsid w:val="001870F0"/>
    <w:rsid w:val="0019034B"/>
    <w:rsid w:val="00190E48"/>
    <w:rsid w:val="0019273F"/>
    <w:rsid w:val="00193814"/>
    <w:rsid w:val="00193AAB"/>
    <w:rsid w:val="00193AD5"/>
    <w:rsid w:val="00194930"/>
    <w:rsid w:val="00195AAC"/>
    <w:rsid w:val="001A025E"/>
    <w:rsid w:val="001A08CD"/>
    <w:rsid w:val="001A0A1E"/>
    <w:rsid w:val="001A14AC"/>
    <w:rsid w:val="001A2182"/>
    <w:rsid w:val="001A323E"/>
    <w:rsid w:val="001A5320"/>
    <w:rsid w:val="001A5E62"/>
    <w:rsid w:val="001A6848"/>
    <w:rsid w:val="001A7538"/>
    <w:rsid w:val="001B06FB"/>
    <w:rsid w:val="001B0988"/>
    <w:rsid w:val="001B0B1A"/>
    <w:rsid w:val="001B4C0B"/>
    <w:rsid w:val="001B4EC2"/>
    <w:rsid w:val="001B5B59"/>
    <w:rsid w:val="001B60E0"/>
    <w:rsid w:val="001B755A"/>
    <w:rsid w:val="001B7C8C"/>
    <w:rsid w:val="001C0688"/>
    <w:rsid w:val="001C181A"/>
    <w:rsid w:val="001C1877"/>
    <w:rsid w:val="001C1E40"/>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2D"/>
    <w:rsid w:val="001F0297"/>
    <w:rsid w:val="00200AA0"/>
    <w:rsid w:val="00202325"/>
    <w:rsid w:val="00202736"/>
    <w:rsid w:val="00203652"/>
    <w:rsid w:val="00204562"/>
    <w:rsid w:val="00205B4F"/>
    <w:rsid w:val="002060B6"/>
    <w:rsid w:val="00206109"/>
    <w:rsid w:val="002066B5"/>
    <w:rsid w:val="00211612"/>
    <w:rsid w:val="002119B6"/>
    <w:rsid w:val="00212B40"/>
    <w:rsid w:val="00213BD0"/>
    <w:rsid w:val="00214DBA"/>
    <w:rsid w:val="002151AB"/>
    <w:rsid w:val="0021548C"/>
    <w:rsid w:val="00215C4C"/>
    <w:rsid w:val="00215ED6"/>
    <w:rsid w:val="00216049"/>
    <w:rsid w:val="00216301"/>
    <w:rsid w:val="002163FA"/>
    <w:rsid w:val="00217606"/>
    <w:rsid w:val="00217C09"/>
    <w:rsid w:val="00220F5C"/>
    <w:rsid w:val="002216BF"/>
    <w:rsid w:val="00221B9B"/>
    <w:rsid w:val="00222268"/>
    <w:rsid w:val="00222CB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5EE"/>
    <w:rsid w:val="002528EC"/>
    <w:rsid w:val="00253EAA"/>
    <w:rsid w:val="00255049"/>
    <w:rsid w:val="00257AFF"/>
    <w:rsid w:val="00257DE5"/>
    <w:rsid w:val="00260531"/>
    <w:rsid w:val="00260B9A"/>
    <w:rsid w:val="00261008"/>
    <w:rsid w:val="00262EA5"/>
    <w:rsid w:val="0026318D"/>
    <w:rsid w:val="00264148"/>
    <w:rsid w:val="002660AF"/>
    <w:rsid w:val="00270864"/>
    <w:rsid w:val="002712F7"/>
    <w:rsid w:val="0027159C"/>
    <w:rsid w:val="002722F2"/>
    <w:rsid w:val="00274549"/>
    <w:rsid w:val="00274801"/>
    <w:rsid w:val="00274E46"/>
    <w:rsid w:val="002752AE"/>
    <w:rsid w:val="002769AF"/>
    <w:rsid w:val="00276C86"/>
    <w:rsid w:val="00276FD0"/>
    <w:rsid w:val="00277217"/>
    <w:rsid w:val="002810A4"/>
    <w:rsid w:val="00282DB6"/>
    <w:rsid w:val="00284A26"/>
    <w:rsid w:val="00284E8B"/>
    <w:rsid w:val="00285095"/>
    <w:rsid w:val="00287006"/>
    <w:rsid w:val="00287265"/>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5020"/>
    <w:rsid w:val="002B6FA0"/>
    <w:rsid w:val="002B711A"/>
    <w:rsid w:val="002B7645"/>
    <w:rsid w:val="002C0DEA"/>
    <w:rsid w:val="002C34F6"/>
    <w:rsid w:val="002C3B6D"/>
    <w:rsid w:val="002C492D"/>
    <w:rsid w:val="002C5D9D"/>
    <w:rsid w:val="002C5F10"/>
    <w:rsid w:val="002C6E5B"/>
    <w:rsid w:val="002C78E2"/>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1783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0495"/>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63E9"/>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2544"/>
    <w:rsid w:val="00384048"/>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390D"/>
    <w:rsid w:val="003A40B4"/>
    <w:rsid w:val="003A41BA"/>
    <w:rsid w:val="003A5491"/>
    <w:rsid w:val="003A5958"/>
    <w:rsid w:val="003A6A99"/>
    <w:rsid w:val="003A6E60"/>
    <w:rsid w:val="003A7FF8"/>
    <w:rsid w:val="003B17AC"/>
    <w:rsid w:val="003B227A"/>
    <w:rsid w:val="003B3A77"/>
    <w:rsid w:val="003B4319"/>
    <w:rsid w:val="003B441A"/>
    <w:rsid w:val="003B5854"/>
    <w:rsid w:val="003B6764"/>
    <w:rsid w:val="003B7A8B"/>
    <w:rsid w:val="003C2135"/>
    <w:rsid w:val="003C294B"/>
    <w:rsid w:val="003C5046"/>
    <w:rsid w:val="003C6068"/>
    <w:rsid w:val="003C7AEC"/>
    <w:rsid w:val="003D21E4"/>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36D"/>
    <w:rsid w:val="003E46D1"/>
    <w:rsid w:val="003E6214"/>
    <w:rsid w:val="003F070E"/>
    <w:rsid w:val="003F1206"/>
    <w:rsid w:val="003F28DB"/>
    <w:rsid w:val="003F2EEE"/>
    <w:rsid w:val="003F58B0"/>
    <w:rsid w:val="003F5CDA"/>
    <w:rsid w:val="003F776F"/>
    <w:rsid w:val="004007E9"/>
    <w:rsid w:val="00400810"/>
    <w:rsid w:val="00401825"/>
    <w:rsid w:val="00401BBC"/>
    <w:rsid w:val="00401EE0"/>
    <w:rsid w:val="00403BFB"/>
    <w:rsid w:val="0040457E"/>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4612"/>
    <w:rsid w:val="0042528C"/>
    <w:rsid w:val="00425672"/>
    <w:rsid w:val="00425A6A"/>
    <w:rsid w:val="00427F54"/>
    <w:rsid w:val="004306B8"/>
    <w:rsid w:val="004316FD"/>
    <w:rsid w:val="004319A0"/>
    <w:rsid w:val="00433F36"/>
    <w:rsid w:val="00434860"/>
    <w:rsid w:val="0043503A"/>
    <w:rsid w:val="00437B8A"/>
    <w:rsid w:val="00437D18"/>
    <w:rsid w:val="00437D77"/>
    <w:rsid w:val="004426A4"/>
    <w:rsid w:val="004435BE"/>
    <w:rsid w:val="0044384F"/>
    <w:rsid w:val="0044411E"/>
    <w:rsid w:val="00444472"/>
    <w:rsid w:val="00444F80"/>
    <w:rsid w:val="00445599"/>
    <w:rsid w:val="00446018"/>
    <w:rsid w:val="0045027B"/>
    <w:rsid w:val="004504E7"/>
    <w:rsid w:val="00450883"/>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9FB"/>
    <w:rsid w:val="00480D4A"/>
    <w:rsid w:val="00481DA1"/>
    <w:rsid w:val="00483A2B"/>
    <w:rsid w:val="00484212"/>
    <w:rsid w:val="00484BA9"/>
    <w:rsid w:val="0048599A"/>
    <w:rsid w:val="00486818"/>
    <w:rsid w:val="00487EE2"/>
    <w:rsid w:val="0049255F"/>
    <w:rsid w:val="0049445D"/>
    <w:rsid w:val="00495350"/>
    <w:rsid w:val="00495E3C"/>
    <w:rsid w:val="00496A5F"/>
    <w:rsid w:val="00497156"/>
    <w:rsid w:val="004A0C79"/>
    <w:rsid w:val="004A24D2"/>
    <w:rsid w:val="004A2F5A"/>
    <w:rsid w:val="004A3214"/>
    <w:rsid w:val="004A4136"/>
    <w:rsid w:val="004A417B"/>
    <w:rsid w:val="004A4378"/>
    <w:rsid w:val="004A712D"/>
    <w:rsid w:val="004B03F3"/>
    <w:rsid w:val="004B0CC9"/>
    <w:rsid w:val="004B1E41"/>
    <w:rsid w:val="004B2536"/>
    <w:rsid w:val="004B46D7"/>
    <w:rsid w:val="004B6690"/>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17385"/>
    <w:rsid w:val="005214A3"/>
    <w:rsid w:val="005222E7"/>
    <w:rsid w:val="00523A8B"/>
    <w:rsid w:val="00523E04"/>
    <w:rsid w:val="00525003"/>
    <w:rsid w:val="0052590B"/>
    <w:rsid w:val="00526591"/>
    <w:rsid w:val="00527178"/>
    <w:rsid w:val="005278CB"/>
    <w:rsid w:val="00534D42"/>
    <w:rsid w:val="005350A5"/>
    <w:rsid w:val="00536379"/>
    <w:rsid w:val="00537238"/>
    <w:rsid w:val="00537354"/>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57F"/>
    <w:rsid w:val="005569EF"/>
    <w:rsid w:val="00556BDE"/>
    <w:rsid w:val="00560D57"/>
    <w:rsid w:val="005612E6"/>
    <w:rsid w:val="00562A94"/>
    <w:rsid w:val="00563FAD"/>
    <w:rsid w:val="005646CE"/>
    <w:rsid w:val="0056563E"/>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B1D"/>
    <w:rsid w:val="005A1846"/>
    <w:rsid w:val="005A1FBC"/>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2D08"/>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4017"/>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3E19"/>
    <w:rsid w:val="00694EEA"/>
    <w:rsid w:val="006955B4"/>
    <w:rsid w:val="00695DEF"/>
    <w:rsid w:val="00696476"/>
    <w:rsid w:val="00696C74"/>
    <w:rsid w:val="006A10FA"/>
    <w:rsid w:val="006A40E6"/>
    <w:rsid w:val="006A516B"/>
    <w:rsid w:val="006A5362"/>
    <w:rsid w:val="006A543A"/>
    <w:rsid w:val="006A5C07"/>
    <w:rsid w:val="006A6DD2"/>
    <w:rsid w:val="006A75FA"/>
    <w:rsid w:val="006A7613"/>
    <w:rsid w:val="006B07D5"/>
    <w:rsid w:val="006B1309"/>
    <w:rsid w:val="006B2F0E"/>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364C"/>
    <w:rsid w:val="006D4250"/>
    <w:rsid w:val="006D4E0E"/>
    <w:rsid w:val="006D5861"/>
    <w:rsid w:val="006D5CE2"/>
    <w:rsid w:val="006D6E2E"/>
    <w:rsid w:val="006D7854"/>
    <w:rsid w:val="006E06D1"/>
    <w:rsid w:val="006E1313"/>
    <w:rsid w:val="006E2DC8"/>
    <w:rsid w:val="006E7356"/>
    <w:rsid w:val="006E77C8"/>
    <w:rsid w:val="006F0F9C"/>
    <w:rsid w:val="006F12FD"/>
    <w:rsid w:val="006F149D"/>
    <w:rsid w:val="006F1A46"/>
    <w:rsid w:val="006F4F06"/>
    <w:rsid w:val="006F5A4E"/>
    <w:rsid w:val="006F5D37"/>
    <w:rsid w:val="006F6005"/>
    <w:rsid w:val="007005EA"/>
    <w:rsid w:val="007011A6"/>
    <w:rsid w:val="00703B6C"/>
    <w:rsid w:val="00703BB0"/>
    <w:rsid w:val="00704519"/>
    <w:rsid w:val="00704C88"/>
    <w:rsid w:val="00704EA1"/>
    <w:rsid w:val="00705C40"/>
    <w:rsid w:val="00706482"/>
    <w:rsid w:val="00706754"/>
    <w:rsid w:val="00706BEF"/>
    <w:rsid w:val="00707B73"/>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6100C"/>
    <w:rsid w:val="007612A5"/>
    <w:rsid w:val="0076158A"/>
    <w:rsid w:val="00762AEF"/>
    <w:rsid w:val="00763CAE"/>
    <w:rsid w:val="00763F95"/>
    <w:rsid w:val="007651ED"/>
    <w:rsid w:val="00765896"/>
    <w:rsid w:val="00766C87"/>
    <w:rsid w:val="007675E1"/>
    <w:rsid w:val="00771043"/>
    <w:rsid w:val="00773AF7"/>
    <w:rsid w:val="00774FFD"/>
    <w:rsid w:val="00780378"/>
    <w:rsid w:val="0078085E"/>
    <w:rsid w:val="00781BD4"/>
    <w:rsid w:val="00782562"/>
    <w:rsid w:val="007828B4"/>
    <w:rsid w:val="00784832"/>
    <w:rsid w:val="00784EA0"/>
    <w:rsid w:val="00785D77"/>
    <w:rsid w:val="00786111"/>
    <w:rsid w:val="00790963"/>
    <w:rsid w:val="00790D9C"/>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14A"/>
    <w:rsid w:val="007A5AD1"/>
    <w:rsid w:val="007A5B7B"/>
    <w:rsid w:val="007A65A9"/>
    <w:rsid w:val="007B0128"/>
    <w:rsid w:val="007B0A06"/>
    <w:rsid w:val="007B0B24"/>
    <w:rsid w:val="007B1B18"/>
    <w:rsid w:val="007B1C83"/>
    <w:rsid w:val="007B2195"/>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65"/>
    <w:rsid w:val="007F30E4"/>
    <w:rsid w:val="007F343A"/>
    <w:rsid w:val="0080064F"/>
    <w:rsid w:val="00801B85"/>
    <w:rsid w:val="00803850"/>
    <w:rsid w:val="008039E8"/>
    <w:rsid w:val="00804385"/>
    <w:rsid w:val="008045DD"/>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190"/>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6C91"/>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6CC3"/>
    <w:rsid w:val="008A7073"/>
    <w:rsid w:val="008A79F0"/>
    <w:rsid w:val="008A7F7E"/>
    <w:rsid w:val="008B04DB"/>
    <w:rsid w:val="008B09B4"/>
    <w:rsid w:val="008B1BEF"/>
    <w:rsid w:val="008B1DF4"/>
    <w:rsid w:val="008B27FD"/>
    <w:rsid w:val="008B2D4D"/>
    <w:rsid w:val="008B2FDB"/>
    <w:rsid w:val="008B3A36"/>
    <w:rsid w:val="008B3AF2"/>
    <w:rsid w:val="008B446D"/>
    <w:rsid w:val="008B515D"/>
    <w:rsid w:val="008B5D31"/>
    <w:rsid w:val="008B6705"/>
    <w:rsid w:val="008B71DE"/>
    <w:rsid w:val="008C22F3"/>
    <w:rsid w:val="008C3FD0"/>
    <w:rsid w:val="008C4F01"/>
    <w:rsid w:val="008D1484"/>
    <w:rsid w:val="008D29E7"/>
    <w:rsid w:val="008D5104"/>
    <w:rsid w:val="008D75F4"/>
    <w:rsid w:val="008D795D"/>
    <w:rsid w:val="008D7B07"/>
    <w:rsid w:val="008E04BE"/>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665C"/>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879CC"/>
    <w:rsid w:val="009935C3"/>
    <w:rsid w:val="0099421F"/>
    <w:rsid w:val="00994FC8"/>
    <w:rsid w:val="009A0DE3"/>
    <w:rsid w:val="009A1643"/>
    <w:rsid w:val="009A215A"/>
    <w:rsid w:val="009A28CF"/>
    <w:rsid w:val="009A2ABB"/>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3F1"/>
    <w:rsid w:val="009C582A"/>
    <w:rsid w:val="009C5C56"/>
    <w:rsid w:val="009C72DD"/>
    <w:rsid w:val="009C78FD"/>
    <w:rsid w:val="009C7DF5"/>
    <w:rsid w:val="009D006D"/>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6B3"/>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E2C"/>
    <w:rsid w:val="00A07F12"/>
    <w:rsid w:val="00A1105B"/>
    <w:rsid w:val="00A1213C"/>
    <w:rsid w:val="00A130E8"/>
    <w:rsid w:val="00A15B6B"/>
    <w:rsid w:val="00A15EB4"/>
    <w:rsid w:val="00A16172"/>
    <w:rsid w:val="00A16876"/>
    <w:rsid w:val="00A16ED4"/>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7FD3"/>
    <w:rsid w:val="00A40FFB"/>
    <w:rsid w:val="00A41468"/>
    <w:rsid w:val="00A414A9"/>
    <w:rsid w:val="00A44141"/>
    <w:rsid w:val="00A44CCA"/>
    <w:rsid w:val="00A44D75"/>
    <w:rsid w:val="00A47418"/>
    <w:rsid w:val="00A47CF1"/>
    <w:rsid w:val="00A50418"/>
    <w:rsid w:val="00A5277B"/>
    <w:rsid w:val="00A54A47"/>
    <w:rsid w:val="00A56D26"/>
    <w:rsid w:val="00A571A7"/>
    <w:rsid w:val="00A5749A"/>
    <w:rsid w:val="00A57BA8"/>
    <w:rsid w:val="00A608FB"/>
    <w:rsid w:val="00A60D83"/>
    <w:rsid w:val="00A60F68"/>
    <w:rsid w:val="00A63DF3"/>
    <w:rsid w:val="00A646A7"/>
    <w:rsid w:val="00A65C78"/>
    <w:rsid w:val="00A660A8"/>
    <w:rsid w:val="00A66A45"/>
    <w:rsid w:val="00A67041"/>
    <w:rsid w:val="00A67591"/>
    <w:rsid w:val="00A67CA6"/>
    <w:rsid w:val="00A70E7B"/>
    <w:rsid w:val="00A717EA"/>
    <w:rsid w:val="00A721C4"/>
    <w:rsid w:val="00A73B84"/>
    <w:rsid w:val="00A7411D"/>
    <w:rsid w:val="00A756C4"/>
    <w:rsid w:val="00A7592B"/>
    <w:rsid w:val="00A75D6E"/>
    <w:rsid w:val="00A76094"/>
    <w:rsid w:val="00A768E2"/>
    <w:rsid w:val="00A82C52"/>
    <w:rsid w:val="00A835B5"/>
    <w:rsid w:val="00A838E8"/>
    <w:rsid w:val="00A83C15"/>
    <w:rsid w:val="00A84EC4"/>
    <w:rsid w:val="00A86CB6"/>
    <w:rsid w:val="00A87DE2"/>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31D9"/>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35C1"/>
    <w:rsid w:val="00AD49A1"/>
    <w:rsid w:val="00AD5771"/>
    <w:rsid w:val="00AD6870"/>
    <w:rsid w:val="00AD68C5"/>
    <w:rsid w:val="00AD7F8F"/>
    <w:rsid w:val="00AE0BF9"/>
    <w:rsid w:val="00AE1273"/>
    <w:rsid w:val="00AE1657"/>
    <w:rsid w:val="00AE18C5"/>
    <w:rsid w:val="00AE2CF4"/>
    <w:rsid w:val="00AE2D29"/>
    <w:rsid w:val="00AE2F15"/>
    <w:rsid w:val="00AE4624"/>
    <w:rsid w:val="00AE4B3E"/>
    <w:rsid w:val="00AE54B2"/>
    <w:rsid w:val="00AE5E14"/>
    <w:rsid w:val="00AE6115"/>
    <w:rsid w:val="00AE625B"/>
    <w:rsid w:val="00AE72FC"/>
    <w:rsid w:val="00AF01B2"/>
    <w:rsid w:val="00AF0D44"/>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0ACB"/>
    <w:rsid w:val="00B427BB"/>
    <w:rsid w:val="00B43BA2"/>
    <w:rsid w:val="00B449EE"/>
    <w:rsid w:val="00B454AE"/>
    <w:rsid w:val="00B45E01"/>
    <w:rsid w:val="00B479DB"/>
    <w:rsid w:val="00B50227"/>
    <w:rsid w:val="00B50510"/>
    <w:rsid w:val="00B51AB2"/>
    <w:rsid w:val="00B522CD"/>
    <w:rsid w:val="00B55143"/>
    <w:rsid w:val="00B555C8"/>
    <w:rsid w:val="00B55917"/>
    <w:rsid w:val="00B5646A"/>
    <w:rsid w:val="00B56F3D"/>
    <w:rsid w:val="00B57921"/>
    <w:rsid w:val="00B57985"/>
    <w:rsid w:val="00B57E78"/>
    <w:rsid w:val="00B57EB8"/>
    <w:rsid w:val="00B609F6"/>
    <w:rsid w:val="00B60E75"/>
    <w:rsid w:val="00B643A6"/>
    <w:rsid w:val="00B64DD6"/>
    <w:rsid w:val="00B66505"/>
    <w:rsid w:val="00B6710C"/>
    <w:rsid w:val="00B67E84"/>
    <w:rsid w:val="00B704D8"/>
    <w:rsid w:val="00B72076"/>
    <w:rsid w:val="00B72303"/>
    <w:rsid w:val="00B72C72"/>
    <w:rsid w:val="00B72ED9"/>
    <w:rsid w:val="00B730D6"/>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1C1F"/>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1FE"/>
    <w:rsid w:val="00BC3573"/>
    <w:rsid w:val="00BC4123"/>
    <w:rsid w:val="00BC6BB9"/>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36BA"/>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2E2D"/>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4CDF"/>
    <w:rsid w:val="00CB758D"/>
    <w:rsid w:val="00CB7A3E"/>
    <w:rsid w:val="00CB7FF7"/>
    <w:rsid w:val="00CC0D0E"/>
    <w:rsid w:val="00CC1253"/>
    <w:rsid w:val="00CC19B3"/>
    <w:rsid w:val="00CC2044"/>
    <w:rsid w:val="00CC39D2"/>
    <w:rsid w:val="00CC6752"/>
    <w:rsid w:val="00CC6799"/>
    <w:rsid w:val="00CC69EC"/>
    <w:rsid w:val="00CC78A2"/>
    <w:rsid w:val="00CC7DF8"/>
    <w:rsid w:val="00CD05E9"/>
    <w:rsid w:val="00CD15BE"/>
    <w:rsid w:val="00CD1D8A"/>
    <w:rsid w:val="00CD1EF2"/>
    <w:rsid w:val="00CD32BD"/>
    <w:rsid w:val="00CD34C7"/>
    <w:rsid w:val="00CD5653"/>
    <w:rsid w:val="00CD5E6D"/>
    <w:rsid w:val="00CD63C8"/>
    <w:rsid w:val="00CD76F8"/>
    <w:rsid w:val="00CE02E8"/>
    <w:rsid w:val="00CE069E"/>
    <w:rsid w:val="00CE0DE0"/>
    <w:rsid w:val="00CE14E6"/>
    <w:rsid w:val="00CE358C"/>
    <w:rsid w:val="00CE3722"/>
    <w:rsid w:val="00CF0B5D"/>
    <w:rsid w:val="00CF158D"/>
    <w:rsid w:val="00CF2166"/>
    <w:rsid w:val="00CF4340"/>
    <w:rsid w:val="00CF4394"/>
    <w:rsid w:val="00CF48B4"/>
    <w:rsid w:val="00CF63E2"/>
    <w:rsid w:val="00D000A9"/>
    <w:rsid w:val="00D00384"/>
    <w:rsid w:val="00D005DB"/>
    <w:rsid w:val="00D0064E"/>
    <w:rsid w:val="00D00981"/>
    <w:rsid w:val="00D02596"/>
    <w:rsid w:val="00D0280D"/>
    <w:rsid w:val="00D02AEF"/>
    <w:rsid w:val="00D05669"/>
    <w:rsid w:val="00D06108"/>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F82"/>
    <w:rsid w:val="00D60483"/>
    <w:rsid w:val="00D61ABB"/>
    <w:rsid w:val="00D62D5C"/>
    <w:rsid w:val="00D63577"/>
    <w:rsid w:val="00D644A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2F6"/>
    <w:rsid w:val="00D8545C"/>
    <w:rsid w:val="00D86E57"/>
    <w:rsid w:val="00D87788"/>
    <w:rsid w:val="00D877C8"/>
    <w:rsid w:val="00D91040"/>
    <w:rsid w:val="00D910C2"/>
    <w:rsid w:val="00D9168C"/>
    <w:rsid w:val="00D9189B"/>
    <w:rsid w:val="00D91DA6"/>
    <w:rsid w:val="00D921A0"/>
    <w:rsid w:val="00D93A41"/>
    <w:rsid w:val="00D93B9A"/>
    <w:rsid w:val="00D95670"/>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6C0"/>
    <w:rsid w:val="00DB0ABB"/>
    <w:rsid w:val="00DB2AAD"/>
    <w:rsid w:val="00DB44D3"/>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0C1A"/>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707"/>
    <w:rsid w:val="00E57703"/>
    <w:rsid w:val="00E57ED4"/>
    <w:rsid w:val="00E57FED"/>
    <w:rsid w:val="00E60821"/>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47A3"/>
    <w:rsid w:val="00E75ACE"/>
    <w:rsid w:val="00E77049"/>
    <w:rsid w:val="00E771AF"/>
    <w:rsid w:val="00E80386"/>
    <w:rsid w:val="00E809C3"/>
    <w:rsid w:val="00E81A1A"/>
    <w:rsid w:val="00E81C3E"/>
    <w:rsid w:val="00E82359"/>
    <w:rsid w:val="00E82B6D"/>
    <w:rsid w:val="00E83187"/>
    <w:rsid w:val="00E831E9"/>
    <w:rsid w:val="00E8608F"/>
    <w:rsid w:val="00E86C1D"/>
    <w:rsid w:val="00E90F05"/>
    <w:rsid w:val="00E943F4"/>
    <w:rsid w:val="00E9763D"/>
    <w:rsid w:val="00E9767E"/>
    <w:rsid w:val="00EA1177"/>
    <w:rsid w:val="00EA118B"/>
    <w:rsid w:val="00EA11B6"/>
    <w:rsid w:val="00EA2181"/>
    <w:rsid w:val="00EA2DD8"/>
    <w:rsid w:val="00EA4475"/>
    <w:rsid w:val="00EA52FE"/>
    <w:rsid w:val="00EA681F"/>
    <w:rsid w:val="00EA7CF8"/>
    <w:rsid w:val="00EB04C6"/>
    <w:rsid w:val="00EB06A6"/>
    <w:rsid w:val="00EB1881"/>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6A88"/>
    <w:rsid w:val="00ED7DA4"/>
    <w:rsid w:val="00EE01BC"/>
    <w:rsid w:val="00EE03BB"/>
    <w:rsid w:val="00EE0552"/>
    <w:rsid w:val="00EE0B44"/>
    <w:rsid w:val="00EE125D"/>
    <w:rsid w:val="00EE23DE"/>
    <w:rsid w:val="00EE32B6"/>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6682"/>
    <w:rsid w:val="00F07052"/>
    <w:rsid w:val="00F0706C"/>
    <w:rsid w:val="00F10FEE"/>
    <w:rsid w:val="00F11EBE"/>
    <w:rsid w:val="00F12293"/>
    <w:rsid w:val="00F12BA8"/>
    <w:rsid w:val="00F130D0"/>
    <w:rsid w:val="00F144E8"/>
    <w:rsid w:val="00F14933"/>
    <w:rsid w:val="00F1516A"/>
    <w:rsid w:val="00F15EE5"/>
    <w:rsid w:val="00F171F9"/>
    <w:rsid w:val="00F1737C"/>
    <w:rsid w:val="00F22A26"/>
    <w:rsid w:val="00F24072"/>
    <w:rsid w:val="00F26432"/>
    <w:rsid w:val="00F27FBF"/>
    <w:rsid w:val="00F3197A"/>
    <w:rsid w:val="00F32139"/>
    <w:rsid w:val="00F32504"/>
    <w:rsid w:val="00F32948"/>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5CA6"/>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7E2"/>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35271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24331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ED46-4ACC-46D1-816B-1D016CB4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2011-12-07T17:45:00Z</cp:lastPrinted>
  <dcterms:created xsi:type="dcterms:W3CDTF">2011-11-28T15:55:00Z</dcterms:created>
  <dcterms:modified xsi:type="dcterms:W3CDTF">2012-02-14T15:23:00Z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