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660465" w:rsidRDefault="00660465" w:rsidP="00660465">
      <w:pPr>
        <w:tabs>
          <w:tab w:val="left" w:pos="288"/>
          <w:tab w:val="left" w:pos="4680"/>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2841AD">
        <w:rPr>
          <w:rFonts w:asciiTheme="minorHAnsi" w:hAnsiTheme="minorHAnsi"/>
          <w:caps/>
          <w:color w:val="auto"/>
        </w:rPr>
        <w:t xml:space="preserve"> </w:t>
      </w:r>
      <w:r>
        <w:rPr>
          <w:rFonts w:asciiTheme="minorHAnsi" w:hAnsiTheme="minorHAnsi"/>
          <w:caps/>
          <w:color w:val="auto"/>
        </w:rPr>
        <w:t xml:space="preserve">                </w:t>
      </w:r>
      <w:r>
        <w:rPr>
          <w:rFonts w:asciiTheme="minorHAnsi" w:hAnsiTheme="minorHAnsi"/>
          <w:caps/>
          <w:color w:val="auto"/>
        </w:rPr>
        <w:tab/>
        <w:t>b</w:t>
      </w:r>
      <w:r w:rsidRPr="00FD6C41">
        <w:rPr>
          <w:rFonts w:asciiTheme="minorHAnsi" w:hAnsiTheme="minorHAnsi"/>
          <w:caps/>
          <w:color w:val="auto"/>
        </w:rPr>
        <w:t>RANCH OF SERVICE</w:t>
      </w:r>
      <w:r w:rsidRPr="00816CCB">
        <w:rPr>
          <w:rFonts w:asciiTheme="minorHAnsi" w:hAnsiTheme="minorHAnsi"/>
          <w:caps/>
          <w:color w:val="auto"/>
        </w:rPr>
        <w:t xml:space="preserve">: </w:t>
      </w:r>
      <w:r w:rsidRPr="00342C58">
        <w:rPr>
          <w:rFonts w:asciiTheme="minorHAnsi" w:hAnsiTheme="minorHAnsi"/>
          <w:caps/>
          <w:color w:val="auto"/>
        </w:rPr>
        <w:t xml:space="preserve"> Army</w:t>
      </w:r>
      <w:r>
        <w:rPr>
          <w:rFonts w:asciiTheme="minorHAnsi" w:hAnsiTheme="minorHAnsi"/>
          <w:caps/>
          <w:color w:val="auto"/>
          <w:highlight w:val="yellow"/>
        </w:rPr>
        <w:t xml:space="preserve"> </w:t>
      </w:r>
    </w:p>
    <w:p w:rsidR="00660465" w:rsidRDefault="00660465" w:rsidP="00660465">
      <w:pPr>
        <w:tabs>
          <w:tab w:val="left" w:pos="288"/>
          <w:tab w:val="left" w:pos="4680"/>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Pr="00FD6C41">
        <w:rPr>
          <w:rFonts w:asciiTheme="minorHAnsi" w:hAnsiTheme="minorHAnsi"/>
          <w:caps/>
          <w:color w:val="auto"/>
        </w:rPr>
        <w:t xml:space="preserve">ASE NUMBER: </w:t>
      </w:r>
      <w:r>
        <w:rPr>
          <w:rFonts w:asciiTheme="minorHAnsi" w:hAnsiTheme="minorHAnsi"/>
          <w:caps/>
          <w:color w:val="auto"/>
        </w:rPr>
        <w:t xml:space="preserve"> </w:t>
      </w:r>
      <w:r w:rsidRPr="00FD6C41">
        <w:rPr>
          <w:rFonts w:asciiTheme="minorHAnsi" w:hAnsiTheme="minorHAnsi"/>
          <w:caps/>
          <w:color w:val="auto"/>
        </w:rPr>
        <w:t>PD</w:t>
      </w:r>
      <w:r w:rsidRPr="00342C58">
        <w:rPr>
          <w:rFonts w:asciiTheme="minorHAnsi" w:hAnsiTheme="minorHAnsi"/>
          <w:caps/>
          <w:color w:val="auto"/>
        </w:rPr>
        <w:t>1001020</w:t>
      </w:r>
      <w:r w:rsidRPr="00DE3AAD">
        <w:rPr>
          <w:rFonts w:asciiTheme="minorHAnsi" w:hAnsiTheme="minorHAnsi"/>
          <w:color w:val="auto"/>
        </w:rPr>
        <w:t xml:space="preserve"> </w:t>
      </w:r>
      <w:r>
        <w:rPr>
          <w:rFonts w:asciiTheme="minorHAnsi" w:hAnsiTheme="minorHAnsi"/>
          <w:color w:val="auto"/>
        </w:rPr>
        <w:t xml:space="preserve">                        </w:t>
      </w:r>
      <w:r>
        <w:rPr>
          <w:rFonts w:asciiTheme="minorHAnsi" w:hAnsiTheme="minorHAnsi"/>
          <w:color w:val="auto"/>
        </w:rPr>
        <w:tab/>
        <w:t xml:space="preserve">DATE OF PLACEMENT ON TDRL:  </w:t>
      </w:r>
      <w:r w:rsidR="0017633E">
        <w:rPr>
          <w:rFonts w:asciiTheme="minorHAnsi" w:hAnsiTheme="minorHAnsi"/>
          <w:color w:val="auto"/>
        </w:rPr>
        <w:t>20050706</w:t>
      </w:r>
    </w:p>
    <w:p w:rsidR="00660465" w:rsidRDefault="00660465" w:rsidP="00660465">
      <w:pPr>
        <w:tabs>
          <w:tab w:val="left" w:pos="288"/>
          <w:tab w:val="left" w:pos="4680"/>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E507E5">
        <w:rPr>
          <w:rFonts w:asciiTheme="minorHAnsi" w:hAnsiTheme="minorHAnsi"/>
          <w:caps/>
          <w:color w:val="auto"/>
        </w:rPr>
        <w:t>1214</w:t>
      </w:r>
      <w:r>
        <w:rPr>
          <w:rFonts w:asciiTheme="minorHAnsi" w:hAnsiTheme="minorHAnsi"/>
          <w:caps/>
          <w:color w:val="auto"/>
        </w:rPr>
        <w:t xml:space="preserve">                                 </w:t>
      </w:r>
      <w:r>
        <w:rPr>
          <w:rFonts w:asciiTheme="minorHAnsi" w:hAnsiTheme="minorHAnsi"/>
          <w:caps/>
          <w:color w:val="auto"/>
        </w:rPr>
        <w:tab/>
        <w:t xml:space="preserve">Date of Permanent </w:t>
      </w:r>
      <w:r>
        <w:rPr>
          <w:rFonts w:asciiTheme="minorHAnsi" w:hAnsiTheme="minorHAnsi"/>
          <w:color w:val="auto"/>
        </w:rPr>
        <w:t>SEPARATION:  20070927</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660465" w:rsidRPr="00C472C7" w:rsidRDefault="00FB0E80" w:rsidP="00660465">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660465" w:rsidRPr="00EC337D">
        <w:rPr>
          <w:rFonts w:asciiTheme="minorHAnsi" w:hAnsiTheme="minorHAnsi"/>
          <w:color w:val="auto"/>
        </w:rPr>
        <w:t xml:space="preserve">Data extracted from the available evidence of record reflects that this covered individual (CI) </w:t>
      </w:r>
      <w:r w:rsidR="00660465" w:rsidRPr="00AD7F8F">
        <w:rPr>
          <w:rFonts w:asciiTheme="minorHAnsi" w:hAnsiTheme="minorHAnsi"/>
          <w:color w:val="auto"/>
          <w:szCs w:val="24"/>
        </w:rPr>
        <w:t xml:space="preserve">was an active duty </w:t>
      </w:r>
      <w:r w:rsidR="00660465">
        <w:rPr>
          <w:rFonts w:asciiTheme="minorHAnsi" w:hAnsiTheme="minorHAnsi"/>
          <w:color w:val="auto"/>
          <w:szCs w:val="24"/>
        </w:rPr>
        <w:t>member,</w:t>
      </w:r>
      <w:r w:rsidR="00660465" w:rsidRPr="00AD7F8F">
        <w:rPr>
          <w:rFonts w:asciiTheme="minorHAnsi" w:hAnsiTheme="minorHAnsi"/>
          <w:color w:val="auto"/>
          <w:szCs w:val="24"/>
        </w:rPr>
        <w:t xml:space="preserve"> </w:t>
      </w:r>
      <w:r w:rsidR="00660465">
        <w:rPr>
          <w:rFonts w:asciiTheme="minorHAnsi" w:hAnsiTheme="minorHAnsi"/>
          <w:color w:val="auto"/>
          <w:szCs w:val="24"/>
        </w:rPr>
        <w:t>SPC/E-4</w:t>
      </w:r>
      <w:r w:rsidR="00660465" w:rsidRPr="00AD7F8F">
        <w:rPr>
          <w:rFonts w:asciiTheme="minorHAnsi" w:hAnsiTheme="minorHAnsi"/>
          <w:color w:val="auto"/>
          <w:szCs w:val="24"/>
        </w:rPr>
        <w:t xml:space="preserve"> (</w:t>
      </w:r>
      <w:r w:rsidR="00660465">
        <w:rPr>
          <w:rFonts w:asciiTheme="minorHAnsi" w:hAnsiTheme="minorHAnsi"/>
          <w:color w:val="auto"/>
          <w:szCs w:val="24"/>
        </w:rPr>
        <w:t>21B, Combat Engineer</w:t>
      </w:r>
      <w:r w:rsidR="00660465" w:rsidRPr="00AD7F8F">
        <w:rPr>
          <w:rFonts w:asciiTheme="minorHAnsi" w:hAnsiTheme="minorHAnsi"/>
          <w:color w:val="auto"/>
          <w:szCs w:val="24"/>
        </w:rPr>
        <w:t>)</w:t>
      </w:r>
      <w:r w:rsidR="00660465">
        <w:rPr>
          <w:rFonts w:asciiTheme="minorHAnsi" w:hAnsiTheme="minorHAnsi"/>
          <w:color w:val="auto"/>
          <w:szCs w:val="24"/>
        </w:rPr>
        <w:t xml:space="preserve">, </w:t>
      </w:r>
      <w:r w:rsidR="00660465" w:rsidRPr="00AD7F8F">
        <w:rPr>
          <w:rFonts w:asciiTheme="minorHAnsi" w:hAnsiTheme="minorHAnsi"/>
          <w:color w:val="auto"/>
          <w:szCs w:val="24"/>
        </w:rPr>
        <w:t>medically separated for</w:t>
      </w:r>
      <w:r w:rsidR="00660465">
        <w:rPr>
          <w:rFonts w:asciiTheme="minorHAnsi" w:hAnsiTheme="minorHAnsi"/>
          <w:color w:val="auto"/>
          <w:szCs w:val="24"/>
        </w:rPr>
        <w:t xml:space="preserve"> </w:t>
      </w:r>
      <w:r w:rsidR="001A2B75">
        <w:rPr>
          <w:rFonts w:asciiTheme="minorHAnsi" w:hAnsiTheme="minorHAnsi"/>
          <w:color w:val="auto"/>
          <w:szCs w:val="24"/>
        </w:rPr>
        <w:t>post</w:t>
      </w:r>
      <w:r w:rsidR="00DF6943">
        <w:rPr>
          <w:rFonts w:asciiTheme="minorHAnsi" w:hAnsiTheme="minorHAnsi"/>
          <w:color w:val="auto"/>
          <w:szCs w:val="24"/>
        </w:rPr>
        <w:t>traumatic stress d</w:t>
      </w:r>
      <w:r w:rsidR="00660465">
        <w:rPr>
          <w:rFonts w:asciiTheme="minorHAnsi" w:hAnsiTheme="minorHAnsi"/>
          <w:color w:val="auto"/>
          <w:szCs w:val="24"/>
        </w:rPr>
        <w:t>isorder (PTSD)</w:t>
      </w:r>
      <w:r w:rsidR="00660465">
        <w:rPr>
          <w:rFonts w:asciiTheme="minorHAnsi" w:hAnsiTheme="minorHAnsi"/>
          <w:i/>
          <w:color w:val="auto"/>
          <w:szCs w:val="24"/>
        </w:rPr>
        <w:t>.</w:t>
      </w:r>
      <w:r w:rsidR="00660465">
        <w:rPr>
          <w:rFonts w:asciiTheme="minorHAnsi" w:hAnsiTheme="minorHAnsi"/>
          <w:color w:val="auto"/>
          <w:szCs w:val="24"/>
        </w:rPr>
        <w:t xml:space="preserve">  </w:t>
      </w:r>
      <w:r w:rsidR="00CC5454">
        <w:rPr>
          <w:rFonts w:asciiTheme="minorHAnsi" w:hAnsiTheme="minorHAnsi"/>
          <w:color w:val="auto"/>
          <w:szCs w:val="24"/>
        </w:rPr>
        <w:t xml:space="preserve">While deployed to Iraq in 2003 and 2004, the CI experienced </w:t>
      </w:r>
      <w:r w:rsidR="00A433BE">
        <w:rPr>
          <w:rFonts w:asciiTheme="minorHAnsi" w:hAnsiTheme="minorHAnsi"/>
          <w:color w:val="auto"/>
          <w:szCs w:val="24"/>
        </w:rPr>
        <w:t>significant</w:t>
      </w:r>
      <w:r w:rsidR="00604826" w:rsidRPr="00CA70CA">
        <w:rPr>
          <w:rFonts w:asciiTheme="minorHAnsi" w:hAnsiTheme="minorHAnsi"/>
          <w:color w:val="auto"/>
          <w:szCs w:val="24"/>
        </w:rPr>
        <w:t xml:space="preserve"> combat stressors</w:t>
      </w:r>
      <w:r w:rsidR="004765D8">
        <w:rPr>
          <w:rFonts w:asciiTheme="minorHAnsi" w:hAnsiTheme="minorHAnsi"/>
          <w:color w:val="auto"/>
          <w:szCs w:val="24"/>
        </w:rPr>
        <w:t xml:space="preserve"> and was treated for psychiatric symptoms in theater.  He met </w:t>
      </w:r>
      <w:r w:rsidR="001A2B75">
        <w:rPr>
          <w:rFonts w:asciiTheme="minorHAnsi" w:hAnsiTheme="minorHAnsi"/>
          <w:color w:val="auto"/>
          <w:szCs w:val="24"/>
        </w:rPr>
        <w:t>d</w:t>
      </w:r>
      <w:r w:rsidR="00604826" w:rsidRPr="00CA70CA">
        <w:rPr>
          <w:rFonts w:asciiTheme="minorHAnsi" w:hAnsiTheme="minorHAnsi"/>
          <w:color w:val="auto"/>
          <w:szCs w:val="24"/>
        </w:rPr>
        <w:t xml:space="preserve">iagnostic and </w:t>
      </w:r>
      <w:r w:rsidR="001A2B75">
        <w:rPr>
          <w:rFonts w:asciiTheme="minorHAnsi" w:hAnsiTheme="minorHAnsi"/>
          <w:color w:val="auto"/>
          <w:szCs w:val="24"/>
        </w:rPr>
        <w:t>s</w:t>
      </w:r>
      <w:r w:rsidR="00604826" w:rsidRPr="00CA70CA">
        <w:rPr>
          <w:rFonts w:asciiTheme="minorHAnsi" w:hAnsiTheme="minorHAnsi"/>
          <w:color w:val="auto"/>
          <w:szCs w:val="24"/>
        </w:rPr>
        <w:t xml:space="preserve">tatistical </w:t>
      </w:r>
      <w:r w:rsidR="001A2B75">
        <w:rPr>
          <w:rFonts w:asciiTheme="minorHAnsi" w:hAnsiTheme="minorHAnsi"/>
          <w:color w:val="auto"/>
          <w:szCs w:val="24"/>
        </w:rPr>
        <w:t>m</w:t>
      </w:r>
      <w:r w:rsidR="00604826" w:rsidRPr="00CA70CA">
        <w:rPr>
          <w:rFonts w:asciiTheme="minorHAnsi" w:hAnsiTheme="minorHAnsi"/>
          <w:color w:val="auto"/>
          <w:szCs w:val="24"/>
        </w:rPr>
        <w:t xml:space="preserve">anual of </w:t>
      </w:r>
      <w:r w:rsidR="001A2B75">
        <w:rPr>
          <w:rFonts w:asciiTheme="minorHAnsi" w:hAnsiTheme="minorHAnsi"/>
          <w:color w:val="auto"/>
          <w:szCs w:val="24"/>
        </w:rPr>
        <w:t>m</w:t>
      </w:r>
      <w:r w:rsidR="00604826" w:rsidRPr="00CA70CA">
        <w:rPr>
          <w:rFonts w:asciiTheme="minorHAnsi" w:hAnsiTheme="minorHAnsi"/>
          <w:color w:val="auto"/>
          <w:szCs w:val="24"/>
        </w:rPr>
        <w:t>ental</w:t>
      </w:r>
      <w:r w:rsidR="00604826" w:rsidRPr="00017A73">
        <w:rPr>
          <w:rFonts w:asciiTheme="minorHAnsi" w:hAnsiTheme="minorHAnsi"/>
          <w:color w:val="auto"/>
          <w:szCs w:val="24"/>
        </w:rPr>
        <w:t xml:space="preserve"> </w:t>
      </w:r>
      <w:r w:rsidR="001A2B75">
        <w:rPr>
          <w:rFonts w:asciiTheme="minorHAnsi" w:hAnsiTheme="minorHAnsi"/>
          <w:color w:val="auto"/>
          <w:szCs w:val="24"/>
        </w:rPr>
        <w:t>d</w:t>
      </w:r>
      <w:r w:rsidR="00604826" w:rsidRPr="00017A73">
        <w:rPr>
          <w:rFonts w:asciiTheme="minorHAnsi" w:hAnsiTheme="minorHAnsi"/>
          <w:color w:val="auto"/>
          <w:szCs w:val="24"/>
        </w:rPr>
        <w:t xml:space="preserve">isorders (DSM IV) criteria for an Axis I diagnosis of PTSD </w:t>
      </w:r>
      <w:r w:rsidR="004765D8">
        <w:rPr>
          <w:rFonts w:asciiTheme="minorHAnsi" w:hAnsiTheme="minorHAnsi"/>
          <w:color w:val="auto"/>
          <w:szCs w:val="24"/>
        </w:rPr>
        <w:t>upon further evaluation after re-deployment</w:t>
      </w:r>
      <w:r w:rsidR="00604826" w:rsidRPr="00017A73">
        <w:rPr>
          <w:rFonts w:asciiTheme="minorHAnsi" w:hAnsiTheme="minorHAnsi"/>
          <w:color w:val="auto"/>
          <w:szCs w:val="24"/>
        </w:rPr>
        <w:t>.</w:t>
      </w:r>
      <w:r w:rsidR="00604826">
        <w:rPr>
          <w:rFonts w:asciiTheme="minorHAnsi" w:hAnsiTheme="minorHAnsi"/>
          <w:color w:val="auto"/>
          <w:szCs w:val="24"/>
        </w:rPr>
        <w:t xml:space="preserve">  </w:t>
      </w:r>
      <w:r w:rsidR="00660465" w:rsidRPr="00C472C7">
        <w:rPr>
          <w:rFonts w:asciiTheme="minorHAnsi" w:hAnsiTheme="minorHAnsi"/>
          <w:color w:val="auto"/>
          <w:szCs w:val="24"/>
        </w:rPr>
        <w:t xml:space="preserve">He did not respond adequately to </w:t>
      </w:r>
      <w:r w:rsidR="00604826">
        <w:rPr>
          <w:rFonts w:asciiTheme="minorHAnsi" w:hAnsiTheme="minorHAnsi"/>
          <w:color w:val="auto"/>
          <w:szCs w:val="24"/>
        </w:rPr>
        <w:t>a trial of psychotherapy and medications</w:t>
      </w:r>
      <w:r w:rsidR="001A2B75">
        <w:rPr>
          <w:rFonts w:asciiTheme="minorHAnsi" w:hAnsiTheme="minorHAnsi"/>
          <w:color w:val="auto"/>
          <w:szCs w:val="24"/>
        </w:rPr>
        <w:t>,</w:t>
      </w:r>
      <w:r w:rsidR="00660465" w:rsidRPr="00C472C7">
        <w:rPr>
          <w:rFonts w:asciiTheme="minorHAnsi" w:hAnsiTheme="minorHAnsi"/>
          <w:color w:val="auto"/>
          <w:szCs w:val="24"/>
        </w:rPr>
        <w:t xml:space="preserve"> and was unable to perform within his </w:t>
      </w:r>
      <w:r w:rsidR="001A2B75">
        <w:rPr>
          <w:rFonts w:asciiTheme="minorHAnsi" w:hAnsiTheme="minorHAnsi"/>
          <w:color w:val="auto"/>
          <w:szCs w:val="24"/>
        </w:rPr>
        <w:t>m</w:t>
      </w:r>
      <w:r w:rsidR="00660465" w:rsidRPr="00342C58">
        <w:rPr>
          <w:rFonts w:asciiTheme="minorHAnsi" w:hAnsiTheme="minorHAnsi"/>
          <w:color w:val="auto"/>
          <w:szCs w:val="24"/>
        </w:rPr>
        <w:t xml:space="preserve">ilitary </w:t>
      </w:r>
      <w:r w:rsidR="001A2B75">
        <w:rPr>
          <w:rFonts w:asciiTheme="minorHAnsi" w:hAnsiTheme="minorHAnsi"/>
          <w:color w:val="auto"/>
          <w:szCs w:val="24"/>
        </w:rPr>
        <w:t>o</w:t>
      </w:r>
      <w:r w:rsidR="00660465" w:rsidRPr="00342C58">
        <w:rPr>
          <w:rFonts w:asciiTheme="minorHAnsi" w:hAnsiTheme="minorHAnsi"/>
          <w:color w:val="auto"/>
          <w:szCs w:val="24"/>
        </w:rPr>
        <w:t xml:space="preserve">ccupational </w:t>
      </w:r>
      <w:r w:rsidR="001A2B75">
        <w:rPr>
          <w:rFonts w:asciiTheme="minorHAnsi" w:hAnsiTheme="minorHAnsi"/>
          <w:color w:val="auto"/>
          <w:szCs w:val="24"/>
        </w:rPr>
        <w:t>s</w:t>
      </w:r>
      <w:r w:rsidR="00660465" w:rsidRPr="00342C58">
        <w:rPr>
          <w:rFonts w:asciiTheme="minorHAnsi" w:hAnsiTheme="minorHAnsi"/>
          <w:color w:val="auto"/>
          <w:szCs w:val="24"/>
        </w:rPr>
        <w:t>pecialty</w:t>
      </w:r>
      <w:r w:rsidR="00660465">
        <w:rPr>
          <w:rFonts w:asciiTheme="minorHAnsi" w:hAnsiTheme="minorHAnsi"/>
          <w:color w:val="auto"/>
          <w:szCs w:val="24"/>
        </w:rPr>
        <w:t xml:space="preserve"> (MOS).  </w:t>
      </w:r>
      <w:r w:rsidR="00660465" w:rsidRPr="00555C66">
        <w:rPr>
          <w:rFonts w:asciiTheme="minorHAnsi" w:hAnsiTheme="minorHAnsi"/>
          <w:color w:val="auto"/>
          <w:szCs w:val="24"/>
        </w:rPr>
        <w:t xml:space="preserve">He was </w:t>
      </w:r>
      <w:r w:rsidR="00604826">
        <w:rPr>
          <w:rFonts w:asciiTheme="minorHAnsi" w:hAnsiTheme="minorHAnsi"/>
          <w:color w:val="auto"/>
          <w:szCs w:val="24"/>
        </w:rPr>
        <w:t xml:space="preserve">consequently </w:t>
      </w:r>
      <w:r w:rsidR="00660465" w:rsidRPr="00555C66">
        <w:rPr>
          <w:rFonts w:asciiTheme="minorHAnsi" w:hAnsiTheme="minorHAnsi"/>
          <w:color w:val="auto"/>
          <w:szCs w:val="24"/>
        </w:rPr>
        <w:t>issued</w:t>
      </w:r>
      <w:r w:rsidR="00660465" w:rsidRPr="00C472C7">
        <w:rPr>
          <w:rFonts w:asciiTheme="minorHAnsi" w:hAnsiTheme="minorHAnsi"/>
          <w:color w:val="auto"/>
          <w:szCs w:val="24"/>
        </w:rPr>
        <w:t xml:space="preserve"> a </w:t>
      </w:r>
      <w:r w:rsidR="00660465" w:rsidRPr="009342C3">
        <w:rPr>
          <w:rFonts w:asciiTheme="minorHAnsi" w:hAnsiTheme="minorHAnsi"/>
          <w:color w:val="auto"/>
          <w:szCs w:val="24"/>
        </w:rPr>
        <w:t xml:space="preserve">permanent S3 profile </w:t>
      </w:r>
      <w:r w:rsidR="00660465" w:rsidRPr="00C472C7">
        <w:rPr>
          <w:rFonts w:asciiTheme="minorHAnsi" w:hAnsiTheme="minorHAnsi"/>
          <w:color w:val="auto"/>
          <w:szCs w:val="24"/>
        </w:rPr>
        <w:t xml:space="preserve">and </w:t>
      </w:r>
      <w:r w:rsidR="00604826">
        <w:rPr>
          <w:rFonts w:asciiTheme="minorHAnsi" w:hAnsiTheme="minorHAnsi"/>
          <w:color w:val="auto"/>
          <w:szCs w:val="24"/>
        </w:rPr>
        <w:t>referred for</w:t>
      </w:r>
      <w:r w:rsidR="00660465" w:rsidRPr="00C472C7">
        <w:rPr>
          <w:rFonts w:asciiTheme="minorHAnsi" w:hAnsiTheme="minorHAnsi"/>
          <w:color w:val="auto"/>
          <w:szCs w:val="24"/>
        </w:rPr>
        <w:t xml:space="preserve"> a Medical Evaluation Board (MEB).</w:t>
      </w:r>
      <w:r w:rsidR="00660465">
        <w:rPr>
          <w:rFonts w:asciiTheme="minorHAnsi" w:hAnsiTheme="minorHAnsi"/>
          <w:color w:val="auto"/>
          <w:szCs w:val="24"/>
        </w:rPr>
        <w:t xml:space="preserve">  PTSD was</w:t>
      </w:r>
      <w:r w:rsidR="00660465" w:rsidRPr="00C472C7">
        <w:rPr>
          <w:rFonts w:asciiTheme="minorHAnsi" w:hAnsiTheme="minorHAnsi"/>
          <w:color w:val="auto"/>
          <w:szCs w:val="24"/>
        </w:rPr>
        <w:t xml:space="preserve"> forwarded to the Physical Evaluation Board (PEB) as medically unacceptable IAW </w:t>
      </w:r>
      <w:r w:rsidR="00660465" w:rsidRPr="009342C3">
        <w:rPr>
          <w:rFonts w:asciiTheme="minorHAnsi" w:hAnsiTheme="minorHAnsi"/>
          <w:color w:val="auto"/>
          <w:szCs w:val="24"/>
        </w:rPr>
        <w:t>AR 40-501</w:t>
      </w:r>
      <w:r w:rsidR="00660465" w:rsidRPr="00C472C7">
        <w:rPr>
          <w:rFonts w:asciiTheme="minorHAnsi" w:hAnsiTheme="minorHAnsi"/>
          <w:color w:val="auto"/>
          <w:szCs w:val="24"/>
        </w:rPr>
        <w:t>.</w:t>
      </w:r>
      <w:r w:rsidR="00660465">
        <w:rPr>
          <w:rFonts w:asciiTheme="minorHAnsi" w:hAnsiTheme="minorHAnsi"/>
          <w:color w:val="auto"/>
          <w:szCs w:val="24"/>
        </w:rPr>
        <w:t xml:space="preserve">  </w:t>
      </w:r>
      <w:r w:rsidR="00A433BE">
        <w:rPr>
          <w:rFonts w:asciiTheme="minorHAnsi" w:hAnsiTheme="minorHAnsi"/>
          <w:color w:val="auto"/>
          <w:szCs w:val="24"/>
        </w:rPr>
        <w:t xml:space="preserve">A </w:t>
      </w:r>
      <w:r w:rsidR="00750E98">
        <w:rPr>
          <w:rFonts w:asciiTheme="minorHAnsi" w:hAnsiTheme="minorHAnsi"/>
          <w:color w:val="auto"/>
          <w:szCs w:val="24"/>
        </w:rPr>
        <w:t xml:space="preserve">right hand </w:t>
      </w:r>
      <w:r w:rsidR="00604826">
        <w:rPr>
          <w:rFonts w:asciiTheme="minorHAnsi" w:hAnsiTheme="minorHAnsi"/>
          <w:color w:val="auto"/>
          <w:szCs w:val="24"/>
        </w:rPr>
        <w:t>condition</w:t>
      </w:r>
      <w:r w:rsidR="00750E98">
        <w:rPr>
          <w:rFonts w:asciiTheme="minorHAnsi" w:hAnsiTheme="minorHAnsi"/>
          <w:color w:val="auto"/>
          <w:szCs w:val="24"/>
        </w:rPr>
        <w:t xml:space="preserve"> was</w:t>
      </w:r>
      <w:r w:rsidR="00604826">
        <w:rPr>
          <w:rFonts w:asciiTheme="minorHAnsi" w:hAnsiTheme="minorHAnsi"/>
          <w:color w:val="auto"/>
          <w:szCs w:val="24"/>
        </w:rPr>
        <w:t xml:space="preserve"> </w:t>
      </w:r>
      <w:r w:rsidR="00A433BE">
        <w:rPr>
          <w:rFonts w:asciiTheme="minorHAnsi" w:hAnsiTheme="minorHAnsi"/>
          <w:color w:val="auto"/>
          <w:szCs w:val="24"/>
        </w:rPr>
        <w:t xml:space="preserve">also </w:t>
      </w:r>
      <w:r w:rsidR="00604826">
        <w:rPr>
          <w:rFonts w:asciiTheme="minorHAnsi" w:hAnsiTheme="minorHAnsi"/>
          <w:color w:val="auto"/>
          <w:szCs w:val="24"/>
        </w:rPr>
        <w:t>evaluated</w:t>
      </w:r>
      <w:r w:rsidR="00750E98">
        <w:rPr>
          <w:rFonts w:asciiTheme="minorHAnsi" w:hAnsiTheme="minorHAnsi"/>
          <w:color w:val="auto"/>
          <w:szCs w:val="24"/>
        </w:rPr>
        <w:t xml:space="preserve"> </w:t>
      </w:r>
      <w:r w:rsidR="00604826">
        <w:rPr>
          <w:rFonts w:asciiTheme="minorHAnsi" w:hAnsiTheme="minorHAnsi"/>
          <w:color w:val="auto"/>
          <w:szCs w:val="24"/>
        </w:rPr>
        <w:t>by the MEB and forwarded</w:t>
      </w:r>
      <w:r w:rsidR="00750E98">
        <w:rPr>
          <w:rFonts w:asciiTheme="minorHAnsi" w:hAnsiTheme="minorHAnsi"/>
          <w:color w:val="auto"/>
          <w:szCs w:val="24"/>
        </w:rPr>
        <w:t xml:space="preserve"> as a medically acceptable condition.  </w:t>
      </w:r>
      <w:r w:rsidR="00660465" w:rsidRPr="00C472C7">
        <w:rPr>
          <w:rFonts w:asciiTheme="minorHAnsi" w:hAnsiTheme="minorHAnsi"/>
          <w:color w:val="auto"/>
          <w:szCs w:val="24"/>
        </w:rPr>
        <w:t>Other conditions included in the</w:t>
      </w:r>
      <w:r w:rsidR="00660465">
        <w:rPr>
          <w:rFonts w:asciiTheme="minorHAnsi" w:hAnsiTheme="minorHAnsi"/>
          <w:color w:val="auto"/>
          <w:szCs w:val="24"/>
        </w:rPr>
        <w:t xml:space="preserve"> </w:t>
      </w:r>
      <w:r w:rsidR="00660465" w:rsidRPr="00D93A41">
        <w:rPr>
          <w:rFonts w:asciiTheme="minorHAnsi" w:hAnsiTheme="minorHAnsi"/>
          <w:color w:val="auto"/>
          <w:szCs w:val="24"/>
        </w:rPr>
        <w:t>Disability Evaluation System (DES)</w:t>
      </w:r>
      <w:r w:rsidR="00660465" w:rsidRPr="00555C66">
        <w:rPr>
          <w:rFonts w:asciiTheme="minorHAnsi" w:hAnsiTheme="minorHAnsi"/>
          <w:color w:val="auto"/>
          <w:szCs w:val="24"/>
        </w:rPr>
        <w:t xml:space="preserve"> </w:t>
      </w:r>
      <w:r w:rsidR="00604826">
        <w:rPr>
          <w:rFonts w:asciiTheme="minorHAnsi" w:hAnsiTheme="minorHAnsi"/>
          <w:color w:val="auto"/>
          <w:szCs w:val="24"/>
        </w:rPr>
        <w:t>file</w:t>
      </w:r>
      <w:r w:rsidR="00660465" w:rsidRPr="00C472C7">
        <w:rPr>
          <w:rFonts w:asciiTheme="minorHAnsi" w:hAnsiTheme="minorHAnsi"/>
          <w:color w:val="auto"/>
          <w:szCs w:val="24"/>
        </w:rPr>
        <w:t xml:space="preserve"> will be discussed below.</w:t>
      </w:r>
      <w:r w:rsidR="00660465">
        <w:rPr>
          <w:rFonts w:asciiTheme="minorHAnsi" w:hAnsiTheme="minorHAnsi"/>
          <w:color w:val="auto"/>
          <w:szCs w:val="24"/>
        </w:rPr>
        <w:t xml:space="preserve">  </w:t>
      </w:r>
      <w:r w:rsidR="001A2B75">
        <w:rPr>
          <w:rFonts w:asciiTheme="minorHAnsi" w:hAnsiTheme="minorHAnsi"/>
          <w:color w:val="auto"/>
          <w:szCs w:val="24"/>
        </w:rPr>
        <w:t>An I</w:t>
      </w:r>
      <w:r w:rsidR="00660465" w:rsidRPr="00C472C7">
        <w:rPr>
          <w:rFonts w:asciiTheme="minorHAnsi" w:hAnsiTheme="minorHAnsi"/>
          <w:color w:val="auto"/>
          <w:szCs w:val="24"/>
        </w:rPr>
        <w:t xml:space="preserve">nformal PEB adjudicated the </w:t>
      </w:r>
      <w:r w:rsidR="00660465" w:rsidRPr="009342C3">
        <w:rPr>
          <w:rFonts w:asciiTheme="minorHAnsi" w:hAnsiTheme="minorHAnsi"/>
          <w:color w:val="auto"/>
          <w:szCs w:val="24"/>
        </w:rPr>
        <w:t xml:space="preserve">PTSD condition </w:t>
      </w:r>
      <w:r w:rsidR="00660465" w:rsidRPr="00C472C7">
        <w:rPr>
          <w:rFonts w:asciiTheme="minorHAnsi" w:hAnsiTheme="minorHAnsi"/>
          <w:color w:val="auto"/>
          <w:szCs w:val="24"/>
        </w:rPr>
        <w:t>as unfitting</w:t>
      </w:r>
      <w:r w:rsidR="00660465">
        <w:rPr>
          <w:rFonts w:asciiTheme="minorHAnsi" w:hAnsiTheme="minorHAnsi"/>
          <w:color w:val="auto"/>
          <w:szCs w:val="24"/>
        </w:rPr>
        <w:t xml:space="preserve">, rated 30%, </w:t>
      </w:r>
      <w:r w:rsidR="00660465" w:rsidRPr="00E8186A">
        <w:rPr>
          <w:rFonts w:asciiTheme="minorHAnsi" w:hAnsiTheme="minorHAnsi"/>
          <w:color w:val="auto"/>
          <w:szCs w:val="24"/>
        </w:rPr>
        <w:t>with application of Department of Defense Instruction (DoDI) 1332.39.</w:t>
      </w:r>
      <w:r w:rsidR="00660465">
        <w:rPr>
          <w:rFonts w:asciiTheme="minorHAnsi" w:hAnsiTheme="minorHAnsi"/>
          <w:color w:val="auto"/>
          <w:szCs w:val="24"/>
        </w:rPr>
        <w:t xml:space="preserve">  </w:t>
      </w:r>
      <w:r w:rsidR="003774F1" w:rsidRPr="00E8186A">
        <w:rPr>
          <w:rFonts w:asciiTheme="minorHAnsi" w:hAnsiTheme="minorHAnsi"/>
          <w:color w:val="auto"/>
          <w:szCs w:val="24"/>
        </w:rPr>
        <w:t xml:space="preserve">The </w:t>
      </w:r>
      <w:r w:rsidR="003774F1">
        <w:rPr>
          <w:rFonts w:asciiTheme="minorHAnsi" w:hAnsiTheme="minorHAnsi"/>
          <w:color w:val="auto"/>
          <w:szCs w:val="24"/>
        </w:rPr>
        <w:t xml:space="preserve">right hand </w:t>
      </w:r>
      <w:r w:rsidR="003774F1" w:rsidRPr="00E8186A">
        <w:rPr>
          <w:rFonts w:asciiTheme="minorHAnsi" w:hAnsiTheme="minorHAnsi"/>
          <w:color w:val="auto"/>
          <w:szCs w:val="24"/>
        </w:rPr>
        <w:t xml:space="preserve">condition </w:t>
      </w:r>
      <w:r w:rsidR="003774F1">
        <w:rPr>
          <w:rFonts w:asciiTheme="minorHAnsi" w:hAnsiTheme="minorHAnsi"/>
          <w:color w:val="auto"/>
          <w:szCs w:val="24"/>
        </w:rPr>
        <w:t xml:space="preserve">was </w:t>
      </w:r>
      <w:r w:rsidR="00604826">
        <w:rPr>
          <w:rFonts w:asciiTheme="minorHAnsi" w:hAnsiTheme="minorHAnsi"/>
          <w:color w:val="auto"/>
          <w:szCs w:val="24"/>
        </w:rPr>
        <w:t>determined to be</w:t>
      </w:r>
      <w:r w:rsidR="003774F1" w:rsidRPr="00E8186A">
        <w:rPr>
          <w:rFonts w:asciiTheme="minorHAnsi" w:hAnsiTheme="minorHAnsi"/>
          <w:color w:val="auto"/>
          <w:szCs w:val="24"/>
        </w:rPr>
        <w:t xml:space="preserve"> not unfitting.</w:t>
      </w:r>
      <w:r w:rsidR="003774F1">
        <w:rPr>
          <w:rFonts w:asciiTheme="minorHAnsi" w:hAnsiTheme="minorHAnsi"/>
          <w:color w:val="auto"/>
          <w:szCs w:val="24"/>
        </w:rPr>
        <w:t xml:space="preserve">  </w:t>
      </w:r>
      <w:r w:rsidR="00660465" w:rsidRPr="00E8186A">
        <w:rPr>
          <w:rFonts w:asciiTheme="minorHAnsi" w:hAnsiTheme="minorHAnsi"/>
          <w:color w:val="auto"/>
          <w:szCs w:val="24"/>
        </w:rPr>
        <w:t xml:space="preserve">The CI was placed on the Temporary Disability Retired List (TDRL) in </w:t>
      </w:r>
      <w:r w:rsidR="00660465">
        <w:rPr>
          <w:rFonts w:asciiTheme="minorHAnsi" w:hAnsiTheme="minorHAnsi"/>
          <w:color w:val="auto"/>
          <w:szCs w:val="24"/>
        </w:rPr>
        <w:t>May 2005</w:t>
      </w:r>
      <w:r w:rsidR="002579C3">
        <w:rPr>
          <w:rFonts w:asciiTheme="minorHAnsi" w:hAnsiTheme="minorHAnsi"/>
          <w:color w:val="auto"/>
          <w:szCs w:val="24"/>
        </w:rPr>
        <w:t>;</w:t>
      </w:r>
      <w:r w:rsidR="00660465" w:rsidRPr="00E8186A">
        <w:rPr>
          <w:rFonts w:asciiTheme="minorHAnsi" w:hAnsiTheme="minorHAnsi"/>
          <w:color w:val="auto"/>
          <w:szCs w:val="24"/>
        </w:rPr>
        <w:t xml:space="preserve"> re</w:t>
      </w:r>
      <w:r w:rsidR="002579C3">
        <w:rPr>
          <w:rFonts w:asciiTheme="minorHAnsi" w:hAnsiTheme="minorHAnsi"/>
          <w:color w:val="auto"/>
          <w:szCs w:val="24"/>
        </w:rPr>
        <w:t>-</w:t>
      </w:r>
      <w:r w:rsidR="00660465" w:rsidRPr="00E8186A">
        <w:rPr>
          <w:rFonts w:asciiTheme="minorHAnsi" w:hAnsiTheme="minorHAnsi"/>
          <w:color w:val="auto"/>
          <w:szCs w:val="24"/>
        </w:rPr>
        <w:t xml:space="preserve">evaluated in </w:t>
      </w:r>
      <w:r w:rsidR="00953C12">
        <w:rPr>
          <w:rFonts w:asciiTheme="minorHAnsi" w:hAnsiTheme="minorHAnsi"/>
          <w:color w:val="auto"/>
          <w:szCs w:val="24"/>
        </w:rPr>
        <w:t>May 2006</w:t>
      </w:r>
      <w:r w:rsidR="002579C3">
        <w:rPr>
          <w:rFonts w:asciiTheme="minorHAnsi" w:hAnsiTheme="minorHAnsi"/>
          <w:color w:val="auto"/>
          <w:szCs w:val="24"/>
        </w:rPr>
        <w:t>;</w:t>
      </w:r>
      <w:r w:rsidR="00953C12">
        <w:rPr>
          <w:rFonts w:asciiTheme="minorHAnsi" w:hAnsiTheme="minorHAnsi"/>
          <w:color w:val="auto"/>
          <w:szCs w:val="24"/>
        </w:rPr>
        <w:t xml:space="preserve"> and</w:t>
      </w:r>
      <w:r w:rsidR="002579C3">
        <w:rPr>
          <w:rFonts w:asciiTheme="minorHAnsi" w:hAnsiTheme="minorHAnsi"/>
          <w:color w:val="auto"/>
          <w:szCs w:val="24"/>
        </w:rPr>
        <w:t xml:space="preserve"> underwent his final re-evaluation</w:t>
      </w:r>
      <w:r w:rsidR="00953C12">
        <w:rPr>
          <w:rFonts w:asciiTheme="minorHAnsi" w:hAnsiTheme="minorHAnsi"/>
          <w:color w:val="auto"/>
          <w:szCs w:val="24"/>
        </w:rPr>
        <w:t xml:space="preserve"> in </w:t>
      </w:r>
      <w:r w:rsidR="00750E98">
        <w:rPr>
          <w:rFonts w:asciiTheme="minorHAnsi" w:hAnsiTheme="minorHAnsi"/>
          <w:color w:val="auto"/>
          <w:szCs w:val="24"/>
        </w:rPr>
        <w:t xml:space="preserve">August </w:t>
      </w:r>
      <w:r w:rsidR="00750E98" w:rsidRPr="00604826">
        <w:rPr>
          <w:rFonts w:asciiTheme="minorHAnsi" w:hAnsiTheme="minorHAnsi"/>
          <w:color w:val="auto"/>
          <w:szCs w:val="24"/>
        </w:rPr>
        <w:t>2007</w:t>
      </w:r>
      <w:r w:rsidR="00660465" w:rsidRPr="00604826">
        <w:rPr>
          <w:rFonts w:asciiTheme="minorHAnsi" w:hAnsiTheme="minorHAnsi"/>
          <w:color w:val="auto"/>
          <w:szCs w:val="24"/>
        </w:rPr>
        <w:t xml:space="preserve">.  </w:t>
      </w:r>
      <w:r w:rsidR="002579C3">
        <w:rPr>
          <w:rFonts w:asciiTheme="minorHAnsi" w:hAnsiTheme="minorHAnsi"/>
          <w:color w:val="auto"/>
          <w:szCs w:val="24"/>
        </w:rPr>
        <w:t>At that time</w:t>
      </w:r>
      <w:r w:rsidR="00953C12" w:rsidRPr="00604826">
        <w:rPr>
          <w:rFonts w:asciiTheme="minorHAnsi" w:hAnsiTheme="minorHAnsi"/>
          <w:color w:val="auto"/>
          <w:szCs w:val="24"/>
        </w:rPr>
        <w:t>, t</w:t>
      </w:r>
      <w:r w:rsidR="00750E98" w:rsidRPr="00604826">
        <w:rPr>
          <w:rFonts w:asciiTheme="minorHAnsi" w:hAnsiTheme="minorHAnsi"/>
          <w:color w:val="auto"/>
          <w:szCs w:val="24"/>
        </w:rPr>
        <w:t xml:space="preserve">he PEB </w:t>
      </w:r>
      <w:r w:rsidR="002579C3">
        <w:rPr>
          <w:rFonts w:asciiTheme="minorHAnsi" w:hAnsiTheme="minorHAnsi"/>
          <w:color w:val="auto"/>
          <w:szCs w:val="24"/>
        </w:rPr>
        <w:t>found</w:t>
      </w:r>
      <w:r w:rsidR="00750E98" w:rsidRPr="00604826">
        <w:rPr>
          <w:rFonts w:asciiTheme="minorHAnsi" w:hAnsiTheme="minorHAnsi"/>
          <w:color w:val="auto"/>
          <w:szCs w:val="24"/>
        </w:rPr>
        <w:t xml:space="preserve"> that </w:t>
      </w:r>
      <w:r w:rsidR="002579C3">
        <w:rPr>
          <w:rFonts w:asciiTheme="minorHAnsi" w:hAnsiTheme="minorHAnsi"/>
          <w:color w:val="auto"/>
          <w:szCs w:val="24"/>
        </w:rPr>
        <w:t>PTSD</w:t>
      </w:r>
      <w:r w:rsidR="00660465" w:rsidRPr="00604826">
        <w:rPr>
          <w:rFonts w:asciiTheme="minorHAnsi" w:hAnsiTheme="minorHAnsi"/>
          <w:color w:val="auto"/>
          <w:szCs w:val="24"/>
        </w:rPr>
        <w:t xml:space="preserve"> was sufficiently stable</w:t>
      </w:r>
      <w:r w:rsidR="002579C3">
        <w:rPr>
          <w:rFonts w:asciiTheme="minorHAnsi" w:hAnsiTheme="minorHAnsi"/>
          <w:color w:val="auto"/>
          <w:szCs w:val="24"/>
        </w:rPr>
        <w:t>; but,</w:t>
      </w:r>
      <w:r w:rsidR="00660465" w:rsidRPr="00604826">
        <w:rPr>
          <w:rFonts w:asciiTheme="minorHAnsi" w:hAnsiTheme="minorHAnsi"/>
          <w:color w:val="auto"/>
          <w:szCs w:val="24"/>
        </w:rPr>
        <w:t xml:space="preserve"> </w:t>
      </w:r>
      <w:r w:rsidR="002579C3">
        <w:rPr>
          <w:rFonts w:asciiTheme="minorHAnsi" w:hAnsiTheme="minorHAnsi"/>
          <w:color w:val="auto"/>
          <w:szCs w:val="24"/>
        </w:rPr>
        <w:t>remained</w:t>
      </w:r>
      <w:r w:rsidR="00660465" w:rsidRPr="00604826">
        <w:rPr>
          <w:rFonts w:asciiTheme="minorHAnsi" w:hAnsiTheme="minorHAnsi"/>
          <w:color w:val="auto"/>
          <w:szCs w:val="24"/>
        </w:rPr>
        <w:t xml:space="preserve"> </w:t>
      </w:r>
      <w:r w:rsidR="002579C3">
        <w:rPr>
          <w:rFonts w:asciiTheme="minorHAnsi" w:hAnsiTheme="minorHAnsi"/>
          <w:color w:val="auto"/>
          <w:szCs w:val="24"/>
        </w:rPr>
        <w:t>unfitting.  It was</w:t>
      </w:r>
      <w:r w:rsidR="00660465" w:rsidRPr="00604826">
        <w:rPr>
          <w:rFonts w:asciiTheme="minorHAnsi" w:hAnsiTheme="minorHAnsi"/>
          <w:color w:val="auto"/>
          <w:szCs w:val="24"/>
        </w:rPr>
        <w:t xml:space="preserve"> rated 0%, with application of </w:t>
      </w:r>
      <w:r w:rsidR="00953C12" w:rsidRPr="00604826">
        <w:rPr>
          <w:rFonts w:asciiTheme="minorHAnsi" w:hAnsiTheme="minorHAnsi"/>
          <w:color w:val="auto"/>
          <w:szCs w:val="24"/>
        </w:rPr>
        <w:t xml:space="preserve">the </w:t>
      </w:r>
      <w:r w:rsidR="003774F1" w:rsidRPr="00604826">
        <w:rPr>
          <w:rFonts w:asciiTheme="minorHAnsi" w:hAnsiTheme="minorHAnsi"/>
          <w:color w:val="auto"/>
          <w:szCs w:val="24"/>
        </w:rPr>
        <w:t>Veterans Administration Schedule for Rating Disabilities (VASRD)</w:t>
      </w:r>
      <w:r w:rsidR="00660465" w:rsidRPr="00604826">
        <w:rPr>
          <w:rFonts w:asciiTheme="minorHAnsi" w:hAnsiTheme="minorHAnsi"/>
          <w:color w:val="auto"/>
          <w:szCs w:val="24"/>
        </w:rPr>
        <w:t xml:space="preserve">.  The CI </w:t>
      </w:r>
      <w:r w:rsidR="00660465" w:rsidRPr="00604826">
        <w:rPr>
          <w:rFonts w:asciiTheme="minorHAnsi" w:hAnsiTheme="minorHAnsi"/>
          <w:color w:val="auto"/>
        </w:rPr>
        <w:t xml:space="preserve">made no appeals and was medically separated with </w:t>
      </w:r>
      <w:r w:rsidR="002579C3">
        <w:rPr>
          <w:rFonts w:asciiTheme="minorHAnsi" w:hAnsiTheme="minorHAnsi"/>
          <w:color w:val="auto"/>
        </w:rPr>
        <w:t>that</w:t>
      </w:r>
      <w:r w:rsidR="00660465" w:rsidRPr="00604826">
        <w:rPr>
          <w:rFonts w:asciiTheme="minorHAnsi" w:hAnsiTheme="minorHAnsi"/>
          <w:color w:val="auto"/>
        </w:rPr>
        <w:t xml:space="preserve"> rating.</w:t>
      </w:r>
      <w:r w:rsidR="00660465">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CA13AD">
      <w:pPr>
        <w:tabs>
          <w:tab w:val="left" w:pos="288"/>
          <w:tab w:val="left" w:pos="4752"/>
        </w:tabs>
        <w:spacing w:line="240" w:lineRule="exact"/>
        <w:jc w:val="both"/>
        <w:rPr>
          <w:rFonts w:eastAsiaTheme="minorHAnsi" w:cstheme="minorBidi"/>
          <w:color w:val="auto"/>
          <w:szCs w:val="24"/>
        </w:rPr>
      </w:pPr>
      <w:r w:rsidRPr="00C6224C">
        <w:rPr>
          <w:rFonts w:asciiTheme="minorHAnsi" w:hAnsiTheme="minorHAnsi"/>
          <w:color w:val="auto"/>
          <w:u w:val="single"/>
        </w:rPr>
        <w:t>CI CONTENTION</w:t>
      </w:r>
      <w:r w:rsidRPr="00C6224C">
        <w:rPr>
          <w:rFonts w:asciiTheme="minorHAnsi" w:hAnsiTheme="minorHAnsi"/>
          <w:color w:val="auto"/>
        </w:rPr>
        <w:t>:</w:t>
      </w:r>
      <w:r w:rsidR="00057019" w:rsidRPr="00C6224C">
        <w:rPr>
          <w:rFonts w:asciiTheme="minorHAnsi" w:hAnsiTheme="minorHAnsi"/>
          <w:color w:val="auto"/>
        </w:rPr>
        <w:t xml:space="preserve">  “</w:t>
      </w:r>
      <w:r w:rsidR="002A7E93" w:rsidRPr="00C6224C">
        <w:rPr>
          <w:rFonts w:asciiTheme="minorHAnsi" w:hAnsiTheme="minorHAnsi"/>
          <w:color w:val="auto"/>
        </w:rPr>
        <w:t xml:space="preserve">The application states </w:t>
      </w:r>
      <w:r w:rsidR="002A7E93" w:rsidRPr="00C6224C">
        <w:rPr>
          <w:rFonts w:asciiTheme="minorHAnsi" w:hAnsiTheme="minorHAnsi"/>
          <w:color w:val="auto"/>
          <w:szCs w:val="24"/>
        </w:rPr>
        <w:t>“I was assigned less than 50% disability rating by the military for my unfitting PTSD upon discharge from active duty.  … assign the highest final disability rating applicable consistent with 38 CFR 4.I29 and DOD policy…”  H</w:t>
      </w:r>
      <w:r w:rsidR="00D54DDB" w:rsidRPr="00C6224C">
        <w:rPr>
          <w:rFonts w:eastAsiaTheme="minorHAnsi" w:cstheme="minorBidi"/>
          <w:color w:val="auto"/>
          <w:szCs w:val="24"/>
        </w:rPr>
        <w:t>e</w:t>
      </w:r>
      <w:r w:rsidR="00ED5284" w:rsidRPr="00C6224C">
        <w:rPr>
          <w:rFonts w:eastAsiaTheme="minorHAnsi" w:cstheme="minorBidi"/>
          <w:color w:val="auto"/>
          <w:szCs w:val="24"/>
        </w:rPr>
        <w:t xml:space="preserve"> elaborates no specific contentions regarding rating or coding and mentions no additionally contended conditions.</w:t>
      </w:r>
      <w:r w:rsidR="00CA13AD">
        <w:rPr>
          <w:rFonts w:eastAsiaTheme="minorHAnsi" w:cstheme="minorBid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953C12" w:rsidRDefault="00953C12"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CA13AD" w:rsidRDefault="00CA13AD" w:rsidP="00510F9C">
      <w:pPr>
        <w:spacing w:line="240" w:lineRule="exact"/>
        <w:rPr>
          <w:rFonts w:asciiTheme="minorHAnsi" w:hAnsiTheme="minorHAnsi"/>
          <w:color w:val="auto"/>
        </w:rPr>
      </w:pPr>
    </w:p>
    <w:tbl>
      <w:tblPr>
        <w:tblStyle w:val="TableGrid"/>
        <w:tblW w:w="9367" w:type="dxa"/>
        <w:jc w:val="center"/>
        <w:tblInd w:w="187" w:type="dxa"/>
        <w:tblLayout w:type="fixed"/>
        <w:tblLook w:val="04A0"/>
      </w:tblPr>
      <w:tblGrid>
        <w:gridCol w:w="1984"/>
        <w:gridCol w:w="720"/>
        <w:gridCol w:w="720"/>
        <w:gridCol w:w="630"/>
        <w:gridCol w:w="2430"/>
        <w:gridCol w:w="1080"/>
        <w:gridCol w:w="810"/>
        <w:gridCol w:w="993"/>
      </w:tblGrid>
      <w:tr w:rsidR="00CA13AD" w:rsidRPr="00FF1022" w:rsidTr="005A6291">
        <w:trPr>
          <w:trHeight w:val="233"/>
          <w:jc w:val="center"/>
        </w:trPr>
        <w:tc>
          <w:tcPr>
            <w:tcW w:w="4054" w:type="dxa"/>
            <w:gridSpan w:val="4"/>
            <w:tcBorders>
              <w:right w:val="thinThickThinSmallGap" w:sz="24" w:space="0" w:color="auto"/>
            </w:tcBorders>
            <w:shd w:val="clear" w:color="auto" w:fill="D9D9D9" w:themeFill="background1" w:themeFillShade="D9"/>
            <w:vAlign w:val="center"/>
          </w:tcPr>
          <w:p w:rsidR="00CA13AD" w:rsidRPr="00B06930" w:rsidRDefault="00CA13AD" w:rsidP="005A6291">
            <w:pPr>
              <w:spacing w:line="240" w:lineRule="exact"/>
              <w:contextualSpacing/>
              <w:jc w:val="center"/>
              <w:rPr>
                <w:b/>
                <w:color w:val="auto"/>
                <w:sz w:val="20"/>
                <w:szCs w:val="20"/>
              </w:rPr>
            </w:pPr>
            <w:r w:rsidRPr="00B06930">
              <w:rPr>
                <w:b/>
                <w:color w:val="auto"/>
                <w:sz w:val="20"/>
                <w:szCs w:val="20"/>
              </w:rPr>
              <w:t xml:space="preserve">Final Service </w:t>
            </w:r>
            <w:r>
              <w:rPr>
                <w:b/>
                <w:color w:val="auto"/>
                <w:sz w:val="20"/>
                <w:szCs w:val="20"/>
              </w:rPr>
              <w:t>I</w:t>
            </w:r>
            <w:r w:rsidRPr="00B06930">
              <w:rPr>
                <w:b/>
                <w:color w:val="auto"/>
                <w:sz w:val="20"/>
                <w:szCs w:val="20"/>
              </w:rPr>
              <w:t>PEB – Dated 200</w:t>
            </w:r>
            <w:r>
              <w:rPr>
                <w:b/>
                <w:color w:val="auto"/>
                <w:sz w:val="20"/>
                <w:szCs w:val="20"/>
              </w:rPr>
              <w:t>70910</w:t>
            </w:r>
          </w:p>
        </w:tc>
        <w:tc>
          <w:tcPr>
            <w:tcW w:w="5313" w:type="dxa"/>
            <w:gridSpan w:val="4"/>
            <w:tcBorders>
              <w:left w:val="thinThickThinSmallGap" w:sz="24" w:space="0" w:color="auto"/>
            </w:tcBorders>
            <w:shd w:val="clear" w:color="auto" w:fill="D9D9D9" w:themeFill="background1" w:themeFillShade="D9"/>
            <w:vAlign w:val="center"/>
          </w:tcPr>
          <w:p w:rsidR="00CA13AD" w:rsidRPr="00B06930" w:rsidRDefault="00CA13AD" w:rsidP="005A6291">
            <w:pPr>
              <w:spacing w:line="240" w:lineRule="exact"/>
              <w:contextualSpacing/>
              <w:jc w:val="center"/>
              <w:rPr>
                <w:b/>
                <w:color w:val="auto"/>
                <w:sz w:val="20"/>
                <w:szCs w:val="20"/>
              </w:rPr>
            </w:pPr>
            <w:r w:rsidRPr="006937C6">
              <w:rPr>
                <w:b/>
                <w:color w:val="auto"/>
                <w:sz w:val="20"/>
                <w:szCs w:val="20"/>
              </w:rPr>
              <w:t>VA</w:t>
            </w:r>
            <w:r w:rsidRPr="00B06930">
              <w:rPr>
                <w:b/>
                <w:color w:val="auto"/>
                <w:sz w:val="20"/>
                <w:szCs w:val="20"/>
              </w:rPr>
              <w:t xml:space="preserve"> – All Effective Date </w:t>
            </w:r>
            <w:r w:rsidRPr="002D08F3">
              <w:rPr>
                <w:b/>
                <w:color w:val="auto"/>
                <w:sz w:val="20"/>
                <w:szCs w:val="20"/>
              </w:rPr>
              <w:t>200</w:t>
            </w:r>
            <w:r>
              <w:rPr>
                <w:b/>
                <w:color w:val="auto"/>
                <w:sz w:val="20"/>
                <w:szCs w:val="20"/>
              </w:rPr>
              <w:t>50505</w:t>
            </w:r>
          </w:p>
        </w:tc>
      </w:tr>
      <w:tr w:rsidR="00C6224C" w:rsidRPr="00FF1022" w:rsidTr="005A6291">
        <w:trPr>
          <w:trHeight w:val="161"/>
          <w:jc w:val="center"/>
        </w:trPr>
        <w:tc>
          <w:tcPr>
            <w:tcW w:w="1984" w:type="dxa"/>
            <w:tcBorders>
              <w:bottom w:val="single" w:sz="4" w:space="0" w:color="000000" w:themeColor="text1"/>
            </w:tcBorders>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Code</w:t>
            </w:r>
          </w:p>
        </w:tc>
        <w:tc>
          <w:tcPr>
            <w:tcW w:w="135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Rating</w:t>
            </w:r>
          </w:p>
        </w:tc>
        <w:tc>
          <w:tcPr>
            <w:tcW w:w="2430" w:type="dxa"/>
            <w:vMerge w:val="restart"/>
            <w:tcBorders>
              <w:left w:val="thinThickThinSmallGap" w:sz="24" w:space="0" w:color="auto"/>
            </w:tcBorders>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Condition</w:t>
            </w:r>
          </w:p>
        </w:tc>
        <w:tc>
          <w:tcPr>
            <w:tcW w:w="1080" w:type="dxa"/>
            <w:vMerge w:val="restart"/>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Code</w:t>
            </w:r>
          </w:p>
        </w:tc>
        <w:tc>
          <w:tcPr>
            <w:tcW w:w="810" w:type="dxa"/>
            <w:vMerge w:val="restart"/>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Rating</w:t>
            </w:r>
          </w:p>
        </w:tc>
        <w:tc>
          <w:tcPr>
            <w:tcW w:w="993" w:type="dxa"/>
            <w:vMerge w:val="restart"/>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Exam</w:t>
            </w:r>
          </w:p>
        </w:tc>
      </w:tr>
      <w:tr w:rsidR="005A6291" w:rsidRPr="00FF1022" w:rsidTr="005A6291">
        <w:trPr>
          <w:trHeight w:val="66"/>
          <w:jc w:val="center"/>
        </w:trPr>
        <w:tc>
          <w:tcPr>
            <w:tcW w:w="1984" w:type="dxa"/>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 xml:space="preserve">On TDRL </w:t>
            </w:r>
            <w:r>
              <w:rPr>
                <w:b/>
                <w:color w:val="auto"/>
                <w:sz w:val="20"/>
                <w:szCs w:val="20"/>
              </w:rPr>
              <w:t>–</w:t>
            </w:r>
            <w:r w:rsidRPr="00B06930">
              <w:rPr>
                <w:b/>
                <w:color w:val="auto"/>
                <w:sz w:val="20"/>
                <w:szCs w:val="20"/>
              </w:rPr>
              <w:t xml:space="preserve"> 200</w:t>
            </w:r>
            <w:r>
              <w:rPr>
                <w:b/>
                <w:color w:val="auto"/>
                <w:sz w:val="20"/>
                <w:szCs w:val="20"/>
              </w:rPr>
              <w:t>50505</w:t>
            </w:r>
          </w:p>
        </w:tc>
        <w:tc>
          <w:tcPr>
            <w:tcW w:w="720" w:type="dxa"/>
            <w:shd w:val="clear" w:color="auto" w:fill="D9D9D9" w:themeFill="background1" w:themeFillShade="D9"/>
            <w:vAlign w:val="center"/>
          </w:tcPr>
          <w:p w:rsidR="00CA13AD" w:rsidRPr="00B06930" w:rsidRDefault="00CA13AD" w:rsidP="005A6291">
            <w:pPr>
              <w:spacing w:line="22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r w:rsidRPr="00B06930">
              <w:rPr>
                <w:b/>
                <w:color w:val="auto"/>
                <w:sz w:val="20"/>
                <w:szCs w:val="20"/>
              </w:rPr>
              <w:t>TDRL</w:t>
            </w:r>
          </w:p>
        </w:tc>
        <w:tc>
          <w:tcPr>
            <w:tcW w:w="630" w:type="dxa"/>
            <w:tcBorders>
              <w:left w:val="single" w:sz="4" w:space="0" w:color="auto"/>
              <w:right w:val="thinThickThinSmallGap" w:sz="24" w:space="0" w:color="auto"/>
            </w:tcBorders>
            <w:shd w:val="clear" w:color="auto" w:fill="D9D9D9" w:themeFill="background1" w:themeFillShade="D9"/>
            <w:vAlign w:val="center"/>
          </w:tcPr>
          <w:p w:rsidR="00CA13AD" w:rsidRPr="00B06930" w:rsidRDefault="00CA13AD" w:rsidP="005A6291">
            <w:pPr>
              <w:tabs>
                <w:tab w:val="left" w:pos="206"/>
                <w:tab w:val="center" w:pos="387"/>
              </w:tabs>
              <w:spacing w:line="220" w:lineRule="exact"/>
              <w:contextualSpacing/>
              <w:jc w:val="center"/>
              <w:rPr>
                <w:b/>
                <w:color w:val="auto"/>
                <w:sz w:val="20"/>
                <w:szCs w:val="20"/>
              </w:rPr>
            </w:pPr>
            <w:r w:rsidRPr="00B06930">
              <w:rPr>
                <w:b/>
                <w:color w:val="auto"/>
                <w:sz w:val="20"/>
                <w:szCs w:val="20"/>
              </w:rPr>
              <w:t>S</w:t>
            </w:r>
            <w:r w:rsidR="00625063">
              <w:rPr>
                <w:b/>
                <w:color w:val="auto"/>
                <w:sz w:val="20"/>
                <w:szCs w:val="20"/>
              </w:rPr>
              <w:t>EP</w:t>
            </w:r>
          </w:p>
        </w:tc>
        <w:tc>
          <w:tcPr>
            <w:tcW w:w="2430" w:type="dxa"/>
            <w:vMerge/>
            <w:tcBorders>
              <w:left w:val="thinThickThinSmallGap" w:sz="24" w:space="0" w:color="auto"/>
            </w:tcBorders>
            <w:shd w:val="clear" w:color="auto" w:fill="D9D9D9" w:themeFill="background1" w:themeFillShade="D9"/>
            <w:vAlign w:val="center"/>
          </w:tcPr>
          <w:p w:rsidR="00CA13AD" w:rsidRPr="00B06930" w:rsidRDefault="00CA13AD" w:rsidP="005A6291">
            <w:pPr>
              <w:spacing w:line="220" w:lineRule="exact"/>
              <w:contextualSpacing/>
              <w:jc w:val="center"/>
              <w:rPr>
                <w:b/>
                <w:color w:val="auto"/>
                <w:sz w:val="20"/>
                <w:szCs w:val="20"/>
              </w:rPr>
            </w:pPr>
          </w:p>
        </w:tc>
        <w:tc>
          <w:tcPr>
            <w:tcW w:w="1080" w:type="dxa"/>
            <w:vMerge/>
            <w:shd w:val="clear" w:color="auto" w:fill="C6D9F1" w:themeFill="text2" w:themeFillTint="33"/>
            <w:vAlign w:val="center"/>
          </w:tcPr>
          <w:p w:rsidR="00CA13AD" w:rsidRPr="00B06930" w:rsidRDefault="00CA13AD" w:rsidP="005A6291">
            <w:pPr>
              <w:spacing w:line="220" w:lineRule="exact"/>
              <w:contextualSpacing/>
              <w:jc w:val="center"/>
              <w:rPr>
                <w:color w:val="auto"/>
                <w:sz w:val="20"/>
                <w:szCs w:val="20"/>
              </w:rPr>
            </w:pPr>
          </w:p>
        </w:tc>
        <w:tc>
          <w:tcPr>
            <w:tcW w:w="810" w:type="dxa"/>
            <w:vMerge/>
            <w:shd w:val="clear" w:color="auto" w:fill="C6D9F1" w:themeFill="text2" w:themeFillTint="33"/>
            <w:vAlign w:val="center"/>
          </w:tcPr>
          <w:p w:rsidR="00CA13AD" w:rsidRPr="00B06930" w:rsidRDefault="00CA13AD" w:rsidP="005A6291">
            <w:pPr>
              <w:spacing w:line="220" w:lineRule="exact"/>
              <w:contextualSpacing/>
              <w:jc w:val="center"/>
              <w:rPr>
                <w:color w:val="auto"/>
                <w:sz w:val="20"/>
                <w:szCs w:val="20"/>
              </w:rPr>
            </w:pPr>
          </w:p>
        </w:tc>
        <w:tc>
          <w:tcPr>
            <w:tcW w:w="993" w:type="dxa"/>
            <w:vMerge/>
            <w:shd w:val="clear" w:color="auto" w:fill="C6D9F1" w:themeFill="text2" w:themeFillTint="33"/>
            <w:vAlign w:val="center"/>
          </w:tcPr>
          <w:p w:rsidR="00CA13AD" w:rsidRPr="00B06930" w:rsidRDefault="00CA13AD" w:rsidP="005A6291">
            <w:pPr>
              <w:spacing w:line="220" w:lineRule="exact"/>
              <w:contextualSpacing/>
              <w:jc w:val="center"/>
              <w:rPr>
                <w:color w:val="auto"/>
                <w:sz w:val="20"/>
                <w:szCs w:val="20"/>
              </w:rPr>
            </w:pPr>
          </w:p>
        </w:tc>
      </w:tr>
      <w:tr w:rsidR="005A6291" w:rsidRPr="00FF1022" w:rsidTr="005A6291">
        <w:trPr>
          <w:trHeight w:val="125"/>
          <w:jc w:val="center"/>
        </w:trPr>
        <w:tc>
          <w:tcPr>
            <w:tcW w:w="1984" w:type="dxa"/>
            <w:tcBorders>
              <w:right w:val="single" w:sz="4" w:space="0" w:color="auto"/>
            </w:tcBorders>
            <w:shd w:val="clear" w:color="auto" w:fill="FFFFFF" w:themeFill="background1"/>
            <w:vAlign w:val="center"/>
          </w:tcPr>
          <w:p w:rsidR="00CA13AD" w:rsidRPr="0042528C" w:rsidRDefault="00CA13AD" w:rsidP="005A6291">
            <w:pPr>
              <w:spacing w:line="220" w:lineRule="exact"/>
              <w:contextualSpacing/>
              <w:rPr>
                <w:color w:val="auto"/>
                <w:sz w:val="18"/>
                <w:szCs w:val="18"/>
                <w:highlight w:val="yellow"/>
              </w:rPr>
            </w:pPr>
            <w:r w:rsidRPr="003C6310">
              <w:rPr>
                <w:color w:val="auto"/>
                <w:sz w:val="18"/>
                <w:szCs w:val="18"/>
              </w:rPr>
              <w:t>PTSD</w:t>
            </w:r>
          </w:p>
        </w:tc>
        <w:tc>
          <w:tcPr>
            <w:tcW w:w="720" w:type="dxa"/>
            <w:tcBorders>
              <w:left w:val="single" w:sz="4" w:space="0" w:color="auto"/>
            </w:tcBorders>
            <w:shd w:val="clear" w:color="auto" w:fill="FFFFFF" w:themeFill="background1"/>
            <w:vAlign w:val="center"/>
          </w:tcPr>
          <w:p w:rsidR="00CA13AD" w:rsidRPr="0086102A" w:rsidRDefault="00CA13AD" w:rsidP="005A6291">
            <w:pPr>
              <w:spacing w:line="220" w:lineRule="exact"/>
              <w:contextualSpacing/>
              <w:jc w:val="center"/>
              <w:rPr>
                <w:color w:val="auto"/>
                <w:sz w:val="18"/>
                <w:szCs w:val="18"/>
              </w:rPr>
            </w:pPr>
            <w:r>
              <w:rPr>
                <w:color w:val="auto"/>
                <w:sz w:val="18"/>
                <w:szCs w:val="18"/>
              </w:rPr>
              <w:t>9411</w:t>
            </w:r>
          </w:p>
        </w:tc>
        <w:tc>
          <w:tcPr>
            <w:tcW w:w="720" w:type="dxa"/>
            <w:tcBorders>
              <w:right w:val="single" w:sz="4" w:space="0" w:color="auto"/>
            </w:tcBorders>
            <w:shd w:val="clear" w:color="auto" w:fill="FFFFFF" w:themeFill="background1"/>
            <w:vAlign w:val="center"/>
          </w:tcPr>
          <w:p w:rsidR="00CA13AD" w:rsidRPr="000D2CFD" w:rsidRDefault="00CA13AD" w:rsidP="005A6291">
            <w:pPr>
              <w:spacing w:line="220" w:lineRule="exact"/>
              <w:jc w:val="center"/>
              <w:rPr>
                <w:color w:val="auto"/>
              </w:rPr>
            </w:pPr>
            <w:r>
              <w:rPr>
                <w:color w:val="auto"/>
                <w:sz w:val="18"/>
                <w:szCs w:val="18"/>
              </w:rPr>
              <w:t>30</w:t>
            </w:r>
            <w:r w:rsidRPr="000D2CFD">
              <w:rPr>
                <w:color w:val="auto"/>
                <w:sz w:val="18"/>
                <w:szCs w:val="18"/>
              </w:rPr>
              <w:t>%</w:t>
            </w:r>
          </w:p>
        </w:tc>
        <w:tc>
          <w:tcPr>
            <w:tcW w:w="630" w:type="dxa"/>
            <w:tcBorders>
              <w:left w:val="single" w:sz="4" w:space="0" w:color="auto"/>
              <w:right w:val="thinThickThinSmallGap" w:sz="24" w:space="0" w:color="auto"/>
            </w:tcBorders>
            <w:shd w:val="clear" w:color="auto" w:fill="FFFFFF" w:themeFill="background1"/>
            <w:vAlign w:val="center"/>
          </w:tcPr>
          <w:p w:rsidR="00CA13AD" w:rsidRPr="000D2CFD" w:rsidRDefault="00CA13AD" w:rsidP="005A6291">
            <w:pPr>
              <w:spacing w:line="220" w:lineRule="exact"/>
              <w:jc w:val="center"/>
              <w:rPr>
                <w:color w:val="auto"/>
              </w:rPr>
            </w:pPr>
            <w:r>
              <w:rPr>
                <w:color w:val="auto"/>
                <w:sz w:val="18"/>
                <w:szCs w:val="18"/>
              </w:rPr>
              <w:t>0</w:t>
            </w:r>
            <w:r w:rsidRPr="000D2CFD">
              <w:rPr>
                <w:color w:val="auto"/>
                <w:sz w:val="18"/>
                <w:szCs w:val="18"/>
              </w:rPr>
              <w:t>%</w:t>
            </w:r>
          </w:p>
        </w:tc>
        <w:tc>
          <w:tcPr>
            <w:tcW w:w="2430" w:type="dxa"/>
            <w:tcBorders>
              <w:left w:val="thinThickThinSmallGap" w:sz="24" w:space="0" w:color="auto"/>
            </w:tcBorders>
            <w:shd w:val="clear" w:color="auto" w:fill="FFFFFF" w:themeFill="background1"/>
            <w:vAlign w:val="center"/>
          </w:tcPr>
          <w:p w:rsidR="00CA13AD" w:rsidRPr="0042528C" w:rsidRDefault="00CA13AD" w:rsidP="005A6291">
            <w:pPr>
              <w:spacing w:line="220" w:lineRule="exact"/>
              <w:contextualSpacing/>
              <w:rPr>
                <w:color w:val="auto"/>
                <w:sz w:val="18"/>
                <w:szCs w:val="18"/>
                <w:highlight w:val="yellow"/>
              </w:rPr>
            </w:pPr>
            <w:r w:rsidRPr="003C6310">
              <w:rPr>
                <w:color w:val="auto"/>
                <w:sz w:val="18"/>
                <w:szCs w:val="18"/>
              </w:rPr>
              <w:t>PTSD</w:t>
            </w:r>
          </w:p>
        </w:tc>
        <w:tc>
          <w:tcPr>
            <w:tcW w:w="1080" w:type="dxa"/>
            <w:shd w:val="clear" w:color="auto" w:fill="FFFFFF" w:themeFill="background1"/>
            <w:vAlign w:val="center"/>
          </w:tcPr>
          <w:p w:rsidR="00CA13AD" w:rsidRPr="0042528C" w:rsidRDefault="00CA13AD" w:rsidP="005A6291">
            <w:pPr>
              <w:spacing w:line="220" w:lineRule="exact"/>
              <w:contextualSpacing/>
              <w:jc w:val="center"/>
              <w:rPr>
                <w:color w:val="auto"/>
                <w:sz w:val="18"/>
                <w:szCs w:val="18"/>
                <w:highlight w:val="yellow"/>
              </w:rPr>
            </w:pPr>
            <w:r w:rsidRPr="003C6310">
              <w:rPr>
                <w:color w:val="auto"/>
                <w:sz w:val="18"/>
                <w:szCs w:val="18"/>
              </w:rPr>
              <w:t>9411</w:t>
            </w:r>
          </w:p>
        </w:tc>
        <w:tc>
          <w:tcPr>
            <w:tcW w:w="810" w:type="dxa"/>
            <w:shd w:val="clear" w:color="auto" w:fill="FFFFFF" w:themeFill="background1"/>
            <w:vAlign w:val="center"/>
          </w:tcPr>
          <w:p w:rsidR="00CA13AD" w:rsidRPr="0042528C" w:rsidRDefault="00CA13AD" w:rsidP="005A6291">
            <w:pPr>
              <w:spacing w:line="220" w:lineRule="exact"/>
              <w:contextualSpacing/>
              <w:jc w:val="center"/>
              <w:rPr>
                <w:color w:val="auto"/>
                <w:sz w:val="18"/>
                <w:szCs w:val="18"/>
                <w:highlight w:val="yellow"/>
              </w:rPr>
            </w:pPr>
            <w:r w:rsidRPr="003C6310">
              <w:rPr>
                <w:color w:val="auto"/>
                <w:sz w:val="18"/>
                <w:szCs w:val="18"/>
              </w:rPr>
              <w:t>50%</w:t>
            </w:r>
            <w:r w:rsidR="000C6B95">
              <w:rPr>
                <w:color w:val="auto"/>
                <w:sz w:val="18"/>
                <w:szCs w:val="18"/>
              </w:rPr>
              <w:t>*</w:t>
            </w:r>
          </w:p>
        </w:tc>
        <w:tc>
          <w:tcPr>
            <w:tcW w:w="993" w:type="dxa"/>
            <w:shd w:val="clear" w:color="auto" w:fill="FFFFFF" w:themeFill="background1"/>
            <w:vAlign w:val="center"/>
          </w:tcPr>
          <w:p w:rsidR="00CA13AD" w:rsidRPr="0042528C" w:rsidRDefault="00CA13AD" w:rsidP="005A6291">
            <w:pPr>
              <w:spacing w:line="220" w:lineRule="exact"/>
              <w:contextualSpacing/>
              <w:jc w:val="center"/>
              <w:rPr>
                <w:color w:val="auto"/>
                <w:sz w:val="18"/>
                <w:szCs w:val="18"/>
                <w:highlight w:val="yellow"/>
              </w:rPr>
            </w:pPr>
            <w:r w:rsidRPr="003C6310">
              <w:rPr>
                <w:color w:val="auto"/>
                <w:sz w:val="18"/>
                <w:szCs w:val="18"/>
              </w:rPr>
              <w:t>20050706</w:t>
            </w:r>
          </w:p>
        </w:tc>
      </w:tr>
      <w:tr w:rsidR="00C6224C" w:rsidRPr="00FF1022" w:rsidTr="005A6291">
        <w:trPr>
          <w:trHeight w:val="188"/>
          <w:jc w:val="center"/>
        </w:trPr>
        <w:tc>
          <w:tcPr>
            <w:tcW w:w="1984" w:type="dxa"/>
            <w:tcBorders>
              <w:right w:val="single" w:sz="4" w:space="0" w:color="auto"/>
            </w:tcBorders>
            <w:shd w:val="clear" w:color="auto" w:fill="FFFFFF" w:themeFill="background1"/>
            <w:vAlign w:val="center"/>
          </w:tcPr>
          <w:p w:rsidR="00625063" w:rsidRPr="003C6310" w:rsidRDefault="005A6291" w:rsidP="005A6291">
            <w:pPr>
              <w:spacing w:line="220" w:lineRule="exact"/>
              <w:contextualSpacing/>
              <w:rPr>
                <w:color w:val="auto"/>
                <w:sz w:val="18"/>
                <w:szCs w:val="18"/>
              </w:rPr>
            </w:pPr>
            <w:r>
              <w:rPr>
                <w:color w:val="auto"/>
                <w:sz w:val="18"/>
                <w:szCs w:val="18"/>
              </w:rPr>
              <w:t>Right</w:t>
            </w:r>
            <w:r w:rsidR="00625063">
              <w:rPr>
                <w:color w:val="auto"/>
                <w:sz w:val="18"/>
                <w:szCs w:val="18"/>
              </w:rPr>
              <w:t xml:space="preserve"> Hand Pain</w:t>
            </w:r>
          </w:p>
        </w:tc>
        <w:tc>
          <w:tcPr>
            <w:tcW w:w="2070" w:type="dxa"/>
            <w:gridSpan w:val="3"/>
            <w:tcBorders>
              <w:left w:val="single" w:sz="4" w:space="0" w:color="auto"/>
              <w:right w:val="thinThickThinSmallGap" w:sz="24" w:space="0" w:color="auto"/>
            </w:tcBorders>
            <w:shd w:val="clear" w:color="auto" w:fill="FFFFFF" w:themeFill="background1"/>
            <w:vAlign w:val="center"/>
          </w:tcPr>
          <w:p w:rsidR="00625063" w:rsidRDefault="00625063" w:rsidP="005A6291">
            <w:pPr>
              <w:spacing w:line="220" w:lineRule="exact"/>
              <w:jc w:val="center"/>
              <w:rPr>
                <w:color w:val="auto"/>
                <w:sz w:val="18"/>
                <w:szCs w:val="18"/>
              </w:rPr>
            </w:pPr>
            <w:r>
              <w:rPr>
                <w:color w:val="auto"/>
                <w:sz w:val="18"/>
                <w:szCs w:val="18"/>
              </w:rPr>
              <w:t>Not Unfitting</w:t>
            </w:r>
          </w:p>
        </w:tc>
        <w:tc>
          <w:tcPr>
            <w:tcW w:w="2430" w:type="dxa"/>
            <w:tcBorders>
              <w:left w:val="thinThickThinSmallGap" w:sz="24" w:space="0" w:color="auto"/>
            </w:tcBorders>
            <w:shd w:val="clear" w:color="auto" w:fill="FFFFFF" w:themeFill="background1"/>
            <w:vAlign w:val="center"/>
          </w:tcPr>
          <w:p w:rsidR="00625063" w:rsidRPr="003C6310" w:rsidRDefault="00625063" w:rsidP="005A6291">
            <w:pPr>
              <w:spacing w:line="220" w:lineRule="exact"/>
              <w:contextualSpacing/>
              <w:rPr>
                <w:color w:val="auto"/>
                <w:sz w:val="18"/>
                <w:szCs w:val="18"/>
              </w:rPr>
            </w:pPr>
            <w:r>
              <w:rPr>
                <w:color w:val="auto"/>
                <w:sz w:val="18"/>
                <w:szCs w:val="18"/>
              </w:rPr>
              <w:t>Right Hand Trauma</w:t>
            </w:r>
          </w:p>
        </w:tc>
        <w:tc>
          <w:tcPr>
            <w:tcW w:w="1080" w:type="dxa"/>
            <w:shd w:val="clear" w:color="auto" w:fill="FFFFFF" w:themeFill="background1"/>
            <w:vAlign w:val="center"/>
          </w:tcPr>
          <w:p w:rsidR="00625063" w:rsidRPr="003C6310" w:rsidRDefault="00625063" w:rsidP="005A6291">
            <w:pPr>
              <w:spacing w:line="220" w:lineRule="exact"/>
              <w:contextualSpacing/>
              <w:jc w:val="center"/>
              <w:rPr>
                <w:color w:val="auto"/>
                <w:sz w:val="18"/>
                <w:szCs w:val="18"/>
              </w:rPr>
            </w:pPr>
            <w:r>
              <w:rPr>
                <w:color w:val="auto"/>
                <w:sz w:val="18"/>
                <w:szCs w:val="18"/>
              </w:rPr>
              <w:t>5299-5230</w:t>
            </w:r>
          </w:p>
        </w:tc>
        <w:tc>
          <w:tcPr>
            <w:tcW w:w="810" w:type="dxa"/>
            <w:shd w:val="clear" w:color="auto" w:fill="FFFFFF" w:themeFill="background1"/>
            <w:vAlign w:val="center"/>
          </w:tcPr>
          <w:p w:rsidR="00625063" w:rsidRPr="003C6310" w:rsidRDefault="00625063" w:rsidP="005A6291">
            <w:pPr>
              <w:spacing w:line="220" w:lineRule="exact"/>
              <w:contextualSpacing/>
              <w:jc w:val="center"/>
              <w:rPr>
                <w:color w:val="auto"/>
                <w:sz w:val="18"/>
                <w:szCs w:val="18"/>
              </w:rPr>
            </w:pPr>
            <w:r>
              <w:rPr>
                <w:color w:val="auto"/>
                <w:sz w:val="18"/>
                <w:szCs w:val="18"/>
              </w:rPr>
              <w:t>NSC</w:t>
            </w:r>
          </w:p>
        </w:tc>
        <w:tc>
          <w:tcPr>
            <w:tcW w:w="993" w:type="dxa"/>
            <w:shd w:val="clear" w:color="auto" w:fill="FFFFFF" w:themeFill="background1"/>
            <w:vAlign w:val="center"/>
          </w:tcPr>
          <w:p w:rsidR="00625063" w:rsidRPr="003C6310" w:rsidRDefault="00625063" w:rsidP="005A6291">
            <w:pPr>
              <w:spacing w:line="220" w:lineRule="exact"/>
              <w:contextualSpacing/>
              <w:jc w:val="center"/>
              <w:rPr>
                <w:color w:val="auto"/>
                <w:sz w:val="18"/>
                <w:szCs w:val="18"/>
              </w:rPr>
            </w:pPr>
            <w:r>
              <w:rPr>
                <w:color w:val="auto"/>
                <w:sz w:val="18"/>
                <w:szCs w:val="18"/>
              </w:rPr>
              <w:t>20050706</w:t>
            </w:r>
          </w:p>
        </w:tc>
      </w:tr>
      <w:tr w:rsidR="00C6224C" w:rsidRPr="00FF1022" w:rsidTr="005A6291">
        <w:trPr>
          <w:trHeight w:val="125"/>
          <w:jc w:val="center"/>
        </w:trPr>
        <w:tc>
          <w:tcPr>
            <w:tcW w:w="4054" w:type="dxa"/>
            <w:gridSpan w:val="4"/>
            <w:vMerge w:val="restart"/>
            <w:tcBorders>
              <w:right w:val="thinThickThinSmallGap" w:sz="24" w:space="0" w:color="auto"/>
            </w:tcBorders>
            <w:shd w:val="clear" w:color="auto" w:fill="FFFFFF" w:themeFill="background1"/>
            <w:vAlign w:val="center"/>
          </w:tcPr>
          <w:p w:rsidR="00CA13AD" w:rsidRDefault="00CA13AD" w:rsidP="005A6291">
            <w:pPr>
              <w:spacing w:line="220" w:lineRule="exact"/>
              <w:jc w:val="center"/>
              <w:rPr>
                <w:color w:val="auto"/>
                <w:sz w:val="18"/>
                <w:szCs w:val="18"/>
              </w:rPr>
            </w:pPr>
            <w:r w:rsidRPr="0042528C">
              <w:rPr>
                <w:color w:val="auto"/>
                <w:sz w:val="18"/>
                <w:szCs w:val="18"/>
              </w:rPr>
              <w:t>No Additional MEB</w:t>
            </w:r>
            <w:r>
              <w:rPr>
                <w:color w:val="auto"/>
                <w:sz w:val="18"/>
                <w:szCs w:val="18"/>
              </w:rPr>
              <w:t>/PEB</w:t>
            </w:r>
            <w:r w:rsidRPr="0042528C">
              <w:rPr>
                <w:color w:val="auto"/>
                <w:sz w:val="18"/>
                <w:szCs w:val="18"/>
              </w:rPr>
              <w:t xml:space="preserve"> Entries</w:t>
            </w:r>
            <w:r w:rsidR="005A6291">
              <w:rPr>
                <w:color w:val="auto"/>
                <w:sz w:val="18"/>
                <w:szCs w:val="18"/>
              </w:rPr>
              <w:t>.</w:t>
            </w:r>
          </w:p>
        </w:tc>
        <w:tc>
          <w:tcPr>
            <w:tcW w:w="2430" w:type="dxa"/>
            <w:tcBorders>
              <w:left w:val="thinThickThinSmallGap" w:sz="24" w:space="0" w:color="auto"/>
            </w:tcBorders>
            <w:shd w:val="clear" w:color="auto" w:fill="FFFFFF" w:themeFill="background1"/>
            <w:vAlign w:val="center"/>
          </w:tcPr>
          <w:p w:rsidR="00CA13AD" w:rsidRPr="003C6310" w:rsidRDefault="00CA13AD" w:rsidP="005A6291">
            <w:pPr>
              <w:spacing w:line="220" w:lineRule="exact"/>
              <w:contextualSpacing/>
              <w:rPr>
                <w:color w:val="auto"/>
                <w:sz w:val="18"/>
                <w:szCs w:val="18"/>
              </w:rPr>
            </w:pPr>
            <w:r w:rsidRPr="003C6310">
              <w:rPr>
                <w:color w:val="auto"/>
                <w:sz w:val="18"/>
                <w:szCs w:val="18"/>
              </w:rPr>
              <w:t>L</w:t>
            </w:r>
            <w:r w:rsidR="005A6291">
              <w:rPr>
                <w:color w:val="auto"/>
                <w:sz w:val="18"/>
                <w:szCs w:val="18"/>
              </w:rPr>
              <w:t>S</w:t>
            </w:r>
            <w:r w:rsidRPr="003C6310">
              <w:rPr>
                <w:color w:val="auto"/>
                <w:sz w:val="18"/>
                <w:szCs w:val="18"/>
              </w:rPr>
              <w:t xml:space="preserve"> Strain</w:t>
            </w:r>
            <w:r>
              <w:rPr>
                <w:color w:val="auto"/>
                <w:sz w:val="18"/>
                <w:szCs w:val="18"/>
              </w:rPr>
              <w:t xml:space="preserve"> </w:t>
            </w:r>
            <w:r w:rsidR="005A6291">
              <w:rPr>
                <w:color w:val="auto"/>
                <w:sz w:val="18"/>
                <w:szCs w:val="18"/>
              </w:rPr>
              <w:t>w/</w:t>
            </w:r>
            <w:r w:rsidR="00625063">
              <w:rPr>
                <w:color w:val="auto"/>
                <w:sz w:val="18"/>
                <w:szCs w:val="18"/>
              </w:rPr>
              <w:t xml:space="preserve"> </w:t>
            </w:r>
            <w:r>
              <w:rPr>
                <w:color w:val="auto"/>
                <w:sz w:val="18"/>
                <w:szCs w:val="18"/>
              </w:rPr>
              <w:t>Scoliosis</w:t>
            </w:r>
          </w:p>
        </w:tc>
        <w:tc>
          <w:tcPr>
            <w:tcW w:w="1080" w:type="dxa"/>
            <w:shd w:val="clear" w:color="auto" w:fill="FFFFFF" w:themeFill="background1"/>
            <w:vAlign w:val="center"/>
          </w:tcPr>
          <w:p w:rsidR="00CA13AD" w:rsidRPr="003C6310" w:rsidRDefault="00CA13AD" w:rsidP="005A6291">
            <w:pPr>
              <w:spacing w:line="220" w:lineRule="exact"/>
              <w:contextualSpacing/>
              <w:jc w:val="center"/>
              <w:rPr>
                <w:color w:val="auto"/>
                <w:sz w:val="18"/>
                <w:szCs w:val="18"/>
              </w:rPr>
            </w:pPr>
            <w:r>
              <w:rPr>
                <w:color w:val="auto"/>
                <w:sz w:val="18"/>
                <w:szCs w:val="18"/>
              </w:rPr>
              <w:t>5237</w:t>
            </w:r>
          </w:p>
        </w:tc>
        <w:tc>
          <w:tcPr>
            <w:tcW w:w="810" w:type="dxa"/>
            <w:shd w:val="clear" w:color="auto" w:fill="FFFFFF" w:themeFill="background1"/>
            <w:vAlign w:val="center"/>
          </w:tcPr>
          <w:p w:rsidR="00CA13AD" w:rsidRPr="003C6310" w:rsidRDefault="00CA13AD" w:rsidP="005A6291">
            <w:pPr>
              <w:spacing w:line="220" w:lineRule="exact"/>
              <w:contextualSpacing/>
              <w:jc w:val="center"/>
              <w:rPr>
                <w:color w:val="auto"/>
                <w:sz w:val="18"/>
                <w:szCs w:val="18"/>
              </w:rPr>
            </w:pPr>
            <w:r>
              <w:rPr>
                <w:color w:val="auto"/>
                <w:sz w:val="18"/>
                <w:szCs w:val="18"/>
              </w:rPr>
              <w:t>10%</w:t>
            </w:r>
          </w:p>
        </w:tc>
        <w:tc>
          <w:tcPr>
            <w:tcW w:w="993" w:type="dxa"/>
            <w:shd w:val="clear" w:color="auto" w:fill="FFFFFF" w:themeFill="background1"/>
            <w:vAlign w:val="center"/>
          </w:tcPr>
          <w:p w:rsidR="00CA13AD" w:rsidRPr="003C6310" w:rsidRDefault="00CA13AD" w:rsidP="005A6291">
            <w:pPr>
              <w:spacing w:line="220" w:lineRule="exact"/>
              <w:contextualSpacing/>
              <w:jc w:val="center"/>
              <w:rPr>
                <w:color w:val="auto"/>
                <w:sz w:val="18"/>
                <w:szCs w:val="18"/>
              </w:rPr>
            </w:pPr>
            <w:r w:rsidRPr="003C6310">
              <w:rPr>
                <w:color w:val="auto"/>
                <w:sz w:val="18"/>
                <w:szCs w:val="18"/>
              </w:rPr>
              <w:t>20050706</w:t>
            </w:r>
          </w:p>
        </w:tc>
      </w:tr>
      <w:tr w:rsidR="00CA13AD" w:rsidRPr="00FF1022" w:rsidTr="005A6291">
        <w:trPr>
          <w:trHeight w:val="188"/>
          <w:jc w:val="center"/>
        </w:trPr>
        <w:tc>
          <w:tcPr>
            <w:tcW w:w="4054" w:type="dxa"/>
            <w:gridSpan w:val="4"/>
            <w:vMerge/>
            <w:tcBorders>
              <w:bottom w:val="single" w:sz="4" w:space="0" w:color="000000" w:themeColor="text1"/>
              <w:right w:val="thinThickThinSmallGap" w:sz="24" w:space="0" w:color="auto"/>
            </w:tcBorders>
            <w:shd w:val="clear" w:color="auto" w:fill="FFFFFF" w:themeFill="background1"/>
            <w:vAlign w:val="center"/>
          </w:tcPr>
          <w:p w:rsidR="00CA13AD" w:rsidRPr="0042528C" w:rsidRDefault="00CA13AD" w:rsidP="005A6291">
            <w:pPr>
              <w:spacing w:line="220" w:lineRule="exact"/>
              <w:contextualSpacing/>
              <w:jc w:val="center"/>
              <w:rPr>
                <w:color w:val="auto"/>
                <w:sz w:val="18"/>
                <w:szCs w:val="18"/>
              </w:rPr>
            </w:pPr>
          </w:p>
        </w:tc>
        <w:tc>
          <w:tcPr>
            <w:tcW w:w="4320" w:type="dxa"/>
            <w:gridSpan w:val="3"/>
            <w:tcBorders>
              <w:left w:val="thinThickThinSmallGap" w:sz="24" w:space="0" w:color="auto"/>
              <w:bottom w:val="single" w:sz="4" w:space="0" w:color="000000" w:themeColor="text1"/>
            </w:tcBorders>
            <w:shd w:val="clear" w:color="auto" w:fill="FFFFFF" w:themeFill="background1"/>
            <w:vAlign w:val="center"/>
          </w:tcPr>
          <w:p w:rsidR="00CA13AD" w:rsidRPr="0042528C" w:rsidRDefault="00CA13AD" w:rsidP="005A6291">
            <w:pPr>
              <w:spacing w:line="22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x1/</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625063">
              <w:rPr>
                <w:rFonts w:cs="Times New Roman"/>
                <w:color w:val="auto"/>
                <w:sz w:val="18"/>
                <w:szCs w:val="18"/>
              </w:rPr>
              <w:t>4</w:t>
            </w:r>
          </w:p>
        </w:tc>
        <w:tc>
          <w:tcPr>
            <w:tcW w:w="993" w:type="dxa"/>
            <w:tcBorders>
              <w:bottom w:val="single" w:sz="4" w:space="0" w:color="000000" w:themeColor="text1"/>
            </w:tcBorders>
            <w:shd w:val="clear" w:color="auto" w:fill="FFFFFF" w:themeFill="background1"/>
            <w:vAlign w:val="center"/>
          </w:tcPr>
          <w:p w:rsidR="00CA13AD" w:rsidRPr="0042528C" w:rsidRDefault="00CA13AD" w:rsidP="005A6291">
            <w:pPr>
              <w:spacing w:line="220" w:lineRule="exact"/>
              <w:contextualSpacing/>
              <w:jc w:val="center"/>
              <w:rPr>
                <w:color w:val="auto"/>
                <w:sz w:val="18"/>
                <w:szCs w:val="18"/>
                <w:highlight w:val="yellow"/>
              </w:rPr>
            </w:pPr>
            <w:r w:rsidRPr="003C6310">
              <w:rPr>
                <w:color w:val="auto"/>
                <w:sz w:val="18"/>
                <w:szCs w:val="18"/>
              </w:rPr>
              <w:t>20050706</w:t>
            </w:r>
          </w:p>
        </w:tc>
      </w:tr>
      <w:tr w:rsidR="00CA13AD" w:rsidRPr="00FF1022" w:rsidTr="005A6291">
        <w:trPr>
          <w:trHeight w:val="242"/>
          <w:jc w:val="center"/>
        </w:trPr>
        <w:tc>
          <w:tcPr>
            <w:tcW w:w="4054" w:type="dxa"/>
            <w:gridSpan w:val="4"/>
            <w:tcBorders>
              <w:right w:val="thinThickThinSmallGap" w:sz="24" w:space="0" w:color="auto"/>
            </w:tcBorders>
            <w:shd w:val="clear" w:color="auto" w:fill="D9D9D9" w:themeFill="background1" w:themeFillShade="D9"/>
          </w:tcPr>
          <w:p w:rsidR="00CA13AD" w:rsidRPr="00B06930" w:rsidRDefault="00CA13AD" w:rsidP="005A6291">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0</w:t>
            </w:r>
            <w:r w:rsidRPr="00B06930">
              <w:rPr>
                <w:b/>
                <w:color w:val="auto"/>
                <w:sz w:val="20"/>
                <w:szCs w:val="20"/>
              </w:rPr>
              <w:t>%</w:t>
            </w:r>
          </w:p>
        </w:tc>
        <w:tc>
          <w:tcPr>
            <w:tcW w:w="5313" w:type="dxa"/>
            <w:gridSpan w:val="4"/>
            <w:tcBorders>
              <w:left w:val="thinThickThinSmallGap" w:sz="24" w:space="0" w:color="auto"/>
            </w:tcBorders>
            <w:shd w:val="clear" w:color="auto" w:fill="D9D9D9" w:themeFill="background1" w:themeFillShade="D9"/>
          </w:tcPr>
          <w:p w:rsidR="00CA13AD" w:rsidRPr="00B06930" w:rsidRDefault="00CA13AD" w:rsidP="005A6291">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60</w:t>
            </w:r>
            <w:r w:rsidRPr="00B06930">
              <w:rPr>
                <w:b/>
                <w:color w:val="auto"/>
                <w:sz w:val="20"/>
                <w:szCs w:val="20"/>
              </w:rPr>
              <w:t>%</w:t>
            </w:r>
          </w:p>
        </w:tc>
      </w:tr>
    </w:tbl>
    <w:p w:rsidR="005124A6" w:rsidRDefault="005A6291" w:rsidP="005124A6">
      <w:pPr>
        <w:pBdr>
          <w:bottom w:val="single" w:sz="12" w:space="1" w:color="auto"/>
        </w:pBdr>
        <w:tabs>
          <w:tab w:val="left" w:pos="288"/>
          <w:tab w:val="left" w:pos="4752"/>
        </w:tabs>
        <w:spacing w:line="180" w:lineRule="exact"/>
        <w:jc w:val="both"/>
        <w:rPr>
          <w:rFonts w:asciiTheme="minorHAnsi" w:hAnsiTheme="minorHAnsi"/>
          <w:color w:val="auto"/>
          <w:sz w:val="18"/>
          <w:szCs w:val="18"/>
        </w:rPr>
      </w:pPr>
      <w:r>
        <w:rPr>
          <w:rFonts w:asciiTheme="minorHAnsi" w:hAnsiTheme="minorHAnsi"/>
          <w:color w:val="auto"/>
          <w:sz w:val="18"/>
          <w:szCs w:val="18"/>
        </w:rPr>
        <w:t xml:space="preserve">* </w:t>
      </w:r>
      <w:r w:rsidR="000C6B95">
        <w:rPr>
          <w:rFonts w:asciiTheme="minorHAnsi" w:hAnsiTheme="minorHAnsi"/>
          <w:color w:val="auto"/>
          <w:sz w:val="18"/>
          <w:szCs w:val="18"/>
        </w:rPr>
        <w:t xml:space="preserve">Increased to 70% </w:t>
      </w:r>
      <w:r w:rsidR="00754A53">
        <w:rPr>
          <w:rFonts w:asciiTheme="minorHAnsi" w:hAnsiTheme="minorHAnsi"/>
          <w:color w:val="auto"/>
          <w:sz w:val="18"/>
          <w:szCs w:val="18"/>
        </w:rPr>
        <w:t>(</w:t>
      </w:r>
      <w:r w:rsidR="000C6B95">
        <w:rPr>
          <w:rFonts w:asciiTheme="minorHAnsi" w:hAnsiTheme="minorHAnsi"/>
          <w:color w:val="auto"/>
          <w:sz w:val="18"/>
          <w:szCs w:val="18"/>
        </w:rPr>
        <w:t xml:space="preserve">VARD </w:t>
      </w:r>
      <w:proofErr w:type="spellStart"/>
      <w:r w:rsidR="00754A53">
        <w:rPr>
          <w:rFonts w:asciiTheme="minorHAnsi" w:hAnsiTheme="minorHAnsi"/>
          <w:color w:val="auto"/>
          <w:sz w:val="18"/>
          <w:szCs w:val="18"/>
        </w:rPr>
        <w:t>dtd</w:t>
      </w:r>
      <w:proofErr w:type="spellEnd"/>
      <w:r w:rsidR="000C6B95">
        <w:rPr>
          <w:rFonts w:asciiTheme="minorHAnsi" w:hAnsiTheme="minorHAnsi"/>
          <w:color w:val="auto"/>
          <w:sz w:val="18"/>
          <w:szCs w:val="18"/>
        </w:rPr>
        <w:t xml:space="preserve"> 20100205</w:t>
      </w:r>
      <w:r w:rsidR="00754A53">
        <w:rPr>
          <w:rFonts w:asciiTheme="minorHAnsi" w:hAnsiTheme="minorHAnsi"/>
          <w:color w:val="auto"/>
          <w:sz w:val="18"/>
          <w:szCs w:val="18"/>
        </w:rPr>
        <w:t>)</w:t>
      </w:r>
      <w:r w:rsidR="000C6B95">
        <w:rPr>
          <w:rFonts w:asciiTheme="minorHAnsi" w:hAnsiTheme="minorHAnsi"/>
          <w:color w:val="auto"/>
          <w:sz w:val="18"/>
          <w:szCs w:val="18"/>
        </w:rPr>
        <w:t xml:space="preserve"> </w:t>
      </w:r>
      <w:proofErr w:type="spellStart"/>
      <w:r w:rsidR="000C6B95">
        <w:rPr>
          <w:rFonts w:asciiTheme="minorHAnsi" w:hAnsiTheme="minorHAnsi"/>
          <w:color w:val="auto"/>
          <w:sz w:val="18"/>
          <w:szCs w:val="18"/>
        </w:rPr>
        <w:t>retroeffective</w:t>
      </w:r>
      <w:proofErr w:type="spellEnd"/>
      <w:r w:rsidR="000C6B95">
        <w:rPr>
          <w:rFonts w:asciiTheme="minorHAnsi" w:hAnsiTheme="minorHAnsi"/>
          <w:color w:val="auto"/>
          <w:sz w:val="18"/>
          <w:szCs w:val="18"/>
        </w:rPr>
        <w:t xml:space="preserve"> to </w:t>
      </w:r>
      <w:r w:rsidR="00754A53">
        <w:rPr>
          <w:rFonts w:asciiTheme="minorHAnsi" w:hAnsiTheme="minorHAnsi"/>
          <w:color w:val="auto"/>
          <w:sz w:val="18"/>
          <w:szCs w:val="18"/>
        </w:rPr>
        <w:t>separation</w:t>
      </w:r>
      <w:r w:rsidR="00A433BE">
        <w:rPr>
          <w:rFonts w:asciiTheme="minorHAnsi" w:hAnsiTheme="minorHAnsi"/>
          <w:color w:val="auto"/>
          <w:sz w:val="18"/>
          <w:szCs w:val="18"/>
        </w:rPr>
        <w:t>, but</w:t>
      </w:r>
      <w:r w:rsidR="000C6B95">
        <w:rPr>
          <w:rFonts w:asciiTheme="minorHAnsi" w:hAnsiTheme="minorHAnsi"/>
          <w:color w:val="auto"/>
          <w:sz w:val="18"/>
          <w:szCs w:val="18"/>
        </w:rPr>
        <w:t xml:space="preserve"> based on </w:t>
      </w:r>
      <w:r w:rsidR="005124A6">
        <w:rPr>
          <w:rFonts w:asciiTheme="minorHAnsi" w:hAnsiTheme="minorHAnsi"/>
          <w:color w:val="auto"/>
          <w:sz w:val="18"/>
          <w:szCs w:val="18"/>
        </w:rPr>
        <w:t>an</w:t>
      </w:r>
      <w:r w:rsidR="000C6B95">
        <w:rPr>
          <w:rFonts w:asciiTheme="minorHAnsi" w:hAnsiTheme="minorHAnsi"/>
          <w:color w:val="auto"/>
          <w:sz w:val="18"/>
          <w:szCs w:val="18"/>
        </w:rPr>
        <w:t xml:space="preserve"> exam dated 20100125</w:t>
      </w:r>
      <w:r w:rsidR="0052592E">
        <w:rPr>
          <w:rFonts w:asciiTheme="minorHAnsi" w:hAnsiTheme="minorHAnsi"/>
          <w:color w:val="auto"/>
          <w:sz w:val="18"/>
          <w:szCs w:val="18"/>
        </w:rPr>
        <w:t xml:space="preserve"> (28</w:t>
      </w:r>
      <w:r w:rsidR="00754A53">
        <w:rPr>
          <w:rFonts w:asciiTheme="minorHAnsi" w:hAnsiTheme="minorHAnsi"/>
          <w:color w:val="auto"/>
          <w:sz w:val="18"/>
          <w:szCs w:val="18"/>
        </w:rPr>
        <w:t xml:space="preserve"> months after</w:t>
      </w:r>
    </w:p>
    <w:p w:rsidR="000C6B95" w:rsidRPr="00A433BE" w:rsidRDefault="005124A6" w:rsidP="005124A6">
      <w:pPr>
        <w:pBdr>
          <w:bottom w:val="single" w:sz="12" w:space="1" w:color="auto"/>
        </w:pBdr>
        <w:tabs>
          <w:tab w:val="left" w:pos="288"/>
          <w:tab w:val="left" w:pos="4752"/>
        </w:tabs>
        <w:spacing w:line="180" w:lineRule="exact"/>
        <w:jc w:val="both"/>
        <w:rPr>
          <w:rFonts w:asciiTheme="minorHAnsi" w:hAnsiTheme="minorHAnsi"/>
          <w:color w:val="auto"/>
          <w:sz w:val="18"/>
          <w:szCs w:val="18"/>
        </w:rPr>
      </w:pPr>
      <w:r>
        <w:rPr>
          <w:rFonts w:asciiTheme="minorHAnsi" w:hAnsiTheme="minorHAnsi"/>
          <w:color w:val="auto"/>
          <w:sz w:val="18"/>
          <w:szCs w:val="18"/>
        </w:rPr>
        <w:t xml:space="preserve">  </w:t>
      </w:r>
      <w:r w:rsidR="00754A53">
        <w:rPr>
          <w:rFonts w:asciiTheme="minorHAnsi" w:hAnsiTheme="minorHAnsi"/>
          <w:color w:val="auto"/>
          <w:sz w:val="18"/>
          <w:szCs w:val="18"/>
        </w:rPr>
        <w:t xml:space="preserve"> </w:t>
      </w:r>
      <w:proofErr w:type="gramStart"/>
      <w:r w:rsidR="00754A53">
        <w:rPr>
          <w:rFonts w:asciiTheme="minorHAnsi" w:hAnsiTheme="minorHAnsi"/>
          <w:color w:val="auto"/>
          <w:sz w:val="18"/>
          <w:szCs w:val="18"/>
        </w:rPr>
        <w:t>permanent</w:t>
      </w:r>
      <w:proofErr w:type="gramEnd"/>
      <w:r w:rsidR="00754A53">
        <w:rPr>
          <w:rFonts w:asciiTheme="minorHAnsi" w:hAnsiTheme="minorHAnsi"/>
          <w:color w:val="auto"/>
          <w:sz w:val="18"/>
          <w:szCs w:val="18"/>
        </w:rPr>
        <w:t xml:space="preserve"> separation)</w:t>
      </w:r>
      <w:r w:rsidR="005A6291">
        <w:rPr>
          <w:rFonts w:asciiTheme="minorHAnsi" w:hAnsiTheme="minorHAnsi"/>
          <w:color w:val="auto"/>
          <w:sz w:val="18"/>
          <w:szCs w:val="18"/>
        </w:rPr>
        <w:t>.</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A6291" w:rsidRDefault="005A6291" w:rsidP="00A61DA7">
      <w:pPr>
        <w:spacing w:line="240" w:lineRule="exact"/>
        <w:jc w:val="both"/>
        <w:rPr>
          <w:rFonts w:asciiTheme="minorHAnsi" w:hAnsiTheme="minorHAnsi"/>
          <w:color w:val="auto"/>
          <w:szCs w:val="24"/>
          <w:u w:val="single"/>
        </w:rPr>
      </w:pPr>
    </w:p>
    <w:p w:rsidR="00A61DA7" w:rsidRPr="00A61DA7" w:rsidRDefault="00A61DA7" w:rsidP="00A61DA7">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A61DA7">
        <w:rPr>
          <w:rFonts w:asciiTheme="minorHAnsi" w:hAnsiTheme="minorHAnsi"/>
          <w:color w:val="auto"/>
          <w:szCs w:val="24"/>
        </w:rPr>
        <w:t xml:space="preserve">:  </w:t>
      </w:r>
      <w:r w:rsidR="00754A53" w:rsidRPr="00754A53">
        <w:rPr>
          <w:rFonts w:asciiTheme="minorHAnsi" w:hAnsiTheme="minorHAnsi"/>
          <w:color w:val="auto"/>
          <w:szCs w:val="24"/>
        </w:rPr>
        <w:t xml:space="preserve">The PEB rating, as described above, was derived from DoDI 1332.39 and preceded the promulgation of the National Defense Authorization Act (NDAA) 2008 mandate for DoD adherence to </w:t>
      </w:r>
      <w:r w:rsidR="001A2B75">
        <w:rPr>
          <w:rFonts w:asciiTheme="minorHAnsi" w:hAnsiTheme="minorHAnsi"/>
          <w:color w:val="auto"/>
          <w:szCs w:val="24"/>
        </w:rPr>
        <w:t>VASRD</w:t>
      </w:r>
      <w:r w:rsidR="00754A53" w:rsidRPr="00754A53">
        <w:rPr>
          <w:rFonts w:asciiTheme="minorHAnsi" w:hAnsiTheme="minorHAnsi"/>
          <w:color w:val="auto"/>
          <w:szCs w:val="24"/>
        </w:rPr>
        <w:t xml:space="preserve"> §4.129. IAW DoDI 6040.44 and DoD guidance (which applies </w:t>
      </w:r>
      <w:r w:rsidR="00754A53" w:rsidRPr="00754A53">
        <w:rPr>
          <w:rFonts w:asciiTheme="minorHAnsi" w:hAnsiTheme="minorHAnsi"/>
          <w:color w:val="auto"/>
          <w:szCs w:val="24"/>
        </w:rPr>
        <w:lastRenderedPageBreak/>
        <w:t xml:space="preserve">current VASRD 4.129 to all Board cases), the Board is obligated to recommend a minimum 50% PTSD rating for a retroactive six-month period on the TDRL.  Since the Service was in compliance with the §4.129 TDRL requirement, the Board need not apply a constructive TDRL interval in this case.  A minimum TDRL rating of 50% remains applicable IAW DoD direction, and as held by </w:t>
      </w:r>
      <w:r w:rsidR="001A2B75">
        <w:rPr>
          <w:rFonts w:asciiTheme="minorHAnsi" w:hAnsiTheme="minorHAnsi"/>
          <w:color w:val="auto"/>
          <w:szCs w:val="24"/>
        </w:rPr>
        <w:t>F</w:t>
      </w:r>
      <w:r w:rsidR="00754A53" w:rsidRPr="00754A53">
        <w:rPr>
          <w:rFonts w:asciiTheme="minorHAnsi" w:hAnsiTheme="minorHAnsi"/>
          <w:color w:val="auto"/>
          <w:szCs w:val="24"/>
        </w:rPr>
        <w:t xml:space="preserve">ederal court in the </w:t>
      </w:r>
      <w:r w:rsidR="00754A53" w:rsidRPr="00754A53">
        <w:rPr>
          <w:rFonts w:asciiTheme="minorHAnsi" w:hAnsiTheme="minorHAnsi"/>
          <w:i/>
          <w:color w:val="auto"/>
          <w:szCs w:val="24"/>
        </w:rPr>
        <w:t>Sabo v. United States</w:t>
      </w:r>
      <w:r w:rsidR="00754A53" w:rsidRPr="00754A53">
        <w:rPr>
          <w:rFonts w:asciiTheme="minorHAnsi" w:hAnsiTheme="minorHAnsi"/>
          <w:color w:val="auto"/>
          <w:szCs w:val="24"/>
        </w:rPr>
        <w:t xml:space="preserve"> class action settlement.  The Board must then determine the most appropriate fit with VASRD 4.130 criteria at the end of the TDRL interval for its pe</w:t>
      </w:r>
      <w:r w:rsidR="00754A53">
        <w:rPr>
          <w:rFonts w:asciiTheme="minorHAnsi" w:hAnsiTheme="minorHAnsi"/>
          <w:color w:val="auto"/>
          <w:szCs w:val="24"/>
        </w:rPr>
        <w:t>rmanent rating recommendation.</w:t>
      </w:r>
      <w:r w:rsidRPr="00A61DA7">
        <w:rPr>
          <w:rFonts w:asciiTheme="minorHAnsi" w:hAnsiTheme="minorHAnsi"/>
          <w:color w:val="auto"/>
          <w:szCs w:val="24"/>
        </w:rPr>
        <w:t xml:space="preserve">  The most proximate source of comprehensive evidence on which to base the permanent rating recommendation in this case is the TDRL </w:t>
      </w:r>
      <w:r w:rsidR="00754A53">
        <w:rPr>
          <w:rFonts w:asciiTheme="minorHAnsi" w:hAnsiTheme="minorHAnsi"/>
          <w:color w:val="auto"/>
          <w:szCs w:val="24"/>
        </w:rPr>
        <w:t>Re-evaluation</w:t>
      </w:r>
      <w:r w:rsidRPr="00A61DA7">
        <w:rPr>
          <w:rFonts w:asciiTheme="minorHAnsi" w:hAnsiTheme="minorHAnsi"/>
          <w:color w:val="auto"/>
          <w:szCs w:val="24"/>
        </w:rPr>
        <w:t xml:space="preserve"> performed 25 months after being placed on TDRL and 1 month prior to permanent separation.  The</w:t>
      </w:r>
      <w:r w:rsidR="007A30C1">
        <w:rPr>
          <w:rFonts w:asciiTheme="minorHAnsi" w:hAnsiTheme="minorHAnsi"/>
          <w:color w:val="auto"/>
          <w:szCs w:val="24"/>
        </w:rPr>
        <w:t xml:space="preserve">re were two </w:t>
      </w:r>
      <w:r w:rsidR="001A2B75">
        <w:rPr>
          <w:rFonts w:asciiTheme="minorHAnsi" w:hAnsiTheme="minorHAnsi"/>
          <w:color w:val="auto"/>
          <w:szCs w:val="24"/>
        </w:rPr>
        <w:t>Department of Veterans’ Affairs (</w:t>
      </w:r>
      <w:r w:rsidRPr="00A61DA7">
        <w:rPr>
          <w:rFonts w:asciiTheme="minorHAnsi" w:hAnsiTheme="minorHAnsi"/>
          <w:color w:val="auto"/>
          <w:szCs w:val="24"/>
        </w:rPr>
        <w:t>VA</w:t>
      </w:r>
      <w:r w:rsidR="001A2B75">
        <w:rPr>
          <w:rFonts w:asciiTheme="minorHAnsi" w:hAnsiTheme="minorHAnsi"/>
          <w:color w:val="auto"/>
          <w:szCs w:val="24"/>
        </w:rPr>
        <w:t>)</w:t>
      </w:r>
      <w:r w:rsidRPr="00A61DA7">
        <w:rPr>
          <w:rFonts w:asciiTheme="minorHAnsi" w:hAnsiTheme="minorHAnsi"/>
          <w:color w:val="auto"/>
          <w:szCs w:val="24"/>
        </w:rPr>
        <w:t xml:space="preserve"> </w:t>
      </w:r>
      <w:r w:rsidR="001A2B75">
        <w:rPr>
          <w:rFonts w:asciiTheme="minorHAnsi" w:hAnsiTheme="minorHAnsi"/>
          <w:color w:val="auto"/>
          <w:szCs w:val="24"/>
        </w:rPr>
        <w:t>c</w:t>
      </w:r>
      <w:r w:rsidRPr="00A61DA7">
        <w:rPr>
          <w:rFonts w:asciiTheme="minorHAnsi" w:hAnsiTheme="minorHAnsi"/>
          <w:color w:val="auto"/>
          <w:szCs w:val="24"/>
        </w:rPr>
        <w:t xml:space="preserve">ompensation and </w:t>
      </w:r>
      <w:r w:rsidR="001A2B75">
        <w:rPr>
          <w:rFonts w:asciiTheme="minorHAnsi" w:hAnsiTheme="minorHAnsi"/>
          <w:color w:val="auto"/>
          <w:szCs w:val="24"/>
        </w:rPr>
        <w:t>p</w:t>
      </w:r>
      <w:r w:rsidRPr="00A61DA7">
        <w:rPr>
          <w:rFonts w:asciiTheme="minorHAnsi" w:hAnsiTheme="minorHAnsi"/>
          <w:color w:val="auto"/>
          <w:szCs w:val="24"/>
        </w:rPr>
        <w:t>ension (C&amp;P) examination</w:t>
      </w:r>
      <w:r w:rsidR="007A30C1">
        <w:rPr>
          <w:rFonts w:asciiTheme="minorHAnsi" w:hAnsiTheme="minorHAnsi"/>
          <w:color w:val="auto"/>
          <w:szCs w:val="24"/>
        </w:rPr>
        <w:t>s</w:t>
      </w:r>
      <w:r w:rsidRPr="00A61DA7">
        <w:rPr>
          <w:rFonts w:asciiTheme="minorHAnsi" w:hAnsiTheme="minorHAnsi"/>
          <w:color w:val="auto"/>
          <w:szCs w:val="24"/>
        </w:rPr>
        <w:t xml:space="preserve"> </w:t>
      </w:r>
      <w:r w:rsidR="0052592E">
        <w:rPr>
          <w:rFonts w:asciiTheme="minorHAnsi" w:hAnsiTheme="minorHAnsi"/>
          <w:color w:val="auto"/>
          <w:szCs w:val="24"/>
        </w:rPr>
        <w:t xml:space="preserve">in evidence.  </w:t>
      </w:r>
      <w:r w:rsidR="007A30C1">
        <w:rPr>
          <w:rFonts w:asciiTheme="minorHAnsi" w:hAnsiTheme="minorHAnsi"/>
          <w:color w:val="auto"/>
          <w:szCs w:val="24"/>
        </w:rPr>
        <w:t xml:space="preserve">One was </w:t>
      </w:r>
      <w:r w:rsidR="0052592E">
        <w:rPr>
          <w:rFonts w:asciiTheme="minorHAnsi" w:hAnsiTheme="minorHAnsi"/>
          <w:color w:val="auto"/>
          <w:szCs w:val="24"/>
        </w:rPr>
        <w:t>performed</w:t>
      </w:r>
      <w:r w:rsidR="007A30C1">
        <w:rPr>
          <w:rFonts w:asciiTheme="minorHAnsi" w:hAnsiTheme="minorHAnsi"/>
          <w:color w:val="auto"/>
          <w:szCs w:val="24"/>
        </w:rPr>
        <w:t xml:space="preserve"> </w:t>
      </w:r>
      <w:r w:rsidRPr="00A61DA7">
        <w:rPr>
          <w:rFonts w:asciiTheme="minorHAnsi" w:hAnsiTheme="minorHAnsi"/>
          <w:color w:val="auto"/>
          <w:szCs w:val="24"/>
        </w:rPr>
        <w:t xml:space="preserve">the same month that the CI was placed on TDRL </w:t>
      </w:r>
      <w:r w:rsidR="005124A6">
        <w:rPr>
          <w:rFonts w:asciiTheme="minorHAnsi" w:hAnsiTheme="minorHAnsi"/>
          <w:color w:val="auto"/>
          <w:szCs w:val="24"/>
        </w:rPr>
        <w:t>(</w:t>
      </w:r>
      <w:r w:rsidRPr="00A61DA7">
        <w:rPr>
          <w:rFonts w:asciiTheme="minorHAnsi" w:hAnsiTheme="minorHAnsi"/>
          <w:color w:val="auto"/>
          <w:szCs w:val="24"/>
        </w:rPr>
        <w:t>26 month</w:t>
      </w:r>
      <w:r w:rsidR="007A30C1">
        <w:rPr>
          <w:rFonts w:asciiTheme="minorHAnsi" w:hAnsiTheme="minorHAnsi"/>
          <w:color w:val="auto"/>
          <w:szCs w:val="24"/>
        </w:rPr>
        <w:t>s prior to permanent separation</w:t>
      </w:r>
      <w:r w:rsidR="005124A6">
        <w:rPr>
          <w:rFonts w:asciiTheme="minorHAnsi" w:hAnsiTheme="minorHAnsi"/>
          <w:color w:val="auto"/>
          <w:szCs w:val="24"/>
        </w:rPr>
        <w:t>)</w:t>
      </w:r>
      <w:r w:rsidR="007A30C1">
        <w:rPr>
          <w:rFonts w:asciiTheme="minorHAnsi" w:hAnsiTheme="minorHAnsi"/>
          <w:color w:val="auto"/>
          <w:szCs w:val="24"/>
        </w:rPr>
        <w:t>; and</w:t>
      </w:r>
      <w:r w:rsidR="0052592E">
        <w:rPr>
          <w:rFonts w:asciiTheme="minorHAnsi" w:hAnsiTheme="minorHAnsi"/>
          <w:color w:val="auto"/>
          <w:szCs w:val="24"/>
        </w:rPr>
        <w:t>,</w:t>
      </w:r>
      <w:r w:rsidR="007A30C1">
        <w:rPr>
          <w:rFonts w:asciiTheme="minorHAnsi" w:hAnsiTheme="minorHAnsi"/>
          <w:color w:val="auto"/>
          <w:szCs w:val="24"/>
        </w:rPr>
        <w:t xml:space="preserve"> the other was </w:t>
      </w:r>
      <w:r w:rsidR="0052592E">
        <w:rPr>
          <w:rFonts w:asciiTheme="minorHAnsi" w:hAnsiTheme="minorHAnsi"/>
          <w:color w:val="auto"/>
          <w:szCs w:val="24"/>
        </w:rPr>
        <w:t>performed</w:t>
      </w:r>
      <w:r w:rsidR="007A30C1">
        <w:rPr>
          <w:rFonts w:asciiTheme="minorHAnsi" w:hAnsiTheme="minorHAnsi"/>
          <w:color w:val="auto"/>
          <w:szCs w:val="24"/>
        </w:rPr>
        <w:t xml:space="preserve"> 28 months </w:t>
      </w:r>
      <w:r w:rsidR="0052592E">
        <w:rPr>
          <w:rFonts w:asciiTheme="minorHAnsi" w:hAnsiTheme="minorHAnsi"/>
          <w:color w:val="auto"/>
          <w:szCs w:val="24"/>
        </w:rPr>
        <w:t>after</w:t>
      </w:r>
      <w:r w:rsidR="007A30C1">
        <w:rPr>
          <w:rFonts w:asciiTheme="minorHAnsi" w:hAnsiTheme="minorHAnsi"/>
          <w:color w:val="auto"/>
          <w:szCs w:val="24"/>
        </w:rPr>
        <w:t xml:space="preserve"> permanent separation.  </w:t>
      </w:r>
      <w:r w:rsidRPr="00A61DA7">
        <w:rPr>
          <w:rFonts w:asciiTheme="minorHAnsi" w:hAnsiTheme="minorHAnsi"/>
          <w:color w:val="auto"/>
          <w:szCs w:val="24"/>
        </w:rPr>
        <w:t xml:space="preserve">Since </w:t>
      </w:r>
      <w:r w:rsidR="007A30C1">
        <w:rPr>
          <w:rFonts w:asciiTheme="minorHAnsi" w:hAnsiTheme="minorHAnsi"/>
          <w:color w:val="auto"/>
          <w:szCs w:val="24"/>
        </w:rPr>
        <w:t xml:space="preserve">both of these </w:t>
      </w:r>
      <w:r w:rsidR="0052592E">
        <w:rPr>
          <w:rFonts w:asciiTheme="minorHAnsi" w:hAnsiTheme="minorHAnsi"/>
          <w:color w:val="auto"/>
          <w:szCs w:val="24"/>
        </w:rPr>
        <w:t>evaluations</w:t>
      </w:r>
      <w:r w:rsidRPr="00A61DA7">
        <w:rPr>
          <w:rFonts w:asciiTheme="minorHAnsi" w:hAnsiTheme="minorHAnsi"/>
          <w:color w:val="auto"/>
          <w:szCs w:val="24"/>
        </w:rPr>
        <w:t xml:space="preserve"> fall well outside the 12-month window specified in DoDI 6040.44 regarding Board consideration</w:t>
      </w:r>
      <w:r w:rsidR="0052592E">
        <w:rPr>
          <w:rFonts w:asciiTheme="minorHAnsi" w:hAnsiTheme="minorHAnsi"/>
          <w:color w:val="auto"/>
          <w:szCs w:val="24"/>
        </w:rPr>
        <w:t xml:space="preserve"> of post-separation VA evidence</w:t>
      </w:r>
      <w:r w:rsidRPr="00A61DA7">
        <w:rPr>
          <w:rFonts w:asciiTheme="minorHAnsi" w:hAnsiTheme="minorHAnsi"/>
          <w:color w:val="auto"/>
          <w:szCs w:val="24"/>
        </w:rPr>
        <w:t xml:space="preserve">, the Board assigns little probative value to </w:t>
      </w:r>
      <w:r w:rsidR="0052592E">
        <w:rPr>
          <w:rFonts w:asciiTheme="minorHAnsi" w:hAnsiTheme="minorHAnsi"/>
          <w:color w:val="auto"/>
          <w:szCs w:val="24"/>
        </w:rPr>
        <w:t>them</w:t>
      </w:r>
      <w:r w:rsidRPr="00A61DA7">
        <w:rPr>
          <w:rFonts w:asciiTheme="minorHAnsi" w:hAnsiTheme="minorHAnsi"/>
          <w:color w:val="auto"/>
          <w:szCs w:val="24"/>
        </w:rPr>
        <w:t xml:space="preserve"> </w:t>
      </w:r>
      <w:r w:rsidR="0052592E">
        <w:rPr>
          <w:rFonts w:asciiTheme="minorHAnsi" w:hAnsiTheme="minorHAnsi"/>
          <w:color w:val="auto"/>
          <w:szCs w:val="24"/>
        </w:rPr>
        <w:t xml:space="preserve">relative to its </w:t>
      </w:r>
      <w:r w:rsidR="0052592E" w:rsidRPr="00A61DA7">
        <w:rPr>
          <w:rFonts w:asciiTheme="minorHAnsi" w:hAnsiTheme="minorHAnsi"/>
          <w:color w:val="auto"/>
          <w:szCs w:val="24"/>
        </w:rPr>
        <w:t xml:space="preserve">permanent </w:t>
      </w:r>
      <w:r w:rsidR="0052592E">
        <w:rPr>
          <w:rFonts w:asciiTheme="minorHAnsi" w:hAnsiTheme="minorHAnsi"/>
          <w:color w:val="auto"/>
          <w:szCs w:val="24"/>
        </w:rPr>
        <w:t xml:space="preserve">rating </w:t>
      </w:r>
      <w:r w:rsidRPr="00A61DA7">
        <w:rPr>
          <w:rFonts w:asciiTheme="minorHAnsi" w:hAnsiTheme="minorHAnsi"/>
          <w:color w:val="auto"/>
          <w:szCs w:val="24"/>
        </w:rPr>
        <w:t xml:space="preserve">recommendation.  </w:t>
      </w:r>
      <w:r w:rsidR="0052592E">
        <w:rPr>
          <w:rFonts w:asciiTheme="minorHAnsi" w:hAnsiTheme="minorHAnsi"/>
          <w:color w:val="auto"/>
          <w:szCs w:val="24"/>
        </w:rPr>
        <w:t xml:space="preserve">The VA C&amp;P evaluation performed proximate to the Service’s TDRL placement is, of course, probative for the Board’s TDRL rating recommendation; and, the </w:t>
      </w:r>
      <w:r w:rsidR="007A30C1">
        <w:rPr>
          <w:rFonts w:asciiTheme="minorHAnsi" w:hAnsiTheme="minorHAnsi"/>
          <w:color w:val="auto"/>
          <w:szCs w:val="24"/>
        </w:rPr>
        <w:t xml:space="preserve">VA exam done 28 months </w:t>
      </w:r>
      <w:r w:rsidR="0052592E">
        <w:rPr>
          <w:rFonts w:asciiTheme="minorHAnsi" w:hAnsiTheme="minorHAnsi"/>
          <w:color w:val="auto"/>
          <w:szCs w:val="24"/>
        </w:rPr>
        <w:t>after</w:t>
      </w:r>
      <w:r w:rsidR="007A30C1">
        <w:rPr>
          <w:rFonts w:asciiTheme="minorHAnsi" w:hAnsiTheme="minorHAnsi"/>
          <w:color w:val="auto"/>
          <w:szCs w:val="24"/>
        </w:rPr>
        <w:t xml:space="preserve"> permanent separation </w:t>
      </w:r>
      <w:r w:rsidR="0052592E">
        <w:rPr>
          <w:rFonts w:asciiTheme="minorHAnsi" w:hAnsiTheme="minorHAnsi"/>
          <w:color w:val="auto"/>
          <w:szCs w:val="24"/>
        </w:rPr>
        <w:t>contained a probative occupational history as referenced below</w:t>
      </w:r>
      <w:r w:rsidR="007A30C1">
        <w:rPr>
          <w:rFonts w:asciiTheme="minorHAnsi" w:hAnsiTheme="minorHAnsi"/>
          <w:color w:val="auto"/>
          <w:szCs w:val="24"/>
        </w:rPr>
        <w:t xml:space="preserve">.  </w:t>
      </w:r>
    </w:p>
    <w:p w:rsidR="00A61DA7" w:rsidRPr="00A61DA7" w:rsidRDefault="00A61DA7" w:rsidP="00A61DA7">
      <w:pPr>
        <w:tabs>
          <w:tab w:val="left" w:pos="288"/>
          <w:tab w:val="left" w:pos="4752"/>
        </w:tabs>
        <w:spacing w:line="240" w:lineRule="exact"/>
        <w:rPr>
          <w:rFonts w:asciiTheme="minorHAnsi" w:hAnsiTheme="minorHAnsi"/>
          <w:color w:val="auto"/>
          <w:szCs w:val="24"/>
          <w:highlight w:val="yellow"/>
        </w:rPr>
      </w:pPr>
    </w:p>
    <w:p w:rsidR="0083512B" w:rsidRPr="00B96021" w:rsidRDefault="00A61DA7" w:rsidP="0079206D">
      <w:pPr>
        <w:tabs>
          <w:tab w:val="left" w:pos="288"/>
          <w:tab w:val="left" w:pos="4752"/>
        </w:tabs>
        <w:spacing w:line="240" w:lineRule="exact"/>
        <w:jc w:val="both"/>
        <w:rPr>
          <w:rFonts w:asciiTheme="minorHAnsi" w:hAnsiTheme="minorHAnsi"/>
          <w:iCs/>
          <w:color w:val="auto"/>
          <w:szCs w:val="24"/>
        </w:rPr>
      </w:pPr>
      <w:proofErr w:type="gramStart"/>
      <w:r w:rsidRPr="00E67C79">
        <w:rPr>
          <w:rFonts w:asciiTheme="minorHAnsi" w:hAnsiTheme="minorHAnsi"/>
          <w:color w:val="auto"/>
          <w:szCs w:val="24"/>
          <w:u w:val="single"/>
        </w:rPr>
        <w:t>P</w:t>
      </w:r>
      <w:r w:rsidR="001A2B75">
        <w:rPr>
          <w:rFonts w:asciiTheme="minorHAnsi" w:hAnsiTheme="minorHAnsi"/>
          <w:color w:val="auto"/>
          <w:szCs w:val="24"/>
          <w:u w:val="single"/>
        </w:rPr>
        <w:t>ostt</w:t>
      </w:r>
      <w:r w:rsidR="002C53FF">
        <w:rPr>
          <w:rFonts w:asciiTheme="minorHAnsi" w:hAnsiTheme="minorHAnsi"/>
          <w:color w:val="auto"/>
          <w:szCs w:val="24"/>
          <w:u w:val="single"/>
        </w:rPr>
        <w:t xml:space="preserve">raumatic </w:t>
      </w:r>
      <w:r w:rsidRPr="00E67C79">
        <w:rPr>
          <w:rFonts w:asciiTheme="minorHAnsi" w:hAnsiTheme="minorHAnsi"/>
          <w:color w:val="auto"/>
          <w:szCs w:val="24"/>
          <w:u w:val="single"/>
        </w:rPr>
        <w:t>S</w:t>
      </w:r>
      <w:r w:rsidR="002C53FF">
        <w:rPr>
          <w:rFonts w:asciiTheme="minorHAnsi" w:hAnsiTheme="minorHAnsi"/>
          <w:color w:val="auto"/>
          <w:szCs w:val="24"/>
          <w:u w:val="single"/>
        </w:rPr>
        <w:t xml:space="preserve">tress </w:t>
      </w:r>
      <w:r w:rsidRPr="00E67C79">
        <w:rPr>
          <w:rFonts w:asciiTheme="minorHAnsi" w:hAnsiTheme="minorHAnsi"/>
          <w:color w:val="auto"/>
          <w:szCs w:val="24"/>
          <w:u w:val="single"/>
        </w:rPr>
        <w:t>D</w:t>
      </w:r>
      <w:r w:rsidR="002C53FF">
        <w:rPr>
          <w:rFonts w:asciiTheme="minorHAnsi" w:hAnsiTheme="minorHAnsi"/>
          <w:color w:val="auto"/>
          <w:szCs w:val="24"/>
          <w:u w:val="single"/>
        </w:rPr>
        <w:t>isorder</w:t>
      </w:r>
      <w:r w:rsidRPr="00E67C79">
        <w:rPr>
          <w:rFonts w:asciiTheme="minorHAnsi" w:hAnsiTheme="minorHAnsi"/>
          <w:color w:val="auto"/>
          <w:szCs w:val="24"/>
        </w:rPr>
        <w:t>.</w:t>
      </w:r>
      <w:proofErr w:type="gramEnd"/>
      <w:r w:rsidRPr="00E67C79">
        <w:rPr>
          <w:rFonts w:asciiTheme="minorHAnsi" w:hAnsiTheme="minorHAnsi"/>
          <w:color w:val="auto"/>
          <w:szCs w:val="24"/>
        </w:rPr>
        <w:t xml:space="preserve">  </w:t>
      </w:r>
      <w:r w:rsidRPr="00E67C79">
        <w:rPr>
          <w:rFonts w:asciiTheme="minorHAnsi" w:hAnsiTheme="minorHAnsi"/>
          <w:iCs/>
          <w:color w:val="auto"/>
          <w:szCs w:val="24"/>
        </w:rPr>
        <w:t xml:space="preserve">The severity of the CI’s PTSD condition at the time that he was placed on TDRL could best be described as moderate.  The MEB </w:t>
      </w:r>
      <w:r w:rsidR="00754A53" w:rsidRPr="00E67C79">
        <w:rPr>
          <w:rFonts w:asciiTheme="minorHAnsi" w:hAnsiTheme="minorHAnsi"/>
          <w:iCs/>
          <w:color w:val="auto"/>
          <w:szCs w:val="24"/>
        </w:rPr>
        <w:t xml:space="preserve">narrative summary </w:t>
      </w:r>
      <w:r w:rsidR="00D927F3" w:rsidRPr="00E67C79">
        <w:rPr>
          <w:rFonts w:asciiTheme="minorHAnsi" w:hAnsiTheme="minorHAnsi"/>
          <w:iCs/>
          <w:color w:val="auto"/>
          <w:szCs w:val="24"/>
        </w:rPr>
        <w:t>(</w:t>
      </w:r>
      <w:r w:rsidRPr="00E67C79">
        <w:rPr>
          <w:rFonts w:asciiTheme="minorHAnsi" w:hAnsiTheme="minorHAnsi"/>
          <w:iCs/>
          <w:color w:val="auto"/>
          <w:szCs w:val="24"/>
        </w:rPr>
        <w:t>NARSUM</w:t>
      </w:r>
      <w:r w:rsidR="00D927F3" w:rsidRPr="00E67C79">
        <w:rPr>
          <w:rFonts w:asciiTheme="minorHAnsi" w:hAnsiTheme="minorHAnsi"/>
          <w:iCs/>
          <w:color w:val="auto"/>
          <w:szCs w:val="24"/>
        </w:rPr>
        <w:t>)</w:t>
      </w:r>
      <w:r w:rsidRPr="00E67C79">
        <w:rPr>
          <w:rFonts w:asciiTheme="minorHAnsi" w:hAnsiTheme="minorHAnsi"/>
          <w:iCs/>
          <w:color w:val="auto"/>
          <w:szCs w:val="24"/>
        </w:rPr>
        <w:t xml:space="preserve"> documented </w:t>
      </w:r>
      <w:r w:rsidR="004543D2" w:rsidRPr="00E67C79">
        <w:rPr>
          <w:rFonts w:asciiTheme="minorHAnsi" w:hAnsiTheme="minorHAnsi"/>
          <w:iCs/>
          <w:color w:val="auto"/>
          <w:szCs w:val="24"/>
        </w:rPr>
        <w:t xml:space="preserve">insomnia, nightmares, flashbacks, </w:t>
      </w:r>
      <w:r w:rsidR="0066602A">
        <w:rPr>
          <w:rFonts w:asciiTheme="minorHAnsi" w:hAnsiTheme="minorHAnsi"/>
          <w:iCs/>
          <w:color w:val="auto"/>
          <w:szCs w:val="24"/>
        </w:rPr>
        <w:t xml:space="preserve">anhedonia, </w:t>
      </w:r>
      <w:r w:rsidR="00D927F3" w:rsidRPr="00E67C79">
        <w:rPr>
          <w:rFonts w:asciiTheme="minorHAnsi" w:hAnsiTheme="minorHAnsi"/>
          <w:iCs/>
          <w:color w:val="auto"/>
          <w:szCs w:val="24"/>
        </w:rPr>
        <w:t xml:space="preserve">and </w:t>
      </w:r>
      <w:r w:rsidR="004543D2" w:rsidRPr="00E67C79">
        <w:rPr>
          <w:rFonts w:asciiTheme="minorHAnsi" w:hAnsiTheme="minorHAnsi"/>
          <w:iCs/>
          <w:color w:val="auto"/>
          <w:szCs w:val="24"/>
        </w:rPr>
        <w:t>depression</w:t>
      </w:r>
      <w:r w:rsidR="00D927F3" w:rsidRPr="00E67C79">
        <w:rPr>
          <w:rFonts w:asciiTheme="minorHAnsi" w:hAnsiTheme="minorHAnsi"/>
          <w:iCs/>
          <w:color w:val="auto"/>
          <w:szCs w:val="24"/>
        </w:rPr>
        <w:t xml:space="preserve"> </w:t>
      </w:r>
      <w:r w:rsidR="0066602A">
        <w:rPr>
          <w:rFonts w:asciiTheme="minorHAnsi" w:hAnsiTheme="minorHAnsi"/>
          <w:iCs/>
          <w:color w:val="auto"/>
          <w:szCs w:val="24"/>
        </w:rPr>
        <w:t xml:space="preserve">that were </w:t>
      </w:r>
      <w:r w:rsidR="00E67C79" w:rsidRPr="00E67C79">
        <w:rPr>
          <w:rFonts w:asciiTheme="minorHAnsi" w:hAnsiTheme="minorHAnsi"/>
          <w:iCs/>
          <w:color w:val="auto"/>
          <w:szCs w:val="24"/>
        </w:rPr>
        <w:t xml:space="preserve">related to </w:t>
      </w:r>
      <w:r w:rsidR="00D927F3" w:rsidRPr="00E67C79">
        <w:rPr>
          <w:rFonts w:asciiTheme="minorHAnsi" w:hAnsiTheme="minorHAnsi"/>
          <w:iCs/>
          <w:color w:val="auto"/>
          <w:szCs w:val="24"/>
        </w:rPr>
        <w:t xml:space="preserve">traumatic events in theater and </w:t>
      </w:r>
      <w:r w:rsidR="002C53FF">
        <w:rPr>
          <w:rFonts w:asciiTheme="minorHAnsi" w:hAnsiTheme="minorHAnsi"/>
          <w:iCs/>
          <w:color w:val="auto"/>
          <w:szCs w:val="24"/>
        </w:rPr>
        <w:t xml:space="preserve">concurrent </w:t>
      </w:r>
      <w:r w:rsidR="005124A6">
        <w:rPr>
          <w:rFonts w:asciiTheme="minorHAnsi" w:hAnsiTheme="minorHAnsi"/>
          <w:iCs/>
          <w:color w:val="auto"/>
          <w:szCs w:val="24"/>
        </w:rPr>
        <w:t>domestic</w:t>
      </w:r>
      <w:r w:rsidR="004543D2" w:rsidRPr="00E67C79">
        <w:rPr>
          <w:rFonts w:asciiTheme="minorHAnsi" w:hAnsiTheme="minorHAnsi"/>
          <w:iCs/>
          <w:color w:val="auto"/>
          <w:szCs w:val="24"/>
        </w:rPr>
        <w:t xml:space="preserve"> issues</w:t>
      </w:r>
      <w:r w:rsidR="00D927F3" w:rsidRPr="00E67C79">
        <w:rPr>
          <w:rFonts w:asciiTheme="minorHAnsi" w:hAnsiTheme="minorHAnsi"/>
          <w:iCs/>
          <w:color w:val="auto"/>
          <w:szCs w:val="24"/>
        </w:rPr>
        <w:t>.</w:t>
      </w:r>
      <w:r w:rsidR="00E67C79" w:rsidRPr="00E67C79">
        <w:rPr>
          <w:rFonts w:asciiTheme="minorHAnsi" w:hAnsiTheme="minorHAnsi"/>
          <w:iCs/>
          <w:color w:val="auto"/>
          <w:szCs w:val="24"/>
        </w:rPr>
        <w:t xml:space="preserve">  </w:t>
      </w:r>
      <w:r w:rsidR="002C53FF">
        <w:rPr>
          <w:rFonts w:asciiTheme="minorHAnsi" w:hAnsiTheme="minorHAnsi"/>
          <w:iCs/>
          <w:color w:val="auto"/>
          <w:szCs w:val="24"/>
        </w:rPr>
        <w:t>T</w:t>
      </w:r>
      <w:r w:rsidR="00E67C79" w:rsidRPr="00E67C79">
        <w:rPr>
          <w:rFonts w:asciiTheme="minorHAnsi" w:eastAsiaTheme="minorHAnsi" w:hAnsiTheme="minorHAnsi" w:cstheme="minorBidi"/>
          <w:color w:val="auto"/>
          <w:szCs w:val="24"/>
        </w:rPr>
        <w:t>he mental sta</w:t>
      </w:r>
      <w:r w:rsidR="00E67C79">
        <w:rPr>
          <w:rFonts w:asciiTheme="minorHAnsi" w:eastAsiaTheme="minorHAnsi" w:hAnsiTheme="minorHAnsi" w:cstheme="minorBidi"/>
          <w:color w:val="auto"/>
          <w:szCs w:val="24"/>
        </w:rPr>
        <w:t>t</w:t>
      </w:r>
      <w:r w:rsidR="00E67C79" w:rsidRPr="00E67C79">
        <w:rPr>
          <w:rFonts w:asciiTheme="minorHAnsi" w:eastAsiaTheme="minorHAnsi" w:hAnsiTheme="minorHAnsi" w:cstheme="minorBidi"/>
          <w:color w:val="auto"/>
          <w:szCs w:val="24"/>
        </w:rPr>
        <w:t>u</w:t>
      </w:r>
      <w:r w:rsidR="00E67C79">
        <w:rPr>
          <w:rFonts w:asciiTheme="minorHAnsi" w:eastAsiaTheme="minorHAnsi" w:hAnsiTheme="minorHAnsi" w:cstheme="minorBidi"/>
          <w:color w:val="auto"/>
          <w:szCs w:val="24"/>
        </w:rPr>
        <w:t xml:space="preserve">s exam (MSE) </w:t>
      </w:r>
      <w:r w:rsidR="002C53FF">
        <w:rPr>
          <w:rFonts w:asciiTheme="minorHAnsi" w:eastAsiaTheme="minorHAnsi" w:hAnsiTheme="minorHAnsi" w:cstheme="minorBidi"/>
          <w:color w:val="auto"/>
          <w:szCs w:val="24"/>
        </w:rPr>
        <w:t xml:space="preserve">was normal except for depressed mood and constricted affect.  </w:t>
      </w:r>
      <w:r w:rsidR="002C53FF" w:rsidRPr="002C53FF">
        <w:rPr>
          <w:rFonts w:eastAsiaTheme="minorHAnsi" w:cstheme="minorBidi"/>
          <w:color w:val="auto"/>
          <w:szCs w:val="24"/>
        </w:rPr>
        <w:t xml:space="preserve">There was no suicidal ideation, delusional or hallucinatory symptoms, speech disturbance, objective cognitive impairment, or other abnormalities.  </w:t>
      </w:r>
      <w:r w:rsidR="009F61BC">
        <w:rPr>
          <w:rFonts w:asciiTheme="minorHAnsi" w:hAnsiTheme="minorHAnsi"/>
          <w:iCs/>
          <w:color w:val="auto"/>
          <w:szCs w:val="24"/>
        </w:rPr>
        <w:t xml:space="preserve">Socially, the CI’s platoon leader stated that the CI had </w:t>
      </w:r>
      <w:r w:rsidR="009F61BC" w:rsidRPr="009F61BC">
        <w:rPr>
          <w:rFonts w:asciiTheme="minorHAnsi" w:hAnsiTheme="minorHAnsi"/>
          <w:iCs/>
          <w:color w:val="auto"/>
          <w:szCs w:val="24"/>
        </w:rPr>
        <w:t>“become noticeably less social with other members of the platoon.”</w:t>
      </w:r>
      <w:r w:rsidR="009F61BC">
        <w:rPr>
          <w:rFonts w:asciiTheme="minorHAnsi" w:hAnsiTheme="minorHAnsi"/>
          <w:iCs/>
          <w:color w:val="auto"/>
          <w:szCs w:val="24"/>
        </w:rPr>
        <w:t xml:space="preserve">  A</w:t>
      </w:r>
      <w:r w:rsidR="0087318C">
        <w:rPr>
          <w:rFonts w:asciiTheme="minorHAnsi" w:hAnsiTheme="minorHAnsi"/>
          <w:iCs/>
          <w:color w:val="auto"/>
          <w:szCs w:val="24"/>
        </w:rPr>
        <w:t>dditionally, t</w:t>
      </w:r>
      <w:r w:rsidR="009F61BC">
        <w:rPr>
          <w:rFonts w:asciiTheme="minorHAnsi" w:hAnsiTheme="minorHAnsi"/>
          <w:iCs/>
          <w:color w:val="auto"/>
          <w:szCs w:val="24"/>
        </w:rPr>
        <w:t>h</w:t>
      </w:r>
      <w:r w:rsidR="002C53FF">
        <w:rPr>
          <w:rFonts w:asciiTheme="minorHAnsi" w:hAnsiTheme="minorHAnsi"/>
          <w:iCs/>
          <w:color w:val="auto"/>
          <w:szCs w:val="24"/>
        </w:rPr>
        <w:t>e CI was experiencing significant marital and financial problems.</w:t>
      </w:r>
      <w:r w:rsidR="0066602A">
        <w:rPr>
          <w:rFonts w:asciiTheme="minorHAnsi" w:hAnsiTheme="minorHAnsi"/>
          <w:iCs/>
          <w:color w:val="auto"/>
          <w:szCs w:val="24"/>
        </w:rPr>
        <w:t xml:space="preserve">  </w:t>
      </w:r>
      <w:r w:rsidR="0087318C">
        <w:rPr>
          <w:rFonts w:asciiTheme="minorHAnsi" w:hAnsiTheme="minorHAnsi"/>
          <w:iCs/>
          <w:color w:val="auto"/>
          <w:szCs w:val="24"/>
        </w:rPr>
        <w:t xml:space="preserve">Occupationally, the </w:t>
      </w:r>
      <w:r w:rsidR="001A2B75">
        <w:rPr>
          <w:rFonts w:asciiTheme="minorHAnsi" w:hAnsiTheme="minorHAnsi"/>
          <w:iCs/>
          <w:color w:val="auto"/>
          <w:szCs w:val="24"/>
        </w:rPr>
        <w:t>c</w:t>
      </w:r>
      <w:r w:rsidR="002C53FF">
        <w:rPr>
          <w:rFonts w:asciiTheme="minorHAnsi" w:hAnsiTheme="minorHAnsi"/>
          <w:iCs/>
          <w:color w:val="auto"/>
          <w:szCs w:val="24"/>
        </w:rPr>
        <w:t xml:space="preserve">ommander’s </w:t>
      </w:r>
      <w:r w:rsidR="0087318C">
        <w:rPr>
          <w:rFonts w:asciiTheme="minorHAnsi" w:hAnsiTheme="minorHAnsi"/>
          <w:iCs/>
          <w:color w:val="auto"/>
          <w:szCs w:val="24"/>
        </w:rPr>
        <w:t xml:space="preserve">statement </w:t>
      </w:r>
      <w:r w:rsidR="002C53FF">
        <w:rPr>
          <w:rFonts w:asciiTheme="minorHAnsi" w:hAnsiTheme="minorHAnsi"/>
          <w:iCs/>
          <w:color w:val="auto"/>
          <w:szCs w:val="24"/>
        </w:rPr>
        <w:t xml:space="preserve">documented, </w:t>
      </w:r>
      <w:r w:rsidR="0087318C" w:rsidRPr="0087318C">
        <w:rPr>
          <w:rFonts w:asciiTheme="minorHAnsi" w:hAnsiTheme="minorHAnsi"/>
          <w:iCs/>
          <w:color w:val="auto"/>
          <w:szCs w:val="24"/>
        </w:rPr>
        <w:t xml:space="preserve">“As a Combat Engineer, </w:t>
      </w:r>
      <w:r w:rsidR="002C53FF">
        <w:rPr>
          <w:rFonts w:asciiTheme="minorHAnsi" w:hAnsiTheme="minorHAnsi"/>
          <w:iCs/>
          <w:color w:val="auto"/>
          <w:szCs w:val="24"/>
        </w:rPr>
        <w:t>[CI]</w:t>
      </w:r>
      <w:r w:rsidR="0087318C" w:rsidRPr="0087318C">
        <w:rPr>
          <w:rFonts w:asciiTheme="minorHAnsi" w:hAnsiTheme="minorHAnsi"/>
          <w:iCs/>
          <w:color w:val="auto"/>
          <w:szCs w:val="24"/>
        </w:rPr>
        <w:t xml:space="preserve"> is consistently </w:t>
      </w:r>
      <w:r w:rsidR="002C53FF">
        <w:rPr>
          <w:rFonts w:asciiTheme="minorHAnsi" w:hAnsiTheme="minorHAnsi"/>
          <w:iCs/>
          <w:color w:val="auto"/>
          <w:szCs w:val="24"/>
        </w:rPr>
        <w:t xml:space="preserve">… </w:t>
      </w:r>
      <w:r w:rsidR="0087318C">
        <w:rPr>
          <w:rFonts w:asciiTheme="minorHAnsi" w:hAnsiTheme="minorHAnsi"/>
          <w:iCs/>
          <w:color w:val="auto"/>
          <w:szCs w:val="24"/>
        </w:rPr>
        <w:t>late for</w:t>
      </w:r>
      <w:r w:rsidR="0087318C" w:rsidRPr="0087318C">
        <w:rPr>
          <w:rFonts w:asciiTheme="minorHAnsi" w:hAnsiTheme="minorHAnsi"/>
          <w:iCs/>
          <w:color w:val="auto"/>
          <w:szCs w:val="24"/>
        </w:rPr>
        <w:t xml:space="preserve">, or missing formations and training events due to his condition.  He gets frustrated easily and his performance is sub-par … his mental condition creates a burden for others in his </w:t>
      </w:r>
      <w:r w:rsidR="0087318C" w:rsidRPr="00AC5FD7">
        <w:rPr>
          <w:rFonts w:asciiTheme="minorHAnsi" w:hAnsiTheme="minorHAnsi"/>
          <w:iCs/>
          <w:color w:val="auto"/>
          <w:szCs w:val="24"/>
        </w:rPr>
        <w:t xml:space="preserve">company, severely reducing readiness.  Simply stated, he is totally incapable of performing his 21B MOS duties.”  </w:t>
      </w:r>
      <w:r w:rsidRPr="00AC5FD7">
        <w:rPr>
          <w:rFonts w:asciiTheme="minorHAnsi" w:hAnsiTheme="minorHAnsi"/>
          <w:iCs/>
          <w:color w:val="auto"/>
          <w:szCs w:val="24"/>
        </w:rPr>
        <w:t xml:space="preserve">The CI </w:t>
      </w:r>
      <w:r w:rsidR="0066602A">
        <w:rPr>
          <w:rFonts w:asciiTheme="minorHAnsi" w:hAnsiTheme="minorHAnsi"/>
          <w:iCs/>
          <w:color w:val="auto"/>
          <w:szCs w:val="24"/>
        </w:rPr>
        <w:t xml:space="preserve">was </w:t>
      </w:r>
      <w:r w:rsidR="00577ACA">
        <w:rPr>
          <w:rFonts w:asciiTheme="minorHAnsi" w:hAnsiTheme="minorHAnsi"/>
          <w:iCs/>
          <w:color w:val="auto"/>
          <w:szCs w:val="24"/>
        </w:rPr>
        <w:t xml:space="preserve">under </w:t>
      </w:r>
      <w:r w:rsidR="002C53FF">
        <w:rPr>
          <w:rFonts w:asciiTheme="minorHAnsi" w:hAnsiTheme="minorHAnsi"/>
          <w:iCs/>
          <w:color w:val="auto"/>
          <w:szCs w:val="24"/>
        </w:rPr>
        <w:t>treat</w:t>
      </w:r>
      <w:r w:rsidR="00577ACA">
        <w:rPr>
          <w:rFonts w:asciiTheme="minorHAnsi" w:hAnsiTheme="minorHAnsi"/>
          <w:iCs/>
          <w:color w:val="auto"/>
          <w:szCs w:val="24"/>
        </w:rPr>
        <w:t>ment</w:t>
      </w:r>
      <w:r w:rsidR="002C53FF">
        <w:rPr>
          <w:rFonts w:asciiTheme="minorHAnsi" w:hAnsiTheme="minorHAnsi"/>
          <w:iCs/>
          <w:color w:val="auto"/>
          <w:szCs w:val="24"/>
        </w:rPr>
        <w:t xml:space="preserve"> with an anti-depressant</w:t>
      </w:r>
      <w:r w:rsidR="00577ACA">
        <w:rPr>
          <w:rFonts w:asciiTheme="minorHAnsi" w:hAnsiTheme="minorHAnsi"/>
          <w:iCs/>
          <w:color w:val="auto"/>
          <w:szCs w:val="24"/>
        </w:rPr>
        <w:t>; and, t</w:t>
      </w:r>
      <w:r w:rsidRPr="00AC5FD7">
        <w:rPr>
          <w:rFonts w:asciiTheme="minorHAnsi" w:hAnsiTheme="minorHAnsi"/>
          <w:iCs/>
          <w:color w:val="auto"/>
          <w:szCs w:val="24"/>
        </w:rPr>
        <w:t>he Global Assessment of Functioning (GAF) score assigned by the MEB psychiatrist was 60, indicative of moderate difficulty in social or occupational functioning.</w:t>
      </w:r>
      <w:r w:rsidR="00FB1DB9" w:rsidRPr="00AC5FD7">
        <w:rPr>
          <w:rFonts w:asciiTheme="minorHAnsi" w:hAnsiTheme="minorHAnsi"/>
          <w:iCs/>
          <w:color w:val="auto"/>
          <w:szCs w:val="24"/>
        </w:rPr>
        <w:t xml:space="preserve">  </w:t>
      </w:r>
      <w:r w:rsidRPr="00AC5FD7">
        <w:rPr>
          <w:rFonts w:asciiTheme="minorHAnsi" w:hAnsiTheme="minorHAnsi"/>
          <w:iCs/>
          <w:color w:val="auto"/>
          <w:szCs w:val="24"/>
        </w:rPr>
        <w:t xml:space="preserve">The VA C&amp;P </w:t>
      </w:r>
      <w:r w:rsidR="00577ACA">
        <w:rPr>
          <w:rFonts w:asciiTheme="minorHAnsi" w:hAnsiTheme="minorHAnsi"/>
          <w:iCs/>
          <w:color w:val="auto"/>
          <w:szCs w:val="24"/>
        </w:rPr>
        <w:t>psychiatric evaluation at the time</w:t>
      </w:r>
      <w:r w:rsidRPr="00AC5FD7">
        <w:rPr>
          <w:rFonts w:asciiTheme="minorHAnsi" w:hAnsiTheme="minorHAnsi"/>
          <w:iCs/>
          <w:color w:val="auto"/>
          <w:szCs w:val="24"/>
        </w:rPr>
        <w:t xml:space="preserve"> </w:t>
      </w:r>
      <w:r w:rsidR="00577ACA">
        <w:rPr>
          <w:rFonts w:asciiTheme="minorHAnsi" w:hAnsiTheme="minorHAnsi"/>
          <w:iCs/>
          <w:color w:val="auto"/>
          <w:szCs w:val="24"/>
        </w:rPr>
        <w:t>documented similar symptoms and severity.  The MSE was equivalent and the MEB psychiatrist’s GAF assignment was referenced.  The VA examiner stated, “He has become socially withdrawn and feels uncomfortable in crowds.  He has become irritable.  There are multiple triggers and startle responses.</w:t>
      </w:r>
      <w:r w:rsidR="0079206D">
        <w:rPr>
          <w:rFonts w:asciiTheme="minorHAnsi" w:hAnsiTheme="minorHAnsi"/>
          <w:iCs/>
          <w:color w:val="auto"/>
          <w:szCs w:val="24"/>
        </w:rPr>
        <w:t xml:space="preserve">”  No occupational details were provided, </w:t>
      </w:r>
      <w:r w:rsidR="005124A6">
        <w:rPr>
          <w:rFonts w:asciiTheme="minorHAnsi" w:hAnsiTheme="minorHAnsi"/>
          <w:iCs/>
          <w:color w:val="auto"/>
          <w:szCs w:val="24"/>
        </w:rPr>
        <w:t>but</w:t>
      </w:r>
      <w:r w:rsidR="0079206D">
        <w:rPr>
          <w:rFonts w:asciiTheme="minorHAnsi" w:hAnsiTheme="minorHAnsi"/>
          <w:iCs/>
          <w:color w:val="auto"/>
          <w:szCs w:val="24"/>
        </w:rPr>
        <w:t xml:space="preserve"> it may be assumed that the CI had not yet commenced civilian occupational pursuits.  Treatment at that time was confined to counseling.  The </w:t>
      </w:r>
      <w:r w:rsidR="0079206D" w:rsidRPr="00B96021">
        <w:rPr>
          <w:rFonts w:asciiTheme="minorHAnsi" w:hAnsiTheme="minorHAnsi"/>
          <w:iCs/>
          <w:color w:val="auto"/>
          <w:szCs w:val="24"/>
        </w:rPr>
        <w:t>interim TDRL examination</w:t>
      </w:r>
      <w:r w:rsidR="0079206D">
        <w:rPr>
          <w:rFonts w:asciiTheme="minorHAnsi" w:hAnsiTheme="minorHAnsi"/>
          <w:iCs/>
          <w:color w:val="auto"/>
          <w:szCs w:val="24"/>
        </w:rPr>
        <w:t xml:space="preserve"> performed 10 months later documented similar, but improving, symptoms.  </w:t>
      </w:r>
      <w:r w:rsidR="0079206D" w:rsidRPr="00B96021">
        <w:rPr>
          <w:rFonts w:asciiTheme="minorHAnsi" w:hAnsiTheme="minorHAnsi"/>
          <w:iCs/>
          <w:color w:val="auto"/>
          <w:szCs w:val="24"/>
        </w:rPr>
        <w:t xml:space="preserve">Socially, </w:t>
      </w:r>
      <w:r w:rsidR="0079206D">
        <w:rPr>
          <w:rFonts w:asciiTheme="minorHAnsi" w:hAnsiTheme="minorHAnsi"/>
          <w:iCs/>
          <w:color w:val="auto"/>
          <w:szCs w:val="24"/>
        </w:rPr>
        <w:t>t</w:t>
      </w:r>
      <w:r w:rsidR="0079206D" w:rsidRPr="00B96021">
        <w:rPr>
          <w:rFonts w:asciiTheme="minorHAnsi" w:hAnsiTheme="minorHAnsi"/>
          <w:iCs/>
          <w:color w:val="auto"/>
          <w:szCs w:val="24"/>
        </w:rPr>
        <w:t xml:space="preserve">he </w:t>
      </w:r>
      <w:r w:rsidR="0079206D">
        <w:rPr>
          <w:rFonts w:asciiTheme="minorHAnsi" w:hAnsiTheme="minorHAnsi"/>
          <w:iCs/>
          <w:color w:val="auto"/>
          <w:szCs w:val="24"/>
        </w:rPr>
        <w:t xml:space="preserve">CI </w:t>
      </w:r>
      <w:r w:rsidR="0079206D" w:rsidRPr="00B96021">
        <w:rPr>
          <w:rFonts w:asciiTheme="minorHAnsi" w:hAnsiTheme="minorHAnsi"/>
          <w:iCs/>
          <w:color w:val="auto"/>
          <w:szCs w:val="24"/>
        </w:rPr>
        <w:t>was in a significant and stable relationship with his girlfriend</w:t>
      </w:r>
      <w:r w:rsidR="0079206D">
        <w:rPr>
          <w:rFonts w:asciiTheme="minorHAnsi" w:hAnsiTheme="minorHAnsi"/>
          <w:iCs/>
          <w:color w:val="auto"/>
          <w:szCs w:val="24"/>
        </w:rPr>
        <w:t>, although his outside social life remained constrained</w:t>
      </w:r>
      <w:r w:rsidR="0079206D" w:rsidRPr="00B96021">
        <w:rPr>
          <w:rFonts w:asciiTheme="minorHAnsi" w:hAnsiTheme="minorHAnsi"/>
          <w:iCs/>
          <w:color w:val="auto"/>
          <w:szCs w:val="24"/>
        </w:rPr>
        <w:t xml:space="preserve">.  </w:t>
      </w:r>
      <w:r w:rsidR="0079206D">
        <w:rPr>
          <w:rFonts w:asciiTheme="minorHAnsi" w:hAnsiTheme="minorHAnsi"/>
          <w:iCs/>
          <w:color w:val="auto"/>
          <w:szCs w:val="24"/>
        </w:rPr>
        <w:t>He had held</w:t>
      </w:r>
      <w:r w:rsidR="0079206D" w:rsidRPr="00B96021">
        <w:rPr>
          <w:rFonts w:asciiTheme="minorHAnsi" w:hAnsiTheme="minorHAnsi"/>
          <w:iCs/>
          <w:color w:val="auto"/>
          <w:szCs w:val="24"/>
        </w:rPr>
        <w:t xml:space="preserve"> two jobs,</w:t>
      </w:r>
      <w:r w:rsidR="0079206D">
        <w:rPr>
          <w:rFonts w:asciiTheme="minorHAnsi" w:hAnsiTheme="minorHAnsi"/>
          <w:iCs/>
          <w:color w:val="auto"/>
          <w:szCs w:val="24"/>
        </w:rPr>
        <w:t xml:space="preserve"> the longest lasting two</w:t>
      </w:r>
      <w:r w:rsidR="00FF6CAA">
        <w:rPr>
          <w:rFonts w:asciiTheme="minorHAnsi" w:hAnsiTheme="minorHAnsi"/>
          <w:iCs/>
          <w:color w:val="auto"/>
          <w:szCs w:val="24"/>
        </w:rPr>
        <w:t xml:space="preserve"> months, and</w:t>
      </w:r>
      <w:r w:rsidR="0079206D">
        <w:rPr>
          <w:rFonts w:asciiTheme="minorHAnsi" w:hAnsiTheme="minorHAnsi"/>
          <w:iCs/>
          <w:color w:val="auto"/>
          <w:szCs w:val="24"/>
        </w:rPr>
        <w:t xml:space="preserve"> had lost one </w:t>
      </w:r>
      <w:r w:rsidR="005124A6">
        <w:rPr>
          <w:rFonts w:asciiTheme="minorHAnsi" w:hAnsiTheme="minorHAnsi"/>
          <w:iCs/>
          <w:color w:val="auto"/>
          <w:szCs w:val="24"/>
        </w:rPr>
        <w:t xml:space="preserve">of </w:t>
      </w:r>
      <w:r w:rsidR="0079206D">
        <w:rPr>
          <w:rFonts w:asciiTheme="minorHAnsi" w:hAnsiTheme="minorHAnsi"/>
          <w:iCs/>
          <w:color w:val="auto"/>
          <w:szCs w:val="24"/>
        </w:rPr>
        <w:t>them for oversleeping.  That examiner stated</w:t>
      </w:r>
      <w:r w:rsidR="00356547" w:rsidRPr="00B96021">
        <w:rPr>
          <w:rFonts w:asciiTheme="minorHAnsi" w:hAnsiTheme="minorHAnsi"/>
          <w:iCs/>
          <w:color w:val="auto"/>
          <w:szCs w:val="24"/>
        </w:rPr>
        <w:t xml:space="preserve"> that the CI’s “condition seemed slightly improved over the last year but he remains a significantly impaired person.  He has not been able to be employed or to engage in much life outside of his own home.  Motivation to correct this is questionable, although he seems invested in trying to go to school.  This soldier continues to have significant symptoms and significant impairment in vocational and social engagement.  He has only recently reengaged in medication management and has show</w:t>
      </w:r>
      <w:r w:rsidR="000F4CF2">
        <w:rPr>
          <w:rFonts w:asciiTheme="minorHAnsi" w:hAnsiTheme="minorHAnsi"/>
          <w:iCs/>
          <w:color w:val="auto"/>
          <w:szCs w:val="24"/>
        </w:rPr>
        <w:t>n</w:t>
      </w:r>
      <w:r w:rsidR="00356547" w:rsidRPr="00B96021">
        <w:rPr>
          <w:rFonts w:asciiTheme="minorHAnsi" w:hAnsiTheme="minorHAnsi"/>
          <w:iCs/>
          <w:color w:val="auto"/>
          <w:szCs w:val="24"/>
        </w:rPr>
        <w:t xml:space="preserve"> some improvement since he did start back on medications.  Condition has not stabilized.  It is recommended that he stay on TDRL status for another 12-18 months.</w:t>
      </w:r>
      <w:r w:rsidR="000F4CF2">
        <w:rPr>
          <w:rFonts w:asciiTheme="minorHAnsi" w:hAnsiTheme="minorHAnsi"/>
          <w:iCs/>
          <w:color w:val="auto"/>
          <w:szCs w:val="24"/>
        </w:rPr>
        <w:t>”</w:t>
      </w:r>
      <w:r w:rsidR="00356547" w:rsidRPr="00B96021">
        <w:rPr>
          <w:rFonts w:asciiTheme="minorHAnsi" w:hAnsiTheme="minorHAnsi"/>
          <w:iCs/>
          <w:color w:val="auto"/>
          <w:szCs w:val="24"/>
        </w:rPr>
        <w:t xml:space="preserve">  </w:t>
      </w:r>
      <w:r w:rsidR="002700B8" w:rsidRPr="00B96021">
        <w:rPr>
          <w:rFonts w:asciiTheme="minorHAnsi" w:hAnsiTheme="minorHAnsi"/>
          <w:iCs/>
          <w:color w:val="auto"/>
          <w:szCs w:val="24"/>
        </w:rPr>
        <w:t xml:space="preserve">      </w:t>
      </w:r>
      <w:r w:rsidR="0083512B" w:rsidRPr="00B96021">
        <w:rPr>
          <w:rFonts w:asciiTheme="minorHAnsi" w:hAnsiTheme="minorHAnsi"/>
          <w:iCs/>
          <w:color w:val="auto"/>
          <w:szCs w:val="24"/>
        </w:rPr>
        <w:t xml:space="preserve">  </w:t>
      </w:r>
    </w:p>
    <w:p w:rsidR="0083512B" w:rsidRPr="00B96021" w:rsidRDefault="0083512B" w:rsidP="00A61DA7">
      <w:pPr>
        <w:spacing w:line="240" w:lineRule="exact"/>
        <w:jc w:val="both"/>
        <w:rPr>
          <w:rFonts w:asciiTheme="minorHAnsi" w:hAnsiTheme="minorHAnsi"/>
          <w:iCs/>
          <w:color w:val="auto"/>
          <w:szCs w:val="24"/>
        </w:rPr>
      </w:pPr>
      <w:r w:rsidRPr="00B96021">
        <w:rPr>
          <w:rFonts w:asciiTheme="minorHAnsi" w:hAnsiTheme="minorHAnsi"/>
          <w:iCs/>
          <w:color w:val="auto"/>
          <w:szCs w:val="24"/>
        </w:rPr>
        <w:t xml:space="preserve">    </w:t>
      </w:r>
    </w:p>
    <w:p w:rsidR="0083512B" w:rsidRPr="000950D1" w:rsidRDefault="0079206D" w:rsidP="00A61DA7">
      <w:pPr>
        <w:spacing w:line="240" w:lineRule="exact"/>
        <w:jc w:val="both"/>
        <w:rPr>
          <w:rFonts w:asciiTheme="minorHAnsi" w:hAnsiTheme="minorHAnsi"/>
          <w:iCs/>
          <w:color w:val="auto"/>
          <w:szCs w:val="24"/>
        </w:rPr>
      </w:pPr>
      <w:r>
        <w:rPr>
          <w:rFonts w:asciiTheme="minorHAnsi" w:hAnsiTheme="minorHAnsi"/>
          <w:iCs/>
          <w:color w:val="auto"/>
          <w:szCs w:val="24"/>
        </w:rPr>
        <w:lastRenderedPageBreak/>
        <w:t>The final TDRL psychiatric evaluation, proximate to permanent separation</w:t>
      </w:r>
      <w:r w:rsidR="00CA4802">
        <w:rPr>
          <w:rFonts w:asciiTheme="minorHAnsi" w:hAnsiTheme="minorHAnsi"/>
          <w:iCs/>
          <w:color w:val="auto"/>
          <w:szCs w:val="24"/>
        </w:rPr>
        <w:t xml:space="preserve"> (and </w:t>
      </w:r>
      <w:r w:rsidR="005124A6">
        <w:rPr>
          <w:rFonts w:asciiTheme="minorHAnsi" w:hAnsiTheme="minorHAnsi"/>
          <w:iCs/>
          <w:color w:val="auto"/>
          <w:szCs w:val="24"/>
        </w:rPr>
        <w:t>most</w:t>
      </w:r>
      <w:r w:rsidR="00CA4802">
        <w:rPr>
          <w:rFonts w:asciiTheme="minorHAnsi" w:hAnsiTheme="minorHAnsi"/>
          <w:iCs/>
          <w:color w:val="auto"/>
          <w:szCs w:val="24"/>
        </w:rPr>
        <w:t xml:space="preserve"> probative </w:t>
      </w:r>
      <w:r w:rsidR="005124A6">
        <w:rPr>
          <w:rFonts w:asciiTheme="minorHAnsi" w:hAnsiTheme="minorHAnsi"/>
          <w:iCs/>
          <w:color w:val="auto"/>
          <w:szCs w:val="24"/>
        </w:rPr>
        <w:t>to</w:t>
      </w:r>
      <w:r w:rsidR="00CA4802">
        <w:rPr>
          <w:rFonts w:asciiTheme="minorHAnsi" w:hAnsiTheme="minorHAnsi"/>
          <w:iCs/>
          <w:color w:val="auto"/>
          <w:szCs w:val="24"/>
        </w:rPr>
        <w:t xml:space="preserve"> the Board’s permanent rating recommendation), documented </w:t>
      </w:r>
      <w:r w:rsidR="00B96021" w:rsidRPr="000950D1">
        <w:rPr>
          <w:rFonts w:asciiTheme="minorHAnsi" w:hAnsiTheme="minorHAnsi"/>
          <w:iCs/>
          <w:color w:val="auto"/>
          <w:szCs w:val="24"/>
        </w:rPr>
        <w:t xml:space="preserve">substantial improvement </w:t>
      </w:r>
      <w:r w:rsidR="00CA4802">
        <w:rPr>
          <w:rFonts w:asciiTheme="minorHAnsi" w:hAnsiTheme="minorHAnsi"/>
          <w:iCs/>
          <w:color w:val="auto"/>
          <w:szCs w:val="24"/>
        </w:rPr>
        <w:t>over</w:t>
      </w:r>
      <w:r w:rsidR="00B96021" w:rsidRPr="000950D1">
        <w:rPr>
          <w:rFonts w:asciiTheme="minorHAnsi" w:hAnsiTheme="minorHAnsi"/>
          <w:iCs/>
          <w:color w:val="auto"/>
          <w:szCs w:val="24"/>
        </w:rPr>
        <w:t xml:space="preserve"> </w:t>
      </w:r>
      <w:r w:rsidR="00CA4802">
        <w:rPr>
          <w:rFonts w:asciiTheme="minorHAnsi" w:hAnsiTheme="minorHAnsi"/>
          <w:iCs/>
          <w:color w:val="auto"/>
          <w:szCs w:val="24"/>
        </w:rPr>
        <w:t xml:space="preserve">the </w:t>
      </w:r>
      <w:r w:rsidR="00AC0EB5">
        <w:rPr>
          <w:rFonts w:asciiTheme="minorHAnsi" w:hAnsiTheme="minorHAnsi"/>
          <w:iCs/>
          <w:color w:val="auto"/>
          <w:szCs w:val="24"/>
        </w:rPr>
        <w:t xml:space="preserve">interim </w:t>
      </w:r>
      <w:r w:rsidR="00B96021" w:rsidRPr="000950D1">
        <w:rPr>
          <w:rFonts w:asciiTheme="minorHAnsi" w:hAnsiTheme="minorHAnsi"/>
          <w:iCs/>
          <w:color w:val="auto"/>
          <w:szCs w:val="24"/>
        </w:rPr>
        <w:t xml:space="preserve">evaluation a year earlier.  </w:t>
      </w:r>
      <w:r w:rsidR="00CA4802">
        <w:rPr>
          <w:rFonts w:asciiTheme="minorHAnsi" w:hAnsiTheme="minorHAnsi"/>
          <w:iCs/>
          <w:color w:val="auto"/>
          <w:szCs w:val="24"/>
        </w:rPr>
        <w:t xml:space="preserve">Residual, but milder and less frequent, symptoms of insomnia, </w:t>
      </w:r>
      <w:r w:rsidR="00CA4802" w:rsidRPr="000950D1">
        <w:rPr>
          <w:rFonts w:asciiTheme="minorHAnsi" w:hAnsiTheme="minorHAnsi"/>
          <w:iCs/>
          <w:color w:val="auto"/>
          <w:szCs w:val="24"/>
        </w:rPr>
        <w:t xml:space="preserve">nightmares, hypervigilance, </w:t>
      </w:r>
      <w:r w:rsidR="00CA4802">
        <w:rPr>
          <w:rFonts w:asciiTheme="minorHAnsi" w:hAnsiTheme="minorHAnsi"/>
          <w:iCs/>
          <w:color w:val="auto"/>
          <w:szCs w:val="24"/>
        </w:rPr>
        <w:t xml:space="preserve">irritability, difficulty concentrating, </w:t>
      </w:r>
      <w:r w:rsidR="00CA4802" w:rsidRPr="000950D1">
        <w:rPr>
          <w:rFonts w:asciiTheme="minorHAnsi" w:hAnsiTheme="minorHAnsi"/>
          <w:iCs/>
          <w:color w:val="auto"/>
          <w:szCs w:val="24"/>
        </w:rPr>
        <w:t xml:space="preserve">and avoidance </w:t>
      </w:r>
      <w:r w:rsidR="00CA4802">
        <w:rPr>
          <w:rFonts w:asciiTheme="minorHAnsi" w:hAnsiTheme="minorHAnsi"/>
          <w:iCs/>
          <w:color w:val="auto"/>
          <w:szCs w:val="24"/>
        </w:rPr>
        <w:t>were documented;</w:t>
      </w:r>
      <w:r w:rsidR="00CA4802" w:rsidRPr="000950D1">
        <w:rPr>
          <w:rFonts w:asciiTheme="minorHAnsi" w:hAnsiTheme="minorHAnsi"/>
          <w:iCs/>
          <w:color w:val="auto"/>
          <w:szCs w:val="24"/>
        </w:rPr>
        <w:t xml:space="preserve"> but</w:t>
      </w:r>
      <w:r w:rsidR="00CA4802">
        <w:rPr>
          <w:rFonts w:asciiTheme="minorHAnsi" w:hAnsiTheme="minorHAnsi"/>
          <w:iCs/>
          <w:color w:val="auto"/>
          <w:szCs w:val="24"/>
        </w:rPr>
        <w:t>,</w:t>
      </w:r>
      <w:r w:rsidR="00CA4802" w:rsidRPr="000950D1">
        <w:rPr>
          <w:rFonts w:asciiTheme="minorHAnsi" w:hAnsiTheme="minorHAnsi"/>
          <w:iCs/>
          <w:color w:val="auto"/>
          <w:szCs w:val="24"/>
        </w:rPr>
        <w:t xml:space="preserve"> the CI stated that “I’m learning to deal with it and to go on with my life.”  </w:t>
      </w:r>
      <w:r w:rsidR="00383569">
        <w:rPr>
          <w:rFonts w:asciiTheme="minorHAnsi" w:hAnsiTheme="minorHAnsi"/>
          <w:iCs/>
          <w:color w:val="auto"/>
          <w:szCs w:val="24"/>
        </w:rPr>
        <w:t>The CI was no longer taking psychiatric medication and had recently discontinued VA outpatient therapy, stating</w:t>
      </w:r>
      <w:r w:rsidR="00FF6CAA">
        <w:rPr>
          <w:rFonts w:asciiTheme="minorHAnsi" w:hAnsiTheme="minorHAnsi"/>
          <w:iCs/>
          <w:color w:val="auto"/>
          <w:szCs w:val="24"/>
        </w:rPr>
        <w:t>;</w:t>
      </w:r>
      <w:r w:rsidR="00383569">
        <w:rPr>
          <w:rFonts w:asciiTheme="minorHAnsi" w:hAnsiTheme="minorHAnsi"/>
          <w:iCs/>
          <w:color w:val="auto"/>
          <w:szCs w:val="24"/>
        </w:rPr>
        <w:t xml:space="preserve"> “</w:t>
      </w:r>
      <w:r w:rsidR="00383569" w:rsidRPr="000950D1">
        <w:rPr>
          <w:rFonts w:asciiTheme="minorHAnsi" w:hAnsiTheme="minorHAnsi"/>
          <w:iCs/>
          <w:color w:val="auto"/>
          <w:szCs w:val="24"/>
        </w:rPr>
        <w:t>I have found other ways to cope with stress and irritability and I prefer not to be on medication</w:t>
      </w:r>
      <w:r w:rsidR="00383569">
        <w:rPr>
          <w:rFonts w:asciiTheme="minorHAnsi" w:hAnsiTheme="minorHAnsi"/>
          <w:iCs/>
          <w:color w:val="auto"/>
          <w:szCs w:val="24"/>
        </w:rPr>
        <w:t xml:space="preserve">.”  </w:t>
      </w:r>
      <w:r w:rsidR="00CA4802" w:rsidRPr="000950D1">
        <w:rPr>
          <w:rFonts w:asciiTheme="minorHAnsi" w:hAnsiTheme="minorHAnsi"/>
          <w:iCs/>
          <w:color w:val="auto"/>
          <w:szCs w:val="24"/>
        </w:rPr>
        <w:t xml:space="preserve">Socially, </w:t>
      </w:r>
      <w:r w:rsidR="00383569">
        <w:rPr>
          <w:rFonts w:asciiTheme="minorHAnsi" w:hAnsiTheme="minorHAnsi"/>
          <w:iCs/>
          <w:color w:val="auto"/>
          <w:szCs w:val="24"/>
        </w:rPr>
        <w:t>he</w:t>
      </w:r>
      <w:r w:rsidR="00CA4802" w:rsidRPr="000950D1">
        <w:rPr>
          <w:rFonts w:asciiTheme="minorHAnsi" w:hAnsiTheme="minorHAnsi"/>
          <w:iCs/>
          <w:color w:val="auto"/>
          <w:szCs w:val="24"/>
        </w:rPr>
        <w:t xml:space="preserve"> continued in </w:t>
      </w:r>
      <w:r w:rsidR="00CA4802">
        <w:rPr>
          <w:rFonts w:asciiTheme="minorHAnsi" w:hAnsiTheme="minorHAnsi"/>
          <w:iCs/>
          <w:color w:val="auto"/>
          <w:szCs w:val="24"/>
        </w:rPr>
        <w:t>the</w:t>
      </w:r>
      <w:r w:rsidR="00CA4802" w:rsidRPr="000950D1">
        <w:rPr>
          <w:rFonts w:asciiTheme="minorHAnsi" w:hAnsiTheme="minorHAnsi"/>
          <w:iCs/>
          <w:color w:val="auto"/>
          <w:szCs w:val="24"/>
        </w:rPr>
        <w:t xml:space="preserve"> stable </w:t>
      </w:r>
      <w:r w:rsidR="00B824EA">
        <w:rPr>
          <w:rFonts w:asciiTheme="minorHAnsi" w:hAnsiTheme="minorHAnsi"/>
          <w:iCs/>
          <w:color w:val="auto"/>
          <w:szCs w:val="24"/>
        </w:rPr>
        <w:t xml:space="preserve">partner </w:t>
      </w:r>
      <w:r w:rsidR="00CA4802" w:rsidRPr="000950D1">
        <w:rPr>
          <w:rFonts w:asciiTheme="minorHAnsi" w:hAnsiTheme="minorHAnsi"/>
          <w:iCs/>
          <w:color w:val="auto"/>
          <w:szCs w:val="24"/>
        </w:rPr>
        <w:t xml:space="preserve">relationship </w:t>
      </w:r>
      <w:r w:rsidR="00CA4802">
        <w:rPr>
          <w:rFonts w:asciiTheme="minorHAnsi" w:hAnsiTheme="minorHAnsi"/>
          <w:iCs/>
          <w:color w:val="auto"/>
          <w:szCs w:val="24"/>
        </w:rPr>
        <w:t xml:space="preserve">described above with plans to marry.  Outside social activities </w:t>
      </w:r>
      <w:r w:rsidR="00CA4802" w:rsidRPr="000950D1">
        <w:rPr>
          <w:rFonts w:asciiTheme="minorHAnsi" w:hAnsiTheme="minorHAnsi"/>
          <w:iCs/>
          <w:color w:val="auto"/>
          <w:szCs w:val="24"/>
        </w:rPr>
        <w:t xml:space="preserve">with his </w:t>
      </w:r>
      <w:r w:rsidR="00383569">
        <w:rPr>
          <w:rFonts w:asciiTheme="minorHAnsi" w:hAnsiTheme="minorHAnsi"/>
          <w:iCs/>
          <w:color w:val="auto"/>
          <w:szCs w:val="24"/>
        </w:rPr>
        <w:t>fiancée were documented, but generic social functioning was not elaborated.</w:t>
      </w:r>
      <w:r w:rsidR="00CA4802">
        <w:rPr>
          <w:rFonts w:asciiTheme="minorHAnsi" w:hAnsiTheme="minorHAnsi"/>
          <w:iCs/>
          <w:color w:val="auto"/>
          <w:szCs w:val="24"/>
        </w:rPr>
        <w:t xml:space="preserve"> </w:t>
      </w:r>
      <w:r w:rsidR="00CA4802" w:rsidRPr="000950D1">
        <w:rPr>
          <w:rFonts w:asciiTheme="minorHAnsi" w:hAnsiTheme="minorHAnsi"/>
          <w:iCs/>
          <w:color w:val="auto"/>
          <w:szCs w:val="24"/>
        </w:rPr>
        <w:t xml:space="preserve"> </w:t>
      </w:r>
      <w:r w:rsidR="00383569">
        <w:rPr>
          <w:rFonts w:asciiTheme="minorHAnsi" w:hAnsiTheme="minorHAnsi"/>
          <w:iCs/>
          <w:color w:val="auto"/>
          <w:szCs w:val="24"/>
        </w:rPr>
        <w:t>Occupationally, t</w:t>
      </w:r>
      <w:r w:rsidR="00CA4802">
        <w:rPr>
          <w:rFonts w:asciiTheme="minorHAnsi" w:hAnsiTheme="minorHAnsi"/>
          <w:iCs/>
          <w:color w:val="auto"/>
          <w:szCs w:val="24"/>
        </w:rPr>
        <w:t xml:space="preserve">he CI had been successfully employed and had just completed </w:t>
      </w:r>
      <w:r w:rsidR="00B96021" w:rsidRPr="000950D1">
        <w:rPr>
          <w:rFonts w:asciiTheme="minorHAnsi" w:hAnsiTheme="minorHAnsi"/>
          <w:iCs/>
          <w:color w:val="auto"/>
          <w:szCs w:val="24"/>
        </w:rPr>
        <w:t xml:space="preserve">an </w:t>
      </w:r>
      <w:r w:rsidR="00FF6CAA">
        <w:rPr>
          <w:rFonts w:asciiTheme="minorHAnsi" w:hAnsiTheme="minorHAnsi"/>
          <w:iCs/>
          <w:color w:val="auto"/>
          <w:szCs w:val="24"/>
        </w:rPr>
        <w:t>a</w:t>
      </w:r>
      <w:r w:rsidR="00B96021" w:rsidRPr="000950D1">
        <w:rPr>
          <w:rFonts w:asciiTheme="minorHAnsi" w:hAnsiTheme="minorHAnsi"/>
          <w:iCs/>
          <w:color w:val="auto"/>
          <w:szCs w:val="24"/>
        </w:rPr>
        <w:t xml:space="preserve">ssociate’s </w:t>
      </w:r>
      <w:r w:rsidR="00FF6CAA">
        <w:rPr>
          <w:rFonts w:asciiTheme="minorHAnsi" w:hAnsiTheme="minorHAnsi"/>
          <w:iCs/>
          <w:color w:val="auto"/>
          <w:szCs w:val="24"/>
        </w:rPr>
        <w:t>d</w:t>
      </w:r>
      <w:r w:rsidR="00B96021" w:rsidRPr="000950D1">
        <w:rPr>
          <w:rFonts w:asciiTheme="minorHAnsi" w:hAnsiTheme="minorHAnsi"/>
          <w:iCs/>
          <w:color w:val="auto"/>
          <w:szCs w:val="24"/>
        </w:rPr>
        <w:t>egree in automotive technology</w:t>
      </w:r>
      <w:r w:rsidR="00CA4802">
        <w:rPr>
          <w:rFonts w:asciiTheme="minorHAnsi" w:hAnsiTheme="minorHAnsi"/>
          <w:iCs/>
          <w:color w:val="auto"/>
          <w:szCs w:val="24"/>
        </w:rPr>
        <w:t>.  His grades were excellent (</w:t>
      </w:r>
      <w:r w:rsidR="00CA4802" w:rsidRPr="000950D1">
        <w:rPr>
          <w:rFonts w:asciiTheme="minorHAnsi" w:hAnsiTheme="minorHAnsi"/>
          <w:iCs/>
          <w:color w:val="auto"/>
          <w:szCs w:val="24"/>
        </w:rPr>
        <w:t>3.5 GPA</w:t>
      </w:r>
      <w:r w:rsidR="00CA4802">
        <w:rPr>
          <w:rFonts w:asciiTheme="minorHAnsi" w:hAnsiTheme="minorHAnsi"/>
          <w:iCs/>
          <w:color w:val="auto"/>
          <w:szCs w:val="24"/>
        </w:rPr>
        <w:t>), and employment</w:t>
      </w:r>
      <w:r w:rsidR="00A57542">
        <w:rPr>
          <w:rFonts w:asciiTheme="minorHAnsi" w:hAnsiTheme="minorHAnsi"/>
          <w:iCs/>
          <w:color w:val="auto"/>
          <w:szCs w:val="24"/>
        </w:rPr>
        <w:t xml:space="preserve"> </w:t>
      </w:r>
      <w:r w:rsidR="00B824EA">
        <w:rPr>
          <w:rFonts w:asciiTheme="minorHAnsi" w:hAnsiTheme="minorHAnsi"/>
          <w:iCs/>
          <w:color w:val="auto"/>
          <w:szCs w:val="24"/>
        </w:rPr>
        <w:t>in that field had been secured.  T</w:t>
      </w:r>
      <w:r w:rsidR="00A57542" w:rsidRPr="000950D1">
        <w:rPr>
          <w:rFonts w:asciiTheme="minorHAnsi" w:hAnsiTheme="minorHAnsi"/>
          <w:iCs/>
          <w:color w:val="auto"/>
          <w:szCs w:val="24"/>
        </w:rPr>
        <w:t xml:space="preserve">he examiner </w:t>
      </w:r>
      <w:r w:rsidR="00A57542">
        <w:rPr>
          <w:rFonts w:asciiTheme="minorHAnsi" w:hAnsiTheme="minorHAnsi"/>
          <w:iCs/>
          <w:color w:val="auto"/>
          <w:szCs w:val="24"/>
        </w:rPr>
        <w:t>documented</w:t>
      </w:r>
      <w:r w:rsidR="00A57542" w:rsidRPr="000950D1">
        <w:rPr>
          <w:rFonts w:asciiTheme="minorHAnsi" w:hAnsiTheme="minorHAnsi"/>
          <w:iCs/>
          <w:color w:val="auto"/>
          <w:szCs w:val="24"/>
        </w:rPr>
        <w:t xml:space="preserve"> that the CI felt more purpose in life and was optimistic when looking at his future.  </w:t>
      </w:r>
      <w:r w:rsidR="00383569">
        <w:rPr>
          <w:rFonts w:asciiTheme="minorHAnsi" w:hAnsiTheme="minorHAnsi"/>
          <w:iCs/>
          <w:color w:val="auto"/>
          <w:szCs w:val="24"/>
        </w:rPr>
        <w:t>The MSE was completely normal</w:t>
      </w:r>
      <w:r w:rsidR="00B824EA">
        <w:rPr>
          <w:rFonts w:asciiTheme="minorHAnsi" w:hAnsiTheme="minorHAnsi"/>
          <w:iCs/>
          <w:color w:val="auto"/>
          <w:szCs w:val="24"/>
        </w:rPr>
        <w:t xml:space="preserve"> with no cognitive </w:t>
      </w:r>
      <w:r w:rsidR="00FF6CAA">
        <w:rPr>
          <w:rFonts w:asciiTheme="minorHAnsi" w:hAnsiTheme="minorHAnsi"/>
          <w:iCs/>
          <w:color w:val="auto"/>
          <w:szCs w:val="24"/>
        </w:rPr>
        <w:t>deficits</w:t>
      </w:r>
      <w:r w:rsidR="00383569">
        <w:rPr>
          <w:rFonts w:asciiTheme="minorHAnsi" w:hAnsiTheme="minorHAnsi"/>
          <w:iCs/>
          <w:color w:val="auto"/>
          <w:szCs w:val="24"/>
        </w:rPr>
        <w:t xml:space="preserve"> and the previous mood and affect disturbance was no longer present.  </w:t>
      </w:r>
      <w:r w:rsidR="00AC0EB5">
        <w:rPr>
          <w:rFonts w:asciiTheme="minorHAnsi" w:hAnsiTheme="minorHAnsi"/>
          <w:iCs/>
          <w:color w:val="auto"/>
          <w:szCs w:val="24"/>
        </w:rPr>
        <w:t>Surprisingly</w:t>
      </w:r>
      <w:r w:rsidR="000950D1" w:rsidRPr="000950D1">
        <w:rPr>
          <w:rFonts w:asciiTheme="minorHAnsi" w:hAnsiTheme="minorHAnsi"/>
          <w:iCs/>
          <w:color w:val="auto"/>
          <w:szCs w:val="24"/>
        </w:rPr>
        <w:t xml:space="preserve">, the GAF </w:t>
      </w:r>
      <w:r w:rsidR="00383569">
        <w:rPr>
          <w:rFonts w:asciiTheme="minorHAnsi" w:hAnsiTheme="minorHAnsi"/>
          <w:iCs/>
          <w:color w:val="auto"/>
          <w:szCs w:val="24"/>
        </w:rPr>
        <w:t xml:space="preserve">assignment </w:t>
      </w:r>
      <w:r w:rsidR="005F3846">
        <w:rPr>
          <w:rFonts w:asciiTheme="minorHAnsi" w:hAnsiTheme="minorHAnsi"/>
          <w:iCs/>
          <w:color w:val="auto"/>
          <w:szCs w:val="24"/>
        </w:rPr>
        <w:t xml:space="preserve">(50) </w:t>
      </w:r>
      <w:r w:rsidR="000950D1" w:rsidRPr="000950D1">
        <w:rPr>
          <w:rFonts w:asciiTheme="minorHAnsi" w:hAnsiTheme="minorHAnsi"/>
          <w:iCs/>
          <w:color w:val="auto"/>
          <w:szCs w:val="24"/>
        </w:rPr>
        <w:t xml:space="preserve">was </w:t>
      </w:r>
      <w:r w:rsidR="005F3846">
        <w:rPr>
          <w:rFonts w:asciiTheme="minorHAnsi" w:hAnsiTheme="minorHAnsi"/>
          <w:iCs/>
          <w:color w:val="auto"/>
          <w:szCs w:val="24"/>
        </w:rPr>
        <w:t xml:space="preserve">unchanged from the previous evaluation, with no rationale elaborated.  Especially given the clear improvement along all parameters, the </w:t>
      </w:r>
      <w:r w:rsidR="00FF6CAA">
        <w:rPr>
          <w:rFonts w:asciiTheme="minorHAnsi" w:hAnsiTheme="minorHAnsi"/>
          <w:iCs/>
          <w:color w:val="auto"/>
          <w:szCs w:val="24"/>
        </w:rPr>
        <w:t>a</w:t>
      </w:r>
      <w:r w:rsidR="005F3846">
        <w:rPr>
          <w:rFonts w:asciiTheme="minorHAnsi" w:hAnsiTheme="minorHAnsi"/>
          <w:iCs/>
          <w:color w:val="auto"/>
          <w:szCs w:val="24"/>
        </w:rPr>
        <w:t xml:space="preserve">ction </w:t>
      </w:r>
      <w:r w:rsidR="00FF6CAA">
        <w:rPr>
          <w:rFonts w:asciiTheme="minorHAnsi" w:hAnsiTheme="minorHAnsi"/>
          <w:iCs/>
          <w:color w:val="auto"/>
          <w:szCs w:val="24"/>
        </w:rPr>
        <w:t>o</w:t>
      </w:r>
      <w:r w:rsidR="005F3846">
        <w:rPr>
          <w:rFonts w:asciiTheme="minorHAnsi" w:hAnsiTheme="minorHAnsi"/>
          <w:iCs/>
          <w:color w:val="auto"/>
          <w:szCs w:val="24"/>
        </w:rPr>
        <w:t>fficer opines that this GAF assignment is significantly lower</w:t>
      </w:r>
      <w:r w:rsidR="005F3846" w:rsidRPr="005F3846">
        <w:rPr>
          <w:rFonts w:asciiTheme="minorHAnsi" w:hAnsiTheme="minorHAnsi"/>
          <w:iCs/>
          <w:color w:val="auto"/>
          <w:szCs w:val="24"/>
        </w:rPr>
        <w:t xml:space="preserve"> than can be supported by the </w:t>
      </w:r>
      <w:r w:rsidR="00B824EA">
        <w:rPr>
          <w:rFonts w:asciiTheme="minorHAnsi" w:hAnsiTheme="minorHAnsi"/>
          <w:iCs/>
          <w:color w:val="auto"/>
          <w:szCs w:val="24"/>
        </w:rPr>
        <w:t xml:space="preserve">concomitant </w:t>
      </w:r>
      <w:r w:rsidR="005F3846" w:rsidRPr="005F3846">
        <w:rPr>
          <w:rFonts w:asciiTheme="minorHAnsi" w:hAnsiTheme="minorHAnsi"/>
          <w:iCs/>
          <w:color w:val="auto"/>
          <w:szCs w:val="24"/>
        </w:rPr>
        <w:t>history and MSE</w:t>
      </w:r>
      <w:r w:rsidR="00B824EA" w:rsidRPr="00B824EA">
        <w:rPr>
          <w:rFonts w:asciiTheme="minorHAnsi" w:hAnsiTheme="minorHAnsi"/>
          <w:iCs/>
          <w:color w:val="auto"/>
          <w:szCs w:val="24"/>
        </w:rPr>
        <w:t xml:space="preserve"> </w:t>
      </w:r>
      <w:r w:rsidR="00B824EA">
        <w:rPr>
          <w:rFonts w:asciiTheme="minorHAnsi" w:hAnsiTheme="minorHAnsi"/>
          <w:iCs/>
          <w:color w:val="auto"/>
          <w:szCs w:val="24"/>
        </w:rPr>
        <w:t xml:space="preserve">as </w:t>
      </w:r>
      <w:r w:rsidR="00B824EA" w:rsidRPr="005F3846">
        <w:rPr>
          <w:rFonts w:asciiTheme="minorHAnsi" w:hAnsiTheme="minorHAnsi"/>
          <w:iCs/>
          <w:color w:val="auto"/>
          <w:szCs w:val="24"/>
        </w:rPr>
        <w:t>documented</w:t>
      </w:r>
      <w:r w:rsidR="005F3846">
        <w:rPr>
          <w:rFonts w:asciiTheme="minorHAnsi" w:hAnsiTheme="minorHAnsi"/>
          <w:iCs/>
          <w:color w:val="auto"/>
          <w:szCs w:val="24"/>
        </w:rPr>
        <w:t>.</w:t>
      </w:r>
      <w:r w:rsidR="00A57542" w:rsidRPr="00A57542">
        <w:rPr>
          <w:rFonts w:asciiTheme="minorHAnsi" w:hAnsiTheme="minorHAnsi"/>
          <w:iCs/>
          <w:color w:val="auto"/>
          <w:szCs w:val="24"/>
        </w:rPr>
        <w:t xml:space="preserve"> </w:t>
      </w:r>
      <w:r w:rsidR="00A57542">
        <w:rPr>
          <w:rFonts w:asciiTheme="minorHAnsi" w:hAnsiTheme="minorHAnsi"/>
          <w:iCs/>
          <w:color w:val="auto"/>
          <w:szCs w:val="24"/>
        </w:rPr>
        <w:t xml:space="preserve"> No occupational details such as personal interactions, etc., were documented by the TDRL examiner</w:t>
      </w:r>
      <w:r w:rsidR="00FF6CAA">
        <w:rPr>
          <w:rFonts w:asciiTheme="minorHAnsi" w:hAnsiTheme="minorHAnsi"/>
          <w:iCs/>
          <w:color w:val="auto"/>
          <w:szCs w:val="24"/>
        </w:rPr>
        <w:t>,</w:t>
      </w:r>
      <w:r w:rsidR="00A57542">
        <w:rPr>
          <w:rFonts w:asciiTheme="minorHAnsi" w:hAnsiTheme="minorHAnsi"/>
          <w:iCs/>
          <w:color w:val="auto"/>
          <w:szCs w:val="24"/>
        </w:rPr>
        <w:t xml:space="preserve"> but the VA C&amp;P evaluation, performed 28 months later, documented a detailed occupational history which covered </w:t>
      </w:r>
      <w:r w:rsidR="00B824EA">
        <w:rPr>
          <w:rFonts w:asciiTheme="minorHAnsi" w:hAnsiTheme="minorHAnsi"/>
          <w:iCs/>
          <w:color w:val="auto"/>
          <w:szCs w:val="24"/>
        </w:rPr>
        <w:t>this time period</w:t>
      </w:r>
      <w:r w:rsidR="00A57542">
        <w:rPr>
          <w:rFonts w:asciiTheme="minorHAnsi" w:hAnsiTheme="minorHAnsi"/>
          <w:iCs/>
          <w:color w:val="auto"/>
          <w:szCs w:val="24"/>
        </w:rPr>
        <w:t xml:space="preserve">.  </w:t>
      </w:r>
      <w:r w:rsidR="008C4FF2">
        <w:rPr>
          <w:rFonts w:asciiTheme="minorHAnsi" w:hAnsiTheme="minorHAnsi"/>
          <w:iCs/>
          <w:color w:val="auto"/>
          <w:szCs w:val="24"/>
        </w:rPr>
        <w:t>That evidence suggests</w:t>
      </w:r>
      <w:r w:rsidR="00455264">
        <w:rPr>
          <w:rFonts w:asciiTheme="minorHAnsi" w:hAnsiTheme="minorHAnsi"/>
          <w:iCs/>
          <w:color w:val="auto"/>
          <w:szCs w:val="24"/>
        </w:rPr>
        <w:t xml:space="preserve"> that the CI had suffered an ongoing adverse occupational impact from his psychiatric symptoms.  Issues with punctuality, friction with co-workers and supervisors, and occasional loss work days were noted.  These descriptions, however, were not temporally concise for accurate assignment to the probative rating period.</w:t>
      </w:r>
    </w:p>
    <w:p w:rsidR="00A61DA7" w:rsidRPr="00A61DA7" w:rsidRDefault="00A61DA7" w:rsidP="00A61DA7">
      <w:pPr>
        <w:spacing w:line="240" w:lineRule="exact"/>
        <w:jc w:val="both"/>
        <w:rPr>
          <w:rFonts w:asciiTheme="minorHAnsi" w:hAnsiTheme="minorHAnsi"/>
          <w:iCs/>
          <w:color w:val="auto"/>
          <w:szCs w:val="24"/>
          <w:highlight w:val="yellow"/>
        </w:rPr>
      </w:pPr>
      <w:r w:rsidRPr="00A61DA7">
        <w:rPr>
          <w:rFonts w:asciiTheme="minorHAnsi" w:hAnsiTheme="minorHAnsi"/>
          <w:iCs/>
          <w:color w:val="auto"/>
          <w:szCs w:val="24"/>
          <w:highlight w:val="yellow"/>
        </w:rPr>
        <w:t xml:space="preserve">       </w:t>
      </w:r>
    </w:p>
    <w:p w:rsidR="00FF6CAA" w:rsidRDefault="00A61DA7" w:rsidP="00BC7F3B">
      <w:pPr>
        <w:tabs>
          <w:tab w:val="left" w:pos="288"/>
          <w:tab w:val="left" w:pos="4752"/>
        </w:tabs>
        <w:spacing w:line="240" w:lineRule="exact"/>
        <w:jc w:val="both"/>
        <w:rPr>
          <w:color w:val="auto"/>
          <w:szCs w:val="24"/>
        </w:rPr>
      </w:pPr>
      <w:r w:rsidRPr="00D50D56">
        <w:rPr>
          <w:rFonts w:asciiTheme="minorHAnsi" w:hAnsiTheme="minorHAnsi"/>
          <w:iCs/>
          <w:color w:val="auto"/>
          <w:szCs w:val="24"/>
        </w:rPr>
        <w:t xml:space="preserve">The Board directs its attention to its rating recommendations based on the evidence just described.  </w:t>
      </w:r>
      <w:r w:rsidR="00A57542">
        <w:rPr>
          <w:rFonts w:asciiTheme="minorHAnsi" w:hAnsiTheme="minorHAnsi"/>
          <w:iCs/>
          <w:color w:val="auto"/>
          <w:szCs w:val="24"/>
        </w:rPr>
        <w:t>A</w:t>
      </w:r>
      <w:r w:rsidRPr="00D50D56">
        <w:rPr>
          <w:rFonts w:asciiTheme="minorHAnsi" w:hAnsiTheme="minorHAnsi"/>
          <w:iCs/>
          <w:color w:val="auto"/>
          <w:szCs w:val="24"/>
        </w:rPr>
        <w:t>ll members agreed that the §4.130 criteria for a TDRL rating higher than 50% at the time of</w:t>
      </w:r>
      <w:r w:rsidR="00A57542">
        <w:rPr>
          <w:rFonts w:asciiTheme="minorHAnsi" w:hAnsiTheme="minorHAnsi"/>
          <w:iCs/>
          <w:color w:val="auto"/>
          <w:szCs w:val="24"/>
        </w:rPr>
        <w:t xml:space="preserve"> placement on TDRL were not met; and, therefore</w:t>
      </w:r>
      <w:r w:rsidRPr="00D50D56">
        <w:rPr>
          <w:rFonts w:asciiTheme="minorHAnsi" w:hAnsiTheme="minorHAnsi"/>
          <w:iCs/>
          <w:color w:val="auto"/>
          <w:szCs w:val="24"/>
        </w:rPr>
        <w:t xml:space="preserve"> the minimum 50% TDRL rating </w:t>
      </w:r>
      <w:r w:rsidR="008C4FF2">
        <w:rPr>
          <w:rFonts w:asciiTheme="minorHAnsi" w:hAnsiTheme="minorHAnsi"/>
          <w:iCs/>
          <w:color w:val="auto"/>
          <w:szCs w:val="24"/>
        </w:rPr>
        <w:t>prescribed by §4.129</w:t>
      </w:r>
      <w:r w:rsidR="008C4FF2" w:rsidRPr="00D50D56">
        <w:rPr>
          <w:rFonts w:asciiTheme="minorHAnsi" w:hAnsiTheme="minorHAnsi"/>
          <w:iCs/>
          <w:color w:val="auto"/>
          <w:szCs w:val="24"/>
        </w:rPr>
        <w:t xml:space="preserve"> </w:t>
      </w:r>
      <w:r w:rsidRPr="00D50D56">
        <w:rPr>
          <w:rFonts w:asciiTheme="minorHAnsi" w:hAnsiTheme="minorHAnsi"/>
          <w:iCs/>
          <w:color w:val="auto"/>
          <w:szCs w:val="24"/>
        </w:rPr>
        <w:t xml:space="preserve">is applicable.  As regards </w:t>
      </w:r>
      <w:r w:rsidR="00A57542">
        <w:rPr>
          <w:rFonts w:asciiTheme="minorHAnsi" w:hAnsiTheme="minorHAnsi"/>
          <w:iCs/>
          <w:color w:val="auto"/>
          <w:szCs w:val="24"/>
        </w:rPr>
        <w:t>its permanent</w:t>
      </w:r>
      <w:r w:rsidRPr="00D50D56">
        <w:rPr>
          <w:rFonts w:asciiTheme="minorHAnsi" w:hAnsiTheme="minorHAnsi"/>
          <w:iCs/>
          <w:color w:val="auto"/>
          <w:szCs w:val="24"/>
        </w:rPr>
        <w:t xml:space="preserve"> rating </w:t>
      </w:r>
      <w:r w:rsidR="00A57542">
        <w:rPr>
          <w:rFonts w:asciiTheme="minorHAnsi" w:hAnsiTheme="minorHAnsi"/>
          <w:iCs/>
          <w:color w:val="auto"/>
          <w:szCs w:val="24"/>
        </w:rPr>
        <w:t>recommendation</w:t>
      </w:r>
      <w:r w:rsidR="00455264">
        <w:rPr>
          <w:rFonts w:asciiTheme="minorHAnsi" w:hAnsiTheme="minorHAnsi"/>
          <w:iCs/>
          <w:color w:val="auto"/>
          <w:szCs w:val="24"/>
        </w:rPr>
        <w:t>, the Board notes</w:t>
      </w:r>
      <w:r w:rsidRPr="00D50D56">
        <w:rPr>
          <w:rFonts w:asciiTheme="minorHAnsi" w:hAnsiTheme="minorHAnsi"/>
          <w:iCs/>
          <w:color w:val="auto"/>
          <w:szCs w:val="24"/>
        </w:rPr>
        <w:t xml:space="preserve"> that the</w:t>
      </w:r>
      <w:r w:rsidR="00AA27FC" w:rsidRPr="00D50D56">
        <w:rPr>
          <w:rFonts w:asciiTheme="minorHAnsi" w:hAnsiTheme="minorHAnsi"/>
          <w:iCs/>
          <w:color w:val="auto"/>
          <w:szCs w:val="24"/>
        </w:rPr>
        <w:t xml:space="preserve"> </w:t>
      </w:r>
      <w:r w:rsidR="00455264">
        <w:rPr>
          <w:rFonts w:asciiTheme="minorHAnsi" w:hAnsiTheme="minorHAnsi"/>
          <w:iCs/>
          <w:color w:val="auto"/>
          <w:szCs w:val="24"/>
        </w:rPr>
        <w:t xml:space="preserve">rating interval encompassed a period of dramatic </w:t>
      </w:r>
      <w:r w:rsidR="00033DEF" w:rsidRPr="00D50D56">
        <w:rPr>
          <w:rFonts w:asciiTheme="minorHAnsi" w:hAnsiTheme="minorHAnsi"/>
          <w:iCs/>
          <w:color w:val="auto"/>
          <w:szCs w:val="24"/>
        </w:rPr>
        <w:t xml:space="preserve">clinical </w:t>
      </w:r>
      <w:r w:rsidR="00455264">
        <w:rPr>
          <w:rFonts w:asciiTheme="minorHAnsi" w:hAnsiTheme="minorHAnsi"/>
          <w:iCs/>
          <w:color w:val="auto"/>
          <w:szCs w:val="24"/>
        </w:rPr>
        <w:t xml:space="preserve">improvement with a paucity of evidence for any social or occupational impairment.  </w:t>
      </w:r>
      <w:r w:rsidRPr="00D50D56">
        <w:rPr>
          <w:rFonts w:asciiTheme="minorHAnsi" w:hAnsiTheme="minorHAnsi"/>
          <w:iCs/>
          <w:color w:val="auto"/>
          <w:szCs w:val="24"/>
        </w:rPr>
        <w:t xml:space="preserve"> </w:t>
      </w:r>
      <w:r w:rsidR="00455264">
        <w:rPr>
          <w:rFonts w:asciiTheme="minorHAnsi" w:hAnsiTheme="minorHAnsi"/>
          <w:iCs/>
          <w:color w:val="auto"/>
          <w:szCs w:val="24"/>
        </w:rPr>
        <w:t xml:space="preserve">It </w:t>
      </w:r>
      <w:r w:rsidR="001F7EEE">
        <w:rPr>
          <w:rFonts w:asciiTheme="minorHAnsi" w:hAnsiTheme="minorHAnsi"/>
          <w:iCs/>
          <w:color w:val="auto"/>
          <w:szCs w:val="24"/>
        </w:rPr>
        <w:t>was agreed by all members</w:t>
      </w:r>
      <w:r w:rsidR="00455264">
        <w:rPr>
          <w:rFonts w:asciiTheme="minorHAnsi" w:hAnsiTheme="minorHAnsi"/>
          <w:iCs/>
          <w:color w:val="auto"/>
          <w:szCs w:val="24"/>
        </w:rPr>
        <w:t xml:space="preserve"> that no permanent rating recommendation over 30% could be supported in this circumstance</w:t>
      </w:r>
      <w:r w:rsidR="001F7EEE">
        <w:rPr>
          <w:rFonts w:asciiTheme="minorHAnsi" w:hAnsiTheme="minorHAnsi"/>
          <w:iCs/>
          <w:color w:val="auto"/>
          <w:szCs w:val="24"/>
        </w:rPr>
        <w:t xml:space="preserve">; but, </w:t>
      </w:r>
      <w:r w:rsidR="001F7EEE">
        <w:rPr>
          <w:rFonts w:asciiTheme="minorHAnsi" w:hAnsiTheme="minorHAnsi" w:cstheme="minorHAnsi"/>
          <w:iCs/>
          <w:color w:val="auto"/>
          <w:szCs w:val="24"/>
        </w:rPr>
        <w:t>§</w:t>
      </w:r>
      <w:r w:rsidR="001F7EEE">
        <w:rPr>
          <w:rFonts w:asciiTheme="minorHAnsi" w:hAnsiTheme="minorHAnsi"/>
          <w:iCs/>
          <w:color w:val="auto"/>
          <w:szCs w:val="24"/>
        </w:rPr>
        <w:t xml:space="preserve">4.130 ratings of 0%, 10% and </w:t>
      </w:r>
      <w:r w:rsidR="000E6DD7">
        <w:rPr>
          <w:rFonts w:asciiTheme="minorHAnsi" w:hAnsiTheme="minorHAnsi"/>
          <w:iCs/>
          <w:color w:val="auto"/>
          <w:szCs w:val="24"/>
        </w:rPr>
        <w:t>30% were deliberated.  The PEB concluded that the VASRD criteria for a</w:t>
      </w:r>
      <w:r w:rsidR="001F7EEE">
        <w:rPr>
          <w:rFonts w:asciiTheme="minorHAnsi" w:hAnsiTheme="minorHAnsi"/>
          <w:iCs/>
          <w:color w:val="auto"/>
          <w:szCs w:val="24"/>
        </w:rPr>
        <w:t xml:space="preserve"> 0% rating </w:t>
      </w:r>
      <w:r w:rsidR="008C4FF2">
        <w:rPr>
          <w:rFonts w:asciiTheme="minorHAnsi" w:hAnsiTheme="minorHAnsi"/>
          <w:iCs/>
          <w:color w:val="auto"/>
          <w:szCs w:val="24"/>
        </w:rPr>
        <w:t>were</w:t>
      </w:r>
      <w:r w:rsidR="001F7EEE">
        <w:rPr>
          <w:rFonts w:asciiTheme="minorHAnsi" w:hAnsiTheme="minorHAnsi"/>
          <w:iCs/>
          <w:color w:val="auto"/>
          <w:szCs w:val="24"/>
        </w:rPr>
        <w:t xml:space="preserve"> </w:t>
      </w:r>
      <w:r w:rsidR="000E6DD7">
        <w:rPr>
          <w:rFonts w:asciiTheme="minorHAnsi" w:hAnsiTheme="minorHAnsi"/>
          <w:iCs/>
          <w:color w:val="auto"/>
          <w:szCs w:val="24"/>
        </w:rPr>
        <w:t>met, i.e.</w:t>
      </w:r>
      <w:r w:rsidR="001F7EEE">
        <w:rPr>
          <w:rFonts w:asciiTheme="minorHAnsi" w:hAnsiTheme="minorHAnsi"/>
          <w:iCs/>
          <w:color w:val="auto"/>
          <w:szCs w:val="24"/>
        </w:rPr>
        <w:t>, “</w:t>
      </w:r>
      <w:r w:rsidR="001F7EEE" w:rsidRPr="001F7EEE">
        <w:rPr>
          <w:rFonts w:asciiTheme="minorHAnsi" w:hAnsiTheme="minorHAnsi"/>
          <w:iCs/>
          <w:color w:val="auto"/>
          <w:szCs w:val="24"/>
        </w:rPr>
        <w:t>A mental condition has been formally diagnosed, but symptoms are not severe enough either to interfere with occupational and social functioning or to require continuous medication.</w:t>
      </w:r>
      <w:r w:rsidR="001F7EEE">
        <w:rPr>
          <w:rFonts w:asciiTheme="minorHAnsi" w:hAnsiTheme="minorHAnsi"/>
          <w:iCs/>
          <w:color w:val="auto"/>
          <w:szCs w:val="24"/>
        </w:rPr>
        <w:t xml:space="preserve">”  The members agreed, however, that </w:t>
      </w:r>
      <w:r w:rsidR="00B64FAD">
        <w:rPr>
          <w:rFonts w:asciiTheme="minorHAnsi" w:hAnsiTheme="minorHAnsi"/>
          <w:iCs/>
          <w:color w:val="auto"/>
          <w:szCs w:val="24"/>
        </w:rPr>
        <w:t xml:space="preserve">the presence of active and significant symptoms as documented by the TDRL examiner (notwithstanding the cessation of medication at that point) were sufficient to overcome a conclusion that 0% was the appropriate rating.  </w:t>
      </w:r>
      <w:r w:rsidR="00E85DE4">
        <w:rPr>
          <w:rFonts w:asciiTheme="minorHAnsi" w:hAnsiTheme="minorHAnsi"/>
          <w:iCs/>
          <w:color w:val="auto"/>
          <w:szCs w:val="24"/>
        </w:rPr>
        <w:t>The deliberations settled therefore on assigning this impairment as 10% (</w:t>
      </w:r>
      <w:r w:rsidR="00E85DE4" w:rsidRPr="00E85DE4">
        <w:rPr>
          <w:rFonts w:asciiTheme="minorHAnsi" w:hAnsiTheme="minorHAnsi"/>
          <w:iCs/>
          <w:color w:val="auto"/>
          <w:szCs w:val="24"/>
        </w:rPr>
        <w:t xml:space="preserve">occupational and social impairment due to mild or </w:t>
      </w:r>
      <w:r w:rsidR="00E85DE4" w:rsidRPr="00B64FAD">
        <w:rPr>
          <w:rFonts w:asciiTheme="minorHAnsi" w:hAnsiTheme="minorHAnsi"/>
          <w:iCs/>
          <w:color w:val="auto"/>
          <w:szCs w:val="24"/>
        </w:rPr>
        <w:t>transient symptoms which decrease work efficiency) or 30% (</w:t>
      </w:r>
      <w:r w:rsidR="00E85DE4" w:rsidRPr="00B64FAD">
        <w:rPr>
          <w:color w:val="auto"/>
          <w:szCs w:val="24"/>
        </w:rPr>
        <w:t xml:space="preserve">occupational and social impairment with occasional decrease in work efficiency and intermittent periods of inability to perform occupational tasks).  </w:t>
      </w:r>
    </w:p>
    <w:p w:rsidR="00FF6CAA" w:rsidRDefault="00FF6CAA" w:rsidP="00BC7F3B">
      <w:pPr>
        <w:tabs>
          <w:tab w:val="left" w:pos="288"/>
          <w:tab w:val="left" w:pos="4752"/>
        </w:tabs>
        <w:spacing w:line="240" w:lineRule="exact"/>
        <w:jc w:val="both"/>
        <w:rPr>
          <w:color w:val="auto"/>
          <w:szCs w:val="24"/>
        </w:rPr>
      </w:pPr>
    </w:p>
    <w:p w:rsidR="00BC7F3B" w:rsidRPr="00B64FAD" w:rsidRDefault="00B64FAD" w:rsidP="00BC7F3B">
      <w:pPr>
        <w:tabs>
          <w:tab w:val="left" w:pos="288"/>
          <w:tab w:val="left" w:pos="4752"/>
        </w:tabs>
        <w:spacing w:line="240" w:lineRule="exact"/>
        <w:jc w:val="both"/>
        <w:rPr>
          <w:rFonts w:asciiTheme="minorHAnsi" w:hAnsiTheme="minorHAnsi"/>
          <w:iCs/>
          <w:color w:val="auto"/>
          <w:szCs w:val="24"/>
        </w:rPr>
      </w:pPr>
      <w:r>
        <w:rPr>
          <w:color w:val="auto"/>
          <w:szCs w:val="24"/>
        </w:rPr>
        <w:t xml:space="preserve">Although the TDRL evaluation did not provide documentation for any </w:t>
      </w:r>
      <w:r w:rsidR="00FF6CAA">
        <w:rPr>
          <w:color w:val="auto"/>
          <w:szCs w:val="24"/>
        </w:rPr>
        <w:t>“</w:t>
      </w:r>
      <w:r>
        <w:rPr>
          <w:color w:val="auto"/>
          <w:szCs w:val="24"/>
        </w:rPr>
        <w:t>decre</w:t>
      </w:r>
      <w:r w:rsidR="00FF6CAA">
        <w:rPr>
          <w:color w:val="auto"/>
          <w:szCs w:val="24"/>
        </w:rPr>
        <w:t>ase in occupational efficiency,”</w:t>
      </w:r>
      <w:r>
        <w:rPr>
          <w:color w:val="auto"/>
          <w:szCs w:val="24"/>
        </w:rPr>
        <w:t xml:space="preserve"> it could be argued from the subsequent occupational history (albeit obtained much later) that </w:t>
      </w:r>
      <w:r w:rsidR="00FF6CAA">
        <w:rPr>
          <w:color w:val="auto"/>
          <w:szCs w:val="24"/>
        </w:rPr>
        <w:t>“</w:t>
      </w:r>
      <w:r w:rsidR="00E86CE0">
        <w:rPr>
          <w:color w:val="auto"/>
          <w:szCs w:val="24"/>
        </w:rPr>
        <w:t>intermittent periods of inability</w:t>
      </w:r>
      <w:r w:rsidR="00FF6CAA">
        <w:rPr>
          <w:color w:val="auto"/>
          <w:szCs w:val="24"/>
        </w:rPr>
        <w:t>”</w:t>
      </w:r>
      <w:r w:rsidR="00E86CE0">
        <w:rPr>
          <w:color w:val="auto"/>
          <w:szCs w:val="24"/>
        </w:rPr>
        <w:t xml:space="preserve"> were still operant despite the fact that they were not captured in the snap shot encompassed by the highly probative TDRL evaluation. </w:t>
      </w:r>
      <w:r w:rsidR="00E85DE4" w:rsidRPr="00B64FAD">
        <w:rPr>
          <w:color w:val="auto"/>
          <w:szCs w:val="24"/>
        </w:rPr>
        <w:t xml:space="preserve">After these deliberations, </w:t>
      </w:r>
      <w:r w:rsidR="00BC7F3B" w:rsidRPr="00B64FAD">
        <w:rPr>
          <w:color w:val="auto"/>
          <w:szCs w:val="24"/>
        </w:rPr>
        <w:t xml:space="preserve">in the face of the real time evidence that the CI was not significantly impaired at all during the DoDI 6040.44 prescribed rating interval, </w:t>
      </w:r>
      <w:r w:rsidR="00E85DE4" w:rsidRPr="00B64FAD">
        <w:rPr>
          <w:color w:val="auto"/>
          <w:szCs w:val="24"/>
        </w:rPr>
        <w:t xml:space="preserve">it was concluded that an unacceptable degree of speculation was required to support </w:t>
      </w:r>
      <w:r w:rsidR="00BC7F3B" w:rsidRPr="00B64FAD">
        <w:rPr>
          <w:color w:val="auto"/>
          <w:szCs w:val="24"/>
        </w:rPr>
        <w:t>an</w:t>
      </w:r>
      <w:r w:rsidR="00E85DE4" w:rsidRPr="00B64FAD">
        <w:rPr>
          <w:color w:val="auto"/>
          <w:szCs w:val="24"/>
        </w:rPr>
        <w:t xml:space="preserve"> assum</w:t>
      </w:r>
      <w:r w:rsidR="00BC7F3B" w:rsidRPr="00B64FAD">
        <w:rPr>
          <w:color w:val="auto"/>
          <w:szCs w:val="24"/>
        </w:rPr>
        <w:t>ption</w:t>
      </w:r>
      <w:r w:rsidR="00E85DE4" w:rsidRPr="00B64FAD">
        <w:rPr>
          <w:color w:val="auto"/>
          <w:szCs w:val="24"/>
        </w:rPr>
        <w:t xml:space="preserve"> that any impairment more than </w:t>
      </w:r>
      <w:r w:rsidR="00FF6CAA">
        <w:rPr>
          <w:color w:val="auto"/>
          <w:szCs w:val="24"/>
        </w:rPr>
        <w:t>“</w:t>
      </w:r>
      <w:r w:rsidR="00E86CE0" w:rsidRPr="00E85DE4">
        <w:rPr>
          <w:rFonts w:asciiTheme="minorHAnsi" w:hAnsiTheme="minorHAnsi"/>
          <w:iCs/>
          <w:color w:val="auto"/>
          <w:szCs w:val="24"/>
        </w:rPr>
        <w:t xml:space="preserve">mild or </w:t>
      </w:r>
      <w:r w:rsidR="00E86CE0" w:rsidRPr="00B64FAD">
        <w:rPr>
          <w:rFonts w:asciiTheme="minorHAnsi" w:hAnsiTheme="minorHAnsi"/>
          <w:iCs/>
          <w:color w:val="auto"/>
          <w:szCs w:val="24"/>
        </w:rPr>
        <w:t>transient symptoms which decrease work efficiency</w:t>
      </w:r>
      <w:r w:rsidR="00FF6CAA">
        <w:rPr>
          <w:rFonts w:asciiTheme="minorHAnsi" w:hAnsiTheme="minorHAnsi"/>
          <w:iCs/>
          <w:color w:val="auto"/>
          <w:szCs w:val="24"/>
        </w:rPr>
        <w:t>”</w:t>
      </w:r>
      <w:r w:rsidR="00E86CE0" w:rsidRPr="00B64FAD">
        <w:rPr>
          <w:color w:val="auto"/>
          <w:szCs w:val="24"/>
        </w:rPr>
        <w:t xml:space="preserve"> </w:t>
      </w:r>
      <w:r w:rsidR="00BC7F3B" w:rsidRPr="00B64FAD">
        <w:rPr>
          <w:color w:val="auto"/>
          <w:szCs w:val="24"/>
        </w:rPr>
        <w:t>would have been present</w:t>
      </w:r>
      <w:r w:rsidR="00E85DE4" w:rsidRPr="00B64FAD">
        <w:rPr>
          <w:color w:val="auto"/>
          <w:szCs w:val="24"/>
        </w:rPr>
        <w:t>.</w:t>
      </w:r>
      <w:r w:rsidR="00BC7F3B" w:rsidRPr="00B64FAD">
        <w:rPr>
          <w:color w:val="auto"/>
          <w:szCs w:val="24"/>
        </w:rPr>
        <w:t xml:space="preserve">  </w:t>
      </w:r>
      <w:r w:rsidR="00E86CE0">
        <w:rPr>
          <w:color w:val="auto"/>
          <w:szCs w:val="24"/>
        </w:rPr>
        <w:t>It is clear from subsequent evidence that the CI did not maintain the high functioning refl</w:t>
      </w:r>
      <w:r w:rsidR="00FF6CAA">
        <w:rPr>
          <w:color w:val="auto"/>
          <w:szCs w:val="24"/>
        </w:rPr>
        <w:t>ected in the probative evidence,</w:t>
      </w:r>
      <w:r w:rsidR="00E86CE0">
        <w:rPr>
          <w:color w:val="auto"/>
          <w:szCs w:val="24"/>
        </w:rPr>
        <w:t xml:space="preserve"> but it was ultimately agreed by all members </w:t>
      </w:r>
      <w:r w:rsidR="003B3547">
        <w:rPr>
          <w:color w:val="auto"/>
          <w:szCs w:val="24"/>
        </w:rPr>
        <w:t xml:space="preserve">(after lengthy discussion) </w:t>
      </w:r>
      <w:r w:rsidR="00E86CE0">
        <w:rPr>
          <w:color w:val="auto"/>
          <w:szCs w:val="24"/>
        </w:rPr>
        <w:t xml:space="preserve">that application of that ‘crystal ball’ evidence was overly speculative, </w:t>
      </w:r>
      <w:r w:rsidR="00E86CE0">
        <w:rPr>
          <w:color w:val="auto"/>
          <w:szCs w:val="24"/>
        </w:rPr>
        <w:lastRenderedPageBreak/>
        <w:t xml:space="preserve">too far astray of DoDI 6040.44 mandates, and </w:t>
      </w:r>
      <w:r w:rsidR="003B3547">
        <w:rPr>
          <w:color w:val="auto"/>
          <w:szCs w:val="24"/>
        </w:rPr>
        <w:t xml:space="preserve">too inconsistent with the DES entitlements defined by law.  </w:t>
      </w:r>
      <w:r w:rsidR="00BC7F3B" w:rsidRPr="00B64FAD">
        <w:rPr>
          <w:rFonts w:asciiTheme="minorHAnsi" w:hAnsiTheme="minorHAnsi"/>
          <w:color w:val="auto"/>
          <w:szCs w:val="24"/>
        </w:rPr>
        <w:t xml:space="preserve">After due deliberation, considering all of the evidence and mindful of VASRD §4.3 (reasonable doubt), the Board recommends a separation rating of </w:t>
      </w:r>
      <w:r w:rsidRPr="00B64FAD">
        <w:rPr>
          <w:rFonts w:asciiTheme="minorHAnsi" w:hAnsiTheme="minorHAnsi"/>
          <w:color w:val="auto"/>
          <w:szCs w:val="24"/>
        </w:rPr>
        <w:t>10%</w:t>
      </w:r>
      <w:r w:rsidR="00BC7F3B" w:rsidRPr="00B64FAD">
        <w:rPr>
          <w:rFonts w:asciiTheme="minorHAnsi" w:hAnsiTheme="minorHAnsi"/>
          <w:color w:val="auto"/>
          <w:szCs w:val="24"/>
        </w:rPr>
        <w:t xml:space="preserve"> for the PTSD condition.</w:t>
      </w:r>
    </w:p>
    <w:p w:rsidR="003B3547" w:rsidRDefault="003B3547" w:rsidP="004835A3">
      <w:pPr>
        <w:spacing w:line="240" w:lineRule="exact"/>
        <w:jc w:val="both"/>
        <w:rPr>
          <w:rFonts w:asciiTheme="minorHAnsi" w:hAnsiTheme="minorHAnsi"/>
          <w:iCs/>
          <w:color w:val="auto"/>
          <w:szCs w:val="24"/>
        </w:rPr>
      </w:pPr>
    </w:p>
    <w:p w:rsidR="00664296" w:rsidRPr="00664296" w:rsidRDefault="00664296" w:rsidP="004835A3">
      <w:pPr>
        <w:spacing w:line="240" w:lineRule="exact"/>
        <w:jc w:val="both"/>
        <w:rPr>
          <w:rFonts w:asciiTheme="minorHAnsi" w:eastAsia="HiddenHorzOCR" w:hAnsiTheme="minorHAnsi"/>
          <w:color w:val="auto"/>
          <w:szCs w:val="24"/>
        </w:rPr>
      </w:pPr>
      <w:proofErr w:type="gramStart"/>
      <w:r w:rsidRPr="004835A3">
        <w:rPr>
          <w:rFonts w:asciiTheme="minorHAnsi" w:eastAsia="HiddenHorzOCR" w:hAnsiTheme="minorHAnsi"/>
          <w:color w:val="auto"/>
          <w:szCs w:val="24"/>
          <w:u w:val="single"/>
        </w:rPr>
        <w:t>Other PEB Conditions</w:t>
      </w:r>
      <w:r w:rsidRPr="004835A3">
        <w:rPr>
          <w:rFonts w:asciiTheme="minorHAnsi" w:eastAsia="HiddenHorzOCR" w:hAnsiTheme="minorHAnsi"/>
          <w:color w:val="auto"/>
          <w:szCs w:val="24"/>
        </w:rPr>
        <w:t>.</w:t>
      </w:r>
      <w:proofErr w:type="gramEnd"/>
      <w:r w:rsidRPr="004835A3">
        <w:rPr>
          <w:rFonts w:asciiTheme="minorHAnsi" w:eastAsia="HiddenHorzOCR" w:hAnsiTheme="minorHAnsi"/>
          <w:color w:val="auto"/>
          <w:szCs w:val="24"/>
        </w:rPr>
        <w:t xml:space="preserve"> </w:t>
      </w:r>
      <w:r w:rsidR="003B7533">
        <w:rPr>
          <w:rFonts w:asciiTheme="minorHAnsi" w:eastAsia="HiddenHorzOCR" w:hAnsiTheme="minorHAnsi"/>
          <w:color w:val="auto"/>
          <w:szCs w:val="24"/>
        </w:rPr>
        <w:t xml:space="preserve"> </w:t>
      </w:r>
      <w:r w:rsidRPr="004835A3">
        <w:rPr>
          <w:rFonts w:asciiTheme="minorHAnsi" w:eastAsia="HiddenHorzOCR" w:hAnsiTheme="minorHAnsi"/>
          <w:color w:val="auto"/>
          <w:szCs w:val="24"/>
        </w:rPr>
        <w:t xml:space="preserve">The </w:t>
      </w:r>
      <w:r w:rsidR="002579C3">
        <w:rPr>
          <w:rFonts w:asciiTheme="minorHAnsi" w:eastAsia="HiddenHorzOCR" w:hAnsiTheme="minorHAnsi"/>
          <w:color w:val="auto"/>
          <w:szCs w:val="24"/>
        </w:rPr>
        <w:t>remaining</w:t>
      </w:r>
      <w:r w:rsidRPr="004835A3">
        <w:rPr>
          <w:rFonts w:asciiTheme="minorHAnsi" w:eastAsia="HiddenHorzOCR" w:hAnsiTheme="minorHAnsi"/>
          <w:color w:val="auto"/>
          <w:szCs w:val="24"/>
        </w:rPr>
        <w:t xml:space="preserve"> condition forwarded by the MEB and adjudicated as not unfitting by the PEB </w:t>
      </w:r>
      <w:r w:rsidR="006A38E6" w:rsidRPr="004835A3">
        <w:rPr>
          <w:rFonts w:asciiTheme="minorHAnsi" w:eastAsia="HiddenHorzOCR" w:hAnsiTheme="minorHAnsi"/>
          <w:color w:val="auto"/>
          <w:szCs w:val="24"/>
        </w:rPr>
        <w:t xml:space="preserve">was </w:t>
      </w:r>
      <w:r w:rsidR="00EA19F3" w:rsidRPr="004835A3">
        <w:rPr>
          <w:rFonts w:asciiTheme="minorHAnsi" w:eastAsia="HiddenHorzOCR" w:hAnsiTheme="minorHAnsi"/>
          <w:color w:val="auto"/>
          <w:szCs w:val="24"/>
        </w:rPr>
        <w:t xml:space="preserve">chronic right hand pain.  </w:t>
      </w:r>
      <w:r w:rsidR="00EB13B2" w:rsidRPr="004835A3">
        <w:rPr>
          <w:rFonts w:asciiTheme="minorHAnsi" w:hAnsiTheme="minorHAnsi"/>
          <w:color w:val="auto"/>
          <w:szCs w:val="24"/>
        </w:rPr>
        <w:t>The Board’s main charge in respect to th</w:t>
      </w:r>
      <w:r w:rsidR="00D50D56" w:rsidRPr="004835A3">
        <w:rPr>
          <w:rFonts w:asciiTheme="minorHAnsi" w:hAnsiTheme="minorHAnsi"/>
          <w:color w:val="auto"/>
          <w:szCs w:val="24"/>
        </w:rPr>
        <w:t>is condition</w:t>
      </w:r>
      <w:r w:rsidR="00EB13B2" w:rsidRPr="004835A3">
        <w:rPr>
          <w:rFonts w:asciiTheme="minorHAnsi" w:hAnsiTheme="minorHAnsi"/>
          <w:color w:val="auto"/>
          <w:szCs w:val="24"/>
        </w:rPr>
        <w:t xml:space="preserve"> is an assessment of the appropriateness of the PEB’s fitness adjudication.  The Board’s threshold for countering DES fitness determinations is higher than the VASRD §4.3 (reasonable doubt) standard used for its rating recommendations, but remains adherent to the DoDI 6040.44 “fair and equitable” standard.  </w:t>
      </w:r>
      <w:r w:rsidR="00EA19F3" w:rsidRPr="004835A3">
        <w:rPr>
          <w:rFonts w:asciiTheme="minorHAnsi" w:eastAsia="HiddenHorzOCR" w:hAnsiTheme="minorHAnsi"/>
          <w:color w:val="auto"/>
          <w:szCs w:val="24"/>
        </w:rPr>
        <w:t>There was little re</w:t>
      </w:r>
      <w:r w:rsidR="00E874E1">
        <w:rPr>
          <w:rFonts w:asciiTheme="minorHAnsi" w:eastAsia="HiddenHorzOCR" w:hAnsiTheme="minorHAnsi"/>
          <w:color w:val="auto"/>
          <w:szCs w:val="24"/>
        </w:rPr>
        <w:t>lated to this condition in the S</w:t>
      </w:r>
      <w:r w:rsidR="00EA19F3" w:rsidRPr="004835A3">
        <w:rPr>
          <w:rFonts w:asciiTheme="minorHAnsi" w:eastAsia="HiddenHorzOCR" w:hAnsiTheme="minorHAnsi"/>
          <w:color w:val="auto"/>
          <w:szCs w:val="24"/>
        </w:rPr>
        <w:t>ervice treatment record</w:t>
      </w:r>
      <w:r w:rsidR="002579C3">
        <w:rPr>
          <w:rFonts w:asciiTheme="minorHAnsi" w:eastAsia="HiddenHorzOCR" w:hAnsiTheme="minorHAnsi"/>
          <w:color w:val="auto"/>
          <w:szCs w:val="24"/>
        </w:rPr>
        <w:t>,</w:t>
      </w:r>
      <w:r w:rsidR="00D50D56" w:rsidRPr="004835A3">
        <w:rPr>
          <w:rFonts w:asciiTheme="minorHAnsi" w:eastAsia="HiddenHorzOCR" w:hAnsiTheme="minorHAnsi"/>
          <w:color w:val="auto"/>
          <w:szCs w:val="24"/>
        </w:rPr>
        <w:t xml:space="preserve"> and it was </w:t>
      </w:r>
      <w:r w:rsidR="00EA19F3" w:rsidRPr="004835A3">
        <w:rPr>
          <w:rFonts w:asciiTheme="minorHAnsi" w:eastAsia="HiddenHorzOCR" w:hAnsiTheme="minorHAnsi"/>
          <w:color w:val="auto"/>
          <w:szCs w:val="24"/>
        </w:rPr>
        <w:t xml:space="preserve">not </w:t>
      </w:r>
      <w:r w:rsidR="003B7533">
        <w:rPr>
          <w:rFonts w:asciiTheme="minorHAnsi" w:eastAsia="HiddenHorzOCR" w:hAnsiTheme="minorHAnsi"/>
          <w:color w:val="auto"/>
          <w:szCs w:val="24"/>
        </w:rPr>
        <w:t xml:space="preserve">identified by the CI </w:t>
      </w:r>
      <w:r w:rsidR="00EA19F3" w:rsidRPr="004835A3">
        <w:rPr>
          <w:rFonts w:asciiTheme="minorHAnsi" w:eastAsia="HiddenHorzOCR" w:hAnsiTheme="minorHAnsi"/>
          <w:color w:val="auto"/>
          <w:szCs w:val="24"/>
        </w:rPr>
        <w:t xml:space="preserve">as an issue on the MEB discharge physical.  </w:t>
      </w:r>
      <w:r w:rsidR="004835A3" w:rsidRPr="004835A3">
        <w:rPr>
          <w:rFonts w:asciiTheme="minorHAnsi" w:eastAsia="HiddenHorzOCR" w:hAnsiTheme="minorHAnsi"/>
          <w:color w:val="auto"/>
          <w:szCs w:val="24"/>
        </w:rPr>
        <w:t xml:space="preserve">It was mentioned </w:t>
      </w:r>
      <w:r w:rsidR="003B7533">
        <w:rPr>
          <w:rFonts w:asciiTheme="minorHAnsi" w:eastAsia="HiddenHorzOCR" w:hAnsiTheme="minorHAnsi"/>
          <w:color w:val="auto"/>
          <w:szCs w:val="24"/>
        </w:rPr>
        <w:t>by the MEB</w:t>
      </w:r>
      <w:r w:rsidR="002579C3">
        <w:rPr>
          <w:rFonts w:asciiTheme="minorHAnsi" w:eastAsia="HiddenHorzOCR" w:hAnsiTheme="minorHAnsi"/>
          <w:color w:val="auto"/>
          <w:szCs w:val="24"/>
        </w:rPr>
        <w:t>’s</w:t>
      </w:r>
      <w:r w:rsidR="003B7533">
        <w:rPr>
          <w:rFonts w:asciiTheme="minorHAnsi" w:eastAsia="HiddenHorzOCR" w:hAnsiTheme="minorHAnsi"/>
          <w:color w:val="auto"/>
          <w:szCs w:val="24"/>
        </w:rPr>
        <w:t xml:space="preserve"> NARSUM examiner </w:t>
      </w:r>
      <w:r w:rsidR="004835A3" w:rsidRPr="004835A3">
        <w:rPr>
          <w:rFonts w:asciiTheme="minorHAnsi" w:eastAsia="HiddenHorzOCR" w:hAnsiTheme="minorHAnsi"/>
          <w:color w:val="auto"/>
          <w:szCs w:val="24"/>
        </w:rPr>
        <w:t>that an orthopedic evaluation would be obtained</w:t>
      </w:r>
      <w:r w:rsidR="003B7533">
        <w:rPr>
          <w:rFonts w:asciiTheme="minorHAnsi" w:eastAsia="HiddenHorzOCR" w:hAnsiTheme="minorHAnsi"/>
          <w:color w:val="auto"/>
          <w:szCs w:val="24"/>
        </w:rPr>
        <w:t>,</w:t>
      </w:r>
      <w:r w:rsidR="004835A3" w:rsidRPr="004835A3">
        <w:rPr>
          <w:rFonts w:asciiTheme="minorHAnsi" w:eastAsia="HiddenHorzOCR" w:hAnsiTheme="minorHAnsi"/>
          <w:color w:val="auto"/>
          <w:szCs w:val="24"/>
        </w:rPr>
        <w:t xml:space="preserve"> but there is no evidence that this was done.  </w:t>
      </w:r>
      <w:r w:rsidR="00EA19F3" w:rsidRPr="004835A3">
        <w:rPr>
          <w:rFonts w:asciiTheme="minorHAnsi" w:eastAsia="HiddenHorzOCR" w:hAnsiTheme="minorHAnsi"/>
          <w:color w:val="auto"/>
          <w:szCs w:val="24"/>
        </w:rPr>
        <w:t xml:space="preserve">The VA </w:t>
      </w:r>
      <w:r w:rsidR="004835A3" w:rsidRPr="004835A3">
        <w:rPr>
          <w:rFonts w:asciiTheme="minorHAnsi" w:eastAsia="HiddenHorzOCR" w:hAnsiTheme="minorHAnsi"/>
          <w:color w:val="auto"/>
          <w:szCs w:val="24"/>
        </w:rPr>
        <w:t xml:space="preserve">examiner </w:t>
      </w:r>
      <w:r w:rsidR="002579C3">
        <w:rPr>
          <w:rFonts w:asciiTheme="minorHAnsi" w:eastAsia="HiddenHorzOCR" w:hAnsiTheme="minorHAnsi"/>
          <w:color w:val="auto"/>
          <w:szCs w:val="24"/>
        </w:rPr>
        <w:t>proximate to TDRL placement</w:t>
      </w:r>
      <w:r w:rsidR="00EB13B2" w:rsidRPr="004835A3">
        <w:rPr>
          <w:rFonts w:asciiTheme="minorHAnsi" w:eastAsia="HiddenHorzOCR" w:hAnsiTheme="minorHAnsi"/>
          <w:color w:val="auto"/>
          <w:szCs w:val="24"/>
        </w:rPr>
        <w:t xml:space="preserve"> commented that the</w:t>
      </w:r>
      <w:r w:rsidR="002579C3">
        <w:rPr>
          <w:rFonts w:asciiTheme="minorHAnsi" w:eastAsia="HiddenHorzOCR" w:hAnsiTheme="minorHAnsi"/>
          <w:color w:val="auto"/>
          <w:szCs w:val="24"/>
        </w:rPr>
        <w:t>re was</w:t>
      </w:r>
      <w:r w:rsidR="00EB13B2" w:rsidRPr="004835A3">
        <w:rPr>
          <w:rFonts w:asciiTheme="minorHAnsi" w:eastAsia="HiddenHorzOCR" w:hAnsiTheme="minorHAnsi"/>
          <w:color w:val="auto"/>
          <w:szCs w:val="24"/>
        </w:rPr>
        <w:t xml:space="preserve"> </w:t>
      </w:r>
      <w:r w:rsidR="002579C3" w:rsidRPr="004835A3">
        <w:rPr>
          <w:rFonts w:asciiTheme="minorHAnsi" w:eastAsia="HiddenHorzOCR" w:hAnsiTheme="minorHAnsi"/>
          <w:color w:val="auto"/>
          <w:szCs w:val="24"/>
        </w:rPr>
        <w:t xml:space="preserve">insufficient </w:t>
      </w:r>
      <w:r w:rsidR="00EB13B2" w:rsidRPr="004835A3">
        <w:rPr>
          <w:rFonts w:asciiTheme="minorHAnsi" w:eastAsia="HiddenHorzOCR" w:hAnsiTheme="minorHAnsi"/>
          <w:color w:val="auto"/>
          <w:szCs w:val="24"/>
        </w:rPr>
        <w:t xml:space="preserve">evidence to warrant a </w:t>
      </w:r>
      <w:r w:rsidR="008C4FF2">
        <w:rPr>
          <w:rFonts w:asciiTheme="minorHAnsi" w:eastAsia="HiddenHorzOCR" w:hAnsiTheme="minorHAnsi"/>
          <w:color w:val="auto"/>
          <w:szCs w:val="24"/>
        </w:rPr>
        <w:t xml:space="preserve">specific </w:t>
      </w:r>
      <w:r w:rsidR="00EB13B2" w:rsidRPr="004835A3">
        <w:rPr>
          <w:rFonts w:asciiTheme="minorHAnsi" w:eastAsia="HiddenHorzOCR" w:hAnsiTheme="minorHAnsi"/>
          <w:color w:val="auto"/>
          <w:szCs w:val="24"/>
        </w:rPr>
        <w:t>diagnosis</w:t>
      </w:r>
      <w:r w:rsidR="002579C3">
        <w:rPr>
          <w:rFonts w:asciiTheme="minorHAnsi" w:eastAsia="HiddenHorzOCR" w:hAnsiTheme="minorHAnsi"/>
          <w:color w:val="auto"/>
          <w:szCs w:val="24"/>
        </w:rPr>
        <w:t xml:space="preserve">; and, the VA </w:t>
      </w:r>
      <w:r w:rsidR="008C4FF2">
        <w:rPr>
          <w:rFonts w:asciiTheme="minorHAnsi" w:eastAsia="HiddenHorzOCR" w:hAnsiTheme="minorHAnsi"/>
          <w:color w:val="auto"/>
          <w:szCs w:val="24"/>
        </w:rPr>
        <w:t xml:space="preserve">therefore </w:t>
      </w:r>
      <w:r w:rsidR="00E874E1">
        <w:rPr>
          <w:rFonts w:asciiTheme="minorHAnsi" w:eastAsia="HiddenHorzOCR" w:hAnsiTheme="minorHAnsi"/>
          <w:color w:val="auto"/>
          <w:szCs w:val="24"/>
        </w:rPr>
        <w:t>did not rate or S</w:t>
      </w:r>
      <w:r w:rsidR="003B3547">
        <w:rPr>
          <w:rFonts w:asciiTheme="minorHAnsi" w:eastAsia="HiddenHorzOCR" w:hAnsiTheme="minorHAnsi"/>
          <w:color w:val="auto"/>
          <w:szCs w:val="24"/>
        </w:rPr>
        <w:t>ervice-</w:t>
      </w:r>
      <w:r w:rsidR="002579C3">
        <w:rPr>
          <w:rFonts w:asciiTheme="minorHAnsi" w:eastAsia="HiddenHorzOCR" w:hAnsiTheme="minorHAnsi"/>
          <w:color w:val="auto"/>
          <w:szCs w:val="24"/>
        </w:rPr>
        <w:t>connect the condition</w:t>
      </w:r>
      <w:r w:rsidR="00EB13B2" w:rsidRPr="004835A3">
        <w:rPr>
          <w:rFonts w:asciiTheme="minorHAnsi" w:eastAsia="HiddenHorzOCR" w:hAnsiTheme="minorHAnsi"/>
          <w:color w:val="auto"/>
          <w:szCs w:val="24"/>
        </w:rPr>
        <w:t xml:space="preserve">.  </w:t>
      </w:r>
      <w:r w:rsidR="002579C3">
        <w:rPr>
          <w:rFonts w:asciiTheme="minorHAnsi" w:eastAsia="HiddenHorzOCR" w:hAnsiTheme="minorHAnsi"/>
          <w:color w:val="auto"/>
          <w:szCs w:val="24"/>
        </w:rPr>
        <w:t>The</w:t>
      </w:r>
      <w:r w:rsidR="00EB13B2" w:rsidRPr="004835A3">
        <w:rPr>
          <w:rFonts w:asciiTheme="minorHAnsi" w:eastAsia="HiddenHorzOCR" w:hAnsiTheme="minorHAnsi"/>
          <w:color w:val="auto"/>
          <w:szCs w:val="24"/>
        </w:rPr>
        <w:t xml:space="preserve"> condition was not </w:t>
      </w:r>
      <w:r w:rsidRPr="004835A3">
        <w:rPr>
          <w:rFonts w:asciiTheme="minorHAnsi" w:eastAsia="HiddenHorzOCR" w:hAnsiTheme="minorHAnsi"/>
          <w:color w:val="auto"/>
          <w:szCs w:val="24"/>
        </w:rPr>
        <w:t xml:space="preserve">profiled, implicated in the </w:t>
      </w:r>
      <w:r w:rsidR="00FF6CAA">
        <w:rPr>
          <w:rFonts w:asciiTheme="minorHAnsi" w:eastAsia="HiddenHorzOCR" w:hAnsiTheme="minorHAnsi"/>
          <w:color w:val="auto"/>
          <w:szCs w:val="24"/>
        </w:rPr>
        <w:t>c</w:t>
      </w:r>
      <w:r w:rsidRPr="004835A3">
        <w:rPr>
          <w:rFonts w:asciiTheme="minorHAnsi" w:eastAsia="HiddenHorzOCR" w:hAnsiTheme="minorHAnsi"/>
          <w:color w:val="auto"/>
          <w:szCs w:val="24"/>
        </w:rPr>
        <w:t>ommander’s statement</w:t>
      </w:r>
      <w:r w:rsidR="00EB13B2" w:rsidRPr="004835A3">
        <w:rPr>
          <w:rFonts w:asciiTheme="minorHAnsi" w:eastAsia="HiddenHorzOCR" w:hAnsiTheme="minorHAnsi"/>
          <w:color w:val="auto"/>
          <w:szCs w:val="24"/>
        </w:rPr>
        <w:t xml:space="preserve">, </w:t>
      </w:r>
      <w:r w:rsidRPr="004835A3">
        <w:rPr>
          <w:rFonts w:asciiTheme="minorHAnsi" w:eastAsia="HiddenHorzOCR" w:hAnsiTheme="minorHAnsi"/>
          <w:color w:val="auto"/>
          <w:szCs w:val="24"/>
        </w:rPr>
        <w:t>or noted as failing retention standards</w:t>
      </w:r>
      <w:r w:rsidR="00464A54">
        <w:rPr>
          <w:rFonts w:asciiTheme="minorHAnsi" w:eastAsia="HiddenHorzOCR" w:hAnsiTheme="minorHAnsi"/>
          <w:color w:val="auto"/>
          <w:szCs w:val="24"/>
        </w:rPr>
        <w:t xml:space="preserve">; and, </w:t>
      </w:r>
      <w:r w:rsidR="004835A3" w:rsidRPr="004835A3">
        <w:rPr>
          <w:rFonts w:asciiTheme="minorHAnsi" w:eastAsia="HiddenHorzOCR" w:hAnsiTheme="minorHAnsi"/>
          <w:color w:val="auto"/>
          <w:szCs w:val="24"/>
        </w:rPr>
        <w:t xml:space="preserve">the CI </w:t>
      </w:r>
      <w:r w:rsidR="00EB13B2" w:rsidRPr="004835A3">
        <w:rPr>
          <w:rFonts w:asciiTheme="minorHAnsi" w:eastAsia="HiddenHorzOCR" w:hAnsiTheme="minorHAnsi"/>
          <w:color w:val="auto"/>
          <w:szCs w:val="24"/>
        </w:rPr>
        <w:t>successful</w:t>
      </w:r>
      <w:r w:rsidR="004835A3" w:rsidRPr="004835A3">
        <w:rPr>
          <w:rFonts w:asciiTheme="minorHAnsi" w:eastAsia="HiddenHorzOCR" w:hAnsiTheme="minorHAnsi"/>
          <w:color w:val="auto"/>
          <w:szCs w:val="24"/>
        </w:rPr>
        <w:t>ly complete</w:t>
      </w:r>
      <w:r w:rsidR="00464A54">
        <w:rPr>
          <w:rFonts w:asciiTheme="minorHAnsi" w:eastAsia="HiddenHorzOCR" w:hAnsiTheme="minorHAnsi"/>
          <w:color w:val="auto"/>
          <w:szCs w:val="24"/>
        </w:rPr>
        <w:t>d</w:t>
      </w:r>
      <w:r w:rsidR="004835A3" w:rsidRPr="004835A3">
        <w:rPr>
          <w:rFonts w:asciiTheme="minorHAnsi" w:eastAsia="HiddenHorzOCR" w:hAnsiTheme="minorHAnsi"/>
          <w:color w:val="auto"/>
          <w:szCs w:val="24"/>
        </w:rPr>
        <w:t xml:space="preserve"> </w:t>
      </w:r>
      <w:r w:rsidR="00EB13B2" w:rsidRPr="004835A3">
        <w:rPr>
          <w:rFonts w:asciiTheme="minorHAnsi" w:eastAsia="HiddenHorzOCR" w:hAnsiTheme="minorHAnsi"/>
          <w:color w:val="auto"/>
          <w:szCs w:val="24"/>
        </w:rPr>
        <w:t>the Army Physical Fitness Test</w:t>
      </w:r>
      <w:r w:rsidR="00464A54">
        <w:rPr>
          <w:rFonts w:asciiTheme="minorHAnsi" w:eastAsia="HiddenHorzOCR" w:hAnsiTheme="minorHAnsi"/>
          <w:color w:val="auto"/>
          <w:szCs w:val="24"/>
        </w:rPr>
        <w:t xml:space="preserve"> during the MEB period</w:t>
      </w:r>
      <w:r w:rsidR="00EB13B2" w:rsidRPr="004835A3">
        <w:rPr>
          <w:rFonts w:asciiTheme="minorHAnsi" w:eastAsia="HiddenHorzOCR" w:hAnsiTheme="minorHAnsi"/>
          <w:color w:val="auto"/>
          <w:szCs w:val="24"/>
        </w:rPr>
        <w:t xml:space="preserve">.  This condition was reviewed by the </w:t>
      </w:r>
      <w:r w:rsidR="00FF6CAA">
        <w:rPr>
          <w:rFonts w:asciiTheme="minorHAnsi" w:eastAsia="HiddenHorzOCR" w:hAnsiTheme="minorHAnsi"/>
          <w:color w:val="auto"/>
          <w:szCs w:val="24"/>
        </w:rPr>
        <w:t>a</w:t>
      </w:r>
      <w:r w:rsidR="00EB13B2" w:rsidRPr="004835A3">
        <w:rPr>
          <w:rFonts w:asciiTheme="minorHAnsi" w:eastAsia="HiddenHorzOCR" w:hAnsiTheme="minorHAnsi"/>
          <w:color w:val="auto"/>
          <w:szCs w:val="24"/>
        </w:rPr>
        <w:t xml:space="preserve">ction </w:t>
      </w:r>
      <w:r w:rsidR="00FF6CAA">
        <w:rPr>
          <w:rFonts w:asciiTheme="minorHAnsi" w:eastAsia="HiddenHorzOCR" w:hAnsiTheme="minorHAnsi"/>
          <w:color w:val="auto"/>
          <w:szCs w:val="24"/>
        </w:rPr>
        <w:t>o</w:t>
      </w:r>
      <w:r w:rsidRPr="004835A3">
        <w:rPr>
          <w:rFonts w:asciiTheme="minorHAnsi" w:eastAsia="HiddenHorzOCR" w:hAnsiTheme="minorHAnsi"/>
          <w:color w:val="auto"/>
          <w:szCs w:val="24"/>
        </w:rPr>
        <w:t xml:space="preserve">fficer and considered by the Board.  There was no indication from the record that </w:t>
      </w:r>
      <w:r w:rsidR="00EB13B2" w:rsidRPr="004835A3">
        <w:rPr>
          <w:rFonts w:asciiTheme="minorHAnsi" w:eastAsia="HiddenHorzOCR" w:hAnsiTheme="minorHAnsi"/>
          <w:color w:val="auto"/>
          <w:szCs w:val="24"/>
        </w:rPr>
        <w:t xml:space="preserve">it </w:t>
      </w:r>
      <w:r w:rsidRPr="004835A3">
        <w:rPr>
          <w:rFonts w:asciiTheme="minorHAnsi" w:eastAsia="HiddenHorzOCR" w:hAnsiTheme="minorHAnsi"/>
          <w:color w:val="auto"/>
          <w:szCs w:val="24"/>
        </w:rPr>
        <w:t>significantly interfered with satisfactory performance of MOS</w:t>
      </w:r>
      <w:r w:rsidR="00EB13B2" w:rsidRPr="004835A3">
        <w:rPr>
          <w:rFonts w:asciiTheme="minorHAnsi" w:eastAsia="HiddenHorzOCR" w:hAnsiTheme="minorHAnsi"/>
          <w:color w:val="auto"/>
          <w:szCs w:val="24"/>
        </w:rPr>
        <w:t xml:space="preserve"> </w:t>
      </w:r>
      <w:r w:rsidRPr="004835A3">
        <w:rPr>
          <w:rFonts w:asciiTheme="minorHAnsi" w:eastAsia="HiddenHorzOCR" w:hAnsiTheme="minorHAnsi"/>
          <w:color w:val="auto"/>
          <w:szCs w:val="24"/>
        </w:rPr>
        <w:t>duty requirements.  All evidence considered</w:t>
      </w:r>
      <w:proofErr w:type="gramStart"/>
      <w:r w:rsidRPr="004835A3">
        <w:rPr>
          <w:rFonts w:asciiTheme="minorHAnsi" w:eastAsia="HiddenHorzOCR" w:hAnsiTheme="minorHAnsi"/>
          <w:color w:val="auto"/>
          <w:szCs w:val="24"/>
        </w:rPr>
        <w:t>,</w:t>
      </w:r>
      <w:proofErr w:type="gramEnd"/>
      <w:r w:rsidRPr="004835A3">
        <w:rPr>
          <w:rFonts w:asciiTheme="minorHAnsi" w:eastAsia="HiddenHorzOCR" w:hAnsiTheme="minorHAnsi"/>
          <w:color w:val="auto"/>
          <w:szCs w:val="24"/>
        </w:rPr>
        <w:t xml:space="preserve"> there is not reasonable doubt in the CI’s favor supporting </w:t>
      </w:r>
      <w:r w:rsidR="00464A54">
        <w:rPr>
          <w:rFonts w:asciiTheme="minorHAnsi" w:eastAsia="HiddenHorzOCR" w:hAnsiTheme="minorHAnsi"/>
          <w:color w:val="auto"/>
          <w:szCs w:val="24"/>
        </w:rPr>
        <w:t>a change in</w:t>
      </w:r>
      <w:r w:rsidRPr="004835A3">
        <w:rPr>
          <w:rFonts w:asciiTheme="minorHAnsi" w:eastAsia="HiddenHorzOCR" w:hAnsiTheme="minorHAnsi"/>
          <w:color w:val="auto"/>
          <w:szCs w:val="24"/>
        </w:rPr>
        <w:t xml:space="preserve"> the PEB fitness adjudication for </w:t>
      </w:r>
      <w:r w:rsidR="004835A3" w:rsidRPr="004835A3">
        <w:rPr>
          <w:rFonts w:asciiTheme="minorHAnsi" w:eastAsia="HiddenHorzOCR" w:hAnsiTheme="minorHAnsi"/>
          <w:color w:val="auto"/>
          <w:szCs w:val="24"/>
        </w:rPr>
        <w:t xml:space="preserve">the right hand </w:t>
      </w:r>
      <w:r w:rsidRPr="004835A3">
        <w:rPr>
          <w:rFonts w:asciiTheme="minorHAnsi" w:eastAsia="HiddenHorzOCR" w:hAnsiTheme="minorHAnsi"/>
          <w:color w:val="auto"/>
          <w:szCs w:val="24"/>
        </w:rPr>
        <w:t>condition.</w:t>
      </w:r>
    </w:p>
    <w:p w:rsidR="00664296" w:rsidRPr="00664296" w:rsidRDefault="00664296" w:rsidP="00664296">
      <w:pPr>
        <w:spacing w:line="240" w:lineRule="exact"/>
        <w:jc w:val="both"/>
        <w:rPr>
          <w:rFonts w:asciiTheme="minorHAnsi" w:eastAsia="HiddenHorzOCR" w:hAnsiTheme="minorHAnsi"/>
          <w:color w:val="auto"/>
          <w:szCs w:val="24"/>
        </w:rPr>
      </w:pPr>
    </w:p>
    <w:p w:rsidR="00EB13B2" w:rsidRDefault="00664296" w:rsidP="00725516">
      <w:pPr>
        <w:spacing w:line="240" w:lineRule="exact"/>
        <w:jc w:val="both"/>
        <w:rPr>
          <w:rFonts w:asciiTheme="minorHAnsi" w:hAnsiTheme="minorHAnsi"/>
          <w:color w:val="auto"/>
          <w:szCs w:val="24"/>
        </w:rPr>
      </w:pPr>
      <w:r w:rsidRPr="00664296">
        <w:rPr>
          <w:rFonts w:asciiTheme="minorHAnsi" w:hAnsiTheme="minorHAnsi"/>
          <w:color w:val="auto"/>
          <w:szCs w:val="24"/>
          <w:u w:val="single"/>
        </w:rPr>
        <w:t>Remaining Conditions</w:t>
      </w:r>
      <w:r w:rsidRPr="00664296">
        <w:rPr>
          <w:rFonts w:asciiTheme="minorHAnsi" w:hAnsiTheme="minorHAnsi"/>
          <w:color w:val="auto"/>
          <w:szCs w:val="24"/>
        </w:rPr>
        <w:t>.</w:t>
      </w:r>
      <w:r w:rsidR="00EB13B2">
        <w:rPr>
          <w:rFonts w:asciiTheme="minorHAnsi" w:hAnsiTheme="minorHAnsi"/>
          <w:color w:val="auto"/>
          <w:szCs w:val="24"/>
        </w:rPr>
        <w:t xml:space="preserve">  </w:t>
      </w:r>
      <w:r w:rsidR="00EB13B2" w:rsidRPr="00664296">
        <w:rPr>
          <w:rFonts w:asciiTheme="minorHAnsi" w:hAnsiTheme="minorHAnsi"/>
          <w:color w:val="auto"/>
          <w:szCs w:val="24"/>
        </w:rPr>
        <w:t xml:space="preserve">No other conditions were noted in the NARSUM, identified by the CI on the MEB physical or found elsewhere in the DES file.  </w:t>
      </w:r>
      <w:r w:rsidR="00464A54">
        <w:rPr>
          <w:rFonts w:asciiTheme="minorHAnsi" w:hAnsiTheme="minorHAnsi"/>
          <w:color w:val="auto"/>
          <w:szCs w:val="24"/>
        </w:rPr>
        <w:t>L</w:t>
      </w:r>
      <w:r w:rsidR="003F051D">
        <w:rPr>
          <w:rFonts w:asciiTheme="minorHAnsi" w:hAnsiTheme="minorHAnsi"/>
          <w:color w:val="auto"/>
          <w:szCs w:val="24"/>
        </w:rPr>
        <w:t xml:space="preserve">umbosacral strain, </w:t>
      </w:r>
      <w:r w:rsidR="00725516">
        <w:rPr>
          <w:rFonts w:asciiTheme="minorHAnsi" w:hAnsiTheme="minorHAnsi"/>
          <w:color w:val="auto"/>
          <w:szCs w:val="24"/>
        </w:rPr>
        <w:t xml:space="preserve">gastroesophageal reflux </w:t>
      </w:r>
      <w:r w:rsidR="004835A3">
        <w:rPr>
          <w:rFonts w:asciiTheme="minorHAnsi" w:hAnsiTheme="minorHAnsi"/>
          <w:color w:val="auto"/>
          <w:szCs w:val="24"/>
        </w:rPr>
        <w:t>disease</w:t>
      </w:r>
      <w:r w:rsidR="003F051D">
        <w:rPr>
          <w:rFonts w:asciiTheme="minorHAnsi" w:hAnsiTheme="minorHAnsi"/>
          <w:color w:val="auto"/>
          <w:szCs w:val="24"/>
        </w:rPr>
        <w:t>,</w:t>
      </w:r>
      <w:r w:rsidR="004835A3">
        <w:rPr>
          <w:rFonts w:asciiTheme="minorHAnsi" w:hAnsiTheme="minorHAnsi"/>
          <w:color w:val="auto"/>
          <w:szCs w:val="24"/>
        </w:rPr>
        <w:t xml:space="preserve"> </w:t>
      </w:r>
      <w:r w:rsidR="00725516">
        <w:rPr>
          <w:rFonts w:asciiTheme="minorHAnsi" w:hAnsiTheme="minorHAnsi"/>
          <w:color w:val="auto"/>
          <w:szCs w:val="24"/>
        </w:rPr>
        <w:t>a</w:t>
      </w:r>
      <w:r w:rsidR="00725516" w:rsidRPr="00664296">
        <w:rPr>
          <w:rFonts w:asciiTheme="minorHAnsi" w:hAnsiTheme="minorHAnsi"/>
          <w:color w:val="auto"/>
          <w:szCs w:val="24"/>
        </w:rPr>
        <w:t xml:space="preserve">nd several other non-acute conditions were noted in the VA rating decision </w:t>
      </w:r>
      <w:r w:rsidR="003B7533">
        <w:rPr>
          <w:rFonts w:asciiTheme="minorHAnsi" w:hAnsiTheme="minorHAnsi"/>
          <w:color w:val="auto"/>
          <w:szCs w:val="24"/>
        </w:rPr>
        <w:t>proximal to TDRL</w:t>
      </w:r>
      <w:r w:rsidR="00464A54">
        <w:rPr>
          <w:rFonts w:asciiTheme="minorHAnsi" w:hAnsiTheme="minorHAnsi"/>
          <w:color w:val="auto"/>
          <w:szCs w:val="24"/>
        </w:rPr>
        <w:t xml:space="preserve"> placement</w:t>
      </w:r>
      <w:r w:rsidR="00725516" w:rsidRPr="00664296">
        <w:rPr>
          <w:rFonts w:asciiTheme="minorHAnsi" w:hAnsiTheme="minorHAnsi"/>
          <w:color w:val="auto"/>
          <w:szCs w:val="24"/>
        </w:rPr>
        <w:t xml:space="preserve">, but were not documented in the DES file.  </w:t>
      </w:r>
      <w:r w:rsidR="00EB13B2" w:rsidRPr="00664296">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r w:rsidRPr="00664296">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64296" w:rsidRPr="00664296" w:rsidRDefault="00C56FC8" w:rsidP="004835A3">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w:t>
      </w:r>
      <w:r w:rsidRPr="003B3547">
        <w:rPr>
          <w:rFonts w:asciiTheme="minorHAnsi" w:eastAsiaTheme="minorHAnsi" w:hAnsiTheme="minorHAnsi"/>
          <w:color w:val="auto"/>
          <w:szCs w:val="24"/>
        </w:rPr>
        <w:t>the PEB will not be considered by the Board to the extent they were inconsistent with the VASRD in effect at the time of the adjudication.</w:t>
      </w:r>
      <w:r w:rsidR="00725516" w:rsidRPr="003B3547">
        <w:rPr>
          <w:rFonts w:asciiTheme="minorHAnsi" w:eastAsiaTheme="minorHAnsi" w:hAnsiTheme="minorHAnsi"/>
          <w:color w:val="auto"/>
          <w:szCs w:val="24"/>
        </w:rPr>
        <w:t xml:space="preserve">  </w:t>
      </w:r>
      <w:r w:rsidR="000E6DD7" w:rsidRPr="003B3547">
        <w:rPr>
          <w:rFonts w:asciiTheme="minorHAnsi" w:eastAsiaTheme="minorHAnsi" w:hAnsiTheme="minorHAnsi"/>
          <w:color w:val="auto"/>
          <w:szCs w:val="24"/>
        </w:rPr>
        <w:t xml:space="preserve">Although the PEB invoked DoDI 1332.39 language for its TDRL rating of PTSD, no prerogatives outside the VASRD were exercised for its permanent rating determination.  </w:t>
      </w:r>
      <w:r w:rsidR="00725516" w:rsidRPr="003B3547">
        <w:rPr>
          <w:rFonts w:asciiTheme="minorHAnsi" w:hAnsiTheme="minorHAnsi"/>
          <w:color w:val="auto"/>
          <w:szCs w:val="24"/>
        </w:rPr>
        <w:t xml:space="preserve">In the matter of the </w:t>
      </w:r>
      <w:r w:rsidR="000E6DD7" w:rsidRPr="003B3547">
        <w:rPr>
          <w:color w:val="auto"/>
          <w:szCs w:val="24"/>
        </w:rPr>
        <w:t>posttraumatic stress disorder</w:t>
      </w:r>
      <w:r w:rsidR="00725516" w:rsidRPr="003B3547">
        <w:rPr>
          <w:rFonts w:asciiTheme="minorHAnsi" w:hAnsiTheme="minorHAnsi"/>
          <w:color w:val="auto"/>
          <w:szCs w:val="24"/>
        </w:rPr>
        <w:t xml:space="preserve">, the Board </w:t>
      </w:r>
      <w:r w:rsidR="00725516" w:rsidRPr="003B3547">
        <w:rPr>
          <w:rFonts w:asciiTheme="minorHAnsi" w:eastAsiaTheme="minorHAnsi" w:hAnsiTheme="minorHAnsi"/>
          <w:color w:val="auto"/>
          <w:szCs w:val="24"/>
        </w:rPr>
        <w:t>unanimously</w:t>
      </w:r>
      <w:r w:rsidR="00725516" w:rsidRPr="003B3547">
        <w:rPr>
          <w:rFonts w:asciiTheme="minorHAnsi" w:hAnsiTheme="minorHAnsi"/>
          <w:color w:val="auto"/>
          <w:szCs w:val="24"/>
        </w:rPr>
        <w:t xml:space="preserve"> recommends a 10% permanent rating at the time of permanent separation IAW VASRD §4.130. </w:t>
      </w:r>
      <w:r w:rsidR="00B36000">
        <w:rPr>
          <w:rFonts w:asciiTheme="minorHAnsi" w:hAnsiTheme="minorHAnsi"/>
          <w:color w:val="auto"/>
          <w:szCs w:val="24"/>
        </w:rPr>
        <w:t xml:space="preserve"> </w:t>
      </w:r>
      <w:r w:rsidR="00725516" w:rsidRPr="003B3547">
        <w:rPr>
          <w:rFonts w:asciiTheme="minorHAnsi" w:hAnsiTheme="minorHAnsi"/>
          <w:color w:val="auto"/>
          <w:szCs w:val="24"/>
        </w:rPr>
        <w:t>In the matter of the right hand condition, the Board unanimously recommends no change from the PEB adjudication as not unfitting.  The Board unanimously agrees that there were no other conditions eligible for Board consideration</w:t>
      </w:r>
      <w:r w:rsidR="00725516" w:rsidRPr="00664296">
        <w:rPr>
          <w:rFonts w:asciiTheme="minorHAnsi" w:hAnsiTheme="minorHAnsi"/>
          <w:color w:val="auto"/>
          <w:szCs w:val="24"/>
        </w:rPr>
        <w:t xml:space="preserve"> which could be recommended as additionally unfitting for rating at separation</w:t>
      </w:r>
      <w:r w:rsidR="00725516">
        <w:rPr>
          <w:rFonts w:asciiTheme="minorHAnsi" w:hAnsiTheme="minorHAnsi"/>
          <w:color w:val="auto"/>
          <w:szCs w:val="24"/>
        </w:rPr>
        <w:t xml:space="preserve">.  </w:t>
      </w:r>
    </w:p>
    <w:p w:rsidR="00664296" w:rsidRPr="00391858" w:rsidRDefault="00664296" w:rsidP="004835A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474F7" w:rsidRDefault="00E474F7" w:rsidP="00510F9C">
      <w:pPr>
        <w:spacing w:line="240" w:lineRule="exact"/>
        <w:rPr>
          <w:rFonts w:asciiTheme="minorHAnsi" w:hAnsiTheme="minorHAnsi"/>
          <w:color w:val="auto"/>
          <w:szCs w:val="24"/>
          <w:u w:val="single"/>
        </w:rPr>
      </w:pPr>
    </w:p>
    <w:p w:rsidR="003B3547" w:rsidRDefault="003B3547">
      <w:pPr>
        <w:rPr>
          <w:rFonts w:asciiTheme="minorHAnsi" w:hAnsiTheme="minorHAnsi"/>
          <w:color w:val="auto"/>
          <w:szCs w:val="24"/>
          <w:u w:val="single"/>
        </w:rPr>
      </w:pPr>
      <w:r>
        <w:rPr>
          <w:rFonts w:asciiTheme="minorHAnsi" w:hAnsiTheme="minorHAnsi"/>
          <w:color w:val="auto"/>
          <w:szCs w:val="24"/>
          <w:u w:val="single"/>
        </w:rPr>
        <w:br w:type="page"/>
      </w:r>
    </w:p>
    <w:p w:rsidR="00FB593A" w:rsidRPr="00B427BB" w:rsidRDefault="00C56FC8" w:rsidP="00510F9C">
      <w:pPr>
        <w:spacing w:line="240" w:lineRule="exact"/>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DF071B" w:rsidRDefault="00DF071B" w:rsidP="00510F9C">
      <w:pPr>
        <w:tabs>
          <w:tab w:val="left" w:pos="288"/>
          <w:tab w:val="left" w:pos="1710"/>
        </w:tabs>
        <w:spacing w:line="240" w:lineRule="exact"/>
        <w:jc w:val="both"/>
        <w:rPr>
          <w:rFonts w:asciiTheme="minorHAnsi" w:hAnsiTheme="minorHAnsi"/>
          <w:color w:val="auto"/>
          <w:szCs w:val="24"/>
          <w:highlight w:val="yellow"/>
        </w:rPr>
      </w:pPr>
    </w:p>
    <w:p w:rsidR="00DF071B" w:rsidRDefault="00DF071B" w:rsidP="00510F9C">
      <w:pPr>
        <w:spacing w:line="240" w:lineRule="exact"/>
        <w:jc w:val="both"/>
        <w:rPr>
          <w:rFonts w:asciiTheme="minorHAnsi" w:hAnsiTheme="minorHAnsi"/>
          <w:color w:val="auto"/>
          <w:szCs w:val="24"/>
        </w:rPr>
      </w:pPr>
      <w:r w:rsidRPr="003B3547">
        <w:rPr>
          <w:rFonts w:asciiTheme="minorHAnsi" w:hAnsiTheme="minorHAnsi"/>
          <w:color w:val="auto"/>
          <w:szCs w:val="24"/>
        </w:rPr>
        <w:t xml:space="preserve">The Board recommends that the CI’s prior separation be modified </w:t>
      </w:r>
      <w:r w:rsidR="002D7653">
        <w:rPr>
          <w:rFonts w:asciiTheme="minorHAnsi" w:hAnsiTheme="minorHAnsi"/>
          <w:color w:val="auto"/>
          <w:szCs w:val="24"/>
        </w:rPr>
        <w:t>to reflect</w:t>
      </w:r>
      <w:r w:rsidRPr="003B3547">
        <w:rPr>
          <w:rFonts w:asciiTheme="minorHAnsi" w:hAnsiTheme="minorHAnsi"/>
          <w:color w:val="auto"/>
          <w:szCs w:val="24"/>
        </w:rPr>
        <w:t xml:space="preserve"> permanent separat</w:t>
      </w:r>
      <w:r w:rsidR="002D7653">
        <w:rPr>
          <w:rFonts w:asciiTheme="minorHAnsi" w:hAnsiTheme="minorHAnsi"/>
          <w:color w:val="auto"/>
          <w:szCs w:val="24"/>
        </w:rPr>
        <w:t>ion</w:t>
      </w:r>
      <w:r w:rsidRPr="003B3547">
        <w:rPr>
          <w:rFonts w:asciiTheme="minorHAnsi" w:hAnsiTheme="minorHAnsi"/>
          <w:color w:val="auto"/>
          <w:szCs w:val="24"/>
        </w:rPr>
        <w:t xml:space="preserve"> with severance pay by reason of physical disability with a final</w:t>
      </w:r>
      <w:r w:rsidR="003F051D" w:rsidRPr="003B3547">
        <w:rPr>
          <w:rFonts w:asciiTheme="minorHAnsi" w:hAnsiTheme="minorHAnsi"/>
          <w:color w:val="auto"/>
          <w:szCs w:val="24"/>
        </w:rPr>
        <w:t xml:space="preserve"> </w:t>
      </w:r>
      <w:r w:rsidR="002D7653">
        <w:rPr>
          <w:rFonts w:asciiTheme="minorHAnsi" w:hAnsiTheme="minorHAnsi"/>
          <w:color w:val="auto"/>
          <w:szCs w:val="24"/>
        </w:rPr>
        <w:t xml:space="preserve">rating of </w:t>
      </w:r>
      <w:r w:rsidRPr="003B3547">
        <w:rPr>
          <w:rFonts w:asciiTheme="minorHAnsi" w:hAnsiTheme="minorHAnsi"/>
          <w:color w:val="auto"/>
          <w:szCs w:val="24"/>
        </w:rPr>
        <w:t>10%</w:t>
      </w:r>
      <w:r w:rsidR="002D7653">
        <w:rPr>
          <w:rFonts w:asciiTheme="minorHAnsi" w:hAnsiTheme="minorHAnsi"/>
          <w:color w:val="auto"/>
          <w:szCs w:val="24"/>
        </w:rPr>
        <w:t>,</w:t>
      </w:r>
      <w:r w:rsidRPr="003B3547">
        <w:rPr>
          <w:rFonts w:asciiTheme="minorHAnsi" w:hAnsiTheme="minorHAnsi"/>
          <w:color w:val="auto"/>
          <w:szCs w:val="24"/>
        </w:rPr>
        <w:t xml:space="preserve"> </w:t>
      </w:r>
      <w:r w:rsidR="002D7653">
        <w:rPr>
          <w:rFonts w:asciiTheme="minorHAnsi" w:hAnsiTheme="minorHAnsi"/>
          <w:color w:val="auto"/>
          <w:szCs w:val="24"/>
        </w:rPr>
        <w:t>upon removal from the TDRL,</w:t>
      </w:r>
      <w:r w:rsidRPr="003B3547">
        <w:rPr>
          <w:rFonts w:asciiTheme="minorHAnsi" w:hAnsiTheme="minorHAnsi"/>
          <w:color w:val="auto"/>
          <w:szCs w:val="24"/>
        </w:rPr>
        <w:t xml:space="preserve"> as indicated</w:t>
      </w:r>
      <w:r w:rsidRPr="00A83C15">
        <w:rPr>
          <w:rFonts w:asciiTheme="minorHAnsi" w:hAnsiTheme="minorHAnsi"/>
          <w:color w:val="auto"/>
          <w:szCs w:val="24"/>
        </w:rPr>
        <w:t xml:space="preserve"> below.</w:t>
      </w:r>
      <w:r w:rsidRPr="00DF071B">
        <w:rPr>
          <w:rFonts w:asciiTheme="minorHAnsi" w:hAnsiTheme="minorHAnsi"/>
          <w:color w:val="auto"/>
          <w:szCs w:val="24"/>
        </w:rPr>
        <w:t xml:space="preserve">  </w:t>
      </w:r>
    </w:p>
    <w:p w:rsidR="00DB0015" w:rsidRPr="00AF01B2"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2D7653" w:rsidRPr="00AF01B2" w:rsidTr="00EF6C4A">
        <w:trPr>
          <w:jc w:val="center"/>
        </w:trPr>
        <w:tc>
          <w:tcPr>
            <w:tcW w:w="4950" w:type="dxa"/>
            <w:shd w:val="clear" w:color="auto" w:fill="D9D9D9"/>
            <w:vAlign w:val="center"/>
          </w:tcPr>
          <w:p w:rsidR="002D7653" w:rsidRPr="00AF01B2" w:rsidRDefault="002D7653"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2D7653" w:rsidRPr="00AF01B2" w:rsidRDefault="002D7653"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530" w:type="dxa"/>
            <w:shd w:val="pct15" w:color="auto" w:fill="auto"/>
            <w:vAlign w:val="center"/>
          </w:tcPr>
          <w:p w:rsidR="002D7653" w:rsidRPr="007A21DC" w:rsidRDefault="002D7653" w:rsidP="00EF6C4A">
            <w:pPr>
              <w:tabs>
                <w:tab w:val="left" w:pos="288"/>
                <w:tab w:val="left" w:pos="4752"/>
              </w:tabs>
              <w:spacing w:line="240" w:lineRule="exact"/>
              <w:jc w:val="center"/>
              <w:rPr>
                <w:rFonts w:asciiTheme="minorHAnsi" w:hAnsiTheme="minorHAnsi"/>
                <w:b/>
                <w:color w:val="auto"/>
                <w:szCs w:val="24"/>
              </w:rPr>
            </w:pPr>
            <w:r w:rsidRPr="007A21DC">
              <w:rPr>
                <w:rFonts w:asciiTheme="minorHAnsi" w:hAnsiTheme="minorHAnsi"/>
                <w:b/>
                <w:color w:val="auto"/>
                <w:szCs w:val="24"/>
              </w:rPr>
              <w:t>PERMANENT</w:t>
            </w:r>
          </w:p>
          <w:p w:rsidR="002D7653" w:rsidRPr="007A21DC" w:rsidRDefault="002D7653" w:rsidP="00EF6C4A">
            <w:pPr>
              <w:tabs>
                <w:tab w:val="left" w:pos="288"/>
                <w:tab w:val="left" w:pos="4752"/>
              </w:tabs>
              <w:spacing w:line="240" w:lineRule="exact"/>
              <w:jc w:val="center"/>
              <w:rPr>
                <w:rFonts w:asciiTheme="minorHAnsi" w:hAnsiTheme="minorHAnsi"/>
                <w:b/>
                <w:color w:val="auto"/>
                <w:szCs w:val="24"/>
              </w:rPr>
            </w:pPr>
            <w:r w:rsidRPr="007A21DC">
              <w:rPr>
                <w:rFonts w:asciiTheme="minorHAnsi" w:hAnsiTheme="minorHAnsi"/>
                <w:b/>
                <w:color w:val="auto"/>
                <w:szCs w:val="24"/>
              </w:rPr>
              <w:t>RATING</w:t>
            </w:r>
          </w:p>
        </w:tc>
      </w:tr>
      <w:tr w:rsidR="002D7653" w:rsidRPr="00AF01B2" w:rsidTr="00EF6C4A">
        <w:trPr>
          <w:trHeight w:val="188"/>
          <w:jc w:val="center"/>
        </w:trPr>
        <w:tc>
          <w:tcPr>
            <w:tcW w:w="4950" w:type="dxa"/>
            <w:vAlign w:val="center"/>
          </w:tcPr>
          <w:p w:rsidR="002D7653" w:rsidRPr="00AF01B2" w:rsidRDefault="002D7653" w:rsidP="002D7653">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w:t>
            </w:r>
            <w:r>
              <w:rPr>
                <w:rFonts w:asciiTheme="minorHAnsi" w:hAnsiTheme="minorHAnsi"/>
                <w:color w:val="auto"/>
                <w:szCs w:val="24"/>
              </w:rPr>
              <w:t>t</w:t>
            </w:r>
            <w:r w:rsidRPr="00AF01B2">
              <w:rPr>
                <w:rFonts w:asciiTheme="minorHAnsi" w:hAnsiTheme="minorHAnsi"/>
                <w:color w:val="auto"/>
                <w:szCs w:val="24"/>
              </w:rPr>
              <w:t>raumatic Stress Disorder</w:t>
            </w:r>
          </w:p>
        </w:tc>
        <w:tc>
          <w:tcPr>
            <w:tcW w:w="1710" w:type="dxa"/>
            <w:tcBorders>
              <w:bottom w:val="single" w:sz="4" w:space="0" w:color="000000"/>
            </w:tcBorders>
            <w:vAlign w:val="center"/>
          </w:tcPr>
          <w:p w:rsidR="002D7653" w:rsidRPr="00AF01B2" w:rsidRDefault="002D7653"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530" w:type="dxa"/>
            <w:tcBorders>
              <w:bottom w:val="single" w:sz="4" w:space="0" w:color="000000"/>
            </w:tcBorders>
            <w:vAlign w:val="center"/>
          </w:tcPr>
          <w:p w:rsidR="002D7653" w:rsidRPr="007A21DC" w:rsidRDefault="002D7653" w:rsidP="00EF6C4A">
            <w:pPr>
              <w:tabs>
                <w:tab w:val="left" w:pos="288"/>
                <w:tab w:val="left" w:pos="4752"/>
              </w:tabs>
              <w:spacing w:line="240" w:lineRule="exact"/>
              <w:jc w:val="center"/>
              <w:rPr>
                <w:rFonts w:asciiTheme="minorHAnsi" w:hAnsiTheme="minorHAnsi"/>
                <w:color w:val="auto"/>
                <w:szCs w:val="24"/>
              </w:rPr>
            </w:pPr>
            <w:r w:rsidRPr="007A21DC">
              <w:rPr>
                <w:rFonts w:asciiTheme="minorHAnsi" w:hAnsiTheme="minorHAnsi"/>
                <w:color w:val="auto"/>
                <w:szCs w:val="24"/>
              </w:rPr>
              <w:t>10%</w:t>
            </w:r>
          </w:p>
        </w:tc>
      </w:tr>
      <w:tr w:rsidR="002D7653"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2D7653" w:rsidRPr="00AF01B2" w:rsidRDefault="002D7653"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530" w:type="dxa"/>
            <w:shd w:val="pct15" w:color="auto" w:fill="auto"/>
            <w:vAlign w:val="center"/>
          </w:tcPr>
          <w:p w:rsidR="002D7653" w:rsidRPr="007A21DC" w:rsidRDefault="002D7653" w:rsidP="00EF6C4A">
            <w:pPr>
              <w:tabs>
                <w:tab w:val="left" w:pos="288"/>
                <w:tab w:val="left" w:pos="4752"/>
              </w:tabs>
              <w:spacing w:line="240" w:lineRule="exact"/>
              <w:jc w:val="center"/>
              <w:rPr>
                <w:rFonts w:asciiTheme="minorHAnsi" w:hAnsiTheme="minorHAnsi"/>
                <w:b/>
                <w:color w:val="auto"/>
                <w:szCs w:val="24"/>
              </w:rPr>
            </w:pPr>
            <w:r w:rsidRPr="007A21DC">
              <w:rPr>
                <w:rFonts w:asciiTheme="minorHAnsi" w:hAnsiTheme="minorHAnsi"/>
                <w:b/>
                <w:color w:val="auto"/>
                <w:szCs w:val="24"/>
              </w:rPr>
              <w:t>10%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2A7E93">
        <w:rPr>
          <w:rFonts w:asciiTheme="minorHAnsi" w:hAnsiTheme="minorHAnsi"/>
          <w:color w:val="auto"/>
        </w:rPr>
        <w:t>1</w:t>
      </w:r>
      <w:r w:rsidR="007E59E3">
        <w:rPr>
          <w:rFonts w:asciiTheme="minorHAnsi" w:hAnsiTheme="minorHAnsi"/>
          <w:color w:val="auto"/>
        </w:rPr>
        <w:t>0</w:t>
      </w:r>
      <w:r w:rsidR="002A7E93">
        <w:rPr>
          <w:rFonts w:asciiTheme="minorHAnsi" w:hAnsiTheme="minorHAnsi"/>
          <w:color w:val="auto"/>
        </w:rPr>
        <w:t>0815</w:t>
      </w:r>
      <w:r w:rsidR="00FF6CAA">
        <w:rPr>
          <w:rFonts w:asciiTheme="minorHAnsi" w:hAnsiTheme="minorHAnsi"/>
          <w:color w:val="auto"/>
        </w:rPr>
        <w:t>, w/</w:t>
      </w:r>
      <w:proofErr w:type="spellStart"/>
      <w:r w:rsidR="00FF6CAA">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F6CAA">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FF6CAA">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2841AD" w:rsidRDefault="002841AD">
      <w:pPr>
        <w:rPr>
          <w:rFonts w:asciiTheme="minorHAnsi" w:hAnsiTheme="minorHAnsi"/>
          <w:color w:val="auto"/>
        </w:rPr>
      </w:pPr>
      <w:r>
        <w:rPr>
          <w:rFonts w:asciiTheme="minorHAnsi" w:hAnsiTheme="minorHAnsi"/>
          <w:color w:val="auto"/>
        </w:rPr>
        <w:br w:type="page"/>
      </w:r>
    </w:p>
    <w:p w:rsidR="00114F20" w:rsidRPr="00006186" w:rsidRDefault="002841AD" w:rsidP="00510F9C">
      <w:pPr>
        <w:tabs>
          <w:tab w:val="left" w:pos="288"/>
          <w:tab w:val="left" w:pos="4752"/>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500730"/>
            <wp:positionH relativeFrom="margin">
              <wp:align>left</wp:align>
            </wp:positionH>
            <wp:positionV relativeFrom="margin">
              <wp:align>top</wp:align>
            </wp:positionV>
            <wp:extent cx="5938078" cy="7666382"/>
            <wp:effectExtent l="19050" t="0" r="5522" b="0"/>
            <wp:wrapSquare wrapText="bothSides"/>
            <wp:docPr id="1" name="Picture 1" descr="D:\READING room\10-10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0-1020.tiff"/>
                    <pic:cNvPicPr>
                      <a:picLocks noChangeAspect="1" noChangeArrowheads="1"/>
                    </pic:cNvPicPr>
                  </pic:nvPicPr>
                  <pic:blipFill>
                    <a:blip r:embed="rId8" cstate="print"/>
                    <a:srcRect/>
                    <a:stretch>
                      <a:fillRect/>
                    </a:stretch>
                  </pic:blipFill>
                  <pic:spPr bwMode="auto">
                    <a:xfrm>
                      <a:off x="0" y="0"/>
                      <a:ext cx="5938078" cy="7666382"/>
                    </a:xfrm>
                    <a:prstGeom prst="rect">
                      <a:avLst/>
                    </a:prstGeom>
                    <a:noFill/>
                    <a:ln w="9525">
                      <a:noFill/>
                      <a:miter lim="800000"/>
                      <a:headEnd/>
                      <a:tailEnd/>
                    </a:ln>
                  </pic:spPr>
                </pic:pic>
              </a:graphicData>
            </a:graphic>
          </wp:anchor>
        </w:drawing>
      </w:r>
    </w:p>
    <w:sectPr w:rsidR="00114F20" w:rsidRPr="00006186"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68" w:rsidRDefault="000F6C68">
      <w:r>
        <w:separator/>
      </w:r>
    </w:p>
  </w:endnote>
  <w:endnote w:type="continuationSeparator" w:id="0">
    <w:p w:rsidR="000F6C68" w:rsidRDefault="000F6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E86CE0" w:rsidRPr="00684CE6" w:rsidRDefault="003A3A1E" w:rsidP="00F65ED5">
        <w:pPr>
          <w:pStyle w:val="Footer"/>
          <w:jc w:val="right"/>
          <w:rPr>
            <w:color w:val="auto"/>
          </w:rPr>
        </w:pPr>
        <w:r w:rsidRPr="00684CE6">
          <w:rPr>
            <w:color w:val="auto"/>
          </w:rPr>
          <w:fldChar w:fldCharType="begin"/>
        </w:r>
        <w:r w:rsidR="00E86CE0" w:rsidRPr="00684CE6">
          <w:rPr>
            <w:color w:val="auto"/>
          </w:rPr>
          <w:instrText xml:space="preserve"> PAGE   \* MERGEFORMAT </w:instrText>
        </w:r>
        <w:r w:rsidRPr="00684CE6">
          <w:rPr>
            <w:color w:val="auto"/>
          </w:rPr>
          <w:fldChar w:fldCharType="separate"/>
        </w:r>
        <w:r w:rsidR="002841AD">
          <w:rPr>
            <w:noProof/>
            <w:color w:val="auto"/>
          </w:rPr>
          <w:t>6</w:t>
        </w:r>
        <w:r w:rsidRPr="00684CE6">
          <w:rPr>
            <w:color w:val="auto"/>
          </w:rPr>
          <w:fldChar w:fldCharType="end"/>
        </w:r>
        <w:r w:rsidR="00E86CE0" w:rsidRPr="00684CE6">
          <w:rPr>
            <w:color w:val="auto"/>
          </w:rPr>
          <w:t xml:space="preserve">                                                           </w:t>
        </w:r>
        <w:r w:rsidR="00E86CE0" w:rsidRPr="00FD6C41">
          <w:rPr>
            <w:rFonts w:asciiTheme="minorHAnsi" w:hAnsiTheme="minorHAnsi"/>
            <w:caps/>
            <w:color w:val="auto"/>
          </w:rPr>
          <w:t>PD</w:t>
        </w:r>
        <w:r w:rsidR="00E86CE0" w:rsidRPr="00342C58">
          <w:rPr>
            <w:rFonts w:asciiTheme="minorHAnsi" w:hAnsiTheme="minorHAnsi"/>
            <w:caps/>
            <w:color w:val="auto"/>
          </w:rPr>
          <w:t>1001020</w:t>
        </w:r>
      </w:p>
    </w:sdtContent>
  </w:sdt>
  <w:p w:rsidR="00E86CE0" w:rsidRPr="00684CE6" w:rsidRDefault="00E86CE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68" w:rsidRDefault="000F6C68">
      <w:r>
        <w:separator/>
      </w:r>
    </w:p>
  </w:footnote>
  <w:footnote w:type="continuationSeparator" w:id="0">
    <w:p w:rsidR="000F6C68" w:rsidRDefault="000F6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9858"/>
  </w:hdrShapeDefaults>
  <w:footnotePr>
    <w:numRestart w:val="eachSect"/>
    <w:footnote w:id="-1"/>
    <w:footnote w:id="0"/>
  </w:footnotePr>
  <w:endnotePr>
    <w:endnote w:id="-1"/>
    <w:endnote w:id="0"/>
  </w:endnotePr>
  <w:compat/>
  <w:rsids>
    <w:rsidRoot w:val="001C28D1"/>
    <w:rsid w:val="00002356"/>
    <w:rsid w:val="000024F5"/>
    <w:rsid w:val="000042F2"/>
    <w:rsid w:val="000059FA"/>
    <w:rsid w:val="00006186"/>
    <w:rsid w:val="00006F87"/>
    <w:rsid w:val="00007107"/>
    <w:rsid w:val="00010ABA"/>
    <w:rsid w:val="00010B0F"/>
    <w:rsid w:val="00012428"/>
    <w:rsid w:val="00012733"/>
    <w:rsid w:val="00013417"/>
    <w:rsid w:val="000145C2"/>
    <w:rsid w:val="0001473F"/>
    <w:rsid w:val="00014A9E"/>
    <w:rsid w:val="00020784"/>
    <w:rsid w:val="00021361"/>
    <w:rsid w:val="00021D4B"/>
    <w:rsid w:val="00022CF3"/>
    <w:rsid w:val="00023913"/>
    <w:rsid w:val="00023D43"/>
    <w:rsid w:val="00024DE7"/>
    <w:rsid w:val="00026092"/>
    <w:rsid w:val="00030776"/>
    <w:rsid w:val="00032E07"/>
    <w:rsid w:val="000332CA"/>
    <w:rsid w:val="0003374E"/>
    <w:rsid w:val="00033DEF"/>
    <w:rsid w:val="000344D8"/>
    <w:rsid w:val="000344E6"/>
    <w:rsid w:val="00035C3A"/>
    <w:rsid w:val="00036E4B"/>
    <w:rsid w:val="00037929"/>
    <w:rsid w:val="000379D0"/>
    <w:rsid w:val="00040FC4"/>
    <w:rsid w:val="000416F8"/>
    <w:rsid w:val="00042C26"/>
    <w:rsid w:val="00043382"/>
    <w:rsid w:val="00044623"/>
    <w:rsid w:val="000452D7"/>
    <w:rsid w:val="00046077"/>
    <w:rsid w:val="00051622"/>
    <w:rsid w:val="00051A11"/>
    <w:rsid w:val="00052234"/>
    <w:rsid w:val="00053D7C"/>
    <w:rsid w:val="000540F2"/>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950D1"/>
    <w:rsid w:val="000962E2"/>
    <w:rsid w:val="000A2BCE"/>
    <w:rsid w:val="000A33C8"/>
    <w:rsid w:val="000A41E3"/>
    <w:rsid w:val="000A477A"/>
    <w:rsid w:val="000A4BBA"/>
    <w:rsid w:val="000A5071"/>
    <w:rsid w:val="000B0AD2"/>
    <w:rsid w:val="000B1020"/>
    <w:rsid w:val="000B1022"/>
    <w:rsid w:val="000B2FB8"/>
    <w:rsid w:val="000B4C99"/>
    <w:rsid w:val="000B5051"/>
    <w:rsid w:val="000C06F6"/>
    <w:rsid w:val="000C1D34"/>
    <w:rsid w:val="000C2362"/>
    <w:rsid w:val="000C2FA8"/>
    <w:rsid w:val="000C3C13"/>
    <w:rsid w:val="000C4D5F"/>
    <w:rsid w:val="000C53F9"/>
    <w:rsid w:val="000C5813"/>
    <w:rsid w:val="000C6B95"/>
    <w:rsid w:val="000C75CF"/>
    <w:rsid w:val="000C7B83"/>
    <w:rsid w:val="000C7DE4"/>
    <w:rsid w:val="000D0AE6"/>
    <w:rsid w:val="000D15E7"/>
    <w:rsid w:val="000D1A24"/>
    <w:rsid w:val="000D1CF4"/>
    <w:rsid w:val="000D1DBC"/>
    <w:rsid w:val="000D21C7"/>
    <w:rsid w:val="000D248A"/>
    <w:rsid w:val="000D2CFD"/>
    <w:rsid w:val="000D35D8"/>
    <w:rsid w:val="000D4008"/>
    <w:rsid w:val="000D43F9"/>
    <w:rsid w:val="000D4717"/>
    <w:rsid w:val="000D6457"/>
    <w:rsid w:val="000D7D55"/>
    <w:rsid w:val="000E0993"/>
    <w:rsid w:val="000E1A24"/>
    <w:rsid w:val="000E28EA"/>
    <w:rsid w:val="000E2E50"/>
    <w:rsid w:val="000E37E0"/>
    <w:rsid w:val="000E3F20"/>
    <w:rsid w:val="000E4CBF"/>
    <w:rsid w:val="000E5577"/>
    <w:rsid w:val="000E6581"/>
    <w:rsid w:val="000E6DD7"/>
    <w:rsid w:val="000E7034"/>
    <w:rsid w:val="000F02BE"/>
    <w:rsid w:val="000F0928"/>
    <w:rsid w:val="000F427B"/>
    <w:rsid w:val="000F43D0"/>
    <w:rsid w:val="000F4CF2"/>
    <w:rsid w:val="000F4F18"/>
    <w:rsid w:val="000F688E"/>
    <w:rsid w:val="000F6C68"/>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7F65"/>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62CF"/>
    <w:rsid w:val="0017139A"/>
    <w:rsid w:val="001724C8"/>
    <w:rsid w:val="001732C4"/>
    <w:rsid w:val="001745DD"/>
    <w:rsid w:val="00174FDE"/>
    <w:rsid w:val="00174FE3"/>
    <w:rsid w:val="0017633E"/>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69FE"/>
    <w:rsid w:val="001A025E"/>
    <w:rsid w:val="001A08CD"/>
    <w:rsid w:val="001A0A1E"/>
    <w:rsid w:val="001A2182"/>
    <w:rsid w:val="001A2B75"/>
    <w:rsid w:val="001A323E"/>
    <w:rsid w:val="001A5320"/>
    <w:rsid w:val="001A5E62"/>
    <w:rsid w:val="001A6318"/>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7EEE"/>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9C3"/>
    <w:rsid w:val="00257AFF"/>
    <w:rsid w:val="00257DE5"/>
    <w:rsid w:val="00260531"/>
    <w:rsid w:val="00260B9A"/>
    <w:rsid w:val="00260FA7"/>
    <w:rsid w:val="00262EA5"/>
    <w:rsid w:val="0026318D"/>
    <w:rsid w:val="00264148"/>
    <w:rsid w:val="002660AF"/>
    <w:rsid w:val="002700B8"/>
    <w:rsid w:val="00270864"/>
    <w:rsid w:val="002712F7"/>
    <w:rsid w:val="0027159C"/>
    <w:rsid w:val="002722F2"/>
    <w:rsid w:val="00274549"/>
    <w:rsid w:val="00274E46"/>
    <w:rsid w:val="002752AE"/>
    <w:rsid w:val="002769AF"/>
    <w:rsid w:val="00276C86"/>
    <w:rsid w:val="00276FD0"/>
    <w:rsid w:val="00277217"/>
    <w:rsid w:val="002810A4"/>
    <w:rsid w:val="00282DB6"/>
    <w:rsid w:val="002841AD"/>
    <w:rsid w:val="00284A26"/>
    <w:rsid w:val="00285095"/>
    <w:rsid w:val="00287006"/>
    <w:rsid w:val="00287B40"/>
    <w:rsid w:val="00292397"/>
    <w:rsid w:val="00292AB2"/>
    <w:rsid w:val="00293C17"/>
    <w:rsid w:val="00293DB6"/>
    <w:rsid w:val="00293FE8"/>
    <w:rsid w:val="00294437"/>
    <w:rsid w:val="00297A45"/>
    <w:rsid w:val="00297E20"/>
    <w:rsid w:val="002A233F"/>
    <w:rsid w:val="002A3237"/>
    <w:rsid w:val="002A4119"/>
    <w:rsid w:val="002A58B7"/>
    <w:rsid w:val="002A5943"/>
    <w:rsid w:val="002A5C3C"/>
    <w:rsid w:val="002A685E"/>
    <w:rsid w:val="002A72C7"/>
    <w:rsid w:val="002A7E93"/>
    <w:rsid w:val="002B0204"/>
    <w:rsid w:val="002B03B2"/>
    <w:rsid w:val="002B0749"/>
    <w:rsid w:val="002B2645"/>
    <w:rsid w:val="002B303A"/>
    <w:rsid w:val="002B32E9"/>
    <w:rsid w:val="002B4E22"/>
    <w:rsid w:val="002B6FA0"/>
    <w:rsid w:val="002B7645"/>
    <w:rsid w:val="002C0DEA"/>
    <w:rsid w:val="002C34F6"/>
    <w:rsid w:val="002C3B6D"/>
    <w:rsid w:val="002C492D"/>
    <w:rsid w:val="002C53FF"/>
    <w:rsid w:val="002C5D9D"/>
    <w:rsid w:val="002C5F10"/>
    <w:rsid w:val="002C6E5B"/>
    <w:rsid w:val="002D08F3"/>
    <w:rsid w:val="002D18B4"/>
    <w:rsid w:val="002D231A"/>
    <w:rsid w:val="002D5330"/>
    <w:rsid w:val="002D5F57"/>
    <w:rsid w:val="002D73D4"/>
    <w:rsid w:val="002D7653"/>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547"/>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4F1"/>
    <w:rsid w:val="00377BD2"/>
    <w:rsid w:val="00380FD4"/>
    <w:rsid w:val="00381E16"/>
    <w:rsid w:val="003821E1"/>
    <w:rsid w:val="00383569"/>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2F9"/>
    <w:rsid w:val="00397DB7"/>
    <w:rsid w:val="003A27B2"/>
    <w:rsid w:val="003A3A1E"/>
    <w:rsid w:val="003A40B4"/>
    <w:rsid w:val="003A41BA"/>
    <w:rsid w:val="003A5491"/>
    <w:rsid w:val="003A5958"/>
    <w:rsid w:val="003A6A99"/>
    <w:rsid w:val="003A6E60"/>
    <w:rsid w:val="003A7FF8"/>
    <w:rsid w:val="003B17AC"/>
    <w:rsid w:val="003B227A"/>
    <w:rsid w:val="003B22FE"/>
    <w:rsid w:val="003B3547"/>
    <w:rsid w:val="003B3A77"/>
    <w:rsid w:val="003B4319"/>
    <w:rsid w:val="003B5854"/>
    <w:rsid w:val="003B6764"/>
    <w:rsid w:val="003B7533"/>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51D"/>
    <w:rsid w:val="003F070E"/>
    <w:rsid w:val="003F1206"/>
    <w:rsid w:val="003F28DB"/>
    <w:rsid w:val="003F2EEE"/>
    <w:rsid w:val="003F58B0"/>
    <w:rsid w:val="003F776F"/>
    <w:rsid w:val="004007E9"/>
    <w:rsid w:val="00400810"/>
    <w:rsid w:val="00401825"/>
    <w:rsid w:val="00401BBC"/>
    <w:rsid w:val="00402A49"/>
    <w:rsid w:val="00403BFB"/>
    <w:rsid w:val="00404B45"/>
    <w:rsid w:val="00405BCF"/>
    <w:rsid w:val="00406CC5"/>
    <w:rsid w:val="004074A4"/>
    <w:rsid w:val="004101B2"/>
    <w:rsid w:val="004123D7"/>
    <w:rsid w:val="00412658"/>
    <w:rsid w:val="004129DA"/>
    <w:rsid w:val="00415EA4"/>
    <w:rsid w:val="0041604B"/>
    <w:rsid w:val="004172DB"/>
    <w:rsid w:val="00420A1D"/>
    <w:rsid w:val="0042145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20D7"/>
    <w:rsid w:val="00442FD4"/>
    <w:rsid w:val="004435BE"/>
    <w:rsid w:val="0044384F"/>
    <w:rsid w:val="0044411E"/>
    <w:rsid w:val="00444472"/>
    <w:rsid w:val="00444F80"/>
    <w:rsid w:val="00445599"/>
    <w:rsid w:val="00446018"/>
    <w:rsid w:val="0045027B"/>
    <w:rsid w:val="004504E7"/>
    <w:rsid w:val="00451F9D"/>
    <w:rsid w:val="00453167"/>
    <w:rsid w:val="004543BC"/>
    <w:rsid w:val="004543D2"/>
    <w:rsid w:val="00455264"/>
    <w:rsid w:val="0045645D"/>
    <w:rsid w:val="004574C6"/>
    <w:rsid w:val="00457743"/>
    <w:rsid w:val="00457BCF"/>
    <w:rsid w:val="00457DCE"/>
    <w:rsid w:val="00460E3F"/>
    <w:rsid w:val="0046111A"/>
    <w:rsid w:val="00462F68"/>
    <w:rsid w:val="0046369B"/>
    <w:rsid w:val="004640E9"/>
    <w:rsid w:val="00464A54"/>
    <w:rsid w:val="00466CED"/>
    <w:rsid w:val="00466EB5"/>
    <w:rsid w:val="00467592"/>
    <w:rsid w:val="00467690"/>
    <w:rsid w:val="004718E7"/>
    <w:rsid w:val="00472289"/>
    <w:rsid w:val="00472535"/>
    <w:rsid w:val="004761CC"/>
    <w:rsid w:val="004765D8"/>
    <w:rsid w:val="004766C9"/>
    <w:rsid w:val="00480D4A"/>
    <w:rsid w:val="00481DA1"/>
    <w:rsid w:val="004835A3"/>
    <w:rsid w:val="00483A2B"/>
    <w:rsid w:val="00484212"/>
    <w:rsid w:val="00484BA9"/>
    <w:rsid w:val="0048599A"/>
    <w:rsid w:val="00486818"/>
    <w:rsid w:val="0049255F"/>
    <w:rsid w:val="0049445D"/>
    <w:rsid w:val="004952CF"/>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618"/>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D7B6F"/>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1BFA"/>
    <w:rsid w:val="0051220B"/>
    <w:rsid w:val="00512253"/>
    <w:rsid w:val="00512484"/>
    <w:rsid w:val="005124A6"/>
    <w:rsid w:val="00514449"/>
    <w:rsid w:val="00515419"/>
    <w:rsid w:val="005157BD"/>
    <w:rsid w:val="005214A3"/>
    <w:rsid w:val="005222E7"/>
    <w:rsid w:val="00523A8B"/>
    <w:rsid w:val="00523E04"/>
    <w:rsid w:val="00525003"/>
    <w:rsid w:val="0052590B"/>
    <w:rsid w:val="0052592E"/>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873"/>
    <w:rsid w:val="00560D57"/>
    <w:rsid w:val="0056141C"/>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7ACA"/>
    <w:rsid w:val="0058039C"/>
    <w:rsid w:val="00580A63"/>
    <w:rsid w:val="00582BAB"/>
    <w:rsid w:val="00583379"/>
    <w:rsid w:val="0058417C"/>
    <w:rsid w:val="00586EC6"/>
    <w:rsid w:val="00587DDE"/>
    <w:rsid w:val="00593043"/>
    <w:rsid w:val="00595B60"/>
    <w:rsid w:val="00595BF0"/>
    <w:rsid w:val="00597E16"/>
    <w:rsid w:val="005A0B1D"/>
    <w:rsid w:val="005A1846"/>
    <w:rsid w:val="005A258C"/>
    <w:rsid w:val="005A3560"/>
    <w:rsid w:val="005A464E"/>
    <w:rsid w:val="005A6291"/>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2F6"/>
    <w:rsid w:val="005D2306"/>
    <w:rsid w:val="005D4A74"/>
    <w:rsid w:val="005D5E91"/>
    <w:rsid w:val="005D6268"/>
    <w:rsid w:val="005D67EF"/>
    <w:rsid w:val="005E3064"/>
    <w:rsid w:val="005E6AEE"/>
    <w:rsid w:val="005E72B2"/>
    <w:rsid w:val="005F1115"/>
    <w:rsid w:val="005F1AB6"/>
    <w:rsid w:val="005F27F2"/>
    <w:rsid w:val="005F2B27"/>
    <w:rsid w:val="005F3567"/>
    <w:rsid w:val="005F3846"/>
    <w:rsid w:val="005F3AFE"/>
    <w:rsid w:val="005F424D"/>
    <w:rsid w:val="005F55F5"/>
    <w:rsid w:val="005F5EC1"/>
    <w:rsid w:val="005F67A9"/>
    <w:rsid w:val="005F6B6D"/>
    <w:rsid w:val="006008F8"/>
    <w:rsid w:val="00604345"/>
    <w:rsid w:val="00604826"/>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5063"/>
    <w:rsid w:val="006274B4"/>
    <w:rsid w:val="006307BA"/>
    <w:rsid w:val="006315BA"/>
    <w:rsid w:val="006335E2"/>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465"/>
    <w:rsid w:val="00662AD0"/>
    <w:rsid w:val="00662F08"/>
    <w:rsid w:val="00663589"/>
    <w:rsid w:val="00664296"/>
    <w:rsid w:val="006649CD"/>
    <w:rsid w:val="00664DF4"/>
    <w:rsid w:val="00665D75"/>
    <w:rsid w:val="0066602A"/>
    <w:rsid w:val="006708E3"/>
    <w:rsid w:val="00670DDC"/>
    <w:rsid w:val="00671389"/>
    <w:rsid w:val="00671EB4"/>
    <w:rsid w:val="00673CDC"/>
    <w:rsid w:val="0067443B"/>
    <w:rsid w:val="006770AA"/>
    <w:rsid w:val="00682486"/>
    <w:rsid w:val="006840ED"/>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38E6"/>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B73FB"/>
    <w:rsid w:val="006C1D6E"/>
    <w:rsid w:val="006C2EF6"/>
    <w:rsid w:val="006C3A68"/>
    <w:rsid w:val="006C3B08"/>
    <w:rsid w:val="006C3EAB"/>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21F"/>
    <w:rsid w:val="007237CE"/>
    <w:rsid w:val="00724688"/>
    <w:rsid w:val="00725516"/>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0E98"/>
    <w:rsid w:val="00752035"/>
    <w:rsid w:val="00754A53"/>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7198"/>
    <w:rsid w:val="00790963"/>
    <w:rsid w:val="0079154B"/>
    <w:rsid w:val="00791F1E"/>
    <w:rsid w:val="0079206D"/>
    <w:rsid w:val="007927BE"/>
    <w:rsid w:val="007935B8"/>
    <w:rsid w:val="007938BB"/>
    <w:rsid w:val="00794ADE"/>
    <w:rsid w:val="00794F3D"/>
    <w:rsid w:val="00795CE9"/>
    <w:rsid w:val="00796045"/>
    <w:rsid w:val="007968AC"/>
    <w:rsid w:val="007969AB"/>
    <w:rsid w:val="007973D8"/>
    <w:rsid w:val="00797801"/>
    <w:rsid w:val="007A0B39"/>
    <w:rsid w:val="007A14A4"/>
    <w:rsid w:val="007A168F"/>
    <w:rsid w:val="007A21DC"/>
    <w:rsid w:val="007A2346"/>
    <w:rsid w:val="007A28E4"/>
    <w:rsid w:val="007A30C1"/>
    <w:rsid w:val="007A3BB3"/>
    <w:rsid w:val="007A3F91"/>
    <w:rsid w:val="007A5AD1"/>
    <w:rsid w:val="007A5B7B"/>
    <w:rsid w:val="007A65A9"/>
    <w:rsid w:val="007B0128"/>
    <w:rsid w:val="007B0A06"/>
    <w:rsid w:val="007B0B24"/>
    <w:rsid w:val="007B1C83"/>
    <w:rsid w:val="007B4181"/>
    <w:rsid w:val="007B5178"/>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E68"/>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24E"/>
    <w:rsid w:val="00801AF0"/>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6442"/>
    <w:rsid w:val="008275C3"/>
    <w:rsid w:val="00827B29"/>
    <w:rsid w:val="00827DB6"/>
    <w:rsid w:val="008304B2"/>
    <w:rsid w:val="00830999"/>
    <w:rsid w:val="00830D5E"/>
    <w:rsid w:val="00830F69"/>
    <w:rsid w:val="008324D9"/>
    <w:rsid w:val="00833418"/>
    <w:rsid w:val="0083387F"/>
    <w:rsid w:val="00834458"/>
    <w:rsid w:val="00834AEA"/>
    <w:rsid w:val="0083512B"/>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18C"/>
    <w:rsid w:val="0087566D"/>
    <w:rsid w:val="00875B50"/>
    <w:rsid w:val="00875B51"/>
    <w:rsid w:val="00875F2D"/>
    <w:rsid w:val="008764DC"/>
    <w:rsid w:val="00882CC2"/>
    <w:rsid w:val="0088325A"/>
    <w:rsid w:val="00883930"/>
    <w:rsid w:val="00884535"/>
    <w:rsid w:val="00886593"/>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4FF2"/>
    <w:rsid w:val="008C7CB3"/>
    <w:rsid w:val="008D1484"/>
    <w:rsid w:val="008D29E7"/>
    <w:rsid w:val="008D5104"/>
    <w:rsid w:val="008D75F4"/>
    <w:rsid w:val="008D795D"/>
    <w:rsid w:val="008D7B07"/>
    <w:rsid w:val="008E0D8F"/>
    <w:rsid w:val="008E0F4E"/>
    <w:rsid w:val="008E1E94"/>
    <w:rsid w:val="008E2D99"/>
    <w:rsid w:val="008E30D4"/>
    <w:rsid w:val="008E38B0"/>
    <w:rsid w:val="008E4448"/>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0EF8"/>
    <w:rsid w:val="00923B25"/>
    <w:rsid w:val="0092402E"/>
    <w:rsid w:val="009259BA"/>
    <w:rsid w:val="00926FCB"/>
    <w:rsid w:val="009303BB"/>
    <w:rsid w:val="0093108A"/>
    <w:rsid w:val="0093311A"/>
    <w:rsid w:val="009346D0"/>
    <w:rsid w:val="00936DF8"/>
    <w:rsid w:val="009419B4"/>
    <w:rsid w:val="00941A4C"/>
    <w:rsid w:val="00942645"/>
    <w:rsid w:val="009461E6"/>
    <w:rsid w:val="00950A3A"/>
    <w:rsid w:val="0095340A"/>
    <w:rsid w:val="00953AF6"/>
    <w:rsid w:val="00953C12"/>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364"/>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6C60"/>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1BC"/>
    <w:rsid w:val="009F6292"/>
    <w:rsid w:val="009F7809"/>
    <w:rsid w:val="009F7AF5"/>
    <w:rsid w:val="00A006F1"/>
    <w:rsid w:val="00A007A7"/>
    <w:rsid w:val="00A00D14"/>
    <w:rsid w:val="00A01408"/>
    <w:rsid w:val="00A02457"/>
    <w:rsid w:val="00A03190"/>
    <w:rsid w:val="00A03D73"/>
    <w:rsid w:val="00A0404B"/>
    <w:rsid w:val="00A06F66"/>
    <w:rsid w:val="00A0798C"/>
    <w:rsid w:val="00A07BDD"/>
    <w:rsid w:val="00A07F12"/>
    <w:rsid w:val="00A11047"/>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56D"/>
    <w:rsid w:val="00A40FFB"/>
    <w:rsid w:val="00A41468"/>
    <w:rsid w:val="00A414A9"/>
    <w:rsid w:val="00A433BE"/>
    <w:rsid w:val="00A44141"/>
    <w:rsid w:val="00A44CCA"/>
    <w:rsid w:val="00A44D75"/>
    <w:rsid w:val="00A47CF1"/>
    <w:rsid w:val="00A50418"/>
    <w:rsid w:val="00A54A47"/>
    <w:rsid w:val="00A56D26"/>
    <w:rsid w:val="00A571A7"/>
    <w:rsid w:val="00A5749A"/>
    <w:rsid w:val="00A57542"/>
    <w:rsid w:val="00A57BA8"/>
    <w:rsid w:val="00A608FB"/>
    <w:rsid w:val="00A60D83"/>
    <w:rsid w:val="00A60F68"/>
    <w:rsid w:val="00A61DA7"/>
    <w:rsid w:val="00A63DF3"/>
    <w:rsid w:val="00A65C78"/>
    <w:rsid w:val="00A660A8"/>
    <w:rsid w:val="00A66A45"/>
    <w:rsid w:val="00A67591"/>
    <w:rsid w:val="00A67CA6"/>
    <w:rsid w:val="00A70E7B"/>
    <w:rsid w:val="00A717EA"/>
    <w:rsid w:val="00A719A0"/>
    <w:rsid w:val="00A73B84"/>
    <w:rsid w:val="00A7411D"/>
    <w:rsid w:val="00A756C4"/>
    <w:rsid w:val="00A7592B"/>
    <w:rsid w:val="00A76094"/>
    <w:rsid w:val="00A768E2"/>
    <w:rsid w:val="00A82C52"/>
    <w:rsid w:val="00A838E8"/>
    <w:rsid w:val="00A83C15"/>
    <w:rsid w:val="00A84EC4"/>
    <w:rsid w:val="00A86CB6"/>
    <w:rsid w:val="00A86E80"/>
    <w:rsid w:val="00A90D3C"/>
    <w:rsid w:val="00A90D55"/>
    <w:rsid w:val="00A944D8"/>
    <w:rsid w:val="00A959E7"/>
    <w:rsid w:val="00A95BBA"/>
    <w:rsid w:val="00A95EE9"/>
    <w:rsid w:val="00A961EE"/>
    <w:rsid w:val="00AA04B3"/>
    <w:rsid w:val="00AA1253"/>
    <w:rsid w:val="00AA1ED0"/>
    <w:rsid w:val="00AA1F5B"/>
    <w:rsid w:val="00AA27FC"/>
    <w:rsid w:val="00AA28EF"/>
    <w:rsid w:val="00AA3593"/>
    <w:rsid w:val="00AA38CA"/>
    <w:rsid w:val="00AA493E"/>
    <w:rsid w:val="00AA73AF"/>
    <w:rsid w:val="00AB0A8A"/>
    <w:rsid w:val="00AB1754"/>
    <w:rsid w:val="00AB1F8D"/>
    <w:rsid w:val="00AB27DD"/>
    <w:rsid w:val="00AB592E"/>
    <w:rsid w:val="00AC0120"/>
    <w:rsid w:val="00AC0EB5"/>
    <w:rsid w:val="00AC37BE"/>
    <w:rsid w:val="00AC385B"/>
    <w:rsid w:val="00AC439D"/>
    <w:rsid w:val="00AC5FD7"/>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57D"/>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0F37"/>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000"/>
    <w:rsid w:val="00B36569"/>
    <w:rsid w:val="00B37345"/>
    <w:rsid w:val="00B37791"/>
    <w:rsid w:val="00B37F53"/>
    <w:rsid w:val="00B40A05"/>
    <w:rsid w:val="00B40A3E"/>
    <w:rsid w:val="00B427BB"/>
    <w:rsid w:val="00B43BA2"/>
    <w:rsid w:val="00B449EE"/>
    <w:rsid w:val="00B454AE"/>
    <w:rsid w:val="00B50227"/>
    <w:rsid w:val="00B50510"/>
    <w:rsid w:val="00B51878"/>
    <w:rsid w:val="00B522CD"/>
    <w:rsid w:val="00B55143"/>
    <w:rsid w:val="00B555C8"/>
    <w:rsid w:val="00B55917"/>
    <w:rsid w:val="00B5646A"/>
    <w:rsid w:val="00B56F3D"/>
    <w:rsid w:val="00B57921"/>
    <w:rsid w:val="00B57E78"/>
    <w:rsid w:val="00B57EB8"/>
    <w:rsid w:val="00B609F6"/>
    <w:rsid w:val="00B60E75"/>
    <w:rsid w:val="00B643A6"/>
    <w:rsid w:val="00B64DD6"/>
    <w:rsid w:val="00B64FAD"/>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4EA"/>
    <w:rsid w:val="00B83F87"/>
    <w:rsid w:val="00B8478F"/>
    <w:rsid w:val="00B90E1C"/>
    <w:rsid w:val="00B91676"/>
    <w:rsid w:val="00B92337"/>
    <w:rsid w:val="00B9322B"/>
    <w:rsid w:val="00B955D5"/>
    <w:rsid w:val="00B95833"/>
    <w:rsid w:val="00B96021"/>
    <w:rsid w:val="00BA1824"/>
    <w:rsid w:val="00BA2074"/>
    <w:rsid w:val="00BA2D98"/>
    <w:rsid w:val="00BA2F0C"/>
    <w:rsid w:val="00BA30D1"/>
    <w:rsid w:val="00BA30E1"/>
    <w:rsid w:val="00BA4609"/>
    <w:rsid w:val="00BA5BE2"/>
    <w:rsid w:val="00BA6D5E"/>
    <w:rsid w:val="00BA7F46"/>
    <w:rsid w:val="00BB0A0A"/>
    <w:rsid w:val="00BB133C"/>
    <w:rsid w:val="00BB1F04"/>
    <w:rsid w:val="00BB45B5"/>
    <w:rsid w:val="00BB4DDE"/>
    <w:rsid w:val="00BB6064"/>
    <w:rsid w:val="00BB65CE"/>
    <w:rsid w:val="00BB7012"/>
    <w:rsid w:val="00BC09D1"/>
    <w:rsid w:val="00BC1CF3"/>
    <w:rsid w:val="00BC2BE0"/>
    <w:rsid w:val="00BC3573"/>
    <w:rsid w:val="00BC7F3B"/>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24C"/>
    <w:rsid w:val="00C62EB2"/>
    <w:rsid w:val="00C64C87"/>
    <w:rsid w:val="00C665FE"/>
    <w:rsid w:val="00C71BEC"/>
    <w:rsid w:val="00C74D3A"/>
    <w:rsid w:val="00C75785"/>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3AD"/>
    <w:rsid w:val="00CA1C73"/>
    <w:rsid w:val="00CA282D"/>
    <w:rsid w:val="00CA3F73"/>
    <w:rsid w:val="00CA4670"/>
    <w:rsid w:val="00CA4802"/>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3D17"/>
    <w:rsid w:val="00CC5454"/>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3252"/>
    <w:rsid w:val="00CF4340"/>
    <w:rsid w:val="00CF4394"/>
    <w:rsid w:val="00CF48B4"/>
    <w:rsid w:val="00CF4F99"/>
    <w:rsid w:val="00CF5B2A"/>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2103"/>
    <w:rsid w:val="00D336C8"/>
    <w:rsid w:val="00D339E8"/>
    <w:rsid w:val="00D3654A"/>
    <w:rsid w:val="00D3662E"/>
    <w:rsid w:val="00D40B1F"/>
    <w:rsid w:val="00D40D75"/>
    <w:rsid w:val="00D42F70"/>
    <w:rsid w:val="00D43978"/>
    <w:rsid w:val="00D43CBD"/>
    <w:rsid w:val="00D449F0"/>
    <w:rsid w:val="00D462D7"/>
    <w:rsid w:val="00D5062C"/>
    <w:rsid w:val="00D50C8C"/>
    <w:rsid w:val="00D50D56"/>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4432"/>
    <w:rsid w:val="00D75589"/>
    <w:rsid w:val="00D76AB2"/>
    <w:rsid w:val="00D80490"/>
    <w:rsid w:val="00D829AD"/>
    <w:rsid w:val="00D82EE2"/>
    <w:rsid w:val="00D83D1B"/>
    <w:rsid w:val="00D84133"/>
    <w:rsid w:val="00D8545C"/>
    <w:rsid w:val="00D856B1"/>
    <w:rsid w:val="00D86E57"/>
    <w:rsid w:val="00D87788"/>
    <w:rsid w:val="00D877C8"/>
    <w:rsid w:val="00D91040"/>
    <w:rsid w:val="00D910C2"/>
    <w:rsid w:val="00D9168C"/>
    <w:rsid w:val="00D9189B"/>
    <w:rsid w:val="00D91DA6"/>
    <w:rsid w:val="00D921A0"/>
    <w:rsid w:val="00D927F3"/>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63E7"/>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943"/>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4CB6"/>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013"/>
    <w:rsid w:val="00E47370"/>
    <w:rsid w:val="00E473E9"/>
    <w:rsid w:val="00E474F7"/>
    <w:rsid w:val="00E47B47"/>
    <w:rsid w:val="00E507E5"/>
    <w:rsid w:val="00E50BEB"/>
    <w:rsid w:val="00E548FA"/>
    <w:rsid w:val="00E5674A"/>
    <w:rsid w:val="00E57703"/>
    <w:rsid w:val="00E57ED4"/>
    <w:rsid w:val="00E57FED"/>
    <w:rsid w:val="00E6092F"/>
    <w:rsid w:val="00E60BD0"/>
    <w:rsid w:val="00E62049"/>
    <w:rsid w:val="00E629DA"/>
    <w:rsid w:val="00E64374"/>
    <w:rsid w:val="00E6469F"/>
    <w:rsid w:val="00E65D39"/>
    <w:rsid w:val="00E670F8"/>
    <w:rsid w:val="00E6741B"/>
    <w:rsid w:val="00E67C79"/>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DE4"/>
    <w:rsid w:val="00E8608F"/>
    <w:rsid w:val="00E86C1D"/>
    <w:rsid w:val="00E86CE0"/>
    <w:rsid w:val="00E874E1"/>
    <w:rsid w:val="00E9763D"/>
    <w:rsid w:val="00EA1177"/>
    <w:rsid w:val="00EA118B"/>
    <w:rsid w:val="00EA11B6"/>
    <w:rsid w:val="00EA19F3"/>
    <w:rsid w:val="00EA2181"/>
    <w:rsid w:val="00EA2DD8"/>
    <w:rsid w:val="00EA4475"/>
    <w:rsid w:val="00EA52FE"/>
    <w:rsid w:val="00EA681F"/>
    <w:rsid w:val="00EB04C6"/>
    <w:rsid w:val="00EB06A6"/>
    <w:rsid w:val="00EB13B2"/>
    <w:rsid w:val="00EB3307"/>
    <w:rsid w:val="00EB3823"/>
    <w:rsid w:val="00EB466D"/>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6E26"/>
    <w:rsid w:val="00F171F9"/>
    <w:rsid w:val="00F1737C"/>
    <w:rsid w:val="00F21077"/>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3945"/>
    <w:rsid w:val="00F853AE"/>
    <w:rsid w:val="00F85F6B"/>
    <w:rsid w:val="00F908D5"/>
    <w:rsid w:val="00F913B9"/>
    <w:rsid w:val="00F9141D"/>
    <w:rsid w:val="00F93C74"/>
    <w:rsid w:val="00F93DCC"/>
    <w:rsid w:val="00F9435D"/>
    <w:rsid w:val="00F966F9"/>
    <w:rsid w:val="00F96F61"/>
    <w:rsid w:val="00F97740"/>
    <w:rsid w:val="00FA0C8F"/>
    <w:rsid w:val="00FA1969"/>
    <w:rsid w:val="00FA2DEF"/>
    <w:rsid w:val="00FA2F7B"/>
    <w:rsid w:val="00FA3C97"/>
    <w:rsid w:val="00FA3D30"/>
    <w:rsid w:val="00FA4B49"/>
    <w:rsid w:val="00FA54F8"/>
    <w:rsid w:val="00FA78C8"/>
    <w:rsid w:val="00FA7A2F"/>
    <w:rsid w:val="00FB09FE"/>
    <w:rsid w:val="00FB0E80"/>
    <w:rsid w:val="00FB101D"/>
    <w:rsid w:val="00FB1725"/>
    <w:rsid w:val="00FB1DB9"/>
    <w:rsid w:val="00FB2493"/>
    <w:rsid w:val="00FB42B7"/>
    <w:rsid w:val="00FB4484"/>
    <w:rsid w:val="00FB593A"/>
    <w:rsid w:val="00FB6410"/>
    <w:rsid w:val="00FB6E82"/>
    <w:rsid w:val="00FB792E"/>
    <w:rsid w:val="00FB7CF0"/>
    <w:rsid w:val="00FC0042"/>
    <w:rsid w:val="00FC10EC"/>
    <w:rsid w:val="00FC1E67"/>
    <w:rsid w:val="00FC2A13"/>
    <w:rsid w:val="00FC4079"/>
    <w:rsid w:val="00FC4284"/>
    <w:rsid w:val="00FC4576"/>
    <w:rsid w:val="00FC5FF5"/>
    <w:rsid w:val="00FC6285"/>
    <w:rsid w:val="00FC78FB"/>
    <w:rsid w:val="00FC7DBC"/>
    <w:rsid w:val="00FD076A"/>
    <w:rsid w:val="00FD0AA0"/>
    <w:rsid w:val="00FD1665"/>
    <w:rsid w:val="00FD1D5A"/>
    <w:rsid w:val="00FD5059"/>
    <w:rsid w:val="00FD554D"/>
    <w:rsid w:val="00FD5BCC"/>
    <w:rsid w:val="00FD7B23"/>
    <w:rsid w:val="00FE2282"/>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6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319578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4971-0E49-4201-8ED3-7379A992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2012-01-12T16:56:00Z</cp:lastPrinted>
  <dcterms:created xsi:type="dcterms:W3CDTF">2011-12-14T18:43:00Z</dcterms:created>
  <dcterms:modified xsi:type="dcterms:W3CDTF">2012-02-14T16:03:00Z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