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5F" w:rsidRPr="00396779" w:rsidRDefault="00F90C5F" w:rsidP="00510F9C">
      <w:pPr>
        <w:tabs>
          <w:tab w:val="left" w:pos="288"/>
          <w:tab w:val="left" w:pos="4752"/>
        </w:tabs>
        <w:spacing w:line="240" w:lineRule="exact"/>
        <w:jc w:val="center"/>
        <w:rPr>
          <w:color w:val="auto"/>
        </w:rPr>
      </w:pPr>
      <w:r w:rsidRPr="00396779">
        <w:rPr>
          <w:color w:val="auto"/>
        </w:rPr>
        <w:t>RECORD OF PROCEEDINGS</w:t>
      </w:r>
    </w:p>
    <w:p w:rsidR="00F90C5F" w:rsidRPr="00396779" w:rsidRDefault="00F90C5F" w:rsidP="00510F9C">
      <w:pPr>
        <w:tabs>
          <w:tab w:val="left" w:pos="288"/>
          <w:tab w:val="left" w:pos="4752"/>
        </w:tabs>
        <w:spacing w:line="240" w:lineRule="exact"/>
        <w:jc w:val="center"/>
        <w:rPr>
          <w:color w:val="auto"/>
        </w:rPr>
      </w:pPr>
      <w:r w:rsidRPr="00396779">
        <w:rPr>
          <w:color w:val="auto"/>
        </w:rPr>
        <w:t>PHYSICAL DISABILITY BOARD OF REVIEW</w:t>
      </w:r>
    </w:p>
    <w:p w:rsidR="00F90C5F" w:rsidRPr="00396779" w:rsidRDefault="00F90C5F" w:rsidP="00510F9C">
      <w:pPr>
        <w:tabs>
          <w:tab w:val="left" w:pos="288"/>
          <w:tab w:val="left" w:pos="4752"/>
        </w:tabs>
        <w:spacing w:line="240" w:lineRule="exact"/>
        <w:jc w:val="both"/>
        <w:rPr>
          <w:caps/>
          <w:color w:val="auto"/>
        </w:rPr>
      </w:pPr>
    </w:p>
    <w:p w:rsidR="00F90C5F" w:rsidRDefault="00F90C5F" w:rsidP="00937961">
      <w:pPr>
        <w:tabs>
          <w:tab w:val="left" w:pos="288"/>
          <w:tab w:val="left" w:pos="4752"/>
          <w:tab w:val="left" w:pos="6120"/>
          <w:tab w:val="left" w:pos="9270"/>
        </w:tabs>
        <w:spacing w:line="240" w:lineRule="exact"/>
        <w:jc w:val="both"/>
        <w:rPr>
          <w:caps/>
          <w:color w:val="auto"/>
        </w:rPr>
      </w:pPr>
      <w:r w:rsidRPr="00FD6C41">
        <w:rPr>
          <w:caps/>
          <w:color w:val="auto"/>
        </w:rPr>
        <w:t xml:space="preserve">NAME: </w:t>
      </w:r>
      <w:r>
        <w:rPr>
          <w:caps/>
          <w:color w:val="auto"/>
        </w:rPr>
        <w:t xml:space="preserve"> </w:t>
      </w:r>
      <w:r w:rsidR="008C5157">
        <w:rPr>
          <w:caps/>
          <w:color w:val="auto"/>
        </w:rPr>
        <w:t xml:space="preserve"> </w:t>
      </w:r>
      <w:r>
        <w:rPr>
          <w:caps/>
          <w:color w:val="auto"/>
        </w:rPr>
        <w:t xml:space="preserve">              </w:t>
      </w:r>
      <w:r>
        <w:rPr>
          <w:caps/>
          <w:color w:val="auto"/>
        </w:rPr>
        <w:tab/>
      </w:r>
      <w:r w:rsidR="00937961">
        <w:rPr>
          <w:caps/>
          <w:color w:val="auto"/>
        </w:rPr>
        <w:tab/>
      </w:r>
      <w:r w:rsidRPr="00FD6C41">
        <w:rPr>
          <w:caps/>
          <w:color w:val="auto"/>
        </w:rPr>
        <w:t>BRANCH OF SERVICE</w:t>
      </w:r>
      <w:r w:rsidRPr="00816CCB">
        <w:rPr>
          <w:caps/>
          <w:color w:val="auto"/>
        </w:rPr>
        <w:t xml:space="preserve">: </w:t>
      </w:r>
      <w:r w:rsidR="00020CAD">
        <w:rPr>
          <w:caps/>
          <w:color w:val="auto"/>
        </w:rPr>
        <w:t xml:space="preserve"> </w:t>
      </w:r>
      <w:r>
        <w:rPr>
          <w:caps/>
          <w:color w:val="auto"/>
        </w:rPr>
        <w:t>AIR FORCE</w:t>
      </w:r>
    </w:p>
    <w:p w:rsidR="00F90C5F" w:rsidRDefault="00F90C5F" w:rsidP="00937961">
      <w:pPr>
        <w:tabs>
          <w:tab w:val="left" w:pos="288"/>
          <w:tab w:val="left" w:pos="4752"/>
          <w:tab w:val="left" w:pos="6120"/>
          <w:tab w:val="lef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w:t>
      </w:r>
      <w:r w:rsidRPr="00D165FD">
        <w:rPr>
          <w:caps/>
          <w:color w:val="auto"/>
        </w:rPr>
        <w:t>1000</w:t>
      </w:r>
      <w:r w:rsidRPr="00FD6C41">
        <w:rPr>
          <w:caps/>
          <w:color w:val="auto"/>
        </w:rPr>
        <w:t>999</w:t>
      </w:r>
      <w:r w:rsidRPr="00DE3AAD">
        <w:rPr>
          <w:color w:val="auto"/>
        </w:rPr>
        <w:t xml:space="preserve"> </w:t>
      </w:r>
      <w:r w:rsidR="00937961">
        <w:rPr>
          <w:color w:val="auto"/>
        </w:rPr>
        <w:tab/>
        <w:t xml:space="preserve">  </w:t>
      </w:r>
      <w:r w:rsidR="00937961">
        <w:rPr>
          <w:color w:val="auto"/>
        </w:rPr>
        <w:tab/>
      </w:r>
      <w:r w:rsidRPr="00DE3AAD">
        <w:rPr>
          <w:color w:val="auto"/>
        </w:rPr>
        <w:t>SEPARATION DATE:  20030407</w:t>
      </w:r>
    </w:p>
    <w:p w:rsidR="00F90C5F" w:rsidRPr="00784EA0" w:rsidRDefault="00F90C5F" w:rsidP="00937961">
      <w:pPr>
        <w:tabs>
          <w:tab w:val="left" w:pos="288"/>
          <w:tab w:val="left" w:pos="2880"/>
          <w:tab w:val="left" w:pos="5130"/>
        </w:tabs>
        <w:spacing w:line="240" w:lineRule="exact"/>
        <w:rPr>
          <w:caps/>
          <w:color w:val="auto"/>
        </w:rPr>
      </w:pPr>
      <w:r w:rsidRPr="00FD6C41">
        <w:rPr>
          <w:caps/>
          <w:color w:val="auto"/>
        </w:rPr>
        <w:t xml:space="preserve">BOARD DATE: </w:t>
      </w:r>
      <w:r>
        <w:rPr>
          <w:caps/>
          <w:color w:val="auto"/>
        </w:rPr>
        <w:t xml:space="preserve"> </w:t>
      </w:r>
      <w:r w:rsidRPr="00655258">
        <w:rPr>
          <w:caps/>
          <w:color w:val="auto"/>
        </w:rPr>
        <w:t>2011</w:t>
      </w:r>
      <w:r w:rsidR="00E0605E">
        <w:rPr>
          <w:caps/>
          <w:color w:val="auto"/>
        </w:rPr>
        <w:t>1021</w:t>
      </w:r>
      <w:r>
        <w:rPr>
          <w:caps/>
          <w:color w:val="auto"/>
        </w:rPr>
        <w:tab/>
      </w:r>
    </w:p>
    <w:p w:rsidR="00F90C5F" w:rsidRDefault="00F90C5F" w:rsidP="00510F9C">
      <w:pPr>
        <w:pBdr>
          <w:bottom w:val="single" w:sz="12" w:space="1" w:color="auto"/>
        </w:pBdr>
        <w:tabs>
          <w:tab w:val="left" w:pos="288"/>
          <w:tab w:val="left" w:pos="4752"/>
        </w:tabs>
        <w:spacing w:line="240" w:lineRule="exact"/>
        <w:jc w:val="both"/>
        <w:rPr>
          <w:color w:val="auto"/>
          <w:u w:val="single"/>
        </w:rPr>
      </w:pPr>
    </w:p>
    <w:p w:rsidR="00F90C5F" w:rsidRDefault="00F90C5F" w:rsidP="00510F9C">
      <w:pPr>
        <w:tabs>
          <w:tab w:val="left" w:pos="288"/>
          <w:tab w:val="left" w:pos="4752"/>
        </w:tabs>
        <w:spacing w:line="240" w:lineRule="exact"/>
        <w:jc w:val="both"/>
        <w:rPr>
          <w:color w:val="auto"/>
        </w:rPr>
      </w:pPr>
    </w:p>
    <w:p w:rsidR="00F90C5F" w:rsidRPr="00C472C7" w:rsidRDefault="00F90C5F"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w:t>
      </w:r>
      <w:r w:rsidRPr="00D165FD">
        <w:rPr>
          <w:color w:val="auto"/>
        </w:rPr>
        <w:t>Data extracted from the available evidence of record reflects that this covered individual (CI</w:t>
      </w:r>
      <w:r w:rsidR="00D87A01">
        <w:rPr>
          <w:color w:val="auto"/>
        </w:rPr>
        <w:t>) was an active duty SSgt</w:t>
      </w:r>
      <w:r w:rsidRPr="00D165FD">
        <w:rPr>
          <w:color w:val="auto"/>
        </w:rPr>
        <w:t>/E-5 (2T271</w:t>
      </w:r>
      <w:r w:rsidR="00937961">
        <w:rPr>
          <w:color w:val="auto"/>
        </w:rPr>
        <w:t xml:space="preserve">, </w:t>
      </w:r>
      <w:r w:rsidRPr="00D165FD">
        <w:rPr>
          <w:color w:val="auto"/>
        </w:rPr>
        <w:t xml:space="preserve">Air Transportation Craftsman) medically separated </w:t>
      </w:r>
      <w:r w:rsidRPr="00AD7F8F">
        <w:rPr>
          <w:color w:val="auto"/>
        </w:rPr>
        <w:t xml:space="preserve">for </w:t>
      </w:r>
      <w:r w:rsidRPr="00D165FD">
        <w:rPr>
          <w:color w:val="auto"/>
        </w:rPr>
        <w:t>left carpal tunnel syndrome</w:t>
      </w:r>
      <w:r w:rsidR="00436E25">
        <w:rPr>
          <w:color w:val="auto"/>
        </w:rPr>
        <w:t xml:space="preserve"> (CTS)</w:t>
      </w:r>
      <w:r w:rsidRPr="00D165FD">
        <w:rPr>
          <w:color w:val="auto"/>
        </w:rPr>
        <w:t>.</w:t>
      </w:r>
      <w:r w:rsidRPr="00684CE6">
        <w:rPr>
          <w:i/>
          <w:color w:val="auto"/>
        </w:rPr>
        <w:t xml:space="preserve"> </w:t>
      </w:r>
      <w:r w:rsidR="00F93DB2">
        <w:rPr>
          <w:i/>
          <w:color w:val="auto"/>
        </w:rPr>
        <w:t xml:space="preserve"> </w:t>
      </w:r>
      <w:r w:rsidR="00027CAF">
        <w:rPr>
          <w:color w:val="auto"/>
        </w:rPr>
        <w:t>She</w:t>
      </w:r>
      <w:r w:rsidRPr="00664296">
        <w:rPr>
          <w:color w:val="auto"/>
        </w:rPr>
        <w:t xml:space="preserve"> started experiencing nerve pain in both hands in 1998.</w:t>
      </w:r>
      <w:r w:rsidR="00F93DB2">
        <w:rPr>
          <w:color w:val="auto"/>
        </w:rPr>
        <w:t xml:space="preserve"> </w:t>
      </w:r>
      <w:r w:rsidRPr="00664296">
        <w:rPr>
          <w:color w:val="auto"/>
        </w:rPr>
        <w:t xml:space="preserve"> Surgery the same year relieved the symptoms in the right hand, but three surgeries and extensive physical therapy </w:t>
      </w:r>
      <w:r w:rsidR="00020010">
        <w:rPr>
          <w:color w:val="auto"/>
        </w:rPr>
        <w:t>did not resolve the symptoms</w:t>
      </w:r>
      <w:r w:rsidRPr="00664296">
        <w:rPr>
          <w:color w:val="auto"/>
        </w:rPr>
        <w:t xml:space="preserve"> in her left hand.  </w:t>
      </w:r>
      <w:r>
        <w:rPr>
          <w:color w:val="auto"/>
        </w:rPr>
        <w:t xml:space="preserve">She did not respond adequately to perform within her </w:t>
      </w:r>
      <w:r w:rsidR="00020CAD">
        <w:rPr>
          <w:color w:val="auto"/>
        </w:rPr>
        <w:t>career field</w:t>
      </w:r>
      <w:r w:rsidR="00020010" w:rsidRPr="00020010">
        <w:rPr>
          <w:color w:val="auto"/>
        </w:rPr>
        <w:t xml:space="preserve"> </w:t>
      </w:r>
      <w:r w:rsidRPr="00792792">
        <w:rPr>
          <w:color w:val="auto"/>
        </w:rPr>
        <w:t xml:space="preserve">or meet physical fitness standards.  She was issued a </w:t>
      </w:r>
      <w:r w:rsidRPr="000E0766">
        <w:rPr>
          <w:color w:val="auto"/>
        </w:rPr>
        <w:t>revised temporary P4</w:t>
      </w:r>
      <w:r w:rsidRPr="00792792">
        <w:rPr>
          <w:color w:val="auto"/>
        </w:rPr>
        <w:t xml:space="preserve"> profile and underwent a Me</w:t>
      </w:r>
      <w:r w:rsidR="00027CAF">
        <w:rPr>
          <w:color w:val="auto"/>
        </w:rPr>
        <w:t xml:space="preserve">dical Evaluation Board (MEB).  </w:t>
      </w:r>
      <w:r w:rsidR="00436E25">
        <w:rPr>
          <w:color w:val="auto"/>
        </w:rPr>
        <w:t>CTS</w:t>
      </w:r>
      <w:r w:rsidRPr="00792792">
        <w:rPr>
          <w:color w:val="auto"/>
        </w:rPr>
        <w:t xml:space="preserve"> </w:t>
      </w:r>
      <w:proofErr w:type="gramStart"/>
      <w:r w:rsidRPr="00792792">
        <w:rPr>
          <w:color w:val="auto"/>
        </w:rPr>
        <w:t>was</w:t>
      </w:r>
      <w:proofErr w:type="gramEnd"/>
      <w:r w:rsidRPr="00792792">
        <w:rPr>
          <w:color w:val="auto"/>
        </w:rPr>
        <w:t xml:space="preserve"> forwarded to the Physical Evaluation Board (PEB) as medicall</w:t>
      </w:r>
      <w:r w:rsidR="00436E25">
        <w:rPr>
          <w:color w:val="auto"/>
        </w:rPr>
        <w:t>y unacceptable IAW AFI 48-123.</w:t>
      </w:r>
      <w:r w:rsidRPr="00792792">
        <w:rPr>
          <w:color w:val="auto"/>
        </w:rPr>
        <w:t xml:space="preserve">  The PEB adjudicated the left carpal tunnel syndrome status post three surgeries condition as unfitting, rated 20%</w:t>
      </w:r>
      <w:r w:rsidR="00020CAD">
        <w:rPr>
          <w:color w:val="auto"/>
        </w:rPr>
        <w:t>,</w:t>
      </w:r>
      <w:r w:rsidRPr="00792792">
        <w:rPr>
          <w:color w:val="auto"/>
        </w:rPr>
        <w:t xml:space="preserve"> with application of the Veterans Administration Schedule for Rating Disabilities (VASRD).</w:t>
      </w:r>
      <w:r w:rsidR="00436E25">
        <w:rPr>
          <w:color w:val="auto"/>
        </w:rPr>
        <w:t xml:space="preserve"> </w:t>
      </w:r>
      <w:r w:rsidRPr="00D165FD">
        <w:rPr>
          <w:color w:val="auto"/>
        </w:rPr>
        <w:t xml:space="preserve"> The PEB also listed </w:t>
      </w:r>
      <w:r w:rsidRPr="00792792">
        <w:rPr>
          <w:color w:val="auto"/>
        </w:rPr>
        <w:t>obesity 43% body fat as a category III condition that is not separately unfitting and not compensable or ratable.</w:t>
      </w:r>
      <w:r>
        <w:rPr>
          <w:color w:val="auto"/>
        </w:rPr>
        <w:t xml:space="preserve">  </w:t>
      </w:r>
      <w:r w:rsidRPr="00C472C7">
        <w:rPr>
          <w:color w:val="auto"/>
        </w:rPr>
        <w:t xml:space="preserve">The CI made no appeals and was medically separated with a </w:t>
      </w:r>
      <w:r w:rsidRPr="00D165FD">
        <w:rPr>
          <w:color w:val="auto"/>
        </w:rPr>
        <w:t>20</w:t>
      </w:r>
      <w:r w:rsidRPr="00C472C7">
        <w:rPr>
          <w:color w:val="auto"/>
        </w:rPr>
        <w:t>% combined disability rating.</w:t>
      </w:r>
    </w:p>
    <w:p w:rsidR="00F90C5F" w:rsidRDefault="00F90C5F" w:rsidP="00510F9C">
      <w:pPr>
        <w:pBdr>
          <w:bottom w:val="single" w:sz="12" w:space="1" w:color="auto"/>
        </w:pBdr>
        <w:tabs>
          <w:tab w:val="left" w:pos="288"/>
          <w:tab w:val="left" w:pos="4752"/>
        </w:tabs>
        <w:spacing w:line="240" w:lineRule="exact"/>
        <w:jc w:val="both"/>
        <w:rPr>
          <w:color w:val="auto"/>
        </w:rPr>
      </w:pPr>
    </w:p>
    <w:p w:rsidR="00F90C5F" w:rsidRDefault="00F90C5F" w:rsidP="00510F9C">
      <w:pPr>
        <w:tabs>
          <w:tab w:val="left" w:pos="288"/>
          <w:tab w:val="left" w:pos="4752"/>
        </w:tabs>
        <w:spacing w:line="240" w:lineRule="exact"/>
        <w:jc w:val="both"/>
        <w:rPr>
          <w:color w:val="auto"/>
          <w:u w:val="single"/>
        </w:rPr>
      </w:pPr>
    </w:p>
    <w:p w:rsidR="00F90C5F" w:rsidRPr="005C4D72" w:rsidRDefault="00F90C5F" w:rsidP="00EA13CD">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w:t>
      </w:r>
      <w:r w:rsidR="00436E25">
        <w:rPr>
          <w:color w:val="auto"/>
        </w:rPr>
        <w:t>Medications and dosages for migraines have changed several times.  Further testing on left hand has been done.  Deemed a neurological issue now.  Medication prescribed</w:t>
      </w:r>
      <w:r>
        <w:rPr>
          <w:color w:val="auto"/>
        </w:rPr>
        <w:t xml:space="preserve">.”  </w:t>
      </w:r>
      <w:r w:rsidRPr="00EA13CD">
        <w:rPr>
          <w:color w:val="auto"/>
        </w:rPr>
        <w:t>She</w:t>
      </w:r>
      <w:r w:rsidRPr="005C4D72">
        <w:rPr>
          <w:color w:val="auto"/>
        </w:rPr>
        <w:t xml:space="preserve"> elaborates no </w:t>
      </w:r>
      <w:r w:rsidR="00F43EF6">
        <w:rPr>
          <w:color w:val="auto"/>
        </w:rPr>
        <w:t xml:space="preserve">other </w:t>
      </w:r>
      <w:r w:rsidRPr="005C4D72">
        <w:rPr>
          <w:color w:val="auto"/>
        </w:rPr>
        <w:t>specific contentions regarding rating or coding and mentions no additionally contended conditions.</w:t>
      </w:r>
    </w:p>
    <w:p w:rsidR="00F90C5F" w:rsidRDefault="00F90C5F" w:rsidP="00510F9C">
      <w:pPr>
        <w:pBdr>
          <w:bottom w:val="single" w:sz="12" w:space="1" w:color="auto"/>
        </w:pBdr>
        <w:spacing w:line="240" w:lineRule="exact"/>
        <w:rPr>
          <w:color w:val="auto"/>
          <w:u w:val="single"/>
        </w:rPr>
      </w:pPr>
    </w:p>
    <w:p w:rsidR="00F90C5F" w:rsidRDefault="00F90C5F" w:rsidP="00510F9C">
      <w:pPr>
        <w:spacing w:line="240" w:lineRule="exact"/>
        <w:rPr>
          <w:color w:val="auto"/>
          <w:u w:val="single"/>
        </w:rPr>
      </w:pPr>
    </w:p>
    <w:p w:rsidR="00F90C5F" w:rsidRPr="00326C08" w:rsidRDefault="00F90C5F" w:rsidP="00510F9C">
      <w:pPr>
        <w:spacing w:line="240" w:lineRule="exact"/>
        <w:rPr>
          <w:color w:val="auto"/>
        </w:rPr>
      </w:pPr>
      <w:r>
        <w:rPr>
          <w:color w:val="auto"/>
          <w:u w:val="single"/>
        </w:rPr>
        <w:t>R</w:t>
      </w:r>
      <w:r w:rsidRPr="00326C08">
        <w:rPr>
          <w:color w:val="auto"/>
          <w:u w:val="single"/>
        </w:rPr>
        <w:t>ATING COMPARISON</w:t>
      </w:r>
      <w:r w:rsidRPr="00326C08">
        <w:rPr>
          <w:color w:val="auto"/>
        </w:rPr>
        <w:t>:</w:t>
      </w:r>
    </w:p>
    <w:p w:rsidR="00F90C5F" w:rsidRDefault="00F90C5F" w:rsidP="00510F9C">
      <w:pPr>
        <w:spacing w:line="240" w:lineRule="exact"/>
        <w:rPr>
          <w:color w:val="auto"/>
        </w:rPr>
      </w:pPr>
    </w:p>
    <w:tbl>
      <w:tblPr>
        <w:tblStyle w:val="TableGrid"/>
        <w:tblW w:w="9144" w:type="dxa"/>
        <w:jc w:val="center"/>
        <w:tblInd w:w="432" w:type="dxa"/>
        <w:tblLayout w:type="fixed"/>
        <w:tblLook w:val="00A0"/>
      </w:tblPr>
      <w:tblGrid>
        <w:gridCol w:w="2160"/>
        <w:gridCol w:w="1080"/>
        <w:gridCol w:w="810"/>
        <w:gridCol w:w="2502"/>
        <w:gridCol w:w="810"/>
        <w:gridCol w:w="774"/>
        <w:gridCol w:w="18"/>
        <w:gridCol w:w="990"/>
      </w:tblGrid>
      <w:tr w:rsidR="00F90C5F" w:rsidRPr="002A4119" w:rsidTr="00436E25">
        <w:trPr>
          <w:trHeight w:val="143"/>
          <w:jc w:val="center"/>
        </w:trPr>
        <w:tc>
          <w:tcPr>
            <w:tcW w:w="4050" w:type="dxa"/>
            <w:gridSpan w:val="3"/>
            <w:tcBorders>
              <w:right w:val="thinThickThinSmallGap" w:sz="24" w:space="0" w:color="auto"/>
            </w:tcBorders>
            <w:shd w:val="clear" w:color="auto" w:fill="D9D9D9"/>
            <w:vAlign w:val="center"/>
          </w:tcPr>
          <w:p w:rsidR="00F90C5F" w:rsidRPr="006A407A" w:rsidRDefault="00F90C5F" w:rsidP="000E0766">
            <w:pPr>
              <w:spacing w:line="200" w:lineRule="exact"/>
              <w:contextualSpacing/>
              <w:jc w:val="center"/>
              <w:rPr>
                <w:b/>
                <w:color w:val="auto"/>
                <w:sz w:val="20"/>
              </w:rPr>
            </w:pPr>
            <w:r w:rsidRPr="006A407A">
              <w:rPr>
                <w:b/>
                <w:color w:val="auto"/>
                <w:sz w:val="20"/>
              </w:rPr>
              <w:t>Service IPEB – Dated 20030310</w:t>
            </w:r>
          </w:p>
        </w:tc>
        <w:tc>
          <w:tcPr>
            <w:tcW w:w="5094" w:type="dxa"/>
            <w:gridSpan w:val="5"/>
            <w:tcBorders>
              <w:left w:val="thinThickThinSmallGap" w:sz="24" w:space="0" w:color="auto"/>
            </w:tcBorders>
            <w:shd w:val="clear" w:color="auto" w:fill="D9D9D9"/>
            <w:vAlign w:val="center"/>
          </w:tcPr>
          <w:p w:rsidR="00F90C5F" w:rsidRPr="006A407A" w:rsidRDefault="00F90C5F" w:rsidP="000E0766">
            <w:pPr>
              <w:spacing w:line="200" w:lineRule="exact"/>
              <w:contextualSpacing/>
              <w:jc w:val="center"/>
              <w:rPr>
                <w:b/>
                <w:color w:val="auto"/>
                <w:sz w:val="20"/>
              </w:rPr>
            </w:pPr>
            <w:r w:rsidRPr="006A407A">
              <w:rPr>
                <w:b/>
                <w:color w:val="auto"/>
                <w:sz w:val="20"/>
              </w:rPr>
              <w:t>VA (5 Mos. After Separation) – All Effective 20030408</w:t>
            </w:r>
          </w:p>
        </w:tc>
      </w:tr>
      <w:tr w:rsidR="00F90C5F" w:rsidRPr="002A4119" w:rsidTr="00A56EDB">
        <w:trPr>
          <w:trHeight w:val="107"/>
          <w:jc w:val="center"/>
        </w:trPr>
        <w:tc>
          <w:tcPr>
            <w:tcW w:w="2160" w:type="dxa"/>
            <w:tcBorders>
              <w:right w:val="single" w:sz="4" w:space="0" w:color="auto"/>
            </w:tcBorders>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Condition</w:t>
            </w:r>
          </w:p>
        </w:tc>
        <w:tc>
          <w:tcPr>
            <w:tcW w:w="1080" w:type="dxa"/>
            <w:tcBorders>
              <w:left w:val="single" w:sz="4" w:space="0" w:color="auto"/>
            </w:tcBorders>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Code</w:t>
            </w:r>
          </w:p>
        </w:tc>
        <w:tc>
          <w:tcPr>
            <w:tcW w:w="810" w:type="dxa"/>
            <w:tcBorders>
              <w:right w:val="thinThickThinSmallGap" w:sz="24" w:space="0" w:color="auto"/>
            </w:tcBorders>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Rating</w:t>
            </w:r>
          </w:p>
        </w:tc>
        <w:tc>
          <w:tcPr>
            <w:tcW w:w="2502" w:type="dxa"/>
            <w:tcBorders>
              <w:left w:val="thinThickThinSmallGap" w:sz="24" w:space="0" w:color="auto"/>
            </w:tcBorders>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Condition</w:t>
            </w:r>
          </w:p>
        </w:tc>
        <w:tc>
          <w:tcPr>
            <w:tcW w:w="810" w:type="dxa"/>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Code</w:t>
            </w:r>
          </w:p>
        </w:tc>
        <w:tc>
          <w:tcPr>
            <w:tcW w:w="774" w:type="dxa"/>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Rating</w:t>
            </w:r>
          </w:p>
        </w:tc>
        <w:tc>
          <w:tcPr>
            <w:tcW w:w="1008" w:type="dxa"/>
            <w:gridSpan w:val="2"/>
            <w:shd w:val="clear" w:color="auto" w:fill="D9D9D9"/>
            <w:vAlign w:val="center"/>
          </w:tcPr>
          <w:p w:rsidR="00F90C5F" w:rsidRPr="006A407A" w:rsidRDefault="00F90C5F" w:rsidP="00B0472F">
            <w:pPr>
              <w:spacing w:line="200" w:lineRule="exact"/>
              <w:contextualSpacing/>
              <w:jc w:val="center"/>
              <w:rPr>
                <w:b/>
                <w:color w:val="auto"/>
                <w:sz w:val="20"/>
              </w:rPr>
            </w:pPr>
            <w:r w:rsidRPr="006A407A">
              <w:rPr>
                <w:b/>
                <w:color w:val="auto"/>
                <w:sz w:val="20"/>
              </w:rPr>
              <w:t>Exam</w:t>
            </w:r>
          </w:p>
        </w:tc>
      </w:tr>
      <w:tr w:rsidR="00F90C5F" w:rsidRPr="002A4119" w:rsidTr="00A56EDB">
        <w:trPr>
          <w:trHeight w:val="80"/>
          <w:jc w:val="center"/>
        </w:trPr>
        <w:tc>
          <w:tcPr>
            <w:tcW w:w="2160" w:type="dxa"/>
            <w:tcBorders>
              <w:right w:val="single" w:sz="4" w:space="0" w:color="auto"/>
            </w:tcBorders>
            <w:shd w:val="clear" w:color="auto" w:fill="FFFFFF"/>
            <w:vAlign w:val="center"/>
          </w:tcPr>
          <w:p w:rsidR="00F90C5F" w:rsidRPr="006A407A" w:rsidRDefault="00F90C5F" w:rsidP="00436E25">
            <w:pPr>
              <w:spacing w:line="180" w:lineRule="exact"/>
              <w:contextualSpacing/>
              <w:rPr>
                <w:color w:val="auto"/>
                <w:sz w:val="18"/>
              </w:rPr>
            </w:pPr>
            <w:r w:rsidRPr="006A407A">
              <w:rPr>
                <w:color w:val="auto"/>
                <w:sz w:val="18"/>
              </w:rPr>
              <w:t xml:space="preserve">Left </w:t>
            </w:r>
            <w:r w:rsidR="00436E25">
              <w:rPr>
                <w:color w:val="auto"/>
                <w:sz w:val="18"/>
              </w:rPr>
              <w:t>CTS</w:t>
            </w:r>
          </w:p>
        </w:tc>
        <w:tc>
          <w:tcPr>
            <w:tcW w:w="1080" w:type="dxa"/>
            <w:tcBorders>
              <w:left w:val="single" w:sz="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r w:rsidRPr="006A407A">
              <w:rPr>
                <w:color w:val="auto"/>
                <w:sz w:val="18"/>
              </w:rPr>
              <w:t>8715-5299</w:t>
            </w:r>
          </w:p>
        </w:tc>
        <w:tc>
          <w:tcPr>
            <w:tcW w:w="810" w:type="dxa"/>
            <w:tcBorders>
              <w:right w:val="thinThickThinSmallGap" w:sz="2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r w:rsidRPr="006A407A">
              <w:rPr>
                <w:color w:val="auto"/>
                <w:sz w:val="18"/>
              </w:rPr>
              <w:t>20%</w:t>
            </w:r>
          </w:p>
        </w:tc>
        <w:tc>
          <w:tcPr>
            <w:tcW w:w="2502" w:type="dxa"/>
            <w:tcBorders>
              <w:left w:val="thinThickThinSmallGap" w:sz="24" w:space="0" w:color="auto"/>
            </w:tcBorders>
            <w:shd w:val="clear" w:color="auto" w:fill="FFFFFF"/>
            <w:vAlign w:val="center"/>
          </w:tcPr>
          <w:p w:rsidR="00F90C5F" w:rsidRPr="006A407A" w:rsidRDefault="00F90C5F" w:rsidP="00436E25">
            <w:pPr>
              <w:spacing w:line="180" w:lineRule="exact"/>
              <w:contextualSpacing/>
              <w:rPr>
                <w:color w:val="auto"/>
                <w:sz w:val="18"/>
              </w:rPr>
            </w:pPr>
            <w:r w:rsidRPr="006A407A">
              <w:rPr>
                <w:color w:val="auto"/>
                <w:sz w:val="18"/>
              </w:rPr>
              <w:t xml:space="preserve">Residuals </w:t>
            </w:r>
            <w:r w:rsidR="00436E25" w:rsidRPr="006A407A">
              <w:rPr>
                <w:color w:val="auto"/>
                <w:sz w:val="18"/>
              </w:rPr>
              <w:t>Left</w:t>
            </w:r>
            <w:r w:rsidR="00436E25">
              <w:rPr>
                <w:color w:val="auto"/>
                <w:sz w:val="18"/>
              </w:rPr>
              <w:t xml:space="preserve"> CTS</w:t>
            </w:r>
            <w:r w:rsidRPr="006A407A">
              <w:rPr>
                <w:color w:val="auto"/>
                <w:sz w:val="18"/>
              </w:rPr>
              <w:t xml:space="preserve"> Surgery </w:t>
            </w:r>
          </w:p>
        </w:tc>
        <w:tc>
          <w:tcPr>
            <w:tcW w:w="810" w:type="dxa"/>
            <w:shd w:val="clear" w:color="auto" w:fill="FFFFFF"/>
            <w:vAlign w:val="center"/>
          </w:tcPr>
          <w:p w:rsidR="00F90C5F" w:rsidRPr="006A407A" w:rsidRDefault="00F90C5F" w:rsidP="00B0472F">
            <w:pPr>
              <w:spacing w:line="180" w:lineRule="exact"/>
              <w:contextualSpacing/>
              <w:jc w:val="center"/>
              <w:rPr>
                <w:color w:val="auto"/>
                <w:sz w:val="18"/>
              </w:rPr>
            </w:pPr>
            <w:r w:rsidRPr="006A407A">
              <w:rPr>
                <w:color w:val="auto"/>
                <w:sz w:val="18"/>
              </w:rPr>
              <w:t>8515</w:t>
            </w:r>
          </w:p>
        </w:tc>
        <w:tc>
          <w:tcPr>
            <w:tcW w:w="774" w:type="dxa"/>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10%</w:t>
            </w:r>
          </w:p>
        </w:tc>
        <w:tc>
          <w:tcPr>
            <w:tcW w:w="1008" w:type="dxa"/>
            <w:gridSpan w:val="2"/>
            <w:shd w:val="clear" w:color="auto" w:fill="FFFFFF"/>
            <w:vAlign w:val="center"/>
          </w:tcPr>
          <w:p w:rsidR="00F90C5F" w:rsidRPr="006A407A" w:rsidRDefault="00F90C5F" w:rsidP="00436E25">
            <w:pPr>
              <w:spacing w:line="180" w:lineRule="exact"/>
              <w:contextualSpacing/>
              <w:jc w:val="center"/>
              <w:rPr>
                <w:color w:val="auto"/>
                <w:sz w:val="18"/>
              </w:rPr>
            </w:pPr>
            <w:r w:rsidRPr="006A407A">
              <w:rPr>
                <w:color w:val="auto"/>
                <w:sz w:val="18"/>
              </w:rPr>
              <w:t>20030924</w:t>
            </w:r>
          </w:p>
        </w:tc>
      </w:tr>
      <w:tr w:rsidR="00F90C5F" w:rsidRPr="002A4119" w:rsidTr="00436E25">
        <w:trPr>
          <w:trHeight w:val="71"/>
          <w:jc w:val="center"/>
        </w:trPr>
        <w:tc>
          <w:tcPr>
            <w:tcW w:w="2160" w:type="dxa"/>
            <w:tcBorders>
              <w:right w:val="single" w:sz="4" w:space="0" w:color="auto"/>
            </w:tcBorders>
            <w:shd w:val="clear" w:color="auto" w:fill="FFFFFF"/>
            <w:vAlign w:val="center"/>
          </w:tcPr>
          <w:p w:rsidR="00F90C5F" w:rsidRPr="006A407A" w:rsidRDefault="00F90C5F" w:rsidP="000E0766">
            <w:pPr>
              <w:spacing w:line="180" w:lineRule="exact"/>
              <w:contextualSpacing/>
              <w:rPr>
                <w:color w:val="auto"/>
                <w:sz w:val="18"/>
              </w:rPr>
            </w:pPr>
            <w:r w:rsidRPr="006A407A">
              <w:rPr>
                <w:color w:val="auto"/>
                <w:sz w:val="18"/>
              </w:rPr>
              <w:t>Obesity 43% Body Fat</w:t>
            </w:r>
          </w:p>
        </w:tc>
        <w:tc>
          <w:tcPr>
            <w:tcW w:w="1890" w:type="dxa"/>
            <w:gridSpan w:val="2"/>
            <w:tcBorders>
              <w:left w:val="single" w:sz="4" w:space="0" w:color="auto"/>
              <w:right w:val="thinThickThinSmallGap" w:sz="24" w:space="0" w:color="auto"/>
            </w:tcBorders>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Cat III</w:t>
            </w:r>
          </w:p>
        </w:tc>
        <w:tc>
          <w:tcPr>
            <w:tcW w:w="5094" w:type="dxa"/>
            <w:gridSpan w:val="5"/>
            <w:tcBorders>
              <w:left w:val="thinThickThinSmallGap" w:sz="2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r w:rsidRPr="006A407A">
              <w:rPr>
                <w:color w:val="auto"/>
                <w:sz w:val="18"/>
              </w:rPr>
              <w:t>No VA Entry</w:t>
            </w:r>
          </w:p>
        </w:tc>
      </w:tr>
      <w:tr w:rsidR="00F90C5F" w:rsidRPr="002A4119" w:rsidTr="00A56EDB">
        <w:trPr>
          <w:trHeight w:val="152"/>
          <w:jc w:val="center"/>
        </w:trPr>
        <w:tc>
          <w:tcPr>
            <w:tcW w:w="4050" w:type="dxa"/>
            <w:gridSpan w:val="3"/>
            <w:tcBorders>
              <w:bottom w:val="nil"/>
              <w:right w:val="thinThickThinSmallGap" w:sz="2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r w:rsidRPr="006A407A">
              <w:rPr>
                <w:color w:val="auto"/>
                <w:sz w:val="18"/>
              </w:rPr>
              <w:t>↓No Additional MEB/PEB Entries↓</w:t>
            </w:r>
          </w:p>
        </w:tc>
        <w:tc>
          <w:tcPr>
            <w:tcW w:w="2502" w:type="dxa"/>
            <w:tcBorders>
              <w:left w:val="thinThickThinSmallGap" w:sz="24" w:space="0" w:color="auto"/>
            </w:tcBorders>
            <w:shd w:val="clear" w:color="auto" w:fill="FFFFFF"/>
            <w:vAlign w:val="center"/>
          </w:tcPr>
          <w:p w:rsidR="00F90C5F" w:rsidRPr="006A407A" w:rsidRDefault="00F90C5F" w:rsidP="00436E25">
            <w:pPr>
              <w:spacing w:line="180" w:lineRule="exact"/>
              <w:contextualSpacing/>
              <w:rPr>
                <w:color w:val="auto"/>
                <w:sz w:val="18"/>
              </w:rPr>
            </w:pPr>
            <w:r w:rsidRPr="006A407A">
              <w:rPr>
                <w:color w:val="auto"/>
                <w:sz w:val="18"/>
              </w:rPr>
              <w:t xml:space="preserve">Residuals </w:t>
            </w:r>
            <w:r w:rsidR="00436E25" w:rsidRPr="006A407A">
              <w:rPr>
                <w:color w:val="auto"/>
                <w:sz w:val="18"/>
              </w:rPr>
              <w:t xml:space="preserve">Right </w:t>
            </w:r>
            <w:r w:rsidR="00436E25">
              <w:rPr>
                <w:color w:val="auto"/>
                <w:sz w:val="18"/>
              </w:rPr>
              <w:t>CTS</w:t>
            </w:r>
            <w:r w:rsidRPr="006A407A">
              <w:rPr>
                <w:color w:val="auto"/>
                <w:sz w:val="18"/>
              </w:rPr>
              <w:t xml:space="preserve"> </w:t>
            </w:r>
          </w:p>
        </w:tc>
        <w:tc>
          <w:tcPr>
            <w:tcW w:w="810" w:type="dxa"/>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8515</w:t>
            </w:r>
          </w:p>
        </w:tc>
        <w:tc>
          <w:tcPr>
            <w:tcW w:w="792" w:type="dxa"/>
            <w:gridSpan w:val="2"/>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0%</w:t>
            </w:r>
          </w:p>
        </w:tc>
        <w:tc>
          <w:tcPr>
            <w:tcW w:w="990" w:type="dxa"/>
            <w:shd w:val="clear" w:color="auto" w:fill="FFFFFF"/>
            <w:vAlign w:val="center"/>
          </w:tcPr>
          <w:p w:rsidR="00F90C5F" w:rsidRPr="006A407A" w:rsidRDefault="00F90C5F" w:rsidP="00436E25">
            <w:pPr>
              <w:spacing w:line="180" w:lineRule="exact"/>
              <w:contextualSpacing/>
              <w:jc w:val="center"/>
              <w:rPr>
                <w:color w:val="auto"/>
                <w:sz w:val="18"/>
              </w:rPr>
            </w:pPr>
            <w:r w:rsidRPr="006A407A">
              <w:rPr>
                <w:color w:val="auto"/>
                <w:sz w:val="18"/>
              </w:rPr>
              <w:t>20030924</w:t>
            </w:r>
          </w:p>
        </w:tc>
      </w:tr>
      <w:tr w:rsidR="00F90C5F" w:rsidRPr="002A4119" w:rsidTr="00A56EDB">
        <w:trPr>
          <w:trHeight w:val="143"/>
          <w:jc w:val="center"/>
        </w:trPr>
        <w:tc>
          <w:tcPr>
            <w:tcW w:w="4050" w:type="dxa"/>
            <w:gridSpan w:val="3"/>
            <w:vMerge w:val="restart"/>
            <w:tcBorders>
              <w:top w:val="nil"/>
              <w:right w:val="thinThickThinSmallGap" w:sz="2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p>
        </w:tc>
        <w:tc>
          <w:tcPr>
            <w:tcW w:w="2502" w:type="dxa"/>
            <w:tcBorders>
              <w:left w:val="thinThickThinSmallGap" w:sz="24" w:space="0" w:color="auto"/>
              <w:right w:val="single" w:sz="4" w:space="0" w:color="auto"/>
            </w:tcBorders>
            <w:shd w:val="clear" w:color="auto" w:fill="FFFFFF"/>
            <w:vAlign w:val="center"/>
          </w:tcPr>
          <w:p w:rsidR="00F90C5F" w:rsidRPr="006A407A" w:rsidRDefault="00F90C5F" w:rsidP="000E0766">
            <w:pPr>
              <w:spacing w:line="180" w:lineRule="exact"/>
              <w:contextualSpacing/>
              <w:rPr>
                <w:color w:val="auto"/>
                <w:sz w:val="18"/>
              </w:rPr>
            </w:pPr>
            <w:r w:rsidRPr="006A407A">
              <w:rPr>
                <w:color w:val="auto"/>
                <w:sz w:val="18"/>
              </w:rPr>
              <w:t>Migraine Headaches</w:t>
            </w:r>
          </w:p>
        </w:tc>
        <w:tc>
          <w:tcPr>
            <w:tcW w:w="810" w:type="dxa"/>
            <w:tcBorders>
              <w:left w:val="single" w:sz="4" w:space="0" w:color="auto"/>
            </w:tcBorders>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8100</w:t>
            </w:r>
          </w:p>
        </w:tc>
        <w:tc>
          <w:tcPr>
            <w:tcW w:w="792" w:type="dxa"/>
            <w:gridSpan w:val="2"/>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30%</w:t>
            </w:r>
          </w:p>
        </w:tc>
        <w:tc>
          <w:tcPr>
            <w:tcW w:w="990" w:type="dxa"/>
            <w:shd w:val="clear" w:color="auto" w:fill="FFFFFF"/>
            <w:vAlign w:val="center"/>
          </w:tcPr>
          <w:p w:rsidR="00F90C5F" w:rsidRPr="006A407A" w:rsidRDefault="00F90C5F" w:rsidP="00436E25">
            <w:pPr>
              <w:spacing w:line="180" w:lineRule="exact"/>
              <w:contextualSpacing/>
              <w:jc w:val="center"/>
              <w:rPr>
                <w:color w:val="auto"/>
                <w:sz w:val="18"/>
              </w:rPr>
            </w:pPr>
            <w:r w:rsidRPr="006A407A">
              <w:rPr>
                <w:color w:val="auto"/>
                <w:sz w:val="18"/>
              </w:rPr>
              <w:t>20030924</w:t>
            </w:r>
          </w:p>
        </w:tc>
      </w:tr>
      <w:tr w:rsidR="00F90C5F" w:rsidRPr="002A4119" w:rsidTr="00A56EDB">
        <w:trPr>
          <w:trHeight w:val="42"/>
          <w:jc w:val="center"/>
        </w:trPr>
        <w:tc>
          <w:tcPr>
            <w:tcW w:w="4050" w:type="dxa"/>
            <w:gridSpan w:val="3"/>
            <w:vMerge/>
            <w:tcBorders>
              <w:right w:val="thinThickThinSmallGap" w:sz="24" w:space="0" w:color="auto"/>
            </w:tcBorders>
            <w:shd w:val="clear" w:color="auto" w:fill="FFFFFF"/>
            <w:vAlign w:val="center"/>
          </w:tcPr>
          <w:p w:rsidR="00F90C5F" w:rsidRPr="006A407A" w:rsidRDefault="00F90C5F" w:rsidP="00B0472F">
            <w:pPr>
              <w:spacing w:line="180" w:lineRule="exact"/>
              <w:contextualSpacing/>
              <w:jc w:val="center"/>
              <w:rPr>
                <w:color w:val="auto"/>
                <w:sz w:val="18"/>
              </w:rPr>
            </w:pPr>
          </w:p>
        </w:tc>
        <w:tc>
          <w:tcPr>
            <w:tcW w:w="2502" w:type="dxa"/>
            <w:tcBorders>
              <w:left w:val="thinThickThinSmallGap" w:sz="24" w:space="0" w:color="auto"/>
              <w:right w:val="single" w:sz="4" w:space="0" w:color="auto"/>
            </w:tcBorders>
            <w:shd w:val="clear" w:color="auto" w:fill="FFFFFF"/>
            <w:vAlign w:val="center"/>
          </w:tcPr>
          <w:p w:rsidR="00F90C5F" w:rsidRPr="006A407A" w:rsidRDefault="00F90C5F" w:rsidP="00436E25">
            <w:pPr>
              <w:spacing w:line="180" w:lineRule="exact"/>
              <w:contextualSpacing/>
              <w:rPr>
                <w:color w:val="auto"/>
                <w:sz w:val="18"/>
              </w:rPr>
            </w:pPr>
            <w:r w:rsidRPr="006A407A">
              <w:rPr>
                <w:color w:val="auto"/>
                <w:sz w:val="18"/>
              </w:rPr>
              <w:t xml:space="preserve">Cervical </w:t>
            </w:r>
            <w:r w:rsidR="00436E25" w:rsidRPr="006A407A">
              <w:rPr>
                <w:color w:val="auto"/>
                <w:sz w:val="18"/>
              </w:rPr>
              <w:t>Spin</w:t>
            </w:r>
            <w:r w:rsidR="00436E25">
              <w:rPr>
                <w:color w:val="auto"/>
                <w:sz w:val="18"/>
              </w:rPr>
              <w:t>e</w:t>
            </w:r>
            <w:r w:rsidRPr="006A407A">
              <w:rPr>
                <w:color w:val="auto"/>
                <w:sz w:val="18"/>
              </w:rPr>
              <w:t xml:space="preserve"> </w:t>
            </w:r>
            <w:r w:rsidR="00436E25" w:rsidRPr="006A407A">
              <w:rPr>
                <w:color w:val="auto"/>
                <w:sz w:val="18"/>
              </w:rPr>
              <w:t>C</w:t>
            </w:r>
            <w:r w:rsidR="00436E25">
              <w:rPr>
                <w:color w:val="auto"/>
                <w:sz w:val="18"/>
              </w:rPr>
              <w:t>ondition</w:t>
            </w:r>
          </w:p>
        </w:tc>
        <w:tc>
          <w:tcPr>
            <w:tcW w:w="810" w:type="dxa"/>
            <w:tcBorders>
              <w:left w:val="single" w:sz="4" w:space="0" w:color="auto"/>
            </w:tcBorders>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5243</w:t>
            </w:r>
          </w:p>
        </w:tc>
        <w:tc>
          <w:tcPr>
            <w:tcW w:w="792" w:type="dxa"/>
            <w:gridSpan w:val="2"/>
            <w:shd w:val="clear" w:color="auto" w:fill="FFFFFF"/>
            <w:vAlign w:val="center"/>
          </w:tcPr>
          <w:p w:rsidR="00F90C5F" w:rsidRPr="006A407A" w:rsidRDefault="00F90C5F" w:rsidP="000E0766">
            <w:pPr>
              <w:spacing w:line="180" w:lineRule="exact"/>
              <w:contextualSpacing/>
              <w:jc w:val="center"/>
              <w:rPr>
                <w:color w:val="auto"/>
                <w:sz w:val="16"/>
              </w:rPr>
            </w:pPr>
            <w:r w:rsidRPr="006A407A">
              <w:rPr>
                <w:color w:val="auto"/>
                <w:sz w:val="18"/>
              </w:rPr>
              <w:t xml:space="preserve">10%* </w:t>
            </w:r>
          </w:p>
        </w:tc>
        <w:tc>
          <w:tcPr>
            <w:tcW w:w="990" w:type="dxa"/>
            <w:shd w:val="clear" w:color="auto" w:fill="FFFFFF"/>
            <w:vAlign w:val="center"/>
          </w:tcPr>
          <w:p w:rsidR="00F90C5F" w:rsidRPr="006A407A" w:rsidRDefault="00F90C5F" w:rsidP="000E0766">
            <w:pPr>
              <w:spacing w:line="180" w:lineRule="exact"/>
              <w:contextualSpacing/>
              <w:jc w:val="center"/>
              <w:rPr>
                <w:color w:val="auto"/>
                <w:sz w:val="18"/>
              </w:rPr>
            </w:pPr>
            <w:r w:rsidRPr="006A407A">
              <w:rPr>
                <w:color w:val="auto"/>
                <w:sz w:val="18"/>
              </w:rPr>
              <w:t>20060225</w:t>
            </w:r>
          </w:p>
        </w:tc>
      </w:tr>
      <w:tr w:rsidR="00F90C5F" w:rsidRPr="002A4119" w:rsidTr="00A56EDB">
        <w:trPr>
          <w:trHeight w:val="125"/>
          <w:jc w:val="center"/>
        </w:trPr>
        <w:tc>
          <w:tcPr>
            <w:tcW w:w="4050" w:type="dxa"/>
            <w:gridSpan w:val="3"/>
            <w:tcBorders>
              <w:right w:val="thinThickThinSmallGap" w:sz="24" w:space="0" w:color="auto"/>
            </w:tcBorders>
            <w:shd w:val="clear" w:color="auto" w:fill="D9D9D9"/>
            <w:vAlign w:val="center"/>
          </w:tcPr>
          <w:p w:rsidR="00F90C5F" w:rsidRPr="006A407A" w:rsidRDefault="00F90C5F" w:rsidP="000E0766">
            <w:pPr>
              <w:spacing w:line="200" w:lineRule="exact"/>
              <w:contextualSpacing/>
              <w:jc w:val="center"/>
              <w:rPr>
                <w:b/>
                <w:color w:val="auto"/>
                <w:sz w:val="20"/>
              </w:rPr>
            </w:pPr>
            <w:r w:rsidRPr="006A407A">
              <w:rPr>
                <w:b/>
                <w:color w:val="auto"/>
                <w:sz w:val="20"/>
              </w:rPr>
              <w:t>Combined:  20%</w:t>
            </w:r>
          </w:p>
        </w:tc>
        <w:tc>
          <w:tcPr>
            <w:tcW w:w="5094" w:type="dxa"/>
            <w:gridSpan w:val="5"/>
            <w:tcBorders>
              <w:left w:val="thinThickThinSmallGap" w:sz="24" w:space="0" w:color="auto"/>
            </w:tcBorders>
            <w:shd w:val="clear" w:color="auto" w:fill="D9D9D9"/>
            <w:vAlign w:val="center"/>
          </w:tcPr>
          <w:p w:rsidR="00F90C5F" w:rsidRPr="006A407A" w:rsidRDefault="00F90C5F" w:rsidP="000E0766">
            <w:pPr>
              <w:spacing w:line="200" w:lineRule="exact"/>
              <w:contextualSpacing/>
              <w:jc w:val="center"/>
              <w:rPr>
                <w:b/>
                <w:color w:val="auto"/>
                <w:sz w:val="20"/>
              </w:rPr>
            </w:pPr>
            <w:r w:rsidRPr="006A407A">
              <w:rPr>
                <w:b/>
                <w:color w:val="auto"/>
                <w:sz w:val="20"/>
              </w:rPr>
              <w:t>Combined:  40%</w:t>
            </w:r>
          </w:p>
        </w:tc>
      </w:tr>
    </w:tbl>
    <w:p w:rsidR="00F90C5F" w:rsidRDefault="00F90C5F" w:rsidP="000E0766">
      <w:pPr>
        <w:pBdr>
          <w:bottom w:val="single" w:sz="12" w:space="1" w:color="auto"/>
        </w:pBdr>
        <w:tabs>
          <w:tab w:val="left" w:pos="288"/>
          <w:tab w:val="left" w:pos="4752"/>
        </w:tabs>
        <w:spacing w:line="240" w:lineRule="exact"/>
        <w:jc w:val="both"/>
        <w:rPr>
          <w:color w:val="auto"/>
          <w:sz w:val="18"/>
        </w:rPr>
      </w:pPr>
      <w:r w:rsidRPr="00664DE4">
        <w:rPr>
          <w:color w:val="auto"/>
          <w:sz w:val="18"/>
        </w:rPr>
        <w:t>*Note:  5243 rated 10% effective 20030924</w:t>
      </w:r>
      <w:r w:rsidR="00A56EDB">
        <w:rPr>
          <w:color w:val="auto"/>
          <w:sz w:val="18"/>
        </w:rPr>
        <w:t xml:space="preserve"> based on an exam dated 20060225.</w:t>
      </w:r>
    </w:p>
    <w:p w:rsidR="00436E25" w:rsidRPr="00437D18" w:rsidRDefault="00436E25" w:rsidP="000E0766">
      <w:pPr>
        <w:pBdr>
          <w:bottom w:val="single" w:sz="12" w:space="1" w:color="auto"/>
        </w:pBdr>
        <w:tabs>
          <w:tab w:val="left" w:pos="288"/>
          <w:tab w:val="left" w:pos="4752"/>
        </w:tabs>
        <w:spacing w:line="240" w:lineRule="exact"/>
        <w:jc w:val="both"/>
        <w:rPr>
          <w:color w:val="auto"/>
          <w:sz w:val="18"/>
        </w:rPr>
      </w:pPr>
    </w:p>
    <w:p w:rsidR="00F90C5F" w:rsidRDefault="00F90C5F" w:rsidP="00C6170B">
      <w:pPr>
        <w:rPr>
          <w:color w:val="auto"/>
          <w:u w:val="single"/>
        </w:rPr>
      </w:pPr>
    </w:p>
    <w:p w:rsidR="00F90C5F" w:rsidRDefault="00F90C5F" w:rsidP="00E0605E">
      <w:pPr>
        <w:spacing w:line="240" w:lineRule="exact"/>
        <w:jc w:val="both"/>
        <w:rPr>
          <w:color w:val="auto"/>
        </w:rPr>
      </w:pPr>
      <w:r w:rsidRPr="00396779">
        <w:rPr>
          <w:color w:val="auto"/>
          <w:u w:val="single"/>
        </w:rPr>
        <w:t>ANALYSIS SUMMARY</w:t>
      </w:r>
      <w:r w:rsidRPr="00396779">
        <w:rPr>
          <w:color w:val="auto"/>
        </w:rPr>
        <w:t>:</w:t>
      </w:r>
      <w:r w:rsidR="00B346E2" w:rsidRPr="00B346E2">
        <w:rPr>
          <w:color w:val="auto"/>
        </w:rPr>
        <w:t xml:space="preserve"> </w:t>
      </w:r>
      <w:r w:rsidR="00B346E2">
        <w:rPr>
          <w:color w:val="auto"/>
        </w:rPr>
        <w:t xml:space="preserve"> </w:t>
      </w:r>
      <w:r w:rsidR="00B346E2" w:rsidRPr="000E0766">
        <w:rPr>
          <w:color w:val="auto"/>
        </w:rPr>
        <w:t xml:space="preserve">The Board acknowledges the sentiment expressed in the CI’s application regarding the significant impairment with which her service-incurred condition continues to burden her.  The Board wishes to clarify that it is subject to the same laws for </w:t>
      </w:r>
      <w:r w:rsidR="00020CAD">
        <w:rPr>
          <w:color w:val="auto"/>
        </w:rPr>
        <w:t>s</w:t>
      </w:r>
      <w:r w:rsidR="00B346E2" w:rsidRPr="000E0766">
        <w:rPr>
          <w:color w:val="auto"/>
        </w:rPr>
        <w:t>ervice disability entitlements as those under which the Disability Evaluation System (DES) operates.  The DES has neither the role nor the authority to compensate service members for anticipated future severity or potential complications of conditions resulting in medical separation.</w:t>
      </w:r>
      <w:r w:rsidR="00F93DB2">
        <w:rPr>
          <w:color w:val="auto"/>
        </w:rPr>
        <w:t xml:space="preserve"> </w:t>
      </w:r>
      <w:r w:rsidR="00B346E2" w:rsidRPr="000E0766">
        <w:rPr>
          <w:color w:val="auto"/>
        </w:rPr>
        <w:t xml:space="preserve"> That role and authority is granted by Congress to the Department of Veteran Affairs (VA),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w:t>
      </w:r>
    </w:p>
    <w:p w:rsidR="00F90C5F" w:rsidRDefault="00F90C5F" w:rsidP="00510F9C">
      <w:pPr>
        <w:spacing w:line="240" w:lineRule="exact"/>
        <w:rPr>
          <w:color w:val="auto"/>
        </w:rPr>
      </w:pPr>
    </w:p>
    <w:p w:rsidR="00F90C5F" w:rsidRPr="00664296" w:rsidRDefault="00F90C5F" w:rsidP="000E0766">
      <w:pPr>
        <w:tabs>
          <w:tab w:val="left" w:pos="288"/>
          <w:tab w:val="left" w:pos="4752"/>
        </w:tabs>
        <w:spacing w:line="240" w:lineRule="exact"/>
        <w:jc w:val="both"/>
        <w:rPr>
          <w:color w:val="auto"/>
        </w:rPr>
      </w:pPr>
      <w:r w:rsidRPr="00664296">
        <w:rPr>
          <w:color w:val="auto"/>
          <w:u w:val="single"/>
        </w:rPr>
        <w:lastRenderedPageBreak/>
        <w:t>Left Carpal Tunnel Syndrome Condition</w:t>
      </w:r>
      <w:r w:rsidRPr="00664296">
        <w:rPr>
          <w:color w:val="auto"/>
        </w:rPr>
        <w:t xml:space="preserve">.  </w:t>
      </w:r>
      <w:r w:rsidR="007A6560">
        <w:rPr>
          <w:color w:val="auto"/>
        </w:rPr>
        <w:t xml:space="preserve">The </w:t>
      </w:r>
      <w:r w:rsidR="00A208FC">
        <w:rPr>
          <w:color w:val="auto"/>
        </w:rPr>
        <w:t xml:space="preserve">service treatment records clearly indicate that the </w:t>
      </w:r>
      <w:r w:rsidR="007A6560">
        <w:rPr>
          <w:color w:val="auto"/>
        </w:rPr>
        <w:t xml:space="preserve">CI had problems with </w:t>
      </w:r>
      <w:r w:rsidR="00020CAD">
        <w:rPr>
          <w:color w:val="auto"/>
        </w:rPr>
        <w:t xml:space="preserve">CTS </w:t>
      </w:r>
      <w:r w:rsidR="00A208FC">
        <w:rPr>
          <w:color w:val="auto"/>
        </w:rPr>
        <w:t>in both wrists.</w:t>
      </w:r>
      <w:r w:rsidR="007A6560">
        <w:rPr>
          <w:color w:val="auto"/>
        </w:rPr>
        <w:t xml:space="preserve"> </w:t>
      </w:r>
      <w:r w:rsidR="00A208FC">
        <w:rPr>
          <w:color w:val="auto"/>
        </w:rPr>
        <w:t xml:space="preserve"> T</w:t>
      </w:r>
      <w:r w:rsidR="007A6560">
        <w:rPr>
          <w:color w:val="auto"/>
        </w:rPr>
        <w:t>he right wrist (her dominant hand) improved with surgery.  Her left wrist, however, did not improve significantly despite three surgeries.  Many</w:t>
      </w:r>
      <w:r w:rsidR="00A208FC">
        <w:rPr>
          <w:color w:val="auto"/>
        </w:rPr>
        <w:t xml:space="preserve"> pre-separation</w:t>
      </w:r>
      <w:r w:rsidR="007A6560">
        <w:rPr>
          <w:color w:val="auto"/>
        </w:rPr>
        <w:t xml:space="preserve"> examinations showed that the CI had pain, decreased muscle strength, and decreased sensation in the distribution of the left median nerve.  </w:t>
      </w:r>
      <w:r w:rsidR="00A208FC">
        <w:rPr>
          <w:color w:val="auto"/>
        </w:rPr>
        <w:t xml:space="preserve">The MEB examiner also noted limited range of motion of the left wrist.  Both the MEB and VA examiners noted a slight decrease in muscle strength at the left wrist.  </w:t>
      </w:r>
      <w:r w:rsidR="0053118C">
        <w:rPr>
          <w:color w:val="auto"/>
        </w:rPr>
        <w:t xml:space="preserve">Neither examiner documented loss of reflexes or muscle atrophy.  </w:t>
      </w:r>
      <w:r w:rsidR="007A6560">
        <w:rPr>
          <w:color w:val="auto"/>
        </w:rPr>
        <w:t xml:space="preserve">The evaluations were unanimous in rating the severity of the conditions as mild to moderate.  </w:t>
      </w:r>
      <w:r w:rsidRPr="00664296">
        <w:rPr>
          <w:color w:val="auto"/>
        </w:rPr>
        <w:t xml:space="preserve">The PEB </w:t>
      </w:r>
      <w:r w:rsidR="0053118C">
        <w:rPr>
          <w:color w:val="auto"/>
        </w:rPr>
        <w:t>coded</w:t>
      </w:r>
      <w:r w:rsidRPr="00664296">
        <w:rPr>
          <w:color w:val="auto"/>
        </w:rPr>
        <w:t xml:space="preserve"> this condition </w:t>
      </w:r>
      <w:r w:rsidR="0053118C">
        <w:rPr>
          <w:color w:val="auto"/>
        </w:rPr>
        <w:t>analogous to 8715 (median nerve</w:t>
      </w:r>
      <w:r w:rsidRPr="00664296">
        <w:rPr>
          <w:color w:val="auto"/>
        </w:rPr>
        <w:t xml:space="preserve"> </w:t>
      </w:r>
      <w:r w:rsidR="0053118C">
        <w:rPr>
          <w:color w:val="auto"/>
        </w:rPr>
        <w:t>n</w:t>
      </w:r>
      <w:r w:rsidRPr="00664296">
        <w:rPr>
          <w:color w:val="auto"/>
        </w:rPr>
        <w:t>euralgia</w:t>
      </w:r>
      <w:r w:rsidR="0053118C">
        <w:rPr>
          <w:color w:val="auto"/>
        </w:rPr>
        <w:t>)</w:t>
      </w:r>
      <w:r w:rsidR="00020CAD">
        <w:rPr>
          <w:color w:val="auto"/>
        </w:rPr>
        <w:t>,</w:t>
      </w:r>
      <w:r w:rsidRPr="00664296">
        <w:rPr>
          <w:color w:val="auto"/>
        </w:rPr>
        <w:t xml:space="preserve"> </w:t>
      </w:r>
      <w:r w:rsidR="0053118C">
        <w:rPr>
          <w:color w:val="auto"/>
        </w:rPr>
        <w:t>rated</w:t>
      </w:r>
      <w:r w:rsidRPr="00664296">
        <w:rPr>
          <w:color w:val="auto"/>
        </w:rPr>
        <w:t xml:space="preserve"> 20% </w:t>
      </w:r>
      <w:r w:rsidR="0053118C">
        <w:rPr>
          <w:color w:val="auto"/>
        </w:rPr>
        <w:t>for moderate severity</w:t>
      </w:r>
      <w:r w:rsidR="00F93DB2">
        <w:rPr>
          <w:color w:val="auto"/>
        </w:rPr>
        <w:t xml:space="preserve"> (minor/non-dominant)</w:t>
      </w:r>
      <w:r w:rsidRPr="00664296">
        <w:rPr>
          <w:color w:val="auto"/>
        </w:rPr>
        <w:t xml:space="preserve">. </w:t>
      </w:r>
      <w:r w:rsidR="00F93DB2">
        <w:rPr>
          <w:color w:val="auto"/>
        </w:rPr>
        <w:t xml:space="preserve"> </w:t>
      </w:r>
      <w:r w:rsidR="0053118C">
        <w:rPr>
          <w:color w:val="auto"/>
        </w:rPr>
        <w:t>P</w:t>
      </w:r>
      <w:r w:rsidR="007A6560">
        <w:rPr>
          <w:color w:val="auto"/>
        </w:rPr>
        <w:t xml:space="preserve">er </w:t>
      </w:r>
      <w:r w:rsidR="00F77684">
        <w:rPr>
          <w:color w:val="auto"/>
        </w:rPr>
        <w:t>VAS</w:t>
      </w:r>
      <w:r w:rsidR="00020CAD">
        <w:rPr>
          <w:color w:val="auto"/>
        </w:rPr>
        <w:t>RD</w:t>
      </w:r>
      <w:r w:rsidR="00F77684">
        <w:rPr>
          <w:color w:val="auto"/>
        </w:rPr>
        <w:t xml:space="preserve"> </w:t>
      </w:r>
      <w:r w:rsidR="007A6560" w:rsidRPr="00664296">
        <w:rPr>
          <w:color w:val="auto"/>
        </w:rPr>
        <w:t>§</w:t>
      </w:r>
      <w:r w:rsidR="007A6560">
        <w:rPr>
          <w:color w:val="auto"/>
        </w:rPr>
        <w:t>4.124</w:t>
      </w:r>
      <w:r w:rsidR="00020CAD">
        <w:rPr>
          <w:color w:val="auto"/>
        </w:rPr>
        <w:t>,</w:t>
      </w:r>
      <w:r w:rsidR="007A6560">
        <w:rPr>
          <w:color w:val="auto"/>
        </w:rPr>
        <w:t xml:space="preserve"> this is the maximum </w:t>
      </w:r>
      <w:r w:rsidR="0053118C">
        <w:rPr>
          <w:color w:val="auto"/>
        </w:rPr>
        <w:t>rating for</w:t>
      </w:r>
      <w:r w:rsidR="007A6560">
        <w:rPr>
          <w:color w:val="auto"/>
        </w:rPr>
        <w:t xml:space="preserve"> neuralgia </w:t>
      </w:r>
      <w:r w:rsidR="0053118C">
        <w:rPr>
          <w:color w:val="auto"/>
        </w:rPr>
        <w:t>of a peripheral nerve</w:t>
      </w:r>
      <w:r w:rsidR="007A6560">
        <w:rPr>
          <w:color w:val="auto"/>
        </w:rPr>
        <w:t xml:space="preserve">.  </w:t>
      </w:r>
      <w:r w:rsidR="0053118C" w:rsidRPr="00664296">
        <w:rPr>
          <w:color w:val="auto"/>
        </w:rPr>
        <w:t xml:space="preserve">The VA </w:t>
      </w:r>
      <w:r w:rsidR="0053118C">
        <w:rPr>
          <w:color w:val="auto"/>
        </w:rPr>
        <w:t xml:space="preserve">coded and </w:t>
      </w:r>
      <w:r w:rsidR="0053118C" w:rsidRPr="00664296">
        <w:rPr>
          <w:color w:val="auto"/>
        </w:rPr>
        <w:t>rated this condition as mild para</w:t>
      </w:r>
      <w:r w:rsidR="0053118C">
        <w:rPr>
          <w:color w:val="auto"/>
        </w:rPr>
        <w:t>lysis of the median nerve</w:t>
      </w:r>
      <w:r w:rsidR="0053118C" w:rsidRPr="00664296">
        <w:rPr>
          <w:color w:val="auto"/>
        </w:rPr>
        <w:t xml:space="preserve">. </w:t>
      </w:r>
      <w:r w:rsidR="0053118C">
        <w:rPr>
          <w:color w:val="auto"/>
        </w:rPr>
        <w:t xml:space="preserve"> The Board also discussed coding and rating this peripheral nerve condition as neuritis since VAS</w:t>
      </w:r>
      <w:r w:rsidR="00020CAD">
        <w:rPr>
          <w:color w:val="auto"/>
        </w:rPr>
        <w:t>RD</w:t>
      </w:r>
      <w:r w:rsidR="0053118C">
        <w:rPr>
          <w:color w:val="auto"/>
        </w:rPr>
        <w:t xml:space="preserve"> </w:t>
      </w:r>
      <w:r w:rsidR="0053118C" w:rsidRPr="00664296">
        <w:rPr>
          <w:color w:val="auto"/>
        </w:rPr>
        <w:t>§</w:t>
      </w:r>
      <w:r w:rsidR="0053118C">
        <w:rPr>
          <w:color w:val="auto"/>
        </w:rPr>
        <w:t xml:space="preserve">4.123 specifies a maximum rating for neuritis </w:t>
      </w:r>
      <w:r w:rsidR="0053118C" w:rsidRPr="0053118C">
        <w:rPr>
          <w:color w:val="auto"/>
        </w:rPr>
        <w:t>equal to severe, incomplete paralysis</w:t>
      </w:r>
      <w:r w:rsidR="0053118C">
        <w:rPr>
          <w:color w:val="auto"/>
        </w:rPr>
        <w:t xml:space="preserve"> of the nerve when organic changes are present.  </w:t>
      </w:r>
      <w:r w:rsidR="007A6560">
        <w:rPr>
          <w:color w:val="auto"/>
        </w:rPr>
        <w:t xml:space="preserve">However, </w:t>
      </w:r>
      <w:r w:rsidR="0053118C">
        <w:rPr>
          <w:color w:val="auto"/>
        </w:rPr>
        <w:t>in the absence of compelling evidence of organic changes “</w:t>
      </w:r>
      <w:r w:rsidR="0053118C" w:rsidRPr="00A208FC">
        <w:rPr>
          <w:color w:val="auto"/>
        </w:rPr>
        <w:t>characterized by loss of reflexes, muscle atrophy, sensory disturbances, and constant pain, at times excruciating,</w:t>
      </w:r>
      <w:r w:rsidR="00CA11B4">
        <w:rPr>
          <w:color w:val="auto"/>
        </w:rPr>
        <w:t>”</w:t>
      </w:r>
      <w:r w:rsidR="0053118C">
        <w:rPr>
          <w:color w:val="auto"/>
        </w:rPr>
        <w:t xml:space="preserve"> the Board concluded </w:t>
      </w:r>
      <w:r w:rsidR="00CA11B4">
        <w:rPr>
          <w:color w:val="auto"/>
        </w:rPr>
        <w:t>that no rating higher than moderate incomplete paralysis of the median nerve was supportable</w:t>
      </w:r>
      <w:r w:rsidR="00F77684">
        <w:rPr>
          <w:color w:val="auto"/>
        </w:rPr>
        <w:t xml:space="preserve">. </w:t>
      </w:r>
      <w:r w:rsidR="00015503">
        <w:rPr>
          <w:color w:val="auto"/>
        </w:rPr>
        <w:t xml:space="preserve"> The Board also considered a rating under 5215 (wrist, limitation of motion) but no rating advantageous to the CI is possible.  </w:t>
      </w:r>
      <w:r w:rsidRPr="00664296">
        <w:rPr>
          <w:color w:val="auto"/>
        </w:rPr>
        <w:t>All evidence considered</w:t>
      </w:r>
      <w:proofErr w:type="gramStart"/>
      <w:r w:rsidRPr="00664296">
        <w:rPr>
          <w:color w:val="auto"/>
        </w:rPr>
        <w:t>,</w:t>
      </w:r>
      <w:proofErr w:type="gramEnd"/>
      <w:r w:rsidRPr="00664296">
        <w:rPr>
          <w:color w:val="auto"/>
        </w:rPr>
        <w:t xml:space="preserve"> there is not reasonable doubt in the CI’s favor supporting a change from the PEB’s rating decision of 20% for the left carpal tunnel syndrome condition.</w:t>
      </w:r>
      <w:r w:rsidR="00A208FC">
        <w:rPr>
          <w:color w:val="auto"/>
        </w:rPr>
        <w:t xml:space="preserve">  </w:t>
      </w:r>
    </w:p>
    <w:p w:rsidR="00F90C5F" w:rsidRPr="00664296" w:rsidRDefault="00F90C5F" w:rsidP="00664296">
      <w:pPr>
        <w:spacing w:line="240" w:lineRule="exact"/>
        <w:rPr>
          <w:color w:val="auto"/>
        </w:rPr>
      </w:pPr>
    </w:p>
    <w:p w:rsidR="00F90C5F" w:rsidRPr="00664296" w:rsidRDefault="00F90C5F" w:rsidP="00E0605E">
      <w:pPr>
        <w:spacing w:line="240" w:lineRule="exact"/>
        <w:jc w:val="both"/>
        <w:rPr>
          <w:color w:val="auto"/>
        </w:rPr>
      </w:pPr>
      <w:r w:rsidRPr="00664296">
        <w:rPr>
          <w:rFonts w:eastAsia="HiddenHorzOCR"/>
          <w:color w:val="auto"/>
          <w:u w:val="single"/>
        </w:rPr>
        <w:t>Other Contended Conditions</w:t>
      </w:r>
      <w:r w:rsidRPr="00664296">
        <w:rPr>
          <w:rFonts w:eastAsia="HiddenHorzOCR"/>
          <w:color w:val="auto"/>
        </w:rPr>
        <w:t xml:space="preserve">.  The CI’s application asserts that compensable ratings should be considered for migraine headaches.  This condition was not noted in the </w:t>
      </w:r>
      <w:r w:rsidR="00020CAD">
        <w:rPr>
          <w:rFonts w:eastAsia="HiddenHorzOCR"/>
          <w:color w:val="auto"/>
        </w:rPr>
        <w:t>narrative summary</w:t>
      </w:r>
      <w:r w:rsidR="00E22C43">
        <w:rPr>
          <w:rFonts w:eastAsia="HiddenHorzOCR"/>
          <w:color w:val="auto"/>
        </w:rPr>
        <w:t>, identified in the commander’s statement,</w:t>
      </w:r>
      <w:r w:rsidRPr="00664296">
        <w:rPr>
          <w:rFonts w:eastAsia="HiddenHorzOCR"/>
          <w:color w:val="auto"/>
        </w:rPr>
        <w:t xml:space="preserve"> or found elsewhere in the DES file. </w:t>
      </w:r>
      <w:r w:rsidR="00E22C43">
        <w:rPr>
          <w:rFonts w:eastAsia="HiddenHorzOCR"/>
          <w:color w:val="auto"/>
        </w:rPr>
        <w:t xml:space="preserve"> The service treatment record documents several clinic visits prior to the MEB period for headaches of various types, all minor, relieved by medication, and not associated with incapacitation or lost duty time.  T</w:t>
      </w:r>
      <w:r w:rsidRPr="00664296">
        <w:rPr>
          <w:color w:val="auto"/>
        </w:rPr>
        <w:t xml:space="preserve">here was no evidence for concluding that this condition interfered with duty performance to a degree that could be argued as unfitting. </w:t>
      </w:r>
      <w:r w:rsidR="00E22C43">
        <w:rPr>
          <w:color w:val="auto"/>
        </w:rPr>
        <w:t xml:space="preserve"> </w:t>
      </w:r>
      <w:r w:rsidRPr="00664296">
        <w:rPr>
          <w:color w:val="auto"/>
        </w:rPr>
        <w:t xml:space="preserve">The Board determined therefore that </w:t>
      </w:r>
      <w:r w:rsidR="00F93DB2">
        <w:rPr>
          <w:color w:val="auto"/>
        </w:rPr>
        <w:t>the migraine headache</w:t>
      </w:r>
      <w:r w:rsidRPr="00664296">
        <w:rPr>
          <w:color w:val="auto"/>
        </w:rPr>
        <w:t xml:space="preserve"> condition is not subject to </w:t>
      </w:r>
      <w:r w:rsidR="00020CAD">
        <w:rPr>
          <w:color w:val="auto"/>
        </w:rPr>
        <w:t>s</w:t>
      </w:r>
      <w:r w:rsidRPr="00664296">
        <w:rPr>
          <w:color w:val="auto"/>
        </w:rPr>
        <w:t>ervice disability rating.</w:t>
      </w:r>
    </w:p>
    <w:p w:rsidR="00F90C5F" w:rsidRPr="00664296" w:rsidRDefault="00F90C5F" w:rsidP="00664296">
      <w:pPr>
        <w:spacing w:line="240" w:lineRule="exact"/>
        <w:jc w:val="both"/>
        <w:rPr>
          <w:color w:val="auto"/>
        </w:rPr>
      </w:pPr>
    </w:p>
    <w:p w:rsidR="00F90C5F" w:rsidRDefault="00F90C5F" w:rsidP="00E0605E">
      <w:pPr>
        <w:spacing w:line="240" w:lineRule="exact"/>
        <w:jc w:val="both"/>
        <w:rPr>
          <w:b/>
          <w:color w:val="auto"/>
          <w:u w:val="single"/>
        </w:rPr>
      </w:pPr>
      <w:proofErr w:type="gramStart"/>
      <w:r w:rsidRPr="00664296">
        <w:rPr>
          <w:color w:val="auto"/>
          <w:u w:val="single"/>
        </w:rPr>
        <w:t>Remaining Conditions</w:t>
      </w:r>
      <w:r w:rsidRPr="00664296">
        <w:rPr>
          <w:color w:val="auto"/>
        </w:rPr>
        <w:t>.</w:t>
      </w:r>
      <w:proofErr w:type="gramEnd"/>
      <w:r w:rsidRPr="00664296">
        <w:rPr>
          <w:color w:val="auto"/>
        </w:rPr>
        <w:t xml:space="preserve"> </w:t>
      </w:r>
      <w:r w:rsidR="00020CAD">
        <w:rPr>
          <w:color w:val="auto"/>
        </w:rPr>
        <w:t xml:space="preserve"> </w:t>
      </w:r>
      <w:r w:rsidRPr="00664296">
        <w:rPr>
          <w:color w:val="auto"/>
        </w:rPr>
        <w:t xml:space="preserve">Other conditions identified in the DES file were </w:t>
      </w:r>
      <w:r>
        <w:rPr>
          <w:color w:val="auto"/>
        </w:rPr>
        <w:t>right wrist surgery</w:t>
      </w:r>
      <w:r w:rsidR="00E22C43">
        <w:rPr>
          <w:color w:val="auto"/>
        </w:rPr>
        <w:t>,</w:t>
      </w:r>
      <w:r>
        <w:rPr>
          <w:color w:val="auto"/>
        </w:rPr>
        <w:t xml:space="preserve"> </w:t>
      </w:r>
      <w:r w:rsidR="00E22C43">
        <w:rPr>
          <w:color w:val="auto"/>
        </w:rPr>
        <w:t xml:space="preserve">scar residual of left wrist CTS surgery, </w:t>
      </w:r>
      <w:r>
        <w:rPr>
          <w:color w:val="auto"/>
        </w:rPr>
        <w:t xml:space="preserve">bilateral knee </w:t>
      </w:r>
      <w:r w:rsidRPr="005B3542">
        <w:rPr>
          <w:color w:val="auto"/>
        </w:rPr>
        <w:t>pain</w:t>
      </w:r>
      <w:r w:rsidR="00E22C43">
        <w:rPr>
          <w:color w:val="auto"/>
        </w:rPr>
        <w:t>,</w:t>
      </w:r>
      <w:r w:rsidRPr="005B3542">
        <w:rPr>
          <w:color w:val="auto"/>
        </w:rPr>
        <w:t xml:space="preserve"> </w:t>
      </w:r>
      <w:r w:rsidR="00352F08" w:rsidRPr="00352F08">
        <w:rPr>
          <w:color w:val="auto"/>
        </w:rPr>
        <w:t>seasonal allergic rhinitis</w:t>
      </w:r>
      <w:r w:rsidR="00E22C43">
        <w:rPr>
          <w:color w:val="auto"/>
        </w:rPr>
        <w:t>,</w:t>
      </w:r>
      <w:r w:rsidRPr="005B3542">
        <w:rPr>
          <w:color w:val="auto"/>
        </w:rPr>
        <w:t xml:space="preserve"> pre-menstrual </w:t>
      </w:r>
      <w:proofErr w:type="spellStart"/>
      <w:r w:rsidRPr="005B3542">
        <w:rPr>
          <w:color w:val="auto"/>
        </w:rPr>
        <w:t>dysphoric</w:t>
      </w:r>
      <w:proofErr w:type="spellEnd"/>
      <w:r w:rsidRPr="005B3542">
        <w:rPr>
          <w:color w:val="auto"/>
        </w:rPr>
        <w:t xml:space="preserve"> disorder</w:t>
      </w:r>
      <w:r w:rsidR="00E22C43">
        <w:rPr>
          <w:color w:val="auto"/>
        </w:rPr>
        <w:t>,</w:t>
      </w:r>
      <w:r w:rsidRPr="005B3542">
        <w:rPr>
          <w:color w:val="auto"/>
        </w:rPr>
        <w:t xml:space="preserve"> depression and dyspepsia.  Several additional non-acute conditions or medical complaints were also documented.  None of these conditions were clinically active during the MEB period, none carried attached profiles, and none were implicated in the commander’s statement.  These conditions were reviewed by the action officer and considered by the Board.  It was determined that none could be argued as unfitting and subject</w:t>
      </w:r>
      <w:r w:rsidRPr="00664296">
        <w:rPr>
          <w:color w:val="auto"/>
        </w:rPr>
        <w:t xml:space="preserve"> to separation rating.  Additionally</w:t>
      </w:r>
      <w:r w:rsidR="00A934CD">
        <w:rPr>
          <w:color w:val="auto"/>
        </w:rPr>
        <w:t>,</w:t>
      </w:r>
      <w:r w:rsidRPr="00664296">
        <w:rPr>
          <w:color w:val="auto"/>
        </w:rPr>
        <w:t xml:space="preserve"> </w:t>
      </w:r>
      <w:r w:rsidR="00A934CD">
        <w:rPr>
          <w:color w:val="auto"/>
        </w:rPr>
        <w:t>a cervical</w:t>
      </w:r>
      <w:r>
        <w:rPr>
          <w:color w:val="auto"/>
        </w:rPr>
        <w:t xml:space="preserve"> spin</w:t>
      </w:r>
      <w:r w:rsidR="00A934CD">
        <w:rPr>
          <w:color w:val="auto"/>
        </w:rPr>
        <w:t>e</w:t>
      </w:r>
      <w:r>
        <w:rPr>
          <w:color w:val="auto"/>
        </w:rPr>
        <w:t xml:space="preserve"> </w:t>
      </w:r>
      <w:r w:rsidR="00A934CD">
        <w:rPr>
          <w:color w:val="auto"/>
        </w:rPr>
        <w:t>condition</w:t>
      </w:r>
      <w:r>
        <w:rPr>
          <w:color w:val="auto"/>
        </w:rPr>
        <w:t xml:space="preserve"> </w:t>
      </w:r>
      <w:r w:rsidRPr="00664296">
        <w:rPr>
          <w:color w:val="auto"/>
        </w:rPr>
        <w:t>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E0605E">
        <w:rPr>
          <w:b/>
          <w:color w:val="auto"/>
          <w:u w:val="single"/>
        </w:rPr>
        <w:t xml:space="preserve"> </w:t>
      </w:r>
    </w:p>
    <w:p w:rsidR="00020CAD" w:rsidRPr="00437D18" w:rsidRDefault="00020CAD" w:rsidP="00020CAD">
      <w:pPr>
        <w:pBdr>
          <w:bottom w:val="single" w:sz="12" w:space="1" w:color="auto"/>
        </w:pBdr>
        <w:tabs>
          <w:tab w:val="left" w:pos="288"/>
          <w:tab w:val="left" w:pos="4752"/>
        </w:tabs>
        <w:spacing w:line="240" w:lineRule="exact"/>
        <w:jc w:val="both"/>
        <w:rPr>
          <w:color w:val="auto"/>
          <w:sz w:val="18"/>
        </w:rPr>
      </w:pPr>
    </w:p>
    <w:p w:rsidR="00020CAD" w:rsidRDefault="00020CAD" w:rsidP="00020CAD">
      <w:pPr>
        <w:rPr>
          <w:color w:val="auto"/>
          <w:u w:val="single"/>
        </w:rPr>
      </w:pPr>
    </w:p>
    <w:p w:rsidR="00F90C5F" w:rsidRPr="00664296" w:rsidRDefault="00F90C5F" w:rsidP="000E0766">
      <w:pPr>
        <w:spacing w:line="240" w:lineRule="exact"/>
        <w:jc w:val="both"/>
        <w:rPr>
          <w:color w:val="auto"/>
        </w:rPr>
      </w:pPr>
      <w:r w:rsidRPr="009C78FD">
        <w:rPr>
          <w:color w:val="auto"/>
          <w:u w:val="single"/>
        </w:rPr>
        <w:t>BOARD FINDINGS</w:t>
      </w:r>
      <w:r w:rsidRPr="009C78FD">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64296">
        <w:rPr>
          <w:color w:val="auto"/>
        </w:rPr>
        <w:t xml:space="preserve">.  </w:t>
      </w:r>
      <w:r w:rsidR="00E22C43" w:rsidRPr="00E22C43">
        <w:rPr>
          <w:color w:val="auto"/>
        </w:rPr>
        <w:t>The Board did not surmise from the record or PEB ruling in this case that any prerogatives outside the VASRD were exercised.</w:t>
      </w:r>
      <w:r w:rsidR="00E22C43">
        <w:rPr>
          <w:color w:val="auto"/>
        </w:rPr>
        <w:t xml:space="preserve">  </w:t>
      </w:r>
      <w:r w:rsidRPr="00664296">
        <w:rPr>
          <w:color w:val="auto"/>
        </w:rPr>
        <w:t>In the matter of the left carpal tunnel condition and IAW VASRD §</w:t>
      </w:r>
      <w:r w:rsidRPr="000E0766">
        <w:rPr>
          <w:color w:val="auto"/>
        </w:rPr>
        <w:t>4.</w:t>
      </w:r>
      <w:r w:rsidR="00191C7D">
        <w:rPr>
          <w:color w:val="auto"/>
        </w:rPr>
        <w:t>124</w:t>
      </w:r>
      <w:r w:rsidR="00E22C43">
        <w:rPr>
          <w:color w:val="auto"/>
        </w:rPr>
        <w:t>a</w:t>
      </w:r>
      <w:r w:rsidRPr="000E0766">
        <w:rPr>
          <w:color w:val="auto"/>
        </w:rPr>
        <w:t>,</w:t>
      </w:r>
      <w:r w:rsidRPr="00664296">
        <w:rPr>
          <w:color w:val="auto"/>
        </w:rPr>
        <w:t xml:space="preserve"> the </w:t>
      </w:r>
      <w:r w:rsidRPr="000E0766">
        <w:rPr>
          <w:color w:val="auto"/>
        </w:rPr>
        <w:t>Board unanimously</w:t>
      </w:r>
      <w:r w:rsidRPr="00664296">
        <w:rPr>
          <w:color w:val="auto"/>
        </w:rPr>
        <w:t xml:space="preserve"> recommends no change in the PEB adjudication.  </w:t>
      </w:r>
      <w:r w:rsidRPr="000E0766">
        <w:rPr>
          <w:color w:val="auto"/>
        </w:rPr>
        <w:t>In the matter of the migraine headache condition, the Board unanimously</w:t>
      </w:r>
      <w:r w:rsidRPr="00664296">
        <w:rPr>
          <w:color w:val="auto"/>
        </w:rPr>
        <w:t xml:space="preserve"> agrees that it cannot</w:t>
      </w:r>
      <w:r w:rsidRPr="00664296">
        <w:rPr>
          <w:color w:val="000080"/>
        </w:rPr>
        <w:t xml:space="preserve"> </w:t>
      </w:r>
      <w:r w:rsidRPr="00664296">
        <w:rPr>
          <w:color w:val="auto"/>
        </w:rPr>
        <w:t xml:space="preserve">recommend a </w:t>
      </w:r>
      <w:r w:rsidRPr="00664296">
        <w:rPr>
          <w:color w:val="auto"/>
        </w:rPr>
        <w:lastRenderedPageBreak/>
        <w:t xml:space="preserve">finding of unfit for additional rating at separation.  </w:t>
      </w:r>
      <w:r w:rsidR="00E22C43" w:rsidRPr="00E22C43">
        <w:rPr>
          <w:color w:val="auto"/>
        </w:rPr>
        <w:t xml:space="preserve">In the matter of the </w:t>
      </w:r>
      <w:r w:rsidR="00E22C43">
        <w:rPr>
          <w:color w:val="auto"/>
        </w:rPr>
        <w:t xml:space="preserve">right wrist surgery, scar residual of left wrist CTS surgery, bilateral knee </w:t>
      </w:r>
      <w:r w:rsidR="00E22C43" w:rsidRPr="005B3542">
        <w:rPr>
          <w:color w:val="auto"/>
        </w:rPr>
        <w:t>pain</w:t>
      </w:r>
      <w:r w:rsidR="00E22C43">
        <w:rPr>
          <w:color w:val="auto"/>
        </w:rPr>
        <w:t>,</w:t>
      </w:r>
      <w:r w:rsidR="00E22C43" w:rsidRPr="005B3542">
        <w:rPr>
          <w:color w:val="auto"/>
        </w:rPr>
        <w:t xml:space="preserve"> </w:t>
      </w:r>
      <w:r w:rsidR="00E22C43" w:rsidRPr="00352F08">
        <w:rPr>
          <w:color w:val="auto"/>
        </w:rPr>
        <w:t>seasonal allergic rhinitis</w:t>
      </w:r>
      <w:r w:rsidR="00E22C43">
        <w:rPr>
          <w:color w:val="auto"/>
        </w:rPr>
        <w:t>,</w:t>
      </w:r>
      <w:r w:rsidR="00E22C43" w:rsidRPr="005B3542">
        <w:rPr>
          <w:color w:val="auto"/>
        </w:rPr>
        <w:t xml:space="preserve"> pre-menstrual dysphoric disorder</w:t>
      </w:r>
      <w:r w:rsidR="00E22C43">
        <w:rPr>
          <w:color w:val="auto"/>
        </w:rPr>
        <w:t>,</w:t>
      </w:r>
      <w:r w:rsidR="00E22C43" w:rsidRPr="005B3542">
        <w:rPr>
          <w:color w:val="auto"/>
        </w:rPr>
        <w:t xml:space="preserve"> depression and dyspepsia</w:t>
      </w:r>
      <w:r w:rsidR="00E22C43" w:rsidRPr="00E22C43">
        <w:rPr>
          <w:color w:val="auto"/>
        </w:rPr>
        <w:t xml:space="preserve"> conditions or any other medical conditions eligible for Board consideration</w:t>
      </w:r>
      <w:r w:rsidR="00020CAD">
        <w:rPr>
          <w:color w:val="auto"/>
        </w:rPr>
        <w:t>,</w:t>
      </w:r>
      <w:r w:rsidR="00E22C43" w:rsidRPr="00E22C43">
        <w:rPr>
          <w:color w:val="auto"/>
        </w:rPr>
        <w:t xml:space="preserve"> the Board unanimously agrees that it cannot recommend any findings of unfit for additional rating at separation.</w:t>
      </w:r>
    </w:p>
    <w:p w:rsidR="00F90C5F" w:rsidRPr="00391858" w:rsidRDefault="00F90C5F" w:rsidP="00664296">
      <w:pPr>
        <w:pBdr>
          <w:bottom w:val="single" w:sz="12" w:space="1" w:color="auto"/>
        </w:pBdr>
        <w:tabs>
          <w:tab w:val="left" w:pos="288"/>
          <w:tab w:val="left" w:pos="4752"/>
        </w:tabs>
        <w:spacing w:line="240" w:lineRule="exact"/>
        <w:jc w:val="both"/>
        <w:rPr>
          <w:b/>
          <w:color w:val="auto"/>
          <w:u w:val="single"/>
        </w:rPr>
      </w:pPr>
    </w:p>
    <w:p w:rsidR="00F90C5F" w:rsidRDefault="00F90C5F" w:rsidP="00664296">
      <w:pPr>
        <w:spacing w:line="240" w:lineRule="exact"/>
        <w:rPr>
          <w:b/>
          <w:color w:val="auto"/>
          <w:u w:val="single"/>
        </w:rPr>
      </w:pPr>
    </w:p>
    <w:p w:rsidR="00F90C5F" w:rsidRDefault="00F90C5F" w:rsidP="00020CAD">
      <w:pPr>
        <w:spacing w:line="240" w:lineRule="exact"/>
        <w:jc w:val="both"/>
        <w:rPr>
          <w:color w:val="auto"/>
        </w:rPr>
      </w:pPr>
      <w:r w:rsidRPr="00396779">
        <w:rPr>
          <w:color w:val="auto"/>
          <w:u w:val="single"/>
        </w:rPr>
        <w:t>RECOMMENDATION</w:t>
      </w:r>
      <w:r w:rsidRPr="00396779">
        <w:rPr>
          <w:color w:val="auto"/>
        </w:rPr>
        <w:t>:</w:t>
      </w:r>
      <w:r w:rsidRPr="00396779">
        <w:rPr>
          <w:color w:val="000080"/>
        </w:rPr>
        <w:t xml:space="preserve"> </w:t>
      </w:r>
      <w:r w:rsidR="00F93DB2">
        <w:rPr>
          <w:color w:val="000080"/>
        </w:rPr>
        <w:t xml:space="preserve"> </w:t>
      </w:r>
      <w:r w:rsidRPr="00396779">
        <w:rPr>
          <w:color w:val="auto"/>
        </w:rPr>
        <w:t xml:space="preserve">The Board therefore recommends that there be no recharacterization of the CI’s </w:t>
      </w:r>
      <w:r w:rsidRPr="00B427BB">
        <w:rPr>
          <w:color w:val="auto"/>
        </w:rPr>
        <w:t>disability and separation determination</w:t>
      </w:r>
      <w:r>
        <w:rPr>
          <w:color w:val="auto"/>
        </w:rPr>
        <w:t xml:space="preserve">, as follows: </w:t>
      </w:r>
    </w:p>
    <w:p w:rsidR="00F90C5F" w:rsidRDefault="00F90C5F" w:rsidP="00510F9C">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0"/>
        <w:gridCol w:w="1710"/>
        <w:gridCol w:w="1170"/>
      </w:tblGrid>
      <w:tr w:rsidR="00F90C5F" w:rsidRPr="00AF01B2">
        <w:trPr>
          <w:trHeight w:val="233"/>
          <w:jc w:val="center"/>
        </w:trPr>
        <w:tc>
          <w:tcPr>
            <w:tcW w:w="6480" w:type="dxa"/>
            <w:shd w:val="clear" w:color="auto" w:fill="D9D9D9"/>
            <w:vAlign w:val="center"/>
          </w:tcPr>
          <w:p w:rsidR="00F90C5F" w:rsidRPr="00AF01B2" w:rsidRDefault="00F90C5F" w:rsidP="00103948">
            <w:pPr>
              <w:tabs>
                <w:tab w:val="left" w:pos="288"/>
                <w:tab w:val="left" w:pos="4752"/>
              </w:tabs>
              <w:spacing w:line="240" w:lineRule="exact"/>
              <w:jc w:val="center"/>
              <w:rPr>
                <w:b/>
                <w:color w:val="auto"/>
              </w:rPr>
            </w:pPr>
            <w:r w:rsidRPr="00AF01B2">
              <w:rPr>
                <w:b/>
                <w:color w:val="auto"/>
              </w:rPr>
              <w:t>UNFITTING CONDITION</w:t>
            </w:r>
          </w:p>
        </w:tc>
        <w:tc>
          <w:tcPr>
            <w:tcW w:w="1710" w:type="dxa"/>
            <w:shd w:val="clear" w:color="auto" w:fill="D9D9D9"/>
            <w:vAlign w:val="center"/>
          </w:tcPr>
          <w:p w:rsidR="00F90C5F" w:rsidRPr="00AF01B2" w:rsidRDefault="00F90C5F" w:rsidP="00103948">
            <w:pPr>
              <w:tabs>
                <w:tab w:val="left" w:pos="288"/>
                <w:tab w:val="left" w:pos="4752"/>
              </w:tabs>
              <w:spacing w:line="240" w:lineRule="exact"/>
              <w:jc w:val="center"/>
              <w:rPr>
                <w:b/>
                <w:color w:val="auto"/>
              </w:rPr>
            </w:pPr>
            <w:r w:rsidRPr="00AF01B2">
              <w:rPr>
                <w:b/>
                <w:color w:val="auto"/>
              </w:rPr>
              <w:t>VASRD CODE</w:t>
            </w:r>
          </w:p>
        </w:tc>
        <w:tc>
          <w:tcPr>
            <w:tcW w:w="1170" w:type="dxa"/>
            <w:shd w:val="clear" w:color="auto" w:fill="D9D9D9"/>
            <w:vAlign w:val="center"/>
          </w:tcPr>
          <w:p w:rsidR="00F90C5F" w:rsidRPr="00AF01B2" w:rsidRDefault="00F90C5F" w:rsidP="00103948">
            <w:pPr>
              <w:tabs>
                <w:tab w:val="left" w:pos="288"/>
                <w:tab w:val="left" w:pos="4752"/>
              </w:tabs>
              <w:spacing w:line="240" w:lineRule="exact"/>
              <w:jc w:val="center"/>
              <w:rPr>
                <w:b/>
                <w:color w:val="auto"/>
              </w:rPr>
            </w:pPr>
            <w:r w:rsidRPr="00AF01B2">
              <w:rPr>
                <w:b/>
                <w:color w:val="auto"/>
              </w:rPr>
              <w:t>RATING</w:t>
            </w:r>
          </w:p>
        </w:tc>
      </w:tr>
      <w:tr w:rsidR="00F90C5F" w:rsidRPr="00AF01B2">
        <w:trPr>
          <w:jc w:val="center"/>
        </w:trPr>
        <w:tc>
          <w:tcPr>
            <w:tcW w:w="6480" w:type="dxa"/>
            <w:vAlign w:val="center"/>
          </w:tcPr>
          <w:p w:rsidR="00F90C5F" w:rsidRPr="00AF01B2" w:rsidRDefault="00F90C5F" w:rsidP="00103948">
            <w:pPr>
              <w:tabs>
                <w:tab w:val="left" w:pos="288"/>
                <w:tab w:val="left" w:pos="4752"/>
              </w:tabs>
              <w:spacing w:line="240" w:lineRule="exact"/>
              <w:rPr>
                <w:color w:val="auto"/>
              </w:rPr>
            </w:pPr>
            <w:r w:rsidRPr="00AF01B2">
              <w:rPr>
                <w:color w:val="auto"/>
              </w:rPr>
              <w:t>Left Carpal Tunnel Syndrome</w:t>
            </w:r>
          </w:p>
        </w:tc>
        <w:tc>
          <w:tcPr>
            <w:tcW w:w="1710" w:type="dxa"/>
            <w:vAlign w:val="center"/>
          </w:tcPr>
          <w:p w:rsidR="00F90C5F" w:rsidRPr="00AF01B2" w:rsidRDefault="00F90C5F" w:rsidP="00103948">
            <w:pPr>
              <w:tabs>
                <w:tab w:val="left" w:pos="288"/>
                <w:tab w:val="left" w:pos="4752"/>
              </w:tabs>
              <w:spacing w:line="240" w:lineRule="exact"/>
              <w:jc w:val="center"/>
              <w:rPr>
                <w:color w:val="auto"/>
              </w:rPr>
            </w:pPr>
            <w:r>
              <w:rPr>
                <w:color w:val="auto"/>
              </w:rPr>
              <w:t>8715</w:t>
            </w:r>
          </w:p>
        </w:tc>
        <w:tc>
          <w:tcPr>
            <w:tcW w:w="1170" w:type="dxa"/>
            <w:vAlign w:val="center"/>
          </w:tcPr>
          <w:p w:rsidR="00F90C5F" w:rsidRPr="00AF01B2" w:rsidRDefault="00F90C5F" w:rsidP="00103948">
            <w:pPr>
              <w:tabs>
                <w:tab w:val="left" w:pos="288"/>
                <w:tab w:val="left" w:pos="4752"/>
              </w:tabs>
              <w:spacing w:line="240" w:lineRule="exact"/>
              <w:jc w:val="center"/>
              <w:rPr>
                <w:color w:val="auto"/>
              </w:rPr>
            </w:pPr>
            <w:r w:rsidRPr="000E0766">
              <w:rPr>
                <w:color w:val="auto"/>
              </w:rPr>
              <w:t>20</w:t>
            </w:r>
            <w:r w:rsidRPr="00AF01B2">
              <w:rPr>
                <w:color w:val="auto"/>
              </w:rPr>
              <w:t>%</w:t>
            </w:r>
          </w:p>
        </w:tc>
      </w:tr>
      <w:tr w:rsidR="00F90C5F" w:rsidRPr="00AF01B2">
        <w:tblPrEx>
          <w:tblLook w:val="0000"/>
        </w:tblPrEx>
        <w:trPr>
          <w:gridBefore w:val="1"/>
          <w:wBefore w:w="6480" w:type="dxa"/>
          <w:trHeight w:val="152"/>
          <w:jc w:val="center"/>
        </w:trPr>
        <w:tc>
          <w:tcPr>
            <w:tcW w:w="1710" w:type="dxa"/>
            <w:tcBorders>
              <w:left w:val="single" w:sz="4" w:space="0" w:color="auto"/>
            </w:tcBorders>
            <w:shd w:val="clear" w:color="auto" w:fill="D9D9D9"/>
            <w:vAlign w:val="center"/>
          </w:tcPr>
          <w:p w:rsidR="00F90C5F" w:rsidRPr="00AF01B2" w:rsidRDefault="00F90C5F" w:rsidP="00103948">
            <w:pPr>
              <w:tabs>
                <w:tab w:val="left" w:pos="288"/>
                <w:tab w:val="left" w:pos="4752"/>
              </w:tabs>
              <w:spacing w:line="240" w:lineRule="exact"/>
              <w:jc w:val="center"/>
              <w:rPr>
                <w:b/>
                <w:color w:val="auto"/>
              </w:rPr>
            </w:pPr>
            <w:r w:rsidRPr="00AF01B2">
              <w:rPr>
                <w:b/>
                <w:color w:val="auto"/>
              </w:rPr>
              <w:t>COMBINED</w:t>
            </w:r>
          </w:p>
        </w:tc>
        <w:tc>
          <w:tcPr>
            <w:tcW w:w="1170" w:type="dxa"/>
            <w:shd w:val="clear" w:color="auto" w:fill="D9D9D9"/>
            <w:vAlign w:val="center"/>
          </w:tcPr>
          <w:p w:rsidR="00F90C5F" w:rsidRPr="00AF01B2" w:rsidRDefault="00F90C5F" w:rsidP="00103948">
            <w:pPr>
              <w:tabs>
                <w:tab w:val="left" w:pos="288"/>
                <w:tab w:val="left" w:pos="4752"/>
              </w:tabs>
              <w:spacing w:line="240" w:lineRule="exact"/>
              <w:jc w:val="center"/>
              <w:rPr>
                <w:b/>
                <w:color w:val="auto"/>
              </w:rPr>
            </w:pPr>
            <w:r>
              <w:rPr>
                <w:b/>
                <w:color w:val="auto"/>
              </w:rPr>
              <w:t>20</w:t>
            </w:r>
            <w:r w:rsidRPr="00AF01B2">
              <w:rPr>
                <w:b/>
                <w:color w:val="auto"/>
              </w:rPr>
              <w:t>%</w:t>
            </w:r>
          </w:p>
        </w:tc>
      </w:tr>
    </w:tbl>
    <w:p w:rsidR="00F90C5F" w:rsidRPr="00391858" w:rsidRDefault="00F90C5F"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F90C5F" w:rsidRPr="00391858" w:rsidRDefault="00F90C5F" w:rsidP="00510F9C">
      <w:pPr>
        <w:tabs>
          <w:tab w:val="left" w:pos="288"/>
          <w:tab w:val="left" w:pos="4752"/>
        </w:tabs>
        <w:spacing w:line="240" w:lineRule="exact"/>
        <w:rPr>
          <w:b/>
          <w:color w:val="auto"/>
        </w:rPr>
      </w:pPr>
    </w:p>
    <w:p w:rsidR="00F90C5F" w:rsidRPr="00006186" w:rsidRDefault="00F90C5F" w:rsidP="00510F9C">
      <w:pPr>
        <w:tabs>
          <w:tab w:val="left" w:pos="288"/>
          <w:tab w:val="left" w:pos="4752"/>
        </w:tabs>
        <w:spacing w:line="240" w:lineRule="exact"/>
        <w:jc w:val="both"/>
        <w:rPr>
          <w:color w:val="auto"/>
        </w:rPr>
      </w:pPr>
      <w:r>
        <w:rPr>
          <w:color w:val="auto"/>
        </w:rPr>
        <w:t>The following documentary evidence was considered:</w:t>
      </w:r>
    </w:p>
    <w:p w:rsidR="00F90C5F" w:rsidRPr="00006186" w:rsidRDefault="00F90C5F" w:rsidP="00510F9C">
      <w:pPr>
        <w:tabs>
          <w:tab w:val="left" w:pos="288"/>
          <w:tab w:val="left" w:pos="4752"/>
        </w:tabs>
        <w:spacing w:line="240" w:lineRule="exact"/>
        <w:jc w:val="both"/>
        <w:rPr>
          <w:color w:val="auto"/>
        </w:rPr>
      </w:pPr>
    </w:p>
    <w:p w:rsidR="00F90C5F" w:rsidRPr="00006186" w:rsidRDefault="00F90C5F" w:rsidP="00510F9C">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20100619, w/</w:t>
      </w:r>
      <w:proofErr w:type="spellStart"/>
      <w:r>
        <w:rPr>
          <w:color w:val="auto"/>
        </w:rPr>
        <w:t>atchs</w:t>
      </w:r>
      <w:proofErr w:type="spellEnd"/>
      <w:r>
        <w:rPr>
          <w:color w:val="auto"/>
        </w:rPr>
        <w:t>.</w:t>
      </w:r>
    </w:p>
    <w:p w:rsidR="00F90C5F" w:rsidRPr="00006186" w:rsidRDefault="00F90C5F" w:rsidP="00510F9C">
      <w:pPr>
        <w:tabs>
          <w:tab w:val="left" w:pos="288"/>
          <w:tab w:val="left" w:pos="4752"/>
        </w:tabs>
        <w:spacing w:line="240" w:lineRule="exact"/>
        <w:jc w:val="both"/>
        <w:rPr>
          <w:color w:val="auto"/>
        </w:rPr>
      </w:pPr>
      <w:r>
        <w:rPr>
          <w:color w:val="auto"/>
        </w:rPr>
        <w:t>Exhibit B.  Service Treatment Record.</w:t>
      </w:r>
    </w:p>
    <w:p w:rsidR="00F90C5F" w:rsidRPr="00006186" w:rsidRDefault="00F90C5F" w:rsidP="00510F9C">
      <w:pPr>
        <w:tabs>
          <w:tab w:val="left" w:pos="288"/>
          <w:tab w:val="left" w:pos="4752"/>
        </w:tabs>
        <w:spacing w:line="240" w:lineRule="exact"/>
        <w:jc w:val="both"/>
        <w:rPr>
          <w:color w:val="auto"/>
        </w:rPr>
      </w:pPr>
      <w:r>
        <w:rPr>
          <w:color w:val="auto"/>
        </w:rPr>
        <w:t>Exhibit C.  Department of Veterans' Affairs Treatment Record.</w:t>
      </w:r>
    </w:p>
    <w:p w:rsidR="00F90C5F" w:rsidRPr="00006186" w:rsidRDefault="00F90C5F" w:rsidP="00510F9C">
      <w:pPr>
        <w:tabs>
          <w:tab w:val="left" w:pos="288"/>
          <w:tab w:val="left" w:pos="4752"/>
        </w:tabs>
        <w:spacing w:line="240" w:lineRule="exact"/>
        <w:jc w:val="both"/>
        <w:rPr>
          <w:color w:val="auto"/>
        </w:rPr>
      </w:pPr>
    </w:p>
    <w:p w:rsidR="00F90C5F" w:rsidRPr="00006186" w:rsidRDefault="00F90C5F" w:rsidP="00510F9C">
      <w:pPr>
        <w:tabs>
          <w:tab w:val="left" w:pos="288"/>
          <w:tab w:val="left" w:pos="4752"/>
        </w:tabs>
        <w:spacing w:line="240" w:lineRule="exact"/>
        <w:jc w:val="both"/>
        <w:rPr>
          <w:color w:val="auto"/>
        </w:rPr>
      </w:pPr>
    </w:p>
    <w:p w:rsidR="00F90C5F" w:rsidRPr="00006186" w:rsidRDefault="00F90C5F" w:rsidP="00510F9C">
      <w:pPr>
        <w:tabs>
          <w:tab w:val="left" w:pos="288"/>
          <w:tab w:val="left" w:pos="4752"/>
        </w:tabs>
        <w:spacing w:line="240" w:lineRule="exact"/>
        <w:jc w:val="both"/>
        <w:rPr>
          <w:color w:val="auto"/>
        </w:rPr>
      </w:pPr>
    </w:p>
    <w:p w:rsidR="00F90C5F" w:rsidRPr="00423148" w:rsidRDefault="008C5157" w:rsidP="00423148">
      <w:pPr>
        <w:tabs>
          <w:tab w:val="left" w:pos="0"/>
          <w:tab w:val="left" w:pos="4320"/>
        </w:tabs>
        <w:spacing w:line="240" w:lineRule="exact"/>
        <w:jc w:val="both"/>
        <w:rPr>
          <w:color w:val="auto"/>
        </w:rPr>
      </w:pPr>
      <w:r>
        <w:rPr>
          <w:color w:val="auto"/>
        </w:rPr>
        <w:t xml:space="preserve"> </w:t>
      </w:r>
    </w:p>
    <w:p w:rsidR="008C5157" w:rsidRDefault="00F90C5F" w:rsidP="00E0605E">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8C5157" w:rsidRDefault="008C5157">
      <w:pPr>
        <w:rPr>
          <w:color w:val="auto"/>
        </w:rPr>
      </w:pPr>
      <w:r>
        <w:rPr>
          <w:color w:val="auto"/>
        </w:rPr>
        <w:br w:type="page"/>
      </w:r>
    </w:p>
    <w:p w:rsidR="008C5157" w:rsidRPr="008C5157" w:rsidRDefault="008C5157" w:rsidP="008C5157">
      <w:pPr>
        <w:tabs>
          <w:tab w:val="left" w:pos="576"/>
        </w:tabs>
        <w:spacing w:line="240" w:lineRule="exact"/>
        <w:ind w:right="-1080"/>
        <w:rPr>
          <w:rFonts w:ascii="Times New Roman" w:hAnsi="Times New Roman"/>
          <w:color w:val="000080"/>
        </w:rPr>
      </w:pPr>
      <w:r w:rsidRPr="008C5157">
        <w:rPr>
          <w:rFonts w:ascii="Times New Roman" w:hAnsi="Times New Roman"/>
          <w:color w:val="000080"/>
        </w:rPr>
        <w:lastRenderedPageBreak/>
        <w:t>SAF/MRB</w:t>
      </w:r>
    </w:p>
    <w:p w:rsidR="008C5157" w:rsidRPr="008C5157" w:rsidRDefault="008C5157" w:rsidP="008C5157">
      <w:pPr>
        <w:tabs>
          <w:tab w:val="left" w:pos="576"/>
        </w:tabs>
        <w:spacing w:line="240" w:lineRule="exact"/>
        <w:ind w:right="-1080"/>
        <w:rPr>
          <w:rFonts w:ascii="Times New Roman" w:hAnsi="Times New Roman"/>
          <w:color w:val="000080"/>
        </w:rPr>
      </w:pPr>
      <w:r w:rsidRPr="008C5157">
        <w:rPr>
          <w:rFonts w:ascii="Times New Roman" w:hAnsi="Times New Roman"/>
          <w:color w:val="000080"/>
        </w:rPr>
        <w:t>1500 West Perimeter Road, Suite 3700</w:t>
      </w:r>
    </w:p>
    <w:p w:rsidR="008C5157" w:rsidRPr="008C5157" w:rsidRDefault="008C5157" w:rsidP="008C5157">
      <w:pPr>
        <w:tabs>
          <w:tab w:val="left" w:pos="576"/>
        </w:tabs>
        <w:spacing w:line="240" w:lineRule="exact"/>
        <w:ind w:right="-1080"/>
        <w:rPr>
          <w:rFonts w:ascii="Times New Roman" w:hAnsi="Times New Roman"/>
          <w:color w:val="000080"/>
        </w:rPr>
      </w:pPr>
      <w:r w:rsidRPr="008C5157">
        <w:rPr>
          <w:rFonts w:ascii="Times New Roman" w:hAnsi="Times New Roman"/>
          <w:color w:val="000080"/>
        </w:rPr>
        <w:t>Joint Base Andrews MD  20762</w:t>
      </w:r>
    </w:p>
    <w:p w:rsidR="008C5157" w:rsidRPr="008C5157" w:rsidRDefault="008C5157" w:rsidP="008C5157">
      <w:pPr>
        <w:tabs>
          <w:tab w:val="left" w:pos="576"/>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360"/>
        <w:rPr>
          <w:rFonts w:ascii="Times New Roman" w:hAnsi="Times New Roman"/>
          <w:color w:val="000080"/>
        </w:rPr>
      </w:pPr>
      <w:r w:rsidRPr="008C5157">
        <w:rPr>
          <w:rFonts w:ascii="Times New Roman" w:hAnsi="Times New Roman"/>
          <w:color w:val="000080"/>
        </w:rPr>
        <w:tab/>
        <w:t xml:space="preserve">Reference your application submitted under the provisions of </w:t>
      </w:r>
      <w:proofErr w:type="spellStart"/>
      <w:r w:rsidRPr="008C5157">
        <w:rPr>
          <w:rFonts w:ascii="Times New Roman" w:hAnsi="Times New Roman"/>
          <w:color w:val="000080"/>
        </w:rPr>
        <w:t>DoDI</w:t>
      </w:r>
      <w:proofErr w:type="spellEnd"/>
      <w:r w:rsidRPr="008C5157">
        <w:rPr>
          <w:rFonts w:ascii="Times New Roman" w:hAnsi="Times New Roman"/>
          <w:color w:val="000080"/>
        </w:rPr>
        <w:t xml:space="preserve"> 6040.44 (Section 1554, 10 USC), PDBR Case Number PD-2010-00999.</w:t>
      </w: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360"/>
        <w:rPr>
          <w:rFonts w:ascii="Times New Roman" w:hAnsi="Times New Roman"/>
          <w:color w:val="000080"/>
        </w:rPr>
      </w:pPr>
      <w:r w:rsidRPr="008C5157">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rPr>
          <w:rFonts w:ascii="Times New Roman" w:hAnsi="Times New Roman"/>
          <w:color w:val="000080"/>
        </w:rPr>
      </w:pPr>
      <w:r w:rsidRPr="008C5157">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C5157" w:rsidRPr="008C5157" w:rsidRDefault="008C5157" w:rsidP="008C5157">
      <w:pPr>
        <w:tabs>
          <w:tab w:val="left" w:pos="720"/>
        </w:tabs>
        <w:spacing w:line="240" w:lineRule="exact"/>
        <w:ind w:right="-360"/>
        <w:rPr>
          <w:rFonts w:ascii="Times New Roman" w:hAnsi="Times New Roman"/>
          <w:color w:val="000080"/>
        </w:rPr>
      </w:pPr>
    </w:p>
    <w:p w:rsidR="008C5157" w:rsidRPr="008C5157" w:rsidRDefault="008C5157" w:rsidP="008C5157">
      <w:pPr>
        <w:tabs>
          <w:tab w:val="left" w:pos="720"/>
        </w:tabs>
        <w:spacing w:line="240" w:lineRule="exact"/>
        <w:ind w:right="-1080"/>
        <w:rPr>
          <w:rFonts w:ascii="Times New Roman" w:hAnsi="Times New Roman"/>
          <w:color w:val="000080"/>
        </w:rPr>
      </w:pPr>
      <w:r w:rsidRPr="008C5157">
        <w:rPr>
          <w:rFonts w:ascii="Times New Roman" w:hAnsi="Times New Roman"/>
          <w:color w:val="000080"/>
        </w:rPr>
        <w:tab/>
      </w:r>
      <w:r w:rsidRPr="008C5157">
        <w:rPr>
          <w:rFonts w:ascii="Times New Roman" w:hAnsi="Times New Roman"/>
          <w:color w:val="000080"/>
        </w:rPr>
        <w:tab/>
      </w:r>
      <w:r w:rsidRPr="008C5157">
        <w:rPr>
          <w:rFonts w:ascii="Times New Roman" w:hAnsi="Times New Roman"/>
          <w:color w:val="000080"/>
        </w:rPr>
        <w:tab/>
      </w:r>
      <w:r w:rsidRPr="008C5157">
        <w:rPr>
          <w:rFonts w:ascii="Times New Roman" w:hAnsi="Times New Roman"/>
          <w:color w:val="000080"/>
        </w:rPr>
        <w:tab/>
      </w:r>
      <w:r w:rsidRPr="008C5157">
        <w:rPr>
          <w:rFonts w:ascii="Times New Roman" w:hAnsi="Times New Roman"/>
          <w:color w:val="000080"/>
        </w:rPr>
        <w:tab/>
      </w:r>
      <w:r w:rsidRPr="008C5157">
        <w:rPr>
          <w:rFonts w:ascii="Times New Roman" w:hAnsi="Times New Roman"/>
          <w:color w:val="000080"/>
        </w:rPr>
        <w:tab/>
      </w:r>
      <w:r w:rsidRPr="008C5157">
        <w:rPr>
          <w:rFonts w:ascii="Times New Roman" w:hAnsi="Times New Roman"/>
          <w:color w:val="000080"/>
        </w:rPr>
        <w:tab/>
        <w:t>Sincerely,</w:t>
      </w: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8C5157" w:rsidRPr="008C5157" w:rsidRDefault="008C5157" w:rsidP="008C5157">
      <w:pPr>
        <w:tabs>
          <w:tab w:val="left" w:pos="720"/>
        </w:tabs>
        <w:spacing w:line="240" w:lineRule="exact"/>
        <w:ind w:left="5040" w:right="-1080"/>
        <w:rPr>
          <w:rFonts w:ascii="Times New Roman" w:hAnsi="Times New Roman"/>
          <w:color w:val="000080"/>
        </w:rPr>
      </w:pPr>
      <w:r w:rsidRPr="008C5157">
        <w:rPr>
          <w:rFonts w:ascii="Times New Roman" w:hAnsi="Times New Roman"/>
          <w:color w:val="000080"/>
        </w:rPr>
        <w:t>Director</w:t>
      </w:r>
    </w:p>
    <w:p w:rsidR="008C5157" w:rsidRPr="008C5157" w:rsidRDefault="008C5157" w:rsidP="008C5157">
      <w:pPr>
        <w:tabs>
          <w:tab w:val="left" w:pos="720"/>
        </w:tabs>
        <w:spacing w:line="240" w:lineRule="exact"/>
        <w:ind w:left="5040" w:right="-1080"/>
        <w:rPr>
          <w:rFonts w:ascii="Times New Roman" w:hAnsi="Times New Roman"/>
          <w:color w:val="000080"/>
        </w:rPr>
      </w:pPr>
      <w:r w:rsidRPr="008C5157">
        <w:rPr>
          <w:rFonts w:ascii="Times New Roman" w:hAnsi="Times New Roman"/>
          <w:color w:val="000080"/>
        </w:rPr>
        <w:t>Air Force Review Boards Agency</w:t>
      </w:r>
    </w:p>
    <w:p w:rsidR="008C5157" w:rsidRPr="008C5157" w:rsidRDefault="008C5157" w:rsidP="008C5157">
      <w:pPr>
        <w:tabs>
          <w:tab w:val="left" w:pos="720"/>
        </w:tabs>
        <w:spacing w:line="240" w:lineRule="exact"/>
        <w:ind w:right="-1080"/>
        <w:rPr>
          <w:rFonts w:ascii="Times New Roman" w:hAnsi="Times New Roman"/>
          <w:color w:val="000080"/>
        </w:rPr>
      </w:pPr>
    </w:p>
    <w:p w:rsidR="008C5157" w:rsidRPr="008C5157" w:rsidRDefault="008C5157" w:rsidP="008C5157">
      <w:pPr>
        <w:tabs>
          <w:tab w:val="left" w:pos="720"/>
        </w:tabs>
        <w:spacing w:line="240" w:lineRule="exact"/>
        <w:ind w:right="-1080"/>
        <w:rPr>
          <w:rFonts w:ascii="Times New Roman" w:hAnsi="Times New Roman"/>
          <w:color w:val="000080"/>
        </w:rPr>
      </w:pPr>
      <w:r w:rsidRPr="008C5157">
        <w:rPr>
          <w:rFonts w:ascii="Times New Roman" w:hAnsi="Times New Roman"/>
          <w:color w:val="000080"/>
        </w:rPr>
        <w:t>Attachment:</w:t>
      </w:r>
    </w:p>
    <w:p w:rsidR="008C5157" w:rsidRPr="008C5157" w:rsidRDefault="008C5157" w:rsidP="008C5157">
      <w:pPr>
        <w:tabs>
          <w:tab w:val="left" w:pos="720"/>
        </w:tabs>
        <w:spacing w:line="240" w:lineRule="exact"/>
        <w:ind w:right="-1080"/>
        <w:rPr>
          <w:rFonts w:ascii="Times New Roman" w:hAnsi="Times New Roman"/>
          <w:color w:val="000080"/>
        </w:rPr>
      </w:pPr>
      <w:r w:rsidRPr="008C5157">
        <w:rPr>
          <w:rFonts w:ascii="Times New Roman" w:hAnsi="Times New Roman"/>
          <w:color w:val="000080"/>
        </w:rPr>
        <w:t>Record of Proceedings</w:t>
      </w:r>
    </w:p>
    <w:p w:rsidR="00E0605E" w:rsidRDefault="00E0605E" w:rsidP="00E0605E">
      <w:pPr>
        <w:tabs>
          <w:tab w:val="left" w:pos="0"/>
          <w:tab w:val="left" w:pos="4320"/>
        </w:tabs>
        <w:spacing w:line="240" w:lineRule="exact"/>
        <w:jc w:val="both"/>
        <w:rPr>
          <w:rFonts w:ascii="Times New Roman" w:hAnsi="Times New Roman"/>
          <w:b/>
          <w:color w:val="auto"/>
        </w:rPr>
      </w:pPr>
    </w:p>
    <w:p w:rsidR="00320930" w:rsidRDefault="00320930">
      <w:pPr>
        <w:tabs>
          <w:tab w:val="left" w:pos="288"/>
          <w:tab w:val="left" w:pos="4752"/>
        </w:tabs>
        <w:spacing w:line="240" w:lineRule="exact"/>
        <w:jc w:val="both"/>
        <w:rPr>
          <w:rFonts w:ascii="Times New Roman" w:hAnsi="Times New Roman"/>
          <w:b/>
          <w:color w:val="auto"/>
        </w:rPr>
      </w:pPr>
    </w:p>
    <w:sectPr w:rsidR="00320930" w:rsidSect="002A5C3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39" w:rsidRDefault="00495B39">
      <w:r>
        <w:separator/>
      </w:r>
    </w:p>
  </w:endnote>
  <w:endnote w:type="continuationSeparator" w:id="0">
    <w:p w:rsidR="00495B39" w:rsidRDefault="00495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D" w:rsidRDefault="000D2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10" w:rsidRPr="00684CE6" w:rsidRDefault="00755548" w:rsidP="00F65ED5">
    <w:pPr>
      <w:pStyle w:val="Footer"/>
      <w:jc w:val="right"/>
      <w:rPr>
        <w:color w:val="auto"/>
      </w:rPr>
    </w:pPr>
    <w:fldSimple w:instr=" PAGE   \* MERGEFORMAT ">
      <w:r w:rsidR="008C5157" w:rsidRPr="008C5157">
        <w:rPr>
          <w:noProof/>
          <w:color w:val="auto"/>
        </w:rPr>
        <w:t>4</w:t>
      </w:r>
    </w:fldSimple>
    <w:r w:rsidR="00020010" w:rsidRPr="00684CE6">
      <w:rPr>
        <w:color w:val="auto"/>
      </w:rPr>
      <w:t xml:space="preserve">                                                           PD1000999</w:t>
    </w:r>
  </w:p>
  <w:p w:rsidR="00020010" w:rsidRPr="00684CE6" w:rsidRDefault="00020010">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D" w:rsidRDefault="000D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39" w:rsidRDefault="00495B39">
      <w:r>
        <w:separator/>
      </w:r>
    </w:p>
  </w:footnote>
  <w:footnote w:type="continuationSeparator" w:id="0">
    <w:p w:rsidR="00495B39" w:rsidRDefault="00495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D" w:rsidRDefault="000D2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D" w:rsidRDefault="000D2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3D" w:rsidRDefault="000D2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5503"/>
    <w:rsid w:val="00020010"/>
    <w:rsid w:val="00020CAD"/>
    <w:rsid w:val="00021361"/>
    <w:rsid w:val="00022CF3"/>
    <w:rsid w:val="00023913"/>
    <w:rsid w:val="00023D43"/>
    <w:rsid w:val="00024DE7"/>
    <w:rsid w:val="00026092"/>
    <w:rsid w:val="00027CAF"/>
    <w:rsid w:val="00030776"/>
    <w:rsid w:val="0003146A"/>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049"/>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8C1"/>
    <w:rsid w:val="000D0AE6"/>
    <w:rsid w:val="000D15E7"/>
    <w:rsid w:val="000D1A24"/>
    <w:rsid w:val="000D1CF4"/>
    <w:rsid w:val="000D1DBC"/>
    <w:rsid w:val="000D21C7"/>
    <w:rsid w:val="000D248A"/>
    <w:rsid w:val="000D253D"/>
    <w:rsid w:val="000D2CFD"/>
    <w:rsid w:val="000D35D8"/>
    <w:rsid w:val="000D43F9"/>
    <w:rsid w:val="000D4717"/>
    <w:rsid w:val="000D6457"/>
    <w:rsid w:val="000D7D55"/>
    <w:rsid w:val="000E0766"/>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C7D"/>
    <w:rsid w:val="0019273F"/>
    <w:rsid w:val="00193814"/>
    <w:rsid w:val="00193AAB"/>
    <w:rsid w:val="00193AD5"/>
    <w:rsid w:val="00194930"/>
    <w:rsid w:val="00195AAC"/>
    <w:rsid w:val="001A025E"/>
    <w:rsid w:val="001A08CD"/>
    <w:rsid w:val="001A0A1E"/>
    <w:rsid w:val="001A2182"/>
    <w:rsid w:val="001A323E"/>
    <w:rsid w:val="001A4264"/>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58F1"/>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0694"/>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0930"/>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2F08"/>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B7AB6"/>
    <w:rsid w:val="003C275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3F36"/>
    <w:rsid w:val="00434860"/>
    <w:rsid w:val="0043503A"/>
    <w:rsid w:val="00436E25"/>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1784"/>
    <w:rsid w:val="0049255F"/>
    <w:rsid w:val="0049445D"/>
    <w:rsid w:val="00495350"/>
    <w:rsid w:val="00495B39"/>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247"/>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18C"/>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3542"/>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258"/>
    <w:rsid w:val="006555E7"/>
    <w:rsid w:val="006560B6"/>
    <w:rsid w:val="006573F2"/>
    <w:rsid w:val="00662AD0"/>
    <w:rsid w:val="00662F08"/>
    <w:rsid w:val="00663589"/>
    <w:rsid w:val="00664296"/>
    <w:rsid w:val="006649CD"/>
    <w:rsid w:val="00664DE4"/>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7A"/>
    <w:rsid w:val="006A40E6"/>
    <w:rsid w:val="006A516B"/>
    <w:rsid w:val="006A5362"/>
    <w:rsid w:val="006A543A"/>
    <w:rsid w:val="006A5C07"/>
    <w:rsid w:val="006A75FA"/>
    <w:rsid w:val="006B07D5"/>
    <w:rsid w:val="006B1309"/>
    <w:rsid w:val="006B2C56"/>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548"/>
    <w:rsid w:val="0075708A"/>
    <w:rsid w:val="0076100C"/>
    <w:rsid w:val="007612A5"/>
    <w:rsid w:val="00763CAE"/>
    <w:rsid w:val="00763F95"/>
    <w:rsid w:val="007651ED"/>
    <w:rsid w:val="00766C87"/>
    <w:rsid w:val="00771043"/>
    <w:rsid w:val="0077144D"/>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92"/>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60"/>
    <w:rsid w:val="007A65A9"/>
    <w:rsid w:val="007B0128"/>
    <w:rsid w:val="007B0A06"/>
    <w:rsid w:val="007B0B24"/>
    <w:rsid w:val="007B1C83"/>
    <w:rsid w:val="007B4181"/>
    <w:rsid w:val="007B5C5C"/>
    <w:rsid w:val="007B6CE0"/>
    <w:rsid w:val="007B7B37"/>
    <w:rsid w:val="007B7C41"/>
    <w:rsid w:val="007C05C5"/>
    <w:rsid w:val="007C05FA"/>
    <w:rsid w:val="007C11E9"/>
    <w:rsid w:val="007C433E"/>
    <w:rsid w:val="007C4452"/>
    <w:rsid w:val="007C4B3C"/>
    <w:rsid w:val="007C4DB1"/>
    <w:rsid w:val="007C6046"/>
    <w:rsid w:val="007C6F0C"/>
    <w:rsid w:val="007D0292"/>
    <w:rsid w:val="007D136C"/>
    <w:rsid w:val="007D21AC"/>
    <w:rsid w:val="007D24B0"/>
    <w:rsid w:val="007D386F"/>
    <w:rsid w:val="007D3882"/>
    <w:rsid w:val="007D39E4"/>
    <w:rsid w:val="007D3FE7"/>
    <w:rsid w:val="007D568A"/>
    <w:rsid w:val="007D574E"/>
    <w:rsid w:val="007D57C0"/>
    <w:rsid w:val="007D5A12"/>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4739"/>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5157"/>
    <w:rsid w:val="008C735D"/>
    <w:rsid w:val="008D1484"/>
    <w:rsid w:val="008D1FA9"/>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382C"/>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7961"/>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BD3"/>
    <w:rsid w:val="009A0DE3"/>
    <w:rsid w:val="009A1643"/>
    <w:rsid w:val="009A215A"/>
    <w:rsid w:val="009A49D3"/>
    <w:rsid w:val="009A4F1B"/>
    <w:rsid w:val="009A66C5"/>
    <w:rsid w:val="009A66E7"/>
    <w:rsid w:val="009A77BE"/>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8FC"/>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6EDB"/>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9D7"/>
    <w:rsid w:val="00A86CB6"/>
    <w:rsid w:val="00A87B5B"/>
    <w:rsid w:val="00A90D55"/>
    <w:rsid w:val="00A934CD"/>
    <w:rsid w:val="00A944D8"/>
    <w:rsid w:val="00A959E7"/>
    <w:rsid w:val="00A95BBA"/>
    <w:rsid w:val="00A961EE"/>
    <w:rsid w:val="00A97BFD"/>
    <w:rsid w:val="00AA04B3"/>
    <w:rsid w:val="00AA1253"/>
    <w:rsid w:val="00AA1ED0"/>
    <w:rsid w:val="00AA1F5B"/>
    <w:rsid w:val="00AA28EF"/>
    <w:rsid w:val="00AA3593"/>
    <w:rsid w:val="00AA38CA"/>
    <w:rsid w:val="00AA493E"/>
    <w:rsid w:val="00AA73AF"/>
    <w:rsid w:val="00AA78F3"/>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6E2"/>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32F9"/>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51A8"/>
    <w:rsid w:val="00BC7254"/>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1B4"/>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7E7"/>
    <w:rsid w:val="00D23DE4"/>
    <w:rsid w:val="00D23EB6"/>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87A01"/>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41B1"/>
    <w:rsid w:val="00DD64E0"/>
    <w:rsid w:val="00DD7BE0"/>
    <w:rsid w:val="00DE0C67"/>
    <w:rsid w:val="00DE3AAD"/>
    <w:rsid w:val="00DE598A"/>
    <w:rsid w:val="00DE6952"/>
    <w:rsid w:val="00DE6DD3"/>
    <w:rsid w:val="00DE7E74"/>
    <w:rsid w:val="00DF071B"/>
    <w:rsid w:val="00DF5C84"/>
    <w:rsid w:val="00DF6EF8"/>
    <w:rsid w:val="00E00A69"/>
    <w:rsid w:val="00E017BC"/>
    <w:rsid w:val="00E017F0"/>
    <w:rsid w:val="00E01A0E"/>
    <w:rsid w:val="00E0346A"/>
    <w:rsid w:val="00E041E4"/>
    <w:rsid w:val="00E04AEE"/>
    <w:rsid w:val="00E0605E"/>
    <w:rsid w:val="00E1012B"/>
    <w:rsid w:val="00E103C8"/>
    <w:rsid w:val="00E1085B"/>
    <w:rsid w:val="00E1308B"/>
    <w:rsid w:val="00E14581"/>
    <w:rsid w:val="00E14623"/>
    <w:rsid w:val="00E15539"/>
    <w:rsid w:val="00E16541"/>
    <w:rsid w:val="00E17EC9"/>
    <w:rsid w:val="00E202F4"/>
    <w:rsid w:val="00E207C3"/>
    <w:rsid w:val="00E21386"/>
    <w:rsid w:val="00E22C43"/>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77C7D"/>
    <w:rsid w:val="00E80386"/>
    <w:rsid w:val="00E809C3"/>
    <w:rsid w:val="00E81A1A"/>
    <w:rsid w:val="00E81C3E"/>
    <w:rsid w:val="00E82359"/>
    <w:rsid w:val="00E82B6D"/>
    <w:rsid w:val="00E83187"/>
    <w:rsid w:val="00E831E9"/>
    <w:rsid w:val="00E8608F"/>
    <w:rsid w:val="00E86C1D"/>
    <w:rsid w:val="00E96B51"/>
    <w:rsid w:val="00E9763D"/>
    <w:rsid w:val="00EA1177"/>
    <w:rsid w:val="00EA118B"/>
    <w:rsid w:val="00EA11B6"/>
    <w:rsid w:val="00EA13CD"/>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1CF"/>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3EF6"/>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77684"/>
    <w:rsid w:val="00F80B43"/>
    <w:rsid w:val="00F81C35"/>
    <w:rsid w:val="00F82981"/>
    <w:rsid w:val="00F8311F"/>
    <w:rsid w:val="00F83248"/>
    <w:rsid w:val="00F83376"/>
    <w:rsid w:val="00F853AE"/>
    <w:rsid w:val="00F908D5"/>
    <w:rsid w:val="00F90C5F"/>
    <w:rsid w:val="00F913B9"/>
    <w:rsid w:val="00F920D2"/>
    <w:rsid w:val="00F93C74"/>
    <w:rsid w:val="00F93DB2"/>
    <w:rsid w:val="00F93DCC"/>
    <w:rsid w:val="00F9435D"/>
    <w:rsid w:val="00F947C3"/>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A869D7"/>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A869D7"/>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A869D7"/>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0A3049"/>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dcterms:created xsi:type="dcterms:W3CDTF">2011-10-21T14:16:00Z</dcterms:created>
  <dcterms:modified xsi:type="dcterms:W3CDTF">2012-05-14T22:24:00Z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