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Default="008B446D" w:rsidP="008B446D">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NAME:</w:t>
      </w:r>
      <w:r w:rsidR="00623D8F">
        <w:rPr>
          <w:rFonts w:asciiTheme="minorHAnsi" w:hAnsiTheme="minorHAnsi"/>
          <w:caps/>
          <w:color w:val="auto"/>
        </w:rPr>
        <w:t xml:space="preserve"> </w:t>
      </w:r>
      <w:r w:rsidR="006E154E">
        <w:rPr>
          <w:rFonts w:asciiTheme="minorHAnsi" w:hAnsiTheme="minorHAnsi"/>
          <w:caps/>
          <w:color w:val="auto"/>
        </w:rPr>
        <w:t>XXXXXXX</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t xml:space="preserve">BRANCH OF SERVICE: </w:t>
      </w:r>
      <w:r w:rsidR="00623D8F">
        <w:rPr>
          <w:rFonts w:asciiTheme="minorHAnsi" w:hAnsiTheme="minorHAnsi"/>
          <w:caps/>
          <w:color w:val="auto"/>
        </w:rPr>
        <w:t>marine corps</w:t>
      </w:r>
    </w:p>
    <w:p w:rsidR="008B446D" w:rsidRPr="00623D8F" w:rsidRDefault="008B446D" w:rsidP="008B446D">
      <w:pPr>
        <w:tabs>
          <w:tab w:val="left" w:pos="288"/>
          <w:tab w:val="left" w:pos="4752"/>
        </w:tabs>
        <w:spacing w:line="240" w:lineRule="exact"/>
        <w:ind w:right="-900"/>
        <w:jc w:val="both"/>
        <w:rPr>
          <w:rFonts w:asciiTheme="minorHAnsi" w:hAnsiTheme="minorHAnsi"/>
          <w:caps/>
          <w:color w:val="auto"/>
        </w:rPr>
      </w:pPr>
      <w:r w:rsidRPr="00623D8F">
        <w:rPr>
          <w:rFonts w:asciiTheme="minorHAnsi" w:hAnsiTheme="minorHAnsi"/>
          <w:caps/>
          <w:color w:val="auto"/>
        </w:rPr>
        <w:t>CASE NUMBER: PD</w:t>
      </w:r>
      <w:r w:rsidR="006D15F7" w:rsidRPr="00623D8F">
        <w:rPr>
          <w:rFonts w:asciiTheme="minorHAnsi" w:hAnsiTheme="minorHAnsi"/>
          <w:caps/>
          <w:color w:val="auto"/>
        </w:rPr>
        <w:t>10</w:t>
      </w:r>
      <w:r w:rsidR="00623D8F" w:rsidRPr="00623D8F">
        <w:rPr>
          <w:rFonts w:asciiTheme="minorHAnsi" w:hAnsiTheme="minorHAnsi"/>
          <w:caps/>
          <w:color w:val="auto"/>
        </w:rPr>
        <w:t>00995</w:t>
      </w:r>
      <w:r w:rsidRPr="00623D8F">
        <w:rPr>
          <w:rFonts w:asciiTheme="minorHAnsi" w:hAnsiTheme="minorHAnsi"/>
          <w:caps/>
          <w:color w:val="auto"/>
        </w:rPr>
        <w:tab/>
      </w:r>
      <w:r w:rsidRPr="00623D8F">
        <w:rPr>
          <w:rFonts w:asciiTheme="minorHAnsi" w:hAnsiTheme="minorHAnsi"/>
          <w:caps/>
          <w:color w:val="auto"/>
        </w:rPr>
        <w:tab/>
      </w:r>
      <w:r w:rsidRPr="00623D8F">
        <w:rPr>
          <w:rFonts w:asciiTheme="minorHAnsi" w:hAnsiTheme="minorHAnsi"/>
          <w:caps/>
          <w:color w:val="auto"/>
        </w:rPr>
        <w:tab/>
        <w:t xml:space="preserve">SEPARATION DATE: </w:t>
      </w:r>
      <w:r w:rsidR="00623D8F" w:rsidRPr="00623D8F">
        <w:rPr>
          <w:rFonts w:asciiTheme="minorHAnsi" w:hAnsiTheme="minorHAnsi"/>
          <w:caps/>
          <w:color w:val="auto"/>
        </w:rPr>
        <w:t>20070930</w:t>
      </w:r>
    </w:p>
    <w:p w:rsidR="00662BCC" w:rsidRDefault="008B446D" w:rsidP="00885905">
      <w:pPr>
        <w:tabs>
          <w:tab w:val="left" w:pos="288"/>
          <w:tab w:val="left" w:pos="4752"/>
        </w:tabs>
        <w:spacing w:line="240" w:lineRule="exact"/>
        <w:jc w:val="both"/>
        <w:rPr>
          <w:rFonts w:asciiTheme="minorHAnsi" w:hAnsiTheme="minorHAnsi"/>
          <w:caps/>
          <w:color w:val="auto"/>
        </w:rPr>
      </w:pPr>
      <w:r w:rsidRPr="00623D8F">
        <w:rPr>
          <w:rFonts w:asciiTheme="minorHAnsi" w:hAnsiTheme="minorHAnsi"/>
          <w:caps/>
          <w:color w:val="auto"/>
        </w:rPr>
        <w:t>BOARD DATE: 201</w:t>
      </w:r>
      <w:r w:rsidR="00C62795" w:rsidRPr="00623D8F">
        <w:rPr>
          <w:rFonts w:asciiTheme="minorHAnsi" w:hAnsiTheme="minorHAnsi"/>
          <w:caps/>
          <w:color w:val="auto"/>
        </w:rPr>
        <w:t>1</w:t>
      </w:r>
      <w:r w:rsidR="00662BCC">
        <w:rPr>
          <w:rFonts w:asciiTheme="minorHAnsi" w:hAnsiTheme="minorHAnsi"/>
          <w:caps/>
          <w:color w:val="auto"/>
        </w:rPr>
        <w:t>0614</w:t>
      </w:r>
    </w:p>
    <w:p w:rsidR="003C1F3C" w:rsidRPr="003C1F3C" w:rsidRDefault="003C1F3C" w:rsidP="003C1F3C">
      <w:pPr>
        <w:pBdr>
          <w:bottom w:val="single" w:sz="12" w:space="1" w:color="auto"/>
        </w:pBdr>
        <w:tabs>
          <w:tab w:val="left" w:pos="288"/>
          <w:tab w:val="left" w:pos="4752"/>
        </w:tabs>
        <w:spacing w:line="240" w:lineRule="exact"/>
        <w:jc w:val="both"/>
        <w:rPr>
          <w:rFonts w:ascii="Calibri" w:hAnsi="Calibri"/>
          <w:color w:val="auto"/>
          <w:szCs w:val="24"/>
        </w:rPr>
      </w:pPr>
    </w:p>
    <w:p w:rsidR="003C1F3C" w:rsidRDefault="003C1F3C" w:rsidP="003C1F3C">
      <w:pPr>
        <w:tabs>
          <w:tab w:val="left" w:pos="288"/>
          <w:tab w:val="left" w:pos="4752"/>
        </w:tabs>
        <w:spacing w:line="240" w:lineRule="exact"/>
        <w:rPr>
          <w:rFonts w:ascii="Calibri" w:hAnsi="Calibri"/>
          <w:color w:val="auto"/>
          <w:szCs w:val="24"/>
        </w:rPr>
      </w:pPr>
    </w:p>
    <w:p w:rsidR="00B20624" w:rsidRDefault="002C6E5B" w:rsidP="00DD64E0">
      <w:pPr>
        <w:tabs>
          <w:tab w:val="left" w:pos="288"/>
          <w:tab w:val="left" w:pos="4752"/>
        </w:tabs>
        <w:spacing w:line="240" w:lineRule="exact"/>
        <w:jc w:val="both"/>
        <w:rPr>
          <w:rFonts w:asciiTheme="minorHAnsi" w:hAnsiTheme="minorHAnsi"/>
          <w:color w:val="auto"/>
        </w:rPr>
      </w:pPr>
      <w:r w:rsidRPr="00623D8F">
        <w:rPr>
          <w:rFonts w:asciiTheme="minorHAnsi" w:hAnsiTheme="minorHAnsi"/>
          <w:color w:val="auto"/>
          <w:u w:val="single"/>
        </w:rPr>
        <w:t>SUMMARY OF CASE</w:t>
      </w:r>
      <w:r w:rsidRPr="00623D8F">
        <w:rPr>
          <w:rFonts w:asciiTheme="minorHAnsi" w:hAnsiTheme="minorHAnsi"/>
          <w:color w:val="auto"/>
        </w:rPr>
        <w:t xml:space="preserve">:  </w:t>
      </w:r>
      <w:r w:rsidR="009821DC" w:rsidRPr="009821DC">
        <w:rPr>
          <w:rFonts w:asciiTheme="minorHAnsi" w:hAnsiTheme="minorHAnsi"/>
          <w:color w:val="auto"/>
        </w:rPr>
        <w:t>Data extracted from the available evidence of record reflects that this</w:t>
      </w:r>
      <w:r w:rsidR="009821DC" w:rsidRPr="009821DC">
        <w:rPr>
          <w:rFonts w:asciiTheme="minorHAnsi" w:hAnsiTheme="minorHAnsi"/>
          <w:color w:val="auto"/>
          <w:szCs w:val="24"/>
        </w:rPr>
        <w:t xml:space="preserve"> </w:t>
      </w:r>
      <w:r w:rsidRPr="00623D8F">
        <w:rPr>
          <w:rFonts w:asciiTheme="minorHAnsi" w:hAnsiTheme="minorHAnsi"/>
          <w:color w:val="auto"/>
          <w:szCs w:val="24"/>
        </w:rPr>
        <w:t xml:space="preserve">covered individual (CI) was </w:t>
      </w:r>
      <w:r w:rsidR="00E322F7" w:rsidRPr="00623D8F">
        <w:rPr>
          <w:rFonts w:asciiTheme="minorHAnsi" w:hAnsiTheme="minorHAnsi"/>
          <w:color w:val="auto"/>
          <w:szCs w:val="24"/>
        </w:rPr>
        <w:t>an active duty</w:t>
      </w:r>
      <w:r w:rsidR="006D4E0E" w:rsidRPr="00623D8F">
        <w:rPr>
          <w:rFonts w:asciiTheme="minorHAnsi" w:hAnsiTheme="minorHAnsi"/>
          <w:color w:val="auto"/>
          <w:szCs w:val="24"/>
        </w:rPr>
        <w:t xml:space="preserve"> </w:t>
      </w:r>
      <w:r w:rsidR="00623D8F" w:rsidRPr="00623D8F">
        <w:rPr>
          <w:rFonts w:asciiTheme="minorHAnsi" w:hAnsiTheme="minorHAnsi"/>
          <w:color w:val="auto"/>
          <w:szCs w:val="24"/>
        </w:rPr>
        <w:t>E-3</w:t>
      </w:r>
      <w:r w:rsidR="00804E80">
        <w:rPr>
          <w:rFonts w:asciiTheme="minorHAnsi" w:hAnsiTheme="minorHAnsi"/>
          <w:color w:val="auto"/>
          <w:szCs w:val="24"/>
        </w:rPr>
        <w:t xml:space="preserve"> </w:t>
      </w:r>
      <w:r w:rsidR="00623D8F" w:rsidRPr="00623D8F">
        <w:rPr>
          <w:rFonts w:asciiTheme="minorHAnsi" w:hAnsiTheme="minorHAnsi"/>
          <w:color w:val="auto"/>
          <w:szCs w:val="24"/>
        </w:rPr>
        <w:t>\</w:t>
      </w:r>
      <w:r w:rsidR="00804E80">
        <w:rPr>
          <w:rFonts w:asciiTheme="minorHAnsi" w:hAnsiTheme="minorHAnsi"/>
          <w:color w:val="auto"/>
          <w:szCs w:val="24"/>
        </w:rPr>
        <w:t xml:space="preserve"> </w:t>
      </w:r>
      <w:proofErr w:type="spellStart"/>
      <w:r w:rsidR="00623D8F" w:rsidRPr="00623D8F">
        <w:rPr>
          <w:rFonts w:asciiTheme="minorHAnsi" w:hAnsiTheme="minorHAnsi"/>
          <w:color w:val="auto"/>
          <w:szCs w:val="24"/>
        </w:rPr>
        <w:t>LC</w:t>
      </w:r>
      <w:r w:rsidR="00804E80">
        <w:rPr>
          <w:rFonts w:asciiTheme="minorHAnsi" w:hAnsiTheme="minorHAnsi"/>
          <w:color w:val="auto"/>
          <w:szCs w:val="24"/>
        </w:rPr>
        <w:t>pl</w:t>
      </w:r>
      <w:proofErr w:type="spellEnd"/>
      <w:r w:rsidR="00705C40" w:rsidRPr="00623D8F">
        <w:rPr>
          <w:rFonts w:asciiTheme="minorHAnsi" w:hAnsiTheme="minorHAnsi"/>
          <w:color w:val="auto"/>
          <w:szCs w:val="24"/>
        </w:rPr>
        <w:t xml:space="preserve"> (</w:t>
      </w:r>
      <w:r w:rsidR="008B268A">
        <w:rPr>
          <w:rFonts w:asciiTheme="minorHAnsi" w:hAnsiTheme="minorHAnsi"/>
          <w:color w:val="auto"/>
          <w:szCs w:val="24"/>
        </w:rPr>
        <w:t>0311, Rifleman</w:t>
      </w:r>
      <w:r w:rsidR="00E322F7" w:rsidRPr="00623D8F">
        <w:rPr>
          <w:rFonts w:asciiTheme="minorHAnsi" w:hAnsiTheme="minorHAnsi"/>
          <w:color w:val="auto"/>
          <w:szCs w:val="24"/>
        </w:rPr>
        <w:t xml:space="preserve">) </w:t>
      </w:r>
      <w:r w:rsidRPr="00623D8F">
        <w:rPr>
          <w:rFonts w:asciiTheme="minorHAnsi" w:hAnsiTheme="minorHAnsi"/>
          <w:color w:val="auto"/>
          <w:szCs w:val="24"/>
        </w:rPr>
        <w:t>medically separated f</w:t>
      </w:r>
      <w:r w:rsidR="00CC4280">
        <w:rPr>
          <w:rFonts w:asciiTheme="minorHAnsi" w:hAnsiTheme="minorHAnsi"/>
          <w:color w:val="auto"/>
          <w:szCs w:val="24"/>
        </w:rPr>
        <w:t xml:space="preserve">or </w:t>
      </w:r>
      <w:r w:rsidR="00FD7BE0">
        <w:rPr>
          <w:rFonts w:asciiTheme="minorHAnsi" w:hAnsiTheme="minorHAnsi"/>
          <w:color w:val="auto"/>
          <w:szCs w:val="24"/>
        </w:rPr>
        <w:t>a back condition (</w:t>
      </w:r>
      <w:r w:rsidR="00CC4280" w:rsidRPr="00623D8F">
        <w:rPr>
          <w:rFonts w:asciiTheme="minorHAnsi" w:hAnsiTheme="minorHAnsi"/>
          <w:color w:val="auto"/>
          <w:szCs w:val="24"/>
        </w:rPr>
        <w:t>mechanical low back pain and degenerative disk disease</w:t>
      </w:r>
      <w:r w:rsidR="00E974C4">
        <w:rPr>
          <w:rFonts w:asciiTheme="minorHAnsi" w:hAnsiTheme="minorHAnsi"/>
          <w:color w:val="auto"/>
          <w:szCs w:val="24"/>
        </w:rPr>
        <w:t xml:space="preserve"> </w:t>
      </w:r>
      <w:r w:rsidR="00623D8F" w:rsidRPr="00623D8F">
        <w:rPr>
          <w:rFonts w:asciiTheme="minorHAnsi" w:hAnsiTheme="minorHAnsi"/>
          <w:color w:val="auto"/>
          <w:szCs w:val="24"/>
        </w:rPr>
        <w:t>by MRI</w:t>
      </w:r>
      <w:r w:rsidR="00FD7BE0">
        <w:rPr>
          <w:rFonts w:asciiTheme="minorHAnsi" w:hAnsiTheme="minorHAnsi"/>
          <w:color w:val="auto"/>
          <w:szCs w:val="24"/>
        </w:rPr>
        <w:t>)</w:t>
      </w:r>
      <w:r w:rsidR="00623D8F" w:rsidRPr="00623D8F">
        <w:rPr>
          <w:rFonts w:asciiTheme="minorHAnsi" w:hAnsiTheme="minorHAnsi"/>
          <w:color w:val="auto"/>
          <w:szCs w:val="24"/>
        </w:rPr>
        <w:t>.</w:t>
      </w:r>
      <w:r w:rsidR="00CC4280">
        <w:rPr>
          <w:rFonts w:asciiTheme="minorHAnsi" w:hAnsiTheme="minorHAnsi"/>
          <w:color w:val="auto"/>
          <w:szCs w:val="24"/>
        </w:rPr>
        <w:t xml:space="preserve">  He </w:t>
      </w:r>
      <w:r w:rsidR="00CC4280" w:rsidRPr="00CC4280">
        <w:rPr>
          <w:rFonts w:asciiTheme="minorHAnsi" w:hAnsiTheme="minorHAnsi"/>
          <w:color w:val="auto"/>
          <w:szCs w:val="24"/>
        </w:rPr>
        <w:t>did not respond adequately to treatment and was unable to perform within his Military Occupational Specialty (MOS) or meet physical fitness standards.</w:t>
      </w:r>
      <w:r w:rsidR="00D856A9">
        <w:rPr>
          <w:rFonts w:asciiTheme="minorHAnsi" w:hAnsiTheme="minorHAnsi"/>
          <w:color w:val="auto"/>
          <w:szCs w:val="24"/>
        </w:rPr>
        <w:t xml:space="preserve">  He was issued a permanent L3</w:t>
      </w:r>
      <w:r w:rsidR="00D856A9" w:rsidRPr="00D856A9">
        <w:rPr>
          <w:rFonts w:asciiTheme="minorHAnsi" w:hAnsiTheme="minorHAnsi"/>
          <w:color w:val="auto"/>
          <w:szCs w:val="24"/>
        </w:rPr>
        <w:t xml:space="preserve"> profile and underwent a Medical Evaluation Board (MEB).</w:t>
      </w:r>
      <w:r w:rsidR="00D856A9">
        <w:rPr>
          <w:rFonts w:asciiTheme="minorHAnsi" w:hAnsiTheme="minorHAnsi"/>
          <w:color w:val="auto"/>
          <w:szCs w:val="24"/>
        </w:rPr>
        <w:t xml:space="preserve">  </w:t>
      </w:r>
      <w:r w:rsidR="00B91A11">
        <w:rPr>
          <w:rFonts w:asciiTheme="minorHAnsi" w:hAnsiTheme="minorHAnsi"/>
          <w:color w:val="auto"/>
          <w:szCs w:val="24"/>
        </w:rPr>
        <w:t xml:space="preserve">Lumbago was </w:t>
      </w:r>
      <w:r w:rsidR="00773EAB" w:rsidRPr="00773EAB">
        <w:rPr>
          <w:rFonts w:asciiTheme="minorHAnsi" w:hAnsiTheme="minorHAnsi"/>
          <w:color w:val="auto"/>
          <w:szCs w:val="24"/>
        </w:rPr>
        <w:t>forwarded to the Physical Evaluation Board (PEB) as medically unacceptable IAW SECNAVINST 1850.4E.</w:t>
      </w:r>
      <w:r w:rsidR="00773EAB">
        <w:rPr>
          <w:rFonts w:asciiTheme="minorHAnsi" w:hAnsiTheme="minorHAnsi"/>
          <w:color w:val="auto"/>
          <w:szCs w:val="24"/>
        </w:rPr>
        <w:t xml:space="preserve">  </w:t>
      </w:r>
      <w:r w:rsidR="001A5E62" w:rsidRPr="00623D8F">
        <w:rPr>
          <w:rFonts w:asciiTheme="minorHAnsi" w:hAnsiTheme="minorHAnsi"/>
          <w:color w:val="auto"/>
          <w:szCs w:val="24"/>
        </w:rPr>
        <w:t>No other conditions appeared on the MEB’s</w:t>
      </w:r>
      <w:r w:rsidR="00623D8F" w:rsidRPr="00623D8F">
        <w:rPr>
          <w:rFonts w:asciiTheme="minorHAnsi" w:hAnsiTheme="minorHAnsi"/>
          <w:color w:val="auto"/>
          <w:szCs w:val="24"/>
        </w:rPr>
        <w:t xml:space="preserve"> </w:t>
      </w:r>
      <w:r w:rsidR="001A5E62" w:rsidRPr="00623D8F">
        <w:rPr>
          <w:rFonts w:asciiTheme="minorHAnsi" w:hAnsiTheme="minorHAnsi"/>
          <w:color w:val="auto"/>
          <w:szCs w:val="24"/>
        </w:rPr>
        <w:t xml:space="preserve">submission.  </w:t>
      </w:r>
      <w:r w:rsidR="00773EAB" w:rsidRPr="00773EAB">
        <w:rPr>
          <w:rFonts w:asciiTheme="minorHAnsi" w:hAnsiTheme="minorHAnsi"/>
          <w:color w:val="auto"/>
          <w:szCs w:val="24"/>
        </w:rPr>
        <w:t>Other conditions included in the Disability Evaluation System (DES) packet will be discussed below.</w:t>
      </w:r>
      <w:r w:rsidR="001A5E62" w:rsidRPr="00623D8F">
        <w:rPr>
          <w:rFonts w:asciiTheme="minorHAnsi" w:hAnsiTheme="minorHAnsi"/>
          <w:color w:val="auto"/>
          <w:szCs w:val="24"/>
        </w:rPr>
        <w:t xml:space="preserve">  </w:t>
      </w:r>
      <w:r w:rsidR="00773EAB">
        <w:rPr>
          <w:rFonts w:asciiTheme="minorHAnsi" w:hAnsiTheme="minorHAnsi"/>
          <w:color w:val="auto"/>
          <w:szCs w:val="24"/>
        </w:rPr>
        <w:t>The I</w:t>
      </w:r>
      <w:r w:rsidR="00B20624" w:rsidRPr="00623D8F">
        <w:rPr>
          <w:rFonts w:asciiTheme="minorHAnsi" w:hAnsiTheme="minorHAnsi"/>
          <w:color w:val="auto"/>
          <w:szCs w:val="24"/>
        </w:rPr>
        <w:t xml:space="preserve">nformal PEB </w:t>
      </w:r>
      <w:r w:rsidR="00773EAB">
        <w:rPr>
          <w:rFonts w:asciiTheme="minorHAnsi" w:hAnsiTheme="minorHAnsi"/>
          <w:color w:val="auto"/>
          <w:szCs w:val="24"/>
        </w:rPr>
        <w:t xml:space="preserve">(IPEB) </w:t>
      </w:r>
      <w:r w:rsidR="00B20624" w:rsidRPr="00623D8F">
        <w:rPr>
          <w:rFonts w:asciiTheme="minorHAnsi" w:hAnsiTheme="minorHAnsi"/>
          <w:color w:val="auto"/>
          <w:szCs w:val="24"/>
        </w:rPr>
        <w:t xml:space="preserve">adjudicated the </w:t>
      </w:r>
      <w:r w:rsidR="00FD7BE0">
        <w:rPr>
          <w:rFonts w:asciiTheme="minorHAnsi" w:hAnsiTheme="minorHAnsi"/>
          <w:color w:val="auto"/>
          <w:szCs w:val="24"/>
        </w:rPr>
        <w:t>back condition</w:t>
      </w:r>
      <w:r w:rsidR="00B20624" w:rsidRPr="00623D8F">
        <w:rPr>
          <w:rFonts w:asciiTheme="minorHAnsi" w:hAnsiTheme="minorHAnsi"/>
          <w:color w:val="auto"/>
          <w:szCs w:val="24"/>
        </w:rPr>
        <w:t xml:space="preserve"> as unfitting, rated </w:t>
      </w:r>
      <w:r w:rsidR="00623D8F" w:rsidRPr="00623D8F">
        <w:rPr>
          <w:rFonts w:asciiTheme="minorHAnsi" w:hAnsiTheme="minorHAnsi"/>
          <w:color w:val="auto"/>
          <w:szCs w:val="24"/>
        </w:rPr>
        <w:t>10</w:t>
      </w:r>
      <w:r w:rsidR="00B20624" w:rsidRPr="00623D8F">
        <w:rPr>
          <w:rFonts w:asciiTheme="minorHAnsi" w:hAnsiTheme="minorHAnsi"/>
          <w:color w:val="auto"/>
          <w:szCs w:val="24"/>
        </w:rPr>
        <w:t xml:space="preserve">%; with application of the </w:t>
      </w:r>
      <w:r w:rsidR="00065E21" w:rsidRPr="00623D8F">
        <w:rPr>
          <w:rFonts w:asciiTheme="minorHAnsi" w:hAnsiTheme="minorHAnsi"/>
          <w:color w:val="auto"/>
          <w:szCs w:val="24"/>
        </w:rPr>
        <w:t>SECNAVINST 1850.4E</w:t>
      </w:r>
      <w:r w:rsidR="00804E80">
        <w:rPr>
          <w:rFonts w:asciiTheme="minorHAnsi" w:hAnsiTheme="minorHAnsi"/>
          <w:color w:val="auto"/>
          <w:szCs w:val="24"/>
        </w:rPr>
        <w:t>.</w:t>
      </w:r>
      <w:r w:rsidR="00B20624" w:rsidRPr="00623D8F">
        <w:rPr>
          <w:rFonts w:asciiTheme="minorHAnsi" w:hAnsiTheme="minorHAnsi"/>
          <w:color w:val="auto"/>
          <w:szCs w:val="24"/>
        </w:rPr>
        <w:t xml:space="preserve">  </w:t>
      </w:r>
      <w:r w:rsidR="00B20624" w:rsidRPr="00623D8F">
        <w:rPr>
          <w:rFonts w:asciiTheme="minorHAnsi" w:hAnsiTheme="minorHAnsi"/>
          <w:color w:val="auto"/>
        </w:rPr>
        <w:t xml:space="preserve">The CI </w:t>
      </w:r>
      <w:r w:rsidR="00190E48" w:rsidRPr="00623D8F">
        <w:rPr>
          <w:rFonts w:asciiTheme="minorHAnsi" w:hAnsiTheme="minorHAnsi"/>
          <w:color w:val="auto"/>
        </w:rPr>
        <w:t xml:space="preserve">made no appeals, </w:t>
      </w:r>
      <w:r w:rsidR="00B20624" w:rsidRPr="00623D8F">
        <w:rPr>
          <w:rFonts w:asciiTheme="minorHAnsi" w:hAnsiTheme="minorHAnsi"/>
          <w:color w:val="auto"/>
        </w:rPr>
        <w:t xml:space="preserve">and was </w:t>
      </w:r>
      <w:r w:rsidR="00C87F76" w:rsidRPr="00623D8F">
        <w:rPr>
          <w:rFonts w:asciiTheme="minorHAnsi" w:hAnsiTheme="minorHAnsi"/>
          <w:color w:val="auto"/>
        </w:rPr>
        <w:t xml:space="preserve">then </w:t>
      </w:r>
      <w:r w:rsidR="00B20624" w:rsidRPr="00623D8F">
        <w:rPr>
          <w:rFonts w:asciiTheme="minorHAnsi" w:hAnsiTheme="minorHAnsi"/>
          <w:color w:val="auto"/>
        </w:rPr>
        <w:t xml:space="preserve">medically separated with a </w:t>
      </w:r>
      <w:r w:rsidR="00623D8F" w:rsidRPr="00623D8F">
        <w:rPr>
          <w:rFonts w:asciiTheme="minorHAnsi" w:hAnsiTheme="minorHAnsi"/>
          <w:color w:val="auto"/>
        </w:rPr>
        <w:t>10</w:t>
      </w:r>
      <w:r w:rsidR="00B20624" w:rsidRPr="00623D8F">
        <w:rPr>
          <w:rFonts w:asciiTheme="minorHAnsi" w:hAnsiTheme="minorHAnsi"/>
          <w:color w:val="auto"/>
        </w:rPr>
        <w:t>% disability rating.</w:t>
      </w:r>
    </w:p>
    <w:p w:rsidR="00106AD8" w:rsidRPr="003C1F3C"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3C1F3C" w:rsidRDefault="00106AD8" w:rsidP="00106AD8">
      <w:pPr>
        <w:tabs>
          <w:tab w:val="left" w:pos="288"/>
          <w:tab w:val="left" w:pos="4752"/>
        </w:tabs>
        <w:spacing w:line="240" w:lineRule="exact"/>
        <w:rPr>
          <w:rFonts w:ascii="Calibri" w:hAnsi="Calibri"/>
          <w:color w:val="auto"/>
          <w:szCs w:val="24"/>
        </w:rPr>
      </w:pPr>
    </w:p>
    <w:p w:rsidR="00691E61" w:rsidRPr="00326C08" w:rsidRDefault="002C6E5B" w:rsidP="00623D8F">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00362359">
        <w:rPr>
          <w:rFonts w:asciiTheme="minorHAnsi" w:hAnsiTheme="minorHAnsi"/>
          <w:color w:val="auto"/>
          <w:szCs w:val="24"/>
        </w:rPr>
        <w:t xml:space="preserve">He </w:t>
      </w:r>
      <w:r w:rsidR="00362359" w:rsidRPr="00362359">
        <w:rPr>
          <w:rFonts w:asciiTheme="minorHAnsi" w:hAnsiTheme="minorHAnsi"/>
          <w:color w:val="auto"/>
          <w:szCs w:val="24"/>
        </w:rPr>
        <w:t>elaborates no specific contentions regarding rating or coding and mentions no additionally contended conditions.</w:t>
      </w:r>
    </w:p>
    <w:p w:rsidR="00106AD8" w:rsidRPr="003C1F3C"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3C1F3C" w:rsidRDefault="00106AD8" w:rsidP="00106AD8">
      <w:pPr>
        <w:tabs>
          <w:tab w:val="left" w:pos="288"/>
          <w:tab w:val="left" w:pos="4752"/>
        </w:tabs>
        <w:spacing w:line="240" w:lineRule="exact"/>
        <w:rPr>
          <w:rFonts w:ascii="Calibri" w:hAnsi="Calibri"/>
          <w:color w:val="auto"/>
          <w:szCs w:val="24"/>
        </w:rPr>
      </w:pPr>
    </w:p>
    <w:p w:rsidR="002338CA" w:rsidRPr="00326C08" w:rsidRDefault="002C6E5B" w:rsidP="00D17DD9">
      <w:pPr>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190E48">
      <w:pPr>
        <w:tabs>
          <w:tab w:val="left" w:pos="288"/>
          <w:tab w:val="left" w:pos="4752"/>
        </w:tabs>
        <w:spacing w:line="240" w:lineRule="exact"/>
        <w:jc w:val="both"/>
        <w:rPr>
          <w:rFonts w:asciiTheme="minorHAnsi" w:hAnsiTheme="minorHAnsi"/>
          <w:color w:val="auto"/>
        </w:rPr>
      </w:pPr>
    </w:p>
    <w:tbl>
      <w:tblPr>
        <w:tblStyle w:val="TableGrid"/>
        <w:tblW w:w="9360" w:type="dxa"/>
        <w:jc w:val="center"/>
        <w:tblLayout w:type="fixed"/>
        <w:tblLook w:val="04A0"/>
      </w:tblPr>
      <w:tblGrid>
        <w:gridCol w:w="2520"/>
        <w:gridCol w:w="720"/>
        <w:gridCol w:w="810"/>
        <w:gridCol w:w="2565"/>
        <w:gridCol w:w="945"/>
        <w:gridCol w:w="810"/>
        <w:gridCol w:w="990"/>
      </w:tblGrid>
      <w:tr w:rsidR="00684E2B" w:rsidRPr="00F75192" w:rsidTr="00A22558">
        <w:trPr>
          <w:trHeight w:val="233"/>
          <w:jc w:val="center"/>
        </w:trPr>
        <w:tc>
          <w:tcPr>
            <w:tcW w:w="4050" w:type="dxa"/>
            <w:gridSpan w:val="3"/>
            <w:tcBorders>
              <w:right w:val="thinThickThinSmallGap" w:sz="24" w:space="0" w:color="auto"/>
            </w:tcBorders>
            <w:shd w:val="clear" w:color="auto" w:fill="D9D9D9" w:themeFill="background1" w:themeFillShade="D9"/>
            <w:vAlign w:val="center"/>
          </w:tcPr>
          <w:p w:rsidR="00684E2B" w:rsidRPr="00576286" w:rsidRDefault="00684E2B" w:rsidP="00804E80">
            <w:pPr>
              <w:pStyle w:val="ListParagraph"/>
              <w:spacing w:after="0" w:line="200" w:lineRule="exact"/>
              <w:ind w:left="0"/>
              <w:jc w:val="center"/>
              <w:rPr>
                <w:rFonts w:cs="Times New Roman"/>
                <w:b/>
                <w:sz w:val="20"/>
                <w:szCs w:val="20"/>
              </w:rPr>
            </w:pPr>
            <w:r w:rsidRPr="00576286">
              <w:rPr>
                <w:rFonts w:cs="Times New Roman"/>
                <w:b/>
                <w:sz w:val="20"/>
                <w:szCs w:val="20"/>
              </w:rPr>
              <w:t xml:space="preserve">Service </w:t>
            </w:r>
            <w:r w:rsidR="00623D8F" w:rsidRPr="00576286">
              <w:rPr>
                <w:rFonts w:cs="Times New Roman"/>
                <w:b/>
                <w:sz w:val="20"/>
                <w:szCs w:val="20"/>
              </w:rPr>
              <w:t>I</w:t>
            </w:r>
            <w:r w:rsidRPr="00576286">
              <w:rPr>
                <w:rFonts w:cs="Times New Roman"/>
                <w:b/>
                <w:sz w:val="20"/>
                <w:szCs w:val="20"/>
              </w:rPr>
              <w:t>PEB</w:t>
            </w:r>
            <w:r w:rsidR="002B2645" w:rsidRPr="00576286">
              <w:rPr>
                <w:rFonts w:cs="Times New Roman"/>
                <w:b/>
                <w:sz w:val="20"/>
                <w:szCs w:val="20"/>
              </w:rPr>
              <w:t xml:space="preserve"> – Dated </w:t>
            </w:r>
            <w:r w:rsidR="00623D8F" w:rsidRPr="00576286">
              <w:rPr>
                <w:rFonts w:cs="Times New Roman"/>
                <w:b/>
                <w:sz w:val="20"/>
                <w:szCs w:val="20"/>
              </w:rPr>
              <w:t>200707</w:t>
            </w:r>
            <w:r w:rsidR="00804E80">
              <w:rPr>
                <w:rFonts w:cs="Times New Roman"/>
                <w:b/>
                <w:sz w:val="20"/>
                <w:szCs w:val="20"/>
              </w:rPr>
              <w:t>27</w:t>
            </w:r>
          </w:p>
        </w:tc>
        <w:tc>
          <w:tcPr>
            <w:tcW w:w="5310" w:type="dxa"/>
            <w:gridSpan w:val="4"/>
            <w:tcBorders>
              <w:left w:val="thinThickThinSmallGap" w:sz="24" w:space="0" w:color="auto"/>
            </w:tcBorders>
            <w:shd w:val="clear" w:color="auto" w:fill="D9D9D9" w:themeFill="background1" w:themeFillShade="D9"/>
            <w:vAlign w:val="center"/>
          </w:tcPr>
          <w:p w:rsidR="00684E2B" w:rsidRPr="00274BBC" w:rsidRDefault="00684E2B" w:rsidP="00A22558">
            <w:pPr>
              <w:pStyle w:val="ListParagraph"/>
              <w:spacing w:after="0" w:line="200" w:lineRule="exact"/>
              <w:ind w:left="0"/>
              <w:jc w:val="center"/>
              <w:rPr>
                <w:rFonts w:cs="Times New Roman"/>
                <w:b/>
                <w:sz w:val="20"/>
                <w:szCs w:val="20"/>
              </w:rPr>
            </w:pPr>
            <w:r w:rsidRPr="00576286">
              <w:rPr>
                <w:rFonts w:cs="Times New Roman"/>
                <w:b/>
                <w:sz w:val="20"/>
                <w:szCs w:val="20"/>
              </w:rPr>
              <w:t>VA (</w:t>
            </w:r>
            <w:r w:rsidR="008B268A" w:rsidRPr="00576286">
              <w:rPr>
                <w:rFonts w:cs="Times New Roman"/>
                <w:b/>
                <w:sz w:val="20"/>
                <w:szCs w:val="20"/>
              </w:rPr>
              <w:t>19</w:t>
            </w:r>
            <w:r w:rsidRPr="00576286">
              <w:rPr>
                <w:rFonts w:cs="Times New Roman"/>
                <w:b/>
                <w:sz w:val="20"/>
                <w:szCs w:val="20"/>
              </w:rPr>
              <w:t xml:space="preserve"> </w:t>
            </w:r>
            <w:r w:rsidR="008B268A" w:rsidRPr="00576286">
              <w:rPr>
                <w:rFonts w:cs="Times New Roman"/>
                <w:b/>
                <w:sz w:val="20"/>
                <w:szCs w:val="20"/>
              </w:rPr>
              <w:t xml:space="preserve">days </w:t>
            </w:r>
            <w:r w:rsidR="00576286" w:rsidRPr="00576286">
              <w:rPr>
                <w:rFonts w:cs="Times New Roman"/>
                <w:b/>
                <w:sz w:val="20"/>
                <w:szCs w:val="20"/>
              </w:rPr>
              <w:t>A</w:t>
            </w:r>
            <w:r w:rsidRPr="00576286">
              <w:rPr>
                <w:rFonts w:cs="Times New Roman"/>
                <w:b/>
                <w:sz w:val="20"/>
                <w:szCs w:val="20"/>
              </w:rPr>
              <w:t>fter Separation)</w:t>
            </w:r>
            <w:r w:rsidR="000C3C13" w:rsidRPr="00576286">
              <w:rPr>
                <w:rFonts w:cs="Times New Roman"/>
                <w:b/>
                <w:sz w:val="20"/>
                <w:szCs w:val="20"/>
              </w:rPr>
              <w:t xml:space="preserve"> – All Effective </w:t>
            </w:r>
            <w:r w:rsidR="008B268A" w:rsidRPr="00576286">
              <w:rPr>
                <w:rFonts w:cs="Times New Roman"/>
                <w:b/>
                <w:sz w:val="20"/>
                <w:szCs w:val="20"/>
              </w:rPr>
              <w:t>20071001</w:t>
            </w:r>
          </w:p>
        </w:tc>
      </w:tr>
      <w:tr w:rsidR="002B2645" w:rsidRPr="00F75192" w:rsidTr="00A22558">
        <w:trPr>
          <w:trHeight w:val="233"/>
          <w:jc w:val="center"/>
        </w:trPr>
        <w:tc>
          <w:tcPr>
            <w:tcW w:w="2520" w:type="dxa"/>
            <w:tcBorders>
              <w:bottom w:val="single" w:sz="4" w:space="0" w:color="000000" w:themeColor="text1"/>
            </w:tcBorders>
            <w:shd w:val="clear" w:color="auto" w:fill="D9D9D9" w:themeFill="background1" w:themeFillShade="D9"/>
            <w:vAlign w:val="center"/>
          </w:tcPr>
          <w:p w:rsidR="002B2645" w:rsidRPr="00274BBC" w:rsidRDefault="002B2645" w:rsidP="00A22558">
            <w:pPr>
              <w:pStyle w:val="ListParagraph"/>
              <w:spacing w:after="0" w:line="200" w:lineRule="exact"/>
              <w:ind w:left="0"/>
              <w:jc w:val="center"/>
              <w:rPr>
                <w:rFonts w:cs="Times New Roman"/>
                <w:b/>
                <w:sz w:val="20"/>
                <w:szCs w:val="20"/>
              </w:rPr>
            </w:pPr>
            <w:r w:rsidRPr="00274BBC">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vAlign w:val="center"/>
          </w:tcPr>
          <w:p w:rsidR="002B2645" w:rsidRPr="00274BBC" w:rsidRDefault="002B2645" w:rsidP="00A22558">
            <w:pPr>
              <w:pStyle w:val="ListParagraph"/>
              <w:spacing w:after="0" w:line="200" w:lineRule="exact"/>
              <w:ind w:left="0"/>
              <w:jc w:val="center"/>
              <w:rPr>
                <w:rFonts w:cs="Times New Roman"/>
                <w:b/>
                <w:sz w:val="20"/>
                <w:szCs w:val="20"/>
              </w:rPr>
            </w:pPr>
            <w:r w:rsidRPr="00274BBC">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2645" w:rsidRPr="00274BBC" w:rsidRDefault="002B2645" w:rsidP="00A22558">
            <w:pPr>
              <w:pStyle w:val="ListParagraph"/>
              <w:spacing w:after="0" w:line="200" w:lineRule="exact"/>
              <w:ind w:left="0"/>
              <w:jc w:val="center"/>
              <w:rPr>
                <w:rFonts w:cs="Times New Roman"/>
                <w:b/>
                <w:sz w:val="20"/>
                <w:szCs w:val="20"/>
              </w:rPr>
            </w:pPr>
            <w:r w:rsidRPr="00274BBC">
              <w:rPr>
                <w:rFonts w:cs="Times New Roman"/>
                <w:b/>
                <w:sz w:val="20"/>
                <w:szCs w:val="20"/>
              </w:rPr>
              <w:t>Rating</w:t>
            </w:r>
          </w:p>
        </w:tc>
        <w:tc>
          <w:tcPr>
            <w:tcW w:w="2565" w:type="dxa"/>
            <w:tcBorders>
              <w:left w:val="thinThickThinSmallGap" w:sz="24" w:space="0" w:color="auto"/>
              <w:bottom w:val="single" w:sz="4" w:space="0" w:color="000000" w:themeColor="text1"/>
            </w:tcBorders>
            <w:shd w:val="clear" w:color="auto" w:fill="D9D9D9" w:themeFill="background1" w:themeFillShade="D9"/>
            <w:vAlign w:val="center"/>
          </w:tcPr>
          <w:p w:rsidR="002B2645" w:rsidRPr="00274BBC" w:rsidRDefault="002B2645" w:rsidP="00A22558">
            <w:pPr>
              <w:pStyle w:val="ListParagraph"/>
              <w:spacing w:after="0" w:line="200" w:lineRule="exact"/>
              <w:ind w:left="0"/>
              <w:jc w:val="center"/>
              <w:rPr>
                <w:rFonts w:cs="Times New Roman"/>
                <w:b/>
                <w:sz w:val="20"/>
                <w:szCs w:val="20"/>
              </w:rPr>
            </w:pPr>
            <w:r w:rsidRPr="00274BBC">
              <w:rPr>
                <w:rFonts w:cs="Times New Roman"/>
                <w:b/>
                <w:sz w:val="20"/>
                <w:szCs w:val="20"/>
              </w:rPr>
              <w:t>Condition</w:t>
            </w:r>
          </w:p>
        </w:tc>
        <w:tc>
          <w:tcPr>
            <w:tcW w:w="945" w:type="dxa"/>
            <w:tcBorders>
              <w:bottom w:val="single" w:sz="4" w:space="0" w:color="000000" w:themeColor="text1"/>
            </w:tcBorders>
            <w:shd w:val="clear" w:color="auto" w:fill="D9D9D9" w:themeFill="background1" w:themeFillShade="D9"/>
            <w:vAlign w:val="center"/>
          </w:tcPr>
          <w:p w:rsidR="002B2645" w:rsidRPr="00274BBC" w:rsidRDefault="002B2645" w:rsidP="00A22558">
            <w:pPr>
              <w:pStyle w:val="ListParagraph"/>
              <w:spacing w:after="0" w:line="200" w:lineRule="exact"/>
              <w:ind w:left="0"/>
              <w:jc w:val="center"/>
              <w:rPr>
                <w:rFonts w:cs="Times New Roman"/>
                <w:b/>
                <w:sz w:val="20"/>
                <w:szCs w:val="20"/>
              </w:rPr>
            </w:pPr>
            <w:r w:rsidRPr="00274BBC">
              <w:rPr>
                <w:rFonts w:cs="Times New Roman"/>
                <w:b/>
                <w:sz w:val="20"/>
                <w:szCs w:val="20"/>
              </w:rPr>
              <w:t>Code</w:t>
            </w:r>
          </w:p>
        </w:tc>
        <w:tc>
          <w:tcPr>
            <w:tcW w:w="810" w:type="dxa"/>
            <w:tcBorders>
              <w:bottom w:val="single" w:sz="4" w:space="0" w:color="000000" w:themeColor="text1"/>
            </w:tcBorders>
            <w:shd w:val="clear" w:color="auto" w:fill="D9D9D9" w:themeFill="background1" w:themeFillShade="D9"/>
            <w:vAlign w:val="center"/>
          </w:tcPr>
          <w:p w:rsidR="002B2645" w:rsidRPr="00274BBC" w:rsidRDefault="002B2645" w:rsidP="00A22558">
            <w:pPr>
              <w:pStyle w:val="ListParagraph"/>
              <w:spacing w:after="0" w:line="200" w:lineRule="exact"/>
              <w:ind w:left="0"/>
              <w:jc w:val="center"/>
              <w:rPr>
                <w:rFonts w:cs="Times New Roman"/>
                <w:b/>
                <w:sz w:val="20"/>
                <w:szCs w:val="20"/>
              </w:rPr>
            </w:pPr>
            <w:r w:rsidRPr="00274BBC">
              <w:rPr>
                <w:rFonts w:cs="Times New Roman"/>
                <w:b/>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2645" w:rsidRPr="00274BBC" w:rsidRDefault="002B2645" w:rsidP="00A22558">
            <w:pPr>
              <w:pStyle w:val="ListParagraph"/>
              <w:spacing w:after="0" w:line="200" w:lineRule="exact"/>
              <w:ind w:left="0"/>
              <w:jc w:val="center"/>
              <w:rPr>
                <w:rFonts w:cs="Times New Roman"/>
                <w:b/>
                <w:sz w:val="20"/>
                <w:szCs w:val="20"/>
              </w:rPr>
            </w:pPr>
            <w:r w:rsidRPr="00274BBC">
              <w:rPr>
                <w:rFonts w:cs="Times New Roman"/>
                <w:b/>
                <w:sz w:val="20"/>
                <w:szCs w:val="20"/>
              </w:rPr>
              <w:t>Exam</w:t>
            </w:r>
          </w:p>
        </w:tc>
      </w:tr>
      <w:tr w:rsidR="00FD55C8" w:rsidRPr="00F75192" w:rsidTr="00D00D26">
        <w:trPr>
          <w:trHeight w:val="215"/>
          <w:jc w:val="center"/>
        </w:trPr>
        <w:tc>
          <w:tcPr>
            <w:tcW w:w="2520" w:type="dxa"/>
            <w:shd w:val="clear" w:color="auto" w:fill="FFFFFF" w:themeFill="background1"/>
            <w:vAlign w:val="center"/>
          </w:tcPr>
          <w:p w:rsidR="00FD55C8" w:rsidRPr="00274BBC" w:rsidRDefault="00274BBC" w:rsidP="00D00D26">
            <w:pPr>
              <w:pStyle w:val="ListParagraph"/>
              <w:spacing w:after="0" w:line="180" w:lineRule="exact"/>
              <w:ind w:left="0"/>
              <w:rPr>
                <w:rFonts w:cs="Times New Roman"/>
                <w:sz w:val="18"/>
                <w:szCs w:val="18"/>
              </w:rPr>
            </w:pPr>
            <w:r w:rsidRPr="00274BBC">
              <w:rPr>
                <w:rFonts w:cs="Times New Roman"/>
                <w:sz w:val="18"/>
                <w:szCs w:val="18"/>
              </w:rPr>
              <w:t xml:space="preserve">LBP </w:t>
            </w:r>
            <w:r w:rsidR="00623D8F" w:rsidRPr="00274BBC">
              <w:rPr>
                <w:rFonts w:cs="Times New Roman"/>
                <w:sz w:val="18"/>
                <w:szCs w:val="18"/>
              </w:rPr>
              <w:t xml:space="preserve">and </w:t>
            </w:r>
            <w:r w:rsidRPr="00274BBC">
              <w:rPr>
                <w:rFonts w:cs="Times New Roman"/>
                <w:sz w:val="18"/>
                <w:szCs w:val="18"/>
              </w:rPr>
              <w:t>DDD…</w:t>
            </w:r>
          </w:p>
        </w:tc>
        <w:tc>
          <w:tcPr>
            <w:tcW w:w="720" w:type="dxa"/>
            <w:shd w:val="clear" w:color="auto" w:fill="FFFFFF" w:themeFill="background1"/>
            <w:vAlign w:val="center"/>
          </w:tcPr>
          <w:p w:rsidR="00FD55C8" w:rsidRPr="00274BBC" w:rsidRDefault="00623D8F" w:rsidP="00D00D26">
            <w:pPr>
              <w:pStyle w:val="ListParagraph"/>
              <w:spacing w:after="0" w:line="180" w:lineRule="exact"/>
              <w:ind w:left="0"/>
              <w:jc w:val="center"/>
              <w:rPr>
                <w:rFonts w:cs="Times New Roman"/>
                <w:sz w:val="18"/>
                <w:szCs w:val="18"/>
              </w:rPr>
            </w:pPr>
            <w:r w:rsidRPr="00274BBC">
              <w:rPr>
                <w:rFonts w:cs="Times New Roman"/>
                <w:sz w:val="18"/>
                <w:szCs w:val="18"/>
              </w:rPr>
              <w:t>5243</w:t>
            </w:r>
          </w:p>
        </w:tc>
        <w:tc>
          <w:tcPr>
            <w:tcW w:w="810" w:type="dxa"/>
            <w:tcBorders>
              <w:right w:val="thinThickThinSmallGap" w:sz="24" w:space="0" w:color="auto"/>
            </w:tcBorders>
            <w:shd w:val="clear" w:color="auto" w:fill="FFFFFF" w:themeFill="background1"/>
            <w:vAlign w:val="center"/>
          </w:tcPr>
          <w:p w:rsidR="00FD55C8" w:rsidRPr="00274BBC" w:rsidRDefault="00623D8F" w:rsidP="00D00D26">
            <w:pPr>
              <w:pStyle w:val="ListParagraph"/>
              <w:spacing w:after="0" w:line="180" w:lineRule="exact"/>
              <w:ind w:left="0"/>
              <w:rPr>
                <w:rFonts w:cs="Times New Roman"/>
                <w:sz w:val="18"/>
                <w:szCs w:val="18"/>
              </w:rPr>
            </w:pPr>
            <w:r w:rsidRPr="00274BBC">
              <w:rPr>
                <w:rFonts w:cs="Times New Roman"/>
                <w:sz w:val="18"/>
                <w:szCs w:val="18"/>
              </w:rPr>
              <w:t>10%</w:t>
            </w:r>
          </w:p>
        </w:tc>
        <w:tc>
          <w:tcPr>
            <w:tcW w:w="2565" w:type="dxa"/>
            <w:tcBorders>
              <w:left w:val="thinThickThinSmallGap" w:sz="24" w:space="0" w:color="auto"/>
            </w:tcBorders>
            <w:shd w:val="clear" w:color="auto" w:fill="FFFFFF" w:themeFill="background1"/>
            <w:vAlign w:val="center"/>
          </w:tcPr>
          <w:p w:rsidR="00FD55C8" w:rsidRPr="00274BBC" w:rsidRDefault="00274BBC" w:rsidP="00D00D26">
            <w:pPr>
              <w:pStyle w:val="ListParagraph"/>
              <w:spacing w:after="0" w:line="180" w:lineRule="exact"/>
              <w:ind w:left="0"/>
              <w:rPr>
                <w:rFonts w:cs="Times New Roman"/>
                <w:sz w:val="18"/>
                <w:szCs w:val="18"/>
              </w:rPr>
            </w:pPr>
            <w:r w:rsidRPr="00274BBC">
              <w:rPr>
                <w:rFonts w:cs="Times New Roman"/>
                <w:sz w:val="18"/>
                <w:szCs w:val="18"/>
              </w:rPr>
              <w:t>DDD L-Spine w/Radic</w:t>
            </w:r>
            <w:r w:rsidR="008B268A" w:rsidRPr="00274BBC">
              <w:rPr>
                <w:rFonts w:cs="Times New Roman"/>
                <w:sz w:val="18"/>
                <w:szCs w:val="18"/>
              </w:rPr>
              <w:t>ulopathy</w:t>
            </w:r>
            <w:r w:rsidRPr="00274BBC">
              <w:rPr>
                <w:rFonts w:cs="Times New Roman"/>
                <w:sz w:val="18"/>
                <w:szCs w:val="18"/>
              </w:rPr>
              <w:t>…</w:t>
            </w:r>
          </w:p>
        </w:tc>
        <w:tc>
          <w:tcPr>
            <w:tcW w:w="945" w:type="dxa"/>
            <w:shd w:val="clear" w:color="auto" w:fill="FFFFFF" w:themeFill="background1"/>
            <w:vAlign w:val="center"/>
          </w:tcPr>
          <w:p w:rsidR="00FD55C8" w:rsidRPr="00274BBC" w:rsidRDefault="008B268A" w:rsidP="00D00D26">
            <w:pPr>
              <w:pStyle w:val="ListParagraph"/>
              <w:spacing w:after="0" w:line="180" w:lineRule="exact"/>
              <w:ind w:left="0"/>
              <w:jc w:val="center"/>
              <w:rPr>
                <w:rFonts w:cs="Times New Roman"/>
                <w:sz w:val="18"/>
                <w:szCs w:val="18"/>
              </w:rPr>
            </w:pPr>
            <w:r w:rsidRPr="00274BBC">
              <w:rPr>
                <w:rFonts w:cs="Times New Roman"/>
                <w:sz w:val="18"/>
                <w:szCs w:val="18"/>
              </w:rPr>
              <w:t>5242</w:t>
            </w:r>
          </w:p>
        </w:tc>
        <w:tc>
          <w:tcPr>
            <w:tcW w:w="810" w:type="dxa"/>
            <w:shd w:val="clear" w:color="auto" w:fill="FFFFFF" w:themeFill="background1"/>
            <w:vAlign w:val="center"/>
          </w:tcPr>
          <w:p w:rsidR="00FD55C8" w:rsidRPr="00044D3A" w:rsidRDefault="008B268A" w:rsidP="00D00D26">
            <w:pPr>
              <w:pStyle w:val="ListParagraph"/>
              <w:spacing w:after="0" w:line="180" w:lineRule="exact"/>
              <w:ind w:left="0"/>
              <w:jc w:val="center"/>
              <w:rPr>
                <w:rFonts w:cs="Times New Roman"/>
                <w:sz w:val="18"/>
                <w:szCs w:val="18"/>
              </w:rPr>
            </w:pPr>
            <w:r w:rsidRPr="00044D3A">
              <w:rPr>
                <w:rFonts w:cs="Times New Roman"/>
                <w:sz w:val="18"/>
                <w:szCs w:val="18"/>
              </w:rPr>
              <w:t>20%</w:t>
            </w:r>
          </w:p>
        </w:tc>
        <w:tc>
          <w:tcPr>
            <w:tcW w:w="990" w:type="dxa"/>
            <w:shd w:val="clear" w:color="auto" w:fill="FFFFFF" w:themeFill="background1"/>
            <w:vAlign w:val="center"/>
          </w:tcPr>
          <w:p w:rsidR="00FD55C8" w:rsidRPr="00044D3A" w:rsidRDefault="008B268A" w:rsidP="00D00D26">
            <w:pPr>
              <w:pStyle w:val="ListParagraph"/>
              <w:spacing w:after="0" w:line="180" w:lineRule="exact"/>
              <w:ind w:left="0"/>
              <w:jc w:val="center"/>
              <w:rPr>
                <w:rFonts w:cs="Times New Roman"/>
                <w:sz w:val="18"/>
                <w:szCs w:val="18"/>
              </w:rPr>
            </w:pPr>
            <w:r w:rsidRPr="00044D3A">
              <w:rPr>
                <w:rFonts w:cs="Times New Roman"/>
                <w:sz w:val="18"/>
                <w:szCs w:val="18"/>
              </w:rPr>
              <w:t>20071019</w:t>
            </w:r>
          </w:p>
        </w:tc>
      </w:tr>
      <w:tr w:rsidR="00274BBC" w:rsidRPr="00F75192" w:rsidTr="00A22558">
        <w:trPr>
          <w:trHeight w:val="170"/>
          <w:jc w:val="center"/>
        </w:trPr>
        <w:tc>
          <w:tcPr>
            <w:tcW w:w="4050" w:type="dxa"/>
            <w:gridSpan w:val="3"/>
            <w:tcBorders>
              <w:top w:val="single" w:sz="4" w:space="0" w:color="auto"/>
              <w:right w:val="thinThickThinSmallGap" w:sz="24" w:space="0" w:color="auto"/>
            </w:tcBorders>
            <w:shd w:val="clear" w:color="auto" w:fill="FFFFFF" w:themeFill="background1"/>
            <w:vAlign w:val="center"/>
          </w:tcPr>
          <w:p w:rsidR="00274BBC" w:rsidRPr="00274BBC" w:rsidRDefault="00576286" w:rsidP="00D00D26">
            <w:pPr>
              <w:pStyle w:val="ListParagraph"/>
              <w:spacing w:after="0" w:line="180" w:lineRule="exact"/>
              <w:ind w:left="0"/>
              <w:jc w:val="center"/>
              <w:rPr>
                <w:rFonts w:cs="Times New Roman"/>
                <w:sz w:val="18"/>
                <w:szCs w:val="18"/>
                <w:highlight w:val="yellow"/>
              </w:rPr>
            </w:pPr>
            <w:r w:rsidRPr="00576286">
              <w:rPr>
                <w:rFonts w:cs="Times New Roman"/>
                <w:sz w:val="18"/>
                <w:szCs w:val="18"/>
              </w:rPr>
              <w:t>No Additional MEB/PEB Entry</w:t>
            </w:r>
          </w:p>
        </w:tc>
        <w:tc>
          <w:tcPr>
            <w:tcW w:w="4320" w:type="dxa"/>
            <w:gridSpan w:val="3"/>
            <w:tcBorders>
              <w:left w:val="thinThickThinSmallGap" w:sz="24" w:space="0" w:color="auto"/>
            </w:tcBorders>
            <w:shd w:val="clear" w:color="auto" w:fill="FFFFFF" w:themeFill="background1"/>
            <w:vAlign w:val="center"/>
          </w:tcPr>
          <w:p w:rsidR="00274BBC" w:rsidRPr="00274BBC" w:rsidRDefault="00576286" w:rsidP="00D00D26">
            <w:pPr>
              <w:pStyle w:val="ListParagraph"/>
              <w:spacing w:after="0" w:line="180" w:lineRule="exact"/>
              <w:ind w:left="0"/>
              <w:jc w:val="center"/>
              <w:rPr>
                <w:rFonts w:cs="Times New Roman"/>
                <w:sz w:val="18"/>
                <w:szCs w:val="18"/>
              </w:rPr>
            </w:pPr>
            <w:r>
              <w:rPr>
                <w:rFonts w:cs="Times New Roman"/>
                <w:sz w:val="18"/>
                <w:szCs w:val="18"/>
              </w:rPr>
              <w:t xml:space="preserve">Not </w:t>
            </w:r>
            <w:r w:rsidR="00274BBC" w:rsidRPr="00274BBC">
              <w:rPr>
                <w:rFonts w:cs="Times New Roman"/>
                <w:sz w:val="18"/>
                <w:szCs w:val="18"/>
              </w:rPr>
              <w:t>Service Connected x 1</w:t>
            </w:r>
          </w:p>
        </w:tc>
        <w:tc>
          <w:tcPr>
            <w:tcW w:w="990" w:type="dxa"/>
            <w:shd w:val="clear" w:color="auto" w:fill="FFFFFF" w:themeFill="background1"/>
            <w:vAlign w:val="center"/>
          </w:tcPr>
          <w:p w:rsidR="00274BBC" w:rsidRPr="00274BBC" w:rsidRDefault="00274BBC" w:rsidP="00D00D26">
            <w:pPr>
              <w:pStyle w:val="ListParagraph"/>
              <w:spacing w:after="0" w:line="180" w:lineRule="exact"/>
              <w:ind w:left="0"/>
              <w:jc w:val="center"/>
              <w:rPr>
                <w:rFonts w:cs="Times New Roman"/>
                <w:sz w:val="18"/>
                <w:szCs w:val="18"/>
              </w:rPr>
            </w:pPr>
            <w:r w:rsidRPr="00274BBC">
              <w:rPr>
                <w:rFonts w:cs="Times New Roman"/>
                <w:sz w:val="18"/>
                <w:szCs w:val="18"/>
              </w:rPr>
              <w:t>20071019</w:t>
            </w:r>
          </w:p>
        </w:tc>
      </w:tr>
      <w:tr w:rsidR="00C87F76" w:rsidRPr="00F75192" w:rsidTr="00A22558">
        <w:trPr>
          <w:trHeight w:val="242"/>
          <w:jc w:val="center"/>
        </w:trPr>
        <w:tc>
          <w:tcPr>
            <w:tcW w:w="4050" w:type="dxa"/>
            <w:gridSpan w:val="3"/>
            <w:tcBorders>
              <w:right w:val="thinThickThinSmallGap" w:sz="24" w:space="0" w:color="auto"/>
            </w:tcBorders>
            <w:shd w:val="clear" w:color="auto" w:fill="D9D9D9" w:themeFill="background1" w:themeFillShade="D9"/>
            <w:vAlign w:val="center"/>
          </w:tcPr>
          <w:p w:rsidR="00C87F76" w:rsidRPr="00274BBC" w:rsidRDefault="00C87F76" w:rsidP="00A22558">
            <w:pPr>
              <w:pStyle w:val="ListParagraph"/>
              <w:spacing w:after="0" w:line="200" w:lineRule="exact"/>
              <w:ind w:left="0"/>
              <w:jc w:val="center"/>
              <w:rPr>
                <w:rFonts w:cs="Times New Roman"/>
                <w:b/>
                <w:sz w:val="20"/>
                <w:szCs w:val="20"/>
              </w:rPr>
            </w:pPr>
            <w:r w:rsidRPr="00274BBC">
              <w:rPr>
                <w:rFonts w:cs="Times New Roman"/>
                <w:b/>
                <w:sz w:val="20"/>
                <w:szCs w:val="20"/>
              </w:rPr>
              <w:t xml:space="preserve">Combined: </w:t>
            </w:r>
            <w:r w:rsidR="00C23744" w:rsidRPr="00274BBC">
              <w:rPr>
                <w:rFonts w:cs="Times New Roman"/>
                <w:b/>
                <w:sz w:val="20"/>
                <w:szCs w:val="20"/>
              </w:rPr>
              <w:t xml:space="preserve"> </w:t>
            </w:r>
            <w:r w:rsidR="00623D8F" w:rsidRPr="00274BBC">
              <w:rPr>
                <w:rFonts w:cs="Times New Roman"/>
                <w:b/>
                <w:sz w:val="20"/>
                <w:szCs w:val="20"/>
              </w:rPr>
              <w:t>1</w:t>
            </w:r>
            <w:r w:rsidRPr="00274BBC">
              <w:rPr>
                <w:rFonts w:cs="Times New Roman"/>
                <w:b/>
                <w:sz w:val="20"/>
                <w:szCs w:val="20"/>
              </w:rPr>
              <w:t>0%</w:t>
            </w:r>
          </w:p>
        </w:tc>
        <w:tc>
          <w:tcPr>
            <w:tcW w:w="5310" w:type="dxa"/>
            <w:gridSpan w:val="4"/>
            <w:tcBorders>
              <w:left w:val="thinThickThinSmallGap" w:sz="24" w:space="0" w:color="auto"/>
            </w:tcBorders>
            <w:shd w:val="clear" w:color="auto" w:fill="D9D9D9" w:themeFill="background1" w:themeFillShade="D9"/>
            <w:vAlign w:val="center"/>
          </w:tcPr>
          <w:p w:rsidR="00C87F76" w:rsidRPr="00274BBC" w:rsidRDefault="00C87F76" w:rsidP="00A22558">
            <w:pPr>
              <w:pStyle w:val="ListParagraph"/>
              <w:spacing w:after="0" w:line="200" w:lineRule="exact"/>
              <w:ind w:left="0"/>
              <w:jc w:val="center"/>
              <w:rPr>
                <w:rFonts w:cs="Times New Roman"/>
                <w:b/>
                <w:sz w:val="20"/>
                <w:szCs w:val="20"/>
              </w:rPr>
            </w:pPr>
            <w:r w:rsidRPr="00274BBC">
              <w:rPr>
                <w:rFonts w:cs="Times New Roman"/>
                <w:b/>
                <w:sz w:val="20"/>
                <w:szCs w:val="20"/>
              </w:rPr>
              <w:t>Combined</w:t>
            </w:r>
            <w:r w:rsidR="00EB3307" w:rsidRPr="00274BBC">
              <w:rPr>
                <w:rFonts w:cs="Times New Roman"/>
                <w:b/>
                <w:sz w:val="20"/>
                <w:szCs w:val="20"/>
              </w:rPr>
              <w:t>:</w:t>
            </w:r>
            <w:r w:rsidRPr="00274BBC">
              <w:rPr>
                <w:rFonts w:cs="Times New Roman"/>
                <w:b/>
                <w:sz w:val="20"/>
                <w:szCs w:val="20"/>
              </w:rPr>
              <w:t xml:space="preserve"> </w:t>
            </w:r>
            <w:r w:rsidR="00C23744" w:rsidRPr="00274BBC">
              <w:rPr>
                <w:rFonts w:cs="Times New Roman"/>
                <w:b/>
                <w:sz w:val="20"/>
                <w:szCs w:val="20"/>
              </w:rPr>
              <w:t xml:space="preserve"> </w:t>
            </w:r>
            <w:r w:rsidR="008B268A" w:rsidRPr="00274BBC">
              <w:rPr>
                <w:rFonts w:cs="Times New Roman"/>
                <w:b/>
                <w:sz w:val="20"/>
                <w:szCs w:val="20"/>
              </w:rPr>
              <w:t>2</w:t>
            </w:r>
            <w:r w:rsidRPr="00274BBC">
              <w:rPr>
                <w:rFonts w:cs="Times New Roman"/>
                <w:b/>
                <w:sz w:val="20"/>
                <w:szCs w:val="20"/>
              </w:rPr>
              <w:t>0%</w:t>
            </w:r>
          </w:p>
        </w:tc>
      </w:tr>
    </w:tbl>
    <w:p w:rsidR="00106AD8" w:rsidRPr="003C1F3C"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904DD1" w:rsidRDefault="00904DD1">
      <w:pPr>
        <w:rPr>
          <w:rFonts w:asciiTheme="minorHAnsi" w:hAnsiTheme="minorHAnsi"/>
          <w:color w:val="auto"/>
          <w:szCs w:val="24"/>
          <w:u w:val="single"/>
        </w:rPr>
      </w:pPr>
    </w:p>
    <w:p w:rsidR="003B1597" w:rsidRPr="003B1597" w:rsidRDefault="003B1597" w:rsidP="003B1597">
      <w:pPr>
        <w:rPr>
          <w:rFonts w:asciiTheme="minorHAnsi" w:hAnsiTheme="minorHAnsi"/>
          <w:color w:val="auto"/>
          <w:szCs w:val="24"/>
        </w:rPr>
      </w:pPr>
      <w:r w:rsidRPr="003B1597">
        <w:rPr>
          <w:rFonts w:asciiTheme="minorHAnsi" w:hAnsiTheme="minorHAnsi"/>
          <w:color w:val="auto"/>
          <w:szCs w:val="24"/>
          <w:u w:val="single"/>
        </w:rPr>
        <w:t>ANALYSIS SUMMARY</w:t>
      </w:r>
      <w:r w:rsidRPr="003B1597">
        <w:rPr>
          <w:rFonts w:asciiTheme="minorHAnsi" w:hAnsiTheme="minorHAnsi"/>
          <w:color w:val="auto"/>
          <w:szCs w:val="24"/>
        </w:rPr>
        <w:t>:</w:t>
      </w:r>
    </w:p>
    <w:p w:rsidR="003B1597" w:rsidRPr="003B1597" w:rsidRDefault="003B1597" w:rsidP="008B2C81">
      <w:pPr>
        <w:spacing w:line="240" w:lineRule="exact"/>
        <w:jc w:val="both"/>
        <w:rPr>
          <w:rFonts w:asciiTheme="minorHAnsi" w:hAnsiTheme="minorHAnsi"/>
          <w:color w:val="auto"/>
          <w:szCs w:val="24"/>
        </w:rPr>
      </w:pPr>
    </w:p>
    <w:p w:rsidR="0020320A" w:rsidRPr="00396779" w:rsidRDefault="00804E80" w:rsidP="008B2C81">
      <w:pPr>
        <w:spacing w:line="240" w:lineRule="exact"/>
        <w:jc w:val="both"/>
        <w:rPr>
          <w:rFonts w:asciiTheme="minorHAnsi" w:hAnsiTheme="minorHAnsi"/>
          <w:color w:val="auto"/>
          <w:szCs w:val="24"/>
        </w:rPr>
      </w:pPr>
      <w:r w:rsidRPr="00804E80">
        <w:rPr>
          <w:rFonts w:asciiTheme="minorHAnsi" w:hAnsiTheme="minorHAnsi"/>
          <w:color w:val="auto"/>
          <w:szCs w:val="24"/>
          <w:u w:val="single"/>
        </w:rPr>
        <w:t>Mechanical Low Back Pain and Degenerative Disc Disease</w:t>
      </w:r>
      <w:r>
        <w:rPr>
          <w:rFonts w:asciiTheme="minorHAnsi" w:hAnsiTheme="minorHAnsi"/>
          <w:color w:val="auto"/>
          <w:szCs w:val="24"/>
        </w:rPr>
        <w:t>:</w:t>
      </w:r>
      <w:r w:rsidR="003C1F65">
        <w:rPr>
          <w:rFonts w:asciiTheme="minorHAnsi" w:hAnsiTheme="minorHAnsi"/>
          <w:color w:val="auto"/>
          <w:szCs w:val="24"/>
        </w:rPr>
        <w:t xml:space="preserve">  </w:t>
      </w:r>
      <w:r w:rsidR="0020320A" w:rsidRPr="00396779">
        <w:rPr>
          <w:rFonts w:asciiTheme="minorHAnsi" w:hAnsiTheme="minorHAnsi"/>
          <w:color w:val="auto"/>
          <w:szCs w:val="24"/>
        </w:rPr>
        <w:t xml:space="preserve">There were </w:t>
      </w:r>
      <w:r w:rsidR="0020320A">
        <w:rPr>
          <w:rFonts w:asciiTheme="minorHAnsi" w:hAnsiTheme="minorHAnsi"/>
          <w:color w:val="auto"/>
          <w:szCs w:val="24"/>
        </w:rPr>
        <w:t>two</w:t>
      </w:r>
      <w:r w:rsidR="0020320A" w:rsidRPr="00396779">
        <w:rPr>
          <w:rFonts w:asciiTheme="minorHAnsi" w:hAnsiTheme="minorHAnsi"/>
          <w:color w:val="auto"/>
          <w:szCs w:val="24"/>
        </w:rPr>
        <w:t xml:space="preserve"> </w:t>
      </w:r>
      <w:r w:rsidR="0020320A" w:rsidRPr="00861825">
        <w:rPr>
          <w:rFonts w:asciiTheme="minorHAnsi" w:hAnsiTheme="minorHAnsi"/>
          <w:color w:val="auto"/>
          <w:szCs w:val="24"/>
        </w:rPr>
        <w:t>goniometric</w:t>
      </w:r>
      <w:r w:rsidR="0020320A" w:rsidRPr="00396779">
        <w:rPr>
          <w:rFonts w:asciiTheme="minorHAnsi" w:hAnsiTheme="minorHAnsi"/>
          <w:color w:val="auto"/>
          <w:szCs w:val="24"/>
        </w:rPr>
        <w:t xml:space="preserve"> range-of-motion (ROM) evaluations in evidence which the Board weighed in arriving at its rating recommendation. </w:t>
      </w:r>
      <w:r w:rsidR="0020320A">
        <w:rPr>
          <w:rFonts w:asciiTheme="minorHAnsi" w:hAnsiTheme="minorHAnsi"/>
          <w:color w:val="auto"/>
          <w:szCs w:val="24"/>
        </w:rPr>
        <w:t>T</w:t>
      </w:r>
      <w:r w:rsidR="0020320A" w:rsidRPr="00396779">
        <w:rPr>
          <w:rFonts w:asciiTheme="minorHAnsi" w:hAnsiTheme="minorHAnsi"/>
          <w:color w:val="auto"/>
          <w:szCs w:val="24"/>
        </w:rPr>
        <w:t>hese exams ar</w:t>
      </w:r>
      <w:r w:rsidR="0020320A">
        <w:rPr>
          <w:rFonts w:asciiTheme="minorHAnsi" w:hAnsiTheme="minorHAnsi"/>
          <w:color w:val="auto"/>
          <w:szCs w:val="24"/>
        </w:rPr>
        <w:t>e summarized in the chart below:</w:t>
      </w:r>
    </w:p>
    <w:p w:rsidR="007E5FE6" w:rsidRDefault="007E5FE6" w:rsidP="008B2C81">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408"/>
        <w:gridCol w:w="2340"/>
      </w:tblGrid>
      <w:tr w:rsidR="0020320A" w:rsidRPr="007E5FE6" w:rsidTr="009F539B">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0320A" w:rsidRPr="007E5FE6" w:rsidRDefault="0020320A" w:rsidP="008B2C81">
            <w:pPr>
              <w:spacing w:line="200" w:lineRule="exact"/>
              <w:contextualSpacing/>
              <w:jc w:val="both"/>
              <w:rPr>
                <w:rFonts w:asciiTheme="minorHAnsi" w:eastAsia="Calibri" w:hAnsiTheme="minorHAnsi"/>
                <w:b/>
                <w:color w:val="auto"/>
                <w:sz w:val="20"/>
              </w:rPr>
            </w:pPr>
            <w:r w:rsidRPr="007E5FE6">
              <w:rPr>
                <w:rFonts w:asciiTheme="minorHAnsi" w:eastAsia="Calibri" w:hAnsiTheme="minorHAnsi" w:cstheme="minorBidi"/>
                <w:color w:val="auto"/>
                <w:sz w:val="20"/>
              </w:rPr>
              <w:t>Goniometric ROM - Thoracolumbar</w:t>
            </w:r>
          </w:p>
        </w:tc>
        <w:tc>
          <w:tcPr>
            <w:tcW w:w="24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0320A" w:rsidRDefault="0020320A" w:rsidP="008B2C81">
            <w:pPr>
              <w:spacing w:line="200" w:lineRule="exact"/>
              <w:contextualSpacing/>
              <w:jc w:val="both"/>
              <w:rPr>
                <w:rFonts w:asciiTheme="minorHAnsi" w:eastAsia="Calibri" w:hAnsiTheme="minorHAnsi"/>
                <w:color w:val="auto"/>
                <w:sz w:val="20"/>
              </w:rPr>
            </w:pPr>
            <w:r>
              <w:rPr>
                <w:rFonts w:asciiTheme="minorHAnsi" w:eastAsia="Calibri" w:hAnsiTheme="minorHAnsi"/>
                <w:color w:val="auto"/>
                <w:sz w:val="20"/>
              </w:rPr>
              <w:t>NARSUM</w:t>
            </w:r>
            <w:r w:rsidRPr="007E5FE6">
              <w:rPr>
                <w:rFonts w:asciiTheme="minorHAnsi" w:eastAsia="Calibri" w:hAnsiTheme="minorHAnsi"/>
                <w:color w:val="auto"/>
                <w:sz w:val="20"/>
              </w:rPr>
              <w:t xml:space="preserve"> ~</w:t>
            </w:r>
            <w:r>
              <w:rPr>
                <w:rFonts w:asciiTheme="minorHAnsi" w:eastAsia="Calibri" w:hAnsiTheme="minorHAnsi"/>
                <w:color w:val="auto"/>
                <w:sz w:val="20"/>
              </w:rPr>
              <w:t>3</w:t>
            </w:r>
            <w:r w:rsidRPr="007E5FE6">
              <w:rPr>
                <w:rFonts w:asciiTheme="minorHAnsi" w:eastAsia="Calibri" w:hAnsiTheme="minorHAnsi"/>
                <w:color w:val="auto"/>
                <w:sz w:val="20"/>
              </w:rPr>
              <w:t xml:space="preserve"> Mo. Pre-Sep</w:t>
            </w:r>
          </w:p>
          <w:p w:rsidR="0020320A" w:rsidRPr="007E5FE6" w:rsidRDefault="0020320A" w:rsidP="008B2C81">
            <w:pPr>
              <w:spacing w:line="200" w:lineRule="exact"/>
              <w:contextualSpacing/>
              <w:jc w:val="both"/>
              <w:rPr>
                <w:rFonts w:asciiTheme="minorHAnsi" w:eastAsia="Calibri" w:hAnsiTheme="minorHAnsi"/>
                <w:color w:val="auto"/>
                <w:sz w:val="20"/>
              </w:rPr>
            </w:pPr>
            <w:r>
              <w:rPr>
                <w:rFonts w:asciiTheme="minorHAnsi" w:eastAsia="Calibri" w:hAnsiTheme="minorHAnsi"/>
                <w:color w:val="auto"/>
                <w:sz w:val="20"/>
              </w:rPr>
              <w:t>(20070620)</w:t>
            </w:r>
          </w:p>
        </w:tc>
        <w:tc>
          <w:tcPr>
            <w:tcW w:w="23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0320A" w:rsidRDefault="0020320A" w:rsidP="008B2C81">
            <w:pPr>
              <w:spacing w:line="200" w:lineRule="exact"/>
              <w:contextualSpacing/>
              <w:jc w:val="both"/>
              <w:rPr>
                <w:rFonts w:asciiTheme="minorHAnsi" w:eastAsia="Calibri" w:hAnsiTheme="minorHAnsi"/>
                <w:color w:val="auto"/>
                <w:sz w:val="20"/>
              </w:rPr>
            </w:pPr>
            <w:r w:rsidRPr="007E5FE6">
              <w:rPr>
                <w:rFonts w:asciiTheme="minorHAnsi" w:eastAsia="Calibri" w:hAnsiTheme="minorHAnsi"/>
                <w:color w:val="auto"/>
                <w:sz w:val="20"/>
              </w:rPr>
              <w:t>VA</w:t>
            </w:r>
            <w:r w:rsidRPr="007E5FE6">
              <w:rPr>
                <w:rFonts w:asciiTheme="minorHAnsi" w:eastAsiaTheme="minorHAnsi" w:hAnsiTheme="minorHAnsi" w:cstheme="minorBidi"/>
                <w:color w:val="auto"/>
                <w:sz w:val="20"/>
              </w:rPr>
              <w:t xml:space="preserve"> C&amp;P </w:t>
            </w:r>
            <w:r>
              <w:rPr>
                <w:rFonts w:asciiTheme="minorHAnsi" w:eastAsia="Calibri" w:hAnsiTheme="minorHAnsi"/>
                <w:color w:val="auto"/>
                <w:sz w:val="20"/>
              </w:rPr>
              <w:t xml:space="preserve">19 days </w:t>
            </w:r>
            <w:r w:rsidRPr="007E5FE6">
              <w:rPr>
                <w:rFonts w:asciiTheme="minorHAnsi" w:eastAsia="Calibri" w:hAnsiTheme="minorHAnsi"/>
                <w:color w:val="auto"/>
                <w:sz w:val="20"/>
              </w:rPr>
              <w:t>After-Sep</w:t>
            </w:r>
          </w:p>
          <w:p w:rsidR="0020320A" w:rsidRPr="007E5FE6" w:rsidRDefault="0020320A" w:rsidP="008B2C81">
            <w:pPr>
              <w:spacing w:line="200" w:lineRule="exact"/>
              <w:contextualSpacing/>
              <w:jc w:val="both"/>
              <w:rPr>
                <w:rFonts w:asciiTheme="minorHAnsi" w:eastAsiaTheme="minorHAnsi" w:hAnsiTheme="minorHAnsi" w:cstheme="minorBidi"/>
                <w:color w:val="auto"/>
                <w:sz w:val="20"/>
              </w:rPr>
            </w:pPr>
            <w:r>
              <w:rPr>
                <w:rFonts w:asciiTheme="minorHAnsi" w:eastAsia="Calibri" w:hAnsiTheme="minorHAnsi"/>
                <w:color w:val="auto"/>
                <w:sz w:val="20"/>
              </w:rPr>
              <w:t>(20071019)</w:t>
            </w:r>
          </w:p>
        </w:tc>
      </w:tr>
      <w:tr w:rsidR="0020320A" w:rsidRPr="007E5FE6" w:rsidTr="009F539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320A" w:rsidRPr="007E5FE6" w:rsidRDefault="0020320A" w:rsidP="008B2C81">
            <w:pPr>
              <w:spacing w:line="180" w:lineRule="exact"/>
              <w:contextualSpacing/>
              <w:jc w:val="both"/>
              <w:rPr>
                <w:rFonts w:asciiTheme="minorHAnsi" w:eastAsia="Calibri" w:hAnsiTheme="minorHAnsi"/>
                <w:color w:val="auto"/>
                <w:sz w:val="18"/>
                <w:szCs w:val="18"/>
              </w:rPr>
            </w:pPr>
            <w:r w:rsidRPr="007E5FE6">
              <w:rPr>
                <w:rFonts w:asciiTheme="minorHAnsi" w:eastAsia="Calibri" w:hAnsiTheme="minorHAnsi"/>
                <w:color w:val="auto"/>
                <w:sz w:val="18"/>
                <w:szCs w:val="18"/>
              </w:rPr>
              <w:t>Flex (0-90)</w:t>
            </w:r>
          </w:p>
        </w:tc>
        <w:tc>
          <w:tcPr>
            <w:tcW w:w="2408" w:type="dxa"/>
            <w:tcBorders>
              <w:top w:val="single" w:sz="4" w:space="0" w:color="000000"/>
              <w:left w:val="single" w:sz="4" w:space="0" w:color="000000"/>
              <w:bottom w:val="single" w:sz="4" w:space="0" w:color="000000"/>
              <w:right w:val="single" w:sz="4" w:space="0" w:color="000000"/>
            </w:tcBorders>
            <w:vAlign w:val="center"/>
          </w:tcPr>
          <w:p w:rsidR="0020320A" w:rsidRPr="007E5FE6" w:rsidRDefault="0020320A" w:rsidP="008B2C81">
            <w:pPr>
              <w:spacing w:line="180" w:lineRule="exact"/>
              <w:contextualSpacing/>
              <w:jc w:val="both"/>
              <w:rPr>
                <w:rFonts w:asciiTheme="minorHAnsi" w:eastAsia="Calibri" w:hAnsiTheme="minorHAnsi"/>
                <w:color w:val="auto"/>
                <w:sz w:val="18"/>
                <w:szCs w:val="18"/>
              </w:rPr>
            </w:pPr>
            <w:r>
              <w:rPr>
                <w:rFonts w:asciiTheme="minorHAnsi" w:eastAsia="Calibri" w:hAnsiTheme="minorHAnsi"/>
                <w:color w:val="auto"/>
                <w:sz w:val="18"/>
                <w:szCs w:val="18"/>
              </w:rPr>
              <w:t>80</w:t>
            </w:r>
            <w:r w:rsidRPr="007E5FE6">
              <w:rPr>
                <w:rFonts w:asciiTheme="minorHAnsi" w:eastAsia="Calibri" w:hAnsiTheme="minorHAnsi"/>
                <w:color w:val="auto"/>
                <w:sz w:val="18"/>
                <w:szCs w:val="18"/>
              </w:rPr>
              <w:t>⁰</w:t>
            </w:r>
          </w:p>
        </w:tc>
        <w:tc>
          <w:tcPr>
            <w:tcW w:w="2340" w:type="dxa"/>
            <w:tcBorders>
              <w:top w:val="single" w:sz="4" w:space="0" w:color="000000"/>
              <w:left w:val="single" w:sz="4" w:space="0" w:color="000000"/>
              <w:bottom w:val="single" w:sz="4" w:space="0" w:color="000000"/>
              <w:right w:val="single" w:sz="4" w:space="0" w:color="000000"/>
            </w:tcBorders>
            <w:vAlign w:val="center"/>
          </w:tcPr>
          <w:p w:rsidR="0020320A" w:rsidRPr="007E5FE6" w:rsidRDefault="0020320A" w:rsidP="008B2C81">
            <w:pPr>
              <w:spacing w:line="180" w:lineRule="exact"/>
              <w:contextualSpacing/>
              <w:jc w:val="both"/>
              <w:rPr>
                <w:rFonts w:asciiTheme="minorHAnsi" w:eastAsia="Calibri" w:hAnsiTheme="minorHAnsi"/>
                <w:color w:val="auto"/>
                <w:sz w:val="18"/>
                <w:szCs w:val="18"/>
              </w:rPr>
            </w:pPr>
            <w:r>
              <w:rPr>
                <w:rFonts w:asciiTheme="minorHAnsi" w:eastAsia="Calibri" w:hAnsiTheme="minorHAnsi"/>
                <w:color w:val="auto"/>
                <w:sz w:val="18"/>
                <w:szCs w:val="18"/>
              </w:rPr>
              <w:t>45</w:t>
            </w:r>
            <w:r w:rsidRPr="007E5FE6">
              <w:rPr>
                <w:rFonts w:asciiTheme="minorHAnsi" w:eastAsia="Calibri" w:hAnsiTheme="minorHAnsi"/>
                <w:color w:val="auto"/>
                <w:sz w:val="18"/>
                <w:szCs w:val="18"/>
              </w:rPr>
              <w:t>⁰</w:t>
            </w:r>
          </w:p>
        </w:tc>
      </w:tr>
      <w:tr w:rsidR="0020320A" w:rsidRPr="007E5FE6" w:rsidTr="009F539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320A" w:rsidRPr="007E5FE6" w:rsidRDefault="0020320A" w:rsidP="008B2C81">
            <w:pPr>
              <w:spacing w:line="180" w:lineRule="exact"/>
              <w:contextualSpacing/>
              <w:jc w:val="both"/>
              <w:rPr>
                <w:rFonts w:asciiTheme="minorHAnsi" w:eastAsia="Calibri" w:hAnsiTheme="minorHAnsi"/>
                <w:color w:val="auto"/>
                <w:sz w:val="18"/>
                <w:szCs w:val="18"/>
              </w:rPr>
            </w:pPr>
            <w:r w:rsidRPr="007E5FE6">
              <w:rPr>
                <w:rFonts w:asciiTheme="minorHAnsi" w:eastAsia="Calibri" w:hAnsiTheme="minorHAnsi"/>
                <w:color w:val="auto"/>
                <w:sz w:val="18"/>
                <w:szCs w:val="18"/>
              </w:rPr>
              <w:t>Ext (0-30)</w:t>
            </w:r>
          </w:p>
        </w:tc>
        <w:tc>
          <w:tcPr>
            <w:tcW w:w="2408" w:type="dxa"/>
            <w:tcBorders>
              <w:top w:val="single" w:sz="4" w:space="0" w:color="000000"/>
              <w:left w:val="single" w:sz="4" w:space="0" w:color="000000"/>
              <w:bottom w:val="single" w:sz="4" w:space="0" w:color="000000"/>
              <w:right w:val="single" w:sz="4" w:space="0" w:color="000000"/>
            </w:tcBorders>
            <w:vAlign w:val="center"/>
          </w:tcPr>
          <w:p w:rsidR="0020320A" w:rsidRPr="007E5FE6" w:rsidRDefault="00662BCC" w:rsidP="00662BCC">
            <w:pPr>
              <w:spacing w:line="180" w:lineRule="exact"/>
              <w:contextualSpacing/>
              <w:jc w:val="both"/>
              <w:rPr>
                <w:rFonts w:asciiTheme="minorHAnsi" w:eastAsia="Calibri" w:hAnsiTheme="minorHAnsi"/>
                <w:color w:val="auto"/>
                <w:sz w:val="18"/>
                <w:szCs w:val="18"/>
              </w:rPr>
            </w:pPr>
            <w:r>
              <w:rPr>
                <w:rFonts w:asciiTheme="minorHAnsi" w:eastAsia="Calibri" w:hAnsiTheme="minorHAnsi"/>
                <w:color w:val="auto"/>
                <w:sz w:val="18"/>
                <w:szCs w:val="18"/>
              </w:rPr>
              <w:t>“</w:t>
            </w:r>
            <w:r w:rsidR="0020320A">
              <w:rPr>
                <w:rFonts w:asciiTheme="minorHAnsi" w:eastAsia="Calibri" w:hAnsiTheme="minorHAnsi"/>
                <w:color w:val="auto"/>
                <w:sz w:val="18"/>
                <w:szCs w:val="18"/>
              </w:rPr>
              <w:t>full extension</w:t>
            </w:r>
            <w:r>
              <w:rPr>
                <w:rFonts w:asciiTheme="minorHAnsi" w:eastAsia="Calibri" w:hAnsiTheme="minorHAnsi"/>
                <w:color w:val="auto"/>
                <w:sz w:val="18"/>
                <w:szCs w:val="18"/>
              </w:rPr>
              <w:t>”</w:t>
            </w:r>
          </w:p>
        </w:tc>
        <w:tc>
          <w:tcPr>
            <w:tcW w:w="2340" w:type="dxa"/>
            <w:tcBorders>
              <w:top w:val="single" w:sz="4" w:space="0" w:color="000000"/>
              <w:left w:val="single" w:sz="4" w:space="0" w:color="000000"/>
              <w:bottom w:val="single" w:sz="4" w:space="0" w:color="000000"/>
              <w:right w:val="single" w:sz="4" w:space="0" w:color="000000"/>
            </w:tcBorders>
            <w:vAlign w:val="center"/>
          </w:tcPr>
          <w:p w:rsidR="0020320A" w:rsidRPr="007E5FE6" w:rsidRDefault="0020320A" w:rsidP="008B2C81">
            <w:pPr>
              <w:spacing w:line="180" w:lineRule="exact"/>
              <w:contextualSpacing/>
              <w:jc w:val="both"/>
              <w:rPr>
                <w:rFonts w:asciiTheme="minorHAnsi" w:eastAsia="Calibri" w:hAnsiTheme="minorHAnsi"/>
                <w:color w:val="auto"/>
                <w:sz w:val="18"/>
                <w:szCs w:val="18"/>
              </w:rPr>
            </w:pPr>
            <w:r>
              <w:rPr>
                <w:rFonts w:asciiTheme="minorHAnsi" w:eastAsia="Calibri" w:hAnsiTheme="minorHAnsi"/>
                <w:color w:val="auto"/>
                <w:sz w:val="18"/>
                <w:szCs w:val="18"/>
              </w:rPr>
              <w:t>20</w:t>
            </w:r>
            <w:r w:rsidRPr="007E5FE6">
              <w:rPr>
                <w:rFonts w:asciiTheme="minorHAnsi" w:eastAsia="Calibri" w:hAnsiTheme="minorHAnsi"/>
                <w:color w:val="auto"/>
                <w:sz w:val="18"/>
                <w:szCs w:val="18"/>
              </w:rPr>
              <w:t>⁰</w:t>
            </w:r>
          </w:p>
        </w:tc>
      </w:tr>
      <w:tr w:rsidR="0020320A" w:rsidRPr="007E5FE6" w:rsidTr="009F539B">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320A" w:rsidRPr="00662BCC" w:rsidRDefault="0020320A" w:rsidP="008B2C81">
            <w:pPr>
              <w:spacing w:line="180" w:lineRule="exact"/>
              <w:contextualSpacing/>
              <w:jc w:val="both"/>
              <w:rPr>
                <w:rFonts w:asciiTheme="minorHAnsi" w:eastAsia="Calibri" w:hAnsiTheme="minorHAnsi"/>
                <w:color w:val="auto"/>
                <w:sz w:val="18"/>
                <w:szCs w:val="18"/>
              </w:rPr>
            </w:pPr>
            <w:r w:rsidRPr="00662BCC">
              <w:rPr>
                <w:rFonts w:asciiTheme="minorHAnsi" w:eastAsia="Calibri" w:hAnsiTheme="minorHAnsi"/>
                <w:color w:val="auto"/>
                <w:sz w:val="18"/>
                <w:szCs w:val="18"/>
              </w:rPr>
              <w:t>R Lat Flex (0-30)</w:t>
            </w:r>
          </w:p>
        </w:tc>
        <w:tc>
          <w:tcPr>
            <w:tcW w:w="2408" w:type="dxa"/>
            <w:tcBorders>
              <w:top w:val="single" w:sz="4" w:space="0" w:color="000000"/>
              <w:left w:val="single" w:sz="4" w:space="0" w:color="000000"/>
              <w:bottom w:val="single" w:sz="4" w:space="0" w:color="000000"/>
              <w:right w:val="single" w:sz="4" w:space="0" w:color="000000"/>
            </w:tcBorders>
            <w:vAlign w:val="center"/>
          </w:tcPr>
          <w:p w:rsidR="0020320A" w:rsidRPr="00662BCC" w:rsidRDefault="0020320A" w:rsidP="008B2C81">
            <w:pPr>
              <w:spacing w:line="180" w:lineRule="exact"/>
              <w:contextualSpacing/>
              <w:jc w:val="both"/>
              <w:rPr>
                <w:rFonts w:asciiTheme="minorHAnsi" w:eastAsia="Calibri" w:hAnsiTheme="minorHAnsi"/>
                <w:color w:val="auto"/>
                <w:sz w:val="18"/>
                <w:szCs w:val="18"/>
              </w:rPr>
            </w:pPr>
            <w:r w:rsidRPr="00662BCC">
              <w:rPr>
                <w:rFonts w:asciiTheme="minorHAnsi" w:eastAsia="Calibri" w:hAnsiTheme="minorHAnsi"/>
                <w:color w:val="auto"/>
                <w:sz w:val="18"/>
                <w:szCs w:val="18"/>
              </w:rPr>
              <w:t>Not measured</w:t>
            </w:r>
          </w:p>
        </w:tc>
        <w:tc>
          <w:tcPr>
            <w:tcW w:w="2340" w:type="dxa"/>
            <w:tcBorders>
              <w:top w:val="single" w:sz="4" w:space="0" w:color="000000"/>
              <w:left w:val="single" w:sz="4" w:space="0" w:color="000000"/>
              <w:bottom w:val="single" w:sz="4" w:space="0" w:color="000000"/>
              <w:right w:val="single" w:sz="4" w:space="0" w:color="000000"/>
            </w:tcBorders>
            <w:vAlign w:val="center"/>
          </w:tcPr>
          <w:p w:rsidR="0020320A" w:rsidRPr="00662BCC" w:rsidRDefault="0020320A" w:rsidP="008B2C81">
            <w:pPr>
              <w:spacing w:line="180" w:lineRule="exact"/>
              <w:contextualSpacing/>
              <w:jc w:val="both"/>
              <w:rPr>
                <w:rFonts w:asciiTheme="minorHAnsi" w:eastAsia="Calibri" w:hAnsiTheme="minorHAnsi"/>
                <w:color w:val="auto"/>
                <w:sz w:val="18"/>
                <w:szCs w:val="18"/>
              </w:rPr>
            </w:pPr>
            <w:r w:rsidRPr="00662BCC">
              <w:rPr>
                <w:rFonts w:asciiTheme="minorHAnsi" w:eastAsia="Calibri" w:hAnsiTheme="minorHAnsi"/>
                <w:color w:val="auto"/>
                <w:sz w:val="18"/>
                <w:szCs w:val="18"/>
              </w:rPr>
              <w:t>25⁰</w:t>
            </w:r>
          </w:p>
        </w:tc>
      </w:tr>
      <w:tr w:rsidR="0020320A" w:rsidRPr="007E5FE6" w:rsidTr="009F539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320A" w:rsidRPr="00662BCC" w:rsidRDefault="0020320A" w:rsidP="008B2C81">
            <w:pPr>
              <w:spacing w:line="180" w:lineRule="exact"/>
              <w:contextualSpacing/>
              <w:jc w:val="both"/>
              <w:rPr>
                <w:rFonts w:asciiTheme="minorHAnsi" w:eastAsia="Calibri" w:hAnsiTheme="minorHAnsi"/>
                <w:color w:val="auto"/>
                <w:sz w:val="18"/>
                <w:szCs w:val="18"/>
              </w:rPr>
            </w:pPr>
            <w:r w:rsidRPr="00662BCC">
              <w:rPr>
                <w:rFonts w:asciiTheme="minorHAnsi" w:eastAsia="Calibri" w:hAnsiTheme="minorHAnsi"/>
                <w:color w:val="auto"/>
                <w:sz w:val="18"/>
                <w:szCs w:val="18"/>
              </w:rPr>
              <w:t>L Lat Flex 0-30)</w:t>
            </w:r>
          </w:p>
        </w:tc>
        <w:tc>
          <w:tcPr>
            <w:tcW w:w="2408" w:type="dxa"/>
            <w:tcBorders>
              <w:top w:val="single" w:sz="4" w:space="0" w:color="000000"/>
              <w:left w:val="single" w:sz="4" w:space="0" w:color="000000"/>
              <w:bottom w:val="single" w:sz="4" w:space="0" w:color="000000"/>
              <w:right w:val="single" w:sz="4" w:space="0" w:color="000000"/>
            </w:tcBorders>
            <w:vAlign w:val="center"/>
          </w:tcPr>
          <w:p w:rsidR="0020320A" w:rsidRPr="00662BCC" w:rsidRDefault="0020320A" w:rsidP="008B2C81">
            <w:pPr>
              <w:spacing w:line="180" w:lineRule="exact"/>
              <w:contextualSpacing/>
              <w:jc w:val="both"/>
              <w:rPr>
                <w:rFonts w:asciiTheme="minorHAnsi" w:eastAsia="Calibri" w:hAnsiTheme="minorHAnsi"/>
                <w:color w:val="auto"/>
                <w:sz w:val="18"/>
                <w:szCs w:val="18"/>
              </w:rPr>
            </w:pPr>
            <w:r w:rsidRPr="00662BCC">
              <w:rPr>
                <w:rFonts w:asciiTheme="minorHAnsi" w:eastAsia="Calibri" w:hAnsiTheme="minorHAnsi"/>
                <w:color w:val="auto"/>
                <w:sz w:val="18"/>
                <w:szCs w:val="18"/>
              </w:rPr>
              <w:t>Not measured</w:t>
            </w:r>
          </w:p>
        </w:tc>
        <w:tc>
          <w:tcPr>
            <w:tcW w:w="2340" w:type="dxa"/>
            <w:tcBorders>
              <w:top w:val="single" w:sz="4" w:space="0" w:color="000000"/>
              <w:left w:val="single" w:sz="4" w:space="0" w:color="000000"/>
              <w:bottom w:val="single" w:sz="4" w:space="0" w:color="000000"/>
              <w:right w:val="single" w:sz="4" w:space="0" w:color="000000"/>
            </w:tcBorders>
            <w:vAlign w:val="center"/>
          </w:tcPr>
          <w:p w:rsidR="0020320A" w:rsidRPr="00662BCC" w:rsidRDefault="0020320A" w:rsidP="008B2C81">
            <w:pPr>
              <w:spacing w:line="180" w:lineRule="exact"/>
              <w:contextualSpacing/>
              <w:jc w:val="both"/>
              <w:rPr>
                <w:rFonts w:asciiTheme="minorHAnsi" w:eastAsia="Calibri" w:hAnsiTheme="minorHAnsi"/>
                <w:color w:val="auto"/>
                <w:sz w:val="18"/>
                <w:szCs w:val="18"/>
              </w:rPr>
            </w:pPr>
            <w:r w:rsidRPr="00662BCC">
              <w:rPr>
                <w:rFonts w:asciiTheme="minorHAnsi" w:eastAsia="Calibri" w:hAnsiTheme="minorHAnsi"/>
                <w:color w:val="auto"/>
                <w:sz w:val="18"/>
                <w:szCs w:val="18"/>
              </w:rPr>
              <w:t>25⁰</w:t>
            </w:r>
          </w:p>
        </w:tc>
      </w:tr>
      <w:tr w:rsidR="0020320A" w:rsidRPr="007E5FE6" w:rsidTr="009F539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320A" w:rsidRPr="00662BCC" w:rsidRDefault="0020320A" w:rsidP="008B2C81">
            <w:pPr>
              <w:spacing w:line="180" w:lineRule="exact"/>
              <w:contextualSpacing/>
              <w:jc w:val="both"/>
              <w:rPr>
                <w:rFonts w:asciiTheme="minorHAnsi" w:eastAsia="Calibri" w:hAnsiTheme="minorHAnsi"/>
                <w:color w:val="auto"/>
                <w:sz w:val="18"/>
                <w:szCs w:val="18"/>
              </w:rPr>
            </w:pPr>
            <w:r w:rsidRPr="00662BCC">
              <w:rPr>
                <w:rFonts w:asciiTheme="minorHAnsi" w:eastAsia="Calibri" w:hAnsiTheme="minorHAnsi"/>
                <w:color w:val="auto"/>
                <w:sz w:val="18"/>
                <w:szCs w:val="18"/>
              </w:rPr>
              <w:t>R Rotation (0-30)</w:t>
            </w:r>
          </w:p>
        </w:tc>
        <w:tc>
          <w:tcPr>
            <w:tcW w:w="2408" w:type="dxa"/>
            <w:tcBorders>
              <w:top w:val="single" w:sz="4" w:space="0" w:color="000000"/>
              <w:left w:val="single" w:sz="4" w:space="0" w:color="000000"/>
              <w:bottom w:val="single" w:sz="4" w:space="0" w:color="000000"/>
              <w:right w:val="single" w:sz="4" w:space="0" w:color="000000"/>
            </w:tcBorders>
            <w:vAlign w:val="center"/>
          </w:tcPr>
          <w:p w:rsidR="0020320A" w:rsidRPr="00662BCC" w:rsidRDefault="0020320A" w:rsidP="008B2C81">
            <w:pPr>
              <w:spacing w:line="180" w:lineRule="exact"/>
              <w:contextualSpacing/>
              <w:jc w:val="both"/>
              <w:rPr>
                <w:rFonts w:asciiTheme="minorHAnsi" w:eastAsia="Calibri" w:hAnsiTheme="minorHAnsi"/>
                <w:color w:val="auto"/>
                <w:sz w:val="18"/>
                <w:szCs w:val="18"/>
              </w:rPr>
            </w:pPr>
            <w:r w:rsidRPr="00662BCC">
              <w:rPr>
                <w:rFonts w:asciiTheme="minorHAnsi" w:eastAsia="Calibri" w:hAnsiTheme="minorHAnsi"/>
                <w:color w:val="auto"/>
                <w:sz w:val="18"/>
                <w:szCs w:val="18"/>
              </w:rPr>
              <w:t>Not measured</w:t>
            </w:r>
          </w:p>
        </w:tc>
        <w:tc>
          <w:tcPr>
            <w:tcW w:w="2340" w:type="dxa"/>
            <w:tcBorders>
              <w:top w:val="single" w:sz="4" w:space="0" w:color="000000"/>
              <w:left w:val="single" w:sz="4" w:space="0" w:color="000000"/>
              <w:bottom w:val="single" w:sz="4" w:space="0" w:color="000000"/>
              <w:right w:val="single" w:sz="4" w:space="0" w:color="000000"/>
            </w:tcBorders>
            <w:vAlign w:val="center"/>
          </w:tcPr>
          <w:p w:rsidR="0020320A" w:rsidRPr="00662BCC" w:rsidRDefault="0020320A" w:rsidP="00662BCC">
            <w:pPr>
              <w:spacing w:line="180" w:lineRule="exact"/>
              <w:contextualSpacing/>
              <w:jc w:val="both"/>
              <w:rPr>
                <w:rFonts w:asciiTheme="minorHAnsi" w:eastAsia="Calibri" w:hAnsiTheme="minorHAnsi"/>
                <w:color w:val="auto"/>
                <w:sz w:val="18"/>
                <w:szCs w:val="18"/>
              </w:rPr>
            </w:pPr>
            <w:r w:rsidRPr="00662BCC">
              <w:rPr>
                <w:rFonts w:asciiTheme="minorHAnsi" w:eastAsia="Calibri" w:hAnsiTheme="minorHAnsi"/>
                <w:color w:val="auto"/>
                <w:sz w:val="18"/>
                <w:szCs w:val="18"/>
              </w:rPr>
              <w:t>3</w:t>
            </w:r>
            <w:r w:rsidR="00662BCC">
              <w:rPr>
                <w:rFonts w:asciiTheme="minorHAnsi" w:eastAsia="Calibri" w:hAnsiTheme="minorHAnsi"/>
                <w:color w:val="auto"/>
                <w:sz w:val="18"/>
                <w:szCs w:val="18"/>
              </w:rPr>
              <w:t>0</w:t>
            </w:r>
            <w:r w:rsidRPr="00662BCC">
              <w:rPr>
                <w:rFonts w:asciiTheme="minorHAnsi" w:eastAsia="Calibri" w:hAnsiTheme="minorHAnsi"/>
                <w:color w:val="auto"/>
                <w:sz w:val="18"/>
                <w:szCs w:val="18"/>
              </w:rPr>
              <w:t>⁰</w:t>
            </w:r>
          </w:p>
        </w:tc>
      </w:tr>
      <w:tr w:rsidR="0020320A" w:rsidRPr="007E5FE6" w:rsidTr="009F539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320A" w:rsidRPr="00662BCC" w:rsidRDefault="0020320A" w:rsidP="008B2C81">
            <w:pPr>
              <w:spacing w:line="180" w:lineRule="exact"/>
              <w:contextualSpacing/>
              <w:jc w:val="both"/>
              <w:rPr>
                <w:rFonts w:asciiTheme="minorHAnsi" w:eastAsia="Calibri" w:hAnsiTheme="minorHAnsi"/>
                <w:color w:val="auto"/>
                <w:sz w:val="18"/>
                <w:szCs w:val="18"/>
              </w:rPr>
            </w:pPr>
            <w:r w:rsidRPr="00662BCC">
              <w:rPr>
                <w:rFonts w:asciiTheme="minorHAnsi" w:eastAsia="Calibri" w:hAnsiTheme="minorHAnsi"/>
                <w:color w:val="auto"/>
                <w:sz w:val="18"/>
                <w:szCs w:val="18"/>
              </w:rPr>
              <w:t>L Rotation (0-30)</w:t>
            </w:r>
          </w:p>
        </w:tc>
        <w:tc>
          <w:tcPr>
            <w:tcW w:w="2408" w:type="dxa"/>
            <w:tcBorders>
              <w:top w:val="single" w:sz="4" w:space="0" w:color="000000"/>
              <w:left w:val="single" w:sz="4" w:space="0" w:color="000000"/>
              <w:bottom w:val="single" w:sz="4" w:space="0" w:color="000000"/>
              <w:right w:val="single" w:sz="4" w:space="0" w:color="000000"/>
            </w:tcBorders>
            <w:vAlign w:val="center"/>
          </w:tcPr>
          <w:p w:rsidR="0020320A" w:rsidRPr="00662BCC" w:rsidRDefault="0020320A" w:rsidP="008B2C81">
            <w:pPr>
              <w:spacing w:line="180" w:lineRule="exact"/>
              <w:contextualSpacing/>
              <w:jc w:val="both"/>
              <w:rPr>
                <w:rFonts w:asciiTheme="minorHAnsi" w:eastAsia="Calibri" w:hAnsiTheme="minorHAnsi"/>
                <w:color w:val="auto"/>
                <w:sz w:val="18"/>
                <w:szCs w:val="18"/>
              </w:rPr>
            </w:pPr>
            <w:r w:rsidRPr="00662BCC">
              <w:rPr>
                <w:rFonts w:asciiTheme="minorHAnsi" w:eastAsia="Calibri" w:hAnsiTheme="minorHAnsi"/>
                <w:color w:val="auto"/>
                <w:sz w:val="18"/>
                <w:szCs w:val="18"/>
              </w:rPr>
              <w:t>Not measured</w:t>
            </w:r>
          </w:p>
        </w:tc>
        <w:tc>
          <w:tcPr>
            <w:tcW w:w="2340" w:type="dxa"/>
            <w:tcBorders>
              <w:top w:val="single" w:sz="4" w:space="0" w:color="000000"/>
              <w:left w:val="single" w:sz="4" w:space="0" w:color="000000"/>
              <w:bottom w:val="single" w:sz="4" w:space="0" w:color="000000"/>
              <w:right w:val="single" w:sz="4" w:space="0" w:color="000000"/>
            </w:tcBorders>
            <w:vAlign w:val="center"/>
          </w:tcPr>
          <w:p w:rsidR="0020320A" w:rsidRPr="00662BCC" w:rsidRDefault="0020320A" w:rsidP="00662BCC">
            <w:pPr>
              <w:spacing w:line="180" w:lineRule="exact"/>
              <w:contextualSpacing/>
              <w:jc w:val="both"/>
              <w:rPr>
                <w:rFonts w:asciiTheme="minorHAnsi" w:eastAsia="Calibri" w:hAnsiTheme="minorHAnsi"/>
                <w:color w:val="auto"/>
                <w:sz w:val="18"/>
                <w:szCs w:val="18"/>
              </w:rPr>
            </w:pPr>
            <w:r w:rsidRPr="00662BCC">
              <w:rPr>
                <w:rFonts w:asciiTheme="minorHAnsi" w:eastAsia="Calibri" w:hAnsiTheme="minorHAnsi"/>
                <w:color w:val="auto"/>
                <w:sz w:val="18"/>
                <w:szCs w:val="18"/>
              </w:rPr>
              <w:t>3</w:t>
            </w:r>
            <w:r w:rsidR="00662BCC">
              <w:rPr>
                <w:rFonts w:asciiTheme="minorHAnsi" w:eastAsia="Calibri" w:hAnsiTheme="minorHAnsi"/>
                <w:color w:val="auto"/>
                <w:sz w:val="18"/>
                <w:szCs w:val="18"/>
              </w:rPr>
              <w:t>0</w:t>
            </w:r>
            <w:r w:rsidRPr="00662BCC">
              <w:rPr>
                <w:rFonts w:asciiTheme="minorHAnsi" w:eastAsia="Calibri" w:hAnsiTheme="minorHAnsi"/>
                <w:color w:val="auto"/>
                <w:sz w:val="18"/>
                <w:szCs w:val="18"/>
              </w:rPr>
              <w:t>⁰</w:t>
            </w:r>
          </w:p>
        </w:tc>
      </w:tr>
      <w:tr w:rsidR="0020320A" w:rsidRPr="007E5FE6" w:rsidTr="009F539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320A" w:rsidRPr="00662BCC" w:rsidRDefault="0020320A" w:rsidP="008B2C81">
            <w:pPr>
              <w:spacing w:line="180" w:lineRule="exact"/>
              <w:contextualSpacing/>
              <w:jc w:val="both"/>
              <w:rPr>
                <w:rFonts w:asciiTheme="minorHAnsi" w:eastAsia="Calibri" w:hAnsiTheme="minorHAnsi"/>
                <w:color w:val="auto"/>
                <w:sz w:val="18"/>
                <w:szCs w:val="18"/>
              </w:rPr>
            </w:pPr>
            <w:r w:rsidRPr="00662BCC">
              <w:rPr>
                <w:rFonts w:asciiTheme="minorHAnsi" w:eastAsia="Calibri" w:hAnsiTheme="minorHAnsi"/>
                <w:color w:val="auto"/>
                <w:sz w:val="18"/>
                <w:szCs w:val="18"/>
              </w:rPr>
              <w:t>COMBINED (240)</w:t>
            </w:r>
          </w:p>
        </w:tc>
        <w:tc>
          <w:tcPr>
            <w:tcW w:w="2408" w:type="dxa"/>
            <w:tcBorders>
              <w:top w:val="single" w:sz="4" w:space="0" w:color="000000"/>
              <w:left w:val="single" w:sz="4" w:space="0" w:color="000000"/>
              <w:bottom w:val="single" w:sz="4" w:space="0" w:color="000000"/>
              <w:right w:val="single" w:sz="4" w:space="0" w:color="000000"/>
            </w:tcBorders>
            <w:vAlign w:val="center"/>
          </w:tcPr>
          <w:p w:rsidR="0020320A" w:rsidRPr="00662BCC" w:rsidRDefault="0020320A" w:rsidP="008B2C81">
            <w:pPr>
              <w:spacing w:line="180" w:lineRule="exact"/>
              <w:jc w:val="both"/>
              <w:rPr>
                <w:rFonts w:asciiTheme="minorHAnsi" w:eastAsia="Calibri" w:hAnsiTheme="minorHAnsi"/>
                <w:color w:val="auto"/>
                <w:sz w:val="18"/>
                <w:szCs w:val="18"/>
              </w:rPr>
            </w:pPr>
            <w:r w:rsidRPr="00662BCC">
              <w:rPr>
                <w:rFonts w:asciiTheme="minorHAnsi" w:eastAsia="Calibri" w:hAnsiTheme="minorHAnsi"/>
                <w:color w:val="auto"/>
                <w:sz w:val="18"/>
                <w:szCs w:val="18"/>
              </w:rPr>
              <w:t>Unknown</w:t>
            </w:r>
          </w:p>
        </w:tc>
        <w:tc>
          <w:tcPr>
            <w:tcW w:w="2340" w:type="dxa"/>
            <w:tcBorders>
              <w:top w:val="single" w:sz="4" w:space="0" w:color="000000"/>
              <w:left w:val="single" w:sz="4" w:space="0" w:color="000000"/>
              <w:bottom w:val="single" w:sz="4" w:space="0" w:color="000000"/>
              <w:right w:val="single" w:sz="4" w:space="0" w:color="000000"/>
            </w:tcBorders>
            <w:vAlign w:val="center"/>
          </w:tcPr>
          <w:p w:rsidR="0020320A" w:rsidRPr="00662BCC" w:rsidRDefault="0020320A" w:rsidP="00662BCC">
            <w:pPr>
              <w:spacing w:line="180" w:lineRule="exact"/>
              <w:jc w:val="both"/>
              <w:rPr>
                <w:rFonts w:asciiTheme="minorHAnsi" w:eastAsia="Calibri" w:hAnsiTheme="minorHAnsi"/>
                <w:color w:val="auto"/>
                <w:sz w:val="18"/>
                <w:szCs w:val="18"/>
              </w:rPr>
            </w:pPr>
            <w:r w:rsidRPr="00662BCC">
              <w:rPr>
                <w:rFonts w:asciiTheme="minorHAnsi" w:eastAsia="Calibri" w:hAnsiTheme="minorHAnsi"/>
                <w:color w:val="auto"/>
                <w:sz w:val="18"/>
                <w:szCs w:val="18"/>
              </w:rPr>
              <w:t>1</w:t>
            </w:r>
            <w:r w:rsidR="00662BCC">
              <w:rPr>
                <w:rFonts w:asciiTheme="minorHAnsi" w:eastAsia="Calibri" w:hAnsiTheme="minorHAnsi"/>
                <w:color w:val="auto"/>
                <w:sz w:val="18"/>
                <w:szCs w:val="18"/>
              </w:rPr>
              <w:t>5</w:t>
            </w:r>
            <w:r w:rsidRPr="00662BCC">
              <w:rPr>
                <w:rFonts w:asciiTheme="minorHAnsi" w:eastAsia="Calibri" w:hAnsiTheme="minorHAnsi"/>
                <w:color w:val="auto"/>
                <w:sz w:val="18"/>
                <w:szCs w:val="18"/>
              </w:rPr>
              <w:t>5⁰</w:t>
            </w:r>
          </w:p>
        </w:tc>
      </w:tr>
      <w:tr w:rsidR="0020320A" w:rsidRPr="007E5FE6" w:rsidTr="009F539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320A" w:rsidRPr="007E5FE6" w:rsidRDefault="0020320A" w:rsidP="008B2C81">
            <w:pPr>
              <w:spacing w:line="180" w:lineRule="exact"/>
              <w:contextualSpacing/>
              <w:jc w:val="both"/>
              <w:rPr>
                <w:rFonts w:asciiTheme="minorHAnsi" w:eastAsia="Calibri" w:hAnsiTheme="minorHAnsi"/>
                <w:color w:val="auto"/>
                <w:sz w:val="18"/>
                <w:szCs w:val="18"/>
              </w:rPr>
            </w:pPr>
            <w:r w:rsidRPr="007E5FE6">
              <w:rPr>
                <w:rFonts w:asciiTheme="minorHAnsi" w:eastAsia="Calibri" w:hAnsiTheme="minorHAnsi"/>
                <w:color w:val="auto"/>
                <w:sz w:val="18"/>
                <w:szCs w:val="18"/>
              </w:rPr>
              <w:t>Comment</w:t>
            </w:r>
          </w:p>
        </w:tc>
        <w:tc>
          <w:tcPr>
            <w:tcW w:w="2408" w:type="dxa"/>
            <w:tcBorders>
              <w:top w:val="single" w:sz="4" w:space="0" w:color="000000"/>
              <w:left w:val="single" w:sz="4" w:space="0" w:color="000000"/>
              <w:bottom w:val="single" w:sz="4" w:space="0" w:color="000000"/>
              <w:right w:val="single" w:sz="4" w:space="0" w:color="000000"/>
            </w:tcBorders>
            <w:vAlign w:val="center"/>
          </w:tcPr>
          <w:p w:rsidR="0020320A" w:rsidRPr="007E5FE6" w:rsidRDefault="0020320A" w:rsidP="008B2C81">
            <w:pPr>
              <w:tabs>
                <w:tab w:val="left" w:pos="288"/>
                <w:tab w:val="left" w:pos="4752"/>
              </w:tabs>
              <w:spacing w:line="180" w:lineRule="exact"/>
              <w:jc w:val="both"/>
              <w:rPr>
                <w:rFonts w:asciiTheme="minorHAnsi" w:eastAsiaTheme="minorHAnsi" w:hAnsiTheme="minorHAnsi"/>
                <w:color w:val="auto"/>
                <w:sz w:val="18"/>
                <w:szCs w:val="18"/>
              </w:rPr>
            </w:pPr>
            <w:r>
              <w:rPr>
                <w:rFonts w:asciiTheme="minorHAnsi" w:eastAsiaTheme="minorHAnsi" w:hAnsiTheme="minorHAnsi"/>
                <w:color w:val="auto"/>
                <w:sz w:val="18"/>
                <w:szCs w:val="18"/>
              </w:rPr>
              <w:t xml:space="preserve">Pain with </w:t>
            </w:r>
            <w:r w:rsidR="00FE5F5A">
              <w:rPr>
                <w:rFonts w:asciiTheme="minorHAnsi" w:eastAsiaTheme="minorHAnsi" w:hAnsiTheme="minorHAnsi"/>
                <w:color w:val="auto"/>
                <w:sz w:val="18"/>
                <w:szCs w:val="18"/>
              </w:rPr>
              <w:t>motion</w:t>
            </w:r>
            <w:r w:rsidR="005E45D1">
              <w:rPr>
                <w:rFonts w:asciiTheme="minorHAnsi" w:eastAsiaTheme="minorHAnsi" w:hAnsiTheme="minorHAnsi"/>
                <w:color w:val="auto"/>
                <w:sz w:val="18"/>
                <w:szCs w:val="18"/>
              </w:rPr>
              <w:t>; N</w:t>
            </w:r>
            <w:r>
              <w:rPr>
                <w:rFonts w:asciiTheme="minorHAnsi" w:eastAsiaTheme="minorHAnsi" w:hAnsiTheme="minorHAnsi"/>
                <w:color w:val="auto"/>
                <w:sz w:val="18"/>
                <w:szCs w:val="18"/>
              </w:rPr>
              <w:t>ormal gait</w:t>
            </w:r>
            <w:r w:rsidR="008C0523">
              <w:rPr>
                <w:rFonts w:asciiTheme="minorHAnsi" w:eastAsiaTheme="minorHAnsi" w:hAnsiTheme="minorHAnsi"/>
                <w:color w:val="auto"/>
                <w:sz w:val="18"/>
                <w:szCs w:val="18"/>
              </w:rPr>
              <w:t>, strength, reflexes, sensation.</w:t>
            </w:r>
          </w:p>
        </w:tc>
        <w:tc>
          <w:tcPr>
            <w:tcW w:w="2340" w:type="dxa"/>
            <w:tcBorders>
              <w:top w:val="single" w:sz="4" w:space="0" w:color="000000"/>
              <w:left w:val="single" w:sz="4" w:space="0" w:color="000000"/>
              <w:bottom w:val="single" w:sz="4" w:space="0" w:color="000000"/>
              <w:right w:val="single" w:sz="4" w:space="0" w:color="000000"/>
            </w:tcBorders>
            <w:vAlign w:val="center"/>
          </w:tcPr>
          <w:p w:rsidR="00D02BA4" w:rsidRPr="007E5FE6" w:rsidRDefault="0020320A" w:rsidP="008C0523">
            <w:pPr>
              <w:tabs>
                <w:tab w:val="left" w:pos="288"/>
                <w:tab w:val="left" w:pos="4752"/>
              </w:tabs>
              <w:spacing w:line="180" w:lineRule="exact"/>
              <w:jc w:val="both"/>
              <w:rPr>
                <w:rFonts w:asciiTheme="minorHAnsi" w:eastAsiaTheme="minorHAnsi" w:hAnsiTheme="minorHAnsi"/>
                <w:color w:val="auto"/>
                <w:sz w:val="18"/>
                <w:szCs w:val="18"/>
              </w:rPr>
            </w:pPr>
            <w:r>
              <w:rPr>
                <w:rFonts w:asciiTheme="minorHAnsi" w:eastAsiaTheme="minorHAnsi" w:hAnsiTheme="minorHAnsi"/>
                <w:color w:val="auto"/>
                <w:sz w:val="18"/>
                <w:szCs w:val="18"/>
              </w:rPr>
              <w:t>Pain at 45</w:t>
            </w:r>
            <w:r>
              <w:rPr>
                <w:rFonts w:asciiTheme="minorHAnsi" w:eastAsiaTheme="minorHAnsi" w:hAnsiTheme="minorHAnsi" w:cstheme="minorHAnsi"/>
                <w:color w:val="auto"/>
                <w:sz w:val="18"/>
                <w:szCs w:val="18"/>
              </w:rPr>
              <w:t>°</w:t>
            </w:r>
            <w:r>
              <w:rPr>
                <w:rFonts w:asciiTheme="minorHAnsi" w:eastAsiaTheme="minorHAnsi" w:hAnsiTheme="minorHAnsi"/>
                <w:color w:val="auto"/>
                <w:sz w:val="18"/>
                <w:szCs w:val="18"/>
              </w:rPr>
              <w:t xml:space="preserve"> flexion;</w:t>
            </w:r>
            <w:r w:rsidR="00D02BA4">
              <w:rPr>
                <w:rFonts w:asciiTheme="minorHAnsi" w:eastAsiaTheme="minorHAnsi" w:hAnsiTheme="minorHAnsi"/>
                <w:color w:val="auto"/>
                <w:sz w:val="18"/>
                <w:szCs w:val="18"/>
              </w:rPr>
              <w:t xml:space="preserve"> guarding, </w:t>
            </w:r>
            <w:r w:rsidR="00662BCC">
              <w:rPr>
                <w:rFonts w:asciiTheme="minorHAnsi" w:eastAsiaTheme="minorHAnsi" w:hAnsiTheme="minorHAnsi"/>
                <w:color w:val="auto"/>
                <w:sz w:val="18"/>
                <w:szCs w:val="18"/>
              </w:rPr>
              <w:t>right leg weakness</w:t>
            </w:r>
            <w:r w:rsidR="008C0523">
              <w:rPr>
                <w:rFonts w:asciiTheme="minorHAnsi" w:eastAsiaTheme="minorHAnsi" w:hAnsiTheme="minorHAnsi"/>
                <w:color w:val="auto"/>
                <w:sz w:val="18"/>
                <w:szCs w:val="18"/>
              </w:rPr>
              <w:t xml:space="preserve"> with ½ inch circumference decrease c/w </w:t>
            </w:r>
            <w:r w:rsidR="00662BCC">
              <w:rPr>
                <w:rFonts w:asciiTheme="minorHAnsi" w:eastAsiaTheme="minorHAnsi" w:hAnsiTheme="minorHAnsi"/>
                <w:color w:val="auto"/>
                <w:sz w:val="18"/>
                <w:szCs w:val="18"/>
              </w:rPr>
              <w:t>atrophy</w:t>
            </w:r>
            <w:r w:rsidR="00D02BA4">
              <w:rPr>
                <w:rFonts w:asciiTheme="minorHAnsi" w:eastAsiaTheme="minorHAnsi" w:hAnsiTheme="minorHAnsi"/>
                <w:color w:val="auto"/>
                <w:sz w:val="18"/>
                <w:szCs w:val="18"/>
              </w:rPr>
              <w:t xml:space="preserve">; normal gait, normal </w:t>
            </w:r>
            <w:r w:rsidR="008C0523">
              <w:rPr>
                <w:rFonts w:asciiTheme="minorHAnsi" w:eastAsiaTheme="minorHAnsi" w:hAnsiTheme="minorHAnsi"/>
                <w:color w:val="auto"/>
                <w:sz w:val="18"/>
                <w:szCs w:val="18"/>
              </w:rPr>
              <w:t xml:space="preserve">spine </w:t>
            </w:r>
            <w:r w:rsidR="00D02BA4">
              <w:rPr>
                <w:rFonts w:asciiTheme="minorHAnsi" w:eastAsiaTheme="minorHAnsi" w:hAnsiTheme="minorHAnsi"/>
                <w:color w:val="auto"/>
                <w:sz w:val="18"/>
                <w:szCs w:val="18"/>
              </w:rPr>
              <w:t>contour</w:t>
            </w:r>
          </w:p>
        </w:tc>
      </w:tr>
      <w:tr w:rsidR="0020320A" w:rsidRPr="007E5FE6" w:rsidTr="009F539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320A" w:rsidRPr="007E5FE6" w:rsidRDefault="0020320A" w:rsidP="008B2C81">
            <w:pPr>
              <w:spacing w:line="180" w:lineRule="exact"/>
              <w:contextualSpacing/>
              <w:jc w:val="both"/>
              <w:rPr>
                <w:rFonts w:asciiTheme="minorHAnsi" w:eastAsia="Calibri" w:hAnsiTheme="minorHAnsi"/>
                <w:color w:val="auto"/>
                <w:sz w:val="18"/>
                <w:szCs w:val="18"/>
              </w:rPr>
            </w:pPr>
            <w:r w:rsidRPr="007E5FE6">
              <w:rPr>
                <w:rFonts w:asciiTheme="minorHAnsi" w:eastAsia="Calibri" w:hAnsiTheme="minorHAnsi"/>
                <w:color w:val="auto"/>
                <w:sz w:val="18"/>
                <w:szCs w:val="18"/>
              </w:rPr>
              <w:t>§4.71a Rating</w:t>
            </w:r>
          </w:p>
        </w:tc>
        <w:tc>
          <w:tcPr>
            <w:tcW w:w="2408" w:type="dxa"/>
            <w:tcBorders>
              <w:top w:val="single" w:sz="4" w:space="0" w:color="000000"/>
              <w:left w:val="single" w:sz="4" w:space="0" w:color="000000"/>
              <w:bottom w:val="single" w:sz="4" w:space="0" w:color="000000"/>
              <w:right w:val="single" w:sz="4" w:space="0" w:color="000000"/>
            </w:tcBorders>
            <w:vAlign w:val="center"/>
          </w:tcPr>
          <w:p w:rsidR="0020320A" w:rsidRPr="007E5FE6" w:rsidRDefault="0020320A" w:rsidP="008B2C81">
            <w:pPr>
              <w:tabs>
                <w:tab w:val="left" w:pos="288"/>
                <w:tab w:val="left" w:pos="4752"/>
              </w:tabs>
              <w:spacing w:line="180" w:lineRule="exact"/>
              <w:jc w:val="both"/>
              <w:rPr>
                <w:rFonts w:asciiTheme="minorHAnsi" w:eastAsiaTheme="minorHAnsi" w:hAnsiTheme="minorHAnsi"/>
                <w:color w:val="auto"/>
                <w:sz w:val="18"/>
                <w:szCs w:val="18"/>
              </w:rPr>
            </w:pPr>
            <w:r w:rsidRPr="0020320A">
              <w:rPr>
                <w:rFonts w:asciiTheme="minorHAnsi" w:eastAsiaTheme="minorHAnsi" w:hAnsiTheme="minorHAnsi"/>
                <w:color w:val="auto"/>
                <w:sz w:val="18"/>
                <w:szCs w:val="18"/>
              </w:rPr>
              <w:t>10%</w:t>
            </w:r>
            <w:r>
              <w:rPr>
                <w:rFonts w:asciiTheme="minorHAnsi" w:eastAsiaTheme="minorHAnsi" w:hAnsiTheme="minorHAnsi"/>
                <w:color w:val="auto"/>
                <w:sz w:val="18"/>
                <w:szCs w:val="18"/>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rsidR="0020320A" w:rsidRPr="007E5FE6" w:rsidRDefault="0020320A" w:rsidP="008B2C81">
            <w:pPr>
              <w:tabs>
                <w:tab w:val="left" w:pos="288"/>
                <w:tab w:val="left" w:pos="4752"/>
              </w:tabs>
              <w:spacing w:line="180" w:lineRule="exact"/>
              <w:jc w:val="both"/>
              <w:rPr>
                <w:rFonts w:asciiTheme="minorHAnsi" w:eastAsiaTheme="minorHAnsi" w:hAnsiTheme="minorHAnsi"/>
                <w:color w:val="auto"/>
                <w:sz w:val="18"/>
                <w:szCs w:val="18"/>
              </w:rPr>
            </w:pPr>
            <w:r>
              <w:rPr>
                <w:rFonts w:asciiTheme="minorHAnsi" w:eastAsiaTheme="minorHAnsi" w:hAnsiTheme="minorHAnsi"/>
                <w:color w:val="auto"/>
                <w:sz w:val="18"/>
                <w:szCs w:val="18"/>
              </w:rPr>
              <w:t>20</w:t>
            </w:r>
            <w:r w:rsidRPr="007E5FE6">
              <w:rPr>
                <w:rFonts w:asciiTheme="minorHAnsi" w:eastAsiaTheme="minorHAnsi" w:hAnsiTheme="minorHAnsi"/>
                <w:color w:val="auto"/>
                <w:sz w:val="18"/>
                <w:szCs w:val="18"/>
              </w:rPr>
              <w:t>%</w:t>
            </w:r>
          </w:p>
        </w:tc>
      </w:tr>
    </w:tbl>
    <w:p w:rsidR="00852CAE" w:rsidRDefault="00FE5F5A" w:rsidP="008B2C81">
      <w:pPr>
        <w:spacing w:line="240" w:lineRule="exact"/>
        <w:jc w:val="both"/>
        <w:rPr>
          <w:rFonts w:asciiTheme="minorHAnsi" w:hAnsiTheme="minorHAnsi"/>
          <w:color w:val="auto"/>
          <w:szCs w:val="24"/>
        </w:rPr>
      </w:pPr>
      <w:r>
        <w:rPr>
          <w:rFonts w:asciiTheme="minorHAnsi" w:hAnsiTheme="minorHAnsi"/>
          <w:color w:val="auto"/>
          <w:szCs w:val="24"/>
        </w:rPr>
        <w:lastRenderedPageBreak/>
        <w:t>CI had chronic low back pain for approximately two years and was placed on LIMDU beginning February 2006.  MRI scanning April 2006 demonstrated degenerative disc disease at L3 through S1 with disc protrusions at L3-4 and L4-5.  The NARSUM</w:t>
      </w:r>
      <w:r w:rsidR="00406B14">
        <w:rPr>
          <w:rFonts w:asciiTheme="minorHAnsi" w:hAnsiTheme="minorHAnsi"/>
          <w:color w:val="auto"/>
          <w:szCs w:val="24"/>
        </w:rPr>
        <w:t xml:space="preserve">, three months before separation, </w:t>
      </w:r>
      <w:r>
        <w:rPr>
          <w:rFonts w:asciiTheme="minorHAnsi" w:hAnsiTheme="minorHAnsi"/>
          <w:color w:val="auto"/>
          <w:szCs w:val="24"/>
        </w:rPr>
        <w:t xml:space="preserve">recorded infrequent (“seldom”) </w:t>
      </w:r>
      <w:r w:rsidR="005E45D1">
        <w:rPr>
          <w:rFonts w:asciiTheme="minorHAnsi" w:hAnsiTheme="minorHAnsi"/>
          <w:color w:val="auto"/>
          <w:szCs w:val="24"/>
        </w:rPr>
        <w:t xml:space="preserve">pain shooting into the left leg (MRI did show </w:t>
      </w:r>
      <w:r w:rsidR="003C1F65">
        <w:rPr>
          <w:rFonts w:asciiTheme="minorHAnsi" w:hAnsiTheme="minorHAnsi"/>
          <w:color w:val="auto"/>
          <w:szCs w:val="24"/>
        </w:rPr>
        <w:t xml:space="preserve">a </w:t>
      </w:r>
      <w:r w:rsidR="005E45D1">
        <w:rPr>
          <w:rFonts w:asciiTheme="minorHAnsi" w:hAnsiTheme="minorHAnsi"/>
          <w:color w:val="auto"/>
          <w:szCs w:val="24"/>
        </w:rPr>
        <w:t xml:space="preserve">left </w:t>
      </w:r>
      <w:proofErr w:type="spellStart"/>
      <w:r w:rsidR="005E45D1">
        <w:rPr>
          <w:rFonts w:asciiTheme="minorHAnsi" w:hAnsiTheme="minorHAnsi"/>
          <w:color w:val="auto"/>
          <w:szCs w:val="24"/>
        </w:rPr>
        <w:t>paracentral</w:t>
      </w:r>
      <w:proofErr w:type="spellEnd"/>
      <w:r w:rsidR="005E45D1">
        <w:rPr>
          <w:rFonts w:asciiTheme="minorHAnsi" w:hAnsiTheme="minorHAnsi"/>
          <w:color w:val="auto"/>
          <w:szCs w:val="24"/>
        </w:rPr>
        <w:t xml:space="preserve"> disc </w:t>
      </w:r>
      <w:r w:rsidR="0065082E">
        <w:rPr>
          <w:rFonts w:asciiTheme="minorHAnsi" w:hAnsiTheme="minorHAnsi"/>
          <w:color w:val="auto"/>
          <w:szCs w:val="24"/>
        </w:rPr>
        <w:t>ex</w:t>
      </w:r>
      <w:r w:rsidR="005E45D1">
        <w:rPr>
          <w:rFonts w:asciiTheme="minorHAnsi" w:hAnsiTheme="minorHAnsi"/>
          <w:color w:val="auto"/>
          <w:szCs w:val="24"/>
        </w:rPr>
        <w:t>trusion at L4-5</w:t>
      </w:r>
      <w:r w:rsidR="0065082E">
        <w:rPr>
          <w:rFonts w:asciiTheme="minorHAnsi" w:hAnsiTheme="minorHAnsi"/>
          <w:color w:val="auto"/>
          <w:szCs w:val="24"/>
        </w:rPr>
        <w:t xml:space="preserve"> but without evidence of nerve root compression</w:t>
      </w:r>
      <w:r w:rsidR="005E45D1">
        <w:rPr>
          <w:rFonts w:asciiTheme="minorHAnsi" w:hAnsiTheme="minorHAnsi"/>
          <w:color w:val="auto"/>
          <w:szCs w:val="24"/>
        </w:rPr>
        <w:t xml:space="preserve">).  </w:t>
      </w:r>
      <w:r>
        <w:rPr>
          <w:rFonts w:asciiTheme="minorHAnsi" w:hAnsiTheme="minorHAnsi"/>
          <w:color w:val="auto"/>
          <w:szCs w:val="24"/>
        </w:rPr>
        <w:t>On examination,</w:t>
      </w:r>
      <w:r w:rsidR="00EA30E6">
        <w:rPr>
          <w:rFonts w:asciiTheme="minorHAnsi" w:hAnsiTheme="minorHAnsi"/>
          <w:color w:val="auto"/>
          <w:szCs w:val="24"/>
        </w:rPr>
        <w:t xml:space="preserve"> </w:t>
      </w:r>
      <w:r>
        <w:rPr>
          <w:rFonts w:asciiTheme="minorHAnsi" w:hAnsiTheme="minorHAnsi"/>
          <w:color w:val="auto"/>
          <w:szCs w:val="24"/>
        </w:rPr>
        <w:t>t</w:t>
      </w:r>
      <w:r w:rsidRPr="00352BE8">
        <w:rPr>
          <w:rFonts w:asciiTheme="minorHAnsi" w:hAnsiTheme="minorHAnsi"/>
          <w:color w:val="auto"/>
          <w:szCs w:val="24"/>
        </w:rPr>
        <w:t>he patient's motor exam was intact</w:t>
      </w:r>
      <w:r>
        <w:rPr>
          <w:rFonts w:asciiTheme="minorHAnsi" w:hAnsiTheme="minorHAnsi"/>
          <w:color w:val="auto"/>
          <w:szCs w:val="24"/>
        </w:rPr>
        <w:t xml:space="preserve"> </w:t>
      </w:r>
      <w:r w:rsidRPr="00352BE8">
        <w:rPr>
          <w:rFonts w:asciiTheme="minorHAnsi" w:hAnsiTheme="minorHAnsi"/>
          <w:color w:val="auto"/>
          <w:szCs w:val="24"/>
        </w:rPr>
        <w:t xml:space="preserve">with normal heel </w:t>
      </w:r>
      <w:r>
        <w:rPr>
          <w:rFonts w:asciiTheme="minorHAnsi" w:hAnsiTheme="minorHAnsi"/>
          <w:color w:val="auto"/>
          <w:szCs w:val="24"/>
        </w:rPr>
        <w:t>and</w:t>
      </w:r>
      <w:r w:rsidRPr="00352BE8">
        <w:rPr>
          <w:rFonts w:asciiTheme="minorHAnsi" w:hAnsiTheme="minorHAnsi"/>
          <w:color w:val="auto"/>
          <w:szCs w:val="24"/>
        </w:rPr>
        <w:t xml:space="preserve"> toe walk, normal gait</w:t>
      </w:r>
      <w:r w:rsidR="00EA30E6">
        <w:rPr>
          <w:rFonts w:asciiTheme="minorHAnsi" w:hAnsiTheme="minorHAnsi"/>
          <w:color w:val="auto"/>
          <w:szCs w:val="24"/>
        </w:rPr>
        <w:t xml:space="preserve">, intact </w:t>
      </w:r>
      <w:r w:rsidRPr="00352BE8">
        <w:rPr>
          <w:rFonts w:asciiTheme="minorHAnsi" w:hAnsiTheme="minorHAnsi"/>
          <w:color w:val="auto"/>
          <w:szCs w:val="24"/>
        </w:rPr>
        <w:t>reflexes</w:t>
      </w:r>
      <w:r w:rsidR="00EA30E6">
        <w:rPr>
          <w:rFonts w:asciiTheme="minorHAnsi" w:hAnsiTheme="minorHAnsi"/>
          <w:color w:val="auto"/>
          <w:szCs w:val="24"/>
        </w:rPr>
        <w:t xml:space="preserve">, and normal </w:t>
      </w:r>
      <w:r w:rsidRPr="00352BE8">
        <w:rPr>
          <w:rFonts w:asciiTheme="minorHAnsi" w:hAnsiTheme="minorHAnsi"/>
          <w:color w:val="auto"/>
          <w:szCs w:val="24"/>
        </w:rPr>
        <w:t>sensory exam</w:t>
      </w:r>
      <w:r w:rsidR="00EA30E6">
        <w:rPr>
          <w:rFonts w:asciiTheme="minorHAnsi" w:hAnsiTheme="minorHAnsi"/>
          <w:color w:val="auto"/>
          <w:szCs w:val="24"/>
        </w:rPr>
        <w:t>.</w:t>
      </w:r>
      <w:r w:rsidR="003C1F65">
        <w:rPr>
          <w:rFonts w:asciiTheme="minorHAnsi" w:hAnsiTheme="minorHAnsi"/>
          <w:color w:val="auto"/>
          <w:szCs w:val="24"/>
        </w:rPr>
        <w:t xml:space="preserve">  </w:t>
      </w:r>
      <w:r w:rsidR="00EA30E6">
        <w:rPr>
          <w:rFonts w:asciiTheme="minorHAnsi" w:hAnsiTheme="minorHAnsi"/>
          <w:color w:val="auto"/>
          <w:szCs w:val="24"/>
        </w:rPr>
        <w:t>Examination tests for nerve root irritation were negative.</w:t>
      </w:r>
      <w:r w:rsidR="003C1F65">
        <w:rPr>
          <w:rFonts w:asciiTheme="minorHAnsi" w:hAnsiTheme="minorHAnsi"/>
          <w:color w:val="auto"/>
          <w:szCs w:val="24"/>
        </w:rPr>
        <w:t xml:space="preserve">  </w:t>
      </w:r>
      <w:r w:rsidR="00406B14">
        <w:rPr>
          <w:rFonts w:asciiTheme="minorHAnsi" w:hAnsiTheme="minorHAnsi"/>
          <w:color w:val="auto"/>
          <w:szCs w:val="24"/>
        </w:rPr>
        <w:t>The recorded flexion of 80</w:t>
      </w:r>
      <w:r w:rsidR="00406B14">
        <w:rPr>
          <w:rFonts w:asciiTheme="minorHAnsi" w:hAnsiTheme="minorHAnsi" w:cstheme="minorHAnsi"/>
          <w:color w:val="auto"/>
          <w:szCs w:val="24"/>
        </w:rPr>
        <w:t>°</w:t>
      </w:r>
      <w:r w:rsidR="00406B14">
        <w:rPr>
          <w:rFonts w:asciiTheme="minorHAnsi" w:hAnsiTheme="minorHAnsi"/>
          <w:color w:val="auto"/>
          <w:szCs w:val="24"/>
        </w:rPr>
        <w:t xml:space="preserve"> was the same as that recorded the year previously</w:t>
      </w:r>
      <w:r w:rsidR="00985E61">
        <w:rPr>
          <w:rFonts w:asciiTheme="minorHAnsi" w:hAnsiTheme="minorHAnsi"/>
          <w:color w:val="auto"/>
          <w:szCs w:val="24"/>
        </w:rPr>
        <w:t xml:space="preserve"> reflective of a stable course</w:t>
      </w:r>
      <w:r w:rsidR="00406B14">
        <w:rPr>
          <w:rFonts w:asciiTheme="minorHAnsi" w:hAnsiTheme="minorHAnsi"/>
          <w:color w:val="auto"/>
          <w:szCs w:val="24"/>
        </w:rPr>
        <w:t xml:space="preserve">.  </w:t>
      </w:r>
      <w:r w:rsidR="00EA30E6">
        <w:rPr>
          <w:rFonts w:asciiTheme="minorHAnsi" w:hAnsiTheme="minorHAnsi"/>
          <w:color w:val="auto"/>
          <w:szCs w:val="24"/>
        </w:rPr>
        <w:t>At the time of the C&amp;P examination</w:t>
      </w:r>
      <w:r w:rsidR="003C1F65">
        <w:rPr>
          <w:rFonts w:asciiTheme="minorHAnsi" w:hAnsiTheme="minorHAnsi"/>
          <w:color w:val="auto"/>
          <w:szCs w:val="24"/>
        </w:rPr>
        <w:t xml:space="preserve">, three weeks after separation, </w:t>
      </w:r>
      <w:r w:rsidR="00406B14">
        <w:rPr>
          <w:rFonts w:asciiTheme="minorHAnsi" w:hAnsiTheme="minorHAnsi"/>
          <w:color w:val="auto"/>
          <w:szCs w:val="24"/>
        </w:rPr>
        <w:t xml:space="preserve">the flexion was significantly decreased compared to the NARSUM and the </w:t>
      </w:r>
      <w:r w:rsidR="00EA30E6">
        <w:rPr>
          <w:rFonts w:asciiTheme="minorHAnsi" w:hAnsiTheme="minorHAnsi"/>
          <w:color w:val="auto"/>
          <w:szCs w:val="24"/>
        </w:rPr>
        <w:t>examiner recorded CI report of right leg pain radiation</w:t>
      </w:r>
      <w:r w:rsidR="003C1F65">
        <w:rPr>
          <w:rFonts w:asciiTheme="minorHAnsi" w:hAnsiTheme="minorHAnsi"/>
          <w:color w:val="auto"/>
          <w:szCs w:val="24"/>
        </w:rPr>
        <w:t xml:space="preserve"> (service treatment records document left leg pain, not right).  O</w:t>
      </w:r>
      <w:r w:rsidR="00EA30E6">
        <w:rPr>
          <w:rFonts w:asciiTheme="minorHAnsi" w:hAnsiTheme="minorHAnsi"/>
          <w:color w:val="auto"/>
          <w:szCs w:val="24"/>
        </w:rPr>
        <w:t xml:space="preserve">n examination there was </w:t>
      </w:r>
      <w:r w:rsidR="008F0C69">
        <w:rPr>
          <w:rFonts w:asciiTheme="minorHAnsi" w:hAnsiTheme="minorHAnsi"/>
          <w:color w:val="auto"/>
          <w:szCs w:val="24"/>
        </w:rPr>
        <w:t xml:space="preserve">marked </w:t>
      </w:r>
      <w:r w:rsidR="00EA30E6">
        <w:rPr>
          <w:rFonts w:asciiTheme="minorHAnsi" w:hAnsiTheme="minorHAnsi"/>
          <w:color w:val="auto"/>
          <w:szCs w:val="24"/>
        </w:rPr>
        <w:t>weakness of the right lower extremity</w:t>
      </w:r>
      <w:r w:rsidR="008F0C69">
        <w:rPr>
          <w:rFonts w:asciiTheme="minorHAnsi" w:hAnsiTheme="minorHAnsi"/>
          <w:color w:val="auto"/>
          <w:szCs w:val="24"/>
        </w:rPr>
        <w:t xml:space="preserve"> </w:t>
      </w:r>
      <w:r w:rsidR="00EA30E6">
        <w:rPr>
          <w:rFonts w:asciiTheme="minorHAnsi" w:hAnsiTheme="minorHAnsi"/>
          <w:color w:val="auto"/>
          <w:szCs w:val="24"/>
        </w:rPr>
        <w:t>not present prior to separation</w:t>
      </w:r>
      <w:r w:rsidR="003C1F65">
        <w:rPr>
          <w:rFonts w:asciiTheme="minorHAnsi" w:hAnsiTheme="minorHAnsi"/>
          <w:color w:val="auto"/>
          <w:szCs w:val="24"/>
        </w:rPr>
        <w:t>, however t</w:t>
      </w:r>
      <w:r w:rsidR="00EA30E6">
        <w:rPr>
          <w:rFonts w:asciiTheme="minorHAnsi" w:hAnsiTheme="minorHAnsi"/>
          <w:color w:val="auto"/>
          <w:szCs w:val="24"/>
        </w:rPr>
        <w:t>he gait was recorded as normal despite the indicated</w:t>
      </w:r>
      <w:r w:rsidR="003C1F65">
        <w:rPr>
          <w:rFonts w:asciiTheme="minorHAnsi" w:hAnsiTheme="minorHAnsi"/>
          <w:color w:val="auto"/>
          <w:szCs w:val="24"/>
        </w:rPr>
        <w:t xml:space="preserve"> right lower extremity weakness.  The</w:t>
      </w:r>
      <w:r w:rsidR="00EA30E6">
        <w:rPr>
          <w:rFonts w:asciiTheme="minorHAnsi" w:hAnsiTheme="minorHAnsi"/>
          <w:color w:val="auto"/>
          <w:szCs w:val="24"/>
        </w:rPr>
        <w:t xml:space="preserve"> reflexes</w:t>
      </w:r>
      <w:r w:rsidR="00852CAE">
        <w:rPr>
          <w:rFonts w:asciiTheme="minorHAnsi" w:hAnsiTheme="minorHAnsi"/>
          <w:color w:val="auto"/>
          <w:szCs w:val="24"/>
        </w:rPr>
        <w:t xml:space="preserve"> and </w:t>
      </w:r>
      <w:r w:rsidR="00EA30E6">
        <w:rPr>
          <w:rFonts w:asciiTheme="minorHAnsi" w:hAnsiTheme="minorHAnsi"/>
          <w:color w:val="auto"/>
          <w:szCs w:val="24"/>
        </w:rPr>
        <w:t xml:space="preserve">sensory examination of the lower extremities </w:t>
      </w:r>
      <w:r w:rsidR="003C1F65">
        <w:rPr>
          <w:rFonts w:asciiTheme="minorHAnsi" w:hAnsiTheme="minorHAnsi"/>
          <w:color w:val="auto"/>
          <w:szCs w:val="24"/>
        </w:rPr>
        <w:t xml:space="preserve">were </w:t>
      </w:r>
      <w:r w:rsidR="00852CAE">
        <w:rPr>
          <w:rFonts w:asciiTheme="minorHAnsi" w:hAnsiTheme="minorHAnsi"/>
          <w:color w:val="auto"/>
          <w:szCs w:val="24"/>
        </w:rPr>
        <w:t xml:space="preserve">recorded as normal, and test for nerve root irritation were negative </w:t>
      </w:r>
      <w:r w:rsidR="00EA30E6">
        <w:rPr>
          <w:rFonts w:asciiTheme="minorHAnsi" w:hAnsiTheme="minorHAnsi"/>
          <w:color w:val="auto"/>
          <w:szCs w:val="24"/>
        </w:rPr>
        <w:t>arguing against a radiculopathy.</w:t>
      </w:r>
      <w:r w:rsidR="00852CAE">
        <w:rPr>
          <w:rFonts w:asciiTheme="minorHAnsi" w:hAnsiTheme="minorHAnsi"/>
          <w:color w:val="auto"/>
          <w:szCs w:val="24"/>
        </w:rPr>
        <w:t xml:space="preserve">  </w:t>
      </w:r>
      <w:r w:rsidR="003C1F65">
        <w:rPr>
          <w:rFonts w:asciiTheme="minorHAnsi" w:hAnsiTheme="minorHAnsi"/>
          <w:color w:val="auto"/>
          <w:szCs w:val="24"/>
        </w:rPr>
        <w:t xml:space="preserve">  </w:t>
      </w:r>
    </w:p>
    <w:p w:rsidR="00F857DC" w:rsidRDefault="00F857DC" w:rsidP="008B2C81">
      <w:pPr>
        <w:spacing w:line="240" w:lineRule="exact"/>
        <w:jc w:val="both"/>
        <w:rPr>
          <w:rFonts w:asciiTheme="minorHAnsi" w:hAnsiTheme="minorHAnsi"/>
          <w:color w:val="auto"/>
          <w:szCs w:val="24"/>
        </w:rPr>
      </w:pPr>
    </w:p>
    <w:p w:rsidR="00406B14" w:rsidRDefault="00EA30E6" w:rsidP="008C0523">
      <w:pPr>
        <w:spacing w:line="240" w:lineRule="exact"/>
        <w:jc w:val="both"/>
        <w:rPr>
          <w:rFonts w:asciiTheme="minorHAnsi" w:hAnsiTheme="minorHAnsi"/>
          <w:color w:val="auto"/>
          <w:szCs w:val="24"/>
        </w:rPr>
      </w:pPr>
      <w:r>
        <w:rPr>
          <w:rFonts w:asciiTheme="minorHAnsi" w:hAnsiTheme="minorHAnsi"/>
          <w:color w:val="auto"/>
          <w:szCs w:val="24"/>
        </w:rPr>
        <w:t>The Board noted</w:t>
      </w:r>
      <w:r w:rsidR="00681E11">
        <w:rPr>
          <w:rFonts w:asciiTheme="minorHAnsi" w:hAnsiTheme="minorHAnsi"/>
          <w:color w:val="auto"/>
          <w:szCs w:val="24"/>
        </w:rPr>
        <w:t xml:space="preserve"> the apparent worsening of the CI’s back condition at the time of the post separation C&amp;P examination</w:t>
      </w:r>
      <w:r w:rsidR="003C1F65">
        <w:rPr>
          <w:rFonts w:asciiTheme="minorHAnsi" w:hAnsiTheme="minorHAnsi"/>
          <w:color w:val="auto"/>
          <w:szCs w:val="24"/>
        </w:rPr>
        <w:t xml:space="preserve"> and the inconsistent examination findings</w:t>
      </w:r>
      <w:r w:rsidR="00681E11">
        <w:rPr>
          <w:rFonts w:asciiTheme="minorHAnsi" w:hAnsiTheme="minorHAnsi"/>
          <w:color w:val="auto"/>
          <w:szCs w:val="24"/>
        </w:rPr>
        <w:t>.</w:t>
      </w:r>
      <w:r w:rsidR="00852CAE">
        <w:rPr>
          <w:rFonts w:asciiTheme="minorHAnsi" w:hAnsiTheme="minorHAnsi"/>
          <w:color w:val="auto"/>
          <w:szCs w:val="24"/>
        </w:rPr>
        <w:t xml:space="preserve">  </w:t>
      </w:r>
      <w:r w:rsidR="00681E11" w:rsidRPr="00681E11">
        <w:rPr>
          <w:rFonts w:asciiTheme="minorHAnsi" w:hAnsiTheme="minorHAnsi"/>
          <w:color w:val="auto"/>
          <w:szCs w:val="24"/>
        </w:rPr>
        <w:t xml:space="preserve">In its assignment of probative value to the disparate exams, the Board must acknowledge that VA C&amp;P spine examinations may predispose a lowered pain threshold or increased symptom reporting since the examinee is generally quite aware that the severity of symptoms and pain tolerance on ROM and other testing is directly correlated with the resulting rating and financial gain.  The measurement of ROM reflecting pain with motion is dependent on the examinee’s reported pain, and strength testing is dependent on examinee effort, with scant ability by the examiner to objectively confirm it.  </w:t>
      </w:r>
      <w:r w:rsidR="00852CAE">
        <w:rPr>
          <w:rFonts w:asciiTheme="minorHAnsi" w:hAnsiTheme="minorHAnsi"/>
          <w:color w:val="auto"/>
          <w:szCs w:val="24"/>
        </w:rPr>
        <w:t xml:space="preserve">If the marked weakness were due to radiculopathy, </w:t>
      </w:r>
      <w:r w:rsidR="00FE75F1">
        <w:rPr>
          <w:rFonts w:asciiTheme="minorHAnsi" w:hAnsiTheme="minorHAnsi"/>
          <w:color w:val="auto"/>
          <w:szCs w:val="24"/>
        </w:rPr>
        <w:t xml:space="preserve">the expected </w:t>
      </w:r>
      <w:r w:rsidR="00852CAE">
        <w:rPr>
          <w:rFonts w:asciiTheme="minorHAnsi" w:hAnsiTheme="minorHAnsi"/>
          <w:color w:val="auto"/>
          <w:szCs w:val="24"/>
        </w:rPr>
        <w:t>concomitant changes in reflexes or sensory examination</w:t>
      </w:r>
      <w:r w:rsidR="00FE75F1">
        <w:rPr>
          <w:rFonts w:asciiTheme="minorHAnsi" w:hAnsiTheme="minorHAnsi"/>
          <w:color w:val="auto"/>
          <w:szCs w:val="24"/>
        </w:rPr>
        <w:t xml:space="preserve"> and root irritation signs were absent.  </w:t>
      </w:r>
      <w:r w:rsidR="00852CAE">
        <w:rPr>
          <w:rFonts w:asciiTheme="minorHAnsi" w:hAnsiTheme="minorHAnsi"/>
          <w:color w:val="auto"/>
          <w:szCs w:val="24"/>
        </w:rPr>
        <w:t xml:space="preserve">If leg weakness </w:t>
      </w:r>
      <w:r w:rsidR="006A76B2">
        <w:rPr>
          <w:rFonts w:asciiTheme="minorHAnsi" w:hAnsiTheme="minorHAnsi"/>
          <w:color w:val="auto"/>
          <w:szCs w:val="24"/>
        </w:rPr>
        <w:t xml:space="preserve">of this </w:t>
      </w:r>
      <w:r w:rsidR="00462E2C">
        <w:rPr>
          <w:rFonts w:asciiTheme="minorHAnsi" w:hAnsiTheme="minorHAnsi"/>
          <w:color w:val="auto"/>
          <w:szCs w:val="24"/>
        </w:rPr>
        <w:t xml:space="preserve">degree </w:t>
      </w:r>
      <w:r w:rsidR="00852CAE">
        <w:rPr>
          <w:rFonts w:asciiTheme="minorHAnsi" w:hAnsiTheme="minorHAnsi"/>
          <w:color w:val="auto"/>
          <w:szCs w:val="24"/>
        </w:rPr>
        <w:t xml:space="preserve">were due to guarding </w:t>
      </w:r>
      <w:r w:rsidR="00654C5F">
        <w:rPr>
          <w:rFonts w:asciiTheme="minorHAnsi" w:hAnsiTheme="minorHAnsi"/>
          <w:color w:val="auto"/>
          <w:szCs w:val="24"/>
        </w:rPr>
        <w:t xml:space="preserve">from </w:t>
      </w:r>
      <w:r w:rsidR="00852CAE">
        <w:rPr>
          <w:rFonts w:asciiTheme="minorHAnsi" w:hAnsiTheme="minorHAnsi"/>
          <w:color w:val="auto"/>
          <w:szCs w:val="24"/>
        </w:rPr>
        <w:t xml:space="preserve">pain, the normal gait and normal spine contour were also incongruent.  </w:t>
      </w:r>
      <w:r w:rsidR="00654C5F">
        <w:rPr>
          <w:rFonts w:asciiTheme="minorHAnsi" w:hAnsiTheme="minorHAnsi"/>
          <w:color w:val="auto"/>
          <w:szCs w:val="24"/>
        </w:rPr>
        <w:t>T</w:t>
      </w:r>
      <w:r w:rsidR="00852CAE">
        <w:rPr>
          <w:rFonts w:asciiTheme="minorHAnsi" w:hAnsiTheme="minorHAnsi"/>
          <w:color w:val="auto"/>
          <w:szCs w:val="24"/>
        </w:rPr>
        <w:t>he degree of weakness indicated by the examiner would be expected to manifest in the gait.  There was no report of incident that would have caused worsening prior to separation</w:t>
      </w:r>
      <w:r w:rsidR="00FE75F1">
        <w:rPr>
          <w:rFonts w:asciiTheme="minorHAnsi" w:hAnsiTheme="minorHAnsi"/>
          <w:color w:val="auto"/>
          <w:szCs w:val="24"/>
        </w:rPr>
        <w:t>,</w:t>
      </w:r>
      <w:r w:rsidR="00852CAE">
        <w:rPr>
          <w:rFonts w:asciiTheme="minorHAnsi" w:hAnsiTheme="minorHAnsi"/>
          <w:color w:val="auto"/>
          <w:szCs w:val="24"/>
        </w:rPr>
        <w:t xml:space="preserve"> and the C&amp;P examination records CI report that his back condition was stable</w:t>
      </w:r>
      <w:r w:rsidR="00304031">
        <w:rPr>
          <w:rFonts w:asciiTheme="minorHAnsi" w:hAnsiTheme="minorHAnsi"/>
          <w:color w:val="auto"/>
          <w:szCs w:val="24"/>
        </w:rPr>
        <w:t xml:space="preserve"> and </w:t>
      </w:r>
      <w:r w:rsidR="00654C5F">
        <w:rPr>
          <w:rFonts w:asciiTheme="minorHAnsi" w:hAnsiTheme="minorHAnsi"/>
          <w:color w:val="auto"/>
          <w:szCs w:val="24"/>
        </w:rPr>
        <w:t xml:space="preserve">that he </w:t>
      </w:r>
      <w:r w:rsidR="00304031">
        <w:rPr>
          <w:rFonts w:asciiTheme="minorHAnsi" w:hAnsiTheme="minorHAnsi"/>
          <w:color w:val="auto"/>
          <w:szCs w:val="24"/>
        </w:rPr>
        <w:t>was able to walk one to three miles.</w:t>
      </w:r>
      <w:r w:rsidR="00852CAE">
        <w:rPr>
          <w:rFonts w:asciiTheme="minorHAnsi" w:hAnsiTheme="minorHAnsi"/>
          <w:color w:val="auto"/>
          <w:szCs w:val="24"/>
        </w:rPr>
        <w:t xml:space="preserve">  </w:t>
      </w:r>
      <w:r w:rsidR="00681E11" w:rsidRPr="00681E11">
        <w:rPr>
          <w:rFonts w:asciiTheme="minorHAnsi" w:hAnsiTheme="minorHAnsi"/>
          <w:color w:val="auto"/>
          <w:szCs w:val="24"/>
        </w:rPr>
        <w:t xml:space="preserve">Upon deliberation the </w:t>
      </w:r>
      <w:r w:rsidR="00730ADE">
        <w:rPr>
          <w:rFonts w:asciiTheme="minorHAnsi" w:hAnsiTheme="minorHAnsi"/>
          <w:color w:val="auto"/>
          <w:szCs w:val="24"/>
        </w:rPr>
        <w:t xml:space="preserve">majority of the </w:t>
      </w:r>
      <w:r w:rsidR="00681E11" w:rsidRPr="00681E11">
        <w:rPr>
          <w:rFonts w:asciiTheme="minorHAnsi" w:hAnsiTheme="minorHAnsi"/>
          <w:color w:val="auto"/>
          <w:szCs w:val="24"/>
        </w:rPr>
        <w:t xml:space="preserve">Board agreed in this case that the MEB physical examination was more consistent with outpatient notes, more reflective of the anticipated severity suggested by the clinical pathology and less vulnerable to the undue influence just elaborated.  </w:t>
      </w:r>
      <w:r w:rsidR="00D02BA4">
        <w:rPr>
          <w:rFonts w:asciiTheme="minorHAnsi" w:hAnsiTheme="minorHAnsi"/>
          <w:color w:val="auto"/>
          <w:szCs w:val="24"/>
        </w:rPr>
        <w:t>The Board discussed the fact that the NARSUM examination only recorded flexion in degrees, stating extension was “full”</w:t>
      </w:r>
      <w:r w:rsidR="008F0C69">
        <w:rPr>
          <w:rFonts w:asciiTheme="minorHAnsi" w:hAnsiTheme="minorHAnsi"/>
          <w:color w:val="auto"/>
          <w:szCs w:val="24"/>
        </w:rPr>
        <w:t>,</w:t>
      </w:r>
      <w:r w:rsidR="00D02BA4">
        <w:rPr>
          <w:rFonts w:asciiTheme="minorHAnsi" w:hAnsiTheme="minorHAnsi"/>
          <w:color w:val="auto"/>
          <w:szCs w:val="24"/>
        </w:rPr>
        <w:t xml:space="preserve"> and </w:t>
      </w:r>
      <w:r w:rsidR="008F0C69">
        <w:rPr>
          <w:rFonts w:asciiTheme="minorHAnsi" w:hAnsiTheme="minorHAnsi"/>
          <w:color w:val="auto"/>
          <w:szCs w:val="24"/>
        </w:rPr>
        <w:t xml:space="preserve">did </w:t>
      </w:r>
      <w:r w:rsidR="00D02BA4">
        <w:rPr>
          <w:rFonts w:asciiTheme="minorHAnsi" w:hAnsiTheme="minorHAnsi"/>
          <w:color w:val="auto"/>
          <w:szCs w:val="24"/>
        </w:rPr>
        <w:t>not provid</w:t>
      </w:r>
      <w:r w:rsidR="008F0C69">
        <w:rPr>
          <w:rFonts w:asciiTheme="minorHAnsi" w:hAnsiTheme="minorHAnsi"/>
          <w:color w:val="auto"/>
          <w:szCs w:val="24"/>
        </w:rPr>
        <w:t>e</w:t>
      </w:r>
      <w:r w:rsidR="00D02BA4">
        <w:rPr>
          <w:rFonts w:asciiTheme="minorHAnsi" w:hAnsiTheme="minorHAnsi"/>
          <w:color w:val="auto"/>
          <w:szCs w:val="24"/>
        </w:rPr>
        <w:t xml:space="preserve"> range of motion in the four other planes that were provided by the C&amp;P examiner.  The Board noted however that the NARSUM examiner was well qualified in sports medicine and would be able to provide an accurate measurement of flexion.  Even though other planes of motion were not provided, the values </w:t>
      </w:r>
      <w:r w:rsidR="008F0C69">
        <w:rPr>
          <w:rFonts w:asciiTheme="minorHAnsi" w:hAnsiTheme="minorHAnsi"/>
          <w:color w:val="auto"/>
          <w:szCs w:val="24"/>
        </w:rPr>
        <w:t xml:space="preserve">in these other planes </w:t>
      </w:r>
      <w:r w:rsidR="00D02BA4">
        <w:rPr>
          <w:rFonts w:asciiTheme="minorHAnsi" w:hAnsiTheme="minorHAnsi"/>
          <w:color w:val="auto"/>
          <w:szCs w:val="24"/>
        </w:rPr>
        <w:t xml:space="preserve">provided by the C&amp;P </w:t>
      </w:r>
      <w:r w:rsidR="008F0C69">
        <w:rPr>
          <w:rFonts w:asciiTheme="minorHAnsi" w:hAnsiTheme="minorHAnsi"/>
          <w:color w:val="auto"/>
          <w:szCs w:val="24"/>
        </w:rPr>
        <w:t xml:space="preserve">examination </w:t>
      </w:r>
      <w:r w:rsidR="00D02BA4">
        <w:rPr>
          <w:rFonts w:asciiTheme="minorHAnsi" w:hAnsiTheme="minorHAnsi"/>
          <w:color w:val="auto"/>
          <w:szCs w:val="24"/>
        </w:rPr>
        <w:t>did not support the higher rating.  Only flexion in this case was pivotal in determining a 10% versus 20% rating.</w:t>
      </w:r>
      <w:r w:rsidR="00C8373C">
        <w:rPr>
          <w:rFonts w:asciiTheme="minorHAnsi" w:hAnsiTheme="minorHAnsi"/>
          <w:color w:val="auto"/>
          <w:szCs w:val="24"/>
        </w:rPr>
        <w:t xml:space="preserve">  The NARSUM examiner otherwise pr</w:t>
      </w:r>
      <w:r w:rsidR="008F0C69">
        <w:rPr>
          <w:rFonts w:asciiTheme="minorHAnsi" w:hAnsiTheme="minorHAnsi"/>
          <w:color w:val="auto"/>
          <w:szCs w:val="24"/>
        </w:rPr>
        <w:t xml:space="preserve">ovided a complete examination.  </w:t>
      </w:r>
      <w:r w:rsidR="00681E11" w:rsidRPr="00681E11">
        <w:rPr>
          <w:rFonts w:asciiTheme="minorHAnsi" w:hAnsiTheme="minorHAnsi"/>
          <w:color w:val="auto"/>
          <w:szCs w:val="24"/>
        </w:rPr>
        <w:t xml:space="preserve">The Board therefore relied primarily on the MEB evidence and does not find adequate reasonable doubt in the CI’s favor for recommending a higher rating for the </w:t>
      </w:r>
      <w:r w:rsidR="00D7476D">
        <w:rPr>
          <w:rFonts w:asciiTheme="minorHAnsi" w:hAnsiTheme="minorHAnsi"/>
          <w:color w:val="auto"/>
          <w:szCs w:val="24"/>
        </w:rPr>
        <w:t>CI’s intervertebral disc syndrome</w:t>
      </w:r>
      <w:r w:rsidR="00681E11" w:rsidRPr="00681E11">
        <w:rPr>
          <w:rFonts w:asciiTheme="minorHAnsi" w:hAnsiTheme="minorHAnsi"/>
          <w:color w:val="auto"/>
          <w:szCs w:val="24"/>
        </w:rPr>
        <w:t xml:space="preserve"> condition (52</w:t>
      </w:r>
      <w:r w:rsidR="00D7476D">
        <w:rPr>
          <w:rFonts w:asciiTheme="minorHAnsi" w:hAnsiTheme="minorHAnsi"/>
          <w:color w:val="auto"/>
          <w:szCs w:val="24"/>
        </w:rPr>
        <w:t>43</w:t>
      </w:r>
      <w:r w:rsidR="00681E11" w:rsidRPr="00681E11">
        <w:rPr>
          <w:rFonts w:asciiTheme="minorHAnsi" w:hAnsiTheme="minorHAnsi"/>
          <w:color w:val="auto"/>
          <w:szCs w:val="24"/>
        </w:rPr>
        <w:t>).</w:t>
      </w:r>
      <w:r w:rsidR="008C0523">
        <w:rPr>
          <w:rFonts w:asciiTheme="minorHAnsi" w:hAnsiTheme="minorHAnsi"/>
          <w:color w:val="auto"/>
          <w:szCs w:val="24"/>
        </w:rPr>
        <w:t xml:space="preserve">  </w:t>
      </w:r>
    </w:p>
    <w:p w:rsidR="00406B14" w:rsidRDefault="00406B14" w:rsidP="008C0523">
      <w:pPr>
        <w:spacing w:line="240" w:lineRule="exact"/>
        <w:jc w:val="both"/>
        <w:rPr>
          <w:rFonts w:asciiTheme="minorHAnsi" w:hAnsiTheme="minorHAnsi"/>
          <w:color w:val="auto"/>
          <w:szCs w:val="24"/>
        </w:rPr>
      </w:pPr>
    </w:p>
    <w:p w:rsidR="00406B14" w:rsidRDefault="00681E11" w:rsidP="008C0523">
      <w:pPr>
        <w:spacing w:line="240" w:lineRule="exact"/>
        <w:jc w:val="both"/>
        <w:rPr>
          <w:rFonts w:asciiTheme="minorHAnsi" w:hAnsiTheme="minorHAnsi"/>
          <w:color w:val="auto"/>
          <w:szCs w:val="24"/>
        </w:rPr>
      </w:pPr>
      <w:r w:rsidRPr="00752ED1">
        <w:rPr>
          <w:rFonts w:asciiTheme="minorHAnsi" w:hAnsiTheme="minorHAnsi"/>
          <w:color w:val="auto"/>
          <w:szCs w:val="24"/>
        </w:rPr>
        <w:t xml:space="preserve">The Board also considered a rating using the VASRD formula based on incapacitating episodes due to intervertebral disc syndrome.  The criteria are based on the number of incapacitating episodes in the prior 12 months requiring bed rest prescribed by a physician.  No service treatment records were identified that documented physician directed bed rest.  The Board concluded the preponderance of evidence did not support a higher rating using this alternate formula providing no additional benefit to the CI.  </w:t>
      </w:r>
      <w:r w:rsidR="00D7476D">
        <w:rPr>
          <w:rFonts w:asciiTheme="minorHAnsi" w:hAnsiTheme="minorHAnsi"/>
          <w:color w:val="auto"/>
          <w:szCs w:val="24"/>
        </w:rPr>
        <w:t xml:space="preserve">The CI had pain radiating into the </w:t>
      </w:r>
      <w:r w:rsidR="008B2C81">
        <w:rPr>
          <w:rFonts w:asciiTheme="minorHAnsi" w:hAnsiTheme="minorHAnsi"/>
          <w:color w:val="auto"/>
          <w:szCs w:val="24"/>
        </w:rPr>
        <w:t xml:space="preserve">left </w:t>
      </w:r>
      <w:r w:rsidR="00D7476D">
        <w:rPr>
          <w:rFonts w:asciiTheme="minorHAnsi" w:hAnsiTheme="minorHAnsi"/>
          <w:color w:val="auto"/>
          <w:szCs w:val="24"/>
        </w:rPr>
        <w:t xml:space="preserve">lower extremity suggestive of radiculopathy, however there were no examination findings of sensory loss, reflex changes or weakness.  Although the post separation C&amp;P examination documented right lower extremity weakness suggestive of radiculopathy, the remainder of the examination </w:t>
      </w:r>
      <w:r w:rsidR="00D7476D">
        <w:rPr>
          <w:rFonts w:asciiTheme="minorHAnsi" w:hAnsiTheme="minorHAnsi"/>
          <w:color w:val="auto"/>
          <w:szCs w:val="24"/>
        </w:rPr>
        <w:lastRenderedPageBreak/>
        <w:t xml:space="preserve">was not consistent with radiculopathy.  Evidence of the record reflects that pain was the reason the CI was unable to perform all the functions of his military specialty.  VASRD rating criteria under the general rating formula for diseases and injuries of the spine takes into account pain, whether it radiates or not.  </w:t>
      </w:r>
      <w:r w:rsidR="00D7476D" w:rsidRPr="00C06240">
        <w:rPr>
          <w:rFonts w:asciiTheme="minorHAnsi" w:hAnsiTheme="minorHAnsi"/>
          <w:color w:val="auto"/>
          <w:szCs w:val="24"/>
        </w:rPr>
        <w:t>All evidence considered</w:t>
      </w:r>
      <w:proofErr w:type="gramStart"/>
      <w:r w:rsidR="00D7476D" w:rsidRPr="00C06240">
        <w:rPr>
          <w:rFonts w:asciiTheme="minorHAnsi" w:hAnsiTheme="minorHAnsi"/>
          <w:color w:val="auto"/>
          <w:szCs w:val="24"/>
        </w:rPr>
        <w:t>,</w:t>
      </w:r>
      <w:proofErr w:type="gramEnd"/>
      <w:r w:rsidR="00D7476D" w:rsidRPr="00C06240">
        <w:rPr>
          <w:rFonts w:asciiTheme="minorHAnsi" w:hAnsiTheme="minorHAnsi"/>
          <w:color w:val="auto"/>
          <w:szCs w:val="24"/>
        </w:rPr>
        <w:t xml:space="preserve"> there is not reasonable doubt in the CI’s favor supporting addition of </w:t>
      </w:r>
      <w:r w:rsidR="00D7476D">
        <w:rPr>
          <w:rFonts w:asciiTheme="minorHAnsi" w:hAnsiTheme="minorHAnsi"/>
          <w:color w:val="auto"/>
          <w:szCs w:val="24"/>
        </w:rPr>
        <w:t>lumbar radiculopathy</w:t>
      </w:r>
      <w:r w:rsidR="00D7476D" w:rsidRPr="00C06240">
        <w:rPr>
          <w:rFonts w:asciiTheme="minorHAnsi" w:hAnsiTheme="minorHAnsi"/>
          <w:color w:val="auto"/>
          <w:szCs w:val="24"/>
        </w:rPr>
        <w:t xml:space="preserve"> as an unfitting condition for separation rating.</w:t>
      </w:r>
      <w:r w:rsidR="00323044">
        <w:rPr>
          <w:rFonts w:asciiTheme="minorHAnsi" w:hAnsiTheme="minorHAnsi"/>
          <w:color w:val="auto"/>
          <w:szCs w:val="24"/>
        </w:rPr>
        <w:t xml:space="preserve">  </w:t>
      </w:r>
      <w:r w:rsidR="00010A4F">
        <w:rPr>
          <w:rFonts w:asciiTheme="minorHAnsi" w:hAnsiTheme="minorHAnsi"/>
          <w:color w:val="auto"/>
          <w:szCs w:val="24"/>
        </w:rPr>
        <w:t xml:space="preserve">The </w:t>
      </w:r>
      <w:r w:rsidR="008B2C81">
        <w:rPr>
          <w:rFonts w:asciiTheme="minorHAnsi" w:hAnsiTheme="minorHAnsi"/>
          <w:color w:val="auto"/>
          <w:szCs w:val="24"/>
        </w:rPr>
        <w:t xml:space="preserve">next </w:t>
      </w:r>
      <w:r w:rsidR="00010A4F">
        <w:rPr>
          <w:rFonts w:asciiTheme="minorHAnsi" w:hAnsiTheme="minorHAnsi"/>
          <w:color w:val="auto"/>
          <w:szCs w:val="24"/>
        </w:rPr>
        <w:t>higher rating of 20%</w:t>
      </w:r>
      <w:r w:rsidR="008B2C81">
        <w:rPr>
          <w:rFonts w:asciiTheme="minorHAnsi" w:hAnsiTheme="minorHAnsi"/>
          <w:color w:val="auto"/>
          <w:szCs w:val="24"/>
        </w:rPr>
        <w:t xml:space="preserve"> for </w:t>
      </w:r>
      <w:r w:rsidR="00010A4F">
        <w:rPr>
          <w:rFonts w:asciiTheme="minorHAnsi" w:hAnsiTheme="minorHAnsi"/>
          <w:color w:val="auto"/>
          <w:szCs w:val="24"/>
        </w:rPr>
        <w:t>the CI’s back condition would not result in any change in his military disability separation benefits.</w:t>
      </w:r>
      <w:r w:rsidR="00323044">
        <w:rPr>
          <w:rFonts w:asciiTheme="minorHAnsi" w:hAnsiTheme="minorHAnsi"/>
          <w:color w:val="auto"/>
          <w:szCs w:val="24"/>
        </w:rPr>
        <w:t xml:space="preserve">  </w:t>
      </w:r>
      <w:r w:rsidR="00635FB2">
        <w:rPr>
          <w:rFonts w:asciiTheme="minorHAnsi" w:hAnsiTheme="minorHAnsi"/>
          <w:color w:val="auto"/>
          <w:szCs w:val="24"/>
        </w:rPr>
        <w:t xml:space="preserve">The Board concludes that the preponderance of </w:t>
      </w:r>
      <w:r w:rsidR="005761DD" w:rsidRPr="008C2024">
        <w:rPr>
          <w:rFonts w:asciiTheme="minorHAnsi" w:hAnsiTheme="minorHAnsi"/>
          <w:color w:val="auto"/>
          <w:szCs w:val="24"/>
        </w:rPr>
        <w:t>evidence</w:t>
      </w:r>
      <w:r w:rsidR="00635FB2">
        <w:rPr>
          <w:rFonts w:asciiTheme="minorHAnsi" w:hAnsiTheme="minorHAnsi"/>
          <w:color w:val="auto"/>
          <w:szCs w:val="24"/>
        </w:rPr>
        <w:t xml:space="preserve"> overcomes </w:t>
      </w:r>
      <w:r w:rsidR="005761DD" w:rsidRPr="008C2024">
        <w:rPr>
          <w:rFonts w:asciiTheme="minorHAnsi" w:hAnsiTheme="minorHAnsi"/>
          <w:color w:val="auto"/>
          <w:szCs w:val="24"/>
        </w:rPr>
        <w:t xml:space="preserve">reasonable doubt in the CI’s favor supporting a change from the PEB’s </w:t>
      </w:r>
      <w:r w:rsidR="005761DD">
        <w:rPr>
          <w:rFonts w:asciiTheme="minorHAnsi" w:hAnsiTheme="minorHAnsi"/>
          <w:color w:val="auto"/>
          <w:szCs w:val="24"/>
        </w:rPr>
        <w:t>1</w:t>
      </w:r>
      <w:r w:rsidR="005761DD" w:rsidRPr="008C2024">
        <w:rPr>
          <w:rFonts w:asciiTheme="minorHAnsi" w:hAnsiTheme="minorHAnsi"/>
          <w:color w:val="auto"/>
          <w:szCs w:val="24"/>
        </w:rPr>
        <w:t xml:space="preserve">0% rating decision for the </w:t>
      </w:r>
      <w:r w:rsidR="005761DD">
        <w:rPr>
          <w:rFonts w:asciiTheme="minorHAnsi" w:hAnsiTheme="minorHAnsi"/>
          <w:color w:val="auto"/>
          <w:szCs w:val="24"/>
        </w:rPr>
        <w:t>CI’s back condition (</w:t>
      </w:r>
      <w:r w:rsidR="005761DD" w:rsidRPr="008C2024">
        <w:rPr>
          <w:rFonts w:asciiTheme="minorHAnsi" w:hAnsiTheme="minorHAnsi"/>
          <w:color w:val="auto"/>
          <w:szCs w:val="24"/>
        </w:rPr>
        <w:t>coded 52</w:t>
      </w:r>
      <w:r w:rsidR="005761DD">
        <w:rPr>
          <w:rFonts w:asciiTheme="minorHAnsi" w:hAnsiTheme="minorHAnsi"/>
          <w:color w:val="auto"/>
          <w:szCs w:val="24"/>
        </w:rPr>
        <w:t>43)</w:t>
      </w:r>
      <w:r w:rsidR="005761DD" w:rsidRPr="008C2024">
        <w:rPr>
          <w:rFonts w:asciiTheme="minorHAnsi" w:hAnsiTheme="minorHAnsi"/>
          <w:color w:val="auto"/>
          <w:szCs w:val="24"/>
        </w:rPr>
        <w:t>.</w:t>
      </w:r>
      <w:r w:rsidR="005761DD" w:rsidRPr="00183F41">
        <w:rPr>
          <w:rFonts w:asciiTheme="minorHAnsi" w:hAnsiTheme="minorHAnsi"/>
          <w:color w:val="auto"/>
          <w:szCs w:val="24"/>
        </w:rPr>
        <w:t xml:space="preserve">  </w:t>
      </w:r>
    </w:p>
    <w:p w:rsidR="003743A0" w:rsidRDefault="003743A0" w:rsidP="008B2C81">
      <w:pPr>
        <w:spacing w:line="240" w:lineRule="exact"/>
        <w:jc w:val="both"/>
        <w:rPr>
          <w:rFonts w:asciiTheme="minorHAnsi" w:hAnsiTheme="minorHAnsi"/>
          <w:color w:val="auto"/>
          <w:szCs w:val="24"/>
          <w:u w:val="single"/>
        </w:rPr>
      </w:pPr>
    </w:p>
    <w:p w:rsidR="003B1597" w:rsidRPr="003B1597" w:rsidRDefault="003B1597" w:rsidP="008B2C81">
      <w:pPr>
        <w:spacing w:line="240" w:lineRule="exact"/>
        <w:jc w:val="both"/>
        <w:rPr>
          <w:rFonts w:asciiTheme="minorHAnsi" w:hAnsiTheme="minorHAnsi"/>
          <w:color w:val="auto"/>
          <w:szCs w:val="24"/>
        </w:rPr>
      </w:pPr>
      <w:r w:rsidRPr="003B1597">
        <w:rPr>
          <w:rFonts w:asciiTheme="minorHAnsi" w:hAnsiTheme="minorHAnsi"/>
          <w:color w:val="auto"/>
          <w:szCs w:val="24"/>
          <w:u w:val="single"/>
        </w:rPr>
        <w:t>Remaining Conditions</w:t>
      </w:r>
      <w:r w:rsidR="00010A4F">
        <w:rPr>
          <w:rFonts w:asciiTheme="minorHAnsi" w:hAnsiTheme="minorHAnsi"/>
          <w:color w:val="auto"/>
          <w:szCs w:val="24"/>
        </w:rPr>
        <w:t xml:space="preserve">:  </w:t>
      </w:r>
      <w:r w:rsidR="00572087">
        <w:rPr>
          <w:rFonts w:asciiTheme="minorHAnsi" w:hAnsiTheme="minorHAnsi"/>
          <w:color w:val="auto"/>
          <w:szCs w:val="24"/>
        </w:rPr>
        <w:t>Ano</w:t>
      </w:r>
      <w:r w:rsidRPr="003B1597">
        <w:rPr>
          <w:rFonts w:asciiTheme="minorHAnsi" w:hAnsiTheme="minorHAnsi"/>
          <w:color w:val="auto"/>
          <w:szCs w:val="24"/>
        </w:rPr>
        <w:t>ther condition identified in the DES file w</w:t>
      </w:r>
      <w:r w:rsidR="00572087">
        <w:rPr>
          <w:rFonts w:asciiTheme="minorHAnsi" w:hAnsiTheme="minorHAnsi"/>
          <w:color w:val="auto"/>
          <w:szCs w:val="24"/>
        </w:rPr>
        <w:t xml:space="preserve">as </w:t>
      </w:r>
      <w:r w:rsidR="00572087" w:rsidRPr="00D7476D">
        <w:rPr>
          <w:rFonts w:asciiTheme="minorHAnsi" w:hAnsiTheme="minorHAnsi"/>
          <w:color w:val="auto"/>
          <w:szCs w:val="24"/>
        </w:rPr>
        <w:t>poor sleep</w:t>
      </w:r>
      <w:r w:rsidR="00010A4F">
        <w:rPr>
          <w:rFonts w:asciiTheme="minorHAnsi" w:hAnsiTheme="minorHAnsi"/>
          <w:color w:val="auto"/>
          <w:szCs w:val="24"/>
        </w:rPr>
        <w:t xml:space="preserve"> attributed to chronic low back pain.  </w:t>
      </w:r>
      <w:r w:rsidR="00572087">
        <w:rPr>
          <w:rFonts w:asciiTheme="minorHAnsi" w:hAnsiTheme="minorHAnsi"/>
          <w:color w:val="auto"/>
          <w:szCs w:val="24"/>
        </w:rPr>
        <w:t>This c</w:t>
      </w:r>
      <w:r w:rsidRPr="003B1597">
        <w:rPr>
          <w:rFonts w:asciiTheme="minorHAnsi" w:hAnsiTheme="minorHAnsi"/>
          <w:color w:val="auto"/>
          <w:szCs w:val="24"/>
        </w:rPr>
        <w:t>ondition w</w:t>
      </w:r>
      <w:r w:rsidR="00572087">
        <w:rPr>
          <w:rFonts w:asciiTheme="minorHAnsi" w:hAnsiTheme="minorHAnsi"/>
          <w:color w:val="auto"/>
          <w:szCs w:val="24"/>
        </w:rPr>
        <w:t xml:space="preserve">as not </w:t>
      </w:r>
      <w:r w:rsidRPr="003B1597">
        <w:rPr>
          <w:rFonts w:asciiTheme="minorHAnsi" w:hAnsiTheme="minorHAnsi"/>
          <w:color w:val="auto"/>
          <w:szCs w:val="24"/>
        </w:rPr>
        <w:t xml:space="preserve">clinically </w:t>
      </w:r>
      <w:r w:rsidR="00010A4F">
        <w:rPr>
          <w:rFonts w:asciiTheme="minorHAnsi" w:hAnsiTheme="minorHAnsi"/>
          <w:color w:val="auto"/>
          <w:szCs w:val="24"/>
        </w:rPr>
        <w:t xml:space="preserve">or occupationally significant </w:t>
      </w:r>
      <w:r w:rsidRPr="003B1597">
        <w:rPr>
          <w:rFonts w:asciiTheme="minorHAnsi" w:hAnsiTheme="minorHAnsi"/>
          <w:color w:val="auto"/>
          <w:szCs w:val="24"/>
        </w:rPr>
        <w:t xml:space="preserve">during the MEB </w:t>
      </w:r>
      <w:proofErr w:type="gramStart"/>
      <w:r w:rsidRPr="003B1597">
        <w:rPr>
          <w:rFonts w:asciiTheme="minorHAnsi" w:hAnsiTheme="minorHAnsi"/>
          <w:color w:val="auto"/>
          <w:szCs w:val="24"/>
        </w:rPr>
        <w:t>period,</w:t>
      </w:r>
      <w:proofErr w:type="gramEnd"/>
      <w:r w:rsidRPr="003B1597">
        <w:rPr>
          <w:rFonts w:asciiTheme="minorHAnsi" w:hAnsiTheme="minorHAnsi"/>
          <w:color w:val="auto"/>
          <w:szCs w:val="24"/>
        </w:rPr>
        <w:t xml:space="preserve"> </w:t>
      </w:r>
      <w:r w:rsidR="00572087">
        <w:rPr>
          <w:rFonts w:asciiTheme="minorHAnsi" w:hAnsiTheme="minorHAnsi"/>
          <w:color w:val="auto"/>
          <w:szCs w:val="24"/>
        </w:rPr>
        <w:t xml:space="preserve">it </w:t>
      </w:r>
      <w:r w:rsidR="00572087" w:rsidRPr="00F32815">
        <w:rPr>
          <w:rFonts w:asciiTheme="minorHAnsi" w:hAnsiTheme="minorHAnsi"/>
          <w:color w:val="auto"/>
          <w:szCs w:val="24"/>
        </w:rPr>
        <w:t xml:space="preserve">was not the </w:t>
      </w:r>
      <w:r w:rsidRPr="003B1597">
        <w:rPr>
          <w:rFonts w:asciiTheme="minorHAnsi" w:hAnsiTheme="minorHAnsi"/>
          <w:color w:val="auto"/>
          <w:szCs w:val="24"/>
        </w:rPr>
        <w:t>basis for limited duty and was</w:t>
      </w:r>
      <w:r w:rsidR="00572087" w:rsidRPr="00F32815">
        <w:rPr>
          <w:rFonts w:asciiTheme="minorHAnsi" w:hAnsiTheme="minorHAnsi"/>
          <w:color w:val="auto"/>
          <w:szCs w:val="24"/>
        </w:rPr>
        <w:t xml:space="preserve"> not </w:t>
      </w:r>
      <w:r w:rsidRPr="003B1597">
        <w:rPr>
          <w:rFonts w:asciiTheme="minorHAnsi" w:hAnsiTheme="minorHAnsi"/>
          <w:color w:val="auto"/>
          <w:szCs w:val="24"/>
        </w:rPr>
        <w:t xml:space="preserve">implicated in the </w:t>
      </w:r>
      <w:r w:rsidR="00D41FE4">
        <w:rPr>
          <w:rFonts w:asciiTheme="minorHAnsi" w:hAnsiTheme="minorHAnsi"/>
          <w:color w:val="auto"/>
          <w:szCs w:val="24"/>
        </w:rPr>
        <w:t>non-medical assessment</w:t>
      </w:r>
      <w:r w:rsidR="00572087">
        <w:rPr>
          <w:rFonts w:asciiTheme="minorHAnsi" w:hAnsiTheme="minorHAnsi"/>
          <w:color w:val="auto"/>
          <w:szCs w:val="24"/>
        </w:rPr>
        <w:t>.  Th</w:t>
      </w:r>
      <w:r w:rsidR="00D41FE4">
        <w:rPr>
          <w:rFonts w:asciiTheme="minorHAnsi" w:hAnsiTheme="minorHAnsi"/>
          <w:color w:val="auto"/>
          <w:szCs w:val="24"/>
        </w:rPr>
        <w:t>i</w:t>
      </w:r>
      <w:r w:rsidR="00572087">
        <w:rPr>
          <w:rFonts w:asciiTheme="minorHAnsi" w:hAnsiTheme="minorHAnsi"/>
          <w:color w:val="auto"/>
          <w:szCs w:val="24"/>
        </w:rPr>
        <w:t>s condition</w:t>
      </w:r>
      <w:r w:rsidRPr="003B1597">
        <w:rPr>
          <w:rFonts w:asciiTheme="minorHAnsi" w:hAnsiTheme="minorHAnsi"/>
          <w:color w:val="auto"/>
          <w:szCs w:val="24"/>
        </w:rPr>
        <w:t xml:space="preserve"> were reviewed by the action officer and considered by the </w:t>
      </w:r>
      <w:r w:rsidR="00344328">
        <w:rPr>
          <w:rFonts w:asciiTheme="minorHAnsi" w:hAnsiTheme="minorHAnsi"/>
          <w:color w:val="auto"/>
          <w:szCs w:val="24"/>
        </w:rPr>
        <w:t>Board.  It was determined that it</w:t>
      </w:r>
      <w:r w:rsidRPr="003B1597">
        <w:rPr>
          <w:rFonts w:asciiTheme="minorHAnsi" w:hAnsiTheme="minorHAnsi"/>
          <w:color w:val="auto"/>
          <w:szCs w:val="24"/>
        </w:rPr>
        <w:t xml:space="preserve"> could </w:t>
      </w:r>
      <w:r w:rsidR="008B2C81">
        <w:rPr>
          <w:rFonts w:asciiTheme="minorHAnsi" w:hAnsiTheme="minorHAnsi"/>
          <w:color w:val="auto"/>
          <w:szCs w:val="24"/>
        </w:rPr>
        <w:t xml:space="preserve">not </w:t>
      </w:r>
      <w:r w:rsidRPr="003B1597">
        <w:rPr>
          <w:rFonts w:asciiTheme="minorHAnsi" w:hAnsiTheme="minorHAnsi"/>
          <w:color w:val="auto"/>
          <w:szCs w:val="24"/>
        </w:rPr>
        <w:t>be argued as unfitting and subject to separation rating.  No other conditions were service connected with a compensable rating by the VA within twelve months of separation or contended by the CI.  The Board, therefore, has no reasonable basis for recommending any additional unfitting conditions for separation rating.</w:t>
      </w:r>
    </w:p>
    <w:p w:rsidR="00010A4F" w:rsidRPr="00F75192" w:rsidRDefault="00010A4F" w:rsidP="008B2C81">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75192" w:rsidRDefault="00F75192" w:rsidP="008B2C81">
      <w:pPr>
        <w:jc w:val="both"/>
        <w:rPr>
          <w:rFonts w:ascii="Calibri" w:hAnsi="Calibri"/>
          <w:color w:val="auto"/>
          <w:szCs w:val="24"/>
        </w:rPr>
      </w:pPr>
    </w:p>
    <w:p w:rsidR="00010A4F" w:rsidRPr="00F75192" w:rsidRDefault="00F75192" w:rsidP="00304031">
      <w:pPr>
        <w:spacing w:line="240" w:lineRule="exact"/>
        <w:jc w:val="both"/>
        <w:rPr>
          <w:rFonts w:asciiTheme="minorHAnsi" w:eastAsiaTheme="minorHAnsi" w:hAnsiTheme="minorHAnsi"/>
          <w:color w:val="auto"/>
          <w:szCs w:val="24"/>
        </w:rPr>
      </w:pPr>
      <w:r w:rsidRPr="00F75192">
        <w:rPr>
          <w:rFonts w:asciiTheme="minorHAnsi" w:hAnsiTheme="minorHAnsi"/>
          <w:color w:val="auto"/>
          <w:szCs w:val="24"/>
          <w:u w:val="single"/>
        </w:rPr>
        <w:t>BOARD FINDINGS</w:t>
      </w:r>
      <w:r w:rsidRPr="00F75192">
        <w:rPr>
          <w:rFonts w:asciiTheme="minorHAnsi" w:hAnsiTheme="minorHAnsi"/>
          <w:color w:val="auto"/>
          <w:szCs w:val="24"/>
        </w:rPr>
        <w:t>:</w:t>
      </w:r>
      <w:r w:rsidRPr="00F75192">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04031">
        <w:rPr>
          <w:rFonts w:asciiTheme="minorHAnsi" w:eastAsiaTheme="minorHAnsi" w:hAnsiTheme="minorHAnsi"/>
          <w:color w:val="auto"/>
          <w:szCs w:val="24"/>
        </w:rPr>
        <w:t xml:space="preserve">  </w:t>
      </w:r>
      <w:r w:rsidR="00323044" w:rsidRPr="00396779">
        <w:rPr>
          <w:rFonts w:asciiTheme="minorHAnsi" w:eastAsiaTheme="minorHAnsi" w:hAnsiTheme="minorHAnsi"/>
          <w:color w:val="auto"/>
          <w:szCs w:val="24"/>
        </w:rPr>
        <w:t xml:space="preserve">In the matter of the </w:t>
      </w:r>
      <w:r w:rsidR="00323044">
        <w:rPr>
          <w:rFonts w:asciiTheme="minorHAnsi" w:eastAsiaTheme="minorHAnsi" w:hAnsiTheme="minorHAnsi"/>
          <w:color w:val="auto"/>
          <w:szCs w:val="24"/>
        </w:rPr>
        <w:t>back condition (chronic mechanical low back pain with degenerative disc disease)</w:t>
      </w:r>
      <w:r w:rsidR="00323044">
        <w:rPr>
          <w:color w:val="auto"/>
          <w:szCs w:val="24"/>
        </w:rPr>
        <w:t xml:space="preserve"> </w:t>
      </w:r>
      <w:r w:rsidR="00323044" w:rsidRPr="00396779">
        <w:rPr>
          <w:rFonts w:asciiTheme="minorHAnsi" w:eastAsiaTheme="minorHAnsi" w:hAnsiTheme="minorHAnsi"/>
          <w:color w:val="auto"/>
          <w:szCs w:val="24"/>
        </w:rPr>
        <w:t xml:space="preserve">and </w:t>
      </w:r>
      <w:r w:rsidR="00323044" w:rsidRPr="008C2024">
        <w:rPr>
          <w:rFonts w:asciiTheme="minorHAnsi" w:eastAsiaTheme="minorHAnsi" w:hAnsiTheme="minorHAnsi"/>
          <w:color w:val="auto"/>
          <w:szCs w:val="24"/>
        </w:rPr>
        <w:t>IAW VASRD §4.71a</w:t>
      </w:r>
      <w:r w:rsidR="00323044" w:rsidRPr="00396779">
        <w:rPr>
          <w:rFonts w:asciiTheme="minorHAnsi" w:eastAsiaTheme="minorHAnsi" w:hAnsiTheme="minorHAnsi"/>
          <w:color w:val="auto"/>
          <w:szCs w:val="24"/>
        </w:rPr>
        <w:t>, the Board</w:t>
      </w:r>
      <w:r w:rsidR="00662BCC">
        <w:rPr>
          <w:rFonts w:asciiTheme="minorHAnsi" w:eastAsiaTheme="minorHAnsi" w:hAnsiTheme="minorHAnsi"/>
          <w:color w:val="auto"/>
          <w:szCs w:val="24"/>
        </w:rPr>
        <w:t>, by a 2:1 vote,</w:t>
      </w:r>
      <w:r w:rsidR="00323044" w:rsidRPr="00396779">
        <w:rPr>
          <w:rFonts w:asciiTheme="minorHAnsi" w:eastAsiaTheme="minorHAnsi" w:hAnsiTheme="minorHAnsi"/>
          <w:color w:val="auto"/>
          <w:szCs w:val="24"/>
        </w:rPr>
        <w:t xml:space="preserve"> recommends no change in the PEB adjudication</w:t>
      </w:r>
      <w:r w:rsidR="00323044" w:rsidRPr="008C2024">
        <w:rPr>
          <w:rFonts w:asciiTheme="minorHAnsi" w:eastAsiaTheme="minorHAnsi" w:hAnsiTheme="minorHAnsi"/>
          <w:color w:val="auto"/>
          <w:szCs w:val="24"/>
        </w:rPr>
        <w:t xml:space="preserve">. </w:t>
      </w:r>
      <w:r w:rsidR="00662BCC">
        <w:rPr>
          <w:rFonts w:asciiTheme="minorHAnsi" w:eastAsiaTheme="minorHAnsi" w:hAnsiTheme="minorHAnsi"/>
          <w:color w:val="auto"/>
          <w:szCs w:val="24"/>
        </w:rPr>
        <w:t xml:space="preserve"> </w:t>
      </w:r>
      <w:r w:rsidR="00662BCC" w:rsidRPr="001F5378">
        <w:rPr>
          <w:rFonts w:asciiTheme="minorHAnsi" w:hAnsiTheme="minorHAnsi"/>
          <w:color w:val="auto"/>
          <w:szCs w:val="24"/>
        </w:rPr>
        <w:t xml:space="preserve">The single voter for dissent (who recommended </w:t>
      </w:r>
      <w:r w:rsidR="00662BCC">
        <w:rPr>
          <w:rFonts w:asciiTheme="minorHAnsi" w:hAnsiTheme="minorHAnsi"/>
          <w:color w:val="auto"/>
          <w:szCs w:val="24"/>
        </w:rPr>
        <w:t xml:space="preserve">a 20% rating) </w:t>
      </w:r>
      <w:r w:rsidR="00662BCC" w:rsidRPr="001F5378">
        <w:rPr>
          <w:rFonts w:asciiTheme="minorHAnsi" w:hAnsiTheme="minorHAnsi"/>
          <w:color w:val="auto"/>
          <w:szCs w:val="24"/>
        </w:rPr>
        <w:t xml:space="preserve">submitted the </w:t>
      </w:r>
      <w:proofErr w:type="spellStart"/>
      <w:r w:rsidR="00662BCC" w:rsidRPr="001F5378">
        <w:rPr>
          <w:rFonts w:asciiTheme="minorHAnsi" w:hAnsiTheme="minorHAnsi"/>
          <w:color w:val="auto"/>
          <w:szCs w:val="24"/>
        </w:rPr>
        <w:t>addended</w:t>
      </w:r>
      <w:proofErr w:type="spellEnd"/>
      <w:r w:rsidR="00662BCC" w:rsidRPr="001F5378">
        <w:rPr>
          <w:rFonts w:asciiTheme="minorHAnsi" w:hAnsiTheme="minorHAnsi"/>
          <w:color w:val="auto"/>
          <w:szCs w:val="24"/>
        </w:rPr>
        <w:t xml:space="preserve"> minority opinion.</w:t>
      </w:r>
    </w:p>
    <w:p w:rsidR="00174C57" w:rsidRPr="00F75192" w:rsidRDefault="00174C57" w:rsidP="008B2C81">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75192" w:rsidRPr="00F75192" w:rsidRDefault="00F75192" w:rsidP="008B2C81">
      <w:pPr>
        <w:spacing w:line="240" w:lineRule="exact"/>
        <w:jc w:val="both"/>
        <w:rPr>
          <w:rFonts w:asciiTheme="minorHAnsi" w:hAnsiTheme="minorHAnsi"/>
          <w:b/>
          <w:color w:val="auto"/>
          <w:szCs w:val="24"/>
          <w:u w:val="single"/>
        </w:rPr>
      </w:pPr>
    </w:p>
    <w:p w:rsidR="00F75192" w:rsidRPr="00F75192" w:rsidRDefault="00F75192" w:rsidP="008B2C81">
      <w:pPr>
        <w:spacing w:line="240" w:lineRule="exact"/>
        <w:jc w:val="both"/>
        <w:rPr>
          <w:rFonts w:asciiTheme="minorHAnsi" w:hAnsiTheme="minorHAnsi"/>
          <w:color w:val="auto"/>
          <w:szCs w:val="24"/>
        </w:rPr>
      </w:pPr>
      <w:r w:rsidRPr="00F75192">
        <w:rPr>
          <w:rFonts w:asciiTheme="minorHAnsi" w:hAnsiTheme="minorHAnsi"/>
          <w:color w:val="auto"/>
          <w:szCs w:val="24"/>
          <w:u w:val="single"/>
        </w:rPr>
        <w:t>RECOMMENDATION</w:t>
      </w:r>
      <w:r w:rsidRPr="00F75192">
        <w:rPr>
          <w:rFonts w:asciiTheme="minorHAnsi" w:hAnsiTheme="minorHAnsi"/>
          <w:color w:val="auto"/>
          <w:szCs w:val="24"/>
        </w:rPr>
        <w:t>:</w:t>
      </w:r>
      <w:r w:rsidRPr="00F75192">
        <w:rPr>
          <w:rFonts w:asciiTheme="minorHAnsi" w:hAnsiTheme="minorHAnsi"/>
          <w:color w:val="000080"/>
          <w:szCs w:val="24"/>
        </w:rPr>
        <w:t xml:space="preserve"> </w:t>
      </w:r>
      <w:r w:rsidR="00010A4F">
        <w:rPr>
          <w:rFonts w:asciiTheme="minorHAnsi" w:hAnsiTheme="minorHAnsi"/>
          <w:color w:val="000080"/>
          <w:szCs w:val="24"/>
        </w:rPr>
        <w:t xml:space="preserve"> </w:t>
      </w:r>
      <w:r w:rsidR="00010A4F">
        <w:rPr>
          <w:rFonts w:asciiTheme="minorHAnsi" w:hAnsiTheme="minorHAnsi"/>
          <w:color w:val="auto"/>
          <w:szCs w:val="24"/>
        </w:rPr>
        <w:t xml:space="preserve">The </w:t>
      </w:r>
      <w:r w:rsidRPr="00F75192">
        <w:rPr>
          <w:rFonts w:asciiTheme="minorHAnsi" w:hAnsiTheme="minorHAnsi"/>
          <w:color w:val="auto"/>
          <w:szCs w:val="24"/>
        </w:rPr>
        <w:t xml:space="preserve">Board, therefore, recommends that there be no recharacterization of the CI’s disability and separation determination, as follows: </w:t>
      </w:r>
    </w:p>
    <w:p w:rsidR="00F75192" w:rsidRPr="00F75192" w:rsidRDefault="00F75192" w:rsidP="00F75192">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F75192" w:rsidRPr="00F75192" w:rsidTr="00BC1051">
        <w:trPr>
          <w:trHeight w:val="233"/>
          <w:jc w:val="center"/>
        </w:trPr>
        <w:tc>
          <w:tcPr>
            <w:tcW w:w="6480" w:type="dxa"/>
            <w:shd w:val="clear" w:color="auto" w:fill="D9D9D9"/>
            <w:vAlign w:val="center"/>
          </w:tcPr>
          <w:p w:rsidR="00F75192" w:rsidRPr="00F75192" w:rsidRDefault="00F75192" w:rsidP="00F75192">
            <w:pPr>
              <w:tabs>
                <w:tab w:val="left" w:pos="288"/>
                <w:tab w:val="left" w:pos="4752"/>
              </w:tabs>
              <w:spacing w:line="240" w:lineRule="exact"/>
              <w:jc w:val="center"/>
              <w:rPr>
                <w:rFonts w:asciiTheme="minorHAnsi" w:hAnsiTheme="minorHAnsi"/>
                <w:b/>
                <w:color w:val="auto"/>
                <w:szCs w:val="24"/>
              </w:rPr>
            </w:pPr>
            <w:r w:rsidRPr="00F75192">
              <w:rPr>
                <w:rFonts w:asciiTheme="minorHAnsi" w:hAnsiTheme="minorHAnsi"/>
                <w:b/>
                <w:color w:val="auto"/>
                <w:szCs w:val="24"/>
              </w:rPr>
              <w:t>UNFITTING CONDITION</w:t>
            </w:r>
          </w:p>
        </w:tc>
        <w:tc>
          <w:tcPr>
            <w:tcW w:w="1710" w:type="dxa"/>
            <w:shd w:val="clear" w:color="auto" w:fill="D9D9D9"/>
            <w:vAlign w:val="center"/>
          </w:tcPr>
          <w:p w:rsidR="00F75192" w:rsidRPr="00F75192" w:rsidRDefault="00F75192" w:rsidP="00F75192">
            <w:pPr>
              <w:tabs>
                <w:tab w:val="left" w:pos="288"/>
                <w:tab w:val="left" w:pos="4752"/>
              </w:tabs>
              <w:spacing w:line="240" w:lineRule="exact"/>
              <w:jc w:val="center"/>
              <w:rPr>
                <w:rFonts w:asciiTheme="minorHAnsi" w:hAnsiTheme="minorHAnsi"/>
                <w:b/>
                <w:color w:val="auto"/>
                <w:szCs w:val="24"/>
              </w:rPr>
            </w:pPr>
            <w:r w:rsidRPr="00F75192">
              <w:rPr>
                <w:rFonts w:asciiTheme="minorHAnsi" w:hAnsiTheme="minorHAnsi"/>
                <w:b/>
                <w:color w:val="auto"/>
                <w:szCs w:val="24"/>
              </w:rPr>
              <w:t>VASRD CODE</w:t>
            </w:r>
          </w:p>
        </w:tc>
        <w:tc>
          <w:tcPr>
            <w:tcW w:w="1170" w:type="dxa"/>
            <w:shd w:val="clear" w:color="auto" w:fill="D9D9D9"/>
            <w:vAlign w:val="center"/>
          </w:tcPr>
          <w:p w:rsidR="00F75192" w:rsidRPr="00F75192" w:rsidRDefault="00F75192" w:rsidP="00F75192">
            <w:pPr>
              <w:tabs>
                <w:tab w:val="left" w:pos="288"/>
                <w:tab w:val="left" w:pos="4752"/>
              </w:tabs>
              <w:spacing w:line="240" w:lineRule="exact"/>
              <w:jc w:val="center"/>
              <w:rPr>
                <w:rFonts w:asciiTheme="minorHAnsi" w:hAnsiTheme="minorHAnsi"/>
                <w:b/>
                <w:color w:val="auto"/>
                <w:szCs w:val="24"/>
              </w:rPr>
            </w:pPr>
            <w:r w:rsidRPr="00F75192">
              <w:rPr>
                <w:rFonts w:asciiTheme="minorHAnsi" w:hAnsiTheme="minorHAnsi"/>
                <w:b/>
                <w:color w:val="auto"/>
                <w:szCs w:val="24"/>
              </w:rPr>
              <w:t>RATING</w:t>
            </w:r>
          </w:p>
        </w:tc>
      </w:tr>
      <w:tr w:rsidR="00F75192" w:rsidRPr="00F75192" w:rsidTr="00BC1051">
        <w:trPr>
          <w:jc w:val="center"/>
        </w:trPr>
        <w:tc>
          <w:tcPr>
            <w:tcW w:w="6480" w:type="dxa"/>
            <w:vAlign w:val="center"/>
          </w:tcPr>
          <w:p w:rsidR="00F75192" w:rsidRPr="00F75192" w:rsidRDefault="00010A4F" w:rsidP="00F75192">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Chronic Mechanical Low Back Pain and Degenerative Disc </w:t>
            </w:r>
            <w:proofErr w:type="spellStart"/>
            <w:r>
              <w:rPr>
                <w:rFonts w:asciiTheme="minorHAnsi" w:hAnsiTheme="minorHAnsi"/>
                <w:color w:val="auto"/>
                <w:szCs w:val="24"/>
              </w:rPr>
              <w:t>Dz</w:t>
            </w:r>
            <w:proofErr w:type="spellEnd"/>
          </w:p>
        </w:tc>
        <w:tc>
          <w:tcPr>
            <w:tcW w:w="1710" w:type="dxa"/>
            <w:vAlign w:val="center"/>
          </w:tcPr>
          <w:p w:rsidR="00F75192" w:rsidRPr="00F75192" w:rsidRDefault="00010A4F" w:rsidP="00F75192">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5243</w:t>
            </w:r>
          </w:p>
        </w:tc>
        <w:tc>
          <w:tcPr>
            <w:tcW w:w="1170" w:type="dxa"/>
            <w:vAlign w:val="center"/>
          </w:tcPr>
          <w:p w:rsidR="00F75192" w:rsidRPr="00010A4F" w:rsidRDefault="00010A4F" w:rsidP="00010A4F">
            <w:pPr>
              <w:tabs>
                <w:tab w:val="left" w:pos="288"/>
                <w:tab w:val="left" w:pos="4752"/>
              </w:tabs>
              <w:spacing w:line="240" w:lineRule="exact"/>
              <w:jc w:val="center"/>
              <w:rPr>
                <w:rFonts w:asciiTheme="minorHAnsi" w:hAnsiTheme="minorHAnsi"/>
                <w:color w:val="auto"/>
                <w:szCs w:val="24"/>
              </w:rPr>
            </w:pPr>
            <w:r w:rsidRPr="00010A4F">
              <w:rPr>
                <w:rFonts w:asciiTheme="minorHAnsi" w:hAnsiTheme="minorHAnsi"/>
                <w:color w:val="auto"/>
                <w:szCs w:val="24"/>
              </w:rPr>
              <w:t>1</w:t>
            </w:r>
            <w:r w:rsidR="00F75192" w:rsidRPr="00010A4F">
              <w:rPr>
                <w:rFonts w:asciiTheme="minorHAnsi" w:hAnsiTheme="minorHAnsi"/>
                <w:color w:val="auto"/>
                <w:szCs w:val="24"/>
              </w:rPr>
              <w:t>0%</w:t>
            </w:r>
          </w:p>
        </w:tc>
      </w:tr>
      <w:tr w:rsidR="00F75192" w:rsidRPr="00F75192" w:rsidTr="00BC1051">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F75192" w:rsidRPr="00F75192" w:rsidRDefault="00F75192" w:rsidP="00F75192">
            <w:pPr>
              <w:tabs>
                <w:tab w:val="left" w:pos="288"/>
                <w:tab w:val="left" w:pos="4752"/>
              </w:tabs>
              <w:spacing w:line="240" w:lineRule="exact"/>
              <w:jc w:val="center"/>
              <w:rPr>
                <w:rFonts w:asciiTheme="minorHAnsi" w:hAnsiTheme="minorHAnsi"/>
                <w:b/>
                <w:color w:val="auto"/>
                <w:szCs w:val="24"/>
              </w:rPr>
            </w:pPr>
            <w:r w:rsidRPr="00F7519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F75192" w:rsidRPr="00010A4F" w:rsidRDefault="00010A4F" w:rsidP="00010A4F">
            <w:pPr>
              <w:tabs>
                <w:tab w:val="left" w:pos="288"/>
                <w:tab w:val="left" w:pos="4752"/>
              </w:tabs>
              <w:spacing w:line="240" w:lineRule="exact"/>
              <w:jc w:val="center"/>
              <w:rPr>
                <w:rFonts w:asciiTheme="minorHAnsi" w:hAnsiTheme="minorHAnsi"/>
                <w:b/>
                <w:color w:val="auto"/>
                <w:szCs w:val="24"/>
              </w:rPr>
            </w:pPr>
            <w:r w:rsidRPr="00010A4F">
              <w:rPr>
                <w:rFonts w:asciiTheme="minorHAnsi" w:hAnsiTheme="minorHAnsi"/>
                <w:b/>
                <w:color w:val="auto"/>
                <w:szCs w:val="24"/>
              </w:rPr>
              <w:t>1</w:t>
            </w:r>
            <w:r w:rsidR="00F75192" w:rsidRPr="00010A4F">
              <w:rPr>
                <w:rFonts w:asciiTheme="minorHAnsi" w:hAnsiTheme="minorHAnsi"/>
                <w:b/>
                <w:color w:val="auto"/>
                <w:szCs w:val="24"/>
              </w:rPr>
              <w:t>0%</w:t>
            </w:r>
          </w:p>
        </w:tc>
      </w:tr>
    </w:tbl>
    <w:p w:rsidR="00F75192" w:rsidRPr="00B90085" w:rsidRDefault="00F75192"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B90085" w:rsidRDefault="00106AD8" w:rsidP="00106AD8">
      <w:pPr>
        <w:tabs>
          <w:tab w:val="left" w:pos="288"/>
          <w:tab w:val="left" w:pos="4752"/>
        </w:tabs>
        <w:spacing w:line="240" w:lineRule="exact"/>
        <w:rPr>
          <w:rFonts w:ascii="Calibri" w:hAnsi="Calibri"/>
          <w:color w:val="auto"/>
          <w:szCs w:val="24"/>
        </w:rPr>
      </w:pPr>
    </w:p>
    <w:p w:rsidR="00D91DA6"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623D8F">
        <w:rPr>
          <w:rFonts w:asciiTheme="minorHAnsi" w:hAnsiTheme="minorHAnsi"/>
          <w:color w:val="auto"/>
        </w:rPr>
        <w:t>100831</w:t>
      </w:r>
      <w:r>
        <w:rPr>
          <w:rFonts w:asciiTheme="minorHAnsi" w:hAnsiTheme="minorHAnsi"/>
          <w:color w:val="auto"/>
        </w:rPr>
        <w:t>, w/atchs.</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5549B1"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6C7F5C" w:rsidRDefault="006C7F5C">
      <w:pPr>
        <w:rPr>
          <w:rFonts w:asciiTheme="minorHAnsi" w:hAnsiTheme="minorHAnsi"/>
          <w:color w:val="auto"/>
        </w:rPr>
      </w:pPr>
      <w:r>
        <w:rPr>
          <w:rFonts w:asciiTheme="minorHAnsi" w:hAnsiTheme="minorHAnsi"/>
          <w:color w:val="auto"/>
        </w:rPr>
        <w:br w:type="page"/>
      </w:r>
    </w:p>
    <w:p w:rsidR="006C7F5C" w:rsidRPr="006C7F5C" w:rsidRDefault="006C7F5C" w:rsidP="006C7F5C">
      <w:pPr>
        <w:spacing w:after="200" w:line="240" w:lineRule="exact"/>
        <w:rPr>
          <w:rFonts w:asciiTheme="minorHAnsi" w:eastAsiaTheme="minorHAnsi" w:hAnsiTheme="minorHAnsi" w:cstheme="minorBidi"/>
          <w:color w:val="auto"/>
          <w:szCs w:val="24"/>
        </w:rPr>
      </w:pPr>
      <w:proofErr w:type="gramStart"/>
      <w:r w:rsidRPr="006C7F5C">
        <w:rPr>
          <w:rFonts w:asciiTheme="minorHAnsi" w:eastAsiaTheme="minorHAnsi" w:hAnsiTheme="minorHAnsi" w:cstheme="minorBidi"/>
          <w:color w:val="auto"/>
          <w:szCs w:val="24"/>
          <w:u w:val="single"/>
        </w:rPr>
        <w:lastRenderedPageBreak/>
        <w:t>MINORITY OPINION</w:t>
      </w:r>
      <w:r w:rsidRPr="006C7F5C">
        <w:rPr>
          <w:rFonts w:asciiTheme="minorHAnsi" w:eastAsiaTheme="minorHAnsi" w:hAnsiTheme="minorHAnsi" w:cstheme="minorBidi"/>
          <w:color w:val="auto"/>
          <w:szCs w:val="24"/>
        </w:rPr>
        <w:t>.</w:t>
      </w:r>
      <w:proofErr w:type="gramEnd"/>
      <w:r w:rsidRPr="006C7F5C">
        <w:rPr>
          <w:rFonts w:asciiTheme="minorHAnsi" w:eastAsiaTheme="minorHAnsi" w:hAnsiTheme="minorHAnsi" w:cstheme="minorBidi"/>
          <w:color w:val="auto"/>
          <w:szCs w:val="24"/>
        </w:rPr>
        <w:t xml:space="preserve">  The AO strongly supports a 20% rating in this case.  There was no goniometric ROM in service and the MEB exam failed to address thoracolumbar lateral flexions, rotations or any DeLuca criteria (additional functional loss due to pain, flare-ups, deformity, tenderness, arthritis, </w:t>
      </w:r>
      <w:proofErr w:type="gramStart"/>
      <w:r w:rsidRPr="006C7F5C">
        <w:rPr>
          <w:rFonts w:asciiTheme="minorHAnsi" w:eastAsiaTheme="minorHAnsi" w:hAnsiTheme="minorHAnsi" w:cstheme="minorBidi"/>
          <w:color w:val="auto"/>
          <w:szCs w:val="24"/>
        </w:rPr>
        <w:t>loss</w:t>
      </w:r>
      <w:proofErr w:type="gramEnd"/>
      <w:r w:rsidRPr="006C7F5C">
        <w:rPr>
          <w:rFonts w:asciiTheme="minorHAnsi" w:eastAsiaTheme="minorHAnsi" w:hAnsiTheme="minorHAnsi" w:cstheme="minorBidi"/>
          <w:color w:val="auto"/>
          <w:szCs w:val="24"/>
        </w:rPr>
        <w:t xml:space="preserve"> of motion on repetitive use, weakened movement, excess fatigability or </w:t>
      </w:r>
      <w:proofErr w:type="spellStart"/>
      <w:r w:rsidRPr="006C7F5C">
        <w:rPr>
          <w:rFonts w:asciiTheme="minorHAnsi" w:eastAsiaTheme="minorHAnsi" w:hAnsiTheme="minorHAnsi" w:cstheme="minorBidi"/>
          <w:color w:val="auto"/>
          <w:szCs w:val="24"/>
        </w:rPr>
        <w:t>incoordination</w:t>
      </w:r>
      <w:proofErr w:type="spellEnd"/>
      <w:r w:rsidRPr="006C7F5C">
        <w:rPr>
          <w:rFonts w:asciiTheme="minorHAnsi" w:eastAsiaTheme="minorHAnsi" w:hAnsiTheme="minorHAnsi" w:cstheme="minorBidi"/>
          <w:color w:val="auto"/>
          <w:szCs w:val="24"/>
        </w:rPr>
        <w:t>).  The combined thoracolumbar ROM was unknown and is a ratable parameter for the CI’s condition.  With consideration of VASRD §4.2, Interpretation of examination reports, the exam did not contain sufficient detail and would be considered as inadequate for evaluation purposes.</w:t>
      </w:r>
    </w:p>
    <w:p w:rsidR="006C7F5C" w:rsidRPr="006C7F5C" w:rsidRDefault="006C7F5C" w:rsidP="006C7F5C">
      <w:pPr>
        <w:spacing w:after="200" w:line="240" w:lineRule="exact"/>
        <w:rPr>
          <w:rFonts w:asciiTheme="minorHAnsi" w:eastAsiaTheme="minorHAnsi" w:hAnsiTheme="minorHAnsi" w:cstheme="minorBidi"/>
          <w:color w:val="auto"/>
          <w:szCs w:val="24"/>
        </w:rPr>
      </w:pPr>
      <w:r w:rsidRPr="006C7F5C">
        <w:rPr>
          <w:rFonts w:asciiTheme="minorHAnsi" w:eastAsiaTheme="minorHAnsi" w:hAnsiTheme="minorHAnsi" w:cstheme="minorBidi"/>
          <w:color w:val="auto"/>
          <w:szCs w:val="24"/>
        </w:rPr>
        <w:t>The VA C&amp;P exam was closer to the date of separation (19 days post-separation), provided a complete goniometric ROM, and addressed the DeLuca criteria.  The exam documented guarding which did not interfere with gait, but may have led to “unbelievable” 2/5 leg muscle testing which the Board majority believed decreased the probative value of the exam, despite objective evidence (decreased girth calf and thigh) of at least some muscle atrophy.  There were no Waddell’s signs or other indicators of non-physiologic findings to indicate symptom exaggeration.  There was no evidence of any non-pain radiculopathy.</w:t>
      </w:r>
    </w:p>
    <w:p w:rsidR="006C7F5C" w:rsidRPr="006C7F5C" w:rsidRDefault="006C7F5C" w:rsidP="006C7F5C">
      <w:pPr>
        <w:spacing w:after="200" w:line="240" w:lineRule="exact"/>
        <w:rPr>
          <w:rFonts w:asciiTheme="minorHAnsi" w:eastAsiaTheme="minorHAnsi" w:hAnsiTheme="minorHAnsi" w:cstheme="minorBidi"/>
          <w:color w:val="auto"/>
          <w:szCs w:val="24"/>
        </w:rPr>
      </w:pPr>
      <w:r w:rsidRPr="006C7F5C">
        <w:rPr>
          <w:rFonts w:asciiTheme="minorHAnsi" w:eastAsiaTheme="minorHAnsi" w:hAnsiTheme="minorHAnsi" w:cstheme="minorBidi"/>
          <w:color w:val="auto"/>
          <w:szCs w:val="24"/>
        </w:rPr>
        <w:t>The record indicated the CI had a history of back spasms and it is typical for back conditions to demonstrate some variability with good days and bad days.  Given the objective evidence of muscle atrophy, an exam closer to separation that was complete and ratable, the provisions of VASRD §4.3 (reasonable doubt) and §4.7 (higher of two evaluations) the CI’s thoracolumbar condition should be rated at 20%.</w:t>
      </w:r>
    </w:p>
    <w:p w:rsidR="006C7F5C" w:rsidRPr="006C7F5C" w:rsidRDefault="006C7F5C" w:rsidP="006C7F5C">
      <w:pPr>
        <w:spacing w:line="240" w:lineRule="exact"/>
        <w:jc w:val="both"/>
        <w:rPr>
          <w:rFonts w:asciiTheme="minorHAnsi" w:hAnsiTheme="minorHAnsi"/>
          <w:color w:val="auto"/>
          <w:szCs w:val="24"/>
        </w:rPr>
      </w:pPr>
      <w:r w:rsidRPr="006C7F5C">
        <w:rPr>
          <w:rFonts w:asciiTheme="minorHAnsi" w:hAnsiTheme="minorHAnsi"/>
          <w:color w:val="auto"/>
          <w:szCs w:val="24"/>
          <w:u w:val="single"/>
        </w:rPr>
        <w:t>MO RECOMMENDATION</w:t>
      </w:r>
      <w:r w:rsidRPr="006C7F5C">
        <w:rPr>
          <w:rFonts w:asciiTheme="minorHAnsi" w:hAnsiTheme="minorHAnsi"/>
          <w:color w:val="auto"/>
          <w:szCs w:val="24"/>
        </w:rPr>
        <w:t>:</w:t>
      </w:r>
      <w:r w:rsidRPr="006C7F5C">
        <w:rPr>
          <w:rFonts w:asciiTheme="minorHAnsi" w:hAnsiTheme="minorHAnsi"/>
          <w:color w:val="000080"/>
          <w:szCs w:val="24"/>
        </w:rPr>
        <w:t xml:space="preserve">  </w:t>
      </w:r>
      <w:r w:rsidRPr="006C7F5C">
        <w:rPr>
          <w:rFonts w:asciiTheme="minorHAnsi" w:hAnsiTheme="minorHAnsi"/>
          <w:color w:val="auto"/>
          <w:szCs w:val="24"/>
        </w:rPr>
        <w:t xml:space="preserve">The AO, therefore, recommends </w:t>
      </w:r>
      <w:r w:rsidRPr="006C7F5C">
        <w:rPr>
          <w:rFonts w:asciiTheme="minorHAnsi" w:eastAsiaTheme="minorHAnsi" w:hAnsiTheme="minorHAnsi" w:cstheme="minorBidi"/>
          <w:color w:val="auto"/>
          <w:szCs w:val="24"/>
        </w:rPr>
        <w:t>that the CI’s prior determination be modified as follows, effective as of the date of his prior medical separation.</w:t>
      </w:r>
    </w:p>
    <w:p w:rsidR="006C7F5C" w:rsidRPr="006C7F5C" w:rsidRDefault="006C7F5C" w:rsidP="006C7F5C">
      <w:pPr>
        <w:tabs>
          <w:tab w:val="left" w:pos="288"/>
          <w:tab w:val="left" w:pos="4752"/>
        </w:tabs>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0"/>
        <w:gridCol w:w="1710"/>
        <w:gridCol w:w="1170"/>
      </w:tblGrid>
      <w:tr w:rsidR="006C7F5C" w:rsidRPr="006C7F5C" w:rsidTr="00522760">
        <w:trPr>
          <w:trHeight w:val="233"/>
          <w:jc w:val="center"/>
        </w:trPr>
        <w:tc>
          <w:tcPr>
            <w:tcW w:w="6300" w:type="dxa"/>
            <w:shd w:val="clear" w:color="auto" w:fill="D9D9D9"/>
            <w:vAlign w:val="center"/>
          </w:tcPr>
          <w:p w:rsidR="006C7F5C" w:rsidRPr="006C7F5C" w:rsidRDefault="006C7F5C" w:rsidP="006C7F5C">
            <w:pPr>
              <w:tabs>
                <w:tab w:val="left" w:pos="288"/>
                <w:tab w:val="left" w:pos="4752"/>
              </w:tabs>
              <w:spacing w:line="240" w:lineRule="exact"/>
              <w:jc w:val="center"/>
              <w:rPr>
                <w:rFonts w:asciiTheme="minorHAnsi" w:hAnsiTheme="minorHAnsi"/>
                <w:b/>
                <w:color w:val="auto"/>
                <w:szCs w:val="24"/>
              </w:rPr>
            </w:pPr>
            <w:r w:rsidRPr="006C7F5C">
              <w:rPr>
                <w:rFonts w:asciiTheme="minorHAnsi" w:hAnsiTheme="minorHAnsi"/>
                <w:b/>
                <w:color w:val="auto"/>
                <w:szCs w:val="24"/>
              </w:rPr>
              <w:t>UNFITTING CONDITION</w:t>
            </w:r>
          </w:p>
        </w:tc>
        <w:tc>
          <w:tcPr>
            <w:tcW w:w="1710" w:type="dxa"/>
            <w:shd w:val="clear" w:color="auto" w:fill="D9D9D9"/>
            <w:vAlign w:val="center"/>
          </w:tcPr>
          <w:p w:rsidR="006C7F5C" w:rsidRPr="006C7F5C" w:rsidRDefault="006C7F5C" w:rsidP="006C7F5C">
            <w:pPr>
              <w:tabs>
                <w:tab w:val="left" w:pos="288"/>
                <w:tab w:val="left" w:pos="4752"/>
              </w:tabs>
              <w:spacing w:line="240" w:lineRule="exact"/>
              <w:jc w:val="center"/>
              <w:rPr>
                <w:rFonts w:asciiTheme="minorHAnsi" w:hAnsiTheme="minorHAnsi"/>
                <w:b/>
                <w:color w:val="auto"/>
                <w:szCs w:val="24"/>
              </w:rPr>
            </w:pPr>
            <w:r w:rsidRPr="006C7F5C">
              <w:rPr>
                <w:rFonts w:asciiTheme="minorHAnsi" w:hAnsiTheme="minorHAnsi"/>
                <w:b/>
                <w:color w:val="auto"/>
                <w:szCs w:val="24"/>
              </w:rPr>
              <w:t>VASRD CODE</w:t>
            </w:r>
          </w:p>
        </w:tc>
        <w:tc>
          <w:tcPr>
            <w:tcW w:w="1170" w:type="dxa"/>
            <w:shd w:val="clear" w:color="auto" w:fill="D9D9D9"/>
            <w:vAlign w:val="center"/>
          </w:tcPr>
          <w:p w:rsidR="006C7F5C" w:rsidRPr="006C7F5C" w:rsidRDefault="006C7F5C" w:rsidP="006C7F5C">
            <w:pPr>
              <w:tabs>
                <w:tab w:val="left" w:pos="288"/>
                <w:tab w:val="left" w:pos="4752"/>
              </w:tabs>
              <w:spacing w:line="240" w:lineRule="exact"/>
              <w:jc w:val="center"/>
              <w:rPr>
                <w:rFonts w:asciiTheme="minorHAnsi" w:hAnsiTheme="minorHAnsi"/>
                <w:b/>
                <w:color w:val="auto"/>
                <w:szCs w:val="24"/>
              </w:rPr>
            </w:pPr>
            <w:r w:rsidRPr="006C7F5C">
              <w:rPr>
                <w:rFonts w:asciiTheme="minorHAnsi" w:hAnsiTheme="minorHAnsi"/>
                <w:b/>
                <w:color w:val="auto"/>
                <w:szCs w:val="24"/>
              </w:rPr>
              <w:t>RATING</w:t>
            </w:r>
          </w:p>
        </w:tc>
      </w:tr>
      <w:tr w:rsidR="006C7F5C" w:rsidRPr="006C7F5C" w:rsidTr="00522760">
        <w:trPr>
          <w:jc w:val="center"/>
        </w:trPr>
        <w:tc>
          <w:tcPr>
            <w:tcW w:w="6300" w:type="dxa"/>
            <w:vAlign w:val="center"/>
          </w:tcPr>
          <w:p w:rsidR="006C7F5C" w:rsidRPr="006C7F5C" w:rsidRDefault="006C7F5C" w:rsidP="006C7F5C">
            <w:pPr>
              <w:tabs>
                <w:tab w:val="left" w:pos="288"/>
                <w:tab w:val="left" w:pos="4752"/>
              </w:tabs>
              <w:spacing w:line="240" w:lineRule="exact"/>
              <w:rPr>
                <w:rFonts w:asciiTheme="minorHAnsi" w:hAnsiTheme="minorHAnsi"/>
                <w:color w:val="auto"/>
                <w:szCs w:val="24"/>
              </w:rPr>
            </w:pPr>
            <w:r w:rsidRPr="006C7F5C">
              <w:rPr>
                <w:rFonts w:asciiTheme="minorHAnsi" w:hAnsiTheme="minorHAnsi"/>
                <w:color w:val="auto"/>
                <w:szCs w:val="24"/>
              </w:rPr>
              <w:t xml:space="preserve">Chronic Mechanical Low Back Pain and Degenerative Disc </w:t>
            </w:r>
            <w:proofErr w:type="spellStart"/>
            <w:r w:rsidRPr="006C7F5C">
              <w:rPr>
                <w:rFonts w:asciiTheme="minorHAnsi" w:hAnsiTheme="minorHAnsi"/>
                <w:color w:val="auto"/>
                <w:szCs w:val="24"/>
              </w:rPr>
              <w:t>Dz</w:t>
            </w:r>
            <w:proofErr w:type="spellEnd"/>
          </w:p>
        </w:tc>
        <w:tc>
          <w:tcPr>
            <w:tcW w:w="1710" w:type="dxa"/>
            <w:vAlign w:val="center"/>
          </w:tcPr>
          <w:p w:rsidR="006C7F5C" w:rsidRPr="006C7F5C" w:rsidRDefault="006C7F5C" w:rsidP="006C7F5C">
            <w:pPr>
              <w:tabs>
                <w:tab w:val="left" w:pos="288"/>
                <w:tab w:val="left" w:pos="4752"/>
              </w:tabs>
              <w:spacing w:line="240" w:lineRule="exact"/>
              <w:jc w:val="center"/>
              <w:rPr>
                <w:rFonts w:asciiTheme="minorHAnsi" w:hAnsiTheme="minorHAnsi"/>
                <w:color w:val="auto"/>
                <w:szCs w:val="24"/>
              </w:rPr>
            </w:pPr>
            <w:r w:rsidRPr="006C7F5C">
              <w:rPr>
                <w:rFonts w:asciiTheme="minorHAnsi" w:hAnsiTheme="minorHAnsi"/>
                <w:color w:val="auto"/>
                <w:szCs w:val="24"/>
              </w:rPr>
              <w:t>5243</w:t>
            </w:r>
          </w:p>
        </w:tc>
        <w:tc>
          <w:tcPr>
            <w:tcW w:w="1170" w:type="dxa"/>
            <w:vAlign w:val="center"/>
          </w:tcPr>
          <w:p w:rsidR="006C7F5C" w:rsidRPr="006C7F5C" w:rsidRDefault="006C7F5C" w:rsidP="006C7F5C">
            <w:pPr>
              <w:tabs>
                <w:tab w:val="left" w:pos="288"/>
                <w:tab w:val="left" w:pos="4752"/>
              </w:tabs>
              <w:spacing w:line="240" w:lineRule="exact"/>
              <w:jc w:val="center"/>
              <w:rPr>
                <w:rFonts w:asciiTheme="minorHAnsi" w:hAnsiTheme="minorHAnsi"/>
                <w:color w:val="auto"/>
                <w:szCs w:val="24"/>
              </w:rPr>
            </w:pPr>
            <w:r w:rsidRPr="006C7F5C">
              <w:rPr>
                <w:rFonts w:asciiTheme="minorHAnsi" w:hAnsiTheme="minorHAnsi"/>
                <w:color w:val="auto"/>
                <w:szCs w:val="24"/>
              </w:rPr>
              <w:t>20%</w:t>
            </w:r>
          </w:p>
        </w:tc>
      </w:tr>
      <w:tr w:rsidR="006C7F5C" w:rsidRPr="006C7F5C" w:rsidTr="00522760">
        <w:tblPrEx>
          <w:tblLook w:val="0000"/>
        </w:tblPrEx>
        <w:trPr>
          <w:gridBefore w:val="1"/>
          <w:wBefore w:w="630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6C7F5C" w:rsidRPr="006C7F5C" w:rsidRDefault="006C7F5C" w:rsidP="006C7F5C">
            <w:pPr>
              <w:tabs>
                <w:tab w:val="left" w:pos="288"/>
                <w:tab w:val="left" w:pos="4752"/>
              </w:tabs>
              <w:spacing w:line="240" w:lineRule="exact"/>
              <w:jc w:val="center"/>
              <w:rPr>
                <w:rFonts w:asciiTheme="minorHAnsi" w:hAnsiTheme="minorHAnsi"/>
                <w:b/>
                <w:color w:val="auto"/>
                <w:szCs w:val="24"/>
              </w:rPr>
            </w:pPr>
            <w:r w:rsidRPr="006C7F5C">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6C7F5C" w:rsidRPr="006C7F5C" w:rsidRDefault="006C7F5C" w:rsidP="006C7F5C">
            <w:pPr>
              <w:tabs>
                <w:tab w:val="left" w:pos="288"/>
                <w:tab w:val="left" w:pos="4752"/>
              </w:tabs>
              <w:spacing w:line="240" w:lineRule="exact"/>
              <w:jc w:val="center"/>
              <w:rPr>
                <w:rFonts w:asciiTheme="minorHAnsi" w:hAnsiTheme="minorHAnsi"/>
                <w:b/>
                <w:color w:val="auto"/>
                <w:szCs w:val="24"/>
              </w:rPr>
            </w:pPr>
            <w:r w:rsidRPr="006C7F5C">
              <w:rPr>
                <w:rFonts w:asciiTheme="minorHAnsi" w:hAnsiTheme="minorHAnsi"/>
                <w:b/>
                <w:color w:val="auto"/>
                <w:szCs w:val="24"/>
              </w:rPr>
              <w:t>20%</w:t>
            </w:r>
          </w:p>
        </w:tc>
      </w:tr>
    </w:tbl>
    <w:p w:rsidR="006C7F5C" w:rsidRPr="006E154E" w:rsidRDefault="006C7F5C" w:rsidP="006C7F5C">
      <w:pPr>
        <w:spacing w:after="200" w:line="240" w:lineRule="exact"/>
        <w:rPr>
          <w:rFonts w:asciiTheme="minorHAnsi" w:eastAsiaTheme="minorHAnsi" w:hAnsiTheme="minorHAnsi" w:cstheme="minorBidi"/>
          <w:color w:val="auto"/>
          <w:szCs w:val="24"/>
        </w:rPr>
      </w:pPr>
    </w:p>
    <w:p w:rsidR="006E154E" w:rsidRDefault="006E154E">
      <w:pPr>
        <w:rPr>
          <w:rFonts w:asciiTheme="minorHAnsi" w:hAnsiTheme="minorHAnsi"/>
          <w:color w:val="auto"/>
        </w:rPr>
      </w:pPr>
      <w:r>
        <w:rPr>
          <w:rFonts w:asciiTheme="minorHAnsi" w:hAnsiTheme="minorHAnsi"/>
          <w:color w:val="auto"/>
        </w:rPr>
        <w:br w:type="page"/>
      </w:r>
    </w:p>
    <w:p w:rsidR="00516EDB" w:rsidRPr="006E154E" w:rsidRDefault="006C7F5C" w:rsidP="006C7F5C">
      <w:pPr>
        <w:spacing w:line="240" w:lineRule="exact"/>
        <w:jc w:val="both"/>
        <w:rPr>
          <w:rFonts w:asciiTheme="minorHAnsi" w:hAnsiTheme="minorHAnsi"/>
          <w:color w:val="auto"/>
        </w:rPr>
      </w:pPr>
      <w:r w:rsidRPr="006E154E">
        <w:rPr>
          <w:rFonts w:asciiTheme="minorHAnsi" w:hAnsiTheme="minorHAnsi"/>
          <w:color w:val="auto"/>
        </w:rPr>
        <w:lastRenderedPageBreak/>
        <w:t xml:space="preserve"> </w:t>
      </w:r>
    </w:p>
    <w:p w:rsidR="00C3542F" w:rsidRPr="006E154E" w:rsidRDefault="00C3542F">
      <w:pPr>
        <w:rPr>
          <w:rFonts w:asciiTheme="minorHAnsi" w:hAnsiTheme="minorHAnsi"/>
          <w:color w:val="auto"/>
        </w:rPr>
      </w:pPr>
    </w:p>
    <w:p w:rsidR="006E154E" w:rsidRPr="006E154E" w:rsidRDefault="006E154E" w:rsidP="006E154E">
      <w:pPr>
        <w:jc w:val="both"/>
        <w:rPr>
          <w:color w:val="auto"/>
        </w:rPr>
      </w:pPr>
      <w:r w:rsidRPr="006E154E">
        <w:rPr>
          <w:color w:val="auto"/>
        </w:rPr>
        <w:t xml:space="preserve">MEMORANDUM FOR DIRECTOR, SECRETARY OF THE NAVY COUNCIL OF REVIEW </w:t>
      </w:r>
    </w:p>
    <w:p w:rsidR="006E154E" w:rsidRPr="006E154E" w:rsidRDefault="006E154E" w:rsidP="006E154E">
      <w:pPr>
        <w:tabs>
          <w:tab w:val="left" w:pos="2070"/>
          <w:tab w:val="left" w:pos="2430"/>
        </w:tabs>
        <w:jc w:val="both"/>
        <w:rPr>
          <w:color w:val="auto"/>
        </w:rPr>
      </w:pPr>
      <w:r w:rsidRPr="006E154E">
        <w:rPr>
          <w:color w:val="auto"/>
        </w:rPr>
        <w:t xml:space="preserve">                                        </w:t>
      </w:r>
      <w:r w:rsidRPr="006E154E">
        <w:rPr>
          <w:color w:val="auto"/>
        </w:rPr>
        <w:tab/>
        <w:t xml:space="preserve">BOARDS </w:t>
      </w:r>
    </w:p>
    <w:p w:rsidR="006E154E" w:rsidRPr="006E154E" w:rsidRDefault="006E154E" w:rsidP="006E154E">
      <w:pPr>
        <w:jc w:val="both"/>
        <w:rPr>
          <w:color w:val="auto"/>
        </w:rPr>
      </w:pPr>
    </w:p>
    <w:p w:rsidR="006E154E" w:rsidRPr="006E154E" w:rsidRDefault="006E154E" w:rsidP="006E154E">
      <w:pPr>
        <w:jc w:val="both"/>
        <w:rPr>
          <w:color w:val="auto"/>
        </w:rPr>
      </w:pPr>
      <w:proofErr w:type="spellStart"/>
      <w:r w:rsidRPr="006E154E">
        <w:rPr>
          <w:color w:val="auto"/>
        </w:rPr>
        <w:t>Subj</w:t>
      </w:r>
      <w:proofErr w:type="spellEnd"/>
      <w:r w:rsidRPr="006E154E">
        <w:rPr>
          <w:color w:val="auto"/>
        </w:rPr>
        <w:t>:  PHYSICAL DISABILITY BOARD OF REVIEW (PDBR) RECOMMENDATION</w:t>
      </w:r>
    </w:p>
    <w:p w:rsidR="006E154E" w:rsidRPr="006E154E" w:rsidRDefault="006E154E" w:rsidP="006E154E">
      <w:pPr>
        <w:tabs>
          <w:tab w:val="left" w:pos="270"/>
          <w:tab w:val="left" w:pos="630"/>
        </w:tabs>
        <w:jc w:val="both"/>
        <w:rPr>
          <w:color w:val="auto"/>
        </w:rPr>
      </w:pPr>
      <w:r w:rsidRPr="006E154E">
        <w:rPr>
          <w:color w:val="auto"/>
        </w:rPr>
        <w:t xml:space="preserve">    </w:t>
      </w:r>
      <w:r w:rsidRPr="006E154E">
        <w:rPr>
          <w:color w:val="auto"/>
        </w:rPr>
        <w:tab/>
      </w:r>
      <w:r w:rsidRPr="006E154E">
        <w:rPr>
          <w:color w:val="auto"/>
        </w:rPr>
        <w:tab/>
        <w:t xml:space="preserve">ICO </w:t>
      </w:r>
      <w:r>
        <w:rPr>
          <w:color w:val="auto"/>
        </w:rPr>
        <w:t>XXXXXX</w:t>
      </w:r>
      <w:r w:rsidRPr="006E154E">
        <w:rPr>
          <w:color w:val="auto"/>
        </w:rPr>
        <w:t>, FORMER USMC</w:t>
      </w:r>
    </w:p>
    <w:p w:rsidR="006E154E" w:rsidRPr="006E154E" w:rsidRDefault="006E154E" w:rsidP="006E154E">
      <w:pPr>
        <w:jc w:val="both"/>
        <w:rPr>
          <w:color w:val="auto"/>
        </w:rPr>
      </w:pPr>
    </w:p>
    <w:p w:rsidR="006E154E" w:rsidRPr="006E154E" w:rsidRDefault="006E154E" w:rsidP="006E154E">
      <w:pPr>
        <w:jc w:val="both"/>
        <w:rPr>
          <w:color w:val="auto"/>
        </w:rPr>
      </w:pPr>
      <w:r w:rsidRPr="006E154E">
        <w:rPr>
          <w:color w:val="auto"/>
        </w:rPr>
        <w:t>Ref:   (a) DoDI 6040.44</w:t>
      </w:r>
    </w:p>
    <w:p w:rsidR="006E154E" w:rsidRPr="006E154E" w:rsidRDefault="006E154E" w:rsidP="006E154E">
      <w:pPr>
        <w:jc w:val="both"/>
        <w:rPr>
          <w:color w:val="auto"/>
        </w:rPr>
      </w:pPr>
      <w:r w:rsidRPr="006E154E">
        <w:rPr>
          <w:color w:val="auto"/>
        </w:rPr>
        <w:t xml:space="preserve">          (b) PDBR </w:t>
      </w:r>
      <w:proofErr w:type="spellStart"/>
      <w:r w:rsidRPr="006E154E">
        <w:rPr>
          <w:color w:val="auto"/>
        </w:rPr>
        <w:t>ltr</w:t>
      </w:r>
      <w:proofErr w:type="spellEnd"/>
      <w:r w:rsidRPr="006E154E">
        <w:rPr>
          <w:color w:val="auto"/>
        </w:rPr>
        <w:t xml:space="preserve"> </w:t>
      </w:r>
      <w:proofErr w:type="spellStart"/>
      <w:r w:rsidRPr="006E154E">
        <w:rPr>
          <w:color w:val="auto"/>
        </w:rPr>
        <w:t>dtd</w:t>
      </w:r>
      <w:proofErr w:type="spellEnd"/>
      <w:r w:rsidRPr="006E154E">
        <w:rPr>
          <w:color w:val="auto"/>
        </w:rPr>
        <w:t xml:space="preserve"> 24 Jun 11</w:t>
      </w:r>
    </w:p>
    <w:p w:rsidR="006E154E" w:rsidRPr="006E154E" w:rsidRDefault="006E154E" w:rsidP="006E154E">
      <w:pPr>
        <w:jc w:val="both"/>
        <w:rPr>
          <w:color w:val="auto"/>
        </w:rPr>
      </w:pPr>
    </w:p>
    <w:p w:rsidR="006E154E" w:rsidRPr="006E154E" w:rsidRDefault="006E154E" w:rsidP="006E154E">
      <w:pPr>
        <w:rPr>
          <w:color w:val="auto"/>
        </w:rPr>
      </w:pPr>
      <w:r w:rsidRPr="006E154E">
        <w:rPr>
          <w:color w:val="auto"/>
        </w:rPr>
        <w:t xml:space="preserve">      I have reviewed the subject case pursuant to reference (a) and, for the reasons set forth in reference (b), approve the recommendation of the PDBR Mr. </w:t>
      </w:r>
      <w:r>
        <w:rPr>
          <w:color w:val="auto"/>
        </w:rPr>
        <w:t>XXXX</w:t>
      </w:r>
      <w:r w:rsidRPr="006E154E">
        <w:rPr>
          <w:color w:val="auto"/>
        </w:rPr>
        <w:t>’s records not be corrected to reflect a change in either his characterization of separation or in the disability rating previously assigned by the Department of the Navy’s Physical Evaluation Board.</w:t>
      </w:r>
    </w:p>
    <w:p w:rsidR="006E154E" w:rsidRPr="006E154E" w:rsidRDefault="006E154E" w:rsidP="006E154E">
      <w:pPr>
        <w:jc w:val="both"/>
        <w:rPr>
          <w:color w:val="auto"/>
        </w:rPr>
      </w:pPr>
    </w:p>
    <w:p w:rsidR="006E154E" w:rsidRPr="006E154E" w:rsidRDefault="006E154E" w:rsidP="006E154E">
      <w:pPr>
        <w:jc w:val="both"/>
        <w:rPr>
          <w:color w:val="auto"/>
        </w:rPr>
      </w:pPr>
    </w:p>
    <w:p w:rsidR="006E154E" w:rsidRPr="006E154E" w:rsidRDefault="006E154E" w:rsidP="006E154E">
      <w:pPr>
        <w:jc w:val="both"/>
        <w:rPr>
          <w:color w:val="auto"/>
        </w:rPr>
      </w:pPr>
    </w:p>
    <w:p w:rsidR="006E154E" w:rsidRPr="006E154E" w:rsidRDefault="006E154E" w:rsidP="006E154E">
      <w:pPr>
        <w:tabs>
          <w:tab w:val="left" w:pos="4680"/>
        </w:tabs>
        <w:jc w:val="both"/>
        <w:rPr>
          <w:color w:val="auto"/>
        </w:rPr>
      </w:pPr>
      <w:r w:rsidRPr="006E154E">
        <w:rPr>
          <w:color w:val="auto"/>
        </w:rPr>
        <w:tab/>
      </w:r>
    </w:p>
    <w:p w:rsidR="006E154E" w:rsidRPr="006E154E" w:rsidRDefault="006E154E" w:rsidP="006E154E">
      <w:pPr>
        <w:jc w:val="both"/>
        <w:rPr>
          <w:color w:val="auto"/>
        </w:rPr>
      </w:pPr>
      <w:r w:rsidRPr="006E154E">
        <w:rPr>
          <w:color w:val="auto"/>
        </w:rPr>
        <w:tab/>
        <w:t xml:space="preserve">     </w:t>
      </w:r>
      <w:r w:rsidRPr="006E154E">
        <w:rPr>
          <w:color w:val="auto"/>
        </w:rPr>
        <w:tab/>
      </w:r>
      <w:r w:rsidRPr="006E154E">
        <w:rPr>
          <w:color w:val="auto"/>
        </w:rPr>
        <w:tab/>
      </w:r>
      <w:r w:rsidRPr="006E154E">
        <w:rPr>
          <w:color w:val="auto"/>
        </w:rPr>
        <w:tab/>
      </w:r>
      <w:r w:rsidRPr="006E154E">
        <w:rPr>
          <w:color w:val="auto"/>
        </w:rPr>
        <w:tab/>
      </w:r>
      <w:r w:rsidRPr="006E154E">
        <w:rPr>
          <w:color w:val="auto"/>
        </w:rPr>
        <w:tab/>
        <w:t xml:space="preserve">      Assistant General Counsel</w:t>
      </w:r>
    </w:p>
    <w:p w:rsidR="006E154E" w:rsidRPr="006E154E" w:rsidRDefault="006E154E" w:rsidP="006E154E">
      <w:pPr>
        <w:jc w:val="both"/>
        <w:rPr>
          <w:color w:val="auto"/>
        </w:rPr>
      </w:pPr>
      <w:r w:rsidRPr="006E154E">
        <w:rPr>
          <w:color w:val="auto"/>
        </w:rPr>
        <w:tab/>
      </w:r>
      <w:r w:rsidRPr="006E154E">
        <w:rPr>
          <w:color w:val="auto"/>
        </w:rPr>
        <w:tab/>
      </w:r>
      <w:r w:rsidRPr="006E154E">
        <w:rPr>
          <w:color w:val="auto"/>
        </w:rPr>
        <w:tab/>
      </w:r>
      <w:r w:rsidRPr="006E154E">
        <w:rPr>
          <w:color w:val="auto"/>
        </w:rPr>
        <w:tab/>
      </w:r>
      <w:r w:rsidRPr="006E154E">
        <w:rPr>
          <w:color w:val="auto"/>
        </w:rPr>
        <w:tab/>
      </w:r>
      <w:r w:rsidRPr="006E154E">
        <w:rPr>
          <w:color w:val="auto"/>
        </w:rPr>
        <w:tab/>
        <w:t xml:space="preserve">        (Manpower &amp; Reserve Affairs)</w:t>
      </w:r>
    </w:p>
    <w:p w:rsidR="006E154E" w:rsidRDefault="006E154E" w:rsidP="006E154E">
      <w:pPr>
        <w:jc w:val="both"/>
      </w:pPr>
      <w:r>
        <w:tab/>
      </w:r>
      <w:r>
        <w:tab/>
      </w:r>
      <w:r>
        <w:tab/>
      </w:r>
      <w:r>
        <w:tab/>
      </w:r>
      <w:r>
        <w:tab/>
      </w:r>
      <w:r>
        <w:tab/>
        <w:t xml:space="preserve">  </w:t>
      </w:r>
    </w:p>
    <w:p w:rsidR="006E154E" w:rsidRDefault="006E154E" w:rsidP="006E154E">
      <w:pPr>
        <w:jc w:val="both"/>
      </w:pPr>
    </w:p>
    <w:p w:rsidR="00D02BA4" w:rsidRDefault="00D02BA4">
      <w:pPr>
        <w:rPr>
          <w:rFonts w:asciiTheme="minorHAnsi" w:hAnsiTheme="minorHAnsi"/>
          <w:color w:val="auto"/>
        </w:rPr>
      </w:pPr>
    </w:p>
    <w:p w:rsidR="00662BCC" w:rsidRDefault="00662BCC">
      <w:pPr>
        <w:rPr>
          <w:rFonts w:asciiTheme="minorHAnsi" w:hAnsiTheme="minorHAnsi"/>
          <w:color w:val="auto"/>
        </w:rPr>
      </w:pPr>
    </w:p>
    <w:p w:rsidR="00662BCC" w:rsidRDefault="00662BCC">
      <w:pPr>
        <w:rPr>
          <w:rFonts w:asciiTheme="minorHAnsi" w:hAnsiTheme="minorHAnsi"/>
          <w:color w:val="auto"/>
        </w:rPr>
      </w:pPr>
    </w:p>
    <w:p w:rsidR="00662BCC" w:rsidRDefault="00662BCC">
      <w:pPr>
        <w:rPr>
          <w:rFonts w:asciiTheme="minorHAnsi" w:hAnsiTheme="minorHAnsi"/>
          <w:color w:val="auto"/>
        </w:rPr>
      </w:pPr>
    </w:p>
    <w:p w:rsidR="00662BCC" w:rsidRDefault="00662BCC">
      <w:pPr>
        <w:rPr>
          <w:rFonts w:asciiTheme="minorHAnsi" w:hAnsiTheme="minorHAnsi"/>
          <w:color w:val="auto"/>
        </w:rPr>
      </w:pPr>
    </w:p>
    <w:sectPr w:rsidR="00662BCC"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51E" w:rsidRDefault="008A051E">
      <w:r>
        <w:separator/>
      </w:r>
    </w:p>
  </w:endnote>
  <w:endnote w:type="continuationSeparator" w:id="0">
    <w:p w:rsidR="008A051E" w:rsidRDefault="008A05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3C" w:rsidRDefault="00012D0A">
    <w:pPr>
      <w:pStyle w:val="Footer"/>
      <w:framePr w:wrap="around" w:vAnchor="text" w:hAnchor="margin" w:xAlign="center" w:y="1"/>
      <w:rPr>
        <w:rStyle w:val="PageNumber"/>
      </w:rPr>
    </w:pPr>
    <w:r>
      <w:rPr>
        <w:rStyle w:val="PageNumber"/>
      </w:rPr>
      <w:fldChar w:fldCharType="begin"/>
    </w:r>
    <w:r w:rsidR="003C1F3C">
      <w:rPr>
        <w:rStyle w:val="PageNumber"/>
      </w:rPr>
      <w:instrText xml:space="preserve">PAGE  </w:instrText>
    </w:r>
    <w:r>
      <w:rPr>
        <w:rStyle w:val="PageNumber"/>
      </w:rPr>
      <w:fldChar w:fldCharType="separate"/>
    </w:r>
    <w:r w:rsidR="003C1F3C">
      <w:rPr>
        <w:rStyle w:val="PageNumber"/>
        <w:noProof/>
      </w:rPr>
      <w:t>2</w:t>
    </w:r>
    <w:r>
      <w:rPr>
        <w:rStyle w:val="PageNumber"/>
      </w:rPr>
      <w:fldChar w:fldCharType="end"/>
    </w:r>
  </w:p>
  <w:p w:rsidR="003C1F3C" w:rsidRDefault="003C1F3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3C" w:rsidRPr="00AC713F" w:rsidRDefault="00012D0A">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3C1F3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6E154E">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3C1F3C" w:rsidRPr="00396779" w:rsidRDefault="003C1F3C"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1000995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51E" w:rsidRDefault="008A051E">
      <w:r>
        <w:separator/>
      </w:r>
    </w:p>
  </w:footnote>
  <w:footnote w:type="continuationSeparator" w:id="0">
    <w:p w:rsidR="008A051E" w:rsidRDefault="008A0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9634"/>
  </w:hdrShapeDefaults>
  <w:footnotePr>
    <w:numRestart w:val="eachSect"/>
    <w:footnote w:id="-1"/>
    <w:footnote w:id="0"/>
  </w:footnotePr>
  <w:endnotePr>
    <w:endnote w:id="-1"/>
    <w:endnote w:id="0"/>
  </w:endnotePr>
  <w:compat/>
  <w:rsids>
    <w:rsidRoot w:val="001C28D1"/>
    <w:rsid w:val="000059FA"/>
    <w:rsid w:val="00006186"/>
    <w:rsid w:val="00006F87"/>
    <w:rsid w:val="00010A4F"/>
    <w:rsid w:val="00010ABA"/>
    <w:rsid w:val="00012428"/>
    <w:rsid w:val="00012D0A"/>
    <w:rsid w:val="00013417"/>
    <w:rsid w:val="000145C2"/>
    <w:rsid w:val="0001473F"/>
    <w:rsid w:val="00014A9E"/>
    <w:rsid w:val="00020592"/>
    <w:rsid w:val="00021361"/>
    <w:rsid w:val="00022CF3"/>
    <w:rsid w:val="00023913"/>
    <w:rsid w:val="00023D43"/>
    <w:rsid w:val="00032E07"/>
    <w:rsid w:val="000332CA"/>
    <w:rsid w:val="0003374E"/>
    <w:rsid w:val="000338C4"/>
    <w:rsid w:val="000344E6"/>
    <w:rsid w:val="00035C3A"/>
    <w:rsid w:val="00036E4B"/>
    <w:rsid w:val="000379D0"/>
    <w:rsid w:val="00040FC4"/>
    <w:rsid w:val="000416F8"/>
    <w:rsid w:val="00042C26"/>
    <w:rsid w:val="00043382"/>
    <w:rsid w:val="00044623"/>
    <w:rsid w:val="00044D3A"/>
    <w:rsid w:val="00051622"/>
    <w:rsid w:val="00052234"/>
    <w:rsid w:val="00053D7C"/>
    <w:rsid w:val="000577C9"/>
    <w:rsid w:val="0006431E"/>
    <w:rsid w:val="00065E21"/>
    <w:rsid w:val="00072433"/>
    <w:rsid w:val="00075702"/>
    <w:rsid w:val="000775C2"/>
    <w:rsid w:val="000806AD"/>
    <w:rsid w:val="00082482"/>
    <w:rsid w:val="0008708B"/>
    <w:rsid w:val="00092619"/>
    <w:rsid w:val="00092C66"/>
    <w:rsid w:val="00094E4F"/>
    <w:rsid w:val="00096571"/>
    <w:rsid w:val="00097646"/>
    <w:rsid w:val="000A2BCE"/>
    <w:rsid w:val="000A41E3"/>
    <w:rsid w:val="000A4BBA"/>
    <w:rsid w:val="000A5071"/>
    <w:rsid w:val="000B1665"/>
    <w:rsid w:val="000B4C99"/>
    <w:rsid w:val="000B770A"/>
    <w:rsid w:val="000C06F6"/>
    <w:rsid w:val="000C1D34"/>
    <w:rsid w:val="000C2362"/>
    <w:rsid w:val="000C3C13"/>
    <w:rsid w:val="000C53F9"/>
    <w:rsid w:val="000C5813"/>
    <w:rsid w:val="000C6CF7"/>
    <w:rsid w:val="000C75CF"/>
    <w:rsid w:val="000C7B83"/>
    <w:rsid w:val="000C7DE4"/>
    <w:rsid w:val="000D15E7"/>
    <w:rsid w:val="000D1A24"/>
    <w:rsid w:val="000D21C7"/>
    <w:rsid w:val="000D248A"/>
    <w:rsid w:val="000D2CF3"/>
    <w:rsid w:val="000D2F89"/>
    <w:rsid w:val="000D35D8"/>
    <w:rsid w:val="000D43F9"/>
    <w:rsid w:val="000D4717"/>
    <w:rsid w:val="000D6457"/>
    <w:rsid w:val="000D7D55"/>
    <w:rsid w:val="000E0993"/>
    <w:rsid w:val="000E37E0"/>
    <w:rsid w:val="000E7034"/>
    <w:rsid w:val="000F02BE"/>
    <w:rsid w:val="000F427B"/>
    <w:rsid w:val="000F7181"/>
    <w:rsid w:val="001003DD"/>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72AE"/>
    <w:rsid w:val="001315DD"/>
    <w:rsid w:val="0013525F"/>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45DD"/>
    <w:rsid w:val="00174C57"/>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5320"/>
    <w:rsid w:val="001A5E62"/>
    <w:rsid w:val="001A6848"/>
    <w:rsid w:val="001A68FD"/>
    <w:rsid w:val="001A7538"/>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200AA0"/>
    <w:rsid w:val="00202325"/>
    <w:rsid w:val="00202736"/>
    <w:rsid w:val="0020320A"/>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358"/>
    <w:rsid w:val="0023049F"/>
    <w:rsid w:val="002316F6"/>
    <w:rsid w:val="00232C9B"/>
    <w:rsid w:val="00232F09"/>
    <w:rsid w:val="002335D5"/>
    <w:rsid w:val="002338CA"/>
    <w:rsid w:val="00233FE5"/>
    <w:rsid w:val="00234B3B"/>
    <w:rsid w:val="0024174E"/>
    <w:rsid w:val="00241FC1"/>
    <w:rsid w:val="0024227D"/>
    <w:rsid w:val="00242D14"/>
    <w:rsid w:val="00246860"/>
    <w:rsid w:val="00246DFF"/>
    <w:rsid w:val="00246E89"/>
    <w:rsid w:val="0025183C"/>
    <w:rsid w:val="002528EC"/>
    <w:rsid w:val="00255049"/>
    <w:rsid w:val="00257DE5"/>
    <w:rsid w:val="00257F31"/>
    <w:rsid w:val="00260531"/>
    <w:rsid w:val="0026318D"/>
    <w:rsid w:val="00270864"/>
    <w:rsid w:val="002712F7"/>
    <w:rsid w:val="002713D4"/>
    <w:rsid w:val="0027159C"/>
    <w:rsid w:val="00274549"/>
    <w:rsid w:val="00274BBC"/>
    <w:rsid w:val="00274E46"/>
    <w:rsid w:val="0027699F"/>
    <w:rsid w:val="00276C86"/>
    <w:rsid w:val="002810A4"/>
    <w:rsid w:val="00284A26"/>
    <w:rsid w:val="00287006"/>
    <w:rsid w:val="00292AB2"/>
    <w:rsid w:val="00294354"/>
    <w:rsid w:val="00294437"/>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98C"/>
    <w:rsid w:val="00300A36"/>
    <w:rsid w:val="00301A38"/>
    <w:rsid w:val="00304031"/>
    <w:rsid w:val="0030678B"/>
    <w:rsid w:val="00310CD7"/>
    <w:rsid w:val="0032136A"/>
    <w:rsid w:val="00323044"/>
    <w:rsid w:val="00323E70"/>
    <w:rsid w:val="00325BA2"/>
    <w:rsid w:val="00326C08"/>
    <w:rsid w:val="00326F7F"/>
    <w:rsid w:val="00330555"/>
    <w:rsid w:val="003320E8"/>
    <w:rsid w:val="0033334F"/>
    <w:rsid w:val="0033555E"/>
    <w:rsid w:val="00336805"/>
    <w:rsid w:val="00337351"/>
    <w:rsid w:val="00341A54"/>
    <w:rsid w:val="00344328"/>
    <w:rsid w:val="0034629D"/>
    <w:rsid w:val="0034669F"/>
    <w:rsid w:val="00351498"/>
    <w:rsid w:val="00352B22"/>
    <w:rsid w:val="00352BE8"/>
    <w:rsid w:val="00354547"/>
    <w:rsid w:val="003567DE"/>
    <w:rsid w:val="003574F3"/>
    <w:rsid w:val="00362359"/>
    <w:rsid w:val="0036319E"/>
    <w:rsid w:val="003632A4"/>
    <w:rsid w:val="00363362"/>
    <w:rsid w:val="00367D4F"/>
    <w:rsid w:val="00370743"/>
    <w:rsid w:val="00370EF5"/>
    <w:rsid w:val="0037135B"/>
    <w:rsid w:val="00372251"/>
    <w:rsid w:val="003743A0"/>
    <w:rsid w:val="0037520D"/>
    <w:rsid w:val="00375724"/>
    <w:rsid w:val="00375809"/>
    <w:rsid w:val="0037628C"/>
    <w:rsid w:val="00376B81"/>
    <w:rsid w:val="00377BD2"/>
    <w:rsid w:val="0038160F"/>
    <w:rsid w:val="003821E1"/>
    <w:rsid w:val="00384866"/>
    <w:rsid w:val="003857D4"/>
    <w:rsid w:val="00385D6F"/>
    <w:rsid w:val="00387095"/>
    <w:rsid w:val="00390092"/>
    <w:rsid w:val="003909DB"/>
    <w:rsid w:val="00393651"/>
    <w:rsid w:val="00395E12"/>
    <w:rsid w:val="00396779"/>
    <w:rsid w:val="00397DB7"/>
    <w:rsid w:val="003A27B2"/>
    <w:rsid w:val="003A40B4"/>
    <w:rsid w:val="003A41BA"/>
    <w:rsid w:val="003A6A99"/>
    <w:rsid w:val="003A7FF8"/>
    <w:rsid w:val="003B1597"/>
    <w:rsid w:val="003B17AC"/>
    <w:rsid w:val="003B227A"/>
    <w:rsid w:val="003B5854"/>
    <w:rsid w:val="003B6764"/>
    <w:rsid w:val="003C1F3C"/>
    <w:rsid w:val="003C1F65"/>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6B14"/>
    <w:rsid w:val="00406CC5"/>
    <w:rsid w:val="004074A4"/>
    <w:rsid w:val="004101B2"/>
    <w:rsid w:val="004123D7"/>
    <w:rsid w:val="00412658"/>
    <w:rsid w:val="004172DB"/>
    <w:rsid w:val="00421485"/>
    <w:rsid w:val="00422B75"/>
    <w:rsid w:val="00433F36"/>
    <w:rsid w:val="0043503A"/>
    <w:rsid w:val="00435812"/>
    <w:rsid w:val="00437F9A"/>
    <w:rsid w:val="00441262"/>
    <w:rsid w:val="0044384F"/>
    <w:rsid w:val="00444F80"/>
    <w:rsid w:val="00446018"/>
    <w:rsid w:val="00453E97"/>
    <w:rsid w:val="004543BC"/>
    <w:rsid w:val="0045645D"/>
    <w:rsid w:val="004574C6"/>
    <w:rsid w:val="00457BCF"/>
    <w:rsid w:val="00457DCE"/>
    <w:rsid w:val="00460E3F"/>
    <w:rsid w:val="00462E2C"/>
    <w:rsid w:val="00462F68"/>
    <w:rsid w:val="00466CED"/>
    <w:rsid w:val="00467592"/>
    <w:rsid w:val="00467690"/>
    <w:rsid w:val="004718E7"/>
    <w:rsid w:val="00472535"/>
    <w:rsid w:val="004761CC"/>
    <w:rsid w:val="00480D4A"/>
    <w:rsid w:val="00481DA1"/>
    <w:rsid w:val="00484212"/>
    <w:rsid w:val="0049255F"/>
    <w:rsid w:val="0049445D"/>
    <w:rsid w:val="00495350"/>
    <w:rsid w:val="00497156"/>
    <w:rsid w:val="004A0C79"/>
    <w:rsid w:val="004A24D2"/>
    <w:rsid w:val="004A3214"/>
    <w:rsid w:val="004A4136"/>
    <w:rsid w:val="004A417B"/>
    <w:rsid w:val="004A6CFE"/>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25EE"/>
    <w:rsid w:val="00510588"/>
    <w:rsid w:val="0051146C"/>
    <w:rsid w:val="00514449"/>
    <w:rsid w:val="005157BD"/>
    <w:rsid w:val="00516EDB"/>
    <w:rsid w:val="005214A3"/>
    <w:rsid w:val="005222E7"/>
    <w:rsid w:val="00523A8B"/>
    <w:rsid w:val="00523E04"/>
    <w:rsid w:val="00525561"/>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49B1"/>
    <w:rsid w:val="00555259"/>
    <w:rsid w:val="00560D57"/>
    <w:rsid w:val="00562A94"/>
    <w:rsid w:val="005709F7"/>
    <w:rsid w:val="005710A9"/>
    <w:rsid w:val="00571D1B"/>
    <w:rsid w:val="00572087"/>
    <w:rsid w:val="00573571"/>
    <w:rsid w:val="005738F5"/>
    <w:rsid w:val="005761DD"/>
    <w:rsid w:val="00576286"/>
    <w:rsid w:val="0058039C"/>
    <w:rsid w:val="00593043"/>
    <w:rsid w:val="00595BF0"/>
    <w:rsid w:val="005A1846"/>
    <w:rsid w:val="005A258C"/>
    <w:rsid w:val="005A3560"/>
    <w:rsid w:val="005A464E"/>
    <w:rsid w:val="005A6C99"/>
    <w:rsid w:val="005A7D5D"/>
    <w:rsid w:val="005B011A"/>
    <w:rsid w:val="005B1D8F"/>
    <w:rsid w:val="005B1E94"/>
    <w:rsid w:val="005B5B3D"/>
    <w:rsid w:val="005B64CF"/>
    <w:rsid w:val="005C16F3"/>
    <w:rsid w:val="005C3758"/>
    <w:rsid w:val="005E3064"/>
    <w:rsid w:val="005E45D1"/>
    <w:rsid w:val="005E72B2"/>
    <w:rsid w:val="005F1115"/>
    <w:rsid w:val="005F1AB6"/>
    <w:rsid w:val="005F27F2"/>
    <w:rsid w:val="005F3AFE"/>
    <w:rsid w:val="005F424D"/>
    <w:rsid w:val="005F6B6D"/>
    <w:rsid w:val="005F6D53"/>
    <w:rsid w:val="00605AAB"/>
    <w:rsid w:val="00606BEB"/>
    <w:rsid w:val="0061014A"/>
    <w:rsid w:val="0061054B"/>
    <w:rsid w:val="00613E26"/>
    <w:rsid w:val="00613FC5"/>
    <w:rsid w:val="00615641"/>
    <w:rsid w:val="00616959"/>
    <w:rsid w:val="006211D0"/>
    <w:rsid w:val="00623D8F"/>
    <w:rsid w:val="00624D0C"/>
    <w:rsid w:val="006274B4"/>
    <w:rsid w:val="006307BA"/>
    <w:rsid w:val="006315BA"/>
    <w:rsid w:val="00634C4A"/>
    <w:rsid w:val="0063532E"/>
    <w:rsid w:val="00635FB2"/>
    <w:rsid w:val="00637BDC"/>
    <w:rsid w:val="006418C9"/>
    <w:rsid w:val="00642BD6"/>
    <w:rsid w:val="00645046"/>
    <w:rsid w:val="0064527A"/>
    <w:rsid w:val="00645EA2"/>
    <w:rsid w:val="0065082E"/>
    <w:rsid w:val="00653D2D"/>
    <w:rsid w:val="00654C5F"/>
    <w:rsid w:val="006573F2"/>
    <w:rsid w:val="00662BCC"/>
    <w:rsid w:val="00662F08"/>
    <w:rsid w:val="00663589"/>
    <w:rsid w:val="006708E3"/>
    <w:rsid w:val="00670DDC"/>
    <w:rsid w:val="00671EB4"/>
    <w:rsid w:val="0067443B"/>
    <w:rsid w:val="00681E11"/>
    <w:rsid w:val="00684E2B"/>
    <w:rsid w:val="00690FDA"/>
    <w:rsid w:val="00691E61"/>
    <w:rsid w:val="00693C5E"/>
    <w:rsid w:val="00694EEA"/>
    <w:rsid w:val="006955B4"/>
    <w:rsid w:val="00696476"/>
    <w:rsid w:val="006A10FA"/>
    <w:rsid w:val="006A40E6"/>
    <w:rsid w:val="006A5C07"/>
    <w:rsid w:val="006A75FA"/>
    <w:rsid w:val="006A76B2"/>
    <w:rsid w:val="006B07D5"/>
    <w:rsid w:val="006B1309"/>
    <w:rsid w:val="006B3923"/>
    <w:rsid w:val="006B3F3E"/>
    <w:rsid w:val="006B4C21"/>
    <w:rsid w:val="006B5923"/>
    <w:rsid w:val="006B67D9"/>
    <w:rsid w:val="006B6C14"/>
    <w:rsid w:val="006B715E"/>
    <w:rsid w:val="006C1D6E"/>
    <w:rsid w:val="006C2EF6"/>
    <w:rsid w:val="006C3A68"/>
    <w:rsid w:val="006C6AB1"/>
    <w:rsid w:val="006C7F5C"/>
    <w:rsid w:val="006D15F7"/>
    <w:rsid w:val="006D2D39"/>
    <w:rsid w:val="006D4E0E"/>
    <w:rsid w:val="006D5CE2"/>
    <w:rsid w:val="006E06D1"/>
    <w:rsid w:val="006E1313"/>
    <w:rsid w:val="006E154E"/>
    <w:rsid w:val="006E2DC8"/>
    <w:rsid w:val="006E7356"/>
    <w:rsid w:val="006E77C8"/>
    <w:rsid w:val="006F149D"/>
    <w:rsid w:val="006F1A46"/>
    <w:rsid w:val="006F4F06"/>
    <w:rsid w:val="006F5A4E"/>
    <w:rsid w:val="006F6005"/>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25827"/>
    <w:rsid w:val="0073062D"/>
    <w:rsid w:val="00730ADE"/>
    <w:rsid w:val="0073254D"/>
    <w:rsid w:val="00736435"/>
    <w:rsid w:val="00736A49"/>
    <w:rsid w:val="007419A1"/>
    <w:rsid w:val="00743B71"/>
    <w:rsid w:val="00743C2D"/>
    <w:rsid w:val="00743E36"/>
    <w:rsid w:val="007446F7"/>
    <w:rsid w:val="00744EBB"/>
    <w:rsid w:val="00745B0A"/>
    <w:rsid w:val="007468AC"/>
    <w:rsid w:val="00746AE2"/>
    <w:rsid w:val="00750C82"/>
    <w:rsid w:val="0076100C"/>
    <w:rsid w:val="007612A5"/>
    <w:rsid w:val="00763F95"/>
    <w:rsid w:val="007651ED"/>
    <w:rsid w:val="00766C87"/>
    <w:rsid w:val="00773EAB"/>
    <w:rsid w:val="00780378"/>
    <w:rsid w:val="00781BD4"/>
    <w:rsid w:val="00784832"/>
    <w:rsid w:val="00785D77"/>
    <w:rsid w:val="00786111"/>
    <w:rsid w:val="00791F1E"/>
    <w:rsid w:val="00794000"/>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5FE6"/>
    <w:rsid w:val="007E71B1"/>
    <w:rsid w:val="007E7B4E"/>
    <w:rsid w:val="007F0CE2"/>
    <w:rsid w:val="007F0EFF"/>
    <w:rsid w:val="007F1375"/>
    <w:rsid w:val="00803850"/>
    <w:rsid w:val="00804385"/>
    <w:rsid w:val="00804E80"/>
    <w:rsid w:val="0080532B"/>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4DF1"/>
    <w:rsid w:val="008458D8"/>
    <w:rsid w:val="0085089F"/>
    <w:rsid w:val="0085206E"/>
    <w:rsid w:val="00852AD4"/>
    <w:rsid w:val="00852BA8"/>
    <w:rsid w:val="00852CAE"/>
    <w:rsid w:val="00853718"/>
    <w:rsid w:val="008538F1"/>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1E4"/>
    <w:rsid w:val="00883930"/>
    <w:rsid w:val="00885905"/>
    <w:rsid w:val="00896535"/>
    <w:rsid w:val="00896683"/>
    <w:rsid w:val="0089750B"/>
    <w:rsid w:val="00897589"/>
    <w:rsid w:val="008A051E"/>
    <w:rsid w:val="008A63A9"/>
    <w:rsid w:val="008A7F7E"/>
    <w:rsid w:val="008B04DB"/>
    <w:rsid w:val="008B268A"/>
    <w:rsid w:val="008B27FD"/>
    <w:rsid w:val="008B2C81"/>
    <w:rsid w:val="008B3AF2"/>
    <w:rsid w:val="008B446D"/>
    <w:rsid w:val="008B515D"/>
    <w:rsid w:val="008B5D31"/>
    <w:rsid w:val="008B6705"/>
    <w:rsid w:val="008C0523"/>
    <w:rsid w:val="008C22F3"/>
    <w:rsid w:val="008D66EE"/>
    <w:rsid w:val="008D795D"/>
    <w:rsid w:val="008D7B07"/>
    <w:rsid w:val="008E09DE"/>
    <w:rsid w:val="008E1E94"/>
    <w:rsid w:val="008E2D99"/>
    <w:rsid w:val="008E4A60"/>
    <w:rsid w:val="008E744D"/>
    <w:rsid w:val="008F05B1"/>
    <w:rsid w:val="008F0C69"/>
    <w:rsid w:val="008F1E08"/>
    <w:rsid w:val="00900D8F"/>
    <w:rsid w:val="009014E3"/>
    <w:rsid w:val="009026E8"/>
    <w:rsid w:val="00904DD1"/>
    <w:rsid w:val="00906EB7"/>
    <w:rsid w:val="009102BF"/>
    <w:rsid w:val="00911490"/>
    <w:rsid w:val="009115F2"/>
    <w:rsid w:val="0091366C"/>
    <w:rsid w:val="00914ADB"/>
    <w:rsid w:val="00923B25"/>
    <w:rsid w:val="0092402E"/>
    <w:rsid w:val="009259BA"/>
    <w:rsid w:val="00926FCB"/>
    <w:rsid w:val="009315AF"/>
    <w:rsid w:val="0093311A"/>
    <w:rsid w:val="00942645"/>
    <w:rsid w:val="0094522F"/>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1DC"/>
    <w:rsid w:val="0098222D"/>
    <w:rsid w:val="00985099"/>
    <w:rsid w:val="00985E61"/>
    <w:rsid w:val="0099421F"/>
    <w:rsid w:val="009A0DE3"/>
    <w:rsid w:val="009A1643"/>
    <w:rsid w:val="009A215A"/>
    <w:rsid w:val="009A49D3"/>
    <w:rsid w:val="009A4F1B"/>
    <w:rsid w:val="009A66C5"/>
    <w:rsid w:val="009A7253"/>
    <w:rsid w:val="009A79BA"/>
    <w:rsid w:val="009B14D1"/>
    <w:rsid w:val="009B1534"/>
    <w:rsid w:val="009B4963"/>
    <w:rsid w:val="009B4A3B"/>
    <w:rsid w:val="009B69D3"/>
    <w:rsid w:val="009B7BA7"/>
    <w:rsid w:val="009C0938"/>
    <w:rsid w:val="009C2102"/>
    <w:rsid w:val="009C22C8"/>
    <w:rsid w:val="009C3F82"/>
    <w:rsid w:val="009C72DD"/>
    <w:rsid w:val="009C7DF5"/>
    <w:rsid w:val="009D056C"/>
    <w:rsid w:val="009D060F"/>
    <w:rsid w:val="009D1ADE"/>
    <w:rsid w:val="009D2C03"/>
    <w:rsid w:val="009D37CA"/>
    <w:rsid w:val="009E09D0"/>
    <w:rsid w:val="009E1283"/>
    <w:rsid w:val="009E3A7F"/>
    <w:rsid w:val="009E57B1"/>
    <w:rsid w:val="009E6379"/>
    <w:rsid w:val="009F539B"/>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558"/>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5720A"/>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713F"/>
    <w:rsid w:val="00AD067E"/>
    <w:rsid w:val="00AD2624"/>
    <w:rsid w:val="00AD2801"/>
    <w:rsid w:val="00AD6870"/>
    <w:rsid w:val="00AD68C5"/>
    <w:rsid w:val="00AE1273"/>
    <w:rsid w:val="00AE2D29"/>
    <w:rsid w:val="00AE4624"/>
    <w:rsid w:val="00AE5E14"/>
    <w:rsid w:val="00AE6115"/>
    <w:rsid w:val="00AE625B"/>
    <w:rsid w:val="00AF1668"/>
    <w:rsid w:val="00AF4FA5"/>
    <w:rsid w:val="00B07955"/>
    <w:rsid w:val="00B140B8"/>
    <w:rsid w:val="00B14FAA"/>
    <w:rsid w:val="00B15D30"/>
    <w:rsid w:val="00B20624"/>
    <w:rsid w:val="00B23436"/>
    <w:rsid w:val="00B237F1"/>
    <w:rsid w:val="00B24F33"/>
    <w:rsid w:val="00B26354"/>
    <w:rsid w:val="00B26CA0"/>
    <w:rsid w:val="00B32179"/>
    <w:rsid w:val="00B33007"/>
    <w:rsid w:val="00B331A9"/>
    <w:rsid w:val="00B36569"/>
    <w:rsid w:val="00B36A90"/>
    <w:rsid w:val="00B40A05"/>
    <w:rsid w:val="00B40A3E"/>
    <w:rsid w:val="00B427BB"/>
    <w:rsid w:val="00B449EE"/>
    <w:rsid w:val="00B50227"/>
    <w:rsid w:val="00B50510"/>
    <w:rsid w:val="00B522CD"/>
    <w:rsid w:val="00B55143"/>
    <w:rsid w:val="00B555C8"/>
    <w:rsid w:val="00B55917"/>
    <w:rsid w:val="00B643A6"/>
    <w:rsid w:val="00B64DD6"/>
    <w:rsid w:val="00B6710C"/>
    <w:rsid w:val="00B67E84"/>
    <w:rsid w:val="00B72076"/>
    <w:rsid w:val="00B72303"/>
    <w:rsid w:val="00B723FF"/>
    <w:rsid w:val="00B72C72"/>
    <w:rsid w:val="00B82277"/>
    <w:rsid w:val="00B90085"/>
    <w:rsid w:val="00B91676"/>
    <w:rsid w:val="00B91A11"/>
    <w:rsid w:val="00B95833"/>
    <w:rsid w:val="00BA1824"/>
    <w:rsid w:val="00BA2D98"/>
    <w:rsid w:val="00BA30D1"/>
    <w:rsid w:val="00BA30E1"/>
    <w:rsid w:val="00BA4609"/>
    <w:rsid w:val="00BA5609"/>
    <w:rsid w:val="00BA5BE2"/>
    <w:rsid w:val="00BA7F46"/>
    <w:rsid w:val="00BB0A0A"/>
    <w:rsid w:val="00BB133C"/>
    <w:rsid w:val="00BB45B5"/>
    <w:rsid w:val="00BB6064"/>
    <w:rsid w:val="00BC09D1"/>
    <w:rsid w:val="00BC1CF3"/>
    <w:rsid w:val="00BC3573"/>
    <w:rsid w:val="00BC7F82"/>
    <w:rsid w:val="00BD120F"/>
    <w:rsid w:val="00BD40AB"/>
    <w:rsid w:val="00BD6297"/>
    <w:rsid w:val="00BD6806"/>
    <w:rsid w:val="00BD7429"/>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3744"/>
    <w:rsid w:val="00C25978"/>
    <w:rsid w:val="00C261C6"/>
    <w:rsid w:val="00C26878"/>
    <w:rsid w:val="00C26E7C"/>
    <w:rsid w:val="00C276CD"/>
    <w:rsid w:val="00C27DCD"/>
    <w:rsid w:val="00C30A97"/>
    <w:rsid w:val="00C31DDC"/>
    <w:rsid w:val="00C34326"/>
    <w:rsid w:val="00C3542F"/>
    <w:rsid w:val="00C36201"/>
    <w:rsid w:val="00C368E8"/>
    <w:rsid w:val="00C36C3D"/>
    <w:rsid w:val="00C372C7"/>
    <w:rsid w:val="00C42443"/>
    <w:rsid w:val="00C42CBA"/>
    <w:rsid w:val="00C5019E"/>
    <w:rsid w:val="00C5377C"/>
    <w:rsid w:val="00C53E8A"/>
    <w:rsid w:val="00C54DF3"/>
    <w:rsid w:val="00C560A7"/>
    <w:rsid w:val="00C56FC8"/>
    <w:rsid w:val="00C60F23"/>
    <w:rsid w:val="00C62795"/>
    <w:rsid w:val="00C62EB2"/>
    <w:rsid w:val="00C66DFC"/>
    <w:rsid w:val="00C7050F"/>
    <w:rsid w:val="00C71BEC"/>
    <w:rsid w:val="00C74937"/>
    <w:rsid w:val="00C74D3A"/>
    <w:rsid w:val="00C80511"/>
    <w:rsid w:val="00C826F5"/>
    <w:rsid w:val="00C8373C"/>
    <w:rsid w:val="00C83740"/>
    <w:rsid w:val="00C84AD1"/>
    <w:rsid w:val="00C85579"/>
    <w:rsid w:val="00C863E5"/>
    <w:rsid w:val="00C87BE6"/>
    <w:rsid w:val="00C87F76"/>
    <w:rsid w:val="00C931FC"/>
    <w:rsid w:val="00C932C5"/>
    <w:rsid w:val="00C9650E"/>
    <w:rsid w:val="00CA068D"/>
    <w:rsid w:val="00CA1228"/>
    <w:rsid w:val="00CA282D"/>
    <w:rsid w:val="00CA4670"/>
    <w:rsid w:val="00CA4EB3"/>
    <w:rsid w:val="00CA6B1A"/>
    <w:rsid w:val="00CB20DC"/>
    <w:rsid w:val="00CB23DC"/>
    <w:rsid w:val="00CB2487"/>
    <w:rsid w:val="00CB28E2"/>
    <w:rsid w:val="00CB7A3E"/>
    <w:rsid w:val="00CB7FF7"/>
    <w:rsid w:val="00CC0D0E"/>
    <w:rsid w:val="00CC19B3"/>
    <w:rsid w:val="00CC2044"/>
    <w:rsid w:val="00CC39D2"/>
    <w:rsid w:val="00CC4280"/>
    <w:rsid w:val="00CC69EC"/>
    <w:rsid w:val="00CD15BE"/>
    <w:rsid w:val="00CD1EF2"/>
    <w:rsid w:val="00CD32BD"/>
    <w:rsid w:val="00CD34C7"/>
    <w:rsid w:val="00CD5653"/>
    <w:rsid w:val="00CD5E6D"/>
    <w:rsid w:val="00CD63C8"/>
    <w:rsid w:val="00CF158D"/>
    <w:rsid w:val="00CF4394"/>
    <w:rsid w:val="00CF4A3A"/>
    <w:rsid w:val="00D000A9"/>
    <w:rsid w:val="00D005DB"/>
    <w:rsid w:val="00D0064E"/>
    <w:rsid w:val="00D00981"/>
    <w:rsid w:val="00D00D26"/>
    <w:rsid w:val="00D02596"/>
    <w:rsid w:val="00D0280D"/>
    <w:rsid w:val="00D02BA4"/>
    <w:rsid w:val="00D032CF"/>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008"/>
    <w:rsid w:val="00D40B1F"/>
    <w:rsid w:val="00D40D75"/>
    <w:rsid w:val="00D41FE4"/>
    <w:rsid w:val="00D449F0"/>
    <w:rsid w:val="00D50C8C"/>
    <w:rsid w:val="00D52393"/>
    <w:rsid w:val="00D523E4"/>
    <w:rsid w:val="00D5279D"/>
    <w:rsid w:val="00D52A1B"/>
    <w:rsid w:val="00D52FCC"/>
    <w:rsid w:val="00D53F14"/>
    <w:rsid w:val="00D54BE4"/>
    <w:rsid w:val="00D560DC"/>
    <w:rsid w:val="00D60483"/>
    <w:rsid w:val="00D61ABB"/>
    <w:rsid w:val="00D63577"/>
    <w:rsid w:val="00D67FD7"/>
    <w:rsid w:val="00D74261"/>
    <w:rsid w:val="00D7441B"/>
    <w:rsid w:val="00D7476D"/>
    <w:rsid w:val="00D76AB2"/>
    <w:rsid w:val="00D80490"/>
    <w:rsid w:val="00D829AD"/>
    <w:rsid w:val="00D82EE2"/>
    <w:rsid w:val="00D8545C"/>
    <w:rsid w:val="00D856A9"/>
    <w:rsid w:val="00D87788"/>
    <w:rsid w:val="00D877C8"/>
    <w:rsid w:val="00D87A33"/>
    <w:rsid w:val="00D910C2"/>
    <w:rsid w:val="00D9168C"/>
    <w:rsid w:val="00D9189B"/>
    <w:rsid w:val="00D91DA6"/>
    <w:rsid w:val="00D9706F"/>
    <w:rsid w:val="00D972D4"/>
    <w:rsid w:val="00DA195B"/>
    <w:rsid w:val="00DA6701"/>
    <w:rsid w:val="00DA6B55"/>
    <w:rsid w:val="00DA6B97"/>
    <w:rsid w:val="00DB0015"/>
    <w:rsid w:val="00DB2AAD"/>
    <w:rsid w:val="00DB626D"/>
    <w:rsid w:val="00DB6365"/>
    <w:rsid w:val="00DB79FB"/>
    <w:rsid w:val="00DC0BF1"/>
    <w:rsid w:val="00DC41C3"/>
    <w:rsid w:val="00DD01A7"/>
    <w:rsid w:val="00DD286D"/>
    <w:rsid w:val="00DD2CAF"/>
    <w:rsid w:val="00DD3593"/>
    <w:rsid w:val="00DD3F5A"/>
    <w:rsid w:val="00DD64E0"/>
    <w:rsid w:val="00DE0C67"/>
    <w:rsid w:val="00DE6952"/>
    <w:rsid w:val="00DE7E74"/>
    <w:rsid w:val="00DF071B"/>
    <w:rsid w:val="00DF106C"/>
    <w:rsid w:val="00DF6EF8"/>
    <w:rsid w:val="00E00A69"/>
    <w:rsid w:val="00E017F0"/>
    <w:rsid w:val="00E01A0E"/>
    <w:rsid w:val="00E041E4"/>
    <w:rsid w:val="00E1012B"/>
    <w:rsid w:val="00E103C8"/>
    <w:rsid w:val="00E1085B"/>
    <w:rsid w:val="00E1308B"/>
    <w:rsid w:val="00E14581"/>
    <w:rsid w:val="00E15539"/>
    <w:rsid w:val="00E16541"/>
    <w:rsid w:val="00E2334A"/>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57ED4"/>
    <w:rsid w:val="00E6092F"/>
    <w:rsid w:val="00E62049"/>
    <w:rsid w:val="00E629DA"/>
    <w:rsid w:val="00E6469F"/>
    <w:rsid w:val="00E670F8"/>
    <w:rsid w:val="00E67FAC"/>
    <w:rsid w:val="00E7200B"/>
    <w:rsid w:val="00E7295A"/>
    <w:rsid w:val="00E738CB"/>
    <w:rsid w:val="00E73C88"/>
    <w:rsid w:val="00E74437"/>
    <w:rsid w:val="00E7443D"/>
    <w:rsid w:val="00E81C3E"/>
    <w:rsid w:val="00E82B6D"/>
    <w:rsid w:val="00E8652C"/>
    <w:rsid w:val="00E974C4"/>
    <w:rsid w:val="00EA1177"/>
    <w:rsid w:val="00EA118B"/>
    <w:rsid w:val="00EA11B6"/>
    <w:rsid w:val="00EA2181"/>
    <w:rsid w:val="00EA2DD8"/>
    <w:rsid w:val="00EA30E6"/>
    <w:rsid w:val="00EA4475"/>
    <w:rsid w:val="00EA50B9"/>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12F0"/>
    <w:rsid w:val="00ED1FB0"/>
    <w:rsid w:val="00ED26CF"/>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0B2D"/>
    <w:rsid w:val="00F22A26"/>
    <w:rsid w:val="00F24072"/>
    <w:rsid w:val="00F26432"/>
    <w:rsid w:val="00F26A4C"/>
    <w:rsid w:val="00F3197A"/>
    <w:rsid w:val="00F32139"/>
    <w:rsid w:val="00F32815"/>
    <w:rsid w:val="00F33D56"/>
    <w:rsid w:val="00F34E08"/>
    <w:rsid w:val="00F35B7B"/>
    <w:rsid w:val="00F41D91"/>
    <w:rsid w:val="00F42363"/>
    <w:rsid w:val="00F46964"/>
    <w:rsid w:val="00F46F9A"/>
    <w:rsid w:val="00F470FD"/>
    <w:rsid w:val="00F50F30"/>
    <w:rsid w:val="00F5126A"/>
    <w:rsid w:val="00F5126E"/>
    <w:rsid w:val="00F6636A"/>
    <w:rsid w:val="00F667C5"/>
    <w:rsid w:val="00F67E31"/>
    <w:rsid w:val="00F718A8"/>
    <w:rsid w:val="00F72183"/>
    <w:rsid w:val="00F75192"/>
    <w:rsid w:val="00F76D01"/>
    <w:rsid w:val="00F81C35"/>
    <w:rsid w:val="00F82981"/>
    <w:rsid w:val="00F8311F"/>
    <w:rsid w:val="00F83248"/>
    <w:rsid w:val="00F83376"/>
    <w:rsid w:val="00F848A4"/>
    <w:rsid w:val="00F853AE"/>
    <w:rsid w:val="00F857DC"/>
    <w:rsid w:val="00F93C74"/>
    <w:rsid w:val="00F93DCC"/>
    <w:rsid w:val="00F9435D"/>
    <w:rsid w:val="00F97740"/>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D55C8"/>
    <w:rsid w:val="00FD7BE0"/>
    <w:rsid w:val="00FE3B7B"/>
    <w:rsid w:val="00FE5F5A"/>
    <w:rsid w:val="00FE6469"/>
    <w:rsid w:val="00FE75F1"/>
    <w:rsid w:val="00FE77BA"/>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F3C"/>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29006395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6CB1-5C70-46AD-9AB2-5F812443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2011-06-14T17:03:00Z</cp:lastPrinted>
  <dcterms:created xsi:type="dcterms:W3CDTF">2012-03-10T18:00:00Z</dcterms:created>
  <dcterms:modified xsi:type="dcterms:W3CDTF">2012-03-10T18:00:00Z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