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E9629E">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F94D1E">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F94D1E">
        <w:rPr>
          <w:rFonts w:asciiTheme="minorHAnsi" w:hAnsiTheme="minorHAnsi"/>
          <w:caps/>
          <w:color w:val="auto"/>
        </w:rPr>
        <w:t>AIR force</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713D99">
        <w:rPr>
          <w:rFonts w:asciiTheme="minorHAnsi" w:hAnsiTheme="minorHAnsi"/>
          <w:caps/>
          <w:color w:val="auto"/>
        </w:rPr>
        <w:t>PD</w:t>
      </w:r>
      <w:r w:rsidR="00A875E7" w:rsidRPr="00713D99">
        <w:rPr>
          <w:rFonts w:asciiTheme="minorHAnsi" w:hAnsiTheme="minorHAnsi"/>
          <w:caps/>
          <w:color w:val="auto"/>
        </w:rPr>
        <w:t>1</w:t>
      </w:r>
      <w:r w:rsidR="00F94D1E" w:rsidRPr="00713D99">
        <w:rPr>
          <w:rFonts w:asciiTheme="minorHAnsi" w:hAnsiTheme="minorHAnsi"/>
          <w:caps/>
          <w:color w:val="auto"/>
        </w:rPr>
        <w:t>0</w:t>
      </w:r>
      <w:r w:rsidR="00C55918" w:rsidRPr="00713D99">
        <w:rPr>
          <w:rFonts w:asciiTheme="minorHAnsi" w:hAnsiTheme="minorHAnsi"/>
          <w:caps/>
          <w:color w:val="auto"/>
        </w:rPr>
        <w:t>00</w:t>
      </w:r>
      <w:r w:rsidR="00F94D1E" w:rsidRPr="00713D99">
        <w:rPr>
          <w:rFonts w:asciiTheme="minorHAnsi" w:hAnsiTheme="minorHAnsi"/>
          <w:caps/>
          <w:color w:val="auto"/>
        </w:rPr>
        <w:t>975</w:t>
      </w:r>
      <w:r w:rsidRPr="00B20624">
        <w:rPr>
          <w:rFonts w:asciiTheme="minorHAnsi" w:hAnsiTheme="minorHAnsi"/>
          <w:caps/>
          <w:color w:val="auto"/>
        </w:rPr>
        <w:tab/>
      </w:r>
      <w:r w:rsidRPr="00B20624">
        <w:rPr>
          <w:rFonts w:asciiTheme="minorHAnsi" w:hAnsiTheme="minorHAnsi"/>
          <w:caps/>
          <w:color w:val="auto"/>
        </w:rPr>
        <w:tab/>
      </w:r>
      <w:r w:rsidR="00F94D1E">
        <w:rPr>
          <w:rFonts w:asciiTheme="minorHAnsi" w:hAnsiTheme="minorHAnsi"/>
          <w:caps/>
          <w:color w:val="auto"/>
        </w:rPr>
        <w:tab/>
        <w:t xml:space="preserve">      </w:t>
      </w:r>
      <w:r w:rsidR="00713D99">
        <w:rPr>
          <w:rFonts w:asciiTheme="minorHAnsi" w:hAnsiTheme="minorHAnsi"/>
          <w:caps/>
          <w:color w:val="auto"/>
        </w:rPr>
        <w:t>TDRL exit date</w:t>
      </w:r>
      <w:r w:rsidR="00C22F3A" w:rsidRPr="00B20624">
        <w:rPr>
          <w:rFonts w:asciiTheme="minorHAnsi" w:hAnsiTheme="minorHAnsi"/>
          <w:caps/>
          <w:color w:val="auto"/>
        </w:rPr>
        <w:t xml:space="preserve">: </w:t>
      </w:r>
      <w:r w:rsidR="00713D99">
        <w:rPr>
          <w:rFonts w:asciiTheme="minorHAnsi" w:hAnsiTheme="minorHAnsi"/>
          <w:caps/>
          <w:color w:val="auto"/>
        </w:rPr>
        <w:t xml:space="preserve"> </w:t>
      </w:r>
      <w:r w:rsidR="00896E55">
        <w:rPr>
          <w:rFonts w:asciiTheme="minorHAnsi" w:hAnsiTheme="minorHAnsi"/>
          <w:caps/>
          <w:color w:val="auto"/>
        </w:rPr>
        <w:t>20070308</w:t>
      </w:r>
    </w:p>
    <w:p w:rsidR="00540BEF" w:rsidRDefault="00540BEF" w:rsidP="00713D99">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713D99">
        <w:rPr>
          <w:rFonts w:asciiTheme="minorHAnsi" w:hAnsiTheme="minorHAnsi"/>
          <w:caps/>
          <w:color w:val="auto"/>
        </w:rPr>
        <w:t>0914</w:t>
      </w:r>
      <w:r w:rsidRPr="00B20624">
        <w:rPr>
          <w:rFonts w:asciiTheme="minorHAnsi" w:hAnsiTheme="minorHAnsi"/>
          <w:caps/>
          <w:color w:val="auto"/>
        </w:rPr>
        <w:tab/>
      </w:r>
      <w:r w:rsidRPr="00B20624">
        <w:rPr>
          <w:rFonts w:asciiTheme="minorHAnsi" w:hAnsiTheme="minorHAnsi"/>
          <w:caps/>
          <w:color w:val="auto"/>
        </w:rPr>
        <w:tab/>
      </w:r>
      <w:r w:rsidR="00F94D1E">
        <w:rPr>
          <w:rFonts w:asciiTheme="minorHAnsi" w:hAnsiTheme="minorHAnsi"/>
          <w:caps/>
          <w:color w:val="auto"/>
        </w:rPr>
        <w:tab/>
        <w:t xml:space="preserve">      </w:t>
      </w:r>
      <w:r w:rsidR="00F94D1E" w:rsidRPr="00713D99">
        <w:rPr>
          <w:rFonts w:asciiTheme="minorHAnsi" w:hAnsiTheme="minorHAnsi"/>
          <w:caps/>
          <w:color w:val="auto"/>
        </w:rPr>
        <w:t xml:space="preserve">tdrl </w:t>
      </w:r>
      <w:r w:rsidR="00713D99" w:rsidRPr="00713D99">
        <w:rPr>
          <w:rFonts w:asciiTheme="minorHAnsi" w:hAnsiTheme="minorHAnsi"/>
          <w:caps/>
          <w:color w:val="auto"/>
        </w:rPr>
        <w:t xml:space="preserve">entry </w:t>
      </w:r>
      <w:r w:rsidR="00F94D1E" w:rsidRPr="00713D99">
        <w:rPr>
          <w:rFonts w:asciiTheme="minorHAnsi" w:hAnsiTheme="minorHAnsi"/>
          <w:caps/>
          <w:color w:val="auto"/>
        </w:rPr>
        <w:t>date:  2005050</w:t>
      </w:r>
      <w:r w:rsidR="002409EA" w:rsidRPr="00713D99">
        <w:rPr>
          <w:rFonts w:asciiTheme="minorHAnsi" w:hAnsiTheme="minorHAnsi"/>
          <w:caps/>
          <w:color w:val="auto"/>
        </w:rPr>
        <w:t>3</w:t>
      </w:r>
      <w:r w:rsidR="00573701">
        <w:rPr>
          <w:rFonts w:asciiTheme="minorHAnsi" w:hAnsiTheme="minorHAnsi"/>
          <w:caps/>
          <w:color w:val="auto"/>
        </w:rPr>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w:t>
      </w:r>
      <w:r w:rsidR="00D22EB6">
        <w:rPr>
          <w:rFonts w:asciiTheme="minorHAnsi" w:hAnsiTheme="minorHAnsi"/>
          <w:color w:val="auto"/>
          <w:szCs w:val="24"/>
        </w:rPr>
        <w:t xml:space="preserve"> R</w:t>
      </w:r>
      <w:r w:rsidR="00D22EB6" w:rsidRPr="00D22EB6">
        <w:rPr>
          <w:rFonts w:asciiTheme="minorHAnsi" w:hAnsiTheme="minorHAnsi"/>
          <w:color w:val="auto"/>
          <w:szCs w:val="24"/>
        </w:rPr>
        <w:t>eserve</w:t>
      </w:r>
      <w:r w:rsidRPr="00D22EB6">
        <w:rPr>
          <w:rFonts w:asciiTheme="minorHAnsi" w:hAnsiTheme="minorHAnsi"/>
          <w:color w:val="auto"/>
          <w:szCs w:val="24"/>
        </w:rPr>
        <w:t xml:space="preserve"> </w:t>
      </w:r>
      <w:r w:rsidR="00FA67A3" w:rsidRPr="00D22EB6">
        <w:rPr>
          <w:rFonts w:asciiTheme="minorHAnsi" w:hAnsiTheme="minorHAnsi"/>
          <w:color w:val="auto"/>
          <w:szCs w:val="24"/>
        </w:rPr>
        <w:t>M</w:t>
      </w:r>
      <w:r w:rsidR="00D22EB6">
        <w:rPr>
          <w:rFonts w:asciiTheme="minorHAnsi" w:hAnsiTheme="minorHAnsi"/>
          <w:color w:val="auto"/>
          <w:szCs w:val="24"/>
        </w:rPr>
        <w:t>S</w:t>
      </w:r>
      <w:r w:rsidR="00FA67A3" w:rsidRPr="00D22EB6">
        <w:rPr>
          <w:rFonts w:asciiTheme="minorHAnsi" w:hAnsiTheme="minorHAnsi"/>
          <w:color w:val="auto"/>
          <w:szCs w:val="24"/>
        </w:rPr>
        <w:t>GT/E</w:t>
      </w:r>
      <w:r w:rsidR="00D22EB6" w:rsidRPr="00D22EB6">
        <w:rPr>
          <w:rFonts w:asciiTheme="minorHAnsi" w:hAnsiTheme="minorHAnsi"/>
          <w:color w:val="auto"/>
          <w:szCs w:val="24"/>
        </w:rPr>
        <w:t xml:space="preserve">-7 </w:t>
      </w:r>
      <w:r w:rsidRPr="00D22EB6">
        <w:rPr>
          <w:rFonts w:asciiTheme="minorHAnsi" w:hAnsiTheme="minorHAnsi"/>
          <w:color w:val="auto"/>
          <w:szCs w:val="24"/>
        </w:rPr>
        <w:t>(</w:t>
      </w:r>
      <w:r w:rsidR="00D22EB6">
        <w:rPr>
          <w:rFonts w:asciiTheme="minorHAnsi" w:hAnsiTheme="minorHAnsi"/>
          <w:color w:val="auto"/>
          <w:szCs w:val="24"/>
        </w:rPr>
        <w:t>X4N071/Aircrew Aerospace Medical Service Craftsman</w:t>
      </w:r>
      <w:r w:rsidRPr="00D22EB6">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7D5B9E">
        <w:rPr>
          <w:rFonts w:asciiTheme="minorHAnsi" w:hAnsiTheme="minorHAnsi"/>
          <w:color w:val="auto"/>
          <w:szCs w:val="24"/>
        </w:rPr>
        <w:t>bilateral shoulder impingement</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in </w:t>
      </w:r>
      <w:r w:rsidR="00885F3E">
        <w:rPr>
          <w:rFonts w:asciiTheme="minorHAnsi" w:hAnsiTheme="minorHAnsi"/>
          <w:color w:val="auto"/>
          <w:szCs w:val="24"/>
        </w:rPr>
        <w:t>2003</w:t>
      </w:r>
      <w:r w:rsidR="007D5B9E">
        <w:rPr>
          <w:rFonts w:asciiTheme="minorHAnsi" w:hAnsiTheme="minorHAnsi"/>
          <w:color w:val="auto"/>
          <w:szCs w:val="24"/>
        </w:rPr>
        <w:t>, likely as a consequence of frequent heavy lifting,</w:t>
      </w:r>
      <w:r w:rsidR="00EF31F3" w:rsidRPr="00A315F3">
        <w:rPr>
          <w:rFonts w:asciiTheme="minorHAnsi" w:hAnsiTheme="minorHAnsi"/>
          <w:color w:val="auto"/>
          <w:szCs w:val="24"/>
        </w:rPr>
        <w:t xml:space="preserve"> </w:t>
      </w:r>
      <w:r w:rsidR="00EF31F3" w:rsidRPr="00885F3E">
        <w:rPr>
          <w:rFonts w:asciiTheme="minorHAnsi" w:hAnsiTheme="minorHAnsi"/>
          <w:color w:val="auto"/>
          <w:szCs w:val="24"/>
        </w:rPr>
        <w:t>and was not associated with a surgical indication.</w:t>
      </w:r>
      <w:r w:rsidR="007D5B9E">
        <w:rPr>
          <w:rFonts w:asciiTheme="minorHAnsi" w:hAnsiTheme="minorHAnsi"/>
          <w:color w:val="auto"/>
          <w:szCs w:val="24"/>
        </w:rPr>
        <w:t xml:space="preserve">  </w:t>
      </w:r>
      <w:r w:rsidR="007D5B9E" w:rsidRPr="007D5B9E">
        <w:rPr>
          <w:rFonts w:asciiTheme="minorHAnsi" w:hAnsiTheme="minorHAnsi"/>
          <w:color w:val="auto"/>
          <w:szCs w:val="24"/>
        </w:rPr>
        <w:t>Sh</w:t>
      </w:r>
      <w:r w:rsidR="00EF31F3" w:rsidRPr="007D5B9E">
        <w:rPr>
          <w:rFonts w:asciiTheme="minorHAnsi" w:hAnsiTheme="minorHAnsi"/>
          <w:color w:val="auto"/>
          <w:szCs w:val="24"/>
        </w:rPr>
        <w:t>e did not respond adequately to treatment and was unable to perform within h</w:t>
      </w:r>
      <w:r w:rsidR="007D5B9E" w:rsidRPr="007D5B9E">
        <w:rPr>
          <w:rFonts w:asciiTheme="minorHAnsi" w:hAnsiTheme="minorHAnsi"/>
          <w:color w:val="auto"/>
          <w:szCs w:val="24"/>
        </w:rPr>
        <w:t>er</w:t>
      </w:r>
      <w:r w:rsidR="00EF31F3" w:rsidRPr="007D5B9E">
        <w:rPr>
          <w:rFonts w:asciiTheme="minorHAnsi" w:hAnsiTheme="minorHAnsi"/>
          <w:color w:val="auto"/>
          <w:szCs w:val="24"/>
        </w:rPr>
        <w:t xml:space="preserve"> </w:t>
      </w:r>
      <w:r w:rsidR="005E3B26">
        <w:rPr>
          <w:rFonts w:asciiTheme="minorHAnsi" w:hAnsiTheme="minorHAnsi"/>
          <w:color w:val="auto"/>
          <w:szCs w:val="24"/>
        </w:rPr>
        <w:t xml:space="preserve">Air Force </w:t>
      </w:r>
      <w:r w:rsidR="004C5A17">
        <w:rPr>
          <w:rFonts w:asciiTheme="minorHAnsi" w:hAnsiTheme="minorHAnsi"/>
          <w:color w:val="auto"/>
          <w:szCs w:val="24"/>
        </w:rPr>
        <w:t>career field</w:t>
      </w:r>
      <w:r w:rsidR="00EF31F3" w:rsidRPr="007D5B9E">
        <w:rPr>
          <w:rFonts w:asciiTheme="minorHAnsi" w:hAnsiTheme="minorHAnsi"/>
          <w:color w:val="auto"/>
          <w:szCs w:val="24"/>
        </w:rPr>
        <w:t xml:space="preserve"> or meet physical fitness standards.  </w:t>
      </w:r>
      <w:r w:rsidR="007D5B9E" w:rsidRPr="007D5B9E">
        <w:rPr>
          <w:rFonts w:asciiTheme="minorHAnsi" w:hAnsiTheme="minorHAnsi"/>
          <w:color w:val="auto"/>
          <w:szCs w:val="24"/>
        </w:rPr>
        <w:t>She</w:t>
      </w:r>
      <w:r w:rsidR="00EF31F3" w:rsidRPr="007D5B9E">
        <w:rPr>
          <w:rFonts w:asciiTheme="minorHAnsi" w:hAnsiTheme="minorHAnsi"/>
          <w:color w:val="auto"/>
          <w:szCs w:val="24"/>
        </w:rPr>
        <w:t xml:space="preserve"> was issued a</w:t>
      </w:r>
      <w:r w:rsidR="007D5B9E">
        <w:rPr>
          <w:rFonts w:asciiTheme="minorHAnsi" w:hAnsiTheme="minorHAnsi"/>
          <w:color w:val="auto"/>
          <w:szCs w:val="24"/>
        </w:rPr>
        <w:t xml:space="preserve"> </w:t>
      </w:r>
      <w:r w:rsidR="007D5B9E" w:rsidRPr="007D5B9E">
        <w:rPr>
          <w:rFonts w:asciiTheme="minorHAnsi" w:hAnsiTheme="minorHAnsi"/>
          <w:color w:val="auto"/>
          <w:szCs w:val="24"/>
        </w:rPr>
        <w:t>U4</w:t>
      </w:r>
      <w:r w:rsidR="00EF31F3" w:rsidRPr="007D5B9E">
        <w:rPr>
          <w:rFonts w:asciiTheme="minorHAnsi" w:hAnsiTheme="minorHAnsi"/>
          <w:color w:val="auto"/>
          <w:szCs w:val="24"/>
        </w:rPr>
        <w:t xml:space="preserve"> profile and underwent a Medical Evaluation Board (MEB).</w:t>
      </w:r>
      <w:r w:rsidR="001C1172">
        <w:rPr>
          <w:rFonts w:asciiTheme="minorHAnsi" w:hAnsiTheme="minorHAnsi"/>
          <w:color w:val="auto"/>
          <w:szCs w:val="24"/>
        </w:rPr>
        <w:t xml:space="preserve">  Chronic left shoulder pain was </w:t>
      </w:r>
      <w:r w:rsidRPr="001C1172">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1C1172">
        <w:rPr>
          <w:rFonts w:asciiTheme="minorHAnsi" w:hAnsiTheme="minorHAnsi"/>
          <w:color w:val="auto"/>
          <w:szCs w:val="24"/>
        </w:rPr>
        <w:t>as medically unacceptable IAW A</w:t>
      </w:r>
      <w:r w:rsidR="001C1172" w:rsidRPr="001C1172">
        <w:rPr>
          <w:rFonts w:asciiTheme="minorHAnsi" w:hAnsiTheme="minorHAnsi"/>
          <w:color w:val="auto"/>
          <w:szCs w:val="24"/>
        </w:rPr>
        <w:t>FI 48-123.</w:t>
      </w:r>
      <w:r w:rsidR="009D10A6">
        <w:rPr>
          <w:rFonts w:asciiTheme="minorHAnsi" w:hAnsiTheme="minorHAnsi"/>
          <w:color w:val="auto"/>
          <w:szCs w:val="24"/>
        </w:rPr>
        <w:t xml:space="preserve">  </w:t>
      </w:r>
      <w:r w:rsidR="00526308" w:rsidRPr="00A315F3">
        <w:rPr>
          <w:rFonts w:asciiTheme="minorHAnsi" w:hAnsiTheme="minorHAnsi"/>
          <w:color w:val="auto"/>
          <w:szCs w:val="24"/>
        </w:rPr>
        <w:t xml:space="preserve">No other conditions appeared on the MEB’s </w:t>
      </w:r>
      <w:r w:rsidR="009D10A6">
        <w:rPr>
          <w:rFonts w:asciiTheme="minorHAnsi" w:hAnsiTheme="minorHAnsi"/>
          <w:color w:val="auto"/>
          <w:szCs w:val="24"/>
        </w:rPr>
        <w:t>AF IMT 618</w:t>
      </w:r>
      <w:r w:rsidR="00526308" w:rsidRPr="00A315F3">
        <w:rPr>
          <w:rFonts w:asciiTheme="minorHAnsi" w:hAnsiTheme="minorHAnsi"/>
          <w:color w:val="auto"/>
          <w:szCs w:val="24"/>
        </w:rPr>
        <w:t xml:space="preserve"> submission, and no other conditions with fitness implications were identified in the Disability Evaluation System (DES) file.</w:t>
      </w:r>
      <w:r w:rsidR="009D10A6">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2743F2">
        <w:rPr>
          <w:rFonts w:asciiTheme="minorHAnsi" w:hAnsiTheme="minorHAnsi"/>
          <w:color w:val="auto"/>
          <w:szCs w:val="24"/>
        </w:rPr>
        <w:t xml:space="preserve">left shoulder pain </w:t>
      </w:r>
      <w:r w:rsidR="006D794D">
        <w:rPr>
          <w:rFonts w:asciiTheme="minorHAnsi" w:hAnsiTheme="minorHAnsi"/>
          <w:color w:val="auto"/>
          <w:szCs w:val="24"/>
        </w:rPr>
        <w:t xml:space="preserve">with </w:t>
      </w:r>
      <w:proofErr w:type="spellStart"/>
      <w:r w:rsidR="006D794D">
        <w:rPr>
          <w:rFonts w:asciiTheme="minorHAnsi" w:hAnsiTheme="minorHAnsi"/>
          <w:color w:val="auto"/>
          <w:szCs w:val="24"/>
        </w:rPr>
        <w:t>labral</w:t>
      </w:r>
      <w:proofErr w:type="spellEnd"/>
      <w:r w:rsidR="006D794D">
        <w:rPr>
          <w:rFonts w:asciiTheme="minorHAnsi" w:hAnsiTheme="minorHAnsi"/>
          <w:color w:val="auto"/>
          <w:szCs w:val="24"/>
        </w:rPr>
        <w:t xml:space="preserve"> tear </w:t>
      </w:r>
      <w:r w:rsidR="002743F2">
        <w:rPr>
          <w:rFonts w:asciiTheme="minorHAnsi" w:hAnsiTheme="minorHAnsi"/>
          <w:color w:val="auto"/>
          <w:szCs w:val="24"/>
        </w:rPr>
        <w:t>condition as unfitting, rated 20%</w:t>
      </w:r>
      <w:r w:rsidR="00326C83">
        <w:rPr>
          <w:rFonts w:asciiTheme="minorHAnsi" w:hAnsiTheme="minorHAnsi"/>
          <w:color w:val="auto"/>
          <w:szCs w:val="24"/>
        </w:rPr>
        <w:t xml:space="preserve">.  </w:t>
      </w:r>
      <w:r w:rsidR="00542BD4">
        <w:rPr>
          <w:rFonts w:asciiTheme="minorHAnsi" w:hAnsiTheme="minorHAnsi"/>
          <w:color w:val="auto"/>
          <w:szCs w:val="24"/>
        </w:rPr>
        <w:t xml:space="preserve">The CI appealed to </w:t>
      </w:r>
      <w:r w:rsidR="00846D84">
        <w:rPr>
          <w:rFonts w:asciiTheme="minorHAnsi" w:hAnsiTheme="minorHAnsi"/>
          <w:color w:val="auto"/>
          <w:szCs w:val="24"/>
        </w:rPr>
        <w:t xml:space="preserve">the </w:t>
      </w:r>
      <w:r w:rsidR="002743F2">
        <w:rPr>
          <w:rFonts w:asciiTheme="minorHAnsi" w:hAnsiTheme="minorHAnsi"/>
          <w:color w:val="auto"/>
          <w:szCs w:val="24"/>
        </w:rPr>
        <w:t>Formal PEB (FPEB)</w:t>
      </w:r>
      <w:r w:rsidR="00542BD4">
        <w:rPr>
          <w:rFonts w:asciiTheme="minorHAnsi" w:hAnsiTheme="minorHAnsi"/>
          <w:color w:val="auto"/>
          <w:szCs w:val="24"/>
        </w:rPr>
        <w:t xml:space="preserve"> which</w:t>
      </w:r>
      <w:r w:rsidR="00AC3C3F">
        <w:rPr>
          <w:rFonts w:asciiTheme="minorHAnsi" w:hAnsiTheme="minorHAnsi"/>
          <w:color w:val="auto"/>
          <w:szCs w:val="24"/>
        </w:rPr>
        <w:t xml:space="preserve"> </w:t>
      </w:r>
      <w:r w:rsidR="00846D84">
        <w:rPr>
          <w:rFonts w:asciiTheme="minorHAnsi" w:hAnsiTheme="minorHAnsi"/>
          <w:color w:val="auto"/>
          <w:szCs w:val="24"/>
        </w:rPr>
        <w:t xml:space="preserve">determined the </w:t>
      </w:r>
      <w:r w:rsidR="006D794D">
        <w:rPr>
          <w:rFonts w:asciiTheme="minorHAnsi" w:hAnsiTheme="minorHAnsi"/>
          <w:color w:val="auto"/>
          <w:szCs w:val="24"/>
        </w:rPr>
        <w:t>right</w:t>
      </w:r>
      <w:r w:rsidR="007D1AD4">
        <w:rPr>
          <w:rFonts w:asciiTheme="minorHAnsi" w:hAnsiTheme="minorHAnsi"/>
          <w:color w:val="auto"/>
          <w:szCs w:val="24"/>
        </w:rPr>
        <w:t xml:space="preserve"> shoulder condition</w:t>
      </w:r>
      <w:r w:rsidR="00846D84">
        <w:rPr>
          <w:rFonts w:asciiTheme="minorHAnsi" w:hAnsiTheme="minorHAnsi"/>
          <w:color w:val="auto"/>
          <w:szCs w:val="24"/>
        </w:rPr>
        <w:t xml:space="preserve"> was also unfitting</w:t>
      </w:r>
      <w:r w:rsidR="007D1AD4">
        <w:rPr>
          <w:rFonts w:asciiTheme="minorHAnsi" w:hAnsiTheme="minorHAnsi"/>
          <w:color w:val="auto"/>
          <w:szCs w:val="24"/>
        </w:rPr>
        <w:t xml:space="preserve">, and </w:t>
      </w:r>
      <w:r w:rsidR="00AC3C3F">
        <w:rPr>
          <w:rFonts w:asciiTheme="minorHAnsi" w:hAnsiTheme="minorHAnsi"/>
          <w:color w:val="auto"/>
          <w:szCs w:val="24"/>
        </w:rPr>
        <w:t xml:space="preserve">adjudicated </w:t>
      </w:r>
      <w:r w:rsidR="006D794D">
        <w:rPr>
          <w:rFonts w:asciiTheme="minorHAnsi" w:hAnsiTheme="minorHAnsi"/>
          <w:color w:val="auto"/>
          <w:szCs w:val="24"/>
        </w:rPr>
        <w:t>each shoulder</w:t>
      </w:r>
      <w:r w:rsidR="007D1AD4">
        <w:rPr>
          <w:rFonts w:asciiTheme="minorHAnsi" w:hAnsiTheme="minorHAnsi"/>
          <w:color w:val="auto"/>
          <w:szCs w:val="24"/>
        </w:rPr>
        <w:t xml:space="preserve"> separately.  The CI was</w:t>
      </w:r>
      <w:r w:rsidR="002743F2">
        <w:rPr>
          <w:rFonts w:asciiTheme="minorHAnsi" w:hAnsiTheme="minorHAnsi"/>
          <w:color w:val="auto"/>
          <w:szCs w:val="24"/>
        </w:rPr>
        <w:t xml:space="preserve"> placed on the </w:t>
      </w:r>
      <w:r w:rsidR="002743F2" w:rsidRPr="00A315F3">
        <w:rPr>
          <w:rFonts w:asciiTheme="minorHAnsi" w:hAnsiTheme="minorHAnsi"/>
          <w:color w:val="auto"/>
          <w:szCs w:val="24"/>
        </w:rPr>
        <w:t xml:space="preserve">Temporary Disability Retired List (TDRL) </w:t>
      </w:r>
      <w:r w:rsidR="00542BD4" w:rsidRPr="00A315F3">
        <w:rPr>
          <w:rFonts w:asciiTheme="minorHAnsi" w:hAnsiTheme="minorHAnsi"/>
          <w:color w:val="auto"/>
          <w:szCs w:val="24"/>
        </w:rPr>
        <w:t xml:space="preserve">on </w:t>
      </w:r>
      <w:r w:rsidR="00846D84">
        <w:rPr>
          <w:rFonts w:asciiTheme="minorHAnsi" w:hAnsiTheme="minorHAnsi"/>
          <w:color w:val="auto"/>
          <w:szCs w:val="24"/>
        </w:rPr>
        <w:t xml:space="preserve">4 May </w:t>
      </w:r>
      <w:r w:rsidR="00542BD4" w:rsidRPr="002743F2">
        <w:rPr>
          <w:rFonts w:asciiTheme="minorHAnsi" w:hAnsiTheme="minorHAnsi"/>
          <w:caps/>
          <w:color w:val="auto"/>
        </w:rPr>
        <w:t>2005</w:t>
      </w:r>
      <w:r w:rsidR="00542BD4">
        <w:rPr>
          <w:rFonts w:asciiTheme="minorHAnsi" w:hAnsiTheme="minorHAnsi"/>
          <w:caps/>
          <w:color w:val="auto"/>
        </w:rPr>
        <w:t xml:space="preserve"> </w:t>
      </w:r>
      <w:r w:rsidR="002743F2">
        <w:rPr>
          <w:rFonts w:asciiTheme="minorHAnsi" w:hAnsiTheme="minorHAnsi"/>
          <w:color w:val="auto"/>
          <w:szCs w:val="24"/>
        </w:rPr>
        <w:t xml:space="preserve">for </w:t>
      </w:r>
      <w:r w:rsidR="00542BD4">
        <w:rPr>
          <w:rFonts w:asciiTheme="minorHAnsi" w:hAnsiTheme="minorHAnsi"/>
          <w:color w:val="auto"/>
          <w:szCs w:val="24"/>
        </w:rPr>
        <w:t>bilateral shoulder injuries</w:t>
      </w:r>
      <w:r w:rsidR="00542BD4">
        <w:rPr>
          <w:rFonts w:asciiTheme="minorHAnsi" w:hAnsiTheme="minorHAnsi"/>
          <w:caps/>
          <w:color w:val="auto"/>
        </w:rPr>
        <w:t>,</w:t>
      </w:r>
      <w:r w:rsidR="002743F2" w:rsidRPr="00A315F3">
        <w:rPr>
          <w:rFonts w:asciiTheme="minorHAnsi" w:hAnsiTheme="minorHAnsi"/>
          <w:color w:val="auto"/>
          <w:szCs w:val="24"/>
        </w:rPr>
        <w:t xml:space="preserve"> with ratings </w:t>
      </w:r>
      <w:r w:rsidR="00AC3C3F">
        <w:rPr>
          <w:rFonts w:asciiTheme="minorHAnsi" w:hAnsiTheme="minorHAnsi"/>
          <w:color w:val="auto"/>
          <w:szCs w:val="24"/>
        </w:rPr>
        <w:t>of 20% each</w:t>
      </w:r>
      <w:r w:rsidR="002743F2" w:rsidRPr="00A315F3">
        <w:rPr>
          <w:rFonts w:asciiTheme="minorHAnsi" w:hAnsiTheme="minorHAnsi"/>
          <w:color w:val="auto"/>
          <w:szCs w:val="24"/>
        </w:rPr>
        <w:t xml:space="preserve">.  </w:t>
      </w:r>
      <w:r w:rsidR="00614B7B">
        <w:rPr>
          <w:rFonts w:asciiTheme="minorHAnsi" w:hAnsiTheme="minorHAnsi"/>
          <w:color w:val="auto"/>
          <w:szCs w:val="24"/>
        </w:rPr>
        <w:t>Upon re</w:t>
      </w:r>
      <w:r w:rsidR="00542BD4">
        <w:rPr>
          <w:rFonts w:asciiTheme="minorHAnsi" w:hAnsiTheme="minorHAnsi"/>
          <w:color w:val="auto"/>
          <w:szCs w:val="24"/>
        </w:rPr>
        <w:t xml:space="preserve">-evaluation in 2006 the IPEB determined that the medical condition had sufficiently stabilized and adjudicated </w:t>
      </w:r>
      <w:r w:rsidR="006D794D">
        <w:rPr>
          <w:rFonts w:asciiTheme="minorHAnsi" w:hAnsiTheme="minorHAnsi"/>
          <w:color w:val="auto"/>
          <w:szCs w:val="24"/>
        </w:rPr>
        <w:t xml:space="preserve">left and right </w:t>
      </w:r>
      <w:r w:rsidR="00542BD4">
        <w:rPr>
          <w:rFonts w:asciiTheme="minorHAnsi" w:hAnsiTheme="minorHAnsi"/>
          <w:color w:val="auto"/>
          <w:szCs w:val="24"/>
        </w:rPr>
        <w:t>shoulder</w:t>
      </w:r>
      <w:r w:rsidR="006D794D">
        <w:rPr>
          <w:rFonts w:asciiTheme="minorHAnsi" w:hAnsiTheme="minorHAnsi"/>
          <w:color w:val="auto"/>
          <w:szCs w:val="24"/>
        </w:rPr>
        <w:t xml:space="preserve"> impingement </w:t>
      </w:r>
      <w:r w:rsidR="00542BD4">
        <w:rPr>
          <w:rFonts w:asciiTheme="minorHAnsi" w:hAnsiTheme="minorHAnsi"/>
          <w:color w:val="auto"/>
          <w:szCs w:val="24"/>
        </w:rPr>
        <w:t>as separately unfitting, rated 10% each</w:t>
      </w:r>
      <w:r w:rsidR="00A60D4A">
        <w:rPr>
          <w:rFonts w:asciiTheme="minorHAnsi" w:hAnsiTheme="minorHAnsi"/>
          <w:color w:val="auto"/>
          <w:szCs w:val="24"/>
        </w:rPr>
        <w:t xml:space="preserve"> </w:t>
      </w:r>
      <w:r w:rsidR="00A60D4A" w:rsidRPr="00A315F3">
        <w:rPr>
          <w:rFonts w:asciiTheme="minorHAnsi" w:hAnsiTheme="minorHAnsi"/>
          <w:color w:val="auto"/>
          <w:szCs w:val="24"/>
        </w:rPr>
        <w:t xml:space="preserve">IAW with the Veterans Administration Schedule </w:t>
      </w:r>
      <w:r w:rsidR="0047065A">
        <w:rPr>
          <w:rFonts w:asciiTheme="minorHAnsi" w:hAnsiTheme="minorHAnsi"/>
          <w:color w:val="auto"/>
          <w:szCs w:val="24"/>
        </w:rPr>
        <w:t xml:space="preserve">for Rating Disabilities (VASRD).  </w:t>
      </w:r>
      <w:r w:rsidR="00A60D4A" w:rsidRPr="00326C83">
        <w:rPr>
          <w:rFonts w:asciiTheme="minorHAnsi" w:hAnsiTheme="minorHAnsi"/>
          <w:color w:val="auto"/>
          <w:szCs w:val="24"/>
        </w:rPr>
        <w:t>Th</w:t>
      </w:r>
      <w:r w:rsidR="001166D5" w:rsidRPr="00326C83">
        <w:rPr>
          <w:rFonts w:asciiTheme="minorHAnsi" w:hAnsiTheme="minorHAnsi"/>
          <w:color w:val="auto"/>
          <w:szCs w:val="24"/>
        </w:rPr>
        <w:t>ese</w:t>
      </w:r>
      <w:r w:rsidR="00A60D4A" w:rsidRPr="00326C83">
        <w:rPr>
          <w:rFonts w:asciiTheme="minorHAnsi" w:hAnsiTheme="minorHAnsi"/>
          <w:color w:val="auto"/>
          <w:szCs w:val="24"/>
        </w:rPr>
        <w:t xml:space="preserve"> finding</w:t>
      </w:r>
      <w:r w:rsidR="001166D5" w:rsidRPr="00326C83">
        <w:rPr>
          <w:rFonts w:asciiTheme="minorHAnsi" w:hAnsiTheme="minorHAnsi"/>
          <w:color w:val="auto"/>
          <w:szCs w:val="24"/>
        </w:rPr>
        <w:t>s</w:t>
      </w:r>
      <w:r w:rsidR="00A60D4A" w:rsidRPr="00326C83">
        <w:rPr>
          <w:rFonts w:asciiTheme="minorHAnsi" w:hAnsiTheme="minorHAnsi"/>
          <w:color w:val="auto"/>
          <w:szCs w:val="24"/>
        </w:rPr>
        <w:t xml:space="preserve"> w</w:t>
      </w:r>
      <w:r w:rsidR="001166D5" w:rsidRPr="00326C83">
        <w:rPr>
          <w:rFonts w:asciiTheme="minorHAnsi" w:hAnsiTheme="minorHAnsi"/>
          <w:color w:val="auto"/>
          <w:szCs w:val="24"/>
        </w:rPr>
        <w:t>ere</w:t>
      </w:r>
      <w:r w:rsidR="00A60D4A" w:rsidRPr="00326C83">
        <w:rPr>
          <w:rFonts w:asciiTheme="minorHAnsi" w:hAnsiTheme="minorHAnsi"/>
          <w:color w:val="auto"/>
          <w:szCs w:val="24"/>
        </w:rPr>
        <w:t xml:space="preserve"> upheld by</w:t>
      </w:r>
      <w:r w:rsidR="00896E55" w:rsidRPr="00326C83">
        <w:rPr>
          <w:rFonts w:asciiTheme="minorHAnsi" w:hAnsiTheme="minorHAnsi"/>
          <w:color w:val="auto"/>
          <w:szCs w:val="24"/>
        </w:rPr>
        <w:t xml:space="preserve"> </w:t>
      </w:r>
      <w:r w:rsidR="00A60D4A" w:rsidRPr="00326C83">
        <w:rPr>
          <w:rFonts w:asciiTheme="minorHAnsi" w:hAnsiTheme="minorHAnsi"/>
          <w:color w:val="auto"/>
          <w:szCs w:val="24"/>
        </w:rPr>
        <w:t xml:space="preserve">the </w:t>
      </w:r>
      <w:r w:rsidR="00896E55" w:rsidRPr="00326C83">
        <w:rPr>
          <w:rFonts w:asciiTheme="minorHAnsi" w:hAnsiTheme="minorHAnsi"/>
          <w:color w:val="auto"/>
          <w:szCs w:val="24"/>
        </w:rPr>
        <w:t>FPEB and the Secretary of the Air Force</w:t>
      </w:r>
      <w:r w:rsidR="00326C83" w:rsidRPr="00326C83">
        <w:rPr>
          <w:rFonts w:asciiTheme="minorHAnsi" w:hAnsiTheme="minorHAnsi"/>
          <w:color w:val="auto"/>
          <w:szCs w:val="24"/>
        </w:rPr>
        <w:t xml:space="preserve"> Personnel Co</w:t>
      </w:r>
      <w:r w:rsidR="00326C83">
        <w:rPr>
          <w:rFonts w:asciiTheme="minorHAnsi" w:hAnsiTheme="minorHAnsi"/>
          <w:color w:val="auto"/>
        </w:rPr>
        <w:t>uncil</w:t>
      </w:r>
      <w:r w:rsidR="00896E55">
        <w:rPr>
          <w:rFonts w:asciiTheme="minorHAnsi" w:hAnsiTheme="minorHAnsi"/>
          <w:color w:val="auto"/>
        </w:rPr>
        <w:t xml:space="preserve">.  </w:t>
      </w:r>
      <w:r w:rsidRPr="00A315F3">
        <w:rPr>
          <w:rFonts w:asciiTheme="minorHAnsi" w:hAnsiTheme="minorHAnsi"/>
          <w:color w:val="auto"/>
        </w:rPr>
        <w:t xml:space="preserve">The CI </w:t>
      </w:r>
      <w:r w:rsidR="002E69EA" w:rsidRPr="00A315F3">
        <w:rPr>
          <w:rFonts w:asciiTheme="minorHAnsi" w:hAnsiTheme="minorHAnsi"/>
          <w:color w:val="auto"/>
        </w:rPr>
        <w:t>was</w:t>
      </w:r>
      <w:r w:rsidRPr="00A315F3">
        <w:rPr>
          <w:rFonts w:asciiTheme="minorHAnsi" w:hAnsiTheme="minorHAnsi"/>
          <w:color w:val="auto"/>
        </w:rPr>
        <w:t xml:space="preserve"> medically separated with a </w:t>
      </w:r>
      <w:r w:rsidR="00896E55">
        <w:rPr>
          <w:rFonts w:asciiTheme="minorHAnsi" w:hAnsiTheme="minorHAnsi"/>
          <w:color w:val="auto"/>
        </w:rPr>
        <w:t>20</w:t>
      </w:r>
      <w:r w:rsidRPr="00A315F3">
        <w:rPr>
          <w:rFonts w:asciiTheme="minorHAnsi" w:hAnsiTheme="minorHAnsi"/>
          <w:color w:val="auto"/>
        </w:rPr>
        <w:t xml:space="preserve">% </w:t>
      </w:r>
      <w:r w:rsidRPr="00896E55">
        <w:rPr>
          <w:rFonts w:asciiTheme="minorHAnsi" w:hAnsiTheme="minorHAnsi"/>
          <w:color w:val="auto"/>
        </w:rPr>
        <w:t>combined</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71308A" w:rsidRPr="00A315F3"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E252D8" w:rsidRPr="004C1680">
        <w:rPr>
          <w:rFonts w:asciiTheme="minorHAnsi" w:hAnsiTheme="minorHAnsi"/>
          <w:color w:val="auto"/>
        </w:rPr>
        <w:t>“I continue to have pain in both shoulders and neck.</w:t>
      </w:r>
      <w:r w:rsidR="00E252D8">
        <w:rPr>
          <w:rFonts w:asciiTheme="minorHAnsi" w:hAnsiTheme="minorHAnsi"/>
          <w:color w:val="auto"/>
        </w:rPr>
        <w:t xml:space="preserve"> </w:t>
      </w:r>
      <w:r w:rsidR="00E252D8" w:rsidRPr="004C1680">
        <w:rPr>
          <w:rFonts w:asciiTheme="minorHAnsi" w:hAnsiTheme="minorHAnsi"/>
          <w:color w:val="auto"/>
        </w:rPr>
        <w:t xml:space="preserve"> I also have periodic numbness in both my hands and fingers due to my shoulder injury.</w:t>
      </w:r>
      <w:r w:rsidR="00E252D8">
        <w:rPr>
          <w:rFonts w:asciiTheme="minorHAnsi" w:hAnsiTheme="minorHAnsi"/>
          <w:color w:val="auto"/>
        </w:rPr>
        <w:t xml:space="preserve"> </w:t>
      </w:r>
      <w:r w:rsidR="00E252D8" w:rsidRPr="004C1680">
        <w:rPr>
          <w:rFonts w:asciiTheme="minorHAnsi" w:hAnsiTheme="minorHAnsi"/>
          <w:color w:val="auto"/>
        </w:rPr>
        <w:t xml:space="preserve"> I am unable to reach for or lift anything shoulder height or above.</w:t>
      </w:r>
      <w:r w:rsidR="00352F36">
        <w:rPr>
          <w:rFonts w:asciiTheme="minorHAnsi" w:hAnsiTheme="minorHAnsi"/>
          <w:color w:val="auto"/>
        </w:rPr>
        <w:t>”  She continues her statement with an elaboration of her current limitations and the hardships she experiences as a consequence of her disability.</w:t>
      </w:r>
      <w:r w:rsidR="00E252D8">
        <w:rPr>
          <w:rFonts w:asciiTheme="minorHAnsi" w:hAnsiTheme="minorHAnsi"/>
          <w:color w:val="auto"/>
        </w:rPr>
        <w:t xml:space="preserve"> </w:t>
      </w:r>
      <w:r w:rsidR="00E252D8" w:rsidRPr="004C1680">
        <w:rPr>
          <w:rFonts w:asciiTheme="minorHAnsi" w:hAnsiTheme="minorHAnsi"/>
          <w:color w:val="auto"/>
        </w:rPr>
        <w:t xml:space="preserve"> </w:t>
      </w:r>
      <w:r w:rsidR="00352F36">
        <w:rPr>
          <w:rFonts w:asciiTheme="minorHAnsi" w:hAnsiTheme="minorHAnsi"/>
          <w:color w:val="auto"/>
        </w:rPr>
        <w:t>She further states:  “</w:t>
      </w:r>
      <w:r w:rsidR="00E252D8" w:rsidRPr="004C1680">
        <w:rPr>
          <w:rFonts w:asciiTheme="minorHAnsi" w:hAnsiTheme="minorHAnsi"/>
          <w:color w:val="auto"/>
        </w:rPr>
        <w:t xml:space="preserve">According to regulation to U.S.C .Sec. II Title 10- ARMED </w:t>
      </w:r>
      <w:r w:rsidR="006D70DC" w:rsidRPr="004C1680">
        <w:rPr>
          <w:rFonts w:asciiTheme="minorHAnsi" w:hAnsiTheme="minorHAnsi"/>
          <w:color w:val="auto"/>
        </w:rPr>
        <w:t>FORCES;</w:t>
      </w:r>
      <w:r w:rsidR="00E252D8" w:rsidRPr="004C1680">
        <w:rPr>
          <w:rFonts w:asciiTheme="minorHAnsi" w:hAnsiTheme="minorHAnsi"/>
          <w:color w:val="auto"/>
        </w:rPr>
        <w:t xml:space="preserve"> Subtitle A - General Military Law;</w:t>
      </w:r>
      <w:r w:rsidR="00E252D8">
        <w:rPr>
          <w:rFonts w:asciiTheme="minorHAnsi" w:hAnsiTheme="minorHAnsi"/>
          <w:color w:val="auto"/>
        </w:rPr>
        <w:t xml:space="preserve"> </w:t>
      </w:r>
      <w:r w:rsidR="00E252D8" w:rsidRPr="004C1680">
        <w:rPr>
          <w:rFonts w:asciiTheme="minorHAnsi" w:hAnsiTheme="minorHAnsi"/>
          <w:color w:val="auto"/>
        </w:rPr>
        <w:t>PART II PERSONNEL CHAPTER 58 - BENEFITS AND SERVICES FOR MEMBERS BEING SEPARATED OR RECENTLY SEPARATED; allows Reserve Airmen who have 18 but less that 20 years of satisfactory service, and are under the age of 60, to be eligible for reserve sanctuary</w:t>
      </w:r>
      <w:r w:rsidR="00E252D8">
        <w:rPr>
          <w:rFonts w:asciiTheme="minorHAnsi" w:hAnsiTheme="minorHAnsi"/>
          <w:color w:val="auto"/>
        </w:rPr>
        <w:t xml:space="preserve"> </w:t>
      </w:r>
      <w:r w:rsidR="00E252D8" w:rsidRPr="004C1680">
        <w:rPr>
          <w:rFonts w:asciiTheme="minorHAnsi" w:hAnsiTheme="minorHAnsi"/>
          <w:color w:val="auto"/>
        </w:rPr>
        <w:t>and remain in active Status</w:t>
      </w:r>
      <w:r w:rsidR="00AD4ECB">
        <w:rPr>
          <w:rFonts w:asciiTheme="minorHAnsi" w:hAnsiTheme="minorHAnsi"/>
          <w:color w:val="auto"/>
        </w:rPr>
        <w:t>.</w:t>
      </w:r>
      <w:r w:rsidR="00E252D8" w:rsidRPr="004C1680">
        <w:rPr>
          <w:rFonts w:asciiTheme="minorHAnsi" w:hAnsiTheme="minorHAnsi"/>
          <w:color w:val="auto"/>
        </w:rPr>
        <w:t xml:space="preserve"> </w:t>
      </w:r>
      <w:r w:rsidR="00AD4ECB">
        <w:rPr>
          <w:rFonts w:asciiTheme="minorHAnsi" w:hAnsiTheme="minorHAnsi"/>
          <w:color w:val="auto"/>
        </w:rPr>
        <w:t xml:space="preserve"> </w:t>
      </w:r>
      <w:r w:rsidR="00E252D8" w:rsidRPr="004C1680">
        <w:rPr>
          <w:rFonts w:asciiTheme="minorHAnsi" w:hAnsiTheme="minorHAnsi"/>
          <w:color w:val="auto"/>
        </w:rPr>
        <w:t xml:space="preserve">I believe that I should have been </w:t>
      </w:r>
      <w:r w:rsidR="006D70DC" w:rsidRPr="004C1680">
        <w:rPr>
          <w:rFonts w:asciiTheme="minorHAnsi" w:hAnsiTheme="minorHAnsi"/>
          <w:color w:val="auto"/>
        </w:rPr>
        <w:t>medically</w:t>
      </w:r>
      <w:r w:rsidR="00E252D8" w:rsidRPr="004C1680">
        <w:rPr>
          <w:rFonts w:asciiTheme="minorHAnsi" w:hAnsiTheme="minorHAnsi"/>
          <w:color w:val="auto"/>
        </w:rPr>
        <w:t xml:space="preserve"> </w:t>
      </w:r>
      <w:r w:rsidR="006D70DC" w:rsidRPr="004C1680">
        <w:rPr>
          <w:rFonts w:asciiTheme="minorHAnsi" w:hAnsiTheme="minorHAnsi"/>
          <w:color w:val="auto"/>
        </w:rPr>
        <w:t>discharged</w:t>
      </w:r>
      <w:r w:rsidR="00E252D8" w:rsidRPr="004C1680">
        <w:rPr>
          <w:rFonts w:asciiTheme="minorHAnsi" w:hAnsiTheme="minorHAnsi"/>
          <w:color w:val="auto"/>
        </w:rPr>
        <w:t xml:space="preserve"> or Retired with 20 years”. </w:t>
      </w:r>
      <w:r w:rsidR="0071308A" w:rsidRPr="00A315F3">
        <w:rPr>
          <w:rFonts w:asciiTheme="minorHAnsi" w:hAnsiTheme="minorHAnsi"/>
          <w:color w:val="auto"/>
          <w:szCs w:val="24"/>
        </w:rPr>
        <w:t xml:space="preserve"> </w:t>
      </w:r>
      <w:r w:rsidR="00E252D8">
        <w:rPr>
          <w:rFonts w:asciiTheme="minorHAnsi" w:hAnsiTheme="minorHAnsi"/>
          <w:color w:val="auto"/>
          <w:szCs w:val="24"/>
        </w:rPr>
        <w:t>She</w:t>
      </w:r>
      <w:r w:rsidR="0071308A" w:rsidRPr="00A315F3">
        <w:rPr>
          <w:rFonts w:asciiTheme="minorHAnsi" w:hAnsiTheme="minorHAnsi"/>
          <w:color w:val="auto"/>
          <w:szCs w:val="24"/>
        </w:rPr>
        <w:t xml:space="preserve"> additionally lists all of </w:t>
      </w:r>
      <w:r w:rsidR="00E252D8">
        <w:rPr>
          <w:rFonts w:asciiTheme="minorHAnsi" w:hAnsiTheme="minorHAnsi"/>
          <w:color w:val="auto"/>
          <w:szCs w:val="24"/>
        </w:rPr>
        <w:t>her</w:t>
      </w:r>
      <w:r w:rsidR="0071308A" w:rsidRPr="00A315F3">
        <w:rPr>
          <w:rFonts w:asciiTheme="minorHAnsi" w:hAnsiTheme="minorHAnsi"/>
          <w:color w:val="auto"/>
          <w:szCs w:val="24"/>
        </w:rPr>
        <w:t xml:space="preserve"> VA conditions and ratings as per the rating chart below.  A contention for their inclusion in the separation rating is therefore implied.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352F36" w:rsidRDefault="00352F36" w:rsidP="00190E48">
      <w:pPr>
        <w:spacing w:line="240" w:lineRule="exact"/>
        <w:jc w:val="both"/>
        <w:rPr>
          <w:rFonts w:ascii="Calibri" w:hAnsi="Calibri"/>
          <w:color w:val="auto"/>
          <w:u w:val="single"/>
        </w:rPr>
      </w:pPr>
    </w:p>
    <w:p w:rsidR="008E75E9" w:rsidRDefault="008E75E9">
      <w:pPr>
        <w:rPr>
          <w:rFonts w:ascii="Calibri" w:hAnsi="Calibri"/>
          <w:color w:val="auto"/>
          <w:u w:val="single"/>
        </w:rPr>
      </w:pPr>
      <w:r>
        <w:rPr>
          <w:rFonts w:ascii="Calibri" w:hAnsi="Calibri"/>
          <w:color w:val="auto"/>
          <w:u w:val="single"/>
        </w:rPr>
        <w:br w:type="page"/>
      </w: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E73B47" w:rsidRDefault="00E73B47" w:rsidP="00E73B47">
      <w:pPr>
        <w:tabs>
          <w:tab w:val="left" w:pos="288"/>
          <w:tab w:val="left" w:pos="4752"/>
        </w:tabs>
        <w:spacing w:line="240" w:lineRule="exact"/>
        <w:jc w:val="both"/>
        <w:rPr>
          <w:rFonts w:asciiTheme="minorHAnsi" w:hAnsiTheme="minorHAnsi"/>
          <w:color w:val="auto"/>
          <w:szCs w:val="24"/>
        </w:rPr>
      </w:pPr>
    </w:p>
    <w:tbl>
      <w:tblPr>
        <w:tblStyle w:val="TableGrid"/>
        <w:tblW w:w="9439" w:type="dxa"/>
        <w:jc w:val="center"/>
        <w:tblLayout w:type="fixed"/>
        <w:tblLook w:val="04A0"/>
      </w:tblPr>
      <w:tblGrid>
        <w:gridCol w:w="2109"/>
        <w:gridCol w:w="860"/>
        <w:gridCol w:w="630"/>
        <w:gridCol w:w="630"/>
        <w:gridCol w:w="2204"/>
        <w:gridCol w:w="1035"/>
        <w:gridCol w:w="812"/>
        <w:gridCol w:w="1159"/>
      </w:tblGrid>
      <w:tr w:rsidR="00E73B47" w:rsidRPr="008E1E94" w:rsidTr="001872BC">
        <w:trPr>
          <w:trHeight w:val="233"/>
          <w:jc w:val="center"/>
        </w:trPr>
        <w:tc>
          <w:tcPr>
            <w:tcW w:w="4229" w:type="dxa"/>
            <w:gridSpan w:val="4"/>
            <w:tcBorders>
              <w:righ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Pr>
                <w:rFonts w:cs="Times New Roman"/>
                <w:b/>
                <w:sz w:val="18"/>
                <w:szCs w:val="18"/>
              </w:rPr>
              <w:t xml:space="preserve">Final </w:t>
            </w:r>
            <w:r w:rsidRPr="008E1E94">
              <w:rPr>
                <w:rFonts w:cs="Times New Roman"/>
                <w:b/>
                <w:sz w:val="18"/>
                <w:szCs w:val="18"/>
              </w:rPr>
              <w:t xml:space="preserve">Service </w:t>
            </w:r>
            <w:r>
              <w:rPr>
                <w:rFonts w:cs="Times New Roman"/>
                <w:b/>
                <w:sz w:val="18"/>
                <w:szCs w:val="18"/>
              </w:rPr>
              <w:t xml:space="preserve">FPEB </w:t>
            </w:r>
            <w:r w:rsidRPr="008E1E94">
              <w:rPr>
                <w:rFonts w:cs="Times New Roman"/>
                <w:b/>
                <w:sz w:val="18"/>
                <w:szCs w:val="18"/>
              </w:rPr>
              <w:t>–</w:t>
            </w:r>
            <w:r>
              <w:rPr>
                <w:rFonts w:cs="Times New Roman"/>
                <w:b/>
                <w:sz w:val="18"/>
                <w:szCs w:val="18"/>
              </w:rPr>
              <w:t xml:space="preserve"> Dated 20070111</w:t>
            </w:r>
          </w:p>
        </w:tc>
        <w:tc>
          <w:tcPr>
            <w:tcW w:w="5210" w:type="dxa"/>
            <w:gridSpan w:val="4"/>
            <w:tcBorders>
              <w:lef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VA</w:t>
            </w:r>
            <w:r>
              <w:rPr>
                <w:rFonts w:cs="Times New Roman"/>
                <w:b/>
                <w:sz w:val="18"/>
                <w:szCs w:val="18"/>
              </w:rPr>
              <w:t xml:space="preserve">* </w:t>
            </w:r>
            <w:r w:rsidRPr="008E1E94">
              <w:rPr>
                <w:rFonts w:cs="Times New Roman"/>
                <w:b/>
                <w:sz w:val="18"/>
                <w:szCs w:val="18"/>
              </w:rPr>
              <w:t xml:space="preserve">– All </w:t>
            </w:r>
            <w:r w:rsidRPr="0059200A">
              <w:rPr>
                <w:rFonts w:cs="Times New Roman"/>
                <w:b/>
                <w:sz w:val="18"/>
                <w:szCs w:val="18"/>
              </w:rPr>
              <w:t>Effective Date</w:t>
            </w:r>
            <w:r>
              <w:rPr>
                <w:rFonts w:cs="Times New Roman"/>
                <w:b/>
                <w:sz w:val="18"/>
                <w:szCs w:val="18"/>
              </w:rPr>
              <w:t xml:space="preserve"> </w:t>
            </w:r>
            <w:r w:rsidRPr="00DB3209">
              <w:rPr>
                <w:rFonts w:cs="Times New Roman"/>
                <w:b/>
                <w:sz w:val="18"/>
                <w:szCs w:val="18"/>
              </w:rPr>
              <w:t>20050503</w:t>
            </w:r>
          </w:p>
        </w:tc>
      </w:tr>
      <w:tr w:rsidR="00E73B47" w:rsidRPr="008E1E94" w:rsidTr="001872BC">
        <w:trPr>
          <w:trHeight w:val="233"/>
          <w:jc w:val="center"/>
        </w:trPr>
        <w:tc>
          <w:tcPr>
            <w:tcW w:w="2109" w:type="dxa"/>
            <w:tcBorders>
              <w:bottom w:val="single" w:sz="4" w:space="0" w:color="000000" w:themeColor="text1"/>
            </w:tcBorders>
            <w:shd w:val="clear" w:color="auto" w:fill="D9D9D9" w:themeFill="background1" w:themeFillShade="D9"/>
            <w:vAlign w:val="center"/>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Condition</w:t>
            </w:r>
          </w:p>
        </w:tc>
        <w:tc>
          <w:tcPr>
            <w:tcW w:w="860" w:type="dxa"/>
            <w:tcBorders>
              <w:bottom w:val="single" w:sz="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Code</w:t>
            </w:r>
          </w:p>
        </w:tc>
        <w:tc>
          <w:tcPr>
            <w:tcW w:w="1260" w:type="dxa"/>
            <w:gridSpan w:val="2"/>
            <w:tcBorders>
              <w:bottom w:val="single" w:sz="4" w:space="0" w:color="000000" w:themeColor="text1"/>
              <w:righ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Rating</w:t>
            </w:r>
          </w:p>
        </w:tc>
        <w:tc>
          <w:tcPr>
            <w:tcW w:w="2204" w:type="dxa"/>
            <w:vMerge w:val="restart"/>
            <w:tcBorders>
              <w:left w:val="thinThickThinSmallGap" w:sz="24" w:space="0" w:color="auto"/>
            </w:tcBorders>
            <w:shd w:val="clear" w:color="auto" w:fill="D9D9D9" w:themeFill="background1" w:themeFillShade="D9"/>
            <w:vAlign w:val="center"/>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Condition</w:t>
            </w:r>
          </w:p>
        </w:tc>
        <w:tc>
          <w:tcPr>
            <w:tcW w:w="1035" w:type="dxa"/>
            <w:vMerge w:val="restart"/>
            <w:shd w:val="clear" w:color="auto" w:fill="D9D9D9" w:themeFill="background1" w:themeFillShade="D9"/>
            <w:vAlign w:val="center"/>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Code</w:t>
            </w:r>
          </w:p>
        </w:tc>
        <w:tc>
          <w:tcPr>
            <w:tcW w:w="812" w:type="dxa"/>
            <w:vMerge w:val="restart"/>
            <w:shd w:val="clear" w:color="auto" w:fill="D9D9D9" w:themeFill="background1" w:themeFillShade="D9"/>
            <w:vAlign w:val="center"/>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Rating</w:t>
            </w:r>
          </w:p>
        </w:tc>
        <w:tc>
          <w:tcPr>
            <w:tcW w:w="1159" w:type="dxa"/>
            <w:vMerge w:val="restart"/>
            <w:shd w:val="clear" w:color="auto" w:fill="D9D9D9" w:themeFill="background1" w:themeFillShade="D9"/>
            <w:vAlign w:val="center"/>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Exam</w:t>
            </w:r>
          </w:p>
        </w:tc>
      </w:tr>
      <w:tr w:rsidR="00E73B47" w:rsidRPr="008E1E94" w:rsidTr="001872BC">
        <w:trPr>
          <w:trHeight w:val="152"/>
          <w:jc w:val="center"/>
        </w:trPr>
        <w:tc>
          <w:tcPr>
            <w:tcW w:w="2109" w:type="dxa"/>
            <w:shd w:val="clear" w:color="auto" w:fill="D9D9D9" w:themeFill="background1" w:themeFillShade="D9"/>
          </w:tcPr>
          <w:p w:rsidR="00E73B47" w:rsidRPr="008E1E94" w:rsidRDefault="00E73B47" w:rsidP="005A6411">
            <w:pPr>
              <w:pStyle w:val="ListParagraph"/>
              <w:spacing w:after="0" w:line="240" w:lineRule="exact"/>
              <w:ind w:left="0"/>
              <w:jc w:val="center"/>
              <w:rPr>
                <w:rFonts w:cs="Times New Roman"/>
                <w:b/>
                <w:sz w:val="18"/>
                <w:szCs w:val="18"/>
              </w:rPr>
            </w:pPr>
            <w:r w:rsidRPr="008E1E94">
              <w:rPr>
                <w:rFonts w:cs="Times New Roman"/>
                <w:b/>
                <w:sz w:val="18"/>
                <w:szCs w:val="18"/>
              </w:rPr>
              <w:t xml:space="preserve">On TDRL </w:t>
            </w:r>
            <w:r>
              <w:rPr>
                <w:rFonts w:cs="Times New Roman"/>
                <w:b/>
                <w:sz w:val="18"/>
                <w:szCs w:val="18"/>
              </w:rPr>
              <w:t>–</w:t>
            </w:r>
            <w:r w:rsidRPr="008E1E94">
              <w:rPr>
                <w:rFonts w:cs="Times New Roman"/>
                <w:b/>
                <w:sz w:val="18"/>
                <w:szCs w:val="18"/>
              </w:rPr>
              <w:t xml:space="preserve"> </w:t>
            </w:r>
            <w:r w:rsidRPr="005A6411">
              <w:rPr>
                <w:rFonts w:cs="Times New Roman"/>
                <w:b/>
                <w:sz w:val="18"/>
                <w:szCs w:val="18"/>
              </w:rPr>
              <w:t>200</w:t>
            </w:r>
            <w:r w:rsidR="005A6411" w:rsidRPr="005A6411">
              <w:rPr>
                <w:rFonts w:cs="Times New Roman"/>
                <w:b/>
                <w:sz w:val="18"/>
                <w:szCs w:val="18"/>
              </w:rPr>
              <w:t>5</w:t>
            </w:r>
            <w:r w:rsidR="005A6411">
              <w:rPr>
                <w:rFonts w:cs="Times New Roman"/>
                <w:b/>
                <w:sz w:val="18"/>
                <w:szCs w:val="18"/>
              </w:rPr>
              <w:t>0504</w:t>
            </w:r>
          </w:p>
        </w:tc>
        <w:tc>
          <w:tcPr>
            <w:tcW w:w="860" w:type="dxa"/>
            <w:tcBorders>
              <w:top w:val="single" w:sz="4" w:space="0" w:color="auto"/>
            </w:tcBorders>
            <w:shd w:val="clear" w:color="auto" w:fill="D9D9D9" w:themeFill="background1" w:themeFillShade="D9"/>
          </w:tcPr>
          <w:p w:rsidR="00E73B47" w:rsidRPr="008E1E94" w:rsidRDefault="00E73B47" w:rsidP="006D70DC">
            <w:pPr>
              <w:pStyle w:val="ListParagraph"/>
              <w:spacing w:line="240" w:lineRule="exact"/>
              <w:ind w:left="0"/>
              <w:jc w:val="center"/>
              <w:rPr>
                <w:rFonts w:cs="Times New Roman"/>
                <w:sz w:val="18"/>
                <w:szCs w:val="18"/>
              </w:rPr>
            </w:pPr>
          </w:p>
        </w:tc>
        <w:tc>
          <w:tcPr>
            <w:tcW w:w="630" w:type="dxa"/>
            <w:tcBorders>
              <w:right w:val="single" w:sz="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TDRL</w:t>
            </w:r>
          </w:p>
        </w:tc>
        <w:tc>
          <w:tcPr>
            <w:tcW w:w="630" w:type="dxa"/>
            <w:tcBorders>
              <w:left w:val="single" w:sz="4" w:space="0" w:color="auto"/>
              <w:righ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18"/>
                <w:szCs w:val="18"/>
              </w:rPr>
            </w:pPr>
            <w:r w:rsidRPr="008E1E94">
              <w:rPr>
                <w:rFonts w:cs="Times New Roman"/>
                <w:b/>
                <w:sz w:val="18"/>
                <w:szCs w:val="18"/>
              </w:rPr>
              <w:t>Sep.</w:t>
            </w:r>
          </w:p>
        </w:tc>
        <w:tc>
          <w:tcPr>
            <w:tcW w:w="2204" w:type="dxa"/>
            <w:vMerge/>
            <w:tcBorders>
              <w:lef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both"/>
              <w:rPr>
                <w:rFonts w:cs="Times New Roman"/>
                <w:b/>
                <w:sz w:val="18"/>
                <w:szCs w:val="18"/>
              </w:rPr>
            </w:pPr>
          </w:p>
        </w:tc>
        <w:tc>
          <w:tcPr>
            <w:tcW w:w="1035" w:type="dxa"/>
            <w:vMerge/>
            <w:shd w:val="clear" w:color="auto" w:fill="C6D9F1" w:themeFill="text2" w:themeFillTint="33"/>
          </w:tcPr>
          <w:p w:rsidR="00E73B47" w:rsidRPr="008E1E94" w:rsidRDefault="00E73B47" w:rsidP="006D70DC">
            <w:pPr>
              <w:pStyle w:val="ListParagraph"/>
              <w:spacing w:after="0" w:line="240" w:lineRule="exact"/>
              <w:ind w:left="0"/>
              <w:jc w:val="center"/>
              <w:rPr>
                <w:rFonts w:cs="Times New Roman"/>
                <w:sz w:val="18"/>
                <w:szCs w:val="18"/>
              </w:rPr>
            </w:pPr>
          </w:p>
        </w:tc>
        <w:tc>
          <w:tcPr>
            <w:tcW w:w="812" w:type="dxa"/>
            <w:vMerge/>
            <w:shd w:val="clear" w:color="auto" w:fill="C6D9F1" w:themeFill="text2" w:themeFillTint="33"/>
          </w:tcPr>
          <w:p w:rsidR="00E73B47" w:rsidRPr="008E1E94" w:rsidRDefault="00E73B47" w:rsidP="006D70DC">
            <w:pPr>
              <w:pStyle w:val="ListParagraph"/>
              <w:spacing w:after="0" w:line="240" w:lineRule="exact"/>
              <w:ind w:left="0"/>
              <w:jc w:val="center"/>
              <w:rPr>
                <w:rFonts w:cs="Times New Roman"/>
                <w:sz w:val="18"/>
                <w:szCs w:val="18"/>
              </w:rPr>
            </w:pPr>
          </w:p>
        </w:tc>
        <w:tc>
          <w:tcPr>
            <w:tcW w:w="1159" w:type="dxa"/>
            <w:vMerge/>
            <w:shd w:val="clear" w:color="auto" w:fill="C6D9F1" w:themeFill="text2" w:themeFillTint="33"/>
          </w:tcPr>
          <w:p w:rsidR="00E73B47" w:rsidRPr="008E1E94" w:rsidRDefault="00E73B47" w:rsidP="006D70DC">
            <w:pPr>
              <w:pStyle w:val="ListParagraph"/>
              <w:spacing w:after="0" w:line="240" w:lineRule="exact"/>
              <w:ind w:left="0"/>
              <w:jc w:val="center"/>
              <w:rPr>
                <w:rFonts w:cs="Times New Roman"/>
                <w:sz w:val="18"/>
                <w:szCs w:val="18"/>
              </w:rPr>
            </w:pPr>
          </w:p>
        </w:tc>
      </w:tr>
      <w:tr w:rsidR="00781D3D" w:rsidRPr="008E1E94" w:rsidTr="001872BC">
        <w:trPr>
          <w:trHeight w:val="242"/>
          <w:jc w:val="center"/>
        </w:trPr>
        <w:tc>
          <w:tcPr>
            <w:tcW w:w="2109" w:type="dxa"/>
            <w:tcBorders>
              <w:bottom w:val="single" w:sz="4" w:space="0" w:color="auto"/>
              <w:right w:val="single" w:sz="4" w:space="0" w:color="auto"/>
            </w:tcBorders>
            <w:shd w:val="clear" w:color="auto" w:fill="FFFFFF" w:themeFill="background1"/>
          </w:tcPr>
          <w:p w:rsidR="00781D3D" w:rsidRPr="00416F6D" w:rsidRDefault="00243F2F" w:rsidP="00243F2F">
            <w:pPr>
              <w:pStyle w:val="ListParagraph"/>
              <w:spacing w:after="0" w:line="240" w:lineRule="exact"/>
              <w:ind w:left="0"/>
              <w:rPr>
                <w:rFonts w:cs="Times New Roman"/>
                <w:sz w:val="18"/>
                <w:szCs w:val="18"/>
              </w:rPr>
            </w:pPr>
            <w:r>
              <w:rPr>
                <w:rFonts w:cs="Times New Roman"/>
                <w:sz w:val="18"/>
                <w:szCs w:val="18"/>
              </w:rPr>
              <w:t>L.</w:t>
            </w:r>
            <w:r w:rsidR="00781D3D" w:rsidRPr="00416F6D">
              <w:rPr>
                <w:rFonts w:cs="Times New Roman"/>
                <w:sz w:val="18"/>
                <w:szCs w:val="18"/>
              </w:rPr>
              <w:t xml:space="preserve"> Shoulder</w:t>
            </w:r>
            <w:r w:rsidR="00781D3D">
              <w:rPr>
                <w:rFonts w:cs="Times New Roman"/>
                <w:sz w:val="18"/>
                <w:szCs w:val="18"/>
              </w:rPr>
              <w:t xml:space="preserve"> </w:t>
            </w:r>
            <w:r>
              <w:rPr>
                <w:rFonts w:cs="Times New Roman"/>
                <w:sz w:val="18"/>
                <w:szCs w:val="18"/>
              </w:rPr>
              <w:t>Impingement</w:t>
            </w:r>
          </w:p>
        </w:tc>
        <w:tc>
          <w:tcPr>
            <w:tcW w:w="860" w:type="dxa"/>
            <w:tcBorders>
              <w:left w:val="single" w:sz="4" w:space="0" w:color="auto"/>
              <w:bottom w:val="single" w:sz="4" w:space="0" w:color="auto"/>
            </w:tcBorders>
            <w:shd w:val="clear" w:color="auto" w:fill="FFFFFF" w:themeFill="background1"/>
          </w:tcPr>
          <w:p w:rsidR="00781D3D" w:rsidRPr="002066B5" w:rsidRDefault="00781D3D" w:rsidP="00243F2F">
            <w:pPr>
              <w:pStyle w:val="ListParagraph"/>
              <w:spacing w:after="0" w:line="240" w:lineRule="exact"/>
              <w:ind w:left="0"/>
              <w:jc w:val="center"/>
              <w:rPr>
                <w:rFonts w:cs="Times New Roman"/>
                <w:sz w:val="18"/>
                <w:szCs w:val="18"/>
                <w:highlight w:val="yellow"/>
              </w:rPr>
            </w:pPr>
            <w:r w:rsidRPr="00416F6D">
              <w:rPr>
                <w:rFonts w:cs="Times New Roman"/>
                <w:sz w:val="18"/>
                <w:szCs w:val="18"/>
              </w:rPr>
              <w:t>5304</w:t>
            </w:r>
          </w:p>
        </w:tc>
        <w:tc>
          <w:tcPr>
            <w:tcW w:w="630" w:type="dxa"/>
            <w:tcBorders>
              <w:bottom w:val="single" w:sz="4" w:space="0" w:color="auto"/>
              <w:right w:val="single" w:sz="4" w:space="0" w:color="auto"/>
            </w:tcBorders>
            <w:shd w:val="clear" w:color="auto" w:fill="FFFFFF" w:themeFill="background1"/>
          </w:tcPr>
          <w:p w:rsidR="00781D3D" w:rsidRPr="008E1E94" w:rsidRDefault="00243F2F" w:rsidP="00243F2F">
            <w:pPr>
              <w:pStyle w:val="ListParagraph"/>
              <w:spacing w:after="0" w:line="240" w:lineRule="exact"/>
              <w:ind w:left="0"/>
              <w:jc w:val="center"/>
              <w:rPr>
                <w:rFonts w:cs="Times New Roman"/>
                <w:sz w:val="18"/>
                <w:szCs w:val="18"/>
                <w:highlight w:val="yellow"/>
              </w:rPr>
            </w:pPr>
            <w:r>
              <w:rPr>
                <w:rFonts w:cs="Times New Roman"/>
                <w:sz w:val="18"/>
                <w:szCs w:val="18"/>
              </w:rPr>
              <w:t>2</w:t>
            </w:r>
            <w:r w:rsidR="00781D3D" w:rsidRPr="00416F6D">
              <w:rPr>
                <w:rFonts w:cs="Times New Roman"/>
                <w:sz w:val="18"/>
                <w:szCs w:val="18"/>
              </w:rPr>
              <w:t>0%</w:t>
            </w:r>
          </w:p>
        </w:tc>
        <w:tc>
          <w:tcPr>
            <w:tcW w:w="630" w:type="dxa"/>
            <w:tcBorders>
              <w:left w:val="single" w:sz="4" w:space="0" w:color="auto"/>
              <w:bottom w:val="single" w:sz="4" w:space="0" w:color="auto"/>
              <w:right w:val="thinThickThinSmallGap" w:sz="24" w:space="0" w:color="auto"/>
            </w:tcBorders>
            <w:shd w:val="clear" w:color="auto" w:fill="FFFFFF" w:themeFill="background1"/>
          </w:tcPr>
          <w:p w:rsidR="00781D3D" w:rsidRPr="008E1E94" w:rsidRDefault="00243F2F" w:rsidP="00243F2F">
            <w:pPr>
              <w:pStyle w:val="ListParagraph"/>
              <w:spacing w:after="0" w:line="240" w:lineRule="exact"/>
              <w:ind w:left="0"/>
              <w:jc w:val="center"/>
              <w:rPr>
                <w:rFonts w:cs="Times New Roman"/>
                <w:sz w:val="18"/>
                <w:szCs w:val="18"/>
                <w:highlight w:val="yellow"/>
              </w:rPr>
            </w:pPr>
            <w:r>
              <w:rPr>
                <w:rFonts w:cs="Times New Roman"/>
                <w:sz w:val="18"/>
                <w:szCs w:val="18"/>
              </w:rPr>
              <w:t>1</w:t>
            </w:r>
            <w:r w:rsidR="00781D3D" w:rsidRPr="00416F6D">
              <w:rPr>
                <w:rFonts w:cs="Times New Roman"/>
                <w:sz w:val="18"/>
                <w:szCs w:val="18"/>
              </w:rPr>
              <w:t>0%</w:t>
            </w:r>
          </w:p>
        </w:tc>
        <w:tc>
          <w:tcPr>
            <w:tcW w:w="2204" w:type="dxa"/>
            <w:tcBorders>
              <w:left w:val="thinThickThinSmallGap" w:sz="24" w:space="0" w:color="auto"/>
              <w:bottom w:val="single" w:sz="4" w:space="0" w:color="auto"/>
            </w:tcBorders>
            <w:shd w:val="clear" w:color="auto" w:fill="FFFFFF" w:themeFill="background1"/>
          </w:tcPr>
          <w:p w:rsidR="00781D3D" w:rsidRPr="008E1E94" w:rsidRDefault="00243F2F" w:rsidP="006D70DC">
            <w:pPr>
              <w:pStyle w:val="ListParagraph"/>
              <w:spacing w:after="0" w:line="240" w:lineRule="exact"/>
              <w:ind w:left="0"/>
              <w:jc w:val="both"/>
              <w:rPr>
                <w:rFonts w:cs="Times New Roman"/>
                <w:sz w:val="18"/>
                <w:szCs w:val="18"/>
                <w:highlight w:val="yellow"/>
              </w:rPr>
            </w:pPr>
            <w:r>
              <w:rPr>
                <w:rFonts w:cs="Times New Roman"/>
                <w:sz w:val="18"/>
                <w:szCs w:val="18"/>
              </w:rPr>
              <w:t>Left</w:t>
            </w:r>
            <w:r w:rsidR="00781D3D" w:rsidRPr="00E73B47">
              <w:rPr>
                <w:rFonts w:cs="Times New Roman"/>
                <w:sz w:val="18"/>
                <w:szCs w:val="18"/>
              </w:rPr>
              <w:t xml:space="preserve"> Shoulder </w:t>
            </w:r>
            <w:proofErr w:type="spellStart"/>
            <w:r w:rsidR="00781D3D" w:rsidRPr="00E73B47">
              <w:rPr>
                <w:rFonts w:cs="Times New Roman"/>
                <w:sz w:val="18"/>
                <w:szCs w:val="18"/>
              </w:rPr>
              <w:t>Labral</w:t>
            </w:r>
            <w:proofErr w:type="spellEnd"/>
            <w:r w:rsidR="00781D3D" w:rsidRPr="00E73B47">
              <w:rPr>
                <w:rFonts w:cs="Times New Roman"/>
                <w:sz w:val="18"/>
                <w:szCs w:val="18"/>
              </w:rPr>
              <w:t xml:space="preserve"> Tear</w:t>
            </w:r>
          </w:p>
        </w:tc>
        <w:tc>
          <w:tcPr>
            <w:tcW w:w="1035" w:type="dxa"/>
            <w:tcBorders>
              <w:bottom w:val="single" w:sz="4" w:space="0" w:color="auto"/>
            </w:tcBorders>
            <w:shd w:val="clear" w:color="auto" w:fill="FFFFFF" w:themeFill="background1"/>
          </w:tcPr>
          <w:p w:rsidR="00781D3D" w:rsidRPr="008E1E94" w:rsidRDefault="00781D3D" w:rsidP="006D70DC">
            <w:pPr>
              <w:pStyle w:val="ListParagraph"/>
              <w:spacing w:after="0" w:line="240" w:lineRule="exact"/>
              <w:ind w:left="0"/>
              <w:jc w:val="center"/>
              <w:rPr>
                <w:rFonts w:cs="Times New Roman"/>
                <w:sz w:val="18"/>
                <w:szCs w:val="18"/>
                <w:highlight w:val="yellow"/>
              </w:rPr>
            </w:pPr>
            <w:r w:rsidRPr="0083772A">
              <w:rPr>
                <w:rFonts w:cs="Times New Roman"/>
                <w:sz w:val="18"/>
                <w:szCs w:val="18"/>
              </w:rPr>
              <w:t>5299-5203</w:t>
            </w:r>
          </w:p>
        </w:tc>
        <w:tc>
          <w:tcPr>
            <w:tcW w:w="812" w:type="dxa"/>
            <w:tcBorders>
              <w:bottom w:val="single" w:sz="4" w:space="0" w:color="auto"/>
            </w:tcBorders>
            <w:shd w:val="clear" w:color="auto" w:fill="FFFFFF" w:themeFill="background1"/>
          </w:tcPr>
          <w:p w:rsidR="00781D3D" w:rsidRPr="008E1E94" w:rsidRDefault="00781D3D" w:rsidP="006D70DC">
            <w:pPr>
              <w:pStyle w:val="ListParagraph"/>
              <w:spacing w:after="0" w:line="240" w:lineRule="exact"/>
              <w:ind w:left="0"/>
              <w:jc w:val="center"/>
              <w:rPr>
                <w:rFonts w:cs="Times New Roman"/>
                <w:sz w:val="18"/>
                <w:szCs w:val="18"/>
                <w:highlight w:val="yellow"/>
              </w:rPr>
            </w:pPr>
            <w:r w:rsidRPr="0083772A">
              <w:rPr>
                <w:rFonts w:cs="Times New Roman"/>
                <w:sz w:val="18"/>
                <w:szCs w:val="18"/>
              </w:rPr>
              <w:t>10%</w:t>
            </w:r>
          </w:p>
        </w:tc>
        <w:tc>
          <w:tcPr>
            <w:tcW w:w="1159" w:type="dxa"/>
            <w:tcBorders>
              <w:bottom w:val="single" w:sz="4" w:space="0" w:color="auto"/>
            </w:tcBorders>
            <w:shd w:val="clear" w:color="auto" w:fill="FFFFFF" w:themeFill="background1"/>
          </w:tcPr>
          <w:p w:rsidR="00781D3D" w:rsidRPr="0014124E" w:rsidRDefault="00781D3D" w:rsidP="006D70DC">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781D3D" w:rsidRPr="008E1E94" w:rsidTr="001872BC">
        <w:trPr>
          <w:trHeight w:val="170"/>
          <w:jc w:val="center"/>
        </w:trPr>
        <w:tc>
          <w:tcPr>
            <w:tcW w:w="2109" w:type="dxa"/>
            <w:tcBorders>
              <w:top w:val="single" w:sz="4" w:space="0" w:color="auto"/>
              <w:right w:val="single" w:sz="4" w:space="0" w:color="auto"/>
            </w:tcBorders>
            <w:shd w:val="clear" w:color="auto" w:fill="FFFFFF" w:themeFill="background1"/>
          </w:tcPr>
          <w:p w:rsidR="00781D3D" w:rsidRPr="00416F6D" w:rsidRDefault="00243F2F" w:rsidP="00243F2F">
            <w:pPr>
              <w:pStyle w:val="ListParagraph"/>
              <w:spacing w:line="240" w:lineRule="exact"/>
              <w:ind w:left="0"/>
              <w:rPr>
                <w:rFonts w:cs="Times New Roman"/>
                <w:sz w:val="18"/>
                <w:szCs w:val="18"/>
              </w:rPr>
            </w:pPr>
            <w:r>
              <w:rPr>
                <w:rFonts w:cs="Times New Roman"/>
                <w:sz w:val="18"/>
                <w:szCs w:val="18"/>
              </w:rPr>
              <w:t>R. Shoulder Impingement</w:t>
            </w:r>
          </w:p>
        </w:tc>
        <w:tc>
          <w:tcPr>
            <w:tcW w:w="860" w:type="dxa"/>
            <w:tcBorders>
              <w:top w:val="single" w:sz="4" w:space="0" w:color="auto"/>
              <w:left w:val="single" w:sz="4" w:space="0" w:color="auto"/>
            </w:tcBorders>
            <w:shd w:val="clear" w:color="auto" w:fill="FFFFFF" w:themeFill="background1"/>
          </w:tcPr>
          <w:p w:rsidR="00781D3D" w:rsidRPr="00416F6D" w:rsidRDefault="00243F2F" w:rsidP="006D70DC">
            <w:pPr>
              <w:pStyle w:val="ListParagraph"/>
              <w:spacing w:line="240" w:lineRule="exact"/>
              <w:ind w:left="0"/>
              <w:jc w:val="center"/>
              <w:rPr>
                <w:rFonts w:cs="Times New Roman"/>
                <w:sz w:val="18"/>
                <w:szCs w:val="18"/>
              </w:rPr>
            </w:pPr>
            <w:r>
              <w:rPr>
                <w:rFonts w:cs="Times New Roman"/>
                <w:sz w:val="18"/>
                <w:szCs w:val="18"/>
              </w:rPr>
              <w:t>5304</w:t>
            </w:r>
          </w:p>
        </w:tc>
        <w:tc>
          <w:tcPr>
            <w:tcW w:w="630" w:type="dxa"/>
            <w:tcBorders>
              <w:top w:val="single" w:sz="4" w:space="0" w:color="auto"/>
              <w:right w:val="single" w:sz="4" w:space="0" w:color="auto"/>
            </w:tcBorders>
            <w:shd w:val="clear" w:color="auto" w:fill="FFFFFF" w:themeFill="background1"/>
          </w:tcPr>
          <w:p w:rsidR="00781D3D" w:rsidRPr="00416F6D" w:rsidRDefault="00243F2F" w:rsidP="006D70DC">
            <w:pPr>
              <w:pStyle w:val="ListParagraph"/>
              <w:spacing w:line="240" w:lineRule="exact"/>
              <w:ind w:left="0"/>
              <w:jc w:val="center"/>
              <w:rPr>
                <w:rFonts w:cs="Times New Roman"/>
                <w:sz w:val="18"/>
                <w:szCs w:val="18"/>
              </w:rPr>
            </w:pPr>
            <w:r>
              <w:rPr>
                <w:rFonts w:cs="Times New Roman"/>
                <w:sz w:val="18"/>
                <w:szCs w:val="18"/>
              </w:rPr>
              <w:t>20%</w:t>
            </w:r>
          </w:p>
        </w:tc>
        <w:tc>
          <w:tcPr>
            <w:tcW w:w="630" w:type="dxa"/>
            <w:tcBorders>
              <w:top w:val="single" w:sz="4" w:space="0" w:color="auto"/>
              <w:left w:val="single" w:sz="4" w:space="0" w:color="auto"/>
              <w:right w:val="thinThickThinSmallGap" w:sz="24" w:space="0" w:color="auto"/>
            </w:tcBorders>
            <w:shd w:val="clear" w:color="auto" w:fill="FFFFFF" w:themeFill="background1"/>
          </w:tcPr>
          <w:p w:rsidR="00781D3D" w:rsidRPr="00416F6D" w:rsidRDefault="00243F2F" w:rsidP="006D70DC">
            <w:pPr>
              <w:pStyle w:val="ListParagraph"/>
              <w:spacing w:line="240" w:lineRule="exact"/>
              <w:ind w:left="0"/>
              <w:jc w:val="center"/>
              <w:rPr>
                <w:rFonts w:cs="Times New Roman"/>
                <w:sz w:val="18"/>
                <w:szCs w:val="18"/>
              </w:rPr>
            </w:pPr>
            <w:r>
              <w:rPr>
                <w:rFonts w:cs="Times New Roman"/>
                <w:sz w:val="18"/>
                <w:szCs w:val="18"/>
              </w:rPr>
              <w:t>10%</w:t>
            </w:r>
          </w:p>
        </w:tc>
        <w:tc>
          <w:tcPr>
            <w:tcW w:w="2204" w:type="dxa"/>
            <w:tcBorders>
              <w:top w:val="single" w:sz="4" w:space="0" w:color="auto"/>
              <w:left w:val="thinThickThinSmallGap" w:sz="24" w:space="0" w:color="auto"/>
            </w:tcBorders>
            <w:shd w:val="clear" w:color="auto" w:fill="FFFFFF" w:themeFill="background1"/>
          </w:tcPr>
          <w:p w:rsidR="00781D3D" w:rsidRDefault="00243F2F" w:rsidP="00E73B47">
            <w:pPr>
              <w:pStyle w:val="ListParagraph"/>
              <w:spacing w:after="0" w:line="240" w:lineRule="exact"/>
              <w:ind w:left="0"/>
              <w:jc w:val="both"/>
              <w:rPr>
                <w:rFonts w:cs="Times New Roman"/>
                <w:sz w:val="18"/>
                <w:szCs w:val="18"/>
                <w:highlight w:val="yellow"/>
              </w:rPr>
            </w:pPr>
            <w:r>
              <w:rPr>
                <w:rFonts w:cs="Times New Roman"/>
                <w:sz w:val="18"/>
                <w:szCs w:val="18"/>
              </w:rPr>
              <w:t>Right</w:t>
            </w:r>
            <w:r w:rsidR="00781D3D" w:rsidRPr="00E73B47">
              <w:rPr>
                <w:rFonts w:cs="Times New Roman"/>
                <w:sz w:val="18"/>
                <w:szCs w:val="18"/>
              </w:rPr>
              <w:t xml:space="preserve"> Shoulder </w:t>
            </w:r>
            <w:proofErr w:type="spellStart"/>
            <w:r w:rsidR="00781D3D" w:rsidRPr="00E73B47">
              <w:rPr>
                <w:rFonts w:cs="Times New Roman"/>
                <w:sz w:val="18"/>
                <w:szCs w:val="18"/>
              </w:rPr>
              <w:t>Labral</w:t>
            </w:r>
            <w:proofErr w:type="spellEnd"/>
            <w:r w:rsidR="00781D3D" w:rsidRPr="00E73B47">
              <w:rPr>
                <w:rFonts w:cs="Times New Roman"/>
                <w:sz w:val="18"/>
                <w:szCs w:val="18"/>
              </w:rPr>
              <w:t xml:space="preserve"> Tear</w:t>
            </w:r>
          </w:p>
        </w:tc>
        <w:tc>
          <w:tcPr>
            <w:tcW w:w="1035" w:type="dxa"/>
            <w:tcBorders>
              <w:top w:val="single" w:sz="4" w:space="0" w:color="auto"/>
            </w:tcBorders>
            <w:shd w:val="clear" w:color="auto" w:fill="FFFFFF" w:themeFill="background1"/>
          </w:tcPr>
          <w:p w:rsidR="00781D3D" w:rsidRDefault="00781D3D" w:rsidP="00781D3D">
            <w:pPr>
              <w:pStyle w:val="ListParagraph"/>
              <w:spacing w:after="0" w:line="240" w:lineRule="exact"/>
              <w:ind w:left="0"/>
              <w:jc w:val="center"/>
              <w:rPr>
                <w:rFonts w:cs="Times New Roman"/>
                <w:sz w:val="18"/>
                <w:szCs w:val="18"/>
                <w:highlight w:val="yellow"/>
              </w:rPr>
            </w:pPr>
            <w:r w:rsidRPr="0083772A">
              <w:rPr>
                <w:rFonts w:cs="Times New Roman"/>
                <w:sz w:val="18"/>
                <w:szCs w:val="18"/>
              </w:rPr>
              <w:t>5299-5203</w:t>
            </w:r>
          </w:p>
        </w:tc>
        <w:tc>
          <w:tcPr>
            <w:tcW w:w="812" w:type="dxa"/>
            <w:tcBorders>
              <w:top w:val="single" w:sz="4" w:space="0" w:color="auto"/>
            </w:tcBorders>
            <w:shd w:val="clear" w:color="auto" w:fill="FFFFFF" w:themeFill="background1"/>
          </w:tcPr>
          <w:p w:rsidR="00781D3D" w:rsidRDefault="00781D3D" w:rsidP="00E73B47">
            <w:pPr>
              <w:pStyle w:val="ListParagraph"/>
              <w:spacing w:after="0" w:line="240" w:lineRule="exact"/>
              <w:ind w:left="0"/>
              <w:jc w:val="center"/>
              <w:rPr>
                <w:rFonts w:cs="Times New Roman"/>
                <w:sz w:val="18"/>
                <w:szCs w:val="18"/>
                <w:highlight w:val="yellow"/>
              </w:rPr>
            </w:pPr>
            <w:r w:rsidRPr="0083772A">
              <w:rPr>
                <w:rFonts w:cs="Times New Roman"/>
                <w:sz w:val="18"/>
                <w:szCs w:val="18"/>
              </w:rPr>
              <w:t>10%</w:t>
            </w:r>
          </w:p>
        </w:tc>
        <w:tc>
          <w:tcPr>
            <w:tcW w:w="1159" w:type="dxa"/>
            <w:tcBorders>
              <w:top w:val="single" w:sz="4" w:space="0" w:color="auto"/>
            </w:tcBorders>
            <w:shd w:val="clear" w:color="auto" w:fill="FFFFFF" w:themeFill="background1"/>
          </w:tcPr>
          <w:p w:rsidR="00781D3D" w:rsidRPr="0014124E" w:rsidRDefault="00E252D8" w:rsidP="006D70DC">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5A6411" w:rsidRPr="008E1E94" w:rsidTr="001872BC">
        <w:trPr>
          <w:trHeight w:val="116"/>
          <w:jc w:val="center"/>
        </w:trPr>
        <w:tc>
          <w:tcPr>
            <w:tcW w:w="4229" w:type="dxa"/>
            <w:gridSpan w:val="4"/>
            <w:vMerge w:val="restart"/>
            <w:tcBorders>
              <w:right w:val="thinThickThinSmallGap" w:sz="24" w:space="0" w:color="auto"/>
            </w:tcBorders>
            <w:shd w:val="clear" w:color="auto" w:fill="FFFFFF" w:themeFill="background1"/>
            <w:vAlign w:val="center"/>
          </w:tcPr>
          <w:p w:rsidR="005A6411" w:rsidRPr="007D6BFE" w:rsidRDefault="005A6411" w:rsidP="005A6411">
            <w:pPr>
              <w:pStyle w:val="ListParagraph"/>
              <w:spacing w:line="240" w:lineRule="exact"/>
              <w:ind w:left="0"/>
              <w:jc w:val="center"/>
              <w:rPr>
                <w:rFonts w:cs="Times New Roman"/>
                <w:sz w:val="18"/>
                <w:szCs w:val="18"/>
                <w:highlight w:val="yellow"/>
              </w:rPr>
            </w:pPr>
            <w:r w:rsidRPr="0042528C">
              <w:rPr>
                <w:sz w:val="18"/>
                <w:szCs w:val="18"/>
              </w:rPr>
              <w:t>↓No Additional MEB</w:t>
            </w:r>
            <w:r>
              <w:rPr>
                <w:sz w:val="18"/>
                <w:szCs w:val="18"/>
              </w:rPr>
              <w:t>/PEB</w:t>
            </w:r>
            <w:r w:rsidRPr="0042528C">
              <w:rPr>
                <w:sz w:val="18"/>
                <w:szCs w:val="18"/>
              </w:rPr>
              <w:t xml:space="preserve"> Entries↓</w:t>
            </w:r>
          </w:p>
        </w:tc>
        <w:tc>
          <w:tcPr>
            <w:tcW w:w="2204" w:type="dxa"/>
            <w:tcBorders>
              <w:left w:val="thinThickThinSmallGap" w:sz="24" w:space="0" w:color="auto"/>
            </w:tcBorders>
            <w:shd w:val="clear" w:color="auto" w:fill="FFFFFF" w:themeFill="background1"/>
          </w:tcPr>
          <w:p w:rsidR="005A6411" w:rsidRPr="008E1E94" w:rsidRDefault="005A6411" w:rsidP="006D70DC">
            <w:pPr>
              <w:pStyle w:val="ListParagraph"/>
              <w:spacing w:after="0" w:line="240" w:lineRule="exact"/>
              <w:ind w:left="0"/>
              <w:jc w:val="both"/>
              <w:rPr>
                <w:rFonts w:cs="Times New Roman"/>
                <w:sz w:val="18"/>
                <w:szCs w:val="18"/>
                <w:highlight w:val="yellow"/>
              </w:rPr>
            </w:pPr>
            <w:r w:rsidRPr="005A6411">
              <w:rPr>
                <w:rFonts w:cs="Times New Roman"/>
                <w:sz w:val="18"/>
                <w:szCs w:val="18"/>
              </w:rPr>
              <w:t>P</w:t>
            </w:r>
            <w:r>
              <w:rPr>
                <w:rFonts w:cs="Times New Roman"/>
                <w:sz w:val="18"/>
                <w:szCs w:val="18"/>
              </w:rPr>
              <w:t>TSD</w:t>
            </w:r>
          </w:p>
        </w:tc>
        <w:tc>
          <w:tcPr>
            <w:tcW w:w="1035" w:type="dxa"/>
            <w:shd w:val="clear" w:color="auto" w:fill="FFFFFF" w:themeFill="background1"/>
          </w:tcPr>
          <w:p w:rsidR="005A6411" w:rsidRPr="008E1E94" w:rsidRDefault="005A6411" w:rsidP="006D70DC">
            <w:pPr>
              <w:pStyle w:val="ListParagraph"/>
              <w:spacing w:after="0" w:line="240" w:lineRule="exact"/>
              <w:ind w:left="0"/>
              <w:jc w:val="center"/>
              <w:rPr>
                <w:rFonts w:cs="Times New Roman"/>
                <w:sz w:val="18"/>
                <w:szCs w:val="18"/>
                <w:highlight w:val="yellow"/>
              </w:rPr>
            </w:pPr>
            <w:r w:rsidRPr="005A6411">
              <w:rPr>
                <w:rFonts w:cs="Times New Roman"/>
                <w:sz w:val="18"/>
                <w:szCs w:val="18"/>
              </w:rPr>
              <w:t>9411</w:t>
            </w:r>
          </w:p>
        </w:tc>
        <w:tc>
          <w:tcPr>
            <w:tcW w:w="812" w:type="dxa"/>
            <w:shd w:val="clear" w:color="auto" w:fill="FFFFFF" w:themeFill="background1"/>
          </w:tcPr>
          <w:p w:rsidR="005A6411" w:rsidRPr="008E1E94" w:rsidRDefault="005A6411" w:rsidP="005A6411">
            <w:pPr>
              <w:pStyle w:val="ListParagraph"/>
              <w:spacing w:after="0" w:line="240" w:lineRule="exact"/>
              <w:ind w:left="0"/>
              <w:jc w:val="center"/>
              <w:rPr>
                <w:rFonts w:cs="Times New Roman"/>
                <w:sz w:val="18"/>
                <w:szCs w:val="18"/>
                <w:highlight w:val="yellow"/>
              </w:rPr>
            </w:pPr>
            <w:r w:rsidRPr="005A6411">
              <w:rPr>
                <w:rFonts w:cs="Times New Roman"/>
                <w:sz w:val="18"/>
                <w:szCs w:val="18"/>
              </w:rPr>
              <w:t>30%</w:t>
            </w:r>
          </w:p>
        </w:tc>
        <w:tc>
          <w:tcPr>
            <w:tcW w:w="1159" w:type="dxa"/>
            <w:shd w:val="clear" w:color="auto" w:fill="FFFFFF" w:themeFill="background1"/>
          </w:tcPr>
          <w:p w:rsidR="005A6411" w:rsidRPr="0014124E" w:rsidRDefault="0014124E" w:rsidP="006D70DC">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C77597" w:rsidRPr="008E1E94" w:rsidTr="001872BC">
        <w:trPr>
          <w:trHeight w:val="143"/>
          <w:jc w:val="center"/>
        </w:trPr>
        <w:tc>
          <w:tcPr>
            <w:tcW w:w="4229" w:type="dxa"/>
            <w:gridSpan w:val="4"/>
            <w:vMerge/>
            <w:tcBorders>
              <w:right w:val="thinThickThinSmallGap" w:sz="24" w:space="0" w:color="auto"/>
            </w:tcBorders>
            <w:shd w:val="clear" w:color="auto" w:fill="FFFFFF" w:themeFill="background1"/>
          </w:tcPr>
          <w:p w:rsidR="00C77597" w:rsidRPr="002066B5" w:rsidRDefault="00C77597" w:rsidP="006D70DC">
            <w:pPr>
              <w:pStyle w:val="ListParagraph"/>
              <w:spacing w:line="240" w:lineRule="exact"/>
              <w:ind w:left="0"/>
              <w:jc w:val="center"/>
              <w:rPr>
                <w:rFonts w:cs="Times New Roman"/>
                <w:sz w:val="18"/>
                <w:szCs w:val="18"/>
                <w:highlight w:val="yellow"/>
              </w:rPr>
            </w:pPr>
          </w:p>
        </w:tc>
        <w:tc>
          <w:tcPr>
            <w:tcW w:w="2204" w:type="dxa"/>
            <w:tcBorders>
              <w:left w:val="thinThickThinSmallGap" w:sz="24" w:space="0" w:color="auto"/>
              <w:right w:val="single" w:sz="4" w:space="0" w:color="auto"/>
            </w:tcBorders>
            <w:shd w:val="clear" w:color="auto" w:fill="FFFFFF" w:themeFill="background1"/>
            <w:vAlign w:val="center"/>
          </w:tcPr>
          <w:p w:rsidR="00C77597" w:rsidRPr="008E1E94" w:rsidRDefault="00C77597" w:rsidP="006D70DC">
            <w:pPr>
              <w:pStyle w:val="ListParagraph"/>
              <w:spacing w:after="0" w:line="240" w:lineRule="exact"/>
              <w:ind w:left="0"/>
              <w:rPr>
                <w:rFonts w:cs="Times New Roman"/>
                <w:sz w:val="18"/>
                <w:szCs w:val="18"/>
                <w:highlight w:val="yellow"/>
              </w:rPr>
            </w:pPr>
            <w:r w:rsidRPr="00974B59">
              <w:rPr>
                <w:rFonts w:cs="Times New Roman"/>
                <w:sz w:val="18"/>
                <w:szCs w:val="18"/>
              </w:rPr>
              <w:t>Cervical Spine Disc Disease</w:t>
            </w:r>
          </w:p>
        </w:tc>
        <w:tc>
          <w:tcPr>
            <w:tcW w:w="1035" w:type="dxa"/>
            <w:tcBorders>
              <w:left w:val="single" w:sz="4" w:space="0" w:color="auto"/>
              <w:right w:val="single" w:sz="4" w:space="0" w:color="auto"/>
            </w:tcBorders>
            <w:shd w:val="clear" w:color="auto" w:fill="FFFFFF" w:themeFill="background1"/>
            <w:vAlign w:val="center"/>
          </w:tcPr>
          <w:p w:rsidR="00C77597" w:rsidRPr="008E1E94" w:rsidRDefault="00C77597" w:rsidP="00C77597">
            <w:pPr>
              <w:pStyle w:val="ListParagraph"/>
              <w:spacing w:after="0" w:line="240" w:lineRule="exact"/>
              <w:ind w:left="0"/>
              <w:jc w:val="center"/>
              <w:rPr>
                <w:rFonts w:cs="Times New Roman"/>
                <w:sz w:val="18"/>
                <w:szCs w:val="18"/>
                <w:highlight w:val="yellow"/>
              </w:rPr>
            </w:pPr>
            <w:r w:rsidRPr="00974B59">
              <w:rPr>
                <w:rFonts w:cs="Times New Roman"/>
                <w:sz w:val="18"/>
                <w:szCs w:val="18"/>
              </w:rPr>
              <w:t>5242</w:t>
            </w:r>
          </w:p>
        </w:tc>
        <w:tc>
          <w:tcPr>
            <w:tcW w:w="812" w:type="dxa"/>
            <w:tcBorders>
              <w:left w:val="single" w:sz="4" w:space="0" w:color="auto"/>
            </w:tcBorders>
            <w:shd w:val="clear" w:color="auto" w:fill="FFFFFF" w:themeFill="background1"/>
            <w:vAlign w:val="center"/>
          </w:tcPr>
          <w:p w:rsidR="00C77597" w:rsidRPr="008E1E94" w:rsidRDefault="00C77597" w:rsidP="00C77597">
            <w:pPr>
              <w:pStyle w:val="ListParagraph"/>
              <w:spacing w:after="0" w:line="240" w:lineRule="exact"/>
              <w:ind w:left="0"/>
              <w:jc w:val="center"/>
              <w:rPr>
                <w:rFonts w:cs="Times New Roman"/>
                <w:sz w:val="18"/>
                <w:szCs w:val="18"/>
                <w:highlight w:val="yellow"/>
              </w:rPr>
            </w:pPr>
            <w:r w:rsidRPr="00C77597">
              <w:rPr>
                <w:rFonts w:cs="Times New Roman"/>
                <w:sz w:val="18"/>
                <w:szCs w:val="18"/>
              </w:rPr>
              <w:t>10%</w:t>
            </w:r>
          </w:p>
        </w:tc>
        <w:tc>
          <w:tcPr>
            <w:tcW w:w="1159" w:type="dxa"/>
            <w:shd w:val="clear" w:color="auto" w:fill="FFFFFF" w:themeFill="background1"/>
          </w:tcPr>
          <w:p w:rsidR="00C77597" w:rsidRPr="0014124E" w:rsidRDefault="0014124E" w:rsidP="006D70DC">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5A6411" w:rsidRPr="008E1E94" w:rsidTr="001872BC">
        <w:trPr>
          <w:trHeight w:val="161"/>
          <w:jc w:val="center"/>
        </w:trPr>
        <w:tc>
          <w:tcPr>
            <w:tcW w:w="4229" w:type="dxa"/>
            <w:gridSpan w:val="4"/>
            <w:vMerge/>
            <w:tcBorders>
              <w:right w:val="thinThickThinSmallGap" w:sz="24" w:space="0" w:color="auto"/>
            </w:tcBorders>
            <w:shd w:val="clear" w:color="auto" w:fill="FFFFFF" w:themeFill="background1"/>
            <w:vAlign w:val="center"/>
          </w:tcPr>
          <w:p w:rsidR="005A6411" w:rsidRPr="002066B5" w:rsidRDefault="005A6411" w:rsidP="006D70DC">
            <w:pPr>
              <w:pStyle w:val="ListParagraph"/>
              <w:spacing w:after="0" w:line="240" w:lineRule="exact"/>
              <w:ind w:left="0"/>
              <w:jc w:val="center"/>
              <w:rPr>
                <w:rFonts w:cs="Times New Roman"/>
                <w:sz w:val="18"/>
                <w:szCs w:val="18"/>
                <w:highlight w:val="yellow"/>
              </w:rPr>
            </w:pPr>
          </w:p>
        </w:tc>
        <w:tc>
          <w:tcPr>
            <w:tcW w:w="2204" w:type="dxa"/>
            <w:tcBorders>
              <w:left w:val="thinThickThinSmallGap" w:sz="24" w:space="0" w:color="auto"/>
              <w:bottom w:val="single" w:sz="4" w:space="0" w:color="000000" w:themeColor="text1"/>
            </w:tcBorders>
            <w:shd w:val="clear" w:color="auto" w:fill="FFFFFF" w:themeFill="background1"/>
          </w:tcPr>
          <w:p w:rsidR="005A6411" w:rsidRPr="00DB22E0" w:rsidRDefault="00974B59" w:rsidP="006D70DC">
            <w:pPr>
              <w:spacing w:line="240" w:lineRule="exact"/>
              <w:jc w:val="both"/>
              <w:rPr>
                <w:rFonts w:cs="Times New Roman"/>
                <w:color w:val="auto"/>
                <w:sz w:val="18"/>
                <w:szCs w:val="18"/>
                <w:highlight w:val="yellow"/>
              </w:rPr>
            </w:pPr>
            <w:r w:rsidRPr="00974B59">
              <w:rPr>
                <w:rFonts w:cs="Times New Roman"/>
                <w:color w:val="auto"/>
                <w:sz w:val="18"/>
                <w:szCs w:val="18"/>
              </w:rPr>
              <w:t>Lumbar Spine Disc Disease</w:t>
            </w:r>
          </w:p>
        </w:tc>
        <w:tc>
          <w:tcPr>
            <w:tcW w:w="1035" w:type="dxa"/>
            <w:tcBorders>
              <w:bottom w:val="single" w:sz="4" w:space="0" w:color="000000" w:themeColor="text1"/>
            </w:tcBorders>
            <w:shd w:val="clear" w:color="auto" w:fill="FFFFFF" w:themeFill="background1"/>
          </w:tcPr>
          <w:p w:rsidR="005A6411" w:rsidRPr="008E1E94" w:rsidRDefault="00974B59" w:rsidP="006D70DC">
            <w:pPr>
              <w:pStyle w:val="ListParagraph"/>
              <w:spacing w:after="0" w:line="240" w:lineRule="exact"/>
              <w:ind w:left="0"/>
              <w:jc w:val="center"/>
              <w:rPr>
                <w:rFonts w:cs="Times New Roman"/>
                <w:sz w:val="18"/>
                <w:szCs w:val="18"/>
                <w:highlight w:val="yellow"/>
              </w:rPr>
            </w:pPr>
            <w:r w:rsidRPr="00974B59">
              <w:rPr>
                <w:rFonts w:cs="Times New Roman"/>
                <w:sz w:val="18"/>
                <w:szCs w:val="18"/>
              </w:rPr>
              <w:t>5242</w:t>
            </w:r>
          </w:p>
        </w:tc>
        <w:tc>
          <w:tcPr>
            <w:tcW w:w="812" w:type="dxa"/>
            <w:tcBorders>
              <w:bottom w:val="single" w:sz="4" w:space="0" w:color="000000" w:themeColor="text1"/>
            </w:tcBorders>
            <w:shd w:val="clear" w:color="auto" w:fill="FFFFFF" w:themeFill="background1"/>
          </w:tcPr>
          <w:p w:rsidR="005A6411" w:rsidRPr="008E1E94" w:rsidRDefault="00974B59" w:rsidP="00974B59">
            <w:pPr>
              <w:pStyle w:val="ListParagraph"/>
              <w:spacing w:after="0" w:line="240" w:lineRule="exact"/>
              <w:ind w:left="0"/>
              <w:jc w:val="center"/>
              <w:rPr>
                <w:rFonts w:cs="Times New Roman"/>
                <w:sz w:val="18"/>
                <w:szCs w:val="18"/>
                <w:highlight w:val="yellow"/>
              </w:rPr>
            </w:pPr>
            <w:r w:rsidRPr="00974B59">
              <w:rPr>
                <w:rFonts w:cs="Times New Roman"/>
                <w:sz w:val="18"/>
                <w:szCs w:val="18"/>
              </w:rPr>
              <w:t>10</w:t>
            </w:r>
            <w:r w:rsidR="005A6411" w:rsidRPr="00974B59">
              <w:rPr>
                <w:rFonts w:cs="Times New Roman"/>
                <w:sz w:val="18"/>
                <w:szCs w:val="18"/>
              </w:rPr>
              <w:t>%</w:t>
            </w:r>
          </w:p>
        </w:tc>
        <w:tc>
          <w:tcPr>
            <w:tcW w:w="1159" w:type="dxa"/>
            <w:tcBorders>
              <w:bottom w:val="single" w:sz="4" w:space="0" w:color="000000" w:themeColor="text1"/>
            </w:tcBorders>
            <w:shd w:val="clear" w:color="auto" w:fill="FFFFFF" w:themeFill="background1"/>
          </w:tcPr>
          <w:p w:rsidR="005A6411" w:rsidRPr="0014124E" w:rsidRDefault="005A6411" w:rsidP="00C77597">
            <w:pPr>
              <w:pStyle w:val="ListParagraph"/>
              <w:spacing w:after="0" w:line="240" w:lineRule="exact"/>
              <w:ind w:left="0"/>
              <w:jc w:val="center"/>
              <w:rPr>
                <w:rFonts w:cs="Times New Roman"/>
                <w:sz w:val="18"/>
                <w:szCs w:val="18"/>
              </w:rPr>
            </w:pPr>
            <w:r w:rsidRPr="0014124E">
              <w:rPr>
                <w:rFonts w:cs="Times New Roman"/>
                <w:sz w:val="18"/>
                <w:szCs w:val="18"/>
              </w:rPr>
              <w:t>200</w:t>
            </w:r>
            <w:r w:rsidR="00C77597" w:rsidRPr="0014124E">
              <w:rPr>
                <w:rFonts w:cs="Times New Roman"/>
                <w:sz w:val="18"/>
                <w:szCs w:val="18"/>
              </w:rPr>
              <w:t>50729</w:t>
            </w:r>
          </w:p>
        </w:tc>
      </w:tr>
      <w:tr w:rsidR="00C77597" w:rsidRPr="008E1E94" w:rsidTr="001872BC">
        <w:trPr>
          <w:trHeight w:val="179"/>
          <w:jc w:val="center"/>
        </w:trPr>
        <w:tc>
          <w:tcPr>
            <w:tcW w:w="4229" w:type="dxa"/>
            <w:gridSpan w:val="4"/>
            <w:vMerge/>
            <w:tcBorders>
              <w:right w:val="thinThickThinSmallGap" w:sz="24" w:space="0" w:color="auto"/>
            </w:tcBorders>
            <w:shd w:val="clear" w:color="auto" w:fill="FFFFFF" w:themeFill="background1"/>
            <w:vAlign w:val="center"/>
          </w:tcPr>
          <w:p w:rsidR="00C77597" w:rsidRPr="002066B5" w:rsidRDefault="00C77597" w:rsidP="006D70DC">
            <w:pPr>
              <w:pStyle w:val="ListParagraph"/>
              <w:spacing w:after="0" w:line="240" w:lineRule="exact"/>
              <w:ind w:left="0"/>
              <w:jc w:val="center"/>
              <w:rPr>
                <w:rFonts w:cs="Times New Roman"/>
                <w:sz w:val="18"/>
                <w:szCs w:val="18"/>
                <w:highlight w:val="yellow"/>
              </w:rPr>
            </w:pPr>
          </w:p>
        </w:tc>
        <w:tc>
          <w:tcPr>
            <w:tcW w:w="2204" w:type="dxa"/>
            <w:tcBorders>
              <w:left w:val="thinThickThinSmallGap" w:sz="24" w:space="0" w:color="auto"/>
              <w:bottom w:val="single" w:sz="4" w:space="0" w:color="000000" w:themeColor="text1"/>
            </w:tcBorders>
            <w:shd w:val="clear" w:color="auto" w:fill="FFFFFF" w:themeFill="background1"/>
          </w:tcPr>
          <w:p w:rsidR="00C77597" w:rsidRPr="00974B59" w:rsidRDefault="00C77597" w:rsidP="006D70DC">
            <w:pPr>
              <w:spacing w:line="240" w:lineRule="exact"/>
              <w:jc w:val="both"/>
              <w:rPr>
                <w:color w:val="auto"/>
                <w:sz w:val="18"/>
                <w:szCs w:val="18"/>
              </w:rPr>
            </w:pPr>
            <w:r>
              <w:rPr>
                <w:color w:val="auto"/>
                <w:sz w:val="18"/>
                <w:szCs w:val="18"/>
              </w:rPr>
              <w:t>Tinnitus</w:t>
            </w:r>
          </w:p>
        </w:tc>
        <w:tc>
          <w:tcPr>
            <w:tcW w:w="1035" w:type="dxa"/>
            <w:tcBorders>
              <w:bottom w:val="single" w:sz="4" w:space="0" w:color="000000" w:themeColor="text1"/>
            </w:tcBorders>
            <w:shd w:val="clear" w:color="auto" w:fill="FFFFFF" w:themeFill="background1"/>
          </w:tcPr>
          <w:p w:rsidR="00C77597" w:rsidRPr="00974B59" w:rsidRDefault="00C77597" w:rsidP="006D70DC">
            <w:pPr>
              <w:pStyle w:val="ListParagraph"/>
              <w:spacing w:after="0" w:line="240" w:lineRule="exact"/>
              <w:ind w:left="0"/>
              <w:jc w:val="center"/>
              <w:rPr>
                <w:rFonts w:cs="Times New Roman"/>
                <w:sz w:val="18"/>
                <w:szCs w:val="18"/>
              </w:rPr>
            </w:pPr>
            <w:r>
              <w:rPr>
                <w:rFonts w:cs="Times New Roman"/>
                <w:sz w:val="18"/>
                <w:szCs w:val="18"/>
              </w:rPr>
              <w:t>6260</w:t>
            </w:r>
          </w:p>
        </w:tc>
        <w:tc>
          <w:tcPr>
            <w:tcW w:w="812" w:type="dxa"/>
            <w:tcBorders>
              <w:bottom w:val="single" w:sz="4" w:space="0" w:color="000000" w:themeColor="text1"/>
            </w:tcBorders>
            <w:shd w:val="clear" w:color="auto" w:fill="FFFFFF" w:themeFill="background1"/>
          </w:tcPr>
          <w:p w:rsidR="00C77597" w:rsidRPr="00974B59" w:rsidRDefault="00C77597" w:rsidP="00974B59">
            <w:pPr>
              <w:pStyle w:val="ListParagraph"/>
              <w:spacing w:after="0" w:line="240" w:lineRule="exact"/>
              <w:ind w:left="0"/>
              <w:jc w:val="center"/>
              <w:rPr>
                <w:rFonts w:cs="Times New Roman"/>
                <w:sz w:val="18"/>
                <w:szCs w:val="18"/>
              </w:rPr>
            </w:pPr>
            <w:r>
              <w:rPr>
                <w:rFonts w:cs="Times New Roman"/>
                <w:sz w:val="18"/>
                <w:szCs w:val="18"/>
              </w:rPr>
              <w:t>10%</w:t>
            </w:r>
          </w:p>
        </w:tc>
        <w:tc>
          <w:tcPr>
            <w:tcW w:w="1159" w:type="dxa"/>
            <w:tcBorders>
              <w:bottom w:val="single" w:sz="4" w:space="0" w:color="000000" w:themeColor="text1"/>
            </w:tcBorders>
            <w:shd w:val="clear" w:color="auto" w:fill="FFFFFF" w:themeFill="background1"/>
          </w:tcPr>
          <w:p w:rsidR="00C77597" w:rsidRPr="0014124E" w:rsidRDefault="0014124E" w:rsidP="00C77597">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5A6411" w:rsidRPr="008E1E94" w:rsidTr="001872BC">
        <w:trPr>
          <w:trHeight w:val="287"/>
          <w:jc w:val="center"/>
        </w:trPr>
        <w:tc>
          <w:tcPr>
            <w:tcW w:w="4229" w:type="dxa"/>
            <w:gridSpan w:val="4"/>
            <w:vMerge/>
            <w:tcBorders>
              <w:bottom w:val="single" w:sz="4" w:space="0" w:color="000000" w:themeColor="text1"/>
              <w:right w:val="thinThickThinSmallGap" w:sz="24" w:space="0" w:color="auto"/>
            </w:tcBorders>
            <w:shd w:val="clear" w:color="auto" w:fill="FFFFFF" w:themeFill="background1"/>
          </w:tcPr>
          <w:p w:rsidR="005A6411" w:rsidRPr="002066B5" w:rsidRDefault="005A6411" w:rsidP="006D70DC">
            <w:pPr>
              <w:pStyle w:val="ListParagraph"/>
              <w:spacing w:after="0" w:line="240" w:lineRule="exact"/>
              <w:ind w:left="0"/>
              <w:jc w:val="both"/>
              <w:rPr>
                <w:rFonts w:cs="Times New Roman"/>
                <w:sz w:val="18"/>
                <w:szCs w:val="18"/>
                <w:highlight w:val="yellow"/>
              </w:rPr>
            </w:pPr>
          </w:p>
        </w:tc>
        <w:tc>
          <w:tcPr>
            <w:tcW w:w="4051" w:type="dxa"/>
            <w:gridSpan w:val="3"/>
            <w:tcBorders>
              <w:left w:val="thinThickThinSmallGap" w:sz="24" w:space="0" w:color="auto"/>
              <w:bottom w:val="single" w:sz="4" w:space="0" w:color="000000" w:themeColor="text1"/>
            </w:tcBorders>
            <w:shd w:val="clear" w:color="auto" w:fill="FFFFFF" w:themeFill="background1"/>
            <w:vAlign w:val="center"/>
          </w:tcPr>
          <w:p w:rsidR="005A6411" w:rsidRPr="0014124E" w:rsidRDefault="005A6411" w:rsidP="0014124E">
            <w:pPr>
              <w:spacing w:line="240" w:lineRule="exact"/>
              <w:jc w:val="center"/>
              <w:rPr>
                <w:color w:val="auto"/>
                <w:sz w:val="18"/>
                <w:szCs w:val="18"/>
              </w:rPr>
            </w:pPr>
            <w:r w:rsidRPr="0014124E">
              <w:rPr>
                <w:color w:val="auto"/>
                <w:sz w:val="18"/>
                <w:szCs w:val="18"/>
              </w:rPr>
              <w:t xml:space="preserve">Not Service Connected x </w:t>
            </w:r>
            <w:r w:rsidR="00C77597" w:rsidRPr="0014124E">
              <w:rPr>
                <w:color w:val="auto"/>
                <w:sz w:val="18"/>
                <w:szCs w:val="18"/>
              </w:rPr>
              <w:t>1</w:t>
            </w:r>
          </w:p>
        </w:tc>
        <w:tc>
          <w:tcPr>
            <w:tcW w:w="1159" w:type="dxa"/>
            <w:tcBorders>
              <w:bottom w:val="single" w:sz="4" w:space="0" w:color="000000" w:themeColor="text1"/>
            </w:tcBorders>
            <w:shd w:val="clear" w:color="auto" w:fill="FFFFFF" w:themeFill="background1"/>
          </w:tcPr>
          <w:p w:rsidR="005A6411" w:rsidRPr="0014124E" w:rsidRDefault="0014124E" w:rsidP="006D70DC">
            <w:pPr>
              <w:pStyle w:val="ListParagraph"/>
              <w:spacing w:after="0" w:line="240" w:lineRule="exact"/>
              <w:ind w:left="0"/>
              <w:jc w:val="center"/>
              <w:rPr>
                <w:rFonts w:cs="Times New Roman"/>
                <w:sz w:val="18"/>
                <w:szCs w:val="18"/>
              </w:rPr>
            </w:pPr>
            <w:r w:rsidRPr="0014124E">
              <w:rPr>
                <w:rFonts w:cs="Times New Roman"/>
                <w:sz w:val="18"/>
                <w:szCs w:val="18"/>
              </w:rPr>
              <w:t>20050729</w:t>
            </w:r>
          </w:p>
        </w:tc>
      </w:tr>
      <w:tr w:rsidR="00E73B47" w:rsidRPr="008E1E94" w:rsidTr="001872BC">
        <w:trPr>
          <w:trHeight w:val="242"/>
          <w:jc w:val="center"/>
        </w:trPr>
        <w:tc>
          <w:tcPr>
            <w:tcW w:w="4229" w:type="dxa"/>
            <w:gridSpan w:val="4"/>
            <w:tcBorders>
              <w:righ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20"/>
                <w:szCs w:val="20"/>
              </w:rPr>
            </w:pPr>
            <w:r w:rsidRPr="008E1E94">
              <w:rPr>
                <w:rFonts w:cs="Times New Roman"/>
                <w:b/>
                <w:sz w:val="20"/>
                <w:szCs w:val="20"/>
              </w:rPr>
              <w:t xml:space="preserve">Combined:  </w:t>
            </w:r>
            <w:r w:rsidR="00B44DB6">
              <w:rPr>
                <w:rFonts w:cs="Times New Roman"/>
                <w:b/>
                <w:sz w:val="20"/>
                <w:szCs w:val="20"/>
              </w:rPr>
              <w:t>20</w:t>
            </w:r>
            <w:r w:rsidRPr="008E1E94">
              <w:rPr>
                <w:rFonts w:cs="Times New Roman"/>
                <w:b/>
                <w:sz w:val="20"/>
                <w:szCs w:val="20"/>
              </w:rPr>
              <w:t>%</w:t>
            </w:r>
          </w:p>
        </w:tc>
        <w:tc>
          <w:tcPr>
            <w:tcW w:w="5210" w:type="dxa"/>
            <w:gridSpan w:val="4"/>
            <w:tcBorders>
              <w:left w:val="thinThickThinSmallGap" w:sz="24" w:space="0" w:color="auto"/>
            </w:tcBorders>
            <w:shd w:val="clear" w:color="auto" w:fill="D9D9D9" w:themeFill="background1" w:themeFillShade="D9"/>
          </w:tcPr>
          <w:p w:rsidR="00E73B47" w:rsidRPr="008E1E94" w:rsidRDefault="00E73B47" w:rsidP="006D70DC">
            <w:pPr>
              <w:pStyle w:val="ListParagraph"/>
              <w:spacing w:after="0" w:line="240" w:lineRule="exact"/>
              <w:ind w:left="0"/>
              <w:jc w:val="center"/>
              <w:rPr>
                <w:rFonts w:cs="Times New Roman"/>
                <w:b/>
                <w:sz w:val="20"/>
                <w:szCs w:val="20"/>
              </w:rPr>
            </w:pPr>
            <w:r w:rsidRPr="008E1E94">
              <w:rPr>
                <w:rFonts w:cs="Times New Roman"/>
                <w:b/>
                <w:sz w:val="20"/>
                <w:szCs w:val="20"/>
              </w:rPr>
              <w:t>Combined:</w:t>
            </w:r>
            <w:r w:rsidR="00B44DB6">
              <w:rPr>
                <w:rFonts w:cs="Times New Roman"/>
                <w:b/>
                <w:sz w:val="20"/>
                <w:szCs w:val="20"/>
              </w:rPr>
              <w:t xml:space="preserve">  60</w:t>
            </w:r>
            <w:r w:rsidRPr="008E1E94">
              <w:rPr>
                <w:rFonts w:cs="Times New Roman"/>
                <w:b/>
                <w:sz w:val="20"/>
                <w:szCs w:val="20"/>
              </w:rPr>
              <w:t>%</w:t>
            </w:r>
          </w:p>
        </w:tc>
      </w:tr>
    </w:tbl>
    <w:p w:rsidR="00770BD7" w:rsidRDefault="00AD4ECB" w:rsidP="004637AB">
      <w:pPr>
        <w:pBdr>
          <w:bottom w:val="single" w:sz="12" w:space="1" w:color="auto"/>
        </w:pBdr>
        <w:tabs>
          <w:tab w:val="left" w:pos="288"/>
          <w:tab w:val="left" w:pos="4752"/>
        </w:tabs>
        <w:spacing w:line="240" w:lineRule="exact"/>
        <w:jc w:val="both"/>
        <w:rPr>
          <w:rFonts w:asciiTheme="minorHAnsi" w:hAnsiTheme="minorHAnsi"/>
          <w:color w:val="auto"/>
          <w:szCs w:val="24"/>
        </w:rPr>
      </w:pPr>
      <w:r w:rsidRPr="006937C6">
        <w:rPr>
          <w:rFonts w:asciiTheme="minorHAnsi" w:hAnsiTheme="minorHAnsi"/>
          <w:color w:val="auto"/>
          <w:sz w:val="18"/>
          <w:szCs w:val="18"/>
        </w:rPr>
        <w:t>* VA rating based on exam most proximate to date of permanent separation.</w:t>
      </w:r>
      <w:r w:rsidR="00770BD7">
        <w:rPr>
          <w:rFonts w:asciiTheme="minorHAnsi" w:hAnsiTheme="minorHAnsi"/>
          <w:color w:val="auto"/>
          <w:sz w:val="18"/>
          <w:szCs w:val="18"/>
        </w:rPr>
        <w:t xml:space="preserve">  Rating Decision 29 May 2009 reflects no change in ratings listed above.</w:t>
      </w:r>
    </w:p>
    <w:p w:rsidR="00770BD7" w:rsidRDefault="00770BD7"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8265C1" w:rsidRDefault="002C6E5B" w:rsidP="008265C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E252D8">
        <w:rPr>
          <w:rFonts w:asciiTheme="minorHAnsi" w:hAnsiTheme="minorHAnsi"/>
          <w:color w:val="auto"/>
          <w:szCs w:val="24"/>
        </w:rPr>
        <w:t xml:space="preserve">  </w:t>
      </w:r>
      <w:r w:rsidR="008E75E9" w:rsidRPr="007B5D59">
        <w:rPr>
          <w:rFonts w:asciiTheme="minorHAnsi" w:hAnsiTheme="minorHAnsi"/>
          <w:color w:val="auto"/>
          <w:szCs w:val="24"/>
        </w:rPr>
        <w:t>The Board acknowledges the sentiment expressed in the CI’s application regarding the</w:t>
      </w:r>
      <w:r w:rsidR="008265C1">
        <w:rPr>
          <w:rFonts w:asciiTheme="minorHAnsi" w:hAnsiTheme="minorHAnsi"/>
          <w:color w:val="auto"/>
          <w:szCs w:val="24"/>
        </w:rPr>
        <w:t xml:space="preserve"> </w:t>
      </w:r>
      <w:r w:rsidR="008E75E9" w:rsidRPr="007B5D59">
        <w:rPr>
          <w:rFonts w:asciiTheme="minorHAnsi" w:hAnsiTheme="minorHAnsi"/>
          <w:color w:val="auto"/>
          <w:szCs w:val="24"/>
        </w:rPr>
        <w:t>significant impact that</w:t>
      </w:r>
      <w:r w:rsidR="008E75E9">
        <w:rPr>
          <w:rFonts w:asciiTheme="minorHAnsi" w:hAnsiTheme="minorHAnsi"/>
          <w:color w:val="auto"/>
          <w:szCs w:val="24"/>
        </w:rPr>
        <w:t xml:space="preserve"> </w:t>
      </w:r>
      <w:r w:rsidR="008E75E9" w:rsidRPr="007B5D59">
        <w:rPr>
          <w:rFonts w:asciiTheme="minorHAnsi" w:hAnsiTheme="minorHAnsi"/>
          <w:color w:val="auto"/>
          <w:szCs w:val="24"/>
        </w:rPr>
        <w:t>h</w:t>
      </w:r>
      <w:r w:rsidR="00846D84">
        <w:rPr>
          <w:rFonts w:asciiTheme="minorHAnsi" w:hAnsiTheme="minorHAnsi"/>
          <w:color w:val="auto"/>
          <w:szCs w:val="24"/>
        </w:rPr>
        <w:t>er</w:t>
      </w:r>
      <w:r w:rsidR="008E75E9">
        <w:rPr>
          <w:rFonts w:asciiTheme="minorHAnsi" w:hAnsiTheme="minorHAnsi"/>
          <w:color w:val="auto"/>
          <w:szCs w:val="24"/>
        </w:rPr>
        <w:t xml:space="preserve"> </w:t>
      </w:r>
      <w:r w:rsidR="008E75E9" w:rsidRPr="007B5D59">
        <w:rPr>
          <w:rFonts w:asciiTheme="minorHAnsi" w:hAnsiTheme="minorHAnsi"/>
          <w:color w:val="auto"/>
          <w:szCs w:val="24"/>
        </w:rPr>
        <w:t xml:space="preserve">service-incurred conditions have had </w:t>
      </w:r>
      <w:r w:rsidR="008E75E9" w:rsidRPr="008E75E9">
        <w:rPr>
          <w:rFonts w:asciiTheme="minorHAnsi" w:hAnsiTheme="minorHAnsi"/>
          <w:color w:val="auto"/>
          <w:szCs w:val="24"/>
        </w:rPr>
        <w:t>on her</w:t>
      </w:r>
      <w:r w:rsidR="008E75E9">
        <w:rPr>
          <w:rFonts w:asciiTheme="minorHAnsi" w:hAnsiTheme="minorHAnsi"/>
          <w:color w:val="auto"/>
          <w:szCs w:val="24"/>
        </w:rPr>
        <w:t xml:space="preserve"> </w:t>
      </w:r>
      <w:r w:rsidR="008E75E9" w:rsidRPr="007B5D59">
        <w:rPr>
          <w:rFonts w:asciiTheme="minorHAnsi" w:hAnsiTheme="minorHAnsi"/>
          <w:color w:val="auto"/>
          <w:szCs w:val="24"/>
        </w:rPr>
        <w:t>quality of life.</w:t>
      </w:r>
      <w:r w:rsidR="008265C1">
        <w:rPr>
          <w:rFonts w:asciiTheme="minorHAnsi" w:hAnsiTheme="minorHAnsi"/>
          <w:color w:val="auto"/>
          <w:szCs w:val="24"/>
        </w:rPr>
        <w:t xml:space="preserve">  </w:t>
      </w:r>
      <w:r w:rsidR="008E75E9" w:rsidRPr="007B5D59">
        <w:rPr>
          <w:rFonts w:asciiTheme="minorHAnsi" w:hAnsiTheme="minorHAnsi"/>
          <w:color w:val="auto"/>
          <w:szCs w:val="24"/>
        </w:rPr>
        <w:t xml:space="preserve">However, the </w:t>
      </w:r>
      <w:r w:rsidR="004C5A17" w:rsidRPr="007B5D59">
        <w:rPr>
          <w:rFonts w:asciiTheme="minorHAnsi" w:hAnsiTheme="minorHAnsi"/>
          <w:color w:val="auto"/>
          <w:szCs w:val="24"/>
        </w:rPr>
        <w:t>military services</w:t>
      </w:r>
      <w:r w:rsidR="008E75E9" w:rsidRPr="007B5D59">
        <w:rPr>
          <w:rFonts w:asciiTheme="minorHAnsi" w:hAnsiTheme="minorHAnsi"/>
          <w:color w:val="auto"/>
          <w:szCs w:val="24"/>
        </w:rPr>
        <w:t xml:space="preserve">, by law, can only rate and compensate for those conditions that were found unfitting for continued military service </w:t>
      </w:r>
      <w:r w:rsidR="00846D84">
        <w:rPr>
          <w:rFonts w:asciiTheme="minorHAnsi" w:hAnsiTheme="minorHAnsi"/>
          <w:color w:val="auto"/>
          <w:szCs w:val="24"/>
        </w:rPr>
        <w:t xml:space="preserve">at the time of separation.  The ratings assigned to unfitting conditions is </w:t>
      </w:r>
      <w:r w:rsidR="008E75E9" w:rsidRPr="007B5D59">
        <w:rPr>
          <w:rFonts w:asciiTheme="minorHAnsi" w:hAnsiTheme="minorHAnsi"/>
          <w:color w:val="auto"/>
          <w:szCs w:val="24"/>
        </w:rPr>
        <w:t xml:space="preserve">based on the severity of the condition at the time of </w:t>
      </w:r>
      <w:r w:rsidR="008E75E9">
        <w:rPr>
          <w:rFonts w:asciiTheme="minorHAnsi" w:hAnsiTheme="minorHAnsi"/>
          <w:color w:val="auto"/>
          <w:szCs w:val="24"/>
        </w:rPr>
        <w:t xml:space="preserve">separation, and then at the time of removal from TDRL, </w:t>
      </w:r>
      <w:r w:rsidR="008E75E9" w:rsidRPr="007B5D59">
        <w:rPr>
          <w:rFonts w:asciiTheme="minorHAnsi" w:hAnsiTheme="minorHAnsi"/>
          <w:color w:val="auto"/>
          <w:szCs w:val="24"/>
        </w:rPr>
        <w:t>and not based on possible future changes.</w:t>
      </w:r>
      <w:r w:rsidR="008E75E9">
        <w:rPr>
          <w:rFonts w:asciiTheme="minorHAnsi" w:hAnsiTheme="minorHAnsi"/>
          <w:color w:val="auto"/>
          <w:szCs w:val="24"/>
        </w:rPr>
        <w:t xml:space="preserve">  </w:t>
      </w:r>
      <w:r w:rsidR="008E75E9" w:rsidRPr="007B5D59">
        <w:rPr>
          <w:rFonts w:asciiTheme="minorHAnsi" w:hAnsiTheme="minorHAnsi"/>
          <w:color w:val="auto"/>
          <w:szCs w:val="24"/>
        </w:rPr>
        <w:t>The VA</w:t>
      </w:r>
      <w:r w:rsidR="004C5A17">
        <w:rPr>
          <w:rFonts w:asciiTheme="minorHAnsi" w:hAnsiTheme="minorHAnsi"/>
          <w:color w:val="auto"/>
          <w:szCs w:val="24"/>
        </w:rPr>
        <w:t>,</w:t>
      </w:r>
      <w:r w:rsidR="008E75E9" w:rsidRPr="007B5D59">
        <w:rPr>
          <w:rFonts w:asciiTheme="minorHAnsi" w:hAnsiTheme="minorHAnsi"/>
          <w:color w:val="auto"/>
          <w:szCs w:val="24"/>
        </w:rPr>
        <w:t xml:space="preserve"> however</w:t>
      </w:r>
      <w:r w:rsidR="004C5A17">
        <w:rPr>
          <w:rFonts w:asciiTheme="minorHAnsi" w:hAnsiTheme="minorHAnsi"/>
          <w:color w:val="auto"/>
          <w:szCs w:val="24"/>
        </w:rPr>
        <w:t>,</w:t>
      </w:r>
      <w:r w:rsidR="008E75E9" w:rsidRPr="007B5D59">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w:t>
      </w:r>
      <w:r w:rsidR="008E75E9">
        <w:rPr>
          <w:rFonts w:asciiTheme="minorHAnsi" w:hAnsiTheme="minorHAnsi"/>
          <w:color w:val="auto"/>
          <w:szCs w:val="24"/>
        </w:rPr>
        <w:t xml:space="preserve"> or permanent disability disposition, </w:t>
      </w:r>
      <w:r w:rsidR="008E75E9" w:rsidRPr="007B5D59">
        <w:rPr>
          <w:rFonts w:asciiTheme="minorHAnsi" w:hAnsiTheme="minorHAnsi"/>
          <w:color w:val="auto"/>
          <w:szCs w:val="24"/>
        </w:rPr>
        <w:t>that are direct complications of a service connected condition.  The VA can also increase or decrease ratings based on the changing severity of each condition over time.</w:t>
      </w:r>
      <w:r w:rsidR="008265C1">
        <w:rPr>
          <w:rFonts w:asciiTheme="minorHAnsi" w:hAnsiTheme="minorHAnsi"/>
          <w:color w:val="auto"/>
          <w:szCs w:val="24"/>
        </w:rPr>
        <w:t xml:space="preserve">  </w:t>
      </w:r>
      <w:r w:rsidR="008E75E9"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w:t>
      </w:r>
      <w:r w:rsidR="008E75E9">
        <w:rPr>
          <w:rFonts w:asciiTheme="minorHAnsi" w:hAnsiTheme="minorHAnsi"/>
          <w:color w:val="auto"/>
          <w:szCs w:val="24"/>
        </w:rPr>
        <w:t>permanent disability disposition and removal from the TDRL</w:t>
      </w:r>
      <w:r w:rsidR="008E75E9" w:rsidRPr="007B5D59">
        <w:rPr>
          <w:rFonts w:asciiTheme="minorHAnsi" w:hAnsiTheme="minorHAnsi"/>
          <w:color w:val="auto"/>
          <w:szCs w:val="24"/>
        </w:rPr>
        <w:t>.</w:t>
      </w:r>
      <w:r w:rsidR="008265C1">
        <w:rPr>
          <w:rFonts w:asciiTheme="minorHAnsi" w:hAnsiTheme="minorHAnsi"/>
          <w:color w:val="auto"/>
          <w:szCs w:val="24"/>
        </w:rPr>
        <w:t xml:space="preserve">  </w:t>
      </w:r>
      <w:r w:rsidR="001872BC" w:rsidRPr="001872BC">
        <w:rPr>
          <w:rFonts w:asciiTheme="minorHAnsi" w:hAnsiTheme="minorHAnsi"/>
          <w:color w:val="auto"/>
          <w:szCs w:val="24"/>
        </w:rPr>
        <w:t xml:space="preserve">The Board’s relevant recommendations are assigned in assessment of the </w:t>
      </w:r>
      <w:r w:rsidR="004C5A17">
        <w:rPr>
          <w:rFonts w:asciiTheme="minorHAnsi" w:hAnsiTheme="minorHAnsi"/>
          <w:color w:val="auto"/>
          <w:szCs w:val="24"/>
        </w:rPr>
        <w:t>s</w:t>
      </w:r>
      <w:r w:rsidR="001872BC" w:rsidRPr="001872BC">
        <w:rPr>
          <w:rFonts w:asciiTheme="minorHAnsi" w:hAnsiTheme="minorHAnsi"/>
          <w:color w:val="auto"/>
          <w:szCs w:val="24"/>
        </w:rPr>
        <w:t>ervice’s permanent rating determination</w:t>
      </w:r>
      <w:r w:rsidR="00DE7B62">
        <w:rPr>
          <w:rFonts w:asciiTheme="minorHAnsi" w:hAnsiTheme="minorHAnsi"/>
          <w:color w:val="auto"/>
          <w:szCs w:val="24"/>
        </w:rPr>
        <w:t xml:space="preserve"> at the time of removal from the TDRL</w:t>
      </w:r>
      <w:r w:rsidR="00A30A88">
        <w:rPr>
          <w:rFonts w:asciiTheme="minorHAnsi" w:hAnsiTheme="minorHAnsi"/>
          <w:color w:val="auto"/>
          <w:szCs w:val="24"/>
        </w:rPr>
        <w:t>.  T</w:t>
      </w:r>
      <w:r w:rsidR="001872BC" w:rsidRPr="001872BC">
        <w:rPr>
          <w:rFonts w:asciiTheme="minorHAnsi" w:hAnsiTheme="minorHAnsi"/>
          <w:color w:val="auto"/>
          <w:szCs w:val="24"/>
        </w:rPr>
        <w:t>he rating assignment</w:t>
      </w:r>
      <w:r w:rsidR="00846D84">
        <w:rPr>
          <w:rFonts w:asciiTheme="minorHAnsi" w:hAnsiTheme="minorHAnsi"/>
          <w:color w:val="auto"/>
          <w:szCs w:val="24"/>
        </w:rPr>
        <w:t xml:space="preserve"> </w:t>
      </w:r>
      <w:r w:rsidR="00DE7B62">
        <w:rPr>
          <w:rFonts w:asciiTheme="minorHAnsi" w:hAnsiTheme="minorHAnsi"/>
          <w:color w:val="auto"/>
          <w:szCs w:val="24"/>
        </w:rPr>
        <w:t xml:space="preserve">at the time of initial placement on to the TDRL </w:t>
      </w:r>
      <w:r w:rsidR="00846D84">
        <w:rPr>
          <w:rFonts w:asciiTheme="minorHAnsi" w:hAnsiTheme="minorHAnsi"/>
          <w:color w:val="auto"/>
          <w:szCs w:val="24"/>
        </w:rPr>
        <w:t>is not considered a benchmark.</w:t>
      </w:r>
      <w:r w:rsidR="001872BC">
        <w:rPr>
          <w:rFonts w:asciiTheme="minorHAnsi" w:hAnsiTheme="minorHAnsi"/>
          <w:color w:val="auto"/>
          <w:szCs w:val="24"/>
        </w:rPr>
        <w:t xml:space="preserve"> </w:t>
      </w:r>
      <w:r w:rsidR="001872BC" w:rsidRPr="001872BC">
        <w:rPr>
          <w:rFonts w:asciiTheme="minorHAnsi" w:hAnsiTheme="minorHAnsi"/>
          <w:color w:val="auto"/>
          <w:szCs w:val="24"/>
        </w:rPr>
        <w:t xml:space="preserve"> It is recognized that PEB’s across the </w:t>
      </w:r>
      <w:r w:rsidR="004C5A17">
        <w:rPr>
          <w:rFonts w:asciiTheme="minorHAnsi" w:hAnsiTheme="minorHAnsi"/>
          <w:color w:val="auto"/>
          <w:szCs w:val="24"/>
        </w:rPr>
        <w:t>s</w:t>
      </w:r>
      <w:r w:rsidR="001872BC" w:rsidRPr="001872BC">
        <w:rPr>
          <w:rFonts w:asciiTheme="minorHAnsi" w:hAnsiTheme="minorHAnsi"/>
          <w:color w:val="auto"/>
          <w:szCs w:val="24"/>
        </w:rPr>
        <w:t xml:space="preserve">ervices sometimes apply an overly generous initial rating in order to meet the </w:t>
      </w:r>
      <w:proofErr w:type="gramStart"/>
      <w:r w:rsidR="001872BC" w:rsidRPr="001872BC">
        <w:rPr>
          <w:rFonts w:asciiTheme="minorHAnsi" w:hAnsiTheme="minorHAnsi"/>
          <w:color w:val="auto"/>
          <w:szCs w:val="24"/>
        </w:rPr>
        <w:t>DoD</w:t>
      </w:r>
      <w:proofErr w:type="gramEnd"/>
      <w:r w:rsidR="001872BC" w:rsidRPr="001872BC">
        <w:rPr>
          <w:rFonts w:asciiTheme="minorHAnsi" w:hAnsiTheme="minorHAnsi"/>
          <w:color w:val="auto"/>
          <w:szCs w:val="24"/>
        </w:rPr>
        <w:t xml:space="preserve"> requirement of 30% disability for placement on TDRL.</w:t>
      </w:r>
      <w:r w:rsidR="001872BC">
        <w:rPr>
          <w:rFonts w:asciiTheme="minorHAnsi" w:hAnsiTheme="minorHAnsi"/>
          <w:color w:val="auto"/>
          <w:szCs w:val="24"/>
        </w:rPr>
        <w:t xml:space="preserve"> </w:t>
      </w:r>
      <w:r w:rsidR="001872BC" w:rsidRPr="001872BC">
        <w:rPr>
          <w:rFonts w:asciiTheme="minorHAnsi" w:hAnsiTheme="minorHAnsi"/>
          <w:color w:val="auto"/>
          <w:szCs w:val="24"/>
        </w:rPr>
        <w:t xml:space="preserve"> This is in the member’s best interest at the time and does not mean that a final lower rating is unfair, even if perceived as incongruent with subjective severity from one rating to the next.  </w:t>
      </w:r>
      <w:r w:rsidR="008265C1">
        <w:rPr>
          <w:rFonts w:asciiTheme="minorHAnsi" w:hAnsiTheme="minorHAnsi"/>
          <w:color w:val="auto"/>
          <w:szCs w:val="24"/>
        </w:rPr>
        <w:t xml:space="preserve">The Board </w:t>
      </w:r>
      <w:r w:rsidR="008265C1" w:rsidRPr="00AD4ECB">
        <w:rPr>
          <w:rFonts w:asciiTheme="minorHAnsi" w:hAnsiTheme="minorHAnsi"/>
          <w:color w:val="auto"/>
          <w:szCs w:val="24"/>
        </w:rPr>
        <w:t>must also judge the fairness of PEB fitness adjudications based on the fitness consequences of conditions as they existed at the time of separation</w:t>
      </w:r>
      <w:r w:rsidR="008265C1">
        <w:rPr>
          <w:rFonts w:asciiTheme="minorHAnsi" w:hAnsiTheme="minorHAnsi"/>
          <w:color w:val="auto"/>
          <w:szCs w:val="24"/>
        </w:rPr>
        <w:t xml:space="preserve"> and placement on the TDRL</w:t>
      </w:r>
      <w:r w:rsidR="008265C1" w:rsidRPr="00AD4ECB">
        <w:rPr>
          <w:rFonts w:asciiTheme="minorHAnsi" w:hAnsiTheme="minorHAnsi"/>
          <w:color w:val="auto"/>
          <w:szCs w:val="24"/>
        </w:rPr>
        <w:t>.</w:t>
      </w:r>
      <w:r w:rsidR="008265C1">
        <w:rPr>
          <w:rFonts w:asciiTheme="minorHAnsi" w:hAnsiTheme="minorHAnsi"/>
          <w:color w:val="auto"/>
          <w:szCs w:val="24"/>
        </w:rPr>
        <w:t xml:space="preserve">  The </w:t>
      </w:r>
      <w:r w:rsidR="00AD4ECB" w:rsidRPr="00AD4ECB">
        <w:rPr>
          <w:rFonts w:asciiTheme="minorHAnsi" w:hAnsiTheme="minorHAnsi"/>
          <w:color w:val="auto"/>
          <w:szCs w:val="24"/>
        </w:rPr>
        <w:t xml:space="preserve">CI asserts that </w:t>
      </w:r>
      <w:r w:rsidR="00AD4ECB">
        <w:rPr>
          <w:rFonts w:asciiTheme="minorHAnsi" w:hAnsiTheme="minorHAnsi"/>
          <w:color w:val="auto"/>
          <w:szCs w:val="24"/>
        </w:rPr>
        <w:t xml:space="preserve">she </w:t>
      </w:r>
      <w:r w:rsidR="00854F16">
        <w:rPr>
          <w:rFonts w:asciiTheme="minorHAnsi" w:hAnsiTheme="minorHAnsi"/>
          <w:color w:val="auto"/>
          <w:szCs w:val="24"/>
        </w:rPr>
        <w:t xml:space="preserve">should have been allowed to remain on active duty status for 20 years because she </w:t>
      </w:r>
      <w:r w:rsidR="00AD4ECB">
        <w:rPr>
          <w:rFonts w:asciiTheme="minorHAnsi" w:hAnsiTheme="minorHAnsi"/>
          <w:color w:val="auto"/>
          <w:szCs w:val="24"/>
        </w:rPr>
        <w:t xml:space="preserve">was entitled to </w:t>
      </w:r>
      <w:r w:rsidR="00854F16">
        <w:rPr>
          <w:rFonts w:asciiTheme="minorHAnsi" w:hAnsiTheme="minorHAnsi"/>
          <w:color w:val="auto"/>
          <w:szCs w:val="24"/>
        </w:rPr>
        <w:t>“</w:t>
      </w:r>
      <w:r w:rsidR="00AD4ECB">
        <w:rPr>
          <w:rFonts w:asciiTheme="minorHAnsi" w:hAnsiTheme="minorHAnsi"/>
          <w:color w:val="auto"/>
          <w:szCs w:val="24"/>
        </w:rPr>
        <w:t>reserve sanctuary</w:t>
      </w:r>
      <w:r w:rsidR="004C5A17">
        <w:rPr>
          <w:rFonts w:asciiTheme="minorHAnsi" w:hAnsiTheme="minorHAnsi"/>
          <w:color w:val="auto"/>
          <w:szCs w:val="24"/>
        </w:rPr>
        <w:t>;</w:t>
      </w:r>
      <w:r w:rsidR="00854F16">
        <w:rPr>
          <w:rFonts w:asciiTheme="minorHAnsi" w:hAnsiTheme="minorHAnsi"/>
          <w:color w:val="auto"/>
          <w:szCs w:val="24"/>
        </w:rPr>
        <w:t>”</w:t>
      </w:r>
      <w:r w:rsidR="008265C1">
        <w:rPr>
          <w:rFonts w:asciiTheme="minorHAnsi" w:hAnsiTheme="minorHAnsi"/>
          <w:color w:val="auto"/>
          <w:szCs w:val="24"/>
        </w:rPr>
        <w:t xml:space="preserve"> however</w:t>
      </w:r>
      <w:r w:rsidR="004C5A17">
        <w:rPr>
          <w:rFonts w:asciiTheme="minorHAnsi" w:hAnsiTheme="minorHAnsi"/>
          <w:color w:val="auto"/>
          <w:szCs w:val="24"/>
        </w:rPr>
        <w:t>,</w:t>
      </w:r>
      <w:r w:rsidR="008265C1">
        <w:rPr>
          <w:rFonts w:asciiTheme="minorHAnsi" w:hAnsiTheme="minorHAnsi"/>
          <w:color w:val="auto"/>
          <w:szCs w:val="24"/>
        </w:rPr>
        <w:t xml:space="preserve"> </w:t>
      </w:r>
      <w:r w:rsidR="00AD4ECB" w:rsidRPr="00AD4ECB">
        <w:rPr>
          <w:rFonts w:asciiTheme="minorHAnsi" w:hAnsiTheme="minorHAnsi"/>
          <w:color w:val="auto"/>
          <w:szCs w:val="24"/>
        </w:rPr>
        <w:t xml:space="preserve">the Board has neither the jurisdiction nor authority to scrutinize or render opinions in reference to the CI’s statements in the application regarding suspected </w:t>
      </w:r>
      <w:r w:rsidR="004C5A17">
        <w:rPr>
          <w:rFonts w:asciiTheme="minorHAnsi" w:hAnsiTheme="minorHAnsi"/>
          <w:color w:val="auto"/>
          <w:szCs w:val="24"/>
        </w:rPr>
        <w:t>s</w:t>
      </w:r>
      <w:r w:rsidR="00AD4ECB" w:rsidRPr="00AD4ECB">
        <w:rPr>
          <w:rFonts w:asciiTheme="minorHAnsi" w:hAnsiTheme="minorHAnsi"/>
          <w:color w:val="auto"/>
          <w:szCs w:val="24"/>
        </w:rPr>
        <w:t>ervice improprieties in the processing of h</w:t>
      </w:r>
      <w:r w:rsidR="00854F16">
        <w:rPr>
          <w:rFonts w:asciiTheme="minorHAnsi" w:hAnsiTheme="minorHAnsi"/>
          <w:color w:val="auto"/>
          <w:szCs w:val="24"/>
        </w:rPr>
        <w:t>er</w:t>
      </w:r>
      <w:r w:rsidR="00AD4ECB" w:rsidRPr="00AD4ECB">
        <w:rPr>
          <w:rFonts w:asciiTheme="minorHAnsi" w:hAnsiTheme="minorHAnsi"/>
          <w:color w:val="auto"/>
          <w:szCs w:val="24"/>
        </w:rPr>
        <w:t xml:space="preserve"> case.</w:t>
      </w:r>
      <w:r w:rsidR="008265C1">
        <w:rPr>
          <w:rFonts w:asciiTheme="minorHAnsi" w:hAnsiTheme="minorHAnsi"/>
          <w:color w:val="auto"/>
          <w:szCs w:val="24"/>
        </w:rPr>
        <w:t xml:space="preserve">  This is an issue that may be </w:t>
      </w:r>
      <w:r w:rsidR="008265C1" w:rsidRPr="008B2BD1">
        <w:rPr>
          <w:rFonts w:asciiTheme="minorHAnsi" w:hAnsiTheme="minorHAnsi"/>
          <w:color w:val="auto"/>
          <w:szCs w:val="24"/>
        </w:rPr>
        <w:t xml:space="preserve">eligible for submission to the </w:t>
      </w:r>
      <w:r w:rsidR="008265C1">
        <w:rPr>
          <w:rFonts w:asciiTheme="minorHAnsi" w:hAnsiTheme="minorHAnsi"/>
          <w:color w:val="auto"/>
          <w:szCs w:val="24"/>
        </w:rPr>
        <w:t xml:space="preserve">Air Force </w:t>
      </w:r>
      <w:r w:rsidR="008265C1" w:rsidRPr="008B2BD1">
        <w:rPr>
          <w:rFonts w:asciiTheme="minorHAnsi" w:hAnsiTheme="minorHAnsi"/>
          <w:color w:val="auto"/>
          <w:szCs w:val="24"/>
        </w:rPr>
        <w:t>Board for Corrections of Military Records (A</w:t>
      </w:r>
      <w:r w:rsidR="008265C1">
        <w:rPr>
          <w:rFonts w:asciiTheme="minorHAnsi" w:hAnsiTheme="minorHAnsi"/>
          <w:color w:val="auto"/>
          <w:szCs w:val="24"/>
        </w:rPr>
        <w:t>F</w:t>
      </w:r>
      <w:r w:rsidR="008265C1" w:rsidRPr="008B2BD1">
        <w:rPr>
          <w:rFonts w:asciiTheme="minorHAnsi" w:hAnsiTheme="minorHAnsi"/>
          <w:color w:val="auto"/>
          <w:szCs w:val="24"/>
        </w:rPr>
        <w:t>BCMR).</w:t>
      </w:r>
      <w:r w:rsidR="008265C1">
        <w:rPr>
          <w:rFonts w:asciiTheme="minorHAnsi" w:hAnsiTheme="minorHAnsi"/>
          <w:color w:val="auto"/>
          <w:szCs w:val="24"/>
        </w:rPr>
        <w:t xml:space="preserve">  </w:t>
      </w:r>
    </w:p>
    <w:p w:rsidR="008265C1" w:rsidRDefault="008265C1" w:rsidP="008265C1">
      <w:pPr>
        <w:tabs>
          <w:tab w:val="left" w:pos="288"/>
          <w:tab w:val="left" w:pos="4752"/>
        </w:tabs>
        <w:spacing w:line="240" w:lineRule="exact"/>
        <w:rPr>
          <w:rFonts w:asciiTheme="minorHAnsi" w:hAnsiTheme="minorHAnsi"/>
          <w:color w:val="auto"/>
          <w:szCs w:val="24"/>
        </w:rPr>
      </w:pPr>
    </w:p>
    <w:p w:rsidR="005827F4" w:rsidRDefault="00F370FE" w:rsidP="002162FC">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Bilateral Shoulder</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D31D22">
        <w:rPr>
          <w:rFonts w:asciiTheme="minorHAnsi" w:hAnsiTheme="minorHAnsi"/>
          <w:color w:val="auto"/>
          <w:szCs w:val="24"/>
        </w:rPr>
        <w:t xml:space="preserve">At the time the CI was placed on the TDRL, the PEB rated the CI’s shoulders at 20% each </w:t>
      </w:r>
      <w:r w:rsidR="006F51F3">
        <w:rPr>
          <w:rFonts w:asciiTheme="minorHAnsi" w:hAnsiTheme="minorHAnsi"/>
          <w:color w:val="auto"/>
          <w:szCs w:val="24"/>
        </w:rPr>
        <w:t>under VASRD code</w:t>
      </w:r>
      <w:r w:rsidR="00D31D22">
        <w:rPr>
          <w:rFonts w:asciiTheme="minorHAnsi" w:hAnsiTheme="minorHAnsi"/>
          <w:color w:val="auto"/>
          <w:szCs w:val="24"/>
        </w:rPr>
        <w:t xml:space="preserve"> 5304, </w:t>
      </w:r>
      <w:r w:rsidR="00D31D22" w:rsidRPr="0067338B">
        <w:rPr>
          <w:rFonts w:asciiTheme="minorHAnsi" w:hAnsiTheme="minorHAnsi"/>
          <w:color w:val="auto"/>
          <w:szCs w:val="24"/>
        </w:rPr>
        <w:t>injury to muscle group IV (shoulder girdle)</w:t>
      </w:r>
      <w:r w:rsidR="00E95BBE">
        <w:rPr>
          <w:rFonts w:asciiTheme="minorHAnsi" w:hAnsiTheme="minorHAnsi"/>
          <w:color w:val="auto"/>
          <w:szCs w:val="24"/>
        </w:rPr>
        <w:t>.  A bilateral factor was appropriately incorporated into the rating</w:t>
      </w:r>
      <w:r w:rsidR="00D31D22">
        <w:rPr>
          <w:rFonts w:asciiTheme="minorHAnsi" w:hAnsiTheme="minorHAnsi"/>
          <w:color w:val="auto"/>
          <w:szCs w:val="24"/>
        </w:rPr>
        <w:t>.</w:t>
      </w:r>
      <w:r w:rsidR="00A30A88">
        <w:rPr>
          <w:rFonts w:asciiTheme="minorHAnsi" w:hAnsiTheme="minorHAnsi"/>
          <w:color w:val="auto"/>
          <w:szCs w:val="24"/>
        </w:rPr>
        <w:t xml:space="preserve">  T</w:t>
      </w:r>
      <w:r w:rsidR="006F51F3">
        <w:rPr>
          <w:rFonts w:asciiTheme="minorHAnsi" w:hAnsiTheme="minorHAnsi"/>
          <w:color w:val="auto"/>
          <w:szCs w:val="24"/>
        </w:rPr>
        <w:t xml:space="preserve">he </w:t>
      </w:r>
      <w:r w:rsidR="004C5A17">
        <w:rPr>
          <w:rFonts w:asciiTheme="minorHAnsi" w:hAnsiTheme="minorHAnsi"/>
          <w:color w:val="auto"/>
          <w:szCs w:val="24"/>
        </w:rPr>
        <w:t>narrative summary (</w:t>
      </w:r>
      <w:r w:rsidR="006F51F3">
        <w:rPr>
          <w:rFonts w:asciiTheme="minorHAnsi" w:hAnsiTheme="minorHAnsi"/>
          <w:color w:val="auto"/>
          <w:szCs w:val="24"/>
        </w:rPr>
        <w:t>NARSUM</w:t>
      </w:r>
      <w:r w:rsidR="004C5A17">
        <w:rPr>
          <w:rFonts w:asciiTheme="minorHAnsi" w:hAnsiTheme="minorHAnsi"/>
          <w:color w:val="auto"/>
          <w:szCs w:val="24"/>
        </w:rPr>
        <w:t>)</w:t>
      </w:r>
      <w:r w:rsidR="006F51F3">
        <w:rPr>
          <w:rFonts w:asciiTheme="minorHAnsi" w:hAnsiTheme="minorHAnsi"/>
          <w:color w:val="auto"/>
          <w:szCs w:val="24"/>
        </w:rPr>
        <w:t xml:space="preserve"> </w:t>
      </w:r>
      <w:r w:rsidR="00A30A88">
        <w:rPr>
          <w:rFonts w:asciiTheme="minorHAnsi" w:hAnsiTheme="minorHAnsi"/>
          <w:color w:val="auto"/>
          <w:szCs w:val="24"/>
        </w:rPr>
        <w:t xml:space="preserve">examination </w:t>
      </w:r>
      <w:r w:rsidR="006F51F3">
        <w:rPr>
          <w:rFonts w:asciiTheme="minorHAnsi" w:hAnsiTheme="minorHAnsi"/>
          <w:color w:val="auto"/>
          <w:szCs w:val="24"/>
        </w:rPr>
        <w:t xml:space="preserve">upon which the PEB, in part, based its decision </w:t>
      </w:r>
      <w:r w:rsidR="00A30A88">
        <w:rPr>
          <w:rFonts w:asciiTheme="minorHAnsi" w:hAnsiTheme="minorHAnsi"/>
          <w:color w:val="auto"/>
          <w:szCs w:val="24"/>
        </w:rPr>
        <w:t xml:space="preserve">reported </w:t>
      </w:r>
      <w:r w:rsidR="006F51F3">
        <w:rPr>
          <w:rFonts w:asciiTheme="minorHAnsi" w:hAnsiTheme="minorHAnsi"/>
          <w:color w:val="auto"/>
          <w:szCs w:val="24"/>
        </w:rPr>
        <w:t>“essentially complete” left shoulder motion with some mild soreness.</w:t>
      </w:r>
      <w:r w:rsidR="00A30A88">
        <w:rPr>
          <w:rFonts w:asciiTheme="minorHAnsi" w:hAnsiTheme="minorHAnsi"/>
          <w:color w:val="auto"/>
          <w:szCs w:val="24"/>
        </w:rPr>
        <w:t xml:space="preserve">  </w:t>
      </w:r>
      <w:r w:rsidR="00E95BBE">
        <w:rPr>
          <w:rFonts w:asciiTheme="minorHAnsi" w:hAnsiTheme="minorHAnsi"/>
          <w:color w:val="auto"/>
          <w:szCs w:val="24"/>
        </w:rPr>
        <w:t xml:space="preserve">A physical therapy note just prior to the MEB noted full range of motion </w:t>
      </w:r>
      <w:r w:rsidR="004C5A17">
        <w:rPr>
          <w:rFonts w:asciiTheme="minorHAnsi" w:hAnsiTheme="minorHAnsi"/>
          <w:color w:val="auto"/>
          <w:szCs w:val="24"/>
        </w:rPr>
        <w:t xml:space="preserve">(ROM) </w:t>
      </w:r>
      <w:r w:rsidR="00E95BBE">
        <w:rPr>
          <w:rFonts w:asciiTheme="minorHAnsi" w:hAnsiTheme="minorHAnsi"/>
          <w:color w:val="auto"/>
          <w:szCs w:val="24"/>
        </w:rPr>
        <w:t xml:space="preserve">of both shoulders.  </w:t>
      </w:r>
      <w:r w:rsidR="00AE68EE">
        <w:rPr>
          <w:rFonts w:asciiTheme="minorHAnsi" w:hAnsiTheme="minorHAnsi"/>
          <w:color w:val="auto"/>
          <w:szCs w:val="24"/>
        </w:rPr>
        <w:t xml:space="preserve">The concurrent VA decision assigned a 10% rating under an analogous 5203 code for </w:t>
      </w:r>
      <w:r w:rsidR="004C5A17">
        <w:rPr>
          <w:rFonts w:asciiTheme="minorHAnsi" w:hAnsiTheme="minorHAnsi"/>
          <w:color w:val="auto"/>
          <w:szCs w:val="24"/>
        </w:rPr>
        <w:t>“</w:t>
      </w:r>
      <w:r w:rsidR="00AE68EE">
        <w:rPr>
          <w:rFonts w:asciiTheme="minorHAnsi" w:hAnsiTheme="minorHAnsi"/>
          <w:color w:val="auto"/>
          <w:szCs w:val="24"/>
        </w:rPr>
        <w:t>impairment of clavicle or scapula</w:t>
      </w:r>
      <w:r w:rsidR="004C5A17">
        <w:rPr>
          <w:rFonts w:asciiTheme="minorHAnsi" w:hAnsiTheme="minorHAnsi"/>
          <w:color w:val="auto"/>
          <w:szCs w:val="24"/>
        </w:rPr>
        <w:t>.”</w:t>
      </w:r>
      <w:r w:rsidR="00AE68EE">
        <w:rPr>
          <w:rFonts w:asciiTheme="minorHAnsi" w:hAnsiTheme="minorHAnsi"/>
          <w:color w:val="auto"/>
          <w:szCs w:val="24"/>
        </w:rPr>
        <w:t xml:space="preserve">  </w:t>
      </w:r>
      <w:r w:rsidR="006F51F3">
        <w:rPr>
          <w:rFonts w:asciiTheme="minorHAnsi" w:hAnsiTheme="minorHAnsi"/>
          <w:color w:val="auto"/>
          <w:szCs w:val="24"/>
        </w:rPr>
        <w:lastRenderedPageBreak/>
        <w:t xml:space="preserve">This decision referenced a </w:t>
      </w:r>
      <w:r w:rsidR="00713D99">
        <w:rPr>
          <w:rFonts w:asciiTheme="minorHAnsi" w:hAnsiTheme="minorHAnsi"/>
          <w:color w:val="auto"/>
          <w:szCs w:val="24"/>
        </w:rPr>
        <w:t>c</w:t>
      </w:r>
      <w:r w:rsidR="006F51F3">
        <w:rPr>
          <w:rFonts w:asciiTheme="minorHAnsi" w:hAnsiTheme="minorHAnsi"/>
          <w:color w:val="auto"/>
          <w:szCs w:val="24"/>
        </w:rPr>
        <w:t xml:space="preserve">ompensation and </w:t>
      </w:r>
      <w:r w:rsidR="00713D99">
        <w:rPr>
          <w:rFonts w:asciiTheme="minorHAnsi" w:hAnsiTheme="minorHAnsi"/>
          <w:color w:val="auto"/>
          <w:szCs w:val="24"/>
        </w:rPr>
        <w:t>p</w:t>
      </w:r>
      <w:r w:rsidR="006F51F3">
        <w:rPr>
          <w:rFonts w:asciiTheme="minorHAnsi" w:hAnsiTheme="minorHAnsi"/>
          <w:color w:val="auto"/>
          <w:szCs w:val="24"/>
        </w:rPr>
        <w:t>ension (C&amp;P) exam</w:t>
      </w:r>
      <w:r w:rsidR="005E3B26">
        <w:rPr>
          <w:rFonts w:asciiTheme="minorHAnsi" w:hAnsiTheme="minorHAnsi"/>
          <w:color w:val="auto"/>
          <w:szCs w:val="24"/>
        </w:rPr>
        <w:t xml:space="preserve">ination 29 July 2005, three months after entry on to the TDRL, </w:t>
      </w:r>
      <w:r w:rsidR="006F51F3">
        <w:rPr>
          <w:rFonts w:asciiTheme="minorHAnsi" w:hAnsiTheme="minorHAnsi"/>
          <w:color w:val="auto"/>
          <w:szCs w:val="24"/>
        </w:rPr>
        <w:t>that showed abduction of 160</w:t>
      </w:r>
      <w:r w:rsidR="006F51F3" w:rsidRPr="006F51F3">
        <w:rPr>
          <w:rFonts w:asciiTheme="minorHAnsi" w:hAnsiTheme="minorHAnsi"/>
          <w:color w:val="auto"/>
          <w:szCs w:val="24"/>
        </w:rPr>
        <w:t>⁰</w:t>
      </w:r>
      <w:r w:rsidR="006F51F3">
        <w:rPr>
          <w:rFonts w:asciiTheme="minorHAnsi" w:hAnsiTheme="minorHAnsi"/>
          <w:color w:val="auto"/>
          <w:szCs w:val="24"/>
        </w:rPr>
        <w:t xml:space="preserve"> bilaterally (normal to 180</w:t>
      </w:r>
      <w:r w:rsidR="006F51F3" w:rsidRPr="006F51F3">
        <w:rPr>
          <w:rFonts w:asciiTheme="minorHAnsi" w:hAnsiTheme="minorHAnsi"/>
          <w:color w:val="auto"/>
          <w:szCs w:val="24"/>
        </w:rPr>
        <w:t>⁰</w:t>
      </w:r>
      <w:r w:rsidR="006F51F3">
        <w:rPr>
          <w:rFonts w:asciiTheme="minorHAnsi" w:hAnsiTheme="minorHAnsi"/>
          <w:color w:val="auto"/>
          <w:szCs w:val="24"/>
        </w:rPr>
        <w:t>)</w:t>
      </w:r>
      <w:r w:rsidR="005E3B26">
        <w:rPr>
          <w:rFonts w:asciiTheme="minorHAnsi" w:hAnsiTheme="minorHAnsi"/>
          <w:color w:val="auto"/>
          <w:szCs w:val="24"/>
        </w:rPr>
        <w:t>, but with pain occurring at 140</w:t>
      </w:r>
      <w:r w:rsidR="005E3B26" w:rsidRPr="006F51F3">
        <w:rPr>
          <w:rFonts w:asciiTheme="minorHAnsi" w:hAnsiTheme="minorHAnsi"/>
          <w:color w:val="auto"/>
          <w:szCs w:val="24"/>
        </w:rPr>
        <w:t>⁰</w:t>
      </w:r>
      <w:r w:rsidR="005E3B26">
        <w:rPr>
          <w:rFonts w:asciiTheme="minorHAnsi" w:hAnsiTheme="minorHAnsi"/>
          <w:color w:val="auto"/>
          <w:szCs w:val="24"/>
        </w:rPr>
        <w:t xml:space="preserve"> of abduction.</w:t>
      </w:r>
      <w:r w:rsidR="006F51F3">
        <w:rPr>
          <w:rFonts w:asciiTheme="minorHAnsi" w:hAnsiTheme="minorHAnsi"/>
          <w:color w:val="auto"/>
          <w:szCs w:val="24"/>
        </w:rPr>
        <w:t xml:space="preserve">  </w:t>
      </w:r>
      <w:r w:rsidR="00E95BBE">
        <w:rPr>
          <w:rFonts w:asciiTheme="minorHAnsi" w:hAnsiTheme="minorHAnsi"/>
          <w:color w:val="auto"/>
          <w:szCs w:val="24"/>
        </w:rPr>
        <w:t>There is no evidence in the record or from the above data that would support a rating higher th</w:t>
      </w:r>
      <w:r w:rsidR="00770BD7">
        <w:rPr>
          <w:rFonts w:asciiTheme="minorHAnsi" w:hAnsiTheme="minorHAnsi"/>
          <w:color w:val="auto"/>
          <w:szCs w:val="24"/>
        </w:rPr>
        <w:t>an that assigned by the PEB for the bilateral shoulder condition at the time of initial placement on TDRL.</w:t>
      </w:r>
      <w:r w:rsidR="00713D99">
        <w:rPr>
          <w:rFonts w:asciiTheme="minorHAnsi" w:hAnsiTheme="minorHAnsi"/>
          <w:color w:val="auto"/>
          <w:szCs w:val="24"/>
        </w:rPr>
        <w:t xml:space="preserve">  </w:t>
      </w:r>
      <w:r w:rsidR="00F809DA">
        <w:rPr>
          <w:rFonts w:asciiTheme="minorHAnsi" w:hAnsiTheme="minorHAnsi"/>
          <w:color w:val="auto"/>
          <w:szCs w:val="24"/>
        </w:rPr>
        <w:t>Next</w:t>
      </w:r>
      <w:r w:rsidR="004C5A17">
        <w:rPr>
          <w:rFonts w:asciiTheme="minorHAnsi" w:hAnsiTheme="minorHAnsi"/>
          <w:color w:val="auto"/>
          <w:szCs w:val="24"/>
        </w:rPr>
        <w:t>,</w:t>
      </w:r>
      <w:r w:rsidR="00F809DA">
        <w:rPr>
          <w:rFonts w:asciiTheme="minorHAnsi" w:hAnsiTheme="minorHAnsi"/>
          <w:color w:val="auto"/>
          <w:szCs w:val="24"/>
        </w:rPr>
        <w:t xml:space="preserve"> the Board turned its attention to a permanent rating at the time of removal from TDRL.  </w:t>
      </w:r>
      <w:r w:rsidR="0019755C">
        <w:rPr>
          <w:rFonts w:asciiTheme="minorHAnsi" w:hAnsiTheme="minorHAnsi"/>
          <w:color w:val="auto"/>
          <w:szCs w:val="24"/>
        </w:rPr>
        <w:t xml:space="preserve">The CI underwent TDRL reevaluation five months prior to removal from TDRL.  </w:t>
      </w:r>
      <w:r w:rsidR="00203094">
        <w:rPr>
          <w:rFonts w:asciiTheme="minorHAnsi" w:hAnsiTheme="minorHAnsi"/>
          <w:color w:val="auto"/>
          <w:szCs w:val="24"/>
        </w:rPr>
        <w:t xml:space="preserve">The </w:t>
      </w:r>
      <w:r w:rsidR="0019755C">
        <w:rPr>
          <w:rFonts w:asciiTheme="minorHAnsi" w:hAnsiTheme="minorHAnsi"/>
          <w:color w:val="auto"/>
          <w:szCs w:val="24"/>
        </w:rPr>
        <w:t xml:space="preserve">TDRL reevaluation </w:t>
      </w:r>
      <w:r w:rsidR="00203094">
        <w:rPr>
          <w:rFonts w:asciiTheme="minorHAnsi" w:hAnsiTheme="minorHAnsi"/>
          <w:color w:val="auto"/>
          <w:szCs w:val="24"/>
        </w:rPr>
        <w:t xml:space="preserve">NARSUM examiner noted </w:t>
      </w:r>
      <w:r w:rsidR="0019755C">
        <w:rPr>
          <w:rFonts w:asciiTheme="minorHAnsi" w:hAnsiTheme="minorHAnsi"/>
          <w:color w:val="auto"/>
          <w:szCs w:val="24"/>
        </w:rPr>
        <w:t>flexion of both shoulders to 160</w:t>
      </w:r>
      <w:r w:rsidR="0019755C" w:rsidRPr="006F51F3">
        <w:rPr>
          <w:rFonts w:asciiTheme="minorHAnsi" w:hAnsiTheme="minorHAnsi"/>
          <w:color w:val="auto"/>
          <w:szCs w:val="24"/>
        </w:rPr>
        <w:t>⁰</w:t>
      </w:r>
      <w:r w:rsidR="0019755C">
        <w:rPr>
          <w:rFonts w:asciiTheme="minorHAnsi" w:hAnsiTheme="minorHAnsi"/>
          <w:color w:val="auto"/>
          <w:szCs w:val="24"/>
        </w:rPr>
        <w:t xml:space="preserve">, and </w:t>
      </w:r>
      <w:r w:rsidR="00203094">
        <w:rPr>
          <w:rFonts w:asciiTheme="minorHAnsi" w:hAnsiTheme="minorHAnsi"/>
          <w:color w:val="auto"/>
          <w:szCs w:val="24"/>
        </w:rPr>
        <w:t>mild discomfort</w:t>
      </w:r>
      <w:r w:rsidR="00874A9E">
        <w:rPr>
          <w:rFonts w:asciiTheme="minorHAnsi" w:hAnsiTheme="minorHAnsi"/>
          <w:color w:val="auto"/>
          <w:szCs w:val="24"/>
        </w:rPr>
        <w:t xml:space="preserve"> with most maneuvers involving the shoulders, but </w:t>
      </w:r>
      <w:r w:rsidR="006A6F4F">
        <w:rPr>
          <w:rFonts w:asciiTheme="minorHAnsi" w:hAnsiTheme="minorHAnsi"/>
          <w:color w:val="auto"/>
          <w:szCs w:val="24"/>
        </w:rPr>
        <w:t xml:space="preserve">there was </w:t>
      </w:r>
      <w:r w:rsidR="00874A9E">
        <w:rPr>
          <w:rFonts w:asciiTheme="minorHAnsi" w:hAnsiTheme="minorHAnsi"/>
          <w:color w:val="auto"/>
          <w:szCs w:val="24"/>
        </w:rPr>
        <w:t>no tenderness or evidence of instability.</w:t>
      </w:r>
      <w:r w:rsidR="0019755C">
        <w:rPr>
          <w:rFonts w:asciiTheme="minorHAnsi" w:hAnsiTheme="minorHAnsi"/>
          <w:color w:val="auto"/>
          <w:szCs w:val="24"/>
        </w:rPr>
        <w:t xml:space="preserve">  The TDRL </w:t>
      </w:r>
      <w:r w:rsidR="004C5A17">
        <w:rPr>
          <w:rFonts w:asciiTheme="minorHAnsi" w:hAnsiTheme="minorHAnsi"/>
          <w:color w:val="auto"/>
          <w:szCs w:val="24"/>
        </w:rPr>
        <w:t>physical therapy</w:t>
      </w:r>
      <w:r w:rsidR="0019755C">
        <w:rPr>
          <w:rFonts w:asciiTheme="minorHAnsi" w:hAnsiTheme="minorHAnsi"/>
          <w:color w:val="auto"/>
          <w:szCs w:val="24"/>
        </w:rPr>
        <w:t xml:space="preserve"> examination recorded active </w:t>
      </w:r>
      <w:r w:rsidR="004C5A17">
        <w:rPr>
          <w:rFonts w:asciiTheme="minorHAnsi" w:hAnsiTheme="minorHAnsi"/>
          <w:color w:val="auto"/>
          <w:szCs w:val="24"/>
        </w:rPr>
        <w:t>ROM</w:t>
      </w:r>
      <w:r w:rsidR="0019755C">
        <w:rPr>
          <w:rFonts w:asciiTheme="minorHAnsi" w:hAnsiTheme="minorHAnsi"/>
          <w:color w:val="auto"/>
          <w:szCs w:val="24"/>
        </w:rPr>
        <w:t xml:space="preserve"> of 115</w:t>
      </w:r>
      <w:r w:rsidR="0019755C" w:rsidRPr="006F51F3">
        <w:rPr>
          <w:rFonts w:asciiTheme="minorHAnsi" w:hAnsiTheme="minorHAnsi"/>
          <w:color w:val="auto"/>
          <w:szCs w:val="24"/>
        </w:rPr>
        <w:t>⁰</w:t>
      </w:r>
      <w:r w:rsidR="0019755C">
        <w:rPr>
          <w:rFonts w:asciiTheme="minorHAnsi" w:hAnsiTheme="minorHAnsi"/>
          <w:color w:val="auto"/>
          <w:szCs w:val="24"/>
        </w:rPr>
        <w:t xml:space="preserve"> abduction (varied from 90</w:t>
      </w:r>
      <w:r w:rsidR="0019755C" w:rsidRPr="006F51F3">
        <w:rPr>
          <w:rFonts w:asciiTheme="minorHAnsi" w:hAnsiTheme="minorHAnsi"/>
          <w:color w:val="auto"/>
          <w:szCs w:val="24"/>
        </w:rPr>
        <w:t>⁰</w:t>
      </w:r>
      <w:r w:rsidR="0019755C">
        <w:rPr>
          <w:rFonts w:asciiTheme="minorHAnsi" w:hAnsiTheme="minorHAnsi"/>
          <w:color w:val="auto"/>
          <w:szCs w:val="24"/>
        </w:rPr>
        <w:t xml:space="preserve"> to 115</w:t>
      </w:r>
      <w:r w:rsidR="0019755C" w:rsidRPr="006F51F3">
        <w:rPr>
          <w:rFonts w:asciiTheme="minorHAnsi" w:hAnsiTheme="minorHAnsi"/>
          <w:color w:val="auto"/>
          <w:szCs w:val="24"/>
        </w:rPr>
        <w:t>⁰</w:t>
      </w:r>
      <w:r w:rsidR="0019755C">
        <w:rPr>
          <w:rFonts w:asciiTheme="minorHAnsi" w:hAnsiTheme="minorHAnsi"/>
          <w:color w:val="auto"/>
          <w:szCs w:val="24"/>
        </w:rPr>
        <w:t>) and 160</w:t>
      </w:r>
      <w:r w:rsidR="0019755C" w:rsidRPr="006F51F3">
        <w:rPr>
          <w:rFonts w:asciiTheme="minorHAnsi" w:hAnsiTheme="minorHAnsi"/>
          <w:color w:val="auto"/>
          <w:szCs w:val="24"/>
        </w:rPr>
        <w:t>⁰</w:t>
      </w:r>
      <w:r w:rsidR="0019755C">
        <w:rPr>
          <w:rFonts w:asciiTheme="minorHAnsi" w:hAnsiTheme="minorHAnsi"/>
          <w:color w:val="auto"/>
          <w:szCs w:val="24"/>
        </w:rPr>
        <w:t xml:space="preserve"> flexion of the left shoulder, and 100</w:t>
      </w:r>
      <w:r w:rsidR="0019755C" w:rsidRPr="006F51F3">
        <w:rPr>
          <w:rFonts w:asciiTheme="minorHAnsi" w:hAnsiTheme="minorHAnsi"/>
          <w:color w:val="auto"/>
          <w:szCs w:val="24"/>
        </w:rPr>
        <w:t>⁰</w:t>
      </w:r>
      <w:r w:rsidR="0019755C">
        <w:rPr>
          <w:rFonts w:asciiTheme="minorHAnsi" w:hAnsiTheme="minorHAnsi"/>
          <w:color w:val="auto"/>
          <w:szCs w:val="24"/>
        </w:rPr>
        <w:t xml:space="preserve"> abduction and 160</w:t>
      </w:r>
      <w:r w:rsidR="0019755C" w:rsidRPr="006F51F3">
        <w:rPr>
          <w:rFonts w:asciiTheme="minorHAnsi" w:hAnsiTheme="minorHAnsi"/>
          <w:color w:val="auto"/>
          <w:szCs w:val="24"/>
        </w:rPr>
        <w:t>⁰</w:t>
      </w:r>
      <w:r w:rsidR="0019755C">
        <w:rPr>
          <w:rFonts w:asciiTheme="minorHAnsi" w:hAnsiTheme="minorHAnsi"/>
          <w:color w:val="auto"/>
          <w:szCs w:val="24"/>
        </w:rPr>
        <w:t xml:space="preserve"> flexion of the right shoulder.  </w:t>
      </w:r>
      <w:r w:rsidR="00982C2D">
        <w:rPr>
          <w:rFonts w:asciiTheme="minorHAnsi" w:hAnsiTheme="minorHAnsi"/>
          <w:color w:val="auto"/>
          <w:szCs w:val="24"/>
        </w:rPr>
        <w:t xml:space="preserve">The physical therapist reported mild to moderate weakness of the rotator cuff muscles.  </w:t>
      </w:r>
      <w:r w:rsidR="00885F3E">
        <w:rPr>
          <w:rFonts w:asciiTheme="minorHAnsi" w:hAnsiTheme="minorHAnsi"/>
          <w:color w:val="auto"/>
          <w:szCs w:val="24"/>
        </w:rPr>
        <w:t xml:space="preserve">A previous </w:t>
      </w:r>
      <w:r w:rsidR="004C5A17">
        <w:rPr>
          <w:rFonts w:asciiTheme="minorHAnsi" w:hAnsiTheme="minorHAnsi"/>
          <w:color w:val="auto"/>
          <w:szCs w:val="24"/>
        </w:rPr>
        <w:t>magnetic resonance imaging (</w:t>
      </w:r>
      <w:r w:rsidR="00885F3E">
        <w:rPr>
          <w:rFonts w:asciiTheme="minorHAnsi" w:hAnsiTheme="minorHAnsi"/>
          <w:color w:val="auto"/>
          <w:szCs w:val="24"/>
        </w:rPr>
        <w:t>MRI</w:t>
      </w:r>
      <w:r w:rsidR="004C5A17">
        <w:rPr>
          <w:rFonts w:asciiTheme="minorHAnsi" w:hAnsiTheme="minorHAnsi"/>
          <w:color w:val="auto"/>
          <w:szCs w:val="24"/>
        </w:rPr>
        <w:t>)</w:t>
      </w:r>
      <w:r w:rsidR="00885F3E">
        <w:rPr>
          <w:rFonts w:asciiTheme="minorHAnsi" w:hAnsiTheme="minorHAnsi"/>
          <w:color w:val="auto"/>
          <w:szCs w:val="24"/>
        </w:rPr>
        <w:t xml:space="preserve"> showed </w:t>
      </w:r>
      <w:proofErr w:type="spellStart"/>
      <w:r w:rsidR="00885F3E">
        <w:rPr>
          <w:rFonts w:asciiTheme="minorHAnsi" w:hAnsiTheme="minorHAnsi"/>
          <w:color w:val="auto"/>
          <w:szCs w:val="24"/>
        </w:rPr>
        <w:t>tendinosis</w:t>
      </w:r>
      <w:proofErr w:type="spellEnd"/>
      <w:r w:rsidR="00885F3E">
        <w:rPr>
          <w:rFonts w:asciiTheme="minorHAnsi" w:hAnsiTheme="minorHAnsi"/>
          <w:color w:val="auto"/>
          <w:szCs w:val="24"/>
        </w:rPr>
        <w:t xml:space="preserve"> and partial tears of the rotator cuff tendons bilaterally, tear of the right posterior labrum and possible small tear of the left labrum.</w:t>
      </w:r>
      <w:r w:rsidR="00974CD1">
        <w:rPr>
          <w:rFonts w:asciiTheme="minorHAnsi" w:hAnsiTheme="minorHAnsi"/>
          <w:color w:val="auto"/>
          <w:szCs w:val="24"/>
        </w:rPr>
        <w:t xml:space="preserve"> </w:t>
      </w:r>
      <w:r w:rsidR="00874A9E">
        <w:rPr>
          <w:rFonts w:asciiTheme="minorHAnsi" w:hAnsiTheme="minorHAnsi"/>
          <w:color w:val="auto"/>
          <w:szCs w:val="24"/>
        </w:rPr>
        <w:t xml:space="preserve"> </w:t>
      </w:r>
      <w:r w:rsidR="008075E3">
        <w:rPr>
          <w:rFonts w:asciiTheme="minorHAnsi" w:hAnsiTheme="minorHAnsi"/>
          <w:color w:val="auto"/>
          <w:szCs w:val="24"/>
        </w:rPr>
        <w:t xml:space="preserve">Orthopedic examinations approximately 18 months after the date of removal from the TDRL record continued pain with overhead use.  On examination, the orthopedic surgeon recorded </w:t>
      </w:r>
      <w:r w:rsidR="0019755C">
        <w:rPr>
          <w:rFonts w:asciiTheme="minorHAnsi" w:hAnsiTheme="minorHAnsi"/>
          <w:color w:val="auto"/>
          <w:szCs w:val="24"/>
        </w:rPr>
        <w:t>“</w:t>
      </w:r>
      <w:r w:rsidR="008075E3">
        <w:rPr>
          <w:rFonts w:asciiTheme="minorHAnsi" w:hAnsiTheme="minorHAnsi"/>
          <w:color w:val="auto"/>
          <w:szCs w:val="24"/>
        </w:rPr>
        <w:t>fairly good</w:t>
      </w:r>
      <w:r w:rsidR="0019755C">
        <w:rPr>
          <w:rFonts w:asciiTheme="minorHAnsi" w:hAnsiTheme="minorHAnsi"/>
          <w:color w:val="auto"/>
          <w:szCs w:val="24"/>
        </w:rPr>
        <w:t>”</w:t>
      </w:r>
      <w:r w:rsidR="008075E3">
        <w:rPr>
          <w:rFonts w:asciiTheme="minorHAnsi" w:hAnsiTheme="minorHAnsi"/>
          <w:color w:val="auto"/>
          <w:szCs w:val="24"/>
        </w:rPr>
        <w:t xml:space="preserve"> and </w:t>
      </w:r>
      <w:r w:rsidR="0019755C">
        <w:rPr>
          <w:rFonts w:asciiTheme="minorHAnsi" w:hAnsiTheme="minorHAnsi"/>
          <w:color w:val="auto"/>
          <w:szCs w:val="24"/>
        </w:rPr>
        <w:t>“</w:t>
      </w:r>
      <w:r w:rsidR="008075E3">
        <w:rPr>
          <w:rFonts w:asciiTheme="minorHAnsi" w:hAnsiTheme="minorHAnsi"/>
          <w:color w:val="auto"/>
          <w:szCs w:val="24"/>
        </w:rPr>
        <w:t>full</w:t>
      </w:r>
      <w:r w:rsidR="0019755C">
        <w:rPr>
          <w:rFonts w:asciiTheme="minorHAnsi" w:hAnsiTheme="minorHAnsi"/>
          <w:color w:val="auto"/>
          <w:szCs w:val="24"/>
        </w:rPr>
        <w:t>”</w:t>
      </w:r>
      <w:r w:rsidR="008075E3">
        <w:rPr>
          <w:rFonts w:asciiTheme="minorHAnsi" w:hAnsiTheme="minorHAnsi"/>
          <w:color w:val="auto"/>
          <w:szCs w:val="24"/>
        </w:rPr>
        <w:t xml:space="preserve"> </w:t>
      </w:r>
      <w:r w:rsidR="004C5A17">
        <w:rPr>
          <w:rFonts w:asciiTheme="minorHAnsi" w:hAnsiTheme="minorHAnsi"/>
          <w:color w:val="auto"/>
          <w:szCs w:val="24"/>
        </w:rPr>
        <w:t>ROM</w:t>
      </w:r>
      <w:r w:rsidR="008075E3">
        <w:rPr>
          <w:rFonts w:asciiTheme="minorHAnsi" w:hAnsiTheme="minorHAnsi"/>
          <w:color w:val="auto"/>
          <w:szCs w:val="24"/>
        </w:rPr>
        <w:t xml:space="preserve"> </w:t>
      </w:r>
      <w:r w:rsidR="006B1EBA">
        <w:rPr>
          <w:rFonts w:asciiTheme="minorHAnsi" w:hAnsiTheme="minorHAnsi"/>
          <w:color w:val="auto"/>
          <w:szCs w:val="24"/>
        </w:rPr>
        <w:t xml:space="preserve">with </w:t>
      </w:r>
      <w:r w:rsidR="008075E3">
        <w:rPr>
          <w:rFonts w:asciiTheme="minorHAnsi" w:hAnsiTheme="minorHAnsi"/>
          <w:color w:val="auto"/>
          <w:szCs w:val="24"/>
        </w:rPr>
        <w:t>normal strength and sensation</w:t>
      </w:r>
      <w:r w:rsidR="006B1EBA">
        <w:rPr>
          <w:rFonts w:asciiTheme="minorHAnsi" w:hAnsiTheme="minorHAnsi"/>
          <w:color w:val="auto"/>
          <w:szCs w:val="24"/>
        </w:rPr>
        <w:t xml:space="preserve">, but noted positive impingement signs bilaterally consistent with bilateral rotator cuff tendonopathy.  </w:t>
      </w:r>
      <w:r w:rsidR="0019755C">
        <w:rPr>
          <w:rFonts w:asciiTheme="minorHAnsi" w:hAnsiTheme="minorHAnsi"/>
          <w:color w:val="auto"/>
          <w:szCs w:val="24"/>
        </w:rPr>
        <w:t>A p</w:t>
      </w:r>
      <w:r w:rsidR="002162FC">
        <w:rPr>
          <w:rFonts w:asciiTheme="minorHAnsi" w:hAnsiTheme="minorHAnsi"/>
          <w:color w:val="auto"/>
          <w:szCs w:val="24"/>
        </w:rPr>
        <w:t xml:space="preserve">rimary care clinic record entry from that time also indicates that a repeat MRI did not show any rotator cuff tears.  </w:t>
      </w:r>
      <w:r w:rsidR="00991802">
        <w:rPr>
          <w:rFonts w:asciiTheme="minorHAnsi" w:hAnsiTheme="minorHAnsi"/>
          <w:color w:val="auto"/>
          <w:szCs w:val="24"/>
        </w:rPr>
        <w:t xml:space="preserve">Although the coding choices between the </w:t>
      </w:r>
      <w:r w:rsidR="00765183">
        <w:rPr>
          <w:rFonts w:asciiTheme="minorHAnsi" w:hAnsiTheme="minorHAnsi"/>
          <w:color w:val="auto"/>
          <w:szCs w:val="24"/>
        </w:rPr>
        <w:t xml:space="preserve">final </w:t>
      </w:r>
      <w:r w:rsidR="0011455A">
        <w:rPr>
          <w:rFonts w:asciiTheme="minorHAnsi" w:hAnsiTheme="minorHAnsi"/>
          <w:color w:val="auto"/>
          <w:szCs w:val="24"/>
        </w:rPr>
        <w:t>PEB</w:t>
      </w:r>
      <w:r w:rsidR="00991802">
        <w:rPr>
          <w:rFonts w:asciiTheme="minorHAnsi" w:hAnsiTheme="minorHAnsi"/>
          <w:color w:val="auto"/>
          <w:szCs w:val="24"/>
        </w:rPr>
        <w:t xml:space="preserve"> and the VA were different, and unchanged from above, this </w:t>
      </w:r>
      <w:r w:rsidR="0011455A">
        <w:rPr>
          <w:rFonts w:asciiTheme="minorHAnsi" w:hAnsiTheme="minorHAnsi"/>
          <w:color w:val="auto"/>
          <w:szCs w:val="24"/>
        </w:rPr>
        <w:t xml:space="preserve">did not bear on rating.  </w:t>
      </w:r>
      <w:r w:rsidR="00974CD1" w:rsidRPr="0067338B">
        <w:rPr>
          <w:rFonts w:asciiTheme="minorHAnsi" w:hAnsiTheme="minorHAnsi"/>
          <w:color w:val="auto"/>
          <w:szCs w:val="24"/>
        </w:rPr>
        <w:t>The PEB</w:t>
      </w:r>
      <w:r w:rsidR="00991802">
        <w:rPr>
          <w:rFonts w:asciiTheme="minorHAnsi" w:hAnsiTheme="minorHAnsi"/>
          <w:color w:val="auto"/>
          <w:szCs w:val="24"/>
        </w:rPr>
        <w:t xml:space="preserve">’s </w:t>
      </w:r>
      <w:r w:rsidR="004A6ED5">
        <w:rPr>
          <w:rFonts w:asciiTheme="minorHAnsi" w:hAnsiTheme="minorHAnsi"/>
          <w:color w:val="auto"/>
          <w:szCs w:val="24"/>
        </w:rPr>
        <w:t xml:space="preserve">permanent </w:t>
      </w:r>
      <w:r w:rsidR="00991802">
        <w:rPr>
          <w:rFonts w:asciiTheme="minorHAnsi" w:hAnsiTheme="minorHAnsi"/>
          <w:color w:val="auto"/>
          <w:szCs w:val="24"/>
        </w:rPr>
        <w:t>10% rating for each shoulder under the</w:t>
      </w:r>
      <w:r w:rsidR="00974CD1" w:rsidRPr="0067338B">
        <w:rPr>
          <w:rFonts w:asciiTheme="minorHAnsi" w:hAnsiTheme="minorHAnsi"/>
          <w:color w:val="auto"/>
          <w:szCs w:val="24"/>
        </w:rPr>
        <w:t xml:space="preserve"> 5304</w:t>
      </w:r>
      <w:r w:rsidR="00991802">
        <w:rPr>
          <w:rFonts w:asciiTheme="minorHAnsi" w:hAnsiTheme="minorHAnsi"/>
          <w:color w:val="auto"/>
          <w:szCs w:val="24"/>
        </w:rPr>
        <w:t xml:space="preserve"> code </w:t>
      </w:r>
      <w:r w:rsidR="00974CD1" w:rsidRPr="0067338B">
        <w:rPr>
          <w:rFonts w:asciiTheme="minorHAnsi" w:hAnsiTheme="minorHAnsi"/>
          <w:color w:val="auto"/>
          <w:szCs w:val="24"/>
        </w:rPr>
        <w:t xml:space="preserve">reflected </w:t>
      </w:r>
      <w:r w:rsidR="0067338B">
        <w:rPr>
          <w:rFonts w:asciiTheme="minorHAnsi" w:hAnsiTheme="minorHAnsi"/>
          <w:color w:val="auto"/>
          <w:szCs w:val="24"/>
        </w:rPr>
        <w:t>evidence</w:t>
      </w:r>
      <w:r w:rsidR="00974CD1" w:rsidRPr="0067338B">
        <w:rPr>
          <w:rFonts w:asciiTheme="minorHAnsi" w:hAnsiTheme="minorHAnsi"/>
          <w:color w:val="auto"/>
          <w:szCs w:val="24"/>
        </w:rPr>
        <w:t xml:space="preserve"> that the severity of loss of use was </w:t>
      </w:r>
      <w:r w:rsidR="004C5A17">
        <w:rPr>
          <w:rFonts w:asciiTheme="minorHAnsi" w:hAnsiTheme="minorHAnsi"/>
          <w:color w:val="auto"/>
          <w:szCs w:val="24"/>
        </w:rPr>
        <w:t>“</w:t>
      </w:r>
      <w:r w:rsidR="00974CD1" w:rsidRPr="0067338B">
        <w:rPr>
          <w:rFonts w:asciiTheme="minorHAnsi" w:hAnsiTheme="minorHAnsi"/>
          <w:color w:val="auto"/>
          <w:szCs w:val="24"/>
        </w:rPr>
        <w:t>moderate</w:t>
      </w:r>
      <w:r w:rsidR="004C5A17">
        <w:rPr>
          <w:rFonts w:asciiTheme="minorHAnsi" w:hAnsiTheme="minorHAnsi"/>
          <w:color w:val="auto"/>
          <w:szCs w:val="24"/>
        </w:rPr>
        <w:t>.”</w:t>
      </w:r>
      <w:r w:rsidR="00974CD1" w:rsidRPr="0067338B">
        <w:rPr>
          <w:rFonts w:asciiTheme="minorHAnsi" w:hAnsiTheme="minorHAnsi"/>
          <w:color w:val="auto"/>
          <w:szCs w:val="24"/>
        </w:rPr>
        <w:t xml:space="preserve">  </w:t>
      </w:r>
      <w:r w:rsidR="00B17FCE" w:rsidRPr="0067338B">
        <w:rPr>
          <w:rFonts w:asciiTheme="minorHAnsi" w:hAnsiTheme="minorHAnsi"/>
          <w:color w:val="auto"/>
          <w:szCs w:val="24"/>
        </w:rPr>
        <w:t>Although t</w:t>
      </w:r>
      <w:r w:rsidR="00974CD1" w:rsidRPr="0067338B">
        <w:rPr>
          <w:rFonts w:asciiTheme="minorHAnsi" w:hAnsiTheme="minorHAnsi"/>
          <w:color w:val="auto"/>
          <w:szCs w:val="24"/>
        </w:rPr>
        <w:t xml:space="preserve">he VA also rated each shoulder at 10%, </w:t>
      </w:r>
      <w:r w:rsidR="00991802">
        <w:rPr>
          <w:rFonts w:asciiTheme="minorHAnsi" w:hAnsiTheme="minorHAnsi"/>
          <w:color w:val="auto"/>
          <w:szCs w:val="24"/>
        </w:rPr>
        <w:t xml:space="preserve">the </w:t>
      </w:r>
      <w:r w:rsidR="00974CD1" w:rsidRPr="0067338B">
        <w:rPr>
          <w:rFonts w:asciiTheme="minorHAnsi" w:hAnsiTheme="minorHAnsi"/>
          <w:color w:val="auto"/>
          <w:szCs w:val="24"/>
        </w:rPr>
        <w:t>5203</w:t>
      </w:r>
      <w:r w:rsidR="00B17FCE" w:rsidRPr="0067338B">
        <w:rPr>
          <w:rFonts w:asciiTheme="minorHAnsi" w:hAnsiTheme="minorHAnsi"/>
          <w:color w:val="auto"/>
          <w:szCs w:val="24"/>
        </w:rPr>
        <w:t xml:space="preserve"> </w:t>
      </w:r>
      <w:r w:rsidR="00E51E3A">
        <w:rPr>
          <w:rFonts w:asciiTheme="minorHAnsi" w:hAnsiTheme="minorHAnsi"/>
          <w:color w:val="auto"/>
          <w:szCs w:val="24"/>
        </w:rPr>
        <w:t xml:space="preserve">code </w:t>
      </w:r>
      <w:r w:rsidR="00EA4563">
        <w:rPr>
          <w:rFonts w:asciiTheme="minorHAnsi" w:hAnsiTheme="minorHAnsi"/>
          <w:color w:val="auto"/>
          <w:szCs w:val="24"/>
        </w:rPr>
        <w:t xml:space="preserve">for impairment of clavicle or scapula </w:t>
      </w:r>
      <w:r w:rsidR="00B17FCE" w:rsidRPr="0067338B">
        <w:rPr>
          <w:rFonts w:asciiTheme="minorHAnsi" w:hAnsiTheme="minorHAnsi"/>
          <w:color w:val="auto"/>
          <w:szCs w:val="24"/>
        </w:rPr>
        <w:t xml:space="preserve">is a poor fit with the CI’s underlying </w:t>
      </w:r>
      <w:r w:rsidR="004C5A17" w:rsidRPr="0067338B">
        <w:rPr>
          <w:rFonts w:asciiTheme="minorHAnsi" w:hAnsiTheme="minorHAnsi"/>
          <w:color w:val="auto"/>
          <w:szCs w:val="24"/>
        </w:rPr>
        <w:t>pathology</w:t>
      </w:r>
      <w:r w:rsidR="004C5A17">
        <w:rPr>
          <w:rFonts w:asciiTheme="minorHAnsi" w:hAnsiTheme="minorHAnsi"/>
          <w:color w:val="auto"/>
          <w:szCs w:val="24"/>
        </w:rPr>
        <w:t xml:space="preserve"> that</w:t>
      </w:r>
      <w:r w:rsidR="00EA4563">
        <w:rPr>
          <w:rFonts w:asciiTheme="minorHAnsi" w:hAnsiTheme="minorHAnsi"/>
          <w:color w:val="auto"/>
          <w:szCs w:val="24"/>
        </w:rPr>
        <w:t xml:space="preserve"> predominantly involves the rotator cuff.</w:t>
      </w:r>
      <w:r w:rsidR="008075E3">
        <w:rPr>
          <w:rFonts w:asciiTheme="minorHAnsi" w:hAnsiTheme="minorHAnsi"/>
          <w:color w:val="auto"/>
          <w:szCs w:val="24"/>
        </w:rPr>
        <w:t xml:space="preserve">  </w:t>
      </w:r>
      <w:r w:rsidR="00B17FCE" w:rsidRPr="0067338B">
        <w:rPr>
          <w:rFonts w:asciiTheme="minorHAnsi" w:hAnsiTheme="minorHAnsi"/>
          <w:color w:val="auto"/>
          <w:szCs w:val="24"/>
        </w:rPr>
        <w:t>The Board considered other coding options.  The VASRD §4.71a threshold for compensable ROM impairment is “shoulder level</w:t>
      </w:r>
      <w:r w:rsidR="004C5A17">
        <w:rPr>
          <w:rFonts w:asciiTheme="minorHAnsi" w:hAnsiTheme="minorHAnsi"/>
          <w:color w:val="auto"/>
          <w:szCs w:val="24"/>
        </w:rPr>
        <w:t>,</w:t>
      </w:r>
      <w:r w:rsidR="00B17FCE" w:rsidRPr="0067338B">
        <w:rPr>
          <w:rFonts w:asciiTheme="minorHAnsi" w:hAnsiTheme="minorHAnsi"/>
          <w:color w:val="auto"/>
          <w:szCs w:val="24"/>
        </w:rPr>
        <w:t>”</w:t>
      </w:r>
      <w:r w:rsidR="008075E3">
        <w:rPr>
          <w:rFonts w:asciiTheme="minorHAnsi" w:hAnsiTheme="minorHAnsi"/>
          <w:color w:val="auto"/>
          <w:szCs w:val="24"/>
        </w:rPr>
        <w:t xml:space="preserve"> and examinations demonstrate motion above this level.</w:t>
      </w:r>
      <w:r w:rsidR="004A6ED5">
        <w:rPr>
          <w:rFonts w:asciiTheme="minorHAnsi" w:hAnsiTheme="minorHAnsi"/>
          <w:color w:val="auto"/>
          <w:szCs w:val="24"/>
        </w:rPr>
        <w:t xml:space="preserve">  The Board discussed the lowest recorded left shoulder abduction of 90</w:t>
      </w:r>
      <w:r w:rsidR="00785FBD" w:rsidRPr="006F51F3">
        <w:rPr>
          <w:rFonts w:asciiTheme="minorHAnsi" w:hAnsiTheme="minorHAnsi"/>
          <w:color w:val="auto"/>
          <w:szCs w:val="24"/>
        </w:rPr>
        <w:t>⁰</w:t>
      </w:r>
      <w:r w:rsidR="002162FC">
        <w:rPr>
          <w:rFonts w:asciiTheme="minorHAnsi" w:hAnsiTheme="minorHAnsi"/>
          <w:color w:val="auto"/>
          <w:szCs w:val="24"/>
        </w:rPr>
        <w:t xml:space="preserve"> by TDRL </w:t>
      </w:r>
      <w:r w:rsidR="004C5A17">
        <w:rPr>
          <w:rFonts w:asciiTheme="minorHAnsi" w:hAnsiTheme="minorHAnsi"/>
          <w:color w:val="auto"/>
          <w:szCs w:val="24"/>
        </w:rPr>
        <w:t>physical therapy</w:t>
      </w:r>
      <w:r w:rsidR="002162FC">
        <w:rPr>
          <w:rFonts w:asciiTheme="minorHAnsi" w:hAnsiTheme="minorHAnsi"/>
          <w:color w:val="auto"/>
          <w:szCs w:val="24"/>
        </w:rPr>
        <w:t xml:space="preserve"> examination</w:t>
      </w:r>
      <w:r w:rsidR="004A6ED5">
        <w:rPr>
          <w:rFonts w:asciiTheme="minorHAnsi" w:hAnsiTheme="minorHAnsi"/>
          <w:color w:val="auto"/>
          <w:szCs w:val="24"/>
        </w:rPr>
        <w:t xml:space="preserve">, but </w:t>
      </w:r>
      <w:r w:rsidR="002162FC">
        <w:rPr>
          <w:rFonts w:asciiTheme="minorHAnsi" w:hAnsiTheme="minorHAnsi"/>
          <w:color w:val="auto"/>
          <w:szCs w:val="24"/>
        </w:rPr>
        <w:t xml:space="preserve">noted all other TDRL </w:t>
      </w:r>
      <w:r w:rsidR="004C5A17">
        <w:rPr>
          <w:rFonts w:asciiTheme="minorHAnsi" w:hAnsiTheme="minorHAnsi"/>
          <w:color w:val="auto"/>
          <w:szCs w:val="24"/>
        </w:rPr>
        <w:t>physical therapy</w:t>
      </w:r>
      <w:r w:rsidR="002162FC">
        <w:rPr>
          <w:rFonts w:asciiTheme="minorHAnsi" w:hAnsiTheme="minorHAnsi"/>
          <w:color w:val="auto"/>
          <w:szCs w:val="24"/>
        </w:rPr>
        <w:t xml:space="preserve"> examination results showed elevation above shoulder level.  Also, the </w:t>
      </w:r>
      <w:r w:rsidR="004C5A17">
        <w:rPr>
          <w:rFonts w:asciiTheme="minorHAnsi" w:hAnsiTheme="minorHAnsi"/>
          <w:color w:val="auto"/>
          <w:szCs w:val="24"/>
        </w:rPr>
        <w:t>ROM</w:t>
      </w:r>
      <w:r w:rsidR="002162FC">
        <w:rPr>
          <w:rFonts w:asciiTheme="minorHAnsi" w:hAnsiTheme="minorHAnsi"/>
          <w:color w:val="auto"/>
          <w:szCs w:val="24"/>
        </w:rPr>
        <w:t xml:space="preserve"> was </w:t>
      </w:r>
      <w:r w:rsidR="004A6ED5">
        <w:rPr>
          <w:rFonts w:asciiTheme="minorHAnsi" w:hAnsiTheme="minorHAnsi"/>
          <w:color w:val="auto"/>
          <w:szCs w:val="24"/>
        </w:rPr>
        <w:t>near normal entering TDRL</w:t>
      </w:r>
      <w:r w:rsidR="004C5A17">
        <w:rPr>
          <w:rFonts w:asciiTheme="minorHAnsi" w:hAnsiTheme="minorHAnsi"/>
          <w:color w:val="auto"/>
          <w:szCs w:val="24"/>
        </w:rPr>
        <w:t>,</w:t>
      </w:r>
      <w:r w:rsidR="004A6ED5">
        <w:rPr>
          <w:rFonts w:asciiTheme="minorHAnsi" w:hAnsiTheme="minorHAnsi"/>
          <w:color w:val="auto"/>
          <w:szCs w:val="24"/>
        </w:rPr>
        <w:t xml:space="preserve"> and ROM </w:t>
      </w:r>
      <w:r w:rsidR="002162FC">
        <w:rPr>
          <w:rFonts w:asciiTheme="minorHAnsi" w:hAnsiTheme="minorHAnsi"/>
          <w:color w:val="auto"/>
          <w:szCs w:val="24"/>
        </w:rPr>
        <w:t xml:space="preserve">was </w:t>
      </w:r>
      <w:r w:rsidR="004A6ED5">
        <w:rPr>
          <w:rFonts w:asciiTheme="minorHAnsi" w:hAnsiTheme="minorHAnsi"/>
          <w:color w:val="auto"/>
          <w:szCs w:val="24"/>
        </w:rPr>
        <w:t>reported by an orthopedic surg</w:t>
      </w:r>
      <w:r w:rsidR="00785FBD">
        <w:rPr>
          <w:rFonts w:asciiTheme="minorHAnsi" w:hAnsiTheme="minorHAnsi"/>
          <w:color w:val="auto"/>
          <w:szCs w:val="24"/>
        </w:rPr>
        <w:t xml:space="preserve">eon following removal from TDRL </w:t>
      </w:r>
      <w:r w:rsidR="002162FC">
        <w:rPr>
          <w:rFonts w:asciiTheme="minorHAnsi" w:hAnsiTheme="minorHAnsi"/>
          <w:color w:val="auto"/>
          <w:szCs w:val="24"/>
        </w:rPr>
        <w:t xml:space="preserve">as full.  </w:t>
      </w:r>
      <w:r w:rsidR="00B17FCE" w:rsidRPr="0067338B">
        <w:rPr>
          <w:rFonts w:asciiTheme="minorHAnsi" w:hAnsiTheme="minorHAnsi"/>
          <w:color w:val="auto"/>
          <w:szCs w:val="24"/>
        </w:rPr>
        <w:t>Thus</w:t>
      </w:r>
      <w:r w:rsidR="004C5A17">
        <w:rPr>
          <w:rFonts w:asciiTheme="minorHAnsi" w:hAnsiTheme="minorHAnsi"/>
          <w:color w:val="auto"/>
          <w:szCs w:val="24"/>
        </w:rPr>
        <w:t>,</w:t>
      </w:r>
      <w:r w:rsidR="00B17FCE" w:rsidRPr="0067338B">
        <w:rPr>
          <w:rFonts w:asciiTheme="minorHAnsi" w:hAnsiTheme="minorHAnsi"/>
          <w:color w:val="auto"/>
          <w:szCs w:val="24"/>
        </w:rPr>
        <w:t xml:space="preserve"> under code 5201 (limitation of arm motion), neither shoulder reaches the minimum compensable level </w:t>
      </w:r>
      <w:r w:rsidR="0011455A" w:rsidRPr="0067338B">
        <w:rPr>
          <w:rFonts w:asciiTheme="minorHAnsi" w:hAnsiTheme="minorHAnsi"/>
          <w:color w:val="auto"/>
          <w:szCs w:val="24"/>
        </w:rPr>
        <w:t>(</w:t>
      </w:r>
      <w:r w:rsidR="00B17FCE" w:rsidRPr="0067338B">
        <w:rPr>
          <w:rFonts w:asciiTheme="minorHAnsi" w:hAnsiTheme="minorHAnsi"/>
          <w:color w:val="auto"/>
          <w:szCs w:val="24"/>
        </w:rPr>
        <w:t>20%</w:t>
      </w:r>
      <w:r w:rsidR="0011455A" w:rsidRPr="0067338B">
        <w:rPr>
          <w:rFonts w:asciiTheme="minorHAnsi" w:hAnsiTheme="minorHAnsi"/>
          <w:color w:val="auto"/>
          <w:szCs w:val="24"/>
        </w:rPr>
        <w:t>)</w:t>
      </w:r>
      <w:r w:rsidR="00B17FCE" w:rsidRPr="0067338B">
        <w:rPr>
          <w:rFonts w:asciiTheme="minorHAnsi" w:hAnsiTheme="minorHAnsi"/>
          <w:color w:val="auto"/>
          <w:szCs w:val="24"/>
        </w:rPr>
        <w:t>.</w:t>
      </w:r>
      <w:r w:rsidR="005827F4">
        <w:rPr>
          <w:rFonts w:asciiTheme="minorHAnsi" w:hAnsiTheme="minorHAnsi"/>
          <w:color w:val="auto"/>
          <w:szCs w:val="24"/>
        </w:rPr>
        <w:t xml:space="preserve">  </w:t>
      </w:r>
      <w:r w:rsidR="0067338B">
        <w:rPr>
          <w:rFonts w:asciiTheme="minorHAnsi" w:hAnsiTheme="minorHAnsi"/>
          <w:color w:val="auto"/>
          <w:szCs w:val="24"/>
        </w:rPr>
        <w:t>After due deliberation in consideration of the totality of the evidence, the Board concluded that there was insufficient cause to recommend a change from the PEB adjudication for the right and left shoulder conditions.</w:t>
      </w:r>
    </w:p>
    <w:p w:rsidR="002162FC" w:rsidRPr="005827F4" w:rsidRDefault="002162FC" w:rsidP="005827F4">
      <w:pPr>
        <w:tabs>
          <w:tab w:val="left" w:pos="288"/>
          <w:tab w:val="left" w:pos="4752"/>
        </w:tabs>
        <w:spacing w:line="240" w:lineRule="exact"/>
        <w:jc w:val="both"/>
        <w:rPr>
          <w:rFonts w:asciiTheme="minorHAnsi" w:hAnsiTheme="minorHAnsi"/>
          <w:color w:val="auto"/>
          <w:szCs w:val="24"/>
        </w:rPr>
      </w:pPr>
    </w:p>
    <w:p w:rsidR="00B02EB7" w:rsidRPr="00B02EB7"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Contended</w:t>
      </w:r>
      <w:r w:rsidR="00877D0B">
        <w:rPr>
          <w:rFonts w:asciiTheme="minorHAnsi" w:hAnsiTheme="minorHAnsi"/>
          <w:color w:val="auto"/>
          <w:szCs w:val="24"/>
          <w:u w:val="single"/>
        </w:rPr>
        <w:t xml:space="preserve"> Conditions</w:t>
      </w:r>
      <w:r>
        <w:rPr>
          <w:rFonts w:asciiTheme="minorHAnsi" w:hAnsiTheme="minorHAnsi"/>
          <w:color w:val="auto"/>
          <w:szCs w:val="24"/>
        </w:rPr>
        <w:t>.</w:t>
      </w:r>
      <w:proofErr w:type="gramEnd"/>
      <w:r w:rsidRPr="00E42F1D">
        <w:rPr>
          <w:rFonts w:asciiTheme="minorHAnsi" w:hAnsiTheme="minorHAnsi"/>
          <w:color w:val="auto"/>
          <w:szCs w:val="24"/>
        </w:rPr>
        <w:t xml:space="preserve"> </w:t>
      </w:r>
      <w:r>
        <w:rPr>
          <w:rFonts w:asciiTheme="minorHAnsi" w:hAnsiTheme="minorHAnsi"/>
          <w:color w:val="auto"/>
          <w:szCs w:val="24"/>
        </w:rPr>
        <w:t xml:space="preserve"> </w:t>
      </w:r>
      <w:r w:rsidR="00B02EB7" w:rsidRPr="00B02EB7">
        <w:rPr>
          <w:rFonts w:asciiTheme="minorHAnsi" w:hAnsiTheme="minorHAnsi"/>
          <w:color w:val="auto"/>
          <w:szCs w:val="24"/>
        </w:rPr>
        <w:t xml:space="preserve">The CI’s application asserts that compensable ratings should be considered for </w:t>
      </w:r>
      <w:r w:rsidR="00DB3209">
        <w:rPr>
          <w:rFonts w:asciiTheme="minorHAnsi" w:hAnsiTheme="minorHAnsi"/>
          <w:color w:val="auto"/>
          <w:szCs w:val="24"/>
        </w:rPr>
        <w:t>neck pain and low back pain</w:t>
      </w:r>
      <w:r w:rsidR="00B02EB7" w:rsidRPr="00B02EB7">
        <w:rPr>
          <w:rFonts w:asciiTheme="minorHAnsi" w:hAnsiTheme="minorHAnsi"/>
          <w:color w:val="auto"/>
          <w:szCs w:val="24"/>
        </w:rPr>
        <w:t xml:space="preserve">.  </w:t>
      </w:r>
      <w:r w:rsidR="00007B29">
        <w:rPr>
          <w:rFonts w:asciiTheme="minorHAnsi" w:hAnsiTheme="minorHAnsi"/>
          <w:color w:val="auto"/>
          <w:szCs w:val="24"/>
        </w:rPr>
        <w:t xml:space="preserve">Cervical degenerative disc disease was diagnosed while in the </w:t>
      </w:r>
      <w:r w:rsidR="006B1EBA">
        <w:rPr>
          <w:rFonts w:asciiTheme="minorHAnsi" w:hAnsiTheme="minorHAnsi"/>
          <w:color w:val="auto"/>
          <w:szCs w:val="24"/>
        </w:rPr>
        <w:t>s</w:t>
      </w:r>
      <w:r w:rsidR="00007B29">
        <w:rPr>
          <w:rFonts w:asciiTheme="minorHAnsi" w:hAnsiTheme="minorHAnsi"/>
          <w:color w:val="auto"/>
          <w:szCs w:val="24"/>
        </w:rPr>
        <w:t>ervice</w:t>
      </w:r>
      <w:r w:rsidR="003C48ED">
        <w:rPr>
          <w:rFonts w:asciiTheme="minorHAnsi" w:hAnsiTheme="minorHAnsi"/>
          <w:color w:val="auto"/>
          <w:szCs w:val="24"/>
        </w:rPr>
        <w:t>, and caused some neck pain that was treated by physical therapy</w:t>
      </w:r>
      <w:r w:rsidR="00007B29">
        <w:rPr>
          <w:rFonts w:asciiTheme="minorHAnsi" w:hAnsiTheme="minorHAnsi"/>
          <w:color w:val="auto"/>
          <w:szCs w:val="24"/>
        </w:rPr>
        <w:t xml:space="preserve">.  </w:t>
      </w:r>
      <w:r w:rsidR="003C48ED">
        <w:rPr>
          <w:rFonts w:asciiTheme="minorHAnsi" w:hAnsiTheme="minorHAnsi"/>
          <w:color w:val="auto"/>
          <w:szCs w:val="24"/>
        </w:rPr>
        <w:t xml:space="preserve">The CI experienced intermittent episodes of low back pain </w:t>
      </w:r>
      <w:r w:rsidR="005827F4">
        <w:rPr>
          <w:rFonts w:asciiTheme="minorHAnsi" w:hAnsiTheme="minorHAnsi"/>
          <w:color w:val="auto"/>
          <w:szCs w:val="24"/>
        </w:rPr>
        <w:t xml:space="preserve">treated with </w:t>
      </w:r>
      <w:r w:rsidR="003C48ED">
        <w:rPr>
          <w:rFonts w:asciiTheme="minorHAnsi" w:hAnsiTheme="minorHAnsi"/>
          <w:color w:val="auto"/>
          <w:szCs w:val="24"/>
        </w:rPr>
        <w:t xml:space="preserve">pain medication.  </w:t>
      </w:r>
      <w:r w:rsidR="00E8007F">
        <w:rPr>
          <w:rFonts w:asciiTheme="minorHAnsi" w:hAnsiTheme="minorHAnsi"/>
          <w:color w:val="auto"/>
          <w:szCs w:val="24"/>
        </w:rPr>
        <w:t xml:space="preserve">Neither neck nor back </w:t>
      </w:r>
      <w:r w:rsidR="004C5A17">
        <w:rPr>
          <w:rFonts w:asciiTheme="minorHAnsi" w:hAnsiTheme="minorHAnsi"/>
          <w:color w:val="auto"/>
          <w:szCs w:val="24"/>
        </w:rPr>
        <w:t>pain was</w:t>
      </w:r>
      <w:r w:rsidR="00E8007F">
        <w:rPr>
          <w:rFonts w:asciiTheme="minorHAnsi" w:hAnsiTheme="minorHAnsi"/>
          <w:color w:val="auto"/>
          <w:szCs w:val="24"/>
        </w:rPr>
        <w:t xml:space="preserve"> referred by the MEB as interfering with performance of duties.  </w:t>
      </w:r>
      <w:r w:rsidR="00E8007F" w:rsidRPr="00711350">
        <w:rPr>
          <w:rFonts w:asciiTheme="minorHAnsi" w:hAnsiTheme="minorHAnsi"/>
          <w:color w:val="auto"/>
          <w:szCs w:val="24"/>
        </w:rPr>
        <w:t>None of these condition</w:t>
      </w:r>
      <w:r w:rsidR="00E8007F" w:rsidRPr="00E8007F">
        <w:rPr>
          <w:rFonts w:asciiTheme="minorHAnsi" w:hAnsiTheme="minorHAnsi"/>
          <w:color w:val="auto"/>
          <w:szCs w:val="24"/>
        </w:rPr>
        <w:t>s</w:t>
      </w:r>
      <w:r w:rsidR="00E8007F" w:rsidRPr="00711350">
        <w:rPr>
          <w:rFonts w:asciiTheme="minorHAnsi" w:hAnsiTheme="minorHAnsi"/>
          <w:color w:val="auto"/>
          <w:szCs w:val="24"/>
        </w:rPr>
        <w:t xml:space="preserve"> were clinically </w:t>
      </w:r>
      <w:r w:rsidR="00E8007F">
        <w:rPr>
          <w:rFonts w:asciiTheme="minorHAnsi" w:hAnsiTheme="minorHAnsi"/>
          <w:color w:val="auto"/>
          <w:szCs w:val="24"/>
        </w:rPr>
        <w:t xml:space="preserve">or occupationally significant </w:t>
      </w:r>
      <w:r w:rsidR="00E8007F" w:rsidRPr="00711350">
        <w:rPr>
          <w:rFonts w:asciiTheme="minorHAnsi" w:hAnsiTheme="minorHAnsi"/>
          <w:color w:val="auto"/>
          <w:szCs w:val="24"/>
        </w:rPr>
        <w:t>during the MEB period</w:t>
      </w:r>
      <w:r w:rsidR="00E8007F" w:rsidRPr="003B4319">
        <w:rPr>
          <w:rFonts w:asciiTheme="minorHAnsi" w:hAnsiTheme="minorHAnsi"/>
          <w:color w:val="auto"/>
          <w:szCs w:val="24"/>
        </w:rPr>
        <w:t>,</w:t>
      </w:r>
      <w:r w:rsidR="00E8007F" w:rsidRPr="00711350">
        <w:rPr>
          <w:rFonts w:asciiTheme="minorHAnsi" w:hAnsiTheme="minorHAnsi"/>
          <w:color w:val="auto"/>
          <w:szCs w:val="24"/>
        </w:rPr>
        <w:t xml:space="preserve"> </w:t>
      </w:r>
      <w:r w:rsidR="00E8007F" w:rsidRPr="005C62C2">
        <w:rPr>
          <w:rFonts w:asciiTheme="minorHAnsi" w:hAnsiTheme="minorHAnsi"/>
          <w:color w:val="auto"/>
          <w:szCs w:val="24"/>
        </w:rPr>
        <w:t xml:space="preserve">none </w:t>
      </w:r>
      <w:r w:rsidR="00E8007F" w:rsidRPr="00E8007F">
        <w:rPr>
          <w:rFonts w:asciiTheme="minorHAnsi" w:hAnsiTheme="minorHAnsi"/>
          <w:color w:val="auto"/>
          <w:szCs w:val="24"/>
        </w:rPr>
        <w:t xml:space="preserve">carried attached profiles </w:t>
      </w:r>
      <w:r w:rsidR="00E8007F" w:rsidRPr="00711350">
        <w:rPr>
          <w:rFonts w:asciiTheme="minorHAnsi" w:hAnsiTheme="minorHAnsi"/>
          <w:color w:val="auto"/>
          <w:szCs w:val="24"/>
        </w:rPr>
        <w:t xml:space="preserve">and none </w:t>
      </w:r>
      <w:r w:rsidR="00E8007F" w:rsidRPr="00E8007F">
        <w:rPr>
          <w:rFonts w:asciiTheme="minorHAnsi" w:hAnsiTheme="minorHAnsi"/>
          <w:color w:val="auto"/>
          <w:szCs w:val="24"/>
        </w:rPr>
        <w:t>were</w:t>
      </w:r>
      <w:r w:rsidR="00E8007F" w:rsidRPr="00711350">
        <w:rPr>
          <w:rFonts w:asciiTheme="minorHAnsi" w:hAnsiTheme="minorHAnsi"/>
          <w:color w:val="auto"/>
          <w:szCs w:val="24"/>
        </w:rPr>
        <w:t xml:space="preserve"> implicated in the </w:t>
      </w:r>
      <w:r w:rsidR="00E8007F" w:rsidRPr="00E8007F">
        <w:rPr>
          <w:rFonts w:asciiTheme="minorHAnsi" w:hAnsiTheme="minorHAnsi"/>
          <w:color w:val="auto"/>
          <w:szCs w:val="24"/>
        </w:rPr>
        <w:t>commander’s statement</w:t>
      </w:r>
      <w:r w:rsidR="00E8007F" w:rsidRPr="00711350">
        <w:rPr>
          <w:rFonts w:asciiTheme="minorHAnsi" w:hAnsiTheme="minorHAnsi"/>
          <w:color w:val="auto"/>
          <w:szCs w:val="24"/>
        </w:rPr>
        <w:t xml:space="preserve">.  </w:t>
      </w:r>
      <w:r w:rsidR="00DB3209">
        <w:rPr>
          <w:rFonts w:asciiTheme="minorHAnsi" w:hAnsiTheme="minorHAnsi"/>
          <w:color w:val="auto"/>
          <w:szCs w:val="24"/>
        </w:rPr>
        <w:t>Both</w:t>
      </w:r>
      <w:r w:rsidR="00B02EB7" w:rsidRPr="00B02EB7">
        <w:rPr>
          <w:rFonts w:asciiTheme="minorHAnsi" w:hAnsiTheme="minorHAnsi"/>
          <w:color w:val="auto"/>
          <w:szCs w:val="24"/>
        </w:rPr>
        <w:t xml:space="preserve"> of these conditions were reviewed by the </w:t>
      </w:r>
      <w:r w:rsidR="006B1EBA">
        <w:rPr>
          <w:rFonts w:asciiTheme="minorHAnsi" w:hAnsiTheme="minorHAnsi"/>
          <w:color w:val="auto"/>
          <w:szCs w:val="24"/>
        </w:rPr>
        <w:t>a</w:t>
      </w:r>
      <w:r w:rsidR="00B02EB7" w:rsidRPr="00B02EB7">
        <w:rPr>
          <w:rFonts w:asciiTheme="minorHAnsi" w:hAnsiTheme="minorHAnsi"/>
          <w:color w:val="auto"/>
          <w:szCs w:val="24"/>
        </w:rPr>
        <w:t xml:space="preserve">ction </w:t>
      </w:r>
      <w:r w:rsidR="006B1EBA">
        <w:rPr>
          <w:rFonts w:asciiTheme="minorHAnsi" w:hAnsiTheme="minorHAnsi"/>
          <w:color w:val="auto"/>
          <w:szCs w:val="24"/>
        </w:rPr>
        <w:t>o</w:t>
      </w:r>
      <w:r w:rsidR="00B02EB7" w:rsidRPr="00B02EB7">
        <w:rPr>
          <w:rFonts w:asciiTheme="minorHAnsi" w:hAnsiTheme="minorHAnsi"/>
          <w:color w:val="auto"/>
          <w:szCs w:val="24"/>
        </w:rPr>
        <w:t xml:space="preserve">fficer and considered by the Board.  There was no evidence for concluding that </w:t>
      </w:r>
      <w:r w:rsidR="00DB3209">
        <w:rPr>
          <w:rFonts w:asciiTheme="minorHAnsi" w:hAnsiTheme="minorHAnsi"/>
          <w:color w:val="auto"/>
          <w:szCs w:val="24"/>
        </w:rPr>
        <w:t>either</w:t>
      </w:r>
      <w:r w:rsidR="00B02EB7" w:rsidRPr="00B02EB7">
        <w:rPr>
          <w:rFonts w:asciiTheme="minorHAnsi" w:hAnsiTheme="minorHAnsi"/>
          <w:color w:val="auto"/>
          <w:szCs w:val="24"/>
        </w:rPr>
        <w:t xml:space="preserve"> of the conditions interfered with duty performance to a degree that could be argued as unfitting.  The Board determined therefore that n</w:t>
      </w:r>
      <w:r w:rsidR="003C48ED">
        <w:rPr>
          <w:rFonts w:asciiTheme="minorHAnsi" w:hAnsiTheme="minorHAnsi"/>
          <w:color w:val="auto"/>
          <w:szCs w:val="24"/>
        </w:rPr>
        <w:t>either</w:t>
      </w:r>
      <w:r w:rsidR="00B02EB7" w:rsidRPr="00B02EB7">
        <w:rPr>
          <w:rFonts w:asciiTheme="minorHAnsi" w:hAnsiTheme="minorHAnsi"/>
          <w:color w:val="auto"/>
          <w:szCs w:val="24"/>
        </w:rPr>
        <w:t xml:space="preserve"> of the stated conditions </w:t>
      </w:r>
      <w:r w:rsidR="00D13D5B" w:rsidRPr="00B02EB7">
        <w:rPr>
          <w:rFonts w:asciiTheme="minorHAnsi" w:hAnsiTheme="minorHAnsi"/>
          <w:color w:val="auto"/>
          <w:szCs w:val="24"/>
        </w:rPr>
        <w:t>was</w:t>
      </w:r>
      <w:r w:rsidR="00B02EB7" w:rsidRPr="00B02EB7">
        <w:rPr>
          <w:rFonts w:asciiTheme="minorHAnsi" w:hAnsiTheme="minorHAnsi"/>
          <w:color w:val="auto"/>
          <w:szCs w:val="24"/>
        </w:rPr>
        <w:t xml:space="preserve"> subject to </w:t>
      </w:r>
      <w:r w:rsidR="004C5A17">
        <w:rPr>
          <w:rFonts w:asciiTheme="minorHAnsi" w:hAnsiTheme="minorHAnsi"/>
          <w:color w:val="auto"/>
          <w:szCs w:val="24"/>
        </w:rPr>
        <w:t>s</w:t>
      </w:r>
      <w:r w:rsidR="00B02EB7" w:rsidRPr="00B02EB7">
        <w:rPr>
          <w:rFonts w:asciiTheme="minorHAnsi" w:hAnsiTheme="minorHAnsi"/>
          <w:color w:val="auto"/>
          <w:szCs w:val="24"/>
        </w:rPr>
        <w:t>ervice disability rating.</w:t>
      </w:r>
    </w:p>
    <w:p w:rsidR="00E42F1D" w:rsidRDefault="00E42F1D" w:rsidP="00E42F1D">
      <w:pPr>
        <w:tabs>
          <w:tab w:val="left" w:pos="288"/>
          <w:tab w:val="left" w:pos="4752"/>
        </w:tabs>
        <w:spacing w:line="240" w:lineRule="exact"/>
        <w:rPr>
          <w:rFonts w:asciiTheme="minorHAnsi" w:hAnsiTheme="minorHAnsi"/>
          <w:color w:val="auto"/>
          <w:szCs w:val="24"/>
          <w:u w:val="single"/>
        </w:rPr>
      </w:pP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D13D5B" w:rsidRPr="00B8188C">
        <w:rPr>
          <w:rFonts w:asciiTheme="minorHAnsi" w:hAnsiTheme="minorHAnsi"/>
          <w:color w:val="auto"/>
          <w:szCs w:val="24"/>
        </w:rPr>
        <w:t xml:space="preserve">No other conditions were noted in the NARSUM, identified by the CI on the MEB physical or found elsewhere in the DES file.  </w:t>
      </w:r>
      <w:r w:rsidR="00B8188C" w:rsidRPr="00B8188C">
        <w:rPr>
          <w:rFonts w:asciiTheme="minorHAnsi" w:hAnsiTheme="minorHAnsi"/>
          <w:color w:val="auto"/>
          <w:szCs w:val="24"/>
        </w:rPr>
        <w:t xml:space="preserve">Additionally </w:t>
      </w:r>
      <w:r w:rsidR="006B1EBA">
        <w:rPr>
          <w:rFonts w:asciiTheme="minorHAnsi" w:hAnsiTheme="minorHAnsi"/>
          <w:color w:val="auto"/>
          <w:szCs w:val="24"/>
        </w:rPr>
        <w:t>p</w:t>
      </w:r>
      <w:r w:rsidR="00C35EEF">
        <w:rPr>
          <w:rFonts w:asciiTheme="minorHAnsi" w:hAnsiTheme="minorHAnsi"/>
          <w:color w:val="auto"/>
          <w:szCs w:val="24"/>
        </w:rPr>
        <w:t>ost</w:t>
      </w:r>
      <w:r w:rsidR="006B1EBA">
        <w:rPr>
          <w:rFonts w:asciiTheme="minorHAnsi" w:hAnsiTheme="minorHAnsi"/>
          <w:color w:val="auto"/>
          <w:szCs w:val="24"/>
        </w:rPr>
        <w:t>t</w:t>
      </w:r>
      <w:r w:rsidR="00C35EEF">
        <w:rPr>
          <w:rFonts w:asciiTheme="minorHAnsi" w:hAnsiTheme="minorHAnsi"/>
          <w:color w:val="auto"/>
          <w:szCs w:val="24"/>
        </w:rPr>
        <w:t xml:space="preserve">raumatic </w:t>
      </w:r>
      <w:r w:rsidR="006B1EBA">
        <w:rPr>
          <w:rFonts w:asciiTheme="minorHAnsi" w:hAnsiTheme="minorHAnsi"/>
          <w:color w:val="auto"/>
          <w:szCs w:val="24"/>
        </w:rPr>
        <w:t>s</w:t>
      </w:r>
      <w:r w:rsidR="00C35EEF">
        <w:rPr>
          <w:rFonts w:asciiTheme="minorHAnsi" w:hAnsiTheme="minorHAnsi"/>
          <w:color w:val="auto"/>
          <w:szCs w:val="24"/>
        </w:rPr>
        <w:t xml:space="preserve">tress </w:t>
      </w:r>
      <w:r w:rsidR="006B1EBA">
        <w:rPr>
          <w:rFonts w:asciiTheme="minorHAnsi" w:hAnsiTheme="minorHAnsi"/>
          <w:color w:val="auto"/>
          <w:szCs w:val="24"/>
        </w:rPr>
        <w:t>d</w:t>
      </w:r>
      <w:r w:rsidR="00C35EEF">
        <w:rPr>
          <w:rFonts w:asciiTheme="minorHAnsi" w:hAnsiTheme="minorHAnsi"/>
          <w:color w:val="auto"/>
          <w:szCs w:val="24"/>
        </w:rPr>
        <w:t>isorder</w:t>
      </w:r>
      <w:r w:rsidR="00E8007F">
        <w:rPr>
          <w:rFonts w:asciiTheme="minorHAnsi" w:hAnsiTheme="minorHAnsi"/>
          <w:color w:val="auto"/>
          <w:szCs w:val="24"/>
        </w:rPr>
        <w:t xml:space="preserve"> </w:t>
      </w:r>
      <w:r w:rsidR="00C35EEF">
        <w:rPr>
          <w:rFonts w:asciiTheme="minorHAnsi" w:hAnsiTheme="minorHAnsi"/>
          <w:color w:val="auto"/>
          <w:szCs w:val="24"/>
        </w:rPr>
        <w:t>and tinnitus</w:t>
      </w:r>
      <w:r w:rsidR="00B8188C" w:rsidRPr="00B8188C">
        <w:rPr>
          <w:rFonts w:asciiTheme="minorHAnsi" w:hAnsiTheme="minorHAnsi"/>
          <w:color w:val="auto"/>
          <w:szCs w:val="24"/>
        </w:rPr>
        <w:t xml:space="preserve"> were noted in the VA rating decision </w:t>
      </w:r>
      <w:r w:rsidR="00E8007F">
        <w:rPr>
          <w:rFonts w:asciiTheme="minorHAnsi" w:hAnsiTheme="minorHAnsi"/>
          <w:color w:val="auto"/>
          <w:szCs w:val="24"/>
        </w:rPr>
        <w:t xml:space="preserve">following </w:t>
      </w:r>
      <w:r w:rsidR="00B8188C" w:rsidRPr="00B8188C">
        <w:rPr>
          <w:rFonts w:asciiTheme="minorHAnsi" w:hAnsiTheme="minorHAnsi"/>
          <w:color w:val="auto"/>
          <w:szCs w:val="24"/>
        </w:rPr>
        <w:t>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794E43"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00C35EEF" w:rsidRPr="00C35EEF">
        <w:rPr>
          <w:rFonts w:asciiTheme="minorHAnsi" w:eastAsiaTheme="minorHAnsi" w:hAnsiTheme="minorHAnsi"/>
          <w:color w:val="auto"/>
          <w:szCs w:val="24"/>
        </w:rPr>
        <w:t>The Board did not surmise from the record or PEB ruling in this case that any prerogatives outside the VASRD were exercised.</w:t>
      </w:r>
      <w:r w:rsidR="00C35EEF">
        <w:rPr>
          <w:rFonts w:asciiTheme="minorHAnsi" w:eastAsiaTheme="minorHAnsi" w:hAnsiTheme="minorHAnsi"/>
          <w:color w:val="auto"/>
          <w:szCs w:val="24"/>
        </w:rPr>
        <w:t xml:space="preserve">  </w:t>
      </w:r>
      <w:r w:rsidR="00C35EEF" w:rsidRPr="00AE3316">
        <w:rPr>
          <w:rFonts w:asciiTheme="minorHAnsi" w:eastAsiaTheme="minorHAnsi" w:hAnsiTheme="minorHAnsi"/>
          <w:color w:val="auto"/>
          <w:szCs w:val="24"/>
        </w:rPr>
        <w:t xml:space="preserve">In the matter of the </w:t>
      </w:r>
      <w:r w:rsidR="007331ED">
        <w:rPr>
          <w:rFonts w:asciiTheme="minorHAnsi" w:eastAsiaTheme="minorHAnsi" w:hAnsiTheme="minorHAnsi"/>
          <w:color w:val="auto"/>
          <w:szCs w:val="24"/>
        </w:rPr>
        <w:t>left and right</w:t>
      </w:r>
      <w:r w:rsidR="00C35EEF">
        <w:rPr>
          <w:rFonts w:asciiTheme="minorHAnsi" w:eastAsiaTheme="minorHAnsi" w:hAnsiTheme="minorHAnsi"/>
          <w:color w:val="auto"/>
          <w:szCs w:val="24"/>
        </w:rPr>
        <w:t xml:space="preserve"> shoulder</w:t>
      </w:r>
      <w:r w:rsidR="00C35EEF" w:rsidRPr="00AE3316">
        <w:rPr>
          <w:rFonts w:asciiTheme="minorHAnsi" w:eastAsiaTheme="minorHAnsi" w:hAnsiTheme="minorHAnsi"/>
          <w:color w:val="auto"/>
          <w:szCs w:val="24"/>
        </w:rPr>
        <w:t xml:space="preserve"> condition</w:t>
      </w:r>
      <w:r w:rsidR="007331ED">
        <w:rPr>
          <w:rFonts w:asciiTheme="minorHAnsi" w:eastAsiaTheme="minorHAnsi" w:hAnsiTheme="minorHAnsi"/>
          <w:color w:val="auto"/>
          <w:szCs w:val="24"/>
        </w:rPr>
        <w:t>s</w:t>
      </w:r>
      <w:r w:rsidR="00C35EEF" w:rsidRPr="00AE3316">
        <w:rPr>
          <w:rFonts w:asciiTheme="minorHAnsi" w:eastAsiaTheme="minorHAnsi" w:hAnsiTheme="minorHAnsi"/>
          <w:color w:val="auto"/>
          <w:szCs w:val="24"/>
        </w:rPr>
        <w:t xml:space="preserve">, the Board </w:t>
      </w:r>
      <w:r w:rsidR="00C35EEF" w:rsidRPr="00E8007F">
        <w:rPr>
          <w:rFonts w:asciiTheme="minorHAnsi" w:eastAsiaTheme="minorHAnsi" w:hAnsiTheme="minorHAnsi"/>
          <w:color w:val="auto"/>
          <w:szCs w:val="24"/>
        </w:rPr>
        <w:t>unanimously</w:t>
      </w:r>
      <w:r w:rsidR="00794E43">
        <w:rPr>
          <w:rFonts w:asciiTheme="minorHAnsi" w:eastAsiaTheme="minorHAnsi" w:hAnsiTheme="minorHAnsi"/>
          <w:color w:val="auto"/>
          <w:szCs w:val="24"/>
        </w:rPr>
        <w:t xml:space="preserve"> </w:t>
      </w:r>
      <w:r w:rsidR="00C35EEF" w:rsidRPr="00AE3316">
        <w:rPr>
          <w:rFonts w:asciiTheme="minorHAnsi" w:eastAsiaTheme="minorHAnsi" w:hAnsiTheme="minorHAnsi"/>
          <w:color w:val="auto"/>
          <w:szCs w:val="24"/>
        </w:rPr>
        <w:t xml:space="preserve">recommends </w:t>
      </w:r>
      <w:r w:rsidR="00794E43">
        <w:rPr>
          <w:rFonts w:asciiTheme="minorHAnsi" w:eastAsiaTheme="minorHAnsi" w:hAnsiTheme="minorHAnsi"/>
          <w:color w:val="auto"/>
          <w:szCs w:val="24"/>
        </w:rPr>
        <w:t xml:space="preserve">no change in the rating at the time of initial placement on the TDRL and </w:t>
      </w:r>
      <w:r w:rsidR="007331ED">
        <w:rPr>
          <w:rFonts w:asciiTheme="minorHAnsi" w:eastAsiaTheme="minorHAnsi" w:hAnsiTheme="minorHAnsi"/>
          <w:color w:val="auto"/>
          <w:szCs w:val="24"/>
        </w:rPr>
        <w:t xml:space="preserve">a </w:t>
      </w:r>
      <w:r w:rsidR="00794E43">
        <w:rPr>
          <w:rFonts w:asciiTheme="minorHAnsi" w:eastAsiaTheme="minorHAnsi" w:hAnsiTheme="minorHAnsi"/>
          <w:color w:val="auto"/>
          <w:szCs w:val="24"/>
        </w:rPr>
        <w:t xml:space="preserve">permanent </w:t>
      </w:r>
      <w:r w:rsidR="007331ED">
        <w:rPr>
          <w:rFonts w:asciiTheme="minorHAnsi" w:eastAsiaTheme="minorHAnsi" w:hAnsiTheme="minorHAnsi"/>
          <w:color w:val="auto"/>
          <w:szCs w:val="24"/>
        </w:rPr>
        <w:t xml:space="preserve">rating after </w:t>
      </w:r>
      <w:r w:rsidR="00794E43">
        <w:rPr>
          <w:rFonts w:asciiTheme="minorHAnsi" w:eastAsiaTheme="minorHAnsi" w:hAnsiTheme="minorHAnsi"/>
          <w:color w:val="auto"/>
          <w:szCs w:val="24"/>
        </w:rPr>
        <w:t xml:space="preserve">removal from the </w:t>
      </w:r>
      <w:r w:rsidR="007331ED">
        <w:rPr>
          <w:rFonts w:asciiTheme="minorHAnsi" w:eastAsiaTheme="minorHAnsi" w:hAnsiTheme="minorHAnsi"/>
          <w:color w:val="auto"/>
          <w:szCs w:val="24"/>
        </w:rPr>
        <w:t xml:space="preserve">TDRL of 10% each, coded 5304 </w:t>
      </w:r>
      <w:r w:rsidR="007331ED" w:rsidRPr="00E8007F">
        <w:rPr>
          <w:rFonts w:asciiTheme="minorHAnsi" w:eastAsiaTheme="minorHAnsi" w:hAnsiTheme="minorHAnsi"/>
          <w:color w:val="auto"/>
          <w:szCs w:val="24"/>
        </w:rPr>
        <w:t>IAW VASRD §4.71a.</w:t>
      </w:r>
      <w:r w:rsidR="00794E43">
        <w:rPr>
          <w:rFonts w:asciiTheme="minorHAnsi" w:eastAsiaTheme="minorHAnsi" w:hAnsiTheme="minorHAnsi"/>
          <w:color w:val="auto"/>
          <w:szCs w:val="24"/>
        </w:rPr>
        <w:t xml:space="preserve">  </w:t>
      </w:r>
      <w:r w:rsidR="00C35EEF" w:rsidRPr="00E8007F">
        <w:rPr>
          <w:rFonts w:asciiTheme="minorHAnsi" w:eastAsiaTheme="minorHAnsi" w:hAnsiTheme="minorHAnsi"/>
          <w:color w:val="auto"/>
          <w:szCs w:val="24"/>
        </w:rPr>
        <w:t>In the matter of the neck pain</w:t>
      </w:r>
      <w:r w:rsidR="00D13D5B" w:rsidRPr="00E8007F">
        <w:rPr>
          <w:rFonts w:asciiTheme="minorHAnsi" w:eastAsiaTheme="minorHAnsi" w:hAnsiTheme="minorHAnsi"/>
          <w:color w:val="auto"/>
          <w:szCs w:val="24"/>
        </w:rPr>
        <w:t xml:space="preserve"> and</w:t>
      </w:r>
      <w:r w:rsidR="00C35EEF" w:rsidRPr="00E8007F">
        <w:rPr>
          <w:rFonts w:asciiTheme="minorHAnsi" w:eastAsiaTheme="minorHAnsi" w:hAnsiTheme="minorHAnsi"/>
          <w:color w:val="auto"/>
          <w:szCs w:val="24"/>
        </w:rPr>
        <w:t xml:space="preserve"> low back pain</w:t>
      </w:r>
      <w:r w:rsidR="00C35EEF">
        <w:rPr>
          <w:rFonts w:asciiTheme="minorHAnsi" w:eastAsiaTheme="minorHAnsi" w:hAnsiTheme="minorHAnsi"/>
          <w:color w:val="auto"/>
          <w:szCs w:val="24"/>
        </w:rPr>
        <w:t xml:space="preserve"> </w:t>
      </w:r>
      <w:r w:rsidR="00C35EEF" w:rsidRPr="00AE3316">
        <w:rPr>
          <w:rFonts w:asciiTheme="minorHAnsi" w:eastAsiaTheme="minorHAnsi" w:hAnsiTheme="minorHAnsi"/>
          <w:color w:val="auto"/>
          <w:szCs w:val="24"/>
        </w:rPr>
        <w:t>condition</w:t>
      </w:r>
      <w:r w:rsidR="00C35EEF" w:rsidRPr="00C35EEF">
        <w:rPr>
          <w:rFonts w:asciiTheme="minorHAnsi" w:eastAsiaTheme="minorHAnsi" w:hAnsiTheme="minorHAnsi"/>
          <w:color w:val="auto"/>
          <w:szCs w:val="24"/>
        </w:rPr>
        <w:t>s</w:t>
      </w:r>
      <w:r w:rsidR="00C35EEF" w:rsidRPr="00E8007F">
        <w:rPr>
          <w:rFonts w:asciiTheme="minorHAnsi" w:eastAsiaTheme="minorHAnsi" w:hAnsiTheme="minorHAnsi"/>
          <w:color w:val="auto"/>
          <w:szCs w:val="24"/>
        </w:rPr>
        <w:t xml:space="preserve"> or any other medical conditions eligible for Board consideration</w:t>
      </w:r>
      <w:r w:rsidR="004C5A17">
        <w:rPr>
          <w:rFonts w:asciiTheme="minorHAnsi" w:eastAsiaTheme="minorHAnsi" w:hAnsiTheme="minorHAnsi"/>
          <w:color w:val="auto"/>
          <w:szCs w:val="24"/>
        </w:rPr>
        <w:t>,</w:t>
      </w:r>
      <w:r w:rsidR="00C35EEF" w:rsidRPr="00E8007F">
        <w:rPr>
          <w:rFonts w:asciiTheme="minorHAnsi" w:eastAsiaTheme="minorHAnsi" w:hAnsiTheme="minorHAnsi"/>
          <w:color w:val="auto"/>
          <w:szCs w:val="24"/>
        </w:rPr>
        <w:t xml:space="preserve"> the Board unanimously agrees </w:t>
      </w:r>
      <w:r w:rsidR="00C35EEF" w:rsidRPr="00AE3316">
        <w:rPr>
          <w:rFonts w:asciiTheme="minorHAnsi" w:hAnsiTheme="minorHAnsi"/>
          <w:color w:val="auto"/>
          <w:szCs w:val="24"/>
        </w:rPr>
        <w:t>that it cannot</w:t>
      </w:r>
      <w:r w:rsidR="00C35EEF" w:rsidRPr="00AE3316">
        <w:rPr>
          <w:rFonts w:asciiTheme="minorHAnsi" w:hAnsiTheme="minorHAnsi"/>
          <w:color w:val="000080"/>
          <w:szCs w:val="24"/>
        </w:rPr>
        <w:t xml:space="preserve"> </w:t>
      </w:r>
      <w:r w:rsidR="00C35EEF" w:rsidRPr="00AE3316">
        <w:rPr>
          <w:rFonts w:asciiTheme="minorHAnsi" w:hAnsiTheme="minorHAnsi"/>
          <w:color w:val="auto"/>
          <w:szCs w:val="24"/>
        </w:rPr>
        <w:t>recommend a</w:t>
      </w:r>
      <w:r w:rsidR="00C35EEF">
        <w:rPr>
          <w:rFonts w:asciiTheme="minorHAnsi" w:hAnsiTheme="minorHAnsi"/>
          <w:color w:val="auto"/>
          <w:szCs w:val="24"/>
        </w:rPr>
        <w:t>ny</w:t>
      </w:r>
      <w:r w:rsidR="00C35EEF" w:rsidRPr="00AE3316">
        <w:rPr>
          <w:rFonts w:asciiTheme="minorHAnsi" w:hAnsiTheme="minorHAnsi"/>
          <w:color w:val="auto"/>
          <w:szCs w:val="24"/>
        </w:rPr>
        <w:t xml:space="preserve"> finding</w:t>
      </w:r>
      <w:r w:rsidR="00C35EEF">
        <w:rPr>
          <w:rFonts w:asciiTheme="minorHAnsi" w:hAnsiTheme="minorHAnsi"/>
          <w:color w:val="auto"/>
          <w:szCs w:val="24"/>
        </w:rPr>
        <w:t>s</w:t>
      </w:r>
      <w:r w:rsidR="00C35EEF" w:rsidRPr="00AE3316">
        <w:rPr>
          <w:rFonts w:asciiTheme="minorHAnsi" w:hAnsiTheme="minorHAnsi"/>
          <w:color w:val="auto"/>
          <w:szCs w:val="24"/>
        </w:rPr>
        <w:t xml:space="preserve"> of unfit for additional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4101B2" w:rsidRDefault="00C56FC8" w:rsidP="00190E48">
      <w:pPr>
        <w:tabs>
          <w:tab w:val="left" w:pos="288"/>
          <w:tab w:val="left" w:pos="4752"/>
        </w:tabs>
        <w:spacing w:line="240" w:lineRule="exact"/>
        <w:jc w:val="both"/>
        <w:rPr>
          <w:rFonts w:asciiTheme="minorHAnsi" w:hAnsiTheme="minorHAnsi"/>
          <w:color w:val="auto"/>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C35EEF">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determination</w:t>
      </w:r>
      <w:r w:rsidR="008E75E9">
        <w:rPr>
          <w:rFonts w:asciiTheme="minorHAnsi" w:hAnsiTheme="minorHAnsi"/>
          <w:color w:val="auto"/>
          <w:szCs w:val="24"/>
        </w:rPr>
        <w:t>s at separation and permanently</w:t>
      </w:r>
      <w:r w:rsidRPr="00B95833">
        <w:rPr>
          <w:rFonts w:asciiTheme="minorHAnsi" w:hAnsiTheme="minorHAnsi"/>
          <w:color w:val="auto"/>
          <w:szCs w:val="24"/>
        </w:rPr>
        <w:t>.</w:t>
      </w:r>
      <w:r w:rsidR="00E8007F">
        <w:rPr>
          <w:rFonts w:asciiTheme="minorHAnsi" w:hAnsiTheme="minorHAnsi"/>
          <w:color w:val="auto"/>
          <w:szCs w:val="24"/>
        </w:rPr>
        <w:t xml:space="preserve">  </w:t>
      </w:r>
    </w:p>
    <w:p w:rsidR="007331ED" w:rsidRPr="00533FB5" w:rsidRDefault="007331ED" w:rsidP="00190E48">
      <w:pPr>
        <w:tabs>
          <w:tab w:val="left" w:pos="288"/>
          <w:tab w:val="left" w:pos="4752"/>
        </w:tabs>
        <w:spacing w:line="240" w:lineRule="exact"/>
        <w:jc w:val="both"/>
        <w:rPr>
          <w:color w:val="0000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40"/>
        <w:gridCol w:w="1710"/>
        <w:gridCol w:w="1710"/>
        <w:gridCol w:w="1170"/>
        <w:gridCol w:w="1530"/>
      </w:tblGrid>
      <w:tr w:rsidR="007331ED" w:rsidRPr="0085089F" w:rsidTr="000C1E5A">
        <w:trPr>
          <w:jc w:val="center"/>
        </w:trPr>
        <w:tc>
          <w:tcPr>
            <w:tcW w:w="4950" w:type="dxa"/>
            <w:gridSpan w:val="2"/>
            <w:shd w:val="clear" w:color="auto" w:fill="D9D9D9"/>
          </w:tcPr>
          <w:p w:rsidR="007331ED" w:rsidRPr="00AC713F" w:rsidRDefault="007331ED" w:rsidP="000C1E5A">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7331ED" w:rsidRPr="00AC713F" w:rsidRDefault="007331ED" w:rsidP="000C1E5A">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7331ED" w:rsidRPr="00AC713F" w:rsidRDefault="007331ED" w:rsidP="000C1E5A">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TDRL RATING</w:t>
            </w:r>
          </w:p>
        </w:tc>
        <w:tc>
          <w:tcPr>
            <w:tcW w:w="1530" w:type="dxa"/>
            <w:shd w:val="pct15" w:color="auto" w:fill="auto"/>
          </w:tcPr>
          <w:p w:rsidR="007331ED" w:rsidRPr="00AC713F" w:rsidRDefault="007331ED" w:rsidP="000C1E5A">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PERMANENT</w:t>
            </w:r>
          </w:p>
          <w:p w:rsidR="007331ED" w:rsidRPr="00AC713F" w:rsidRDefault="007331ED" w:rsidP="000C1E5A">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7331ED" w:rsidRPr="0085089F" w:rsidTr="000C1E5A">
        <w:trPr>
          <w:trHeight w:val="305"/>
          <w:jc w:val="center"/>
        </w:trPr>
        <w:tc>
          <w:tcPr>
            <w:tcW w:w="4950" w:type="dxa"/>
            <w:gridSpan w:val="2"/>
          </w:tcPr>
          <w:p w:rsidR="007331ED" w:rsidRPr="00AC713F" w:rsidRDefault="007331ED" w:rsidP="000C1E5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Left Shoulder Impingement Syndrome</w:t>
            </w:r>
          </w:p>
        </w:tc>
        <w:tc>
          <w:tcPr>
            <w:tcW w:w="1710" w:type="dxa"/>
            <w:tcBorders>
              <w:bottom w:val="single" w:sz="4" w:space="0" w:color="000000"/>
            </w:tcBorders>
          </w:tcPr>
          <w:p w:rsidR="007331E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5304</w:t>
            </w:r>
          </w:p>
        </w:tc>
        <w:tc>
          <w:tcPr>
            <w:tcW w:w="1170" w:type="dxa"/>
            <w:tcBorders>
              <w:bottom w:val="single" w:sz="4" w:space="0" w:color="000000"/>
            </w:tcBorders>
          </w:tcPr>
          <w:p w:rsidR="007331E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7331ED" w:rsidRPr="00AC713F">
              <w:rPr>
                <w:rFonts w:asciiTheme="minorHAnsi" w:hAnsiTheme="minorHAnsi"/>
                <w:color w:val="auto"/>
                <w:szCs w:val="24"/>
              </w:rPr>
              <w:t>%</w:t>
            </w:r>
          </w:p>
        </w:tc>
        <w:tc>
          <w:tcPr>
            <w:tcW w:w="1530" w:type="dxa"/>
            <w:tcBorders>
              <w:bottom w:val="single" w:sz="4" w:space="0" w:color="000000"/>
            </w:tcBorders>
          </w:tcPr>
          <w:p w:rsidR="007331E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7331ED" w:rsidRPr="00AC713F">
              <w:rPr>
                <w:rFonts w:asciiTheme="minorHAnsi" w:hAnsiTheme="minorHAnsi"/>
                <w:color w:val="auto"/>
                <w:szCs w:val="24"/>
              </w:rPr>
              <w:t>0%</w:t>
            </w:r>
          </w:p>
        </w:tc>
      </w:tr>
      <w:tr w:rsidR="00144F4D" w:rsidRPr="0085089F" w:rsidTr="000C1E5A">
        <w:trPr>
          <w:trHeight w:val="305"/>
          <w:jc w:val="center"/>
        </w:trPr>
        <w:tc>
          <w:tcPr>
            <w:tcW w:w="4950" w:type="dxa"/>
            <w:gridSpan w:val="2"/>
          </w:tcPr>
          <w:p w:rsidR="00144F4D" w:rsidRDefault="00144F4D" w:rsidP="000C1E5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Shoulder Impingement Syndrome</w:t>
            </w:r>
          </w:p>
        </w:tc>
        <w:tc>
          <w:tcPr>
            <w:tcW w:w="1710" w:type="dxa"/>
            <w:tcBorders>
              <w:bottom w:val="single" w:sz="4" w:space="0" w:color="000000"/>
            </w:tcBorders>
          </w:tcPr>
          <w:p w:rsidR="00144F4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5304</w:t>
            </w:r>
          </w:p>
        </w:tc>
        <w:tc>
          <w:tcPr>
            <w:tcW w:w="1170" w:type="dxa"/>
            <w:tcBorders>
              <w:bottom w:val="single" w:sz="4" w:space="0" w:color="000000"/>
            </w:tcBorders>
          </w:tcPr>
          <w:p w:rsidR="00144F4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p>
        </w:tc>
        <w:tc>
          <w:tcPr>
            <w:tcW w:w="1530" w:type="dxa"/>
            <w:tcBorders>
              <w:bottom w:val="single" w:sz="4" w:space="0" w:color="000000"/>
            </w:tcBorders>
          </w:tcPr>
          <w:p w:rsidR="00144F4D" w:rsidRPr="00AC713F" w:rsidRDefault="00144F4D" w:rsidP="000C1E5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144F4D" w:rsidRPr="0085089F" w:rsidTr="00144F4D">
        <w:tblPrEx>
          <w:tblLook w:val="0000"/>
        </w:tblPrEx>
        <w:trPr>
          <w:gridBefore w:val="1"/>
          <w:wBefore w:w="3240" w:type="dxa"/>
          <w:trHeight w:val="287"/>
          <w:jc w:val="center"/>
        </w:trPr>
        <w:tc>
          <w:tcPr>
            <w:tcW w:w="3420" w:type="dxa"/>
            <w:gridSpan w:val="2"/>
            <w:tcBorders>
              <w:top w:val="nil"/>
              <w:left w:val="single" w:sz="4" w:space="0" w:color="auto"/>
              <w:bottom w:val="single" w:sz="4" w:space="0" w:color="auto"/>
            </w:tcBorders>
            <w:shd w:val="clear" w:color="auto" w:fill="E5DFEC" w:themeFill="accent4" w:themeFillTint="33"/>
          </w:tcPr>
          <w:p w:rsidR="00144F4D" w:rsidRPr="00AC713F" w:rsidRDefault="00144F4D" w:rsidP="000C1E5A">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r>
              <w:rPr>
                <w:rFonts w:asciiTheme="minorHAnsi" w:hAnsiTheme="minorHAnsi"/>
                <w:b/>
                <w:color w:val="auto"/>
                <w:szCs w:val="24"/>
              </w:rPr>
              <w:t xml:space="preserve"> (Incorporating BLF)</w:t>
            </w:r>
          </w:p>
        </w:tc>
        <w:tc>
          <w:tcPr>
            <w:tcW w:w="1170" w:type="dxa"/>
            <w:tcBorders>
              <w:left w:val="single" w:sz="4" w:space="0" w:color="auto"/>
            </w:tcBorders>
            <w:shd w:val="pct15" w:color="auto" w:fill="auto"/>
          </w:tcPr>
          <w:p w:rsidR="00144F4D" w:rsidRPr="00AC713F" w:rsidRDefault="00144F4D" w:rsidP="000C1E5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Pr="00AC713F">
              <w:rPr>
                <w:rFonts w:asciiTheme="minorHAnsi" w:hAnsiTheme="minorHAnsi"/>
                <w:b/>
                <w:color w:val="auto"/>
                <w:szCs w:val="24"/>
              </w:rPr>
              <w:t>0%</w:t>
            </w:r>
          </w:p>
        </w:tc>
        <w:tc>
          <w:tcPr>
            <w:tcW w:w="1530" w:type="dxa"/>
            <w:shd w:val="pct15" w:color="auto" w:fill="auto"/>
          </w:tcPr>
          <w:p w:rsidR="00144F4D" w:rsidRPr="00AC713F" w:rsidRDefault="00144F4D" w:rsidP="000C1E5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AC713F">
              <w:rPr>
                <w:rFonts w:asciiTheme="minorHAnsi" w:hAnsiTheme="minorHAnsi"/>
                <w:b/>
                <w:color w:val="auto"/>
                <w:szCs w:val="24"/>
              </w:rPr>
              <w:t>0%</w:t>
            </w:r>
          </w:p>
        </w:tc>
      </w:tr>
    </w:tbl>
    <w:p w:rsidR="007331ED" w:rsidRDefault="007331ED" w:rsidP="00190E48">
      <w:pPr>
        <w:tabs>
          <w:tab w:val="left" w:pos="288"/>
          <w:tab w:val="left" w:pos="1710"/>
        </w:tabs>
        <w:spacing w:line="240" w:lineRule="exact"/>
        <w:jc w:val="both"/>
        <w:rPr>
          <w:rFonts w:asciiTheme="minorHAnsi" w:hAnsiTheme="minorHAnsi"/>
          <w:color w:val="auto"/>
          <w:szCs w:val="24"/>
          <w:highlight w:val="yellow"/>
        </w:rPr>
      </w:pP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C55918">
        <w:rPr>
          <w:rFonts w:asciiTheme="minorHAnsi" w:hAnsiTheme="minorHAnsi"/>
          <w:color w:val="auto"/>
        </w:rPr>
        <w:t>10</w:t>
      </w:r>
      <w:r w:rsidR="00F94D1E">
        <w:rPr>
          <w:rFonts w:asciiTheme="minorHAnsi" w:hAnsiTheme="minorHAnsi"/>
          <w:color w:val="auto"/>
        </w:rPr>
        <w:t>0813</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Default="00D91DA6" w:rsidP="00190E48">
      <w:pPr>
        <w:tabs>
          <w:tab w:val="left" w:pos="288"/>
          <w:tab w:val="left" w:pos="4752"/>
        </w:tabs>
        <w:spacing w:line="240" w:lineRule="exact"/>
        <w:jc w:val="both"/>
        <w:rPr>
          <w:rFonts w:asciiTheme="minorHAnsi" w:hAnsiTheme="minorHAnsi"/>
          <w:color w:val="auto"/>
        </w:rPr>
      </w:pPr>
    </w:p>
    <w:p w:rsidR="008E75E9" w:rsidRDefault="008E75E9" w:rsidP="00190E48">
      <w:pPr>
        <w:tabs>
          <w:tab w:val="left" w:pos="288"/>
          <w:tab w:val="left" w:pos="4752"/>
        </w:tabs>
        <w:spacing w:line="240" w:lineRule="exact"/>
        <w:jc w:val="both"/>
        <w:rPr>
          <w:rFonts w:asciiTheme="minorHAnsi" w:hAnsiTheme="minorHAnsi"/>
          <w:color w:val="auto"/>
        </w:rPr>
      </w:pPr>
    </w:p>
    <w:p w:rsidR="008E75E9" w:rsidRPr="0085089F" w:rsidRDefault="008E75E9" w:rsidP="00190E48">
      <w:pPr>
        <w:tabs>
          <w:tab w:val="left" w:pos="288"/>
          <w:tab w:val="left" w:pos="4752"/>
        </w:tabs>
        <w:spacing w:line="240" w:lineRule="exact"/>
        <w:jc w:val="both"/>
        <w:rPr>
          <w:rFonts w:asciiTheme="minorHAnsi" w:hAnsiTheme="minorHAnsi"/>
          <w:color w:val="auto"/>
        </w:rPr>
      </w:pPr>
    </w:p>
    <w:p w:rsidR="008E75E9" w:rsidRPr="00C25746" w:rsidRDefault="00E9629E" w:rsidP="008E75E9">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 xml:space="preserve"> </w:t>
      </w:r>
    </w:p>
    <w:p w:rsidR="008E75E9" w:rsidRDefault="008E75E9" w:rsidP="008E75E9">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 xml:space="preserve">President, </w:t>
      </w:r>
    </w:p>
    <w:p w:rsidR="00E9629E" w:rsidRDefault="008E75E9" w:rsidP="008E75E9">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E9629E" w:rsidRDefault="00E9629E">
      <w:pPr>
        <w:rPr>
          <w:rFonts w:asciiTheme="minorHAnsi" w:hAnsiTheme="minorHAnsi"/>
          <w:color w:val="auto"/>
        </w:rPr>
      </w:pPr>
      <w:r>
        <w:rPr>
          <w:rFonts w:asciiTheme="minorHAnsi" w:hAnsiTheme="minorHAnsi"/>
          <w:color w:val="auto"/>
        </w:rPr>
        <w:br w:type="page"/>
      </w:r>
    </w:p>
    <w:p w:rsidR="00E9629E" w:rsidRPr="00E9629E" w:rsidRDefault="00E9629E" w:rsidP="00E9629E">
      <w:pPr>
        <w:tabs>
          <w:tab w:val="left" w:pos="576"/>
        </w:tabs>
        <w:spacing w:line="240" w:lineRule="exact"/>
        <w:ind w:right="-1080"/>
        <w:rPr>
          <w:rFonts w:ascii="Times New Roman" w:hAnsi="Times New Roman"/>
          <w:color w:val="000080"/>
        </w:rPr>
      </w:pPr>
      <w:r w:rsidRPr="00E9629E">
        <w:rPr>
          <w:rFonts w:ascii="Times New Roman" w:hAnsi="Times New Roman"/>
          <w:color w:val="000080"/>
        </w:rPr>
        <w:lastRenderedPageBreak/>
        <w:t>SAF/MRB</w:t>
      </w:r>
    </w:p>
    <w:p w:rsidR="00E9629E" w:rsidRPr="00E9629E" w:rsidRDefault="00E9629E" w:rsidP="00E9629E">
      <w:pPr>
        <w:tabs>
          <w:tab w:val="left" w:pos="576"/>
        </w:tabs>
        <w:spacing w:line="240" w:lineRule="exact"/>
        <w:ind w:right="-1080"/>
        <w:rPr>
          <w:rFonts w:ascii="Times New Roman" w:hAnsi="Times New Roman"/>
          <w:color w:val="000080"/>
        </w:rPr>
      </w:pPr>
      <w:r w:rsidRPr="00E9629E">
        <w:rPr>
          <w:rFonts w:ascii="Times New Roman" w:hAnsi="Times New Roman"/>
          <w:color w:val="000080"/>
        </w:rPr>
        <w:t>1500 West Perimeter Road, Suite 3700</w:t>
      </w:r>
    </w:p>
    <w:p w:rsidR="00E9629E" w:rsidRPr="00E9629E" w:rsidRDefault="00E9629E" w:rsidP="00E9629E">
      <w:pPr>
        <w:tabs>
          <w:tab w:val="left" w:pos="576"/>
        </w:tabs>
        <w:spacing w:line="240" w:lineRule="exact"/>
        <w:ind w:right="-1080"/>
        <w:rPr>
          <w:rFonts w:ascii="Times New Roman" w:hAnsi="Times New Roman"/>
          <w:color w:val="000080"/>
        </w:rPr>
      </w:pPr>
      <w:r w:rsidRPr="00E9629E">
        <w:rPr>
          <w:rFonts w:ascii="Times New Roman" w:hAnsi="Times New Roman"/>
          <w:color w:val="000080"/>
        </w:rPr>
        <w:t>Joint Base Andrews MD  20762</w:t>
      </w:r>
    </w:p>
    <w:p w:rsidR="00E9629E" w:rsidRPr="00E9629E" w:rsidRDefault="00E9629E" w:rsidP="00E9629E">
      <w:pPr>
        <w:tabs>
          <w:tab w:val="left" w:pos="576"/>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360"/>
        <w:rPr>
          <w:rFonts w:ascii="Times New Roman" w:hAnsi="Times New Roman"/>
          <w:color w:val="000080"/>
        </w:rPr>
      </w:pPr>
      <w:r w:rsidRPr="00E9629E">
        <w:rPr>
          <w:rFonts w:ascii="Times New Roman" w:hAnsi="Times New Roman"/>
          <w:color w:val="000080"/>
        </w:rPr>
        <w:tab/>
        <w:t xml:space="preserve">Reference your application submitted under the provisions of </w:t>
      </w:r>
      <w:proofErr w:type="spellStart"/>
      <w:r w:rsidRPr="00E9629E">
        <w:rPr>
          <w:rFonts w:ascii="Times New Roman" w:hAnsi="Times New Roman"/>
          <w:color w:val="000080"/>
        </w:rPr>
        <w:t>DoDI</w:t>
      </w:r>
      <w:proofErr w:type="spellEnd"/>
      <w:r w:rsidRPr="00E9629E">
        <w:rPr>
          <w:rFonts w:ascii="Times New Roman" w:hAnsi="Times New Roman"/>
          <w:color w:val="000080"/>
        </w:rPr>
        <w:t xml:space="preserve"> 6040.44 (Section 1554, 10 USC), PDBR Case Number PD-2010-00975.</w:t>
      </w: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360"/>
        <w:rPr>
          <w:rFonts w:ascii="Times New Roman" w:hAnsi="Times New Roman"/>
          <w:color w:val="000080"/>
        </w:rPr>
      </w:pPr>
      <w:r w:rsidRPr="00E9629E">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rPr>
          <w:rFonts w:ascii="Times New Roman" w:hAnsi="Times New Roman"/>
          <w:color w:val="000080"/>
        </w:rPr>
      </w:pPr>
      <w:r w:rsidRPr="00E9629E">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9629E" w:rsidRPr="00E9629E" w:rsidRDefault="00E9629E" w:rsidP="00E9629E">
      <w:pPr>
        <w:tabs>
          <w:tab w:val="left" w:pos="720"/>
        </w:tabs>
        <w:spacing w:line="240" w:lineRule="exact"/>
        <w:ind w:right="-36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r w:rsidRPr="00E9629E">
        <w:rPr>
          <w:rFonts w:ascii="Times New Roman" w:hAnsi="Times New Roman"/>
          <w:color w:val="000080"/>
        </w:rPr>
        <w:tab/>
      </w:r>
      <w:r w:rsidRPr="00E9629E">
        <w:rPr>
          <w:rFonts w:ascii="Times New Roman" w:hAnsi="Times New Roman"/>
          <w:color w:val="000080"/>
        </w:rPr>
        <w:tab/>
      </w:r>
      <w:r w:rsidRPr="00E9629E">
        <w:rPr>
          <w:rFonts w:ascii="Times New Roman" w:hAnsi="Times New Roman"/>
          <w:color w:val="000080"/>
        </w:rPr>
        <w:tab/>
      </w:r>
      <w:r w:rsidRPr="00E9629E">
        <w:rPr>
          <w:rFonts w:ascii="Times New Roman" w:hAnsi="Times New Roman"/>
          <w:color w:val="000080"/>
        </w:rPr>
        <w:tab/>
      </w:r>
      <w:r w:rsidRPr="00E9629E">
        <w:rPr>
          <w:rFonts w:ascii="Times New Roman" w:hAnsi="Times New Roman"/>
          <w:color w:val="000080"/>
        </w:rPr>
        <w:tab/>
      </w:r>
      <w:r w:rsidRPr="00E9629E">
        <w:rPr>
          <w:rFonts w:ascii="Times New Roman" w:hAnsi="Times New Roman"/>
          <w:color w:val="000080"/>
        </w:rPr>
        <w:tab/>
      </w:r>
      <w:r w:rsidRPr="00E9629E">
        <w:rPr>
          <w:rFonts w:ascii="Times New Roman" w:hAnsi="Times New Roman"/>
          <w:color w:val="000080"/>
        </w:rPr>
        <w:tab/>
        <w:t>Sincerely,</w:t>
      </w: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E9629E" w:rsidRPr="00E9629E" w:rsidRDefault="00E9629E" w:rsidP="00E9629E">
      <w:pPr>
        <w:tabs>
          <w:tab w:val="left" w:pos="720"/>
        </w:tabs>
        <w:spacing w:line="240" w:lineRule="exact"/>
        <w:ind w:left="5040" w:right="-1080"/>
        <w:rPr>
          <w:rFonts w:ascii="Times New Roman" w:hAnsi="Times New Roman"/>
          <w:color w:val="000080"/>
        </w:rPr>
      </w:pPr>
      <w:r w:rsidRPr="00E9629E">
        <w:rPr>
          <w:rFonts w:ascii="Times New Roman" w:hAnsi="Times New Roman"/>
          <w:color w:val="000080"/>
        </w:rPr>
        <w:t>Director</w:t>
      </w:r>
    </w:p>
    <w:p w:rsidR="00E9629E" w:rsidRPr="00E9629E" w:rsidRDefault="00E9629E" w:rsidP="00E9629E">
      <w:pPr>
        <w:tabs>
          <w:tab w:val="left" w:pos="720"/>
        </w:tabs>
        <w:spacing w:line="240" w:lineRule="exact"/>
        <w:ind w:left="5040" w:right="-1080"/>
        <w:rPr>
          <w:rFonts w:ascii="Times New Roman" w:hAnsi="Times New Roman"/>
          <w:color w:val="000080"/>
        </w:rPr>
      </w:pPr>
      <w:r w:rsidRPr="00E9629E">
        <w:rPr>
          <w:rFonts w:ascii="Times New Roman" w:hAnsi="Times New Roman"/>
          <w:color w:val="000080"/>
        </w:rPr>
        <w:t>Air Force Review Boards Agency</w:t>
      </w:r>
    </w:p>
    <w:p w:rsidR="00E9629E" w:rsidRPr="00E9629E" w:rsidRDefault="00E9629E" w:rsidP="00E9629E">
      <w:pPr>
        <w:tabs>
          <w:tab w:val="left" w:pos="720"/>
        </w:tabs>
        <w:spacing w:line="240" w:lineRule="exact"/>
        <w:ind w:right="-1080"/>
        <w:rPr>
          <w:rFonts w:ascii="Times New Roman" w:hAnsi="Times New Roman"/>
          <w:color w:val="000080"/>
        </w:rPr>
      </w:pPr>
    </w:p>
    <w:p w:rsidR="00E9629E" w:rsidRPr="00E9629E" w:rsidRDefault="00E9629E" w:rsidP="00E9629E">
      <w:pPr>
        <w:tabs>
          <w:tab w:val="left" w:pos="720"/>
        </w:tabs>
        <w:spacing w:line="240" w:lineRule="exact"/>
        <w:ind w:right="-1080"/>
        <w:rPr>
          <w:rFonts w:ascii="Times New Roman" w:hAnsi="Times New Roman"/>
          <w:color w:val="000080"/>
        </w:rPr>
      </w:pPr>
      <w:r w:rsidRPr="00E9629E">
        <w:rPr>
          <w:rFonts w:ascii="Times New Roman" w:hAnsi="Times New Roman"/>
          <w:color w:val="000080"/>
        </w:rPr>
        <w:t>Attachment:</w:t>
      </w:r>
    </w:p>
    <w:p w:rsidR="00E9629E" w:rsidRPr="00E9629E" w:rsidRDefault="00E9629E" w:rsidP="00E9629E">
      <w:pPr>
        <w:tabs>
          <w:tab w:val="left" w:pos="720"/>
        </w:tabs>
        <w:spacing w:line="240" w:lineRule="exact"/>
        <w:ind w:right="-1080"/>
        <w:rPr>
          <w:rFonts w:ascii="Times New Roman" w:hAnsi="Times New Roman"/>
          <w:color w:val="000080"/>
        </w:rPr>
      </w:pPr>
      <w:r w:rsidRPr="00E9629E">
        <w:rPr>
          <w:rFonts w:ascii="Times New Roman" w:hAnsi="Times New Roman"/>
          <w:color w:val="000080"/>
        </w:rPr>
        <w:t>Record of Proceedings</w:t>
      </w:r>
    </w:p>
    <w:p w:rsidR="00E9629E" w:rsidRPr="00E9629E" w:rsidRDefault="00E9629E" w:rsidP="00E9629E">
      <w:pPr>
        <w:tabs>
          <w:tab w:val="left" w:pos="720"/>
        </w:tabs>
        <w:spacing w:line="240" w:lineRule="exact"/>
        <w:ind w:right="-1080"/>
        <w:rPr>
          <w:rFonts w:ascii="Times New Roman" w:hAnsi="Times New Roman"/>
          <w:color w:val="000080"/>
        </w:rPr>
      </w:pPr>
    </w:p>
    <w:p w:rsidR="008E75E9" w:rsidRPr="00C25746" w:rsidRDefault="008E75E9" w:rsidP="00E9629E">
      <w:pPr>
        <w:tabs>
          <w:tab w:val="left" w:pos="0"/>
          <w:tab w:val="left" w:pos="4320"/>
        </w:tabs>
        <w:spacing w:line="240" w:lineRule="exact"/>
        <w:rPr>
          <w:rFonts w:asciiTheme="minorHAnsi" w:hAnsiTheme="minorHAnsi"/>
          <w:color w:val="auto"/>
        </w:rPr>
      </w:pPr>
    </w:p>
    <w:p w:rsidR="008E75E9" w:rsidRDefault="008E75E9" w:rsidP="008E75E9">
      <w:pPr>
        <w:tabs>
          <w:tab w:val="left" w:pos="0"/>
          <w:tab w:val="left" w:pos="4320"/>
        </w:tabs>
        <w:spacing w:line="240" w:lineRule="exact"/>
        <w:jc w:val="both"/>
        <w:rPr>
          <w:rFonts w:asciiTheme="minorHAnsi" w:hAnsiTheme="minorHAnsi"/>
          <w:color w:val="auto"/>
        </w:rPr>
      </w:pPr>
    </w:p>
    <w:p w:rsidR="008E75E9" w:rsidRDefault="008E75E9" w:rsidP="008E75E9">
      <w:pPr>
        <w:tabs>
          <w:tab w:val="left" w:pos="0"/>
          <w:tab w:val="left" w:pos="4320"/>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59C" w:rsidRDefault="00C5359C">
      <w:r>
        <w:separator/>
      </w:r>
    </w:p>
  </w:endnote>
  <w:endnote w:type="continuationSeparator" w:id="0">
    <w:p w:rsidR="00C5359C" w:rsidRDefault="00C53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58" w:rsidRDefault="00574DCE">
    <w:pPr>
      <w:pStyle w:val="Footer"/>
      <w:framePr w:wrap="around" w:vAnchor="text" w:hAnchor="margin" w:xAlign="center" w:y="1"/>
      <w:rPr>
        <w:rStyle w:val="PageNumber"/>
      </w:rPr>
    </w:pPr>
    <w:r>
      <w:rPr>
        <w:rStyle w:val="PageNumber"/>
      </w:rPr>
      <w:fldChar w:fldCharType="begin"/>
    </w:r>
    <w:r w:rsidR="00C15158">
      <w:rPr>
        <w:rStyle w:val="PageNumber"/>
      </w:rPr>
      <w:instrText xml:space="preserve">PAGE  </w:instrText>
    </w:r>
    <w:r>
      <w:rPr>
        <w:rStyle w:val="PageNumber"/>
      </w:rPr>
      <w:fldChar w:fldCharType="separate"/>
    </w:r>
    <w:r w:rsidR="00C15158">
      <w:rPr>
        <w:rStyle w:val="PageNumber"/>
        <w:noProof/>
      </w:rPr>
      <w:t>2</w:t>
    </w:r>
    <w:r>
      <w:rPr>
        <w:rStyle w:val="PageNumber"/>
      </w:rPr>
      <w:fldChar w:fldCharType="end"/>
    </w:r>
  </w:p>
  <w:p w:rsidR="00C15158" w:rsidRDefault="00C1515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58" w:rsidRPr="00AC713F" w:rsidRDefault="00574DC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1515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9629E">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C15158" w:rsidRPr="006E192B" w:rsidRDefault="00C15158" w:rsidP="002B0749">
    <w:pPr>
      <w:pStyle w:val="Footer"/>
      <w:jc w:val="right"/>
      <w:rPr>
        <w:rFonts w:asciiTheme="minorHAnsi" w:hAnsiTheme="minorHAnsi"/>
        <w:color w:val="auto"/>
      </w:rPr>
    </w:pPr>
    <w:r>
      <w:tab/>
    </w:r>
    <w:r>
      <w:tab/>
    </w:r>
    <w:r w:rsidRPr="006E192B">
      <w:rPr>
        <w:rFonts w:asciiTheme="minorHAnsi" w:hAnsiTheme="minorHAnsi"/>
        <w:caps/>
        <w:color w:val="auto"/>
      </w:rPr>
      <w:t>PD1000975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158" w:rsidRDefault="00C15158" w:rsidP="008A439D">
    <w:pPr>
      <w:pStyle w:val="Footer"/>
    </w:pPr>
  </w:p>
  <w:p w:rsidR="00C15158" w:rsidRDefault="00C15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59C" w:rsidRDefault="00C5359C">
      <w:r>
        <w:separator/>
      </w:r>
    </w:p>
  </w:footnote>
  <w:footnote w:type="continuationSeparator" w:id="0">
    <w:p w:rsidR="00C5359C" w:rsidRDefault="00C53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61858"/>
  </w:hdrShapeDefaults>
  <w:footnotePr>
    <w:numRestart w:val="eachSect"/>
    <w:footnote w:id="-1"/>
    <w:footnote w:id="0"/>
  </w:footnotePr>
  <w:endnotePr>
    <w:endnote w:id="-1"/>
    <w:endnote w:id="0"/>
  </w:endnotePr>
  <w:compat/>
  <w:rsids>
    <w:rsidRoot w:val="001C28D1"/>
    <w:rsid w:val="000059FA"/>
    <w:rsid w:val="00006F87"/>
    <w:rsid w:val="00007B29"/>
    <w:rsid w:val="00010ABA"/>
    <w:rsid w:val="00012428"/>
    <w:rsid w:val="00013417"/>
    <w:rsid w:val="000145C2"/>
    <w:rsid w:val="0001473F"/>
    <w:rsid w:val="00014A9E"/>
    <w:rsid w:val="00014D04"/>
    <w:rsid w:val="00021361"/>
    <w:rsid w:val="00023913"/>
    <w:rsid w:val="00023D43"/>
    <w:rsid w:val="00032986"/>
    <w:rsid w:val="00032E07"/>
    <w:rsid w:val="000332CA"/>
    <w:rsid w:val="0003374E"/>
    <w:rsid w:val="000344E6"/>
    <w:rsid w:val="00035C3A"/>
    <w:rsid w:val="00036E4B"/>
    <w:rsid w:val="000379D0"/>
    <w:rsid w:val="00040FC4"/>
    <w:rsid w:val="000416F8"/>
    <w:rsid w:val="0004178A"/>
    <w:rsid w:val="000428C2"/>
    <w:rsid w:val="00042C26"/>
    <w:rsid w:val="00043382"/>
    <w:rsid w:val="00050EBB"/>
    <w:rsid w:val="00051622"/>
    <w:rsid w:val="00051ACF"/>
    <w:rsid w:val="00052234"/>
    <w:rsid w:val="00053D7C"/>
    <w:rsid w:val="000577C9"/>
    <w:rsid w:val="0006431E"/>
    <w:rsid w:val="00066CFF"/>
    <w:rsid w:val="00070881"/>
    <w:rsid w:val="00072433"/>
    <w:rsid w:val="00075702"/>
    <w:rsid w:val="000775C2"/>
    <w:rsid w:val="000806AD"/>
    <w:rsid w:val="00082482"/>
    <w:rsid w:val="0008708B"/>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541"/>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55A"/>
    <w:rsid w:val="00114F20"/>
    <w:rsid w:val="001166D5"/>
    <w:rsid w:val="001211AF"/>
    <w:rsid w:val="001219DF"/>
    <w:rsid w:val="001231DC"/>
    <w:rsid w:val="001239FC"/>
    <w:rsid w:val="001272AE"/>
    <w:rsid w:val="001315DD"/>
    <w:rsid w:val="001339A7"/>
    <w:rsid w:val="00135385"/>
    <w:rsid w:val="001364D1"/>
    <w:rsid w:val="00136DAA"/>
    <w:rsid w:val="0014124E"/>
    <w:rsid w:val="00142008"/>
    <w:rsid w:val="00142EBA"/>
    <w:rsid w:val="00143B79"/>
    <w:rsid w:val="00144F4D"/>
    <w:rsid w:val="00150B8A"/>
    <w:rsid w:val="00150DCB"/>
    <w:rsid w:val="00151912"/>
    <w:rsid w:val="00151BDF"/>
    <w:rsid w:val="00153740"/>
    <w:rsid w:val="001541C5"/>
    <w:rsid w:val="00156086"/>
    <w:rsid w:val="0015623F"/>
    <w:rsid w:val="00156585"/>
    <w:rsid w:val="00156BA9"/>
    <w:rsid w:val="00161761"/>
    <w:rsid w:val="00162B18"/>
    <w:rsid w:val="00166182"/>
    <w:rsid w:val="001745DD"/>
    <w:rsid w:val="001766E4"/>
    <w:rsid w:val="00177659"/>
    <w:rsid w:val="001779E5"/>
    <w:rsid w:val="00182A4C"/>
    <w:rsid w:val="00183F77"/>
    <w:rsid w:val="00185DA8"/>
    <w:rsid w:val="00185ECB"/>
    <w:rsid w:val="001865E0"/>
    <w:rsid w:val="00186D7F"/>
    <w:rsid w:val="001870F0"/>
    <w:rsid w:val="001872BC"/>
    <w:rsid w:val="00187BEA"/>
    <w:rsid w:val="00190E48"/>
    <w:rsid w:val="00191A51"/>
    <w:rsid w:val="0019273F"/>
    <w:rsid w:val="00193814"/>
    <w:rsid w:val="00193AD5"/>
    <w:rsid w:val="00194930"/>
    <w:rsid w:val="00196587"/>
    <w:rsid w:val="0019755C"/>
    <w:rsid w:val="001A08CD"/>
    <w:rsid w:val="001A5320"/>
    <w:rsid w:val="001A5E62"/>
    <w:rsid w:val="001A7538"/>
    <w:rsid w:val="001B0B1A"/>
    <w:rsid w:val="001B4EC2"/>
    <w:rsid w:val="001B50D1"/>
    <w:rsid w:val="001B5837"/>
    <w:rsid w:val="001B5B59"/>
    <w:rsid w:val="001B60E0"/>
    <w:rsid w:val="001B7C8C"/>
    <w:rsid w:val="001C1172"/>
    <w:rsid w:val="001C181A"/>
    <w:rsid w:val="001C1877"/>
    <w:rsid w:val="001C2053"/>
    <w:rsid w:val="001C252F"/>
    <w:rsid w:val="001C28D1"/>
    <w:rsid w:val="001C4595"/>
    <w:rsid w:val="001C5CFC"/>
    <w:rsid w:val="001C7418"/>
    <w:rsid w:val="001D0051"/>
    <w:rsid w:val="001D2224"/>
    <w:rsid w:val="001D4F88"/>
    <w:rsid w:val="001D5A96"/>
    <w:rsid w:val="001D68CF"/>
    <w:rsid w:val="001D6A8C"/>
    <w:rsid w:val="001D7A56"/>
    <w:rsid w:val="001E15C0"/>
    <w:rsid w:val="001E18E0"/>
    <w:rsid w:val="001E18E2"/>
    <w:rsid w:val="001E19D0"/>
    <w:rsid w:val="001E2A30"/>
    <w:rsid w:val="001F64A6"/>
    <w:rsid w:val="00200AA0"/>
    <w:rsid w:val="00202325"/>
    <w:rsid w:val="00202736"/>
    <w:rsid w:val="00203094"/>
    <w:rsid w:val="00203652"/>
    <w:rsid w:val="002060B6"/>
    <w:rsid w:val="002066B5"/>
    <w:rsid w:val="00215ED6"/>
    <w:rsid w:val="00216049"/>
    <w:rsid w:val="002162FC"/>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09EA"/>
    <w:rsid w:val="0024174E"/>
    <w:rsid w:val="0024227D"/>
    <w:rsid w:val="00242D14"/>
    <w:rsid w:val="00243F2F"/>
    <w:rsid w:val="00246860"/>
    <w:rsid w:val="00246DFF"/>
    <w:rsid w:val="00246E89"/>
    <w:rsid w:val="0025183C"/>
    <w:rsid w:val="00251E3D"/>
    <w:rsid w:val="002528EC"/>
    <w:rsid w:val="00255049"/>
    <w:rsid w:val="00257DE5"/>
    <w:rsid w:val="00260531"/>
    <w:rsid w:val="0026318D"/>
    <w:rsid w:val="00270864"/>
    <w:rsid w:val="002712F7"/>
    <w:rsid w:val="0027159C"/>
    <w:rsid w:val="002723FE"/>
    <w:rsid w:val="002743F2"/>
    <w:rsid w:val="00274549"/>
    <w:rsid w:val="00274E46"/>
    <w:rsid w:val="00275183"/>
    <w:rsid w:val="00276B97"/>
    <w:rsid w:val="00276C86"/>
    <w:rsid w:val="002810A4"/>
    <w:rsid w:val="00284A26"/>
    <w:rsid w:val="00284C97"/>
    <w:rsid w:val="00287006"/>
    <w:rsid w:val="00290645"/>
    <w:rsid w:val="00294437"/>
    <w:rsid w:val="00295DB6"/>
    <w:rsid w:val="00296F5A"/>
    <w:rsid w:val="002A3237"/>
    <w:rsid w:val="002A56E2"/>
    <w:rsid w:val="002A58B7"/>
    <w:rsid w:val="002A685E"/>
    <w:rsid w:val="002A72C7"/>
    <w:rsid w:val="002B03B2"/>
    <w:rsid w:val="002B0749"/>
    <w:rsid w:val="002B2645"/>
    <w:rsid w:val="002B543C"/>
    <w:rsid w:val="002B5E14"/>
    <w:rsid w:val="002B6FA0"/>
    <w:rsid w:val="002C5F10"/>
    <w:rsid w:val="002C6E5B"/>
    <w:rsid w:val="002D18B4"/>
    <w:rsid w:val="002D231A"/>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678B"/>
    <w:rsid w:val="00310CD7"/>
    <w:rsid w:val="0032136A"/>
    <w:rsid w:val="00323E70"/>
    <w:rsid w:val="00325BA2"/>
    <w:rsid w:val="00326C83"/>
    <w:rsid w:val="00326F7F"/>
    <w:rsid w:val="003320E8"/>
    <w:rsid w:val="0033555E"/>
    <w:rsid w:val="00336805"/>
    <w:rsid w:val="00337351"/>
    <w:rsid w:val="00341A54"/>
    <w:rsid w:val="0034669F"/>
    <w:rsid w:val="00351498"/>
    <w:rsid w:val="003523EB"/>
    <w:rsid w:val="00352B22"/>
    <w:rsid w:val="00352F36"/>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B81"/>
    <w:rsid w:val="00377BD2"/>
    <w:rsid w:val="0038110D"/>
    <w:rsid w:val="003821E1"/>
    <w:rsid w:val="00384866"/>
    <w:rsid w:val="0038532B"/>
    <w:rsid w:val="003857D4"/>
    <w:rsid w:val="00385D6F"/>
    <w:rsid w:val="00387095"/>
    <w:rsid w:val="00390092"/>
    <w:rsid w:val="00393651"/>
    <w:rsid w:val="00395E12"/>
    <w:rsid w:val="00397DB7"/>
    <w:rsid w:val="003A27B2"/>
    <w:rsid w:val="003A40B4"/>
    <w:rsid w:val="003A41BA"/>
    <w:rsid w:val="003A6A99"/>
    <w:rsid w:val="003A7B34"/>
    <w:rsid w:val="003A7FF8"/>
    <w:rsid w:val="003B17AC"/>
    <w:rsid w:val="003B227A"/>
    <w:rsid w:val="003B3E56"/>
    <w:rsid w:val="003B5854"/>
    <w:rsid w:val="003B6764"/>
    <w:rsid w:val="003C3833"/>
    <w:rsid w:val="003C48ED"/>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A2B"/>
    <w:rsid w:val="003F58B0"/>
    <w:rsid w:val="003F70E8"/>
    <w:rsid w:val="004007E9"/>
    <w:rsid w:val="00401825"/>
    <w:rsid w:val="00401BBC"/>
    <w:rsid w:val="00403BFB"/>
    <w:rsid w:val="00404B45"/>
    <w:rsid w:val="00406CC5"/>
    <w:rsid w:val="004074A4"/>
    <w:rsid w:val="004076BD"/>
    <w:rsid w:val="004101B2"/>
    <w:rsid w:val="004123D7"/>
    <w:rsid w:val="00412658"/>
    <w:rsid w:val="00414A6A"/>
    <w:rsid w:val="00416F6D"/>
    <w:rsid w:val="004172DB"/>
    <w:rsid w:val="004205D1"/>
    <w:rsid w:val="00421485"/>
    <w:rsid w:val="00422B75"/>
    <w:rsid w:val="004272CC"/>
    <w:rsid w:val="00433F36"/>
    <w:rsid w:val="0043503A"/>
    <w:rsid w:val="0044384F"/>
    <w:rsid w:val="00444209"/>
    <w:rsid w:val="00444F80"/>
    <w:rsid w:val="00446018"/>
    <w:rsid w:val="00446DD8"/>
    <w:rsid w:val="00450E17"/>
    <w:rsid w:val="004543BC"/>
    <w:rsid w:val="0045645D"/>
    <w:rsid w:val="004574C6"/>
    <w:rsid w:val="00457BCF"/>
    <w:rsid w:val="00457DCE"/>
    <w:rsid w:val="00460E3F"/>
    <w:rsid w:val="004637AB"/>
    <w:rsid w:val="00464F33"/>
    <w:rsid w:val="00466CED"/>
    <w:rsid w:val="00467592"/>
    <w:rsid w:val="00467690"/>
    <w:rsid w:val="0047065A"/>
    <w:rsid w:val="004718E7"/>
    <w:rsid w:val="004720E0"/>
    <w:rsid w:val="00472535"/>
    <w:rsid w:val="004761CC"/>
    <w:rsid w:val="00477FCD"/>
    <w:rsid w:val="00480D4A"/>
    <w:rsid w:val="00481DA1"/>
    <w:rsid w:val="004908F7"/>
    <w:rsid w:val="0049255F"/>
    <w:rsid w:val="0049445D"/>
    <w:rsid w:val="00495350"/>
    <w:rsid w:val="00497156"/>
    <w:rsid w:val="004A13DE"/>
    <w:rsid w:val="004A24D2"/>
    <w:rsid w:val="004A2A00"/>
    <w:rsid w:val="004A3214"/>
    <w:rsid w:val="004A4136"/>
    <w:rsid w:val="004A417B"/>
    <w:rsid w:val="004A6ED5"/>
    <w:rsid w:val="004B03F3"/>
    <w:rsid w:val="004B2536"/>
    <w:rsid w:val="004B6AF3"/>
    <w:rsid w:val="004B715E"/>
    <w:rsid w:val="004B7169"/>
    <w:rsid w:val="004B79C9"/>
    <w:rsid w:val="004C5A17"/>
    <w:rsid w:val="004C5E33"/>
    <w:rsid w:val="004C6CDA"/>
    <w:rsid w:val="004D10D4"/>
    <w:rsid w:val="004D16BD"/>
    <w:rsid w:val="004D2AAB"/>
    <w:rsid w:val="004D2F3E"/>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146C"/>
    <w:rsid w:val="00514449"/>
    <w:rsid w:val="005174CA"/>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BD4"/>
    <w:rsid w:val="00542C9A"/>
    <w:rsid w:val="005436C2"/>
    <w:rsid w:val="005442D4"/>
    <w:rsid w:val="0054586A"/>
    <w:rsid w:val="0054631F"/>
    <w:rsid w:val="005519AF"/>
    <w:rsid w:val="0055288D"/>
    <w:rsid w:val="00555259"/>
    <w:rsid w:val="00560D57"/>
    <w:rsid w:val="005624D3"/>
    <w:rsid w:val="00562A94"/>
    <w:rsid w:val="005709F7"/>
    <w:rsid w:val="005710A9"/>
    <w:rsid w:val="00571D1B"/>
    <w:rsid w:val="00573701"/>
    <w:rsid w:val="00574DCE"/>
    <w:rsid w:val="005818AD"/>
    <w:rsid w:val="005827F4"/>
    <w:rsid w:val="0059200A"/>
    <w:rsid w:val="00593043"/>
    <w:rsid w:val="00595BF0"/>
    <w:rsid w:val="005A1846"/>
    <w:rsid w:val="005A258C"/>
    <w:rsid w:val="005A3560"/>
    <w:rsid w:val="005A4E82"/>
    <w:rsid w:val="005A6411"/>
    <w:rsid w:val="005A6C99"/>
    <w:rsid w:val="005A7D5D"/>
    <w:rsid w:val="005B011A"/>
    <w:rsid w:val="005B1D8F"/>
    <w:rsid w:val="005B1E94"/>
    <w:rsid w:val="005B5B3D"/>
    <w:rsid w:val="005C16F3"/>
    <w:rsid w:val="005C3758"/>
    <w:rsid w:val="005D0C57"/>
    <w:rsid w:val="005D1075"/>
    <w:rsid w:val="005E0AF8"/>
    <w:rsid w:val="005E3064"/>
    <w:rsid w:val="005E3737"/>
    <w:rsid w:val="005E3B26"/>
    <w:rsid w:val="005E72B2"/>
    <w:rsid w:val="005F1115"/>
    <w:rsid w:val="005F1AB6"/>
    <w:rsid w:val="005F27F2"/>
    <w:rsid w:val="005F3AFE"/>
    <w:rsid w:val="005F424D"/>
    <w:rsid w:val="005F6B6D"/>
    <w:rsid w:val="005F7212"/>
    <w:rsid w:val="00605AAB"/>
    <w:rsid w:val="00606BEB"/>
    <w:rsid w:val="0061014A"/>
    <w:rsid w:val="0061054B"/>
    <w:rsid w:val="00611F3E"/>
    <w:rsid w:val="00613E26"/>
    <w:rsid w:val="00614B7B"/>
    <w:rsid w:val="00615641"/>
    <w:rsid w:val="00616959"/>
    <w:rsid w:val="006211D0"/>
    <w:rsid w:val="00624D0C"/>
    <w:rsid w:val="006259D6"/>
    <w:rsid w:val="006307BA"/>
    <w:rsid w:val="006315BA"/>
    <w:rsid w:val="00634251"/>
    <w:rsid w:val="00634C4A"/>
    <w:rsid w:val="0063532E"/>
    <w:rsid w:val="006360B4"/>
    <w:rsid w:val="00637BDC"/>
    <w:rsid w:val="006418C9"/>
    <w:rsid w:val="00642BD6"/>
    <w:rsid w:val="00644E47"/>
    <w:rsid w:val="00645046"/>
    <w:rsid w:val="0064527A"/>
    <w:rsid w:val="00645EA2"/>
    <w:rsid w:val="00652D54"/>
    <w:rsid w:val="00656218"/>
    <w:rsid w:val="006573F2"/>
    <w:rsid w:val="006626EF"/>
    <w:rsid w:val="00662F08"/>
    <w:rsid w:val="00663589"/>
    <w:rsid w:val="0066528B"/>
    <w:rsid w:val="006708E3"/>
    <w:rsid w:val="00670DDC"/>
    <w:rsid w:val="00671EB4"/>
    <w:rsid w:val="0067338B"/>
    <w:rsid w:val="0067443B"/>
    <w:rsid w:val="00684E2B"/>
    <w:rsid w:val="00685D7D"/>
    <w:rsid w:val="00690FDA"/>
    <w:rsid w:val="00691E61"/>
    <w:rsid w:val="00693C5E"/>
    <w:rsid w:val="00694EEA"/>
    <w:rsid w:val="006955B4"/>
    <w:rsid w:val="00695E06"/>
    <w:rsid w:val="00696476"/>
    <w:rsid w:val="006A10FA"/>
    <w:rsid w:val="006A40E6"/>
    <w:rsid w:val="006A5C07"/>
    <w:rsid w:val="006A69A7"/>
    <w:rsid w:val="006A6F4F"/>
    <w:rsid w:val="006A75FA"/>
    <w:rsid w:val="006B07D5"/>
    <w:rsid w:val="006B1309"/>
    <w:rsid w:val="006B1EBA"/>
    <w:rsid w:val="006B3923"/>
    <w:rsid w:val="006B3F3E"/>
    <w:rsid w:val="006B4BCD"/>
    <w:rsid w:val="006B517F"/>
    <w:rsid w:val="006B5923"/>
    <w:rsid w:val="006B67D9"/>
    <w:rsid w:val="006B6C14"/>
    <w:rsid w:val="006B715E"/>
    <w:rsid w:val="006C19A1"/>
    <w:rsid w:val="006C1D6E"/>
    <w:rsid w:val="006C262D"/>
    <w:rsid w:val="006C3A68"/>
    <w:rsid w:val="006C4C78"/>
    <w:rsid w:val="006C6AB1"/>
    <w:rsid w:val="006D2D39"/>
    <w:rsid w:val="006D4E0E"/>
    <w:rsid w:val="006D5CE2"/>
    <w:rsid w:val="006D70DC"/>
    <w:rsid w:val="006D794D"/>
    <w:rsid w:val="006D7CE5"/>
    <w:rsid w:val="006E06D1"/>
    <w:rsid w:val="006E1313"/>
    <w:rsid w:val="006E192B"/>
    <w:rsid w:val="006E2DC8"/>
    <w:rsid w:val="006E3048"/>
    <w:rsid w:val="006E4134"/>
    <w:rsid w:val="006E7356"/>
    <w:rsid w:val="006E77C8"/>
    <w:rsid w:val="006F149D"/>
    <w:rsid w:val="006F1A46"/>
    <w:rsid w:val="006F4C47"/>
    <w:rsid w:val="006F51F3"/>
    <w:rsid w:val="006F5A4E"/>
    <w:rsid w:val="00700F6D"/>
    <w:rsid w:val="00703B6C"/>
    <w:rsid w:val="00705C40"/>
    <w:rsid w:val="00706482"/>
    <w:rsid w:val="00706BEF"/>
    <w:rsid w:val="007116BC"/>
    <w:rsid w:val="0071308A"/>
    <w:rsid w:val="00713D99"/>
    <w:rsid w:val="007165CE"/>
    <w:rsid w:val="00720968"/>
    <w:rsid w:val="00721D12"/>
    <w:rsid w:val="00721F8B"/>
    <w:rsid w:val="007237CE"/>
    <w:rsid w:val="00724688"/>
    <w:rsid w:val="0072557D"/>
    <w:rsid w:val="007260FF"/>
    <w:rsid w:val="0073062D"/>
    <w:rsid w:val="0073254D"/>
    <w:rsid w:val="007331ED"/>
    <w:rsid w:val="00736A49"/>
    <w:rsid w:val="00743B71"/>
    <w:rsid w:val="00743C2D"/>
    <w:rsid w:val="00743E36"/>
    <w:rsid w:val="007440C7"/>
    <w:rsid w:val="007446F7"/>
    <w:rsid w:val="00744EBB"/>
    <w:rsid w:val="007455E8"/>
    <w:rsid w:val="00745B0A"/>
    <w:rsid w:val="007468AC"/>
    <w:rsid w:val="00746AE2"/>
    <w:rsid w:val="00747B12"/>
    <w:rsid w:val="00750C82"/>
    <w:rsid w:val="007560EB"/>
    <w:rsid w:val="0076100C"/>
    <w:rsid w:val="00763AAD"/>
    <w:rsid w:val="00765183"/>
    <w:rsid w:val="007651ED"/>
    <w:rsid w:val="00766C87"/>
    <w:rsid w:val="00770BD7"/>
    <w:rsid w:val="007726F9"/>
    <w:rsid w:val="00781BD4"/>
    <w:rsid w:val="00781D3D"/>
    <w:rsid w:val="00784832"/>
    <w:rsid w:val="00785D77"/>
    <w:rsid w:val="00785FBD"/>
    <w:rsid w:val="00786111"/>
    <w:rsid w:val="00786AD7"/>
    <w:rsid w:val="00790CAD"/>
    <w:rsid w:val="00791C55"/>
    <w:rsid w:val="00791F1E"/>
    <w:rsid w:val="00794E43"/>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5C5C"/>
    <w:rsid w:val="007B7B37"/>
    <w:rsid w:val="007B7C41"/>
    <w:rsid w:val="007C1384"/>
    <w:rsid w:val="007C1801"/>
    <w:rsid w:val="007C433E"/>
    <w:rsid w:val="007C4452"/>
    <w:rsid w:val="007C4B3C"/>
    <w:rsid w:val="007C4DB1"/>
    <w:rsid w:val="007C6046"/>
    <w:rsid w:val="007D0292"/>
    <w:rsid w:val="007D1AD4"/>
    <w:rsid w:val="007D1F53"/>
    <w:rsid w:val="007D21AC"/>
    <w:rsid w:val="007D3882"/>
    <w:rsid w:val="007D568A"/>
    <w:rsid w:val="007D574E"/>
    <w:rsid w:val="007D5B9E"/>
    <w:rsid w:val="007D6BFE"/>
    <w:rsid w:val="007E2046"/>
    <w:rsid w:val="007E3883"/>
    <w:rsid w:val="007E4FBB"/>
    <w:rsid w:val="007E55BF"/>
    <w:rsid w:val="007E6D52"/>
    <w:rsid w:val="007E71B1"/>
    <w:rsid w:val="007E7B4E"/>
    <w:rsid w:val="007F0CE2"/>
    <w:rsid w:val="007F0EFF"/>
    <w:rsid w:val="007F1375"/>
    <w:rsid w:val="008014A7"/>
    <w:rsid w:val="00803850"/>
    <w:rsid w:val="00804385"/>
    <w:rsid w:val="008057FE"/>
    <w:rsid w:val="00805AFD"/>
    <w:rsid w:val="008075E3"/>
    <w:rsid w:val="008078D8"/>
    <w:rsid w:val="00811D5B"/>
    <w:rsid w:val="008154FE"/>
    <w:rsid w:val="00817154"/>
    <w:rsid w:val="00817713"/>
    <w:rsid w:val="008206CD"/>
    <w:rsid w:val="00820855"/>
    <w:rsid w:val="008220F1"/>
    <w:rsid w:val="0082340B"/>
    <w:rsid w:val="008265C1"/>
    <w:rsid w:val="00827DB6"/>
    <w:rsid w:val="008304B2"/>
    <w:rsid w:val="00830999"/>
    <w:rsid w:val="00830D5E"/>
    <w:rsid w:val="00830F69"/>
    <w:rsid w:val="00833418"/>
    <w:rsid w:val="00834458"/>
    <w:rsid w:val="00835841"/>
    <w:rsid w:val="00837465"/>
    <w:rsid w:val="0083772A"/>
    <w:rsid w:val="00841243"/>
    <w:rsid w:val="00841457"/>
    <w:rsid w:val="00841641"/>
    <w:rsid w:val="0084374E"/>
    <w:rsid w:val="00844842"/>
    <w:rsid w:val="00844DD0"/>
    <w:rsid w:val="00846D84"/>
    <w:rsid w:val="00847684"/>
    <w:rsid w:val="0085089F"/>
    <w:rsid w:val="0085206E"/>
    <w:rsid w:val="008521AC"/>
    <w:rsid w:val="00852AD4"/>
    <w:rsid w:val="00852BA8"/>
    <w:rsid w:val="00853718"/>
    <w:rsid w:val="008541EF"/>
    <w:rsid w:val="00854F16"/>
    <w:rsid w:val="00856AC7"/>
    <w:rsid w:val="00856FA4"/>
    <w:rsid w:val="008604D9"/>
    <w:rsid w:val="0086162B"/>
    <w:rsid w:val="00861D5C"/>
    <w:rsid w:val="00865207"/>
    <w:rsid w:val="008656A7"/>
    <w:rsid w:val="00871262"/>
    <w:rsid w:val="00871D4E"/>
    <w:rsid w:val="00871E7B"/>
    <w:rsid w:val="00873AF1"/>
    <w:rsid w:val="00874A9E"/>
    <w:rsid w:val="00875B51"/>
    <w:rsid w:val="00875F2D"/>
    <w:rsid w:val="008764DC"/>
    <w:rsid w:val="00877D0B"/>
    <w:rsid w:val="00880081"/>
    <w:rsid w:val="00882CC2"/>
    <w:rsid w:val="00883930"/>
    <w:rsid w:val="00884A85"/>
    <w:rsid w:val="00885447"/>
    <w:rsid w:val="00885F3E"/>
    <w:rsid w:val="00894A2D"/>
    <w:rsid w:val="00896535"/>
    <w:rsid w:val="00896683"/>
    <w:rsid w:val="00896E55"/>
    <w:rsid w:val="00897589"/>
    <w:rsid w:val="00897EA6"/>
    <w:rsid w:val="008A439D"/>
    <w:rsid w:val="008A6304"/>
    <w:rsid w:val="008A63A9"/>
    <w:rsid w:val="008A7F7E"/>
    <w:rsid w:val="008B04DB"/>
    <w:rsid w:val="008B27FD"/>
    <w:rsid w:val="008B3AF2"/>
    <w:rsid w:val="008B515D"/>
    <w:rsid w:val="008B5D31"/>
    <w:rsid w:val="008B6705"/>
    <w:rsid w:val="008C22F3"/>
    <w:rsid w:val="008C2D34"/>
    <w:rsid w:val="008D795D"/>
    <w:rsid w:val="008D7B07"/>
    <w:rsid w:val="008E14BF"/>
    <w:rsid w:val="008E1E94"/>
    <w:rsid w:val="008E281F"/>
    <w:rsid w:val="008E2D99"/>
    <w:rsid w:val="008E4A60"/>
    <w:rsid w:val="008E744D"/>
    <w:rsid w:val="008E75E9"/>
    <w:rsid w:val="008F1E08"/>
    <w:rsid w:val="00900D8F"/>
    <w:rsid w:val="00900FC9"/>
    <w:rsid w:val="009014E3"/>
    <w:rsid w:val="00901574"/>
    <w:rsid w:val="009026E8"/>
    <w:rsid w:val="009028E0"/>
    <w:rsid w:val="00903F39"/>
    <w:rsid w:val="009051C8"/>
    <w:rsid w:val="00906EB7"/>
    <w:rsid w:val="009102BF"/>
    <w:rsid w:val="009115F2"/>
    <w:rsid w:val="00914ADB"/>
    <w:rsid w:val="00923B25"/>
    <w:rsid w:val="0092402E"/>
    <w:rsid w:val="009259BA"/>
    <w:rsid w:val="00925D1A"/>
    <w:rsid w:val="00926FCB"/>
    <w:rsid w:val="0092702F"/>
    <w:rsid w:val="0092756C"/>
    <w:rsid w:val="0093311A"/>
    <w:rsid w:val="00940A64"/>
    <w:rsid w:val="00942645"/>
    <w:rsid w:val="009472CB"/>
    <w:rsid w:val="00950A3A"/>
    <w:rsid w:val="0095340A"/>
    <w:rsid w:val="00954581"/>
    <w:rsid w:val="0095466C"/>
    <w:rsid w:val="00954E5B"/>
    <w:rsid w:val="009576BC"/>
    <w:rsid w:val="00960357"/>
    <w:rsid w:val="0096168C"/>
    <w:rsid w:val="00961840"/>
    <w:rsid w:val="00962F2D"/>
    <w:rsid w:val="009672CD"/>
    <w:rsid w:val="009702E1"/>
    <w:rsid w:val="00972996"/>
    <w:rsid w:val="009732B8"/>
    <w:rsid w:val="00974B59"/>
    <w:rsid w:val="00974CD1"/>
    <w:rsid w:val="00975C72"/>
    <w:rsid w:val="00976869"/>
    <w:rsid w:val="00977740"/>
    <w:rsid w:val="00977CB4"/>
    <w:rsid w:val="009809B8"/>
    <w:rsid w:val="0098222D"/>
    <w:rsid w:val="00982C2D"/>
    <w:rsid w:val="00985099"/>
    <w:rsid w:val="00991802"/>
    <w:rsid w:val="0099421F"/>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C0938"/>
    <w:rsid w:val="009C138E"/>
    <w:rsid w:val="009C22C8"/>
    <w:rsid w:val="009C3F82"/>
    <w:rsid w:val="009C72DD"/>
    <w:rsid w:val="009C7DF5"/>
    <w:rsid w:val="009D056C"/>
    <w:rsid w:val="009D060F"/>
    <w:rsid w:val="009D10A6"/>
    <w:rsid w:val="009D1ADE"/>
    <w:rsid w:val="009E09D0"/>
    <w:rsid w:val="009E1283"/>
    <w:rsid w:val="009E3A7F"/>
    <w:rsid w:val="009E57B1"/>
    <w:rsid w:val="009E6379"/>
    <w:rsid w:val="009F7809"/>
    <w:rsid w:val="009F7AF5"/>
    <w:rsid w:val="00A00D14"/>
    <w:rsid w:val="00A01408"/>
    <w:rsid w:val="00A02457"/>
    <w:rsid w:val="00A03190"/>
    <w:rsid w:val="00A0404B"/>
    <w:rsid w:val="00A06AE4"/>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0A88"/>
    <w:rsid w:val="00A315F3"/>
    <w:rsid w:val="00A32743"/>
    <w:rsid w:val="00A41387"/>
    <w:rsid w:val="00A414A9"/>
    <w:rsid w:val="00A41AA6"/>
    <w:rsid w:val="00A44CCA"/>
    <w:rsid w:val="00A44D75"/>
    <w:rsid w:val="00A47CF1"/>
    <w:rsid w:val="00A50418"/>
    <w:rsid w:val="00A54A47"/>
    <w:rsid w:val="00A56D26"/>
    <w:rsid w:val="00A571A7"/>
    <w:rsid w:val="00A608FB"/>
    <w:rsid w:val="00A60D4A"/>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3CE"/>
    <w:rsid w:val="00A875E7"/>
    <w:rsid w:val="00A90D55"/>
    <w:rsid w:val="00A930D9"/>
    <w:rsid w:val="00A944D8"/>
    <w:rsid w:val="00A959E7"/>
    <w:rsid w:val="00A95BBA"/>
    <w:rsid w:val="00A961EE"/>
    <w:rsid w:val="00A97E58"/>
    <w:rsid w:val="00AA04B3"/>
    <w:rsid w:val="00AA1253"/>
    <w:rsid w:val="00AA28EF"/>
    <w:rsid w:val="00AA493E"/>
    <w:rsid w:val="00AA6F47"/>
    <w:rsid w:val="00AA73AF"/>
    <w:rsid w:val="00AB1754"/>
    <w:rsid w:val="00AB27DD"/>
    <w:rsid w:val="00AB2E38"/>
    <w:rsid w:val="00AB5FE8"/>
    <w:rsid w:val="00AC289E"/>
    <w:rsid w:val="00AC3C3F"/>
    <w:rsid w:val="00AC439D"/>
    <w:rsid w:val="00AC5B2F"/>
    <w:rsid w:val="00AC713F"/>
    <w:rsid w:val="00AD067E"/>
    <w:rsid w:val="00AD1CDD"/>
    <w:rsid w:val="00AD2801"/>
    <w:rsid w:val="00AD4ECB"/>
    <w:rsid w:val="00AD6870"/>
    <w:rsid w:val="00AD68C5"/>
    <w:rsid w:val="00AE1273"/>
    <w:rsid w:val="00AE2D29"/>
    <w:rsid w:val="00AE4624"/>
    <w:rsid w:val="00AE5E14"/>
    <w:rsid w:val="00AE6115"/>
    <w:rsid w:val="00AE625B"/>
    <w:rsid w:val="00AE68EE"/>
    <w:rsid w:val="00AF1668"/>
    <w:rsid w:val="00AF1FEB"/>
    <w:rsid w:val="00AF4FA5"/>
    <w:rsid w:val="00B02EB7"/>
    <w:rsid w:val="00B0436B"/>
    <w:rsid w:val="00B07955"/>
    <w:rsid w:val="00B14FAA"/>
    <w:rsid w:val="00B15D30"/>
    <w:rsid w:val="00B169EF"/>
    <w:rsid w:val="00B17FCE"/>
    <w:rsid w:val="00B20624"/>
    <w:rsid w:val="00B23436"/>
    <w:rsid w:val="00B26354"/>
    <w:rsid w:val="00B26CA0"/>
    <w:rsid w:val="00B30D88"/>
    <w:rsid w:val="00B32179"/>
    <w:rsid w:val="00B33008"/>
    <w:rsid w:val="00B331A9"/>
    <w:rsid w:val="00B3333A"/>
    <w:rsid w:val="00B3449A"/>
    <w:rsid w:val="00B36569"/>
    <w:rsid w:val="00B40A05"/>
    <w:rsid w:val="00B40A3E"/>
    <w:rsid w:val="00B427E4"/>
    <w:rsid w:val="00B445F9"/>
    <w:rsid w:val="00B44DB6"/>
    <w:rsid w:val="00B50227"/>
    <w:rsid w:val="00B50510"/>
    <w:rsid w:val="00B522CD"/>
    <w:rsid w:val="00B55143"/>
    <w:rsid w:val="00B55917"/>
    <w:rsid w:val="00B561D2"/>
    <w:rsid w:val="00B61247"/>
    <w:rsid w:val="00B643A6"/>
    <w:rsid w:val="00B64DD6"/>
    <w:rsid w:val="00B64F33"/>
    <w:rsid w:val="00B6710C"/>
    <w:rsid w:val="00B72076"/>
    <w:rsid w:val="00B72303"/>
    <w:rsid w:val="00B72AC5"/>
    <w:rsid w:val="00B737B4"/>
    <w:rsid w:val="00B80234"/>
    <w:rsid w:val="00B8188C"/>
    <w:rsid w:val="00B82277"/>
    <w:rsid w:val="00B91676"/>
    <w:rsid w:val="00B92593"/>
    <w:rsid w:val="00B95833"/>
    <w:rsid w:val="00B95A57"/>
    <w:rsid w:val="00BA095E"/>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C038EC"/>
    <w:rsid w:val="00C05C6D"/>
    <w:rsid w:val="00C072D0"/>
    <w:rsid w:val="00C1122B"/>
    <w:rsid w:val="00C13B34"/>
    <w:rsid w:val="00C13F26"/>
    <w:rsid w:val="00C15158"/>
    <w:rsid w:val="00C16E9F"/>
    <w:rsid w:val="00C1713D"/>
    <w:rsid w:val="00C177F1"/>
    <w:rsid w:val="00C218D9"/>
    <w:rsid w:val="00C22F3A"/>
    <w:rsid w:val="00C25978"/>
    <w:rsid w:val="00C261C6"/>
    <w:rsid w:val="00C26E7C"/>
    <w:rsid w:val="00C30A97"/>
    <w:rsid w:val="00C31DDC"/>
    <w:rsid w:val="00C34326"/>
    <w:rsid w:val="00C35EEF"/>
    <w:rsid w:val="00C36201"/>
    <w:rsid w:val="00C368E8"/>
    <w:rsid w:val="00C36C3D"/>
    <w:rsid w:val="00C372C7"/>
    <w:rsid w:val="00C37AFB"/>
    <w:rsid w:val="00C41E47"/>
    <w:rsid w:val="00C42443"/>
    <w:rsid w:val="00C42CBA"/>
    <w:rsid w:val="00C45E3F"/>
    <w:rsid w:val="00C5019E"/>
    <w:rsid w:val="00C5359C"/>
    <w:rsid w:val="00C5377C"/>
    <w:rsid w:val="00C53E8A"/>
    <w:rsid w:val="00C54DF3"/>
    <w:rsid w:val="00C55918"/>
    <w:rsid w:val="00C560A7"/>
    <w:rsid w:val="00C56FC8"/>
    <w:rsid w:val="00C60F23"/>
    <w:rsid w:val="00C62EB2"/>
    <w:rsid w:val="00C71BEC"/>
    <w:rsid w:val="00C74D3A"/>
    <w:rsid w:val="00C76813"/>
    <w:rsid w:val="00C77597"/>
    <w:rsid w:val="00C80511"/>
    <w:rsid w:val="00C82627"/>
    <w:rsid w:val="00C826F5"/>
    <w:rsid w:val="00C83740"/>
    <w:rsid w:val="00C84AD1"/>
    <w:rsid w:val="00C85579"/>
    <w:rsid w:val="00C863E5"/>
    <w:rsid w:val="00C931FC"/>
    <w:rsid w:val="00C932C5"/>
    <w:rsid w:val="00C9650E"/>
    <w:rsid w:val="00C971DB"/>
    <w:rsid w:val="00CA068D"/>
    <w:rsid w:val="00CA0A57"/>
    <w:rsid w:val="00CA1228"/>
    <w:rsid w:val="00CA282D"/>
    <w:rsid w:val="00CA4670"/>
    <w:rsid w:val="00CA6B1A"/>
    <w:rsid w:val="00CB20DC"/>
    <w:rsid w:val="00CB23DC"/>
    <w:rsid w:val="00CB2487"/>
    <w:rsid w:val="00CB28E2"/>
    <w:rsid w:val="00CB7A3E"/>
    <w:rsid w:val="00CB7FF7"/>
    <w:rsid w:val="00CC0D0E"/>
    <w:rsid w:val="00CC19B3"/>
    <w:rsid w:val="00CC1BA2"/>
    <w:rsid w:val="00CC2044"/>
    <w:rsid w:val="00CC39D2"/>
    <w:rsid w:val="00CC67BD"/>
    <w:rsid w:val="00CC69EC"/>
    <w:rsid w:val="00CD15BE"/>
    <w:rsid w:val="00CD1EF2"/>
    <w:rsid w:val="00CD32BD"/>
    <w:rsid w:val="00CD34C7"/>
    <w:rsid w:val="00CD37E7"/>
    <w:rsid w:val="00CD501E"/>
    <w:rsid w:val="00CD563D"/>
    <w:rsid w:val="00CD5653"/>
    <w:rsid w:val="00CD5E6D"/>
    <w:rsid w:val="00CD6180"/>
    <w:rsid w:val="00CD63C8"/>
    <w:rsid w:val="00CF158D"/>
    <w:rsid w:val="00CF4394"/>
    <w:rsid w:val="00D000A9"/>
    <w:rsid w:val="00D005DB"/>
    <w:rsid w:val="00D0064E"/>
    <w:rsid w:val="00D00981"/>
    <w:rsid w:val="00D0280D"/>
    <w:rsid w:val="00D02C23"/>
    <w:rsid w:val="00D07A72"/>
    <w:rsid w:val="00D10577"/>
    <w:rsid w:val="00D1323B"/>
    <w:rsid w:val="00D13D5B"/>
    <w:rsid w:val="00D14BAE"/>
    <w:rsid w:val="00D1648B"/>
    <w:rsid w:val="00D16819"/>
    <w:rsid w:val="00D17740"/>
    <w:rsid w:val="00D20AC0"/>
    <w:rsid w:val="00D223E6"/>
    <w:rsid w:val="00D22EB6"/>
    <w:rsid w:val="00D2321B"/>
    <w:rsid w:val="00D23DE4"/>
    <w:rsid w:val="00D26873"/>
    <w:rsid w:val="00D31683"/>
    <w:rsid w:val="00D31D22"/>
    <w:rsid w:val="00D336C8"/>
    <w:rsid w:val="00D339E8"/>
    <w:rsid w:val="00D3662E"/>
    <w:rsid w:val="00D40B1F"/>
    <w:rsid w:val="00D40D75"/>
    <w:rsid w:val="00D449F0"/>
    <w:rsid w:val="00D50C8C"/>
    <w:rsid w:val="00D52393"/>
    <w:rsid w:val="00D523E4"/>
    <w:rsid w:val="00D5279D"/>
    <w:rsid w:val="00D52A1B"/>
    <w:rsid w:val="00D53F14"/>
    <w:rsid w:val="00D543FB"/>
    <w:rsid w:val="00D54BE4"/>
    <w:rsid w:val="00D557B0"/>
    <w:rsid w:val="00D60483"/>
    <w:rsid w:val="00D61ABB"/>
    <w:rsid w:val="00D63577"/>
    <w:rsid w:val="00D67FD7"/>
    <w:rsid w:val="00D71FDC"/>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A1413"/>
    <w:rsid w:val="00DA195B"/>
    <w:rsid w:val="00DA6B55"/>
    <w:rsid w:val="00DB0015"/>
    <w:rsid w:val="00DB22E0"/>
    <w:rsid w:val="00DB2AAD"/>
    <w:rsid w:val="00DB2DC6"/>
    <w:rsid w:val="00DB3209"/>
    <w:rsid w:val="00DB626D"/>
    <w:rsid w:val="00DB6365"/>
    <w:rsid w:val="00DB6F46"/>
    <w:rsid w:val="00DC01E0"/>
    <w:rsid w:val="00DC0BF1"/>
    <w:rsid w:val="00DC41C3"/>
    <w:rsid w:val="00DD26EB"/>
    <w:rsid w:val="00DD3593"/>
    <w:rsid w:val="00DE0C67"/>
    <w:rsid w:val="00DE55DF"/>
    <w:rsid w:val="00DE6952"/>
    <w:rsid w:val="00DE7B62"/>
    <w:rsid w:val="00DE7E74"/>
    <w:rsid w:val="00DF6EF8"/>
    <w:rsid w:val="00E00A69"/>
    <w:rsid w:val="00E017F0"/>
    <w:rsid w:val="00E01A0E"/>
    <w:rsid w:val="00E041E4"/>
    <w:rsid w:val="00E1012B"/>
    <w:rsid w:val="00E103C8"/>
    <w:rsid w:val="00E1085B"/>
    <w:rsid w:val="00E1308B"/>
    <w:rsid w:val="00E1317F"/>
    <w:rsid w:val="00E14581"/>
    <w:rsid w:val="00E145B0"/>
    <w:rsid w:val="00E15539"/>
    <w:rsid w:val="00E16541"/>
    <w:rsid w:val="00E23255"/>
    <w:rsid w:val="00E252D8"/>
    <w:rsid w:val="00E2536E"/>
    <w:rsid w:val="00E25B8A"/>
    <w:rsid w:val="00E2632B"/>
    <w:rsid w:val="00E322F7"/>
    <w:rsid w:val="00E3369B"/>
    <w:rsid w:val="00E35163"/>
    <w:rsid w:val="00E3577D"/>
    <w:rsid w:val="00E367E5"/>
    <w:rsid w:val="00E36D76"/>
    <w:rsid w:val="00E405EA"/>
    <w:rsid w:val="00E408B7"/>
    <w:rsid w:val="00E41637"/>
    <w:rsid w:val="00E42789"/>
    <w:rsid w:val="00E42F1D"/>
    <w:rsid w:val="00E43F59"/>
    <w:rsid w:val="00E45908"/>
    <w:rsid w:val="00E464F0"/>
    <w:rsid w:val="00E50BEB"/>
    <w:rsid w:val="00E51E3A"/>
    <w:rsid w:val="00E548FA"/>
    <w:rsid w:val="00E6092F"/>
    <w:rsid w:val="00E62049"/>
    <w:rsid w:val="00E629DA"/>
    <w:rsid w:val="00E6469F"/>
    <w:rsid w:val="00E67FAC"/>
    <w:rsid w:val="00E7200B"/>
    <w:rsid w:val="00E738CB"/>
    <w:rsid w:val="00E73B47"/>
    <w:rsid w:val="00E73C88"/>
    <w:rsid w:val="00E74437"/>
    <w:rsid w:val="00E7443D"/>
    <w:rsid w:val="00E8007F"/>
    <w:rsid w:val="00E81C3E"/>
    <w:rsid w:val="00E82ADF"/>
    <w:rsid w:val="00E82B6D"/>
    <w:rsid w:val="00E8623B"/>
    <w:rsid w:val="00E9366D"/>
    <w:rsid w:val="00E95BBE"/>
    <w:rsid w:val="00E9629E"/>
    <w:rsid w:val="00E970A8"/>
    <w:rsid w:val="00E97885"/>
    <w:rsid w:val="00EA1177"/>
    <w:rsid w:val="00EA118B"/>
    <w:rsid w:val="00EA11B6"/>
    <w:rsid w:val="00EA2181"/>
    <w:rsid w:val="00EA2DD8"/>
    <w:rsid w:val="00EA4475"/>
    <w:rsid w:val="00EA4563"/>
    <w:rsid w:val="00EA5BA3"/>
    <w:rsid w:val="00EA681F"/>
    <w:rsid w:val="00EB3823"/>
    <w:rsid w:val="00EB47D8"/>
    <w:rsid w:val="00EB57D3"/>
    <w:rsid w:val="00EB5EFD"/>
    <w:rsid w:val="00EB679F"/>
    <w:rsid w:val="00EB76E4"/>
    <w:rsid w:val="00EC0E65"/>
    <w:rsid w:val="00EC2938"/>
    <w:rsid w:val="00EC2E27"/>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1789D"/>
    <w:rsid w:val="00F22A26"/>
    <w:rsid w:val="00F24072"/>
    <w:rsid w:val="00F26432"/>
    <w:rsid w:val="00F27A29"/>
    <w:rsid w:val="00F3197A"/>
    <w:rsid w:val="00F32139"/>
    <w:rsid w:val="00F33D56"/>
    <w:rsid w:val="00F3410A"/>
    <w:rsid w:val="00F34E08"/>
    <w:rsid w:val="00F370FE"/>
    <w:rsid w:val="00F41D91"/>
    <w:rsid w:val="00F42363"/>
    <w:rsid w:val="00F46964"/>
    <w:rsid w:val="00F46F9A"/>
    <w:rsid w:val="00F5126A"/>
    <w:rsid w:val="00F53BC8"/>
    <w:rsid w:val="00F55366"/>
    <w:rsid w:val="00F62250"/>
    <w:rsid w:val="00F6266C"/>
    <w:rsid w:val="00F6636A"/>
    <w:rsid w:val="00F667C5"/>
    <w:rsid w:val="00F67E31"/>
    <w:rsid w:val="00F718A8"/>
    <w:rsid w:val="00F72183"/>
    <w:rsid w:val="00F76D01"/>
    <w:rsid w:val="00F809DA"/>
    <w:rsid w:val="00F81C35"/>
    <w:rsid w:val="00F82981"/>
    <w:rsid w:val="00F8311F"/>
    <w:rsid w:val="00F83248"/>
    <w:rsid w:val="00F83376"/>
    <w:rsid w:val="00F853AE"/>
    <w:rsid w:val="00F8547A"/>
    <w:rsid w:val="00F87854"/>
    <w:rsid w:val="00F8786F"/>
    <w:rsid w:val="00F93C74"/>
    <w:rsid w:val="00F93DCC"/>
    <w:rsid w:val="00F9435D"/>
    <w:rsid w:val="00F94D1E"/>
    <w:rsid w:val="00F97740"/>
    <w:rsid w:val="00FA2F7B"/>
    <w:rsid w:val="00FA67A3"/>
    <w:rsid w:val="00FB09FE"/>
    <w:rsid w:val="00FB593A"/>
    <w:rsid w:val="00FB6410"/>
    <w:rsid w:val="00FB6E82"/>
    <w:rsid w:val="00FC0042"/>
    <w:rsid w:val="00FC2A13"/>
    <w:rsid w:val="00FC4284"/>
    <w:rsid w:val="00FC4576"/>
    <w:rsid w:val="00FC54F1"/>
    <w:rsid w:val="00FC7DBC"/>
    <w:rsid w:val="00FD076A"/>
    <w:rsid w:val="00FD0AA0"/>
    <w:rsid w:val="00FD1D5A"/>
    <w:rsid w:val="00FD2B6F"/>
    <w:rsid w:val="00FD5059"/>
    <w:rsid w:val="00FD554D"/>
    <w:rsid w:val="00FE4BF7"/>
    <w:rsid w:val="00FE6469"/>
    <w:rsid w:val="00FF0FF7"/>
    <w:rsid w:val="00FF1438"/>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C1515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0138-905C-4BF1-9FB6-5A7F1FE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14</cp:revision>
  <cp:lastPrinted>2011-09-21T13:53:00Z</cp:lastPrinted>
  <dcterms:created xsi:type="dcterms:W3CDTF">2011-08-18T20:03:00Z</dcterms:created>
  <dcterms:modified xsi:type="dcterms:W3CDTF">2012-05-14T22:22:00Z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