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Pr="008F3DA0" w:rsidRDefault="008B446D" w:rsidP="008B446D">
      <w:pPr>
        <w:tabs>
          <w:tab w:val="left" w:pos="288"/>
          <w:tab w:val="left" w:pos="4752"/>
        </w:tabs>
        <w:spacing w:line="240" w:lineRule="exact"/>
        <w:ind w:right="-1260"/>
        <w:jc w:val="both"/>
        <w:rPr>
          <w:rFonts w:asciiTheme="minorHAnsi" w:hAnsiTheme="minorHAnsi"/>
          <w:caps/>
          <w:color w:val="auto"/>
        </w:rPr>
      </w:pPr>
      <w:r w:rsidRPr="008F3DA0">
        <w:rPr>
          <w:rFonts w:asciiTheme="minorHAnsi" w:hAnsiTheme="minorHAnsi"/>
          <w:caps/>
          <w:color w:val="auto"/>
        </w:rPr>
        <w:t xml:space="preserve">NAME: </w:t>
      </w:r>
      <w:r w:rsidR="00690C8D">
        <w:rPr>
          <w:rFonts w:asciiTheme="minorHAnsi" w:hAnsiTheme="minorHAnsi"/>
          <w:caps/>
          <w:color w:val="auto"/>
        </w:rPr>
        <w:t xml:space="preserve"> </w:t>
      </w:r>
      <w:r w:rsidRPr="008F3DA0">
        <w:rPr>
          <w:rFonts w:asciiTheme="minorHAnsi" w:hAnsiTheme="minorHAnsi"/>
          <w:caps/>
          <w:color w:val="auto"/>
        </w:rPr>
        <w:tab/>
      </w:r>
      <w:r w:rsidRPr="008F3DA0">
        <w:rPr>
          <w:rFonts w:asciiTheme="minorHAnsi" w:hAnsiTheme="minorHAnsi"/>
          <w:caps/>
          <w:color w:val="auto"/>
        </w:rPr>
        <w:tab/>
      </w:r>
      <w:r w:rsidR="001C1A11">
        <w:rPr>
          <w:rFonts w:asciiTheme="minorHAnsi" w:hAnsiTheme="minorHAnsi"/>
          <w:caps/>
          <w:color w:val="auto"/>
        </w:rPr>
        <w:t xml:space="preserve">            </w:t>
      </w:r>
      <w:r w:rsidRPr="008F3DA0">
        <w:rPr>
          <w:rFonts w:asciiTheme="minorHAnsi" w:hAnsiTheme="minorHAnsi"/>
          <w:caps/>
          <w:color w:val="auto"/>
        </w:rPr>
        <w:t xml:space="preserve">BRANCH OF SERVICE: </w:t>
      </w:r>
      <w:r w:rsidR="008F3DA0">
        <w:rPr>
          <w:rFonts w:asciiTheme="minorHAnsi" w:hAnsiTheme="minorHAnsi"/>
          <w:caps/>
          <w:color w:val="auto"/>
        </w:rPr>
        <w:t xml:space="preserve"> </w:t>
      </w:r>
      <w:r w:rsidRPr="008F3DA0">
        <w:rPr>
          <w:rFonts w:asciiTheme="minorHAnsi" w:hAnsiTheme="minorHAnsi"/>
          <w:caps/>
          <w:color w:val="auto"/>
        </w:rPr>
        <w:t>marine corps</w:t>
      </w:r>
    </w:p>
    <w:p w:rsidR="008B446D" w:rsidRPr="008F3DA0" w:rsidRDefault="008B446D" w:rsidP="008B446D">
      <w:pPr>
        <w:tabs>
          <w:tab w:val="left" w:pos="288"/>
          <w:tab w:val="left" w:pos="4752"/>
        </w:tabs>
        <w:spacing w:line="240" w:lineRule="exact"/>
        <w:ind w:right="-900"/>
        <w:jc w:val="both"/>
        <w:rPr>
          <w:rFonts w:asciiTheme="minorHAnsi" w:hAnsiTheme="minorHAnsi"/>
          <w:caps/>
          <w:color w:val="auto"/>
        </w:rPr>
      </w:pPr>
      <w:r w:rsidRPr="008F3DA0">
        <w:rPr>
          <w:rFonts w:asciiTheme="minorHAnsi" w:hAnsiTheme="minorHAnsi"/>
          <w:caps/>
          <w:color w:val="auto"/>
        </w:rPr>
        <w:t xml:space="preserve">CASE NUMBER: </w:t>
      </w:r>
      <w:r w:rsidR="00D8162C">
        <w:rPr>
          <w:rFonts w:asciiTheme="minorHAnsi" w:hAnsiTheme="minorHAnsi"/>
          <w:caps/>
          <w:color w:val="auto"/>
        </w:rPr>
        <w:t xml:space="preserve"> </w:t>
      </w:r>
      <w:r w:rsidRPr="008F3DA0">
        <w:rPr>
          <w:rFonts w:asciiTheme="minorHAnsi" w:hAnsiTheme="minorHAnsi"/>
          <w:caps/>
          <w:color w:val="auto"/>
        </w:rPr>
        <w:t>PD1000</w:t>
      </w:r>
      <w:r w:rsidR="008F3DA0">
        <w:rPr>
          <w:rFonts w:asciiTheme="minorHAnsi" w:hAnsiTheme="minorHAnsi"/>
          <w:caps/>
          <w:color w:val="auto"/>
        </w:rPr>
        <w:t>925</w:t>
      </w:r>
      <w:r w:rsidRPr="008F3DA0">
        <w:rPr>
          <w:rFonts w:asciiTheme="minorHAnsi" w:hAnsiTheme="minorHAnsi"/>
          <w:caps/>
          <w:color w:val="auto"/>
        </w:rPr>
        <w:tab/>
      </w:r>
      <w:r w:rsidRPr="008F3DA0">
        <w:rPr>
          <w:rFonts w:asciiTheme="minorHAnsi" w:hAnsiTheme="minorHAnsi"/>
          <w:caps/>
          <w:color w:val="auto"/>
        </w:rPr>
        <w:tab/>
      </w:r>
      <w:r w:rsidRPr="008F3DA0">
        <w:rPr>
          <w:rFonts w:asciiTheme="minorHAnsi" w:hAnsiTheme="minorHAnsi"/>
          <w:caps/>
          <w:color w:val="auto"/>
        </w:rPr>
        <w:tab/>
      </w:r>
      <w:r w:rsidR="001C1A11">
        <w:rPr>
          <w:rFonts w:asciiTheme="minorHAnsi" w:hAnsiTheme="minorHAnsi"/>
          <w:caps/>
          <w:color w:val="auto"/>
        </w:rPr>
        <w:t xml:space="preserve">             </w:t>
      </w:r>
      <w:r w:rsidRPr="008F3DA0">
        <w:rPr>
          <w:rFonts w:asciiTheme="minorHAnsi" w:hAnsiTheme="minorHAnsi"/>
          <w:caps/>
          <w:color w:val="auto"/>
        </w:rPr>
        <w:t xml:space="preserve">SEPARATION DATE: </w:t>
      </w:r>
      <w:r w:rsidR="00D8162C">
        <w:rPr>
          <w:rFonts w:asciiTheme="minorHAnsi" w:hAnsiTheme="minorHAnsi"/>
          <w:caps/>
          <w:color w:val="auto"/>
        </w:rPr>
        <w:t xml:space="preserve"> </w:t>
      </w:r>
      <w:r w:rsidRPr="008F3DA0">
        <w:rPr>
          <w:rFonts w:asciiTheme="minorHAnsi" w:hAnsiTheme="minorHAnsi"/>
          <w:caps/>
          <w:color w:val="auto"/>
        </w:rPr>
        <w:t>200</w:t>
      </w:r>
      <w:r w:rsidR="008F3DA0">
        <w:rPr>
          <w:rFonts w:asciiTheme="minorHAnsi" w:hAnsiTheme="minorHAnsi"/>
          <w:caps/>
          <w:color w:val="auto"/>
        </w:rPr>
        <w:t>70427</w:t>
      </w:r>
    </w:p>
    <w:p w:rsidR="008B446D" w:rsidRDefault="008B446D" w:rsidP="008B446D">
      <w:pPr>
        <w:tabs>
          <w:tab w:val="left" w:pos="288"/>
          <w:tab w:val="left" w:pos="4752"/>
        </w:tabs>
        <w:spacing w:line="240" w:lineRule="exact"/>
        <w:jc w:val="both"/>
        <w:rPr>
          <w:rFonts w:asciiTheme="minorHAnsi" w:hAnsiTheme="minorHAnsi"/>
          <w:caps/>
          <w:color w:val="auto"/>
        </w:rPr>
      </w:pPr>
      <w:r w:rsidRPr="008F3DA0">
        <w:rPr>
          <w:rFonts w:asciiTheme="minorHAnsi" w:hAnsiTheme="minorHAnsi"/>
          <w:caps/>
          <w:color w:val="auto"/>
        </w:rPr>
        <w:t xml:space="preserve">BOARD DATE: </w:t>
      </w:r>
      <w:r w:rsidR="00D8162C">
        <w:rPr>
          <w:rFonts w:asciiTheme="minorHAnsi" w:hAnsiTheme="minorHAnsi"/>
          <w:caps/>
          <w:color w:val="auto"/>
        </w:rPr>
        <w:t xml:space="preserve"> </w:t>
      </w:r>
      <w:r w:rsidRPr="008F3DA0">
        <w:rPr>
          <w:rFonts w:asciiTheme="minorHAnsi" w:hAnsiTheme="minorHAnsi"/>
          <w:caps/>
          <w:color w:val="auto"/>
        </w:rPr>
        <w:t>2010</w:t>
      </w:r>
      <w:r w:rsidR="00BE0B47">
        <w:rPr>
          <w:rFonts w:asciiTheme="minorHAnsi" w:hAnsiTheme="minorHAnsi"/>
          <w:caps/>
          <w:color w:val="auto"/>
        </w:rPr>
        <w:t>0803</w:t>
      </w:r>
    </w:p>
    <w:p w:rsidR="00D07B1F" w:rsidRPr="00D07B1F" w:rsidRDefault="00D07B1F" w:rsidP="00D07B1F">
      <w:pPr>
        <w:pBdr>
          <w:bottom w:val="single" w:sz="12" w:space="1" w:color="auto"/>
        </w:pBdr>
        <w:tabs>
          <w:tab w:val="left" w:pos="288"/>
          <w:tab w:val="left" w:pos="4752"/>
        </w:tabs>
        <w:spacing w:line="240" w:lineRule="exact"/>
        <w:jc w:val="both"/>
        <w:rPr>
          <w:rFonts w:ascii="Calibri" w:hAnsi="Calibri"/>
          <w:color w:val="auto"/>
          <w:szCs w:val="24"/>
        </w:rPr>
      </w:pPr>
    </w:p>
    <w:p w:rsidR="00D07B1F" w:rsidRDefault="00D07B1F" w:rsidP="00D07B1F">
      <w:pPr>
        <w:tabs>
          <w:tab w:val="left" w:pos="288"/>
          <w:tab w:val="left" w:pos="4752"/>
        </w:tabs>
        <w:spacing w:line="240" w:lineRule="exact"/>
        <w:rPr>
          <w:rFonts w:ascii="Calibri" w:hAnsi="Calibri"/>
          <w:color w:val="auto"/>
          <w:szCs w:val="24"/>
        </w:rPr>
      </w:pPr>
    </w:p>
    <w:p w:rsidR="00B20624" w:rsidRPr="00D07B1F" w:rsidRDefault="002C6E5B" w:rsidP="00DD64E0">
      <w:pPr>
        <w:tabs>
          <w:tab w:val="left" w:pos="288"/>
          <w:tab w:val="left" w:pos="4752"/>
        </w:tabs>
        <w:spacing w:line="240" w:lineRule="exact"/>
        <w:jc w:val="both"/>
        <w:rPr>
          <w:rFonts w:asciiTheme="minorHAnsi" w:hAnsiTheme="minorHAnsi"/>
          <w:color w:val="auto"/>
          <w:szCs w:val="24"/>
        </w:rPr>
      </w:pPr>
      <w:r w:rsidRPr="00316142">
        <w:rPr>
          <w:rFonts w:asciiTheme="minorHAnsi" w:hAnsiTheme="minorHAnsi"/>
          <w:color w:val="auto"/>
          <w:u w:val="single"/>
        </w:rPr>
        <w:t>SUMMARY OF CASE</w:t>
      </w:r>
      <w:r w:rsidRPr="00316142">
        <w:rPr>
          <w:rFonts w:asciiTheme="minorHAnsi" w:hAnsiTheme="minorHAnsi"/>
          <w:color w:val="auto"/>
        </w:rPr>
        <w:t xml:space="preserve">:  </w:t>
      </w:r>
      <w:r w:rsidR="00092C97" w:rsidRPr="00092C97">
        <w:rPr>
          <w:rFonts w:asciiTheme="minorHAnsi" w:hAnsiTheme="minorHAnsi"/>
          <w:color w:val="auto"/>
          <w:szCs w:val="24"/>
        </w:rPr>
        <w:t>Data extracted from the available evidence of record reflects that this</w:t>
      </w:r>
      <w:r w:rsidRPr="00316142">
        <w:rPr>
          <w:rFonts w:asciiTheme="minorHAnsi" w:hAnsiTheme="minorHAnsi"/>
          <w:color w:val="auto"/>
          <w:szCs w:val="24"/>
        </w:rPr>
        <w:t xml:space="preserve"> covered individual (CI) was </w:t>
      </w:r>
      <w:r w:rsidR="00E322F7" w:rsidRPr="00316142">
        <w:rPr>
          <w:rFonts w:asciiTheme="minorHAnsi" w:hAnsiTheme="minorHAnsi"/>
          <w:color w:val="auto"/>
          <w:szCs w:val="24"/>
        </w:rPr>
        <w:t>an active duty</w:t>
      </w:r>
      <w:r w:rsidR="006D4E0E" w:rsidRPr="00316142">
        <w:rPr>
          <w:rFonts w:asciiTheme="minorHAnsi" w:hAnsiTheme="minorHAnsi"/>
          <w:color w:val="auto"/>
          <w:szCs w:val="24"/>
        </w:rPr>
        <w:t xml:space="preserve"> </w:t>
      </w:r>
      <w:r w:rsidR="00316142">
        <w:rPr>
          <w:rFonts w:asciiTheme="minorHAnsi" w:hAnsiTheme="minorHAnsi"/>
          <w:color w:val="auto"/>
          <w:szCs w:val="24"/>
        </w:rPr>
        <w:t>Staff Sergeant</w:t>
      </w:r>
      <w:r w:rsidR="00705C40" w:rsidRPr="00316142">
        <w:rPr>
          <w:rFonts w:asciiTheme="minorHAnsi" w:hAnsiTheme="minorHAnsi"/>
          <w:color w:val="auto"/>
          <w:szCs w:val="24"/>
        </w:rPr>
        <w:t xml:space="preserve"> (</w:t>
      </w:r>
      <w:r w:rsidR="00316142">
        <w:rPr>
          <w:rFonts w:asciiTheme="minorHAnsi" w:hAnsiTheme="minorHAnsi"/>
          <w:color w:val="auto"/>
          <w:szCs w:val="24"/>
        </w:rPr>
        <w:t>6323, Avionics Technician</w:t>
      </w:r>
      <w:r w:rsidR="00E322F7" w:rsidRPr="00316142">
        <w:rPr>
          <w:rFonts w:asciiTheme="minorHAnsi" w:hAnsiTheme="minorHAnsi"/>
          <w:color w:val="auto"/>
          <w:szCs w:val="24"/>
        </w:rPr>
        <w:t xml:space="preserve">) </w:t>
      </w:r>
      <w:r w:rsidRPr="00316142">
        <w:rPr>
          <w:rFonts w:asciiTheme="minorHAnsi" w:hAnsiTheme="minorHAnsi"/>
          <w:color w:val="auto"/>
          <w:szCs w:val="24"/>
        </w:rPr>
        <w:t xml:space="preserve">medically separated </w:t>
      </w:r>
      <w:r w:rsidR="00611983">
        <w:rPr>
          <w:rFonts w:asciiTheme="minorHAnsi" w:hAnsiTheme="minorHAnsi"/>
          <w:color w:val="auto"/>
          <w:szCs w:val="24"/>
        </w:rPr>
        <w:t xml:space="preserve">from the Marines </w:t>
      </w:r>
      <w:r w:rsidRPr="00316142">
        <w:rPr>
          <w:rFonts w:asciiTheme="minorHAnsi" w:hAnsiTheme="minorHAnsi"/>
          <w:color w:val="auto"/>
          <w:szCs w:val="24"/>
        </w:rPr>
        <w:t>f</w:t>
      </w:r>
      <w:r w:rsidR="00B06536">
        <w:rPr>
          <w:rFonts w:asciiTheme="minorHAnsi" w:hAnsiTheme="minorHAnsi"/>
          <w:color w:val="auto"/>
          <w:szCs w:val="24"/>
        </w:rPr>
        <w:t xml:space="preserve">or </w:t>
      </w:r>
      <w:r w:rsidR="004936DC">
        <w:rPr>
          <w:rFonts w:asciiTheme="minorHAnsi" w:hAnsiTheme="minorHAnsi"/>
          <w:color w:val="auto"/>
          <w:szCs w:val="24"/>
        </w:rPr>
        <w:t>bilateral hammer</w:t>
      </w:r>
      <w:r w:rsidR="00BE0B47">
        <w:rPr>
          <w:rFonts w:asciiTheme="minorHAnsi" w:hAnsiTheme="minorHAnsi"/>
          <w:color w:val="auto"/>
          <w:szCs w:val="24"/>
        </w:rPr>
        <w:t xml:space="preserve"> </w:t>
      </w:r>
      <w:r w:rsidR="004936DC">
        <w:rPr>
          <w:rFonts w:asciiTheme="minorHAnsi" w:hAnsiTheme="minorHAnsi"/>
          <w:color w:val="auto"/>
          <w:szCs w:val="24"/>
        </w:rPr>
        <w:t xml:space="preserve">toe deformities.  </w:t>
      </w:r>
      <w:r w:rsidR="00E322F7" w:rsidRPr="00316142">
        <w:rPr>
          <w:rFonts w:asciiTheme="minorHAnsi" w:hAnsiTheme="minorHAnsi"/>
          <w:color w:val="auto"/>
          <w:szCs w:val="24"/>
        </w:rPr>
        <w:t xml:space="preserve">He did not respond adequately to perform within his </w:t>
      </w:r>
      <w:r w:rsidR="00D8162C" w:rsidRPr="00316142">
        <w:rPr>
          <w:rFonts w:asciiTheme="minorHAnsi" w:hAnsiTheme="minorHAnsi"/>
          <w:color w:val="auto"/>
          <w:szCs w:val="24"/>
        </w:rPr>
        <w:t xml:space="preserve">military occupational </w:t>
      </w:r>
      <w:r w:rsidR="00D8162C">
        <w:rPr>
          <w:rFonts w:asciiTheme="minorHAnsi" w:hAnsiTheme="minorHAnsi"/>
          <w:color w:val="auto"/>
          <w:szCs w:val="24"/>
        </w:rPr>
        <w:t xml:space="preserve">specialty </w:t>
      </w:r>
      <w:r w:rsidR="004936DC">
        <w:rPr>
          <w:rFonts w:asciiTheme="minorHAnsi" w:hAnsiTheme="minorHAnsi"/>
          <w:color w:val="auto"/>
          <w:szCs w:val="24"/>
        </w:rPr>
        <w:t>(MOS)</w:t>
      </w:r>
      <w:r w:rsidR="009400CA">
        <w:rPr>
          <w:rFonts w:asciiTheme="minorHAnsi" w:hAnsiTheme="minorHAnsi"/>
          <w:color w:val="auto"/>
          <w:szCs w:val="24"/>
        </w:rPr>
        <w:t xml:space="preserve"> </w:t>
      </w:r>
      <w:r w:rsidR="009400CA" w:rsidRPr="009400CA">
        <w:rPr>
          <w:rFonts w:asciiTheme="minorHAnsi" w:hAnsiTheme="minorHAnsi"/>
          <w:color w:val="auto"/>
          <w:szCs w:val="24"/>
        </w:rPr>
        <w:t xml:space="preserve">or meet </w:t>
      </w:r>
      <w:r w:rsidR="004936DC" w:rsidRPr="009400CA">
        <w:rPr>
          <w:rFonts w:asciiTheme="minorHAnsi" w:hAnsiTheme="minorHAnsi"/>
          <w:color w:val="auto"/>
          <w:szCs w:val="24"/>
        </w:rPr>
        <w:t>physical fitness standards</w:t>
      </w:r>
      <w:r w:rsidR="004936DC">
        <w:rPr>
          <w:rFonts w:asciiTheme="minorHAnsi" w:hAnsiTheme="minorHAnsi"/>
          <w:color w:val="auto"/>
          <w:szCs w:val="24"/>
        </w:rPr>
        <w:t xml:space="preserve">.  </w:t>
      </w:r>
      <w:r w:rsidR="004936DC" w:rsidRPr="004936DC">
        <w:rPr>
          <w:rFonts w:asciiTheme="minorHAnsi" w:hAnsiTheme="minorHAnsi"/>
          <w:color w:val="auto"/>
          <w:szCs w:val="24"/>
        </w:rPr>
        <w:t>He was placed on limited duty and underwent a Medical Evaluation Board (MEB).</w:t>
      </w:r>
      <w:r w:rsidR="004166EC">
        <w:rPr>
          <w:rFonts w:asciiTheme="minorHAnsi" w:hAnsiTheme="minorHAnsi"/>
          <w:color w:val="auto"/>
          <w:szCs w:val="24"/>
        </w:rPr>
        <w:t xml:space="preserve">  </w:t>
      </w:r>
      <w:r w:rsidR="008F5D5A">
        <w:rPr>
          <w:rFonts w:asciiTheme="minorHAnsi" w:hAnsiTheme="minorHAnsi"/>
          <w:color w:val="auto"/>
          <w:szCs w:val="24"/>
        </w:rPr>
        <w:t>Bilateral hammer toe deformities, moderate flat foot</w:t>
      </w:r>
      <w:r w:rsidR="00BE0B47">
        <w:rPr>
          <w:rFonts w:asciiTheme="minorHAnsi" w:hAnsiTheme="minorHAnsi"/>
          <w:color w:val="auto"/>
          <w:szCs w:val="24"/>
        </w:rPr>
        <w:t>,</w:t>
      </w:r>
      <w:r w:rsidR="008F5D5A">
        <w:rPr>
          <w:rFonts w:asciiTheme="minorHAnsi" w:hAnsiTheme="minorHAnsi"/>
          <w:color w:val="auto"/>
          <w:szCs w:val="24"/>
        </w:rPr>
        <w:t xml:space="preserve"> and moderate </w:t>
      </w:r>
      <w:proofErr w:type="spellStart"/>
      <w:r w:rsidR="008F5D5A">
        <w:rPr>
          <w:rFonts w:asciiTheme="minorHAnsi" w:hAnsiTheme="minorHAnsi"/>
          <w:color w:val="auto"/>
          <w:szCs w:val="24"/>
        </w:rPr>
        <w:t>pronation</w:t>
      </w:r>
      <w:proofErr w:type="spellEnd"/>
      <w:r w:rsidR="008F5D5A">
        <w:rPr>
          <w:rFonts w:asciiTheme="minorHAnsi" w:hAnsiTheme="minorHAnsi"/>
          <w:color w:val="auto"/>
          <w:szCs w:val="24"/>
        </w:rPr>
        <w:t xml:space="preserve"> </w:t>
      </w:r>
      <w:r w:rsidR="004166EC">
        <w:rPr>
          <w:rFonts w:asciiTheme="minorHAnsi" w:hAnsiTheme="minorHAnsi"/>
          <w:color w:val="auto"/>
          <w:szCs w:val="24"/>
        </w:rPr>
        <w:t>were f</w:t>
      </w:r>
      <w:r w:rsidR="00DA5457" w:rsidRPr="00D07B1F">
        <w:rPr>
          <w:rFonts w:asciiTheme="minorHAnsi" w:hAnsiTheme="minorHAnsi"/>
          <w:color w:val="auto"/>
          <w:szCs w:val="24"/>
        </w:rPr>
        <w:t xml:space="preserve">orwarded </w:t>
      </w:r>
      <w:r w:rsidR="008C47EA">
        <w:rPr>
          <w:rFonts w:asciiTheme="minorHAnsi" w:hAnsiTheme="minorHAnsi"/>
          <w:color w:val="auto"/>
          <w:szCs w:val="24"/>
        </w:rPr>
        <w:t>to the Physical Evaluation Board (PEB) as medically unacceptable IAW SECNAVINST 1850.4E</w:t>
      </w:r>
      <w:r w:rsidR="008F5D5A">
        <w:rPr>
          <w:rFonts w:asciiTheme="minorHAnsi" w:hAnsiTheme="minorHAnsi"/>
          <w:color w:val="auto"/>
          <w:szCs w:val="24"/>
        </w:rPr>
        <w:t xml:space="preserve"> (referred as “other hammer toe [acquired], congenital </w:t>
      </w:r>
      <w:proofErr w:type="spellStart"/>
      <w:r w:rsidR="008F5D5A">
        <w:rPr>
          <w:rFonts w:asciiTheme="minorHAnsi" w:hAnsiTheme="minorHAnsi"/>
          <w:color w:val="auto"/>
          <w:szCs w:val="24"/>
        </w:rPr>
        <w:t>pes</w:t>
      </w:r>
      <w:proofErr w:type="spellEnd"/>
      <w:r w:rsidR="008F5D5A">
        <w:rPr>
          <w:rFonts w:asciiTheme="minorHAnsi" w:hAnsiTheme="minorHAnsi"/>
          <w:color w:val="auto"/>
          <w:szCs w:val="24"/>
        </w:rPr>
        <w:t xml:space="preserve"> </w:t>
      </w:r>
      <w:proofErr w:type="spellStart"/>
      <w:r w:rsidR="008F5D5A">
        <w:rPr>
          <w:rFonts w:asciiTheme="minorHAnsi" w:hAnsiTheme="minorHAnsi"/>
          <w:color w:val="auto"/>
          <w:szCs w:val="24"/>
        </w:rPr>
        <w:t>planus</w:t>
      </w:r>
      <w:proofErr w:type="spellEnd"/>
      <w:r w:rsidR="008F5D5A">
        <w:rPr>
          <w:rFonts w:asciiTheme="minorHAnsi" w:hAnsiTheme="minorHAnsi"/>
          <w:color w:val="auto"/>
          <w:szCs w:val="24"/>
        </w:rPr>
        <w:t xml:space="preserve">, and other acquired deformities of ankle and foot” on NAVMED form 6100/1).  </w:t>
      </w:r>
      <w:r w:rsidR="00CF2975" w:rsidRPr="00CF2975">
        <w:rPr>
          <w:rFonts w:asciiTheme="minorHAnsi" w:hAnsiTheme="minorHAnsi"/>
          <w:color w:val="auto"/>
          <w:szCs w:val="24"/>
        </w:rPr>
        <w:t>Other conditions included in the Disability Evaluation System (DES) packet will be discussed below.</w:t>
      </w:r>
      <w:r w:rsidR="00CF2975">
        <w:rPr>
          <w:rFonts w:asciiTheme="minorHAnsi" w:hAnsiTheme="minorHAnsi"/>
          <w:color w:val="auto"/>
          <w:szCs w:val="24"/>
        </w:rPr>
        <w:t xml:space="preserve">  </w:t>
      </w:r>
      <w:r w:rsidR="00B20624" w:rsidRPr="00D07B1F">
        <w:rPr>
          <w:rFonts w:asciiTheme="minorHAnsi" w:hAnsiTheme="minorHAnsi"/>
          <w:color w:val="auto"/>
          <w:szCs w:val="24"/>
        </w:rPr>
        <w:t>The PEB</w:t>
      </w:r>
      <w:r w:rsidR="00CF2975">
        <w:rPr>
          <w:rFonts w:asciiTheme="minorHAnsi" w:hAnsiTheme="minorHAnsi"/>
          <w:color w:val="auto"/>
          <w:szCs w:val="24"/>
        </w:rPr>
        <w:t xml:space="preserve"> </w:t>
      </w:r>
      <w:r w:rsidR="00B20624" w:rsidRPr="00D07B1F">
        <w:rPr>
          <w:rFonts w:asciiTheme="minorHAnsi" w:hAnsiTheme="minorHAnsi"/>
          <w:color w:val="auto"/>
          <w:szCs w:val="24"/>
        </w:rPr>
        <w:t xml:space="preserve">adjudicated the </w:t>
      </w:r>
      <w:r w:rsidR="00CF2975" w:rsidRPr="00D07B1F">
        <w:rPr>
          <w:rFonts w:asciiTheme="minorHAnsi" w:hAnsiTheme="minorHAnsi"/>
          <w:color w:val="auto"/>
          <w:szCs w:val="24"/>
        </w:rPr>
        <w:t>bilateral hammertoe deformities</w:t>
      </w:r>
      <w:r w:rsidR="00DA5A34">
        <w:rPr>
          <w:rFonts w:asciiTheme="minorHAnsi" w:hAnsiTheme="minorHAnsi"/>
          <w:color w:val="auto"/>
          <w:szCs w:val="24"/>
        </w:rPr>
        <w:t xml:space="preserve"> </w:t>
      </w:r>
      <w:r w:rsidR="00B20624" w:rsidRPr="00D07B1F">
        <w:rPr>
          <w:rFonts w:asciiTheme="minorHAnsi" w:hAnsiTheme="minorHAnsi"/>
          <w:color w:val="auto"/>
          <w:szCs w:val="24"/>
        </w:rPr>
        <w:t>as unfitting, rate</w:t>
      </w:r>
      <w:r w:rsidR="00611983">
        <w:rPr>
          <w:rFonts w:asciiTheme="minorHAnsi" w:hAnsiTheme="minorHAnsi"/>
          <w:color w:val="auto"/>
          <w:szCs w:val="24"/>
        </w:rPr>
        <w:t>d</w:t>
      </w:r>
      <w:r w:rsidR="00B20624" w:rsidRPr="00D07B1F">
        <w:rPr>
          <w:rFonts w:asciiTheme="minorHAnsi" w:hAnsiTheme="minorHAnsi"/>
          <w:color w:val="auto"/>
          <w:szCs w:val="24"/>
        </w:rPr>
        <w:t xml:space="preserve"> </w:t>
      </w:r>
      <w:r w:rsidR="00DA5457" w:rsidRPr="00D07B1F">
        <w:rPr>
          <w:rFonts w:asciiTheme="minorHAnsi" w:hAnsiTheme="minorHAnsi"/>
          <w:color w:val="auto"/>
          <w:szCs w:val="24"/>
        </w:rPr>
        <w:t xml:space="preserve">0%; with application of </w:t>
      </w:r>
      <w:r w:rsidR="00065E21" w:rsidRPr="00D07B1F">
        <w:rPr>
          <w:rFonts w:asciiTheme="minorHAnsi" w:hAnsiTheme="minorHAnsi"/>
          <w:color w:val="auto"/>
          <w:szCs w:val="24"/>
        </w:rPr>
        <w:t>SECNAVINST 1850.4E</w:t>
      </w:r>
      <w:r w:rsidR="00B20624" w:rsidRPr="00D07B1F">
        <w:rPr>
          <w:rFonts w:asciiTheme="minorHAnsi" w:hAnsiTheme="minorHAnsi"/>
          <w:color w:val="auto"/>
          <w:szCs w:val="24"/>
        </w:rPr>
        <w:t xml:space="preserve">.  </w:t>
      </w:r>
      <w:r w:rsidR="00B20624" w:rsidRPr="00D07B1F">
        <w:rPr>
          <w:rFonts w:asciiTheme="minorHAnsi" w:hAnsiTheme="minorHAnsi"/>
          <w:color w:val="auto"/>
        </w:rPr>
        <w:t xml:space="preserve">The CI </w:t>
      </w:r>
      <w:r w:rsidR="00190E48" w:rsidRPr="00D07B1F">
        <w:rPr>
          <w:rFonts w:asciiTheme="minorHAnsi" w:hAnsiTheme="minorHAnsi"/>
          <w:color w:val="auto"/>
        </w:rPr>
        <w:t xml:space="preserve">made no appeals, </w:t>
      </w:r>
      <w:r w:rsidR="00B20624" w:rsidRPr="00D07B1F">
        <w:rPr>
          <w:rFonts w:asciiTheme="minorHAnsi" w:hAnsiTheme="minorHAnsi"/>
          <w:color w:val="auto"/>
        </w:rPr>
        <w:t xml:space="preserve">and was </w:t>
      </w:r>
      <w:r w:rsidR="00C87F76" w:rsidRPr="00D07B1F">
        <w:rPr>
          <w:rFonts w:asciiTheme="minorHAnsi" w:hAnsiTheme="minorHAnsi"/>
          <w:color w:val="auto"/>
        </w:rPr>
        <w:t xml:space="preserve">then </w:t>
      </w:r>
      <w:r w:rsidR="00B20624" w:rsidRPr="00D07B1F">
        <w:rPr>
          <w:rFonts w:asciiTheme="minorHAnsi" w:hAnsiTheme="minorHAnsi"/>
          <w:color w:val="auto"/>
        </w:rPr>
        <w:t xml:space="preserve">medically separated with a </w:t>
      </w:r>
      <w:r w:rsidR="00DA5457" w:rsidRPr="00D07B1F">
        <w:rPr>
          <w:rFonts w:asciiTheme="minorHAnsi" w:hAnsiTheme="minorHAnsi"/>
          <w:color w:val="auto"/>
        </w:rPr>
        <w:t>0</w:t>
      </w:r>
      <w:r w:rsidR="00433FA5">
        <w:rPr>
          <w:rFonts w:asciiTheme="minorHAnsi" w:hAnsiTheme="minorHAnsi"/>
          <w:color w:val="auto"/>
        </w:rPr>
        <w:t>% disability rating.</w:t>
      </w:r>
    </w:p>
    <w:p w:rsidR="00106AD8" w:rsidRPr="00D07B1F"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D07B1F" w:rsidRDefault="00106AD8" w:rsidP="00106AD8">
      <w:pPr>
        <w:tabs>
          <w:tab w:val="left" w:pos="288"/>
          <w:tab w:val="left" w:pos="4752"/>
        </w:tabs>
        <w:spacing w:line="240" w:lineRule="exact"/>
        <w:rPr>
          <w:rFonts w:ascii="Calibri" w:hAnsi="Calibri"/>
          <w:color w:val="auto"/>
          <w:szCs w:val="24"/>
        </w:rPr>
      </w:pPr>
    </w:p>
    <w:p w:rsidR="008F5D5A" w:rsidRPr="001E3791" w:rsidRDefault="002C6E5B" w:rsidP="001E3791">
      <w:pPr>
        <w:tabs>
          <w:tab w:val="left" w:pos="288"/>
          <w:tab w:val="left" w:pos="4752"/>
        </w:tabs>
        <w:spacing w:line="240" w:lineRule="exact"/>
        <w:jc w:val="both"/>
        <w:rPr>
          <w:rFonts w:asciiTheme="minorHAnsi" w:hAnsiTheme="minorHAnsi"/>
          <w:color w:val="auto"/>
        </w:rPr>
      </w:pPr>
      <w:r w:rsidRPr="00D07B1F">
        <w:rPr>
          <w:rFonts w:asciiTheme="minorHAnsi" w:hAnsiTheme="minorHAnsi"/>
          <w:color w:val="auto"/>
          <w:u w:val="single"/>
        </w:rPr>
        <w:t>CI CONTENTION</w:t>
      </w:r>
      <w:r w:rsidRPr="00D07B1F">
        <w:rPr>
          <w:rFonts w:asciiTheme="minorHAnsi" w:hAnsiTheme="minorHAnsi"/>
          <w:color w:val="auto"/>
        </w:rPr>
        <w:t xml:space="preserve">:  </w:t>
      </w:r>
      <w:r w:rsidR="00B91F14">
        <w:rPr>
          <w:rFonts w:asciiTheme="minorHAnsi" w:hAnsiTheme="minorHAnsi"/>
          <w:color w:val="auto"/>
        </w:rPr>
        <w:t>“</w:t>
      </w:r>
      <w:r w:rsidR="00DA5457" w:rsidRPr="00DA5457">
        <w:rPr>
          <w:rFonts w:asciiTheme="minorHAnsi" w:hAnsiTheme="minorHAnsi"/>
          <w:color w:val="auto"/>
        </w:rPr>
        <w:t>All conditions were not evaluated and the conditions that were evaluated have become worse.</w:t>
      </w:r>
      <w:r w:rsidR="00B91F14">
        <w:rPr>
          <w:rFonts w:asciiTheme="minorHAnsi" w:hAnsiTheme="minorHAnsi"/>
          <w:color w:val="auto"/>
        </w:rPr>
        <w:t>”</w:t>
      </w:r>
      <w:r w:rsidR="000020D3">
        <w:rPr>
          <w:rFonts w:asciiTheme="minorHAnsi" w:hAnsiTheme="minorHAnsi"/>
          <w:color w:val="auto"/>
        </w:rPr>
        <w:t xml:space="preserve">  </w:t>
      </w:r>
      <w:r w:rsidR="008F5D5A">
        <w:rPr>
          <w:rFonts w:asciiTheme="minorHAnsi" w:hAnsiTheme="minorHAnsi"/>
          <w:color w:val="auto"/>
        </w:rPr>
        <w:t>The CI also submits a copy of a sleep study</w:t>
      </w:r>
      <w:r w:rsidR="001E3791">
        <w:rPr>
          <w:rFonts w:asciiTheme="minorHAnsi" w:hAnsiTheme="minorHAnsi"/>
          <w:color w:val="auto"/>
        </w:rPr>
        <w:t xml:space="preserve">.  </w:t>
      </w:r>
      <w:r w:rsidR="001E3791" w:rsidRPr="001E3791">
        <w:rPr>
          <w:rFonts w:asciiTheme="minorHAnsi" w:hAnsiTheme="minorHAnsi"/>
          <w:color w:val="auto"/>
        </w:rPr>
        <w:t xml:space="preserve">A contention for inclusion </w:t>
      </w:r>
      <w:r w:rsidR="001E3791">
        <w:rPr>
          <w:rFonts w:asciiTheme="minorHAnsi" w:hAnsiTheme="minorHAnsi"/>
          <w:color w:val="auto"/>
        </w:rPr>
        <w:t>of all VA conditions and ratings per the chart below</w:t>
      </w:r>
      <w:r w:rsidR="00BE0B47">
        <w:rPr>
          <w:rFonts w:asciiTheme="minorHAnsi" w:hAnsiTheme="minorHAnsi"/>
          <w:color w:val="auto"/>
        </w:rPr>
        <w:t>,</w:t>
      </w:r>
      <w:r w:rsidR="001E3791">
        <w:rPr>
          <w:rFonts w:asciiTheme="minorHAnsi" w:hAnsiTheme="minorHAnsi"/>
          <w:color w:val="auto"/>
        </w:rPr>
        <w:t xml:space="preserve"> and sleep disorder </w:t>
      </w:r>
      <w:r w:rsidR="001E3791" w:rsidRPr="001E3791">
        <w:rPr>
          <w:rFonts w:asciiTheme="minorHAnsi" w:hAnsiTheme="minorHAnsi"/>
          <w:color w:val="auto"/>
        </w:rPr>
        <w:t>in the separation rating is therefore implied.</w:t>
      </w:r>
    </w:p>
    <w:p w:rsidR="001E3791" w:rsidRPr="00D07B1F" w:rsidRDefault="001E3791" w:rsidP="001E3791">
      <w:pPr>
        <w:pBdr>
          <w:bottom w:val="single" w:sz="12" w:space="1" w:color="auto"/>
        </w:pBdr>
        <w:tabs>
          <w:tab w:val="left" w:pos="288"/>
          <w:tab w:val="left" w:pos="4752"/>
        </w:tabs>
        <w:spacing w:line="240" w:lineRule="exact"/>
        <w:jc w:val="both"/>
        <w:rPr>
          <w:rFonts w:ascii="Calibri" w:hAnsi="Calibri"/>
          <w:color w:val="auto"/>
          <w:szCs w:val="24"/>
        </w:rPr>
      </w:pPr>
    </w:p>
    <w:p w:rsidR="00106AD8" w:rsidRPr="00D07B1F" w:rsidRDefault="00106AD8" w:rsidP="00106AD8">
      <w:pPr>
        <w:tabs>
          <w:tab w:val="left" w:pos="288"/>
          <w:tab w:val="left" w:pos="4752"/>
        </w:tabs>
        <w:spacing w:line="240" w:lineRule="exact"/>
        <w:rPr>
          <w:rFonts w:ascii="Calibri" w:hAnsi="Calibri"/>
          <w:color w:val="auto"/>
          <w:szCs w:val="24"/>
        </w:rPr>
      </w:pPr>
    </w:p>
    <w:p w:rsidR="002338CA" w:rsidRPr="00326C08" w:rsidRDefault="002C6E5B" w:rsidP="00D17DD9">
      <w:pPr>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190E48">
      <w:pPr>
        <w:tabs>
          <w:tab w:val="left" w:pos="288"/>
          <w:tab w:val="left" w:pos="4752"/>
        </w:tabs>
        <w:spacing w:line="240" w:lineRule="exact"/>
        <w:jc w:val="both"/>
        <w:rPr>
          <w:rFonts w:asciiTheme="minorHAnsi" w:hAnsiTheme="minorHAnsi"/>
          <w:color w:val="auto"/>
        </w:rPr>
      </w:pPr>
    </w:p>
    <w:tbl>
      <w:tblPr>
        <w:tblStyle w:val="TableGrid"/>
        <w:tblW w:w="9389" w:type="dxa"/>
        <w:jc w:val="center"/>
        <w:tblLayout w:type="fixed"/>
        <w:tblLook w:val="04A0"/>
      </w:tblPr>
      <w:tblGrid>
        <w:gridCol w:w="2520"/>
        <w:gridCol w:w="720"/>
        <w:gridCol w:w="810"/>
        <w:gridCol w:w="2475"/>
        <w:gridCol w:w="1064"/>
        <w:gridCol w:w="810"/>
        <w:gridCol w:w="990"/>
      </w:tblGrid>
      <w:tr w:rsidR="00684E2B" w:rsidRPr="00D07F22" w:rsidTr="00D07F22">
        <w:trPr>
          <w:trHeight w:val="233"/>
          <w:jc w:val="center"/>
        </w:trPr>
        <w:tc>
          <w:tcPr>
            <w:tcW w:w="4050" w:type="dxa"/>
            <w:gridSpan w:val="3"/>
            <w:tcBorders>
              <w:right w:val="thinThickThinSmallGap" w:sz="24" w:space="0" w:color="auto"/>
            </w:tcBorders>
            <w:shd w:val="clear" w:color="auto" w:fill="D9D9D9" w:themeFill="background1" w:themeFillShade="D9"/>
            <w:vAlign w:val="center"/>
          </w:tcPr>
          <w:p w:rsidR="00684E2B" w:rsidRPr="00D07F22" w:rsidRDefault="00684E2B" w:rsidP="00D07F22">
            <w:pPr>
              <w:pStyle w:val="ListParagraph"/>
              <w:spacing w:after="0" w:line="200" w:lineRule="exact"/>
              <w:ind w:left="0"/>
              <w:jc w:val="center"/>
              <w:rPr>
                <w:rFonts w:cs="Times New Roman"/>
                <w:b/>
                <w:sz w:val="18"/>
                <w:szCs w:val="18"/>
              </w:rPr>
            </w:pPr>
            <w:r w:rsidRPr="00D07F22">
              <w:rPr>
                <w:rFonts w:cs="Times New Roman"/>
                <w:b/>
                <w:sz w:val="18"/>
                <w:szCs w:val="18"/>
              </w:rPr>
              <w:t xml:space="preserve">Service </w:t>
            </w:r>
            <w:r w:rsidR="00DA5457" w:rsidRPr="00D07F22">
              <w:rPr>
                <w:rFonts w:cs="Times New Roman"/>
                <w:b/>
                <w:sz w:val="18"/>
                <w:szCs w:val="18"/>
              </w:rPr>
              <w:t>I</w:t>
            </w:r>
            <w:r w:rsidRPr="00D07F22">
              <w:rPr>
                <w:rFonts w:cs="Times New Roman"/>
                <w:b/>
                <w:sz w:val="18"/>
                <w:szCs w:val="18"/>
              </w:rPr>
              <w:t>PEB</w:t>
            </w:r>
            <w:r w:rsidR="002B2645" w:rsidRPr="00D07F22">
              <w:rPr>
                <w:rFonts w:cs="Times New Roman"/>
                <w:b/>
                <w:sz w:val="18"/>
                <w:szCs w:val="18"/>
              </w:rPr>
              <w:t xml:space="preserve"> – Dated </w:t>
            </w:r>
            <w:r w:rsidR="00DA5457" w:rsidRPr="00D07F22">
              <w:rPr>
                <w:rFonts w:cs="Times New Roman"/>
                <w:b/>
                <w:sz w:val="18"/>
                <w:szCs w:val="18"/>
              </w:rPr>
              <w:t>20070314</w:t>
            </w:r>
          </w:p>
        </w:tc>
        <w:tc>
          <w:tcPr>
            <w:tcW w:w="5339" w:type="dxa"/>
            <w:gridSpan w:val="4"/>
            <w:tcBorders>
              <w:left w:val="thinThickThinSmallGap" w:sz="24" w:space="0" w:color="auto"/>
            </w:tcBorders>
            <w:shd w:val="clear" w:color="auto" w:fill="D9D9D9" w:themeFill="background1" w:themeFillShade="D9"/>
            <w:vAlign w:val="center"/>
          </w:tcPr>
          <w:p w:rsidR="00684E2B" w:rsidRPr="00D07F22" w:rsidRDefault="00684E2B" w:rsidP="009860A2">
            <w:pPr>
              <w:pStyle w:val="ListParagraph"/>
              <w:spacing w:after="0" w:line="200" w:lineRule="exact"/>
              <w:ind w:left="0"/>
              <w:jc w:val="center"/>
              <w:rPr>
                <w:rFonts w:cs="Times New Roman"/>
                <w:b/>
                <w:sz w:val="18"/>
                <w:szCs w:val="18"/>
              </w:rPr>
            </w:pPr>
            <w:r w:rsidRPr="00D07F22">
              <w:rPr>
                <w:rFonts w:cs="Times New Roman"/>
                <w:b/>
                <w:sz w:val="18"/>
                <w:szCs w:val="18"/>
              </w:rPr>
              <w:t>VA (</w:t>
            </w:r>
            <w:r w:rsidR="00803C2F">
              <w:rPr>
                <w:rFonts w:cs="Times New Roman"/>
                <w:b/>
                <w:sz w:val="18"/>
                <w:szCs w:val="18"/>
              </w:rPr>
              <w:t>~</w:t>
            </w:r>
            <w:r w:rsidR="009860A2">
              <w:rPr>
                <w:rFonts w:cs="Times New Roman"/>
                <w:b/>
                <w:sz w:val="18"/>
                <w:szCs w:val="18"/>
              </w:rPr>
              <w:t>4</w:t>
            </w:r>
            <w:r w:rsidR="001F3206" w:rsidRPr="00D07F22">
              <w:rPr>
                <w:rFonts w:cs="Times New Roman"/>
                <w:b/>
                <w:sz w:val="18"/>
                <w:szCs w:val="18"/>
              </w:rPr>
              <w:t xml:space="preserve"> Mo </w:t>
            </w:r>
            <w:r w:rsidR="009860A2">
              <w:rPr>
                <w:rFonts w:cs="Times New Roman"/>
                <w:b/>
                <w:sz w:val="18"/>
                <w:szCs w:val="18"/>
              </w:rPr>
              <w:t>Pre-</w:t>
            </w:r>
            <w:r w:rsidRPr="00D07F22">
              <w:rPr>
                <w:rFonts w:cs="Times New Roman"/>
                <w:b/>
                <w:sz w:val="18"/>
                <w:szCs w:val="18"/>
              </w:rPr>
              <w:t>Separation)</w:t>
            </w:r>
            <w:r w:rsidR="000C3C13" w:rsidRPr="00D07F22">
              <w:rPr>
                <w:rFonts w:cs="Times New Roman"/>
                <w:b/>
                <w:sz w:val="18"/>
                <w:szCs w:val="18"/>
              </w:rPr>
              <w:t xml:space="preserve"> – All Effective </w:t>
            </w:r>
            <w:r w:rsidR="001F3206" w:rsidRPr="00D07F22">
              <w:rPr>
                <w:rFonts w:cs="Times New Roman"/>
                <w:b/>
                <w:sz w:val="18"/>
                <w:szCs w:val="18"/>
              </w:rPr>
              <w:t>2</w:t>
            </w:r>
            <w:r w:rsidR="00580C3F" w:rsidRPr="00D07F22">
              <w:rPr>
                <w:rFonts w:cs="Times New Roman"/>
                <w:b/>
                <w:sz w:val="18"/>
                <w:szCs w:val="18"/>
              </w:rPr>
              <w:t>0070501</w:t>
            </w:r>
          </w:p>
        </w:tc>
      </w:tr>
      <w:tr w:rsidR="002B2645" w:rsidRPr="00D07F22" w:rsidTr="00D07F22">
        <w:trPr>
          <w:trHeight w:val="233"/>
          <w:jc w:val="center"/>
        </w:trPr>
        <w:tc>
          <w:tcPr>
            <w:tcW w:w="2520" w:type="dxa"/>
            <w:tcBorders>
              <w:bottom w:val="single" w:sz="4" w:space="0" w:color="000000" w:themeColor="text1"/>
            </w:tcBorders>
            <w:shd w:val="clear" w:color="auto" w:fill="D9D9D9" w:themeFill="background1" w:themeFillShade="D9"/>
            <w:vAlign w:val="center"/>
          </w:tcPr>
          <w:p w:rsidR="002B2645" w:rsidRPr="00D07F22" w:rsidRDefault="002B2645" w:rsidP="00D07F22">
            <w:pPr>
              <w:pStyle w:val="ListParagraph"/>
              <w:spacing w:after="0" w:line="200" w:lineRule="exact"/>
              <w:ind w:left="0"/>
              <w:jc w:val="center"/>
              <w:rPr>
                <w:rFonts w:cs="Times New Roman"/>
                <w:b/>
                <w:sz w:val="18"/>
                <w:szCs w:val="18"/>
              </w:rPr>
            </w:pPr>
            <w:r w:rsidRPr="00D07F22">
              <w:rPr>
                <w:rFonts w:cs="Times New Roman"/>
                <w:b/>
                <w:sz w:val="18"/>
                <w:szCs w:val="18"/>
              </w:rPr>
              <w:t>Condition</w:t>
            </w:r>
          </w:p>
        </w:tc>
        <w:tc>
          <w:tcPr>
            <w:tcW w:w="720" w:type="dxa"/>
            <w:tcBorders>
              <w:bottom w:val="single" w:sz="4" w:space="0" w:color="000000" w:themeColor="text1"/>
            </w:tcBorders>
            <w:shd w:val="clear" w:color="auto" w:fill="D9D9D9" w:themeFill="background1" w:themeFillShade="D9"/>
            <w:vAlign w:val="center"/>
          </w:tcPr>
          <w:p w:rsidR="002B2645" w:rsidRPr="00D07F22" w:rsidRDefault="002B2645" w:rsidP="00D07F22">
            <w:pPr>
              <w:pStyle w:val="ListParagraph"/>
              <w:spacing w:after="0" w:line="200" w:lineRule="exact"/>
              <w:ind w:left="0"/>
              <w:jc w:val="center"/>
              <w:rPr>
                <w:rFonts w:cs="Times New Roman"/>
                <w:b/>
                <w:sz w:val="18"/>
                <w:szCs w:val="18"/>
              </w:rPr>
            </w:pPr>
            <w:r w:rsidRPr="00D07F22">
              <w:rPr>
                <w:rFonts w:cs="Times New Roman"/>
                <w:b/>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2645" w:rsidRPr="00D07F22" w:rsidRDefault="002B2645" w:rsidP="00D07F22">
            <w:pPr>
              <w:pStyle w:val="ListParagraph"/>
              <w:spacing w:after="0" w:line="200" w:lineRule="exact"/>
              <w:ind w:left="0"/>
              <w:jc w:val="center"/>
              <w:rPr>
                <w:rFonts w:cs="Times New Roman"/>
                <w:b/>
                <w:sz w:val="18"/>
                <w:szCs w:val="18"/>
              </w:rPr>
            </w:pPr>
            <w:r w:rsidRPr="00D07F22">
              <w:rPr>
                <w:rFonts w:cs="Times New Roman"/>
                <w:b/>
                <w:sz w:val="18"/>
                <w:szCs w:val="18"/>
              </w:rPr>
              <w:t>Rating</w:t>
            </w:r>
          </w:p>
        </w:tc>
        <w:tc>
          <w:tcPr>
            <w:tcW w:w="2475" w:type="dxa"/>
            <w:tcBorders>
              <w:left w:val="thinThickThinSmallGap" w:sz="24" w:space="0" w:color="auto"/>
              <w:bottom w:val="single" w:sz="4" w:space="0" w:color="000000" w:themeColor="text1"/>
            </w:tcBorders>
            <w:shd w:val="clear" w:color="auto" w:fill="D9D9D9" w:themeFill="background1" w:themeFillShade="D9"/>
            <w:vAlign w:val="center"/>
          </w:tcPr>
          <w:p w:rsidR="002B2645" w:rsidRPr="00D07F22" w:rsidRDefault="002B2645" w:rsidP="00D07F22">
            <w:pPr>
              <w:pStyle w:val="ListParagraph"/>
              <w:spacing w:after="0" w:line="200" w:lineRule="exact"/>
              <w:ind w:left="0"/>
              <w:jc w:val="center"/>
              <w:rPr>
                <w:rFonts w:cs="Times New Roman"/>
                <w:b/>
                <w:sz w:val="18"/>
                <w:szCs w:val="18"/>
              </w:rPr>
            </w:pPr>
            <w:r w:rsidRPr="00D07F22">
              <w:rPr>
                <w:rFonts w:cs="Times New Roman"/>
                <w:b/>
                <w:sz w:val="18"/>
                <w:szCs w:val="18"/>
              </w:rPr>
              <w:t>Condition</w:t>
            </w:r>
          </w:p>
        </w:tc>
        <w:tc>
          <w:tcPr>
            <w:tcW w:w="1064" w:type="dxa"/>
            <w:tcBorders>
              <w:bottom w:val="single" w:sz="4" w:space="0" w:color="000000" w:themeColor="text1"/>
            </w:tcBorders>
            <w:shd w:val="clear" w:color="auto" w:fill="D9D9D9" w:themeFill="background1" w:themeFillShade="D9"/>
            <w:vAlign w:val="center"/>
          </w:tcPr>
          <w:p w:rsidR="002B2645" w:rsidRPr="00D07F22" w:rsidRDefault="002B2645" w:rsidP="00D07F22">
            <w:pPr>
              <w:pStyle w:val="ListParagraph"/>
              <w:spacing w:after="0" w:line="200" w:lineRule="exact"/>
              <w:ind w:left="0"/>
              <w:jc w:val="center"/>
              <w:rPr>
                <w:rFonts w:cs="Times New Roman"/>
                <w:b/>
                <w:sz w:val="18"/>
                <w:szCs w:val="18"/>
              </w:rPr>
            </w:pPr>
            <w:r w:rsidRPr="00D07F22">
              <w:rPr>
                <w:rFonts w:cs="Times New Roman"/>
                <w:b/>
                <w:sz w:val="18"/>
                <w:szCs w:val="18"/>
              </w:rPr>
              <w:t>Code</w:t>
            </w:r>
          </w:p>
        </w:tc>
        <w:tc>
          <w:tcPr>
            <w:tcW w:w="810" w:type="dxa"/>
            <w:tcBorders>
              <w:bottom w:val="single" w:sz="4" w:space="0" w:color="000000" w:themeColor="text1"/>
            </w:tcBorders>
            <w:shd w:val="clear" w:color="auto" w:fill="D9D9D9" w:themeFill="background1" w:themeFillShade="D9"/>
            <w:vAlign w:val="center"/>
          </w:tcPr>
          <w:p w:rsidR="002B2645" w:rsidRPr="00D07F22" w:rsidRDefault="002B2645" w:rsidP="00D07F22">
            <w:pPr>
              <w:pStyle w:val="ListParagraph"/>
              <w:spacing w:after="0" w:line="200" w:lineRule="exact"/>
              <w:ind w:left="0"/>
              <w:jc w:val="center"/>
              <w:rPr>
                <w:rFonts w:cs="Times New Roman"/>
                <w:b/>
                <w:sz w:val="18"/>
                <w:szCs w:val="18"/>
              </w:rPr>
            </w:pPr>
            <w:r w:rsidRPr="00D07F22">
              <w:rPr>
                <w:rFonts w:cs="Times New Roman"/>
                <w:b/>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2645" w:rsidRPr="00D07F22" w:rsidRDefault="002B2645" w:rsidP="00D07F22">
            <w:pPr>
              <w:pStyle w:val="ListParagraph"/>
              <w:spacing w:after="0" w:line="200" w:lineRule="exact"/>
              <w:ind w:left="0"/>
              <w:jc w:val="center"/>
              <w:rPr>
                <w:rFonts w:cs="Times New Roman"/>
                <w:b/>
                <w:sz w:val="18"/>
                <w:szCs w:val="18"/>
              </w:rPr>
            </w:pPr>
            <w:r w:rsidRPr="00D07F22">
              <w:rPr>
                <w:rFonts w:cs="Times New Roman"/>
                <w:b/>
                <w:sz w:val="18"/>
                <w:szCs w:val="18"/>
              </w:rPr>
              <w:t>Exam</w:t>
            </w:r>
          </w:p>
        </w:tc>
      </w:tr>
      <w:tr w:rsidR="0001347E" w:rsidRPr="00D07F22" w:rsidTr="00536E2D">
        <w:trPr>
          <w:trHeight w:val="278"/>
          <w:jc w:val="center"/>
        </w:trPr>
        <w:tc>
          <w:tcPr>
            <w:tcW w:w="2520" w:type="dxa"/>
            <w:shd w:val="clear" w:color="auto" w:fill="FFFFFF" w:themeFill="background1"/>
            <w:vAlign w:val="center"/>
          </w:tcPr>
          <w:p w:rsidR="0001347E" w:rsidRPr="00D07F22" w:rsidRDefault="0001347E" w:rsidP="00BE0B47">
            <w:pPr>
              <w:pStyle w:val="ListParagraph"/>
              <w:spacing w:after="0" w:line="180" w:lineRule="exact"/>
              <w:ind w:left="0"/>
              <w:rPr>
                <w:rFonts w:cs="Times New Roman"/>
                <w:sz w:val="18"/>
                <w:szCs w:val="18"/>
              </w:rPr>
            </w:pPr>
            <w:r w:rsidRPr="00D07F22">
              <w:rPr>
                <w:rFonts w:cs="Times New Roman"/>
                <w:sz w:val="18"/>
                <w:szCs w:val="18"/>
              </w:rPr>
              <w:t>Bilateral Hammer</w:t>
            </w:r>
            <w:r w:rsidR="00BE0B47">
              <w:rPr>
                <w:rFonts w:cs="Times New Roman"/>
                <w:sz w:val="18"/>
                <w:szCs w:val="18"/>
              </w:rPr>
              <w:t xml:space="preserve"> T</w:t>
            </w:r>
            <w:r w:rsidRPr="00D07F22">
              <w:rPr>
                <w:rFonts w:cs="Times New Roman"/>
                <w:sz w:val="18"/>
                <w:szCs w:val="18"/>
              </w:rPr>
              <w:t>oe Deformities</w:t>
            </w:r>
          </w:p>
        </w:tc>
        <w:tc>
          <w:tcPr>
            <w:tcW w:w="720" w:type="dxa"/>
            <w:shd w:val="clear" w:color="auto" w:fill="FFFFFF" w:themeFill="background1"/>
            <w:vAlign w:val="center"/>
          </w:tcPr>
          <w:p w:rsidR="0001347E" w:rsidRPr="00D07F22" w:rsidRDefault="0001347E" w:rsidP="00D07F22">
            <w:pPr>
              <w:pStyle w:val="ListParagraph"/>
              <w:spacing w:after="0" w:line="180" w:lineRule="exact"/>
              <w:ind w:left="0"/>
              <w:jc w:val="center"/>
              <w:rPr>
                <w:rFonts w:cs="Times New Roman"/>
                <w:sz w:val="18"/>
                <w:szCs w:val="18"/>
              </w:rPr>
            </w:pPr>
            <w:r w:rsidRPr="00D07F22">
              <w:rPr>
                <w:rFonts w:cs="Times New Roman"/>
                <w:sz w:val="18"/>
                <w:szCs w:val="18"/>
              </w:rPr>
              <w:t>5282</w:t>
            </w:r>
          </w:p>
        </w:tc>
        <w:tc>
          <w:tcPr>
            <w:tcW w:w="810" w:type="dxa"/>
            <w:tcBorders>
              <w:right w:val="thinThickThinSmallGap" w:sz="24" w:space="0" w:color="auto"/>
            </w:tcBorders>
            <w:shd w:val="clear" w:color="auto" w:fill="FFFFFF" w:themeFill="background1"/>
            <w:vAlign w:val="center"/>
          </w:tcPr>
          <w:p w:rsidR="0001347E" w:rsidRPr="00D07F22" w:rsidRDefault="0001347E" w:rsidP="00D07F22">
            <w:pPr>
              <w:pStyle w:val="ListParagraph"/>
              <w:spacing w:after="0" w:line="180" w:lineRule="exact"/>
              <w:ind w:left="0"/>
              <w:jc w:val="center"/>
              <w:rPr>
                <w:rFonts w:cs="Times New Roman"/>
                <w:sz w:val="18"/>
                <w:szCs w:val="18"/>
              </w:rPr>
            </w:pPr>
            <w:r w:rsidRPr="00D07F22">
              <w:rPr>
                <w:rFonts w:cs="Times New Roman"/>
                <w:sz w:val="18"/>
                <w:szCs w:val="18"/>
              </w:rPr>
              <w:t>0%</w:t>
            </w:r>
          </w:p>
        </w:tc>
        <w:tc>
          <w:tcPr>
            <w:tcW w:w="2475" w:type="dxa"/>
            <w:vMerge w:val="restart"/>
            <w:tcBorders>
              <w:left w:val="thinThickThinSmallGap" w:sz="24" w:space="0" w:color="auto"/>
            </w:tcBorders>
            <w:shd w:val="clear" w:color="auto" w:fill="auto"/>
            <w:vAlign w:val="center"/>
          </w:tcPr>
          <w:p w:rsidR="0001347E" w:rsidRPr="00536E2D" w:rsidRDefault="0001347E" w:rsidP="00BE0B47">
            <w:pPr>
              <w:pStyle w:val="ListParagraph"/>
              <w:spacing w:after="0" w:line="180" w:lineRule="exact"/>
              <w:ind w:left="0"/>
              <w:rPr>
                <w:rFonts w:cs="Times New Roman"/>
                <w:sz w:val="18"/>
                <w:szCs w:val="18"/>
              </w:rPr>
            </w:pPr>
            <w:r w:rsidRPr="00536E2D">
              <w:rPr>
                <w:rFonts w:cs="Times New Roman"/>
                <w:sz w:val="18"/>
                <w:szCs w:val="18"/>
              </w:rPr>
              <w:t xml:space="preserve">Bilateral </w:t>
            </w:r>
            <w:proofErr w:type="spellStart"/>
            <w:r w:rsidRPr="00536E2D">
              <w:rPr>
                <w:rFonts w:cs="Times New Roman"/>
                <w:sz w:val="18"/>
                <w:szCs w:val="18"/>
              </w:rPr>
              <w:t>Pes</w:t>
            </w:r>
            <w:proofErr w:type="spellEnd"/>
            <w:r w:rsidRPr="00536E2D">
              <w:rPr>
                <w:rFonts w:cs="Times New Roman"/>
                <w:sz w:val="18"/>
                <w:szCs w:val="18"/>
              </w:rPr>
              <w:t xml:space="preserve"> </w:t>
            </w:r>
            <w:proofErr w:type="spellStart"/>
            <w:r w:rsidRPr="00536E2D">
              <w:rPr>
                <w:rFonts w:cs="Times New Roman"/>
                <w:sz w:val="18"/>
                <w:szCs w:val="18"/>
              </w:rPr>
              <w:t>Planus</w:t>
            </w:r>
            <w:proofErr w:type="spellEnd"/>
            <w:r w:rsidRPr="00536E2D">
              <w:rPr>
                <w:rFonts w:cs="Times New Roman"/>
                <w:sz w:val="18"/>
                <w:szCs w:val="18"/>
              </w:rPr>
              <w:t xml:space="preserve"> w/ Bilateral Plantar Fasciitis S/P Bilateral Hammer</w:t>
            </w:r>
            <w:r w:rsidR="00BE0B47">
              <w:rPr>
                <w:rFonts w:cs="Times New Roman"/>
                <w:sz w:val="18"/>
                <w:szCs w:val="18"/>
              </w:rPr>
              <w:t xml:space="preserve"> T</w:t>
            </w:r>
            <w:r w:rsidRPr="00536E2D">
              <w:rPr>
                <w:rFonts w:cs="Times New Roman"/>
                <w:sz w:val="18"/>
                <w:szCs w:val="18"/>
              </w:rPr>
              <w:t>oe Repair of 2</w:t>
            </w:r>
            <w:r w:rsidRPr="00536E2D">
              <w:rPr>
                <w:rFonts w:cs="Times New Roman"/>
                <w:sz w:val="18"/>
                <w:szCs w:val="18"/>
                <w:vertAlign w:val="superscript"/>
              </w:rPr>
              <w:t>nd</w:t>
            </w:r>
            <w:r w:rsidRPr="00536E2D">
              <w:rPr>
                <w:rFonts w:cs="Times New Roman"/>
                <w:sz w:val="18"/>
                <w:szCs w:val="18"/>
              </w:rPr>
              <w:t>, 3</w:t>
            </w:r>
            <w:r w:rsidRPr="00536E2D">
              <w:rPr>
                <w:rFonts w:cs="Times New Roman"/>
                <w:sz w:val="18"/>
                <w:szCs w:val="18"/>
                <w:vertAlign w:val="superscript"/>
              </w:rPr>
              <w:t>rd</w:t>
            </w:r>
            <w:r w:rsidR="003139DF">
              <w:rPr>
                <w:rFonts w:cs="Times New Roman"/>
                <w:sz w:val="18"/>
                <w:szCs w:val="18"/>
              </w:rPr>
              <w:t xml:space="preserve"> and</w:t>
            </w:r>
            <w:r w:rsidRPr="00536E2D">
              <w:rPr>
                <w:rFonts w:cs="Times New Roman"/>
                <w:sz w:val="18"/>
                <w:szCs w:val="18"/>
              </w:rPr>
              <w:t xml:space="preserve"> 4</w:t>
            </w:r>
            <w:r w:rsidRPr="00536E2D">
              <w:rPr>
                <w:rFonts w:cs="Times New Roman"/>
                <w:sz w:val="18"/>
                <w:szCs w:val="18"/>
                <w:vertAlign w:val="superscript"/>
              </w:rPr>
              <w:t>th</w:t>
            </w:r>
            <w:r w:rsidRPr="00536E2D">
              <w:rPr>
                <w:rFonts w:cs="Times New Roman"/>
                <w:sz w:val="18"/>
                <w:szCs w:val="18"/>
              </w:rPr>
              <w:t xml:space="preserve"> Toes</w:t>
            </w:r>
          </w:p>
        </w:tc>
        <w:tc>
          <w:tcPr>
            <w:tcW w:w="1064" w:type="dxa"/>
            <w:vMerge w:val="restart"/>
            <w:shd w:val="clear" w:color="auto" w:fill="auto"/>
            <w:vAlign w:val="center"/>
          </w:tcPr>
          <w:p w:rsidR="0001347E" w:rsidRPr="00536E2D" w:rsidRDefault="0001347E" w:rsidP="00D07F22">
            <w:pPr>
              <w:pStyle w:val="ListParagraph"/>
              <w:spacing w:after="0" w:line="180" w:lineRule="exact"/>
              <w:ind w:left="0"/>
              <w:jc w:val="center"/>
              <w:rPr>
                <w:rFonts w:cs="Times New Roman"/>
                <w:sz w:val="18"/>
                <w:szCs w:val="18"/>
              </w:rPr>
            </w:pPr>
            <w:r w:rsidRPr="00536E2D">
              <w:rPr>
                <w:rFonts w:cs="Times New Roman"/>
                <w:sz w:val="18"/>
                <w:szCs w:val="18"/>
              </w:rPr>
              <w:t>5276</w:t>
            </w:r>
          </w:p>
        </w:tc>
        <w:tc>
          <w:tcPr>
            <w:tcW w:w="810" w:type="dxa"/>
            <w:vMerge w:val="restart"/>
            <w:shd w:val="clear" w:color="auto" w:fill="auto"/>
            <w:vAlign w:val="center"/>
          </w:tcPr>
          <w:p w:rsidR="0001347E" w:rsidRPr="00536E2D" w:rsidRDefault="0001347E" w:rsidP="00D07F22">
            <w:pPr>
              <w:pStyle w:val="ListParagraph"/>
              <w:spacing w:after="0" w:line="180" w:lineRule="exact"/>
              <w:ind w:left="0"/>
              <w:jc w:val="center"/>
              <w:rPr>
                <w:rFonts w:cs="Times New Roman"/>
                <w:sz w:val="18"/>
                <w:szCs w:val="18"/>
              </w:rPr>
            </w:pPr>
            <w:r w:rsidRPr="00536E2D">
              <w:rPr>
                <w:rFonts w:cs="Times New Roman"/>
                <w:sz w:val="18"/>
                <w:szCs w:val="18"/>
              </w:rPr>
              <w:t>10%</w:t>
            </w:r>
          </w:p>
        </w:tc>
        <w:tc>
          <w:tcPr>
            <w:tcW w:w="990" w:type="dxa"/>
            <w:vMerge w:val="restart"/>
            <w:shd w:val="clear" w:color="auto" w:fill="FFFFFF" w:themeFill="background1"/>
            <w:vAlign w:val="center"/>
          </w:tcPr>
          <w:p w:rsidR="0001347E" w:rsidRPr="00D07F22" w:rsidRDefault="0001347E" w:rsidP="00D07F22">
            <w:pPr>
              <w:pStyle w:val="ListParagraph"/>
              <w:spacing w:after="0" w:line="180" w:lineRule="exact"/>
              <w:ind w:left="0"/>
              <w:jc w:val="center"/>
              <w:rPr>
                <w:rFonts w:cs="Times New Roman"/>
                <w:sz w:val="18"/>
                <w:szCs w:val="18"/>
              </w:rPr>
            </w:pPr>
            <w:r w:rsidRPr="00D07F22">
              <w:rPr>
                <w:rFonts w:cs="Times New Roman"/>
                <w:sz w:val="18"/>
                <w:szCs w:val="18"/>
              </w:rPr>
              <w:t>20070103</w:t>
            </w:r>
          </w:p>
        </w:tc>
      </w:tr>
      <w:tr w:rsidR="0001347E" w:rsidRPr="00D07F22" w:rsidTr="00D76E10">
        <w:trPr>
          <w:trHeight w:val="278"/>
          <w:jc w:val="center"/>
        </w:trPr>
        <w:tc>
          <w:tcPr>
            <w:tcW w:w="2520" w:type="dxa"/>
            <w:shd w:val="clear" w:color="auto" w:fill="FFFFFF" w:themeFill="background1"/>
            <w:vAlign w:val="center"/>
          </w:tcPr>
          <w:p w:rsidR="0001347E" w:rsidRPr="00D07F22" w:rsidRDefault="0001347E" w:rsidP="00294E8B">
            <w:pPr>
              <w:pStyle w:val="ListParagraph"/>
              <w:spacing w:after="0" w:line="180" w:lineRule="exact"/>
              <w:ind w:left="0"/>
              <w:rPr>
                <w:rFonts w:cs="Times New Roman"/>
                <w:sz w:val="18"/>
                <w:szCs w:val="18"/>
              </w:rPr>
            </w:pPr>
            <w:r w:rsidRPr="00D07F22">
              <w:rPr>
                <w:rFonts w:cs="Times New Roman"/>
                <w:sz w:val="18"/>
                <w:szCs w:val="18"/>
              </w:rPr>
              <w:t>Moderate Flat Foot</w:t>
            </w:r>
          </w:p>
        </w:tc>
        <w:tc>
          <w:tcPr>
            <w:tcW w:w="1530" w:type="dxa"/>
            <w:gridSpan w:val="2"/>
            <w:tcBorders>
              <w:right w:val="thinThickThinSmallGap" w:sz="24" w:space="0" w:color="auto"/>
            </w:tcBorders>
            <w:shd w:val="clear" w:color="auto" w:fill="FFFFFF" w:themeFill="background1"/>
            <w:vAlign w:val="center"/>
          </w:tcPr>
          <w:p w:rsidR="0001347E" w:rsidRPr="00D07F22" w:rsidRDefault="0001347E" w:rsidP="00294E8B">
            <w:pPr>
              <w:pStyle w:val="ListParagraph"/>
              <w:spacing w:after="0" w:line="180" w:lineRule="exact"/>
              <w:ind w:left="0"/>
              <w:jc w:val="center"/>
              <w:rPr>
                <w:rFonts w:cs="Times New Roman"/>
                <w:sz w:val="18"/>
                <w:szCs w:val="18"/>
              </w:rPr>
            </w:pPr>
            <w:r w:rsidRPr="00D07F22">
              <w:rPr>
                <w:rFonts w:cs="Times New Roman"/>
                <w:sz w:val="18"/>
                <w:szCs w:val="18"/>
              </w:rPr>
              <w:t>Cat II</w:t>
            </w:r>
          </w:p>
        </w:tc>
        <w:tc>
          <w:tcPr>
            <w:tcW w:w="2475" w:type="dxa"/>
            <w:vMerge/>
            <w:tcBorders>
              <w:left w:val="thinThickThinSmallGap" w:sz="24" w:space="0" w:color="auto"/>
            </w:tcBorders>
            <w:shd w:val="clear" w:color="auto" w:fill="auto"/>
            <w:vAlign w:val="center"/>
          </w:tcPr>
          <w:p w:rsidR="0001347E" w:rsidRPr="00536E2D" w:rsidRDefault="0001347E" w:rsidP="00307D38">
            <w:pPr>
              <w:pStyle w:val="ListParagraph"/>
              <w:spacing w:after="0" w:line="180" w:lineRule="exact"/>
              <w:ind w:left="0"/>
              <w:rPr>
                <w:rFonts w:cs="Times New Roman"/>
                <w:sz w:val="18"/>
                <w:szCs w:val="18"/>
              </w:rPr>
            </w:pPr>
          </w:p>
        </w:tc>
        <w:tc>
          <w:tcPr>
            <w:tcW w:w="1064" w:type="dxa"/>
            <w:vMerge/>
            <w:shd w:val="clear" w:color="auto" w:fill="auto"/>
            <w:vAlign w:val="center"/>
          </w:tcPr>
          <w:p w:rsidR="0001347E" w:rsidRPr="00D76E10" w:rsidRDefault="0001347E" w:rsidP="00D07F22">
            <w:pPr>
              <w:pStyle w:val="ListParagraph"/>
              <w:spacing w:after="0" w:line="180" w:lineRule="exact"/>
              <w:ind w:left="0"/>
              <w:jc w:val="center"/>
              <w:rPr>
                <w:rFonts w:cs="Times New Roman"/>
                <w:sz w:val="18"/>
                <w:szCs w:val="18"/>
              </w:rPr>
            </w:pPr>
          </w:p>
        </w:tc>
        <w:tc>
          <w:tcPr>
            <w:tcW w:w="810" w:type="dxa"/>
            <w:vMerge/>
            <w:shd w:val="clear" w:color="auto" w:fill="auto"/>
            <w:vAlign w:val="center"/>
          </w:tcPr>
          <w:p w:rsidR="0001347E" w:rsidRPr="00D76E10" w:rsidRDefault="0001347E" w:rsidP="00D07F22">
            <w:pPr>
              <w:pStyle w:val="ListParagraph"/>
              <w:spacing w:after="0" w:line="180" w:lineRule="exact"/>
              <w:ind w:left="0"/>
              <w:jc w:val="center"/>
              <w:rPr>
                <w:rFonts w:cs="Times New Roman"/>
                <w:sz w:val="18"/>
                <w:szCs w:val="18"/>
              </w:rPr>
            </w:pPr>
          </w:p>
        </w:tc>
        <w:tc>
          <w:tcPr>
            <w:tcW w:w="990" w:type="dxa"/>
            <w:vMerge/>
            <w:shd w:val="clear" w:color="auto" w:fill="auto"/>
            <w:vAlign w:val="center"/>
          </w:tcPr>
          <w:p w:rsidR="0001347E" w:rsidRPr="00D76E10" w:rsidRDefault="0001347E" w:rsidP="00D07F22">
            <w:pPr>
              <w:pStyle w:val="ListParagraph"/>
              <w:spacing w:after="0" w:line="180" w:lineRule="exact"/>
              <w:ind w:left="0"/>
              <w:jc w:val="center"/>
              <w:rPr>
                <w:rFonts w:cs="Times New Roman"/>
                <w:sz w:val="18"/>
                <w:szCs w:val="18"/>
              </w:rPr>
            </w:pPr>
          </w:p>
        </w:tc>
      </w:tr>
      <w:tr w:rsidR="006A7FD1" w:rsidRPr="00D07F22" w:rsidTr="00294E8B">
        <w:trPr>
          <w:trHeight w:val="278"/>
          <w:jc w:val="center"/>
        </w:trPr>
        <w:tc>
          <w:tcPr>
            <w:tcW w:w="4050" w:type="dxa"/>
            <w:gridSpan w:val="3"/>
            <w:vMerge w:val="restart"/>
            <w:tcBorders>
              <w:right w:val="thinThickThinSmallGap" w:sz="24" w:space="0" w:color="auto"/>
            </w:tcBorders>
            <w:shd w:val="clear" w:color="auto" w:fill="FFFFFF" w:themeFill="background1"/>
            <w:vAlign w:val="center"/>
          </w:tcPr>
          <w:p w:rsidR="006A7FD1" w:rsidRPr="00D07F22" w:rsidRDefault="006A7FD1" w:rsidP="00D07F22">
            <w:pPr>
              <w:pStyle w:val="ListParagraph"/>
              <w:spacing w:line="180" w:lineRule="exact"/>
              <w:ind w:left="0"/>
              <w:jc w:val="center"/>
              <w:rPr>
                <w:rFonts w:cs="Times New Roman"/>
                <w:sz w:val="18"/>
                <w:szCs w:val="18"/>
              </w:rPr>
            </w:pPr>
            <w:r w:rsidRPr="00D07F22">
              <w:rPr>
                <w:rFonts w:cs="Times New Roman"/>
                <w:sz w:val="18"/>
                <w:szCs w:val="18"/>
              </w:rPr>
              <w:t>↓No Additional MEB</w:t>
            </w:r>
            <w:r>
              <w:rPr>
                <w:rFonts w:cs="Times New Roman"/>
                <w:sz w:val="18"/>
                <w:szCs w:val="18"/>
              </w:rPr>
              <w:t>/PEB</w:t>
            </w:r>
            <w:r w:rsidRPr="00D07F22">
              <w:rPr>
                <w:rFonts w:cs="Times New Roman"/>
                <w:sz w:val="18"/>
                <w:szCs w:val="18"/>
              </w:rPr>
              <w:t xml:space="preserve"> Entries↓</w:t>
            </w:r>
          </w:p>
        </w:tc>
        <w:tc>
          <w:tcPr>
            <w:tcW w:w="2475" w:type="dxa"/>
            <w:tcBorders>
              <w:left w:val="thinThickThinSmallGap" w:sz="24" w:space="0" w:color="auto"/>
            </w:tcBorders>
            <w:shd w:val="clear" w:color="auto" w:fill="auto"/>
            <w:vAlign w:val="center"/>
          </w:tcPr>
          <w:p w:rsidR="006A7FD1" w:rsidRPr="00536E2D" w:rsidRDefault="006A7FD1" w:rsidP="00294E8B">
            <w:pPr>
              <w:pStyle w:val="ListParagraph"/>
              <w:spacing w:after="0" w:line="180" w:lineRule="exact"/>
              <w:ind w:left="0"/>
              <w:rPr>
                <w:rFonts w:cs="Times New Roman"/>
                <w:sz w:val="18"/>
                <w:szCs w:val="18"/>
              </w:rPr>
            </w:pPr>
            <w:proofErr w:type="spellStart"/>
            <w:r>
              <w:rPr>
                <w:rFonts w:cs="Times New Roman"/>
                <w:sz w:val="18"/>
                <w:szCs w:val="18"/>
              </w:rPr>
              <w:t>Thoracolumbar</w:t>
            </w:r>
            <w:proofErr w:type="spellEnd"/>
            <w:r>
              <w:rPr>
                <w:rFonts w:cs="Times New Roman"/>
                <w:sz w:val="18"/>
                <w:szCs w:val="18"/>
              </w:rPr>
              <w:t xml:space="preserve"> </w:t>
            </w:r>
            <w:r w:rsidRPr="00536E2D">
              <w:rPr>
                <w:rFonts w:cs="Times New Roman"/>
                <w:sz w:val="18"/>
                <w:szCs w:val="18"/>
              </w:rPr>
              <w:t>Strain</w:t>
            </w:r>
            <w:r>
              <w:rPr>
                <w:rFonts w:cs="Times New Roman"/>
                <w:sz w:val="18"/>
                <w:szCs w:val="18"/>
              </w:rPr>
              <w:t>;</w:t>
            </w:r>
            <w:r w:rsidRPr="00536E2D">
              <w:rPr>
                <w:rFonts w:cs="Times New Roman"/>
                <w:sz w:val="18"/>
                <w:szCs w:val="18"/>
              </w:rPr>
              <w:t xml:space="preserve"> DDD L5-S1</w:t>
            </w:r>
          </w:p>
        </w:tc>
        <w:tc>
          <w:tcPr>
            <w:tcW w:w="1064" w:type="dxa"/>
            <w:shd w:val="clear" w:color="auto" w:fill="auto"/>
            <w:vAlign w:val="center"/>
          </w:tcPr>
          <w:p w:rsidR="006A7FD1" w:rsidRPr="00D76E10" w:rsidRDefault="006A7FD1" w:rsidP="00294E8B">
            <w:pPr>
              <w:pStyle w:val="ListParagraph"/>
              <w:spacing w:after="0" w:line="180" w:lineRule="exact"/>
              <w:ind w:left="0"/>
              <w:jc w:val="center"/>
              <w:rPr>
                <w:rFonts w:cs="Times New Roman"/>
                <w:sz w:val="18"/>
                <w:szCs w:val="18"/>
              </w:rPr>
            </w:pPr>
            <w:r w:rsidRPr="00D76E10">
              <w:rPr>
                <w:rFonts w:cs="Times New Roman"/>
                <w:sz w:val="18"/>
                <w:szCs w:val="18"/>
              </w:rPr>
              <w:t>5237</w:t>
            </w:r>
          </w:p>
        </w:tc>
        <w:tc>
          <w:tcPr>
            <w:tcW w:w="810" w:type="dxa"/>
            <w:shd w:val="clear" w:color="auto" w:fill="auto"/>
            <w:vAlign w:val="center"/>
          </w:tcPr>
          <w:p w:rsidR="006A7FD1" w:rsidRPr="00D76E10" w:rsidRDefault="006A7FD1" w:rsidP="00294E8B">
            <w:pPr>
              <w:pStyle w:val="ListParagraph"/>
              <w:spacing w:after="0" w:line="180" w:lineRule="exact"/>
              <w:ind w:left="0"/>
              <w:jc w:val="center"/>
              <w:rPr>
                <w:rFonts w:cs="Times New Roman"/>
                <w:sz w:val="18"/>
                <w:szCs w:val="18"/>
              </w:rPr>
            </w:pPr>
            <w:r w:rsidRPr="00D76E10">
              <w:rPr>
                <w:rFonts w:cs="Times New Roman"/>
                <w:sz w:val="18"/>
                <w:szCs w:val="18"/>
              </w:rPr>
              <w:t>20%</w:t>
            </w:r>
          </w:p>
        </w:tc>
        <w:tc>
          <w:tcPr>
            <w:tcW w:w="990" w:type="dxa"/>
            <w:shd w:val="clear" w:color="auto" w:fill="auto"/>
            <w:vAlign w:val="center"/>
          </w:tcPr>
          <w:p w:rsidR="006A7FD1" w:rsidRPr="00D76E10" w:rsidRDefault="006A7FD1" w:rsidP="00294E8B">
            <w:pPr>
              <w:pStyle w:val="ListParagraph"/>
              <w:spacing w:after="0" w:line="180" w:lineRule="exact"/>
              <w:ind w:left="0"/>
              <w:jc w:val="center"/>
              <w:rPr>
                <w:rFonts w:cs="Times New Roman"/>
                <w:sz w:val="18"/>
                <w:szCs w:val="18"/>
              </w:rPr>
            </w:pPr>
            <w:r w:rsidRPr="00D76E10">
              <w:rPr>
                <w:rFonts w:cs="Times New Roman"/>
                <w:sz w:val="18"/>
                <w:szCs w:val="18"/>
              </w:rPr>
              <w:t>20070103</w:t>
            </w:r>
          </w:p>
        </w:tc>
      </w:tr>
      <w:tr w:rsidR="006A7FD1" w:rsidRPr="00D07F22" w:rsidTr="00D76E10">
        <w:trPr>
          <w:trHeight w:val="125"/>
          <w:jc w:val="center"/>
        </w:trPr>
        <w:tc>
          <w:tcPr>
            <w:tcW w:w="4050" w:type="dxa"/>
            <w:gridSpan w:val="3"/>
            <w:vMerge/>
            <w:tcBorders>
              <w:right w:val="thinThickThinSmallGap" w:sz="24" w:space="0" w:color="auto"/>
            </w:tcBorders>
            <w:shd w:val="clear" w:color="auto" w:fill="FFFFFF" w:themeFill="background1"/>
            <w:vAlign w:val="center"/>
          </w:tcPr>
          <w:p w:rsidR="006A7FD1" w:rsidRPr="00D07F22" w:rsidRDefault="006A7FD1" w:rsidP="00D07F22">
            <w:pPr>
              <w:pStyle w:val="ListParagraph"/>
              <w:spacing w:line="180" w:lineRule="exact"/>
              <w:ind w:left="0"/>
              <w:jc w:val="center"/>
              <w:rPr>
                <w:rFonts w:cs="Times New Roman"/>
                <w:sz w:val="18"/>
                <w:szCs w:val="18"/>
              </w:rPr>
            </w:pPr>
          </w:p>
        </w:tc>
        <w:tc>
          <w:tcPr>
            <w:tcW w:w="2475" w:type="dxa"/>
            <w:tcBorders>
              <w:left w:val="thinThickThinSmallGap" w:sz="24" w:space="0" w:color="auto"/>
            </w:tcBorders>
            <w:shd w:val="clear" w:color="auto" w:fill="auto"/>
            <w:vAlign w:val="center"/>
          </w:tcPr>
          <w:p w:rsidR="006A7FD1" w:rsidRPr="00536E2D" w:rsidRDefault="006A7FD1" w:rsidP="00294E8B">
            <w:pPr>
              <w:spacing w:line="180" w:lineRule="exact"/>
              <w:rPr>
                <w:rFonts w:cs="Times New Roman"/>
                <w:color w:val="auto"/>
                <w:sz w:val="18"/>
                <w:szCs w:val="18"/>
              </w:rPr>
            </w:pPr>
            <w:r w:rsidRPr="00536E2D">
              <w:rPr>
                <w:rFonts w:cs="Times New Roman"/>
                <w:color w:val="auto"/>
                <w:sz w:val="18"/>
                <w:szCs w:val="18"/>
              </w:rPr>
              <w:t>Right Shoulder Strain</w:t>
            </w:r>
          </w:p>
        </w:tc>
        <w:tc>
          <w:tcPr>
            <w:tcW w:w="1064" w:type="dxa"/>
            <w:shd w:val="clear" w:color="auto" w:fill="auto"/>
            <w:vAlign w:val="center"/>
          </w:tcPr>
          <w:p w:rsidR="006A7FD1" w:rsidRPr="00536E2D" w:rsidRDefault="006A7FD1" w:rsidP="00294E8B">
            <w:pPr>
              <w:pStyle w:val="ListParagraph"/>
              <w:spacing w:after="0" w:line="180" w:lineRule="exact"/>
              <w:ind w:left="0"/>
              <w:jc w:val="center"/>
              <w:rPr>
                <w:rFonts w:cs="Times New Roman"/>
                <w:sz w:val="18"/>
                <w:szCs w:val="18"/>
              </w:rPr>
            </w:pPr>
            <w:r w:rsidRPr="00536E2D">
              <w:rPr>
                <w:rFonts w:cs="Times New Roman"/>
                <w:sz w:val="18"/>
                <w:szCs w:val="18"/>
              </w:rPr>
              <w:t>5299- 5024</w:t>
            </w:r>
          </w:p>
        </w:tc>
        <w:tc>
          <w:tcPr>
            <w:tcW w:w="810" w:type="dxa"/>
            <w:shd w:val="clear" w:color="auto" w:fill="auto"/>
            <w:vAlign w:val="center"/>
          </w:tcPr>
          <w:p w:rsidR="006A7FD1" w:rsidRPr="00536E2D" w:rsidRDefault="006A7FD1" w:rsidP="00294E8B">
            <w:pPr>
              <w:pStyle w:val="ListParagraph"/>
              <w:spacing w:after="0" w:line="180" w:lineRule="exact"/>
              <w:ind w:left="0"/>
              <w:jc w:val="center"/>
              <w:rPr>
                <w:rFonts w:cs="Times New Roman"/>
                <w:sz w:val="18"/>
                <w:szCs w:val="18"/>
              </w:rPr>
            </w:pPr>
            <w:r w:rsidRPr="00536E2D">
              <w:rPr>
                <w:rFonts w:cs="Times New Roman"/>
                <w:sz w:val="18"/>
                <w:szCs w:val="18"/>
              </w:rPr>
              <w:t>10%</w:t>
            </w:r>
          </w:p>
        </w:tc>
        <w:tc>
          <w:tcPr>
            <w:tcW w:w="990" w:type="dxa"/>
            <w:shd w:val="clear" w:color="auto" w:fill="auto"/>
            <w:vAlign w:val="center"/>
          </w:tcPr>
          <w:p w:rsidR="006A7FD1" w:rsidRPr="00D07F22" w:rsidRDefault="006A7FD1" w:rsidP="00294E8B">
            <w:pPr>
              <w:spacing w:line="180" w:lineRule="exact"/>
              <w:jc w:val="center"/>
              <w:rPr>
                <w:color w:val="auto"/>
                <w:sz w:val="18"/>
                <w:szCs w:val="18"/>
              </w:rPr>
            </w:pPr>
            <w:r w:rsidRPr="00D07F22">
              <w:rPr>
                <w:rFonts w:cs="Times New Roman"/>
                <w:color w:val="auto"/>
                <w:sz w:val="18"/>
                <w:szCs w:val="18"/>
              </w:rPr>
              <w:t>20070103</w:t>
            </w:r>
          </w:p>
        </w:tc>
      </w:tr>
      <w:tr w:rsidR="006A7FD1" w:rsidRPr="00D07F22" w:rsidTr="009D0632">
        <w:trPr>
          <w:trHeight w:val="125"/>
          <w:jc w:val="center"/>
        </w:trPr>
        <w:tc>
          <w:tcPr>
            <w:tcW w:w="4050" w:type="dxa"/>
            <w:gridSpan w:val="3"/>
            <w:vMerge/>
            <w:tcBorders>
              <w:right w:val="thinThickThinSmallGap" w:sz="24" w:space="0" w:color="auto"/>
            </w:tcBorders>
            <w:shd w:val="clear" w:color="auto" w:fill="FFFFFF" w:themeFill="background1"/>
            <w:vAlign w:val="center"/>
          </w:tcPr>
          <w:p w:rsidR="006A7FD1" w:rsidRPr="00D07F22" w:rsidRDefault="006A7FD1" w:rsidP="00D07F22">
            <w:pPr>
              <w:pStyle w:val="ListParagraph"/>
              <w:spacing w:line="180" w:lineRule="exact"/>
              <w:ind w:left="0"/>
              <w:jc w:val="center"/>
              <w:rPr>
                <w:rFonts w:cs="Times New Roman"/>
                <w:sz w:val="18"/>
                <w:szCs w:val="18"/>
              </w:rPr>
            </w:pPr>
          </w:p>
        </w:tc>
        <w:tc>
          <w:tcPr>
            <w:tcW w:w="2475" w:type="dxa"/>
            <w:tcBorders>
              <w:left w:val="thinThickThinSmallGap" w:sz="24" w:space="0" w:color="auto"/>
            </w:tcBorders>
            <w:shd w:val="clear" w:color="auto" w:fill="auto"/>
            <w:vAlign w:val="center"/>
          </w:tcPr>
          <w:p w:rsidR="006A7FD1" w:rsidRPr="00536E2D" w:rsidRDefault="006A7FD1" w:rsidP="00294E8B">
            <w:pPr>
              <w:spacing w:line="180" w:lineRule="exact"/>
              <w:rPr>
                <w:color w:val="auto"/>
                <w:sz w:val="18"/>
                <w:szCs w:val="18"/>
              </w:rPr>
            </w:pPr>
            <w:r w:rsidRPr="00536E2D">
              <w:rPr>
                <w:color w:val="auto"/>
                <w:sz w:val="18"/>
                <w:szCs w:val="18"/>
              </w:rPr>
              <w:t>Left Shoulder Strain</w:t>
            </w:r>
          </w:p>
        </w:tc>
        <w:tc>
          <w:tcPr>
            <w:tcW w:w="1064" w:type="dxa"/>
            <w:shd w:val="clear" w:color="auto" w:fill="auto"/>
            <w:vAlign w:val="center"/>
          </w:tcPr>
          <w:p w:rsidR="006A7FD1" w:rsidRPr="00536E2D" w:rsidRDefault="006A7FD1" w:rsidP="00294E8B">
            <w:pPr>
              <w:pStyle w:val="ListParagraph"/>
              <w:spacing w:after="0" w:line="180" w:lineRule="exact"/>
              <w:ind w:left="0"/>
              <w:jc w:val="center"/>
              <w:rPr>
                <w:rFonts w:cs="Times New Roman"/>
                <w:sz w:val="18"/>
                <w:szCs w:val="18"/>
              </w:rPr>
            </w:pPr>
            <w:r w:rsidRPr="00536E2D">
              <w:rPr>
                <w:rFonts w:cs="Times New Roman"/>
                <w:sz w:val="18"/>
                <w:szCs w:val="18"/>
              </w:rPr>
              <w:t>5299-5024</w:t>
            </w:r>
          </w:p>
        </w:tc>
        <w:tc>
          <w:tcPr>
            <w:tcW w:w="810" w:type="dxa"/>
            <w:shd w:val="clear" w:color="auto" w:fill="auto"/>
            <w:vAlign w:val="center"/>
          </w:tcPr>
          <w:p w:rsidR="006A7FD1" w:rsidRPr="00536E2D" w:rsidRDefault="006A7FD1" w:rsidP="00294E8B">
            <w:pPr>
              <w:pStyle w:val="ListParagraph"/>
              <w:spacing w:after="0" w:line="180" w:lineRule="exact"/>
              <w:ind w:left="0"/>
              <w:jc w:val="center"/>
              <w:rPr>
                <w:rFonts w:cs="Times New Roman"/>
                <w:sz w:val="18"/>
                <w:szCs w:val="18"/>
              </w:rPr>
            </w:pPr>
            <w:r w:rsidRPr="00536E2D">
              <w:rPr>
                <w:rFonts w:cs="Times New Roman"/>
                <w:sz w:val="18"/>
                <w:szCs w:val="18"/>
              </w:rPr>
              <w:t>10%</w:t>
            </w:r>
          </w:p>
        </w:tc>
        <w:tc>
          <w:tcPr>
            <w:tcW w:w="990" w:type="dxa"/>
            <w:shd w:val="clear" w:color="auto" w:fill="FFFFFF" w:themeFill="background1"/>
            <w:vAlign w:val="center"/>
          </w:tcPr>
          <w:p w:rsidR="006A7FD1" w:rsidRPr="00D07F22" w:rsidRDefault="006A7FD1" w:rsidP="00294E8B">
            <w:pPr>
              <w:spacing w:line="180" w:lineRule="exact"/>
              <w:jc w:val="center"/>
              <w:rPr>
                <w:color w:val="auto"/>
                <w:sz w:val="18"/>
                <w:szCs w:val="18"/>
              </w:rPr>
            </w:pPr>
            <w:r w:rsidRPr="00D07F22">
              <w:rPr>
                <w:rFonts w:cs="Times New Roman"/>
                <w:color w:val="auto"/>
                <w:sz w:val="18"/>
                <w:szCs w:val="18"/>
              </w:rPr>
              <w:t>20070103</w:t>
            </w:r>
          </w:p>
        </w:tc>
      </w:tr>
      <w:tr w:rsidR="00075039" w:rsidRPr="00D07F22" w:rsidTr="00294E8B">
        <w:trPr>
          <w:trHeight w:val="125"/>
          <w:jc w:val="center"/>
        </w:trPr>
        <w:tc>
          <w:tcPr>
            <w:tcW w:w="4050" w:type="dxa"/>
            <w:gridSpan w:val="3"/>
            <w:vMerge/>
            <w:tcBorders>
              <w:right w:val="thinThickThinSmallGap" w:sz="24" w:space="0" w:color="auto"/>
            </w:tcBorders>
            <w:shd w:val="clear" w:color="auto" w:fill="FFFFFF" w:themeFill="background1"/>
            <w:vAlign w:val="center"/>
          </w:tcPr>
          <w:p w:rsidR="00075039" w:rsidRPr="00D07F22" w:rsidRDefault="00075039" w:rsidP="00D07F22">
            <w:pPr>
              <w:pStyle w:val="ListParagraph"/>
              <w:spacing w:line="180" w:lineRule="exact"/>
              <w:ind w:left="0"/>
              <w:jc w:val="center"/>
              <w:rPr>
                <w:rFonts w:cs="Times New Roman"/>
                <w:sz w:val="18"/>
                <w:szCs w:val="18"/>
              </w:rPr>
            </w:pPr>
          </w:p>
        </w:tc>
        <w:tc>
          <w:tcPr>
            <w:tcW w:w="2475" w:type="dxa"/>
            <w:tcBorders>
              <w:left w:val="thinThickThinSmallGap" w:sz="24" w:space="0" w:color="auto"/>
            </w:tcBorders>
            <w:shd w:val="clear" w:color="auto" w:fill="auto"/>
            <w:vAlign w:val="center"/>
          </w:tcPr>
          <w:p w:rsidR="00075039" w:rsidRPr="00536E2D" w:rsidRDefault="00075039" w:rsidP="00294E8B">
            <w:pPr>
              <w:pStyle w:val="ListParagraph"/>
              <w:spacing w:after="0" w:line="180" w:lineRule="exact"/>
              <w:ind w:left="0"/>
              <w:rPr>
                <w:rFonts w:cs="Times New Roman"/>
                <w:sz w:val="18"/>
                <w:szCs w:val="18"/>
              </w:rPr>
            </w:pPr>
            <w:r w:rsidRPr="00536E2D">
              <w:rPr>
                <w:rFonts w:cs="Times New Roman"/>
                <w:sz w:val="18"/>
                <w:szCs w:val="18"/>
              </w:rPr>
              <w:t xml:space="preserve">GERD and </w:t>
            </w:r>
            <w:proofErr w:type="spellStart"/>
            <w:r w:rsidRPr="00536E2D">
              <w:rPr>
                <w:rFonts w:cs="Times New Roman"/>
                <w:sz w:val="18"/>
                <w:szCs w:val="18"/>
              </w:rPr>
              <w:t>Hiatal</w:t>
            </w:r>
            <w:proofErr w:type="spellEnd"/>
            <w:r w:rsidRPr="00536E2D">
              <w:rPr>
                <w:rFonts w:cs="Times New Roman"/>
                <w:sz w:val="18"/>
                <w:szCs w:val="18"/>
              </w:rPr>
              <w:t xml:space="preserve"> Hernia</w:t>
            </w:r>
          </w:p>
        </w:tc>
        <w:tc>
          <w:tcPr>
            <w:tcW w:w="1064" w:type="dxa"/>
            <w:shd w:val="clear" w:color="auto" w:fill="auto"/>
            <w:vAlign w:val="center"/>
          </w:tcPr>
          <w:p w:rsidR="00075039" w:rsidRPr="00D76E10" w:rsidRDefault="00075039" w:rsidP="00294E8B">
            <w:pPr>
              <w:pStyle w:val="ListParagraph"/>
              <w:spacing w:after="0" w:line="180" w:lineRule="exact"/>
              <w:ind w:left="0"/>
              <w:jc w:val="center"/>
              <w:rPr>
                <w:rFonts w:cs="Times New Roman"/>
                <w:sz w:val="18"/>
                <w:szCs w:val="18"/>
              </w:rPr>
            </w:pPr>
            <w:r w:rsidRPr="00D76E10">
              <w:rPr>
                <w:rFonts w:cs="Times New Roman"/>
                <w:sz w:val="18"/>
                <w:szCs w:val="18"/>
              </w:rPr>
              <w:t>7346</w:t>
            </w:r>
          </w:p>
        </w:tc>
        <w:tc>
          <w:tcPr>
            <w:tcW w:w="810" w:type="dxa"/>
            <w:shd w:val="clear" w:color="auto" w:fill="auto"/>
            <w:vAlign w:val="center"/>
          </w:tcPr>
          <w:p w:rsidR="00075039" w:rsidRPr="00D76E10" w:rsidRDefault="00075039" w:rsidP="00294E8B">
            <w:pPr>
              <w:pStyle w:val="ListParagraph"/>
              <w:spacing w:after="0" w:line="180" w:lineRule="exact"/>
              <w:ind w:left="0"/>
              <w:jc w:val="center"/>
              <w:rPr>
                <w:rFonts w:cs="Times New Roman"/>
                <w:sz w:val="18"/>
                <w:szCs w:val="18"/>
              </w:rPr>
            </w:pPr>
            <w:r w:rsidRPr="00D76E10">
              <w:rPr>
                <w:rFonts w:cs="Times New Roman"/>
                <w:sz w:val="18"/>
                <w:szCs w:val="18"/>
              </w:rPr>
              <w:t>10%</w:t>
            </w:r>
          </w:p>
        </w:tc>
        <w:tc>
          <w:tcPr>
            <w:tcW w:w="990" w:type="dxa"/>
            <w:shd w:val="clear" w:color="auto" w:fill="FFFFFF" w:themeFill="background1"/>
            <w:vAlign w:val="center"/>
          </w:tcPr>
          <w:p w:rsidR="00075039" w:rsidRPr="00D76E10" w:rsidRDefault="00075039" w:rsidP="00294E8B">
            <w:pPr>
              <w:pStyle w:val="ListParagraph"/>
              <w:spacing w:after="0" w:line="180" w:lineRule="exact"/>
              <w:ind w:left="0"/>
              <w:jc w:val="center"/>
              <w:rPr>
                <w:rFonts w:cs="Times New Roman"/>
                <w:sz w:val="18"/>
                <w:szCs w:val="18"/>
              </w:rPr>
            </w:pPr>
            <w:r w:rsidRPr="00D76E10">
              <w:rPr>
                <w:rFonts w:cs="Times New Roman"/>
                <w:sz w:val="18"/>
                <w:szCs w:val="18"/>
              </w:rPr>
              <w:t>20070103</w:t>
            </w:r>
          </w:p>
        </w:tc>
      </w:tr>
      <w:tr w:rsidR="00075039" w:rsidRPr="00D07F22" w:rsidTr="00294E8B">
        <w:trPr>
          <w:trHeight w:val="125"/>
          <w:jc w:val="center"/>
        </w:trPr>
        <w:tc>
          <w:tcPr>
            <w:tcW w:w="4050" w:type="dxa"/>
            <w:gridSpan w:val="3"/>
            <w:vMerge/>
            <w:tcBorders>
              <w:right w:val="thinThickThinSmallGap" w:sz="24" w:space="0" w:color="auto"/>
            </w:tcBorders>
            <w:shd w:val="clear" w:color="auto" w:fill="FFFFFF" w:themeFill="background1"/>
            <w:vAlign w:val="center"/>
          </w:tcPr>
          <w:p w:rsidR="00075039" w:rsidRPr="00D07F22" w:rsidRDefault="00075039" w:rsidP="00D07F22">
            <w:pPr>
              <w:pStyle w:val="ListParagraph"/>
              <w:spacing w:line="180" w:lineRule="exact"/>
              <w:ind w:left="0"/>
              <w:jc w:val="center"/>
              <w:rPr>
                <w:rFonts w:cs="Times New Roman"/>
                <w:sz w:val="18"/>
                <w:szCs w:val="18"/>
              </w:rPr>
            </w:pPr>
          </w:p>
        </w:tc>
        <w:tc>
          <w:tcPr>
            <w:tcW w:w="2475" w:type="dxa"/>
            <w:tcBorders>
              <w:left w:val="thinThickThinSmallGap" w:sz="24" w:space="0" w:color="auto"/>
            </w:tcBorders>
            <w:shd w:val="clear" w:color="auto" w:fill="auto"/>
            <w:vAlign w:val="center"/>
          </w:tcPr>
          <w:p w:rsidR="00075039" w:rsidRPr="00536E2D" w:rsidRDefault="00075039" w:rsidP="00D07F22">
            <w:pPr>
              <w:spacing w:line="180" w:lineRule="exact"/>
              <w:rPr>
                <w:color w:val="auto"/>
                <w:sz w:val="18"/>
                <w:szCs w:val="18"/>
              </w:rPr>
            </w:pPr>
            <w:r w:rsidRPr="00536E2D">
              <w:rPr>
                <w:color w:val="auto"/>
                <w:sz w:val="18"/>
                <w:szCs w:val="18"/>
              </w:rPr>
              <w:t>Tinnitus</w:t>
            </w:r>
          </w:p>
        </w:tc>
        <w:tc>
          <w:tcPr>
            <w:tcW w:w="1064" w:type="dxa"/>
            <w:shd w:val="clear" w:color="auto" w:fill="auto"/>
            <w:vAlign w:val="center"/>
          </w:tcPr>
          <w:p w:rsidR="00075039" w:rsidRPr="00536E2D" w:rsidRDefault="00075039" w:rsidP="00D07F22">
            <w:pPr>
              <w:pStyle w:val="ListParagraph"/>
              <w:spacing w:after="0" w:line="180" w:lineRule="exact"/>
              <w:ind w:left="0"/>
              <w:jc w:val="center"/>
              <w:rPr>
                <w:rFonts w:cs="Times New Roman"/>
                <w:sz w:val="18"/>
                <w:szCs w:val="18"/>
              </w:rPr>
            </w:pPr>
            <w:r w:rsidRPr="00536E2D">
              <w:rPr>
                <w:rFonts w:cs="Times New Roman"/>
                <w:sz w:val="18"/>
                <w:szCs w:val="18"/>
              </w:rPr>
              <w:t>6260</w:t>
            </w:r>
          </w:p>
        </w:tc>
        <w:tc>
          <w:tcPr>
            <w:tcW w:w="810" w:type="dxa"/>
            <w:shd w:val="clear" w:color="auto" w:fill="auto"/>
            <w:vAlign w:val="center"/>
          </w:tcPr>
          <w:p w:rsidR="00075039" w:rsidRPr="00536E2D" w:rsidRDefault="00075039" w:rsidP="00D07F22">
            <w:pPr>
              <w:pStyle w:val="ListParagraph"/>
              <w:spacing w:after="0" w:line="180" w:lineRule="exact"/>
              <w:ind w:left="0"/>
              <w:jc w:val="center"/>
              <w:rPr>
                <w:rFonts w:cs="Times New Roman"/>
                <w:sz w:val="18"/>
                <w:szCs w:val="18"/>
              </w:rPr>
            </w:pPr>
            <w:r w:rsidRPr="00536E2D">
              <w:rPr>
                <w:rFonts w:cs="Times New Roman"/>
                <w:sz w:val="18"/>
                <w:szCs w:val="18"/>
              </w:rPr>
              <w:t>10%</w:t>
            </w:r>
          </w:p>
        </w:tc>
        <w:tc>
          <w:tcPr>
            <w:tcW w:w="990" w:type="dxa"/>
            <w:shd w:val="clear" w:color="auto" w:fill="FFFFFF" w:themeFill="background1"/>
            <w:vAlign w:val="center"/>
          </w:tcPr>
          <w:p w:rsidR="00075039" w:rsidRPr="00D07F22" w:rsidRDefault="00075039" w:rsidP="00D07F22">
            <w:pPr>
              <w:pStyle w:val="ListParagraph"/>
              <w:spacing w:after="0" w:line="180" w:lineRule="exact"/>
              <w:ind w:left="0"/>
              <w:jc w:val="center"/>
              <w:rPr>
                <w:rFonts w:cs="Times New Roman"/>
                <w:sz w:val="18"/>
                <w:szCs w:val="18"/>
              </w:rPr>
            </w:pPr>
            <w:r w:rsidRPr="00D07F22">
              <w:rPr>
                <w:rFonts w:cs="Times New Roman"/>
                <w:sz w:val="18"/>
                <w:szCs w:val="18"/>
              </w:rPr>
              <w:t>20070103</w:t>
            </w:r>
          </w:p>
        </w:tc>
      </w:tr>
      <w:tr w:rsidR="00075039" w:rsidRPr="00D07F22" w:rsidTr="00294E8B">
        <w:trPr>
          <w:trHeight w:val="125"/>
          <w:jc w:val="center"/>
        </w:trPr>
        <w:tc>
          <w:tcPr>
            <w:tcW w:w="4050" w:type="dxa"/>
            <w:gridSpan w:val="3"/>
            <w:vMerge/>
            <w:tcBorders>
              <w:bottom w:val="single" w:sz="4" w:space="0" w:color="auto"/>
              <w:right w:val="thinThickThinSmallGap" w:sz="24" w:space="0" w:color="auto"/>
            </w:tcBorders>
            <w:shd w:val="clear" w:color="auto" w:fill="FFFFFF" w:themeFill="background1"/>
            <w:vAlign w:val="center"/>
          </w:tcPr>
          <w:p w:rsidR="00075039" w:rsidRPr="00D07F22" w:rsidRDefault="00075039" w:rsidP="00D07F22">
            <w:pPr>
              <w:pStyle w:val="ListParagraph"/>
              <w:spacing w:after="0" w:line="180" w:lineRule="exact"/>
              <w:ind w:left="0"/>
              <w:jc w:val="center"/>
              <w:rPr>
                <w:rFonts w:cs="Times New Roman"/>
                <w:sz w:val="18"/>
                <w:szCs w:val="18"/>
              </w:rPr>
            </w:pPr>
          </w:p>
        </w:tc>
        <w:tc>
          <w:tcPr>
            <w:tcW w:w="4349" w:type="dxa"/>
            <w:gridSpan w:val="3"/>
            <w:tcBorders>
              <w:left w:val="thinThickThinSmallGap" w:sz="24" w:space="0" w:color="auto"/>
            </w:tcBorders>
            <w:shd w:val="clear" w:color="auto" w:fill="FFFFFF" w:themeFill="background1"/>
            <w:vAlign w:val="center"/>
          </w:tcPr>
          <w:p w:rsidR="00075039" w:rsidRPr="00D07F22" w:rsidRDefault="00926F7E" w:rsidP="00926F7E">
            <w:pPr>
              <w:pStyle w:val="ListParagraph"/>
              <w:spacing w:after="0" w:line="180" w:lineRule="exact"/>
              <w:ind w:left="0"/>
              <w:jc w:val="center"/>
              <w:rPr>
                <w:rFonts w:cs="Times New Roman"/>
                <w:sz w:val="18"/>
                <w:szCs w:val="18"/>
              </w:rPr>
            </w:pPr>
            <w:r>
              <w:rPr>
                <w:sz w:val="18"/>
                <w:szCs w:val="18"/>
              </w:rPr>
              <w:t xml:space="preserve">0% x 2 / </w:t>
            </w:r>
            <w:r w:rsidR="00075039">
              <w:rPr>
                <w:sz w:val="18"/>
                <w:szCs w:val="18"/>
              </w:rPr>
              <w:t>Not Service Connected x</w:t>
            </w:r>
            <w:r w:rsidR="00075039" w:rsidRPr="00D07F22">
              <w:rPr>
                <w:sz w:val="18"/>
                <w:szCs w:val="18"/>
              </w:rPr>
              <w:t xml:space="preserve"> </w:t>
            </w:r>
            <w:r w:rsidR="00075039">
              <w:rPr>
                <w:sz w:val="18"/>
                <w:szCs w:val="18"/>
              </w:rPr>
              <w:t>1</w:t>
            </w:r>
          </w:p>
        </w:tc>
        <w:tc>
          <w:tcPr>
            <w:tcW w:w="990" w:type="dxa"/>
            <w:shd w:val="clear" w:color="auto" w:fill="FFFFFF" w:themeFill="background1"/>
            <w:vAlign w:val="center"/>
          </w:tcPr>
          <w:p w:rsidR="00075039" w:rsidRPr="00D07F22" w:rsidRDefault="00075039" w:rsidP="00D07F22">
            <w:pPr>
              <w:pStyle w:val="ListParagraph"/>
              <w:spacing w:after="0" w:line="180" w:lineRule="exact"/>
              <w:ind w:left="0"/>
              <w:jc w:val="center"/>
              <w:rPr>
                <w:rFonts w:cs="Times New Roman"/>
                <w:sz w:val="18"/>
                <w:szCs w:val="18"/>
              </w:rPr>
            </w:pPr>
            <w:r w:rsidRPr="00D07F22">
              <w:rPr>
                <w:rFonts w:cs="Times New Roman"/>
                <w:sz w:val="18"/>
                <w:szCs w:val="18"/>
              </w:rPr>
              <w:t>20070103</w:t>
            </w:r>
          </w:p>
        </w:tc>
      </w:tr>
      <w:tr w:rsidR="00075039" w:rsidRPr="00D07F22" w:rsidTr="00D07F22">
        <w:trPr>
          <w:trHeight w:val="242"/>
          <w:jc w:val="center"/>
        </w:trPr>
        <w:tc>
          <w:tcPr>
            <w:tcW w:w="4050" w:type="dxa"/>
            <w:gridSpan w:val="3"/>
            <w:tcBorders>
              <w:right w:val="thinThickThinSmallGap" w:sz="24" w:space="0" w:color="auto"/>
            </w:tcBorders>
            <w:shd w:val="clear" w:color="auto" w:fill="D9D9D9" w:themeFill="background1" w:themeFillShade="D9"/>
            <w:vAlign w:val="center"/>
          </w:tcPr>
          <w:p w:rsidR="00075039" w:rsidRPr="00D07F22" w:rsidRDefault="00075039" w:rsidP="00D07F22">
            <w:pPr>
              <w:pStyle w:val="ListParagraph"/>
              <w:spacing w:after="0" w:line="200" w:lineRule="exact"/>
              <w:ind w:left="0"/>
              <w:jc w:val="center"/>
              <w:rPr>
                <w:rFonts w:cs="Times New Roman"/>
                <w:b/>
                <w:sz w:val="18"/>
                <w:szCs w:val="18"/>
              </w:rPr>
            </w:pPr>
            <w:r w:rsidRPr="00D07F22">
              <w:rPr>
                <w:rFonts w:cs="Times New Roman"/>
                <w:b/>
                <w:sz w:val="18"/>
                <w:szCs w:val="18"/>
              </w:rPr>
              <w:t>Combined:  0%</w:t>
            </w:r>
          </w:p>
        </w:tc>
        <w:tc>
          <w:tcPr>
            <w:tcW w:w="5339" w:type="dxa"/>
            <w:gridSpan w:val="4"/>
            <w:tcBorders>
              <w:left w:val="thinThickThinSmallGap" w:sz="24" w:space="0" w:color="auto"/>
            </w:tcBorders>
            <w:shd w:val="clear" w:color="auto" w:fill="D9D9D9" w:themeFill="background1" w:themeFillShade="D9"/>
            <w:vAlign w:val="center"/>
          </w:tcPr>
          <w:p w:rsidR="00075039" w:rsidRPr="00D07F22" w:rsidRDefault="00075039" w:rsidP="00D07F22">
            <w:pPr>
              <w:pStyle w:val="ListParagraph"/>
              <w:spacing w:after="0" w:line="200" w:lineRule="exact"/>
              <w:ind w:left="0"/>
              <w:jc w:val="center"/>
              <w:rPr>
                <w:rFonts w:cs="Times New Roman"/>
                <w:b/>
                <w:sz w:val="18"/>
                <w:szCs w:val="18"/>
              </w:rPr>
            </w:pPr>
            <w:r w:rsidRPr="00D07F22">
              <w:rPr>
                <w:rFonts w:cs="Times New Roman"/>
                <w:b/>
                <w:sz w:val="18"/>
                <w:szCs w:val="18"/>
              </w:rPr>
              <w:t>Combined:  60%</w:t>
            </w:r>
          </w:p>
        </w:tc>
      </w:tr>
    </w:tbl>
    <w:p w:rsidR="00106AD8" w:rsidRPr="00D07B1F"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CF3633" w:rsidRDefault="00CF3633" w:rsidP="00EF1C53">
      <w:pPr>
        <w:rPr>
          <w:rFonts w:asciiTheme="minorHAnsi" w:hAnsiTheme="minorHAnsi"/>
          <w:color w:val="auto"/>
          <w:szCs w:val="24"/>
          <w:u w:val="single"/>
        </w:rPr>
      </w:pPr>
    </w:p>
    <w:p w:rsidR="00CF3633" w:rsidRPr="00CF3633" w:rsidRDefault="00EF1C53" w:rsidP="00CF3633">
      <w:pPr>
        <w:spacing w:line="240" w:lineRule="exact"/>
        <w:jc w:val="both"/>
        <w:rPr>
          <w:rFonts w:asciiTheme="minorHAnsi" w:eastAsia="HiddenHorzOCR" w:hAnsiTheme="minorHAnsi"/>
          <w:color w:val="auto"/>
          <w:szCs w:val="24"/>
        </w:rPr>
      </w:pPr>
      <w:r w:rsidRPr="00CF3633">
        <w:rPr>
          <w:rFonts w:asciiTheme="minorHAnsi" w:eastAsia="HiddenHorzOCR" w:hAnsiTheme="minorHAnsi"/>
          <w:color w:val="auto"/>
          <w:szCs w:val="24"/>
          <w:u w:val="single"/>
        </w:rPr>
        <w:t>ANALYSIS SUMMARY</w:t>
      </w:r>
      <w:r w:rsidRPr="00CF3633">
        <w:rPr>
          <w:rFonts w:asciiTheme="minorHAnsi" w:eastAsia="HiddenHorzOCR" w:hAnsiTheme="minorHAnsi"/>
          <w:color w:val="auto"/>
          <w:szCs w:val="24"/>
        </w:rPr>
        <w:t>:</w:t>
      </w:r>
      <w:r w:rsidR="00CF3633" w:rsidRPr="00CF3633">
        <w:rPr>
          <w:rFonts w:asciiTheme="minorHAnsi" w:eastAsia="HiddenHorzOCR" w:hAnsiTheme="minorHAnsi"/>
          <w:color w:val="auto"/>
          <w:szCs w:val="24"/>
        </w:rPr>
        <w:t xml:space="preserve">  The </w:t>
      </w:r>
      <w:r w:rsidR="00D8162C" w:rsidRPr="00CF3633">
        <w:rPr>
          <w:rFonts w:asciiTheme="minorHAnsi" w:eastAsia="HiddenHorzOCR" w:hAnsiTheme="minorHAnsi"/>
          <w:color w:val="auto"/>
          <w:szCs w:val="24"/>
        </w:rPr>
        <w:t>military services</w:t>
      </w:r>
      <w:r w:rsidR="00CF3633" w:rsidRPr="00CF3633">
        <w:rPr>
          <w:rFonts w:asciiTheme="minorHAnsi" w:eastAsia="HiddenHorzOCR" w:hAnsiTheme="minorHAnsi"/>
          <w:color w:val="auto"/>
          <w:szCs w:val="24"/>
        </w:rPr>
        <w:t>, by law, can only rate and compensate for those conditions that were found unfitting for continued military service based on the severity of the condition at the time of separation and not based on possible future changes.  The VA</w:t>
      </w:r>
      <w:r w:rsidR="00D8162C">
        <w:rPr>
          <w:rFonts w:asciiTheme="minorHAnsi" w:eastAsia="HiddenHorzOCR" w:hAnsiTheme="minorHAnsi"/>
          <w:color w:val="auto"/>
          <w:szCs w:val="24"/>
        </w:rPr>
        <w:t>,</w:t>
      </w:r>
      <w:r w:rsidR="00CF3633" w:rsidRPr="00CF3633">
        <w:rPr>
          <w:rFonts w:asciiTheme="minorHAnsi" w:eastAsia="HiddenHorzOCR" w:hAnsiTheme="minorHAnsi"/>
          <w:color w:val="auto"/>
          <w:szCs w:val="24"/>
        </w:rPr>
        <w:t xml:space="preserve"> however,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w:t>
      </w:r>
      <w:r w:rsidR="00CF3633" w:rsidRPr="00CF3633">
        <w:rPr>
          <w:rFonts w:asciiTheme="minorHAnsi" w:eastAsia="HiddenHorzOCR" w:hAnsiTheme="minorHAnsi"/>
          <w:color w:val="auto"/>
          <w:szCs w:val="24"/>
        </w:rPr>
        <w:lastRenderedPageBreak/>
        <w:t xml:space="preserve">determinations compared to </w:t>
      </w:r>
      <w:r w:rsidR="00D8162C">
        <w:rPr>
          <w:rFonts w:asciiTheme="minorHAnsi" w:eastAsia="HiddenHorzOCR" w:hAnsiTheme="minorHAnsi"/>
          <w:color w:val="auto"/>
          <w:szCs w:val="24"/>
        </w:rPr>
        <w:t>the VA Schedule for Rating Disabilities (</w:t>
      </w:r>
      <w:r w:rsidR="00CF3633" w:rsidRPr="00CF3633">
        <w:rPr>
          <w:rFonts w:asciiTheme="minorHAnsi" w:eastAsia="HiddenHorzOCR" w:hAnsiTheme="minorHAnsi"/>
          <w:color w:val="auto"/>
          <w:szCs w:val="24"/>
        </w:rPr>
        <w:t>VASRD</w:t>
      </w:r>
      <w:r w:rsidR="00D8162C">
        <w:rPr>
          <w:rFonts w:asciiTheme="minorHAnsi" w:eastAsia="HiddenHorzOCR" w:hAnsiTheme="minorHAnsi"/>
          <w:color w:val="auto"/>
          <w:szCs w:val="24"/>
        </w:rPr>
        <w:t>)</w:t>
      </w:r>
      <w:r w:rsidR="00CF3633" w:rsidRPr="00CF3633">
        <w:rPr>
          <w:rFonts w:asciiTheme="minorHAnsi" w:eastAsia="HiddenHorzOCR" w:hAnsiTheme="minorHAnsi"/>
          <w:color w:val="auto"/>
          <w:szCs w:val="24"/>
        </w:rPr>
        <w:t xml:space="preserve"> standards, as well as the fairness of PEB fitness adjudications at the time of separation.  </w:t>
      </w:r>
    </w:p>
    <w:p w:rsidR="00611983" w:rsidRPr="00CF3633" w:rsidRDefault="00611983" w:rsidP="00CF3633">
      <w:pPr>
        <w:spacing w:line="240" w:lineRule="exact"/>
        <w:jc w:val="both"/>
        <w:rPr>
          <w:rFonts w:asciiTheme="minorHAnsi" w:eastAsia="HiddenHorzOCR" w:hAnsiTheme="minorHAnsi"/>
          <w:color w:val="auto"/>
          <w:szCs w:val="24"/>
        </w:rPr>
      </w:pPr>
    </w:p>
    <w:p w:rsidR="004E6504" w:rsidRDefault="00FC1EF9" w:rsidP="00CF3633">
      <w:pPr>
        <w:spacing w:line="240" w:lineRule="exact"/>
        <w:jc w:val="both"/>
        <w:rPr>
          <w:rFonts w:asciiTheme="minorHAnsi" w:eastAsia="HiddenHorzOCR" w:hAnsiTheme="minorHAnsi"/>
          <w:color w:val="auto"/>
          <w:szCs w:val="24"/>
        </w:rPr>
      </w:pPr>
      <w:proofErr w:type="gramStart"/>
      <w:r w:rsidRPr="00CF3633">
        <w:rPr>
          <w:rFonts w:asciiTheme="minorHAnsi" w:eastAsia="HiddenHorzOCR" w:hAnsiTheme="minorHAnsi"/>
          <w:color w:val="auto"/>
          <w:szCs w:val="24"/>
          <w:u w:val="single"/>
        </w:rPr>
        <w:t xml:space="preserve">Bilateral </w:t>
      </w:r>
      <w:r w:rsidR="00053538">
        <w:rPr>
          <w:rFonts w:asciiTheme="minorHAnsi" w:eastAsia="HiddenHorzOCR" w:hAnsiTheme="minorHAnsi"/>
          <w:color w:val="auto"/>
          <w:szCs w:val="24"/>
          <w:u w:val="single"/>
        </w:rPr>
        <w:t xml:space="preserve">Foot Pain; </w:t>
      </w:r>
      <w:r w:rsidR="00B915A9" w:rsidRPr="00CF3633">
        <w:rPr>
          <w:rFonts w:asciiTheme="minorHAnsi" w:eastAsia="HiddenHorzOCR" w:hAnsiTheme="minorHAnsi"/>
          <w:color w:val="auto"/>
          <w:szCs w:val="24"/>
          <w:u w:val="single"/>
        </w:rPr>
        <w:t>H</w:t>
      </w:r>
      <w:r w:rsidRPr="00CF3633">
        <w:rPr>
          <w:rFonts w:asciiTheme="minorHAnsi" w:eastAsia="HiddenHorzOCR" w:hAnsiTheme="minorHAnsi"/>
          <w:color w:val="auto"/>
          <w:szCs w:val="24"/>
          <w:u w:val="single"/>
        </w:rPr>
        <w:t>ammer</w:t>
      </w:r>
      <w:r w:rsidR="007D7373" w:rsidRPr="00CF3633">
        <w:rPr>
          <w:rFonts w:asciiTheme="minorHAnsi" w:eastAsia="HiddenHorzOCR" w:hAnsiTheme="minorHAnsi"/>
          <w:color w:val="auto"/>
          <w:szCs w:val="24"/>
          <w:u w:val="single"/>
        </w:rPr>
        <w:t xml:space="preserve"> </w:t>
      </w:r>
      <w:r w:rsidR="00B915A9" w:rsidRPr="00CF3633">
        <w:rPr>
          <w:rFonts w:asciiTheme="minorHAnsi" w:eastAsia="HiddenHorzOCR" w:hAnsiTheme="minorHAnsi"/>
          <w:color w:val="auto"/>
          <w:szCs w:val="24"/>
          <w:u w:val="single"/>
        </w:rPr>
        <w:t>T</w:t>
      </w:r>
      <w:r w:rsidRPr="00CF3633">
        <w:rPr>
          <w:rFonts w:asciiTheme="minorHAnsi" w:eastAsia="HiddenHorzOCR" w:hAnsiTheme="minorHAnsi"/>
          <w:color w:val="auto"/>
          <w:szCs w:val="24"/>
          <w:u w:val="single"/>
        </w:rPr>
        <w:t xml:space="preserve">oe </w:t>
      </w:r>
      <w:r w:rsidR="00B915A9" w:rsidRPr="00CF3633">
        <w:rPr>
          <w:rFonts w:asciiTheme="minorHAnsi" w:eastAsia="HiddenHorzOCR" w:hAnsiTheme="minorHAnsi"/>
          <w:color w:val="auto"/>
          <w:szCs w:val="24"/>
          <w:u w:val="single"/>
        </w:rPr>
        <w:t>D</w:t>
      </w:r>
      <w:r w:rsidRPr="00CF3633">
        <w:rPr>
          <w:rFonts w:asciiTheme="minorHAnsi" w:eastAsia="HiddenHorzOCR" w:hAnsiTheme="minorHAnsi"/>
          <w:color w:val="auto"/>
          <w:szCs w:val="24"/>
          <w:u w:val="single"/>
        </w:rPr>
        <w:t>eformities</w:t>
      </w:r>
      <w:r w:rsidR="002C4B59">
        <w:rPr>
          <w:rFonts w:asciiTheme="minorHAnsi" w:eastAsia="HiddenHorzOCR" w:hAnsiTheme="minorHAnsi"/>
          <w:color w:val="auto"/>
          <w:szCs w:val="24"/>
          <w:u w:val="single"/>
        </w:rPr>
        <w:t xml:space="preserve"> and Flat Feet</w:t>
      </w:r>
      <w:r w:rsidR="00BE0B47">
        <w:rPr>
          <w:rFonts w:asciiTheme="minorHAnsi" w:eastAsia="HiddenHorzOCR" w:hAnsiTheme="minorHAnsi"/>
          <w:color w:val="auto"/>
          <w:szCs w:val="24"/>
          <w:u w:val="single"/>
        </w:rPr>
        <w:t xml:space="preserve"> </w:t>
      </w:r>
      <w:r w:rsidR="002C4B59">
        <w:rPr>
          <w:rFonts w:asciiTheme="minorHAnsi" w:eastAsia="HiddenHorzOCR" w:hAnsiTheme="minorHAnsi"/>
          <w:color w:val="auto"/>
          <w:szCs w:val="24"/>
          <w:u w:val="single"/>
        </w:rPr>
        <w:t>(</w:t>
      </w:r>
      <w:proofErr w:type="spellStart"/>
      <w:r w:rsidR="00053538">
        <w:rPr>
          <w:rFonts w:asciiTheme="minorHAnsi" w:eastAsia="HiddenHorzOCR" w:hAnsiTheme="minorHAnsi"/>
          <w:color w:val="auto"/>
          <w:szCs w:val="24"/>
          <w:u w:val="single"/>
        </w:rPr>
        <w:t>Pes</w:t>
      </w:r>
      <w:proofErr w:type="spellEnd"/>
      <w:r w:rsidR="00053538">
        <w:rPr>
          <w:rFonts w:asciiTheme="minorHAnsi" w:eastAsia="HiddenHorzOCR" w:hAnsiTheme="minorHAnsi"/>
          <w:color w:val="auto"/>
          <w:szCs w:val="24"/>
          <w:u w:val="single"/>
        </w:rPr>
        <w:t xml:space="preserve"> </w:t>
      </w:r>
      <w:proofErr w:type="spellStart"/>
      <w:r w:rsidR="00053538">
        <w:rPr>
          <w:rFonts w:asciiTheme="minorHAnsi" w:eastAsia="HiddenHorzOCR" w:hAnsiTheme="minorHAnsi"/>
          <w:color w:val="auto"/>
          <w:szCs w:val="24"/>
          <w:u w:val="single"/>
        </w:rPr>
        <w:t>Planus</w:t>
      </w:r>
      <w:proofErr w:type="spellEnd"/>
      <w:r w:rsidR="002C4B59">
        <w:rPr>
          <w:rFonts w:asciiTheme="minorHAnsi" w:eastAsia="HiddenHorzOCR" w:hAnsiTheme="minorHAnsi"/>
          <w:color w:val="auto"/>
          <w:szCs w:val="24"/>
          <w:u w:val="single"/>
        </w:rPr>
        <w:t>)</w:t>
      </w:r>
      <w:r w:rsidR="00D8162C">
        <w:rPr>
          <w:rFonts w:asciiTheme="minorHAnsi" w:eastAsia="HiddenHorzOCR" w:hAnsiTheme="minorHAnsi"/>
          <w:color w:val="auto"/>
          <w:szCs w:val="24"/>
          <w:u w:val="single"/>
        </w:rPr>
        <w:t>.</w:t>
      </w:r>
      <w:proofErr w:type="gramEnd"/>
      <w:r w:rsidRPr="00CF3633">
        <w:rPr>
          <w:rFonts w:asciiTheme="minorHAnsi" w:eastAsia="HiddenHorzOCR" w:hAnsiTheme="minorHAnsi"/>
          <w:color w:val="auto"/>
          <w:szCs w:val="24"/>
        </w:rPr>
        <w:t xml:space="preserve"> </w:t>
      </w:r>
      <w:r w:rsidR="00053538">
        <w:rPr>
          <w:rFonts w:asciiTheme="minorHAnsi" w:eastAsia="HiddenHorzOCR" w:hAnsiTheme="minorHAnsi"/>
          <w:color w:val="auto"/>
          <w:szCs w:val="24"/>
        </w:rPr>
        <w:t xml:space="preserve"> </w:t>
      </w:r>
      <w:r w:rsidR="002D0AD6">
        <w:rPr>
          <w:rFonts w:asciiTheme="minorHAnsi" w:eastAsia="HiddenHorzOCR" w:hAnsiTheme="minorHAnsi"/>
          <w:color w:val="auto"/>
          <w:szCs w:val="24"/>
        </w:rPr>
        <w:t>The C</w:t>
      </w:r>
      <w:r w:rsidR="002D0AD6" w:rsidRPr="002D0AD6">
        <w:rPr>
          <w:rFonts w:asciiTheme="minorHAnsi" w:eastAsia="HiddenHorzOCR" w:hAnsiTheme="minorHAnsi"/>
          <w:color w:val="auto"/>
          <w:szCs w:val="24"/>
        </w:rPr>
        <w:t>I experienced</w:t>
      </w:r>
      <w:r w:rsidR="002D0AD6">
        <w:rPr>
          <w:rFonts w:asciiTheme="minorHAnsi" w:eastAsia="HiddenHorzOCR" w:hAnsiTheme="minorHAnsi"/>
          <w:color w:val="auto"/>
          <w:szCs w:val="24"/>
        </w:rPr>
        <w:t xml:space="preserve"> foot pain due to residuals of </w:t>
      </w:r>
      <w:r w:rsidR="001E3791">
        <w:rPr>
          <w:rFonts w:asciiTheme="minorHAnsi" w:eastAsia="HiddenHorzOCR" w:hAnsiTheme="minorHAnsi"/>
          <w:color w:val="auto"/>
          <w:szCs w:val="24"/>
        </w:rPr>
        <w:t xml:space="preserve">bilateral </w:t>
      </w:r>
      <w:r w:rsidR="00194D3A">
        <w:rPr>
          <w:rFonts w:asciiTheme="minorHAnsi" w:eastAsia="HiddenHorzOCR" w:hAnsiTheme="minorHAnsi"/>
          <w:color w:val="auto"/>
          <w:szCs w:val="24"/>
        </w:rPr>
        <w:t xml:space="preserve">hammer toe surgery.  He underwent surgery </w:t>
      </w:r>
      <w:r w:rsidR="00AC7F01">
        <w:rPr>
          <w:rFonts w:asciiTheme="minorHAnsi" w:eastAsia="HiddenHorzOCR" w:hAnsiTheme="minorHAnsi"/>
          <w:color w:val="auto"/>
          <w:szCs w:val="24"/>
        </w:rPr>
        <w:t xml:space="preserve">in 1996 </w:t>
      </w:r>
      <w:r w:rsidR="00194D3A">
        <w:rPr>
          <w:rFonts w:asciiTheme="minorHAnsi" w:eastAsia="HiddenHorzOCR" w:hAnsiTheme="minorHAnsi"/>
          <w:color w:val="auto"/>
          <w:szCs w:val="24"/>
        </w:rPr>
        <w:t>to correct hammer toe</w:t>
      </w:r>
      <w:r w:rsidR="00384787">
        <w:rPr>
          <w:rFonts w:asciiTheme="minorHAnsi" w:eastAsia="HiddenHorzOCR" w:hAnsiTheme="minorHAnsi"/>
          <w:color w:val="auto"/>
          <w:szCs w:val="24"/>
        </w:rPr>
        <w:t xml:space="preserve"> deformities</w:t>
      </w:r>
      <w:r w:rsidR="00194D3A">
        <w:rPr>
          <w:rFonts w:asciiTheme="minorHAnsi" w:eastAsia="HiddenHorzOCR" w:hAnsiTheme="minorHAnsi"/>
          <w:color w:val="auto"/>
          <w:szCs w:val="24"/>
        </w:rPr>
        <w:t xml:space="preserve"> of the left second, third and fourth toes</w:t>
      </w:r>
      <w:r w:rsidR="00AC7F01">
        <w:rPr>
          <w:rFonts w:asciiTheme="minorHAnsi" w:eastAsia="HiddenHorzOCR" w:hAnsiTheme="minorHAnsi"/>
          <w:color w:val="auto"/>
          <w:szCs w:val="24"/>
        </w:rPr>
        <w:t>.</w:t>
      </w:r>
      <w:r w:rsidR="00194D3A">
        <w:rPr>
          <w:rFonts w:asciiTheme="minorHAnsi" w:eastAsia="HiddenHorzOCR" w:hAnsiTheme="minorHAnsi"/>
          <w:color w:val="auto"/>
          <w:szCs w:val="24"/>
        </w:rPr>
        <w:t xml:space="preserve"> </w:t>
      </w:r>
      <w:r w:rsidR="00AC7F01">
        <w:rPr>
          <w:rFonts w:asciiTheme="minorHAnsi" w:eastAsia="HiddenHorzOCR" w:hAnsiTheme="minorHAnsi"/>
          <w:color w:val="auto"/>
          <w:szCs w:val="24"/>
        </w:rPr>
        <w:t xml:space="preserve"> </w:t>
      </w:r>
      <w:r w:rsidR="00194D3A">
        <w:rPr>
          <w:rFonts w:asciiTheme="minorHAnsi" w:eastAsia="HiddenHorzOCR" w:hAnsiTheme="minorHAnsi"/>
          <w:color w:val="auto"/>
          <w:szCs w:val="24"/>
        </w:rPr>
        <w:t>Ten years later</w:t>
      </w:r>
      <w:r w:rsidR="00D8162C">
        <w:rPr>
          <w:rFonts w:asciiTheme="minorHAnsi" w:eastAsia="HiddenHorzOCR" w:hAnsiTheme="minorHAnsi"/>
          <w:color w:val="auto"/>
          <w:szCs w:val="24"/>
        </w:rPr>
        <w:t>,</w:t>
      </w:r>
      <w:r w:rsidR="00194D3A">
        <w:rPr>
          <w:rFonts w:asciiTheme="minorHAnsi" w:eastAsia="HiddenHorzOCR" w:hAnsiTheme="minorHAnsi"/>
          <w:color w:val="auto"/>
          <w:szCs w:val="24"/>
        </w:rPr>
        <w:t xml:space="preserve"> he underwent surgery to correct the hammer toe deformities of the right second, third and fourth toes</w:t>
      </w:r>
      <w:r w:rsidR="00D8162C">
        <w:rPr>
          <w:rFonts w:asciiTheme="minorHAnsi" w:eastAsia="HiddenHorzOCR" w:hAnsiTheme="minorHAnsi"/>
          <w:color w:val="auto"/>
          <w:szCs w:val="24"/>
        </w:rPr>
        <w:t xml:space="preserve"> in</w:t>
      </w:r>
      <w:r w:rsidR="00194D3A">
        <w:rPr>
          <w:rFonts w:asciiTheme="minorHAnsi" w:eastAsia="HiddenHorzOCR" w:hAnsiTheme="minorHAnsi"/>
          <w:color w:val="auto"/>
          <w:szCs w:val="24"/>
        </w:rPr>
        <w:t xml:space="preserve"> July of 2006.</w:t>
      </w:r>
      <w:r w:rsidR="002C4B59">
        <w:rPr>
          <w:rFonts w:asciiTheme="minorHAnsi" w:eastAsia="HiddenHorzOCR" w:hAnsiTheme="minorHAnsi"/>
          <w:color w:val="auto"/>
          <w:szCs w:val="24"/>
        </w:rPr>
        <w:t xml:space="preserve">  He continued to experience bilateral toe pain with running and strenuous military duties, particularly wearing military boots.</w:t>
      </w:r>
      <w:r w:rsidR="00966644">
        <w:rPr>
          <w:rFonts w:asciiTheme="minorHAnsi" w:eastAsia="HiddenHorzOCR" w:hAnsiTheme="minorHAnsi"/>
          <w:color w:val="auto"/>
          <w:szCs w:val="24"/>
        </w:rPr>
        <w:t xml:space="preserve">  </w:t>
      </w:r>
      <w:r w:rsidR="001A743F">
        <w:rPr>
          <w:rFonts w:asciiTheme="minorHAnsi" w:eastAsia="HiddenHorzOCR" w:hAnsiTheme="minorHAnsi"/>
          <w:color w:val="auto"/>
          <w:szCs w:val="24"/>
        </w:rPr>
        <w:t xml:space="preserve">The PEB rated the CI’s </w:t>
      </w:r>
      <w:r w:rsidR="00857950">
        <w:rPr>
          <w:rFonts w:asciiTheme="minorHAnsi" w:eastAsia="HiddenHorzOCR" w:hAnsiTheme="minorHAnsi"/>
          <w:color w:val="auto"/>
          <w:szCs w:val="24"/>
        </w:rPr>
        <w:t xml:space="preserve">bilateral </w:t>
      </w:r>
      <w:r w:rsidR="001A743F">
        <w:rPr>
          <w:rFonts w:asciiTheme="minorHAnsi" w:eastAsia="HiddenHorzOCR" w:hAnsiTheme="minorHAnsi"/>
          <w:color w:val="auto"/>
          <w:szCs w:val="24"/>
        </w:rPr>
        <w:t xml:space="preserve">foot </w:t>
      </w:r>
      <w:r w:rsidR="009426F1">
        <w:rPr>
          <w:rFonts w:asciiTheme="minorHAnsi" w:eastAsia="HiddenHorzOCR" w:hAnsiTheme="minorHAnsi"/>
          <w:color w:val="auto"/>
          <w:szCs w:val="24"/>
        </w:rPr>
        <w:t xml:space="preserve">pain </w:t>
      </w:r>
      <w:r w:rsidR="001A743F">
        <w:rPr>
          <w:rFonts w:asciiTheme="minorHAnsi" w:eastAsia="HiddenHorzOCR" w:hAnsiTheme="minorHAnsi"/>
          <w:color w:val="auto"/>
          <w:szCs w:val="24"/>
        </w:rPr>
        <w:t xml:space="preserve">condition 0% </w:t>
      </w:r>
      <w:r w:rsidR="00B915A9">
        <w:rPr>
          <w:rFonts w:asciiTheme="minorHAnsi" w:eastAsia="HiddenHorzOCR" w:hAnsiTheme="minorHAnsi"/>
          <w:color w:val="auto"/>
          <w:szCs w:val="24"/>
        </w:rPr>
        <w:t xml:space="preserve">IAW VASD rating guidance </w:t>
      </w:r>
      <w:r w:rsidR="001A743F">
        <w:rPr>
          <w:rFonts w:asciiTheme="minorHAnsi" w:eastAsia="HiddenHorzOCR" w:hAnsiTheme="minorHAnsi"/>
          <w:color w:val="auto"/>
          <w:szCs w:val="24"/>
        </w:rPr>
        <w:t xml:space="preserve">for </w:t>
      </w:r>
      <w:r w:rsidR="00857950">
        <w:rPr>
          <w:rFonts w:asciiTheme="minorHAnsi" w:eastAsia="HiddenHorzOCR" w:hAnsiTheme="minorHAnsi"/>
          <w:color w:val="auto"/>
          <w:szCs w:val="24"/>
        </w:rPr>
        <w:t xml:space="preserve">the CI’s primary foot condition, </w:t>
      </w:r>
      <w:r w:rsidR="001A743F">
        <w:rPr>
          <w:rFonts w:asciiTheme="minorHAnsi" w:eastAsia="HiddenHorzOCR" w:hAnsiTheme="minorHAnsi"/>
          <w:color w:val="auto"/>
          <w:szCs w:val="24"/>
        </w:rPr>
        <w:t>hammer toes (5282</w:t>
      </w:r>
      <w:r w:rsidR="00194D3A">
        <w:rPr>
          <w:rFonts w:asciiTheme="minorHAnsi" w:eastAsia="HiddenHorzOCR" w:hAnsiTheme="minorHAnsi"/>
          <w:color w:val="auto"/>
          <w:szCs w:val="24"/>
        </w:rPr>
        <w:t xml:space="preserve">, </w:t>
      </w:r>
      <w:r w:rsidR="001A743F">
        <w:rPr>
          <w:rFonts w:asciiTheme="minorHAnsi" w:eastAsia="HiddenHorzOCR" w:hAnsiTheme="minorHAnsi"/>
          <w:color w:val="auto"/>
          <w:szCs w:val="24"/>
        </w:rPr>
        <w:t>single toes 0%; all toes 10% unilateral).</w:t>
      </w:r>
      <w:r w:rsidR="00B915A9">
        <w:rPr>
          <w:rFonts w:asciiTheme="minorHAnsi" w:eastAsia="HiddenHorzOCR" w:hAnsiTheme="minorHAnsi"/>
          <w:color w:val="auto"/>
          <w:szCs w:val="24"/>
        </w:rPr>
        <w:t xml:space="preserve">  </w:t>
      </w:r>
      <w:r w:rsidR="00E71E15">
        <w:rPr>
          <w:rFonts w:asciiTheme="minorHAnsi" w:eastAsia="HiddenHorzOCR" w:hAnsiTheme="minorHAnsi"/>
          <w:color w:val="auto"/>
          <w:szCs w:val="24"/>
        </w:rPr>
        <w:t xml:space="preserve">To attain a higher rating using the code for hammer toes, all toes must be involved.  </w:t>
      </w:r>
      <w:r w:rsidR="00857950">
        <w:rPr>
          <w:rFonts w:asciiTheme="minorHAnsi" w:eastAsia="HiddenHorzOCR" w:hAnsiTheme="minorHAnsi"/>
          <w:color w:val="auto"/>
          <w:szCs w:val="24"/>
        </w:rPr>
        <w:t>The PEB classified the moderate flat foot as a related category 2 condition in the unfitting conditions.</w:t>
      </w:r>
      <w:r w:rsidR="00823860">
        <w:rPr>
          <w:rFonts w:asciiTheme="minorHAnsi" w:eastAsia="HiddenHorzOCR" w:hAnsiTheme="minorHAnsi"/>
          <w:color w:val="auto"/>
          <w:szCs w:val="24"/>
        </w:rPr>
        <w:t xml:space="preserve">  </w:t>
      </w:r>
      <w:r w:rsidR="00857950">
        <w:rPr>
          <w:rFonts w:asciiTheme="minorHAnsi" w:eastAsia="HiddenHorzOCR" w:hAnsiTheme="minorHAnsi"/>
          <w:color w:val="auto"/>
          <w:szCs w:val="24"/>
        </w:rPr>
        <w:t xml:space="preserve">The VA rated the CI’s bilateral foot pain 10% using VASRD code 5276 for acquired flat feet, noting the history of surgical correction of hammer toes, the pre-separation VA compensation and pension (C&amp;P) examination diagnosis of </w:t>
      </w:r>
      <w:proofErr w:type="spellStart"/>
      <w:r w:rsidR="00857950">
        <w:rPr>
          <w:rFonts w:asciiTheme="minorHAnsi" w:eastAsia="HiddenHorzOCR" w:hAnsiTheme="minorHAnsi"/>
          <w:color w:val="auto"/>
          <w:szCs w:val="24"/>
        </w:rPr>
        <w:t>pes</w:t>
      </w:r>
      <w:proofErr w:type="spellEnd"/>
      <w:r w:rsidR="00857950">
        <w:rPr>
          <w:rFonts w:asciiTheme="minorHAnsi" w:eastAsia="HiddenHorzOCR" w:hAnsiTheme="minorHAnsi"/>
          <w:color w:val="auto"/>
          <w:szCs w:val="24"/>
        </w:rPr>
        <w:t xml:space="preserve"> </w:t>
      </w:r>
      <w:proofErr w:type="spellStart"/>
      <w:r w:rsidR="00857950">
        <w:rPr>
          <w:rFonts w:asciiTheme="minorHAnsi" w:eastAsia="HiddenHorzOCR" w:hAnsiTheme="minorHAnsi"/>
          <w:color w:val="auto"/>
          <w:szCs w:val="24"/>
        </w:rPr>
        <w:t>planus</w:t>
      </w:r>
      <w:proofErr w:type="spellEnd"/>
      <w:r w:rsidR="00857950">
        <w:rPr>
          <w:rFonts w:asciiTheme="minorHAnsi" w:eastAsia="HiddenHorzOCR" w:hAnsiTheme="minorHAnsi"/>
          <w:color w:val="auto"/>
          <w:szCs w:val="24"/>
        </w:rPr>
        <w:t xml:space="preserve"> with plantar fasciitis, and pain on manipulation and use of the feet (a single 10% rating applies to bilateral or unilateral condition).  </w:t>
      </w:r>
      <w:r w:rsidR="009D2B06">
        <w:rPr>
          <w:rFonts w:asciiTheme="minorHAnsi" w:eastAsia="HiddenHorzOCR" w:hAnsiTheme="minorHAnsi"/>
          <w:color w:val="auto"/>
          <w:szCs w:val="24"/>
        </w:rPr>
        <w:t xml:space="preserve">Although rating under different VARSD code, </w:t>
      </w:r>
      <w:r w:rsidR="00857950">
        <w:rPr>
          <w:rFonts w:asciiTheme="minorHAnsi" w:eastAsia="HiddenHorzOCR" w:hAnsiTheme="minorHAnsi"/>
          <w:color w:val="auto"/>
          <w:szCs w:val="24"/>
        </w:rPr>
        <w:t xml:space="preserve">the PEB considered the hammer toes and flat foot conditions together under one rating that took into consideration the complete disability picture caused by the conditions together.  </w:t>
      </w:r>
      <w:r w:rsidR="00857950" w:rsidRPr="00857950">
        <w:rPr>
          <w:rFonts w:asciiTheme="minorHAnsi" w:eastAsia="HiddenHorzOCR" w:hAnsiTheme="minorHAnsi"/>
          <w:color w:val="auto"/>
          <w:szCs w:val="24"/>
        </w:rPr>
        <w:t>IAW VASRD §4.14 (avoidance of pyramiding)</w:t>
      </w:r>
      <w:r w:rsidR="00823860">
        <w:rPr>
          <w:rFonts w:asciiTheme="minorHAnsi" w:eastAsia="HiddenHorzOCR" w:hAnsiTheme="minorHAnsi"/>
          <w:color w:val="auto"/>
          <w:szCs w:val="24"/>
        </w:rPr>
        <w:t xml:space="preserve">, the </w:t>
      </w:r>
      <w:r w:rsidR="00823860" w:rsidRPr="00823860">
        <w:rPr>
          <w:rFonts w:asciiTheme="minorHAnsi" w:eastAsia="HiddenHorzOCR" w:hAnsiTheme="minorHAnsi"/>
          <w:color w:val="auto"/>
          <w:szCs w:val="24"/>
        </w:rPr>
        <w:t xml:space="preserve">evaluation </w:t>
      </w:r>
      <w:r w:rsidR="00823860">
        <w:rPr>
          <w:rFonts w:asciiTheme="minorHAnsi" w:eastAsia="HiddenHorzOCR" w:hAnsiTheme="minorHAnsi"/>
          <w:color w:val="auto"/>
          <w:szCs w:val="24"/>
        </w:rPr>
        <w:t xml:space="preserve">and rating </w:t>
      </w:r>
      <w:r w:rsidR="00823860" w:rsidRPr="00823860">
        <w:rPr>
          <w:rFonts w:asciiTheme="minorHAnsi" w:eastAsia="HiddenHorzOCR" w:hAnsiTheme="minorHAnsi"/>
          <w:color w:val="auto"/>
          <w:szCs w:val="24"/>
        </w:rPr>
        <w:t xml:space="preserve">of the same manifestation under different diagnoses </w:t>
      </w:r>
      <w:r w:rsidR="00823860">
        <w:rPr>
          <w:rFonts w:asciiTheme="minorHAnsi" w:eastAsia="HiddenHorzOCR" w:hAnsiTheme="minorHAnsi"/>
          <w:color w:val="auto"/>
          <w:szCs w:val="24"/>
        </w:rPr>
        <w:t xml:space="preserve">is </w:t>
      </w:r>
      <w:r w:rsidR="00823860" w:rsidRPr="00823860">
        <w:rPr>
          <w:rFonts w:asciiTheme="minorHAnsi" w:eastAsia="HiddenHorzOCR" w:hAnsiTheme="minorHAnsi"/>
          <w:color w:val="auto"/>
          <w:szCs w:val="24"/>
        </w:rPr>
        <w:t>to be avoided.</w:t>
      </w:r>
      <w:r w:rsidR="00966644">
        <w:rPr>
          <w:rFonts w:asciiTheme="minorHAnsi" w:eastAsia="HiddenHorzOCR" w:hAnsiTheme="minorHAnsi"/>
          <w:color w:val="auto"/>
          <w:szCs w:val="24"/>
        </w:rPr>
        <w:t xml:space="preserve">  </w:t>
      </w:r>
    </w:p>
    <w:p w:rsidR="004E6504" w:rsidRDefault="004E6504" w:rsidP="00CF3633">
      <w:pPr>
        <w:spacing w:line="240" w:lineRule="exact"/>
        <w:jc w:val="both"/>
        <w:rPr>
          <w:rFonts w:asciiTheme="minorHAnsi" w:eastAsia="HiddenHorzOCR" w:hAnsiTheme="minorHAnsi"/>
          <w:color w:val="auto"/>
          <w:szCs w:val="24"/>
        </w:rPr>
      </w:pPr>
    </w:p>
    <w:p w:rsidR="004E6504" w:rsidRDefault="00B915A9" w:rsidP="00CF3633">
      <w:pPr>
        <w:spacing w:line="240" w:lineRule="exact"/>
        <w:jc w:val="both"/>
        <w:rPr>
          <w:rFonts w:asciiTheme="minorHAnsi" w:eastAsia="HiddenHorzOCR" w:hAnsiTheme="minorHAnsi"/>
          <w:color w:val="auto"/>
          <w:szCs w:val="24"/>
        </w:rPr>
      </w:pPr>
      <w:r>
        <w:rPr>
          <w:rFonts w:asciiTheme="minorHAnsi" w:eastAsia="HiddenHorzOCR" w:hAnsiTheme="minorHAnsi"/>
          <w:color w:val="auto"/>
          <w:szCs w:val="24"/>
        </w:rPr>
        <w:t>The Board agreed that evidence of the record showed that the CI did not have hammer toe deformities of all toes meeting the criteria for the 10% rating.  The hammer toe deformities had been surgically corrected and the CI ha</w:t>
      </w:r>
      <w:r w:rsidR="000503A3">
        <w:rPr>
          <w:rFonts w:asciiTheme="minorHAnsi" w:eastAsia="HiddenHorzOCR" w:hAnsiTheme="minorHAnsi"/>
          <w:color w:val="auto"/>
          <w:szCs w:val="24"/>
        </w:rPr>
        <w:t>d</w:t>
      </w:r>
      <w:r>
        <w:rPr>
          <w:rFonts w:asciiTheme="minorHAnsi" w:eastAsia="HiddenHorzOCR" w:hAnsiTheme="minorHAnsi"/>
          <w:color w:val="auto"/>
          <w:szCs w:val="24"/>
        </w:rPr>
        <w:t xml:space="preserve"> residual toe pain with strenuous physical activity</w:t>
      </w:r>
      <w:r w:rsidR="00956EC7">
        <w:rPr>
          <w:rFonts w:asciiTheme="minorHAnsi" w:eastAsia="HiddenHorzOCR" w:hAnsiTheme="minorHAnsi"/>
          <w:color w:val="auto"/>
          <w:szCs w:val="24"/>
        </w:rPr>
        <w:t>.</w:t>
      </w:r>
      <w:r w:rsidR="000503A3">
        <w:rPr>
          <w:rFonts w:asciiTheme="minorHAnsi" w:eastAsia="HiddenHorzOCR" w:hAnsiTheme="minorHAnsi"/>
          <w:color w:val="auto"/>
          <w:szCs w:val="24"/>
        </w:rPr>
        <w:t xml:space="preserve">  </w:t>
      </w:r>
      <w:r w:rsidR="00857950">
        <w:rPr>
          <w:rFonts w:asciiTheme="minorHAnsi" w:eastAsia="HiddenHorzOCR" w:hAnsiTheme="minorHAnsi"/>
          <w:color w:val="auto"/>
          <w:szCs w:val="24"/>
        </w:rPr>
        <w:t xml:space="preserve">The Board considered rating the CI’s bilateral foot pain </w:t>
      </w:r>
      <w:r w:rsidR="00823860">
        <w:rPr>
          <w:rFonts w:asciiTheme="minorHAnsi" w:eastAsia="HiddenHorzOCR" w:hAnsiTheme="minorHAnsi"/>
          <w:color w:val="auto"/>
          <w:szCs w:val="24"/>
        </w:rPr>
        <w:t xml:space="preserve">under </w:t>
      </w:r>
      <w:r w:rsidR="009D2B06">
        <w:rPr>
          <w:rFonts w:asciiTheme="minorHAnsi" w:eastAsia="HiddenHorzOCR" w:hAnsiTheme="minorHAnsi"/>
          <w:color w:val="auto"/>
          <w:szCs w:val="24"/>
        </w:rPr>
        <w:t xml:space="preserve">the VASRD </w:t>
      </w:r>
      <w:r w:rsidR="00823860">
        <w:rPr>
          <w:rFonts w:asciiTheme="minorHAnsi" w:eastAsia="HiddenHorzOCR" w:hAnsiTheme="minorHAnsi"/>
          <w:color w:val="auto"/>
          <w:szCs w:val="24"/>
        </w:rPr>
        <w:t xml:space="preserve">diagnostic code for </w:t>
      </w:r>
      <w:r w:rsidR="009D2B06">
        <w:rPr>
          <w:rFonts w:asciiTheme="minorHAnsi" w:eastAsia="HiddenHorzOCR" w:hAnsiTheme="minorHAnsi"/>
          <w:color w:val="auto"/>
          <w:szCs w:val="24"/>
        </w:rPr>
        <w:t xml:space="preserve">acquired </w:t>
      </w:r>
      <w:proofErr w:type="spellStart"/>
      <w:r w:rsidR="00823860">
        <w:rPr>
          <w:rFonts w:asciiTheme="minorHAnsi" w:eastAsia="HiddenHorzOCR" w:hAnsiTheme="minorHAnsi"/>
          <w:color w:val="auto"/>
          <w:szCs w:val="24"/>
        </w:rPr>
        <w:t>pes</w:t>
      </w:r>
      <w:proofErr w:type="spellEnd"/>
      <w:r w:rsidR="00823860">
        <w:rPr>
          <w:rFonts w:asciiTheme="minorHAnsi" w:eastAsia="HiddenHorzOCR" w:hAnsiTheme="minorHAnsi"/>
          <w:color w:val="auto"/>
          <w:szCs w:val="24"/>
        </w:rPr>
        <w:t xml:space="preserve"> </w:t>
      </w:r>
      <w:proofErr w:type="spellStart"/>
      <w:r w:rsidR="00823860">
        <w:rPr>
          <w:rFonts w:asciiTheme="minorHAnsi" w:eastAsia="HiddenHorzOCR" w:hAnsiTheme="minorHAnsi"/>
          <w:color w:val="auto"/>
          <w:szCs w:val="24"/>
        </w:rPr>
        <w:t>planus</w:t>
      </w:r>
      <w:proofErr w:type="spellEnd"/>
      <w:r w:rsidR="00823860">
        <w:rPr>
          <w:rFonts w:asciiTheme="minorHAnsi" w:eastAsia="HiddenHorzOCR" w:hAnsiTheme="minorHAnsi"/>
          <w:color w:val="auto"/>
          <w:szCs w:val="24"/>
        </w:rPr>
        <w:t xml:space="preserve"> (5276) </w:t>
      </w:r>
      <w:r w:rsidR="00857950">
        <w:rPr>
          <w:rFonts w:asciiTheme="minorHAnsi" w:eastAsia="HiddenHorzOCR" w:hAnsiTheme="minorHAnsi"/>
          <w:color w:val="auto"/>
          <w:szCs w:val="24"/>
        </w:rPr>
        <w:t>us</w:t>
      </w:r>
      <w:r w:rsidR="00823860">
        <w:rPr>
          <w:rFonts w:asciiTheme="minorHAnsi" w:eastAsia="HiddenHorzOCR" w:hAnsiTheme="minorHAnsi"/>
          <w:color w:val="auto"/>
          <w:szCs w:val="24"/>
        </w:rPr>
        <w:t>ed</w:t>
      </w:r>
      <w:r w:rsidR="00857950">
        <w:rPr>
          <w:rFonts w:asciiTheme="minorHAnsi" w:eastAsia="HiddenHorzOCR" w:hAnsiTheme="minorHAnsi"/>
          <w:color w:val="auto"/>
          <w:szCs w:val="24"/>
        </w:rPr>
        <w:t xml:space="preserve"> by the VA.  </w:t>
      </w:r>
      <w:r w:rsidR="00823860" w:rsidRPr="009D2B06">
        <w:rPr>
          <w:rFonts w:asciiTheme="minorHAnsi" w:eastAsia="HiddenHorzOCR" w:hAnsiTheme="minorHAnsi"/>
          <w:color w:val="auto"/>
          <w:szCs w:val="24"/>
        </w:rPr>
        <w:t>CI had congenital flat feet that did not appear to cause any impairment</w:t>
      </w:r>
      <w:r w:rsidR="00966644">
        <w:rPr>
          <w:rFonts w:asciiTheme="minorHAnsi" w:eastAsia="HiddenHorzOCR" w:hAnsiTheme="minorHAnsi"/>
          <w:color w:val="auto"/>
          <w:szCs w:val="24"/>
        </w:rPr>
        <w:t xml:space="preserve">.  </w:t>
      </w:r>
      <w:r w:rsidR="00966644" w:rsidRPr="009D2B06">
        <w:rPr>
          <w:rFonts w:asciiTheme="minorHAnsi" w:eastAsia="HiddenHorzOCR" w:hAnsiTheme="minorHAnsi"/>
          <w:color w:val="auto"/>
          <w:szCs w:val="24"/>
        </w:rPr>
        <w:t>Although not documented in the entrance examination, there was no history of injury or disease process that would cause flat f</w:t>
      </w:r>
      <w:r w:rsidR="00966644">
        <w:rPr>
          <w:rFonts w:asciiTheme="minorHAnsi" w:eastAsia="HiddenHorzOCR" w:hAnsiTheme="minorHAnsi"/>
          <w:color w:val="auto"/>
          <w:szCs w:val="24"/>
        </w:rPr>
        <w:t xml:space="preserve">eet.  </w:t>
      </w:r>
      <w:r w:rsidR="00966644" w:rsidRPr="009D2B06">
        <w:rPr>
          <w:rFonts w:asciiTheme="minorHAnsi" w:eastAsia="HiddenHorzOCR" w:hAnsiTheme="minorHAnsi"/>
          <w:color w:val="auto"/>
          <w:szCs w:val="24"/>
        </w:rPr>
        <w:t xml:space="preserve">The flat feet were diagnosed by the MEB podiatrist as congenital and, following separation, a VA C&amp;P examiner (August 2010) also diagnosed the CI’s flat feet as congenital </w:t>
      </w:r>
      <w:proofErr w:type="spellStart"/>
      <w:r w:rsidR="00966644" w:rsidRPr="009D2B06">
        <w:rPr>
          <w:rFonts w:asciiTheme="minorHAnsi" w:eastAsia="HiddenHorzOCR" w:hAnsiTheme="minorHAnsi"/>
          <w:color w:val="auto"/>
          <w:szCs w:val="24"/>
        </w:rPr>
        <w:t>pes</w:t>
      </w:r>
      <w:proofErr w:type="spellEnd"/>
      <w:r w:rsidR="00966644" w:rsidRPr="009D2B06">
        <w:rPr>
          <w:rFonts w:asciiTheme="minorHAnsi" w:eastAsia="HiddenHorzOCR" w:hAnsiTheme="minorHAnsi"/>
          <w:color w:val="auto"/>
          <w:szCs w:val="24"/>
        </w:rPr>
        <w:t xml:space="preserve"> </w:t>
      </w:r>
      <w:proofErr w:type="spellStart"/>
      <w:r w:rsidR="00966644" w:rsidRPr="009D2B06">
        <w:rPr>
          <w:rFonts w:asciiTheme="minorHAnsi" w:eastAsia="HiddenHorzOCR" w:hAnsiTheme="minorHAnsi"/>
          <w:color w:val="auto"/>
          <w:szCs w:val="24"/>
        </w:rPr>
        <w:t>planus</w:t>
      </w:r>
      <w:proofErr w:type="spellEnd"/>
      <w:r w:rsidR="00966644" w:rsidRPr="009D2B06">
        <w:rPr>
          <w:rFonts w:asciiTheme="minorHAnsi" w:eastAsia="HiddenHorzOCR" w:hAnsiTheme="minorHAnsi"/>
          <w:color w:val="auto"/>
          <w:szCs w:val="24"/>
        </w:rPr>
        <w:t xml:space="preserve">.  IAW VASRD §4.57 (static foot deformities), congenital </w:t>
      </w:r>
      <w:proofErr w:type="spellStart"/>
      <w:r w:rsidR="00966644" w:rsidRPr="009D2B06">
        <w:rPr>
          <w:rFonts w:asciiTheme="minorHAnsi" w:eastAsia="HiddenHorzOCR" w:hAnsiTheme="minorHAnsi"/>
          <w:color w:val="auto"/>
          <w:szCs w:val="24"/>
        </w:rPr>
        <w:t>pes</w:t>
      </w:r>
      <w:proofErr w:type="spellEnd"/>
      <w:r w:rsidR="00966644" w:rsidRPr="009D2B06">
        <w:rPr>
          <w:rFonts w:asciiTheme="minorHAnsi" w:eastAsia="HiddenHorzOCR" w:hAnsiTheme="minorHAnsi"/>
          <w:color w:val="auto"/>
          <w:szCs w:val="24"/>
        </w:rPr>
        <w:t xml:space="preserve"> </w:t>
      </w:r>
      <w:proofErr w:type="spellStart"/>
      <w:r w:rsidR="00966644" w:rsidRPr="009D2B06">
        <w:rPr>
          <w:rFonts w:asciiTheme="minorHAnsi" w:eastAsia="HiddenHorzOCR" w:hAnsiTheme="minorHAnsi"/>
          <w:color w:val="auto"/>
          <w:szCs w:val="24"/>
        </w:rPr>
        <w:t>planus</w:t>
      </w:r>
      <w:proofErr w:type="spellEnd"/>
      <w:r w:rsidR="00966644" w:rsidRPr="009D2B06">
        <w:rPr>
          <w:rFonts w:asciiTheme="minorHAnsi" w:eastAsia="HiddenHorzOCR" w:hAnsiTheme="minorHAnsi"/>
          <w:color w:val="auto"/>
          <w:szCs w:val="24"/>
        </w:rPr>
        <w:t xml:space="preserve"> alone is not compensable.  The congenital condition, with depression of the arch, normally shows no evidence of abnormal callosities, areas of pressure, strain or demonstrable tenderness.  Although the congenital </w:t>
      </w:r>
      <w:proofErr w:type="spellStart"/>
      <w:r w:rsidR="00966644" w:rsidRPr="009D2B06">
        <w:rPr>
          <w:rFonts w:asciiTheme="minorHAnsi" w:eastAsia="HiddenHorzOCR" w:hAnsiTheme="minorHAnsi"/>
          <w:color w:val="auto"/>
          <w:szCs w:val="24"/>
        </w:rPr>
        <w:t>pes</w:t>
      </w:r>
      <w:proofErr w:type="spellEnd"/>
      <w:r w:rsidR="00966644" w:rsidRPr="009D2B06">
        <w:rPr>
          <w:rFonts w:asciiTheme="minorHAnsi" w:eastAsia="HiddenHorzOCR" w:hAnsiTheme="minorHAnsi"/>
          <w:color w:val="auto"/>
          <w:szCs w:val="24"/>
        </w:rPr>
        <w:t xml:space="preserve"> </w:t>
      </w:r>
      <w:proofErr w:type="spellStart"/>
      <w:r w:rsidR="00966644" w:rsidRPr="009D2B06">
        <w:rPr>
          <w:rFonts w:asciiTheme="minorHAnsi" w:eastAsia="HiddenHorzOCR" w:hAnsiTheme="minorHAnsi"/>
          <w:color w:val="auto"/>
          <w:szCs w:val="24"/>
        </w:rPr>
        <w:t>planus</w:t>
      </w:r>
      <w:proofErr w:type="spellEnd"/>
      <w:r w:rsidR="00966644" w:rsidRPr="009D2B06">
        <w:rPr>
          <w:rFonts w:asciiTheme="minorHAnsi" w:eastAsia="HiddenHorzOCR" w:hAnsiTheme="minorHAnsi"/>
          <w:color w:val="auto"/>
          <w:szCs w:val="24"/>
        </w:rPr>
        <w:t xml:space="preserve"> itself is not compensable, foot disabilities incurred in service associated with flat feet can be.  Service treatment records </w:t>
      </w:r>
      <w:r w:rsidR="00966644">
        <w:rPr>
          <w:rFonts w:asciiTheme="minorHAnsi" w:eastAsia="HiddenHorzOCR" w:hAnsiTheme="minorHAnsi"/>
          <w:color w:val="auto"/>
          <w:szCs w:val="24"/>
        </w:rPr>
        <w:t xml:space="preserve">prior to the </w:t>
      </w:r>
      <w:r w:rsidR="00D8162C">
        <w:rPr>
          <w:rFonts w:asciiTheme="minorHAnsi" w:eastAsia="HiddenHorzOCR" w:hAnsiTheme="minorHAnsi"/>
          <w:color w:val="auto"/>
          <w:szCs w:val="24"/>
        </w:rPr>
        <w:t>narrative summary (</w:t>
      </w:r>
      <w:r w:rsidR="00966644">
        <w:rPr>
          <w:rFonts w:asciiTheme="minorHAnsi" w:eastAsia="HiddenHorzOCR" w:hAnsiTheme="minorHAnsi"/>
          <w:color w:val="auto"/>
          <w:szCs w:val="24"/>
        </w:rPr>
        <w:t>NARSUM</w:t>
      </w:r>
      <w:r w:rsidR="00D8162C">
        <w:rPr>
          <w:rFonts w:asciiTheme="minorHAnsi" w:eastAsia="HiddenHorzOCR" w:hAnsiTheme="minorHAnsi"/>
          <w:color w:val="auto"/>
          <w:szCs w:val="24"/>
        </w:rPr>
        <w:t>)</w:t>
      </w:r>
      <w:r w:rsidR="00966644">
        <w:rPr>
          <w:rFonts w:asciiTheme="minorHAnsi" w:eastAsia="HiddenHorzOCR" w:hAnsiTheme="minorHAnsi"/>
          <w:color w:val="auto"/>
          <w:szCs w:val="24"/>
        </w:rPr>
        <w:t xml:space="preserve"> </w:t>
      </w:r>
      <w:r w:rsidR="00966644" w:rsidRPr="009D2B06">
        <w:rPr>
          <w:rFonts w:asciiTheme="minorHAnsi" w:eastAsia="HiddenHorzOCR" w:hAnsiTheme="minorHAnsi"/>
          <w:color w:val="auto"/>
          <w:szCs w:val="24"/>
        </w:rPr>
        <w:t>document toe pain associated with hammer toes and residuals of hammer toe surgery</w:t>
      </w:r>
      <w:r w:rsidR="00966644">
        <w:rPr>
          <w:rFonts w:asciiTheme="minorHAnsi" w:eastAsia="HiddenHorzOCR" w:hAnsiTheme="minorHAnsi"/>
          <w:color w:val="auto"/>
          <w:szCs w:val="24"/>
        </w:rPr>
        <w:t xml:space="preserve">, not </w:t>
      </w:r>
      <w:r w:rsidR="00966644" w:rsidRPr="009D2B06">
        <w:rPr>
          <w:rFonts w:asciiTheme="minorHAnsi" w:eastAsia="HiddenHorzOCR" w:hAnsiTheme="minorHAnsi"/>
          <w:color w:val="auto"/>
          <w:szCs w:val="24"/>
        </w:rPr>
        <w:t xml:space="preserve">pain due to flat feet or treatment for complaints related to flat feet.  </w:t>
      </w:r>
      <w:r w:rsidR="00611983" w:rsidRPr="009D2B06">
        <w:rPr>
          <w:rFonts w:asciiTheme="minorHAnsi" w:eastAsia="HiddenHorzOCR" w:hAnsiTheme="minorHAnsi"/>
          <w:color w:val="auto"/>
          <w:szCs w:val="24"/>
        </w:rPr>
        <w:t>A</w:t>
      </w:r>
      <w:r w:rsidR="00E43933" w:rsidRPr="009D2B06">
        <w:rPr>
          <w:rFonts w:asciiTheme="minorHAnsi" w:eastAsia="HiddenHorzOCR" w:hAnsiTheme="minorHAnsi"/>
          <w:color w:val="auto"/>
          <w:szCs w:val="24"/>
        </w:rPr>
        <w:t xml:space="preserve">t the time of an April 1, 2005 podiatry appointment, the CI completed a pain diagram indicating only toe pain. </w:t>
      </w:r>
      <w:r w:rsidR="00E169FA" w:rsidRPr="009D2B06">
        <w:rPr>
          <w:rFonts w:asciiTheme="minorHAnsi" w:eastAsia="HiddenHorzOCR" w:hAnsiTheme="minorHAnsi"/>
          <w:color w:val="auto"/>
          <w:szCs w:val="24"/>
        </w:rPr>
        <w:t xml:space="preserve"> </w:t>
      </w:r>
      <w:r w:rsidR="00E43933" w:rsidRPr="009D2B06">
        <w:rPr>
          <w:rFonts w:asciiTheme="minorHAnsi" w:eastAsia="HiddenHorzOCR" w:hAnsiTheme="minorHAnsi"/>
          <w:color w:val="auto"/>
          <w:szCs w:val="24"/>
        </w:rPr>
        <w:t>There was no report or indication of plantar pain</w:t>
      </w:r>
      <w:r w:rsidR="00E169FA" w:rsidRPr="009D2B06">
        <w:rPr>
          <w:rFonts w:asciiTheme="minorHAnsi" w:eastAsia="HiddenHorzOCR" w:hAnsiTheme="minorHAnsi"/>
          <w:color w:val="auto"/>
          <w:szCs w:val="24"/>
        </w:rPr>
        <w:t xml:space="preserve">. </w:t>
      </w:r>
      <w:r w:rsidR="00AC7F01" w:rsidRPr="009D2B06">
        <w:rPr>
          <w:rFonts w:asciiTheme="minorHAnsi" w:eastAsia="HiddenHorzOCR" w:hAnsiTheme="minorHAnsi"/>
          <w:color w:val="auto"/>
          <w:szCs w:val="24"/>
        </w:rPr>
        <w:t xml:space="preserve"> </w:t>
      </w:r>
      <w:r w:rsidR="00E169FA" w:rsidRPr="009D2B06">
        <w:rPr>
          <w:rFonts w:asciiTheme="minorHAnsi" w:eastAsia="HiddenHorzOCR" w:hAnsiTheme="minorHAnsi"/>
          <w:color w:val="auto"/>
          <w:szCs w:val="24"/>
        </w:rPr>
        <w:t>On</w:t>
      </w:r>
      <w:r w:rsidR="006A7FD1" w:rsidRPr="009D2B06">
        <w:rPr>
          <w:rFonts w:asciiTheme="minorHAnsi" w:eastAsia="HiddenHorzOCR" w:hAnsiTheme="minorHAnsi"/>
          <w:color w:val="auto"/>
          <w:szCs w:val="24"/>
        </w:rPr>
        <w:t xml:space="preserve"> examination</w:t>
      </w:r>
      <w:r w:rsidR="00AA0886">
        <w:rPr>
          <w:rFonts w:asciiTheme="minorHAnsi" w:eastAsia="HiddenHorzOCR" w:hAnsiTheme="minorHAnsi"/>
          <w:color w:val="auto"/>
          <w:szCs w:val="24"/>
        </w:rPr>
        <w:t>,</w:t>
      </w:r>
      <w:r w:rsidR="006A7FD1" w:rsidRPr="009D2B06">
        <w:rPr>
          <w:rFonts w:asciiTheme="minorHAnsi" w:eastAsia="HiddenHorzOCR" w:hAnsiTheme="minorHAnsi"/>
          <w:color w:val="auto"/>
          <w:szCs w:val="24"/>
        </w:rPr>
        <w:t xml:space="preserve"> </w:t>
      </w:r>
      <w:r w:rsidR="00E43933" w:rsidRPr="009D2B06">
        <w:rPr>
          <w:rFonts w:asciiTheme="minorHAnsi" w:eastAsia="HiddenHorzOCR" w:hAnsiTheme="minorHAnsi"/>
          <w:color w:val="auto"/>
          <w:szCs w:val="24"/>
        </w:rPr>
        <w:t xml:space="preserve">there were no </w:t>
      </w:r>
      <w:proofErr w:type="spellStart"/>
      <w:r w:rsidR="00E43933" w:rsidRPr="009D2B06">
        <w:rPr>
          <w:rFonts w:asciiTheme="minorHAnsi" w:eastAsia="HiddenHorzOCR" w:hAnsiTheme="minorHAnsi"/>
          <w:color w:val="auto"/>
          <w:szCs w:val="24"/>
        </w:rPr>
        <w:t>callouses</w:t>
      </w:r>
      <w:proofErr w:type="spellEnd"/>
      <w:r w:rsidR="00E43933" w:rsidRPr="009D2B06">
        <w:rPr>
          <w:rFonts w:asciiTheme="minorHAnsi" w:eastAsia="HiddenHorzOCR" w:hAnsiTheme="minorHAnsi"/>
          <w:color w:val="auto"/>
          <w:szCs w:val="24"/>
        </w:rPr>
        <w:t xml:space="preserve"> </w:t>
      </w:r>
      <w:r w:rsidR="00884DA8" w:rsidRPr="009D2B06">
        <w:rPr>
          <w:rFonts w:asciiTheme="minorHAnsi" w:eastAsia="HiddenHorzOCR" w:hAnsiTheme="minorHAnsi"/>
          <w:color w:val="auto"/>
          <w:szCs w:val="24"/>
        </w:rPr>
        <w:t>or blisters indicative of abnormal weight bearing due to flat feet, and there was no tenderness of the plantar fascia of either foot.</w:t>
      </w:r>
      <w:r w:rsidR="0033112C" w:rsidRPr="009D2B06">
        <w:rPr>
          <w:rFonts w:asciiTheme="minorHAnsi" w:eastAsia="HiddenHorzOCR" w:hAnsiTheme="minorHAnsi"/>
          <w:color w:val="auto"/>
          <w:szCs w:val="24"/>
        </w:rPr>
        <w:t xml:space="preserve"> </w:t>
      </w:r>
      <w:r w:rsidR="00566782" w:rsidRPr="009D2B06">
        <w:rPr>
          <w:rFonts w:asciiTheme="minorHAnsi" w:eastAsia="HiddenHorzOCR" w:hAnsiTheme="minorHAnsi"/>
          <w:color w:val="auto"/>
          <w:szCs w:val="24"/>
        </w:rPr>
        <w:t xml:space="preserve"> </w:t>
      </w:r>
      <w:r w:rsidR="00966644">
        <w:rPr>
          <w:rFonts w:asciiTheme="minorHAnsi" w:eastAsia="HiddenHorzOCR" w:hAnsiTheme="minorHAnsi"/>
          <w:color w:val="auto"/>
          <w:szCs w:val="24"/>
        </w:rPr>
        <w:t xml:space="preserve">The NARSUM </w:t>
      </w:r>
      <w:r w:rsidR="00AA0886">
        <w:rPr>
          <w:rFonts w:asciiTheme="minorHAnsi" w:eastAsia="HiddenHorzOCR" w:hAnsiTheme="minorHAnsi"/>
          <w:color w:val="auto"/>
          <w:szCs w:val="24"/>
        </w:rPr>
        <w:t xml:space="preserve">documents the </w:t>
      </w:r>
      <w:r w:rsidR="00966644">
        <w:rPr>
          <w:rFonts w:asciiTheme="minorHAnsi" w:eastAsia="HiddenHorzOCR" w:hAnsiTheme="minorHAnsi"/>
          <w:color w:val="auto"/>
          <w:szCs w:val="24"/>
        </w:rPr>
        <w:t>CI</w:t>
      </w:r>
      <w:r w:rsidR="00AA0886">
        <w:rPr>
          <w:rFonts w:asciiTheme="minorHAnsi" w:eastAsia="HiddenHorzOCR" w:hAnsiTheme="minorHAnsi"/>
          <w:color w:val="auto"/>
          <w:szCs w:val="24"/>
        </w:rPr>
        <w:t>’s</w:t>
      </w:r>
      <w:r w:rsidR="00966644">
        <w:rPr>
          <w:rFonts w:asciiTheme="minorHAnsi" w:eastAsia="HiddenHorzOCR" w:hAnsiTheme="minorHAnsi"/>
          <w:color w:val="auto"/>
          <w:szCs w:val="24"/>
        </w:rPr>
        <w:t xml:space="preserve"> report of a dull numbing sensation of the soles of the</w:t>
      </w:r>
      <w:r w:rsidR="00AA0886">
        <w:rPr>
          <w:rFonts w:asciiTheme="minorHAnsi" w:eastAsia="HiddenHorzOCR" w:hAnsiTheme="minorHAnsi"/>
          <w:color w:val="auto"/>
          <w:szCs w:val="24"/>
        </w:rPr>
        <w:t xml:space="preserve"> feet with high impact activity;</w:t>
      </w:r>
      <w:r w:rsidR="00966644">
        <w:rPr>
          <w:rFonts w:asciiTheme="minorHAnsi" w:eastAsia="HiddenHorzOCR" w:hAnsiTheme="minorHAnsi"/>
          <w:color w:val="auto"/>
          <w:szCs w:val="24"/>
        </w:rPr>
        <w:t xml:space="preserve"> however</w:t>
      </w:r>
      <w:r w:rsidR="00AA0886">
        <w:rPr>
          <w:rFonts w:asciiTheme="minorHAnsi" w:eastAsia="HiddenHorzOCR" w:hAnsiTheme="minorHAnsi"/>
          <w:color w:val="auto"/>
          <w:szCs w:val="24"/>
        </w:rPr>
        <w:t>,</w:t>
      </w:r>
      <w:r w:rsidR="00966644">
        <w:rPr>
          <w:rFonts w:asciiTheme="minorHAnsi" w:eastAsia="HiddenHorzOCR" w:hAnsiTheme="minorHAnsi"/>
          <w:color w:val="auto"/>
          <w:szCs w:val="24"/>
        </w:rPr>
        <w:t xml:space="preserve"> the </w:t>
      </w:r>
      <w:r w:rsidR="00566782" w:rsidRPr="009D2B06">
        <w:rPr>
          <w:rFonts w:asciiTheme="minorHAnsi" w:eastAsia="HiddenHorzOCR" w:hAnsiTheme="minorHAnsi"/>
          <w:color w:val="auto"/>
          <w:szCs w:val="24"/>
        </w:rPr>
        <w:t xml:space="preserve">NARSUM diagnosis did not include plantar fasciitis, and examination findings did not support such a diagnosis.  </w:t>
      </w:r>
      <w:r w:rsidR="00884DA8" w:rsidRPr="009D2B06">
        <w:rPr>
          <w:rFonts w:asciiTheme="minorHAnsi" w:eastAsia="HiddenHorzOCR" w:hAnsiTheme="minorHAnsi"/>
          <w:color w:val="auto"/>
          <w:szCs w:val="24"/>
        </w:rPr>
        <w:t>Although the C&amp;P examiner (</w:t>
      </w:r>
      <w:r w:rsidR="006A7FD1" w:rsidRPr="009D2B06">
        <w:rPr>
          <w:rFonts w:asciiTheme="minorHAnsi" w:eastAsia="HiddenHorzOCR" w:hAnsiTheme="minorHAnsi"/>
          <w:color w:val="auto"/>
          <w:szCs w:val="24"/>
        </w:rPr>
        <w:t>January 3, 2007</w:t>
      </w:r>
      <w:r w:rsidR="00884DA8" w:rsidRPr="009D2B06">
        <w:rPr>
          <w:rFonts w:asciiTheme="minorHAnsi" w:eastAsia="HiddenHorzOCR" w:hAnsiTheme="minorHAnsi"/>
          <w:color w:val="auto"/>
          <w:szCs w:val="24"/>
        </w:rPr>
        <w:t>) diagnosed bilateral plantar fasciitis, this was based on</w:t>
      </w:r>
      <w:r w:rsidR="003C43CD" w:rsidRPr="009D2B06">
        <w:rPr>
          <w:rFonts w:asciiTheme="minorHAnsi" w:eastAsia="HiddenHorzOCR" w:hAnsiTheme="minorHAnsi"/>
          <w:color w:val="auto"/>
          <w:szCs w:val="24"/>
        </w:rPr>
        <w:t xml:space="preserve"> “slight tenderness of palpation of both soles</w:t>
      </w:r>
      <w:r w:rsidR="00AA0886">
        <w:rPr>
          <w:rFonts w:asciiTheme="minorHAnsi" w:eastAsia="HiddenHorzOCR" w:hAnsiTheme="minorHAnsi"/>
          <w:color w:val="auto"/>
          <w:szCs w:val="24"/>
        </w:rPr>
        <w:t>.</w:t>
      </w:r>
      <w:r w:rsidR="003C43CD" w:rsidRPr="009D2B06">
        <w:rPr>
          <w:rFonts w:asciiTheme="minorHAnsi" w:eastAsia="HiddenHorzOCR" w:hAnsiTheme="minorHAnsi"/>
          <w:color w:val="auto"/>
          <w:szCs w:val="24"/>
        </w:rPr>
        <w:t xml:space="preserve">” </w:t>
      </w:r>
      <w:r w:rsidR="006A7FD1" w:rsidRPr="009D2B06">
        <w:rPr>
          <w:rFonts w:asciiTheme="minorHAnsi" w:eastAsia="HiddenHorzOCR" w:hAnsiTheme="minorHAnsi"/>
          <w:color w:val="auto"/>
          <w:szCs w:val="24"/>
        </w:rPr>
        <w:t xml:space="preserve"> </w:t>
      </w:r>
      <w:r w:rsidR="003C43CD" w:rsidRPr="009D2B06">
        <w:rPr>
          <w:rFonts w:asciiTheme="minorHAnsi" w:eastAsia="HiddenHorzOCR" w:hAnsiTheme="minorHAnsi"/>
          <w:color w:val="auto"/>
          <w:szCs w:val="24"/>
        </w:rPr>
        <w:t xml:space="preserve">However, there was no contraction or shortening of the plantar fascia, or pain with </w:t>
      </w:r>
      <w:proofErr w:type="spellStart"/>
      <w:r w:rsidR="003C43CD" w:rsidRPr="009D2B06">
        <w:rPr>
          <w:rFonts w:asciiTheme="minorHAnsi" w:eastAsia="HiddenHorzOCR" w:hAnsiTheme="minorHAnsi"/>
          <w:color w:val="auto"/>
          <w:szCs w:val="24"/>
        </w:rPr>
        <w:t>dorsiflexion</w:t>
      </w:r>
      <w:proofErr w:type="spellEnd"/>
      <w:r w:rsidR="003C43CD" w:rsidRPr="009D2B06">
        <w:rPr>
          <w:rFonts w:asciiTheme="minorHAnsi" w:eastAsia="HiddenHorzOCR" w:hAnsiTheme="minorHAnsi"/>
          <w:color w:val="auto"/>
          <w:szCs w:val="24"/>
        </w:rPr>
        <w:t xml:space="preserve"> of the toes to support the diagnosis.  Further, the gait was normal and there was no evidence of abnormal weight bearing</w:t>
      </w:r>
      <w:r w:rsidR="00857950" w:rsidRPr="009D2B06">
        <w:rPr>
          <w:rFonts w:asciiTheme="minorHAnsi" w:eastAsia="HiddenHorzOCR" w:hAnsiTheme="minorHAnsi"/>
          <w:color w:val="auto"/>
          <w:szCs w:val="24"/>
        </w:rPr>
        <w:t>.</w:t>
      </w:r>
      <w:r w:rsidR="00966644">
        <w:rPr>
          <w:rFonts w:asciiTheme="minorHAnsi" w:eastAsia="HiddenHorzOCR" w:hAnsiTheme="minorHAnsi"/>
          <w:color w:val="auto"/>
          <w:szCs w:val="24"/>
        </w:rPr>
        <w:t xml:space="preserve">  </w:t>
      </w:r>
    </w:p>
    <w:p w:rsidR="004E6504" w:rsidRDefault="004E6504" w:rsidP="00CF3633">
      <w:pPr>
        <w:spacing w:line="240" w:lineRule="exact"/>
        <w:jc w:val="both"/>
        <w:rPr>
          <w:rFonts w:asciiTheme="minorHAnsi" w:eastAsia="HiddenHorzOCR" w:hAnsiTheme="minorHAnsi"/>
          <w:color w:val="auto"/>
          <w:szCs w:val="24"/>
        </w:rPr>
      </w:pPr>
    </w:p>
    <w:p w:rsidR="00886402" w:rsidRDefault="004E6504" w:rsidP="00CF3633">
      <w:pPr>
        <w:spacing w:line="240" w:lineRule="exact"/>
        <w:jc w:val="both"/>
        <w:rPr>
          <w:rFonts w:asciiTheme="minorHAnsi" w:eastAsia="HiddenHorzOCR" w:hAnsiTheme="minorHAnsi"/>
          <w:color w:val="auto"/>
          <w:szCs w:val="24"/>
        </w:rPr>
      </w:pPr>
      <w:r>
        <w:rPr>
          <w:rFonts w:asciiTheme="minorHAnsi" w:eastAsia="HiddenHorzOCR" w:hAnsiTheme="minorHAnsi"/>
          <w:color w:val="auto"/>
          <w:szCs w:val="24"/>
        </w:rPr>
        <w:t>Th</w:t>
      </w:r>
      <w:r w:rsidR="003C43CD">
        <w:rPr>
          <w:rFonts w:asciiTheme="minorHAnsi" w:eastAsia="HiddenHorzOCR" w:hAnsiTheme="minorHAnsi"/>
          <w:color w:val="auto"/>
          <w:szCs w:val="24"/>
        </w:rPr>
        <w:t>e Board agreed</w:t>
      </w:r>
      <w:r w:rsidR="00AA0886">
        <w:rPr>
          <w:rFonts w:asciiTheme="minorHAnsi" w:eastAsia="HiddenHorzOCR" w:hAnsiTheme="minorHAnsi"/>
          <w:color w:val="auto"/>
          <w:szCs w:val="24"/>
        </w:rPr>
        <w:t xml:space="preserve"> the</w:t>
      </w:r>
      <w:r w:rsidR="003C43CD">
        <w:rPr>
          <w:rFonts w:asciiTheme="minorHAnsi" w:eastAsia="HiddenHorzOCR" w:hAnsiTheme="minorHAnsi"/>
          <w:color w:val="auto"/>
          <w:szCs w:val="24"/>
        </w:rPr>
        <w:t xml:space="preserve"> </w:t>
      </w:r>
      <w:r w:rsidR="00AC7F01">
        <w:rPr>
          <w:rFonts w:asciiTheme="minorHAnsi" w:eastAsia="HiddenHorzOCR" w:hAnsiTheme="minorHAnsi"/>
          <w:color w:val="auto"/>
          <w:szCs w:val="24"/>
        </w:rPr>
        <w:t xml:space="preserve">evidence was clear that the CI’s flat foot condition was not acquired, and that the service medical records contained no </w:t>
      </w:r>
      <w:r w:rsidR="00823860">
        <w:rPr>
          <w:rFonts w:asciiTheme="minorHAnsi" w:eastAsia="HiddenHorzOCR" w:hAnsiTheme="minorHAnsi"/>
          <w:color w:val="auto"/>
          <w:szCs w:val="24"/>
        </w:rPr>
        <w:t xml:space="preserve">clear </w:t>
      </w:r>
      <w:r w:rsidR="00AC7F01">
        <w:rPr>
          <w:rFonts w:asciiTheme="minorHAnsi" w:eastAsia="HiddenHorzOCR" w:hAnsiTheme="minorHAnsi"/>
          <w:color w:val="auto"/>
          <w:szCs w:val="24"/>
        </w:rPr>
        <w:t xml:space="preserve">evidence to support a diagnosis of plantar fasciitis or other manifestation </w:t>
      </w:r>
      <w:r w:rsidR="00823860">
        <w:rPr>
          <w:rFonts w:asciiTheme="minorHAnsi" w:eastAsia="HiddenHorzOCR" w:hAnsiTheme="minorHAnsi"/>
          <w:color w:val="auto"/>
          <w:szCs w:val="24"/>
        </w:rPr>
        <w:t xml:space="preserve">overshadowing the hammer toe condition </w:t>
      </w:r>
      <w:r w:rsidR="00AC7F01">
        <w:rPr>
          <w:rFonts w:asciiTheme="minorHAnsi" w:eastAsia="HiddenHorzOCR" w:hAnsiTheme="minorHAnsi"/>
          <w:color w:val="auto"/>
          <w:szCs w:val="24"/>
        </w:rPr>
        <w:t xml:space="preserve">that would warrant rating using the code for acquired flat feet.  </w:t>
      </w:r>
      <w:r w:rsidR="001F4231">
        <w:rPr>
          <w:rFonts w:asciiTheme="minorHAnsi" w:eastAsia="HiddenHorzOCR" w:hAnsiTheme="minorHAnsi"/>
          <w:color w:val="auto"/>
          <w:szCs w:val="24"/>
        </w:rPr>
        <w:t xml:space="preserve">The Board also considered rating using the code for other foot injuries (5284), but agreed the severity of symptoms did not more nearly approach </w:t>
      </w:r>
      <w:r w:rsidR="001F4231">
        <w:rPr>
          <w:rFonts w:asciiTheme="minorHAnsi" w:eastAsia="HiddenHorzOCR" w:hAnsiTheme="minorHAnsi"/>
          <w:color w:val="auto"/>
          <w:szCs w:val="24"/>
        </w:rPr>
        <w:lastRenderedPageBreak/>
        <w:t>the min</w:t>
      </w:r>
      <w:r w:rsidR="006A7FD1">
        <w:rPr>
          <w:rFonts w:asciiTheme="minorHAnsi" w:eastAsia="HiddenHorzOCR" w:hAnsiTheme="minorHAnsi"/>
          <w:color w:val="auto"/>
          <w:szCs w:val="24"/>
        </w:rPr>
        <w:t>imum rating of moderate for 10%</w:t>
      </w:r>
      <w:r w:rsidR="00670864">
        <w:rPr>
          <w:rFonts w:asciiTheme="minorHAnsi" w:eastAsia="HiddenHorzOCR" w:hAnsiTheme="minorHAnsi"/>
          <w:color w:val="auto"/>
          <w:szCs w:val="24"/>
        </w:rPr>
        <w:t xml:space="preserve"> in view of records reflecting</w:t>
      </w:r>
      <w:r w:rsidR="006A7FD1">
        <w:rPr>
          <w:rFonts w:asciiTheme="minorHAnsi" w:eastAsia="HiddenHorzOCR" w:hAnsiTheme="minorHAnsi"/>
          <w:color w:val="auto"/>
          <w:szCs w:val="24"/>
        </w:rPr>
        <w:t xml:space="preserve"> </w:t>
      </w:r>
      <w:r w:rsidR="00670864">
        <w:rPr>
          <w:rFonts w:asciiTheme="minorHAnsi" w:eastAsia="HiddenHorzOCR" w:hAnsiTheme="minorHAnsi"/>
          <w:color w:val="auto"/>
          <w:szCs w:val="24"/>
        </w:rPr>
        <w:t xml:space="preserve">the CI was playing football with his son just prior to the second surgery </w:t>
      </w:r>
      <w:r w:rsidR="00886402">
        <w:rPr>
          <w:rFonts w:asciiTheme="minorHAnsi" w:eastAsia="HiddenHorzOCR" w:hAnsiTheme="minorHAnsi"/>
          <w:color w:val="auto"/>
          <w:szCs w:val="24"/>
        </w:rPr>
        <w:t xml:space="preserve">combined </w:t>
      </w:r>
      <w:r w:rsidR="00670864">
        <w:rPr>
          <w:rFonts w:asciiTheme="minorHAnsi" w:eastAsia="HiddenHorzOCR" w:hAnsiTheme="minorHAnsi"/>
          <w:color w:val="auto"/>
          <w:szCs w:val="24"/>
        </w:rPr>
        <w:t xml:space="preserve">with evidence </w:t>
      </w:r>
      <w:r w:rsidR="00886402">
        <w:rPr>
          <w:rFonts w:asciiTheme="minorHAnsi" w:eastAsia="HiddenHorzOCR" w:hAnsiTheme="minorHAnsi"/>
          <w:color w:val="auto"/>
          <w:szCs w:val="24"/>
        </w:rPr>
        <w:t xml:space="preserve">that the </w:t>
      </w:r>
      <w:r w:rsidR="00670864">
        <w:rPr>
          <w:rFonts w:asciiTheme="minorHAnsi" w:eastAsia="HiddenHorzOCR" w:hAnsiTheme="minorHAnsi"/>
          <w:color w:val="auto"/>
          <w:szCs w:val="24"/>
        </w:rPr>
        <w:t xml:space="preserve">outcome of the second surgery </w:t>
      </w:r>
      <w:r w:rsidR="00886402">
        <w:rPr>
          <w:rFonts w:asciiTheme="minorHAnsi" w:eastAsia="HiddenHorzOCR" w:hAnsiTheme="minorHAnsi"/>
          <w:color w:val="auto"/>
          <w:szCs w:val="24"/>
        </w:rPr>
        <w:t xml:space="preserve">did not result in </w:t>
      </w:r>
      <w:r w:rsidR="00670864">
        <w:rPr>
          <w:rFonts w:asciiTheme="minorHAnsi" w:eastAsia="HiddenHorzOCR" w:hAnsiTheme="minorHAnsi"/>
          <w:color w:val="auto"/>
          <w:szCs w:val="24"/>
        </w:rPr>
        <w:t>worse</w:t>
      </w:r>
      <w:r w:rsidR="00886402">
        <w:rPr>
          <w:rFonts w:asciiTheme="minorHAnsi" w:eastAsia="HiddenHorzOCR" w:hAnsiTheme="minorHAnsi"/>
          <w:color w:val="auto"/>
          <w:szCs w:val="24"/>
        </w:rPr>
        <w:t xml:space="preserve">ned functioning </w:t>
      </w:r>
      <w:r w:rsidR="00670864">
        <w:rPr>
          <w:rFonts w:asciiTheme="minorHAnsi" w:eastAsia="HiddenHorzOCR" w:hAnsiTheme="minorHAnsi"/>
          <w:color w:val="auto"/>
          <w:szCs w:val="24"/>
        </w:rPr>
        <w:t>than the pre-surgery functional status.</w:t>
      </w:r>
      <w:r w:rsidR="004F4FB8">
        <w:rPr>
          <w:rFonts w:asciiTheme="minorHAnsi" w:eastAsia="HiddenHorzOCR" w:hAnsiTheme="minorHAnsi"/>
          <w:color w:val="auto"/>
          <w:szCs w:val="24"/>
        </w:rPr>
        <w:t xml:space="preserve">  </w:t>
      </w:r>
      <w:r w:rsidR="00CF3633" w:rsidRPr="00CF3633">
        <w:rPr>
          <w:rFonts w:asciiTheme="minorHAnsi" w:eastAsia="HiddenHorzOCR" w:hAnsiTheme="minorHAnsi"/>
          <w:color w:val="auto"/>
          <w:szCs w:val="24"/>
        </w:rPr>
        <w:t xml:space="preserve">After due deliberation considering all of the evidence and mindful of VASRD §4.3 (reasonable doubt), the Board concluded that there was insufficient cause to recommend a change in the PEB adjudication for the </w:t>
      </w:r>
      <w:r w:rsidR="00CF3633">
        <w:rPr>
          <w:rFonts w:asciiTheme="minorHAnsi" w:eastAsia="HiddenHorzOCR" w:hAnsiTheme="minorHAnsi"/>
          <w:color w:val="auto"/>
          <w:szCs w:val="24"/>
        </w:rPr>
        <w:t xml:space="preserve">bilateral hammer toe </w:t>
      </w:r>
      <w:r w:rsidR="00CF3633" w:rsidRPr="00CF3633">
        <w:rPr>
          <w:rFonts w:asciiTheme="minorHAnsi" w:eastAsia="HiddenHorzOCR" w:hAnsiTheme="minorHAnsi"/>
          <w:color w:val="auto"/>
          <w:szCs w:val="24"/>
        </w:rPr>
        <w:t>condition.</w:t>
      </w:r>
    </w:p>
    <w:p w:rsidR="00926F7E" w:rsidRPr="00EF1C53" w:rsidRDefault="003C43CD" w:rsidP="00CF3633">
      <w:pPr>
        <w:spacing w:line="240" w:lineRule="exact"/>
        <w:jc w:val="both"/>
        <w:rPr>
          <w:rFonts w:asciiTheme="minorHAnsi" w:eastAsia="HiddenHorzOCR" w:hAnsiTheme="minorHAnsi"/>
          <w:color w:val="auto"/>
          <w:szCs w:val="24"/>
        </w:rPr>
      </w:pPr>
      <w:r>
        <w:rPr>
          <w:rFonts w:asciiTheme="minorHAnsi" w:eastAsia="HiddenHorzOCR" w:hAnsiTheme="minorHAnsi"/>
          <w:color w:val="auto"/>
          <w:szCs w:val="24"/>
        </w:rPr>
        <w:t xml:space="preserve"> </w:t>
      </w:r>
    </w:p>
    <w:p w:rsidR="004E6504" w:rsidRDefault="00EF1C53" w:rsidP="00F51AA4">
      <w:pPr>
        <w:spacing w:line="240" w:lineRule="exact"/>
        <w:jc w:val="both"/>
        <w:rPr>
          <w:rFonts w:asciiTheme="minorHAnsi" w:hAnsiTheme="minorHAnsi"/>
          <w:color w:val="auto"/>
          <w:szCs w:val="24"/>
        </w:rPr>
      </w:pPr>
      <w:proofErr w:type="gramStart"/>
      <w:r w:rsidRPr="00EF1C53">
        <w:rPr>
          <w:rFonts w:asciiTheme="minorHAnsi" w:eastAsia="HiddenHorzOCR" w:hAnsiTheme="minorHAnsi"/>
          <w:color w:val="auto"/>
          <w:szCs w:val="24"/>
          <w:u w:val="single"/>
        </w:rPr>
        <w:t>Other Contended Conditions</w:t>
      </w:r>
      <w:r w:rsidR="00AA0886">
        <w:rPr>
          <w:rFonts w:asciiTheme="minorHAnsi" w:eastAsia="HiddenHorzOCR" w:hAnsiTheme="minorHAnsi"/>
          <w:color w:val="auto"/>
          <w:szCs w:val="24"/>
          <w:u w:val="single"/>
        </w:rPr>
        <w:t>.</w:t>
      </w:r>
      <w:proofErr w:type="gramEnd"/>
      <w:r w:rsidR="00AD2779">
        <w:rPr>
          <w:rFonts w:asciiTheme="minorHAnsi" w:eastAsia="HiddenHorzOCR" w:hAnsiTheme="minorHAnsi"/>
          <w:color w:val="auto"/>
          <w:szCs w:val="24"/>
        </w:rPr>
        <w:t xml:space="preserve">  </w:t>
      </w:r>
      <w:r w:rsidR="00D47644" w:rsidRPr="00926F7E">
        <w:rPr>
          <w:rFonts w:asciiTheme="minorHAnsi" w:hAnsiTheme="minorHAnsi"/>
          <w:color w:val="auto"/>
          <w:szCs w:val="24"/>
        </w:rPr>
        <w:t xml:space="preserve">The CI’s application asserts that compensable ratings should be considered for </w:t>
      </w:r>
      <w:r w:rsidR="007E243B" w:rsidRPr="00926F7E">
        <w:rPr>
          <w:rFonts w:asciiTheme="minorHAnsi" w:hAnsiTheme="minorHAnsi"/>
          <w:color w:val="auto"/>
          <w:szCs w:val="24"/>
        </w:rPr>
        <w:t>back pain</w:t>
      </w:r>
      <w:r w:rsidR="007E243B">
        <w:rPr>
          <w:rFonts w:asciiTheme="minorHAnsi" w:hAnsiTheme="minorHAnsi"/>
          <w:color w:val="auto"/>
          <w:szCs w:val="24"/>
        </w:rPr>
        <w:t xml:space="preserve"> with </w:t>
      </w:r>
      <w:r w:rsidR="007E243B" w:rsidRPr="00926F7E">
        <w:rPr>
          <w:rFonts w:asciiTheme="minorHAnsi" w:hAnsiTheme="minorHAnsi"/>
          <w:color w:val="auto"/>
          <w:szCs w:val="24"/>
        </w:rPr>
        <w:t>degenerative disc disease,</w:t>
      </w:r>
      <w:r w:rsidR="007E243B">
        <w:rPr>
          <w:rFonts w:asciiTheme="minorHAnsi" w:hAnsiTheme="minorHAnsi"/>
          <w:color w:val="auto"/>
          <w:szCs w:val="24"/>
        </w:rPr>
        <w:t xml:space="preserve"> bilateral s</w:t>
      </w:r>
      <w:r w:rsidR="007E243B" w:rsidRPr="00926F7E">
        <w:rPr>
          <w:rFonts w:asciiTheme="minorHAnsi" w:hAnsiTheme="minorHAnsi"/>
          <w:color w:val="auto"/>
          <w:szCs w:val="24"/>
        </w:rPr>
        <w:t>houlder strain</w:t>
      </w:r>
      <w:r w:rsidR="007E243B">
        <w:rPr>
          <w:rFonts w:asciiTheme="minorHAnsi" w:hAnsiTheme="minorHAnsi"/>
          <w:color w:val="auto"/>
          <w:szCs w:val="24"/>
        </w:rPr>
        <w:t>,</w:t>
      </w:r>
      <w:r w:rsidR="00E936AE">
        <w:rPr>
          <w:rFonts w:asciiTheme="minorHAnsi" w:hAnsiTheme="minorHAnsi"/>
          <w:color w:val="auto"/>
          <w:szCs w:val="24"/>
        </w:rPr>
        <w:t xml:space="preserve"> </w:t>
      </w:r>
      <w:r w:rsidR="00E936AE" w:rsidRPr="00926F7E">
        <w:rPr>
          <w:rFonts w:asciiTheme="minorHAnsi" w:hAnsiTheme="minorHAnsi"/>
          <w:color w:val="auto"/>
          <w:szCs w:val="24"/>
        </w:rPr>
        <w:t xml:space="preserve">sleep </w:t>
      </w:r>
      <w:r w:rsidR="00E936AE">
        <w:rPr>
          <w:rFonts w:asciiTheme="minorHAnsi" w:hAnsiTheme="minorHAnsi"/>
          <w:color w:val="auto"/>
          <w:szCs w:val="24"/>
        </w:rPr>
        <w:t>disorder</w:t>
      </w:r>
      <w:r w:rsidR="00E936AE" w:rsidRPr="00926F7E">
        <w:rPr>
          <w:rFonts w:asciiTheme="minorHAnsi" w:hAnsiTheme="minorHAnsi"/>
          <w:color w:val="auto"/>
          <w:szCs w:val="24"/>
        </w:rPr>
        <w:t xml:space="preserve">, </w:t>
      </w:r>
      <w:proofErr w:type="spellStart"/>
      <w:r w:rsidR="007E243B">
        <w:rPr>
          <w:rFonts w:asciiTheme="minorHAnsi" w:hAnsiTheme="minorHAnsi"/>
          <w:color w:val="auto"/>
          <w:szCs w:val="24"/>
        </w:rPr>
        <w:t>gastroesophageal</w:t>
      </w:r>
      <w:proofErr w:type="spellEnd"/>
      <w:r w:rsidR="007E243B">
        <w:rPr>
          <w:rFonts w:asciiTheme="minorHAnsi" w:hAnsiTheme="minorHAnsi"/>
          <w:color w:val="auto"/>
          <w:szCs w:val="24"/>
        </w:rPr>
        <w:t xml:space="preserve"> reflux disease (GERD, with </w:t>
      </w:r>
      <w:proofErr w:type="spellStart"/>
      <w:r w:rsidR="007E243B">
        <w:rPr>
          <w:rFonts w:asciiTheme="minorHAnsi" w:hAnsiTheme="minorHAnsi"/>
          <w:color w:val="auto"/>
          <w:szCs w:val="24"/>
        </w:rPr>
        <w:t>hiatal</w:t>
      </w:r>
      <w:proofErr w:type="spellEnd"/>
      <w:r w:rsidR="007E243B">
        <w:rPr>
          <w:rFonts w:asciiTheme="minorHAnsi" w:hAnsiTheme="minorHAnsi"/>
          <w:color w:val="auto"/>
          <w:szCs w:val="24"/>
        </w:rPr>
        <w:t xml:space="preserve"> hernia) and tinnitus.  All of these conditions were documented in the NARSUM or MEB history and physical examination present in the DES package.  </w:t>
      </w:r>
      <w:r w:rsidR="007E243B" w:rsidRPr="00955049">
        <w:rPr>
          <w:rFonts w:asciiTheme="minorHAnsi" w:hAnsiTheme="minorHAnsi"/>
          <w:color w:val="auto"/>
          <w:szCs w:val="24"/>
        </w:rPr>
        <w:t>The CI had a history of chronic low back pain</w:t>
      </w:r>
      <w:r w:rsidR="00955049">
        <w:rPr>
          <w:rFonts w:asciiTheme="minorHAnsi" w:hAnsiTheme="minorHAnsi"/>
          <w:color w:val="auto"/>
          <w:szCs w:val="24"/>
        </w:rPr>
        <w:t xml:space="preserve"> with d</w:t>
      </w:r>
      <w:r w:rsidR="00955049" w:rsidRPr="00955049">
        <w:rPr>
          <w:rFonts w:asciiTheme="minorHAnsi" w:hAnsiTheme="minorHAnsi"/>
          <w:color w:val="auto"/>
          <w:szCs w:val="24"/>
        </w:rPr>
        <w:t>egenerative disc changes noted on x-rays</w:t>
      </w:r>
      <w:r w:rsidR="00955049">
        <w:rPr>
          <w:rFonts w:asciiTheme="minorHAnsi" w:hAnsiTheme="minorHAnsi"/>
          <w:color w:val="auto"/>
          <w:szCs w:val="24"/>
        </w:rPr>
        <w:t xml:space="preserve"> for over </w:t>
      </w:r>
      <w:r w:rsidR="00AA0886">
        <w:rPr>
          <w:rFonts w:asciiTheme="minorHAnsi" w:hAnsiTheme="minorHAnsi"/>
          <w:color w:val="auto"/>
          <w:szCs w:val="24"/>
        </w:rPr>
        <w:t>six</w:t>
      </w:r>
      <w:r w:rsidR="00955049">
        <w:rPr>
          <w:rFonts w:asciiTheme="minorHAnsi" w:hAnsiTheme="minorHAnsi"/>
          <w:color w:val="auto"/>
          <w:szCs w:val="24"/>
        </w:rPr>
        <w:t xml:space="preserve"> years.  The CI was treated in the chiropractic clinic on </w:t>
      </w:r>
      <w:r w:rsidR="00171938">
        <w:rPr>
          <w:rFonts w:asciiTheme="minorHAnsi" w:hAnsiTheme="minorHAnsi"/>
          <w:color w:val="auto"/>
          <w:szCs w:val="24"/>
        </w:rPr>
        <w:t xml:space="preserve">a </w:t>
      </w:r>
      <w:r w:rsidR="00955049">
        <w:rPr>
          <w:rFonts w:asciiTheme="minorHAnsi" w:hAnsiTheme="minorHAnsi"/>
          <w:color w:val="auto"/>
          <w:szCs w:val="24"/>
        </w:rPr>
        <w:t xml:space="preserve">regular basis since approximately 2005.  Records document </w:t>
      </w:r>
      <w:r w:rsidR="00E936AE">
        <w:rPr>
          <w:rFonts w:asciiTheme="minorHAnsi" w:hAnsiTheme="minorHAnsi"/>
          <w:color w:val="auto"/>
          <w:szCs w:val="24"/>
        </w:rPr>
        <w:t xml:space="preserve">a stable pattern of </w:t>
      </w:r>
      <w:r w:rsidR="00955049">
        <w:rPr>
          <w:rFonts w:asciiTheme="minorHAnsi" w:hAnsiTheme="minorHAnsi"/>
          <w:color w:val="auto"/>
          <w:szCs w:val="24"/>
        </w:rPr>
        <w:t>intermittent pain with pain scores ranging from 0 to 3 on the 10 scale.</w:t>
      </w:r>
      <w:r w:rsidR="00E936AE">
        <w:rPr>
          <w:rFonts w:asciiTheme="minorHAnsi" w:hAnsiTheme="minorHAnsi"/>
          <w:color w:val="auto"/>
          <w:szCs w:val="24"/>
        </w:rPr>
        <w:t xml:space="preserve">  There were occasional flares of severe pain reported.</w:t>
      </w:r>
      <w:r w:rsidR="004F4FB8">
        <w:rPr>
          <w:rFonts w:asciiTheme="minorHAnsi" w:hAnsiTheme="minorHAnsi"/>
          <w:color w:val="auto"/>
          <w:szCs w:val="24"/>
        </w:rPr>
        <w:t xml:space="preserve">  Medical records report the CI was playing football with his son in </w:t>
      </w:r>
      <w:r w:rsidR="00955049">
        <w:rPr>
          <w:rFonts w:asciiTheme="minorHAnsi" w:hAnsiTheme="minorHAnsi"/>
          <w:color w:val="auto"/>
          <w:szCs w:val="24"/>
        </w:rPr>
        <w:t>June 2006</w:t>
      </w:r>
      <w:r w:rsidR="004F4FB8">
        <w:rPr>
          <w:rFonts w:asciiTheme="minorHAnsi" w:hAnsiTheme="minorHAnsi"/>
          <w:color w:val="auto"/>
          <w:szCs w:val="24"/>
        </w:rPr>
        <w:t xml:space="preserve"> (</w:t>
      </w:r>
      <w:r w:rsidR="00955049">
        <w:rPr>
          <w:rFonts w:asciiTheme="minorHAnsi" w:hAnsiTheme="minorHAnsi"/>
          <w:color w:val="auto"/>
          <w:szCs w:val="24"/>
        </w:rPr>
        <w:t>injur</w:t>
      </w:r>
      <w:r w:rsidR="004F4FB8">
        <w:rPr>
          <w:rFonts w:asciiTheme="minorHAnsi" w:hAnsiTheme="minorHAnsi"/>
          <w:color w:val="auto"/>
          <w:szCs w:val="24"/>
        </w:rPr>
        <w:t xml:space="preserve">ing </w:t>
      </w:r>
      <w:r w:rsidR="00955049">
        <w:rPr>
          <w:rFonts w:asciiTheme="minorHAnsi" w:hAnsiTheme="minorHAnsi"/>
          <w:color w:val="auto"/>
          <w:szCs w:val="24"/>
        </w:rPr>
        <w:t>his thumb</w:t>
      </w:r>
      <w:r w:rsidR="004F4FB8">
        <w:rPr>
          <w:rFonts w:asciiTheme="minorHAnsi" w:hAnsiTheme="minorHAnsi"/>
          <w:color w:val="auto"/>
          <w:szCs w:val="24"/>
        </w:rPr>
        <w:t xml:space="preserve"> for which he sought care).  </w:t>
      </w:r>
      <w:r w:rsidR="00955049">
        <w:rPr>
          <w:rFonts w:asciiTheme="minorHAnsi" w:hAnsiTheme="minorHAnsi"/>
          <w:color w:val="auto"/>
          <w:szCs w:val="24"/>
        </w:rPr>
        <w:t xml:space="preserve">A chiropractic clinic form completed by the CI on August 6, 2006 indicated he </w:t>
      </w:r>
      <w:r w:rsidR="00955049" w:rsidRPr="00955049">
        <w:rPr>
          <w:rFonts w:asciiTheme="minorHAnsi" w:hAnsiTheme="minorHAnsi"/>
          <w:color w:val="auto"/>
          <w:szCs w:val="24"/>
        </w:rPr>
        <w:t>c</w:t>
      </w:r>
      <w:r w:rsidR="00955049">
        <w:rPr>
          <w:rFonts w:asciiTheme="minorHAnsi" w:hAnsiTheme="minorHAnsi"/>
          <w:color w:val="auto"/>
          <w:szCs w:val="24"/>
        </w:rPr>
        <w:t xml:space="preserve">ould </w:t>
      </w:r>
      <w:r w:rsidR="00955049" w:rsidRPr="00955049">
        <w:rPr>
          <w:rFonts w:asciiTheme="minorHAnsi" w:hAnsiTheme="minorHAnsi"/>
          <w:color w:val="auto"/>
          <w:szCs w:val="24"/>
        </w:rPr>
        <w:t>lift heavy w</w:t>
      </w:r>
      <w:r w:rsidR="00955049">
        <w:rPr>
          <w:rFonts w:asciiTheme="minorHAnsi" w:hAnsiTheme="minorHAnsi"/>
          <w:color w:val="auto"/>
          <w:szCs w:val="24"/>
        </w:rPr>
        <w:t xml:space="preserve">eight </w:t>
      </w:r>
      <w:r w:rsidR="00955049" w:rsidRPr="00955049">
        <w:rPr>
          <w:rFonts w:asciiTheme="minorHAnsi" w:hAnsiTheme="minorHAnsi"/>
          <w:color w:val="auto"/>
          <w:szCs w:val="24"/>
        </w:rPr>
        <w:t>without pain</w:t>
      </w:r>
      <w:r w:rsidR="00955049">
        <w:rPr>
          <w:rFonts w:asciiTheme="minorHAnsi" w:hAnsiTheme="minorHAnsi"/>
          <w:color w:val="auto"/>
          <w:szCs w:val="24"/>
        </w:rPr>
        <w:t>, had</w:t>
      </w:r>
      <w:r w:rsidR="00955049" w:rsidRPr="00955049">
        <w:rPr>
          <w:rFonts w:asciiTheme="minorHAnsi" w:hAnsiTheme="minorHAnsi"/>
          <w:color w:val="auto"/>
          <w:szCs w:val="24"/>
        </w:rPr>
        <w:t xml:space="preserve"> no walking limitation</w:t>
      </w:r>
      <w:r w:rsidR="00955049">
        <w:rPr>
          <w:rFonts w:asciiTheme="minorHAnsi" w:hAnsiTheme="minorHAnsi"/>
          <w:color w:val="auto"/>
          <w:szCs w:val="24"/>
        </w:rPr>
        <w:t xml:space="preserve"> and no problem with sitting</w:t>
      </w:r>
      <w:r w:rsidR="00955049" w:rsidRPr="00955049">
        <w:rPr>
          <w:rFonts w:asciiTheme="minorHAnsi" w:hAnsiTheme="minorHAnsi"/>
          <w:color w:val="auto"/>
          <w:szCs w:val="24"/>
        </w:rPr>
        <w:t>.</w:t>
      </w:r>
      <w:r w:rsidR="00955049">
        <w:rPr>
          <w:rFonts w:asciiTheme="minorHAnsi" w:hAnsiTheme="minorHAnsi"/>
          <w:color w:val="auto"/>
          <w:szCs w:val="24"/>
        </w:rPr>
        <w:t xml:space="preserve">  There was</w:t>
      </w:r>
      <w:r w:rsidR="00AA0886">
        <w:rPr>
          <w:rFonts w:asciiTheme="minorHAnsi" w:hAnsiTheme="minorHAnsi"/>
          <w:color w:val="auto"/>
          <w:szCs w:val="24"/>
        </w:rPr>
        <w:t>,</w:t>
      </w:r>
      <w:r w:rsidR="00955049">
        <w:rPr>
          <w:rFonts w:asciiTheme="minorHAnsi" w:hAnsiTheme="minorHAnsi"/>
          <w:color w:val="auto"/>
          <w:szCs w:val="24"/>
        </w:rPr>
        <w:t xml:space="preserve"> however, p</w:t>
      </w:r>
      <w:r w:rsidR="00955049" w:rsidRPr="00955049">
        <w:rPr>
          <w:rFonts w:asciiTheme="minorHAnsi" w:hAnsiTheme="minorHAnsi"/>
          <w:color w:val="auto"/>
          <w:szCs w:val="24"/>
        </w:rPr>
        <w:t xml:space="preserve">ain with standing </w:t>
      </w:r>
      <w:r w:rsidR="00955049">
        <w:rPr>
          <w:rFonts w:asciiTheme="minorHAnsi" w:hAnsiTheme="minorHAnsi"/>
          <w:color w:val="auto"/>
          <w:szCs w:val="24"/>
        </w:rPr>
        <w:t xml:space="preserve">and </w:t>
      </w:r>
      <w:r w:rsidR="00955049" w:rsidRPr="00955049">
        <w:rPr>
          <w:rFonts w:asciiTheme="minorHAnsi" w:hAnsiTheme="minorHAnsi"/>
          <w:color w:val="auto"/>
          <w:szCs w:val="24"/>
        </w:rPr>
        <w:t>some pain with traveling</w:t>
      </w:r>
      <w:r w:rsidR="00955049">
        <w:rPr>
          <w:rFonts w:asciiTheme="minorHAnsi" w:hAnsiTheme="minorHAnsi"/>
          <w:color w:val="auto"/>
          <w:szCs w:val="24"/>
        </w:rPr>
        <w:t xml:space="preserve"> </w:t>
      </w:r>
      <w:r w:rsidR="00955049" w:rsidRPr="00955049">
        <w:rPr>
          <w:rFonts w:asciiTheme="minorHAnsi" w:hAnsiTheme="minorHAnsi"/>
          <w:color w:val="auto"/>
          <w:szCs w:val="24"/>
        </w:rPr>
        <w:t>(similar to form completed in June 2005)</w:t>
      </w:r>
      <w:r w:rsidR="00955049">
        <w:rPr>
          <w:rFonts w:asciiTheme="minorHAnsi" w:hAnsiTheme="minorHAnsi"/>
          <w:color w:val="auto"/>
          <w:szCs w:val="24"/>
        </w:rPr>
        <w:t xml:space="preserve">.  </w:t>
      </w:r>
      <w:r w:rsidR="00955049" w:rsidRPr="00955049">
        <w:rPr>
          <w:rFonts w:asciiTheme="minorHAnsi" w:hAnsiTheme="minorHAnsi"/>
          <w:color w:val="auto"/>
          <w:szCs w:val="24"/>
        </w:rPr>
        <w:t xml:space="preserve">A chiropractic clinic record entry dated February 26, 2007 </w:t>
      </w:r>
      <w:r w:rsidR="004F4FB8">
        <w:rPr>
          <w:rFonts w:asciiTheme="minorHAnsi" w:hAnsiTheme="minorHAnsi"/>
          <w:color w:val="auto"/>
          <w:szCs w:val="24"/>
        </w:rPr>
        <w:t xml:space="preserve">noted the </w:t>
      </w:r>
      <w:r w:rsidR="00955049" w:rsidRPr="00955049">
        <w:rPr>
          <w:rFonts w:asciiTheme="minorHAnsi" w:hAnsiTheme="minorHAnsi"/>
          <w:color w:val="auto"/>
          <w:szCs w:val="24"/>
        </w:rPr>
        <w:t>six</w:t>
      </w:r>
      <w:r w:rsidR="00AA0886">
        <w:rPr>
          <w:rFonts w:asciiTheme="minorHAnsi" w:hAnsiTheme="minorHAnsi"/>
          <w:color w:val="auto"/>
          <w:szCs w:val="24"/>
        </w:rPr>
        <w:t>-</w:t>
      </w:r>
      <w:r w:rsidR="00955049" w:rsidRPr="00955049">
        <w:rPr>
          <w:rFonts w:asciiTheme="minorHAnsi" w:hAnsiTheme="minorHAnsi"/>
          <w:color w:val="auto"/>
          <w:szCs w:val="24"/>
        </w:rPr>
        <w:t>year</w:t>
      </w:r>
      <w:r w:rsidR="004F4FB8">
        <w:rPr>
          <w:rFonts w:asciiTheme="minorHAnsi" w:hAnsiTheme="minorHAnsi"/>
          <w:color w:val="auto"/>
          <w:szCs w:val="24"/>
        </w:rPr>
        <w:t xml:space="preserve"> history of chronic low back pain.</w:t>
      </w:r>
      <w:r w:rsidR="00955049" w:rsidRPr="00955049">
        <w:rPr>
          <w:rFonts w:asciiTheme="minorHAnsi" w:hAnsiTheme="minorHAnsi"/>
          <w:color w:val="auto"/>
          <w:szCs w:val="24"/>
        </w:rPr>
        <w:t xml:space="preserve">  The CI reported a pain level of 3.3 / 10.  There were no signs or symptoms of </w:t>
      </w:r>
      <w:proofErr w:type="spellStart"/>
      <w:r w:rsidR="00955049" w:rsidRPr="00955049">
        <w:rPr>
          <w:rFonts w:asciiTheme="minorHAnsi" w:hAnsiTheme="minorHAnsi"/>
          <w:color w:val="auto"/>
          <w:szCs w:val="24"/>
        </w:rPr>
        <w:t>radiculopathy</w:t>
      </w:r>
      <w:proofErr w:type="spellEnd"/>
      <w:r w:rsidR="00955049" w:rsidRPr="00955049">
        <w:rPr>
          <w:rFonts w:asciiTheme="minorHAnsi" w:hAnsiTheme="minorHAnsi"/>
          <w:color w:val="auto"/>
          <w:szCs w:val="24"/>
        </w:rPr>
        <w:t>.  Gait and stance were normal and examination was unremarkable.</w:t>
      </w:r>
      <w:r w:rsidR="00E936AE">
        <w:rPr>
          <w:rFonts w:asciiTheme="minorHAnsi" w:hAnsiTheme="minorHAnsi"/>
          <w:color w:val="auto"/>
          <w:szCs w:val="24"/>
        </w:rPr>
        <w:t xml:space="preserve">  T</w:t>
      </w:r>
      <w:r w:rsidR="00955049" w:rsidRPr="00955049">
        <w:rPr>
          <w:rFonts w:asciiTheme="minorHAnsi" w:hAnsiTheme="minorHAnsi"/>
          <w:color w:val="auto"/>
          <w:szCs w:val="24"/>
        </w:rPr>
        <w:t>he MEB NARSUM reported that the CI was able to perform his job limited by toe pain without mention of any significant job limitations due to his chronic back condition.</w:t>
      </w:r>
      <w:r w:rsidR="00955049">
        <w:rPr>
          <w:rFonts w:asciiTheme="minorHAnsi" w:hAnsiTheme="minorHAnsi"/>
          <w:color w:val="auto"/>
          <w:szCs w:val="24"/>
        </w:rPr>
        <w:t xml:space="preserve">  He was receiving treatment with a </w:t>
      </w:r>
      <w:proofErr w:type="spellStart"/>
      <w:r w:rsidR="003A1FD4">
        <w:rPr>
          <w:rFonts w:asciiTheme="minorHAnsi" w:hAnsiTheme="minorHAnsi"/>
          <w:color w:val="auto"/>
          <w:szCs w:val="24"/>
        </w:rPr>
        <w:t>t</w:t>
      </w:r>
      <w:r w:rsidR="003A1FD4" w:rsidRPr="003A1FD4">
        <w:rPr>
          <w:rFonts w:asciiTheme="minorHAnsi" w:hAnsiTheme="minorHAnsi"/>
          <w:color w:val="auto"/>
          <w:szCs w:val="24"/>
        </w:rPr>
        <w:t>ranscutaneous</w:t>
      </w:r>
      <w:proofErr w:type="spellEnd"/>
      <w:r w:rsidR="003A1FD4" w:rsidRPr="003A1FD4">
        <w:rPr>
          <w:rFonts w:asciiTheme="minorHAnsi" w:hAnsiTheme="minorHAnsi"/>
          <w:color w:val="auto"/>
          <w:szCs w:val="24"/>
        </w:rPr>
        <w:t xml:space="preserve"> electrical nerve stimulation </w:t>
      </w:r>
      <w:r w:rsidR="003A1FD4">
        <w:rPr>
          <w:rFonts w:asciiTheme="minorHAnsi" w:hAnsiTheme="minorHAnsi"/>
          <w:color w:val="auto"/>
          <w:szCs w:val="24"/>
        </w:rPr>
        <w:t>(T</w:t>
      </w:r>
      <w:r w:rsidR="00955049">
        <w:rPr>
          <w:rFonts w:asciiTheme="minorHAnsi" w:hAnsiTheme="minorHAnsi"/>
          <w:color w:val="auto"/>
          <w:szCs w:val="24"/>
        </w:rPr>
        <w:t>ENS</w:t>
      </w:r>
      <w:r w:rsidR="003A1FD4">
        <w:rPr>
          <w:rFonts w:asciiTheme="minorHAnsi" w:hAnsiTheme="minorHAnsi"/>
          <w:color w:val="auto"/>
          <w:szCs w:val="24"/>
        </w:rPr>
        <w:t>)</w:t>
      </w:r>
      <w:r w:rsidR="00955049">
        <w:rPr>
          <w:rFonts w:asciiTheme="minorHAnsi" w:hAnsiTheme="minorHAnsi"/>
          <w:color w:val="auto"/>
          <w:szCs w:val="24"/>
        </w:rPr>
        <w:t xml:space="preserve"> unit, medication, and was reportedly scheduled for an injection.</w:t>
      </w:r>
      <w:r w:rsidR="00E936AE">
        <w:rPr>
          <w:rFonts w:asciiTheme="minorHAnsi" w:hAnsiTheme="minorHAnsi"/>
          <w:color w:val="auto"/>
          <w:szCs w:val="24"/>
        </w:rPr>
        <w:t xml:space="preserve">  At the time of the C&amp;P examination (January 2007), the CI reported he could not </w:t>
      </w:r>
      <w:r w:rsidR="007E243B" w:rsidRPr="00955049">
        <w:rPr>
          <w:rFonts w:asciiTheme="minorHAnsi" w:hAnsiTheme="minorHAnsi"/>
          <w:color w:val="auto"/>
          <w:szCs w:val="24"/>
        </w:rPr>
        <w:t>garden or push</w:t>
      </w:r>
      <w:r w:rsidR="003A1FD4">
        <w:rPr>
          <w:rFonts w:asciiTheme="minorHAnsi" w:hAnsiTheme="minorHAnsi"/>
          <w:color w:val="auto"/>
          <w:szCs w:val="24"/>
        </w:rPr>
        <w:t xml:space="preserve"> a</w:t>
      </w:r>
      <w:r w:rsidR="007E243B" w:rsidRPr="00955049">
        <w:rPr>
          <w:rFonts w:asciiTheme="minorHAnsi" w:hAnsiTheme="minorHAnsi"/>
          <w:color w:val="auto"/>
          <w:szCs w:val="24"/>
        </w:rPr>
        <w:t xml:space="preserve"> lawnmower because of his back</w:t>
      </w:r>
      <w:r w:rsidR="00E936AE">
        <w:rPr>
          <w:rFonts w:asciiTheme="minorHAnsi" w:hAnsiTheme="minorHAnsi"/>
          <w:color w:val="auto"/>
          <w:szCs w:val="24"/>
        </w:rPr>
        <w:t xml:space="preserve"> but stated he could generally function without medication.  There was painful motion reported but p</w:t>
      </w:r>
      <w:r w:rsidR="007E243B" w:rsidRPr="00955049">
        <w:rPr>
          <w:rFonts w:asciiTheme="minorHAnsi" w:hAnsiTheme="minorHAnsi"/>
          <w:color w:val="auto"/>
          <w:szCs w:val="24"/>
        </w:rPr>
        <w:t xml:space="preserve">osture and gait </w:t>
      </w:r>
      <w:r w:rsidR="00E936AE">
        <w:rPr>
          <w:rFonts w:asciiTheme="minorHAnsi" w:hAnsiTheme="minorHAnsi"/>
          <w:color w:val="auto"/>
          <w:szCs w:val="24"/>
        </w:rPr>
        <w:t xml:space="preserve">were </w:t>
      </w:r>
      <w:r w:rsidR="007E243B" w:rsidRPr="00955049">
        <w:rPr>
          <w:rFonts w:asciiTheme="minorHAnsi" w:hAnsiTheme="minorHAnsi"/>
          <w:color w:val="auto"/>
          <w:szCs w:val="24"/>
        </w:rPr>
        <w:t>normal</w:t>
      </w:r>
      <w:r w:rsidR="00E936AE">
        <w:rPr>
          <w:rFonts w:asciiTheme="minorHAnsi" w:hAnsiTheme="minorHAnsi"/>
          <w:color w:val="auto"/>
          <w:szCs w:val="24"/>
        </w:rPr>
        <w:t>.</w:t>
      </w:r>
      <w:r w:rsidR="004F4FB8">
        <w:rPr>
          <w:rFonts w:asciiTheme="minorHAnsi" w:hAnsiTheme="minorHAnsi"/>
          <w:color w:val="auto"/>
          <w:szCs w:val="24"/>
        </w:rPr>
        <w:t xml:space="preserve">  </w:t>
      </w:r>
      <w:r w:rsidR="004F4FB8" w:rsidRPr="00926F7E">
        <w:rPr>
          <w:rFonts w:asciiTheme="minorHAnsi" w:hAnsiTheme="minorHAnsi"/>
          <w:color w:val="auto"/>
          <w:szCs w:val="24"/>
        </w:rPr>
        <w:t>The</w:t>
      </w:r>
      <w:r w:rsidR="004F4FB8">
        <w:rPr>
          <w:rFonts w:asciiTheme="minorHAnsi" w:hAnsiTheme="minorHAnsi"/>
          <w:color w:val="auto"/>
          <w:szCs w:val="24"/>
        </w:rPr>
        <w:t xml:space="preserve"> back condition was </w:t>
      </w:r>
      <w:r w:rsidR="004F4FB8" w:rsidRPr="00926F7E">
        <w:rPr>
          <w:rFonts w:asciiTheme="minorHAnsi" w:hAnsiTheme="minorHAnsi"/>
          <w:color w:val="auto"/>
          <w:szCs w:val="24"/>
        </w:rPr>
        <w:t>not profiled</w:t>
      </w:r>
      <w:r w:rsidR="004F4FB8">
        <w:rPr>
          <w:rFonts w:asciiTheme="minorHAnsi" w:hAnsiTheme="minorHAnsi"/>
          <w:color w:val="auto"/>
          <w:szCs w:val="24"/>
        </w:rPr>
        <w:t xml:space="preserve"> or the </w:t>
      </w:r>
      <w:r w:rsidR="004F4FB8" w:rsidRPr="00926F7E">
        <w:rPr>
          <w:rFonts w:asciiTheme="minorHAnsi" w:hAnsiTheme="minorHAnsi"/>
          <w:color w:val="auto"/>
          <w:szCs w:val="24"/>
        </w:rPr>
        <w:t>bas</w:t>
      </w:r>
      <w:r w:rsidR="004F4FB8">
        <w:rPr>
          <w:rFonts w:asciiTheme="minorHAnsi" w:hAnsiTheme="minorHAnsi"/>
          <w:color w:val="auto"/>
          <w:szCs w:val="24"/>
        </w:rPr>
        <w:t>is</w:t>
      </w:r>
      <w:r w:rsidR="004F4FB8" w:rsidRPr="00926F7E">
        <w:rPr>
          <w:rFonts w:asciiTheme="minorHAnsi" w:hAnsiTheme="minorHAnsi"/>
          <w:color w:val="auto"/>
          <w:szCs w:val="24"/>
        </w:rPr>
        <w:t xml:space="preserve"> for limited duty and</w:t>
      </w:r>
      <w:r w:rsidR="004F4FB8">
        <w:rPr>
          <w:rFonts w:asciiTheme="minorHAnsi" w:hAnsiTheme="minorHAnsi"/>
          <w:color w:val="auto"/>
          <w:szCs w:val="24"/>
        </w:rPr>
        <w:t xml:space="preserve"> was</w:t>
      </w:r>
      <w:r w:rsidR="004F4FB8" w:rsidRPr="00926F7E">
        <w:rPr>
          <w:rFonts w:asciiTheme="minorHAnsi" w:hAnsiTheme="minorHAnsi"/>
          <w:color w:val="auto"/>
          <w:szCs w:val="24"/>
        </w:rPr>
        <w:t xml:space="preserve"> not implicated in the </w:t>
      </w:r>
      <w:r w:rsidR="003A1FD4">
        <w:rPr>
          <w:rFonts w:asciiTheme="minorHAnsi" w:hAnsiTheme="minorHAnsi"/>
          <w:color w:val="auto"/>
          <w:szCs w:val="24"/>
        </w:rPr>
        <w:t>non-medical assessment (</w:t>
      </w:r>
      <w:r w:rsidR="004F4FB8" w:rsidRPr="00926F7E">
        <w:rPr>
          <w:rFonts w:asciiTheme="minorHAnsi" w:hAnsiTheme="minorHAnsi"/>
          <w:color w:val="auto"/>
          <w:szCs w:val="24"/>
        </w:rPr>
        <w:t>NMA</w:t>
      </w:r>
      <w:r w:rsidR="003A1FD4">
        <w:rPr>
          <w:rFonts w:asciiTheme="minorHAnsi" w:hAnsiTheme="minorHAnsi"/>
          <w:color w:val="auto"/>
          <w:szCs w:val="24"/>
        </w:rPr>
        <w:t>)</w:t>
      </w:r>
      <w:r w:rsidR="004F4FB8" w:rsidRPr="00926F7E">
        <w:rPr>
          <w:rFonts w:asciiTheme="minorHAnsi" w:hAnsiTheme="minorHAnsi"/>
          <w:color w:val="auto"/>
          <w:szCs w:val="24"/>
        </w:rPr>
        <w:t xml:space="preserve"> or noted as failing retention standards.</w:t>
      </w:r>
      <w:r w:rsidR="004F4FB8">
        <w:rPr>
          <w:rFonts w:asciiTheme="minorHAnsi" w:hAnsiTheme="minorHAnsi"/>
          <w:color w:val="auto"/>
          <w:szCs w:val="24"/>
        </w:rPr>
        <w:t xml:space="preserve">  </w:t>
      </w:r>
    </w:p>
    <w:p w:rsidR="004E6504" w:rsidRDefault="004E6504" w:rsidP="00F51AA4">
      <w:pPr>
        <w:spacing w:line="240" w:lineRule="exact"/>
        <w:jc w:val="both"/>
        <w:rPr>
          <w:rFonts w:asciiTheme="minorHAnsi" w:hAnsiTheme="minorHAnsi"/>
          <w:color w:val="auto"/>
          <w:szCs w:val="24"/>
        </w:rPr>
      </w:pPr>
    </w:p>
    <w:p w:rsidR="004E6504" w:rsidRDefault="00E936AE" w:rsidP="00F51AA4">
      <w:pPr>
        <w:spacing w:line="240" w:lineRule="exact"/>
        <w:jc w:val="both"/>
        <w:rPr>
          <w:rFonts w:asciiTheme="minorHAnsi" w:hAnsiTheme="minorHAnsi"/>
          <w:color w:val="auto"/>
          <w:szCs w:val="24"/>
        </w:rPr>
      </w:pPr>
      <w:r>
        <w:rPr>
          <w:rFonts w:asciiTheme="minorHAnsi" w:hAnsiTheme="minorHAnsi"/>
          <w:color w:val="auto"/>
          <w:szCs w:val="24"/>
        </w:rPr>
        <w:t xml:space="preserve">The service treatment records show treatment on two occasions, 2001 and 2005, for left shoulder strain.  There was no </w:t>
      </w:r>
      <w:r w:rsidR="00A845E8">
        <w:rPr>
          <w:rFonts w:asciiTheme="minorHAnsi" w:hAnsiTheme="minorHAnsi"/>
          <w:color w:val="auto"/>
          <w:szCs w:val="24"/>
        </w:rPr>
        <w:t xml:space="preserve">other </w:t>
      </w:r>
      <w:r>
        <w:rPr>
          <w:rFonts w:asciiTheme="minorHAnsi" w:hAnsiTheme="minorHAnsi"/>
          <w:color w:val="auto"/>
          <w:szCs w:val="24"/>
        </w:rPr>
        <w:t>documentary evidence of medical care for shoulder problems.</w:t>
      </w:r>
      <w:r w:rsidR="004F4FB8">
        <w:rPr>
          <w:rFonts w:asciiTheme="minorHAnsi" w:hAnsiTheme="minorHAnsi"/>
          <w:color w:val="auto"/>
          <w:szCs w:val="24"/>
        </w:rPr>
        <w:t xml:space="preserve">  </w:t>
      </w:r>
    </w:p>
    <w:p w:rsidR="004E6504" w:rsidRDefault="004E6504" w:rsidP="00F51AA4">
      <w:pPr>
        <w:spacing w:line="240" w:lineRule="exact"/>
        <w:jc w:val="both"/>
        <w:rPr>
          <w:rFonts w:asciiTheme="minorHAnsi" w:hAnsiTheme="minorHAnsi"/>
          <w:color w:val="auto"/>
          <w:szCs w:val="24"/>
        </w:rPr>
      </w:pPr>
    </w:p>
    <w:p w:rsidR="004E6504" w:rsidRDefault="00E936AE" w:rsidP="00F51AA4">
      <w:pPr>
        <w:spacing w:line="240" w:lineRule="exact"/>
        <w:jc w:val="both"/>
        <w:rPr>
          <w:rFonts w:asciiTheme="minorHAnsi" w:hAnsiTheme="minorHAnsi"/>
          <w:color w:val="auto"/>
          <w:szCs w:val="24"/>
        </w:rPr>
      </w:pPr>
      <w:r w:rsidRPr="00A845E8">
        <w:rPr>
          <w:rFonts w:asciiTheme="minorHAnsi" w:hAnsiTheme="minorHAnsi"/>
          <w:color w:val="auto"/>
          <w:szCs w:val="24"/>
        </w:rPr>
        <w:t xml:space="preserve">The CI underwent sleep study in January 2007 for symptoms of daytime drowsiness, snoring and apneas.  The sleep study </w:t>
      </w:r>
      <w:r w:rsidR="00A845E8" w:rsidRPr="00A845E8">
        <w:rPr>
          <w:rFonts w:asciiTheme="minorHAnsi" w:hAnsiTheme="minorHAnsi"/>
          <w:color w:val="auto"/>
          <w:szCs w:val="24"/>
        </w:rPr>
        <w:t xml:space="preserve">did not support a diagnosis of significant sleep apnea or abnormal periodic limb movement.  There was moderate snoring with good sleep quality.  Three years after separation, the CI </w:t>
      </w:r>
      <w:r w:rsidR="00A845E8">
        <w:rPr>
          <w:rFonts w:asciiTheme="minorHAnsi" w:hAnsiTheme="minorHAnsi"/>
          <w:color w:val="auto"/>
          <w:szCs w:val="24"/>
        </w:rPr>
        <w:t>reported progressively worse symptoms since onset</w:t>
      </w:r>
      <w:r w:rsidR="008508C4">
        <w:rPr>
          <w:rFonts w:asciiTheme="minorHAnsi" w:hAnsiTheme="minorHAnsi"/>
          <w:color w:val="auto"/>
          <w:szCs w:val="24"/>
        </w:rPr>
        <w:t>,</w:t>
      </w:r>
      <w:r w:rsidR="00A845E8">
        <w:rPr>
          <w:rFonts w:asciiTheme="minorHAnsi" w:hAnsiTheme="minorHAnsi"/>
          <w:color w:val="auto"/>
          <w:szCs w:val="24"/>
        </w:rPr>
        <w:t xml:space="preserve"> and repeat sleep study demonstrated </w:t>
      </w:r>
      <w:r w:rsidR="00A845E8" w:rsidRPr="00A845E8">
        <w:rPr>
          <w:rFonts w:asciiTheme="minorHAnsi" w:hAnsiTheme="minorHAnsi"/>
          <w:color w:val="auto"/>
          <w:szCs w:val="24"/>
        </w:rPr>
        <w:t xml:space="preserve">severe obstructive sleep apnea.  </w:t>
      </w:r>
    </w:p>
    <w:p w:rsidR="004E6504" w:rsidRDefault="004E6504" w:rsidP="00F51AA4">
      <w:pPr>
        <w:spacing w:line="240" w:lineRule="exact"/>
        <w:jc w:val="both"/>
        <w:rPr>
          <w:rFonts w:asciiTheme="minorHAnsi" w:hAnsiTheme="minorHAnsi"/>
          <w:color w:val="auto"/>
          <w:szCs w:val="24"/>
        </w:rPr>
      </w:pPr>
    </w:p>
    <w:p w:rsidR="004E6504" w:rsidRDefault="00A845E8" w:rsidP="00F51AA4">
      <w:pPr>
        <w:spacing w:line="240" w:lineRule="exact"/>
        <w:jc w:val="both"/>
        <w:rPr>
          <w:rFonts w:asciiTheme="minorHAnsi" w:hAnsiTheme="minorHAnsi"/>
          <w:color w:val="auto"/>
          <w:szCs w:val="24"/>
        </w:rPr>
      </w:pPr>
      <w:r>
        <w:rPr>
          <w:rFonts w:asciiTheme="minorHAnsi" w:hAnsiTheme="minorHAnsi"/>
          <w:color w:val="auto"/>
          <w:szCs w:val="24"/>
        </w:rPr>
        <w:t xml:space="preserve">The CI was also treated for GERD and </w:t>
      </w:r>
      <w:r w:rsidR="003A1FD4">
        <w:rPr>
          <w:rFonts w:asciiTheme="minorHAnsi" w:hAnsiTheme="minorHAnsi"/>
          <w:color w:val="auto"/>
          <w:szCs w:val="24"/>
        </w:rPr>
        <w:t xml:space="preserve">a </w:t>
      </w:r>
      <w:r>
        <w:rPr>
          <w:rFonts w:asciiTheme="minorHAnsi" w:hAnsiTheme="minorHAnsi"/>
          <w:color w:val="auto"/>
          <w:szCs w:val="24"/>
        </w:rPr>
        <w:t>complaint of tinnitus was recorded.</w:t>
      </w:r>
      <w:r w:rsidR="00EF2978">
        <w:rPr>
          <w:rFonts w:asciiTheme="minorHAnsi" w:hAnsiTheme="minorHAnsi"/>
          <w:color w:val="auto"/>
          <w:szCs w:val="24"/>
        </w:rPr>
        <w:t xml:space="preserve">  </w:t>
      </w:r>
      <w:r w:rsidR="00F51AA4" w:rsidRPr="00926F7E">
        <w:rPr>
          <w:rFonts w:asciiTheme="minorHAnsi" w:hAnsiTheme="minorHAnsi"/>
          <w:color w:val="auto"/>
          <w:szCs w:val="24"/>
        </w:rPr>
        <w:t>These conditions were not profiled, were not the bases for limited duty and</w:t>
      </w:r>
      <w:r w:rsidR="008508C4">
        <w:rPr>
          <w:rFonts w:asciiTheme="minorHAnsi" w:hAnsiTheme="minorHAnsi"/>
          <w:color w:val="auto"/>
          <w:szCs w:val="24"/>
        </w:rPr>
        <w:t xml:space="preserve"> were</w:t>
      </w:r>
      <w:r w:rsidR="00F51AA4" w:rsidRPr="00926F7E">
        <w:rPr>
          <w:rFonts w:asciiTheme="minorHAnsi" w:hAnsiTheme="minorHAnsi"/>
          <w:color w:val="auto"/>
          <w:szCs w:val="24"/>
        </w:rPr>
        <w:t xml:space="preserve"> not implicated in the NMA or noted as failing retention standards.  </w:t>
      </w:r>
    </w:p>
    <w:p w:rsidR="004E6504" w:rsidRDefault="004E6504" w:rsidP="00F51AA4">
      <w:pPr>
        <w:spacing w:line="240" w:lineRule="exact"/>
        <w:jc w:val="both"/>
        <w:rPr>
          <w:rFonts w:asciiTheme="minorHAnsi" w:hAnsiTheme="minorHAnsi"/>
          <w:color w:val="auto"/>
          <w:szCs w:val="24"/>
        </w:rPr>
      </w:pPr>
    </w:p>
    <w:p w:rsidR="00F51AA4" w:rsidRDefault="00F51AA4" w:rsidP="00F51AA4">
      <w:pPr>
        <w:spacing w:line="240" w:lineRule="exact"/>
        <w:jc w:val="both"/>
        <w:rPr>
          <w:rFonts w:asciiTheme="minorHAnsi" w:hAnsiTheme="minorHAnsi"/>
          <w:color w:val="auto"/>
          <w:szCs w:val="24"/>
          <w:u w:val="single"/>
        </w:rPr>
      </w:pPr>
      <w:r w:rsidRPr="00926F7E">
        <w:rPr>
          <w:rFonts w:asciiTheme="minorHAnsi" w:hAnsiTheme="minorHAnsi"/>
          <w:color w:val="auto"/>
          <w:szCs w:val="24"/>
        </w:rPr>
        <w:t xml:space="preserve">All </w:t>
      </w:r>
      <w:r w:rsidRPr="00EF1C53">
        <w:rPr>
          <w:rFonts w:asciiTheme="minorHAnsi" w:hAnsiTheme="minorHAnsi"/>
          <w:color w:val="auto"/>
          <w:szCs w:val="24"/>
        </w:rPr>
        <w:t xml:space="preserve">of these conditions were reviewed by the action officer and considered by the Board.  There was no evidence for concluding that any of the conditions interfered with duty performance to a degree that could be argued as unfitting.  The Board determined therefore that none of the stated conditions were subject to </w:t>
      </w:r>
      <w:r w:rsidR="003A1FD4">
        <w:rPr>
          <w:rFonts w:asciiTheme="minorHAnsi" w:hAnsiTheme="minorHAnsi"/>
          <w:color w:val="auto"/>
          <w:szCs w:val="24"/>
        </w:rPr>
        <w:t>s</w:t>
      </w:r>
      <w:r w:rsidRPr="00EF1C53">
        <w:rPr>
          <w:rFonts w:asciiTheme="minorHAnsi" w:hAnsiTheme="minorHAnsi"/>
          <w:color w:val="auto"/>
          <w:szCs w:val="24"/>
        </w:rPr>
        <w:t>ervice disability rating.</w:t>
      </w:r>
    </w:p>
    <w:p w:rsidR="00E56A3B" w:rsidRDefault="00E56A3B" w:rsidP="003472E7">
      <w:pPr>
        <w:spacing w:line="240" w:lineRule="exact"/>
        <w:jc w:val="both"/>
        <w:rPr>
          <w:rFonts w:asciiTheme="minorHAnsi" w:hAnsiTheme="minorHAnsi"/>
          <w:color w:val="auto"/>
          <w:szCs w:val="24"/>
          <w:u w:val="single"/>
        </w:rPr>
      </w:pPr>
    </w:p>
    <w:p w:rsidR="00EF2978" w:rsidRDefault="00EF1C53" w:rsidP="003472E7">
      <w:pPr>
        <w:spacing w:line="240" w:lineRule="exact"/>
        <w:jc w:val="both"/>
        <w:rPr>
          <w:rFonts w:asciiTheme="minorHAnsi" w:hAnsiTheme="minorHAnsi"/>
          <w:color w:val="auto"/>
          <w:szCs w:val="24"/>
        </w:rPr>
      </w:pPr>
      <w:proofErr w:type="gramStart"/>
      <w:r w:rsidRPr="00EF1C53">
        <w:rPr>
          <w:rFonts w:asciiTheme="minorHAnsi" w:hAnsiTheme="minorHAnsi"/>
          <w:color w:val="auto"/>
          <w:szCs w:val="24"/>
          <w:u w:val="single"/>
        </w:rPr>
        <w:t>Remaining Conditions</w:t>
      </w:r>
      <w:r w:rsidRPr="00EF1C53">
        <w:rPr>
          <w:rFonts w:asciiTheme="minorHAnsi" w:hAnsiTheme="minorHAnsi"/>
          <w:color w:val="auto"/>
          <w:szCs w:val="24"/>
        </w:rPr>
        <w:t>.</w:t>
      </w:r>
      <w:proofErr w:type="gramEnd"/>
      <w:r w:rsidR="000209AF">
        <w:rPr>
          <w:rFonts w:asciiTheme="minorHAnsi" w:hAnsiTheme="minorHAnsi"/>
          <w:color w:val="auto"/>
          <w:szCs w:val="24"/>
        </w:rPr>
        <w:t xml:space="preserve">  </w:t>
      </w:r>
      <w:r w:rsidRPr="00EF1C53">
        <w:rPr>
          <w:rFonts w:asciiTheme="minorHAnsi" w:hAnsiTheme="minorHAnsi"/>
          <w:color w:val="auto"/>
          <w:szCs w:val="24"/>
        </w:rPr>
        <w:t>Other conditions identified in the DES file were</w:t>
      </w:r>
      <w:r w:rsidR="00EF2978">
        <w:rPr>
          <w:rFonts w:asciiTheme="minorHAnsi" w:hAnsiTheme="minorHAnsi"/>
          <w:color w:val="auto"/>
          <w:szCs w:val="24"/>
        </w:rPr>
        <w:t>, surgical scars of the toes, c</w:t>
      </w:r>
      <w:r w:rsidR="00EF2978">
        <w:rPr>
          <w:rFonts w:asciiTheme="minorHAnsi" w:eastAsia="HiddenHorzOCR" w:hAnsiTheme="minorHAnsi"/>
          <w:color w:val="auto"/>
          <w:szCs w:val="24"/>
        </w:rPr>
        <w:t xml:space="preserve">hronic memory loss, dry / watery eyes, knees give out on occasion, and obesity (CI was denied reenlistment </w:t>
      </w:r>
      <w:r w:rsidR="008508C4">
        <w:rPr>
          <w:rFonts w:asciiTheme="minorHAnsi" w:eastAsia="HiddenHorzOCR" w:hAnsiTheme="minorHAnsi"/>
          <w:color w:val="auto"/>
          <w:szCs w:val="24"/>
        </w:rPr>
        <w:t xml:space="preserve">January 2007 </w:t>
      </w:r>
      <w:r w:rsidR="00EF2978">
        <w:rPr>
          <w:rFonts w:asciiTheme="minorHAnsi" w:eastAsia="HiddenHorzOCR" w:hAnsiTheme="minorHAnsi"/>
          <w:color w:val="auto"/>
          <w:szCs w:val="24"/>
        </w:rPr>
        <w:t xml:space="preserve">due to his overweight condition).  </w:t>
      </w:r>
      <w:r w:rsidRPr="00EF1C53">
        <w:rPr>
          <w:rFonts w:asciiTheme="minorHAnsi" w:hAnsiTheme="minorHAnsi"/>
          <w:color w:val="auto"/>
          <w:szCs w:val="24"/>
        </w:rPr>
        <w:t>Several additional non-</w:t>
      </w:r>
      <w:r w:rsidRPr="00EF1C53">
        <w:rPr>
          <w:rFonts w:asciiTheme="minorHAnsi" w:hAnsiTheme="minorHAnsi"/>
          <w:color w:val="auto"/>
          <w:szCs w:val="24"/>
        </w:rPr>
        <w:lastRenderedPageBreak/>
        <w:t xml:space="preserve">acute conditions or medical complaints were also documented.  None of these </w:t>
      </w:r>
      <w:r w:rsidRPr="003472E7">
        <w:rPr>
          <w:rFonts w:asciiTheme="minorHAnsi" w:hAnsiTheme="minorHAnsi"/>
          <w:color w:val="auto"/>
          <w:szCs w:val="24"/>
        </w:rPr>
        <w:t>conditions were</w:t>
      </w:r>
      <w:r w:rsidRPr="00EF1C53">
        <w:rPr>
          <w:rFonts w:asciiTheme="minorHAnsi" w:hAnsiTheme="minorHAnsi"/>
          <w:color w:val="auto"/>
          <w:szCs w:val="24"/>
        </w:rPr>
        <w:t xml:space="preserve"> </w:t>
      </w:r>
      <w:r w:rsidR="002577AC">
        <w:rPr>
          <w:rFonts w:asciiTheme="minorHAnsi" w:hAnsiTheme="minorHAnsi"/>
          <w:color w:val="auto"/>
          <w:szCs w:val="24"/>
        </w:rPr>
        <w:t xml:space="preserve">clinically or occupationally significant </w:t>
      </w:r>
      <w:r w:rsidRPr="00EF1C53">
        <w:rPr>
          <w:rFonts w:asciiTheme="minorHAnsi" w:hAnsiTheme="minorHAnsi"/>
          <w:color w:val="auto"/>
          <w:szCs w:val="24"/>
        </w:rPr>
        <w:t xml:space="preserve">during the MEB period, none </w:t>
      </w:r>
      <w:r w:rsidRPr="003472E7">
        <w:rPr>
          <w:rFonts w:asciiTheme="minorHAnsi" w:hAnsiTheme="minorHAnsi"/>
          <w:color w:val="auto"/>
          <w:szCs w:val="24"/>
        </w:rPr>
        <w:t>carried attached profiles</w:t>
      </w:r>
      <w:r w:rsidR="003472E7" w:rsidRPr="003472E7">
        <w:rPr>
          <w:rFonts w:asciiTheme="minorHAnsi" w:hAnsiTheme="minorHAnsi"/>
          <w:color w:val="auto"/>
          <w:szCs w:val="24"/>
        </w:rPr>
        <w:t xml:space="preserve">, </w:t>
      </w:r>
      <w:r w:rsidR="00FA798D">
        <w:rPr>
          <w:rFonts w:asciiTheme="minorHAnsi" w:hAnsiTheme="minorHAnsi"/>
          <w:color w:val="auto"/>
          <w:szCs w:val="24"/>
        </w:rPr>
        <w:t xml:space="preserve">none </w:t>
      </w:r>
      <w:r w:rsidRPr="003472E7">
        <w:rPr>
          <w:rFonts w:asciiTheme="minorHAnsi" w:hAnsiTheme="minorHAnsi"/>
          <w:color w:val="auto"/>
          <w:szCs w:val="24"/>
        </w:rPr>
        <w:t xml:space="preserve">were the bases for limited duty and none </w:t>
      </w:r>
      <w:r w:rsidR="003472E7" w:rsidRPr="003472E7">
        <w:rPr>
          <w:rFonts w:asciiTheme="minorHAnsi" w:hAnsiTheme="minorHAnsi"/>
          <w:color w:val="auto"/>
          <w:szCs w:val="24"/>
        </w:rPr>
        <w:t>w</w:t>
      </w:r>
      <w:r w:rsidRPr="003472E7">
        <w:rPr>
          <w:rFonts w:asciiTheme="minorHAnsi" w:hAnsiTheme="minorHAnsi"/>
          <w:color w:val="auto"/>
          <w:szCs w:val="24"/>
        </w:rPr>
        <w:t>ere implicated in the NMA</w:t>
      </w:r>
      <w:r w:rsidRPr="00EF1C53">
        <w:rPr>
          <w:rFonts w:asciiTheme="minorHAnsi" w:hAnsiTheme="minorHAnsi"/>
          <w:color w:val="auto"/>
          <w:szCs w:val="24"/>
        </w:rPr>
        <w:t xml:space="preserve">.  These conditions were reviewed by the action officer and considered by the Board.  It was determined that none could be argued as unfitting and subject to separation rating.  </w:t>
      </w:r>
    </w:p>
    <w:p w:rsidR="00EF1C53" w:rsidRPr="00EF1C53" w:rsidRDefault="00EF1C53" w:rsidP="00EF1C53">
      <w:pPr>
        <w:pBdr>
          <w:bottom w:val="single" w:sz="12" w:space="1" w:color="auto"/>
        </w:pBdr>
        <w:tabs>
          <w:tab w:val="left" w:pos="288"/>
          <w:tab w:val="left" w:pos="4752"/>
        </w:tabs>
        <w:spacing w:line="240" w:lineRule="exact"/>
        <w:jc w:val="both"/>
        <w:rPr>
          <w:rFonts w:asciiTheme="minorHAnsi" w:hAnsiTheme="minorHAnsi"/>
          <w:b/>
          <w:color w:val="auto"/>
          <w:u w:val="single"/>
        </w:rPr>
      </w:pPr>
    </w:p>
    <w:p w:rsidR="00EF1C53" w:rsidRPr="00EF1C53" w:rsidRDefault="00EF1C53" w:rsidP="00EF1C53">
      <w:pPr>
        <w:spacing w:line="240" w:lineRule="exact"/>
        <w:rPr>
          <w:rFonts w:asciiTheme="minorHAnsi" w:hAnsiTheme="minorHAnsi"/>
          <w:b/>
          <w:color w:val="auto"/>
          <w:szCs w:val="24"/>
          <w:u w:val="single"/>
        </w:rPr>
      </w:pPr>
    </w:p>
    <w:p w:rsidR="00C97D0A" w:rsidRPr="00396779" w:rsidRDefault="00EF1C53" w:rsidP="00C97D0A">
      <w:pPr>
        <w:spacing w:line="240" w:lineRule="exact"/>
        <w:jc w:val="both"/>
        <w:rPr>
          <w:rFonts w:asciiTheme="minorHAnsi" w:hAnsiTheme="minorHAnsi"/>
          <w:color w:val="auto"/>
          <w:szCs w:val="24"/>
        </w:rPr>
      </w:pPr>
      <w:r w:rsidRPr="00EF1C53">
        <w:rPr>
          <w:rFonts w:asciiTheme="minorHAnsi" w:hAnsiTheme="minorHAnsi"/>
          <w:color w:val="auto"/>
          <w:szCs w:val="24"/>
          <w:u w:val="single"/>
        </w:rPr>
        <w:t>BOARD FINDINGS</w:t>
      </w:r>
      <w:r w:rsidRPr="00EF1C53">
        <w:rPr>
          <w:rFonts w:asciiTheme="minorHAnsi" w:hAnsiTheme="minorHAnsi"/>
          <w:color w:val="auto"/>
          <w:szCs w:val="24"/>
        </w:rPr>
        <w:t>:</w:t>
      </w:r>
      <w:r w:rsidRPr="00EF1C53">
        <w:rPr>
          <w:rFonts w:asciiTheme="minorHAnsi" w:eastAsiaTheme="minorHAnsi" w:hAnsiTheme="minorHAnsi"/>
          <w:color w:val="auto"/>
          <w:szCs w:val="24"/>
        </w:rPr>
        <w:t xml:space="preserve">  IAW </w:t>
      </w:r>
      <w:proofErr w:type="spellStart"/>
      <w:r w:rsidRPr="00EF1C53">
        <w:rPr>
          <w:rFonts w:asciiTheme="minorHAnsi" w:eastAsiaTheme="minorHAnsi" w:hAnsiTheme="minorHAnsi"/>
          <w:color w:val="auto"/>
          <w:szCs w:val="24"/>
        </w:rPr>
        <w:t>DoDI</w:t>
      </w:r>
      <w:proofErr w:type="spellEnd"/>
      <w:r w:rsidRPr="00EF1C53">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4F4FB8">
        <w:rPr>
          <w:rFonts w:asciiTheme="minorHAnsi" w:eastAsiaTheme="minorHAnsi" w:hAnsiTheme="minorHAnsi"/>
          <w:color w:val="auto"/>
          <w:szCs w:val="24"/>
        </w:rPr>
        <w:t xml:space="preserve">  </w:t>
      </w:r>
      <w:r w:rsidR="00C97D0A" w:rsidRPr="00396779">
        <w:rPr>
          <w:rFonts w:asciiTheme="minorHAnsi" w:eastAsiaTheme="minorHAnsi" w:hAnsiTheme="minorHAnsi"/>
          <w:color w:val="auto"/>
          <w:szCs w:val="24"/>
        </w:rPr>
        <w:t xml:space="preserve">In the matter of the </w:t>
      </w:r>
      <w:r w:rsidR="00294E8B">
        <w:rPr>
          <w:rFonts w:asciiTheme="minorHAnsi" w:eastAsiaTheme="minorHAnsi" w:hAnsiTheme="minorHAnsi"/>
          <w:color w:val="auto"/>
          <w:szCs w:val="24"/>
        </w:rPr>
        <w:t>bilateral hammer toe</w:t>
      </w:r>
      <w:r w:rsidR="00C97D0A" w:rsidRPr="00396779">
        <w:rPr>
          <w:rFonts w:asciiTheme="minorHAnsi" w:eastAsiaTheme="minorHAnsi" w:hAnsiTheme="minorHAnsi"/>
          <w:color w:val="auto"/>
          <w:szCs w:val="24"/>
        </w:rPr>
        <w:t xml:space="preserve"> condition, the Board </w:t>
      </w:r>
      <w:r w:rsidR="00C97D0A" w:rsidRPr="00294E8B">
        <w:rPr>
          <w:rFonts w:asciiTheme="minorHAnsi" w:eastAsiaTheme="minorHAnsi" w:hAnsiTheme="minorHAnsi"/>
          <w:color w:val="auto"/>
          <w:szCs w:val="24"/>
        </w:rPr>
        <w:t>unanimously</w:t>
      </w:r>
      <w:r w:rsidR="00C97D0A" w:rsidRPr="00396779">
        <w:rPr>
          <w:rFonts w:asciiTheme="minorHAnsi" w:eastAsiaTheme="minorHAnsi" w:hAnsiTheme="minorHAnsi"/>
          <w:color w:val="auto"/>
          <w:szCs w:val="24"/>
        </w:rPr>
        <w:t xml:space="preserve"> recommends no </w:t>
      </w:r>
      <w:proofErr w:type="spellStart"/>
      <w:r w:rsidR="00C97D0A" w:rsidRPr="00396779">
        <w:rPr>
          <w:rFonts w:asciiTheme="minorHAnsi" w:eastAsiaTheme="minorHAnsi" w:hAnsiTheme="minorHAnsi"/>
          <w:color w:val="auto"/>
          <w:szCs w:val="24"/>
        </w:rPr>
        <w:t>recharacterization</w:t>
      </w:r>
      <w:proofErr w:type="spellEnd"/>
      <w:r w:rsidR="00C97D0A" w:rsidRPr="00396779">
        <w:rPr>
          <w:rFonts w:asciiTheme="minorHAnsi" w:eastAsiaTheme="minorHAnsi" w:hAnsiTheme="minorHAnsi"/>
          <w:color w:val="auto"/>
          <w:szCs w:val="24"/>
        </w:rPr>
        <w:t xml:space="preserve"> of the PEB adjudication.</w:t>
      </w:r>
      <w:r w:rsidR="00C97D0A">
        <w:rPr>
          <w:rFonts w:asciiTheme="minorHAnsi" w:eastAsiaTheme="minorHAnsi" w:hAnsiTheme="minorHAnsi"/>
          <w:color w:val="auto"/>
          <w:szCs w:val="24"/>
        </w:rPr>
        <w:t xml:space="preserve">  </w:t>
      </w:r>
      <w:r w:rsidR="00C97D0A" w:rsidRPr="00396779">
        <w:rPr>
          <w:rFonts w:asciiTheme="minorHAnsi" w:hAnsiTheme="minorHAnsi"/>
          <w:color w:val="auto"/>
          <w:szCs w:val="24"/>
        </w:rPr>
        <w:t xml:space="preserve">In the matter of the </w:t>
      </w:r>
      <w:r w:rsidR="00294E8B" w:rsidRPr="00926F7E">
        <w:rPr>
          <w:rFonts w:asciiTheme="minorHAnsi" w:hAnsiTheme="minorHAnsi"/>
          <w:color w:val="auto"/>
          <w:szCs w:val="24"/>
        </w:rPr>
        <w:t>back pain,</w:t>
      </w:r>
      <w:r w:rsidR="00294E8B">
        <w:rPr>
          <w:rFonts w:asciiTheme="minorHAnsi" w:hAnsiTheme="minorHAnsi"/>
          <w:color w:val="auto"/>
          <w:szCs w:val="24"/>
        </w:rPr>
        <w:t xml:space="preserve"> bilateral s</w:t>
      </w:r>
      <w:r w:rsidR="00294E8B" w:rsidRPr="00926F7E">
        <w:rPr>
          <w:rFonts w:asciiTheme="minorHAnsi" w:hAnsiTheme="minorHAnsi"/>
          <w:color w:val="auto"/>
          <w:szCs w:val="24"/>
        </w:rPr>
        <w:t>houlder strain</w:t>
      </w:r>
      <w:r w:rsidR="00294E8B">
        <w:rPr>
          <w:rFonts w:asciiTheme="minorHAnsi" w:hAnsiTheme="minorHAnsi"/>
          <w:color w:val="auto"/>
          <w:szCs w:val="24"/>
        </w:rPr>
        <w:t xml:space="preserve">, </w:t>
      </w:r>
      <w:r w:rsidR="00294E8B" w:rsidRPr="00926F7E">
        <w:rPr>
          <w:rFonts w:asciiTheme="minorHAnsi" w:hAnsiTheme="minorHAnsi"/>
          <w:color w:val="auto"/>
          <w:szCs w:val="24"/>
        </w:rPr>
        <w:t xml:space="preserve">sleep </w:t>
      </w:r>
      <w:r w:rsidR="00294E8B">
        <w:rPr>
          <w:rFonts w:asciiTheme="minorHAnsi" w:hAnsiTheme="minorHAnsi"/>
          <w:color w:val="auto"/>
          <w:szCs w:val="24"/>
        </w:rPr>
        <w:t>disorder</w:t>
      </w:r>
      <w:r w:rsidR="00294E8B" w:rsidRPr="00926F7E">
        <w:rPr>
          <w:rFonts w:asciiTheme="minorHAnsi" w:hAnsiTheme="minorHAnsi"/>
          <w:color w:val="auto"/>
          <w:szCs w:val="24"/>
        </w:rPr>
        <w:t xml:space="preserve">, </w:t>
      </w:r>
      <w:r w:rsidR="00294E8B">
        <w:rPr>
          <w:rFonts w:asciiTheme="minorHAnsi" w:hAnsiTheme="minorHAnsi"/>
          <w:color w:val="auto"/>
          <w:szCs w:val="24"/>
        </w:rPr>
        <w:t xml:space="preserve">GERD and tinnitus </w:t>
      </w:r>
      <w:r w:rsidR="00C97D0A" w:rsidRPr="00294E8B">
        <w:rPr>
          <w:rFonts w:asciiTheme="minorHAnsi" w:hAnsiTheme="minorHAnsi"/>
          <w:color w:val="auto"/>
          <w:szCs w:val="24"/>
        </w:rPr>
        <w:t>conditions</w:t>
      </w:r>
      <w:r w:rsidR="00C97D0A" w:rsidRPr="00396779">
        <w:rPr>
          <w:rFonts w:asciiTheme="minorHAnsi" w:hAnsiTheme="minorHAnsi"/>
          <w:color w:val="auto"/>
          <w:szCs w:val="24"/>
        </w:rPr>
        <w:t xml:space="preserve"> or any other medical conditions eligible for Board consideration</w:t>
      </w:r>
      <w:r w:rsidR="008508C4">
        <w:rPr>
          <w:rFonts w:asciiTheme="minorHAnsi" w:hAnsiTheme="minorHAnsi"/>
          <w:color w:val="auto"/>
          <w:szCs w:val="24"/>
        </w:rPr>
        <w:t>,</w:t>
      </w:r>
      <w:r w:rsidR="00C97D0A" w:rsidRPr="00396779">
        <w:rPr>
          <w:rFonts w:asciiTheme="minorHAnsi" w:hAnsiTheme="minorHAnsi"/>
          <w:color w:val="auto"/>
          <w:szCs w:val="24"/>
        </w:rPr>
        <w:t xml:space="preserve"> the Board </w:t>
      </w:r>
      <w:r w:rsidR="00C97D0A" w:rsidRPr="00294E8B">
        <w:rPr>
          <w:rFonts w:asciiTheme="minorHAnsi" w:hAnsiTheme="minorHAnsi"/>
          <w:color w:val="auto"/>
          <w:szCs w:val="24"/>
        </w:rPr>
        <w:t xml:space="preserve">unanimously </w:t>
      </w:r>
      <w:r w:rsidR="00C97D0A" w:rsidRPr="00396779">
        <w:rPr>
          <w:rFonts w:asciiTheme="minorHAnsi" w:hAnsiTheme="minorHAnsi"/>
          <w:color w:val="auto"/>
          <w:szCs w:val="24"/>
        </w:rPr>
        <w:t>agrees that it cannot</w:t>
      </w:r>
      <w:r w:rsidR="00C97D0A" w:rsidRPr="00294E8B">
        <w:rPr>
          <w:rFonts w:asciiTheme="minorHAnsi" w:hAnsiTheme="minorHAnsi"/>
          <w:color w:val="auto"/>
          <w:szCs w:val="24"/>
        </w:rPr>
        <w:t xml:space="preserve"> </w:t>
      </w:r>
      <w:r w:rsidR="00C97D0A" w:rsidRPr="00396779">
        <w:rPr>
          <w:rFonts w:asciiTheme="minorHAnsi" w:hAnsiTheme="minorHAnsi"/>
          <w:color w:val="auto"/>
          <w:szCs w:val="24"/>
        </w:rPr>
        <w:t>recommend any findings of unfit for additional rating at separation.</w:t>
      </w:r>
    </w:p>
    <w:p w:rsidR="00E5503A" w:rsidRPr="00EF1C53" w:rsidRDefault="00E5503A" w:rsidP="00EF1C53">
      <w:pPr>
        <w:pBdr>
          <w:bottom w:val="single" w:sz="12" w:space="1" w:color="auto"/>
        </w:pBdr>
        <w:tabs>
          <w:tab w:val="left" w:pos="288"/>
          <w:tab w:val="left" w:pos="4752"/>
        </w:tabs>
        <w:spacing w:line="240" w:lineRule="exact"/>
        <w:jc w:val="both"/>
        <w:rPr>
          <w:rFonts w:asciiTheme="minorHAnsi" w:hAnsiTheme="minorHAnsi"/>
          <w:b/>
          <w:color w:val="auto"/>
          <w:u w:val="single"/>
        </w:rPr>
      </w:pPr>
    </w:p>
    <w:p w:rsidR="00EF1C53" w:rsidRPr="00EF1C53" w:rsidRDefault="00EF1C53" w:rsidP="003A1FD4">
      <w:pPr>
        <w:spacing w:line="240" w:lineRule="exact"/>
        <w:jc w:val="both"/>
        <w:rPr>
          <w:rFonts w:asciiTheme="minorHAnsi" w:hAnsiTheme="minorHAnsi"/>
          <w:b/>
          <w:color w:val="auto"/>
          <w:szCs w:val="24"/>
          <w:u w:val="single"/>
        </w:rPr>
      </w:pPr>
    </w:p>
    <w:p w:rsidR="00824535" w:rsidRDefault="00EF1C53" w:rsidP="00824535">
      <w:pPr>
        <w:jc w:val="both"/>
        <w:rPr>
          <w:rFonts w:ascii="Times New Roman" w:hAnsi="Times New Roman"/>
          <w:sz w:val="23"/>
          <w:szCs w:val="23"/>
        </w:rPr>
      </w:pPr>
      <w:r w:rsidRPr="00EF1C53">
        <w:rPr>
          <w:rFonts w:asciiTheme="minorHAnsi" w:hAnsiTheme="minorHAnsi"/>
          <w:color w:val="auto"/>
          <w:szCs w:val="24"/>
          <w:u w:val="single"/>
        </w:rPr>
        <w:t>RECOMMENDATION</w:t>
      </w:r>
      <w:r w:rsidRPr="00EF1C53">
        <w:rPr>
          <w:rFonts w:asciiTheme="minorHAnsi" w:hAnsiTheme="minorHAnsi"/>
          <w:color w:val="auto"/>
          <w:szCs w:val="24"/>
        </w:rPr>
        <w:t>:</w:t>
      </w:r>
      <w:r w:rsidRPr="00EF1C53">
        <w:rPr>
          <w:rFonts w:asciiTheme="minorHAnsi" w:hAnsiTheme="minorHAnsi"/>
          <w:color w:val="000080"/>
          <w:szCs w:val="24"/>
        </w:rPr>
        <w:t xml:space="preserve"> </w:t>
      </w:r>
      <w:r w:rsidR="00294E8B">
        <w:rPr>
          <w:rFonts w:asciiTheme="minorHAnsi" w:hAnsiTheme="minorHAnsi"/>
          <w:color w:val="000080"/>
          <w:szCs w:val="24"/>
        </w:rPr>
        <w:t xml:space="preserve"> </w:t>
      </w:r>
      <w:r w:rsidRPr="00EF1C53">
        <w:rPr>
          <w:rFonts w:asciiTheme="minorHAnsi" w:hAnsiTheme="minorHAnsi"/>
          <w:color w:val="auto"/>
          <w:szCs w:val="24"/>
        </w:rPr>
        <w:t xml:space="preserve">The Board therefore </w:t>
      </w:r>
      <w:r w:rsidRPr="00824535">
        <w:rPr>
          <w:rFonts w:asciiTheme="minorHAnsi" w:eastAsiaTheme="minorHAnsi" w:hAnsiTheme="minorHAnsi"/>
          <w:color w:val="auto"/>
          <w:szCs w:val="24"/>
        </w:rPr>
        <w:t xml:space="preserve">recommends </w:t>
      </w:r>
      <w:r w:rsidR="00824535" w:rsidRPr="00824535">
        <w:rPr>
          <w:rFonts w:asciiTheme="minorHAnsi" w:eastAsiaTheme="minorHAnsi" w:hAnsiTheme="minorHAnsi"/>
          <w:color w:val="auto"/>
          <w:szCs w:val="24"/>
        </w:rPr>
        <w:t xml:space="preserve">modification of the disability description without modification of the combined rating or </w:t>
      </w:r>
      <w:proofErr w:type="spellStart"/>
      <w:r w:rsidR="00824535" w:rsidRPr="00824535">
        <w:rPr>
          <w:rFonts w:asciiTheme="minorHAnsi" w:eastAsiaTheme="minorHAnsi" w:hAnsiTheme="minorHAnsi"/>
          <w:color w:val="auto"/>
          <w:szCs w:val="24"/>
        </w:rPr>
        <w:t>recharacterization</w:t>
      </w:r>
      <w:proofErr w:type="spellEnd"/>
      <w:r w:rsidR="00824535" w:rsidRPr="00824535">
        <w:rPr>
          <w:rFonts w:asciiTheme="minorHAnsi" w:eastAsiaTheme="minorHAnsi" w:hAnsiTheme="minorHAnsi"/>
          <w:color w:val="auto"/>
          <w:szCs w:val="24"/>
        </w:rPr>
        <w:t xml:space="preserve"> of separation</w:t>
      </w:r>
      <w:r w:rsidR="00824535">
        <w:rPr>
          <w:rFonts w:ascii="Times New Roman" w:hAnsi="Times New Roman"/>
          <w:sz w:val="23"/>
          <w:szCs w:val="23"/>
        </w:rPr>
        <w:t>.</w:t>
      </w:r>
    </w:p>
    <w:p w:rsidR="004F4FB8" w:rsidRPr="00AF01B2" w:rsidRDefault="004F4FB8" w:rsidP="00824535">
      <w:pPr>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4"/>
        <w:gridCol w:w="1656"/>
        <w:gridCol w:w="1724"/>
        <w:gridCol w:w="1084"/>
      </w:tblGrid>
      <w:tr w:rsidR="004F4FB8" w:rsidRPr="00AF01B2" w:rsidTr="004762E4">
        <w:trPr>
          <w:trHeight w:val="206"/>
          <w:jc w:val="center"/>
        </w:trPr>
        <w:tc>
          <w:tcPr>
            <w:tcW w:w="6660" w:type="dxa"/>
            <w:gridSpan w:val="2"/>
            <w:tcBorders>
              <w:right w:val="single" w:sz="4" w:space="0" w:color="auto"/>
            </w:tcBorders>
            <w:shd w:val="clear" w:color="auto" w:fill="D9D9D9"/>
            <w:vAlign w:val="center"/>
          </w:tcPr>
          <w:p w:rsidR="004F4FB8" w:rsidRPr="00AF01B2" w:rsidRDefault="004F4FB8" w:rsidP="004762E4">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24" w:type="dxa"/>
            <w:tcBorders>
              <w:left w:val="single" w:sz="4" w:space="0" w:color="auto"/>
            </w:tcBorders>
            <w:shd w:val="clear" w:color="auto" w:fill="D9D9D9"/>
            <w:vAlign w:val="center"/>
          </w:tcPr>
          <w:p w:rsidR="004F4FB8" w:rsidRPr="00AF01B2" w:rsidRDefault="004F4FB8" w:rsidP="004762E4">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084" w:type="dxa"/>
            <w:shd w:val="clear" w:color="auto" w:fill="D9D9D9"/>
            <w:vAlign w:val="center"/>
          </w:tcPr>
          <w:p w:rsidR="004F4FB8" w:rsidRPr="00AF01B2" w:rsidRDefault="004F4FB8" w:rsidP="004762E4">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4F4FB8" w:rsidRPr="00AF01B2" w:rsidTr="004762E4">
        <w:trPr>
          <w:jc w:val="center"/>
        </w:trPr>
        <w:tc>
          <w:tcPr>
            <w:tcW w:w="6660" w:type="dxa"/>
            <w:gridSpan w:val="2"/>
            <w:tcBorders>
              <w:right w:val="single" w:sz="4" w:space="0" w:color="auto"/>
            </w:tcBorders>
            <w:vAlign w:val="center"/>
          </w:tcPr>
          <w:p w:rsidR="004F4FB8" w:rsidRPr="00EF1C53" w:rsidRDefault="004F4FB8" w:rsidP="004762E4">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Right Hammer Toe</w:t>
            </w:r>
          </w:p>
        </w:tc>
        <w:tc>
          <w:tcPr>
            <w:tcW w:w="1724" w:type="dxa"/>
            <w:tcBorders>
              <w:left w:val="single" w:sz="4" w:space="0" w:color="auto"/>
            </w:tcBorders>
            <w:vAlign w:val="center"/>
          </w:tcPr>
          <w:p w:rsidR="004F4FB8" w:rsidRPr="00EF1C53" w:rsidRDefault="004F4FB8" w:rsidP="004762E4">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5282</w:t>
            </w:r>
          </w:p>
        </w:tc>
        <w:tc>
          <w:tcPr>
            <w:tcW w:w="1084" w:type="dxa"/>
            <w:vAlign w:val="center"/>
          </w:tcPr>
          <w:p w:rsidR="004F4FB8" w:rsidRPr="00EF1C53" w:rsidRDefault="004F4FB8" w:rsidP="004762E4">
            <w:pPr>
              <w:tabs>
                <w:tab w:val="left" w:pos="288"/>
                <w:tab w:val="left" w:pos="4752"/>
              </w:tabs>
              <w:spacing w:line="240" w:lineRule="exact"/>
              <w:jc w:val="center"/>
              <w:rPr>
                <w:rFonts w:asciiTheme="minorHAnsi" w:hAnsiTheme="minorHAnsi"/>
                <w:color w:val="auto"/>
                <w:szCs w:val="24"/>
              </w:rPr>
            </w:pPr>
            <w:r w:rsidRPr="00294E8B">
              <w:rPr>
                <w:rFonts w:asciiTheme="minorHAnsi" w:hAnsiTheme="minorHAnsi"/>
                <w:color w:val="auto"/>
                <w:szCs w:val="24"/>
              </w:rPr>
              <w:t>0</w:t>
            </w:r>
            <w:r w:rsidRPr="00EF1C53">
              <w:rPr>
                <w:rFonts w:asciiTheme="minorHAnsi" w:hAnsiTheme="minorHAnsi"/>
                <w:color w:val="auto"/>
                <w:szCs w:val="24"/>
              </w:rPr>
              <w:t>%</w:t>
            </w:r>
          </w:p>
        </w:tc>
      </w:tr>
      <w:tr w:rsidR="004F4FB8" w:rsidRPr="00AF01B2" w:rsidTr="004762E4">
        <w:trPr>
          <w:jc w:val="center"/>
        </w:trPr>
        <w:tc>
          <w:tcPr>
            <w:tcW w:w="6660" w:type="dxa"/>
            <w:gridSpan w:val="2"/>
            <w:tcBorders>
              <w:right w:val="single" w:sz="4" w:space="0" w:color="auto"/>
            </w:tcBorders>
            <w:vAlign w:val="center"/>
          </w:tcPr>
          <w:p w:rsidR="004F4FB8" w:rsidRDefault="004F4FB8" w:rsidP="004762E4">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Left Hammer Toe</w:t>
            </w:r>
          </w:p>
        </w:tc>
        <w:tc>
          <w:tcPr>
            <w:tcW w:w="1724" w:type="dxa"/>
            <w:tcBorders>
              <w:left w:val="single" w:sz="4" w:space="0" w:color="auto"/>
            </w:tcBorders>
            <w:vAlign w:val="center"/>
          </w:tcPr>
          <w:p w:rsidR="004F4FB8" w:rsidRPr="00EF1C53" w:rsidRDefault="004F4FB8" w:rsidP="004762E4">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5282</w:t>
            </w:r>
          </w:p>
        </w:tc>
        <w:tc>
          <w:tcPr>
            <w:tcW w:w="1084" w:type="dxa"/>
            <w:vAlign w:val="center"/>
          </w:tcPr>
          <w:p w:rsidR="004F4FB8" w:rsidRPr="00EF1C53" w:rsidRDefault="004F4FB8" w:rsidP="004762E4">
            <w:pPr>
              <w:tabs>
                <w:tab w:val="left" w:pos="288"/>
                <w:tab w:val="left" w:pos="4752"/>
              </w:tabs>
              <w:spacing w:line="240" w:lineRule="exact"/>
              <w:jc w:val="center"/>
              <w:rPr>
                <w:rFonts w:asciiTheme="minorHAnsi" w:hAnsiTheme="minorHAnsi"/>
                <w:color w:val="auto"/>
                <w:szCs w:val="24"/>
              </w:rPr>
            </w:pPr>
            <w:r w:rsidRPr="00294E8B">
              <w:rPr>
                <w:rFonts w:asciiTheme="minorHAnsi" w:hAnsiTheme="minorHAnsi"/>
                <w:color w:val="auto"/>
                <w:szCs w:val="24"/>
              </w:rPr>
              <w:t>0</w:t>
            </w:r>
            <w:r w:rsidRPr="00EF1C53">
              <w:rPr>
                <w:rFonts w:asciiTheme="minorHAnsi" w:hAnsiTheme="minorHAnsi"/>
                <w:color w:val="auto"/>
                <w:szCs w:val="24"/>
              </w:rPr>
              <w:t>%</w:t>
            </w:r>
          </w:p>
        </w:tc>
      </w:tr>
      <w:tr w:rsidR="004F4FB8" w:rsidRPr="00AF01B2" w:rsidTr="004762E4">
        <w:tblPrEx>
          <w:tblLook w:val="0000"/>
        </w:tblPrEx>
        <w:trPr>
          <w:gridBefore w:val="1"/>
          <w:wBefore w:w="5004"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4F4FB8" w:rsidRPr="00AF01B2" w:rsidRDefault="004F4FB8" w:rsidP="004762E4">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 (Incorporating BLF)</w:t>
            </w:r>
          </w:p>
        </w:tc>
        <w:tc>
          <w:tcPr>
            <w:tcW w:w="1084" w:type="dxa"/>
            <w:tcBorders>
              <w:bottom w:val="single" w:sz="4" w:space="0" w:color="000000"/>
            </w:tcBorders>
            <w:shd w:val="clear" w:color="auto" w:fill="D9D9D9" w:themeFill="background1" w:themeFillShade="D9"/>
            <w:vAlign w:val="center"/>
          </w:tcPr>
          <w:p w:rsidR="004F4FB8" w:rsidRPr="00AF01B2" w:rsidRDefault="004F4FB8" w:rsidP="004762E4">
            <w:pPr>
              <w:tabs>
                <w:tab w:val="left" w:pos="288"/>
                <w:tab w:val="left" w:pos="4752"/>
              </w:tabs>
              <w:spacing w:line="240" w:lineRule="exact"/>
              <w:jc w:val="center"/>
              <w:rPr>
                <w:rFonts w:asciiTheme="minorHAnsi" w:hAnsiTheme="minorHAnsi"/>
                <w:b/>
                <w:color w:val="auto"/>
                <w:szCs w:val="24"/>
              </w:rPr>
            </w:pPr>
            <w:r w:rsidRPr="004F4FB8">
              <w:rPr>
                <w:rFonts w:asciiTheme="minorHAnsi" w:hAnsiTheme="minorHAnsi"/>
                <w:b/>
                <w:color w:val="auto"/>
                <w:szCs w:val="24"/>
              </w:rPr>
              <w:t>0</w:t>
            </w:r>
            <w:r w:rsidRPr="00AF01B2">
              <w:rPr>
                <w:rFonts w:asciiTheme="minorHAnsi" w:hAnsiTheme="minorHAnsi"/>
                <w:b/>
                <w:color w:val="auto"/>
                <w:szCs w:val="24"/>
              </w:rPr>
              <w:t>%</w:t>
            </w:r>
          </w:p>
        </w:tc>
      </w:tr>
    </w:tbl>
    <w:p w:rsidR="00106AD8" w:rsidRPr="00D07B1F"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0020D3" w:rsidRDefault="000020D3">
      <w:pPr>
        <w:rPr>
          <w:rFonts w:asciiTheme="minorHAnsi" w:hAnsiTheme="minorHAnsi"/>
          <w:color w:val="auto"/>
        </w:rPr>
      </w:pPr>
    </w:p>
    <w:p w:rsidR="00D91DA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11704" w:rsidRPr="00006186" w:rsidRDefault="00E11704"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C97596">
        <w:rPr>
          <w:rFonts w:asciiTheme="minorHAnsi" w:hAnsiTheme="minorHAnsi"/>
          <w:color w:val="auto"/>
        </w:rPr>
        <w:t>100819</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3A1FD4" w:rsidRPr="003A1FD4" w:rsidRDefault="003A1FD4" w:rsidP="003A1FD4">
      <w:pPr>
        <w:tabs>
          <w:tab w:val="left" w:pos="4680"/>
          <w:tab w:val="left" w:pos="4950"/>
        </w:tabs>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sidR="00690C8D">
        <w:rPr>
          <w:rFonts w:asciiTheme="minorHAnsi" w:hAnsiTheme="minorHAnsi"/>
          <w:color w:val="auto"/>
        </w:rPr>
        <w:t xml:space="preserve"> </w:t>
      </w:r>
    </w:p>
    <w:p w:rsidR="003A1FD4" w:rsidRDefault="003A1FD4" w:rsidP="003A1FD4">
      <w:pPr>
        <w:tabs>
          <w:tab w:val="left" w:pos="4680"/>
          <w:tab w:val="left" w:pos="4950"/>
        </w:tabs>
        <w:rPr>
          <w:rFonts w:asciiTheme="minorHAnsi" w:hAnsiTheme="minorHAnsi"/>
          <w:color w:val="auto"/>
        </w:rPr>
      </w:pPr>
      <w:r w:rsidRPr="003A1FD4">
        <w:rPr>
          <w:rFonts w:asciiTheme="minorHAnsi" w:hAnsiTheme="minorHAnsi"/>
          <w:color w:val="auto"/>
        </w:rPr>
        <w:tab/>
        <w:t>President, Physical Disability Board of Review</w:t>
      </w:r>
    </w:p>
    <w:p w:rsidR="00690C8D" w:rsidRDefault="00690C8D">
      <w:pPr>
        <w:rPr>
          <w:rFonts w:asciiTheme="minorHAnsi" w:hAnsiTheme="minorHAnsi"/>
          <w:color w:val="auto"/>
        </w:rPr>
      </w:pPr>
      <w:r>
        <w:rPr>
          <w:rFonts w:asciiTheme="minorHAnsi" w:hAnsiTheme="minorHAnsi"/>
          <w:color w:val="auto"/>
        </w:rPr>
        <w:br w:type="page"/>
      </w:r>
    </w:p>
    <w:p w:rsidR="00690C8D" w:rsidRPr="00690C8D" w:rsidRDefault="00690C8D" w:rsidP="00690C8D">
      <w:pPr>
        <w:tabs>
          <w:tab w:val="left" w:pos="4680"/>
          <w:tab w:val="left" w:pos="4950"/>
        </w:tabs>
        <w:rPr>
          <w:rFonts w:asciiTheme="minorHAnsi" w:hAnsiTheme="minorHAnsi"/>
          <w:color w:val="auto"/>
        </w:rPr>
      </w:pPr>
      <w:r w:rsidRPr="00690C8D">
        <w:rPr>
          <w:rFonts w:asciiTheme="minorHAnsi" w:hAnsiTheme="minorHAnsi"/>
          <w:color w:val="auto"/>
        </w:rPr>
        <w:lastRenderedPageBreak/>
        <w:t xml:space="preserve">MEMORANDUM FOR DIRECTOR, SECRETARY OF THE NAVY COUNCIL OF REVIEW </w:t>
      </w:r>
    </w:p>
    <w:p w:rsidR="00690C8D" w:rsidRPr="00690C8D" w:rsidRDefault="00690C8D" w:rsidP="00690C8D">
      <w:pPr>
        <w:tabs>
          <w:tab w:val="left" w:pos="4680"/>
          <w:tab w:val="left" w:pos="4950"/>
        </w:tabs>
        <w:rPr>
          <w:rFonts w:asciiTheme="minorHAnsi" w:hAnsiTheme="minorHAnsi"/>
          <w:color w:val="auto"/>
        </w:rPr>
      </w:pPr>
      <w:r w:rsidRPr="00690C8D">
        <w:rPr>
          <w:rFonts w:asciiTheme="minorHAnsi" w:hAnsiTheme="minorHAnsi"/>
          <w:color w:val="auto"/>
        </w:rPr>
        <w:t xml:space="preserve">                                         BOARDS </w:t>
      </w:r>
    </w:p>
    <w:p w:rsidR="00690C8D" w:rsidRPr="00690C8D" w:rsidRDefault="00690C8D" w:rsidP="00690C8D">
      <w:pPr>
        <w:tabs>
          <w:tab w:val="left" w:pos="4680"/>
          <w:tab w:val="left" w:pos="4950"/>
        </w:tabs>
        <w:rPr>
          <w:rFonts w:asciiTheme="minorHAnsi" w:hAnsiTheme="minorHAnsi"/>
          <w:color w:val="auto"/>
        </w:rPr>
      </w:pPr>
    </w:p>
    <w:p w:rsidR="00690C8D" w:rsidRPr="00690C8D" w:rsidRDefault="00690C8D" w:rsidP="00690C8D">
      <w:pPr>
        <w:tabs>
          <w:tab w:val="left" w:pos="4680"/>
          <w:tab w:val="left" w:pos="4950"/>
        </w:tabs>
        <w:rPr>
          <w:rFonts w:asciiTheme="minorHAnsi" w:hAnsiTheme="minorHAnsi"/>
          <w:color w:val="auto"/>
        </w:rPr>
      </w:pPr>
      <w:proofErr w:type="spellStart"/>
      <w:r w:rsidRPr="00690C8D">
        <w:rPr>
          <w:rFonts w:asciiTheme="minorHAnsi" w:hAnsiTheme="minorHAnsi"/>
          <w:color w:val="auto"/>
        </w:rPr>
        <w:t>Subj</w:t>
      </w:r>
      <w:proofErr w:type="spellEnd"/>
      <w:r w:rsidRPr="00690C8D">
        <w:rPr>
          <w:rFonts w:asciiTheme="minorHAnsi" w:hAnsiTheme="minorHAnsi"/>
          <w:color w:val="auto"/>
        </w:rPr>
        <w:t>:  PHYSICAL DISABILITY BOARD OF REVIEW (PDBR) RECOMMENDATION</w:t>
      </w:r>
    </w:p>
    <w:p w:rsidR="00690C8D" w:rsidRPr="00690C8D" w:rsidRDefault="00690C8D" w:rsidP="00690C8D">
      <w:pPr>
        <w:tabs>
          <w:tab w:val="left" w:pos="4680"/>
          <w:tab w:val="left" w:pos="4950"/>
        </w:tabs>
        <w:rPr>
          <w:rFonts w:asciiTheme="minorHAnsi" w:hAnsiTheme="minorHAnsi"/>
          <w:color w:val="auto"/>
        </w:rPr>
      </w:pPr>
      <w:r w:rsidRPr="00690C8D">
        <w:rPr>
          <w:rFonts w:asciiTheme="minorHAnsi" w:hAnsiTheme="minorHAnsi"/>
          <w:color w:val="auto"/>
        </w:rPr>
        <w:t xml:space="preserve">    </w:t>
      </w:r>
      <w:r w:rsidRPr="00690C8D">
        <w:rPr>
          <w:rFonts w:asciiTheme="minorHAnsi" w:hAnsiTheme="minorHAnsi"/>
          <w:color w:val="auto"/>
        </w:rPr>
        <w:tab/>
      </w:r>
      <w:r w:rsidRPr="00690C8D">
        <w:rPr>
          <w:rFonts w:asciiTheme="minorHAnsi" w:hAnsiTheme="minorHAnsi"/>
          <w:color w:val="auto"/>
        </w:rPr>
        <w:tab/>
      </w:r>
      <w:r>
        <w:rPr>
          <w:rFonts w:asciiTheme="minorHAnsi" w:hAnsiTheme="minorHAnsi"/>
          <w:color w:val="auto"/>
        </w:rPr>
        <w:t xml:space="preserve"> </w:t>
      </w:r>
    </w:p>
    <w:p w:rsidR="00690C8D" w:rsidRPr="00690C8D" w:rsidRDefault="00690C8D" w:rsidP="00690C8D">
      <w:pPr>
        <w:tabs>
          <w:tab w:val="left" w:pos="4680"/>
          <w:tab w:val="left" w:pos="4950"/>
        </w:tabs>
        <w:rPr>
          <w:rFonts w:asciiTheme="minorHAnsi" w:hAnsiTheme="minorHAnsi"/>
          <w:color w:val="auto"/>
        </w:rPr>
      </w:pPr>
    </w:p>
    <w:p w:rsidR="00690C8D" w:rsidRPr="00690C8D" w:rsidRDefault="00690C8D" w:rsidP="00690C8D">
      <w:pPr>
        <w:tabs>
          <w:tab w:val="left" w:pos="4680"/>
          <w:tab w:val="left" w:pos="4950"/>
        </w:tabs>
        <w:rPr>
          <w:rFonts w:asciiTheme="minorHAnsi" w:hAnsiTheme="minorHAnsi"/>
          <w:color w:val="auto"/>
        </w:rPr>
      </w:pPr>
      <w:r w:rsidRPr="00690C8D">
        <w:rPr>
          <w:rFonts w:asciiTheme="minorHAnsi" w:hAnsiTheme="minorHAnsi"/>
          <w:color w:val="auto"/>
        </w:rPr>
        <w:t xml:space="preserve">Ref:   (a) </w:t>
      </w:r>
      <w:proofErr w:type="spellStart"/>
      <w:r w:rsidRPr="00690C8D">
        <w:rPr>
          <w:rFonts w:asciiTheme="minorHAnsi" w:hAnsiTheme="minorHAnsi"/>
          <w:color w:val="auto"/>
        </w:rPr>
        <w:t>DoDI</w:t>
      </w:r>
      <w:proofErr w:type="spellEnd"/>
      <w:r w:rsidRPr="00690C8D">
        <w:rPr>
          <w:rFonts w:asciiTheme="minorHAnsi" w:hAnsiTheme="minorHAnsi"/>
          <w:color w:val="auto"/>
        </w:rPr>
        <w:t xml:space="preserve"> 6040.44</w:t>
      </w:r>
    </w:p>
    <w:p w:rsidR="00690C8D" w:rsidRPr="00690C8D" w:rsidRDefault="00690C8D" w:rsidP="00690C8D">
      <w:pPr>
        <w:tabs>
          <w:tab w:val="left" w:pos="4680"/>
          <w:tab w:val="left" w:pos="4950"/>
        </w:tabs>
        <w:rPr>
          <w:rFonts w:asciiTheme="minorHAnsi" w:hAnsiTheme="minorHAnsi"/>
          <w:color w:val="auto"/>
        </w:rPr>
      </w:pPr>
      <w:r w:rsidRPr="00690C8D">
        <w:rPr>
          <w:rFonts w:asciiTheme="minorHAnsi" w:hAnsiTheme="minorHAnsi"/>
          <w:color w:val="auto"/>
        </w:rPr>
        <w:t xml:space="preserve">          (b) PDBR </w:t>
      </w:r>
      <w:proofErr w:type="spellStart"/>
      <w:r w:rsidRPr="00690C8D">
        <w:rPr>
          <w:rFonts w:asciiTheme="minorHAnsi" w:hAnsiTheme="minorHAnsi"/>
          <w:color w:val="auto"/>
        </w:rPr>
        <w:t>ltr</w:t>
      </w:r>
      <w:proofErr w:type="spellEnd"/>
      <w:r w:rsidRPr="00690C8D">
        <w:rPr>
          <w:rFonts w:asciiTheme="minorHAnsi" w:hAnsiTheme="minorHAnsi"/>
          <w:color w:val="auto"/>
        </w:rPr>
        <w:t xml:space="preserve"> </w:t>
      </w:r>
      <w:proofErr w:type="spellStart"/>
      <w:r w:rsidRPr="00690C8D">
        <w:rPr>
          <w:rFonts w:asciiTheme="minorHAnsi" w:hAnsiTheme="minorHAnsi"/>
          <w:color w:val="auto"/>
        </w:rPr>
        <w:t>dtd</w:t>
      </w:r>
      <w:proofErr w:type="spellEnd"/>
      <w:r w:rsidRPr="00690C8D">
        <w:rPr>
          <w:rFonts w:asciiTheme="minorHAnsi" w:hAnsiTheme="minorHAnsi"/>
          <w:color w:val="auto"/>
        </w:rPr>
        <w:t xml:space="preserve"> 23 Aug 11</w:t>
      </w:r>
    </w:p>
    <w:p w:rsidR="00690C8D" w:rsidRPr="00690C8D" w:rsidRDefault="00690C8D" w:rsidP="00690C8D">
      <w:pPr>
        <w:tabs>
          <w:tab w:val="left" w:pos="4680"/>
          <w:tab w:val="left" w:pos="4950"/>
        </w:tabs>
        <w:rPr>
          <w:rFonts w:asciiTheme="minorHAnsi" w:hAnsiTheme="minorHAnsi"/>
          <w:color w:val="auto"/>
        </w:rPr>
      </w:pPr>
    </w:p>
    <w:p w:rsidR="00690C8D" w:rsidRPr="00690C8D" w:rsidRDefault="00690C8D" w:rsidP="00690C8D">
      <w:pPr>
        <w:tabs>
          <w:tab w:val="left" w:pos="4680"/>
          <w:tab w:val="left" w:pos="4950"/>
        </w:tabs>
        <w:rPr>
          <w:rFonts w:asciiTheme="minorHAnsi" w:hAnsiTheme="minorHAnsi"/>
          <w:color w:val="auto"/>
        </w:rPr>
      </w:pPr>
      <w:r w:rsidRPr="00690C8D">
        <w:rPr>
          <w:rFonts w:asciiTheme="minorHAnsi" w:hAnsiTheme="minorHAnsi"/>
          <w:color w:val="auto"/>
        </w:rPr>
        <w:t xml:space="preserve">      I have reviewed the subject case pursuant to reference (a) and, for the reasons set forth in reference (b), approve the recommendation of the Physical Disability Board of Review </w:t>
      </w:r>
      <w:r>
        <w:rPr>
          <w:rFonts w:asciiTheme="minorHAnsi" w:hAnsiTheme="minorHAnsi"/>
          <w:color w:val="auto"/>
        </w:rPr>
        <w:t xml:space="preserve">XXXXX </w:t>
      </w:r>
      <w:r w:rsidRPr="00690C8D">
        <w:rPr>
          <w:rFonts w:asciiTheme="minorHAnsi" w:hAnsiTheme="minorHAnsi"/>
          <w:color w:val="auto"/>
        </w:rPr>
        <w:t xml:space="preserve"> records not be corrected to reflect a change in either his characterization of separation or in the disability rating previously assigned by the Department of the Navy’s Physical Evaluation Board.</w:t>
      </w:r>
    </w:p>
    <w:p w:rsidR="00690C8D" w:rsidRPr="00690C8D" w:rsidRDefault="00690C8D" w:rsidP="00690C8D">
      <w:pPr>
        <w:tabs>
          <w:tab w:val="left" w:pos="4680"/>
          <w:tab w:val="left" w:pos="4950"/>
        </w:tabs>
        <w:rPr>
          <w:rFonts w:asciiTheme="minorHAnsi" w:hAnsiTheme="minorHAnsi"/>
          <w:color w:val="auto"/>
        </w:rPr>
      </w:pPr>
    </w:p>
    <w:p w:rsidR="00690C8D" w:rsidRPr="00690C8D" w:rsidRDefault="00690C8D" w:rsidP="00690C8D">
      <w:pPr>
        <w:tabs>
          <w:tab w:val="left" w:pos="4680"/>
          <w:tab w:val="left" w:pos="4950"/>
        </w:tabs>
        <w:rPr>
          <w:rFonts w:asciiTheme="minorHAnsi" w:hAnsiTheme="minorHAnsi"/>
          <w:color w:val="auto"/>
        </w:rPr>
      </w:pPr>
    </w:p>
    <w:p w:rsidR="00690C8D" w:rsidRPr="00690C8D" w:rsidRDefault="00690C8D" w:rsidP="00690C8D">
      <w:pPr>
        <w:tabs>
          <w:tab w:val="left" w:pos="4680"/>
          <w:tab w:val="left" w:pos="4950"/>
        </w:tabs>
        <w:rPr>
          <w:rFonts w:asciiTheme="minorHAnsi" w:hAnsiTheme="minorHAnsi"/>
          <w:color w:val="auto"/>
        </w:rPr>
      </w:pPr>
    </w:p>
    <w:p w:rsidR="00690C8D" w:rsidRPr="00690C8D" w:rsidRDefault="00690C8D" w:rsidP="00690C8D">
      <w:pPr>
        <w:tabs>
          <w:tab w:val="left" w:pos="4680"/>
          <w:tab w:val="left" w:pos="4950"/>
        </w:tabs>
        <w:rPr>
          <w:rFonts w:asciiTheme="minorHAnsi" w:hAnsiTheme="minorHAnsi"/>
          <w:color w:val="auto"/>
        </w:rPr>
      </w:pPr>
      <w:r w:rsidRPr="00690C8D">
        <w:rPr>
          <w:rFonts w:asciiTheme="minorHAnsi" w:hAnsiTheme="minorHAnsi"/>
          <w:color w:val="auto"/>
        </w:rPr>
        <w:tab/>
      </w:r>
      <w:r>
        <w:rPr>
          <w:rFonts w:asciiTheme="minorHAnsi" w:hAnsiTheme="minorHAnsi"/>
          <w:color w:val="auto"/>
        </w:rPr>
        <w:t xml:space="preserve"> </w:t>
      </w:r>
    </w:p>
    <w:p w:rsidR="00690C8D" w:rsidRPr="00690C8D" w:rsidRDefault="00690C8D" w:rsidP="00690C8D">
      <w:pPr>
        <w:tabs>
          <w:tab w:val="left" w:pos="4680"/>
          <w:tab w:val="left" w:pos="4950"/>
        </w:tabs>
        <w:rPr>
          <w:rFonts w:asciiTheme="minorHAnsi" w:hAnsiTheme="minorHAnsi"/>
          <w:color w:val="auto"/>
        </w:rPr>
      </w:pPr>
      <w:r w:rsidRPr="00690C8D">
        <w:rPr>
          <w:rFonts w:asciiTheme="minorHAnsi" w:hAnsiTheme="minorHAnsi"/>
          <w:color w:val="auto"/>
        </w:rPr>
        <w:tab/>
        <w:t>Assistant General Counsel</w:t>
      </w:r>
    </w:p>
    <w:p w:rsidR="00690C8D" w:rsidRPr="00690C8D" w:rsidRDefault="00690C8D" w:rsidP="00690C8D">
      <w:pPr>
        <w:tabs>
          <w:tab w:val="left" w:pos="4680"/>
          <w:tab w:val="left" w:pos="4950"/>
        </w:tabs>
        <w:rPr>
          <w:rFonts w:asciiTheme="minorHAnsi" w:hAnsiTheme="minorHAnsi"/>
          <w:color w:val="auto"/>
        </w:rPr>
      </w:pPr>
      <w:r w:rsidRPr="00690C8D">
        <w:rPr>
          <w:rFonts w:asciiTheme="minorHAnsi" w:hAnsiTheme="minorHAnsi"/>
          <w:color w:val="auto"/>
        </w:rPr>
        <w:tab/>
      </w:r>
      <w:r w:rsidRPr="00690C8D">
        <w:rPr>
          <w:rFonts w:asciiTheme="minorHAnsi" w:hAnsiTheme="minorHAnsi"/>
          <w:color w:val="auto"/>
        </w:rPr>
        <w:tab/>
      </w:r>
      <w:r w:rsidRPr="00690C8D">
        <w:rPr>
          <w:rFonts w:asciiTheme="minorHAnsi" w:hAnsiTheme="minorHAnsi"/>
          <w:color w:val="auto"/>
        </w:rPr>
        <w:tab/>
        <w:t xml:space="preserve"> (Manpower &amp; Reserve Affairs)</w:t>
      </w:r>
    </w:p>
    <w:p w:rsidR="00690C8D" w:rsidRPr="003A1FD4" w:rsidRDefault="00690C8D" w:rsidP="003A1FD4">
      <w:pPr>
        <w:tabs>
          <w:tab w:val="left" w:pos="4680"/>
          <w:tab w:val="left" w:pos="4950"/>
        </w:tabs>
        <w:rPr>
          <w:rFonts w:asciiTheme="minorHAnsi" w:hAnsiTheme="minorHAnsi"/>
          <w:color w:val="auto"/>
        </w:rPr>
      </w:pPr>
    </w:p>
    <w:sectPr w:rsidR="00690C8D" w:rsidRPr="003A1FD4"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A0" w:rsidRDefault="005566A0">
      <w:r>
        <w:separator/>
      </w:r>
    </w:p>
  </w:endnote>
  <w:endnote w:type="continuationSeparator" w:id="0">
    <w:p w:rsidR="005566A0" w:rsidRDefault="00556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8B" w:rsidRDefault="00AC6A96">
    <w:pPr>
      <w:pStyle w:val="Footer"/>
      <w:framePr w:wrap="around" w:vAnchor="text" w:hAnchor="margin" w:xAlign="center" w:y="1"/>
      <w:rPr>
        <w:rStyle w:val="PageNumber"/>
      </w:rPr>
    </w:pPr>
    <w:r>
      <w:rPr>
        <w:rStyle w:val="PageNumber"/>
      </w:rPr>
      <w:fldChar w:fldCharType="begin"/>
    </w:r>
    <w:r w:rsidR="00294E8B">
      <w:rPr>
        <w:rStyle w:val="PageNumber"/>
      </w:rPr>
      <w:instrText xml:space="preserve">PAGE  </w:instrText>
    </w:r>
    <w:r>
      <w:rPr>
        <w:rStyle w:val="PageNumber"/>
      </w:rPr>
      <w:fldChar w:fldCharType="separate"/>
    </w:r>
    <w:r w:rsidR="00294E8B">
      <w:rPr>
        <w:rStyle w:val="PageNumber"/>
        <w:noProof/>
      </w:rPr>
      <w:t>2</w:t>
    </w:r>
    <w:r>
      <w:rPr>
        <w:rStyle w:val="PageNumber"/>
      </w:rPr>
      <w:fldChar w:fldCharType="end"/>
    </w:r>
  </w:p>
  <w:p w:rsidR="00294E8B" w:rsidRDefault="00294E8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8B" w:rsidRPr="00AC713F" w:rsidRDefault="00AC6A96" w:rsidP="00B06536">
    <w:pPr>
      <w:pStyle w:val="Footer"/>
      <w:framePr w:wrap="around" w:vAnchor="text" w:hAnchor="margin" w:xAlign="center" w:y="1"/>
      <w:jc w:val="center"/>
      <w:rPr>
        <w:rStyle w:val="PageNumber"/>
        <w:rFonts w:asciiTheme="minorHAnsi" w:hAnsiTheme="minorHAnsi"/>
        <w:color w:val="auto"/>
      </w:rPr>
    </w:pPr>
    <w:r w:rsidRPr="00AC713F">
      <w:rPr>
        <w:rStyle w:val="PageNumber"/>
        <w:rFonts w:asciiTheme="minorHAnsi" w:hAnsiTheme="minorHAnsi"/>
        <w:color w:val="auto"/>
      </w:rPr>
      <w:fldChar w:fldCharType="begin"/>
    </w:r>
    <w:r w:rsidR="00294E8B"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690C8D">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294E8B" w:rsidRPr="00396779" w:rsidRDefault="00294E8B"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1000925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A0" w:rsidRDefault="005566A0">
      <w:r>
        <w:separator/>
      </w:r>
    </w:p>
  </w:footnote>
  <w:footnote w:type="continuationSeparator" w:id="0">
    <w:p w:rsidR="005566A0" w:rsidRDefault="00556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B19CC"/>
    <w:multiLevelType w:val="hybridMultilevel"/>
    <w:tmpl w:val="C7EAE5A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20834"/>
  </w:hdrShapeDefaults>
  <w:footnotePr>
    <w:numRestart w:val="eachSect"/>
    <w:footnote w:id="-1"/>
    <w:footnote w:id="0"/>
  </w:footnotePr>
  <w:endnotePr>
    <w:endnote w:id="-1"/>
    <w:endnote w:id="0"/>
  </w:endnotePr>
  <w:compat/>
  <w:rsids>
    <w:rsidRoot w:val="001C28D1"/>
    <w:rsid w:val="000020D3"/>
    <w:rsid w:val="000059FA"/>
    <w:rsid w:val="00006186"/>
    <w:rsid w:val="00006F87"/>
    <w:rsid w:val="00010ABA"/>
    <w:rsid w:val="00012428"/>
    <w:rsid w:val="00013417"/>
    <w:rsid w:val="0001347E"/>
    <w:rsid w:val="000145C2"/>
    <w:rsid w:val="0001473F"/>
    <w:rsid w:val="00014A9E"/>
    <w:rsid w:val="00015AE9"/>
    <w:rsid w:val="00016D82"/>
    <w:rsid w:val="000209AF"/>
    <w:rsid w:val="00020E17"/>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459DE"/>
    <w:rsid w:val="000503A3"/>
    <w:rsid w:val="00051622"/>
    <w:rsid w:val="00052234"/>
    <w:rsid w:val="00053538"/>
    <w:rsid w:val="00053D7C"/>
    <w:rsid w:val="00054559"/>
    <w:rsid w:val="000577C9"/>
    <w:rsid w:val="0006431E"/>
    <w:rsid w:val="00065E21"/>
    <w:rsid w:val="00066878"/>
    <w:rsid w:val="00072433"/>
    <w:rsid w:val="00075039"/>
    <w:rsid w:val="00075702"/>
    <w:rsid w:val="000775C2"/>
    <w:rsid w:val="000806AD"/>
    <w:rsid w:val="00082482"/>
    <w:rsid w:val="0008708B"/>
    <w:rsid w:val="00091677"/>
    <w:rsid w:val="00092619"/>
    <w:rsid w:val="00092C66"/>
    <w:rsid w:val="00092C97"/>
    <w:rsid w:val="000941FB"/>
    <w:rsid w:val="00094E4F"/>
    <w:rsid w:val="000A0735"/>
    <w:rsid w:val="000A2BCE"/>
    <w:rsid w:val="000A41E3"/>
    <w:rsid w:val="000A4BBA"/>
    <w:rsid w:val="000A5071"/>
    <w:rsid w:val="000B32F4"/>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4CD3"/>
    <w:rsid w:val="000E7034"/>
    <w:rsid w:val="000F02BE"/>
    <w:rsid w:val="000F3FD7"/>
    <w:rsid w:val="000F427B"/>
    <w:rsid w:val="000F7181"/>
    <w:rsid w:val="001008C1"/>
    <w:rsid w:val="001023DB"/>
    <w:rsid w:val="00103CCF"/>
    <w:rsid w:val="0010417F"/>
    <w:rsid w:val="001042D2"/>
    <w:rsid w:val="0010530E"/>
    <w:rsid w:val="00105C07"/>
    <w:rsid w:val="00106AD8"/>
    <w:rsid w:val="00107EC5"/>
    <w:rsid w:val="001103CD"/>
    <w:rsid w:val="00112BB2"/>
    <w:rsid w:val="00114F20"/>
    <w:rsid w:val="001211AF"/>
    <w:rsid w:val="001219DF"/>
    <w:rsid w:val="001226AA"/>
    <w:rsid w:val="00122ABE"/>
    <w:rsid w:val="001231DC"/>
    <w:rsid w:val="001272AE"/>
    <w:rsid w:val="001315DD"/>
    <w:rsid w:val="00134C4C"/>
    <w:rsid w:val="0013525F"/>
    <w:rsid w:val="00135385"/>
    <w:rsid w:val="001364D1"/>
    <w:rsid w:val="00136B32"/>
    <w:rsid w:val="00142EBA"/>
    <w:rsid w:val="00143B79"/>
    <w:rsid w:val="00150B8A"/>
    <w:rsid w:val="00150DCB"/>
    <w:rsid w:val="00151912"/>
    <w:rsid w:val="00153740"/>
    <w:rsid w:val="001541C5"/>
    <w:rsid w:val="0015550A"/>
    <w:rsid w:val="0015623F"/>
    <w:rsid w:val="00156585"/>
    <w:rsid w:val="00156BA9"/>
    <w:rsid w:val="00161761"/>
    <w:rsid w:val="00166182"/>
    <w:rsid w:val="00171938"/>
    <w:rsid w:val="001745DD"/>
    <w:rsid w:val="00174D63"/>
    <w:rsid w:val="00177659"/>
    <w:rsid w:val="001779E5"/>
    <w:rsid w:val="00182A4C"/>
    <w:rsid w:val="00183F77"/>
    <w:rsid w:val="001844D8"/>
    <w:rsid w:val="00185DA8"/>
    <w:rsid w:val="00185ECB"/>
    <w:rsid w:val="001865E0"/>
    <w:rsid w:val="001870F0"/>
    <w:rsid w:val="00190269"/>
    <w:rsid w:val="00190E48"/>
    <w:rsid w:val="0019273F"/>
    <w:rsid w:val="00193814"/>
    <w:rsid w:val="00193AD5"/>
    <w:rsid w:val="00194930"/>
    <w:rsid w:val="00194D3A"/>
    <w:rsid w:val="001A08CD"/>
    <w:rsid w:val="001A0A1E"/>
    <w:rsid w:val="001A45FD"/>
    <w:rsid w:val="001A5320"/>
    <w:rsid w:val="001A5E62"/>
    <w:rsid w:val="001A6848"/>
    <w:rsid w:val="001A743F"/>
    <w:rsid w:val="001A7538"/>
    <w:rsid w:val="001B0B1A"/>
    <w:rsid w:val="001B4EC2"/>
    <w:rsid w:val="001B5B59"/>
    <w:rsid w:val="001B60E0"/>
    <w:rsid w:val="001B7C8C"/>
    <w:rsid w:val="001C181A"/>
    <w:rsid w:val="001C1877"/>
    <w:rsid w:val="001C1A11"/>
    <w:rsid w:val="001C2053"/>
    <w:rsid w:val="001C252F"/>
    <w:rsid w:val="001C28D1"/>
    <w:rsid w:val="001C46CB"/>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E3791"/>
    <w:rsid w:val="001E4D51"/>
    <w:rsid w:val="001F3206"/>
    <w:rsid w:val="001F4231"/>
    <w:rsid w:val="00200AA0"/>
    <w:rsid w:val="00202325"/>
    <w:rsid w:val="00202736"/>
    <w:rsid w:val="00203652"/>
    <w:rsid w:val="00205B4F"/>
    <w:rsid w:val="002060B6"/>
    <w:rsid w:val="002066B5"/>
    <w:rsid w:val="00207D70"/>
    <w:rsid w:val="002119B6"/>
    <w:rsid w:val="00212B40"/>
    <w:rsid w:val="00213BD0"/>
    <w:rsid w:val="00215ED6"/>
    <w:rsid w:val="00216049"/>
    <w:rsid w:val="00217606"/>
    <w:rsid w:val="00217C09"/>
    <w:rsid w:val="00220F5C"/>
    <w:rsid w:val="00225196"/>
    <w:rsid w:val="00225CB4"/>
    <w:rsid w:val="0023049F"/>
    <w:rsid w:val="002316F6"/>
    <w:rsid w:val="002329B8"/>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7AC"/>
    <w:rsid w:val="00257DE5"/>
    <w:rsid w:val="002603C7"/>
    <w:rsid w:val="00260531"/>
    <w:rsid w:val="002610AF"/>
    <w:rsid w:val="0026318D"/>
    <w:rsid w:val="00270864"/>
    <w:rsid w:val="002712F7"/>
    <w:rsid w:val="0027159C"/>
    <w:rsid w:val="00274549"/>
    <w:rsid w:val="00274E46"/>
    <w:rsid w:val="00275926"/>
    <w:rsid w:val="00276C86"/>
    <w:rsid w:val="002810A4"/>
    <w:rsid w:val="00284A26"/>
    <w:rsid w:val="00287006"/>
    <w:rsid w:val="00287BBA"/>
    <w:rsid w:val="00292AB2"/>
    <w:rsid w:val="002930A3"/>
    <w:rsid w:val="00294437"/>
    <w:rsid w:val="00294E8B"/>
    <w:rsid w:val="00294EBF"/>
    <w:rsid w:val="002A3237"/>
    <w:rsid w:val="002A58B7"/>
    <w:rsid w:val="002A5943"/>
    <w:rsid w:val="002A5C3C"/>
    <w:rsid w:val="002A685E"/>
    <w:rsid w:val="002A72C7"/>
    <w:rsid w:val="002B03B2"/>
    <w:rsid w:val="002B0749"/>
    <w:rsid w:val="002B0E20"/>
    <w:rsid w:val="002B2645"/>
    <w:rsid w:val="002B2A05"/>
    <w:rsid w:val="002B6FA0"/>
    <w:rsid w:val="002C1F3F"/>
    <w:rsid w:val="002C4B59"/>
    <w:rsid w:val="002C5F10"/>
    <w:rsid w:val="002C6E5B"/>
    <w:rsid w:val="002D0AD6"/>
    <w:rsid w:val="002D18B4"/>
    <w:rsid w:val="002D231A"/>
    <w:rsid w:val="002D7ED4"/>
    <w:rsid w:val="002E1877"/>
    <w:rsid w:val="002E1C31"/>
    <w:rsid w:val="002E333A"/>
    <w:rsid w:val="002E3474"/>
    <w:rsid w:val="002E400C"/>
    <w:rsid w:val="002E43F0"/>
    <w:rsid w:val="002E49C3"/>
    <w:rsid w:val="002E5114"/>
    <w:rsid w:val="002E696E"/>
    <w:rsid w:val="002E7570"/>
    <w:rsid w:val="002E764B"/>
    <w:rsid w:val="002F0E28"/>
    <w:rsid w:val="002F287E"/>
    <w:rsid w:val="002F2D63"/>
    <w:rsid w:val="002F7F81"/>
    <w:rsid w:val="00300A36"/>
    <w:rsid w:val="0030678B"/>
    <w:rsid w:val="00307D38"/>
    <w:rsid w:val="00310CD7"/>
    <w:rsid w:val="003139DF"/>
    <w:rsid w:val="00316142"/>
    <w:rsid w:val="003170CD"/>
    <w:rsid w:val="00317980"/>
    <w:rsid w:val="0032136A"/>
    <w:rsid w:val="0032293F"/>
    <w:rsid w:val="00323E70"/>
    <w:rsid w:val="00325BA2"/>
    <w:rsid w:val="00326C08"/>
    <w:rsid w:val="00326F7F"/>
    <w:rsid w:val="0033112C"/>
    <w:rsid w:val="003320E8"/>
    <w:rsid w:val="0033334F"/>
    <w:rsid w:val="0033555E"/>
    <w:rsid w:val="00336805"/>
    <w:rsid w:val="00337351"/>
    <w:rsid w:val="00341A54"/>
    <w:rsid w:val="0034669F"/>
    <w:rsid w:val="003472E7"/>
    <w:rsid w:val="00347626"/>
    <w:rsid w:val="00351498"/>
    <w:rsid w:val="00352B22"/>
    <w:rsid w:val="0035442B"/>
    <w:rsid w:val="00354547"/>
    <w:rsid w:val="003567DE"/>
    <w:rsid w:val="003574F3"/>
    <w:rsid w:val="0036319E"/>
    <w:rsid w:val="003632A4"/>
    <w:rsid w:val="00363362"/>
    <w:rsid w:val="00364983"/>
    <w:rsid w:val="003649C3"/>
    <w:rsid w:val="00367D4F"/>
    <w:rsid w:val="00370743"/>
    <w:rsid w:val="00370EF5"/>
    <w:rsid w:val="0037135B"/>
    <w:rsid w:val="00372251"/>
    <w:rsid w:val="0037520D"/>
    <w:rsid w:val="00375724"/>
    <w:rsid w:val="00375809"/>
    <w:rsid w:val="0037628C"/>
    <w:rsid w:val="00376B81"/>
    <w:rsid w:val="00377BD2"/>
    <w:rsid w:val="003821E1"/>
    <w:rsid w:val="00384787"/>
    <w:rsid w:val="00384866"/>
    <w:rsid w:val="003857D4"/>
    <w:rsid w:val="00385D6F"/>
    <w:rsid w:val="00386411"/>
    <w:rsid w:val="00387095"/>
    <w:rsid w:val="00390092"/>
    <w:rsid w:val="00393651"/>
    <w:rsid w:val="00395E12"/>
    <w:rsid w:val="00396779"/>
    <w:rsid w:val="00397DB7"/>
    <w:rsid w:val="003A1FD4"/>
    <w:rsid w:val="003A27B2"/>
    <w:rsid w:val="003A40B4"/>
    <w:rsid w:val="003A41BA"/>
    <w:rsid w:val="003A4475"/>
    <w:rsid w:val="003A6A99"/>
    <w:rsid w:val="003A7FF8"/>
    <w:rsid w:val="003B17AC"/>
    <w:rsid w:val="003B227A"/>
    <w:rsid w:val="003B5854"/>
    <w:rsid w:val="003B6764"/>
    <w:rsid w:val="003C43CD"/>
    <w:rsid w:val="003C6068"/>
    <w:rsid w:val="003C609B"/>
    <w:rsid w:val="003D2BA3"/>
    <w:rsid w:val="003D3C22"/>
    <w:rsid w:val="003D4818"/>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AD7"/>
    <w:rsid w:val="00404B45"/>
    <w:rsid w:val="00406CC5"/>
    <w:rsid w:val="004074A4"/>
    <w:rsid w:val="00407CF3"/>
    <w:rsid w:val="004101B2"/>
    <w:rsid w:val="004123D7"/>
    <w:rsid w:val="00412658"/>
    <w:rsid w:val="004166EC"/>
    <w:rsid w:val="004172DB"/>
    <w:rsid w:val="00421485"/>
    <w:rsid w:val="00422B75"/>
    <w:rsid w:val="004255E6"/>
    <w:rsid w:val="004335A0"/>
    <w:rsid w:val="00433F36"/>
    <w:rsid w:val="00433FA5"/>
    <w:rsid w:val="0043503A"/>
    <w:rsid w:val="00442BFA"/>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61CC"/>
    <w:rsid w:val="00480D4A"/>
    <w:rsid w:val="00481DA1"/>
    <w:rsid w:val="00481E32"/>
    <w:rsid w:val="00482CC6"/>
    <w:rsid w:val="004835F9"/>
    <w:rsid w:val="00484212"/>
    <w:rsid w:val="0049255F"/>
    <w:rsid w:val="004936DC"/>
    <w:rsid w:val="0049445D"/>
    <w:rsid w:val="00495350"/>
    <w:rsid w:val="00497156"/>
    <w:rsid w:val="004A0C79"/>
    <w:rsid w:val="004A24D2"/>
    <w:rsid w:val="004A3214"/>
    <w:rsid w:val="004A4136"/>
    <w:rsid w:val="004A417B"/>
    <w:rsid w:val="004B03F3"/>
    <w:rsid w:val="004B0CC9"/>
    <w:rsid w:val="004B2536"/>
    <w:rsid w:val="004B3727"/>
    <w:rsid w:val="004B6AF3"/>
    <w:rsid w:val="004B715E"/>
    <w:rsid w:val="004B7169"/>
    <w:rsid w:val="004B79C9"/>
    <w:rsid w:val="004C5E33"/>
    <w:rsid w:val="004C6CDA"/>
    <w:rsid w:val="004D10D4"/>
    <w:rsid w:val="004D16BD"/>
    <w:rsid w:val="004D2AAB"/>
    <w:rsid w:val="004D3040"/>
    <w:rsid w:val="004D6F2B"/>
    <w:rsid w:val="004E0248"/>
    <w:rsid w:val="004E21A3"/>
    <w:rsid w:val="004E32EA"/>
    <w:rsid w:val="004E441E"/>
    <w:rsid w:val="004E6504"/>
    <w:rsid w:val="004E6866"/>
    <w:rsid w:val="004F3222"/>
    <w:rsid w:val="004F3BFA"/>
    <w:rsid w:val="004F4FB8"/>
    <w:rsid w:val="005000AB"/>
    <w:rsid w:val="005025EE"/>
    <w:rsid w:val="00502EC9"/>
    <w:rsid w:val="00510588"/>
    <w:rsid w:val="0051146C"/>
    <w:rsid w:val="00514449"/>
    <w:rsid w:val="005157BD"/>
    <w:rsid w:val="005214A3"/>
    <w:rsid w:val="005222E7"/>
    <w:rsid w:val="00523A8B"/>
    <w:rsid w:val="00523E04"/>
    <w:rsid w:val="0052590B"/>
    <w:rsid w:val="00526591"/>
    <w:rsid w:val="00527178"/>
    <w:rsid w:val="005278CB"/>
    <w:rsid w:val="00534D42"/>
    <w:rsid w:val="005350A5"/>
    <w:rsid w:val="00536379"/>
    <w:rsid w:val="00536E2D"/>
    <w:rsid w:val="00537238"/>
    <w:rsid w:val="005400C5"/>
    <w:rsid w:val="00540BEF"/>
    <w:rsid w:val="00542C9A"/>
    <w:rsid w:val="005436C2"/>
    <w:rsid w:val="005442D4"/>
    <w:rsid w:val="0054586A"/>
    <w:rsid w:val="0054631F"/>
    <w:rsid w:val="005476C7"/>
    <w:rsid w:val="0055288D"/>
    <w:rsid w:val="00555259"/>
    <w:rsid w:val="005566A0"/>
    <w:rsid w:val="00560D57"/>
    <w:rsid w:val="005627A3"/>
    <w:rsid w:val="00562A94"/>
    <w:rsid w:val="005657CC"/>
    <w:rsid w:val="00566782"/>
    <w:rsid w:val="005709F7"/>
    <w:rsid w:val="005710A9"/>
    <w:rsid w:val="00571D1B"/>
    <w:rsid w:val="005738F5"/>
    <w:rsid w:val="005765D2"/>
    <w:rsid w:val="0058039C"/>
    <w:rsid w:val="00580C3F"/>
    <w:rsid w:val="00593043"/>
    <w:rsid w:val="00595BF0"/>
    <w:rsid w:val="005A1846"/>
    <w:rsid w:val="005A258C"/>
    <w:rsid w:val="005A3560"/>
    <w:rsid w:val="005A464E"/>
    <w:rsid w:val="005A6C99"/>
    <w:rsid w:val="005A7D5D"/>
    <w:rsid w:val="005B011A"/>
    <w:rsid w:val="005B1D8F"/>
    <w:rsid w:val="005B1E94"/>
    <w:rsid w:val="005B44F7"/>
    <w:rsid w:val="005B5B3D"/>
    <w:rsid w:val="005B64CF"/>
    <w:rsid w:val="005C16F3"/>
    <w:rsid w:val="005C3758"/>
    <w:rsid w:val="005D459C"/>
    <w:rsid w:val="005E01E0"/>
    <w:rsid w:val="005E3064"/>
    <w:rsid w:val="005E72B2"/>
    <w:rsid w:val="005F1115"/>
    <w:rsid w:val="005F1AB6"/>
    <w:rsid w:val="005F27F2"/>
    <w:rsid w:val="005F3AFE"/>
    <w:rsid w:val="005F424D"/>
    <w:rsid w:val="005F6B6D"/>
    <w:rsid w:val="00605AAB"/>
    <w:rsid w:val="00606ABD"/>
    <w:rsid w:val="00606BEB"/>
    <w:rsid w:val="0061014A"/>
    <w:rsid w:val="0061054B"/>
    <w:rsid w:val="00611983"/>
    <w:rsid w:val="00613E26"/>
    <w:rsid w:val="006150DD"/>
    <w:rsid w:val="00615641"/>
    <w:rsid w:val="00616959"/>
    <w:rsid w:val="006211D0"/>
    <w:rsid w:val="00624B44"/>
    <w:rsid w:val="00624D0C"/>
    <w:rsid w:val="006274B4"/>
    <w:rsid w:val="006307BA"/>
    <w:rsid w:val="006315BA"/>
    <w:rsid w:val="00632DD4"/>
    <w:rsid w:val="00634C4A"/>
    <w:rsid w:val="0063532E"/>
    <w:rsid w:val="00637BDC"/>
    <w:rsid w:val="006418C9"/>
    <w:rsid w:val="00642BD6"/>
    <w:rsid w:val="00645046"/>
    <w:rsid w:val="0064527A"/>
    <w:rsid w:val="00645EA2"/>
    <w:rsid w:val="00653D2D"/>
    <w:rsid w:val="00655D73"/>
    <w:rsid w:val="006573F2"/>
    <w:rsid w:val="00662F08"/>
    <w:rsid w:val="00663589"/>
    <w:rsid w:val="00670864"/>
    <w:rsid w:val="006708E3"/>
    <w:rsid w:val="00670DDC"/>
    <w:rsid w:val="00671EB4"/>
    <w:rsid w:val="0067443B"/>
    <w:rsid w:val="00681776"/>
    <w:rsid w:val="00684E2B"/>
    <w:rsid w:val="00690C8D"/>
    <w:rsid w:val="00690FDA"/>
    <w:rsid w:val="00691E61"/>
    <w:rsid w:val="00693C5E"/>
    <w:rsid w:val="00694EEA"/>
    <w:rsid w:val="006955B4"/>
    <w:rsid w:val="00696476"/>
    <w:rsid w:val="006A046E"/>
    <w:rsid w:val="006A10FA"/>
    <w:rsid w:val="006A17A5"/>
    <w:rsid w:val="006A2988"/>
    <w:rsid w:val="006A40E6"/>
    <w:rsid w:val="006A5C07"/>
    <w:rsid w:val="006A75FA"/>
    <w:rsid w:val="006A7FD1"/>
    <w:rsid w:val="006B07D5"/>
    <w:rsid w:val="006B1309"/>
    <w:rsid w:val="006B3923"/>
    <w:rsid w:val="006B3F3E"/>
    <w:rsid w:val="006B5923"/>
    <w:rsid w:val="006B67D9"/>
    <w:rsid w:val="006B6C14"/>
    <w:rsid w:val="006B715E"/>
    <w:rsid w:val="006C1D6E"/>
    <w:rsid w:val="006C2EF6"/>
    <w:rsid w:val="006C3A68"/>
    <w:rsid w:val="006C4A39"/>
    <w:rsid w:val="006C6AB1"/>
    <w:rsid w:val="006D2D39"/>
    <w:rsid w:val="006D4E0E"/>
    <w:rsid w:val="006D5CE2"/>
    <w:rsid w:val="006D78DB"/>
    <w:rsid w:val="006E06D1"/>
    <w:rsid w:val="006E1313"/>
    <w:rsid w:val="006E2DC8"/>
    <w:rsid w:val="006E7356"/>
    <w:rsid w:val="006E77C8"/>
    <w:rsid w:val="006F149D"/>
    <w:rsid w:val="006F1A46"/>
    <w:rsid w:val="006F4F06"/>
    <w:rsid w:val="006F5A4E"/>
    <w:rsid w:val="006F6005"/>
    <w:rsid w:val="00703B6C"/>
    <w:rsid w:val="00704F7B"/>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6A49"/>
    <w:rsid w:val="007419A1"/>
    <w:rsid w:val="00743B71"/>
    <w:rsid w:val="00743C2D"/>
    <w:rsid w:val="00743E36"/>
    <w:rsid w:val="007446F7"/>
    <w:rsid w:val="00744EBB"/>
    <w:rsid w:val="00745B0A"/>
    <w:rsid w:val="007468AC"/>
    <w:rsid w:val="00746AE2"/>
    <w:rsid w:val="00750C82"/>
    <w:rsid w:val="00754FCB"/>
    <w:rsid w:val="0076100C"/>
    <w:rsid w:val="007612A5"/>
    <w:rsid w:val="00763F95"/>
    <w:rsid w:val="007651ED"/>
    <w:rsid w:val="00766C87"/>
    <w:rsid w:val="00771E1A"/>
    <w:rsid w:val="00780378"/>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A5FBD"/>
    <w:rsid w:val="007B0A06"/>
    <w:rsid w:val="007B5C5C"/>
    <w:rsid w:val="007B7B37"/>
    <w:rsid w:val="007B7C41"/>
    <w:rsid w:val="007C11E9"/>
    <w:rsid w:val="007C433E"/>
    <w:rsid w:val="007C4452"/>
    <w:rsid w:val="007C4B3C"/>
    <w:rsid w:val="007C4DB1"/>
    <w:rsid w:val="007C6046"/>
    <w:rsid w:val="007D0292"/>
    <w:rsid w:val="007D21AC"/>
    <w:rsid w:val="007D3882"/>
    <w:rsid w:val="007D568A"/>
    <w:rsid w:val="007D574E"/>
    <w:rsid w:val="007D6BFE"/>
    <w:rsid w:val="007D7373"/>
    <w:rsid w:val="007E2046"/>
    <w:rsid w:val="007E243B"/>
    <w:rsid w:val="007E3883"/>
    <w:rsid w:val="007E4FBB"/>
    <w:rsid w:val="007E55BF"/>
    <w:rsid w:val="007E71B1"/>
    <w:rsid w:val="007E7B4E"/>
    <w:rsid w:val="007F009D"/>
    <w:rsid w:val="007F0CE2"/>
    <w:rsid w:val="007F0EFF"/>
    <w:rsid w:val="007F1375"/>
    <w:rsid w:val="00803850"/>
    <w:rsid w:val="00803C2F"/>
    <w:rsid w:val="00804385"/>
    <w:rsid w:val="00805AFD"/>
    <w:rsid w:val="0080681E"/>
    <w:rsid w:val="008078D8"/>
    <w:rsid w:val="00811D5B"/>
    <w:rsid w:val="00815D9B"/>
    <w:rsid w:val="0081667D"/>
    <w:rsid w:val="00816E03"/>
    <w:rsid w:val="00817713"/>
    <w:rsid w:val="008220F1"/>
    <w:rsid w:val="0082340B"/>
    <w:rsid w:val="00823860"/>
    <w:rsid w:val="00824535"/>
    <w:rsid w:val="00827DB6"/>
    <w:rsid w:val="008304B2"/>
    <w:rsid w:val="00830999"/>
    <w:rsid w:val="00830D5E"/>
    <w:rsid w:val="00830F69"/>
    <w:rsid w:val="008316B7"/>
    <w:rsid w:val="00833418"/>
    <w:rsid w:val="00834458"/>
    <w:rsid w:val="00835841"/>
    <w:rsid w:val="00837465"/>
    <w:rsid w:val="00840A0C"/>
    <w:rsid w:val="00840A60"/>
    <w:rsid w:val="00841243"/>
    <w:rsid w:val="00841457"/>
    <w:rsid w:val="0084374E"/>
    <w:rsid w:val="00844842"/>
    <w:rsid w:val="00844DD0"/>
    <w:rsid w:val="0085089F"/>
    <w:rsid w:val="008508C4"/>
    <w:rsid w:val="0085206E"/>
    <w:rsid w:val="00852AD4"/>
    <w:rsid w:val="00852BA8"/>
    <w:rsid w:val="00853718"/>
    <w:rsid w:val="008541EF"/>
    <w:rsid w:val="00854695"/>
    <w:rsid w:val="00856AC7"/>
    <w:rsid w:val="00856FA4"/>
    <w:rsid w:val="00857950"/>
    <w:rsid w:val="0086162B"/>
    <w:rsid w:val="00861D5C"/>
    <w:rsid w:val="00865207"/>
    <w:rsid w:val="008656A7"/>
    <w:rsid w:val="00866231"/>
    <w:rsid w:val="008705FC"/>
    <w:rsid w:val="00871262"/>
    <w:rsid w:val="00871D4E"/>
    <w:rsid w:val="00871E7B"/>
    <w:rsid w:val="00875B51"/>
    <w:rsid w:val="00875F2D"/>
    <w:rsid w:val="008764DC"/>
    <w:rsid w:val="00882CC2"/>
    <w:rsid w:val="00883930"/>
    <w:rsid w:val="00884DA8"/>
    <w:rsid w:val="00886402"/>
    <w:rsid w:val="00896535"/>
    <w:rsid w:val="00896683"/>
    <w:rsid w:val="00896ECE"/>
    <w:rsid w:val="0089750B"/>
    <w:rsid w:val="00897589"/>
    <w:rsid w:val="008A63A9"/>
    <w:rsid w:val="008A6E87"/>
    <w:rsid w:val="008A7F7E"/>
    <w:rsid w:val="008B04DB"/>
    <w:rsid w:val="008B27FD"/>
    <w:rsid w:val="008B3AF2"/>
    <w:rsid w:val="008B445A"/>
    <w:rsid w:val="008B446D"/>
    <w:rsid w:val="008B515D"/>
    <w:rsid w:val="008B5D31"/>
    <w:rsid w:val="008B6705"/>
    <w:rsid w:val="008C22F3"/>
    <w:rsid w:val="008C47EA"/>
    <w:rsid w:val="008C53F3"/>
    <w:rsid w:val="008D795D"/>
    <w:rsid w:val="008D7B07"/>
    <w:rsid w:val="008E1E94"/>
    <w:rsid w:val="008E1FCF"/>
    <w:rsid w:val="008E25F9"/>
    <w:rsid w:val="008E2D99"/>
    <w:rsid w:val="008E30AF"/>
    <w:rsid w:val="008E4A60"/>
    <w:rsid w:val="008E4E89"/>
    <w:rsid w:val="008E744D"/>
    <w:rsid w:val="008F1E08"/>
    <w:rsid w:val="008F3DA0"/>
    <w:rsid w:val="008F5D5A"/>
    <w:rsid w:val="008F7384"/>
    <w:rsid w:val="00900D8F"/>
    <w:rsid w:val="009014E3"/>
    <w:rsid w:val="009026E8"/>
    <w:rsid w:val="00906EB7"/>
    <w:rsid w:val="009102BF"/>
    <w:rsid w:val="00911490"/>
    <w:rsid w:val="009115F2"/>
    <w:rsid w:val="00914ADB"/>
    <w:rsid w:val="00923B25"/>
    <w:rsid w:val="0092402E"/>
    <w:rsid w:val="009259BA"/>
    <w:rsid w:val="00926F7E"/>
    <w:rsid w:val="00926FCB"/>
    <w:rsid w:val="0093311A"/>
    <w:rsid w:val="009400CA"/>
    <w:rsid w:val="00942645"/>
    <w:rsid w:val="009426F1"/>
    <w:rsid w:val="00947F97"/>
    <w:rsid w:val="00950A3A"/>
    <w:rsid w:val="0095340A"/>
    <w:rsid w:val="00954581"/>
    <w:rsid w:val="0095466C"/>
    <w:rsid w:val="00954E5B"/>
    <w:rsid w:val="00955049"/>
    <w:rsid w:val="00956EC7"/>
    <w:rsid w:val="009576BC"/>
    <w:rsid w:val="00960357"/>
    <w:rsid w:val="00960A3F"/>
    <w:rsid w:val="0096168C"/>
    <w:rsid w:val="00961840"/>
    <w:rsid w:val="00962F2D"/>
    <w:rsid w:val="00966644"/>
    <w:rsid w:val="009672CD"/>
    <w:rsid w:val="00972996"/>
    <w:rsid w:val="009732B8"/>
    <w:rsid w:val="009757D6"/>
    <w:rsid w:val="00975C72"/>
    <w:rsid w:val="00976869"/>
    <w:rsid w:val="00977740"/>
    <w:rsid w:val="00977CB4"/>
    <w:rsid w:val="009809B8"/>
    <w:rsid w:val="0098222D"/>
    <w:rsid w:val="00985099"/>
    <w:rsid w:val="009860A2"/>
    <w:rsid w:val="00986E96"/>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22C8"/>
    <w:rsid w:val="009C3F82"/>
    <w:rsid w:val="009C72DD"/>
    <w:rsid w:val="009C76C4"/>
    <w:rsid w:val="009C7DF5"/>
    <w:rsid w:val="009D056C"/>
    <w:rsid w:val="009D060F"/>
    <w:rsid w:val="009D0632"/>
    <w:rsid w:val="009D1ADE"/>
    <w:rsid w:val="009D2B06"/>
    <w:rsid w:val="009D37CA"/>
    <w:rsid w:val="009E09D0"/>
    <w:rsid w:val="009E1283"/>
    <w:rsid w:val="009E35F7"/>
    <w:rsid w:val="009E3A7F"/>
    <w:rsid w:val="009E4BD6"/>
    <w:rsid w:val="009E57B1"/>
    <w:rsid w:val="009E6379"/>
    <w:rsid w:val="009F53B5"/>
    <w:rsid w:val="009F7809"/>
    <w:rsid w:val="009F7AF5"/>
    <w:rsid w:val="00A00D14"/>
    <w:rsid w:val="00A01408"/>
    <w:rsid w:val="00A02457"/>
    <w:rsid w:val="00A03190"/>
    <w:rsid w:val="00A0404B"/>
    <w:rsid w:val="00A06EF8"/>
    <w:rsid w:val="00A0798C"/>
    <w:rsid w:val="00A07BDD"/>
    <w:rsid w:val="00A1105B"/>
    <w:rsid w:val="00A1213C"/>
    <w:rsid w:val="00A130E8"/>
    <w:rsid w:val="00A15B6B"/>
    <w:rsid w:val="00A15EB4"/>
    <w:rsid w:val="00A16876"/>
    <w:rsid w:val="00A200AA"/>
    <w:rsid w:val="00A20558"/>
    <w:rsid w:val="00A208BF"/>
    <w:rsid w:val="00A2186F"/>
    <w:rsid w:val="00A2270B"/>
    <w:rsid w:val="00A23B89"/>
    <w:rsid w:val="00A23FE3"/>
    <w:rsid w:val="00A248C3"/>
    <w:rsid w:val="00A2496E"/>
    <w:rsid w:val="00A258B7"/>
    <w:rsid w:val="00A32743"/>
    <w:rsid w:val="00A328ED"/>
    <w:rsid w:val="00A37D55"/>
    <w:rsid w:val="00A40E17"/>
    <w:rsid w:val="00A414A9"/>
    <w:rsid w:val="00A44CCA"/>
    <w:rsid w:val="00A44D75"/>
    <w:rsid w:val="00A47CF1"/>
    <w:rsid w:val="00A50418"/>
    <w:rsid w:val="00A520A8"/>
    <w:rsid w:val="00A54A47"/>
    <w:rsid w:val="00A54C00"/>
    <w:rsid w:val="00A56D26"/>
    <w:rsid w:val="00A571A7"/>
    <w:rsid w:val="00A608FB"/>
    <w:rsid w:val="00A60D83"/>
    <w:rsid w:val="00A60F68"/>
    <w:rsid w:val="00A63DF3"/>
    <w:rsid w:val="00A65C78"/>
    <w:rsid w:val="00A660A8"/>
    <w:rsid w:val="00A66B49"/>
    <w:rsid w:val="00A67591"/>
    <w:rsid w:val="00A67CA6"/>
    <w:rsid w:val="00A70E7B"/>
    <w:rsid w:val="00A73B84"/>
    <w:rsid w:val="00A7411D"/>
    <w:rsid w:val="00A76094"/>
    <w:rsid w:val="00A768E2"/>
    <w:rsid w:val="00A82C52"/>
    <w:rsid w:val="00A845E8"/>
    <w:rsid w:val="00A86CB6"/>
    <w:rsid w:val="00A90D55"/>
    <w:rsid w:val="00A944D8"/>
    <w:rsid w:val="00A959E7"/>
    <w:rsid w:val="00A95BBA"/>
    <w:rsid w:val="00A961EE"/>
    <w:rsid w:val="00AA04B3"/>
    <w:rsid w:val="00AA0886"/>
    <w:rsid w:val="00AA1253"/>
    <w:rsid w:val="00AA1ED0"/>
    <w:rsid w:val="00AA28EF"/>
    <w:rsid w:val="00AA3593"/>
    <w:rsid w:val="00AA38CA"/>
    <w:rsid w:val="00AA493E"/>
    <w:rsid w:val="00AA73AF"/>
    <w:rsid w:val="00AB0A8A"/>
    <w:rsid w:val="00AB1754"/>
    <w:rsid w:val="00AB27DD"/>
    <w:rsid w:val="00AC439D"/>
    <w:rsid w:val="00AC6A96"/>
    <w:rsid w:val="00AC713F"/>
    <w:rsid w:val="00AC7AC2"/>
    <w:rsid w:val="00AC7F01"/>
    <w:rsid w:val="00AD067E"/>
    <w:rsid w:val="00AD2779"/>
    <w:rsid w:val="00AD2801"/>
    <w:rsid w:val="00AD6870"/>
    <w:rsid w:val="00AD68C5"/>
    <w:rsid w:val="00AE1273"/>
    <w:rsid w:val="00AE2D29"/>
    <w:rsid w:val="00AE4624"/>
    <w:rsid w:val="00AE483D"/>
    <w:rsid w:val="00AE5E14"/>
    <w:rsid w:val="00AE6115"/>
    <w:rsid w:val="00AE625B"/>
    <w:rsid w:val="00AF1668"/>
    <w:rsid w:val="00AF4FA5"/>
    <w:rsid w:val="00AF6DB6"/>
    <w:rsid w:val="00B041AC"/>
    <w:rsid w:val="00B06536"/>
    <w:rsid w:val="00B070C7"/>
    <w:rsid w:val="00B07955"/>
    <w:rsid w:val="00B140B8"/>
    <w:rsid w:val="00B14FAA"/>
    <w:rsid w:val="00B15D30"/>
    <w:rsid w:val="00B20624"/>
    <w:rsid w:val="00B23436"/>
    <w:rsid w:val="00B237F1"/>
    <w:rsid w:val="00B24F33"/>
    <w:rsid w:val="00B26354"/>
    <w:rsid w:val="00B26CA0"/>
    <w:rsid w:val="00B26D7D"/>
    <w:rsid w:val="00B32179"/>
    <w:rsid w:val="00B33007"/>
    <w:rsid w:val="00B331A9"/>
    <w:rsid w:val="00B36569"/>
    <w:rsid w:val="00B36F3B"/>
    <w:rsid w:val="00B40A05"/>
    <w:rsid w:val="00B40A3E"/>
    <w:rsid w:val="00B427BB"/>
    <w:rsid w:val="00B449EE"/>
    <w:rsid w:val="00B44A16"/>
    <w:rsid w:val="00B50227"/>
    <w:rsid w:val="00B50510"/>
    <w:rsid w:val="00B522CD"/>
    <w:rsid w:val="00B55143"/>
    <w:rsid w:val="00B555C8"/>
    <w:rsid w:val="00B55917"/>
    <w:rsid w:val="00B643A6"/>
    <w:rsid w:val="00B64DD6"/>
    <w:rsid w:val="00B6710C"/>
    <w:rsid w:val="00B67E84"/>
    <w:rsid w:val="00B72076"/>
    <w:rsid w:val="00B72303"/>
    <w:rsid w:val="00B72C72"/>
    <w:rsid w:val="00B82277"/>
    <w:rsid w:val="00B915A9"/>
    <w:rsid w:val="00B91676"/>
    <w:rsid w:val="00B91F14"/>
    <w:rsid w:val="00B92CEC"/>
    <w:rsid w:val="00B937D9"/>
    <w:rsid w:val="00B95833"/>
    <w:rsid w:val="00BA1824"/>
    <w:rsid w:val="00BA2D98"/>
    <w:rsid w:val="00BA30D1"/>
    <w:rsid w:val="00BA30E1"/>
    <w:rsid w:val="00BA4609"/>
    <w:rsid w:val="00BA5BE2"/>
    <w:rsid w:val="00BA7F46"/>
    <w:rsid w:val="00BB09A5"/>
    <w:rsid w:val="00BB0A0A"/>
    <w:rsid w:val="00BB133C"/>
    <w:rsid w:val="00BB45B5"/>
    <w:rsid w:val="00BB6064"/>
    <w:rsid w:val="00BC09D1"/>
    <w:rsid w:val="00BC1CF3"/>
    <w:rsid w:val="00BC3573"/>
    <w:rsid w:val="00BC7F82"/>
    <w:rsid w:val="00BD40AB"/>
    <w:rsid w:val="00BD6297"/>
    <w:rsid w:val="00BD6806"/>
    <w:rsid w:val="00BD7433"/>
    <w:rsid w:val="00BD7831"/>
    <w:rsid w:val="00BD7C10"/>
    <w:rsid w:val="00BE046F"/>
    <w:rsid w:val="00BE0B47"/>
    <w:rsid w:val="00BE0DEB"/>
    <w:rsid w:val="00BE2320"/>
    <w:rsid w:val="00BE2FC1"/>
    <w:rsid w:val="00BE6365"/>
    <w:rsid w:val="00BF0B7F"/>
    <w:rsid w:val="00BF4720"/>
    <w:rsid w:val="00BF4F49"/>
    <w:rsid w:val="00BF7B4F"/>
    <w:rsid w:val="00BF7B63"/>
    <w:rsid w:val="00C01379"/>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2443"/>
    <w:rsid w:val="00C42CBA"/>
    <w:rsid w:val="00C43126"/>
    <w:rsid w:val="00C4698B"/>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87BE6"/>
    <w:rsid w:val="00C87F76"/>
    <w:rsid w:val="00C91052"/>
    <w:rsid w:val="00C931FC"/>
    <w:rsid w:val="00C932C5"/>
    <w:rsid w:val="00C9650E"/>
    <w:rsid w:val="00C97596"/>
    <w:rsid w:val="00C97D0A"/>
    <w:rsid w:val="00CA068D"/>
    <w:rsid w:val="00CA1228"/>
    <w:rsid w:val="00CA282D"/>
    <w:rsid w:val="00CA4670"/>
    <w:rsid w:val="00CA6B1A"/>
    <w:rsid w:val="00CA6FC0"/>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2975"/>
    <w:rsid w:val="00CF3633"/>
    <w:rsid w:val="00CF4394"/>
    <w:rsid w:val="00CF6334"/>
    <w:rsid w:val="00D000A9"/>
    <w:rsid w:val="00D005DB"/>
    <w:rsid w:val="00D0064E"/>
    <w:rsid w:val="00D00981"/>
    <w:rsid w:val="00D02596"/>
    <w:rsid w:val="00D0280D"/>
    <w:rsid w:val="00D02B6A"/>
    <w:rsid w:val="00D07A72"/>
    <w:rsid w:val="00D07B1F"/>
    <w:rsid w:val="00D07F22"/>
    <w:rsid w:val="00D10577"/>
    <w:rsid w:val="00D1323B"/>
    <w:rsid w:val="00D14BAE"/>
    <w:rsid w:val="00D1648B"/>
    <w:rsid w:val="00D16819"/>
    <w:rsid w:val="00D17DD9"/>
    <w:rsid w:val="00D20AC0"/>
    <w:rsid w:val="00D231FF"/>
    <w:rsid w:val="00D2321B"/>
    <w:rsid w:val="00D23CC7"/>
    <w:rsid w:val="00D23DE4"/>
    <w:rsid w:val="00D26873"/>
    <w:rsid w:val="00D31683"/>
    <w:rsid w:val="00D336C8"/>
    <w:rsid w:val="00D339E8"/>
    <w:rsid w:val="00D3662E"/>
    <w:rsid w:val="00D40B1F"/>
    <w:rsid w:val="00D40D75"/>
    <w:rsid w:val="00D449F0"/>
    <w:rsid w:val="00D4672E"/>
    <w:rsid w:val="00D47644"/>
    <w:rsid w:val="00D50C8C"/>
    <w:rsid w:val="00D52393"/>
    <w:rsid w:val="00D523E4"/>
    <w:rsid w:val="00D5279D"/>
    <w:rsid w:val="00D52A1B"/>
    <w:rsid w:val="00D52FCC"/>
    <w:rsid w:val="00D53F14"/>
    <w:rsid w:val="00D54BE4"/>
    <w:rsid w:val="00D560DC"/>
    <w:rsid w:val="00D60483"/>
    <w:rsid w:val="00D61ABB"/>
    <w:rsid w:val="00D63577"/>
    <w:rsid w:val="00D67FD7"/>
    <w:rsid w:val="00D74261"/>
    <w:rsid w:val="00D7441B"/>
    <w:rsid w:val="00D76AB2"/>
    <w:rsid w:val="00D76E10"/>
    <w:rsid w:val="00D80490"/>
    <w:rsid w:val="00D8162C"/>
    <w:rsid w:val="00D829AD"/>
    <w:rsid w:val="00D82EE2"/>
    <w:rsid w:val="00D8545C"/>
    <w:rsid w:val="00D87788"/>
    <w:rsid w:val="00D877C8"/>
    <w:rsid w:val="00D910C2"/>
    <w:rsid w:val="00D9168C"/>
    <w:rsid w:val="00D9189B"/>
    <w:rsid w:val="00D91DA6"/>
    <w:rsid w:val="00D95F01"/>
    <w:rsid w:val="00D9706F"/>
    <w:rsid w:val="00D972D4"/>
    <w:rsid w:val="00DA1959"/>
    <w:rsid w:val="00DA195B"/>
    <w:rsid w:val="00DA1E89"/>
    <w:rsid w:val="00DA5457"/>
    <w:rsid w:val="00DA5A34"/>
    <w:rsid w:val="00DA6B55"/>
    <w:rsid w:val="00DA6B97"/>
    <w:rsid w:val="00DB0015"/>
    <w:rsid w:val="00DB2AAD"/>
    <w:rsid w:val="00DB5ED7"/>
    <w:rsid w:val="00DB616F"/>
    <w:rsid w:val="00DB626D"/>
    <w:rsid w:val="00DB6365"/>
    <w:rsid w:val="00DC0BF1"/>
    <w:rsid w:val="00DC41C3"/>
    <w:rsid w:val="00DD1F8B"/>
    <w:rsid w:val="00DD286D"/>
    <w:rsid w:val="00DD2CAF"/>
    <w:rsid w:val="00DD3593"/>
    <w:rsid w:val="00DD64E0"/>
    <w:rsid w:val="00DE0C67"/>
    <w:rsid w:val="00DE6952"/>
    <w:rsid w:val="00DE7E74"/>
    <w:rsid w:val="00DF071B"/>
    <w:rsid w:val="00DF16C2"/>
    <w:rsid w:val="00DF253B"/>
    <w:rsid w:val="00DF6EF8"/>
    <w:rsid w:val="00E00A69"/>
    <w:rsid w:val="00E01255"/>
    <w:rsid w:val="00E017F0"/>
    <w:rsid w:val="00E01A0E"/>
    <w:rsid w:val="00E041E4"/>
    <w:rsid w:val="00E1006C"/>
    <w:rsid w:val="00E1012B"/>
    <w:rsid w:val="00E103C8"/>
    <w:rsid w:val="00E1085B"/>
    <w:rsid w:val="00E11704"/>
    <w:rsid w:val="00E12FDD"/>
    <w:rsid w:val="00E1308B"/>
    <w:rsid w:val="00E14581"/>
    <w:rsid w:val="00E15539"/>
    <w:rsid w:val="00E162E6"/>
    <w:rsid w:val="00E16541"/>
    <w:rsid w:val="00E169FA"/>
    <w:rsid w:val="00E240CA"/>
    <w:rsid w:val="00E2536E"/>
    <w:rsid w:val="00E25B8A"/>
    <w:rsid w:val="00E2632B"/>
    <w:rsid w:val="00E322F7"/>
    <w:rsid w:val="00E3369B"/>
    <w:rsid w:val="00E36D76"/>
    <w:rsid w:val="00E405EA"/>
    <w:rsid w:val="00E408B7"/>
    <w:rsid w:val="00E41637"/>
    <w:rsid w:val="00E42789"/>
    <w:rsid w:val="00E43933"/>
    <w:rsid w:val="00E43F59"/>
    <w:rsid w:val="00E464F0"/>
    <w:rsid w:val="00E50BEB"/>
    <w:rsid w:val="00E548FA"/>
    <w:rsid w:val="00E5503A"/>
    <w:rsid w:val="00E56A3B"/>
    <w:rsid w:val="00E57ED4"/>
    <w:rsid w:val="00E60038"/>
    <w:rsid w:val="00E6092F"/>
    <w:rsid w:val="00E62049"/>
    <w:rsid w:val="00E629DA"/>
    <w:rsid w:val="00E6469F"/>
    <w:rsid w:val="00E670F8"/>
    <w:rsid w:val="00E67769"/>
    <w:rsid w:val="00E67FAC"/>
    <w:rsid w:val="00E71E15"/>
    <w:rsid w:val="00E7200B"/>
    <w:rsid w:val="00E738CB"/>
    <w:rsid w:val="00E73C88"/>
    <w:rsid w:val="00E74437"/>
    <w:rsid w:val="00E7443D"/>
    <w:rsid w:val="00E7512A"/>
    <w:rsid w:val="00E808B2"/>
    <w:rsid w:val="00E81C3E"/>
    <w:rsid w:val="00E82B6D"/>
    <w:rsid w:val="00E862C3"/>
    <w:rsid w:val="00E936AE"/>
    <w:rsid w:val="00EA1177"/>
    <w:rsid w:val="00EA118B"/>
    <w:rsid w:val="00EA11B6"/>
    <w:rsid w:val="00EA2181"/>
    <w:rsid w:val="00EA2DD8"/>
    <w:rsid w:val="00EA4475"/>
    <w:rsid w:val="00EA681F"/>
    <w:rsid w:val="00EB3307"/>
    <w:rsid w:val="00EB3823"/>
    <w:rsid w:val="00EB47D8"/>
    <w:rsid w:val="00EB57D3"/>
    <w:rsid w:val="00EB5EFD"/>
    <w:rsid w:val="00EB679F"/>
    <w:rsid w:val="00EB76E4"/>
    <w:rsid w:val="00EC0E65"/>
    <w:rsid w:val="00EC2938"/>
    <w:rsid w:val="00EC2D25"/>
    <w:rsid w:val="00EC2EA4"/>
    <w:rsid w:val="00EC38EF"/>
    <w:rsid w:val="00EC50C9"/>
    <w:rsid w:val="00EC58B4"/>
    <w:rsid w:val="00EC5BB2"/>
    <w:rsid w:val="00ED12F0"/>
    <w:rsid w:val="00ED3072"/>
    <w:rsid w:val="00ED4773"/>
    <w:rsid w:val="00ED664B"/>
    <w:rsid w:val="00ED6A61"/>
    <w:rsid w:val="00EE03BB"/>
    <w:rsid w:val="00EE0B44"/>
    <w:rsid w:val="00EE33C4"/>
    <w:rsid w:val="00EE434B"/>
    <w:rsid w:val="00EE6FE0"/>
    <w:rsid w:val="00EE704A"/>
    <w:rsid w:val="00EE7840"/>
    <w:rsid w:val="00EF1C53"/>
    <w:rsid w:val="00EF265D"/>
    <w:rsid w:val="00EF2978"/>
    <w:rsid w:val="00EF4C74"/>
    <w:rsid w:val="00EF5268"/>
    <w:rsid w:val="00EF608E"/>
    <w:rsid w:val="00F0044B"/>
    <w:rsid w:val="00F019FF"/>
    <w:rsid w:val="00F04957"/>
    <w:rsid w:val="00F05807"/>
    <w:rsid w:val="00F07052"/>
    <w:rsid w:val="00F0706C"/>
    <w:rsid w:val="00F11EBE"/>
    <w:rsid w:val="00F125F0"/>
    <w:rsid w:val="00F12BA8"/>
    <w:rsid w:val="00F130D0"/>
    <w:rsid w:val="00F14933"/>
    <w:rsid w:val="00F1516A"/>
    <w:rsid w:val="00F22A26"/>
    <w:rsid w:val="00F24072"/>
    <w:rsid w:val="00F2513F"/>
    <w:rsid w:val="00F26432"/>
    <w:rsid w:val="00F26E18"/>
    <w:rsid w:val="00F3197A"/>
    <w:rsid w:val="00F32139"/>
    <w:rsid w:val="00F33D56"/>
    <w:rsid w:val="00F34E08"/>
    <w:rsid w:val="00F41D91"/>
    <w:rsid w:val="00F42363"/>
    <w:rsid w:val="00F46964"/>
    <w:rsid w:val="00F46F9A"/>
    <w:rsid w:val="00F470FD"/>
    <w:rsid w:val="00F50F30"/>
    <w:rsid w:val="00F5126A"/>
    <w:rsid w:val="00F5126E"/>
    <w:rsid w:val="00F51AA4"/>
    <w:rsid w:val="00F563A6"/>
    <w:rsid w:val="00F644CC"/>
    <w:rsid w:val="00F6636A"/>
    <w:rsid w:val="00F667C5"/>
    <w:rsid w:val="00F66FE1"/>
    <w:rsid w:val="00F67E31"/>
    <w:rsid w:val="00F718A8"/>
    <w:rsid w:val="00F72183"/>
    <w:rsid w:val="00F76B89"/>
    <w:rsid w:val="00F76D01"/>
    <w:rsid w:val="00F81C35"/>
    <w:rsid w:val="00F82981"/>
    <w:rsid w:val="00F8311F"/>
    <w:rsid w:val="00F83248"/>
    <w:rsid w:val="00F83376"/>
    <w:rsid w:val="00F853AE"/>
    <w:rsid w:val="00F859AF"/>
    <w:rsid w:val="00F93C74"/>
    <w:rsid w:val="00F93DCC"/>
    <w:rsid w:val="00F9435D"/>
    <w:rsid w:val="00F94602"/>
    <w:rsid w:val="00F94C89"/>
    <w:rsid w:val="00F97740"/>
    <w:rsid w:val="00FA2F7B"/>
    <w:rsid w:val="00FA3C97"/>
    <w:rsid w:val="00FA78C8"/>
    <w:rsid w:val="00FA798D"/>
    <w:rsid w:val="00FA7D0C"/>
    <w:rsid w:val="00FB09FE"/>
    <w:rsid w:val="00FB101D"/>
    <w:rsid w:val="00FB1725"/>
    <w:rsid w:val="00FB37AB"/>
    <w:rsid w:val="00FB58A2"/>
    <w:rsid w:val="00FB593A"/>
    <w:rsid w:val="00FB6410"/>
    <w:rsid w:val="00FB6E82"/>
    <w:rsid w:val="00FC0042"/>
    <w:rsid w:val="00FC0ECC"/>
    <w:rsid w:val="00FC1EF9"/>
    <w:rsid w:val="00FC2A13"/>
    <w:rsid w:val="00FC4284"/>
    <w:rsid w:val="00FC4576"/>
    <w:rsid w:val="00FC78FB"/>
    <w:rsid w:val="00FC7DBC"/>
    <w:rsid w:val="00FD076A"/>
    <w:rsid w:val="00FD0AA0"/>
    <w:rsid w:val="00FD0F9A"/>
    <w:rsid w:val="00FD1D5A"/>
    <w:rsid w:val="00FD5059"/>
    <w:rsid w:val="00FD554D"/>
    <w:rsid w:val="00FE6469"/>
    <w:rsid w:val="00FF0AA3"/>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B1F"/>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566782"/>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884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79FD-C0EB-4D99-9473-D1558999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14</cp:revision>
  <cp:lastPrinted>2011-08-23T11:55:00Z</cp:lastPrinted>
  <dcterms:created xsi:type="dcterms:W3CDTF">2011-08-03T16:45:00Z</dcterms:created>
  <dcterms:modified xsi:type="dcterms:W3CDTF">2012-03-14T16:16:00Z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