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06A8C" w:rsidRDefault="00540BEF" w:rsidP="00190E48">
      <w:pPr>
        <w:tabs>
          <w:tab w:val="left" w:pos="288"/>
          <w:tab w:val="left" w:pos="4752"/>
        </w:tabs>
        <w:spacing w:line="240" w:lineRule="exact"/>
        <w:jc w:val="center"/>
        <w:rPr>
          <w:rFonts w:asciiTheme="minorHAnsi" w:hAnsiTheme="minorHAnsi"/>
          <w:color w:val="auto"/>
        </w:rPr>
      </w:pPr>
      <w:r w:rsidRPr="00606A8C">
        <w:rPr>
          <w:rFonts w:asciiTheme="minorHAnsi" w:hAnsiTheme="minorHAnsi"/>
          <w:color w:val="auto"/>
        </w:rPr>
        <w:t>RECORD OF PROCEEDINGS</w:t>
      </w:r>
    </w:p>
    <w:p w:rsidR="00540BEF" w:rsidRPr="00606A8C" w:rsidRDefault="00540BEF" w:rsidP="00190E48">
      <w:pPr>
        <w:tabs>
          <w:tab w:val="left" w:pos="288"/>
          <w:tab w:val="left" w:pos="4752"/>
        </w:tabs>
        <w:spacing w:line="240" w:lineRule="exact"/>
        <w:jc w:val="center"/>
        <w:rPr>
          <w:rFonts w:asciiTheme="minorHAnsi" w:hAnsiTheme="minorHAnsi"/>
          <w:color w:val="auto"/>
        </w:rPr>
      </w:pPr>
      <w:r w:rsidRPr="00606A8C">
        <w:rPr>
          <w:rFonts w:asciiTheme="minorHAnsi" w:hAnsiTheme="minorHAnsi"/>
          <w:color w:val="auto"/>
        </w:rPr>
        <w:t>PHYSICAL DISABILITY BOARD OF REVIEW</w:t>
      </w:r>
    </w:p>
    <w:p w:rsidR="00540BEF" w:rsidRPr="00606A8C" w:rsidRDefault="00540BEF" w:rsidP="00190E48">
      <w:pPr>
        <w:tabs>
          <w:tab w:val="left" w:pos="288"/>
          <w:tab w:val="left" w:pos="4752"/>
        </w:tabs>
        <w:spacing w:line="240" w:lineRule="exact"/>
        <w:jc w:val="both"/>
        <w:rPr>
          <w:rFonts w:asciiTheme="minorHAnsi" w:hAnsiTheme="minorHAnsi"/>
          <w:caps/>
          <w:color w:val="auto"/>
        </w:rPr>
      </w:pPr>
    </w:p>
    <w:p w:rsidR="00180F01" w:rsidRPr="00606A8C"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606A8C">
        <w:rPr>
          <w:rFonts w:asciiTheme="minorHAnsi" w:hAnsiTheme="minorHAnsi"/>
          <w:caps/>
          <w:color w:val="auto"/>
        </w:rPr>
        <w:t xml:space="preserve">NAME:  </w:t>
      </w:r>
      <w:r w:rsidR="00AC0E5A">
        <w:rPr>
          <w:rFonts w:asciiTheme="minorHAnsi" w:hAnsiTheme="minorHAnsi"/>
          <w:caps/>
          <w:color w:val="auto"/>
        </w:rPr>
        <w:t>XXXX</w:t>
      </w:r>
      <w:r w:rsidRPr="00606A8C">
        <w:rPr>
          <w:rFonts w:asciiTheme="minorHAnsi" w:hAnsiTheme="minorHAnsi"/>
          <w:caps/>
          <w:color w:val="auto"/>
        </w:rPr>
        <w:t xml:space="preserve">               </w:t>
      </w:r>
      <w:r w:rsidR="00D068E1" w:rsidRPr="00606A8C">
        <w:rPr>
          <w:rFonts w:asciiTheme="minorHAnsi" w:hAnsiTheme="minorHAnsi"/>
          <w:caps/>
          <w:color w:val="auto"/>
        </w:rPr>
        <w:t xml:space="preserve">         </w:t>
      </w:r>
      <w:r w:rsidRPr="00606A8C">
        <w:rPr>
          <w:rFonts w:asciiTheme="minorHAnsi" w:hAnsiTheme="minorHAnsi"/>
          <w:caps/>
          <w:color w:val="auto"/>
        </w:rPr>
        <w:t xml:space="preserve"> </w:t>
      </w:r>
      <w:r w:rsidR="00180F01" w:rsidRPr="00606A8C">
        <w:rPr>
          <w:rFonts w:asciiTheme="minorHAnsi" w:hAnsiTheme="minorHAnsi"/>
          <w:caps/>
          <w:color w:val="auto"/>
        </w:rPr>
        <w:tab/>
      </w:r>
      <w:r w:rsidR="00180F01" w:rsidRPr="00606A8C">
        <w:rPr>
          <w:rFonts w:asciiTheme="minorHAnsi" w:hAnsiTheme="minorHAnsi"/>
          <w:caps/>
          <w:color w:val="auto"/>
        </w:rPr>
        <w:tab/>
        <w:t xml:space="preserve"> </w:t>
      </w:r>
      <w:r w:rsidR="00DC26A5" w:rsidRPr="00606A8C">
        <w:rPr>
          <w:rFonts w:asciiTheme="minorHAnsi" w:hAnsiTheme="minorHAnsi"/>
          <w:caps/>
          <w:color w:val="auto"/>
        </w:rPr>
        <w:t xml:space="preserve">       </w:t>
      </w:r>
      <w:r w:rsidRPr="00606A8C">
        <w:rPr>
          <w:rFonts w:asciiTheme="minorHAnsi" w:hAnsiTheme="minorHAnsi"/>
          <w:caps/>
          <w:color w:val="auto"/>
        </w:rPr>
        <w:t>BRANCH OF SERVICE</w:t>
      </w:r>
      <w:r w:rsidR="00180F01" w:rsidRPr="00606A8C">
        <w:rPr>
          <w:rFonts w:asciiTheme="minorHAnsi" w:hAnsiTheme="minorHAnsi"/>
          <w:caps/>
          <w:color w:val="auto"/>
        </w:rPr>
        <w:t>:</w:t>
      </w:r>
      <w:r w:rsidRPr="00606A8C">
        <w:rPr>
          <w:rFonts w:asciiTheme="minorHAnsi" w:hAnsiTheme="minorHAnsi"/>
          <w:caps/>
          <w:color w:val="auto"/>
        </w:rPr>
        <w:t xml:space="preserve"> </w:t>
      </w:r>
      <w:r w:rsidR="00180F01" w:rsidRPr="00606A8C">
        <w:rPr>
          <w:rFonts w:asciiTheme="minorHAnsi" w:hAnsiTheme="minorHAnsi"/>
          <w:caps/>
          <w:color w:val="auto"/>
        </w:rPr>
        <w:t xml:space="preserve"> </w:t>
      </w:r>
      <w:r w:rsidRPr="00606A8C">
        <w:rPr>
          <w:rFonts w:asciiTheme="minorHAnsi" w:hAnsiTheme="minorHAnsi"/>
          <w:caps/>
          <w:color w:val="auto"/>
        </w:rPr>
        <w:t>marine corps</w:t>
      </w:r>
    </w:p>
    <w:p w:rsidR="001E669C" w:rsidRPr="00606A8C"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606A8C">
        <w:rPr>
          <w:rFonts w:asciiTheme="minorHAnsi" w:hAnsiTheme="minorHAnsi"/>
          <w:caps/>
          <w:color w:val="auto"/>
        </w:rPr>
        <w:t>CASE</w:t>
      </w:r>
      <w:r w:rsidR="00180F01" w:rsidRPr="00606A8C">
        <w:rPr>
          <w:rFonts w:asciiTheme="minorHAnsi" w:hAnsiTheme="minorHAnsi"/>
          <w:caps/>
          <w:color w:val="auto"/>
        </w:rPr>
        <w:t xml:space="preserve"> </w:t>
      </w:r>
      <w:r w:rsidRPr="00606A8C">
        <w:rPr>
          <w:rFonts w:asciiTheme="minorHAnsi" w:hAnsiTheme="minorHAnsi"/>
          <w:caps/>
          <w:color w:val="auto"/>
        </w:rPr>
        <w:t>NUMBER</w:t>
      </w:r>
      <w:r w:rsidR="00654C53" w:rsidRPr="00606A8C">
        <w:rPr>
          <w:rFonts w:asciiTheme="minorHAnsi" w:hAnsiTheme="minorHAnsi"/>
          <w:caps/>
          <w:color w:val="auto"/>
        </w:rPr>
        <w:t xml:space="preserve">: </w:t>
      </w:r>
      <w:r w:rsidR="00DC26A5" w:rsidRPr="00606A8C">
        <w:rPr>
          <w:rFonts w:asciiTheme="minorHAnsi" w:hAnsiTheme="minorHAnsi"/>
          <w:caps/>
          <w:color w:val="auto"/>
        </w:rPr>
        <w:t xml:space="preserve"> </w:t>
      </w:r>
      <w:r w:rsidR="00654C53" w:rsidRPr="00606A8C">
        <w:rPr>
          <w:rFonts w:asciiTheme="minorHAnsi" w:hAnsiTheme="minorHAnsi"/>
          <w:caps/>
          <w:color w:val="auto"/>
        </w:rPr>
        <w:t>PD</w:t>
      </w:r>
      <w:r w:rsidR="00D068E1" w:rsidRPr="00606A8C">
        <w:rPr>
          <w:rFonts w:asciiTheme="minorHAnsi" w:hAnsiTheme="minorHAnsi"/>
          <w:caps/>
          <w:color w:val="auto"/>
        </w:rPr>
        <w:t>1000899</w:t>
      </w:r>
      <w:r w:rsidRPr="00606A8C">
        <w:rPr>
          <w:rFonts w:asciiTheme="minorHAnsi" w:hAnsiTheme="minorHAnsi"/>
          <w:color w:val="auto"/>
        </w:rPr>
        <w:t xml:space="preserve">                           </w:t>
      </w:r>
      <w:r w:rsidR="007047E9">
        <w:rPr>
          <w:rFonts w:asciiTheme="minorHAnsi" w:hAnsiTheme="minorHAnsi"/>
          <w:color w:val="auto"/>
        </w:rPr>
        <w:t xml:space="preserve">                    </w:t>
      </w:r>
      <w:r w:rsidR="007A2778">
        <w:rPr>
          <w:rFonts w:asciiTheme="minorHAnsi" w:hAnsiTheme="minorHAnsi"/>
          <w:color w:val="auto"/>
        </w:rPr>
        <w:t xml:space="preserve">                 </w:t>
      </w:r>
      <w:r w:rsidRPr="00606A8C">
        <w:rPr>
          <w:rFonts w:asciiTheme="minorHAnsi" w:hAnsiTheme="minorHAnsi"/>
          <w:color w:val="auto"/>
        </w:rPr>
        <w:t>SEPARATION</w:t>
      </w:r>
      <w:r w:rsidR="007A2778">
        <w:rPr>
          <w:rFonts w:asciiTheme="minorHAnsi" w:hAnsiTheme="minorHAnsi"/>
          <w:color w:val="auto"/>
        </w:rPr>
        <w:t xml:space="preserve"> DATE</w:t>
      </w:r>
      <w:r w:rsidR="00DC26A5" w:rsidRPr="00606A8C">
        <w:rPr>
          <w:rFonts w:asciiTheme="minorHAnsi" w:hAnsiTheme="minorHAnsi"/>
          <w:color w:val="auto"/>
        </w:rPr>
        <w:t>:</w:t>
      </w:r>
      <w:r w:rsidRPr="00606A8C">
        <w:rPr>
          <w:rFonts w:asciiTheme="minorHAnsi" w:hAnsiTheme="minorHAnsi"/>
          <w:color w:val="auto"/>
        </w:rPr>
        <w:t xml:space="preserve"> </w:t>
      </w:r>
      <w:r w:rsidR="00DC26A5" w:rsidRPr="00606A8C">
        <w:rPr>
          <w:rFonts w:asciiTheme="minorHAnsi" w:hAnsiTheme="minorHAnsi"/>
          <w:color w:val="auto"/>
        </w:rPr>
        <w:t xml:space="preserve"> </w:t>
      </w:r>
      <w:r w:rsidR="00D068E1" w:rsidRPr="00606A8C">
        <w:rPr>
          <w:rFonts w:asciiTheme="minorHAnsi" w:hAnsiTheme="minorHAnsi"/>
          <w:caps/>
          <w:color w:val="auto"/>
        </w:rPr>
        <w:t>20030630</w:t>
      </w:r>
    </w:p>
    <w:p w:rsidR="001E669C" w:rsidRPr="00606A8C" w:rsidRDefault="001E669C" w:rsidP="001E669C">
      <w:pPr>
        <w:tabs>
          <w:tab w:val="left" w:pos="288"/>
          <w:tab w:val="left" w:pos="5130"/>
        </w:tabs>
        <w:spacing w:line="240" w:lineRule="exact"/>
        <w:jc w:val="both"/>
        <w:rPr>
          <w:rFonts w:asciiTheme="minorHAnsi" w:hAnsiTheme="minorHAnsi"/>
          <w:color w:val="auto"/>
        </w:rPr>
      </w:pPr>
      <w:r w:rsidRPr="00606A8C">
        <w:rPr>
          <w:rFonts w:asciiTheme="minorHAnsi" w:hAnsiTheme="minorHAnsi"/>
          <w:caps/>
          <w:color w:val="auto"/>
        </w:rPr>
        <w:t>BOARD DATE:  2011</w:t>
      </w:r>
      <w:r w:rsidR="00587155" w:rsidRPr="00606A8C">
        <w:rPr>
          <w:rFonts w:asciiTheme="minorHAnsi" w:hAnsiTheme="minorHAnsi"/>
          <w:caps/>
          <w:color w:val="auto"/>
        </w:rPr>
        <w:t>0706</w:t>
      </w:r>
      <w:r w:rsidR="00D068E1" w:rsidRPr="00606A8C">
        <w:rPr>
          <w:rFonts w:asciiTheme="minorHAnsi" w:hAnsiTheme="minorHAnsi"/>
          <w:caps/>
          <w:color w:val="auto"/>
        </w:rPr>
        <w:t xml:space="preserve">                                                                </w:t>
      </w:r>
    </w:p>
    <w:p w:rsidR="001E669C" w:rsidRPr="00606A8C"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E669C" w:rsidRPr="00606A8C" w:rsidRDefault="001E669C" w:rsidP="00106AD8">
      <w:pPr>
        <w:tabs>
          <w:tab w:val="left" w:pos="288"/>
          <w:tab w:val="left" w:pos="4752"/>
        </w:tabs>
        <w:spacing w:line="240" w:lineRule="exact"/>
        <w:rPr>
          <w:rFonts w:ascii="Calibri" w:hAnsi="Calibri"/>
          <w:color w:val="auto"/>
          <w:szCs w:val="24"/>
        </w:rPr>
      </w:pPr>
    </w:p>
    <w:p w:rsidR="00A57203" w:rsidRPr="00606A8C" w:rsidRDefault="002C6E5B" w:rsidP="00E62665">
      <w:pPr>
        <w:tabs>
          <w:tab w:val="left" w:pos="288"/>
          <w:tab w:val="left" w:pos="4752"/>
        </w:tabs>
        <w:spacing w:line="240" w:lineRule="exact"/>
        <w:jc w:val="both"/>
        <w:rPr>
          <w:rFonts w:asciiTheme="minorHAnsi" w:hAnsiTheme="minorHAnsi"/>
          <w:color w:val="auto"/>
        </w:rPr>
      </w:pPr>
      <w:r w:rsidRPr="00606A8C">
        <w:rPr>
          <w:rFonts w:asciiTheme="minorHAnsi" w:hAnsiTheme="minorHAnsi"/>
          <w:color w:val="auto"/>
          <w:u w:val="single"/>
        </w:rPr>
        <w:t>SUMMARY OF CASE</w:t>
      </w:r>
      <w:r w:rsidRPr="00606A8C">
        <w:rPr>
          <w:rFonts w:asciiTheme="minorHAnsi" w:hAnsiTheme="minorHAnsi"/>
          <w:color w:val="auto"/>
        </w:rPr>
        <w:t xml:space="preserve">: </w:t>
      </w:r>
      <w:r w:rsidR="00654C53" w:rsidRPr="00606A8C">
        <w:rPr>
          <w:rFonts w:asciiTheme="minorHAnsi" w:hAnsiTheme="minorHAnsi"/>
          <w:color w:val="auto"/>
        </w:rPr>
        <w:t xml:space="preserve"> </w:t>
      </w:r>
      <w:r w:rsidR="00E32FD7" w:rsidRPr="00606A8C">
        <w:rPr>
          <w:rFonts w:asciiTheme="minorHAnsi" w:hAnsiTheme="minorHAnsi"/>
          <w:color w:val="auto"/>
          <w:szCs w:val="24"/>
        </w:rPr>
        <w:t xml:space="preserve">Data extracted from the available evidence of record reflects that this covered individual (CI) was an active duty Lance Corporal (7051, Aircraft Firefighter) medically separated from the Marine Corps in 2003. </w:t>
      </w:r>
      <w:r w:rsidR="00654C53" w:rsidRPr="00606A8C">
        <w:rPr>
          <w:rFonts w:asciiTheme="minorHAnsi" w:hAnsiTheme="minorHAnsi"/>
          <w:color w:val="auto"/>
          <w:szCs w:val="24"/>
        </w:rPr>
        <w:t xml:space="preserve"> </w:t>
      </w:r>
      <w:r w:rsidR="00E32FD7" w:rsidRPr="00606A8C">
        <w:rPr>
          <w:rFonts w:asciiTheme="minorHAnsi" w:hAnsiTheme="minorHAnsi"/>
          <w:color w:val="auto"/>
          <w:szCs w:val="24"/>
        </w:rPr>
        <w:t xml:space="preserve">The medical basis for the separation was </w:t>
      </w:r>
      <w:proofErr w:type="spellStart"/>
      <w:r w:rsidR="007A2778" w:rsidRPr="00606A8C">
        <w:rPr>
          <w:rFonts w:asciiTheme="minorHAnsi" w:hAnsiTheme="minorHAnsi"/>
          <w:color w:val="auto"/>
          <w:szCs w:val="24"/>
        </w:rPr>
        <w:t>discogenic</w:t>
      </w:r>
      <w:proofErr w:type="spellEnd"/>
      <w:r w:rsidR="007A2778" w:rsidRPr="00606A8C">
        <w:rPr>
          <w:rFonts w:asciiTheme="minorHAnsi" w:hAnsiTheme="minorHAnsi"/>
          <w:color w:val="auto"/>
        </w:rPr>
        <w:t xml:space="preserve"> back pain with herniated nucleus </w:t>
      </w:r>
      <w:proofErr w:type="spellStart"/>
      <w:r w:rsidR="007A2778" w:rsidRPr="00606A8C">
        <w:rPr>
          <w:rFonts w:asciiTheme="minorHAnsi" w:hAnsiTheme="minorHAnsi"/>
          <w:color w:val="auto"/>
        </w:rPr>
        <w:t>pulposus</w:t>
      </w:r>
      <w:proofErr w:type="spellEnd"/>
      <w:r w:rsidR="007A2778" w:rsidRPr="00606A8C">
        <w:rPr>
          <w:rFonts w:asciiTheme="minorHAnsi" w:hAnsiTheme="minorHAnsi"/>
          <w:color w:val="auto"/>
        </w:rPr>
        <w:t xml:space="preserve"> </w:t>
      </w:r>
      <w:r w:rsidR="000239B9">
        <w:rPr>
          <w:rFonts w:asciiTheme="minorHAnsi" w:hAnsiTheme="minorHAnsi"/>
          <w:color w:val="auto"/>
        </w:rPr>
        <w:t xml:space="preserve">(HNP) </w:t>
      </w:r>
      <w:r w:rsidR="007A2778" w:rsidRPr="00606A8C">
        <w:rPr>
          <w:rFonts w:asciiTheme="minorHAnsi" w:hAnsiTheme="minorHAnsi"/>
          <w:color w:val="auto"/>
        </w:rPr>
        <w:t>to</w:t>
      </w:r>
      <w:r w:rsidR="00E32FD7" w:rsidRPr="00606A8C">
        <w:rPr>
          <w:rFonts w:asciiTheme="minorHAnsi" w:hAnsiTheme="minorHAnsi"/>
          <w:color w:val="auto"/>
        </w:rPr>
        <w:t xml:space="preserve"> L5/S1.  </w:t>
      </w:r>
      <w:r w:rsidR="00223B5D" w:rsidRPr="00606A8C">
        <w:rPr>
          <w:rFonts w:asciiTheme="minorHAnsi" w:hAnsiTheme="minorHAnsi"/>
          <w:color w:val="auto"/>
        </w:rPr>
        <w:t>The CI stated that he fell approximately four feet and injured his back while in boot camp and then reinjured his back while lifting a 180</w:t>
      </w:r>
      <w:r w:rsidR="007A2778">
        <w:rPr>
          <w:rFonts w:asciiTheme="minorHAnsi" w:hAnsiTheme="minorHAnsi"/>
          <w:color w:val="auto"/>
        </w:rPr>
        <w:t>-</w:t>
      </w:r>
      <w:r w:rsidR="00223B5D" w:rsidRPr="00606A8C">
        <w:rPr>
          <w:rFonts w:asciiTheme="minorHAnsi" w:hAnsiTheme="minorHAnsi"/>
          <w:color w:val="auto"/>
        </w:rPr>
        <w:t xml:space="preserve">pound dummy during firefighting training. </w:t>
      </w:r>
      <w:r w:rsidR="007A7392" w:rsidRPr="00606A8C">
        <w:rPr>
          <w:rFonts w:asciiTheme="minorHAnsi" w:hAnsiTheme="minorHAnsi"/>
          <w:color w:val="auto"/>
        </w:rPr>
        <w:t xml:space="preserve"> Neither of these injuries </w:t>
      </w:r>
      <w:r w:rsidR="00654C53" w:rsidRPr="00606A8C">
        <w:rPr>
          <w:rFonts w:asciiTheme="minorHAnsi" w:hAnsiTheme="minorHAnsi"/>
          <w:color w:val="auto"/>
        </w:rPr>
        <w:t>was</w:t>
      </w:r>
      <w:r w:rsidR="007A7392" w:rsidRPr="00606A8C">
        <w:rPr>
          <w:rFonts w:asciiTheme="minorHAnsi" w:hAnsiTheme="minorHAnsi"/>
          <w:color w:val="auto"/>
        </w:rPr>
        <w:t xml:space="preserve"> documented in the CI’s medical records.  </w:t>
      </w:r>
      <w:r w:rsidR="007A2778">
        <w:rPr>
          <w:rFonts w:asciiTheme="minorHAnsi" w:hAnsiTheme="minorHAnsi"/>
          <w:color w:val="auto"/>
        </w:rPr>
        <w:t>H</w:t>
      </w:r>
      <w:r w:rsidR="00C01D58">
        <w:rPr>
          <w:rFonts w:asciiTheme="minorHAnsi" w:hAnsiTheme="minorHAnsi"/>
          <w:color w:val="auto"/>
        </w:rPr>
        <w:t>e</w:t>
      </w:r>
      <w:r w:rsidR="007A2778">
        <w:rPr>
          <w:rFonts w:asciiTheme="minorHAnsi" w:hAnsiTheme="minorHAnsi"/>
          <w:color w:val="auto"/>
        </w:rPr>
        <w:t xml:space="preserve"> first</w:t>
      </w:r>
      <w:r w:rsidR="007A7392" w:rsidRPr="00606A8C">
        <w:rPr>
          <w:rFonts w:asciiTheme="minorHAnsi" w:hAnsiTheme="minorHAnsi"/>
          <w:color w:val="auto"/>
        </w:rPr>
        <w:t xml:space="preserve"> complain</w:t>
      </w:r>
      <w:r w:rsidR="00C01D58">
        <w:rPr>
          <w:rFonts w:asciiTheme="minorHAnsi" w:hAnsiTheme="minorHAnsi"/>
          <w:color w:val="auto"/>
        </w:rPr>
        <w:t>ed</w:t>
      </w:r>
      <w:r w:rsidR="007A7392" w:rsidRPr="00606A8C">
        <w:rPr>
          <w:rFonts w:asciiTheme="minorHAnsi" w:hAnsiTheme="minorHAnsi"/>
          <w:color w:val="auto"/>
        </w:rPr>
        <w:t xml:space="preserve"> of back pain </w:t>
      </w:r>
      <w:r w:rsidR="007A2778">
        <w:rPr>
          <w:rFonts w:asciiTheme="minorHAnsi" w:hAnsiTheme="minorHAnsi"/>
          <w:color w:val="auto"/>
        </w:rPr>
        <w:t xml:space="preserve">on 4 October </w:t>
      </w:r>
      <w:r w:rsidR="007A7392" w:rsidRPr="00606A8C">
        <w:rPr>
          <w:rFonts w:asciiTheme="minorHAnsi" w:hAnsiTheme="minorHAnsi"/>
          <w:color w:val="auto"/>
        </w:rPr>
        <w:t>2002 when he complained of progressive back pain with paresthesias radiating down both legs over a two</w:t>
      </w:r>
      <w:r w:rsidR="007A2778">
        <w:rPr>
          <w:rFonts w:asciiTheme="minorHAnsi" w:hAnsiTheme="minorHAnsi"/>
          <w:color w:val="auto"/>
        </w:rPr>
        <w:t>-</w:t>
      </w:r>
      <w:r w:rsidR="007A7392" w:rsidRPr="00606A8C">
        <w:rPr>
          <w:rFonts w:asciiTheme="minorHAnsi" w:hAnsiTheme="minorHAnsi"/>
          <w:color w:val="auto"/>
        </w:rPr>
        <w:t>week time period.  A</w:t>
      </w:r>
      <w:r w:rsidR="007A2778">
        <w:rPr>
          <w:rFonts w:asciiTheme="minorHAnsi" w:hAnsiTheme="minorHAnsi"/>
          <w:color w:val="auto"/>
        </w:rPr>
        <w:t xml:space="preserve"> magnetic resonance imaging (</w:t>
      </w:r>
      <w:r w:rsidR="007A7392" w:rsidRPr="00606A8C">
        <w:rPr>
          <w:rFonts w:asciiTheme="minorHAnsi" w:hAnsiTheme="minorHAnsi"/>
          <w:color w:val="auto"/>
        </w:rPr>
        <w:t>MRI</w:t>
      </w:r>
      <w:r w:rsidR="007A2778">
        <w:rPr>
          <w:rFonts w:asciiTheme="minorHAnsi" w:hAnsiTheme="minorHAnsi"/>
          <w:color w:val="auto"/>
        </w:rPr>
        <w:t>)</w:t>
      </w:r>
      <w:r w:rsidR="007A7392" w:rsidRPr="00606A8C">
        <w:rPr>
          <w:rFonts w:asciiTheme="minorHAnsi" w:hAnsiTheme="minorHAnsi"/>
          <w:color w:val="auto"/>
        </w:rPr>
        <w:t xml:space="preserve"> indicated some disc space narrowing and a small central canal di</w:t>
      </w:r>
      <w:r w:rsidR="00144E43" w:rsidRPr="00606A8C">
        <w:rPr>
          <w:rFonts w:asciiTheme="minorHAnsi" w:hAnsiTheme="minorHAnsi"/>
          <w:color w:val="auto"/>
        </w:rPr>
        <w:t>s</w:t>
      </w:r>
      <w:r w:rsidR="007A7392" w:rsidRPr="00606A8C">
        <w:rPr>
          <w:rFonts w:asciiTheme="minorHAnsi" w:hAnsiTheme="minorHAnsi"/>
          <w:color w:val="auto"/>
        </w:rPr>
        <w:t xml:space="preserve">c protrusion at L5/S1. </w:t>
      </w:r>
      <w:r w:rsidR="00654C53" w:rsidRPr="00606A8C">
        <w:rPr>
          <w:rFonts w:asciiTheme="minorHAnsi" w:hAnsiTheme="minorHAnsi"/>
          <w:color w:val="auto"/>
        </w:rPr>
        <w:t xml:space="preserve"> </w:t>
      </w:r>
      <w:r w:rsidR="00144E43" w:rsidRPr="00606A8C">
        <w:rPr>
          <w:rFonts w:asciiTheme="minorHAnsi" w:hAnsiTheme="minorHAnsi"/>
          <w:color w:val="auto"/>
        </w:rPr>
        <w:t>The CI was placed on an eight</w:t>
      </w:r>
      <w:r w:rsidR="007A2778">
        <w:rPr>
          <w:rFonts w:asciiTheme="minorHAnsi" w:hAnsiTheme="minorHAnsi"/>
          <w:color w:val="auto"/>
        </w:rPr>
        <w:t>-</w:t>
      </w:r>
      <w:r w:rsidR="00144E43" w:rsidRPr="00606A8C">
        <w:rPr>
          <w:rFonts w:asciiTheme="minorHAnsi" w:hAnsiTheme="minorHAnsi"/>
          <w:color w:val="auto"/>
        </w:rPr>
        <w:t xml:space="preserve">month limited duty (LIMDU) with restrictions of no running, no conditioning hikes, no lifting greater than twenty pounds, </w:t>
      </w:r>
      <w:r w:rsidR="00654C53" w:rsidRPr="00606A8C">
        <w:rPr>
          <w:rFonts w:asciiTheme="minorHAnsi" w:hAnsiTheme="minorHAnsi"/>
          <w:color w:val="auto"/>
        </w:rPr>
        <w:t>and no</w:t>
      </w:r>
      <w:r w:rsidR="00144E43" w:rsidRPr="00606A8C">
        <w:rPr>
          <w:rFonts w:asciiTheme="minorHAnsi" w:hAnsiTheme="minorHAnsi"/>
          <w:color w:val="auto"/>
        </w:rPr>
        <w:t xml:space="preserve"> physical fitness tests (PFT) and no deploying.  </w:t>
      </w:r>
      <w:r w:rsidR="007A7392" w:rsidRPr="00606A8C">
        <w:rPr>
          <w:rFonts w:asciiTheme="minorHAnsi" w:hAnsiTheme="minorHAnsi"/>
          <w:color w:val="auto"/>
        </w:rPr>
        <w:t>Despite non</w:t>
      </w:r>
      <w:r w:rsidR="007A2778">
        <w:rPr>
          <w:rFonts w:asciiTheme="minorHAnsi" w:hAnsiTheme="minorHAnsi"/>
          <w:color w:val="auto"/>
        </w:rPr>
        <w:t>-</w:t>
      </w:r>
      <w:r w:rsidR="007A7392" w:rsidRPr="00606A8C">
        <w:rPr>
          <w:rFonts w:asciiTheme="minorHAnsi" w:hAnsiTheme="minorHAnsi"/>
          <w:color w:val="auto"/>
        </w:rPr>
        <w:t>steroidal anti</w:t>
      </w:r>
      <w:r w:rsidR="00C01D58">
        <w:rPr>
          <w:rFonts w:asciiTheme="minorHAnsi" w:hAnsiTheme="minorHAnsi"/>
          <w:color w:val="auto"/>
        </w:rPr>
        <w:t>-</w:t>
      </w:r>
      <w:r w:rsidR="007A7392" w:rsidRPr="00606A8C">
        <w:rPr>
          <w:rFonts w:asciiTheme="minorHAnsi" w:hAnsiTheme="minorHAnsi"/>
          <w:color w:val="auto"/>
        </w:rPr>
        <w:t>inflammatory (NSAID) medication, muscle relaxants</w:t>
      </w:r>
      <w:r w:rsidR="00144E43" w:rsidRPr="00606A8C">
        <w:rPr>
          <w:rFonts w:asciiTheme="minorHAnsi" w:hAnsiTheme="minorHAnsi"/>
          <w:color w:val="auto"/>
        </w:rPr>
        <w:t xml:space="preserve">, </w:t>
      </w:r>
      <w:r w:rsidR="00654C53" w:rsidRPr="00606A8C">
        <w:rPr>
          <w:rFonts w:asciiTheme="minorHAnsi" w:hAnsiTheme="minorHAnsi"/>
          <w:color w:val="auto"/>
        </w:rPr>
        <w:t>and</w:t>
      </w:r>
      <w:r w:rsidR="00144E43" w:rsidRPr="00606A8C">
        <w:rPr>
          <w:rFonts w:asciiTheme="minorHAnsi" w:hAnsiTheme="minorHAnsi"/>
          <w:color w:val="auto"/>
        </w:rPr>
        <w:t xml:space="preserve"> the </w:t>
      </w:r>
      <w:r w:rsidR="007A2778">
        <w:rPr>
          <w:rFonts w:asciiTheme="minorHAnsi" w:hAnsiTheme="minorHAnsi"/>
          <w:color w:val="auto"/>
        </w:rPr>
        <w:t>L</w:t>
      </w:r>
      <w:r w:rsidR="00144E43" w:rsidRPr="00606A8C">
        <w:rPr>
          <w:rFonts w:asciiTheme="minorHAnsi" w:hAnsiTheme="minorHAnsi"/>
          <w:color w:val="auto"/>
        </w:rPr>
        <w:t xml:space="preserve">IMDU, the CI was unable to perform within his military occupational specialty (MOS) and was referred to a Medical Evaluation Board (MEB).  The MEB </w:t>
      </w:r>
      <w:r w:rsidR="007A2778" w:rsidRPr="00606A8C">
        <w:rPr>
          <w:rFonts w:asciiTheme="minorHAnsi" w:hAnsiTheme="minorHAnsi"/>
          <w:color w:val="auto"/>
        </w:rPr>
        <w:t xml:space="preserve">forwarded </w:t>
      </w:r>
      <w:proofErr w:type="spellStart"/>
      <w:r w:rsidR="007A2778" w:rsidRPr="00606A8C">
        <w:rPr>
          <w:rFonts w:asciiTheme="minorHAnsi" w:hAnsiTheme="minorHAnsi"/>
          <w:color w:val="auto"/>
        </w:rPr>
        <w:t>discogenic</w:t>
      </w:r>
      <w:proofErr w:type="spellEnd"/>
      <w:r w:rsidR="007A2778" w:rsidRPr="00606A8C">
        <w:rPr>
          <w:rFonts w:asciiTheme="minorHAnsi" w:hAnsiTheme="minorHAnsi"/>
          <w:color w:val="auto"/>
        </w:rPr>
        <w:t xml:space="preserve"> back pain with </w:t>
      </w:r>
      <w:r w:rsidR="000239B9">
        <w:rPr>
          <w:rFonts w:asciiTheme="minorHAnsi" w:hAnsiTheme="minorHAnsi"/>
          <w:color w:val="auto"/>
        </w:rPr>
        <w:t>HNP</w:t>
      </w:r>
      <w:r w:rsidR="007A2778" w:rsidRPr="00606A8C">
        <w:rPr>
          <w:rFonts w:asciiTheme="minorHAnsi" w:hAnsiTheme="minorHAnsi"/>
          <w:color w:val="auto"/>
        </w:rPr>
        <w:t xml:space="preserve"> to</w:t>
      </w:r>
      <w:r w:rsidR="00D74F9A" w:rsidRPr="00606A8C">
        <w:rPr>
          <w:rFonts w:asciiTheme="minorHAnsi" w:hAnsiTheme="minorHAnsi"/>
          <w:color w:val="auto"/>
        </w:rPr>
        <w:t xml:space="preserve"> L5/S1 to the </w:t>
      </w:r>
      <w:r w:rsidR="00D74F9A" w:rsidRPr="00606A8C">
        <w:rPr>
          <w:rFonts w:asciiTheme="minorHAnsi" w:hAnsiTheme="minorHAnsi"/>
          <w:color w:val="auto"/>
          <w:szCs w:val="24"/>
        </w:rPr>
        <w:t>Physical Evaluation Board (PEB) on NAVMED 6100/1.</w:t>
      </w:r>
      <w:r w:rsidR="00654C53" w:rsidRPr="00606A8C">
        <w:rPr>
          <w:rFonts w:asciiTheme="minorHAnsi" w:hAnsiTheme="minorHAnsi"/>
          <w:color w:val="auto"/>
          <w:szCs w:val="24"/>
        </w:rPr>
        <w:t xml:space="preserve"> </w:t>
      </w:r>
      <w:r w:rsidR="00D74F9A" w:rsidRPr="00606A8C">
        <w:rPr>
          <w:rFonts w:asciiTheme="minorHAnsi" w:hAnsiTheme="minorHAnsi"/>
          <w:color w:val="auto"/>
          <w:szCs w:val="24"/>
        </w:rPr>
        <w:t xml:space="preserve"> The PEB adjudicated </w:t>
      </w:r>
      <w:proofErr w:type="spellStart"/>
      <w:r w:rsidR="007A2778" w:rsidRPr="00606A8C">
        <w:rPr>
          <w:rFonts w:asciiTheme="minorHAnsi" w:hAnsiTheme="minorHAnsi"/>
          <w:color w:val="auto"/>
        </w:rPr>
        <w:t>discogenic</w:t>
      </w:r>
      <w:proofErr w:type="spellEnd"/>
      <w:r w:rsidR="007A2778" w:rsidRPr="00606A8C">
        <w:rPr>
          <w:rFonts w:asciiTheme="minorHAnsi" w:hAnsiTheme="minorHAnsi"/>
          <w:color w:val="auto"/>
        </w:rPr>
        <w:t xml:space="preserve"> back pain with </w:t>
      </w:r>
      <w:r w:rsidR="000239B9">
        <w:rPr>
          <w:rFonts w:asciiTheme="minorHAnsi" w:hAnsiTheme="minorHAnsi"/>
          <w:color w:val="auto"/>
        </w:rPr>
        <w:t>HNP</w:t>
      </w:r>
      <w:r w:rsidR="007A2778" w:rsidRPr="00606A8C">
        <w:rPr>
          <w:rFonts w:asciiTheme="minorHAnsi" w:hAnsiTheme="minorHAnsi"/>
          <w:color w:val="auto"/>
        </w:rPr>
        <w:t xml:space="preserve"> </w:t>
      </w:r>
      <w:r w:rsidR="00D74F9A" w:rsidRPr="00606A8C">
        <w:rPr>
          <w:rFonts w:asciiTheme="minorHAnsi" w:hAnsiTheme="minorHAnsi"/>
          <w:color w:val="auto"/>
        </w:rPr>
        <w:t>to L5/S1</w:t>
      </w:r>
      <w:r w:rsidR="003C6F84" w:rsidRPr="00606A8C">
        <w:rPr>
          <w:rFonts w:asciiTheme="minorHAnsi" w:hAnsiTheme="minorHAnsi"/>
          <w:color w:val="auto"/>
        </w:rPr>
        <w:t xml:space="preserve"> as unfitting rated with the disability code of 5295 at 0%</w:t>
      </w:r>
      <w:r w:rsidR="000239B9">
        <w:rPr>
          <w:rFonts w:asciiTheme="minorHAnsi" w:hAnsiTheme="minorHAnsi"/>
          <w:color w:val="auto"/>
        </w:rPr>
        <w:t>,</w:t>
      </w:r>
      <w:r w:rsidR="003C6F84" w:rsidRPr="00606A8C">
        <w:rPr>
          <w:rFonts w:asciiTheme="minorHAnsi" w:hAnsiTheme="minorHAnsi"/>
          <w:color w:val="auto"/>
        </w:rPr>
        <w:t xml:space="preserve"> with probable application of SECNAVINST 1850.4e and DoDI 1332.39.  The CI made no appeals and was medically separat</w:t>
      </w:r>
      <w:r w:rsidR="00DC26A5" w:rsidRPr="00606A8C">
        <w:rPr>
          <w:rFonts w:asciiTheme="minorHAnsi" w:hAnsiTheme="minorHAnsi"/>
          <w:color w:val="auto"/>
        </w:rPr>
        <w:t>ed with a 0% disability rating.</w:t>
      </w:r>
    </w:p>
    <w:p w:rsidR="00106AD8" w:rsidRPr="00606A8C" w:rsidRDefault="003C6F84" w:rsidP="00E62665">
      <w:pPr>
        <w:tabs>
          <w:tab w:val="left" w:pos="288"/>
          <w:tab w:val="left" w:pos="4752"/>
        </w:tabs>
        <w:spacing w:line="240" w:lineRule="exact"/>
        <w:rPr>
          <w:rFonts w:ascii="Calibri" w:hAnsi="Calibri"/>
          <w:b/>
          <w:color w:val="auto"/>
          <w:szCs w:val="24"/>
        </w:rPr>
      </w:pPr>
      <w:r w:rsidRPr="00606A8C">
        <w:rPr>
          <w:rFonts w:asciiTheme="minorHAnsi" w:hAnsiTheme="minorHAnsi"/>
          <w:b/>
          <w:color w:val="auto"/>
        </w:rPr>
        <w:t>______________________________________________________________________________</w:t>
      </w:r>
    </w:p>
    <w:p w:rsidR="00180F01" w:rsidRPr="00606A8C" w:rsidRDefault="00180F01" w:rsidP="00E62665">
      <w:pPr>
        <w:tabs>
          <w:tab w:val="left" w:pos="288"/>
          <w:tab w:val="left" w:pos="4752"/>
        </w:tabs>
        <w:spacing w:line="240" w:lineRule="exact"/>
        <w:jc w:val="both"/>
        <w:rPr>
          <w:rFonts w:asciiTheme="minorHAnsi" w:hAnsiTheme="minorHAnsi"/>
          <w:color w:val="auto"/>
          <w:u w:val="single"/>
        </w:rPr>
      </w:pPr>
    </w:p>
    <w:p w:rsidR="00691E61" w:rsidRPr="00606A8C" w:rsidRDefault="002C6E5B" w:rsidP="00E62665">
      <w:pPr>
        <w:tabs>
          <w:tab w:val="left" w:pos="288"/>
          <w:tab w:val="left" w:pos="4752"/>
        </w:tabs>
        <w:spacing w:line="240" w:lineRule="exact"/>
        <w:jc w:val="both"/>
        <w:rPr>
          <w:rFonts w:asciiTheme="minorHAnsi" w:hAnsiTheme="minorHAnsi"/>
          <w:color w:val="auto"/>
          <w:szCs w:val="24"/>
        </w:rPr>
      </w:pPr>
      <w:r w:rsidRPr="00606A8C">
        <w:rPr>
          <w:rFonts w:asciiTheme="minorHAnsi" w:hAnsiTheme="minorHAnsi"/>
          <w:color w:val="auto"/>
          <w:u w:val="single"/>
        </w:rPr>
        <w:t>CI CONTENTION</w:t>
      </w:r>
      <w:r w:rsidR="000239B9">
        <w:rPr>
          <w:rFonts w:asciiTheme="minorHAnsi" w:hAnsiTheme="minorHAnsi"/>
          <w:color w:val="auto"/>
        </w:rPr>
        <w:t>: “</w:t>
      </w:r>
      <w:r w:rsidR="00E32FD7" w:rsidRPr="00606A8C">
        <w:rPr>
          <w:rFonts w:asciiTheme="minorHAnsi" w:hAnsiTheme="minorHAnsi"/>
          <w:color w:val="auto"/>
          <w:szCs w:val="24"/>
        </w:rPr>
        <w:t xml:space="preserve">Injury occurred during active service during a combat training exercise. </w:t>
      </w:r>
      <w:r w:rsidR="00180F01" w:rsidRPr="00606A8C">
        <w:rPr>
          <w:rFonts w:asciiTheme="minorHAnsi" w:hAnsiTheme="minorHAnsi"/>
          <w:color w:val="auto"/>
          <w:szCs w:val="24"/>
        </w:rPr>
        <w:t xml:space="preserve"> </w:t>
      </w:r>
      <w:r w:rsidR="00E32FD7" w:rsidRPr="00606A8C">
        <w:rPr>
          <w:rFonts w:asciiTheme="minorHAnsi" w:hAnsiTheme="minorHAnsi"/>
          <w:color w:val="auto"/>
          <w:szCs w:val="24"/>
        </w:rPr>
        <w:t xml:space="preserve">For this injury, which is on record, the VA gave me a rating. </w:t>
      </w:r>
      <w:r w:rsidR="00180F01" w:rsidRPr="00606A8C">
        <w:rPr>
          <w:rFonts w:asciiTheme="minorHAnsi" w:hAnsiTheme="minorHAnsi"/>
          <w:color w:val="auto"/>
          <w:szCs w:val="24"/>
        </w:rPr>
        <w:t xml:space="preserve"> </w:t>
      </w:r>
      <w:r w:rsidR="00E32FD7" w:rsidRPr="00606A8C">
        <w:rPr>
          <w:rFonts w:asciiTheme="minorHAnsi" w:hAnsiTheme="minorHAnsi"/>
          <w:color w:val="auto"/>
          <w:szCs w:val="24"/>
        </w:rPr>
        <w:t xml:space="preserve">If the VA rated me, but the </w:t>
      </w:r>
      <w:proofErr w:type="gramStart"/>
      <w:r w:rsidR="00E32FD7" w:rsidRPr="00606A8C">
        <w:rPr>
          <w:rFonts w:asciiTheme="minorHAnsi" w:hAnsiTheme="minorHAnsi"/>
          <w:color w:val="auto"/>
          <w:szCs w:val="24"/>
        </w:rPr>
        <w:t>DoD</w:t>
      </w:r>
      <w:proofErr w:type="gramEnd"/>
      <w:r w:rsidR="00E32FD7" w:rsidRPr="00606A8C">
        <w:rPr>
          <w:rFonts w:asciiTheme="minorHAnsi" w:hAnsiTheme="minorHAnsi"/>
          <w:color w:val="auto"/>
          <w:szCs w:val="24"/>
        </w:rPr>
        <w:t xml:space="preserve"> did not, then is an inconsistency there.  My current ratings from the VA are: 10% for </w:t>
      </w:r>
      <w:r w:rsidR="000239B9" w:rsidRPr="00606A8C">
        <w:rPr>
          <w:rFonts w:asciiTheme="minorHAnsi" w:hAnsiTheme="minorHAnsi"/>
          <w:color w:val="auto"/>
          <w:szCs w:val="24"/>
        </w:rPr>
        <w:t>tinnitus, 20% back injury, 30% for migraine</w:t>
      </w:r>
      <w:r w:rsidR="00E32FD7" w:rsidRPr="00606A8C">
        <w:rPr>
          <w:rFonts w:asciiTheme="minorHAnsi" w:hAnsiTheme="minorHAnsi"/>
          <w:color w:val="auto"/>
          <w:szCs w:val="24"/>
        </w:rPr>
        <w:t xml:space="preserve">s. </w:t>
      </w:r>
      <w:r w:rsidR="00180F01" w:rsidRPr="00606A8C">
        <w:rPr>
          <w:rFonts w:asciiTheme="minorHAnsi" w:hAnsiTheme="minorHAnsi"/>
          <w:color w:val="auto"/>
          <w:szCs w:val="24"/>
        </w:rPr>
        <w:t xml:space="preserve"> </w:t>
      </w:r>
      <w:r w:rsidR="00E32FD7" w:rsidRPr="00606A8C">
        <w:rPr>
          <w:rFonts w:asciiTheme="minorHAnsi" w:hAnsiTheme="minorHAnsi"/>
          <w:color w:val="auto"/>
          <w:szCs w:val="24"/>
        </w:rPr>
        <w:t xml:space="preserve">Total rating: </w:t>
      </w:r>
      <w:r w:rsidR="00B9166F" w:rsidRPr="00606A8C">
        <w:rPr>
          <w:rFonts w:asciiTheme="minorHAnsi" w:hAnsiTheme="minorHAnsi"/>
          <w:color w:val="auto"/>
          <w:szCs w:val="24"/>
        </w:rPr>
        <w:t xml:space="preserve"> </w:t>
      </w:r>
      <w:r w:rsidR="00E32FD7" w:rsidRPr="00606A8C">
        <w:rPr>
          <w:rFonts w:asciiTheme="minorHAnsi" w:hAnsiTheme="minorHAnsi"/>
          <w:color w:val="auto"/>
          <w:szCs w:val="24"/>
        </w:rPr>
        <w:t>50%.  These are all considered to be service-connected and I feel were responsible for making me unfit</w:t>
      </w:r>
      <w:r w:rsidR="000239B9">
        <w:rPr>
          <w:rFonts w:asciiTheme="minorHAnsi" w:hAnsiTheme="minorHAnsi"/>
          <w:color w:val="auto"/>
          <w:szCs w:val="24"/>
        </w:rPr>
        <w:t>.</w:t>
      </w:r>
      <w:r w:rsidR="00E32FD7" w:rsidRPr="00606A8C">
        <w:rPr>
          <w:rFonts w:asciiTheme="minorHAnsi" w:hAnsiTheme="minorHAnsi"/>
          <w:color w:val="auto"/>
          <w:szCs w:val="24"/>
        </w:rPr>
        <w:t>”</w:t>
      </w:r>
      <w:r w:rsidR="00DC26A5" w:rsidRPr="00606A8C">
        <w:rPr>
          <w:rFonts w:asciiTheme="minorHAnsi" w:hAnsiTheme="minorHAnsi"/>
          <w:color w:val="auto"/>
          <w:szCs w:val="24"/>
        </w:rPr>
        <w:t xml:space="preserve">  The CI also requested his injury be considered combat-related.</w:t>
      </w:r>
    </w:p>
    <w:p w:rsidR="00106AD8" w:rsidRPr="00606A8C" w:rsidRDefault="00106AD8" w:rsidP="00E62665">
      <w:pPr>
        <w:pBdr>
          <w:bottom w:val="single" w:sz="12" w:space="1" w:color="auto"/>
        </w:pBdr>
        <w:tabs>
          <w:tab w:val="left" w:pos="288"/>
          <w:tab w:val="left" w:pos="4752"/>
        </w:tabs>
        <w:spacing w:line="240" w:lineRule="exact"/>
        <w:jc w:val="both"/>
        <w:rPr>
          <w:rFonts w:ascii="Calibri" w:hAnsi="Calibri"/>
          <w:color w:val="auto"/>
          <w:szCs w:val="24"/>
        </w:rPr>
      </w:pPr>
    </w:p>
    <w:p w:rsidR="00180F01" w:rsidRPr="00606A8C" w:rsidRDefault="00180F01">
      <w:pPr>
        <w:rPr>
          <w:rFonts w:asciiTheme="minorHAnsi" w:hAnsiTheme="minorHAnsi"/>
          <w:color w:val="auto"/>
          <w:u w:val="single"/>
        </w:rPr>
      </w:pPr>
    </w:p>
    <w:p w:rsidR="00E32FD7" w:rsidRPr="00606A8C" w:rsidRDefault="002C6E5B" w:rsidP="00E32FD7">
      <w:pPr>
        <w:rPr>
          <w:rFonts w:asciiTheme="minorHAnsi" w:hAnsiTheme="minorHAnsi"/>
          <w:color w:val="auto"/>
        </w:rPr>
      </w:pPr>
      <w:r w:rsidRPr="00606A8C">
        <w:rPr>
          <w:rFonts w:asciiTheme="minorHAnsi" w:hAnsiTheme="minorHAnsi"/>
          <w:color w:val="auto"/>
          <w:u w:val="single"/>
        </w:rPr>
        <w:t>RATING COMPARISON</w:t>
      </w:r>
      <w:r w:rsidRPr="00606A8C">
        <w:rPr>
          <w:rFonts w:asciiTheme="minorHAnsi" w:hAnsiTheme="minorHAnsi"/>
          <w:color w:val="auto"/>
        </w:rPr>
        <w:t>:</w:t>
      </w:r>
    </w:p>
    <w:p w:rsidR="00E32FD7" w:rsidRPr="00606A8C" w:rsidRDefault="00E32FD7" w:rsidP="00E32FD7">
      <w:pPr>
        <w:rPr>
          <w:rFonts w:asciiTheme="minorHAnsi" w:hAnsiTheme="minorHAnsi"/>
          <w:color w:val="auto"/>
        </w:rPr>
      </w:pPr>
    </w:p>
    <w:tbl>
      <w:tblPr>
        <w:tblStyle w:val="TableGrid"/>
        <w:tblW w:w="9408" w:type="dxa"/>
        <w:jc w:val="center"/>
        <w:tblInd w:w="-75" w:type="dxa"/>
        <w:tblLayout w:type="fixed"/>
        <w:tblLook w:val="04A0"/>
      </w:tblPr>
      <w:tblGrid>
        <w:gridCol w:w="2595"/>
        <w:gridCol w:w="720"/>
        <w:gridCol w:w="810"/>
        <w:gridCol w:w="2678"/>
        <w:gridCol w:w="810"/>
        <w:gridCol w:w="781"/>
        <w:gridCol w:w="1014"/>
      </w:tblGrid>
      <w:tr w:rsidR="00E32FD7" w:rsidRPr="00606A8C" w:rsidTr="00E32FD7">
        <w:trPr>
          <w:trHeight w:val="233"/>
          <w:jc w:val="center"/>
        </w:trPr>
        <w:tc>
          <w:tcPr>
            <w:tcW w:w="4125" w:type="dxa"/>
            <w:gridSpan w:val="3"/>
            <w:tcBorders>
              <w:right w:val="thinThickThinSmallGap" w:sz="24" w:space="0" w:color="auto"/>
            </w:tcBorders>
            <w:shd w:val="clear" w:color="auto" w:fill="D9D9D9" w:themeFill="background1" w:themeFillShade="D9"/>
          </w:tcPr>
          <w:p w:rsidR="00E32FD7" w:rsidRPr="00606A8C" w:rsidRDefault="00E32FD7" w:rsidP="00E32FD7">
            <w:pPr>
              <w:pStyle w:val="ListParagraph"/>
              <w:spacing w:after="0" w:line="240" w:lineRule="exact"/>
              <w:ind w:left="0"/>
              <w:jc w:val="center"/>
              <w:rPr>
                <w:rFonts w:cs="Times New Roman"/>
                <w:b/>
                <w:sz w:val="20"/>
                <w:szCs w:val="20"/>
              </w:rPr>
            </w:pPr>
            <w:r w:rsidRPr="00606A8C">
              <w:rPr>
                <w:rFonts w:cs="Times New Roman"/>
                <w:b/>
                <w:sz w:val="20"/>
                <w:szCs w:val="20"/>
              </w:rPr>
              <w:t>Service IPEB – Dated 20030415</w:t>
            </w:r>
          </w:p>
        </w:tc>
        <w:tc>
          <w:tcPr>
            <w:tcW w:w="5283" w:type="dxa"/>
            <w:gridSpan w:val="4"/>
            <w:tcBorders>
              <w:left w:val="thinThickThinSmallGap" w:sz="24" w:space="0" w:color="auto"/>
            </w:tcBorders>
            <w:shd w:val="clear" w:color="auto" w:fill="D9D9D9" w:themeFill="background1" w:themeFillShade="D9"/>
          </w:tcPr>
          <w:p w:rsidR="00E32FD7" w:rsidRPr="00606A8C" w:rsidRDefault="00E32FD7" w:rsidP="00E32FD7">
            <w:pPr>
              <w:pStyle w:val="ListParagraph"/>
              <w:spacing w:after="0" w:line="240" w:lineRule="exact"/>
              <w:ind w:left="0"/>
              <w:jc w:val="center"/>
              <w:rPr>
                <w:rFonts w:cs="Times New Roman"/>
                <w:b/>
                <w:sz w:val="20"/>
                <w:szCs w:val="20"/>
              </w:rPr>
            </w:pPr>
            <w:r w:rsidRPr="00606A8C">
              <w:rPr>
                <w:rFonts w:cs="Times New Roman"/>
                <w:b/>
                <w:sz w:val="20"/>
                <w:szCs w:val="20"/>
              </w:rPr>
              <w:t>VA (  7 Mo. Post Separation) – All Effective 20030701</w:t>
            </w:r>
          </w:p>
        </w:tc>
      </w:tr>
      <w:tr w:rsidR="00E32FD7" w:rsidRPr="00606A8C" w:rsidTr="003F6C88">
        <w:trPr>
          <w:trHeight w:val="233"/>
          <w:jc w:val="center"/>
        </w:trPr>
        <w:tc>
          <w:tcPr>
            <w:tcW w:w="2595" w:type="dxa"/>
            <w:tcBorders>
              <w:bottom w:val="single" w:sz="4" w:space="0" w:color="000000" w:themeColor="text1"/>
            </w:tcBorders>
            <w:shd w:val="clear" w:color="auto" w:fill="D9D9D9" w:themeFill="background1" w:themeFillShade="D9"/>
          </w:tcPr>
          <w:p w:rsidR="00E32FD7" w:rsidRPr="00606A8C" w:rsidRDefault="00E32FD7" w:rsidP="00E32FD7">
            <w:pPr>
              <w:pStyle w:val="ListParagraph"/>
              <w:spacing w:after="0" w:line="240" w:lineRule="exact"/>
              <w:ind w:left="0"/>
              <w:jc w:val="both"/>
              <w:rPr>
                <w:rFonts w:cs="Times New Roman"/>
                <w:b/>
                <w:sz w:val="20"/>
                <w:szCs w:val="20"/>
              </w:rPr>
            </w:pPr>
            <w:r w:rsidRPr="00606A8C">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E32FD7" w:rsidRPr="00606A8C" w:rsidRDefault="00E32FD7" w:rsidP="00E32FD7">
            <w:pPr>
              <w:pStyle w:val="ListParagraph"/>
              <w:spacing w:after="0" w:line="240" w:lineRule="exact"/>
              <w:ind w:left="0"/>
              <w:jc w:val="center"/>
              <w:rPr>
                <w:rFonts w:cs="Times New Roman"/>
                <w:b/>
                <w:sz w:val="20"/>
                <w:szCs w:val="20"/>
              </w:rPr>
            </w:pPr>
            <w:r w:rsidRPr="00606A8C">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E32FD7" w:rsidRPr="00606A8C" w:rsidRDefault="00E32FD7" w:rsidP="00E32FD7">
            <w:pPr>
              <w:pStyle w:val="ListParagraph"/>
              <w:spacing w:after="0" w:line="240" w:lineRule="exact"/>
              <w:ind w:left="0"/>
              <w:jc w:val="center"/>
              <w:rPr>
                <w:rFonts w:cs="Times New Roman"/>
                <w:b/>
                <w:sz w:val="20"/>
                <w:szCs w:val="20"/>
              </w:rPr>
            </w:pPr>
            <w:r w:rsidRPr="00606A8C">
              <w:rPr>
                <w:rFonts w:cs="Times New Roman"/>
                <w:b/>
                <w:sz w:val="20"/>
                <w:szCs w:val="20"/>
              </w:rPr>
              <w:t>Rating</w:t>
            </w:r>
          </w:p>
        </w:tc>
        <w:tc>
          <w:tcPr>
            <w:tcW w:w="2678" w:type="dxa"/>
            <w:tcBorders>
              <w:left w:val="thinThickThinSmallGap" w:sz="24" w:space="0" w:color="auto"/>
              <w:bottom w:val="single" w:sz="4" w:space="0" w:color="000000" w:themeColor="text1"/>
            </w:tcBorders>
            <w:shd w:val="clear" w:color="auto" w:fill="D9D9D9" w:themeFill="background1" w:themeFillShade="D9"/>
          </w:tcPr>
          <w:p w:rsidR="00E32FD7" w:rsidRPr="00606A8C" w:rsidRDefault="00E32FD7" w:rsidP="00E32FD7">
            <w:pPr>
              <w:pStyle w:val="ListParagraph"/>
              <w:spacing w:after="0" w:line="240" w:lineRule="exact"/>
              <w:ind w:left="0"/>
              <w:jc w:val="both"/>
              <w:rPr>
                <w:rFonts w:cs="Times New Roman"/>
                <w:b/>
                <w:sz w:val="20"/>
                <w:szCs w:val="20"/>
              </w:rPr>
            </w:pPr>
            <w:r w:rsidRPr="00606A8C">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E32FD7" w:rsidRPr="00606A8C" w:rsidRDefault="00E32FD7" w:rsidP="00E32FD7">
            <w:pPr>
              <w:pStyle w:val="ListParagraph"/>
              <w:spacing w:after="0" w:line="240" w:lineRule="exact"/>
              <w:ind w:left="0"/>
              <w:jc w:val="center"/>
              <w:rPr>
                <w:rFonts w:cs="Times New Roman"/>
                <w:b/>
                <w:sz w:val="20"/>
                <w:szCs w:val="20"/>
              </w:rPr>
            </w:pPr>
            <w:r w:rsidRPr="00606A8C">
              <w:rPr>
                <w:rFonts w:cs="Times New Roman"/>
                <w:b/>
                <w:sz w:val="20"/>
                <w:szCs w:val="20"/>
              </w:rPr>
              <w:t>Code</w:t>
            </w:r>
          </w:p>
        </w:tc>
        <w:tc>
          <w:tcPr>
            <w:tcW w:w="781" w:type="dxa"/>
            <w:tcBorders>
              <w:bottom w:val="single" w:sz="4" w:space="0" w:color="000000" w:themeColor="text1"/>
            </w:tcBorders>
            <w:shd w:val="clear" w:color="auto" w:fill="D9D9D9" w:themeFill="background1" w:themeFillShade="D9"/>
          </w:tcPr>
          <w:p w:rsidR="00E32FD7" w:rsidRPr="00606A8C" w:rsidRDefault="00E32FD7" w:rsidP="00E32FD7">
            <w:pPr>
              <w:pStyle w:val="ListParagraph"/>
              <w:spacing w:after="0" w:line="240" w:lineRule="exact"/>
              <w:ind w:left="0"/>
              <w:jc w:val="center"/>
              <w:rPr>
                <w:rFonts w:cs="Times New Roman"/>
                <w:b/>
                <w:sz w:val="20"/>
                <w:szCs w:val="20"/>
              </w:rPr>
            </w:pPr>
            <w:r w:rsidRPr="00606A8C">
              <w:rPr>
                <w:rFonts w:cs="Times New Roman"/>
                <w:b/>
                <w:sz w:val="20"/>
                <w:szCs w:val="20"/>
              </w:rPr>
              <w:t>Rating</w:t>
            </w:r>
          </w:p>
        </w:tc>
        <w:tc>
          <w:tcPr>
            <w:tcW w:w="1014" w:type="dxa"/>
            <w:tcBorders>
              <w:bottom w:val="single" w:sz="4" w:space="0" w:color="000000" w:themeColor="text1"/>
            </w:tcBorders>
            <w:shd w:val="clear" w:color="auto" w:fill="D9D9D9" w:themeFill="background1" w:themeFillShade="D9"/>
          </w:tcPr>
          <w:p w:rsidR="00E32FD7" w:rsidRPr="00606A8C" w:rsidRDefault="00E32FD7" w:rsidP="00E32FD7">
            <w:pPr>
              <w:pStyle w:val="ListParagraph"/>
              <w:spacing w:after="0" w:line="240" w:lineRule="exact"/>
              <w:ind w:left="0"/>
              <w:jc w:val="center"/>
              <w:rPr>
                <w:rFonts w:cs="Times New Roman"/>
                <w:b/>
                <w:sz w:val="20"/>
                <w:szCs w:val="20"/>
              </w:rPr>
            </w:pPr>
            <w:r w:rsidRPr="00606A8C">
              <w:rPr>
                <w:rFonts w:cs="Times New Roman"/>
                <w:b/>
                <w:sz w:val="20"/>
                <w:szCs w:val="20"/>
              </w:rPr>
              <w:t>Exam</w:t>
            </w:r>
          </w:p>
        </w:tc>
      </w:tr>
      <w:tr w:rsidR="00E32FD7" w:rsidRPr="00606A8C" w:rsidTr="003F6C88">
        <w:trPr>
          <w:trHeight w:val="251"/>
          <w:jc w:val="center"/>
        </w:trPr>
        <w:tc>
          <w:tcPr>
            <w:tcW w:w="2595" w:type="dxa"/>
            <w:shd w:val="clear" w:color="auto" w:fill="FFFFFF" w:themeFill="background1"/>
            <w:vAlign w:val="center"/>
          </w:tcPr>
          <w:p w:rsidR="00E32FD7" w:rsidRPr="00606A8C" w:rsidRDefault="007023F4" w:rsidP="00E32FD7">
            <w:pPr>
              <w:pStyle w:val="ListParagraph"/>
              <w:spacing w:after="0" w:line="240" w:lineRule="exact"/>
              <w:ind w:left="0"/>
              <w:rPr>
                <w:rFonts w:cs="Times New Roman"/>
                <w:sz w:val="18"/>
                <w:szCs w:val="18"/>
              </w:rPr>
            </w:pPr>
            <w:proofErr w:type="spellStart"/>
            <w:r w:rsidRPr="00606A8C">
              <w:rPr>
                <w:rFonts w:cs="Times New Roman"/>
                <w:sz w:val="18"/>
                <w:szCs w:val="18"/>
              </w:rPr>
              <w:t>Discogenic</w:t>
            </w:r>
            <w:proofErr w:type="spellEnd"/>
            <w:r w:rsidRPr="00606A8C">
              <w:rPr>
                <w:rFonts w:cs="Times New Roman"/>
                <w:sz w:val="18"/>
                <w:szCs w:val="18"/>
              </w:rPr>
              <w:t xml:space="preserve"> Back Pain w/</w:t>
            </w:r>
            <w:r w:rsidR="003F6C88" w:rsidRPr="00606A8C">
              <w:rPr>
                <w:rFonts w:cs="Times New Roman"/>
                <w:sz w:val="18"/>
                <w:szCs w:val="18"/>
              </w:rPr>
              <w:t>HNP</w:t>
            </w:r>
            <w:r w:rsidR="00E32FD7" w:rsidRPr="00606A8C">
              <w:rPr>
                <w:rFonts w:cs="Times New Roman"/>
                <w:sz w:val="18"/>
                <w:szCs w:val="18"/>
              </w:rPr>
              <w:t xml:space="preserve"> to L5/S1</w:t>
            </w:r>
          </w:p>
        </w:tc>
        <w:tc>
          <w:tcPr>
            <w:tcW w:w="720" w:type="dxa"/>
            <w:shd w:val="clear" w:color="auto" w:fill="FFFFFF" w:themeFill="background1"/>
            <w:vAlign w:val="center"/>
          </w:tcPr>
          <w:p w:rsidR="00E32FD7" w:rsidRPr="00606A8C" w:rsidRDefault="00E32FD7" w:rsidP="00E32FD7">
            <w:pPr>
              <w:pStyle w:val="ListParagraph"/>
              <w:spacing w:after="0" w:line="240" w:lineRule="exact"/>
              <w:ind w:left="0"/>
              <w:jc w:val="center"/>
              <w:rPr>
                <w:rFonts w:cs="Times New Roman"/>
                <w:sz w:val="18"/>
                <w:szCs w:val="18"/>
              </w:rPr>
            </w:pPr>
            <w:r w:rsidRPr="00606A8C">
              <w:rPr>
                <w:rFonts w:cs="Times New Roman"/>
                <w:sz w:val="18"/>
                <w:szCs w:val="18"/>
              </w:rPr>
              <w:t>5295</w:t>
            </w:r>
          </w:p>
        </w:tc>
        <w:tc>
          <w:tcPr>
            <w:tcW w:w="810" w:type="dxa"/>
            <w:tcBorders>
              <w:right w:val="thinThickThinSmallGap" w:sz="24" w:space="0" w:color="auto"/>
            </w:tcBorders>
            <w:shd w:val="clear" w:color="auto" w:fill="FFFFFF" w:themeFill="background1"/>
            <w:vAlign w:val="center"/>
          </w:tcPr>
          <w:p w:rsidR="00E32FD7" w:rsidRPr="00606A8C" w:rsidRDefault="00E32FD7" w:rsidP="00E32FD7">
            <w:pPr>
              <w:pStyle w:val="ListParagraph"/>
              <w:spacing w:after="0" w:line="240" w:lineRule="exact"/>
              <w:ind w:left="0"/>
              <w:jc w:val="center"/>
              <w:rPr>
                <w:rFonts w:cs="Times New Roman"/>
                <w:sz w:val="18"/>
                <w:szCs w:val="18"/>
              </w:rPr>
            </w:pPr>
            <w:r w:rsidRPr="00606A8C">
              <w:rPr>
                <w:rFonts w:cs="Times New Roman"/>
                <w:sz w:val="18"/>
                <w:szCs w:val="18"/>
              </w:rPr>
              <w:t>0%</w:t>
            </w:r>
          </w:p>
        </w:tc>
        <w:tc>
          <w:tcPr>
            <w:tcW w:w="2678" w:type="dxa"/>
            <w:tcBorders>
              <w:left w:val="thinThickThinSmallGap" w:sz="24" w:space="0" w:color="auto"/>
            </w:tcBorders>
            <w:shd w:val="clear" w:color="auto" w:fill="FFFFFF" w:themeFill="background1"/>
            <w:vAlign w:val="center"/>
          </w:tcPr>
          <w:p w:rsidR="00E32FD7" w:rsidRPr="00606A8C" w:rsidRDefault="003F6C88" w:rsidP="007023F4">
            <w:pPr>
              <w:pStyle w:val="ListParagraph"/>
              <w:spacing w:after="0" w:line="240" w:lineRule="exact"/>
              <w:ind w:left="0"/>
              <w:rPr>
                <w:rFonts w:cs="Times New Roman"/>
                <w:sz w:val="18"/>
                <w:szCs w:val="18"/>
              </w:rPr>
            </w:pPr>
            <w:r w:rsidRPr="00606A8C">
              <w:rPr>
                <w:rFonts w:cs="Times New Roman"/>
                <w:sz w:val="18"/>
                <w:szCs w:val="18"/>
              </w:rPr>
              <w:t xml:space="preserve">L5/S1 … </w:t>
            </w:r>
            <w:r w:rsidR="00E32FD7" w:rsidRPr="00606A8C">
              <w:rPr>
                <w:rFonts w:cs="Times New Roman"/>
                <w:sz w:val="18"/>
                <w:szCs w:val="18"/>
              </w:rPr>
              <w:t>Disc Bulge</w:t>
            </w:r>
            <w:r w:rsidR="007023F4" w:rsidRPr="00606A8C">
              <w:rPr>
                <w:rFonts w:cs="Times New Roman"/>
                <w:sz w:val="18"/>
                <w:szCs w:val="18"/>
              </w:rPr>
              <w:t xml:space="preserve">, Foraminal </w:t>
            </w:r>
            <w:r w:rsidR="00E32FD7" w:rsidRPr="00606A8C">
              <w:rPr>
                <w:rFonts w:cs="Times New Roman"/>
                <w:sz w:val="18"/>
                <w:szCs w:val="18"/>
              </w:rPr>
              <w:t xml:space="preserve">Narrowing </w:t>
            </w:r>
          </w:p>
        </w:tc>
        <w:tc>
          <w:tcPr>
            <w:tcW w:w="810" w:type="dxa"/>
            <w:shd w:val="clear" w:color="auto" w:fill="FFFFFF" w:themeFill="background1"/>
            <w:vAlign w:val="center"/>
          </w:tcPr>
          <w:p w:rsidR="00E32FD7" w:rsidRPr="00606A8C" w:rsidRDefault="00E32FD7" w:rsidP="00E32FD7">
            <w:pPr>
              <w:pStyle w:val="ListParagraph"/>
              <w:spacing w:after="0" w:line="240" w:lineRule="exact"/>
              <w:ind w:left="0"/>
              <w:jc w:val="center"/>
              <w:rPr>
                <w:rFonts w:cs="Times New Roman"/>
                <w:sz w:val="18"/>
                <w:szCs w:val="18"/>
              </w:rPr>
            </w:pPr>
            <w:r w:rsidRPr="00606A8C">
              <w:rPr>
                <w:rFonts w:cs="Times New Roman"/>
                <w:sz w:val="18"/>
                <w:szCs w:val="18"/>
              </w:rPr>
              <w:t>5237</w:t>
            </w:r>
          </w:p>
        </w:tc>
        <w:tc>
          <w:tcPr>
            <w:tcW w:w="781" w:type="dxa"/>
            <w:shd w:val="clear" w:color="auto" w:fill="FFFFFF" w:themeFill="background1"/>
            <w:vAlign w:val="center"/>
          </w:tcPr>
          <w:p w:rsidR="00E32FD7" w:rsidRPr="00606A8C" w:rsidRDefault="00440073" w:rsidP="00E32FD7">
            <w:pPr>
              <w:pStyle w:val="ListParagraph"/>
              <w:spacing w:after="0" w:line="240" w:lineRule="exact"/>
              <w:ind w:left="0"/>
              <w:jc w:val="center"/>
              <w:rPr>
                <w:rFonts w:cs="Times New Roman"/>
                <w:sz w:val="18"/>
                <w:szCs w:val="18"/>
              </w:rPr>
            </w:pPr>
            <w:r w:rsidRPr="00606A8C">
              <w:rPr>
                <w:rFonts w:cs="Times New Roman"/>
                <w:sz w:val="18"/>
                <w:szCs w:val="18"/>
              </w:rPr>
              <w:t>*</w:t>
            </w:r>
            <w:r w:rsidR="00E32FD7" w:rsidRPr="00606A8C">
              <w:rPr>
                <w:rFonts w:cs="Times New Roman"/>
                <w:sz w:val="18"/>
                <w:szCs w:val="18"/>
              </w:rPr>
              <w:t>10%</w:t>
            </w:r>
          </w:p>
        </w:tc>
        <w:tc>
          <w:tcPr>
            <w:tcW w:w="1014" w:type="dxa"/>
            <w:shd w:val="clear" w:color="auto" w:fill="FFFFFF" w:themeFill="background1"/>
            <w:vAlign w:val="center"/>
          </w:tcPr>
          <w:p w:rsidR="00E32FD7" w:rsidRPr="00606A8C" w:rsidRDefault="00E32FD7" w:rsidP="00E32FD7">
            <w:pPr>
              <w:pStyle w:val="ListParagraph"/>
              <w:spacing w:after="0" w:line="240" w:lineRule="exact"/>
              <w:ind w:left="0"/>
              <w:jc w:val="center"/>
              <w:rPr>
                <w:rFonts w:cs="Times New Roman"/>
                <w:sz w:val="18"/>
                <w:szCs w:val="18"/>
              </w:rPr>
            </w:pPr>
            <w:r w:rsidRPr="00606A8C">
              <w:rPr>
                <w:rFonts w:cs="Times New Roman"/>
                <w:sz w:val="18"/>
                <w:szCs w:val="18"/>
              </w:rPr>
              <w:t>20040115</w:t>
            </w:r>
          </w:p>
        </w:tc>
      </w:tr>
      <w:tr w:rsidR="00DC26A5" w:rsidRPr="00606A8C" w:rsidTr="00DC26A5">
        <w:trPr>
          <w:trHeight w:val="125"/>
          <w:jc w:val="center"/>
        </w:trPr>
        <w:tc>
          <w:tcPr>
            <w:tcW w:w="4125" w:type="dxa"/>
            <w:gridSpan w:val="3"/>
            <w:tcBorders>
              <w:right w:val="thinThickThinSmallGap" w:sz="24" w:space="0" w:color="auto"/>
            </w:tcBorders>
            <w:shd w:val="clear" w:color="auto" w:fill="FFFFFF" w:themeFill="background1"/>
          </w:tcPr>
          <w:p w:rsidR="00DC26A5" w:rsidRPr="00606A8C" w:rsidRDefault="00DC26A5" w:rsidP="00E32FD7">
            <w:pPr>
              <w:pStyle w:val="ListParagraph"/>
              <w:spacing w:after="0" w:line="240" w:lineRule="exact"/>
              <w:ind w:left="0"/>
              <w:jc w:val="center"/>
              <w:rPr>
                <w:rFonts w:cs="Times New Roman"/>
                <w:sz w:val="18"/>
                <w:szCs w:val="18"/>
              </w:rPr>
            </w:pPr>
            <w:r w:rsidRPr="00606A8C">
              <w:rPr>
                <w:rFonts w:cs="Times New Roman"/>
                <w:sz w:val="18"/>
                <w:szCs w:val="18"/>
              </w:rPr>
              <w:t>↓No Additional MEB/PEB Entries↓</w:t>
            </w:r>
          </w:p>
        </w:tc>
        <w:tc>
          <w:tcPr>
            <w:tcW w:w="4269" w:type="dxa"/>
            <w:gridSpan w:val="3"/>
            <w:tcBorders>
              <w:left w:val="thinThickThinSmallGap" w:sz="24" w:space="0" w:color="auto"/>
              <w:right w:val="single" w:sz="4" w:space="0" w:color="auto"/>
            </w:tcBorders>
            <w:shd w:val="clear" w:color="auto" w:fill="FFFFFF" w:themeFill="background1"/>
            <w:vAlign w:val="center"/>
          </w:tcPr>
          <w:p w:rsidR="00DC26A5" w:rsidRPr="00606A8C" w:rsidRDefault="00DC26A5" w:rsidP="000239B9">
            <w:pPr>
              <w:pStyle w:val="ListParagraph"/>
              <w:spacing w:after="0" w:line="240" w:lineRule="exact"/>
              <w:ind w:left="0"/>
              <w:jc w:val="center"/>
              <w:rPr>
                <w:rFonts w:cs="Times New Roman"/>
                <w:sz w:val="18"/>
                <w:szCs w:val="18"/>
              </w:rPr>
            </w:pPr>
            <w:r w:rsidRPr="00606A8C">
              <w:rPr>
                <w:rFonts w:ascii="Calibri" w:hAnsi="Calibri"/>
                <w:sz w:val="18"/>
                <w:szCs w:val="18"/>
              </w:rPr>
              <w:t>Not Service Connected x 11</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6A5" w:rsidRPr="00606A8C" w:rsidRDefault="00DC26A5" w:rsidP="00180F01">
            <w:pPr>
              <w:pStyle w:val="ListParagraph"/>
              <w:spacing w:after="0" w:line="240" w:lineRule="exact"/>
              <w:ind w:left="0"/>
              <w:jc w:val="center"/>
              <w:rPr>
                <w:rFonts w:cs="Times New Roman"/>
                <w:sz w:val="18"/>
                <w:szCs w:val="18"/>
              </w:rPr>
            </w:pPr>
            <w:r w:rsidRPr="00606A8C">
              <w:rPr>
                <w:rFonts w:cs="Times New Roman"/>
                <w:sz w:val="18"/>
                <w:szCs w:val="18"/>
              </w:rPr>
              <w:t>20040115</w:t>
            </w:r>
          </w:p>
        </w:tc>
      </w:tr>
      <w:tr w:rsidR="00E32FD7" w:rsidRPr="00606A8C" w:rsidTr="00E32FD7">
        <w:trPr>
          <w:trHeight w:val="242"/>
          <w:jc w:val="center"/>
        </w:trPr>
        <w:tc>
          <w:tcPr>
            <w:tcW w:w="4125" w:type="dxa"/>
            <w:gridSpan w:val="3"/>
            <w:tcBorders>
              <w:right w:val="thinThickThinSmallGap" w:sz="24" w:space="0" w:color="auto"/>
            </w:tcBorders>
            <w:shd w:val="clear" w:color="auto" w:fill="D9D9D9" w:themeFill="background1" w:themeFillShade="D9"/>
          </w:tcPr>
          <w:p w:rsidR="00E32FD7" w:rsidRPr="00606A8C" w:rsidRDefault="00E32FD7" w:rsidP="00E32FD7">
            <w:pPr>
              <w:pStyle w:val="ListParagraph"/>
              <w:spacing w:after="0" w:line="240" w:lineRule="exact"/>
              <w:ind w:left="0"/>
              <w:jc w:val="center"/>
              <w:rPr>
                <w:rFonts w:cs="Times New Roman"/>
                <w:b/>
                <w:sz w:val="20"/>
                <w:szCs w:val="20"/>
              </w:rPr>
            </w:pPr>
            <w:r w:rsidRPr="00606A8C">
              <w:rPr>
                <w:rFonts w:cs="Times New Roman"/>
                <w:b/>
                <w:sz w:val="20"/>
                <w:szCs w:val="20"/>
              </w:rPr>
              <w:t xml:space="preserve">Combined: </w:t>
            </w:r>
            <w:r w:rsidR="00180F01" w:rsidRPr="00606A8C">
              <w:rPr>
                <w:rFonts w:cs="Times New Roman"/>
                <w:b/>
                <w:sz w:val="20"/>
                <w:szCs w:val="20"/>
              </w:rPr>
              <w:t xml:space="preserve"> </w:t>
            </w:r>
            <w:r w:rsidRPr="00606A8C">
              <w:rPr>
                <w:rFonts w:cs="Times New Roman"/>
                <w:b/>
                <w:sz w:val="20"/>
                <w:szCs w:val="20"/>
              </w:rPr>
              <w:t>0%</w:t>
            </w:r>
          </w:p>
        </w:tc>
        <w:tc>
          <w:tcPr>
            <w:tcW w:w="5283" w:type="dxa"/>
            <w:gridSpan w:val="4"/>
            <w:tcBorders>
              <w:left w:val="thinThickThinSmallGap" w:sz="24" w:space="0" w:color="auto"/>
            </w:tcBorders>
            <w:shd w:val="clear" w:color="auto" w:fill="D9D9D9" w:themeFill="background1" w:themeFillShade="D9"/>
          </w:tcPr>
          <w:p w:rsidR="00E32FD7" w:rsidRPr="00606A8C" w:rsidRDefault="00E32FD7" w:rsidP="00180F01">
            <w:pPr>
              <w:pStyle w:val="ListParagraph"/>
              <w:spacing w:after="0" w:line="240" w:lineRule="exact"/>
              <w:ind w:left="0"/>
              <w:jc w:val="center"/>
              <w:rPr>
                <w:rFonts w:cs="Times New Roman"/>
                <w:b/>
                <w:sz w:val="20"/>
                <w:szCs w:val="20"/>
              </w:rPr>
            </w:pPr>
            <w:r w:rsidRPr="00606A8C">
              <w:rPr>
                <w:rFonts w:cs="Times New Roman"/>
                <w:b/>
                <w:sz w:val="20"/>
                <w:szCs w:val="20"/>
              </w:rPr>
              <w:t xml:space="preserve">Combined: </w:t>
            </w:r>
            <w:r w:rsidR="00180F01" w:rsidRPr="00606A8C">
              <w:rPr>
                <w:rFonts w:cs="Times New Roman"/>
                <w:b/>
                <w:sz w:val="20"/>
                <w:szCs w:val="20"/>
              </w:rPr>
              <w:t xml:space="preserve"> </w:t>
            </w:r>
            <w:r w:rsidRPr="00606A8C">
              <w:rPr>
                <w:rFonts w:cs="Times New Roman"/>
                <w:b/>
                <w:sz w:val="20"/>
                <w:szCs w:val="20"/>
              </w:rPr>
              <w:t>10%</w:t>
            </w:r>
            <w:r w:rsidR="00B9166F" w:rsidRPr="00606A8C">
              <w:rPr>
                <w:rFonts w:cs="Times New Roman"/>
                <w:b/>
                <w:sz w:val="20"/>
                <w:szCs w:val="20"/>
              </w:rPr>
              <w:t>*</w:t>
            </w:r>
          </w:p>
        </w:tc>
      </w:tr>
    </w:tbl>
    <w:p w:rsidR="00E32FD7" w:rsidRPr="00606A8C" w:rsidRDefault="00440073" w:rsidP="00440073">
      <w:pPr>
        <w:tabs>
          <w:tab w:val="left" w:pos="288"/>
          <w:tab w:val="left" w:pos="4752"/>
        </w:tabs>
        <w:spacing w:line="240" w:lineRule="exact"/>
        <w:rPr>
          <w:rFonts w:asciiTheme="minorHAnsi" w:hAnsiTheme="minorHAnsi"/>
          <w:color w:val="auto"/>
          <w:szCs w:val="24"/>
        </w:rPr>
      </w:pPr>
      <w:r w:rsidRPr="00606A8C">
        <w:rPr>
          <w:rFonts w:asciiTheme="minorHAnsi" w:hAnsiTheme="minorHAnsi"/>
          <w:color w:val="auto"/>
          <w:szCs w:val="24"/>
        </w:rPr>
        <w:t>*</w:t>
      </w:r>
      <w:r w:rsidR="00180F01" w:rsidRPr="00606A8C">
        <w:rPr>
          <w:rFonts w:asciiTheme="minorHAnsi" w:hAnsiTheme="minorHAnsi"/>
          <w:color w:val="auto"/>
          <w:szCs w:val="24"/>
        </w:rPr>
        <w:t xml:space="preserve">5237 </w:t>
      </w:r>
      <w:r w:rsidR="00B9166F" w:rsidRPr="00606A8C">
        <w:rPr>
          <w:rFonts w:asciiTheme="minorHAnsi" w:hAnsiTheme="minorHAnsi"/>
          <w:color w:val="auto"/>
          <w:szCs w:val="24"/>
        </w:rPr>
        <w:t xml:space="preserve">(back) </w:t>
      </w:r>
      <w:r w:rsidR="00180F01" w:rsidRPr="00606A8C">
        <w:rPr>
          <w:rFonts w:asciiTheme="minorHAnsi" w:hAnsiTheme="minorHAnsi"/>
          <w:color w:val="auto"/>
          <w:szCs w:val="24"/>
        </w:rPr>
        <w:t>i</w:t>
      </w:r>
      <w:r w:rsidRPr="00606A8C">
        <w:rPr>
          <w:rFonts w:asciiTheme="minorHAnsi" w:hAnsiTheme="minorHAnsi"/>
          <w:color w:val="auto"/>
          <w:szCs w:val="24"/>
        </w:rPr>
        <w:t>ncreased to 20%</w:t>
      </w:r>
      <w:r w:rsidR="00B9166F" w:rsidRPr="00606A8C">
        <w:rPr>
          <w:rFonts w:asciiTheme="minorHAnsi" w:hAnsiTheme="minorHAnsi"/>
          <w:color w:val="auto"/>
          <w:sz w:val="20"/>
          <w:szCs w:val="24"/>
        </w:rPr>
        <w:t xml:space="preserve"> </w:t>
      </w:r>
      <w:r w:rsidR="00B9166F" w:rsidRPr="00606A8C">
        <w:rPr>
          <w:rFonts w:asciiTheme="minorHAnsi" w:hAnsiTheme="minorHAnsi"/>
          <w:color w:val="auto"/>
          <w:szCs w:val="24"/>
        </w:rPr>
        <w:t>and migraine HA at 30% added effective 20070424 (combined 40%); tinnitus at 10% added effective 20080305 (combined 50%)</w:t>
      </w:r>
    </w:p>
    <w:p w:rsidR="00180F01" w:rsidRPr="00606A8C" w:rsidRDefault="00180F01" w:rsidP="00180F01">
      <w:pPr>
        <w:pBdr>
          <w:bottom w:val="single" w:sz="12" w:space="1" w:color="auto"/>
        </w:pBdr>
        <w:tabs>
          <w:tab w:val="left" w:pos="288"/>
          <w:tab w:val="left" w:pos="4752"/>
        </w:tabs>
        <w:spacing w:line="240" w:lineRule="exact"/>
        <w:jc w:val="both"/>
        <w:rPr>
          <w:rFonts w:ascii="Calibri" w:hAnsi="Calibri"/>
          <w:color w:val="auto"/>
          <w:szCs w:val="24"/>
        </w:rPr>
      </w:pPr>
    </w:p>
    <w:p w:rsidR="00180F01" w:rsidRPr="00606A8C" w:rsidRDefault="00180F01" w:rsidP="00180F01">
      <w:pPr>
        <w:rPr>
          <w:rFonts w:asciiTheme="minorHAnsi" w:hAnsiTheme="minorHAnsi"/>
          <w:color w:val="auto"/>
          <w:u w:val="single"/>
        </w:rPr>
      </w:pPr>
    </w:p>
    <w:p w:rsidR="003C6F84" w:rsidRPr="00606A8C" w:rsidRDefault="002C6E5B" w:rsidP="00654C53">
      <w:pPr>
        <w:tabs>
          <w:tab w:val="left" w:pos="288"/>
          <w:tab w:val="left" w:pos="4752"/>
        </w:tabs>
        <w:spacing w:line="240" w:lineRule="exact"/>
        <w:jc w:val="both"/>
        <w:rPr>
          <w:rFonts w:asciiTheme="minorHAnsi" w:hAnsiTheme="minorHAnsi"/>
          <w:color w:val="auto"/>
          <w:szCs w:val="24"/>
        </w:rPr>
      </w:pPr>
      <w:r w:rsidRPr="00606A8C">
        <w:rPr>
          <w:rFonts w:asciiTheme="minorHAnsi" w:hAnsiTheme="minorHAnsi"/>
          <w:color w:val="auto"/>
          <w:szCs w:val="24"/>
          <w:u w:val="single"/>
        </w:rPr>
        <w:t>ANALYSIS SUMMARY</w:t>
      </w:r>
      <w:r w:rsidRPr="00606A8C">
        <w:rPr>
          <w:rFonts w:asciiTheme="minorHAnsi" w:hAnsiTheme="minorHAnsi"/>
          <w:color w:val="auto"/>
          <w:szCs w:val="24"/>
        </w:rPr>
        <w:t>:</w:t>
      </w:r>
      <w:r w:rsidR="00C276CD" w:rsidRPr="00606A8C">
        <w:rPr>
          <w:rFonts w:asciiTheme="minorHAnsi" w:hAnsiTheme="minorHAnsi"/>
          <w:color w:val="auto"/>
          <w:szCs w:val="24"/>
        </w:rPr>
        <w:t xml:space="preserve">  </w:t>
      </w:r>
      <w:r w:rsidR="00E32FD7" w:rsidRPr="00606A8C">
        <w:rPr>
          <w:rFonts w:asciiTheme="minorHAnsi" w:hAnsiTheme="minorHAnsi"/>
          <w:color w:val="auto"/>
          <w:szCs w:val="24"/>
        </w:rPr>
        <w:t xml:space="preserve">The Disability Evaluation System (DES) is responsible for maintaining a fit and vital fighting force.  While the DES considers all of the service member’s medical conditions, compensation can only be offered for those medical conditions that cut short a service </w:t>
      </w:r>
      <w:r w:rsidR="00E32FD7" w:rsidRPr="00606A8C">
        <w:rPr>
          <w:rFonts w:asciiTheme="minorHAnsi" w:hAnsiTheme="minorHAnsi"/>
          <w:color w:val="auto"/>
          <w:szCs w:val="24"/>
        </w:rPr>
        <w:lastRenderedPageBreak/>
        <w:t>members career, and then only to the degree of severity present at the time of final disposition.  However the Department of Veteran Affairs, operating under a different set of laws (Title 38, United States Code), is empowered to compensate service connected conditions and to periodically re-evaluate veteran’s for the purpose of adjusting the veterans disability rating should his degree of impairment vary over time.</w:t>
      </w:r>
      <w:r w:rsidR="00DC26A5" w:rsidRPr="00606A8C">
        <w:rPr>
          <w:rFonts w:asciiTheme="minorHAnsi" w:hAnsiTheme="minorHAnsi"/>
          <w:color w:val="auto"/>
          <w:szCs w:val="24"/>
        </w:rPr>
        <w:t xml:space="preserve">  </w:t>
      </w:r>
      <w:r w:rsidR="00DC26A5" w:rsidRPr="00606A8C">
        <w:rPr>
          <w:rFonts w:asciiTheme="minorHAnsi" w:hAnsiTheme="minorHAnsi" w:cstheme="minorHAnsi"/>
          <w:color w:val="auto"/>
          <w:szCs w:val="24"/>
        </w:rPr>
        <w:t>We note that the applicant asks the Board for specific correction of records and specified consequential combat related entitlements.  By law</w:t>
      </w:r>
      <w:r w:rsidR="000239B9">
        <w:rPr>
          <w:rFonts w:asciiTheme="minorHAnsi" w:hAnsiTheme="minorHAnsi" w:cstheme="minorHAnsi"/>
          <w:color w:val="auto"/>
          <w:szCs w:val="24"/>
        </w:rPr>
        <w:t>,</w:t>
      </w:r>
      <w:r w:rsidR="00DC26A5" w:rsidRPr="00606A8C">
        <w:rPr>
          <w:rFonts w:asciiTheme="minorHAnsi" w:hAnsiTheme="minorHAnsi" w:cstheme="minorHAnsi"/>
          <w:color w:val="auto"/>
          <w:szCs w:val="24"/>
        </w:rPr>
        <w:t xml:space="preserve"> the Board authority is limited to making recommendation on correcting disability determinations.  The actual correction of records and consequential entitlement determinations is the responsibility of the applicable Secretary and Accounting service.  The applicant's request will of course remain with the application as it is processed.</w:t>
      </w:r>
    </w:p>
    <w:p w:rsidR="003C6F84" w:rsidRPr="00606A8C" w:rsidRDefault="003C6F84" w:rsidP="00654C53">
      <w:pPr>
        <w:tabs>
          <w:tab w:val="left" w:pos="288"/>
          <w:tab w:val="left" w:pos="4752"/>
        </w:tabs>
        <w:spacing w:line="240" w:lineRule="exact"/>
        <w:jc w:val="both"/>
        <w:rPr>
          <w:rFonts w:asciiTheme="minorHAnsi" w:hAnsiTheme="minorHAnsi"/>
          <w:color w:val="auto"/>
          <w:szCs w:val="24"/>
        </w:rPr>
      </w:pPr>
    </w:p>
    <w:p w:rsidR="007B2ED2" w:rsidRPr="00606A8C" w:rsidRDefault="007B2ED2" w:rsidP="00654C53">
      <w:pPr>
        <w:tabs>
          <w:tab w:val="left" w:pos="288"/>
          <w:tab w:val="left" w:pos="4752"/>
        </w:tabs>
        <w:spacing w:line="240" w:lineRule="exact"/>
        <w:jc w:val="both"/>
        <w:rPr>
          <w:rFonts w:asciiTheme="minorHAnsi" w:hAnsiTheme="minorHAnsi"/>
          <w:color w:val="auto"/>
          <w:szCs w:val="24"/>
        </w:rPr>
      </w:pPr>
      <w:r w:rsidRPr="00606A8C">
        <w:rPr>
          <w:rFonts w:asciiTheme="minorHAnsi" w:hAnsiTheme="minorHAnsi"/>
          <w:color w:val="auto"/>
          <w:szCs w:val="24"/>
          <w:u w:val="single"/>
        </w:rPr>
        <w:t>Back Condition</w:t>
      </w:r>
      <w:r w:rsidRPr="00606A8C">
        <w:rPr>
          <w:rFonts w:asciiTheme="minorHAnsi" w:hAnsiTheme="minorHAnsi"/>
          <w:color w:val="auto"/>
          <w:szCs w:val="24"/>
        </w:rPr>
        <w:t xml:space="preserve">.  </w:t>
      </w:r>
      <w:r w:rsidR="00DC26A5" w:rsidRPr="00606A8C">
        <w:rPr>
          <w:rFonts w:ascii="Calibri" w:hAnsi="Calibri"/>
          <w:color w:val="auto"/>
          <w:szCs w:val="24"/>
        </w:rPr>
        <w:t>The 2003 Veterans’ Administration Schedule for Rating Disabilities (VASRD) coding and rating standards for the spine, which were in effect at the time of separation, was changed to the current §4.71a rating standards</w:t>
      </w:r>
      <w:r w:rsidR="000239B9">
        <w:rPr>
          <w:rFonts w:ascii="Calibri" w:hAnsi="Calibri"/>
          <w:color w:val="auto"/>
          <w:szCs w:val="24"/>
        </w:rPr>
        <w:t>,</w:t>
      </w:r>
      <w:r w:rsidR="00DC26A5" w:rsidRPr="00606A8C">
        <w:rPr>
          <w:rFonts w:ascii="Calibri" w:hAnsi="Calibri"/>
          <w:color w:val="auto"/>
          <w:szCs w:val="24"/>
        </w:rPr>
        <w:t xml:space="preserve"> effective 26 September 2003.  The 2003 standards for rating based on range of motion (ROM) impairment were subject to the rater’s opinion regarding degree of severity, whereas the current standards specify rating thresholds in degrees of ROM impairment.  The CI’s VA rating determination was dated 23 February 2004 (after the VASRD change) and the narrative and coding indicate VA application of the newer VASRD criteria for the spine.  The Board is required to base its rating on the VASRD in effect at the time of separation and not based on subsequent changes in the VASRD or post-separation changes in the CIs condition.  </w:t>
      </w:r>
      <w:r w:rsidRPr="00606A8C">
        <w:rPr>
          <w:rFonts w:asciiTheme="minorHAnsi" w:hAnsiTheme="minorHAnsi"/>
          <w:color w:val="auto"/>
          <w:szCs w:val="24"/>
        </w:rPr>
        <w:t xml:space="preserve">There were </w:t>
      </w:r>
      <w:r w:rsidR="00F16DDC" w:rsidRPr="00606A8C">
        <w:rPr>
          <w:rFonts w:asciiTheme="minorHAnsi" w:hAnsiTheme="minorHAnsi"/>
          <w:color w:val="auto"/>
          <w:szCs w:val="24"/>
        </w:rPr>
        <w:t xml:space="preserve">four </w:t>
      </w:r>
      <w:r w:rsidR="00B9166F" w:rsidRPr="00606A8C">
        <w:rPr>
          <w:rFonts w:asciiTheme="minorHAnsi" w:hAnsiTheme="minorHAnsi"/>
          <w:color w:val="auto"/>
          <w:szCs w:val="24"/>
        </w:rPr>
        <w:t xml:space="preserve">back evaluations </w:t>
      </w:r>
      <w:r w:rsidRPr="00606A8C">
        <w:rPr>
          <w:rFonts w:asciiTheme="minorHAnsi" w:hAnsiTheme="minorHAnsi"/>
          <w:color w:val="auto"/>
          <w:szCs w:val="24"/>
        </w:rPr>
        <w:t>in evidence which the Board weighed in arriving at its rating r</w:t>
      </w:r>
      <w:r w:rsidR="00E62665" w:rsidRPr="00606A8C">
        <w:rPr>
          <w:rFonts w:asciiTheme="minorHAnsi" w:hAnsiTheme="minorHAnsi"/>
          <w:color w:val="auto"/>
          <w:szCs w:val="24"/>
        </w:rPr>
        <w:t>ecommendation.</w:t>
      </w:r>
      <w:r w:rsidRPr="00606A8C">
        <w:rPr>
          <w:rFonts w:asciiTheme="minorHAnsi" w:hAnsiTheme="minorHAnsi"/>
          <w:color w:val="auto"/>
          <w:szCs w:val="24"/>
        </w:rPr>
        <w:t xml:space="preserve"> </w:t>
      </w:r>
      <w:r w:rsidR="00654C53" w:rsidRPr="00606A8C">
        <w:rPr>
          <w:rFonts w:asciiTheme="minorHAnsi" w:hAnsiTheme="minorHAnsi"/>
          <w:color w:val="auto"/>
          <w:szCs w:val="24"/>
        </w:rPr>
        <w:t xml:space="preserve"> </w:t>
      </w:r>
      <w:r w:rsidR="00180F01" w:rsidRPr="00606A8C">
        <w:rPr>
          <w:rFonts w:asciiTheme="minorHAnsi" w:hAnsiTheme="minorHAnsi"/>
          <w:color w:val="auto"/>
          <w:szCs w:val="24"/>
        </w:rPr>
        <w:t>T</w:t>
      </w:r>
      <w:r w:rsidRPr="00606A8C">
        <w:rPr>
          <w:rFonts w:asciiTheme="minorHAnsi" w:hAnsiTheme="minorHAnsi"/>
          <w:color w:val="auto"/>
          <w:szCs w:val="24"/>
        </w:rPr>
        <w:t>hese exams are summarized in the chart below.</w:t>
      </w:r>
    </w:p>
    <w:p w:rsidR="007B2ED2" w:rsidRPr="00606A8C" w:rsidRDefault="007B2ED2" w:rsidP="00654C53">
      <w:pPr>
        <w:tabs>
          <w:tab w:val="left" w:pos="288"/>
          <w:tab w:val="left" w:pos="4752"/>
        </w:tabs>
        <w:spacing w:line="240" w:lineRule="exact"/>
        <w:rPr>
          <w:rFonts w:asciiTheme="minorHAnsi" w:hAnsiTheme="minorHAnsi"/>
          <w:color w:val="auto"/>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5"/>
        <w:gridCol w:w="1800"/>
        <w:gridCol w:w="1665"/>
        <w:gridCol w:w="1665"/>
        <w:gridCol w:w="2115"/>
      </w:tblGrid>
      <w:tr w:rsidR="007B2ED2" w:rsidRPr="00606A8C" w:rsidTr="00EB2D23">
        <w:trPr>
          <w:jc w:val="center"/>
        </w:trPr>
        <w:tc>
          <w:tcPr>
            <w:tcW w:w="2025" w:type="dxa"/>
            <w:shd w:val="clear" w:color="auto" w:fill="D9D9D9" w:themeFill="background1" w:themeFillShade="D9"/>
          </w:tcPr>
          <w:p w:rsidR="007B2ED2" w:rsidRPr="00606A8C" w:rsidRDefault="00C50AD0" w:rsidP="00C50AD0">
            <w:pPr>
              <w:spacing w:line="200" w:lineRule="exact"/>
              <w:contextualSpacing/>
              <w:jc w:val="center"/>
              <w:rPr>
                <w:rFonts w:asciiTheme="minorHAnsi" w:eastAsia="Calibri" w:hAnsiTheme="minorHAnsi"/>
                <w:color w:val="auto"/>
                <w:sz w:val="20"/>
                <w:szCs w:val="22"/>
              </w:rPr>
            </w:pPr>
            <w:r w:rsidRPr="00606A8C">
              <w:rPr>
                <w:rFonts w:asciiTheme="minorHAnsi" w:eastAsia="Calibri" w:hAnsiTheme="minorHAnsi"/>
                <w:color w:val="auto"/>
                <w:sz w:val="20"/>
                <w:szCs w:val="22"/>
              </w:rPr>
              <w:t>Thoracolumbar</w:t>
            </w:r>
            <w:r w:rsidRPr="00606A8C">
              <w:rPr>
                <w:rFonts w:asciiTheme="minorHAnsi" w:hAnsiTheme="minorHAnsi"/>
                <w:color w:val="auto"/>
                <w:sz w:val="20"/>
                <w:szCs w:val="24"/>
              </w:rPr>
              <w:t xml:space="preserve"> </w:t>
            </w:r>
            <w:r w:rsidR="00B9166F" w:rsidRPr="00606A8C">
              <w:rPr>
                <w:rFonts w:asciiTheme="minorHAnsi" w:hAnsiTheme="minorHAnsi"/>
                <w:color w:val="auto"/>
                <w:sz w:val="20"/>
                <w:szCs w:val="24"/>
              </w:rPr>
              <w:t>ROM</w:t>
            </w:r>
          </w:p>
        </w:tc>
        <w:tc>
          <w:tcPr>
            <w:tcW w:w="1800" w:type="dxa"/>
            <w:shd w:val="clear" w:color="auto" w:fill="D9D9D9" w:themeFill="background1" w:themeFillShade="D9"/>
          </w:tcPr>
          <w:p w:rsidR="00DC26A5" w:rsidRPr="00606A8C" w:rsidRDefault="007B2ED2" w:rsidP="00873443">
            <w:pPr>
              <w:spacing w:line="200" w:lineRule="exact"/>
              <w:contextualSpacing/>
              <w:jc w:val="center"/>
              <w:rPr>
                <w:rFonts w:asciiTheme="minorHAnsi" w:eastAsia="Calibri" w:hAnsiTheme="minorHAnsi"/>
                <w:color w:val="auto"/>
                <w:sz w:val="20"/>
                <w:szCs w:val="22"/>
              </w:rPr>
            </w:pPr>
            <w:r w:rsidRPr="00606A8C">
              <w:rPr>
                <w:rFonts w:asciiTheme="minorHAnsi" w:eastAsia="Calibri" w:hAnsiTheme="minorHAnsi"/>
                <w:color w:val="auto"/>
                <w:sz w:val="20"/>
                <w:szCs w:val="22"/>
              </w:rPr>
              <w:t>Neurosurgery</w:t>
            </w:r>
          </w:p>
          <w:p w:rsidR="007B2ED2" w:rsidRPr="00606A8C" w:rsidRDefault="00245FA0" w:rsidP="00873443">
            <w:pPr>
              <w:spacing w:line="200" w:lineRule="exact"/>
              <w:contextualSpacing/>
              <w:jc w:val="center"/>
              <w:rPr>
                <w:rFonts w:asciiTheme="minorHAnsi" w:eastAsia="Calibri" w:hAnsiTheme="minorHAnsi"/>
                <w:i/>
                <w:color w:val="auto"/>
                <w:sz w:val="20"/>
                <w:szCs w:val="18"/>
              </w:rPr>
            </w:pPr>
            <w:r w:rsidRPr="00606A8C">
              <w:rPr>
                <w:rFonts w:asciiTheme="minorHAnsi" w:eastAsia="Calibri" w:hAnsiTheme="minorHAnsi"/>
                <w:color w:val="auto"/>
                <w:sz w:val="20"/>
                <w:szCs w:val="22"/>
              </w:rPr>
              <w:t xml:space="preserve">~ </w:t>
            </w:r>
            <w:r w:rsidR="00D74B55" w:rsidRPr="00606A8C">
              <w:rPr>
                <w:rFonts w:asciiTheme="minorHAnsi" w:eastAsia="Calibri" w:hAnsiTheme="minorHAnsi"/>
                <w:color w:val="auto"/>
                <w:sz w:val="20"/>
                <w:szCs w:val="22"/>
              </w:rPr>
              <w:t xml:space="preserve">6 </w:t>
            </w:r>
            <w:r w:rsidRPr="00606A8C">
              <w:rPr>
                <w:rFonts w:asciiTheme="minorHAnsi" w:eastAsia="Calibri" w:hAnsiTheme="minorHAnsi"/>
                <w:color w:val="auto"/>
                <w:sz w:val="20"/>
                <w:szCs w:val="22"/>
              </w:rPr>
              <w:t>M</w:t>
            </w:r>
            <w:r w:rsidR="00D74B55" w:rsidRPr="00606A8C">
              <w:rPr>
                <w:rFonts w:asciiTheme="minorHAnsi" w:eastAsia="Calibri" w:hAnsiTheme="minorHAnsi"/>
                <w:color w:val="auto"/>
                <w:sz w:val="20"/>
                <w:szCs w:val="22"/>
              </w:rPr>
              <w:t>o</w:t>
            </w:r>
            <w:r w:rsidRPr="00606A8C">
              <w:rPr>
                <w:rFonts w:asciiTheme="minorHAnsi" w:eastAsia="Calibri" w:hAnsiTheme="minorHAnsi"/>
                <w:color w:val="auto"/>
                <w:sz w:val="20"/>
                <w:szCs w:val="22"/>
              </w:rPr>
              <w:t>.</w:t>
            </w:r>
            <w:r w:rsidR="00D74B55" w:rsidRPr="00606A8C">
              <w:rPr>
                <w:rFonts w:asciiTheme="minorHAnsi" w:eastAsia="Calibri" w:hAnsiTheme="minorHAnsi"/>
                <w:color w:val="auto"/>
                <w:sz w:val="20"/>
                <w:szCs w:val="22"/>
              </w:rPr>
              <w:t xml:space="preserve"> </w:t>
            </w:r>
            <w:r w:rsidRPr="00606A8C">
              <w:rPr>
                <w:rFonts w:asciiTheme="minorHAnsi" w:eastAsia="Calibri" w:hAnsiTheme="minorHAnsi"/>
                <w:color w:val="auto"/>
                <w:sz w:val="20"/>
                <w:szCs w:val="22"/>
              </w:rPr>
              <w:t>Pre-S</w:t>
            </w:r>
            <w:r w:rsidR="00D74B55" w:rsidRPr="00606A8C">
              <w:rPr>
                <w:rFonts w:asciiTheme="minorHAnsi" w:eastAsia="Calibri" w:hAnsiTheme="minorHAnsi"/>
                <w:color w:val="auto"/>
                <w:sz w:val="20"/>
                <w:szCs w:val="22"/>
              </w:rPr>
              <w:t>ep</w:t>
            </w:r>
          </w:p>
        </w:tc>
        <w:tc>
          <w:tcPr>
            <w:tcW w:w="1665" w:type="dxa"/>
            <w:shd w:val="clear" w:color="auto" w:fill="D9D9D9" w:themeFill="background1" w:themeFillShade="D9"/>
          </w:tcPr>
          <w:p w:rsidR="00DC26A5" w:rsidRPr="00606A8C" w:rsidRDefault="007B2ED2" w:rsidP="00873443">
            <w:pPr>
              <w:spacing w:line="200" w:lineRule="exact"/>
              <w:contextualSpacing/>
              <w:jc w:val="center"/>
              <w:rPr>
                <w:rFonts w:asciiTheme="minorHAnsi" w:eastAsia="Calibri" w:hAnsiTheme="minorHAnsi"/>
                <w:color w:val="auto"/>
                <w:sz w:val="20"/>
                <w:szCs w:val="22"/>
              </w:rPr>
            </w:pPr>
            <w:r w:rsidRPr="00606A8C">
              <w:rPr>
                <w:rFonts w:asciiTheme="minorHAnsi" w:eastAsia="Calibri" w:hAnsiTheme="minorHAnsi"/>
                <w:color w:val="auto"/>
                <w:sz w:val="20"/>
                <w:szCs w:val="22"/>
              </w:rPr>
              <w:t>PT</w:t>
            </w:r>
          </w:p>
          <w:p w:rsidR="00F01E1B" w:rsidRPr="00606A8C" w:rsidRDefault="00DC26A5" w:rsidP="00873443">
            <w:pPr>
              <w:spacing w:line="200" w:lineRule="exact"/>
              <w:contextualSpacing/>
              <w:jc w:val="center"/>
              <w:rPr>
                <w:rFonts w:asciiTheme="minorHAnsi" w:eastAsia="Calibri" w:hAnsiTheme="minorHAnsi"/>
                <w:i/>
                <w:color w:val="auto"/>
                <w:sz w:val="20"/>
                <w:szCs w:val="18"/>
              </w:rPr>
            </w:pPr>
            <w:r w:rsidRPr="00606A8C">
              <w:rPr>
                <w:rFonts w:asciiTheme="minorHAnsi" w:eastAsia="Calibri" w:hAnsiTheme="minorHAnsi"/>
                <w:color w:val="auto"/>
                <w:sz w:val="20"/>
                <w:szCs w:val="22"/>
              </w:rPr>
              <w:t>~</w:t>
            </w:r>
            <w:r w:rsidR="007B2ED2" w:rsidRPr="00606A8C">
              <w:rPr>
                <w:rFonts w:asciiTheme="minorHAnsi" w:eastAsia="Calibri" w:hAnsiTheme="minorHAnsi"/>
                <w:color w:val="auto"/>
                <w:sz w:val="20"/>
                <w:szCs w:val="22"/>
              </w:rPr>
              <w:t xml:space="preserve"> </w:t>
            </w:r>
            <w:r w:rsidR="00F01E1B" w:rsidRPr="00606A8C">
              <w:rPr>
                <w:rFonts w:asciiTheme="minorHAnsi" w:eastAsia="Calibri" w:hAnsiTheme="minorHAnsi"/>
                <w:color w:val="auto"/>
                <w:sz w:val="20"/>
                <w:szCs w:val="22"/>
              </w:rPr>
              <w:t xml:space="preserve">6 </w:t>
            </w:r>
            <w:r w:rsidRPr="00606A8C">
              <w:rPr>
                <w:rFonts w:asciiTheme="minorHAnsi" w:eastAsia="Calibri" w:hAnsiTheme="minorHAnsi"/>
                <w:color w:val="auto"/>
                <w:sz w:val="20"/>
                <w:szCs w:val="22"/>
              </w:rPr>
              <w:t>Mo. Pre-Sep</w:t>
            </w:r>
          </w:p>
        </w:tc>
        <w:tc>
          <w:tcPr>
            <w:tcW w:w="1665" w:type="dxa"/>
            <w:shd w:val="clear" w:color="auto" w:fill="D9D9D9" w:themeFill="background1" w:themeFillShade="D9"/>
          </w:tcPr>
          <w:p w:rsidR="00DC26A5" w:rsidRPr="00606A8C" w:rsidRDefault="00DC26A5" w:rsidP="00873443">
            <w:pPr>
              <w:spacing w:line="200" w:lineRule="exact"/>
              <w:contextualSpacing/>
              <w:jc w:val="center"/>
              <w:rPr>
                <w:rFonts w:asciiTheme="minorHAnsi" w:eastAsia="Calibri" w:hAnsiTheme="minorHAnsi"/>
                <w:color w:val="auto"/>
                <w:sz w:val="20"/>
                <w:szCs w:val="22"/>
              </w:rPr>
            </w:pPr>
            <w:r w:rsidRPr="00606A8C">
              <w:rPr>
                <w:rFonts w:asciiTheme="minorHAnsi" w:eastAsia="Calibri" w:hAnsiTheme="minorHAnsi"/>
                <w:color w:val="auto"/>
                <w:sz w:val="20"/>
                <w:szCs w:val="22"/>
              </w:rPr>
              <w:t>MEB</w:t>
            </w:r>
          </w:p>
          <w:p w:rsidR="00F01E1B" w:rsidRPr="00606A8C" w:rsidRDefault="00DC26A5" w:rsidP="00873443">
            <w:pPr>
              <w:spacing w:line="200" w:lineRule="exact"/>
              <w:contextualSpacing/>
              <w:jc w:val="center"/>
              <w:rPr>
                <w:rFonts w:asciiTheme="minorHAnsi" w:eastAsia="Calibri" w:hAnsiTheme="minorHAnsi"/>
                <w:color w:val="auto"/>
                <w:sz w:val="20"/>
                <w:szCs w:val="22"/>
              </w:rPr>
            </w:pPr>
            <w:r w:rsidRPr="00606A8C">
              <w:rPr>
                <w:rFonts w:asciiTheme="minorHAnsi" w:eastAsia="Calibri" w:hAnsiTheme="minorHAnsi"/>
                <w:color w:val="auto"/>
                <w:sz w:val="20"/>
                <w:szCs w:val="22"/>
              </w:rPr>
              <w:t>~</w:t>
            </w:r>
            <w:r w:rsidR="007B2ED2" w:rsidRPr="00606A8C">
              <w:rPr>
                <w:rFonts w:asciiTheme="minorHAnsi" w:eastAsia="Calibri" w:hAnsiTheme="minorHAnsi"/>
                <w:color w:val="auto"/>
                <w:sz w:val="20"/>
                <w:szCs w:val="22"/>
              </w:rPr>
              <w:t xml:space="preserve"> </w:t>
            </w:r>
            <w:r w:rsidR="00F01E1B" w:rsidRPr="00606A8C">
              <w:rPr>
                <w:rFonts w:asciiTheme="minorHAnsi" w:eastAsia="Calibri" w:hAnsiTheme="minorHAnsi"/>
                <w:color w:val="auto"/>
                <w:sz w:val="20"/>
                <w:szCs w:val="22"/>
              </w:rPr>
              <w:t xml:space="preserve">3 </w:t>
            </w:r>
            <w:r w:rsidRPr="00606A8C">
              <w:rPr>
                <w:rFonts w:asciiTheme="minorHAnsi" w:eastAsia="Calibri" w:hAnsiTheme="minorHAnsi"/>
                <w:color w:val="auto"/>
                <w:sz w:val="20"/>
                <w:szCs w:val="22"/>
              </w:rPr>
              <w:t>Mo. Pre-Sep</w:t>
            </w:r>
          </w:p>
        </w:tc>
        <w:tc>
          <w:tcPr>
            <w:tcW w:w="2115" w:type="dxa"/>
            <w:shd w:val="clear" w:color="auto" w:fill="D9D9D9" w:themeFill="background1" w:themeFillShade="D9"/>
          </w:tcPr>
          <w:p w:rsidR="00DC26A5" w:rsidRPr="00606A8C" w:rsidRDefault="007B2ED2" w:rsidP="00873443">
            <w:pPr>
              <w:spacing w:line="200" w:lineRule="exact"/>
              <w:contextualSpacing/>
              <w:jc w:val="center"/>
              <w:rPr>
                <w:rFonts w:asciiTheme="minorHAnsi" w:eastAsiaTheme="minorHAnsi" w:hAnsiTheme="minorHAnsi" w:cstheme="minorBidi"/>
                <w:color w:val="auto"/>
                <w:sz w:val="20"/>
                <w:szCs w:val="22"/>
              </w:rPr>
            </w:pPr>
            <w:r w:rsidRPr="00606A8C">
              <w:rPr>
                <w:rFonts w:asciiTheme="minorHAnsi" w:eastAsia="Calibri" w:hAnsiTheme="minorHAnsi"/>
                <w:color w:val="auto"/>
                <w:sz w:val="20"/>
                <w:szCs w:val="22"/>
              </w:rPr>
              <w:t>VA</w:t>
            </w:r>
            <w:r w:rsidRPr="00606A8C">
              <w:rPr>
                <w:rFonts w:asciiTheme="minorHAnsi" w:eastAsiaTheme="minorHAnsi" w:hAnsiTheme="minorHAnsi" w:cstheme="minorBidi"/>
                <w:color w:val="auto"/>
                <w:sz w:val="20"/>
                <w:szCs w:val="22"/>
              </w:rPr>
              <w:t xml:space="preserve"> C&amp;P</w:t>
            </w:r>
          </w:p>
          <w:p w:rsidR="007B2ED2" w:rsidRPr="00606A8C" w:rsidRDefault="00DC26A5" w:rsidP="00873443">
            <w:pPr>
              <w:spacing w:line="200" w:lineRule="exact"/>
              <w:contextualSpacing/>
              <w:jc w:val="center"/>
              <w:rPr>
                <w:rFonts w:asciiTheme="minorHAnsi" w:eastAsiaTheme="minorHAnsi" w:hAnsiTheme="minorHAnsi" w:cstheme="minorBidi"/>
                <w:i/>
                <w:color w:val="auto"/>
                <w:sz w:val="20"/>
                <w:szCs w:val="18"/>
              </w:rPr>
            </w:pPr>
            <w:r w:rsidRPr="00606A8C">
              <w:rPr>
                <w:rFonts w:asciiTheme="minorHAnsi" w:eastAsiaTheme="minorHAnsi" w:hAnsiTheme="minorHAnsi" w:cstheme="minorBidi"/>
                <w:color w:val="auto"/>
                <w:sz w:val="20"/>
                <w:szCs w:val="22"/>
              </w:rPr>
              <w:t>~</w:t>
            </w:r>
            <w:r w:rsidR="009325FD" w:rsidRPr="00606A8C">
              <w:rPr>
                <w:rFonts w:asciiTheme="minorHAnsi" w:eastAsiaTheme="minorHAnsi" w:hAnsiTheme="minorHAnsi" w:cstheme="minorBidi"/>
                <w:color w:val="auto"/>
                <w:sz w:val="20"/>
                <w:szCs w:val="22"/>
              </w:rPr>
              <w:t xml:space="preserve">7 </w:t>
            </w:r>
            <w:r w:rsidRPr="00606A8C">
              <w:rPr>
                <w:rFonts w:asciiTheme="minorHAnsi" w:eastAsia="Calibri" w:hAnsiTheme="minorHAnsi"/>
                <w:color w:val="auto"/>
                <w:sz w:val="20"/>
                <w:szCs w:val="22"/>
              </w:rPr>
              <w:t>Mo. Post-Sep</w:t>
            </w:r>
          </w:p>
        </w:tc>
      </w:tr>
      <w:tr w:rsidR="00057F9E" w:rsidRPr="00606A8C" w:rsidTr="00EB2D23">
        <w:trPr>
          <w:jc w:val="center"/>
        </w:trPr>
        <w:tc>
          <w:tcPr>
            <w:tcW w:w="2025" w:type="dxa"/>
          </w:tcPr>
          <w:p w:rsidR="00057F9E" w:rsidRPr="00606A8C" w:rsidRDefault="00057F9E" w:rsidP="000239B9">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Flexion 0-90⁰</w:t>
            </w:r>
          </w:p>
        </w:tc>
        <w:tc>
          <w:tcPr>
            <w:tcW w:w="1800"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r w:rsidRPr="00606A8C">
              <w:rPr>
                <w:rFonts w:asciiTheme="minorHAnsi" w:eastAsia="Calibri" w:hAnsiTheme="minorHAnsi"/>
                <w:color w:val="auto"/>
                <w:sz w:val="18"/>
                <w:szCs w:val="22"/>
              </w:rPr>
              <w:t>60⁰</w:t>
            </w:r>
          </w:p>
        </w:tc>
        <w:tc>
          <w:tcPr>
            <w:tcW w:w="1665"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vMerge w:val="restart"/>
          </w:tcPr>
          <w:p w:rsidR="00057F9E" w:rsidRPr="00606A8C" w:rsidRDefault="00057F9E" w:rsidP="00873443">
            <w:pPr>
              <w:spacing w:line="180" w:lineRule="exact"/>
              <w:contextualSpacing/>
              <w:jc w:val="center"/>
              <w:rPr>
                <w:rFonts w:asciiTheme="minorHAnsi" w:eastAsia="Calibri" w:hAnsiTheme="minorHAnsi"/>
                <w:color w:val="auto"/>
                <w:sz w:val="18"/>
                <w:szCs w:val="22"/>
              </w:rPr>
            </w:pPr>
            <w:r w:rsidRPr="00606A8C">
              <w:rPr>
                <w:rFonts w:asciiTheme="minorHAnsi" w:eastAsia="Calibri" w:hAnsiTheme="minorHAnsi"/>
                <w:color w:val="auto"/>
                <w:sz w:val="18"/>
                <w:szCs w:val="22"/>
              </w:rPr>
              <w:t>Bending was reduced by 50% in all planes</w:t>
            </w:r>
          </w:p>
        </w:tc>
        <w:tc>
          <w:tcPr>
            <w:tcW w:w="2115" w:type="dxa"/>
          </w:tcPr>
          <w:p w:rsidR="00057F9E" w:rsidRPr="000239B9" w:rsidRDefault="00057F9E" w:rsidP="00873443">
            <w:pPr>
              <w:spacing w:line="180" w:lineRule="exact"/>
              <w:contextualSpacing/>
              <w:jc w:val="center"/>
              <w:rPr>
                <w:rFonts w:asciiTheme="minorHAnsi" w:eastAsia="Calibri" w:hAnsiTheme="minorHAnsi"/>
                <w:color w:val="auto"/>
                <w:sz w:val="18"/>
                <w:szCs w:val="22"/>
              </w:rPr>
            </w:pPr>
            <w:r w:rsidRPr="000239B9">
              <w:rPr>
                <w:rFonts w:asciiTheme="minorHAnsi" w:eastAsia="Calibri" w:hAnsiTheme="minorHAnsi"/>
                <w:color w:val="auto"/>
                <w:sz w:val="18"/>
                <w:szCs w:val="22"/>
              </w:rPr>
              <w:t>0⁰-64⁰-67⁰[65⁰]</w:t>
            </w:r>
          </w:p>
        </w:tc>
      </w:tr>
      <w:tr w:rsidR="00057F9E" w:rsidRPr="00606A8C" w:rsidTr="00EB2D23">
        <w:trPr>
          <w:jc w:val="center"/>
        </w:trPr>
        <w:tc>
          <w:tcPr>
            <w:tcW w:w="2025" w:type="dxa"/>
          </w:tcPr>
          <w:p w:rsidR="00057F9E" w:rsidRPr="00606A8C" w:rsidRDefault="00057F9E" w:rsidP="000239B9">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Extension 0-30⁰</w:t>
            </w:r>
          </w:p>
        </w:tc>
        <w:tc>
          <w:tcPr>
            <w:tcW w:w="1800"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r w:rsidRPr="00606A8C">
              <w:rPr>
                <w:rFonts w:asciiTheme="minorHAnsi" w:eastAsia="Calibri" w:hAnsiTheme="minorHAnsi"/>
                <w:color w:val="auto"/>
                <w:sz w:val="18"/>
                <w:szCs w:val="22"/>
              </w:rPr>
              <w:t>10⁰</w:t>
            </w:r>
          </w:p>
        </w:tc>
        <w:tc>
          <w:tcPr>
            <w:tcW w:w="1665"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vMerge/>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2115" w:type="dxa"/>
          </w:tcPr>
          <w:p w:rsidR="00057F9E" w:rsidRPr="000239B9" w:rsidRDefault="00057F9E" w:rsidP="00873443">
            <w:pPr>
              <w:spacing w:line="180" w:lineRule="exact"/>
              <w:contextualSpacing/>
              <w:jc w:val="center"/>
              <w:rPr>
                <w:rFonts w:asciiTheme="minorHAnsi" w:eastAsia="Calibri" w:hAnsiTheme="minorHAnsi"/>
                <w:color w:val="auto"/>
                <w:sz w:val="18"/>
                <w:szCs w:val="22"/>
              </w:rPr>
            </w:pPr>
            <w:r w:rsidRPr="000239B9">
              <w:rPr>
                <w:rFonts w:asciiTheme="minorHAnsi" w:eastAsia="Calibri" w:hAnsiTheme="minorHAnsi"/>
                <w:color w:val="auto"/>
                <w:sz w:val="18"/>
                <w:szCs w:val="22"/>
              </w:rPr>
              <w:t>0⁰-36⁰ [30⁰]</w:t>
            </w:r>
          </w:p>
        </w:tc>
      </w:tr>
      <w:tr w:rsidR="00057F9E" w:rsidRPr="00606A8C" w:rsidTr="00EB2D23">
        <w:trPr>
          <w:jc w:val="center"/>
        </w:trPr>
        <w:tc>
          <w:tcPr>
            <w:tcW w:w="2025" w:type="dxa"/>
          </w:tcPr>
          <w:p w:rsidR="00057F9E" w:rsidRPr="00606A8C" w:rsidRDefault="00057F9E" w:rsidP="000239B9">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R Lateral Flex 0-30⁰</w:t>
            </w:r>
          </w:p>
        </w:tc>
        <w:tc>
          <w:tcPr>
            <w:tcW w:w="1800"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r w:rsidRPr="00606A8C">
              <w:rPr>
                <w:rFonts w:asciiTheme="minorHAnsi" w:eastAsia="Calibri" w:hAnsiTheme="minorHAnsi"/>
                <w:color w:val="auto"/>
                <w:sz w:val="18"/>
                <w:szCs w:val="22"/>
              </w:rPr>
              <w:t>20⁰</w:t>
            </w:r>
          </w:p>
        </w:tc>
        <w:tc>
          <w:tcPr>
            <w:tcW w:w="1665"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vMerge/>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2115" w:type="dxa"/>
          </w:tcPr>
          <w:p w:rsidR="00057F9E" w:rsidRPr="000239B9" w:rsidRDefault="00057F9E" w:rsidP="00873443">
            <w:pPr>
              <w:spacing w:line="180" w:lineRule="exact"/>
              <w:contextualSpacing/>
              <w:jc w:val="center"/>
              <w:rPr>
                <w:rFonts w:asciiTheme="minorHAnsi" w:eastAsia="Calibri" w:hAnsiTheme="minorHAnsi"/>
                <w:color w:val="auto"/>
                <w:sz w:val="18"/>
                <w:szCs w:val="22"/>
              </w:rPr>
            </w:pPr>
            <w:r w:rsidRPr="000239B9">
              <w:rPr>
                <w:rFonts w:asciiTheme="minorHAnsi" w:eastAsia="Calibri" w:hAnsiTheme="minorHAnsi"/>
                <w:color w:val="auto"/>
                <w:sz w:val="18"/>
                <w:szCs w:val="22"/>
              </w:rPr>
              <w:t>0-18⁰-24⁰ [25⁰]</w:t>
            </w:r>
          </w:p>
        </w:tc>
      </w:tr>
      <w:tr w:rsidR="00057F9E" w:rsidRPr="00606A8C" w:rsidTr="00EB2D23">
        <w:trPr>
          <w:jc w:val="center"/>
        </w:trPr>
        <w:tc>
          <w:tcPr>
            <w:tcW w:w="2025" w:type="dxa"/>
          </w:tcPr>
          <w:p w:rsidR="00057F9E" w:rsidRPr="00606A8C" w:rsidRDefault="00057F9E" w:rsidP="000239B9">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L Lateral Flex 0-30⁰</w:t>
            </w:r>
          </w:p>
        </w:tc>
        <w:tc>
          <w:tcPr>
            <w:tcW w:w="1800"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r w:rsidRPr="00606A8C">
              <w:rPr>
                <w:rFonts w:asciiTheme="minorHAnsi" w:eastAsia="Calibri" w:hAnsiTheme="minorHAnsi"/>
                <w:color w:val="auto"/>
                <w:sz w:val="18"/>
                <w:szCs w:val="22"/>
              </w:rPr>
              <w:t>20⁰</w:t>
            </w:r>
          </w:p>
        </w:tc>
        <w:tc>
          <w:tcPr>
            <w:tcW w:w="1665"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vMerge/>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2115" w:type="dxa"/>
          </w:tcPr>
          <w:p w:rsidR="00057F9E" w:rsidRPr="000239B9" w:rsidRDefault="00057F9E" w:rsidP="00873443">
            <w:pPr>
              <w:spacing w:line="180" w:lineRule="exact"/>
              <w:contextualSpacing/>
              <w:jc w:val="center"/>
              <w:rPr>
                <w:rFonts w:asciiTheme="minorHAnsi" w:eastAsia="Calibri" w:hAnsiTheme="minorHAnsi"/>
                <w:color w:val="auto"/>
                <w:sz w:val="18"/>
                <w:szCs w:val="22"/>
              </w:rPr>
            </w:pPr>
            <w:r w:rsidRPr="000239B9">
              <w:rPr>
                <w:rFonts w:asciiTheme="minorHAnsi" w:eastAsia="Calibri" w:hAnsiTheme="minorHAnsi"/>
                <w:color w:val="auto"/>
                <w:sz w:val="18"/>
                <w:szCs w:val="22"/>
              </w:rPr>
              <w:t>0-34⁰-41⁰ [30⁰]</w:t>
            </w:r>
          </w:p>
        </w:tc>
      </w:tr>
      <w:tr w:rsidR="00057F9E" w:rsidRPr="00606A8C" w:rsidTr="00EB2D23">
        <w:trPr>
          <w:jc w:val="center"/>
        </w:trPr>
        <w:tc>
          <w:tcPr>
            <w:tcW w:w="2025" w:type="dxa"/>
          </w:tcPr>
          <w:p w:rsidR="00057F9E" w:rsidRPr="00606A8C" w:rsidRDefault="00057F9E" w:rsidP="000239B9">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L Rotation 0-30⁰</w:t>
            </w:r>
          </w:p>
        </w:tc>
        <w:tc>
          <w:tcPr>
            <w:tcW w:w="1800"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vMerge/>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2115" w:type="dxa"/>
          </w:tcPr>
          <w:p w:rsidR="00057F9E" w:rsidRPr="000239B9" w:rsidRDefault="00057F9E" w:rsidP="00873443">
            <w:pPr>
              <w:spacing w:line="180" w:lineRule="exact"/>
              <w:contextualSpacing/>
              <w:jc w:val="center"/>
              <w:rPr>
                <w:rFonts w:asciiTheme="minorHAnsi" w:eastAsia="Calibri" w:hAnsiTheme="minorHAnsi"/>
                <w:color w:val="auto"/>
                <w:sz w:val="18"/>
                <w:szCs w:val="22"/>
              </w:rPr>
            </w:pPr>
            <w:r w:rsidRPr="000239B9">
              <w:rPr>
                <w:rFonts w:asciiTheme="minorHAnsi" w:eastAsia="Calibri" w:hAnsiTheme="minorHAnsi"/>
                <w:color w:val="auto"/>
                <w:sz w:val="18"/>
                <w:szCs w:val="22"/>
              </w:rPr>
              <w:t>0-42⁰ [30⁰]</w:t>
            </w:r>
          </w:p>
        </w:tc>
      </w:tr>
      <w:tr w:rsidR="00057F9E" w:rsidRPr="00606A8C" w:rsidTr="00EB2D23">
        <w:trPr>
          <w:jc w:val="center"/>
        </w:trPr>
        <w:tc>
          <w:tcPr>
            <w:tcW w:w="2025" w:type="dxa"/>
          </w:tcPr>
          <w:p w:rsidR="00057F9E" w:rsidRPr="00606A8C" w:rsidRDefault="00057F9E" w:rsidP="000239B9">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R Rotation 0-30⁰</w:t>
            </w:r>
          </w:p>
        </w:tc>
        <w:tc>
          <w:tcPr>
            <w:tcW w:w="1800"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vMerge/>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2115" w:type="dxa"/>
          </w:tcPr>
          <w:p w:rsidR="00057F9E" w:rsidRPr="000239B9" w:rsidRDefault="00057F9E" w:rsidP="00873443">
            <w:pPr>
              <w:spacing w:line="180" w:lineRule="exact"/>
              <w:contextualSpacing/>
              <w:jc w:val="center"/>
              <w:rPr>
                <w:rFonts w:asciiTheme="minorHAnsi" w:eastAsia="Calibri" w:hAnsiTheme="minorHAnsi"/>
                <w:color w:val="auto"/>
                <w:sz w:val="18"/>
                <w:szCs w:val="22"/>
              </w:rPr>
            </w:pPr>
            <w:r w:rsidRPr="000239B9">
              <w:rPr>
                <w:rFonts w:asciiTheme="minorHAnsi" w:eastAsia="Calibri" w:hAnsiTheme="minorHAnsi"/>
                <w:color w:val="auto"/>
                <w:sz w:val="18"/>
                <w:szCs w:val="22"/>
              </w:rPr>
              <w:t>0-47⁰ [30]</w:t>
            </w:r>
          </w:p>
        </w:tc>
      </w:tr>
      <w:tr w:rsidR="00057F9E" w:rsidRPr="00606A8C" w:rsidTr="00EB2D23">
        <w:trPr>
          <w:jc w:val="center"/>
        </w:trPr>
        <w:tc>
          <w:tcPr>
            <w:tcW w:w="2025" w:type="dxa"/>
          </w:tcPr>
          <w:p w:rsidR="00057F9E" w:rsidRPr="00606A8C" w:rsidRDefault="00057F9E" w:rsidP="000239B9">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Combined 240⁰</w:t>
            </w:r>
          </w:p>
        </w:tc>
        <w:tc>
          <w:tcPr>
            <w:tcW w:w="1800"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1665" w:type="dxa"/>
            <w:vMerge/>
          </w:tcPr>
          <w:p w:rsidR="00057F9E" w:rsidRPr="00606A8C" w:rsidRDefault="00057F9E" w:rsidP="00873443">
            <w:pPr>
              <w:spacing w:line="180" w:lineRule="exact"/>
              <w:contextualSpacing/>
              <w:jc w:val="center"/>
              <w:rPr>
                <w:rFonts w:asciiTheme="minorHAnsi" w:eastAsia="Calibri" w:hAnsiTheme="minorHAnsi"/>
                <w:color w:val="auto"/>
                <w:sz w:val="18"/>
                <w:szCs w:val="22"/>
              </w:rPr>
            </w:pPr>
          </w:p>
        </w:tc>
        <w:tc>
          <w:tcPr>
            <w:tcW w:w="2115" w:type="dxa"/>
          </w:tcPr>
          <w:p w:rsidR="00057F9E" w:rsidRPr="000239B9" w:rsidRDefault="00057F9E" w:rsidP="00873443">
            <w:pPr>
              <w:spacing w:line="180" w:lineRule="exact"/>
              <w:contextualSpacing/>
              <w:jc w:val="center"/>
              <w:rPr>
                <w:rFonts w:asciiTheme="minorHAnsi" w:eastAsia="Calibri" w:hAnsiTheme="minorHAnsi"/>
                <w:color w:val="auto"/>
                <w:sz w:val="18"/>
                <w:szCs w:val="22"/>
              </w:rPr>
            </w:pPr>
            <w:r w:rsidRPr="000239B9">
              <w:rPr>
                <w:rFonts w:asciiTheme="minorHAnsi" w:eastAsia="Calibri" w:hAnsiTheme="minorHAnsi"/>
                <w:color w:val="auto"/>
                <w:sz w:val="18"/>
                <w:szCs w:val="22"/>
              </w:rPr>
              <w:t>210⁰</w:t>
            </w:r>
          </w:p>
        </w:tc>
      </w:tr>
      <w:tr w:rsidR="00F01E1B" w:rsidRPr="00606A8C" w:rsidTr="00EB2D23">
        <w:trPr>
          <w:jc w:val="center"/>
        </w:trPr>
        <w:tc>
          <w:tcPr>
            <w:tcW w:w="2025" w:type="dxa"/>
          </w:tcPr>
          <w:p w:rsidR="00F01E1B" w:rsidRPr="00606A8C" w:rsidRDefault="00F01E1B" w:rsidP="000239B9">
            <w:pPr>
              <w:spacing w:line="180" w:lineRule="exact"/>
              <w:contextualSpacing/>
              <w:rPr>
                <w:rFonts w:asciiTheme="minorHAnsi" w:eastAsiaTheme="minorHAnsi" w:hAnsiTheme="minorHAnsi"/>
                <w:color w:val="auto"/>
                <w:sz w:val="18"/>
                <w:szCs w:val="22"/>
              </w:rPr>
            </w:pPr>
            <w:r w:rsidRPr="00606A8C">
              <w:rPr>
                <w:rFonts w:asciiTheme="minorHAnsi" w:eastAsiaTheme="minorHAnsi" w:hAnsiTheme="minorHAnsi"/>
                <w:color w:val="auto"/>
                <w:sz w:val="18"/>
                <w:szCs w:val="22"/>
              </w:rPr>
              <w:t>Comments</w:t>
            </w:r>
            <w:r w:rsidR="000C3BE7" w:rsidRPr="00606A8C">
              <w:rPr>
                <w:rFonts w:asciiTheme="minorHAnsi" w:eastAsiaTheme="minorHAnsi" w:hAnsiTheme="minorHAnsi"/>
                <w:color w:val="auto"/>
                <w:sz w:val="18"/>
                <w:szCs w:val="22"/>
              </w:rPr>
              <w:t>:</w:t>
            </w:r>
          </w:p>
          <w:p w:rsidR="000C3BE7" w:rsidRPr="00606A8C" w:rsidRDefault="000C3BE7" w:rsidP="000239B9">
            <w:pPr>
              <w:spacing w:line="180" w:lineRule="exact"/>
              <w:contextualSpacing/>
              <w:rPr>
                <w:rFonts w:asciiTheme="minorHAnsi" w:eastAsia="Calibri" w:hAnsiTheme="minorHAnsi"/>
                <w:color w:val="auto"/>
                <w:sz w:val="18"/>
                <w:szCs w:val="22"/>
              </w:rPr>
            </w:pPr>
            <w:r w:rsidRPr="00606A8C">
              <w:rPr>
                <w:rFonts w:asciiTheme="minorHAnsi" w:eastAsiaTheme="minorHAnsi" w:hAnsiTheme="minorHAnsi"/>
                <w:color w:val="auto"/>
                <w:sz w:val="18"/>
                <w:szCs w:val="22"/>
              </w:rPr>
              <w:t>Applied notes 2 and 4 (rounding and maximums) for VA exam under 2004 VASRD</w:t>
            </w:r>
          </w:p>
        </w:tc>
        <w:tc>
          <w:tcPr>
            <w:tcW w:w="1800" w:type="dxa"/>
          </w:tcPr>
          <w:p w:rsidR="00A57203" w:rsidRPr="00606A8C" w:rsidRDefault="00F01E1B" w:rsidP="00873443">
            <w:pPr>
              <w:spacing w:line="180" w:lineRule="exact"/>
              <w:contextualSpacing/>
              <w:rPr>
                <w:rFonts w:asciiTheme="minorHAnsi" w:eastAsia="Calibri" w:hAnsiTheme="minorHAnsi"/>
                <w:color w:val="auto"/>
                <w:sz w:val="18"/>
              </w:rPr>
            </w:pPr>
            <w:r w:rsidRPr="00606A8C">
              <w:rPr>
                <w:rFonts w:asciiTheme="minorHAnsi" w:eastAsia="Calibri" w:hAnsiTheme="minorHAnsi"/>
                <w:color w:val="auto"/>
                <w:sz w:val="18"/>
              </w:rPr>
              <w:t xml:space="preserve">No muscle spasms no </w:t>
            </w:r>
            <w:r w:rsidR="00245FA0" w:rsidRPr="00606A8C">
              <w:rPr>
                <w:rFonts w:asciiTheme="minorHAnsi" w:eastAsia="Calibri" w:hAnsiTheme="minorHAnsi"/>
                <w:color w:val="auto"/>
                <w:sz w:val="18"/>
              </w:rPr>
              <w:t>TTP</w:t>
            </w:r>
            <w:r w:rsidR="00180F01" w:rsidRPr="00606A8C">
              <w:rPr>
                <w:rFonts w:asciiTheme="minorHAnsi" w:eastAsia="Calibri" w:hAnsiTheme="minorHAnsi"/>
                <w:color w:val="auto"/>
                <w:sz w:val="18"/>
              </w:rPr>
              <w:t xml:space="preserve">; </w:t>
            </w:r>
            <w:r w:rsidR="00245FA0" w:rsidRPr="00606A8C">
              <w:rPr>
                <w:rFonts w:asciiTheme="minorHAnsi" w:eastAsia="Calibri" w:hAnsiTheme="minorHAnsi"/>
                <w:color w:val="auto"/>
                <w:sz w:val="18"/>
              </w:rPr>
              <w:t xml:space="preserve">- </w:t>
            </w:r>
            <w:r w:rsidR="00233CEC" w:rsidRPr="00606A8C">
              <w:rPr>
                <w:rFonts w:asciiTheme="minorHAnsi" w:eastAsia="Calibri" w:hAnsiTheme="minorHAnsi"/>
                <w:color w:val="auto"/>
                <w:sz w:val="18"/>
              </w:rPr>
              <w:t>SLR</w:t>
            </w:r>
            <w:r w:rsidR="00F16DDC" w:rsidRPr="00606A8C">
              <w:rPr>
                <w:rFonts w:asciiTheme="minorHAnsi" w:eastAsia="Calibri" w:hAnsiTheme="minorHAnsi"/>
                <w:color w:val="auto"/>
                <w:sz w:val="18"/>
              </w:rPr>
              <w:t xml:space="preserve"> </w:t>
            </w:r>
            <w:r w:rsidR="00245FA0" w:rsidRPr="00606A8C">
              <w:rPr>
                <w:rFonts w:asciiTheme="minorHAnsi" w:eastAsia="Calibri" w:hAnsiTheme="minorHAnsi"/>
                <w:color w:val="auto"/>
                <w:sz w:val="18"/>
              </w:rPr>
              <w:t xml:space="preserve">except </w:t>
            </w:r>
            <w:r w:rsidR="00F16DDC" w:rsidRPr="00606A8C">
              <w:rPr>
                <w:rFonts w:asciiTheme="minorHAnsi" w:eastAsia="Calibri" w:hAnsiTheme="minorHAnsi"/>
                <w:color w:val="auto"/>
                <w:sz w:val="18"/>
              </w:rPr>
              <w:t>mild back discomfort</w:t>
            </w:r>
            <w:r w:rsidR="00245FA0" w:rsidRPr="00606A8C">
              <w:rPr>
                <w:rFonts w:asciiTheme="minorHAnsi" w:eastAsia="Calibri" w:hAnsiTheme="minorHAnsi"/>
                <w:color w:val="auto"/>
                <w:sz w:val="18"/>
              </w:rPr>
              <w:t>; sensory/motor intact</w:t>
            </w:r>
          </w:p>
        </w:tc>
        <w:tc>
          <w:tcPr>
            <w:tcW w:w="1665" w:type="dxa"/>
          </w:tcPr>
          <w:p w:rsidR="00F01E1B" w:rsidRPr="00606A8C" w:rsidRDefault="00245FA0" w:rsidP="000239B9">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 xml:space="preserve">~ </w:t>
            </w:r>
            <w:r w:rsidR="00F01E1B" w:rsidRPr="00606A8C">
              <w:rPr>
                <w:rFonts w:asciiTheme="minorHAnsi" w:eastAsia="Calibri" w:hAnsiTheme="minorHAnsi"/>
                <w:color w:val="auto"/>
                <w:sz w:val="18"/>
                <w:szCs w:val="22"/>
              </w:rPr>
              <w:t>50% limitation in all planes</w:t>
            </w:r>
            <w:r w:rsidRPr="00606A8C">
              <w:rPr>
                <w:rFonts w:asciiTheme="minorHAnsi" w:eastAsia="Calibri" w:hAnsiTheme="minorHAnsi"/>
                <w:color w:val="auto"/>
                <w:sz w:val="18"/>
                <w:szCs w:val="22"/>
              </w:rPr>
              <w:t>.  He states that motion beyond that</w:t>
            </w:r>
            <w:r w:rsidR="00F01E1B" w:rsidRPr="00606A8C">
              <w:rPr>
                <w:rFonts w:asciiTheme="minorHAnsi" w:eastAsia="Calibri" w:hAnsiTheme="minorHAnsi"/>
                <w:color w:val="auto"/>
                <w:sz w:val="18"/>
                <w:szCs w:val="22"/>
              </w:rPr>
              <w:t xml:space="preserve"> causes pain</w:t>
            </w:r>
            <w:r w:rsidRPr="00606A8C">
              <w:rPr>
                <w:rFonts w:asciiTheme="minorHAnsi" w:eastAsia="Calibri" w:hAnsiTheme="minorHAnsi"/>
                <w:color w:val="auto"/>
                <w:sz w:val="18"/>
                <w:szCs w:val="22"/>
              </w:rPr>
              <w:t>; TTP</w:t>
            </w:r>
          </w:p>
        </w:tc>
        <w:tc>
          <w:tcPr>
            <w:tcW w:w="1665" w:type="dxa"/>
          </w:tcPr>
          <w:p w:rsidR="00B67DBC" w:rsidRPr="00606A8C" w:rsidRDefault="00233CEC" w:rsidP="00873443">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SLR</w:t>
            </w:r>
            <w:r w:rsidR="00057F9E" w:rsidRPr="00606A8C">
              <w:rPr>
                <w:rFonts w:asciiTheme="minorHAnsi" w:eastAsia="Calibri" w:hAnsiTheme="minorHAnsi"/>
                <w:color w:val="auto"/>
                <w:sz w:val="18"/>
                <w:szCs w:val="22"/>
              </w:rPr>
              <w:t xml:space="preserve"> resulted in </w:t>
            </w:r>
            <w:r w:rsidR="00B67DBC" w:rsidRPr="00606A8C">
              <w:rPr>
                <w:rFonts w:asciiTheme="minorHAnsi" w:eastAsia="Calibri" w:hAnsiTheme="minorHAnsi"/>
                <w:color w:val="auto"/>
                <w:sz w:val="18"/>
                <w:szCs w:val="22"/>
              </w:rPr>
              <w:t>mild back discomfort</w:t>
            </w:r>
            <w:r w:rsidR="00057F9E" w:rsidRPr="00606A8C">
              <w:rPr>
                <w:rFonts w:asciiTheme="minorHAnsi" w:eastAsia="Calibri" w:hAnsiTheme="minorHAnsi"/>
                <w:color w:val="auto"/>
                <w:sz w:val="18"/>
                <w:szCs w:val="22"/>
              </w:rPr>
              <w:t xml:space="preserve"> at 75°; </w:t>
            </w:r>
            <w:proofErr w:type="spellStart"/>
            <w:r w:rsidR="00057F9E" w:rsidRPr="00606A8C">
              <w:rPr>
                <w:rFonts w:asciiTheme="minorHAnsi" w:eastAsia="Calibri" w:hAnsiTheme="minorHAnsi"/>
                <w:color w:val="auto"/>
                <w:sz w:val="18"/>
                <w:szCs w:val="22"/>
              </w:rPr>
              <w:t>neuro</w:t>
            </w:r>
            <w:proofErr w:type="spellEnd"/>
            <w:r w:rsidR="00057F9E" w:rsidRPr="00606A8C">
              <w:rPr>
                <w:rFonts w:asciiTheme="minorHAnsi" w:eastAsia="Calibri" w:hAnsiTheme="minorHAnsi"/>
                <w:color w:val="auto"/>
                <w:sz w:val="18"/>
                <w:szCs w:val="22"/>
              </w:rPr>
              <w:t xml:space="preserve">, motor, and sensory normal </w:t>
            </w:r>
          </w:p>
        </w:tc>
        <w:tc>
          <w:tcPr>
            <w:tcW w:w="2115" w:type="dxa"/>
          </w:tcPr>
          <w:p w:rsidR="00F01E1B" w:rsidRPr="00606A8C" w:rsidRDefault="00180F01" w:rsidP="00873443">
            <w:pPr>
              <w:spacing w:line="180" w:lineRule="exact"/>
              <w:contextualSpacing/>
              <w:rPr>
                <w:rFonts w:asciiTheme="minorHAnsi" w:eastAsia="Calibri" w:hAnsiTheme="minorHAnsi"/>
                <w:color w:val="auto"/>
                <w:sz w:val="18"/>
                <w:szCs w:val="22"/>
              </w:rPr>
            </w:pPr>
            <w:r w:rsidRPr="00606A8C">
              <w:rPr>
                <w:rFonts w:asciiTheme="minorHAnsi" w:eastAsia="Calibri" w:hAnsiTheme="minorHAnsi"/>
                <w:color w:val="auto"/>
                <w:sz w:val="18"/>
                <w:szCs w:val="22"/>
              </w:rPr>
              <w:t>No deformity of spine;</w:t>
            </w:r>
            <w:r w:rsidR="009325FD" w:rsidRPr="00606A8C">
              <w:rPr>
                <w:rFonts w:asciiTheme="minorHAnsi" w:eastAsia="Calibri" w:hAnsiTheme="minorHAnsi"/>
                <w:color w:val="auto"/>
                <w:sz w:val="18"/>
                <w:szCs w:val="22"/>
              </w:rPr>
              <w:t xml:space="preserve"> no sciatic notch tenderness</w:t>
            </w:r>
            <w:r w:rsidRPr="00606A8C">
              <w:rPr>
                <w:rFonts w:asciiTheme="minorHAnsi" w:eastAsia="Calibri" w:hAnsiTheme="minorHAnsi"/>
                <w:color w:val="auto"/>
                <w:sz w:val="18"/>
                <w:szCs w:val="22"/>
              </w:rPr>
              <w:t>;</w:t>
            </w:r>
            <w:r w:rsidR="00F34290" w:rsidRPr="00606A8C">
              <w:rPr>
                <w:rFonts w:asciiTheme="minorHAnsi" w:eastAsia="Calibri" w:hAnsiTheme="minorHAnsi"/>
                <w:color w:val="auto"/>
                <w:sz w:val="18"/>
                <w:szCs w:val="22"/>
              </w:rPr>
              <w:t xml:space="preserve"> no muscle spasm</w:t>
            </w:r>
            <w:r w:rsidRPr="00606A8C">
              <w:rPr>
                <w:rFonts w:asciiTheme="minorHAnsi" w:eastAsia="Calibri" w:hAnsiTheme="minorHAnsi"/>
                <w:color w:val="auto"/>
                <w:sz w:val="18"/>
                <w:szCs w:val="22"/>
              </w:rPr>
              <w:t>;</w:t>
            </w:r>
            <w:r w:rsidR="00F34290" w:rsidRPr="00606A8C">
              <w:rPr>
                <w:rFonts w:asciiTheme="minorHAnsi" w:eastAsia="Calibri" w:hAnsiTheme="minorHAnsi"/>
                <w:color w:val="auto"/>
                <w:sz w:val="18"/>
                <w:szCs w:val="22"/>
              </w:rPr>
              <w:t xml:space="preserve"> no muscle tenderness</w:t>
            </w:r>
            <w:r w:rsidR="000C3BE7" w:rsidRPr="00606A8C">
              <w:rPr>
                <w:rFonts w:asciiTheme="minorHAnsi" w:eastAsia="Calibri" w:hAnsiTheme="minorHAnsi"/>
                <w:color w:val="auto"/>
                <w:sz w:val="18"/>
                <w:szCs w:val="22"/>
              </w:rPr>
              <w:t xml:space="preserve">; </w:t>
            </w:r>
            <w:r w:rsidR="000C3BE7" w:rsidRPr="000239B9">
              <w:rPr>
                <w:rFonts w:asciiTheme="minorHAnsi" w:eastAsia="Calibri" w:hAnsiTheme="minorHAnsi"/>
                <w:color w:val="auto"/>
                <w:sz w:val="18"/>
                <w:szCs w:val="22"/>
              </w:rPr>
              <w:t>pain begins at italicized middle number</w:t>
            </w:r>
          </w:p>
        </w:tc>
      </w:tr>
      <w:tr w:rsidR="007B2ED2" w:rsidRPr="00606A8C" w:rsidTr="00EB2D23">
        <w:trPr>
          <w:jc w:val="center"/>
        </w:trPr>
        <w:tc>
          <w:tcPr>
            <w:tcW w:w="2025" w:type="dxa"/>
          </w:tcPr>
          <w:p w:rsidR="007B2ED2" w:rsidRPr="000239B9" w:rsidRDefault="00BC7C74" w:rsidP="000239B9">
            <w:pPr>
              <w:tabs>
                <w:tab w:val="left" w:pos="288"/>
                <w:tab w:val="left" w:pos="4752"/>
              </w:tabs>
              <w:spacing w:line="200" w:lineRule="exact"/>
              <w:rPr>
                <w:rFonts w:asciiTheme="minorHAnsi" w:eastAsiaTheme="minorHAnsi" w:hAnsiTheme="minorHAnsi"/>
                <w:color w:val="auto"/>
                <w:sz w:val="18"/>
                <w:szCs w:val="22"/>
              </w:rPr>
            </w:pPr>
            <w:r w:rsidRPr="000239B9">
              <w:rPr>
                <w:rFonts w:asciiTheme="minorHAnsi" w:eastAsiaTheme="minorHAnsi" w:hAnsiTheme="minorHAnsi"/>
                <w:color w:val="auto"/>
                <w:sz w:val="18"/>
                <w:szCs w:val="22"/>
              </w:rPr>
              <w:t>2003</w:t>
            </w:r>
            <w:r w:rsidR="00396068" w:rsidRPr="000239B9">
              <w:rPr>
                <w:rFonts w:asciiTheme="minorHAnsi" w:eastAsiaTheme="minorHAnsi" w:hAnsiTheme="minorHAnsi"/>
                <w:color w:val="auto"/>
                <w:sz w:val="18"/>
                <w:szCs w:val="22"/>
              </w:rPr>
              <w:t xml:space="preserve"> </w:t>
            </w:r>
            <w:r w:rsidR="007B2ED2" w:rsidRPr="000239B9">
              <w:rPr>
                <w:rFonts w:asciiTheme="minorHAnsi" w:eastAsiaTheme="minorHAnsi" w:hAnsiTheme="minorHAnsi"/>
                <w:color w:val="auto"/>
                <w:sz w:val="18"/>
                <w:szCs w:val="22"/>
              </w:rPr>
              <w:t>§4.71a Rating</w:t>
            </w:r>
          </w:p>
        </w:tc>
        <w:tc>
          <w:tcPr>
            <w:tcW w:w="1800" w:type="dxa"/>
          </w:tcPr>
          <w:p w:rsidR="007B2ED2" w:rsidRPr="00606A8C" w:rsidRDefault="00233CEC" w:rsidP="00873443">
            <w:pPr>
              <w:tabs>
                <w:tab w:val="left" w:pos="288"/>
                <w:tab w:val="left" w:pos="4752"/>
              </w:tabs>
              <w:spacing w:line="200" w:lineRule="exact"/>
              <w:jc w:val="center"/>
              <w:rPr>
                <w:rFonts w:asciiTheme="minorHAnsi" w:eastAsiaTheme="minorHAnsi" w:hAnsiTheme="minorHAnsi"/>
                <w:color w:val="auto"/>
                <w:sz w:val="20"/>
                <w:szCs w:val="22"/>
              </w:rPr>
            </w:pPr>
            <w:r w:rsidRPr="00606A8C">
              <w:rPr>
                <w:rFonts w:asciiTheme="minorHAnsi" w:eastAsiaTheme="minorHAnsi" w:hAnsiTheme="minorHAnsi"/>
                <w:color w:val="auto"/>
                <w:sz w:val="20"/>
                <w:szCs w:val="22"/>
              </w:rPr>
              <w:t>10%</w:t>
            </w:r>
            <w:r w:rsidR="00DC26A5" w:rsidRPr="00606A8C">
              <w:rPr>
                <w:rFonts w:asciiTheme="minorHAnsi" w:eastAsiaTheme="minorHAnsi" w:hAnsiTheme="minorHAnsi"/>
                <w:color w:val="auto"/>
                <w:sz w:val="20"/>
                <w:szCs w:val="22"/>
              </w:rPr>
              <w:t>-20%</w:t>
            </w:r>
          </w:p>
        </w:tc>
        <w:tc>
          <w:tcPr>
            <w:tcW w:w="1665" w:type="dxa"/>
          </w:tcPr>
          <w:p w:rsidR="007B2ED2" w:rsidRPr="00606A8C" w:rsidRDefault="00DC26A5" w:rsidP="00873443">
            <w:pPr>
              <w:tabs>
                <w:tab w:val="left" w:pos="288"/>
                <w:tab w:val="left" w:pos="4752"/>
              </w:tabs>
              <w:spacing w:line="200" w:lineRule="exact"/>
              <w:jc w:val="center"/>
              <w:rPr>
                <w:rFonts w:asciiTheme="minorHAnsi" w:eastAsiaTheme="minorHAnsi" w:hAnsiTheme="minorHAnsi"/>
                <w:color w:val="auto"/>
                <w:sz w:val="20"/>
                <w:szCs w:val="22"/>
              </w:rPr>
            </w:pPr>
            <w:r w:rsidRPr="00606A8C">
              <w:rPr>
                <w:rFonts w:asciiTheme="minorHAnsi" w:eastAsiaTheme="minorHAnsi" w:hAnsiTheme="minorHAnsi"/>
                <w:color w:val="auto"/>
                <w:sz w:val="20"/>
                <w:szCs w:val="22"/>
              </w:rPr>
              <w:t>2</w:t>
            </w:r>
            <w:r w:rsidR="00233CEC" w:rsidRPr="00606A8C">
              <w:rPr>
                <w:rFonts w:asciiTheme="minorHAnsi" w:eastAsiaTheme="minorHAnsi" w:hAnsiTheme="minorHAnsi"/>
                <w:color w:val="auto"/>
                <w:sz w:val="20"/>
                <w:szCs w:val="22"/>
              </w:rPr>
              <w:t>0%</w:t>
            </w:r>
            <w:r w:rsidR="007B2ED2" w:rsidRPr="00606A8C">
              <w:rPr>
                <w:rFonts w:asciiTheme="minorHAnsi" w:eastAsiaTheme="minorHAnsi" w:hAnsiTheme="minorHAnsi"/>
                <w:color w:val="auto"/>
                <w:sz w:val="20"/>
                <w:szCs w:val="22"/>
              </w:rPr>
              <w:t>%</w:t>
            </w:r>
          </w:p>
        </w:tc>
        <w:tc>
          <w:tcPr>
            <w:tcW w:w="1665" w:type="dxa"/>
          </w:tcPr>
          <w:p w:rsidR="007B2ED2" w:rsidRPr="00606A8C" w:rsidRDefault="00DC26A5" w:rsidP="00873443">
            <w:pPr>
              <w:tabs>
                <w:tab w:val="left" w:pos="288"/>
                <w:tab w:val="left" w:pos="4752"/>
              </w:tabs>
              <w:spacing w:line="200" w:lineRule="exact"/>
              <w:jc w:val="center"/>
              <w:rPr>
                <w:rFonts w:asciiTheme="minorHAnsi" w:eastAsiaTheme="minorHAnsi" w:hAnsiTheme="minorHAnsi"/>
                <w:color w:val="auto"/>
                <w:sz w:val="20"/>
                <w:szCs w:val="22"/>
              </w:rPr>
            </w:pPr>
            <w:r w:rsidRPr="00606A8C">
              <w:rPr>
                <w:rFonts w:asciiTheme="minorHAnsi" w:eastAsiaTheme="minorHAnsi" w:hAnsiTheme="minorHAnsi"/>
                <w:color w:val="auto"/>
                <w:sz w:val="20"/>
                <w:szCs w:val="22"/>
              </w:rPr>
              <w:t>2</w:t>
            </w:r>
            <w:r w:rsidR="00233CEC" w:rsidRPr="00606A8C">
              <w:rPr>
                <w:rFonts w:asciiTheme="minorHAnsi" w:eastAsiaTheme="minorHAnsi" w:hAnsiTheme="minorHAnsi"/>
                <w:color w:val="auto"/>
                <w:sz w:val="20"/>
                <w:szCs w:val="22"/>
              </w:rPr>
              <w:t>0%</w:t>
            </w:r>
            <w:r w:rsidR="00180F01" w:rsidRPr="00606A8C">
              <w:rPr>
                <w:rFonts w:asciiTheme="minorHAnsi" w:eastAsiaTheme="minorHAnsi" w:hAnsiTheme="minorHAnsi"/>
                <w:color w:val="auto"/>
                <w:sz w:val="20"/>
                <w:szCs w:val="22"/>
              </w:rPr>
              <w:t xml:space="preserve"> (PEB 0%)</w:t>
            </w:r>
          </w:p>
        </w:tc>
        <w:tc>
          <w:tcPr>
            <w:tcW w:w="2115" w:type="dxa"/>
            <w:shd w:val="clear" w:color="auto" w:fill="D9D9D9" w:themeFill="background1" w:themeFillShade="D9"/>
          </w:tcPr>
          <w:p w:rsidR="007B2ED2" w:rsidRPr="00606A8C" w:rsidRDefault="000C3BE7" w:rsidP="00873443">
            <w:pPr>
              <w:tabs>
                <w:tab w:val="left" w:pos="288"/>
                <w:tab w:val="left" w:pos="4752"/>
              </w:tabs>
              <w:spacing w:line="200" w:lineRule="exact"/>
              <w:jc w:val="center"/>
              <w:rPr>
                <w:rFonts w:asciiTheme="minorHAnsi" w:eastAsiaTheme="minorHAnsi" w:hAnsiTheme="minorHAnsi"/>
                <w:i/>
                <w:color w:val="auto"/>
                <w:sz w:val="20"/>
                <w:szCs w:val="22"/>
              </w:rPr>
            </w:pPr>
            <w:r w:rsidRPr="00606A8C">
              <w:rPr>
                <w:rFonts w:asciiTheme="minorHAnsi" w:eastAsiaTheme="minorHAnsi" w:hAnsiTheme="minorHAnsi"/>
                <w:i/>
                <w:color w:val="auto"/>
                <w:sz w:val="20"/>
                <w:szCs w:val="22"/>
              </w:rPr>
              <w:t>10%</w:t>
            </w:r>
          </w:p>
        </w:tc>
      </w:tr>
      <w:tr w:rsidR="00396068" w:rsidRPr="00606A8C" w:rsidTr="00EB2D23">
        <w:trPr>
          <w:jc w:val="center"/>
        </w:trPr>
        <w:tc>
          <w:tcPr>
            <w:tcW w:w="2025" w:type="dxa"/>
          </w:tcPr>
          <w:p w:rsidR="00396068" w:rsidRPr="000239B9" w:rsidRDefault="00BC7C74" w:rsidP="000239B9">
            <w:pPr>
              <w:tabs>
                <w:tab w:val="left" w:pos="288"/>
                <w:tab w:val="left" w:pos="4752"/>
              </w:tabs>
              <w:spacing w:line="200" w:lineRule="exact"/>
              <w:rPr>
                <w:rFonts w:asciiTheme="minorHAnsi" w:eastAsiaTheme="minorHAnsi" w:hAnsiTheme="minorHAnsi"/>
                <w:color w:val="auto"/>
                <w:sz w:val="18"/>
                <w:szCs w:val="22"/>
              </w:rPr>
            </w:pPr>
            <w:r w:rsidRPr="000239B9">
              <w:rPr>
                <w:rFonts w:asciiTheme="minorHAnsi" w:eastAsiaTheme="minorHAnsi" w:hAnsiTheme="minorHAnsi"/>
                <w:color w:val="auto"/>
                <w:sz w:val="18"/>
                <w:szCs w:val="22"/>
              </w:rPr>
              <w:t xml:space="preserve">2004 </w:t>
            </w:r>
            <w:r w:rsidR="00396068" w:rsidRPr="000239B9">
              <w:rPr>
                <w:rFonts w:asciiTheme="minorHAnsi" w:eastAsiaTheme="minorHAnsi" w:hAnsiTheme="minorHAnsi"/>
                <w:color w:val="auto"/>
                <w:sz w:val="18"/>
                <w:szCs w:val="22"/>
              </w:rPr>
              <w:t>§4.71a Rating</w:t>
            </w:r>
          </w:p>
        </w:tc>
        <w:tc>
          <w:tcPr>
            <w:tcW w:w="1800" w:type="dxa"/>
            <w:shd w:val="clear" w:color="auto" w:fill="D9D9D9" w:themeFill="background1" w:themeFillShade="D9"/>
          </w:tcPr>
          <w:p w:rsidR="00396068" w:rsidRPr="000239B9" w:rsidRDefault="00BC7C74" w:rsidP="00873443">
            <w:pPr>
              <w:tabs>
                <w:tab w:val="left" w:pos="288"/>
                <w:tab w:val="left" w:pos="4752"/>
              </w:tabs>
              <w:spacing w:line="200" w:lineRule="exact"/>
              <w:jc w:val="center"/>
              <w:rPr>
                <w:rFonts w:asciiTheme="minorHAnsi" w:eastAsiaTheme="minorHAnsi" w:hAnsiTheme="minorHAnsi"/>
                <w:color w:val="auto"/>
                <w:sz w:val="20"/>
                <w:szCs w:val="22"/>
              </w:rPr>
            </w:pPr>
            <w:r w:rsidRPr="000239B9">
              <w:rPr>
                <w:rFonts w:asciiTheme="minorHAnsi" w:eastAsiaTheme="minorHAnsi" w:hAnsiTheme="minorHAnsi"/>
                <w:color w:val="auto"/>
                <w:sz w:val="20"/>
                <w:szCs w:val="22"/>
              </w:rPr>
              <w:t>20%</w:t>
            </w:r>
          </w:p>
        </w:tc>
        <w:tc>
          <w:tcPr>
            <w:tcW w:w="1665" w:type="dxa"/>
            <w:shd w:val="clear" w:color="auto" w:fill="D9D9D9" w:themeFill="background1" w:themeFillShade="D9"/>
          </w:tcPr>
          <w:p w:rsidR="00396068" w:rsidRPr="000239B9" w:rsidRDefault="000C3BE7" w:rsidP="00873443">
            <w:pPr>
              <w:tabs>
                <w:tab w:val="left" w:pos="288"/>
                <w:tab w:val="left" w:pos="4752"/>
              </w:tabs>
              <w:spacing w:line="200" w:lineRule="exact"/>
              <w:jc w:val="center"/>
              <w:rPr>
                <w:rFonts w:asciiTheme="minorHAnsi" w:eastAsiaTheme="minorHAnsi" w:hAnsiTheme="minorHAnsi"/>
                <w:color w:val="auto"/>
                <w:sz w:val="20"/>
                <w:szCs w:val="22"/>
              </w:rPr>
            </w:pPr>
            <w:r w:rsidRPr="000239B9">
              <w:rPr>
                <w:rFonts w:asciiTheme="minorHAnsi" w:eastAsiaTheme="minorHAnsi" w:hAnsiTheme="minorHAnsi"/>
                <w:color w:val="auto"/>
                <w:sz w:val="20"/>
                <w:szCs w:val="22"/>
              </w:rPr>
              <w:t>20%</w:t>
            </w:r>
          </w:p>
        </w:tc>
        <w:tc>
          <w:tcPr>
            <w:tcW w:w="1665" w:type="dxa"/>
            <w:shd w:val="clear" w:color="auto" w:fill="D9D9D9" w:themeFill="background1" w:themeFillShade="D9"/>
          </w:tcPr>
          <w:p w:rsidR="00396068" w:rsidRPr="000239B9" w:rsidRDefault="000C3BE7" w:rsidP="00873443">
            <w:pPr>
              <w:tabs>
                <w:tab w:val="left" w:pos="288"/>
                <w:tab w:val="left" w:pos="4752"/>
              </w:tabs>
              <w:spacing w:line="200" w:lineRule="exact"/>
              <w:jc w:val="center"/>
              <w:rPr>
                <w:rFonts w:asciiTheme="minorHAnsi" w:eastAsiaTheme="minorHAnsi" w:hAnsiTheme="minorHAnsi"/>
                <w:color w:val="auto"/>
                <w:sz w:val="20"/>
                <w:szCs w:val="22"/>
              </w:rPr>
            </w:pPr>
            <w:r w:rsidRPr="000239B9">
              <w:rPr>
                <w:rFonts w:asciiTheme="minorHAnsi" w:eastAsiaTheme="minorHAnsi" w:hAnsiTheme="minorHAnsi"/>
                <w:color w:val="auto"/>
                <w:sz w:val="20"/>
                <w:szCs w:val="22"/>
              </w:rPr>
              <w:t>20%</w:t>
            </w:r>
          </w:p>
        </w:tc>
        <w:tc>
          <w:tcPr>
            <w:tcW w:w="2115" w:type="dxa"/>
          </w:tcPr>
          <w:p w:rsidR="00396068" w:rsidRPr="00606A8C" w:rsidRDefault="00396068" w:rsidP="00873443">
            <w:pPr>
              <w:tabs>
                <w:tab w:val="left" w:pos="288"/>
                <w:tab w:val="left" w:pos="4752"/>
              </w:tabs>
              <w:spacing w:line="200" w:lineRule="exact"/>
              <w:jc w:val="center"/>
              <w:rPr>
                <w:rFonts w:asciiTheme="minorHAnsi" w:eastAsiaTheme="minorHAnsi" w:hAnsiTheme="minorHAnsi"/>
                <w:color w:val="auto"/>
                <w:sz w:val="20"/>
                <w:szCs w:val="22"/>
              </w:rPr>
            </w:pPr>
            <w:r w:rsidRPr="00606A8C">
              <w:rPr>
                <w:rFonts w:asciiTheme="minorHAnsi" w:eastAsiaTheme="minorHAnsi" w:hAnsiTheme="minorHAnsi"/>
                <w:color w:val="auto"/>
                <w:sz w:val="20"/>
                <w:szCs w:val="22"/>
              </w:rPr>
              <w:t>10%</w:t>
            </w:r>
            <w:r w:rsidR="000C3BE7" w:rsidRPr="00606A8C">
              <w:rPr>
                <w:rFonts w:asciiTheme="minorHAnsi" w:eastAsiaTheme="minorHAnsi" w:hAnsiTheme="minorHAnsi"/>
                <w:color w:val="auto"/>
                <w:sz w:val="20"/>
                <w:szCs w:val="22"/>
              </w:rPr>
              <w:t xml:space="preserve"> (VA 10%)</w:t>
            </w:r>
          </w:p>
        </w:tc>
      </w:tr>
    </w:tbl>
    <w:p w:rsidR="007B2ED2" w:rsidRPr="00606A8C" w:rsidRDefault="007B2ED2" w:rsidP="00A67B85">
      <w:pPr>
        <w:tabs>
          <w:tab w:val="left" w:pos="288"/>
          <w:tab w:val="left" w:pos="4752"/>
        </w:tabs>
        <w:spacing w:line="240" w:lineRule="exact"/>
        <w:jc w:val="both"/>
        <w:rPr>
          <w:rFonts w:ascii="Calibri" w:hAnsi="Calibri"/>
          <w:color w:val="auto"/>
          <w:szCs w:val="24"/>
        </w:rPr>
      </w:pPr>
    </w:p>
    <w:p w:rsidR="00CB56C8" w:rsidRPr="00606A8C" w:rsidRDefault="00E658D0" w:rsidP="00654C53">
      <w:pPr>
        <w:tabs>
          <w:tab w:val="left" w:pos="288"/>
          <w:tab w:val="left" w:pos="4752"/>
        </w:tabs>
        <w:spacing w:line="240" w:lineRule="exact"/>
        <w:jc w:val="both"/>
        <w:rPr>
          <w:rFonts w:asciiTheme="minorHAnsi" w:eastAsia="Calibri" w:hAnsiTheme="minorHAnsi"/>
          <w:color w:val="auto"/>
          <w:szCs w:val="24"/>
        </w:rPr>
      </w:pPr>
      <w:r w:rsidRPr="00606A8C">
        <w:rPr>
          <w:rFonts w:asciiTheme="minorHAnsi" w:hAnsiTheme="minorHAnsi"/>
          <w:color w:val="auto"/>
          <w:szCs w:val="24"/>
        </w:rPr>
        <w:t xml:space="preserve">The CI was seen by </w:t>
      </w:r>
      <w:r w:rsidR="000239B9">
        <w:rPr>
          <w:rFonts w:asciiTheme="minorHAnsi" w:hAnsiTheme="minorHAnsi"/>
          <w:color w:val="auto"/>
          <w:szCs w:val="24"/>
        </w:rPr>
        <w:t>n</w:t>
      </w:r>
      <w:r w:rsidRPr="00606A8C">
        <w:rPr>
          <w:rFonts w:asciiTheme="minorHAnsi" w:hAnsiTheme="minorHAnsi"/>
          <w:color w:val="auto"/>
          <w:szCs w:val="24"/>
        </w:rPr>
        <w:t>eurosurgery six months prior to separation</w:t>
      </w:r>
      <w:r w:rsidR="000239B9">
        <w:rPr>
          <w:rFonts w:asciiTheme="minorHAnsi" w:hAnsiTheme="minorHAnsi"/>
          <w:color w:val="auto"/>
          <w:szCs w:val="24"/>
        </w:rPr>
        <w:t>,</w:t>
      </w:r>
      <w:r w:rsidR="00EA3852" w:rsidRPr="00606A8C">
        <w:rPr>
          <w:rFonts w:asciiTheme="minorHAnsi" w:hAnsiTheme="minorHAnsi"/>
          <w:color w:val="auto"/>
          <w:szCs w:val="24"/>
        </w:rPr>
        <w:t xml:space="preserve"> </w:t>
      </w:r>
      <w:r w:rsidRPr="00606A8C">
        <w:rPr>
          <w:rFonts w:asciiTheme="minorHAnsi" w:eastAsia="Calibri" w:hAnsiTheme="minorHAnsi"/>
          <w:color w:val="auto"/>
          <w:szCs w:val="24"/>
        </w:rPr>
        <w:t xml:space="preserve">and at the </w:t>
      </w:r>
      <w:r w:rsidR="00654C53" w:rsidRPr="00606A8C">
        <w:rPr>
          <w:rFonts w:asciiTheme="minorHAnsi" w:eastAsia="Calibri" w:hAnsiTheme="minorHAnsi"/>
          <w:color w:val="auto"/>
          <w:szCs w:val="24"/>
        </w:rPr>
        <w:t>time</w:t>
      </w:r>
      <w:r w:rsidRPr="00606A8C">
        <w:rPr>
          <w:rFonts w:asciiTheme="minorHAnsi" w:eastAsia="Calibri" w:hAnsiTheme="minorHAnsi"/>
          <w:color w:val="auto"/>
          <w:szCs w:val="24"/>
        </w:rPr>
        <w:t xml:space="preserve"> the CI complained of back pain radiating into the left leg more that the right leg</w:t>
      </w:r>
      <w:r w:rsidR="00C01D58">
        <w:rPr>
          <w:rFonts w:asciiTheme="minorHAnsi" w:eastAsia="Calibri" w:hAnsiTheme="minorHAnsi"/>
          <w:color w:val="auto"/>
          <w:szCs w:val="24"/>
        </w:rPr>
        <w:t>,</w:t>
      </w:r>
      <w:r w:rsidRPr="00606A8C">
        <w:rPr>
          <w:rFonts w:asciiTheme="minorHAnsi" w:eastAsia="Calibri" w:hAnsiTheme="minorHAnsi"/>
          <w:color w:val="auto"/>
          <w:szCs w:val="24"/>
        </w:rPr>
        <w:t xml:space="preserve"> along with </w:t>
      </w:r>
      <w:r w:rsidR="00654C53" w:rsidRPr="00606A8C">
        <w:rPr>
          <w:rFonts w:asciiTheme="minorHAnsi" w:eastAsia="Calibri" w:hAnsiTheme="minorHAnsi"/>
          <w:color w:val="auto"/>
          <w:szCs w:val="24"/>
        </w:rPr>
        <w:t>some variable</w:t>
      </w:r>
      <w:r w:rsidRPr="00606A8C">
        <w:rPr>
          <w:rFonts w:asciiTheme="minorHAnsi" w:eastAsia="Calibri" w:hAnsiTheme="minorHAnsi"/>
          <w:color w:val="auto"/>
          <w:szCs w:val="24"/>
        </w:rPr>
        <w:t xml:space="preserve"> numbness in the left big toes an</w:t>
      </w:r>
      <w:r w:rsidR="00E71F84" w:rsidRPr="00606A8C">
        <w:rPr>
          <w:rFonts w:asciiTheme="minorHAnsi" w:eastAsia="Calibri" w:hAnsiTheme="minorHAnsi"/>
          <w:color w:val="auto"/>
          <w:szCs w:val="24"/>
        </w:rPr>
        <w:t>d more pain with forward bending</w:t>
      </w:r>
      <w:r w:rsidRPr="00606A8C">
        <w:rPr>
          <w:rFonts w:asciiTheme="minorHAnsi" w:eastAsia="Calibri" w:hAnsiTheme="minorHAnsi"/>
          <w:color w:val="auto"/>
          <w:szCs w:val="24"/>
        </w:rPr>
        <w:t>.</w:t>
      </w:r>
      <w:r w:rsidR="00E71F84" w:rsidRPr="00606A8C">
        <w:rPr>
          <w:rFonts w:asciiTheme="minorHAnsi" w:eastAsia="Calibri" w:hAnsiTheme="minorHAnsi"/>
          <w:color w:val="auto"/>
          <w:szCs w:val="24"/>
        </w:rPr>
        <w:t xml:space="preserve"> </w:t>
      </w:r>
      <w:r w:rsidR="00654C53" w:rsidRPr="00606A8C">
        <w:rPr>
          <w:rFonts w:asciiTheme="minorHAnsi" w:eastAsia="Calibri" w:hAnsiTheme="minorHAnsi"/>
          <w:color w:val="auto"/>
          <w:szCs w:val="24"/>
        </w:rPr>
        <w:t xml:space="preserve"> </w:t>
      </w:r>
      <w:r w:rsidR="00E71F84" w:rsidRPr="00606A8C">
        <w:rPr>
          <w:rFonts w:asciiTheme="minorHAnsi" w:eastAsia="Calibri" w:hAnsiTheme="minorHAnsi"/>
          <w:color w:val="auto"/>
          <w:szCs w:val="24"/>
        </w:rPr>
        <w:t>On physical exam the back was non</w:t>
      </w:r>
      <w:r w:rsidR="00C01D58">
        <w:rPr>
          <w:rFonts w:asciiTheme="minorHAnsi" w:eastAsia="Calibri" w:hAnsiTheme="minorHAnsi"/>
          <w:color w:val="auto"/>
          <w:szCs w:val="24"/>
        </w:rPr>
        <w:t>-</w:t>
      </w:r>
      <w:r w:rsidR="00E71F84" w:rsidRPr="00606A8C">
        <w:rPr>
          <w:rFonts w:asciiTheme="minorHAnsi" w:eastAsia="Calibri" w:hAnsiTheme="minorHAnsi"/>
          <w:color w:val="auto"/>
          <w:szCs w:val="24"/>
        </w:rPr>
        <w:t>tender with no muscle spasms and straight leg raising</w:t>
      </w:r>
      <w:r w:rsidR="000239B9">
        <w:rPr>
          <w:rFonts w:asciiTheme="minorHAnsi" w:eastAsia="Calibri" w:hAnsiTheme="minorHAnsi"/>
          <w:color w:val="auto"/>
          <w:szCs w:val="24"/>
        </w:rPr>
        <w:t xml:space="preserve"> (SLR)</w:t>
      </w:r>
      <w:r w:rsidR="00E71F84" w:rsidRPr="00606A8C">
        <w:rPr>
          <w:rFonts w:asciiTheme="minorHAnsi" w:eastAsia="Calibri" w:hAnsiTheme="minorHAnsi"/>
          <w:color w:val="auto"/>
          <w:szCs w:val="24"/>
        </w:rPr>
        <w:t xml:space="preserve"> was negative except for back pain</w:t>
      </w:r>
      <w:r w:rsidR="00EF6A98" w:rsidRPr="00606A8C">
        <w:rPr>
          <w:rFonts w:asciiTheme="minorHAnsi" w:eastAsia="Calibri" w:hAnsiTheme="minorHAnsi"/>
          <w:color w:val="auto"/>
          <w:szCs w:val="24"/>
        </w:rPr>
        <w:t>.  The examiner stated that the CI should continue with conservative therapy and agreed with physica</w:t>
      </w:r>
      <w:r w:rsidR="00233CEC" w:rsidRPr="00606A8C">
        <w:rPr>
          <w:rFonts w:asciiTheme="minorHAnsi" w:eastAsia="Calibri" w:hAnsiTheme="minorHAnsi"/>
          <w:color w:val="auto"/>
          <w:szCs w:val="24"/>
        </w:rPr>
        <w:t>l therapy and limited activity.</w:t>
      </w:r>
      <w:r w:rsidR="00BC7C74" w:rsidRPr="00606A8C">
        <w:rPr>
          <w:rFonts w:asciiTheme="minorHAnsi" w:eastAsia="Calibri" w:hAnsiTheme="minorHAnsi"/>
          <w:color w:val="auto"/>
          <w:szCs w:val="24"/>
        </w:rPr>
        <w:t xml:space="preserve">  </w:t>
      </w:r>
      <w:r w:rsidR="00057F9E" w:rsidRPr="00606A8C">
        <w:rPr>
          <w:rFonts w:asciiTheme="minorHAnsi" w:eastAsia="Calibri" w:hAnsiTheme="minorHAnsi"/>
          <w:color w:val="auto"/>
          <w:szCs w:val="24"/>
        </w:rPr>
        <w:t xml:space="preserve">MRI indicated L5/S1 </w:t>
      </w:r>
      <w:proofErr w:type="spellStart"/>
      <w:r w:rsidR="00057F9E" w:rsidRPr="00606A8C">
        <w:rPr>
          <w:rFonts w:asciiTheme="minorHAnsi" w:eastAsia="Calibri" w:hAnsiTheme="minorHAnsi"/>
          <w:color w:val="auto"/>
          <w:szCs w:val="24"/>
        </w:rPr>
        <w:t>spondlyloarthrophy</w:t>
      </w:r>
      <w:proofErr w:type="spellEnd"/>
      <w:r w:rsidR="00057F9E" w:rsidRPr="00606A8C">
        <w:rPr>
          <w:rFonts w:asciiTheme="minorHAnsi" w:eastAsia="Calibri" w:hAnsiTheme="minorHAnsi"/>
          <w:color w:val="auto"/>
          <w:szCs w:val="24"/>
        </w:rPr>
        <w:t xml:space="preserve"> with mild to moderate neural foraminal narrowing</w:t>
      </w:r>
      <w:r w:rsidR="00245FA0" w:rsidRPr="00606A8C">
        <w:rPr>
          <w:rFonts w:asciiTheme="minorHAnsi" w:eastAsia="Calibri" w:hAnsiTheme="minorHAnsi"/>
          <w:color w:val="auto"/>
          <w:szCs w:val="24"/>
        </w:rPr>
        <w:t xml:space="preserve"> and mild central canal stenosis.  </w:t>
      </w:r>
      <w:r w:rsidR="00CB33C7" w:rsidRPr="00606A8C">
        <w:rPr>
          <w:rFonts w:asciiTheme="minorHAnsi" w:eastAsia="Calibri" w:hAnsiTheme="minorHAnsi"/>
          <w:color w:val="auto"/>
          <w:szCs w:val="24"/>
        </w:rPr>
        <w:t xml:space="preserve">There was no vertebral fracture.  The </w:t>
      </w:r>
      <w:r w:rsidR="000239B9">
        <w:rPr>
          <w:rFonts w:asciiTheme="minorHAnsi" w:eastAsia="Calibri" w:hAnsiTheme="minorHAnsi"/>
          <w:color w:val="auto"/>
          <w:szCs w:val="24"/>
        </w:rPr>
        <w:t xml:space="preserve">8 October </w:t>
      </w:r>
      <w:r w:rsidR="00CB33C7" w:rsidRPr="00606A8C">
        <w:rPr>
          <w:rFonts w:asciiTheme="minorHAnsi" w:eastAsia="Calibri" w:hAnsiTheme="minorHAnsi"/>
          <w:color w:val="auto"/>
          <w:szCs w:val="24"/>
        </w:rPr>
        <w:t xml:space="preserve">2002 MRI consult indicated loss of bowel control and lower extremity weakness which were subsequently fully resolved and not documented closer to the time of separation.  </w:t>
      </w:r>
      <w:r w:rsidR="00EF6A98" w:rsidRPr="00606A8C">
        <w:rPr>
          <w:rFonts w:asciiTheme="minorHAnsi" w:eastAsia="Calibri" w:hAnsiTheme="minorHAnsi"/>
          <w:color w:val="auto"/>
          <w:szCs w:val="24"/>
        </w:rPr>
        <w:t xml:space="preserve">The PT exam six months prior to </w:t>
      </w:r>
      <w:r w:rsidR="00654C53" w:rsidRPr="00606A8C">
        <w:rPr>
          <w:rFonts w:asciiTheme="minorHAnsi" w:eastAsia="Calibri" w:hAnsiTheme="minorHAnsi"/>
          <w:color w:val="auto"/>
          <w:szCs w:val="24"/>
        </w:rPr>
        <w:t>separation</w:t>
      </w:r>
      <w:r w:rsidR="00654C53" w:rsidRPr="00606A8C">
        <w:rPr>
          <w:rFonts w:asciiTheme="minorHAnsi" w:eastAsia="Calibri" w:hAnsiTheme="minorHAnsi"/>
          <w:i/>
          <w:color w:val="auto"/>
          <w:sz w:val="18"/>
          <w:szCs w:val="18"/>
        </w:rPr>
        <w:t xml:space="preserve"> </w:t>
      </w:r>
      <w:r w:rsidR="00EF6A98" w:rsidRPr="00606A8C">
        <w:rPr>
          <w:rFonts w:asciiTheme="minorHAnsi" w:eastAsia="Calibri" w:hAnsiTheme="minorHAnsi"/>
          <w:color w:val="auto"/>
          <w:szCs w:val="24"/>
        </w:rPr>
        <w:t>documented that the CI continued to complain of low back pain 4-8/10</w:t>
      </w:r>
      <w:r w:rsidR="000239B9">
        <w:rPr>
          <w:rFonts w:asciiTheme="minorHAnsi" w:eastAsia="Calibri" w:hAnsiTheme="minorHAnsi"/>
          <w:color w:val="auto"/>
          <w:szCs w:val="24"/>
        </w:rPr>
        <w:t>,</w:t>
      </w:r>
      <w:r w:rsidR="00EF6A98" w:rsidRPr="00606A8C">
        <w:rPr>
          <w:rFonts w:asciiTheme="minorHAnsi" w:eastAsia="Calibri" w:hAnsiTheme="minorHAnsi"/>
          <w:color w:val="auto"/>
          <w:szCs w:val="24"/>
        </w:rPr>
        <w:t xml:space="preserve"> with 10 being the worst</w:t>
      </w:r>
      <w:r w:rsidR="00BC7C74" w:rsidRPr="00606A8C">
        <w:rPr>
          <w:rFonts w:asciiTheme="minorHAnsi" w:eastAsia="Calibri" w:hAnsiTheme="minorHAnsi"/>
          <w:color w:val="auto"/>
          <w:szCs w:val="24"/>
        </w:rPr>
        <w:t>,</w:t>
      </w:r>
      <w:r w:rsidR="00EF6A98" w:rsidRPr="00606A8C">
        <w:rPr>
          <w:rFonts w:asciiTheme="minorHAnsi" w:eastAsia="Calibri" w:hAnsiTheme="minorHAnsi"/>
          <w:color w:val="auto"/>
          <w:szCs w:val="24"/>
        </w:rPr>
        <w:t xml:space="preserve"> along with intermittent </w:t>
      </w:r>
      <w:r w:rsidR="00654C53" w:rsidRPr="00606A8C">
        <w:rPr>
          <w:rFonts w:asciiTheme="minorHAnsi" w:eastAsia="Calibri" w:hAnsiTheme="minorHAnsi"/>
          <w:color w:val="auto"/>
          <w:szCs w:val="24"/>
        </w:rPr>
        <w:t>bilateral</w:t>
      </w:r>
      <w:r w:rsidR="00EF6A98" w:rsidRPr="00606A8C">
        <w:rPr>
          <w:rFonts w:asciiTheme="minorHAnsi" w:eastAsia="Calibri" w:hAnsiTheme="minorHAnsi"/>
          <w:color w:val="auto"/>
          <w:szCs w:val="24"/>
        </w:rPr>
        <w:t xml:space="preserve"> </w:t>
      </w:r>
      <w:r w:rsidR="00654C53" w:rsidRPr="00606A8C">
        <w:rPr>
          <w:rFonts w:asciiTheme="minorHAnsi" w:eastAsia="Calibri" w:hAnsiTheme="minorHAnsi"/>
          <w:color w:val="auto"/>
          <w:szCs w:val="24"/>
        </w:rPr>
        <w:t>radicular symptoms</w:t>
      </w:r>
      <w:r w:rsidR="00EF6A98" w:rsidRPr="00606A8C">
        <w:rPr>
          <w:rFonts w:asciiTheme="minorHAnsi" w:eastAsia="Calibri" w:hAnsiTheme="minorHAnsi"/>
          <w:color w:val="auto"/>
          <w:szCs w:val="24"/>
        </w:rPr>
        <w:t xml:space="preserve"> occurring one time per week and lasting twenty minutes to </w:t>
      </w:r>
      <w:r w:rsidR="00654C53" w:rsidRPr="00606A8C">
        <w:rPr>
          <w:rFonts w:asciiTheme="minorHAnsi" w:eastAsia="Calibri" w:hAnsiTheme="minorHAnsi"/>
          <w:color w:val="auto"/>
          <w:szCs w:val="24"/>
        </w:rPr>
        <w:t>two hours</w:t>
      </w:r>
      <w:r w:rsidR="000239B9">
        <w:rPr>
          <w:rFonts w:asciiTheme="minorHAnsi" w:eastAsia="Calibri" w:hAnsiTheme="minorHAnsi"/>
          <w:color w:val="auto"/>
          <w:szCs w:val="24"/>
        </w:rPr>
        <w:t>,</w:t>
      </w:r>
      <w:r w:rsidR="00EF6A98" w:rsidRPr="00606A8C">
        <w:rPr>
          <w:rFonts w:asciiTheme="minorHAnsi" w:eastAsia="Calibri" w:hAnsiTheme="minorHAnsi"/>
          <w:color w:val="auto"/>
          <w:szCs w:val="24"/>
        </w:rPr>
        <w:t xml:space="preserve"> each bout.  The physical examination noted findings of </w:t>
      </w:r>
      <w:r w:rsidR="00654C53" w:rsidRPr="00606A8C">
        <w:rPr>
          <w:rFonts w:asciiTheme="minorHAnsi" w:eastAsia="Calibri" w:hAnsiTheme="minorHAnsi"/>
          <w:color w:val="auto"/>
          <w:szCs w:val="24"/>
        </w:rPr>
        <w:t xml:space="preserve">a </w:t>
      </w:r>
      <w:r w:rsidR="00BC7C74" w:rsidRPr="00606A8C">
        <w:rPr>
          <w:rFonts w:asciiTheme="minorHAnsi" w:eastAsia="Calibri" w:hAnsiTheme="minorHAnsi"/>
          <w:color w:val="auto"/>
          <w:szCs w:val="24"/>
        </w:rPr>
        <w:t>“</w:t>
      </w:r>
      <w:r w:rsidR="00654C53" w:rsidRPr="00606A8C">
        <w:rPr>
          <w:rFonts w:asciiTheme="minorHAnsi" w:eastAsia="Calibri" w:hAnsiTheme="minorHAnsi"/>
          <w:color w:val="auto"/>
          <w:szCs w:val="24"/>
        </w:rPr>
        <w:t>50%</w:t>
      </w:r>
      <w:r w:rsidR="00CB56C8" w:rsidRPr="00606A8C">
        <w:rPr>
          <w:rFonts w:asciiTheme="minorHAnsi" w:eastAsia="Calibri" w:hAnsiTheme="minorHAnsi"/>
          <w:color w:val="auto"/>
          <w:szCs w:val="24"/>
        </w:rPr>
        <w:t xml:space="preserve"> limitation in all planes with motion beyond that causes pain</w:t>
      </w:r>
      <w:r w:rsidR="000239B9">
        <w:rPr>
          <w:rFonts w:asciiTheme="minorHAnsi" w:eastAsia="Calibri" w:hAnsiTheme="minorHAnsi"/>
          <w:color w:val="auto"/>
          <w:szCs w:val="24"/>
        </w:rPr>
        <w:t>,</w:t>
      </w:r>
      <w:r w:rsidR="00BC7C74" w:rsidRPr="00606A8C">
        <w:rPr>
          <w:rFonts w:asciiTheme="minorHAnsi" w:eastAsia="Calibri" w:hAnsiTheme="minorHAnsi"/>
          <w:color w:val="auto"/>
          <w:szCs w:val="24"/>
        </w:rPr>
        <w:t>”</w:t>
      </w:r>
      <w:r w:rsidR="00CB56C8" w:rsidRPr="00606A8C">
        <w:rPr>
          <w:rFonts w:asciiTheme="minorHAnsi" w:eastAsia="Calibri" w:hAnsiTheme="minorHAnsi"/>
          <w:color w:val="auto"/>
          <w:szCs w:val="24"/>
        </w:rPr>
        <w:t xml:space="preserve"> brisk and symmetric reflexes at ankles and knees and hamstring tightness on </w:t>
      </w:r>
      <w:r w:rsidR="00B67DBC" w:rsidRPr="00606A8C">
        <w:rPr>
          <w:rFonts w:asciiTheme="minorHAnsi" w:eastAsia="Calibri" w:hAnsiTheme="minorHAnsi"/>
          <w:color w:val="auto"/>
          <w:szCs w:val="24"/>
        </w:rPr>
        <w:t>SLR</w:t>
      </w:r>
      <w:r w:rsidR="00CB56C8" w:rsidRPr="00606A8C">
        <w:rPr>
          <w:rFonts w:asciiTheme="minorHAnsi" w:eastAsia="Calibri" w:hAnsiTheme="minorHAnsi"/>
          <w:color w:val="auto"/>
          <w:szCs w:val="24"/>
        </w:rPr>
        <w:t xml:space="preserve">.  The examiner recommended </w:t>
      </w:r>
      <w:r w:rsidR="00CB56C8" w:rsidRPr="00606A8C">
        <w:rPr>
          <w:rFonts w:asciiTheme="minorHAnsi" w:eastAsia="Calibri" w:hAnsiTheme="minorHAnsi"/>
          <w:color w:val="auto"/>
          <w:szCs w:val="24"/>
        </w:rPr>
        <w:lastRenderedPageBreak/>
        <w:t>LIMDU, and continuation of NSAID medication.</w:t>
      </w:r>
      <w:r w:rsidR="000C3BE7" w:rsidRPr="00606A8C">
        <w:rPr>
          <w:rFonts w:asciiTheme="minorHAnsi" w:eastAsia="Calibri" w:hAnsiTheme="minorHAnsi"/>
          <w:color w:val="auto"/>
          <w:szCs w:val="24"/>
        </w:rPr>
        <w:t xml:space="preserve">  </w:t>
      </w:r>
      <w:r w:rsidR="00CB56C8" w:rsidRPr="00606A8C">
        <w:rPr>
          <w:rFonts w:asciiTheme="minorHAnsi" w:eastAsia="Calibri" w:hAnsiTheme="minorHAnsi"/>
          <w:color w:val="auto"/>
          <w:szCs w:val="24"/>
        </w:rPr>
        <w:t>The MEB examination three months prior to separation documented that the CI had no desire to remain on active duty and continued to complain of intermittent back pain that was 8/10</w:t>
      </w:r>
      <w:r w:rsidR="000239B9">
        <w:rPr>
          <w:rFonts w:asciiTheme="minorHAnsi" w:eastAsia="Calibri" w:hAnsiTheme="minorHAnsi"/>
          <w:color w:val="auto"/>
          <w:szCs w:val="24"/>
        </w:rPr>
        <w:t>,</w:t>
      </w:r>
      <w:r w:rsidR="00CB56C8" w:rsidRPr="00606A8C">
        <w:rPr>
          <w:rFonts w:asciiTheme="minorHAnsi" w:eastAsia="Calibri" w:hAnsiTheme="minorHAnsi"/>
          <w:color w:val="auto"/>
          <w:szCs w:val="24"/>
        </w:rPr>
        <w:t xml:space="preserve"> with </w:t>
      </w:r>
      <w:r w:rsidR="00B67DBC" w:rsidRPr="00606A8C">
        <w:rPr>
          <w:rFonts w:asciiTheme="minorHAnsi" w:eastAsia="Calibri" w:hAnsiTheme="minorHAnsi"/>
          <w:color w:val="auto"/>
          <w:szCs w:val="24"/>
        </w:rPr>
        <w:t>radicular type symptoms radiating down either side of the left or right leg.</w:t>
      </w:r>
      <w:r w:rsidR="007047E9">
        <w:rPr>
          <w:rFonts w:asciiTheme="minorHAnsi" w:eastAsia="Calibri" w:hAnsiTheme="minorHAnsi"/>
          <w:color w:val="auto"/>
          <w:szCs w:val="24"/>
        </w:rPr>
        <w:t xml:space="preserve"> </w:t>
      </w:r>
      <w:r w:rsidR="00B67DBC" w:rsidRPr="00606A8C">
        <w:rPr>
          <w:rFonts w:asciiTheme="minorHAnsi" w:eastAsia="Calibri" w:hAnsiTheme="minorHAnsi"/>
          <w:color w:val="auto"/>
          <w:szCs w:val="24"/>
        </w:rPr>
        <w:t xml:space="preserve"> Physic</w:t>
      </w:r>
      <w:r w:rsidR="00CD403F" w:rsidRPr="00606A8C">
        <w:rPr>
          <w:rFonts w:asciiTheme="minorHAnsi" w:eastAsia="Calibri" w:hAnsiTheme="minorHAnsi"/>
          <w:color w:val="auto"/>
          <w:szCs w:val="24"/>
        </w:rPr>
        <w:t>al</w:t>
      </w:r>
      <w:r w:rsidR="00B67DBC" w:rsidRPr="00606A8C">
        <w:rPr>
          <w:rFonts w:asciiTheme="minorHAnsi" w:eastAsia="Calibri" w:hAnsiTheme="minorHAnsi"/>
          <w:color w:val="auto"/>
          <w:szCs w:val="24"/>
        </w:rPr>
        <w:t xml:space="preserve"> examination findings were SLR caused mild back discomfort at approximately 75 degrees elevation and </w:t>
      </w:r>
      <w:r w:rsidR="00BC7C74" w:rsidRPr="00606A8C">
        <w:rPr>
          <w:rFonts w:asciiTheme="minorHAnsi" w:eastAsia="Calibri" w:hAnsiTheme="minorHAnsi"/>
          <w:color w:val="auto"/>
          <w:szCs w:val="24"/>
        </w:rPr>
        <w:t>“</w:t>
      </w:r>
      <w:r w:rsidR="00B67DBC" w:rsidRPr="00606A8C">
        <w:rPr>
          <w:rFonts w:asciiTheme="minorHAnsi" w:eastAsia="Calibri" w:hAnsiTheme="minorHAnsi"/>
          <w:color w:val="auto"/>
          <w:szCs w:val="24"/>
        </w:rPr>
        <w:t>bending was reduced by 50% in all planes.</w:t>
      </w:r>
      <w:r w:rsidR="00BC7C74" w:rsidRPr="00606A8C">
        <w:rPr>
          <w:rFonts w:asciiTheme="minorHAnsi" w:eastAsia="Calibri" w:hAnsiTheme="minorHAnsi"/>
          <w:color w:val="auto"/>
          <w:szCs w:val="24"/>
        </w:rPr>
        <w:t>”</w:t>
      </w:r>
      <w:r w:rsidR="00B67DBC" w:rsidRPr="00606A8C">
        <w:rPr>
          <w:rFonts w:asciiTheme="minorHAnsi" w:eastAsia="Calibri" w:hAnsiTheme="minorHAnsi"/>
          <w:color w:val="auto"/>
          <w:szCs w:val="24"/>
        </w:rPr>
        <w:t xml:space="preserve">  The examiner opined that the CI would likely continue with back pain which would worsen over time.</w:t>
      </w:r>
      <w:r w:rsidR="00CB33C7" w:rsidRPr="00606A8C">
        <w:rPr>
          <w:rFonts w:asciiTheme="minorHAnsi" w:eastAsia="Calibri" w:hAnsiTheme="minorHAnsi"/>
          <w:color w:val="auto"/>
          <w:szCs w:val="24"/>
        </w:rPr>
        <w:t xml:space="preserve">  No periods of</w:t>
      </w:r>
      <w:r w:rsidR="00606A8C" w:rsidRPr="00606A8C">
        <w:rPr>
          <w:rFonts w:asciiTheme="minorHAnsi" w:eastAsia="Calibri" w:hAnsiTheme="minorHAnsi"/>
          <w:color w:val="auto"/>
          <w:szCs w:val="24"/>
        </w:rPr>
        <w:t xml:space="preserve"> incapacitation were recorded.</w:t>
      </w:r>
    </w:p>
    <w:p w:rsidR="00EF6A98" w:rsidRPr="00606A8C" w:rsidRDefault="00EF6A98" w:rsidP="00654C53">
      <w:pPr>
        <w:tabs>
          <w:tab w:val="left" w:pos="288"/>
          <w:tab w:val="left" w:pos="4752"/>
        </w:tabs>
        <w:spacing w:line="240" w:lineRule="exact"/>
        <w:jc w:val="both"/>
        <w:rPr>
          <w:rFonts w:asciiTheme="minorHAnsi" w:eastAsia="Calibri" w:hAnsiTheme="minorHAnsi"/>
          <w:color w:val="auto"/>
          <w:szCs w:val="24"/>
        </w:rPr>
      </w:pPr>
    </w:p>
    <w:p w:rsidR="00EF6A98" w:rsidRPr="00606A8C" w:rsidRDefault="00B67DBC" w:rsidP="00654C53">
      <w:pPr>
        <w:tabs>
          <w:tab w:val="left" w:pos="288"/>
          <w:tab w:val="left" w:pos="4752"/>
        </w:tabs>
        <w:spacing w:line="240" w:lineRule="exact"/>
        <w:jc w:val="both"/>
        <w:rPr>
          <w:rFonts w:asciiTheme="minorHAnsi" w:eastAsia="Calibri" w:hAnsiTheme="minorHAnsi"/>
          <w:color w:val="auto"/>
          <w:szCs w:val="24"/>
        </w:rPr>
      </w:pPr>
      <w:r w:rsidRPr="00606A8C">
        <w:rPr>
          <w:rFonts w:asciiTheme="minorHAnsi" w:eastAsia="Calibri" w:hAnsiTheme="minorHAnsi"/>
          <w:color w:val="auto"/>
          <w:szCs w:val="24"/>
        </w:rPr>
        <w:t xml:space="preserve">At the VA </w:t>
      </w:r>
      <w:r w:rsidR="000239B9">
        <w:rPr>
          <w:rFonts w:asciiTheme="minorHAnsi" w:eastAsia="Calibri" w:hAnsiTheme="minorHAnsi"/>
          <w:color w:val="auto"/>
          <w:szCs w:val="24"/>
        </w:rPr>
        <w:t>c</w:t>
      </w:r>
      <w:r w:rsidRPr="00606A8C">
        <w:rPr>
          <w:rFonts w:asciiTheme="minorHAnsi" w:eastAsia="Calibri" w:hAnsiTheme="minorHAnsi"/>
          <w:color w:val="auto"/>
          <w:szCs w:val="24"/>
        </w:rPr>
        <w:t xml:space="preserve">ompensation </w:t>
      </w:r>
      <w:r w:rsidR="000239B9">
        <w:rPr>
          <w:rFonts w:asciiTheme="minorHAnsi" w:eastAsia="Calibri" w:hAnsiTheme="minorHAnsi"/>
          <w:color w:val="auto"/>
          <w:szCs w:val="24"/>
        </w:rPr>
        <w:t>and</w:t>
      </w:r>
      <w:r w:rsidRPr="00606A8C">
        <w:rPr>
          <w:rFonts w:asciiTheme="minorHAnsi" w:eastAsia="Calibri" w:hAnsiTheme="minorHAnsi"/>
          <w:color w:val="auto"/>
          <w:szCs w:val="24"/>
        </w:rPr>
        <w:t xml:space="preserve"> </w:t>
      </w:r>
      <w:r w:rsidR="000239B9">
        <w:rPr>
          <w:rFonts w:asciiTheme="minorHAnsi" w:eastAsia="Calibri" w:hAnsiTheme="minorHAnsi"/>
          <w:color w:val="auto"/>
          <w:szCs w:val="24"/>
        </w:rPr>
        <w:t>p</w:t>
      </w:r>
      <w:r w:rsidRPr="00606A8C">
        <w:rPr>
          <w:rFonts w:asciiTheme="minorHAnsi" w:eastAsia="Calibri" w:hAnsiTheme="minorHAnsi"/>
          <w:color w:val="auto"/>
          <w:szCs w:val="24"/>
        </w:rPr>
        <w:t xml:space="preserve">ension examination seven months after </w:t>
      </w:r>
      <w:r w:rsidR="00654C53" w:rsidRPr="00606A8C">
        <w:rPr>
          <w:rFonts w:asciiTheme="minorHAnsi" w:eastAsia="Calibri" w:hAnsiTheme="minorHAnsi"/>
          <w:color w:val="auto"/>
          <w:szCs w:val="24"/>
        </w:rPr>
        <w:t>separation</w:t>
      </w:r>
      <w:r w:rsidR="00587155" w:rsidRPr="00606A8C">
        <w:rPr>
          <w:rFonts w:asciiTheme="minorHAnsi" w:eastAsiaTheme="minorHAnsi" w:hAnsiTheme="minorHAnsi" w:cstheme="minorBidi"/>
          <w:i/>
          <w:color w:val="auto"/>
          <w:sz w:val="18"/>
          <w:szCs w:val="18"/>
        </w:rPr>
        <w:t xml:space="preserve">, </w:t>
      </w:r>
      <w:r w:rsidRPr="00606A8C">
        <w:rPr>
          <w:rFonts w:asciiTheme="minorHAnsi" w:eastAsiaTheme="minorHAnsi" w:hAnsiTheme="minorHAnsi" w:cstheme="minorBidi"/>
          <w:color w:val="auto"/>
          <w:szCs w:val="24"/>
        </w:rPr>
        <w:t>the CI</w:t>
      </w:r>
      <w:r w:rsidR="005B7EC8" w:rsidRPr="00606A8C">
        <w:rPr>
          <w:rFonts w:asciiTheme="minorHAnsi" w:eastAsiaTheme="minorHAnsi" w:hAnsiTheme="minorHAnsi" w:cstheme="minorBidi"/>
          <w:color w:val="auto"/>
          <w:szCs w:val="24"/>
        </w:rPr>
        <w:t xml:space="preserve"> complained of lower lumbar dull nagging </w:t>
      </w:r>
      <w:r w:rsidR="00654C53" w:rsidRPr="00606A8C">
        <w:rPr>
          <w:rFonts w:asciiTheme="minorHAnsi" w:eastAsiaTheme="minorHAnsi" w:hAnsiTheme="minorHAnsi" w:cstheme="minorBidi"/>
          <w:color w:val="auto"/>
          <w:szCs w:val="24"/>
        </w:rPr>
        <w:t>achy</w:t>
      </w:r>
      <w:r w:rsidR="005B7EC8" w:rsidRPr="00606A8C">
        <w:rPr>
          <w:rFonts w:asciiTheme="minorHAnsi" w:eastAsiaTheme="minorHAnsi" w:hAnsiTheme="minorHAnsi" w:cstheme="minorBidi"/>
          <w:color w:val="auto"/>
          <w:szCs w:val="24"/>
        </w:rPr>
        <w:t xml:space="preserve"> pain that radiated toward both sacroiliac joints without any lateralization that occurred when he sat or stood too long without moving.  The CI further complained that he would experience flare-ups if he lifted or would bend the wrong way and would get relief if he immediately stopped the activity or changed his body position.</w:t>
      </w:r>
      <w:r w:rsidR="00BC7C74" w:rsidRPr="00606A8C">
        <w:rPr>
          <w:rFonts w:asciiTheme="minorHAnsi" w:eastAsiaTheme="minorHAnsi" w:hAnsiTheme="minorHAnsi" w:cstheme="minorBidi"/>
          <w:color w:val="auto"/>
          <w:szCs w:val="24"/>
        </w:rPr>
        <w:t xml:space="preserve">  </w:t>
      </w:r>
      <w:r w:rsidR="00BC7C74" w:rsidRPr="00606A8C">
        <w:rPr>
          <w:rFonts w:asciiTheme="minorHAnsi" w:eastAsia="Calibri" w:hAnsiTheme="minorHAnsi"/>
          <w:color w:val="auto"/>
          <w:szCs w:val="24"/>
        </w:rPr>
        <w:t>Flexion was 0-67</w:t>
      </w:r>
      <w:r w:rsidR="000C3BE7" w:rsidRPr="00606A8C">
        <w:rPr>
          <w:rFonts w:asciiTheme="minorHAnsi" w:eastAsia="Calibri" w:hAnsiTheme="minorHAnsi"/>
          <w:color w:val="auto"/>
          <w:szCs w:val="24"/>
        </w:rPr>
        <w:t>°</w:t>
      </w:r>
      <w:r w:rsidR="000239B9">
        <w:rPr>
          <w:rFonts w:asciiTheme="minorHAnsi" w:eastAsia="Calibri" w:hAnsiTheme="minorHAnsi"/>
          <w:color w:val="auto"/>
          <w:szCs w:val="24"/>
        </w:rPr>
        <w:t>,</w:t>
      </w:r>
      <w:r w:rsidR="00BC7C74" w:rsidRPr="00606A8C">
        <w:rPr>
          <w:rFonts w:asciiTheme="minorHAnsi" w:eastAsia="Calibri" w:hAnsiTheme="minorHAnsi"/>
          <w:color w:val="auto"/>
          <w:szCs w:val="24"/>
        </w:rPr>
        <w:t xml:space="preserve"> </w:t>
      </w:r>
      <w:r w:rsidR="000C3BE7" w:rsidRPr="00606A8C">
        <w:rPr>
          <w:rFonts w:asciiTheme="minorHAnsi" w:eastAsia="Calibri" w:hAnsiTheme="minorHAnsi"/>
          <w:color w:val="auto"/>
          <w:szCs w:val="24"/>
        </w:rPr>
        <w:t>with pain onset at 64°</w:t>
      </w:r>
      <w:r w:rsidR="000239B9">
        <w:rPr>
          <w:rFonts w:asciiTheme="minorHAnsi" w:eastAsia="Calibri" w:hAnsiTheme="minorHAnsi"/>
          <w:color w:val="auto"/>
          <w:szCs w:val="24"/>
        </w:rPr>
        <w:t>,</w:t>
      </w:r>
      <w:r w:rsidR="00606A8C" w:rsidRPr="00606A8C">
        <w:rPr>
          <w:rFonts w:asciiTheme="minorHAnsi" w:eastAsia="Calibri" w:hAnsiTheme="minorHAnsi"/>
          <w:color w:val="auto"/>
          <w:szCs w:val="24"/>
        </w:rPr>
        <w:t xml:space="preserve"> and noted in the chart above.</w:t>
      </w:r>
    </w:p>
    <w:p w:rsidR="00CD403F" w:rsidRPr="00606A8C" w:rsidRDefault="00CD403F" w:rsidP="00C50AD0">
      <w:pPr>
        <w:tabs>
          <w:tab w:val="left" w:pos="288"/>
          <w:tab w:val="left" w:pos="4752"/>
        </w:tabs>
        <w:spacing w:line="240" w:lineRule="exact"/>
        <w:jc w:val="both"/>
        <w:rPr>
          <w:rFonts w:asciiTheme="minorHAnsi" w:eastAsia="Calibri" w:hAnsiTheme="minorHAnsi"/>
          <w:color w:val="auto"/>
          <w:szCs w:val="24"/>
        </w:rPr>
      </w:pPr>
    </w:p>
    <w:p w:rsidR="00A67B85" w:rsidRPr="00606A8C" w:rsidRDefault="00CD403F" w:rsidP="00C50AD0">
      <w:pPr>
        <w:tabs>
          <w:tab w:val="left" w:pos="288"/>
          <w:tab w:val="left" w:pos="4752"/>
        </w:tabs>
        <w:spacing w:line="240" w:lineRule="exact"/>
        <w:jc w:val="both"/>
        <w:rPr>
          <w:rFonts w:asciiTheme="minorHAnsi" w:eastAsia="Calibri" w:hAnsiTheme="minorHAnsi"/>
          <w:color w:val="auto"/>
          <w:szCs w:val="24"/>
        </w:rPr>
      </w:pPr>
      <w:r w:rsidRPr="00606A8C">
        <w:rPr>
          <w:rFonts w:asciiTheme="minorHAnsi" w:eastAsia="Calibri" w:hAnsiTheme="minorHAnsi"/>
          <w:color w:val="auto"/>
          <w:szCs w:val="24"/>
        </w:rPr>
        <w:t>Although the CI had a</w:t>
      </w:r>
      <w:r w:rsidR="000C3BE7" w:rsidRPr="00606A8C">
        <w:rPr>
          <w:rFonts w:asciiTheme="minorHAnsi" w:eastAsia="Calibri" w:hAnsiTheme="minorHAnsi"/>
          <w:color w:val="auto"/>
          <w:szCs w:val="24"/>
        </w:rPr>
        <w:t xml:space="preserve">n intermittent </w:t>
      </w:r>
      <w:r w:rsidRPr="00606A8C">
        <w:rPr>
          <w:rFonts w:asciiTheme="minorHAnsi" w:eastAsia="Calibri" w:hAnsiTheme="minorHAnsi"/>
          <w:color w:val="auto"/>
          <w:szCs w:val="24"/>
        </w:rPr>
        <w:t>sensory radiculopathy with pain, there was no significant motor component to the radiculopathy.  Board precedent is that a functional impairment tied to fitness is required to support a recommendation for addition of a peripheral nerve rating at separation.  The sensory component in this case has no functional implications.  Since no evidence of functional impairment exists in this case, the Board cannot support a recommendation for additional rating based on peripheral nerve impairment.</w:t>
      </w:r>
      <w:r w:rsidR="00C50AD0" w:rsidRPr="00606A8C">
        <w:rPr>
          <w:rFonts w:asciiTheme="minorHAnsi" w:eastAsia="Calibri" w:hAnsiTheme="minorHAnsi"/>
          <w:color w:val="auto"/>
          <w:szCs w:val="24"/>
        </w:rPr>
        <w:t xml:space="preserve">  </w:t>
      </w:r>
      <w:r w:rsidR="003F6C88" w:rsidRPr="00606A8C">
        <w:rPr>
          <w:rFonts w:asciiTheme="minorHAnsi" w:eastAsia="Calibri" w:hAnsiTheme="minorHAnsi"/>
          <w:color w:val="auto"/>
          <w:szCs w:val="24"/>
        </w:rPr>
        <w:t xml:space="preserve">The Board reconciles (to the extent possible) its opinion regarding degree of severity for the older spine codes and ratings with the objective thresholds specified in the current VASRD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  </w:t>
      </w:r>
      <w:r w:rsidR="00A67B85" w:rsidRPr="00606A8C">
        <w:rPr>
          <w:rFonts w:asciiTheme="minorHAnsi" w:eastAsia="Calibri" w:hAnsiTheme="minorHAnsi"/>
          <w:color w:val="auto"/>
          <w:szCs w:val="24"/>
        </w:rPr>
        <w:t>The Board must correlate the above clinical data with the 200</w:t>
      </w:r>
      <w:r w:rsidR="00DD06BD" w:rsidRPr="00606A8C">
        <w:rPr>
          <w:rFonts w:asciiTheme="minorHAnsi" w:eastAsia="Calibri" w:hAnsiTheme="minorHAnsi"/>
          <w:color w:val="auto"/>
          <w:szCs w:val="24"/>
        </w:rPr>
        <w:t>3</w:t>
      </w:r>
      <w:r w:rsidR="00A67B85" w:rsidRPr="00606A8C">
        <w:rPr>
          <w:rFonts w:asciiTheme="minorHAnsi" w:eastAsia="Calibri" w:hAnsiTheme="minorHAnsi"/>
          <w:color w:val="auto"/>
          <w:szCs w:val="24"/>
        </w:rPr>
        <w:t xml:space="preserve"> rating schedule which, for convenience, is excerpted below:</w:t>
      </w:r>
    </w:p>
    <w:p w:rsidR="00A67B85" w:rsidRPr="00606A8C" w:rsidRDefault="00A67B85" w:rsidP="00654C53">
      <w:pPr>
        <w:tabs>
          <w:tab w:val="left" w:pos="288"/>
          <w:tab w:val="left" w:pos="4752"/>
        </w:tabs>
        <w:spacing w:line="240" w:lineRule="exact"/>
        <w:jc w:val="both"/>
        <w:rPr>
          <w:rFonts w:ascii="Calibri" w:eastAsia="Calibri" w:hAnsi="Calibri"/>
          <w:color w:val="auto"/>
          <w:szCs w:val="24"/>
        </w:rPr>
      </w:pPr>
    </w:p>
    <w:p w:rsidR="00DD06BD" w:rsidRPr="00606A8C" w:rsidRDefault="00DD06BD" w:rsidP="00C50AD0">
      <w:pPr>
        <w:autoSpaceDE w:val="0"/>
        <w:autoSpaceDN w:val="0"/>
        <w:adjustRightInd w:val="0"/>
        <w:spacing w:line="200" w:lineRule="exact"/>
        <w:ind w:left="720"/>
        <w:rPr>
          <w:rFonts w:ascii="Times New Roman" w:hAnsi="Times New Roman"/>
          <w:color w:val="auto"/>
          <w:sz w:val="20"/>
        </w:rPr>
      </w:pPr>
      <w:r w:rsidRPr="00606A8C">
        <w:rPr>
          <w:rFonts w:ascii="Times New Roman" w:hAnsi="Times New Roman"/>
          <w:b/>
          <w:bCs/>
          <w:color w:val="auto"/>
          <w:sz w:val="20"/>
        </w:rPr>
        <w:t>5292</w:t>
      </w:r>
      <w:r w:rsidRPr="00606A8C">
        <w:rPr>
          <w:rFonts w:ascii="Times New Roman" w:hAnsi="Times New Roman"/>
          <w:color w:val="auto"/>
          <w:sz w:val="20"/>
        </w:rPr>
        <w:t xml:space="preserve"> Spine, limitation of motion of, lumbar:</w:t>
      </w:r>
    </w:p>
    <w:p w:rsidR="00DD06BD" w:rsidRPr="00606A8C" w:rsidRDefault="00DD06BD" w:rsidP="00C50AD0">
      <w:pPr>
        <w:autoSpaceDE w:val="0"/>
        <w:autoSpaceDN w:val="0"/>
        <w:adjustRightInd w:val="0"/>
        <w:spacing w:line="200" w:lineRule="exact"/>
        <w:ind w:left="1872"/>
        <w:rPr>
          <w:rFonts w:ascii="Times New Roman" w:hAnsi="Times New Roman"/>
          <w:color w:val="auto"/>
          <w:sz w:val="20"/>
        </w:rPr>
      </w:pPr>
      <w:r w:rsidRPr="00606A8C">
        <w:rPr>
          <w:rFonts w:ascii="Times New Roman" w:hAnsi="Times New Roman"/>
          <w:color w:val="auto"/>
          <w:sz w:val="20"/>
        </w:rPr>
        <w:t>Severe.......................</w:t>
      </w:r>
      <w:r w:rsidR="000C3BE7" w:rsidRPr="00606A8C">
        <w:rPr>
          <w:rFonts w:ascii="Times New Roman" w:hAnsi="Times New Roman"/>
          <w:color w:val="auto"/>
          <w:sz w:val="20"/>
        </w:rPr>
        <w:t>...............................</w:t>
      </w:r>
      <w:r w:rsidRPr="00606A8C">
        <w:rPr>
          <w:rFonts w:ascii="Times New Roman" w:hAnsi="Times New Roman"/>
          <w:color w:val="auto"/>
          <w:sz w:val="20"/>
        </w:rPr>
        <w:t>. 40</w:t>
      </w:r>
    </w:p>
    <w:p w:rsidR="00DD06BD" w:rsidRPr="00606A8C" w:rsidRDefault="00DD06BD" w:rsidP="00C50AD0">
      <w:pPr>
        <w:autoSpaceDE w:val="0"/>
        <w:autoSpaceDN w:val="0"/>
        <w:adjustRightInd w:val="0"/>
        <w:spacing w:line="200" w:lineRule="exact"/>
        <w:ind w:left="1872"/>
        <w:rPr>
          <w:rFonts w:ascii="Times New Roman" w:hAnsi="Times New Roman"/>
          <w:color w:val="auto"/>
          <w:sz w:val="20"/>
        </w:rPr>
      </w:pPr>
      <w:r w:rsidRPr="00606A8C">
        <w:rPr>
          <w:rFonts w:ascii="Times New Roman" w:hAnsi="Times New Roman"/>
          <w:color w:val="auto"/>
          <w:sz w:val="20"/>
        </w:rPr>
        <w:t>Moderate......................</w:t>
      </w:r>
      <w:r w:rsidR="000C3BE7" w:rsidRPr="00606A8C">
        <w:rPr>
          <w:rFonts w:ascii="Times New Roman" w:hAnsi="Times New Roman"/>
          <w:color w:val="auto"/>
          <w:sz w:val="20"/>
        </w:rPr>
        <w:t>.............................</w:t>
      </w:r>
      <w:r w:rsidRPr="00606A8C">
        <w:rPr>
          <w:rFonts w:ascii="Times New Roman" w:hAnsi="Times New Roman"/>
          <w:color w:val="auto"/>
          <w:sz w:val="20"/>
        </w:rPr>
        <w:t xml:space="preserve"> 20</w:t>
      </w:r>
    </w:p>
    <w:p w:rsidR="00DD06BD" w:rsidRPr="00606A8C" w:rsidRDefault="00DD06BD" w:rsidP="00C50AD0">
      <w:pPr>
        <w:autoSpaceDE w:val="0"/>
        <w:autoSpaceDN w:val="0"/>
        <w:adjustRightInd w:val="0"/>
        <w:spacing w:line="200" w:lineRule="exact"/>
        <w:ind w:left="1872"/>
        <w:rPr>
          <w:rFonts w:ascii="Times New Roman" w:hAnsi="Times New Roman"/>
          <w:color w:val="auto"/>
          <w:sz w:val="20"/>
        </w:rPr>
      </w:pPr>
      <w:r w:rsidRPr="00606A8C">
        <w:rPr>
          <w:rFonts w:ascii="Times New Roman" w:hAnsi="Times New Roman"/>
          <w:color w:val="auto"/>
          <w:sz w:val="20"/>
        </w:rPr>
        <w:t>Slight........................................................ 10</w:t>
      </w:r>
    </w:p>
    <w:p w:rsidR="00DD06BD" w:rsidRPr="00606A8C" w:rsidRDefault="00DD06BD" w:rsidP="00C50AD0">
      <w:pPr>
        <w:tabs>
          <w:tab w:val="left" w:pos="288"/>
          <w:tab w:val="left" w:pos="4752"/>
        </w:tabs>
        <w:spacing w:line="200" w:lineRule="exact"/>
        <w:jc w:val="both"/>
        <w:rPr>
          <w:rFonts w:ascii="Calibri" w:eastAsia="Calibri" w:hAnsi="Calibri"/>
          <w:color w:val="auto"/>
          <w:sz w:val="20"/>
          <w:szCs w:val="24"/>
        </w:rPr>
      </w:pPr>
    </w:p>
    <w:p w:rsidR="00A67B85" w:rsidRPr="00606A8C" w:rsidRDefault="00A67B85" w:rsidP="00C50AD0">
      <w:pPr>
        <w:autoSpaceDE w:val="0"/>
        <w:autoSpaceDN w:val="0"/>
        <w:adjustRightInd w:val="0"/>
        <w:spacing w:line="200" w:lineRule="exact"/>
        <w:ind w:left="864"/>
        <w:rPr>
          <w:rFonts w:ascii="Times New Roman" w:hAnsi="Times New Roman"/>
          <w:color w:val="auto"/>
          <w:sz w:val="20"/>
        </w:rPr>
      </w:pPr>
      <w:r w:rsidRPr="00606A8C">
        <w:rPr>
          <w:rFonts w:ascii="Times New Roman" w:hAnsi="Times New Roman"/>
          <w:b/>
          <w:bCs/>
          <w:color w:val="auto"/>
          <w:sz w:val="20"/>
        </w:rPr>
        <w:t xml:space="preserve">5295 </w:t>
      </w:r>
      <w:r w:rsidRPr="00606A8C">
        <w:rPr>
          <w:rFonts w:ascii="Times New Roman" w:hAnsi="Times New Roman"/>
          <w:color w:val="auto"/>
          <w:sz w:val="20"/>
        </w:rPr>
        <w:t>Lumbosacral strain:</w:t>
      </w:r>
    </w:p>
    <w:p w:rsidR="00A67B85" w:rsidRPr="00606A8C" w:rsidRDefault="00A67B85" w:rsidP="00C50AD0">
      <w:pPr>
        <w:autoSpaceDE w:val="0"/>
        <w:autoSpaceDN w:val="0"/>
        <w:adjustRightInd w:val="0"/>
        <w:spacing w:line="200" w:lineRule="exact"/>
        <w:ind w:left="864" w:firstLine="720"/>
        <w:rPr>
          <w:rFonts w:ascii="Times New Roman" w:hAnsi="Times New Roman"/>
          <w:color w:val="auto"/>
          <w:sz w:val="20"/>
        </w:rPr>
      </w:pPr>
      <w:r w:rsidRPr="00606A8C">
        <w:rPr>
          <w:rFonts w:ascii="Times New Roman" w:hAnsi="Times New Roman"/>
          <w:color w:val="auto"/>
          <w:sz w:val="20"/>
        </w:rPr>
        <w:t>Severe; with listing of whole' spine to opposite side, positive</w:t>
      </w:r>
    </w:p>
    <w:p w:rsidR="00A67B85" w:rsidRPr="00606A8C" w:rsidRDefault="00A67B85" w:rsidP="00C50AD0">
      <w:pPr>
        <w:autoSpaceDE w:val="0"/>
        <w:autoSpaceDN w:val="0"/>
        <w:adjustRightInd w:val="0"/>
        <w:spacing w:line="200" w:lineRule="exact"/>
        <w:ind w:left="1872"/>
        <w:rPr>
          <w:rFonts w:ascii="Times New Roman" w:hAnsi="Times New Roman"/>
          <w:color w:val="auto"/>
          <w:sz w:val="20"/>
        </w:rPr>
      </w:pPr>
      <w:r w:rsidRPr="00606A8C">
        <w:rPr>
          <w:rFonts w:ascii="Times New Roman" w:hAnsi="Times New Roman"/>
          <w:color w:val="auto"/>
          <w:sz w:val="20"/>
        </w:rPr>
        <w:t>Goldthwaite's sign, marked limitation of forward bending in</w:t>
      </w:r>
    </w:p>
    <w:p w:rsidR="00A67B85" w:rsidRPr="00606A8C" w:rsidRDefault="00A67B85" w:rsidP="00C50AD0">
      <w:pPr>
        <w:autoSpaceDE w:val="0"/>
        <w:autoSpaceDN w:val="0"/>
        <w:adjustRightInd w:val="0"/>
        <w:spacing w:line="200" w:lineRule="exact"/>
        <w:ind w:left="1872"/>
        <w:rPr>
          <w:rFonts w:ascii="Times New Roman" w:hAnsi="Times New Roman"/>
          <w:color w:val="auto"/>
          <w:sz w:val="20"/>
        </w:rPr>
      </w:pPr>
      <w:r w:rsidRPr="00606A8C">
        <w:rPr>
          <w:rFonts w:ascii="Times New Roman" w:hAnsi="Times New Roman"/>
          <w:color w:val="auto"/>
          <w:sz w:val="20"/>
        </w:rPr>
        <w:t xml:space="preserve"> </w:t>
      </w:r>
      <w:proofErr w:type="gramStart"/>
      <w:r w:rsidRPr="00606A8C">
        <w:rPr>
          <w:rFonts w:ascii="Times New Roman" w:hAnsi="Times New Roman"/>
          <w:color w:val="auto"/>
          <w:sz w:val="20"/>
        </w:rPr>
        <w:t>standing</w:t>
      </w:r>
      <w:proofErr w:type="gramEnd"/>
      <w:r w:rsidRPr="00606A8C">
        <w:rPr>
          <w:rFonts w:ascii="Times New Roman" w:hAnsi="Times New Roman"/>
          <w:color w:val="auto"/>
          <w:sz w:val="20"/>
        </w:rPr>
        <w:t xml:space="preserve"> position, loss of lateral motion with </w:t>
      </w:r>
      <w:proofErr w:type="spellStart"/>
      <w:r w:rsidRPr="00606A8C">
        <w:rPr>
          <w:rFonts w:ascii="Times New Roman" w:hAnsi="Times New Roman"/>
          <w:color w:val="auto"/>
          <w:sz w:val="20"/>
        </w:rPr>
        <w:t>osteo</w:t>
      </w:r>
      <w:proofErr w:type="spellEnd"/>
      <w:r w:rsidRPr="00606A8C">
        <w:rPr>
          <w:rFonts w:ascii="Times New Roman" w:hAnsi="Times New Roman"/>
          <w:color w:val="auto"/>
          <w:sz w:val="20"/>
        </w:rPr>
        <w:t>-arthritic</w:t>
      </w:r>
    </w:p>
    <w:p w:rsidR="00A67B85" w:rsidRPr="00606A8C" w:rsidRDefault="00A67B85" w:rsidP="00C50AD0">
      <w:pPr>
        <w:autoSpaceDE w:val="0"/>
        <w:autoSpaceDN w:val="0"/>
        <w:adjustRightInd w:val="0"/>
        <w:spacing w:line="200" w:lineRule="exact"/>
        <w:ind w:left="1872"/>
        <w:rPr>
          <w:rFonts w:ascii="Times New Roman" w:hAnsi="Times New Roman"/>
          <w:color w:val="auto"/>
          <w:sz w:val="20"/>
        </w:rPr>
      </w:pPr>
      <w:r w:rsidRPr="00606A8C">
        <w:rPr>
          <w:rFonts w:ascii="Times New Roman" w:hAnsi="Times New Roman"/>
          <w:color w:val="auto"/>
          <w:sz w:val="20"/>
        </w:rPr>
        <w:t xml:space="preserve"> </w:t>
      </w:r>
      <w:proofErr w:type="gramStart"/>
      <w:r w:rsidRPr="00606A8C">
        <w:rPr>
          <w:rFonts w:ascii="Times New Roman" w:hAnsi="Times New Roman"/>
          <w:color w:val="auto"/>
          <w:sz w:val="20"/>
        </w:rPr>
        <w:t>changes</w:t>
      </w:r>
      <w:proofErr w:type="gramEnd"/>
      <w:r w:rsidRPr="00606A8C">
        <w:rPr>
          <w:rFonts w:ascii="Times New Roman" w:hAnsi="Times New Roman"/>
          <w:color w:val="auto"/>
          <w:sz w:val="20"/>
        </w:rPr>
        <w:t>, or narrowing or irregularity of joint space, or some</w:t>
      </w:r>
    </w:p>
    <w:p w:rsidR="00A67B85" w:rsidRPr="00606A8C" w:rsidRDefault="00A67B85" w:rsidP="00C50AD0">
      <w:pPr>
        <w:autoSpaceDE w:val="0"/>
        <w:autoSpaceDN w:val="0"/>
        <w:adjustRightInd w:val="0"/>
        <w:spacing w:line="200" w:lineRule="exact"/>
        <w:ind w:left="1872"/>
        <w:rPr>
          <w:rFonts w:ascii="Times New Roman" w:hAnsi="Times New Roman"/>
          <w:color w:val="auto"/>
          <w:sz w:val="20"/>
        </w:rPr>
      </w:pPr>
      <w:r w:rsidRPr="00606A8C">
        <w:rPr>
          <w:rFonts w:ascii="Times New Roman" w:hAnsi="Times New Roman"/>
          <w:color w:val="auto"/>
          <w:sz w:val="20"/>
        </w:rPr>
        <w:t xml:space="preserve"> </w:t>
      </w:r>
      <w:proofErr w:type="gramStart"/>
      <w:r w:rsidRPr="00606A8C">
        <w:rPr>
          <w:rFonts w:ascii="Times New Roman" w:hAnsi="Times New Roman"/>
          <w:color w:val="auto"/>
          <w:sz w:val="20"/>
        </w:rPr>
        <w:t>of</w:t>
      </w:r>
      <w:proofErr w:type="gramEnd"/>
      <w:r w:rsidRPr="00606A8C">
        <w:rPr>
          <w:rFonts w:ascii="Times New Roman" w:hAnsi="Times New Roman"/>
          <w:color w:val="auto"/>
          <w:sz w:val="20"/>
        </w:rPr>
        <w:t xml:space="preserve"> the above with abnormal mobility on forced motion …………………..…... 40</w:t>
      </w:r>
    </w:p>
    <w:p w:rsidR="00A67B85" w:rsidRPr="00606A8C" w:rsidRDefault="00A67B85" w:rsidP="00C50AD0">
      <w:pPr>
        <w:autoSpaceDE w:val="0"/>
        <w:autoSpaceDN w:val="0"/>
        <w:adjustRightInd w:val="0"/>
        <w:spacing w:line="200" w:lineRule="exact"/>
        <w:ind w:left="864" w:firstLine="720"/>
        <w:rPr>
          <w:rFonts w:ascii="Times New Roman" w:hAnsi="Times New Roman"/>
          <w:color w:val="auto"/>
          <w:sz w:val="20"/>
        </w:rPr>
      </w:pPr>
      <w:r w:rsidRPr="00606A8C">
        <w:rPr>
          <w:rFonts w:ascii="Times New Roman" w:hAnsi="Times New Roman"/>
          <w:color w:val="auto"/>
          <w:sz w:val="20"/>
        </w:rPr>
        <w:t xml:space="preserve">With muscle spasm on extreme forward bending, loss of lateral spine </w:t>
      </w:r>
    </w:p>
    <w:p w:rsidR="00A67B85" w:rsidRPr="00606A8C" w:rsidRDefault="00A67B85" w:rsidP="00C50AD0">
      <w:pPr>
        <w:autoSpaceDE w:val="0"/>
        <w:autoSpaceDN w:val="0"/>
        <w:adjustRightInd w:val="0"/>
        <w:spacing w:line="200" w:lineRule="exact"/>
        <w:ind w:left="1872"/>
        <w:rPr>
          <w:rFonts w:ascii="Times New Roman" w:hAnsi="Times New Roman"/>
          <w:color w:val="auto"/>
          <w:sz w:val="20"/>
        </w:rPr>
      </w:pPr>
      <w:r w:rsidRPr="00606A8C">
        <w:rPr>
          <w:color w:val="auto"/>
          <w:sz w:val="20"/>
        </w:rPr>
        <w:t xml:space="preserve"> </w:t>
      </w:r>
      <w:proofErr w:type="gramStart"/>
      <w:r w:rsidRPr="00606A8C">
        <w:rPr>
          <w:rFonts w:ascii="Times New Roman" w:hAnsi="Times New Roman"/>
          <w:color w:val="auto"/>
          <w:sz w:val="20"/>
        </w:rPr>
        <w:t>motion</w:t>
      </w:r>
      <w:proofErr w:type="gramEnd"/>
      <w:r w:rsidRPr="00606A8C">
        <w:rPr>
          <w:rFonts w:ascii="Times New Roman" w:hAnsi="Times New Roman"/>
          <w:color w:val="auto"/>
          <w:sz w:val="20"/>
        </w:rPr>
        <w:t>, unilateral, in standing' position ……………...…….……..…...….….. 20</w:t>
      </w:r>
    </w:p>
    <w:p w:rsidR="00A67B85" w:rsidRPr="00606A8C" w:rsidRDefault="00A67B85" w:rsidP="00C50AD0">
      <w:pPr>
        <w:autoSpaceDE w:val="0"/>
        <w:autoSpaceDN w:val="0"/>
        <w:adjustRightInd w:val="0"/>
        <w:spacing w:line="200" w:lineRule="exact"/>
        <w:ind w:left="864" w:firstLine="720"/>
        <w:rPr>
          <w:rFonts w:ascii="Times New Roman" w:hAnsi="Times New Roman"/>
          <w:color w:val="auto"/>
          <w:sz w:val="20"/>
        </w:rPr>
      </w:pPr>
      <w:r w:rsidRPr="00606A8C">
        <w:rPr>
          <w:rFonts w:ascii="Times New Roman" w:hAnsi="Times New Roman"/>
          <w:color w:val="auto"/>
          <w:sz w:val="20"/>
        </w:rPr>
        <w:t xml:space="preserve">With characteristic pain on motion </w:t>
      </w:r>
      <w:proofErr w:type="gramStart"/>
      <w:r w:rsidRPr="00606A8C">
        <w:rPr>
          <w:rFonts w:ascii="Times New Roman" w:hAnsi="Times New Roman"/>
          <w:color w:val="auto"/>
          <w:sz w:val="20"/>
        </w:rPr>
        <w:t>………………………………..……...…….…</w:t>
      </w:r>
      <w:proofErr w:type="gramEnd"/>
      <w:r w:rsidRPr="00606A8C">
        <w:rPr>
          <w:rFonts w:ascii="Times New Roman" w:hAnsi="Times New Roman"/>
          <w:color w:val="auto"/>
          <w:sz w:val="20"/>
        </w:rPr>
        <w:t>. 10</w:t>
      </w:r>
    </w:p>
    <w:p w:rsidR="00A67B85" w:rsidRPr="00606A8C" w:rsidRDefault="00A67B85" w:rsidP="00C50AD0">
      <w:pPr>
        <w:autoSpaceDE w:val="0"/>
        <w:autoSpaceDN w:val="0"/>
        <w:adjustRightInd w:val="0"/>
        <w:spacing w:line="200" w:lineRule="exact"/>
        <w:ind w:left="864" w:firstLine="720"/>
        <w:rPr>
          <w:rFonts w:ascii="Times New Roman" w:hAnsi="Times New Roman"/>
          <w:color w:val="auto"/>
          <w:sz w:val="20"/>
        </w:rPr>
      </w:pPr>
      <w:r w:rsidRPr="00606A8C">
        <w:rPr>
          <w:rFonts w:ascii="Times New Roman" w:hAnsi="Times New Roman"/>
          <w:color w:val="auto"/>
          <w:sz w:val="20"/>
        </w:rPr>
        <w:t xml:space="preserve">With slight subjective symptoms only </w:t>
      </w:r>
      <w:proofErr w:type="gramStart"/>
      <w:r w:rsidRPr="00606A8C">
        <w:rPr>
          <w:rFonts w:ascii="Times New Roman" w:hAnsi="Times New Roman"/>
          <w:color w:val="auto"/>
          <w:sz w:val="20"/>
        </w:rPr>
        <w:t>……………………...…….…………...……</w:t>
      </w:r>
      <w:proofErr w:type="gramEnd"/>
      <w:r w:rsidRPr="00606A8C">
        <w:rPr>
          <w:rFonts w:ascii="Times New Roman" w:hAnsi="Times New Roman"/>
          <w:color w:val="auto"/>
          <w:sz w:val="20"/>
        </w:rPr>
        <w:t>. 0</w:t>
      </w:r>
    </w:p>
    <w:p w:rsidR="00DD06BD" w:rsidRPr="00606A8C" w:rsidRDefault="00DD06BD" w:rsidP="00A67B85">
      <w:pPr>
        <w:autoSpaceDE w:val="0"/>
        <w:autoSpaceDN w:val="0"/>
        <w:adjustRightInd w:val="0"/>
        <w:spacing w:line="240" w:lineRule="exact"/>
        <w:rPr>
          <w:rFonts w:ascii="Calibri" w:eastAsia="Calibri" w:hAnsi="Calibri"/>
          <w:color w:val="auto"/>
          <w:szCs w:val="24"/>
        </w:rPr>
      </w:pPr>
    </w:p>
    <w:p w:rsidR="00873443" w:rsidRPr="00606A8C" w:rsidRDefault="00A67B85" w:rsidP="00873443">
      <w:pPr>
        <w:tabs>
          <w:tab w:val="left" w:pos="288"/>
          <w:tab w:val="left" w:pos="4752"/>
        </w:tabs>
        <w:spacing w:line="240" w:lineRule="exact"/>
        <w:jc w:val="both"/>
        <w:rPr>
          <w:rFonts w:ascii="Calibri" w:eastAsia="Calibri" w:hAnsi="Calibri"/>
          <w:color w:val="auto"/>
          <w:szCs w:val="24"/>
        </w:rPr>
      </w:pPr>
      <w:r w:rsidRPr="00606A8C">
        <w:rPr>
          <w:rFonts w:ascii="Calibri" w:eastAsia="Calibri" w:hAnsi="Calibri"/>
          <w:color w:val="auto"/>
          <w:szCs w:val="24"/>
        </w:rPr>
        <w:t>The Board note</w:t>
      </w:r>
      <w:r w:rsidR="00CB33C7" w:rsidRPr="00606A8C">
        <w:rPr>
          <w:rFonts w:ascii="Calibri" w:eastAsia="Calibri" w:hAnsi="Calibri"/>
          <w:color w:val="auto"/>
          <w:szCs w:val="24"/>
        </w:rPr>
        <w:t>d</w:t>
      </w:r>
      <w:r w:rsidRPr="00606A8C">
        <w:rPr>
          <w:rFonts w:ascii="Calibri" w:eastAsia="Calibri" w:hAnsi="Calibri"/>
          <w:color w:val="auto"/>
          <w:szCs w:val="24"/>
        </w:rPr>
        <w:t xml:space="preserve"> that both the MEB and VA exams were sufficiently documented in terms of ratable data</w:t>
      </w:r>
      <w:r w:rsidR="00057F9E" w:rsidRPr="00606A8C">
        <w:rPr>
          <w:rFonts w:ascii="Calibri" w:eastAsia="Calibri" w:hAnsi="Calibri"/>
          <w:color w:val="auto"/>
          <w:szCs w:val="24"/>
        </w:rPr>
        <w:t xml:space="preserve"> for the criteria in place at the time of their rating determinations</w:t>
      </w:r>
      <w:r w:rsidRPr="00606A8C">
        <w:rPr>
          <w:rFonts w:ascii="Calibri" w:eastAsia="Calibri" w:hAnsi="Calibri"/>
          <w:color w:val="auto"/>
          <w:szCs w:val="24"/>
        </w:rPr>
        <w:t xml:space="preserve">, and that the CI’s overall condition and described </w:t>
      </w:r>
      <w:r w:rsidR="000C3BE7" w:rsidRPr="00606A8C">
        <w:rPr>
          <w:rFonts w:ascii="Calibri" w:eastAsia="Calibri" w:hAnsi="Calibri"/>
          <w:color w:val="auto"/>
          <w:szCs w:val="24"/>
        </w:rPr>
        <w:t xml:space="preserve">history were congruent between these two exams.  The VA exam had an apparently </w:t>
      </w:r>
      <w:r w:rsidR="00EB2D23" w:rsidRPr="00606A8C">
        <w:rPr>
          <w:rFonts w:ascii="Calibri" w:eastAsia="Calibri" w:hAnsi="Calibri"/>
          <w:color w:val="auto"/>
          <w:szCs w:val="24"/>
        </w:rPr>
        <w:t>improved</w:t>
      </w:r>
      <w:r w:rsidR="000C3BE7" w:rsidRPr="00606A8C">
        <w:rPr>
          <w:rFonts w:ascii="Calibri" w:eastAsia="Calibri" w:hAnsi="Calibri"/>
          <w:color w:val="auto"/>
          <w:szCs w:val="24"/>
        </w:rPr>
        <w:t xml:space="preserve"> ROM in most planes than the treatment record’s “50% decrease in all planes” </w:t>
      </w:r>
      <w:r w:rsidR="00EB2D23" w:rsidRPr="00606A8C">
        <w:rPr>
          <w:rFonts w:ascii="Calibri" w:eastAsia="Calibri" w:hAnsi="Calibri"/>
          <w:color w:val="auto"/>
          <w:szCs w:val="24"/>
        </w:rPr>
        <w:t>which would roughly equate to 45° flexion and 15° in all other planes.</w:t>
      </w:r>
      <w:r w:rsidR="00CB33C7" w:rsidRPr="00606A8C">
        <w:rPr>
          <w:rFonts w:ascii="Calibri" w:eastAsia="Calibri" w:hAnsi="Calibri"/>
          <w:color w:val="auto"/>
          <w:szCs w:val="24"/>
        </w:rPr>
        <w:t xml:space="preserve">  The MEB exam was closest to separation and adjudged to have the higher probative value.  </w:t>
      </w:r>
      <w:r w:rsidR="00873443" w:rsidRPr="00606A8C">
        <w:rPr>
          <w:rFonts w:ascii="Calibri" w:eastAsia="Calibri" w:hAnsi="Calibri"/>
          <w:color w:val="auto"/>
          <w:szCs w:val="24"/>
        </w:rPr>
        <w:t>There was no complete goniometric examination in the service records; however, if the newer spine criteria were applicable, the 60° forward flexion from the neurosurgery evaluation or the 50% decrease in flexion (~45°) would most likely meet the 20% criteria for “</w:t>
      </w:r>
      <w:r w:rsidR="000239B9">
        <w:rPr>
          <w:rFonts w:ascii="Calibri" w:eastAsia="Calibri" w:hAnsi="Calibri"/>
          <w:color w:val="auto"/>
          <w:szCs w:val="24"/>
        </w:rPr>
        <w:t>f</w:t>
      </w:r>
      <w:r w:rsidR="00873443" w:rsidRPr="00606A8C">
        <w:rPr>
          <w:rFonts w:ascii="Calibri" w:eastAsia="Calibri" w:hAnsi="Calibri"/>
          <w:color w:val="auto"/>
          <w:szCs w:val="24"/>
        </w:rPr>
        <w:t>orward flexion of the thoracolumbar spine greater than 30 degrees but not greater than 60 degrees” under the newer spine rule</w:t>
      </w:r>
      <w:r w:rsidR="000239B9">
        <w:rPr>
          <w:rFonts w:ascii="Calibri" w:eastAsia="Calibri" w:hAnsi="Calibri"/>
          <w:color w:val="auto"/>
          <w:szCs w:val="24"/>
        </w:rPr>
        <w:t>’</w:t>
      </w:r>
      <w:r w:rsidR="00873443" w:rsidRPr="00606A8C">
        <w:rPr>
          <w:rFonts w:ascii="Calibri" w:eastAsia="Calibri" w:hAnsi="Calibri"/>
          <w:color w:val="auto"/>
          <w:szCs w:val="24"/>
        </w:rPr>
        <w:t>s 5237 code for lumbar strain.</w:t>
      </w:r>
    </w:p>
    <w:p w:rsidR="00D3662E" w:rsidRPr="00606A8C" w:rsidRDefault="00A67B85" w:rsidP="00654C53">
      <w:pPr>
        <w:tabs>
          <w:tab w:val="left" w:pos="288"/>
          <w:tab w:val="left" w:pos="4752"/>
        </w:tabs>
        <w:spacing w:line="240" w:lineRule="exact"/>
        <w:jc w:val="both"/>
        <w:rPr>
          <w:rFonts w:asciiTheme="minorHAnsi" w:hAnsiTheme="minorHAnsi"/>
          <w:color w:val="auto"/>
          <w:szCs w:val="24"/>
        </w:rPr>
      </w:pPr>
      <w:r w:rsidRPr="00606A8C">
        <w:rPr>
          <w:rFonts w:ascii="Calibri" w:eastAsia="Calibri" w:hAnsi="Calibri"/>
          <w:color w:val="auto"/>
          <w:szCs w:val="24"/>
        </w:rPr>
        <w:lastRenderedPageBreak/>
        <w:t>The Board considered the PEB’s ra</w:t>
      </w:r>
      <w:r w:rsidR="00F16DDC" w:rsidRPr="00606A8C">
        <w:rPr>
          <w:rFonts w:ascii="Calibri" w:eastAsia="Calibri" w:hAnsi="Calibri"/>
          <w:color w:val="auto"/>
          <w:szCs w:val="24"/>
        </w:rPr>
        <w:t xml:space="preserve">ting under the 5295 code.  </w:t>
      </w:r>
      <w:r w:rsidR="003F6C88" w:rsidRPr="00606A8C">
        <w:rPr>
          <w:rFonts w:ascii="Calibri" w:eastAsia="Calibri" w:hAnsi="Calibri"/>
          <w:color w:val="auto"/>
          <w:szCs w:val="24"/>
        </w:rPr>
        <w:t>All exams documented characteristic pain on motion (10%)</w:t>
      </w:r>
      <w:r w:rsidR="000239B9">
        <w:rPr>
          <w:rFonts w:ascii="Calibri" w:eastAsia="Calibri" w:hAnsi="Calibri"/>
          <w:color w:val="auto"/>
          <w:szCs w:val="24"/>
        </w:rPr>
        <w:t>;</w:t>
      </w:r>
      <w:r w:rsidR="003F6C88" w:rsidRPr="00606A8C">
        <w:rPr>
          <w:rFonts w:ascii="Calibri" w:eastAsia="Calibri" w:hAnsi="Calibri"/>
          <w:color w:val="auto"/>
          <w:szCs w:val="24"/>
        </w:rPr>
        <w:t xml:space="preserve"> however, t</w:t>
      </w:r>
      <w:r w:rsidRPr="00606A8C">
        <w:rPr>
          <w:rFonts w:ascii="Calibri" w:eastAsia="Calibri" w:hAnsi="Calibri"/>
          <w:color w:val="auto"/>
          <w:szCs w:val="24"/>
        </w:rPr>
        <w:t xml:space="preserve">he CI’s condition clearly did not meet the criteria for a </w:t>
      </w:r>
      <w:r w:rsidR="003F6C88" w:rsidRPr="00606A8C">
        <w:rPr>
          <w:rFonts w:ascii="Calibri" w:eastAsia="Calibri" w:hAnsi="Calibri"/>
          <w:color w:val="auto"/>
          <w:szCs w:val="24"/>
        </w:rPr>
        <w:t xml:space="preserve">20% rating (fairly specifically defined as noted above) or any </w:t>
      </w:r>
      <w:r w:rsidRPr="00606A8C">
        <w:rPr>
          <w:rFonts w:ascii="Calibri" w:eastAsia="Calibri" w:hAnsi="Calibri"/>
          <w:color w:val="auto"/>
          <w:szCs w:val="24"/>
        </w:rPr>
        <w:t xml:space="preserve">higher </w:t>
      </w:r>
      <w:r w:rsidR="003F6C88" w:rsidRPr="00606A8C">
        <w:rPr>
          <w:rFonts w:ascii="Calibri" w:eastAsia="Calibri" w:hAnsi="Calibri"/>
          <w:color w:val="auto"/>
          <w:szCs w:val="24"/>
        </w:rPr>
        <w:t xml:space="preserve">rating </w:t>
      </w:r>
      <w:r w:rsidRPr="00606A8C">
        <w:rPr>
          <w:rFonts w:ascii="Calibri" w:eastAsia="Calibri" w:hAnsi="Calibri"/>
          <w:color w:val="auto"/>
          <w:szCs w:val="24"/>
        </w:rPr>
        <w:t>under the 52</w:t>
      </w:r>
      <w:r w:rsidR="00595893" w:rsidRPr="00606A8C">
        <w:rPr>
          <w:rFonts w:ascii="Calibri" w:eastAsia="Calibri" w:hAnsi="Calibri"/>
          <w:color w:val="auto"/>
          <w:szCs w:val="24"/>
        </w:rPr>
        <w:t>95</w:t>
      </w:r>
      <w:r w:rsidRPr="00606A8C">
        <w:rPr>
          <w:rFonts w:ascii="Calibri" w:eastAsia="Calibri" w:hAnsi="Calibri"/>
          <w:color w:val="auto"/>
          <w:szCs w:val="24"/>
        </w:rPr>
        <w:t xml:space="preserve"> code based on </w:t>
      </w:r>
      <w:r w:rsidR="003F6C88" w:rsidRPr="00606A8C">
        <w:rPr>
          <w:rFonts w:ascii="Calibri" w:eastAsia="Calibri" w:hAnsi="Calibri"/>
          <w:color w:val="auto"/>
          <w:szCs w:val="24"/>
        </w:rPr>
        <w:t>any</w:t>
      </w:r>
      <w:r w:rsidRPr="00606A8C">
        <w:rPr>
          <w:rFonts w:ascii="Calibri" w:eastAsia="Calibri" w:hAnsi="Calibri"/>
          <w:color w:val="auto"/>
          <w:szCs w:val="24"/>
        </w:rPr>
        <w:t xml:space="preserve"> examinations.  </w:t>
      </w:r>
      <w:r w:rsidR="00EB2D23" w:rsidRPr="00606A8C">
        <w:rPr>
          <w:rFonts w:ascii="Calibri" w:eastAsia="Calibri" w:hAnsi="Calibri"/>
          <w:color w:val="auto"/>
          <w:szCs w:val="24"/>
        </w:rPr>
        <w:t>However,</w:t>
      </w:r>
      <w:r w:rsidRPr="00606A8C">
        <w:rPr>
          <w:rFonts w:ascii="Calibri" w:eastAsia="Calibri" w:hAnsi="Calibri"/>
          <w:color w:val="auto"/>
          <w:szCs w:val="24"/>
        </w:rPr>
        <w:t xml:space="preserve"> the Board considered </w:t>
      </w:r>
      <w:r w:rsidR="00873443" w:rsidRPr="00606A8C">
        <w:rPr>
          <w:rFonts w:ascii="Calibri" w:eastAsia="Calibri" w:hAnsi="Calibri"/>
          <w:color w:val="auto"/>
          <w:szCs w:val="24"/>
        </w:rPr>
        <w:t xml:space="preserve">the CI’s abnormal imaging and disc pathology was not purely aligned with a lumbosacral strain and that coding under the more general 5292 </w:t>
      </w:r>
      <w:r w:rsidR="00EB2D23" w:rsidRPr="00606A8C">
        <w:rPr>
          <w:rFonts w:ascii="Calibri" w:eastAsia="Calibri" w:hAnsi="Calibri"/>
          <w:color w:val="auto"/>
          <w:szCs w:val="24"/>
        </w:rPr>
        <w:t>(</w:t>
      </w:r>
      <w:r w:rsidR="000239B9">
        <w:rPr>
          <w:rFonts w:ascii="Calibri" w:eastAsia="Calibri" w:hAnsi="Calibri"/>
          <w:color w:val="auto"/>
          <w:szCs w:val="24"/>
        </w:rPr>
        <w:t>s</w:t>
      </w:r>
      <w:r w:rsidR="00EB2D23" w:rsidRPr="00606A8C">
        <w:rPr>
          <w:rFonts w:ascii="Calibri" w:eastAsia="Calibri" w:hAnsi="Calibri"/>
          <w:color w:val="auto"/>
          <w:szCs w:val="24"/>
        </w:rPr>
        <w:t xml:space="preserve">pine, limitation of motion of, lumbar) </w:t>
      </w:r>
      <w:r w:rsidR="00873443" w:rsidRPr="00606A8C">
        <w:rPr>
          <w:rFonts w:ascii="Calibri" w:eastAsia="Calibri" w:hAnsi="Calibri"/>
          <w:color w:val="auto"/>
          <w:szCs w:val="24"/>
        </w:rPr>
        <w:t xml:space="preserve">criteria indicated the </w:t>
      </w:r>
      <w:r w:rsidR="00CB33C7" w:rsidRPr="00606A8C">
        <w:rPr>
          <w:rFonts w:ascii="Calibri" w:eastAsia="Calibri" w:hAnsi="Calibri"/>
          <w:color w:val="auto"/>
          <w:szCs w:val="24"/>
        </w:rPr>
        <w:t xml:space="preserve">CI’s condition </w:t>
      </w:r>
      <w:r w:rsidR="00EB2D23" w:rsidRPr="00606A8C">
        <w:rPr>
          <w:rFonts w:ascii="Calibri" w:eastAsia="Calibri" w:hAnsi="Calibri"/>
          <w:color w:val="auto"/>
          <w:szCs w:val="24"/>
        </w:rPr>
        <w:t xml:space="preserve">was closest to the </w:t>
      </w:r>
      <w:r w:rsidR="00057F9E" w:rsidRPr="00606A8C">
        <w:rPr>
          <w:rFonts w:ascii="Calibri" w:eastAsia="Calibri" w:hAnsi="Calibri"/>
          <w:color w:val="auto"/>
          <w:szCs w:val="24"/>
        </w:rPr>
        <w:t>moderate (</w:t>
      </w:r>
      <w:r w:rsidR="00EB2D23" w:rsidRPr="00606A8C">
        <w:rPr>
          <w:rFonts w:ascii="Calibri" w:eastAsia="Calibri" w:hAnsi="Calibri"/>
          <w:color w:val="auto"/>
          <w:szCs w:val="24"/>
        </w:rPr>
        <w:t>20%</w:t>
      </w:r>
      <w:r w:rsidR="00057F9E" w:rsidRPr="00606A8C">
        <w:rPr>
          <w:rFonts w:ascii="Calibri" w:eastAsia="Calibri" w:hAnsi="Calibri"/>
          <w:color w:val="auto"/>
          <w:szCs w:val="24"/>
        </w:rPr>
        <w:t xml:space="preserve">) </w:t>
      </w:r>
      <w:r w:rsidR="00873443" w:rsidRPr="00606A8C">
        <w:rPr>
          <w:rFonts w:ascii="Calibri" w:eastAsia="Calibri" w:hAnsi="Calibri"/>
          <w:color w:val="auto"/>
          <w:szCs w:val="24"/>
        </w:rPr>
        <w:t xml:space="preserve">criteria </w:t>
      </w:r>
      <w:r w:rsidR="00057F9E" w:rsidRPr="00606A8C">
        <w:rPr>
          <w:rFonts w:ascii="Calibri" w:eastAsia="Calibri" w:hAnsi="Calibri"/>
          <w:color w:val="auto"/>
          <w:szCs w:val="24"/>
        </w:rPr>
        <w:t xml:space="preserve">than the slight (10%) limitation.  </w:t>
      </w:r>
      <w:r w:rsidRPr="00606A8C">
        <w:rPr>
          <w:rFonts w:ascii="Calibri" w:eastAsia="Calibri" w:hAnsi="Calibri"/>
          <w:color w:val="auto"/>
          <w:szCs w:val="24"/>
        </w:rPr>
        <w:t xml:space="preserve">The Board could find no evidence for an unfitting radiculopathy justifying additional </w:t>
      </w:r>
      <w:r w:rsidR="000239B9">
        <w:rPr>
          <w:rFonts w:ascii="Calibri" w:eastAsia="Calibri" w:hAnsi="Calibri"/>
          <w:color w:val="auto"/>
          <w:szCs w:val="24"/>
        </w:rPr>
        <w:t>s</w:t>
      </w:r>
      <w:r w:rsidRPr="00606A8C">
        <w:rPr>
          <w:rFonts w:ascii="Calibri" w:eastAsia="Calibri" w:hAnsi="Calibri"/>
          <w:color w:val="auto"/>
          <w:szCs w:val="24"/>
        </w:rPr>
        <w:t xml:space="preserve">ervice rating for peripheral nerve impairment.  </w:t>
      </w:r>
      <w:r w:rsidR="00541FEF" w:rsidRPr="00606A8C">
        <w:rPr>
          <w:rFonts w:ascii="Calibri" w:eastAsia="Calibri" w:hAnsi="Calibri"/>
          <w:color w:val="auto"/>
          <w:szCs w:val="24"/>
        </w:rPr>
        <w:t>After due deliberation considering all of the evidence and mindful of VASRD</w:t>
      </w:r>
      <w:r w:rsidR="00CB33C7" w:rsidRPr="00606A8C">
        <w:rPr>
          <w:rFonts w:ascii="Calibri" w:eastAsia="Calibri" w:hAnsi="Calibri"/>
          <w:color w:val="auto"/>
          <w:szCs w:val="24"/>
        </w:rPr>
        <w:t xml:space="preserve"> </w:t>
      </w:r>
      <w:r w:rsidR="00541FEF" w:rsidRPr="00606A8C">
        <w:rPr>
          <w:rFonts w:ascii="Calibri" w:eastAsia="Calibri" w:hAnsi="Calibri"/>
          <w:color w:val="auto"/>
          <w:szCs w:val="24"/>
        </w:rPr>
        <w:t xml:space="preserve">§4.3 (reasonable doubt), the Board recommends a separation rating of </w:t>
      </w:r>
      <w:r w:rsidR="00CB33C7" w:rsidRPr="00606A8C">
        <w:rPr>
          <w:rFonts w:ascii="Calibri" w:eastAsia="Calibri" w:hAnsi="Calibri"/>
          <w:color w:val="auto"/>
          <w:szCs w:val="24"/>
        </w:rPr>
        <w:t>2</w:t>
      </w:r>
      <w:r w:rsidR="00541FEF" w:rsidRPr="00606A8C">
        <w:rPr>
          <w:rFonts w:ascii="Calibri" w:eastAsia="Calibri" w:hAnsi="Calibri"/>
          <w:color w:val="auto"/>
          <w:szCs w:val="24"/>
        </w:rPr>
        <w:t xml:space="preserve">0% for </w:t>
      </w:r>
      <w:r w:rsidR="00541FEF" w:rsidRPr="00606A8C">
        <w:rPr>
          <w:rFonts w:asciiTheme="minorHAnsi" w:hAnsiTheme="minorHAnsi"/>
          <w:color w:val="auto"/>
          <w:szCs w:val="24"/>
        </w:rPr>
        <w:t>H</w:t>
      </w:r>
      <w:r w:rsidR="000239B9">
        <w:rPr>
          <w:rFonts w:asciiTheme="minorHAnsi" w:hAnsiTheme="minorHAnsi"/>
          <w:color w:val="auto"/>
          <w:szCs w:val="24"/>
        </w:rPr>
        <w:t>NP</w:t>
      </w:r>
      <w:r w:rsidR="00541FEF" w:rsidRPr="00606A8C">
        <w:rPr>
          <w:rFonts w:asciiTheme="minorHAnsi" w:hAnsiTheme="minorHAnsi"/>
          <w:color w:val="auto"/>
          <w:szCs w:val="24"/>
        </w:rPr>
        <w:t xml:space="preserve"> to L5/S1 coded </w:t>
      </w:r>
      <w:r w:rsidR="00541FEF" w:rsidRPr="00606A8C">
        <w:rPr>
          <w:rFonts w:asciiTheme="minorHAnsi" w:eastAsia="Calibri" w:hAnsiTheme="minorHAnsi"/>
          <w:color w:val="auto"/>
          <w:szCs w:val="24"/>
        </w:rPr>
        <w:t>529</w:t>
      </w:r>
      <w:r w:rsidR="00CB33C7" w:rsidRPr="00606A8C">
        <w:rPr>
          <w:rFonts w:asciiTheme="minorHAnsi" w:eastAsia="Calibri" w:hAnsiTheme="minorHAnsi"/>
          <w:color w:val="auto"/>
          <w:szCs w:val="24"/>
        </w:rPr>
        <w:t>2</w:t>
      </w:r>
      <w:r w:rsidR="00541FEF" w:rsidRPr="00606A8C">
        <w:rPr>
          <w:rFonts w:asciiTheme="minorHAnsi" w:eastAsia="Calibri" w:hAnsiTheme="minorHAnsi"/>
          <w:color w:val="auto"/>
          <w:szCs w:val="24"/>
        </w:rPr>
        <w:t>.</w:t>
      </w:r>
    </w:p>
    <w:p w:rsidR="003F6C88" w:rsidRPr="00606A8C" w:rsidRDefault="003F6C88" w:rsidP="00654C53">
      <w:pPr>
        <w:spacing w:line="240" w:lineRule="exact"/>
        <w:jc w:val="both"/>
        <w:rPr>
          <w:rFonts w:asciiTheme="minorHAnsi" w:hAnsiTheme="minorHAnsi"/>
          <w:color w:val="auto"/>
          <w:szCs w:val="24"/>
        </w:rPr>
      </w:pPr>
    </w:p>
    <w:p w:rsidR="00541FEF" w:rsidRPr="00606A8C" w:rsidRDefault="00541FEF" w:rsidP="00654C53">
      <w:pPr>
        <w:spacing w:line="240" w:lineRule="exact"/>
        <w:jc w:val="both"/>
        <w:rPr>
          <w:rFonts w:asciiTheme="minorHAnsi" w:hAnsiTheme="minorHAnsi"/>
          <w:color w:val="auto"/>
          <w:szCs w:val="24"/>
        </w:rPr>
      </w:pPr>
      <w:proofErr w:type="gramStart"/>
      <w:r w:rsidRPr="00606A8C">
        <w:rPr>
          <w:rFonts w:asciiTheme="minorHAnsi" w:eastAsia="HiddenHorzOCR" w:hAnsiTheme="minorHAnsi"/>
          <w:color w:val="auto"/>
          <w:szCs w:val="24"/>
          <w:u w:val="single"/>
        </w:rPr>
        <w:t>Other Contended Conditions</w:t>
      </w:r>
      <w:r w:rsidR="000239B9">
        <w:rPr>
          <w:rFonts w:asciiTheme="minorHAnsi" w:eastAsia="HiddenHorzOCR" w:hAnsiTheme="minorHAnsi"/>
          <w:color w:val="auto"/>
          <w:szCs w:val="24"/>
          <w:u w:val="single"/>
        </w:rPr>
        <w:t>.</w:t>
      </w:r>
      <w:proofErr w:type="gramEnd"/>
      <w:r w:rsidRPr="00606A8C">
        <w:rPr>
          <w:rFonts w:asciiTheme="minorHAnsi" w:eastAsia="HiddenHorzOCR" w:hAnsiTheme="minorHAnsi"/>
          <w:color w:val="auto"/>
          <w:szCs w:val="24"/>
        </w:rPr>
        <w:t xml:space="preserve">  The CI’s application asserts that compensable ratings should be considered for </w:t>
      </w:r>
      <w:r w:rsidR="00D4060A" w:rsidRPr="00606A8C">
        <w:rPr>
          <w:rFonts w:asciiTheme="minorHAnsi" w:eastAsia="HiddenHorzOCR" w:hAnsiTheme="minorHAnsi"/>
          <w:color w:val="auto"/>
          <w:szCs w:val="24"/>
        </w:rPr>
        <w:t>tinnitus and migraines</w:t>
      </w:r>
      <w:r w:rsidRPr="00606A8C">
        <w:rPr>
          <w:rFonts w:asciiTheme="minorHAnsi" w:eastAsia="HiddenHorzOCR" w:hAnsiTheme="minorHAnsi"/>
          <w:color w:val="auto"/>
          <w:szCs w:val="24"/>
        </w:rPr>
        <w:t xml:space="preserve">. </w:t>
      </w:r>
      <w:r w:rsidR="00654C53" w:rsidRPr="00606A8C">
        <w:rPr>
          <w:rFonts w:asciiTheme="minorHAnsi" w:eastAsia="HiddenHorzOCR" w:hAnsiTheme="minorHAnsi"/>
          <w:color w:val="auto"/>
          <w:szCs w:val="24"/>
        </w:rPr>
        <w:t xml:space="preserve"> </w:t>
      </w:r>
      <w:r w:rsidR="007F4C96" w:rsidRPr="00606A8C">
        <w:rPr>
          <w:rFonts w:asciiTheme="minorHAnsi" w:eastAsia="HiddenHorzOCR" w:hAnsiTheme="minorHAnsi"/>
          <w:color w:val="auto"/>
          <w:szCs w:val="24"/>
        </w:rPr>
        <w:t xml:space="preserve">The </w:t>
      </w:r>
      <w:r w:rsidR="00D4060A" w:rsidRPr="00606A8C">
        <w:rPr>
          <w:rFonts w:asciiTheme="minorHAnsi" w:eastAsia="HiddenHorzOCR" w:hAnsiTheme="minorHAnsi"/>
          <w:color w:val="auto"/>
          <w:szCs w:val="24"/>
        </w:rPr>
        <w:t xml:space="preserve">migraine headache </w:t>
      </w:r>
      <w:r w:rsidR="007F4C96" w:rsidRPr="00606A8C">
        <w:rPr>
          <w:rFonts w:asciiTheme="minorHAnsi" w:eastAsia="HiddenHorzOCR" w:hAnsiTheme="minorHAnsi"/>
          <w:color w:val="auto"/>
          <w:szCs w:val="24"/>
        </w:rPr>
        <w:t xml:space="preserve">condition was mentioned </w:t>
      </w:r>
      <w:r w:rsidR="00D43033" w:rsidRPr="00606A8C">
        <w:rPr>
          <w:rFonts w:asciiTheme="minorHAnsi" w:eastAsia="HiddenHorzOCR" w:hAnsiTheme="minorHAnsi"/>
          <w:color w:val="auto"/>
          <w:szCs w:val="24"/>
        </w:rPr>
        <w:t xml:space="preserve">in the </w:t>
      </w:r>
      <w:r w:rsidR="00D4060A">
        <w:rPr>
          <w:rFonts w:asciiTheme="minorHAnsi" w:eastAsia="HiddenHorzOCR" w:hAnsiTheme="minorHAnsi"/>
          <w:color w:val="auto"/>
          <w:szCs w:val="24"/>
        </w:rPr>
        <w:t>D</w:t>
      </w:r>
      <w:r w:rsidR="00D43033" w:rsidRPr="00606A8C">
        <w:rPr>
          <w:rFonts w:asciiTheme="minorHAnsi" w:eastAsia="HiddenHorzOCR" w:hAnsiTheme="minorHAnsi"/>
          <w:color w:val="auto"/>
          <w:szCs w:val="24"/>
        </w:rPr>
        <w:t xml:space="preserve">ES file </w:t>
      </w:r>
      <w:r w:rsidR="007F4C96" w:rsidRPr="00606A8C">
        <w:rPr>
          <w:rFonts w:asciiTheme="minorHAnsi" w:eastAsia="HiddenHorzOCR" w:hAnsiTheme="minorHAnsi"/>
          <w:color w:val="auto"/>
          <w:szCs w:val="24"/>
        </w:rPr>
        <w:t xml:space="preserve">on the MEB </w:t>
      </w:r>
      <w:r w:rsidR="005C4FDA" w:rsidRPr="00606A8C">
        <w:rPr>
          <w:rFonts w:asciiTheme="minorHAnsi" w:eastAsia="HiddenHorzOCR" w:hAnsiTheme="minorHAnsi"/>
          <w:color w:val="auto"/>
          <w:szCs w:val="24"/>
        </w:rPr>
        <w:t>h</w:t>
      </w:r>
      <w:r w:rsidR="007F4C96" w:rsidRPr="00606A8C">
        <w:rPr>
          <w:rFonts w:asciiTheme="minorHAnsi" w:eastAsia="HiddenHorzOCR" w:hAnsiTheme="minorHAnsi"/>
          <w:color w:val="auto"/>
          <w:szCs w:val="24"/>
        </w:rPr>
        <w:t>i</w:t>
      </w:r>
      <w:r w:rsidR="005C4FDA" w:rsidRPr="00606A8C">
        <w:rPr>
          <w:rFonts w:asciiTheme="minorHAnsi" w:eastAsia="HiddenHorzOCR" w:hAnsiTheme="minorHAnsi"/>
          <w:color w:val="auto"/>
          <w:szCs w:val="24"/>
        </w:rPr>
        <w:t xml:space="preserve">story and </w:t>
      </w:r>
      <w:r w:rsidR="00654C53" w:rsidRPr="00606A8C">
        <w:rPr>
          <w:rFonts w:asciiTheme="minorHAnsi" w:eastAsia="HiddenHorzOCR" w:hAnsiTheme="minorHAnsi"/>
          <w:color w:val="auto"/>
          <w:szCs w:val="24"/>
        </w:rPr>
        <w:t>physical</w:t>
      </w:r>
      <w:r w:rsidR="00D43033" w:rsidRPr="00606A8C">
        <w:rPr>
          <w:rFonts w:asciiTheme="minorHAnsi" w:eastAsia="HiddenHorzOCR" w:hAnsiTheme="minorHAnsi"/>
          <w:color w:val="auto"/>
          <w:szCs w:val="24"/>
        </w:rPr>
        <w:t xml:space="preserve"> as </w:t>
      </w:r>
      <w:r w:rsidR="00D43033" w:rsidRPr="00606A8C">
        <w:rPr>
          <w:rFonts w:asciiTheme="minorHAnsi" w:hAnsiTheme="minorHAnsi"/>
          <w:color w:val="auto"/>
          <w:szCs w:val="24"/>
        </w:rPr>
        <w:t>random severe headache</w:t>
      </w:r>
      <w:r w:rsidR="00654C53" w:rsidRPr="00606A8C">
        <w:rPr>
          <w:rFonts w:asciiTheme="minorHAnsi" w:eastAsia="HiddenHorzOCR" w:hAnsiTheme="minorHAnsi"/>
          <w:color w:val="auto"/>
          <w:szCs w:val="24"/>
        </w:rPr>
        <w:t>; however</w:t>
      </w:r>
      <w:r w:rsidR="00D43033" w:rsidRPr="00606A8C">
        <w:rPr>
          <w:rFonts w:asciiTheme="minorHAnsi" w:eastAsia="HiddenHorzOCR" w:hAnsiTheme="minorHAnsi"/>
          <w:color w:val="auto"/>
          <w:szCs w:val="24"/>
        </w:rPr>
        <w:t>,</w:t>
      </w:r>
      <w:r w:rsidR="005C4FDA" w:rsidRPr="00606A8C">
        <w:rPr>
          <w:rFonts w:asciiTheme="minorHAnsi" w:eastAsia="HiddenHorzOCR" w:hAnsiTheme="minorHAnsi"/>
          <w:color w:val="auto"/>
          <w:szCs w:val="24"/>
        </w:rPr>
        <w:t xml:space="preserve"> this condition was not mentioned in the NARSUM</w:t>
      </w:r>
      <w:r w:rsidR="00654C53" w:rsidRPr="00606A8C">
        <w:rPr>
          <w:rFonts w:asciiTheme="minorHAnsi" w:eastAsia="HiddenHorzOCR" w:hAnsiTheme="minorHAnsi"/>
          <w:color w:val="auto"/>
          <w:szCs w:val="24"/>
        </w:rPr>
        <w:t xml:space="preserve">, </w:t>
      </w:r>
      <w:r w:rsidR="000239B9" w:rsidRPr="00606A8C">
        <w:rPr>
          <w:rFonts w:asciiTheme="minorHAnsi" w:eastAsia="HiddenHorzOCR" w:hAnsiTheme="minorHAnsi"/>
          <w:color w:val="auto"/>
          <w:szCs w:val="24"/>
        </w:rPr>
        <w:t>non</w:t>
      </w:r>
      <w:r w:rsidR="00C01D58">
        <w:rPr>
          <w:rFonts w:asciiTheme="minorHAnsi" w:eastAsia="HiddenHorzOCR" w:hAnsiTheme="minorHAnsi"/>
          <w:color w:val="auto"/>
          <w:szCs w:val="24"/>
        </w:rPr>
        <w:t>-</w:t>
      </w:r>
      <w:r w:rsidR="000239B9" w:rsidRPr="00606A8C">
        <w:rPr>
          <w:rFonts w:asciiTheme="minorHAnsi" w:eastAsia="HiddenHorzOCR" w:hAnsiTheme="minorHAnsi"/>
          <w:color w:val="auto"/>
          <w:szCs w:val="24"/>
        </w:rPr>
        <w:t xml:space="preserve">medical assessment </w:t>
      </w:r>
      <w:r w:rsidR="005C4FDA" w:rsidRPr="00606A8C">
        <w:rPr>
          <w:rFonts w:asciiTheme="minorHAnsi" w:eastAsia="HiddenHorzOCR" w:hAnsiTheme="minorHAnsi"/>
          <w:color w:val="auto"/>
          <w:szCs w:val="24"/>
        </w:rPr>
        <w:t>(NMA)</w:t>
      </w:r>
      <w:r w:rsidR="00C01D58">
        <w:rPr>
          <w:rFonts w:asciiTheme="minorHAnsi" w:eastAsia="HiddenHorzOCR" w:hAnsiTheme="minorHAnsi"/>
          <w:color w:val="auto"/>
          <w:szCs w:val="24"/>
        </w:rPr>
        <w:t>;</w:t>
      </w:r>
      <w:r w:rsidR="005C4FDA" w:rsidRPr="00606A8C">
        <w:rPr>
          <w:rFonts w:asciiTheme="minorHAnsi" w:eastAsia="HiddenHorzOCR" w:hAnsiTheme="minorHAnsi"/>
          <w:color w:val="auto"/>
          <w:szCs w:val="24"/>
        </w:rPr>
        <w:t xml:space="preserve"> nor was it the cause of the CI’s LIMDU.  The VA initially rated this condition as no</w:t>
      </w:r>
      <w:r w:rsidR="00C01D58">
        <w:rPr>
          <w:rFonts w:asciiTheme="minorHAnsi" w:eastAsia="HiddenHorzOCR" w:hAnsiTheme="minorHAnsi"/>
          <w:color w:val="auto"/>
          <w:szCs w:val="24"/>
        </w:rPr>
        <w:t xml:space="preserve">t </w:t>
      </w:r>
      <w:r w:rsidR="005C4FDA" w:rsidRPr="00606A8C">
        <w:rPr>
          <w:rFonts w:asciiTheme="minorHAnsi" w:eastAsia="HiddenHorzOCR" w:hAnsiTheme="minorHAnsi"/>
          <w:color w:val="auto"/>
          <w:szCs w:val="24"/>
        </w:rPr>
        <w:t xml:space="preserve">service connected. </w:t>
      </w:r>
      <w:r w:rsidR="00D43033" w:rsidRPr="00606A8C">
        <w:rPr>
          <w:rFonts w:asciiTheme="minorHAnsi" w:eastAsia="HiddenHorzOCR" w:hAnsiTheme="minorHAnsi"/>
          <w:color w:val="auto"/>
          <w:szCs w:val="24"/>
        </w:rPr>
        <w:t xml:space="preserve"> </w:t>
      </w:r>
      <w:r w:rsidR="005C4FDA" w:rsidRPr="00606A8C">
        <w:rPr>
          <w:rFonts w:asciiTheme="minorHAnsi" w:eastAsia="HiddenHorzOCR" w:hAnsiTheme="minorHAnsi"/>
          <w:color w:val="auto"/>
          <w:szCs w:val="24"/>
        </w:rPr>
        <w:t xml:space="preserve">In 2007 the CI filed a claim for increased evaluation of the </w:t>
      </w:r>
      <w:r w:rsidR="00D4060A" w:rsidRPr="00606A8C">
        <w:rPr>
          <w:rFonts w:asciiTheme="minorHAnsi" w:eastAsia="HiddenHorzOCR" w:hAnsiTheme="minorHAnsi"/>
          <w:color w:val="auto"/>
          <w:szCs w:val="24"/>
        </w:rPr>
        <w:t xml:space="preserve">migraine headache </w:t>
      </w:r>
      <w:r w:rsidR="005C4FDA" w:rsidRPr="00606A8C">
        <w:rPr>
          <w:rFonts w:asciiTheme="minorHAnsi" w:eastAsia="HiddenHorzOCR" w:hAnsiTheme="minorHAnsi"/>
          <w:color w:val="auto"/>
          <w:szCs w:val="24"/>
        </w:rPr>
        <w:t>condition</w:t>
      </w:r>
      <w:r w:rsidR="00C50AD0" w:rsidRPr="00606A8C">
        <w:rPr>
          <w:rFonts w:asciiTheme="minorHAnsi" w:eastAsia="HiddenHorzOCR" w:hAnsiTheme="minorHAnsi"/>
          <w:color w:val="auto"/>
          <w:szCs w:val="24"/>
        </w:rPr>
        <w:t xml:space="preserve"> and a</w:t>
      </w:r>
      <w:r w:rsidR="005C4FDA" w:rsidRPr="00606A8C">
        <w:rPr>
          <w:rFonts w:asciiTheme="minorHAnsi" w:eastAsia="HiddenHorzOCR" w:hAnsiTheme="minorHAnsi"/>
          <w:color w:val="auto"/>
          <w:szCs w:val="24"/>
        </w:rPr>
        <w:t xml:space="preserve"> VA </w:t>
      </w:r>
      <w:r w:rsidR="00D4060A" w:rsidRPr="00606A8C">
        <w:rPr>
          <w:rFonts w:asciiTheme="minorHAnsi" w:eastAsia="HiddenHorzOCR" w:hAnsiTheme="minorHAnsi"/>
          <w:color w:val="auto"/>
          <w:szCs w:val="24"/>
        </w:rPr>
        <w:t>decision review officer decision a</w:t>
      </w:r>
      <w:r w:rsidR="00C50AD0" w:rsidRPr="00606A8C">
        <w:rPr>
          <w:rFonts w:asciiTheme="minorHAnsi" w:eastAsia="HiddenHorzOCR" w:hAnsiTheme="minorHAnsi"/>
          <w:color w:val="auto"/>
          <w:szCs w:val="24"/>
        </w:rPr>
        <w:t>dded</w:t>
      </w:r>
      <w:r w:rsidR="005C4FDA" w:rsidRPr="00606A8C">
        <w:rPr>
          <w:rFonts w:asciiTheme="minorHAnsi" w:eastAsia="HiddenHorzOCR" w:hAnsiTheme="minorHAnsi"/>
          <w:color w:val="auto"/>
          <w:szCs w:val="24"/>
        </w:rPr>
        <w:t xml:space="preserve"> the </w:t>
      </w:r>
      <w:r w:rsidR="00D4060A" w:rsidRPr="00606A8C">
        <w:rPr>
          <w:rFonts w:asciiTheme="minorHAnsi" w:eastAsia="HiddenHorzOCR" w:hAnsiTheme="minorHAnsi"/>
          <w:color w:val="auto"/>
          <w:szCs w:val="24"/>
        </w:rPr>
        <w:t xml:space="preserve">migraine headache </w:t>
      </w:r>
      <w:r w:rsidR="005C4FDA" w:rsidRPr="00606A8C">
        <w:rPr>
          <w:rFonts w:asciiTheme="minorHAnsi" w:eastAsia="HiddenHorzOCR" w:hAnsiTheme="minorHAnsi"/>
          <w:color w:val="auto"/>
          <w:szCs w:val="24"/>
        </w:rPr>
        <w:t xml:space="preserve">condition </w:t>
      </w:r>
      <w:r w:rsidR="00C50AD0" w:rsidRPr="00606A8C">
        <w:rPr>
          <w:rFonts w:asciiTheme="minorHAnsi" w:eastAsia="HiddenHorzOCR" w:hAnsiTheme="minorHAnsi"/>
          <w:color w:val="auto"/>
          <w:szCs w:val="24"/>
        </w:rPr>
        <w:t xml:space="preserve">at 30% as the VA noted </w:t>
      </w:r>
      <w:r w:rsidR="00E62665" w:rsidRPr="00606A8C">
        <w:rPr>
          <w:rFonts w:asciiTheme="minorHAnsi" w:eastAsia="HiddenHorzOCR" w:hAnsiTheme="minorHAnsi"/>
          <w:color w:val="auto"/>
          <w:szCs w:val="24"/>
        </w:rPr>
        <w:t>the back condition aggravated the migraine headaches.</w:t>
      </w:r>
      <w:r w:rsidR="00D43033" w:rsidRPr="00606A8C">
        <w:rPr>
          <w:rFonts w:asciiTheme="minorHAnsi" w:eastAsia="HiddenHorzOCR" w:hAnsiTheme="minorHAnsi"/>
          <w:color w:val="auto"/>
          <w:szCs w:val="24"/>
        </w:rPr>
        <w:t xml:space="preserve">  The headache/migrain</w:t>
      </w:r>
      <w:r w:rsidRPr="00606A8C">
        <w:rPr>
          <w:rFonts w:asciiTheme="minorHAnsi" w:hAnsiTheme="minorHAnsi"/>
          <w:color w:val="auto"/>
          <w:szCs w:val="24"/>
        </w:rPr>
        <w:t>e c</w:t>
      </w:r>
      <w:r w:rsidR="00D44460" w:rsidRPr="00606A8C">
        <w:rPr>
          <w:rFonts w:asciiTheme="minorHAnsi" w:hAnsiTheme="minorHAnsi"/>
          <w:color w:val="auto"/>
          <w:szCs w:val="24"/>
        </w:rPr>
        <w:t>ondition w</w:t>
      </w:r>
      <w:r w:rsidR="00D43033" w:rsidRPr="00606A8C">
        <w:rPr>
          <w:rFonts w:asciiTheme="minorHAnsi" w:hAnsiTheme="minorHAnsi"/>
          <w:color w:val="auto"/>
          <w:szCs w:val="24"/>
        </w:rPr>
        <w:t>as</w:t>
      </w:r>
      <w:r w:rsidR="00D44460" w:rsidRPr="00606A8C">
        <w:rPr>
          <w:rFonts w:asciiTheme="minorHAnsi" w:hAnsiTheme="minorHAnsi"/>
          <w:color w:val="auto"/>
          <w:szCs w:val="24"/>
        </w:rPr>
        <w:t xml:space="preserve"> reviewed by the </w:t>
      </w:r>
      <w:r w:rsidR="00D4060A" w:rsidRPr="00606A8C">
        <w:rPr>
          <w:rFonts w:asciiTheme="minorHAnsi" w:hAnsiTheme="minorHAnsi"/>
          <w:color w:val="auto"/>
          <w:szCs w:val="24"/>
        </w:rPr>
        <w:t xml:space="preserve">action officer </w:t>
      </w:r>
      <w:r w:rsidRPr="00606A8C">
        <w:rPr>
          <w:rFonts w:asciiTheme="minorHAnsi" w:hAnsiTheme="minorHAnsi"/>
          <w:color w:val="auto"/>
          <w:szCs w:val="24"/>
        </w:rPr>
        <w:t xml:space="preserve">and considered by the Board.  There was no evidence for concluding that </w:t>
      </w:r>
      <w:r w:rsidR="00D43033" w:rsidRPr="00606A8C">
        <w:rPr>
          <w:rFonts w:asciiTheme="minorHAnsi" w:hAnsiTheme="minorHAnsi"/>
          <w:color w:val="auto"/>
          <w:szCs w:val="24"/>
        </w:rPr>
        <w:t xml:space="preserve">the headache </w:t>
      </w:r>
      <w:r w:rsidRPr="00606A8C">
        <w:rPr>
          <w:rFonts w:asciiTheme="minorHAnsi" w:hAnsiTheme="minorHAnsi"/>
          <w:color w:val="auto"/>
          <w:szCs w:val="24"/>
        </w:rPr>
        <w:t>conditions interfered with duty performance to a degree that could be argued as unfitting</w:t>
      </w:r>
      <w:r w:rsidR="00C50AD0" w:rsidRPr="00606A8C">
        <w:rPr>
          <w:rFonts w:asciiTheme="minorHAnsi" w:hAnsiTheme="minorHAnsi"/>
          <w:color w:val="auto"/>
          <w:szCs w:val="24"/>
        </w:rPr>
        <w:t xml:space="preserve"> at the time of separation</w:t>
      </w:r>
      <w:r w:rsidRPr="00606A8C">
        <w:rPr>
          <w:rFonts w:asciiTheme="minorHAnsi" w:hAnsiTheme="minorHAnsi"/>
          <w:color w:val="auto"/>
          <w:szCs w:val="24"/>
        </w:rPr>
        <w:t xml:space="preserve">.  </w:t>
      </w:r>
      <w:r w:rsidR="00D43033" w:rsidRPr="00606A8C">
        <w:rPr>
          <w:rFonts w:asciiTheme="minorHAnsi" w:hAnsiTheme="minorHAnsi"/>
          <w:color w:val="auto"/>
          <w:szCs w:val="24"/>
        </w:rPr>
        <w:t>All evidence considered</w:t>
      </w:r>
      <w:proofErr w:type="gramStart"/>
      <w:r w:rsidR="00D43033" w:rsidRPr="00606A8C">
        <w:rPr>
          <w:rFonts w:asciiTheme="minorHAnsi" w:hAnsiTheme="minorHAnsi"/>
          <w:color w:val="auto"/>
          <w:szCs w:val="24"/>
        </w:rPr>
        <w:t>,</w:t>
      </w:r>
      <w:proofErr w:type="gramEnd"/>
      <w:r w:rsidR="00D43033" w:rsidRPr="00606A8C">
        <w:rPr>
          <w:rFonts w:asciiTheme="minorHAnsi" w:hAnsiTheme="minorHAnsi"/>
          <w:color w:val="auto"/>
          <w:szCs w:val="24"/>
        </w:rPr>
        <w:t xml:space="preserve"> there is not reasonable doubt in the CI’s favor supporting addition of headaches/migraines as an unfitting condition for separation rating.  </w:t>
      </w:r>
      <w:r w:rsidR="00C50AD0" w:rsidRPr="00606A8C">
        <w:rPr>
          <w:rFonts w:asciiTheme="minorHAnsi" w:eastAsia="HiddenHorzOCR" w:hAnsiTheme="minorHAnsi"/>
          <w:color w:val="auto"/>
          <w:szCs w:val="24"/>
        </w:rPr>
        <w:t xml:space="preserve">Tinnitus was not </w:t>
      </w:r>
      <w:r w:rsidR="00C50AD0" w:rsidRPr="00606A8C">
        <w:rPr>
          <w:rFonts w:asciiTheme="minorHAnsi" w:hAnsiTheme="minorHAnsi"/>
          <w:color w:val="auto"/>
          <w:szCs w:val="24"/>
        </w:rPr>
        <w:t xml:space="preserve">noted in the NARSUM, identified by the CI on the MEB physical or found elsewhere in the DES file.  The Board does not have the authority under DoDI 6040.44 to render fitness or rating recommendations for any conditions not considered by the DES.  </w:t>
      </w:r>
      <w:r w:rsidR="00D43033" w:rsidRPr="00606A8C">
        <w:rPr>
          <w:rFonts w:asciiTheme="minorHAnsi" w:hAnsiTheme="minorHAnsi"/>
          <w:color w:val="auto"/>
          <w:szCs w:val="24"/>
        </w:rPr>
        <w:t>The Board therefore has no reasonable basis for recommending any additional unfitting conditions for separation rating.</w:t>
      </w:r>
    </w:p>
    <w:p w:rsidR="00541FEF" w:rsidRPr="00606A8C" w:rsidRDefault="00541FEF" w:rsidP="00654C53">
      <w:pPr>
        <w:tabs>
          <w:tab w:val="left" w:pos="288"/>
          <w:tab w:val="left" w:pos="4752"/>
        </w:tabs>
        <w:spacing w:line="240" w:lineRule="exact"/>
        <w:jc w:val="both"/>
        <w:rPr>
          <w:rFonts w:asciiTheme="minorHAnsi" w:eastAsia="HiddenHorzOCR" w:hAnsiTheme="minorHAnsi"/>
          <w:color w:val="auto"/>
          <w:szCs w:val="24"/>
        </w:rPr>
      </w:pPr>
    </w:p>
    <w:p w:rsidR="00653D2D" w:rsidRPr="00606A8C" w:rsidRDefault="00D44460" w:rsidP="00654C53">
      <w:pPr>
        <w:tabs>
          <w:tab w:val="left" w:pos="288"/>
          <w:tab w:val="left" w:pos="4752"/>
        </w:tabs>
        <w:spacing w:line="240" w:lineRule="exact"/>
        <w:jc w:val="both"/>
        <w:rPr>
          <w:rFonts w:asciiTheme="minorHAnsi" w:hAnsiTheme="minorHAnsi"/>
          <w:color w:val="auto"/>
          <w:szCs w:val="24"/>
          <w:u w:val="single"/>
        </w:rPr>
      </w:pPr>
      <w:proofErr w:type="gramStart"/>
      <w:r w:rsidRPr="00606A8C">
        <w:rPr>
          <w:rFonts w:asciiTheme="minorHAnsi" w:hAnsiTheme="minorHAnsi"/>
          <w:color w:val="auto"/>
          <w:szCs w:val="24"/>
          <w:u w:val="single"/>
        </w:rPr>
        <w:t>Remaining Conditions</w:t>
      </w:r>
      <w:r w:rsidR="000239B9">
        <w:rPr>
          <w:rFonts w:asciiTheme="minorHAnsi" w:hAnsiTheme="minorHAnsi"/>
          <w:color w:val="auto"/>
          <w:szCs w:val="24"/>
          <w:u w:val="single"/>
        </w:rPr>
        <w:t>.</w:t>
      </w:r>
      <w:proofErr w:type="gramEnd"/>
      <w:r w:rsidRPr="00606A8C">
        <w:rPr>
          <w:rFonts w:asciiTheme="minorHAnsi" w:hAnsiTheme="minorHAnsi"/>
          <w:color w:val="auto"/>
          <w:szCs w:val="24"/>
        </w:rPr>
        <w:t xml:space="preserve">  Other conditions identified in the DES file were</w:t>
      </w:r>
      <w:r w:rsidR="00587155" w:rsidRPr="00606A8C">
        <w:rPr>
          <w:rFonts w:asciiTheme="minorHAnsi" w:hAnsiTheme="minorHAnsi"/>
          <w:color w:val="auto"/>
          <w:szCs w:val="24"/>
        </w:rPr>
        <w:t xml:space="preserve"> tinnitus,</w:t>
      </w:r>
      <w:r w:rsidRPr="00606A8C">
        <w:rPr>
          <w:rFonts w:asciiTheme="minorHAnsi" w:hAnsiTheme="minorHAnsi"/>
          <w:color w:val="auto"/>
          <w:szCs w:val="24"/>
        </w:rPr>
        <w:t xml:space="preserve"> left shoulder pain, numbness in big toe, fractured left arm, cyst removed from ear, </w:t>
      </w:r>
      <w:r w:rsidR="00D43033" w:rsidRPr="00606A8C">
        <w:rPr>
          <w:rFonts w:asciiTheme="minorHAnsi" w:hAnsiTheme="minorHAnsi"/>
          <w:color w:val="auto"/>
          <w:szCs w:val="24"/>
        </w:rPr>
        <w:t xml:space="preserve">and </w:t>
      </w:r>
      <w:r w:rsidRPr="00606A8C">
        <w:rPr>
          <w:rFonts w:asciiTheme="minorHAnsi" w:hAnsiTheme="minorHAnsi"/>
          <w:color w:val="auto"/>
          <w:szCs w:val="24"/>
        </w:rPr>
        <w:t>dizziness due to dehydration.</w:t>
      </w:r>
      <w:r w:rsidR="00F63A30">
        <w:rPr>
          <w:rFonts w:asciiTheme="minorHAnsi" w:hAnsiTheme="minorHAnsi"/>
          <w:color w:val="auto"/>
          <w:szCs w:val="24"/>
        </w:rPr>
        <w:t xml:space="preserve">  </w:t>
      </w:r>
      <w:r w:rsidRPr="00606A8C">
        <w:rPr>
          <w:rFonts w:asciiTheme="minorHAnsi" w:hAnsiTheme="minorHAnsi"/>
          <w:color w:val="auto"/>
          <w:szCs w:val="24"/>
        </w:rPr>
        <w:t xml:space="preserve">Several additional non-acute conditions or medical complaints were also documented.  None of these conditions were </w:t>
      </w:r>
      <w:r w:rsidR="00D43033" w:rsidRPr="00606A8C">
        <w:rPr>
          <w:rFonts w:asciiTheme="minorHAnsi" w:hAnsiTheme="minorHAnsi"/>
          <w:color w:val="auto"/>
          <w:szCs w:val="24"/>
        </w:rPr>
        <w:t xml:space="preserve">significantly </w:t>
      </w:r>
      <w:r w:rsidRPr="00606A8C">
        <w:rPr>
          <w:rFonts w:asciiTheme="minorHAnsi" w:hAnsiTheme="minorHAnsi"/>
          <w:color w:val="auto"/>
          <w:szCs w:val="24"/>
        </w:rPr>
        <w:t xml:space="preserve">clinically </w:t>
      </w:r>
      <w:r w:rsidR="00D43033" w:rsidRPr="00606A8C">
        <w:rPr>
          <w:rFonts w:asciiTheme="minorHAnsi" w:hAnsiTheme="minorHAnsi"/>
          <w:color w:val="auto"/>
          <w:szCs w:val="24"/>
        </w:rPr>
        <w:t xml:space="preserve">or occupationally </w:t>
      </w:r>
      <w:r w:rsidRPr="00606A8C">
        <w:rPr>
          <w:rFonts w:asciiTheme="minorHAnsi" w:hAnsiTheme="minorHAnsi"/>
          <w:color w:val="auto"/>
          <w:szCs w:val="24"/>
        </w:rPr>
        <w:t xml:space="preserve">active during the MEB period, none were the bases for limited duty and none were implicated in the NMA.  These conditions were reviewed by </w:t>
      </w:r>
      <w:r w:rsidR="000239B9" w:rsidRPr="00606A8C">
        <w:rPr>
          <w:rFonts w:asciiTheme="minorHAnsi" w:hAnsiTheme="minorHAnsi"/>
          <w:color w:val="auto"/>
          <w:szCs w:val="24"/>
        </w:rPr>
        <w:t xml:space="preserve">the action officer </w:t>
      </w:r>
      <w:r w:rsidRPr="00606A8C">
        <w:rPr>
          <w:rFonts w:asciiTheme="minorHAnsi" w:hAnsiTheme="minorHAnsi"/>
          <w:color w:val="auto"/>
          <w:szCs w:val="24"/>
        </w:rPr>
        <w:t>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106AD8" w:rsidRPr="00606A8C" w:rsidRDefault="00106AD8" w:rsidP="00654C53">
      <w:pPr>
        <w:pBdr>
          <w:bottom w:val="single" w:sz="12" w:space="1" w:color="auto"/>
        </w:pBdr>
        <w:tabs>
          <w:tab w:val="left" w:pos="288"/>
          <w:tab w:val="left" w:pos="4752"/>
        </w:tabs>
        <w:spacing w:line="240" w:lineRule="exact"/>
        <w:jc w:val="both"/>
        <w:rPr>
          <w:rFonts w:ascii="Calibri" w:hAnsi="Calibri"/>
          <w:color w:val="auto"/>
          <w:szCs w:val="24"/>
        </w:rPr>
      </w:pPr>
    </w:p>
    <w:p w:rsidR="00106AD8" w:rsidRPr="00606A8C" w:rsidRDefault="00106AD8" w:rsidP="00654C53">
      <w:pPr>
        <w:tabs>
          <w:tab w:val="left" w:pos="288"/>
          <w:tab w:val="left" w:pos="4752"/>
        </w:tabs>
        <w:spacing w:line="240" w:lineRule="exact"/>
        <w:jc w:val="both"/>
        <w:rPr>
          <w:rFonts w:ascii="Calibri" w:hAnsi="Calibri"/>
          <w:color w:val="auto"/>
          <w:szCs w:val="24"/>
        </w:rPr>
      </w:pPr>
    </w:p>
    <w:p w:rsidR="00E62665" w:rsidRPr="00606A8C" w:rsidRDefault="00C56FC8" w:rsidP="00654C53">
      <w:pPr>
        <w:spacing w:line="240" w:lineRule="exact"/>
        <w:jc w:val="both"/>
        <w:rPr>
          <w:rFonts w:asciiTheme="minorHAnsi" w:hAnsiTheme="minorHAnsi"/>
          <w:color w:val="auto"/>
          <w:szCs w:val="24"/>
        </w:rPr>
      </w:pPr>
      <w:r w:rsidRPr="00606A8C">
        <w:rPr>
          <w:rFonts w:asciiTheme="minorHAnsi" w:hAnsiTheme="minorHAnsi"/>
          <w:color w:val="auto"/>
          <w:szCs w:val="24"/>
          <w:u w:val="single"/>
        </w:rPr>
        <w:t>BOARD FINDINGS</w:t>
      </w:r>
      <w:r w:rsidRPr="00606A8C">
        <w:rPr>
          <w:rFonts w:asciiTheme="minorHAnsi" w:hAnsiTheme="minorHAnsi"/>
          <w:color w:val="auto"/>
          <w:szCs w:val="24"/>
        </w:rPr>
        <w:t>:</w:t>
      </w:r>
      <w:r w:rsidRPr="00606A8C">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50AD0" w:rsidRPr="00606A8C">
        <w:rPr>
          <w:rFonts w:asciiTheme="minorHAnsi" w:eastAsiaTheme="minorHAnsi" w:hAnsiTheme="minorHAnsi"/>
          <w:color w:val="auto"/>
          <w:szCs w:val="24"/>
        </w:rPr>
        <w:t xml:space="preserve">  </w:t>
      </w:r>
      <w:r w:rsidR="00E62665" w:rsidRPr="00606A8C">
        <w:rPr>
          <w:rFonts w:asciiTheme="minorHAnsi" w:eastAsiaTheme="minorHAnsi" w:hAnsiTheme="minorHAnsi"/>
          <w:color w:val="auto"/>
          <w:szCs w:val="24"/>
        </w:rPr>
        <w:t xml:space="preserve">In the matter of the </w:t>
      </w:r>
      <w:r w:rsidR="00E62665" w:rsidRPr="00606A8C">
        <w:rPr>
          <w:rFonts w:asciiTheme="minorHAnsi" w:hAnsiTheme="minorHAnsi"/>
          <w:color w:val="auto"/>
          <w:szCs w:val="24"/>
        </w:rPr>
        <w:t>H</w:t>
      </w:r>
      <w:r w:rsidR="00D4060A">
        <w:rPr>
          <w:rFonts w:asciiTheme="minorHAnsi" w:hAnsiTheme="minorHAnsi"/>
          <w:color w:val="auto"/>
          <w:szCs w:val="24"/>
        </w:rPr>
        <w:t>NP</w:t>
      </w:r>
      <w:r w:rsidR="00E62665" w:rsidRPr="00606A8C">
        <w:rPr>
          <w:rFonts w:asciiTheme="minorHAnsi" w:hAnsiTheme="minorHAnsi"/>
          <w:color w:val="auto"/>
          <w:szCs w:val="24"/>
        </w:rPr>
        <w:t xml:space="preserve"> to L5/S1</w:t>
      </w:r>
      <w:r w:rsidR="007023F4" w:rsidRPr="00606A8C">
        <w:rPr>
          <w:rFonts w:asciiTheme="minorHAnsi" w:hAnsiTheme="minorHAnsi"/>
          <w:color w:val="auto"/>
          <w:szCs w:val="24"/>
        </w:rPr>
        <w:t xml:space="preserve"> </w:t>
      </w:r>
      <w:r w:rsidR="00E62665" w:rsidRPr="00606A8C">
        <w:rPr>
          <w:rFonts w:asciiTheme="minorHAnsi" w:eastAsiaTheme="minorHAnsi" w:hAnsiTheme="minorHAnsi"/>
          <w:color w:val="auto"/>
          <w:szCs w:val="24"/>
        </w:rPr>
        <w:t xml:space="preserve">condition, the Board unanimously recommends a rating of </w:t>
      </w:r>
      <w:r w:rsidR="003F6C88" w:rsidRPr="00606A8C">
        <w:rPr>
          <w:rFonts w:asciiTheme="minorHAnsi" w:eastAsiaTheme="minorHAnsi" w:hAnsiTheme="minorHAnsi"/>
          <w:color w:val="auto"/>
          <w:szCs w:val="24"/>
        </w:rPr>
        <w:t>2</w:t>
      </w:r>
      <w:r w:rsidR="00E62665" w:rsidRPr="00606A8C">
        <w:rPr>
          <w:rFonts w:asciiTheme="minorHAnsi" w:eastAsiaTheme="minorHAnsi" w:hAnsiTheme="minorHAnsi"/>
          <w:color w:val="auto"/>
          <w:szCs w:val="24"/>
        </w:rPr>
        <w:t>0% coded 529</w:t>
      </w:r>
      <w:r w:rsidR="003F6C88" w:rsidRPr="00606A8C">
        <w:rPr>
          <w:rFonts w:asciiTheme="minorHAnsi" w:eastAsiaTheme="minorHAnsi" w:hAnsiTheme="minorHAnsi"/>
          <w:color w:val="auto"/>
          <w:szCs w:val="24"/>
        </w:rPr>
        <w:t>2</w:t>
      </w:r>
      <w:r w:rsidR="00E62665" w:rsidRPr="00606A8C">
        <w:rPr>
          <w:rFonts w:asciiTheme="minorHAnsi" w:eastAsiaTheme="minorHAnsi" w:hAnsiTheme="minorHAnsi"/>
          <w:color w:val="auto"/>
          <w:szCs w:val="24"/>
        </w:rPr>
        <w:t xml:space="preserve"> </w:t>
      </w:r>
      <w:r w:rsidR="00E62665" w:rsidRPr="00606A8C">
        <w:rPr>
          <w:rFonts w:asciiTheme="minorHAnsi" w:hAnsiTheme="minorHAnsi"/>
          <w:color w:val="auto"/>
          <w:szCs w:val="24"/>
        </w:rPr>
        <w:t>IAW VASRD §4.71a</w:t>
      </w:r>
      <w:r w:rsidR="00D43033" w:rsidRPr="00606A8C">
        <w:rPr>
          <w:rFonts w:asciiTheme="minorHAnsi" w:hAnsiTheme="minorHAnsi"/>
          <w:color w:val="auto"/>
          <w:szCs w:val="24"/>
        </w:rPr>
        <w:t>.</w:t>
      </w:r>
      <w:r w:rsidR="00C50AD0" w:rsidRPr="00606A8C">
        <w:rPr>
          <w:rFonts w:asciiTheme="minorHAnsi" w:hAnsiTheme="minorHAnsi"/>
          <w:color w:val="auto"/>
          <w:szCs w:val="24"/>
        </w:rPr>
        <w:t xml:space="preserve">  </w:t>
      </w:r>
      <w:r w:rsidR="00E62665" w:rsidRPr="00606A8C">
        <w:rPr>
          <w:rFonts w:asciiTheme="minorHAnsi" w:hAnsiTheme="minorHAnsi"/>
          <w:color w:val="auto"/>
          <w:szCs w:val="24"/>
        </w:rPr>
        <w:t xml:space="preserve">In the matter of </w:t>
      </w:r>
      <w:r w:rsidR="00654C53" w:rsidRPr="00606A8C">
        <w:rPr>
          <w:rFonts w:asciiTheme="minorHAnsi" w:hAnsiTheme="minorHAnsi"/>
          <w:color w:val="auto"/>
          <w:szCs w:val="24"/>
        </w:rPr>
        <w:t>the</w:t>
      </w:r>
      <w:r w:rsidR="00654C53" w:rsidRPr="00606A8C">
        <w:rPr>
          <w:rFonts w:asciiTheme="minorHAnsi" w:eastAsiaTheme="minorHAnsi" w:hAnsiTheme="minorHAnsi"/>
          <w:color w:val="auto"/>
          <w:szCs w:val="24"/>
        </w:rPr>
        <w:t xml:space="preserve"> </w:t>
      </w:r>
      <w:r w:rsidR="00D4060A" w:rsidRPr="00606A8C">
        <w:rPr>
          <w:rFonts w:asciiTheme="minorHAnsi" w:eastAsiaTheme="minorHAnsi" w:hAnsiTheme="minorHAnsi"/>
          <w:color w:val="auto"/>
          <w:szCs w:val="24"/>
        </w:rPr>
        <w:t>migraine h</w:t>
      </w:r>
      <w:r w:rsidR="00654C53" w:rsidRPr="00606A8C">
        <w:rPr>
          <w:rFonts w:asciiTheme="minorHAnsi" w:eastAsiaTheme="minorHAnsi" w:hAnsiTheme="minorHAnsi"/>
          <w:color w:val="auto"/>
          <w:szCs w:val="24"/>
        </w:rPr>
        <w:t>eadache</w:t>
      </w:r>
      <w:r w:rsidR="00C50AD0" w:rsidRPr="00606A8C">
        <w:rPr>
          <w:rFonts w:asciiTheme="minorHAnsi" w:eastAsiaTheme="minorHAnsi" w:hAnsiTheme="minorHAnsi"/>
          <w:color w:val="auto"/>
          <w:szCs w:val="24"/>
        </w:rPr>
        <w:t xml:space="preserve"> </w:t>
      </w:r>
      <w:r w:rsidR="00E62665" w:rsidRPr="00606A8C">
        <w:rPr>
          <w:rFonts w:asciiTheme="minorHAnsi" w:eastAsiaTheme="minorHAnsi" w:hAnsiTheme="minorHAnsi"/>
          <w:color w:val="auto"/>
          <w:szCs w:val="24"/>
        </w:rPr>
        <w:t>condition</w:t>
      </w:r>
      <w:r w:rsidR="00C50AD0" w:rsidRPr="00606A8C">
        <w:rPr>
          <w:rFonts w:asciiTheme="minorHAnsi" w:eastAsiaTheme="minorHAnsi" w:hAnsiTheme="minorHAnsi"/>
          <w:color w:val="auto"/>
          <w:szCs w:val="24"/>
        </w:rPr>
        <w:t>,</w:t>
      </w:r>
      <w:r w:rsidR="00E62665" w:rsidRPr="00606A8C">
        <w:rPr>
          <w:rFonts w:asciiTheme="minorHAnsi" w:hAnsiTheme="minorHAnsi"/>
          <w:color w:val="auto"/>
          <w:szCs w:val="24"/>
        </w:rPr>
        <w:t xml:space="preserve"> or any other medical conditions eligible for Board consideration</w:t>
      </w:r>
      <w:r w:rsidR="00D4060A">
        <w:rPr>
          <w:rFonts w:asciiTheme="minorHAnsi" w:hAnsiTheme="minorHAnsi"/>
          <w:color w:val="auto"/>
          <w:szCs w:val="24"/>
        </w:rPr>
        <w:t>,</w:t>
      </w:r>
      <w:r w:rsidR="00E62665" w:rsidRPr="00606A8C">
        <w:rPr>
          <w:rFonts w:asciiTheme="minorHAnsi" w:hAnsiTheme="minorHAnsi"/>
          <w:color w:val="auto"/>
          <w:szCs w:val="24"/>
        </w:rPr>
        <w:t xml:space="preserve"> the Board unanimously agrees that it cannot recommend any findings of unfit for additional rating at separation.</w:t>
      </w:r>
    </w:p>
    <w:p w:rsidR="00C56FC8" w:rsidRPr="00606A8C" w:rsidRDefault="00E62665" w:rsidP="00654C53">
      <w:pPr>
        <w:spacing w:line="240" w:lineRule="exact"/>
        <w:jc w:val="both"/>
        <w:rPr>
          <w:rFonts w:asciiTheme="minorHAnsi" w:eastAsiaTheme="minorHAnsi" w:hAnsiTheme="minorHAnsi"/>
          <w:b/>
          <w:color w:val="auto"/>
          <w:szCs w:val="24"/>
        </w:rPr>
      </w:pPr>
      <w:r w:rsidRPr="00606A8C">
        <w:rPr>
          <w:rFonts w:asciiTheme="minorHAnsi" w:eastAsiaTheme="minorHAnsi" w:hAnsiTheme="minorHAnsi"/>
          <w:b/>
          <w:color w:val="auto"/>
          <w:szCs w:val="24"/>
        </w:rPr>
        <w:t>______________________________________________________________________________</w:t>
      </w:r>
    </w:p>
    <w:p w:rsidR="00BF4F49" w:rsidRDefault="00BF4F49" w:rsidP="00654C53">
      <w:pPr>
        <w:spacing w:line="240" w:lineRule="exact"/>
        <w:jc w:val="both"/>
        <w:rPr>
          <w:rFonts w:asciiTheme="minorHAnsi" w:eastAsiaTheme="minorHAnsi" w:hAnsiTheme="minorHAnsi"/>
          <w:color w:val="auto"/>
          <w:szCs w:val="24"/>
        </w:rPr>
      </w:pPr>
    </w:p>
    <w:p w:rsidR="00D4060A" w:rsidRDefault="00D4060A" w:rsidP="00654C53">
      <w:pPr>
        <w:spacing w:line="240" w:lineRule="exact"/>
        <w:jc w:val="both"/>
        <w:rPr>
          <w:rFonts w:asciiTheme="minorHAnsi" w:eastAsiaTheme="minorHAnsi" w:hAnsiTheme="minorHAnsi"/>
          <w:color w:val="auto"/>
          <w:szCs w:val="24"/>
        </w:rPr>
      </w:pPr>
    </w:p>
    <w:p w:rsidR="00D4060A" w:rsidRPr="00606A8C" w:rsidRDefault="00D4060A" w:rsidP="00654C53">
      <w:pPr>
        <w:spacing w:line="240" w:lineRule="exact"/>
        <w:jc w:val="both"/>
        <w:rPr>
          <w:rFonts w:asciiTheme="minorHAnsi" w:eastAsiaTheme="minorHAnsi" w:hAnsiTheme="minorHAnsi"/>
          <w:color w:val="auto"/>
          <w:szCs w:val="24"/>
        </w:rPr>
      </w:pPr>
    </w:p>
    <w:p w:rsidR="001E669C" w:rsidRPr="00606A8C" w:rsidRDefault="00C56FC8" w:rsidP="00654C53">
      <w:pPr>
        <w:spacing w:line="240" w:lineRule="exact"/>
        <w:jc w:val="both"/>
        <w:rPr>
          <w:rFonts w:asciiTheme="minorHAnsi" w:hAnsiTheme="minorHAnsi"/>
          <w:color w:val="auto"/>
          <w:szCs w:val="24"/>
        </w:rPr>
      </w:pPr>
      <w:r w:rsidRPr="00606A8C">
        <w:rPr>
          <w:rFonts w:asciiTheme="minorHAnsi" w:hAnsiTheme="minorHAnsi"/>
          <w:color w:val="auto"/>
          <w:szCs w:val="24"/>
          <w:u w:val="single"/>
        </w:rPr>
        <w:lastRenderedPageBreak/>
        <w:t>RECOMMENDATION</w:t>
      </w:r>
      <w:r w:rsidRPr="00606A8C">
        <w:rPr>
          <w:rFonts w:asciiTheme="minorHAnsi" w:hAnsiTheme="minorHAnsi"/>
          <w:color w:val="auto"/>
          <w:szCs w:val="24"/>
        </w:rPr>
        <w:t xml:space="preserve">: </w:t>
      </w:r>
      <w:r w:rsidR="001E669C" w:rsidRPr="00606A8C">
        <w:rPr>
          <w:rFonts w:asciiTheme="minorHAnsi" w:hAnsiTheme="minorHAnsi"/>
          <w:color w:val="auto"/>
          <w:szCs w:val="24"/>
        </w:rPr>
        <w:t xml:space="preserve"> </w:t>
      </w:r>
      <w:r w:rsidR="003F6C88" w:rsidRPr="00606A8C">
        <w:rPr>
          <w:rFonts w:asciiTheme="minorHAnsi" w:hAnsiTheme="minorHAnsi"/>
          <w:color w:val="auto"/>
          <w:szCs w:val="24"/>
        </w:rPr>
        <w:t>The Board recommends that the CI’s prior determination be modified as follows, effective as of the date of his prior medical separation:</w:t>
      </w:r>
    </w:p>
    <w:p w:rsidR="001E669C" w:rsidRPr="00606A8C"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606A8C"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06A8C" w:rsidRDefault="001E669C" w:rsidP="001E669C">
            <w:pPr>
              <w:tabs>
                <w:tab w:val="left" w:pos="288"/>
                <w:tab w:val="left" w:pos="4752"/>
              </w:tabs>
              <w:spacing w:line="240" w:lineRule="exact"/>
              <w:jc w:val="center"/>
              <w:rPr>
                <w:rFonts w:asciiTheme="minorHAnsi" w:hAnsiTheme="minorHAnsi"/>
                <w:b/>
                <w:color w:val="auto"/>
                <w:szCs w:val="24"/>
              </w:rPr>
            </w:pPr>
            <w:r w:rsidRPr="00606A8C">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06A8C" w:rsidRDefault="001E669C" w:rsidP="001E669C">
            <w:pPr>
              <w:tabs>
                <w:tab w:val="left" w:pos="288"/>
                <w:tab w:val="left" w:pos="4752"/>
              </w:tabs>
              <w:spacing w:line="240" w:lineRule="exact"/>
              <w:jc w:val="center"/>
              <w:rPr>
                <w:rFonts w:asciiTheme="minorHAnsi" w:hAnsiTheme="minorHAnsi"/>
                <w:b/>
                <w:color w:val="auto"/>
                <w:szCs w:val="24"/>
              </w:rPr>
            </w:pPr>
            <w:r w:rsidRPr="00606A8C">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06A8C" w:rsidRDefault="001E669C" w:rsidP="001E669C">
            <w:pPr>
              <w:tabs>
                <w:tab w:val="left" w:pos="288"/>
                <w:tab w:val="left" w:pos="4752"/>
              </w:tabs>
              <w:spacing w:line="240" w:lineRule="exact"/>
              <w:jc w:val="center"/>
              <w:rPr>
                <w:rFonts w:asciiTheme="minorHAnsi" w:hAnsiTheme="minorHAnsi"/>
                <w:b/>
                <w:color w:val="auto"/>
                <w:szCs w:val="24"/>
              </w:rPr>
            </w:pPr>
            <w:r w:rsidRPr="00606A8C">
              <w:rPr>
                <w:rFonts w:asciiTheme="minorHAnsi" w:hAnsiTheme="minorHAnsi"/>
                <w:b/>
                <w:color w:val="auto"/>
                <w:szCs w:val="24"/>
              </w:rPr>
              <w:t>RATING</w:t>
            </w:r>
          </w:p>
        </w:tc>
      </w:tr>
      <w:tr w:rsidR="001E669C" w:rsidRPr="00606A8C"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606A8C" w:rsidRDefault="00E62665" w:rsidP="001E669C">
            <w:pPr>
              <w:tabs>
                <w:tab w:val="left" w:pos="288"/>
                <w:tab w:val="left" w:pos="4752"/>
              </w:tabs>
              <w:spacing w:line="240" w:lineRule="exact"/>
              <w:rPr>
                <w:rFonts w:asciiTheme="minorHAnsi" w:hAnsiTheme="minorHAnsi"/>
                <w:color w:val="auto"/>
                <w:szCs w:val="24"/>
              </w:rPr>
            </w:pPr>
            <w:r w:rsidRPr="00606A8C">
              <w:rPr>
                <w:rFonts w:asciiTheme="minorHAnsi" w:hAnsiTheme="minorHAnsi"/>
                <w:color w:val="auto"/>
                <w:szCs w:val="24"/>
              </w:rPr>
              <w:t xml:space="preserve">Herniated Nucleus </w:t>
            </w:r>
            <w:proofErr w:type="spellStart"/>
            <w:r w:rsidRPr="00606A8C">
              <w:rPr>
                <w:rFonts w:asciiTheme="minorHAnsi" w:hAnsiTheme="minorHAnsi"/>
                <w:color w:val="auto"/>
                <w:szCs w:val="24"/>
              </w:rPr>
              <w:t>Pulposus</w:t>
            </w:r>
            <w:proofErr w:type="spellEnd"/>
            <w:r w:rsidRPr="00606A8C">
              <w:rPr>
                <w:rFonts w:asciiTheme="minorHAnsi" w:hAnsiTheme="minorHAnsi"/>
                <w:color w:val="auto"/>
                <w:szCs w:val="24"/>
              </w:rPr>
              <w:t xml:space="preserve"> to L5/S1</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606A8C" w:rsidRDefault="00E62665" w:rsidP="003F6C88">
            <w:pPr>
              <w:tabs>
                <w:tab w:val="left" w:pos="288"/>
                <w:tab w:val="left" w:pos="4752"/>
              </w:tabs>
              <w:spacing w:line="240" w:lineRule="exact"/>
              <w:jc w:val="center"/>
              <w:rPr>
                <w:rFonts w:asciiTheme="minorHAnsi" w:hAnsiTheme="minorHAnsi"/>
                <w:color w:val="auto"/>
                <w:szCs w:val="24"/>
              </w:rPr>
            </w:pPr>
            <w:r w:rsidRPr="00606A8C">
              <w:rPr>
                <w:rFonts w:asciiTheme="minorHAnsi" w:eastAsiaTheme="minorHAnsi" w:hAnsiTheme="minorHAnsi"/>
                <w:color w:val="auto"/>
                <w:szCs w:val="24"/>
              </w:rPr>
              <w:t>529</w:t>
            </w:r>
            <w:r w:rsidR="003F6C88" w:rsidRPr="00606A8C">
              <w:rPr>
                <w:rFonts w:asciiTheme="minorHAnsi" w:eastAsiaTheme="minorHAnsi" w:hAnsiTheme="minorHAnsi"/>
                <w:color w:val="auto"/>
                <w:szCs w:val="24"/>
              </w:rPr>
              <w:t>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606A8C" w:rsidRDefault="003F6C88" w:rsidP="00233CEC">
            <w:pPr>
              <w:tabs>
                <w:tab w:val="left" w:pos="288"/>
                <w:tab w:val="left" w:pos="4752"/>
              </w:tabs>
              <w:spacing w:line="240" w:lineRule="exact"/>
              <w:jc w:val="center"/>
              <w:rPr>
                <w:rFonts w:asciiTheme="minorHAnsi" w:hAnsiTheme="minorHAnsi"/>
                <w:color w:val="auto"/>
                <w:szCs w:val="24"/>
              </w:rPr>
            </w:pPr>
            <w:r w:rsidRPr="00606A8C">
              <w:rPr>
                <w:rFonts w:asciiTheme="minorHAnsi" w:hAnsiTheme="minorHAnsi"/>
                <w:color w:val="auto"/>
                <w:szCs w:val="24"/>
              </w:rPr>
              <w:t>2</w:t>
            </w:r>
            <w:r w:rsidR="001E669C" w:rsidRPr="00606A8C">
              <w:rPr>
                <w:rFonts w:asciiTheme="minorHAnsi" w:hAnsiTheme="minorHAnsi"/>
                <w:color w:val="auto"/>
                <w:szCs w:val="24"/>
              </w:rPr>
              <w:t>0%</w:t>
            </w:r>
          </w:p>
        </w:tc>
      </w:tr>
      <w:tr w:rsidR="001E669C" w:rsidRPr="00606A8C"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606A8C" w:rsidRDefault="001E669C" w:rsidP="001E669C">
            <w:pPr>
              <w:tabs>
                <w:tab w:val="left" w:pos="288"/>
                <w:tab w:val="left" w:pos="4752"/>
              </w:tabs>
              <w:spacing w:line="240" w:lineRule="exact"/>
              <w:jc w:val="center"/>
              <w:rPr>
                <w:rFonts w:asciiTheme="minorHAnsi" w:hAnsiTheme="minorHAnsi"/>
                <w:b/>
                <w:color w:val="auto"/>
                <w:szCs w:val="24"/>
              </w:rPr>
            </w:pPr>
            <w:r w:rsidRPr="00606A8C">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606A8C" w:rsidRDefault="003F6C88" w:rsidP="00233CEC">
            <w:pPr>
              <w:tabs>
                <w:tab w:val="left" w:pos="288"/>
                <w:tab w:val="left" w:pos="4752"/>
              </w:tabs>
              <w:spacing w:line="240" w:lineRule="exact"/>
              <w:jc w:val="center"/>
              <w:rPr>
                <w:rFonts w:asciiTheme="minorHAnsi" w:hAnsiTheme="minorHAnsi"/>
                <w:b/>
                <w:color w:val="auto"/>
                <w:szCs w:val="24"/>
              </w:rPr>
            </w:pPr>
            <w:r w:rsidRPr="00606A8C">
              <w:rPr>
                <w:rFonts w:asciiTheme="minorHAnsi" w:hAnsiTheme="minorHAnsi"/>
                <w:b/>
                <w:color w:val="auto"/>
                <w:szCs w:val="24"/>
              </w:rPr>
              <w:t>2</w:t>
            </w:r>
            <w:r w:rsidR="001E669C" w:rsidRPr="00606A8C">
              <w:rPr>
                <w:rFonts w:asciiTheme="minorHAnsi" w:hAnsiTheme="minorHAnsi"/>
                <w:b/>
                <w:color w:val="auto"/>
                <w:szCs w:val="24"/>
              </w:rPr>
              <w:t>0%</w:t>
            </w:r>
          </w:p>
        </w:tc>
      </w:tr>
    </w:tbl>
    <w:p w:rsidR="00106AD8" w:rsidRPr="00606A8C" w:rsidRDefault="00106AD8" w:rsidP="001E669C">
      <w:pPr>
        <w:tabs>
          <w:tab w:val="left" w:pos="288"/>
          <w:tab w:val="left" w:pos="4752"/>
        </w:tabs>
        <w:spacing w:line="240" w:lineRule="exact"/>
        <w:jc w:val="both"/>
        <w:rPr>
          <w:rFonts w:ascii="Calibri" w:hAnsi="Calibri"/>
          <w:color w:val="auto"/>
          <w:szCs w:val="24"/>
        </w:rPr>
      </w:pPr>
    </w:p>
    <w:p w:rsidR="00106AD8" w:rsidRPr="00606A8C" w:rsidRDefault="00285BAC" w:rsidP="00106AD8">
      <w:pPr>
        <w:tabs>
          <w:tab w:val="left" w:pos="288"/>
          <w:tab w:val="left" w:pos="4752"/>
        </w:tabs>
        <w:spacing w:line="240" w:lineRule="exact"/>
        <w:rPr>
          <w:rFonts w:ascii="Calibri" w:hAnsi="Calibri"/>
          <w:color w:val="auto"/>
          <w:szCs w:val="24"/>
        </w:rPr>
      </w:pPr>
      <w:r w:rsidRPr="00606A8C">
        <w:rPr>
          <w:rFonts w:ascii="Calibri" w:hAnsi="Calibri"/>
          <w:color w:val="auto"/>
          <w:szCs w:val="24"/>
        </w:rPr>
        <w:t>______________________________________________________________________________</w:t>
      </w:r>
    </w:p>
    <w:p w:rsidR="00285BAC" w:rsidRPr="00606A8C" w:rsidRDefault="00285BAC" w:rsidP="00190E48">
      <w:pPr>
        <w:tabs>
          <w:tab w:val="left" w:pos="288"/>
          <w:tab w:val="left" w:pos="4752"/>
        </w:tabs>
        <w:spacing w:line="240" w:lineRule="exact"/>
        <w:jc w:val="both"/>
        <w:rPr>
          <w:rFonts w:asciiTheme="minorHAnsi" w:hAnsiTheme="minorHAnsi"/>
          <w:color w:val="auto"/>
        </w:rPr>
      </w:pPr>
    </w:p>
    <w:p w:rsidR="00D91DA6" w:rsidRPr="00606A8C" w:rsidRDefault="00FB1725" w:rsidP="00190E48">
      <w:pPr>
        <w:tabs>
          <w:tab w:val="left" w:pos="288"/>
          <w:tab w:val="left" w:pos="4752"/>
        </w:tabs>
        <w:spacing w:line="240" w:lineRule="exact"/>
        <w:jc w:val="both"/>
        <w:rPr>
          <w:rFonts w:asciiTheme="minorHAnsi" w:hAnsiTheme="minorHAnsi"/>
          <w:color w:val="auto"/>
        </w:rPr>
      </w:pPr>
      <w:r w:rsidRPr="00606A8C">
        <w:rPr>
          <w:rFonts w:asciiTheme="minorHAnsi" w:hAnsiTheme="minorHAnsi"/>
          <w:color w:val="auto"/>
        </w:rPr>
        <w:t>The following documentary evidence was considered:</w:t>
      </w:r>
    </w:p>
    <w:p w:rsidR="00EB5EFD" w:rsidRPr="00606A8C" w:rsidRDefault="00EB5EFD" w:rsidP="00190E48">
      <w:pPr>
        <w:tabs>
          <w:tab w:val="left" w:pos="288"/>
          <w:tab w:val="left" w:pos="4752"/>
        </w:tabs>
        <w:spacing w:line="240" w:lineRule="exact"/>
        <w:jc w:val="both"/>
        <w:rPr>
          <w:rFonts w:asciiTheme="minorHAnsi" w:hAnsiTheme="minorHAnsi"/>
          <w:color w:val="auto"/>
        </w:rPr>
      </w:pPr>
    </w:p>
    <w:p w:rsidR="00114F20" w:rsidRPr="00606A8C" w:rsidRDefault="00FB1725" w:rsidP="00190E48">
      <w:pPr>
        <w:tabs>
          <w:tab w:val="left" w:pos="288"/>
          <w:tab w:val="left" w:pos="4752"/>
        </w:tabs>
        <w:spacing w:line="240" w:lineRule="exact"/>
        <w:jc w:val="both"/>
        <w:rPr>
          <w:rFonts w:asciiTheme="minorHAnsi" w:hAnsiTheme="minorHAnsi"/>
          <w:color w:val="auto"/>
        </w:rPr>
      </w:pPr>
      <w:r w:rsidRPr="00606A8C">
        <w:rPr>
          <w:rFonts w:asciiTheme="minorHAnsi" w:hAnsiTheme="minorHAnsi"/>
          <w:color w:val="auto"/>
        </w:rPr>
        <w:t xml:space="preserve">Exhibit A.  DD Form </w:t>
      </w:r>
      <w:proofErr w:type="gramStart"/>
      <w:r w:rsidRPr="00606A8C">
        <w:rPr>
          <w:rFonts w:asciiTheme="minorHAnsi" w:hAnsiTheme="minorHAnsi"/>
          <w:color w:val="auto"/>
        </w:rPr>
        <w:t>294,</w:t>
      </w:r>
      <w:proofErr w:type="gramEnd"/>
      <w:r w:rsidRPr="00606A8C">
        <w:rPr>
          <w:rFonts w:asciiTheme="minorHAnsi" w:hAnsiTheme="minorHAnsi"/>
          <w:color w:val="auto"/>
        </w:rPr>
        <w:t xml:space="preserve"> dated </w:t>
      </w:r>
      <w:r w:rsidR="00E32FD7" w:rsidRPr="00606A8C">
        <w:rPr>
          <w:rFonts w:asciiTheme="minorHAnsi" w:hAnsiTheme="minorHAnsi"/>
          <w:color w:val="auto"/>
        </w:rPr>
        <w:t>20100707</w:t>
      </w:r>
      <w:r w:rsidRPr="00606A8C">
        <w:rPr>
          <w:rFonts w:asciiTheme="minorHAnsi" w:hAnsiTheme="minorHAnsi"/>
          <w:color w:val="auto"/>
        </w:rPr>
        <w:t>, w/</w:t>
      </w:r>
      <w:proofErr w:type="spellStart"/>
      <w:r w:rsidRPr="00606A8C">
        <w:rPr>
          <w:rFonts w:asciiTheme="minorHAnsi" w:hAnsiTheme="minorHAnsi"/>
          <w:color w:val="auto"/>
        </w:rPr>
        <w:t>atchs</w:t>
      </w:r>
      <w:proofErr w:type="spellEnd"/>
      <w:r w:rsidRPr="00606A8C">
        <w:rPr>
          <w:rFonts w:asciiTheme="minorHAnsi" w:hAnsiTheme="minorHAnsi"/>
          <w:color w:val="auto"/>
        </w:rPr>
        <w:t>.</w:t>
      </w:r>
    </w:p>
    <w:p w:rsidR="00114F20" w:rsidRPr="00606A8C" w:rsidRDefault="00FB1725" w:rsidP="00190E48">
      <w:pPr>
        <w:tabs>
          <w:tab w:val="left" w:pos="288"/>
          <w:tab w:val="left" w:pos="4752"/>
        </w:tabs>
        <w:spacing w:line="240" w:lineRule="exact"/>
        <w:jc w:val="both"/>
        <w:rPr>
          <w:rFonts w:asciiTheme="minorHAnsi" w:hAnsiTheme="minorHAnsi"/>
          <w:color w:val="auto"/>
        </w:rPr>
      </w:pPr>
      <w:r w:rsidRPr="00606A8C">
        <w:rPr>
          <w:rFonts w:asciiTheme="minorHAnsi" w:hAnsiTheme="minorHAnsi"/>
          <w:color w:val="auto"/>
        </w:rPr>
        <w:t xml:space="preserve">Exhibit B.  </w:t>
      </w:r>
      <w:proofErr w:type="gramStart"/>
      <w:r w:rsidRPr="00606A8C">
        <w:rPr>
          <w:rFonts w:asciiTheme="minorHAnsi" w:hAnsiTheme="minorHAnsi"/>
          <w:color w:val="auto"/>
        </w:rPr>
        <w:t>Service Treatment Record.</w:t>
      </w:r>
      <w:proofErr w:type="gramEnd"/>
    </w:p>
    <w:p w:rsidR="00114F20" w:rsidRPr="00606A8C" w:rsidRDefault="00FB1725" w:rsidP="00190E48">
      <w:pPr>
        <w:tabs>
          <w:tab w:val="left" w:pos="288"/>
          <w:tab w:val="left" w:pos="4752"/>
        </w:tabs>
        <w:spacing w:line="240" w:lineRule="exact"/>
        <w:jc w:val="both"/>
        <w:rPr>
          <w:rFonts w:asciiTheme="minorHAnsi" w:hAnsiTheme="minorHAnsi"/>
          <w:color w:val="auto"/>
        </w:rPr>
      </w:pPr>
      <w:r w:rsidRPr="00606A8C">
        <w:rPr>
          <w:rFonts w:asciiTheme="minorHAnsi" w:hAnsiTheme="minorHAnsi"/>
          <w:color w:val="auto"/>
        </w:rPr>
        <w:t xml:space="preserve">Exhibit C.  </w:t>
      </w:r>
      <w:proofErr w:type="gramStart"/>
      <w:r w:rsidRPr="00606A8C">
        <w:rPr>
          <w:rFonts w:asciiTheme="minorHAnsi" w:hAnsiTheme="minorHAnsi"/>
          <w:color w:val="auto"/>
        </w:rPr>
        <w:t>Department of Veterans' Affairs Treatment Record.</w:t>
      </w:r>
      <w:proofErr w:type="gramEnd"/>
    </w:p>
    <w:p w:rsidR="00D91DA6" w:rsidRPr="00606A8C" w:rsidRDefault="00D91DA6" w:rsidP="00190E48">
      <w:pPr>
        <w:tabs>
          <w:tab w:val="left" w:pos="288"/>
          <w:tab w:val="left" w:pos="4752"/>
        </w:tabs>
        <w:spacing w:line="240" w:lineRule="exact"/>
        <w:jc w:val="both"/>
        <w:rPr>
          <w:rFonts w:asciiTheme="minorHAnsi" w:hAnsiTheme="minorHAnsi"/>
          <w:color w:val="auto"/>
        </w:rPr>
      </w:pPr>
    </w:p>
    <w:p w:rsidR="00233CEC" w:rsidRPr="00606A8C" w:rsidRDefault="00233CEC" w:rsidP="00190E48">
      <w:pPr>
        <w:tabs>
          <w:tab w:val="left" w:pos="288"/>
          <w:tab w:val="left" w:pos="4752"/>
        </w:tabs>
        <w:spacing w:line="240" w:lineRule="exact"/>
        <w:jc w:val="both"/>
        <w:rPr>
          <w:rFonts w:asciiTheme="minorHAnsi" w:hAnsiTheme="minorHAnsi"/>
          <w:color w:val="auto"/>
        </w:rPr>
      </w:pPr>
    </w:p>
    <w:p w:rsidR="00233CEC" w:rsidRPr="00606A8C" w:rsidRDefault="00233CEC" w:rsidP="00190E48">
      <w:pPr>
        <w:tabs>
          <w:tab w:val="left" w:pos="288"/>
          <w:tab w:val="left" w:pos="4752"/>
        </w:tabs>
        <w:spacing w:line="240" w:lineRule="exact"/>
        <w:jc w:val="both"/>
        <w:rPr>
          <w:rFonts w:asciiTheme="minorHAnsi" w:hAnsiTheme="minorHAnsi"/>
          <w:color w:val="auto"/>
        </w:rPr>
      </w:pPr>
    </w:p>
    <w:p w:rsidR="00233CEC" w:rsidRPr="00606A8C" w:rsidRDefault="00233CEC" w:rsidP="00190E48">
      <w:pPr>
        <w:tabs>
          <w:tab w:val="left" w:pos="288"/>
          <w:tab w:val="left" w:pos="4752"/>
        </w:tabs>
        <w:spacing w:line="240" w:lineRule="exact"/>
        <w:jc w:val="both"/>
        <w:rPr>
          <w:rFonts w:asciiTheme="minorHAnsi" w:hAnsiTheme="minorHAnsi"/>
          <w:color w:val="auto"/>
        </w:rPr>
      </w:pPr>
    </w:p>
    <w:p w:rsidR="00D91DA6" w:rsidRPr="00606A8C" w:rsidRDefault="00FB1725" w:rsidP="00190E48">
      <w:pPr>
        <w:tabs>
          <w:tab w:val="left" w:pos="0"/>
          <w:tab w:val="left" w:pos="4320"/>
        </w:tabs>
        <w:spacing w:line="240" w:lineRule="exact"/>
        <w:jc w:val="both"/>
        <w:rPr>
          <w:rFonts w:asciiTheme="minorHAnsi" w:hAnsiTheme="minorHAnsi"/>
          <w:color w:val="auto"/>
        </w:rPr>
      </w:pPr>
      <w:r w:rsidRPr="00606A8C">
        <w:rPr>
          <w:rFonts w:asciiTheme="minorHAnsi" w:hAnsiTheme="minorHAnsi"/>
          <w:color w:val="auto"/>
        </w:rPr>
        <w:t xml:space="preserve">                             </w:t>
      </w:r>
      <w:r w:rsidRPr="00606A8C">
        <w:rPr>
          <w:rFonts w:asciiTheme="minorHAnsi" w:hAnsiTheme="minorHAnsi"/>
          <w:color w:val="auto"/>
        </w:rPr>
        <w:tab/>
      </w:r>
      <w:r w:rsidRPr="00606A8C">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06A8C">
        <w:rPr>
          <w:rFonts w:asciiTheme="minorHAnsi" w:hAnsiTheme="minorHAnsi"/>
          <w:color w:val="auto"/>
        </w:rPr>
        <w:tab/>
        <w:t xml:space="preserve">                           </w:t>
      </w:r>
      <w:r w:rsidRPr="00606A8C">
        <w:rPr>
          <w:rFonts w:asciiTheme="minorHAnsi" w:hAnsiTheme="minorHAnsi"/>
          <w:color w:val="auto"/>
        </w:rPr>
        <w:tab/>
      </w:r>
      <w:r w:rsidRPr="00606A8C">
        <w:rPr>
          <w:rFonts w:asciiTheme="minorHAnsi" w:hAnsiTheme="minorHAnsi"/>
          <w:color w:val="auto"/>
        </w:rPr>
        <w:tab/>
      </w:r>
      <w:r w:rsidRPr="00606A8C">
        <w:rPr>
          <w:rFonts w:asciiTheme="minorHAnsi" w:hAnsiTheme="minorHAnsi"/>
          <w:color w:val="auto"/>
        </w:rPr>
        <w:tab/>
      </w:r>
      <w:r w:rsidRPr="00606A8C">
        <w:rPr>
          <w:rFonts w:asciiTheme="minorHAnsi" w:hAnsiTheme="minorHAnsi"/>
          <w:color w:val="auto"/>
        </w:rPr>
        <w:tab/>
      </w:r>
      <w:r w:rsidRPr="00606A8C">
        <w:rPr>
          <w:rFonts w:asciiTheme="minorHAnsi" w:hAnsiTheme="minorHAnsi"/>
          <w:color w:val="auto"/>
        </w:rPr>
        <w:tab/>
        <w:t>Physical Disability Board of Review</w:t>
      </w:r>
    </w:p>
    <w:p w:rsidR="005C7DA0" w:rsidRDefault="005C7DA0">
      <w:pPr>
        <w:rPr>
          <w:rFonts w:asciiTheme="minorHAnsi" w:hAnsiTheme="minorHAnsi"/>
          <w:color w:val="auto"/>
          <w:sz w:val="20"/>
        </w:rPr>
      </w:pPr>
      <w:r>
        <w:rPr>
          <w:rFonts w:asciiTheme="minorHAnsi" w:hAnsiTheme="minorHAnsi"/>
          <w:color w:val="auto"/>
          <w:sz w:val="20"/>
        </w:rPr>
        <w:br w:type="page"/>
      </w:r>
    </w:p>
    <w:p w:rsidR="00AC0E5A" w:rsidRPr="00AC0E5A" w:rsidRDefault="00AC0E5A"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 w:val="20"/>
        </w:rPr>
      </w:pPr>
    </w:p>
    <w:p w:rsidR="00AC0E5A" w:rsidRPr="00AC0E5A" w:rsidRDefault="00AC0E5A" w:rsidP="00AC0E5A">
      <w:pPr>
        <w:rPr>
          <w:color w:val="auto"/>
          <w:sz w:val="20"/>
        </w:rPr>
      </w:pPr>
      <w:r w:rsidRPr="00AC0E5A">
        <w:rPr>
          <w:color w:val="auto"/>
          <w:sz w:val="20"/>
        </w:rPr>
        <w:t>MEMORANDUM FOR DEPUTY COMMANDANT, MANPOWER &amp; RESERVE AFFAIRS</w:t>
      </w:r>
    </w:p>
    <w:p w:rsidR="00AC0E5A" w:rsidRPr="00AC0E5A" w:rsidRDefault="00AC0E5A" w:rsidP="00AC0E5A">
      <w:pPr>
        <w:rPr>
          <w:color w:val="auto"/>
          <w:sz w:val="20"/>
        </w:rPr>
      </w:pPr>
    </w:p>
    <w:p w:rsidR="00AC0E5A" w:rsidRPr="00AC0E5A" w:rsidRDefault="00AC0E5A" w:rsidP="00AC0E5A">
      <w:pPr>
        <w:rPr>
          <w:color w:val="auto"/>
          <w:sz w:val="20"/>
        </w:rPr>
      </w:pPr>
      <w:proofErr w:type="spellStart"/>
      <w:r w:rsidRPr="00AC0E5A">
        <w:rPr>
          <w:color w:val="auto"/>
          <w:sz w:val="20"/>
        </w:rPr>
        <w:t>Subj</w:t>
      </w:r>
      <w:proofErr w:type="spellEnd"/>
      <w:r w:rsidRPr="00AC0E5A">
        <w:rPr>
          <w:color w:val="auto"/>
          <w:sz w:val="20"/>
        </w:rPr>
        <w:t>:  PHYSICAL DISABILITY BOARD OF REVIEW (PDBR) RECOMMENDATION</w:t>
      </w:r>
    </w:p>
    <w:p w:rsidR="00AC0E5A" w:rsidRPr="00AC0E5A" w:rsidRDefault="00AC0E5A" w:rsidP="00AC0E5A">
      <w:pPr>
        <w:tabs>
          <w:tab w:val="left" w:pos="630"/>
        </w:tabs>
        <w:rPr>
          <w:color w:val="auto"/>
          <w:sz w:val="20"/>
        </w:rPr>
      </w:pPr>
      <w:r w:rsidRPr="00AC0E5A">
        <w:rPr>
          <w:color w:val="auto"/>
          <w:sz w:val="20"/>
        </w:rPr>
        <w:t xml:space="preserve">          </w:t>
      </w:r>
      <w:r w:rsidRPr="00AC0E5A">
        <w:rPr>
          <w:color w:val="auto"/>
          <w:sz w:val="20"/>
        </w:rPr>
        <w:tab/>
        <w:t xml:space="preserve">ICO </w:t>
      </w:r>
      <w:r>
        <w:rPr>
          <w:color w:val="auto"/>
          <w:sz w:val="20"/>
        </w:rPr>
        <w:t>XXXX</w:t>
      </w:r>
      <w:r w:rsidRPr="00AC0E5A">
        <w:rPr>
          <w:color w:val="auto"/>
          <w:sz w:val="20"/>
        </w:rPr>
        <w:t xml:space="preserve">, FORMER USMC, XXX XX </w:t>
      </w:r>
      <w:r>
        <w:rPr>
          <w:color w:val="auto"/>
          <w:sz w:val="20"/>
        </w:rPr>
        <w:t>XXXX</w:t>
      </w:r>
    </w:p>
    <w:p w:rsidR="00AC0E5A" w:rsidRPr="00AC0E5A" w:rsidRDefault="00AC0E5A" w:rsidP="00AC0E5A">
      <w:pPr>
        <w:rPr>
          <w:color w:val="auto"/>
          <w:sz w:val="20"/>
        </w:rPr>
      </w:pPr>
    </w:p>
    <w:p w:rsidR="00AC0E5A" w:rsidRPr="00AC0E5A" w:rsidRDefault="00AC0E5A" w:rsidP="00AC0E5A">
      <w:pPr>
        <w:rPr>
          <w:color w:val="auto"/>
          <w:sz w:val="20"/>
        </w:rPr>
      </w:pPr>
      <w:r w:rsidRPr="00AC0E5A">
        <w:rPr>
          <w:color w:val="auto"/>
          <w:sz w:val="20"/>
        </w:rPr>
        <w:t>Ref:   (a) DoDI 6040.44</w:t>
      </w:r>
    </w:p>
    <w:p w:rsidR="00AC0E5A" w:rsidRPr="00AC0E5A" w:rsidRDefault="00AC0E5A" w:rsidP="00AC0E5A">
      <w:pPr>
        <w:rPr>
          <w:color w:val="auto"/>
          <w:sz w:val="20"/>
        </w:rPr>
      </w:pPr>
      <w:r w:rsidRPr="00AC0E5A">
        <w:rPr>
          <w:color w:val="auto"/>
          <w:sz w:val="20"/>
        </w:rPr>
        <w:t xml:space="preserve">          (b) PDBR </w:t>
      </w:r>
      <w:proofErr w:type="spellStart"/>
      <w:r w:rsidRPr="00AC0E5A">
        <w:rPr>
          <w:color w:val="auto"/>
          <w:sz w:val="20"/>
        </w:rPr>
        <w:t>ltr</w:t>
      </w:r>
      <w:proofErr w:type="spellEnd"/>
      <w:r w:rsidRPr="00AC0E5A">
        <w:rPr>
          <w:color w:val="auto"/>
          <w:sz w:val="20"/>
        </w:rPr>
        <w:t xml:space="preserve"> </w:t>
      </w:r>
      <w:proofErr w:type="spellStart"/>
      <w:r w:rsidRPr="00AC0E5A">
        <w:rPr>
          <w:color w:val="auto"/>
          <w:sz w:val="20"/>
        </w:rPr>
        <w:t>dtd</w:t>
      </w:r>
      <w:proofErr w:type="spellEnd"/>
      <w:r w:rsidRPr="00AC0E5A">
        <w:rPr>
          <w:color w:val="auto"/>
          <w:sz w:val="20"/>
        </w:rPr>
        <w:t xml:space="preserve"> 26 Jul 11</w:t>
      </w:r>
    </w:p>
    <w:p w:rsidR="00AC0E5A" w:rsidRPr="00AC0E5A" w:rsidRDefault="00AC0E5A" w:rsidP="00AC0E5A">
      <w:pPr>
        <w:rPr>
          <w:color w:val="auto"/>
          <w:sz w:val="20"/>
        </w:rPr>
      </w:pPr>
    </w:p>
    <w:p w:rsidR="00AC0E5A" w:rsidRPr="00AC0E5A" w:rsidRDefault="00AC0E5A" w:rsidP="00AC0E5A">
      <w:pPr>
        <w:rPr>
          <w:color w:val="auto"/>
          <w:sz w:val="20"/>
        </w:rPr>
      </w:pPr>
      <w:r w:rsidRPr="00AC0E5A">
        <w:rPr>
          <w:color w:val="auto"/>
          <w:sz w:val="20"/>
        </w:rPr>
        <w:t>1.  I have reviewed subject case pursuant to reference (a) and approve the recommendation of the PDBR (reference (b)).</w:t>
      </w:r>
    </w:p>
    <w:p w:rsidR="00AC0E5A" w:rsidRPr="00AC0E5A" w:rsidRDefault="00AC0E5A" w:rsidP="00AC0E5A">
      <w:pPr>
        <w:rPr>
          <w:color w:val="auto"/>
          <w:sz w:val="20"/>
        </w:rPr>
      </w:pPr>
    </w:p>
    <w:p w:rsidR="00AC0E5A" w:rsidRPr="00AC0E5A" w:rsidRDefault="00AC0E5A" w:rsidP="00AC0E5A">
      <w:pPr>
        <w:rPr>
          <w:color w:val="auto"/>
          <w:sz w:val="20"/>
        </w:rPr>
      </w:pPr>
      <w:r w:rsidRPr="00AC0E5A">
        <w:rPr>
          <w:color w:val="auto"/>
          <w:sz w:val="20"/>
        </w:rPr>
        <w:t>2.  The subject member’s official records are to be corrected to reflect the following disposition:</w:t>
      </w:r>
    </w:p>
    <w:p w:rsidR="00AC0E5A" w:rsidRPr="00AC0E5A" w:rsidRDefault="00AC0E5A" w:rsidP="00AC0E5A">
      <w:pPr>
        <w:rPr>
          <w:color w:val="auto"/>
          <w:sz w:val="20"/>
        </w:rPr>
      </w:pPr>
    </w:p>
    <w:p w:rsidR="00AC0E5A" w:rsidRPr="00AC0E5A" w:rsidRDefault="00AC0E5A" w:rsidP="00AC0E5A">
      <w:pPr>
        <w:rPr>
          <w:color w:val="auto"/>
          <w:sz w:val="20"/>
        </w:rPr>
      </w:pPr>
      <w:r w:rsidRPr="00AC0E5A">
        <w:rPr>
          <w:color w:val="auto"/>
          <w:sz w:val="20"/>
        </w:rPr>
        <w:tab/>
        <w:t>a. Separation from the Naval service due to physical disability rated at 20 percent (increased from 0 percent) effective 30 June 2003.</w:t>
      </w:r>
    </w:p>
    <w:p w:rsidR="00AC0E5A" w:rsidRPr="00AC0E5A" w:rsidRDefault="00AC0E5A" w:rsidP="00AC0E5A">
      <w:pPr>
        <w:rPr>
          <w:color w:val="auto"/>
          <w:sz w:val="20"/>
        </w:rPr>
      </w:pPr>
    </w:p>
    <w:p w:rsidR="00AC0E5A" w:rsidRPr="00AC0E5A" w:rsidRDefault="00AC0E5A" w:rsidP="00AC0E5A">
      <w:pPr>
        <w:rPr>
          <w:color w:val="auto"/>
          <w:sz w:val="20"/>
        </w:rPr>
      </w:pPr>
      <w:r w:rsidRPr="00AC0E5A">
        <w:rPr>
          <w:color w:val="auto"/>
          <w:sz w:val="20"/>
        </w:rPr>
        <w:t>3.  Please ensure all necessary actions are taken to implement this decision including notification to the subject member once those actions are completed.</w:t>
      </w:r>
    </w:p>
    <w:p w:rsidR="00AC0E5A" w:rsidRPr="00AC0E5A" w:rsidRDefault="00AC0E5A" w:rsidP="00AC0E5A">
      <w:pPr>
        <w:rPr>
          <w:color w:val="auto"/>
          <w:sz w:val="20"/>
        </w:rPr>
      </w:pPr>
    </w:p>
    <w:p w:rsidR="00AC0E5A" w:rsidRPr="00AC0E5A" w:rsidRDefault="00AC0E5A" w:rsidP="00AC0E5A">
      <w:pPr>
        <w:rPr>
          <w:color w:val="auto"/>
          <w:sz w:val="20"/>
        </w:rPr>
      </w:pPr>
    </w:p>
    <w:p w:rsidR="00AC0E5A" w:rsidRPr="00AC0E5A" w:rsidRDefault="00AC0E5A" w:rsidP="00AC0E5A">
      <w:pPr>
        <w:rPr>
          <w:color w:val="auto"/>
          <w:sz w:val="20"/>
        </w:rPr>
      </w:pPr>
    </w:p>
    <w:p w:rsidR="00AC0E5A" w:rsidRPr="00AC0E5A" w:rsidRDefault="00AC0E5A" w:rsidP="00AC0E5A">
      <w:pPr>
        <w:rPr>
          <w:color w:val="auto"/>
          <w:sz w:val="20"/>
        </w:rPr>
      </w:pPr>
      <w:r w:rsidRPr="00AC0E5A">
        <w:rPr>
          <w:color w:val="auto"/>
          <w:sz w:val="20"/>
        </w:rPr>
        <w:tab/>
      </w:r>
      <w:r w:rsidRPr="00AC0E5A">
        <w:rPr>
          <w:color w:val="auto"/>
          <w:sz w:val="20"/>
        </w:rPr>
        <w:tab/>
      </w:r>
      <w:r w:rsidRPr="00AC0E5A">
        <w:rPr>
          <w:color w:val="auto"/>
          <w:sz w:val="20"/>
        </w:rPr>
        <w:tab/>
      </w:r>
      <w:r w:rsidRPr="00AC0E5A">
        <w:rPr>
          <w:color w:val="auto"/>
          <w:sz w:val="20"/>
        </w:rPr>
        <w:tab/>
      </w:r>
      <w:r w:rsidRPr="00AC0E5A">
        <w:rPr>
          <w:color w:val="auto"/>
          <w:sz w:val="20"/>
        </w:rPr>
        <w:tab/>
      </w:r>
      <w:r w:rsidRPr="00AC0E5A">
        <w:rPr>
          <w:color w:val="auto"/>
          <w:sz w:val="20"/>
        </w:rPr>
        <w:tab/>
        <w:t xml:space="preserve">      Assistant General Counsel</w:t>
      </w:r>
    </w:p>
    <w:p w:rsidR="00AC0E5A" w:rsidRPr="00AC0E5A" w:rsidRDefault="00AC0E5A" w:rsidP="00AC0E5A">
      <w:pPr>
        <w:rPr>
          <w:color w:val="auto"/>
          <w:sz w:val="20"/>
        </w:rPr>
      </w:pPr>
      <w:r w:rsidRPr="00AC0E5A">
        <w:rPr>
          <w:color w:val="auto"/>
          <w:sz w:val="20"/>
        </w:rPr>
        <w:tab/>
      </w:r>
      <w:r w:rsidRPr="00AC0E5A">
        <w:rPr>
          <w:color w:val="auto"/>
          <w:sz w:val="20"/>
        </w:rPr>
        <w:tab/>
      </w:r>
      <w:r w:rsidRPr="00AC0E5A">
        <w:rPr>
          <w:color w:val="auto"/>
          <w:sz w:val="20"/>
        </w:rPr>
        <w:tab/>
      </w:r>
      <w:r w:rsidRPr="00AC0E5A">
        <w:rPr>
          <w:color w:val="auto"/>
          <w:sz w:val="20"/>
        </w:rPr>
        <w:tab/>
      </w:r>
      <w:r w:rsidRPr="00AC0E5A">
        <w:rPr>
          <w:color w:val="auto"/>
          <w:sz w:val="20"/>
        </w:rPr>
        <w:tab/>
      </w:r>
      <w:r w:rsidRPr="00AC0E5A">
        <w:rPr>
          <w:color w:val="auto"/>
          <w:sz w:val="20"/>
        </w:rPr>
        <w:tab/>
        <w:t xml:space="preserve">        (Manpower &amp; Reserve Affairs)</w:t>
      </w:r>
    </w:p>
    <w:p w:rsidR="00AC0E5A" w:rsidRDefault="00AC0E5A" w:rsidP="00AC0E5A"/>
    <w:p w:rsidR="00AC0E5A" w:rsidRPr="00606A8C" w:rsidRDefault="00AC0E5A"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C0E5A" w:rsidRPr="00606A8C"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E4" w:rsidRDefault="002177E4">
      <w:r>
        <w:separator/>
      </w:r>
    </w:p>
  </w:endnote>
  <w:endnote w:type="continuationSeparator" w:id="0">
    <w:p w:rsidR="002177E4" w:rsidRDefault="002177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88" w:rsidRDefault="00AF49C7">
    <w:pPr>
      <w:pStyle w:val="Footer"/>
      <w:framePr w:wrap="around" w:vAnchor="text" w:hAnchor="margin" w:xAlign="center" w:y="1"/>
      <w:rPr>
        <w:rStyle w:val="PageNumber"/>
      </w:rPr>
    </w:pPr>
    <w:r>
      <w:rPr>
        <w:rStyle w:val="PageNumber"/>
      </w:rPr>
      <w:fldChar w:fldCharType="begin"/>
    </w:r>
    <w:r w:rsidR="003F6C88">
      <w:rPr>
        <w:rStyle w:val="PageNumber"/>
      </w:rPr>
      <w:instrText xml:space="preserve">PAGE  </w:instrText>
    </w:r>
    <w:r>
      <w:rPr>
        <w:rStyle w:val="PageNumber"/>
      </w:rPr>
      <w:fldChar w:fldCharType="separate"/>
    </w:r>
    <w:r w:rsidR="003F6C88">
      <w:rPr>
        <w:rStyle w:val="PageNumber"/>
        <w:noProof/>
      </w:rPr>
      <w:t>2</w:t>
    </w:r>
    <w:r>
      <w:rPr>
        <w:rStyle w:val="PageNumber"/>
      </w:rPr>
      <w:fldChar w:fldCharType="end"/>
    </w:r>
  </w:p>
  <w:p w:rsidR="003F6C88" w:rsidRDefault="003F6C8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88" w:rsidRPr="00AC713F" w:rsidRDefault="00AF49C7">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3F6C8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5C7DA0">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3F6C88" w:rsidRPr="00396779" w:rsidRDefault="003F6C88"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1000899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E4" w:rsidRDefault="002177E4">
      <w:r>
        <w:separator/>
      </w:r>
    </w:p>
  </w:footnote>
  <w:footnote w:type="continuationSeparator" w:id="0">
    <w:p w:rsidR="002177E4" w:rsidRDefault="00217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205068"/>
    <w:multiLevelType w:val="hybridMultilevel"/>
    <w:tmpl w:val="B672DBEE"/>
    <w:lvl w:ilvl="0" w:tplc="04090001">
      <w:start w:val="20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258E4"/>
    <w:multiLevelType w:val="hybridMultilevel"/>
    <w:tmpl w:val="B7445BBA"/>
    <w:lvl w:ilvl="0" w:tplc="89E6B40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0585F"/>
    <w:multiLevelType w:val="hybridMultilevel"/>
    <w:tmpl w:val="9AF6531E"/>
    <w:lvl w:ilvl="0" w:tplc="04090001">
      <w:start w:val="20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177"/>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9B9"/>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57F9E"/>
    <w:rsid w:val="0006431E"/>
    <w:rsid w:val="00065E21"/>
    <w:rsid w:val="00072433"/>
    <w:rsid w:val="00075702"/>
    <w:rsid w:val="000775C2"/>
    <w:rsid w:val="000806AD"/>
    <w:rsid w:val="00082482"/>
    <w:rsid w:val="0008708B"/>
    <w:rsid w:val="00091A81"/>
    <w:rsid w:val="00092619"/>
    <w:rsid w:val="00092C66"/>
    <w:rsid w:val="00094E4F"/>
    <w:rsid w:val="000A2BCE"/>
    <w:rsid w:val="000A41E3"/>
    <w:rsid w:val="000A4BBA"/>
    <w:rsid w:val="000A5071"/>
    <w:rsid w:val="000B4C99"/>
    <w:rsid w:val="000C06F6"/>
    <w:rsid w:val="000C1D34"/>
    <w:rsid w:val="000C2362"/>
    <w:rsid w:val="000C3BE7"/>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525F"/>
    <w:rsid w:val="00135385"/>
    <w:rsid w:val="001364D1"/>
    <w:rsid w:val="00142EBA"/>
    <w:rsid w:val="00143B79"/>
    <w:rsid w:val="00144E43"/>
    <w:rsid w:val="00150B8A"/>
    <w:rsid w:val="00150DCB"/>
    <w:rsid w:val="00151912"/>
    <w:rsid w:val="00153740"/>
    <w:rsid w:val="001541C5"/>
    <w:rsid w:val="0015623F"/>
    <w:rsid w:val="00156585"/>
    <w:rsid w:val="00156BA9"/>
    <w:rsid w:val="0016110D"/>
    <w:rsid w:val="00161761"/>
    <w:rsid w:val="00166182"/>
    <w:rsid w:val="00173E55"/>
    <w:rsid w:val="001745DD"/>
    <w:rsid w:val="00177659"/>
    <w:rsid w:val="001779E5"/>
    <w:rsid w:val="00180F01"/>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553"/>
    <w:rsid w:val="001E2A30"/>
    <w:rsid w:val="001E669C"/>
    <w:rsid w:val="00200AA0"/>
    <w:rsid w:val="00202325"/>
    <w:rsid w:val="00202736"/>
    <w:rsid w:val="00203652"/>
    <w:rsid w:val="00205B4F"/>
    <w:rsid w:val="002060B6"/>
    <w:rsid w:val="002066B5"/>
    <w:rsid w:val="002119B6"/>
    <w:rsid w:val="00212B40"/>
    <w:rsid w:val="00213BD0"/>
    <w:rsid w:val="00215ED6"/>
    <w:rsid w:val="00216049"/>
    <w:rsid w:val="00217606"/>
    <w:rsid w:val="002177E4"/>
    <w:rsid w:val="00217C09"/>
    <w:rsid w:val="00220F5C"/>
    <w:rsid w:val="00223B5D"/>
    <w:rsid w:val="00225196"/>
    <w:rsid w:val="00225CB4"/>
    <w:rsid w:val="00230237"/>
    <w:rsid w:val="0023049F"/>
    <w:rsid w:val="002316F6"/>
    <w:rsid w:val="00232C9B"/>
    <w:rsid w:val="00232F09"/>
    <w:rsid w:val="002335D5"/>
    <w:rsid w:val="002338CA"/>
    <w:rsid w:val="00233CEC"/>
    <w:rsid w:val="00233FE5"/>
    <w:rsid w:val="00234B3B"/>
    <w:rsid w:val="0024174E"/>
    <w:rsid w:val="00241981"/>
    <w:rsid w:val="0024227D"/>
    <w:rsid w:val="00242D14"/>
    <w:rsid w:val="00245FA0"/>
    <w:rsid w:val="00246860"/>
    <w:rsid w:val="00246DFF"/>
    <w:rsid w:val="00246E89"/>
    <w:rsid w:val="0025183C"/>
    <w:rsid w:val="002528EC"/>
    <w:rsid w:val="00252AD1"/>
    <w:rsid w:val="00255049"/>
    <w:rsid w:val="00257DE5"/>
    <w:rsid w:val="0026031C"/>
    <w:rsid w:val="00260531"/>
    <w:rsid w:val="002629B1"/>
    <w:rsid w:val="0026318D"/>
    <w:rsid w:val="00270864"/>
    <w:rsid w:val="002712F7"/>
    <w:rsid w:val="0027159C"/>
    <w:rsid w:val="00274549"/>
    <w:rsid w:val="00274E46"/>
    <w:rsid w:val="00276C8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5624"/>
    <w:rsid w:val="0032136A"/>
    <w:rsid w:val="00323E70"/>
    <w:rsid w:val="00325BA2"/>
    <w:rsid w:val="00326C08"/>
    <w:rsid w:val="00326F7F"/>
    <w:rsid w:val="003320E8"/>
    <w:rsid w:val="0033334F"/>
    <w:rsid w:val="0033555E"/>
    <w:rsid w:val="00336805"/>
    <w:rsid w:val="00337351"/>
    <w:rsid w:val="00341734"/>
    <w:rsid w:val="00341A54"/>
    <w:rsid w:val="0034669F"/>
    <w:rsid w:val="00351498"/>
    <w:rsid w:val="00352B22"/>
    <w:rsid w:val="00354547"/>
    <w:rsid w:val="003567DE"/>
    <w:rsid w:val="003574F3"/>
    <w:rsid w:val="0036319E"/>
    <w:rsid w:val="003632A4"/>
    <w:rsid w:val="00363362"/>
    <w:rsid w:val="0036456E"/>
    <w:rsid w:val="00367D4F"/>
    <w:rsid w:val="00370743"/>
    <w:rsid w:val="00370EF5"/>
    <w:rsid w:val="0037135B"/>
    <w:rsid w:val="00372251"/>
    <w:rsid w:val="0037520D"/>
    <w:rsid w:val="00375724"/>
    <w:rsid w:val="00375809"/>
    <w:rsid w:val="0037628C"/>
    <w:rsid w:val="00376563"/>
    <w:rsid w:val="00376B81"/>
    <w:rsid w:val="00377BD2"/>
    <w:rsid w:val="003821E1"/>
    <w:rsid w:val="00384866"/>
    <w:rsid w:val="003857D4"/>
    <w:rsid w:val="00385D6F"/>
    <w:rsid w:val="00387095"/>
    <w:rsid w:val="00390092"/>
    <w:rsid w:val="00393651"/>
    <w:rsid w:val="00395E12"/>
    <w:rsid w:val="00396068"/>
    <w:rsid w:val="00396779"/>
    <w:rsid w:val="00397DB7"/>
    <w:rsid w:val="003A27B2"/>
    <w:rsid w:val="003A40B4"/>
    <w:rsid w:val="003A41BA"/>
    <w:rsid w:val="003A6A99"/>
    <w:rsid w:val="003A7FF8"/>
    <w:rsid w:val="003B17AC"/>
    <w:rsid w:val="003B227A"/>
    <w:rsid w:val="003B5854"/>
    <w:rsid w:val="003B6764"/>
    <w:rsid w:val="003C6068"/>
    <w:rsid w:val="003C6F84"/>
    <w:rsid w:val="003D2BA3"/>
    <w:rsid w:val="003D3C22"/>
    <w:rsid w:val="003D7089"/>
    <w:rsid w:val="003D7DDB"/>
    <w:rsid w:val="003E02C7"/>
    <w:rsid w:val="003E0543"/>
    <w:rsid w:val="003E0B5A"/>
    <w:rsid w:val="003E31E3"/>
    <w:rsid w:val="003E46D1"/>
    <w:rsid w:val="003E6214"/>
    <w:rsid w:val="003F070E"/>
    <w:rsid w:val="003F5795"/>
    <w:rsid w:val="003F58B0"/>
    <w:rsid w:val="003F6C88"/>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0073"/>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97FB9"/>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10588"/>
    <w:rsid w:val="0051146C"/>
    <w:rsid w:val="00514449"/>
    <w:rsid w:val="005157BD"/>
    <w:rsid w:val="005214A3"/>
    <w:rsid w:val="005222E7"/>
    <w:rsid w:val="00523A8B"/>
    <w:rsid w:val="00523E04"/>
    <w:rsid w:val="0052590B"/>
    <w:rsid w:val="00526591"/>
    <w:rsid w:val="005270A3"/>
    <w:rsid w:val="00527178"/>
    <w:rsid w:val="005278CB"/>
    <w:rsid w:val="00534D42"/>
    <w:rsid w:val="005350A5"/>
    <w:rsid w:val="00536379"/>
    <w:rsid w:val="00537238"/>
    <w:rsid w:val="005400C5"/>
    <w:rsid w:val="00540BEF"/>
    <w:rsid w:val="00541FEF"/>
    <w:rsid w:val="00542C9A"/>
    <w:rsid w:val="005436C2"/>
    <w:rsid w:val="005442D4"/>
    <w:rsid w:val="0054586A"/>
    <w:rsid w:val="0054631F"/>
    <w:rsid w:val="0055288D"/>
    <w:rsid w:val="00555259"/>
    <w:rsid w:val="00556EC5"/>
    <w:rsid w:val="00560D57"/>
    <w:rsid w:val="00562A94"/>
    <w:rsid w:val="005709F7"/>
    <w:rsid w:val="005710A9"/>
    <w:rsid w:val="00571D1B"/>
    <w:rsid w:val="005738F5"/>
    <w:rsid w:val="0058039C"/>
    <w:rsid w:val="00587155"/>
    <w:rsid w:val="00593043"/>
    <w:rsid w:val="00595893"/>
    <w:rsid w:val="00595BF0"/>
    <w:rsid w:val="005A1846"/>
    <w:rsid w:val="005A258C"/>
    <w:rsid w:val="005A3560"/>
    <w:rsid w:val="005A464E"/>
    <w:rsid w:val="005A6C99"/>
    <w:rsid w:val="005A7D5D"/>
    <w:rsid w:val="005B011A"/>
    <w:rsid w:val="005B1D8F"/>
    <w:rsid w:val="005B1E94"/>
    <w:rsid w:val="005B5B3D"/>
    <w:rsid w:val="005B64CF"/>
    <w:rsid w:val="005B7EC8"/>
    <w:rsid w:val="005C16F3"/>
    <w:rsid w:val="005C3758"/>
    <w:rsid w:val="005C4FDA"/>
    <w:rsid w:val="005C7DA0"/>
    <w:rsid w:val="005D02B6"/>
    <w:rsid w:val="005E3064"/>
    <w:rsid w:val="005E72B2"/>
    <w:rsid w:val="005F1115"/>
    <w:rsid w:val="005F1AB6"/>
    <w:rsid w:val="005F27F2"/>
    <w:rsid w:val="005F3AFE"/>
    <w:rsid w:val="005F424D"/>
    <w:rsid w:val="005F6B6D"/>
    <w:rsid w:val="00605AAB"/>
    <w:rsid w:val="00606A8C"/>
    <w:rsid w:val="00606BEB"/>
    <w:rsid w:val="0061014A"/>
    <w:rsid w:val="0061054B"/>
    <w:rsid w:val="00612D27"/>
    <w:rsid w:val="00613E26"/>
    <w:rsid w:val="00615641"/>
    <w:rsid w:val="00616959"/>
    <w:rsid w:val="006211D0"/>
    <w:rsid w:val="00624D0C"/>
    <w:rsid w:val="00626CC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4C53"/>
    <w:rsid w:val="006573F2"/>
    <w:rsid w:val="006609AD"/>
    <w:rsid w:val="00662F08"/>
    <w:rsid w:val="00663589"/>
    <w:rsid w:val="006708E3"/>
    <w:rsid w:val="00670DDC"/>
    <w:rsid w:val="00671EB4"/>
    <w:rsid w:val="0067443B"/>
    <w:rsid w:val="00680B2F"/>
    <w:rsid w:val="006815B3"/>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9F"/>
    <w:rsid w:val="006C6AB1"/>
    <w:rsid w:val="006D2D39"/>
    <w:rsid w:val="006D4E0E"/>
    <w:rsid w:val="006D5CE2"/>
    <w:rsid w:val="006E06D1"/>
    <w:rsid w:val="006E1313"/>
    <w:rsid w:val="006E2DC8"/>
    <w:rsid w:val="006E7356"/>
    <w:rsid w:val="006E77C8"/>
    <w:rsid w:val="006F149D"/>
    <w:rsid w:val="006F1A46"/>
    <w:rsid w:val="006F4F06"/>
    <w:rsid w:val="006F5A4E"/>
    <w:rsid w:val="007023F4"/>
    <w:rsid w:val="00703B6C"/>
    <w:rsid w:val="007047E9"/>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1EF3"/>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1B4B"/>
    <w:rsid w:val="007769C4"/>
    <w:rsid w:val="00781BD4"/>
    <w:rsid w:val="00784832"/>
    <w:rsid w:val="00785D77"/>
    <w:rsid w:val="00786111"/>
    <w:rsid w:val="00791F1E"/>
    <w:rsid w:val="00794F3D"/>
    <w:rsid w:val="00796045"/>
    <w:rsid w:val="007968AC"/>
    <w:rsid w:val="007969AB"/>
    <w:rsid w:val="007A0B39"/>
    <w:rsid w:val="007A14A4"/>
    <w:rsid w:val="007A168F"/>
    <w:rsid w:val="007A2778"/>
    <w:rsid w:val="007A28E4"/>
    <w:rsid w:val="007A3BB3"/>
    <w:rsid w:val="007A5AD1"/>
    <w:rsid w:val="007A5B7B"/>
    <w:rsid w:val="007A7392"/>
    <w:rsid w:val="007B0A06"/>
    <w:rsid w:val="007B2ED2"/>
    <w:rsid w:val="007B5C5C"/>
    <w:rsid w:val="007B7B37"/>
    <w:rsid w:val="007B7C41"/>
    <w:rsid w:val="007C11E9"/>
    <w:rsid w:val="007C433E"/>
    <w:rsid w:val="007C4452"/>
    <w:rsid w:val="007C4B3C"/>
    <w:rsid w:val="007C4DB1"/>
    <w:rsid w:val="007C6046"/>
    <w:rsid w:val="007D0292"/>
    <w:rsid w:val="007D065E"/>
    <w:rsid w:val="007D0C95"/>
    <w:rsid w:val="007D21AC"/>
    <w:rsid w:val="007D3882"/>
    <w:rsid w:val="007D568A"/>
    <w:rsid w:val="007D574E"/>
    <w:rsid w:val="007D6BFE"/>
    <w:rsid w:val="007E2046"/>
    <w:rsid w:val="007E2EBD"/>
    <w:rsid w:val="007E3883"/>
    <w:rsid w:val="007E4FBB"/>
    <w:rsid w:val="007E55BF"/>
    <w:rsid w:val="007E71B1"/>
    <w:rsid w:val="007E7B4E"/>
    <w:rsid w:val="007F0CE2"/>
    <w:rsid w:val="007F0EFF"/>
    <w:rsid w:val="007F1375"/>
    <w:rsid w:val="007F3EE3"/>
    <w:rsid w:val="007F4C96"/>
    <w:rsid w:val="00803850"/>
    <w:rsid w:val="00804385"/>
    <w:rsid w:val="00805AFD"/>
    <w:rsid w:val="008078D8"/>
    <w:rsid w:val="00811D5B"/>
    <w:rsid w:val="00817713"/>
    <w:rsid w:val="008220F1"/>
    <w:rsid w:val="0082340B"/>
    <w:rsid w:val="008269CD"/>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3443"/>
    <w:rsid w:val="00875B51"/>
    <w:rsid w:val="00875F2D"/>
    <w:rsid w:val="008764DC"/>
    <w:rsid w:val="00882CC2"/>
    <w:rsid w:val="00883930"/>
    <w:rsid w:val="00883A39"/>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25FD"/>
    <w:rsid w:val="0093311A"/>
    <w:rsid w:val="00942645"/>
    <w:rsid w:val="00950A3A"/>
    <w:rsid w:val="0095340A"/>
    <w:rsid w:val="00954581"/>
    <w:rsid w:val="0095466C"/>
    <w:rsid w:val="00954E5B"/>
    <w:rsid w:val="009576BC"/>
    <w:rsid w:val="00960357"/>
    <w:rsid w:val="0096168C"/>
    <w:rsid w:val="00961840"/>
    <w:rsid w:val="00962F2D"/>
    <w:rsid w:val="009635E5"/>
    <w:rsid w:val="009672CD"/>
    <w:rsid w:val="00972996"/>
    <w:rsid w:val="009732B8"/>
    <w:rsid w:val="00975C72"/>
    <w:rsid w:val="00976869"/>
    <w:rsid w:val="00976F63"/>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60FB"/>
    <w:rsid w:val="00A0798C"/>
    <w:rsid w:val="00A07BDD"/>
    <w:rsid w:val="00A1105B"/>
    <w:rsid w:val="00A120A0"/>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39D5"/>
    <w:rsid w:val="00A54A47"/>
    <w:rsid w:val="00A56D26"/>
    <w:rsid w:val="00A571A7"/>
    <w:rsid w:val="00A57203"/>
    <w:rsid w:val="00A608FB"/>
    <w:rsid w:val="00A60D83"/>
    <w:rsid w:val="00A60F68"/>
    <w:rsid w:val="00A63DF3"/>
    <w:rsid w:val="00A65C78"/>
    <w:rsid w:val="00A660A8"/>
    <w:rsid w:val="00A67591"/>
    <w:rsid w:val="00A67B85"/>
    <w:rsid w:val="00A67CA6"/>
    <w:rsid w:val="00A70E7B"/>
    <w:rsid w:val="00A73B84"/>
    <w:rsid w:val="00A7411D"/>
    <w:rsid w:val="00A75A3F"/>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6D0"/>
    <w:rsid w:val="00AB0A8A"/>
    <w:rsid w:val="00AB1754"/>
    <w:rsid w:val="00AB27DD"/>
    <w:rsid w:val="00AC0E5A"/>
    <w:rsid w:val="00AC439D"/>
    <w:rsid w:val="00AC713F"/>
    <w:rsid w:val="00AD067E"/>
    <w:rsid w:val="00AD2801"/>
    <w:rsid w:val="00AD6870"/>
    <w:rsid w:val="00AD68C5"/>
    <w:rsid w:val="00AE1273"/>
    <w:rsid w:val="00AE2D29"/>
    <w:rsid w:val="00AE4624"/>
    <w:rsid w:val="00AE5E14"/>
    <w:rsid w:val="00AE6115"/>
    <w:rsid w:val="00AE625B"/>
    <w:rsid w:val="00AF1668"/>
    <w:rsid w:val="00AF49C7"/>
    <w:rsid w:val="00AF4FA5"/>
    <w:rsid w:val="00AF6AAF"/>
    <w:rsid w:val="00B07955"/>
    <w:rsid w:val="00B140B8"/>
    <w:rsid w:val="00B14FAA"/>
    <w:rsid w:val="00B15D30"/>
    <w:rsid w:val="00B20624"/>
    <w:rsid w:val="00B23436"/>
    <w:rsid w:val="00B237F1"/>
    <w:rsid w:val="00B26354"/>
    <w:rsid w:val="00B26CA0"/>
    <w:rsid w:val="00B32179"/>
    <w:rsid w:val="00B33007"/>
    <w:rsid w:val="00B331A9"/>
    <w:rsid w:val="00B36569"/>
    <w:rsid w:val="00B40A05"/>
    <w:rsid w:val="00B40A3E"/>
    <w:rsid w:val="00B427BB"/>
    <w:rsid w:val="00B43F8F"/>
    <w:rsid w:val="00B449EE"/>
    <w:rsid w:val="00B50227"/>
    <w:rsid w:val="00B50510"/>
    <w:rsid w:val="00B522CD"/>
    <w:rsid w:val="00B55143"/>
    <w:rsid w:val="00B555C8"/>
    <w:rsid w:val="00B55917"/>
    <w:rsid w:val="00B643A6"/>
    <w:rsid w:val="00B64DD6"/>
    <w:rsid w:val="00B6710C"/>
    <w:rsid w:val="00B67DBC"/>
    <w:rsid w:val="00B67E84"/>
    <w:rsid w:val="00B72076"/>
    <w:rsid w:val="00B72303"/>
    <w:rsid w:val="00B72C72"/>
    <w:rsid w:val="00B82277"/>
    <w:rsid w:val="00B86E9A"/>
    <w:rsid w:val="00B9166F"/>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4991"/>
    <w:rsid w:val="00BC7C74"/>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1D58"/>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1EC1"/>
    <w:rsid w:val="00C34326"/>
    <w:rsid w:val="00C36201"/>
    <w:rsid w:val="00C368E8"/>
    <w:rsid w:val="00C36C3D"/>
    <w:rsid w:val="00C372C7"/>
    <w:rsid w:val="00C404B2"/>
    <w:rsid w:val="00C42443"/>
    <w:rsid w:val="00C42CBA"/>
    <w:rsid w:val="00C5019E"/>
    <w:rsid w:val="00C50AD0"/>
    <w:rsid w:val="00C5377C"/>
    <w:rsid w:val="00C53E8A"/>
    <w:rsid w:val="00C54DF3"/>
    <w:rsid w:val="00C560A7"/>
    <w:rsid w:val="00C56FC8"/>
    <w:rsid w:val="00C6068D"/>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33C7"/>
    <w:rsid w:val="00CB56C8"/>
    <w:rsid w:val="00CB7A3E"/>
    <w:rsid w:val="00CB7FF7"/>
    <w:rsid w:val="00CC0D0E"/>
    <w:rsid w:val="00CC19B3"/>
    <w:rsid w:val="00CC2044"/>
    <w:rsid w:val="00CC39D2"/>
    <w:rsid w:val="00CC69EC"/>
    <w:rsid w:val="00CD15BE"/>
    <w:rsid w:val="00CD1EF2"/>
    <w:rsid w:val="00CD32BD"/>
    <w:rsid w:val="00CD34C7"/>
    <w:rsid w:val="00CD403F"/>
    <w:rsid w:val="00CD5653"/>
    <w:rsid w:val="00CD5E6D"/>
    <w:rsid w:val="00CD63C8"/>
    <w:rsid w:val="00CF158D"/>
    <w:rsid w:val="00CF4394"/>
    <w:rsid w:val="00D000A9"/>
    <w:rsid w:val="00D005DB"/>
    <w:rsid w:val="00D0064E"/>
    <w:rsid w:val="00D00981"/>
    <w:rsid w:val="00D02596"/>
    <w:rsid w:val="00D0280D"/>
    <w:rsid w:val="00D068E1"/>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60A"/>
    <w:rsid w:val="00D40B1F"/>
    <w:rsid w:val="00D40D75"/>
    <w:rsid w:val="00D43033"/>
    <w:rsid w:val="00D44460"/>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4B55"/>
    <w:rsid w:val="00D74F9A"/>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26A5"/>
    <w:rsid w:val="00DC41C3"/>
    <w:rsid w:val="00DD06BD"/>
    <w:rsid w:val="00DD286D"/>
    <w:rsid w:val="00DD2CAF"/>
    <w:rsid w:val="00DD3593"/>
    <w:rsid w:val="00DD64E0"/>
    <w:rsid w:val="00DE0C67"/>
    <w:rsid w:val="00DE5A7D"/>
    <w:rsid w:val="00DE6952"/>
    <w:rsid w:val="00DE7E74"/>
    <w:rsid w:val="00DF071B"/>
    <w:rsid w:val="00DF174A"/>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2FD7"/>
    <w:rsid w:val="00E3369B"/>
    <w:rsid w:val="00E33FE7"/>
    <w:rsid w:val="00E36D76"/>
    <w:rsid w:val="00E405EA"/>
    <w:rsid w:val="00E408B7"/>
    <w:rsid w:val="00E40BFE"/>
    <w:rsid w:val="00E41637"/>
    <w:rsid w:val="00E42789"/>
    <w:rsid w:val="00E43F59"/>
    <w:rsid w:val="00E43FEE"/>
    <w:rsid w:val="00E464F0"/>
    <w:rsid w:val="00E50BEB"/>
    <w:rsid w:val="00E50F1D"/>
    <w:rsid w:val="00E548FA"/>
    <w:rsid w:val="00E6092F"/>
    <w:rsid w:val="00E62049"/>
    <w:rsid w:val="00E62665"/>
    <w:rsid w:val="00E629DA"/>
    <w:rsid w:val="00E6469F"/>
    <w:rsid w:val="00E650E1"/>
    <w:rsid w:val="00E658D0"/>
    <w:rsid w:val="00E65BAA"/>
    <w:rsid w:val="00E670F8"/>
    <w:rsid w:val="00E67FAC"/>
    <w:rsid w:val="00E71F84"/>
    <w:rsid w:val="00E7200B"/>
    <w:rsid w:val="00E738CB"/>
    <w:rsid w:val="00E73C88"/>
    <w:rsid w:val="00E74437"/>
    <w:rsid w:val="00E7443D"/>
    <w:rsid w:val="00E81C3E"/>
    <w:rsid w:val="00E82B6D"/>
    <w:rsid w:val="00E954CC"/>
    <w:rsid w:val="00EA1177"/>
    <w:rsid w:val="00EA118B"/>
    <w:rsid w:val="00EA11B6"/>
    <w:rsid w:val="00EA2181"/>
    <w:rsid w:val="00EA2DD8"/>
    <w:rsid w:val="00EA3852"/>
    <w:rsid w:val="00EA4475"/>
    <w:rsid w:val="00EA65D7"/>
    <w:rsid w:val="00EA681F"/>
    <w:rsid w:val="00EB2D23"/>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EF6A98"/>
    <w:rsid w:val="00F0044B"/>
    <w:rsid w:val="00F01E1B"/>
    <w:rsid w:val="00F04957"/>
    <w:rsid w:val="00F05807"/>
    <w:rsid w:val="00F07052"/>
    <w:rsid w:val="00F0706C"/>
    <w:rsid w:val="00F10E22"/>
    <w:rsid w:val="00F11EBE"/>
    <w:rsid w:val="00F12BA8"/>
    <w:rsid w:val="00F130D0"/>
    <w:rsid w:val="00F14933"/>
    <w:rsid w:val="00F14951"/>
    <w:rsid w:val="00F1516A"/>
    <w:rsid w:val="00F16DDC"/>
    <w:rsid w:val="00F21440"/>
    <w:rsid w:val="00F22A26"/>
    <w:rsid w:val="00F24072"/>
    <w:rsid w:val="00F26432"/>
    <w:rsid w:val="00F3197A"/>
    <w:rsid w:val="00F32139"/>
    <w:rsid w:val="00F33D56"/>
    <w:rsid w:val="00F34290"/>
    <w:rsid w:val="00F34E08"/>
    <w:rsid w:val="00F41D91"/>
    <w:rsid w:val="00F42363"/>
    <w:rsid w:val="00F46964"/>
    <w:rsid w:val="00F46F9A"/>
    <w:rsid w:val="00F470FD"/>
    <w:rsid w:val="00F50F30"/>
    <w:rsid w:val="00F5126A"/>
    <w:rsid w:val="00F5126E"/>
    <w:rsid w:val="00F63A30"/>
    <w:rsid w:val="00F6636A"/>
    <w:rsid w:val="00F667C5"/>
    <w:rsid w:val="00F67E31"/>
    <w:rsid w:val="00F67F9F"/>
    <w:rsid w:val="00F718A8"/>
    <w:rsid w:val="00F72183"/>
    <w:rsid w:val="00F76D01"/>
    <w:rsid w:val="00F81C35"/>
    <w:rsid w:val="00F82981"/>
    <w:rsid w:val="00F8311F"/>
    <w:rsid w:val="00F83248"/>
    <w:rsid w:val="00F83376"/>
    <w:rsid w:val="00F853AE"/>
    <w:rsid w:val="00F93C74"/>
    <w:rsid w:val="00F93DCC"/>
    <w:rsid w:val="00F9435D"/>
    <w:rsid w:val="00F97740"/>
    <w:rsid w:val="00FA1987"/>
    <w:rsid w:val="00FA2F7B"/>
    <w:rsid w:val="00FA3C97"/>
    <w:rsid w:val="00FA530E"/>
    <w:rsid w:val="00FA68FE"/>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665"/>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230237"/>
    <w:pPr>
      <w:jc w:val="center"/>
    </w:pPr>
    <w:rPr>
      <w:rFonts w:ascii="Verdana" w:hAnsi="Verdana"/>
      <w:b/>
      <w:bCs/>
      <w:color w:val="800000"/>
      <w:szCs w:val="24"/>
    </w:rPr>
  </w:style>
  <w:style w:type="character" w:customStyle="1" w:styleId="TitleChar">
    <w:name w:val="Title Char"/>
    <w:basedOn w:val="DefaultParagraphFont"/>
    <w:link w:val="Title"/>
    <w:rsid w:val="00230237"/>
    <w:rPr>
      <w:rFonts w:ascii="Verdana" w:hAnsi="Verdana"/>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51579635">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321980">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E526-82E2-4A4D-8151-D2B46321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2011-07-20T15:07:00Z</cp:lastPrinted>
  <dcterms:created xsi:type="dcterms:W3CDTF">2012-02-29T16:16:00Z</dcterms:created>
  <dcterms:modified xsi:type="dcterms:W3CDTF">2012-02-29T17:06:00Z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